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E238F" w14:textId="05CD9042" w:rsidR="00E672E8" w:rsidRDefault="00F4339B">
      <w:pPr>
        <w:pStyle w:val="Title"/>
      </w:pPr>
      <w:bookmarkStart w:id="0" w:name="_GoBack"/>
      <w:bookmarkEnd w:id="0"/>
      <w:r>
        <w:t>Advancing an energy justice</w:t>
      </w:r>
      <w:r w:rsidR="005550E3">
        <w:t xml:space="preserve"> perspective of fuel poverty: </w:t>
      </w:r>
      <w:r>
        <w:t xml:space="preserve">household </w:t>
      </w:r>
      <w:r w:rsidR="009D2C8E">
        <w:t>vulnerability</w:t>
      </w:r>
      <w:r w:rsidR="005550E3">
        <w:t xml:space="preserve"> and domestic retrofit policy in the United Kingdom</w:t>
      </w:r>
    </w:p>
    <w:p w14:paraId="07170CE1" w14:textId="77777777" w:rsidR="00E672E8" w:rsidRDefault="00E672E8">
      <w:pPr>
        <w:pStyle w:val="Heading1"/>
      </w:pPr>
      <w:r>
        <w:t>Abstract</w:t>
      </w:r>
    </w:p>
    <w:p w14:paraId="1A55C4BE" w14:textId="5DC1E3A9" w:rsidR="00E672E8" w:rsidRDefault="00E672E8" w:rsidP="002F1B3F">
      <w:r>
        <w:t xml:space="preserve">The concept of energy justice </w:t>
      </w:r>
      <w:r w:rsidR="00B60DA7">
        <w:t>has</w:t>
      </w:r>
      <w:r>
        <w:t xml:space="preserve"> </w:t>
      </w:r>
      <w:r w:rsidR="00B60DA7">
        <w:t xml:space="preserve">brought </w:t>
      </w:r>
      <w:r>
        <w:t xml:space="preserve">philosophies of ethics and </w:t>
      </w:r>
      <w:r w:rsidR="00B60DA7">
        <w:t xml:space="preserve">principles of </w:t>
      </w:r>
      <w:r w:rsidR="00E85743">
        <w:t xml:space="preserve">social </w:t>
      </w:r>
      <w:r>
        <w:t xml:space="preserve">justice to </w:t>
      </w:r>
      <w:r w:rsidR="00E85743">
        <w:t>bear</w:t>
      </w:r>
      <w:r>
        <w:t xml:space="preserve"> on a range of contemporary energy issues. </w:t>
      </w:r>
      <w:r w:rsidR="00B60DA7">
        <w:t>M</w:t>
      </w:r>
      <w:r>
        <w:t>ore inter-disciplinary</w:t>
      </w:r>
      <w:r w:rsidR="00D873BE">
        <w:t xml:space="preserve"> and applied endeavours</w:t>
      </w:r>
      <w:r>
        <w:t xml:space="preserve"> are </w:t>
      </w:r>
      <w:r w:rsidR="00B60DA7">
        <w:t xml:space="preserve">now </w:t>
      </w:r>
      <w:r>
        <w:t xml:space="preserve">needed to take this field forward. One </w:t>
      </w:r>
      <w:r w:rsidR="00B60DA7">
        <w:t>such</w:t>
      </w:r>
      <w:r>
        <w:t xml:space="preserve"> application is to the</w:t>
      </w:r>
      <w:r w:rsidR="00B60DA7">
        <w:t xml:space="preserve"> </w:t>
      </w:r>
      <w:r>
        <w:t>issue of fuel poverty</w:t>
      </w:r>
      <w:r w:rsidR="00B60DA7">
        <w:t xml:space="preserve"> </w:t>
      </w:r>
      <w:r w:rsidR="00D61553">
        <w:t>and the challenge of retrofitting inefficient housing stock</w:t>
      </w:r>
      <w:r>
        <w:t xml:space="preserve">. </w:t>
      </w:r>
      <w:r w:rsidR="005677E9">
        <w:t>An energy justice perspective sees</w:t>
      </w:r>
      <w:r>
        <w:t xml:space="preserve"> fuel poverty as a </w:t>
      </w:r>
      <w:r w:rsidR="005677E9">
        <w:t>fundamentally socio-</w:t>
      </w:r>
      <w:r>
        <w:t xml:space="preserve">political injustice, not </w:t>
      </w:r>
      <w:r w:rsidR="00E8258C">
        <w:t>just one of uneven distribution</w:t>
      </w:r>
      <w:r>
        <w:t xml:space="preserve">. </w:t>
      </w:r>
      <w:r w:rsidR="00046E5C">
        <w:t>Starting from</w:t>
      </w:r>
      <w:r>
        <w:t xml:space="preserve"> this premise, we </w:t>
      </w:r>
      <w:r w:rsidR="00E8258C">
        <w:t>highlight</w:t>
      </w:r>
      <w:r>
        <w:t xml:space="preserve"> the multiple injustices faced by two groups who are </w:t>
      </w:r>
      <w:r w:rsidR="00F63DD4">
        <w:t>regarded by policy</w:t>
      </w:r>
      <w:r w:rsidR="00E8258C">
        <w:t>makers</w:t>
      </w:r>
      <w:r w:rsidR="00F63DD4">
        <w:t xml:space="preserve"> as being</w:t>
      </w:r>
      <w:r w:rsidR="00D61553">
        <w:t xml:space="preserve"> particularly</w:t>
      </w:r>
      <w:r>
        <w:t xml:space="preserve"> vulnerable to fuel poverty: </w:t>
      </w:r>
      <w:r w:rsidR="00745295">
        <w:t>disabled people</w:t>
      </w:r>
      <w:r>
        <w:t xml:space="preserve"> and low-income families. </w:t>
      </w:r>
      <w:r w:rsidR="00D873BE">
        <w:t xml:space="preserve">In the UK, these groups are nominally prioritised within fuel poverty policy, but their complex </w:t>
      </w:r>
      <w:r w:rsidR="00C362F1">
        <w:t>situations</w:t>
      </w:r>
      <w:r w:rsidR="00D873BE">
        <w:t xml:space="preserve"> are not always fully </w:t>
      </w:r>
      <w:r w:rsidR="00046E5C">
        <w:t>appreciated</w:t>
      </w:r>
      <w:r w:rsidR="00D873BE">
        <w:t xml:space="preserve">. </w:t>
      </w:r>
      <w:r w:rsidR="00FC2A41">
        <w:t xml:space="preserve">Building on </w:t>
      </w:r>
      <w:r>
        <w:t>the theoretical foundations of energy justice</w:t>
      </w:r>
      <w:r w:rsidR="00FC2A41">
        <w:t>,</w:t>
      </w:r>
      <w:r>
        <w:t xml:space="preserve"> we present an inter-disciplinary dialogue that </w:t>
      </w:r>
      <w:r w:rsidR="00FC2A41">
        <w:t xml:space="preserve">connects this </w:t>
      </w:r>
      <w:r w:rsidR="00D61553">
        <w:t>approach</w:t>
      </w:r>
      <w:r w:rsidR="00FC2A41">
        <w:t xml:space="preserve"> with </w:t>
      </w:r>
      <w:r w:rsidR="00BB6089">
        <w:t xml:space="preserve">wider </w:t>
      </w:r>
      <w:r w:rsidR="00E8258C">
        <w:t>vulnerability</w:t>
      </w:r>
      <w:r w:rsidR="00046E5C">
        <w:t xml:space="preserve"> research and</w:t>
      </w:r>
      <w:r w:rsidR="00BB6089">
        <w:t xml:space="preserve"> domestic</w:t>
      </w:r>
      <w:r w:rsidR="00046E5C">
        <w:t xml:space="preserve"> </w:t>
      </w:r>
      <w:r w:rsidR="00E8258C">
        <w:t xml:space="preserve">energy efficiency </w:t>
      </w:r>
      <w:r w:rsidR="00046E5C">
        <w:t>policy</w:t>
      </w:r>
      <w:r w:rsidR="00D873BE">
        <w:t>.</w:t>
      </w:r>
      <w:r w:rsidR="00FC2A41">
        <w:t xml:space="preserve"> </w:t>
      </w:r>
      <w:r w:rsidR="00AA0049">
        <w:t>Specifically, w</w:t>
      </w:r>
      <w:r w:rsidR="00C362F1">
        <w:t>e discuss ‘</w:t>
      </w:r>
      <w:r>
        <w:t>within group</w:t>
      </w:r>
      <w:r w:rsidR="00C362F1">
        <w:t>’</w:t>
      </w:r>
      <w:r>
        <w:t xml:space="preserve"> heterogeneity (recogni</w:t>
      </w:r>
      <w:r w:rsidR="00C362F1">
        <w:t>tion justice), stakeholder engagement in</w:t>
      </w:r>
      <w:r w:rsidR="004A7F98">
        <w:t xml:space="preserve"> </w:t>
      </w:r>
      <w:r w:rsidR="0082246C">
        <w:t>policy</w:t>
      </w:r>
      <w:r w:rsidR="00C362F1">
        <w:t xml:space="preserve"> and governance</w:t>
      </w:r>
      <w:r>
        <w:t xml:space="preserve"> (</w:t>
      </w:r>
      <w:r w:rsidR="00C362F1">
        <w:t>procedural</w:t>
      </w:r>
      <w:r w:rsidR="00AA0049">
        <w:t xml:space="preserve"> justice) and </w:t>
      </w:r>
      <w:r>
        <w:t xml:space="preserve">the overlap of multiple structural </w:t>
      </w:r>
      <w:r w:rsidR="0082246C">
        <w:t>inequalities</w:t>
      </w:r>
      <w:r>
        <w:t xml:space="preserve"> </w:t>
      </w:r>
      <w:r w:rsidR="0082246C">
        <w:t>(distributional justice)</w:t>
      </w:r>
      <w:r>
        <w:t xml:space="preserve">. In each </w:t>
      </w:r>
      <w:r w:rsidR="00046E5C">
        <w:t>section</w:t>
      </w:r>
      <w:r>
        <w:t xml:space="preserve"> we illustrate </w:t>
      </w:r>
      <w:r w:rsidR="00046E5C">
        <w:t xml:space="preserve">the added value of combining justice and vulnerability </w:t>
      </w:r>
      <w:r w:rsidR="00E8258C">
        <w:t>conceptualisations</w:t>
      </w:r>
      <w:r w:rsidR="00D61553">
        <w:t xml:space="preserve"> by linking them to </w:t>
      </w:r>
      <w:r>
        <w:t>dom</w:t>
      </w:r>
      <w:r w:rsidR="00E8258C">
        <w:t>estic energy efficiency schemes</w:t>
      </w:r>
      <w:r>
        <w:t>.</w:t>
      </w:r>
    </w:p>
    <w:p w14:paraId="34B98ACA" w14:textId="666C467F" w:rsidR="003B0864" w:rsidRDefault="00C34971" w:rsidP="002F1B3F">
      <w:r>
        <w:t>Keywords Energy justice, f</w:t>
      </w:r>
      <w:r w:rsidR="003B0864">
        <w:t>uel poverty; vulnerability; energy efficiency</w:t>
      </w:r>
    </w:p>
    <w:p w14:paraId="67697EEB" w14:textId="75DEE423" w:rsidR="00E672E8" w:rsidRDefault="00E672E8">
      <w:pPr>
        <w:pStyle w:val="Heading1"/>
      </w:pPr>
      <w:r>
        <w:t xml:space="preserve">Introduction: </w:t>
      </w:r>
      <w:r w:rsidR="00577BED">
        <w:t>understanding</w:t>
      </w:r>
      <w:r w:rsidR="00B269F2">
        <w:t xml:space="preserve"> vulnerability to fuel poverty from a justice perspective</w:t>
      </w:r>
      <w:r>
        <w:t xml:space="preserve"> </w:t>
      </w:r>
    </w:p>
    <w:p w14:paraId="6A1F1D28" w14:textId="52280265" w:rsidR="00D97049" w:rsidRDefault="00354EAC" w:rsidP="002F1B3F">
      <w:r>
        <w:t>A</w:t>
      </w:r>
      <w:r w:rsidR="00E672E8">
        <w:t xml:space="preserve"> number of academic books, journal issues and articles have sought to elaborate a history of, and future for, the notion of energy justice</w:t>
      </w:r>
      <w:r w:rsidR="005B6AF1">
        <w:t xml:space="preserve"> (</w:t>
      </w:r>
      <w:r w:rsidR="00B94C10">
        <w:t>e.g.</w:t>
      </w:r>
      <w:r w:rsidR="005B6AF1">
        <w:t xml:space="preserve"> Sovacool, 2014)</w:t>
      </w:r>
      <w:r w:rsidR="00E672E8">
        <w:t xml:space="preserve">. </w:t>
      </w:r>
      <w:r w:rsidR="00F63DD4">
        <w:t>Drawing</w:t>
      </w:r>
      <w:r w:rsidR="00E672E8">
        <w:t xml:space="preserve"> on the more established traditions of social and environmental justice, they apply a range of philosophical principles and soc</w:t>
      </w:r>
      <w:r w:rsidR="007624C4">
        <w:t>ial science concepts to analyse</w:t>
      </w:r>
      <w:r w:rsidR="00E672E8">
        <w:t xml:space="preserve"> contemporary i</w:t>
      </w:r>
      <w:r w:rsidR="00F63DD4">
        <w:t>ssues related to energy systems,</w:t>
      </w:r>
      <w:r w:rsidR="00E672E8">
        <w:t xml:space="preserve"> applying them to </w:t>
      </w:r>
      <w:r w:rsidR="0025552F">
        <w:t>specific</w:t>
      </w:r>
      <w:r w:rsidR="00E672E8">
        <w:t xml:space="preserve"> scales of governance and to the global political economy of energy as a whole (Bickerstaff et al., 2013; </w:t>
      </w:r>
      <w:r w:rsidR="00E672E8" w:rsidRPr="00E928C9">
        <w:rPr>
          <w:color w:val="auto"/>
        </w:rPr>
        <w:t>Bradshaw, 2013; Sovacool</w:t>
      </w:r>
      <w:r w:rsidR="00E672E8">
        <w:rPr>
          <w:color w:val="auto"/>
        </w:rPr>
        <w:t xml:space="preserve"> et al.</w:t>
      </w:r>
      <w:r w:rsidR="00E672E8" w:rsidRPr="00E928C9">
        <w:rPr>
          <w:color w:val="auto"/>
        </w:rPr>
        <w:t xml:space="preserve">, 2013; Sovacool </w:t>
      </w:r>
      <w:r w:rsidR="00E672E8">
        <w:rPr>
          <w:color w:val="auto"/>
        </w:rPr>
        <w:t>and</w:t>
      </w:r>
      <w:r w:rsidR="00E672E8" w:rsidRPr="00E928C9">
        <w:rPr>
          <w:color w:val="auto"/>
        </w:rPr>
        <w:t xml:space="preserve"> Dworkin</w:t>
      </w:r>
      <w:r w:rsidR="00E672E8">
        <w:rPr>
          <w:color w:val="auto"/>
        </w:rPr>
        <w:t>,</w:t>
      </w:r>
      <w:r w:rsidR="00E672E8" w:rsidRPr="00E928C9">
        <w:rPr>
          <w:color w:val="auto"/>
        </w:rPr>
        <w:t xml:space="preserve"> 201</w:t>
      </w:r>
      <w:r w:rsidR="00E672E8">
        <w:rPr>
          <w:color w:val="auto"/>
        </w:rPr>
        <w:t>4</w:t>
      </w:r>
      <w:r w:rsidR="00E672E8">
        <w:t xml:space="preserve">). </w:t>
      </w:r>
      <w:r w:rsidR="0025552F">
        <w:t>Recent m</w:t>
      </w:r>
      <w:r w:rsidR="00E672E8">
        <w:t>eta-reviews of this emerging field of research call for even greater synthesis across nations</w:t>
      </w:r>
      <w:r w:rsidR="00BE22DF">
        <w:t>,</w:t>
      </w:r>
      <w:r w:rsidR="00E672E8">
        <w:t xml:space="preserve"> and a whole systems approach</w:t>
      </w:r>
      <w:r w:rsidR="00BE22DF">
        <w:t xml:space="preserve"> </w:t>
      </w:r>
      <w:r w:rsidR="00E672E8">
        <w:t>(</w:t>
      </w:r>
      <w:r w:rsidR="00E672E8" w:rsidRPr="004C1703">
        <w:rPr>
          <w:color w:val="auto"/>
        </w:rPr>
        <w:t>Jenkins et al., 2016; Bouzarovski, 2014</w:t>
      </w:r>
      <w:r w:rsidR="00E672E8">
        <w:t xml:space="preserve">), whilst others </w:t>
      </w:r>
      <w:r w:rsidR="00F63DD4">
        <w:t>focus</w:t>
      </w:r>
      <w:r w:rsidR="00E672E8">
        <w:t xml:space="preserve"> </w:t>
      </w:r>
      <w:r w:rsidR="00F63DD4">
        <w:t>on</w:t>
      </w:r>
      <w:r w:rsidR="00E672E8">
        <w:t xml:space="preserve"> household and community level</w:t>
      </w:r>
      <w:r w:rsidR="00F63DD4">
        <w:t xml:space="preserve"> issues</w:t>
      </w:r>
      <w:r w:rsidR="00E672E8">
        <w:t xml:space="preserve"> (</w:t>
      </w:r>
      <w:r w:rsidR="00E672E8" w:rsidRPr="00B97126">
        <w:rPr>
          <w:color w:val="auto"/>
        </w:rPr>
        <w:t>Hall et al., 2013; Walker, 2011; Fuller and McCauley, 2016</w:t>
      </w:r>
      <w:r w:rsidR="00E672E8">
        <w:t xml:space="preserve">). Aligning more with the latter, our </w:t>
      </w:r>
      <w:r w:rsidR="00BB6089">
        <w:t>contribution</w:t>
      </w:r>
      <w:r w:rsidR="00E672E8">
        <w:t xml:space="preserve"> </w:t>
      </w:r>
      <w:r w:rsidR="007E547E">
        <w:t>bring</w:t>
      </w:r>
      <w:r w:rsidR="00D8369B">
        <w:t>s</w:t>
      </w:r>
      <w:r w:rsidR="00D237B8">
        <w:t xml:space="preserve"> the</w:t>
      </w:r>
      <w:r w:rsidR="007E547E">
        <w:t xml:space="preserve"> energy justice</w:t>
      </w:r>
      <w:r w:rsidR="00D237B8">
        <w:t xml:space="preserve"> literature</w:t>
      </w:r>
      <w:r w:rsidR="007E547E">
        <w:t xml:space="preserve"> into dialogue with </w:t>
      </w:r>
      <w:r w:rsidR="00D8369B">
        <w:t xml:space="preserve">the </w:t>
      </w:r>
      <w:r w:rsidR="00D237B8">
        <w:t>broad notion of ‘vulnerability’</w:t>
      </w:r>
      <w:r w:rsidR="001247DA">
        <w:t xml:space="preserve"> to offer some specific policy rec</w:t>
      </w:r>
      <w:r w:rsidR="009F2B18">
        <w:t>ommendations with regards to do</w:t>
      </w:r>
      <w:r w:rsidR="001247DA">
        <w:t>mestic energy efficiency</w:t>
      </w:r>
      <w:r w:rsidR="00D237B8">
        <w:t>.</w:t>
      </w:r>
    </w:p>
    <w:p w14:paraId="052C231E" w14:textId="0BB6F40A" w:rsidR="007F31ED" w:rsidRDefault="00D97049" w:rsidP="002F1B3F">
      <w:r>
        <w:t xml:space="preserve">Recent fuel poverty research has sought to </w:t>
      </w:r>
      <w:r w:rsidR="000F067E">
        <w:t>engage with</w:t>
      </w:r>
      <w:r w:rsidR="00441942">
        <w:t xml:space="preserve"> a</w:t>
      </w:r>
      <w:r>
        <w:t xml:space="preserve"> more dynamic notion of ‘energy vulnerability’</w:t>
      </w:r>
      <w:r w:rsidR="001613C5">
        <w:t xml:space="preserve"> </w:t>
      </w:r>
      <w:r w:rsidR="000F067E">
        <w:t xml:space="preserve">in order to consider the social and political – </w:t>
      </w:r>
      <w:r w:rsidR="00521982">
        <w:t>in addition to the</w:t>
      </w:r>
      <w:r w:rsidR="000F067E">
        <w:t xml:space="preserve"> technical and economic – drivers </w:t>
      </w:r>
      <w:r w:rsidR="00521982">
        <w:t xml:space="preserve">of energy inequalities </w:t>
      </w:r>
      <w:r>
        <w:t>(</w:t>
      </w:r>
      <w:r w:rsidRPr="004C1703">
        <w:rPr>
          <w:color w:val="auto"/>
        </w:rPr>
        <w:t>Bouzarovski</w:t>
      </w:r>
      <w:r>
        <w:t xml:space="preserve"> et al., 2014</w:t>
      </w:r>
      <w:r w:rsidR="00C34971">
        <w:t xml:space="preserve">; Middlemiss and Gillard, 2015). In </w:t>
      </w:r>
      <w:r w:rsidR="00D8369B">
        <w:t xml:space="preserve">social </w:t>
      </w:r>
      <w:r w:rsidR="00D8369B">
        <w:lastRenderedPageBreak/>
        <w:t>policy</w:t>
      </w:r>
      <w:r w:rsidR="00B269F2">
        <w:t xml:space="preserve"> studies</w:t>
      </w:r>
      <w:r w:rsidR="00C34971">
        <w:t xml:space="preserve"> the concept of vulnerability is used</w:t>
      </w:r>
      <w:r w:rsidR="00D8369B">
        <w:t xml:space="preserve"> to understand </w:t>
      </w:r>
      <w:r w:rsidR="00B269F2">
        <w:t xml:space="preserve">systemic drivers, and </w:t>
      </w:r>
      <w:r w:rsidR="00D8369B">
        <w:t>household level experiences</w:t>
      </w:r>
      <w:r w:rsidR="00B269F2">
        <w:t>,</w:t>
      </w:r>
      <w:r w:rsidR="00D8369B">
        <w:t xml:space="preserve"> of deprivation</w:t>
      </w:r>
      <w:r w:rsidR="007E547E">
        <w:t>.</w:t>
      </w:r>
      <w:r w:rsidR="00C34971">
        <w:t xml:space="preserve"> By drawing on this </w:t>
      </w:r>
      <w:r w:rsidR="00B269F2">
        <w:t xml:space="preserve">literature we </w:t>
      </w:r>
      <w:r w:rsidR="00FE2514">
        <w:t>open up another avenue of interdisciplinary work for</w:t>
      </w:r>
      <w:r w:rsidR="00B269F2">
        <w:t xml:space="preserve"> the energy vulnerability concept, </w:t>
      </w:r>
      <w:r w:rsidR="00FE2514">
        <w:t>encouraging more consideration of</w:t>
      </w:r>
      <w:r w:rsidR="00B269F2">
        <w:t xml:space="preserve"> the social and political drivers of certain groups’ vulnerability to the experience of fuel poverty. </w:t>
      </w:r>
      <w:r w:rsidR="00FE2514">
        <w:t xml:space="preserve">Broadly, this work cuts across all four levels of energy social science set out by Spreng (2014): linking values and norms with pragmatic questions about the empirical reality of fuel poverty and inefficient housing. </w:t>
      </w:r>
      <w:r w:rsidR="00D8369B">
        <w:t>Specifically, we seek to extend</w:t>
      </w:r>
      <w:r w:rsidR="00E672E8">
        <w:t xml:space="preserve"> </w:t>
      </w:r>
      <w:r w:rsidR="00D8369B">
        <w:t>reading of fuel poverty</w:t>
      </w:r>
      <w:r w:rsidR="00441942">
        <w:t xml:space="preserve"> as injustice </w:t>
      </w:r>
      <w:r w:rsidR="00E672E8">
        <w:t xml:space="preserve"> </w:t>
      </w:r>
      <w:r w:rsidR="00B269F2">
        <w:t xml:space="preserve">– </w:t>
      </w:r>
      <w:r w:rsidR="00D8369B">
        <w:t xml:space="preserve">first </w:t>
      </w:r>
      <w:r w:rsidR="00E672E8">
        <w:t xml:space="preserve">set out by </w:t>
      </w:r>
      <w:r w:rsidR="00E672E8" w:rsidRPr="008A6626">
        <w:rPr>
          <w:color w:val="auto"/>
        </w:rPr>
        <w:t xml:space="preserve">Walker </w:t>
      </w:r>
      <w:r w:rsidR="001A3AD1">
        <w:rPr>
          <w:color w:val="auto"/>
        </w:rPr>
        <w:t>and</w:t>
      </w:r>
      <w:r w:rsidR="007E547E">
        <w:rPr>
          <w:color w:val="auto"/>
        </w:rPr>
        <w:t xml:space="preserve"> Day (2012</w:t>
      </w:r>
      <w:r w:rsidR="00E672E8" w:rsidRPr="008A6626">
        <w:rPr>
          <w:color w:val="auto"/>
        </w:rPr>
        <w:t>)</w:t>
      </w:r>
      <w:r w:rsidR="00D8369B">
        <w:rPr>
          <w:color w:val="auto"/>
        </w:rPr>
        <w:t xml:space="preserve"> </w:t>
      </w:r>
      <w:r w:rsidR="00B269F2">
        <w:rPr>
          <w:color w:val="auto"/>
        </w:rPr>
        <w:t xml:space="preserve">– </w:t>
      </w:r>
      <w:r w:rsidR="00D8369B">
        <w:rPr>
          <w:color w:val="auto"/>
        </w:rPr>
        <w:t>by</w:t>
      </w:r>
      <w:r w:rsidR="00E672E8" w:rsidRPr="008A6626">
        <w:rPr>
          <w:color w:val="auto"/>
        </w:rPr>
        <w:t xml:space="preserve"> </w:t>
      </w:r>
      <w:r w:rsidR="00AE4508">
        <w:t>drawing on</w:t>
      </w:r>
      <w:r w:rsidR="00D8369B">
        <w:t xml:space="preserve"> social policy insights</w:t>
      </w:r>
      <w:r w:rsidR="00441942">
        <w:t xml:space="preserve"> about the nature of vulnerability</w:t>
      </w:r>
      <w:r w:rsidR="00D8369B">
        <w:t xml:space="preserve"> and </w:t>
      </w:r>
      <w:r w:rsidR="00441942">
        <w:t xml:space="preserve">applying this to </w:t>
      </w:r>
      <w:r w:rsidR="00D8369B">
        <w:t xml:space="preserve">two </w:t>
      </w:r>
      <w:r w:rsidR="00441942">
        <w:t>groups that are disproportionately represented in fuel poverty statistics, but under-represented in research</w:t>
      </w:r>
      <w:r w:rsidR="00D8369B">
        <w:t>.</w:t>
      </w:r>
      <w:r w:rsidR="007E547E">
        <w:t xml:space="preserve"> </w:t>
      </w:r>
    </w:p>
    <w:p w14:paraId="7157D86C" w14:textId="3A691A0B" w:rsidR="00504C6E" w:rsidRDefault="00BF7EFA" w:rsidP="002F1B3F">
      <w:r>
        <w:t>The rationale for</w:t>
      </w:r>
      <w:r w:rsidR="00620E68">
        <w:t xml:space="preserve"> focussing on disabled people and low-income families</w:t>
      </w:r>
      <w:r>
        <w:t xml:space="preserve"> </w:t>
      </w:r>
      <w:r w:rsidR="00504C6E">
        <w:t xml:space="preserve">comes from both policy and research. In the UK’s fuel poverty strategies, these two groups – along with </w:t>
      </w:r>
      <w:r w:rsidR="00F414D9">
        <w:t xml:space="preserve">older </w:t>
      </w:r>
      <w:r w:rsidR="00504C6E">
        <w:t>people – are officially recognised as being the most vulnerable (</w:t>
      </w:r>
      <w:r w:rsidR="00504C6E">
        <w:rPr>
          <w:color w:val="auto"/>
        </w:rPr>
        <w:t>Department for Energy and Climate Change, 2015; Inter-Ministerial Group on Fuel Poverty, 2001</w:t>
      </w:r>
      <w:r w:rsidR="00504C6E">
        <w:t>). This was reflected in the adoption of more stringent targets for eradicating fuel poverty among these groups</w:t>
      </w:r>
      <w:r w:rsidR="00504C6E">
        <w:rPr>
          <w:rStyle w:val="FootnoteReference"/>
        </w:rPr>
        <w:footnoteReference w:id="1"/>
      </w:r>
      <w:r w:rsidR="00504C6E">
        <w:t>, as well as in the design of specific policy instruments. However, historically, the dominant political and public discourse of fuel poverty has focussed on older people, resulting in relatively more policy instru</w:t>
      </w:r>
      <w:r w:rsidR="00350F16">
        <w:t>ments targeted at this group and</w:t>
      </w:r>
      <w:r w:rsidR="00504C6E">
        <w:t xml:space="preserve"> a narrow </w:t>
      </w:r>
      <w:r w:rsidR="00350F16">
        <w:t xml:space="preserve">stereotype </w:t>
      </w:r>
      <w:r w:rsidR="00504C6E">
        <w:t>equating fuel poverty with images of the ‘old and cold’ (</w:t>
      </w:r>
      <w:r w:rsidR="00504C6E" w:rsidRPr="00810271">
        <w:rPr>
          <w:color w:val="auto"/>
        </w:rPr>
        <w:t>Day and Hitchings, 2011</w:t>
      </w:r>
      <w:r w:rsidR="00504C6E">
        <w:t xml:space="preserve">). As </w:t>
      </w:r>
      <w:r w:rsidR="00504C6E" w:rsidRPr="00810271">
        <w:rPr>
          <w:color w:val="auto"/>
        </w:rPr>
        <w:t xml:space="preserve">Snell </w:t>
      </w:r>
      <w:r w:rsidR="00504C6E" w:rsidRPr="00BB73C3">
        <w:rPr>
          <w:i/>
          <w:color w:val="auto"/>
        </w:rPr>
        <w:t>et al</w:t>
      </w:r>
      <w:r w:rsidR="00504C6E" w:rsidRPr="00810271">
        <w:rPr>
          <w:color w:val="auto"/>
        </w:rPr>
        <w:t xml:space="preserve">. (2015) and Guertler and Royston (2013) </w:t>
      </w:r>
      <w:r w:rsidR="00504C6E">
        <w:t xml:space="preserve">have already shown, </w:t>
      </w:r>
      <w:r w:rsidR="00F414D9">
        <w:t xml:space="preserve">disabled </w:t>
      </w:r>
      <w:r w:rsidR="00504C6E">
        <w:t>people and low-income families tend to be under-represented in these debates and in policy decisions, sometimes worsening the inequalities they face. As such, this review article contributes to achieving greater parity for these groups.</w:t>
      </w:r>
    </w:p>
    <w:p w14:paraId="2B0A9685" w14:textId="767AC215" w:rsidR="00E7274D" w:rsidRDefault="007F31ED" w:rsidP="002F1B3F">
      <w:r>
        <w:t>Disabilities studies and the literature on child poverty have a rich history of analysi</w:t>
      </w:r>
      <w:r w:rsidR="00F92CF0">
        <w:t>ng i</w:t>
      </w:r>
      <w:r w:rsidR="00B15594">
        <w:t>njustice and vulnerability. They share a number of key concerns with regards to the causes and impacts of multiple forms of deprivation.</w:t>
      </w:r>
      <w:r w:rsidR="00E7274D">
        <w:t xml:space="preserve"> </w:t>
      </w:r>
      <w:r w:rsidR="00B15594" w:rsidRPr="0029026D">
        <w:t>The prevalence of</w:t>
      </w:r>
      <w:r w:rsidR="00834616" w:rsidRPr="0029026D">
        <w:t xml:space="preserve"> poverty,</w:t>
      </w:r>
      <w:r w:rsidR="00B15594" w:rsidRPr="0029026D">
        <w:t xml:space="preserve"> and also fuel poverty,</w:t>
      </w:r>
      <w:r w:rsidR="00834616" w:rsidRPr="0029026D">
        <w:t xml:space="preserve"> among disabled people is high due to various socio-economic barriers and </w:t>
      </w:r>
      <w:r w:rsidR="00E7274D">
        <w:t xml:space="preserve">is exacerbated by </w:t>
      </w:r>
      <w:r w:rsidR="00B15594" w:rsidRPr="0029026D">
        <w:t>limitations around finding adequate housing</w:t>
      </w:r>
      <w:r w:rsidR="00E7274D">
        <w:t xml:space="preserve"> and energy services</w:t>
      </w:r>
      <w:r w:rsidR="00834616" w:rsidRPr="0029026D">
        <w:t xml:space="preserve"> (</w:t>
      </w:r>
      <w:r w:rsidR="00834616" w:rsidRPr="0029026D">
        <w:rPr>
          <w:color w:val="auto"/>
        </w:rPr>
        <w:t xml:space="preserve">Snell </w:t>
      </w:r>
      <w:r w:rsidR="00834616" w:rsidRPr="0029026D">
        <w:rPr>
          <w:i/>
          <w:color w:val="auto"/>
        </w:rPr>
        <w:t>et al.,</w:t>
      </w:r>
      <w:r w:rsidR="00834616" w:rsidRPr="0029026D">
        <w:rPr>
          <w:color w:val="auto"/>
        </w:rPr>
        <w:t xml:space="preserve"> 2015; Laxton and Parckar, 2009; Palmer, 2011</w:t>
      </w:r>
      <w:r w:rsidR="00834616" w:rsidRPr="0029026D">
        <w:t xml:space="preserve">). </w:t>
      </w:r>
      <w:r w:rsidR="00B15594" w:rsidRPr="0029026D">
        <w:t>Similarly many low-income families</w:t>
      </w:r>
      <w:r w:rsidR="00C2422D" w:rsidRPr="0029026D">
        <w:t xml:space="preserve"> facing</w:t>
      </w:r>
      <w:r w:rsidR="00B15594" w:rsidRPr="0029026D">
        <w:t xml:space="preserve"> financial constraints live </w:t>
      </w:r>
      <w:r w:rsidR="00834616" w:rsidRPr="0029026D">
        <w:t>in poor quality housing</w:t>
      </w:r>
      <w:r w:rsidR="00C2422D" w:rsidRPr="0029026D">
        <w:t xml:space="preserve">, which has </w:t>
      </w:r>
      <w:r w:rsidR="00834616" w:rsidRPr="0029026D">
        <w:t>negative consequences for their children’s well-being, psychological development and social mobility (The Children’s Society and National Energy Action</w:t>
      </w:r>
      <w:r w:rsidR="00834616" w:rsidRPr="0029026D">
        <w:rPr>
          <w:color w:val="auto"/>
        </w:rPr>
        <w:t>, 2015; Liddell, 2008</w:t>
      </w:r>
      <w:r w:rsidR="00834616" w:rsidRPr="0029026D">
        <w:t>).</w:t>
      </w:r>
      <w:r w:rsidR="00F3624E" w:rsidRPr="0029026D">
        <w:t xml:space="preserve"> </w:t>
      </w:r>
    </w:p>
    <w:p w14:paraId="6D0AC185" w14:textId="39D9AAC8" w:rsidR="00834616" w:rsidRDefault="00C2422D" w:rsidP="002F1B3F">
      <w:r w:rsidRPr="0029026D">
        <w:t>I</w:t>
      </w:r>
      <w:r w:rsidR="00F3624E" w:rsidRPr="0029026D">
        <w:t>n the UK,</w:t>
      </w:r>
      <w:r w:rsidR="00F26E2F" w:rsidRPr="0029026D">
        <w:t xml:space="preserve"> economic austerity has hit both groups particularly hard. Both have seen significant cuts to </w:t>
      </w:r>
      <w:r w:rsidR="00983A61" w:rsidRPr="0029026D">
        <w:t xml:space="preserve">their </w:t>
      </w:r>
      <w:r w:rsidR="00F26E2F" w:rsidRPr="0029026D">
        <w:t>welfare provision</w:t>
      </w:r>
      <w:r w:rsidR="00983A61" w:rsidRPr="0029026D">
        <w:t xml:space="preserve"> </w:t>
      </w:r>
      <w:r w:rsidR="00AE6636">
        <w:t>as part</w:t>
      </w:r>
      <w:r w:rsidR="00983A61" w:rsidRPr="0029026D">
        <w:t xml:space="preserve"> of the government’s </w:t>
      </w:r>
      <w:r w:rsidR="006D348A">
        <w:t>agenda</w:t>
      </w:r>
      <w:r w:rsidR="00983A61" w:rsidRPr="0029026D">
        <w:t xml:space="preserve"> to ‘get people off benefit</w:t>
      </w:r>
      <w:r w:rsidR="00AE6636">
        <w:t>s and into work’ (Newma</w:t>
      </w:r>
      <w:r w:rsidR="006D348A">
        <w:t>n, 2011). However, this</w:t>
      </w:r>
      <w:r w:rsidR="00AE6636">
        <w:t xml:space="preserve"> has led to </w:t>
      </w:r>
      <w:r w:rsidR="0029026D" w:rsidRPr="0029026D">
        <w:t>thousands of</w:t>
      </w:r>
      <w:r w:rsidR="00F26E2F" w:rsidRPr="0029026D">
        <w:t xml:space="preserve"> disabled people </w:t>
      </w:r>
      <w:r w:rsidR="00AE6636">
        <w:t xml:space="preserve">being </w:t>
      </w:r>
      <w:r w:rsidR="006D348A">
        <w:t>inappropriately</w:t>
      </w:r>
      <w:r w:rsidR="00F26E2F" w:rsidRPr="0029026D">
        <w:t xml:space="preserve"> declared ‘fit for work’ </w:t>
      </w:r>
      <w:r w:rsidR="006D348A">
        <w:t xml:space="preserve">and suffering severe health consequences </w:t>
      </w:r>
      <w:r w:rsidR="00F26E2F" w:rsidRPr="0029026D">
        <w:t>(</w:t>
      </w:r>
      <w:r w:rsidR="0029026D" w:rsidRPr="0029026D">
        <w:rPr>
          <w:color w:val="auto"/>
        </w:rPr>
        <w:t>Stone, 2016</w:t>
      </w:r>
      <w:r w:rsidR="00F26E2F" w:rsidRPr="0029026D">
        <w:t>)</w:t>
      </w:r>
      <w:r w:rsidR="006D348A">
        <w:t>,</w:t>
      </w:r>
      <w:r w:rsidR="00F26E2F" w:rsidRPr="0029026D">
        <w:t xml:space="preserve"> and </w:t>
      </w:r>
      <w:r w:rsidR="00F3624E" w:rsidRPr="0029026D">
        <w:t>two thirds of children</w:t>
      </w:r>
      <w:r w:rsidR="002D664A" w:rsidRPr="0029026D">
        <w:t xml:space="preserve"> living</w:t>
      </w:r>
      <w:r w:rsidR="00F3624E" w:rsidRPr="0029026D">
        <w:t xml:space="preserve"> in poverty </w:t>
      </w:r>
      <w:r w:rsidR="006D348A">
        <w:t xml:space="preserve">continue to </w:t>
      </w:r>
      <w:r w:rsidR="002D664A" w:rsidRPr="0029026D">
        <w:t>come from</w:t>
      </w:r>
      <w:r w:rsidR="00F3624E" w:rsidRPr="0029026D">
        <w:t xml:space="preserve"> households where someone is employed </w:t>
      </w:r>
      <w:r w:rsidR="006D348A">
        <w:t xml:space="preserve">in precarious or low-pay work </w:t>
      </w:r>
      <w:r w:rsidR="00F3624E" w:rsidRPr="0029026D">
        <w:t>(Bradshaw and Main, 2016</w:t>
      </w:r>
      <w:r w:rsidR="00C81451">
        <w:t xml:space="preserve">; Tinson </w:t>
      </w:r>
      <w:r w:rsidR="00C81451">
        <w:rPr>
          <w:i/>
        </w:rPr>
        <w:t>et al.</w:t>
      </w:r>
      <w:r w:rsidR="00C81451">
        <w:t>, 2016</w:t>
      </w:r>
      <w:r w:rsidR="00F3624E" w:rsidRPr="0029026D">
        <w:t>).</w:t>
      </w:r>
      <w:r w:rsidR="004F26A0">
        <w:t xml:space="preserve"> These sorts of </w:t>
      </w:r>
      <w:r w:rsidR="00CE3138">
        <w:t xml:space="preserve">macro level </w:t>
      </w:r>
      <w:r w:rsidR="004F26A0">
        <w:t xml:space="preserve">pressures on income cross over with </w:t>
      </w:r>
      <w:r w:rsidR="00CE3138">
        <w:t>household level pressures (e.g.</w:t>
      </w:r>
      <w:r w:rsidR="004F26A0">
        <w:t xml:space="preserve"> energy needs</w:t>
      </w:r>
      <w:r w:rsidR="00CE3138">
        <w:t>)</w:t>
      </w:r>
      <w:r w:rsidR="004F26A0">
        <w:t xml:space="preserve"> to </w:t>
      </w:r>
      <w:r w:rsidR="00CE3138">
        <w:t>produce high levels of fuel poverty.</w:t>
      </w:r>
      <w:r w:rsidR="004F26A0">
        <w:t xml:space="preserve"> </w:t>
      </w:r>
      <w:r w:rsidR="00983A61" w:rsidRPr="0029026D">
        <w:t>Clearly then, a much more detailed understanding of the multiple drivers of these</w:t>
      </w:r>
      <w:r w:rsidR="00983A61">
        <w:t xml:space="preserve"> groups’ vulnerability is needed in order to inform multiple policy agendas that have the potential to </w:t>
      </w:r>
      <w:r w:rsidR="00CE3138">
        <w:t>mitigate</w:t>
      </w:r>
      <w:r w:rsidR="00983A61">
        <w:t xml:space="preserve"> the </w:t>
      </w:r>
      <w:r w:rsidR="00CE3138">
        <w:t>pressures</w:t>
      </w:r>
      <w:r w:rsidR="00983A61">
        <w:t xml:space="preserve"> they face.</w:t>
      </w:r>
    </w:p>
    <w:p w14:paraId="7327506C" w14:textId="4198306C" w:rsidR="00E672E8" w:rsidRDefault="00837D29" w:rsidP="002F1B3F">
      <w:r>
        <w:t>Following theories of social and environmental justice,</w:t>
      </w:r>
      <w:r w:rsidR="00E672E8">
        <w:t xml:space="preserve"> energy</w:t>
      </w:r>
      <w:r w:rsidR="005C00F0">
        <w:t xml:space="preserve"> </w:t>
      </w:r>
      <w:r w:rsidR="00E672E8">
        <w:t xml:space="preserve">justice </w:t>
      </w:r>
      <w:r>
        <w:t xml:space="preserve">is </w:t>
      </w:r>
      <w:r w:rsidR="00AE3B8F">
        <w:t xml:space="preserve">usually conceptualised as </w:t>
      </w:r>
      <w:r w:rsidR="00BB6089">
        <w:t xml:space="preserve">incorporating </w:t>
      </w:r>
      <w:r w:rsidR="00E672E8">
        <w:t>three distinct</w:t>
      </w:r>
      <w:r w:rsidR="0029026D">
        <w:t xml:space="preserve"> but interrelated </w:t>
      </w:r>
      <w:r w:rsidR="00E672E8">
        <w:t xml:space="preserve">forms of </w:t>
      </w:r>
      <w:r>
        <w:t xml:space="preserve">inequality: distribution (of goods and services </w:t>
      </w:r>
      <w:r>
        <w:lastRenderedPageBreak/>
        <w:t>among groups)</w:t>
      </w:r>
      <w:r w:rsidR="00E672E8">
        <w:t xml:space="preserve">, </w:t>
      </w:r>
      <w:r>
        <w:t xml:space="preserve">procedure (for determining </w:t>
      </w:r>
      <w:r w:rsidR="00234D3B">
        <w:t>and contesting distribution)</w:t>
      </w:r>
      <w:r>
        <w:t>, and recognition</w:t>
      </w:r>
      <w:r w:rsidR="00234D3B">
        <w:t xml:space="preserve"> (of different groups’ needs and rights)</w:t>
      </w:r>
      <w:r>
        <w:t xml:space="preserve"> (</w:t>
      </w:r>
      <w:r w:rsidR="0029026D" w:rsidRPr="0029026D">
        <w:rPr>
          <w:color w:val="auto"/>
        </w:rPr>
        <w:t>Sovacool and Dworkin, 2014</w:t>
      </w:r>
      <w:r>
        <w:t>)</w:t>
      </w:r>
      <w:r w:rsidR="00E672E8">
        <w:t>.</w:t>
      </w:r>
      <w:r w:rsidR="00422E1C">
        <w:t xml:space="preserve"> Each refers to specific aspects of injustice, but they are often co-extant and</w:t>
      </w:r>
      <w:r w:rsidR="00E672E8">
        <w:t xml:space="preserve"> </w:t>
      </w:r>
      <w:r w:rsidR="001378BF">
        <w:t xml:space="preserve">mutually reinforcing; or in Schlosberg’s words ‘one cannot simply talk of one aspect of justice without </w:t>
      </w:r>
      <w:r w:rsidR="004228C1">
        <w:t>it leading to another’ (2004: 527</w:t>
      </w:r>
      <w:r w:rsidR="001378BF">
        <w:t>). Illustrating this</w:t>
      </w:r>
      <w:r w:rsidR="00422E1C">
        <w:t xml:space="preserve">, </w:t>
      </w:r>
      <w:r w:rsidR="00E672E8">
        <w:t>Walker and Day (</w:t>
      </w:r>
      <w:r w:rsidR="00E672E8" w:rsidRPr="002A25F0">
        <w:rPr>
          <w:color w:val="auto"/>
        </w:rPr>
        <w:t>2012</w:t>
      </w:r>
      <w:r w:rsidR="00E672E8">
        <w:t xml:space="preserve">) apply </w:t>
      </w:r>
      <w:r w:rsidR="00422E1C">
        <w:t>them to</w:t>
      </w:r>
      <w:r w:rsidR="00E672E8">
        <w:t xml:space="preserve"> the issue of fuel poverty</w:t>
      </w:r>
      <w:r w:rsidR="00D237B8">
        <w:t xml:space="preserve"> (see figure 1)</w:t>
      </w:r>
      <w:r w:rsidR="00E672E8">
        <w:t xml:space="preserve">, </w:t>
      </w:r>
      <w:r w:rsidR="00234D3B">
        <w:t>arguing</w:t>
      </w:r>
      <w:r w:rsidR="00E672E8">
        <w:t xml:space="preserve"> for greater consideration of recognition and procedural issues in order to remedy the fundamental distr</w:t>
      </w:r>
      <w:r w:rsidR="00422E1C">
        <w:t xml:space="preserve">ibutional inequalities that typically define </w:t>
      </w:r>
      <w:r w:rsidR="00E672E8">
        <w:t xml:space="preserve">fuel poverty i.e. </w:t>
      </w:r>
      <w:r w:rsidR="0088341A">
        <w:t xml:space="preserve">low </w:t>
      </w:r>
      <w:r w:rsidR="00E672E8">
        <w:t xml:space="preserve">income, </w:t>
      </w:r>
      <w:r w:rsidR="001378BF">
        <w:t>high-energy</w:t>
      </w:r>
      <w:r w:rsidR="00E672E8">
        <w:t xml:space="preserve"> costs, and </w:t>
      </w:r>
      <w:r w:rsidR="0088341A">
        <w:t xml:space="preserve">inefficient </w:t>
      </w:r>
      <w:r w:rsidR="00E672E8">
        <w:t>dwelling</w:t>
      </w:r>
      <w:r w:rsidR="0088341A">
        <w:t>s</w:t>
      </w:r>
      <w:r w:rsidR="00422E1C">
        <w:t xml:space="preserve"> (Boardman, 2010)</w:t>
      </w:r>
      <w:r w:rsidR="00E672E8">
        <w:t xml:space="preserve">. </w:t>
      </w:r>
      <w:r w:rsidR="004228C1">
        <w:t xml:space="preserve">Such an integrated view of justice raises questions about how differing levels of energy needs are recognised and </w:t>
      </w:r>
      <w:r w:rsidR="00D237B8">
        <w:t>addressed in society.</w:t>
      </w:r>
    </w:p>
    <w:p w14:paraId="46452703" w14:textId="77777777" w:rsidR="00E672E8" w:rsidRDefault="00E672E8" w:rsidP="002F1B3F">
      <w:pPr>
        <w:rPr>
          <w:i/>
        </w:rPr>
      </w:pPr>
      <w:r w:rsidRPr="00F87FB5">
        <w:rPr>
          <w:noProof/>
          <w:lang w:val="en-US" w:eastAsia="en-US"/>
        </w:rPr>
        <w:drawing>
          <wp:inline distT="0" distB="0" distL="0" distR="0" wp14:anchorId="538E403A" wp14:editId="5173919C">
            <wp:extent cx="5486400" cy="3657600"/>
            <wp:effectExtent l="0" t="50800" r="0" b="508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5F66798" w14:textId="2560781C" w:rsidR="00E672E8" w:rsidRPr="00F87FB5" w:rsidRDefault="00E672E8" w:rsidP="002F1B3F">
      <w:pPr>
        <w:jc w:val="right"/>
        <w:rPr>
          <w:i/>
        </w:rPr>
      </w:pPr>
      <w:r>
        <w:rPr>
          <w:i/>
        </w:rPr>
        <w:t xml:space="preserve">Figure 1: Fuel poverty as </w:t>
      </w:r>
      <w:r w:rsidR="002578C8">
        <w:rPr>
          <w:i/>
        </w:rPr>
        <w:t>thee types of</w:t>
      </w:r>
      <w:r w:rsidR="00422E1C">
        <w:rPr>
          <w:i/>
        </w:rPr>
        <w:t xml:space="preserve"> interrelated</w:t>
      </w:r>
      <w:r w:rsidR="002578C8">
        <w:rPr>
          <w:i/>
        </w:rPr>
        <w:t xml:space="preserve"> energy justice</w:t>
      </w:r>
      <w:r>
        <w:rPr>
          <w:i/>
        </w:rPr>
        <w:t xml:space="preserve"> (based on Walker </w:t>
      </w:r>
      <w:r w:rsidR="001A3AD1">
        <w:rPr>
          <w:i/>
        </w:rPr>
        <w:t>and</w:t>
      </w:r>
      <w:r>
        <w:rPr>
          <w:i/>
        </w:rPr>
        <w:t xml:space="preserve"> Day 2012)</w:t>
      </w:r>
    </w:p>
    <w:p w14:paraId="38F11354" w14:textId="1A707E01" w:rsidR="00E672E8" w:rsidRDefault="00E672E8" w:rsidP="002F1B3F">
      <w:r>
        <w:t xml:space="preserve">Beginning from the same </w:t>
      </w:r>
      <w:r w:rsidR="00504C6E">
        <w:t xml:space="preserve">basic </w:t>
      </w:r>
      <w:r w:rsidR="005B20E1">
        <w:t>assumption</w:t>
      </w:r>
      <w:r w:rsidR="00D237B8">
        <w:t xml:space="preserve"> of interrelatedness</w:t>
      </w:r>
      <w:r>
        <w:t xml:space="preserve">, that meaningful recognition and </w:t>
      </w:r>
      <w:r w:rsidR="005B20E1">
        <w:t>fair procedures</w:t>
      </w:r>
      <w:r>
        <w:t xml:space="preserve"> are prerequisites to distributional justice, we set out </w:t>
      </w:r>
      <w:r w:rsidR="00504C6E">
        <w:t>to enhance the energy justice perspective of what makes fuel poor households vulnerable</w:t>
      </w:r>
      <w:r w:rsidR="005B20E1">
        <w:t xml:space="preserve"> </w:t>
      </w:r>
      <w:r w:rsidR="00504C6E">
        <w:t>and to apply this understanding to the policy challenge of improving their dwellings’ energy efficiency. First</w:t>
      </w:r>
      <w:r w:rsidR="00C26BDB">
        <w:t>, we focus on</w:t>
      </w:r>
      <w:r w:rsidR="005B20E1">
        <w:t xml:space="preserve"> the issue of heterogeneity</w:t>
      </w:r>
      <w:r>
        <w:t xml:space="preserve"> within groups</w:t>
      </w:r>
      <w:r w:rsidR="00C26BDB">
        <w:t xml:space="preserve">, arguing for a more nuanced </w:t>
      </w:r>
      <w:r w:rsidR="00504C6E" w:rsidRPr="00504C6E">
        <w:rPr>
          <w:i/>
        </w:rPr>
        <w:t>recognition</w:t>
      </w:r>
      <w:r w:rsidR="00C26BDB">
        <w:t xml:space="preserve"> of </w:t>
      </w:r>
      <w:r w:rsidR="00504C6E">
        <w:t>energy needs and their link to</w:t>
      </w:r>
      <w:r w:rsidR="00C26BDB">
        <w:t xml:space="preserve"> vulnerability</w:t>
      </w:r>
      <w:r>
        <w:t>. Then,</w:t>
      </w:r>
      <w:r w:rsidR="00504C6E">
        <w:t xml:space="preserve"> with regards to due process in </w:t>
      </w:r>
      <w:r w:rsidR="00504C6E">
        <w:rPr>
          <w:i/>
        </w:rPr>
        <w:t xml:space="preserve">procedural </w:t>
      </w:r>
      <w:r w:rsidR="00504C6E">
        <w:t>issues</w:t>
      </w:r>
      <w:r>
        <w:t>, we note</w:t>
      </w:r>
      <w:r w:rsidR="00C96ED3">
        <w:t xml:space="preserve"> the various barriers to participation faced by some households, </w:t>
      </w:r>
      <w:r>
        <w:t>highlight</w:t>
      </w:r>
      <w:r w:rsidR="00C96ED3">
        <w:t>ing</w:t>
      </w:r>
      <w:r w:rsidR="00163830">
        <w:t xml:space="preserve"> </w:t>
      </w:r>
      <w:r>
        <w:t xml:space="preserve">tensions </w:t>
      </w:r>
      <w:r w:rsidR="00163830">
        <w:t xml:space="preserve">between prominent </w:t>
      </w:r>
      <w:r w:rsidR="00C96ED3">
        <w:t>policy discourses of vulnerability</w:t>
      </w:r>
      <w:r w:rsidR="00C26BDB">
        <w:t xml:space="preserve"> </w:t>
      </w:r>
      <w:r w:rsidR="00C96ED3">
        <w:t>and self-reliance. Lastly, we explore</w:t>
      </w:r>
      <w:r>
        <w:t xml:space="preserve"> the</w:t>
      </w:r>
      <w:r w:rsidR="00C96ED3">
        <w:t xml:space="preserve"> prevalence of the main</w:t>
      </w:r>
      <w:r>
        <w:t xml:space="preserve"> </w:t>
      </w:r>
      <w:r w:rsidRPr="00C96ED3">
        <w:rPr>
          <w:i/>
        </w:rPr>
        <w:t>distributional</w:t>
      </w:r>
      <w:r>
        <w:t xml:space="preserve"> inequalities of</w:t>
      </w:r>
      <w:r w:rsidR="00C96ED3">
        <w:t xml:space="preserve"> fuel poverty</w:t>
      </w:r>
      <w:r>
        <w:t xml:space="preserve"> </w:t>
      </w:r>
      <w:r w:rsidR="00C96ED3">
        <w:t>(</w:t>
      </w:r>
      <w:r>
        <w:t>inco</w:t>
      </w:r>
      <w:r w:rsidR="00C96ED3">
        <w:t>me, energy costs and efficiency)</w:t>
      </w:r>
      <w:r>
        <w:t xml:space="preserve"> </w:t>
      </w:r>
      <w:r w:rsidR="00C96ED3">
        <w:t>among the two groups,</w:t>
      </w:r>
      <w:r>
        <w:t xml:space="preserve"> </w:t>
      </w:r>
      <w:r w:rsidR="0088341A">
        <w:t xml:space="preserve">considering the way </w:t>
      </w:r>
      <w:r w:rsidR="00C96ED3">
        <w:t>they</w:t>
      </w:r>
      <w:r w:rsidR="0088341A">
        <w:t xml:space="preserve"> overlap with </w:t>
      </w:r>
      <w:r w:rsidR="00C96ED3">
        <w:t>other</w:t>
      </w:r>
      <w:r>
        <w:t xml:space="preserve"> structural </w:t>
      </w:r>
      <w:r w:rsidR="0088341A">
        <w:t>drivers of vulnerability and marginalisation</w:t>
      </w:r>
      <w:r>
        <w:t>.</w:t>
      </w:r>
    </w:p>
    <w:p w14:paraId="13DD370C" w14:textId="54BA1AF7" w:rsidR="00E672E8" w:rsidRPr="0044759C" w:rsidRDefault="00E672E8" w:rsidP="002F1B3F">
      <w:r>
        <w:t>At the end of each section we</w:t>
      </w:r>
      <w:r w:rsidR="0047608F">
        <w:t xml:space="preserve"> </w:t>
      </w:r>
      <w:r>
        <w:t xml:space="preserve">link the </w:t>
      </w:r>
      <w:r w:rsidR="0047608F">
        <w:t xml:space="preserve">theoretical </w:t>
      </w:r>
      <w:r>
        <w:t xml:space="preserve">discussion to </w:t>
      </w:r>
      <w:r w:rsidR="00C65DC8">
        <w:t>government</w:t>
      </w:r>
      <w:r w:rsidR="0047608F">
        <w:t xml:space="preserve"> </w:t>
      </w:r>
      <w:r>
        <w:t xml:space="preserve">policies intended to address fuel poverty in the UK. </w:t>
      </w:r>
      <w:r w:rsidR="00F92CF0">
        <w:t>Given t</w:t>
      </w:r>
      <w:r w:rsidR="00AA2E34">
        <w:t>he</w:t>
      </w:r>
      <w:r>
        <w:t xml:space="preserve"> </w:t>
      </w:r>
      <w:r w:rsidR="00044552">
        <w:t>UK G</w:t>
      </w:r>
      <w:r w:rsidR="00BD6905">
        <w:t xml:space="preserve">overnment’s </w:t>
      </w:r>
      <w:r>
        <w:t xml:space="preserve">prioritisation of </w:t>
      </w:r>
      <w:r w:rsidR="00BD6905">
        <w:t xml:space="preserve">domestic </w:t>
      </w:r>
      <w:r>
        <w:t>energy efficiency as the primary solution to fuel poverty (</w:t>
      </w:r>
      <w:r w:rsidRPr="007D56E8">
        <w:rPr>
          <w:color w:val="auto"/>
        </w:rPr>
        <w:t>Department for Energy and Climate Change</w:t>
      </w:r>
      <w:r>
        <w:rPr>
          <w:color w:val="auto"/>
        </w:rPr>
        <w:t>, 2016</w:t>
      </w:r>
      <w:r w:rsidRPr="007D56E8">
        <w:rPr>
          <w:color w:val="auto"/>
        </w:rPr>
        <w:t xml:space="preserve">; </w:t>
      </w:r>
      <w:r w:rsidRPr="005B2546">
        <w:rPr>
          <w:color w:val="auto"/>
        </w:rPr>
        <w:t>Middlemiss, 2016</w:t>
      </w:r>
      <w:r>
        <w:t xml:space="preserve">), this is where we focus our attention. On the one hand these policy instruments </w:t>
      </w:r>
      <w:r>
        <w:lastRenderedPageBreak/>
        <w:t>are increasingly attractive to governments because of their potential co-benefit</w:t>
      </w:r>
      <w:r w:rsidR="00BD6905">
        <w:t>s</w:t>
      </w:r>
      <w:r w:rsidR="0047608F">
        <w:t xml:space="preserve"> e.g.</w:t>
      </w:r>
      <w:r>
        <w:t xml:space="preserve"> </w:t>
      </w:r>
      <w:r w:rsidR="0047608F">
        <w:t>reducing</w:t>
      </w:r>
      <w:r>
        <w:t xml:space="preserve"> greenhouse gas emissions</w:t>
      </w:r>
      <w:r w:rsidR="00BD6905">
        <w:t xml:space="preserve"> and creating jobs</w:t>
      </w:r>
      <w:r>
        <w:t xml:space="preserve"> (Fitzpatrick, 2011</w:t>
      </w:r>
      <w:r w:rsidR="00E01ED1">
        <w:t>;</w:t>
      </w:r>
      <w:r w:rsidR="00E01ED1" w:rsidRPr="00354EAC">
        <w:rPr>
          <w:color w:val="auto"/>
        </w:rPr>
        <w:t xml:space="preserve"> </w:t>
      </w:r>
      <w:r w:rsidR="00354EAC" w:rsidRPr="00354EAC">
        <w:rPr>
          <w:color w:val="auto"/>
        </w:rPr>
        <w:t xml:space="preserve">Heffner </w:t>
      </w:r>
      <w:r w:rsidR="001A3AD1">
        <w:rPr>
          <w:color w:val="auto"/>
        </w:rPr>
        <w:t>and</w:t>
      </w:r>
      <w:r w:rsidR="00354EAC" w:rsidRPr="00354EAC">
        <w:rPr>
          <w:color w:val="auto"/>
        </w:rPr>
        <w:t xml:space="preserve"> Campbell, 2011</w:t>
      </w:r>
      <w:r>
        <w:t xml:space="preserve">). On the other hand, they </w:t>
      </w:r>
      <w:r w:rsidR="00BD6905">
        <w:t>often</w:t>
      </w:r>
      <w:r>
        <w:t xml:space="preserve"> struggle to </w:t>
      </w:r>
      <w:r w:rsidR="00BD6905">
        <w:t>reach</w:t>
      </w:r>
      <w:r>
        <w:t xml:space="preserve"> the most vulnerable households</w:t>
      </w:r>
      <w:r w:rsidR="001A1D6F">
        <w:t>,</w:t>
      </w:r>
      <w:r w:rsidR="00BD6905">
        <w:t xml:space="preserve"> raising</w:t>
      </w:r>
      <w:r>
        <w:t xml:space="preserve"> fundamental questions about who pays for, and who benefits from, these </w:t>
      </w:r>
      <w:r w:rsidR="00E01ED1">
        <w:t>policies</w:t>
      </w:r>
      <w:r>
        <w:t xml:space="preserve"> (</w:t>
      </w:r>
      <w:r w:rsidR="00174D36">
        <w:t xml:space="preserve">Mallaburn </w:t>
      </w:r>
      <w:r w:rsidR="001A3AD1">
        <w:t>and</w:t>
      </w:r>
      <w:r w:rsidR="00174D36">
        <w:t xml:space="preserve"> Eyre, </w:t>
      </w:r>
      <w:r w:rsidR="00674E6A">
        <w:t xml:space="preserve">2014; </w:t>
      </w:r>
      <w:r>
        <w:t>Rosenow et al., 2013).</w:t>
      </w:r>
      <w:r w:rsidR="00F92CF0" w:rsidRPr="00F92CF0">
        <w:t xml:space="preserve"> </w:t>
      </w:r>
      <w:r w:rsidR="00F92CF0">
        <w:t>This analysis offers valuable insights for the UK, where energy efficiency policy is currently being revised, and also for other countries seeking to</w:t>
      </w:r>
      <w:r w:rsidR="0071718B">
        <w:t xml:space="preserve"> address inequalities in their energy systems. A</w:t>
      </w:r>
      <w:r w:rsidR="00577BED">
        <w:t xml:space="preserve">s </w:t>
      </w:r>
      <w:r w:rsidR="0071718B">
        <w:t>(</w:t>
      </w:r>
      <w:r w:rsidR="00577BED">
        <w:t>Sovacoo</w:t>
      </w:r>
      <w:r w:rsidR="00F80950">
        <w:t xml:space="preserve">l et al. (2017) </w:t>
      </w:r>
      <w:r w:rsidR="0055098C">
        <w:t xml:space="preserve">and Heffron and McCauley (2017) </w:t>
      </w:r>
      <w:r w:rsidR="00F80950">
        <w:t xml:space="preserve">have </w:t>
      </w:r>
      <w:r w:rsidR="0055098C">
        <w:t>recently argued</w:t>
      </w:r>
      <w:r w:rsidR="00F80950">
        <w:t>, clearly articulated energy justice principles are essential for enabling policymakers and planners to create fairer systems that protect the most vulnerable now and in the future.</w:t>
      </w:r>
    </w:p>
    <w:p w14:paraId="28959390" w14:textId="1D1A76E4" w:rsidR="00E672E8" w:rsidRPr="0044759C" w:rsidRDefault="00E672E8" w:rsidP="002F1B3F">
      <w:pPr>
        <w:pStyle w:val="Heading1"/>
      </w:pPr>
      <w:r w:rsidRPr="0044759C">
        <w:t>R</w:t>
      </w:r>
      <w:r w:rsidR="006C4286">
        <w:t>ecognisi</w:t>
      </w:r>
      <w:r w:rsidRPr="0044759C">
        <w:t>n</w:t>
      </w:r>
      <w:r w:rsidR="006C4286">
        <w:t xml:space="preserve">g the </w:t>
      </w:r>
      <w:r w:rsidR="00A31C72">
        <w:t>links between</w:t>
      </w:r>
      <w:r w:rsidR="006C4286">
        <w:t xml:space="preserve"> energy</w:t>
      </w:r>
      <w:r w:rsidR="00A31C72">
        <w:t xml:space="preserve"> needs and </w:t>
      </w:r>
      <w:r w:rsidR="00EE3404">
        <w:t>vulnerability</w:t>
      </w:r>
      <w:r w:rsidR="00AA378D">
        <w:t xml:space="preserve"> </w:t>
      </w:r>
    </w:p>
    <w:p w14:paraId="09507CD2" w14:textId="7A21E3AB" w:rsidR="00E672E8" w:rsidRDefault="00FD3B50">
      <w:r>
        <w:t xml:space="preserve">Recognition justice </w:t>
      </w:r>
      <w:r w:rsidR="00EE3404">
        <w:t>acknowledges</w:t>
      </w:r>
      <w:r>
        <w:t xml:space="preserve"> the </w:t>
      </w:r>
      <w:r w:rsidR="00EE3404">
        <w:t>various</w:t>
      </w:r>
      <w:r>
        <w:t xml:space="preserve"> needs, rights and exp</w:t>
      </w:r>
      <w:r w:rsidR="00EE3404">
        <w:t xml:space="preserve">eriences of different groups, often setting </w:t>
      </w:r>
      <w:r>
        <w:t xml:space="preserve">out a rationale for social and political action. As Silvers (1998: 254) explains </w:t>
      </w:r>
      <w:r w:rsidR="00E672E8" w:rsidRPr="00FD3B50">
        <w:t>‘</w:t>
      </w:r>
      <w:r>
        <w:t>t</w:t>
      </w:r>
      <w:r w:rsidR="00E672E8" w:rsidRPr="00FD3B50">
        <w:t>o differ from the majority—that is, to be in the minority—is not itself sufficient to justify the imposition of social disadvantage, nor does their benefiting the majority excuse public policies that c</w:t>
      </w:r>
      <w:r>
        <w:t xml:space="preserve">ause minorities to be worse off’. </w:t>
      </w:r>
      <w:r w:rsidR="00EE3404">
        <w:t>Therefore</w:t>
      </w:r>
      <w:r>
        <w:t xml:space="preserve">, </w:t>
      </w:r>
      <w:r w:rsidR="00EE3404">
        <w:t xml:space="preserve">justice based </w:t>
      </w:r>
      <w:r w:rsidR="00E672E8">
        <w:t>po</w:t>
      </w:r>
      <w:r>
        <w:t>l</w:t>
      </w:r>
      <w:r w:rsidR="00EE3404">
        <w:t xml:space="preserve">icies ought to do the opposite; </w:t>
      </w:r>
      <w:r w:rsidR="00E672E8">
        <w:t xml:space="preserve">redress disadvantage to provide a level playing field. This </w:t>
      </w:r>
      <w:r>
        <w:t xml:space="preserve">principle is at the heart of </w:t>
      </w:r>
      <w:r w:rsidR="00FC302E">
        <w:t xml:space="preserve">the </w:t>
      </w:r>
      <w:r w:rsidR="00E672E8">
        <w:t xml:space="preserve">social contract philosophy of Rawls (2009) and in the capabilities approach of Sen (2001) and Nussbaum (2011). Drawing on recent debates around the politics of recognition, we build on these fundamental ethical principles to advance a critique of fuel poverty </w:t>
      </w:r>
      <w:r w:rsidR="0078267A">
        <w:t xml:space="preserve">as an </w:t>
      </w:r>
      <w:r w:rsidR="00205DDE">
        <w:t>instance</w:t>
      </w:r>
      <w:r w:rsidR="0078267A">
        <w:t xml:space="preserve"> of recognition injustice</w:t>
      </w:r>
      <w:r w:rsidR="00A31C72">
        <w:t>.</w:t>
      </w:r>
    </w:p>
    <w:p w14:paraId="51227265" w14:textId="0C7A8FAB" w:rsidR="00121C21" w:rsidRDefault="00121C21" w:rsidP="00121C21">
      <w:r>
        <w:t xml:space="preserve">Justice theorists in the social contract tradition of Rawls and the welfare economics of Sen, seek to articulate, and base policy on, a set of entitlements and capabilities that underpin a fulfilling life. Among the widely cited list of ten ‘central capabilities’ with universal appeal put forward by Nussbaum (2011), energy plays an important role in at least five, including: bodily health and integrity, social affiliation, play, and political participation. This link has been picked up by energy justice scholars and applied to multiple contexts. In designing energy systems, Sovacool et al. (2013) claim that energy services should be considered a right if they are instrumental in ensuring access to the basic goods people are entitled to under universal human rights frameworks (such as clean water, food and shelter). At the household level, Walker </w:t>
      </w:r>
      <w:r w:rsidRPr="00AF4FA0">
        <w:rPr>
          <w:i/>
        </w:rPr>
        <w:t>et al</w:t>
      </w:r>
      <w:r>
        <w:t xml:space="preserve">. (2016) and Davis </w:t>
      </w:r>
      <w:r w:rsidRPr="00AF4FA0">
        <w:rPr>
          <w:i/>
        </w:rPr>
        <w:t>et al</w:t>
      </w:r>
      <w:r>
        <w:t>. (2016) ha</w:t>
      </w:r>
      <w:r w:rsidR="008D4943">
        <w:t>ve</w:t>
      </w:r>
      <w:r>
        <w:t xml:space="preserve"> provided qualitative and quantitative accounts of what such a ‘minimum standard’ of energy services should be, as well as the negative consequences of not attaining it.</w:t>
      </w:r>
    </w:p>
    <w:p w14:paraId="09150CD2" w14:textId="0A9160E6" w:rsidR="00910874" w:rsidRDefault="00971C9F">
      <w:r>
        <w:t>E</w:t>
      </w:r>
      <w:r w:rsidR="00E672E8">
        <w:t>nergy can be described as a</w:t>
      </w:r>
      <w:r w:rsidR="0078267A">
        <w:t xml:space="preserve">n ‘instrumental good’, inasmuch as it </w:t>
      </w:r>
      <w:r w:rsidR="00E672E8">
        <w:t xml:space="preserve">enables the fulfilment of </w:t>
      </w:r>
      <w:r w:rsidR="00910874">
        <w:t xml:space="preserve">services </w:t>
      </w:r>
      <w:r w:rsidR="00E672E8">
        <w:t>such as thermal comfort, indoor lighting</w:t>
      </w:r>
      <w:r w:rsidR="00221867">
        <w:t>, cooking and washing</w:t>
      </w:r>
      <w:r w:rsidR="00E672E8">
        <w:t xml:space="preserve">. However, the amount of energy needed by any one person or household to achieve the same </w:t>
      </w:r>
      <w:r w:rsidR="00910874">
        <w:t>level of services</w:t>
      </w:r>
      <w:r w:rsidR="00E672E8">
        <w:t xml:space="preserve"> can di</w:t>
      </w:r>
      <w:r w:rsidR="0078267A">
        <w:t xml:space="preserve">ffer dramatically, as can the consequences of not achieving </w:t>
      </w:r>
      <w:r w:rsidR="00910874">
        <w:t>them</w:t>
      </w:r>
      <w:r w:rsidR="0078267A">
        <w:t xml:space="preserve"> </w:t>
      </w:r>
      <w:r w:rsidR="00E672E8">
        <w:t xml:space="preserve">(Walker and Day, 2012, Walker </w:t>
      </w:r>
      <w:r w:rsidR="00E672E8" w:rsidRPr="00BB73C3">
        <w:rPr>
          <w:i/>
        </w:rPr>
        <w:t>et al</w:t>
      </w:r>
      <w:r w:rsidR="00E672E8">
        <w:t>., 2016</w:t>
      </w:r>
      <w:r w:rsidR="00221867">
        <w:t xml:space="preserve">, Snell </w:t>
      </w:r>
      <w:r w:rsidR="00221867">
        <w:rPr>
          <w:i/>
        </w:rPr>
        <w:t xml:space="preserve">et al. </w:t>
      </w:r>
      <w:r w:rsidR="00221867">
        <w:t>2015</w:t>
      </w:r>
      <w:r w:rsidR="00E672E8">
        <w:t xml:space="preserve">). For example, the amount of energy required by someone with circulatory </w:t>
      </w:r>
      <w:r w:rsidR="00427389">
        <w:t>problems</w:t>
      </w:r>
      <w:r w:rsidR="00E672E8">
        <w:t xml:space="preserve"> or a family </w:t>
      </w:r>
      <w:r w:rsidR="00BB73C3">
        <w:t>with young children</w:t>
      </w:r>
      <w:r w:rsidR="00E672E8">
        <w:t xml:space="preserve"> </w:t>
      </w:r>
      <w:r w:rsidR="00910874">
        <w:t>in order keep warm and comfortable can</w:t>
      </w:r>
      <w:r w:rsidR="00E672E8">
        <w:t xml:space="preserve"> be </w:t>
      </w:r>
      <w:r w:rsidR="00910874">
        <w:t>significantly</w:t>
      </w:r>
      <w:r w:rsidR="00E672E8">
        <w:t xml:space="preserve"> higher than the national average</w:t>
      </w:r>
      <w:r w:rsidR="00BB73C3">
        <w:t xml:space="preserve"> (Liddell and Morris, 2010)</w:t>
      </w:r>
      <w:r w:rsidR="00E672E8">
        <w:t xml:space="preserve">. In </w:t>
      </w:r>
      <w:r w:rsidR="00910874">
        <w:t>a</w:t>
      </w:r>
      <w:r w:rsidR="00427389">
        <w:t xml:space="preserve"> </w:t>
      </w:r>
      <w:r w:rsidR="00910874">
        <w:t>just</w:t>
      </w:r>
      <w:r w:rsidR="00E672E8">
        <w:t xml:space="preserve"> world these </w:t>
      </w:r>
      <w:r w:rsidR="00910874">
        <w:t xml:space="preserve">differences </w:t>
      </w:r>
      <w:r w:rsidR="00E672E8">
        <w:t xml:space="preserve">would be recognised and </w:t>
      </w:r>
      <w:r w:rsidR="00910874">
        <w:t xml:space="preserve">the costs of </w:t>
      </w:r>
      <w:r w:rsidR="00E672E8">
        <w:t>energy</w:t>
      </w:r>
      <w:r w:rsidR="00910874">
        <w:t xml:space="preserve"> provision adjusted accordingly</w:t>
      </w:r>
      <w:r w:rsidR="00447A4C">
        <w:t xml:space="preserve"> (see: Hills, 2012)</w:t>
      </w:r>
      <w:r w:rsidR="00910874">
        <w:t xml:space="preserve">. </w:t>
      </w:r>
      <w:r w:rsidR="005328E6">
        <w:t>In reality,</w:t>
      </w:r>
      <w:r w:rsidR="00910874">
        <w:t xml:space="preserve"> </w:t>
      </w:r>
      <w:r w:rsidR="00AF4FA0">
        <w:t xml:space="preserve">energy is </w:t>
      </w:r>
      <w:r w:rsidR="005328E6">
        <w:t>treated primarily</w:t>
      </w:r>
      <w:r w:rsidR="00AF4FA0">
        <w:t xml:space="preserve"> as a ‘private good’ </w:t>
      </w:r>
      <w:r w:rsidR="00ED1DF8">
        <w:t xml:space="preserve">that is traded competitively </w:t>
      </w:r>
      <w:r w:rsidR="00910874">
        <w:t>through markets</w:t>
      </w:r>
      <w:r w:rsidR="00ED1DF8">
        <w:t xml:space="preserve"> i.e. linking sufficient access to a households’ capacity to pay rather than their basic needs</w:t>
      </w:r>
      <w:r w:rsidR="00E672E8">
        <w:t xml:space="preserve">. </w:t>
      </w:r>
    </w:p>
    <w:p w14:paraId="3BB01F61" w14:textId="32E1CC6D" w:rsidR="00205DDE" w:rsidRPr="00205DDE" w:rsidRDefault="0060712F">
      <w:pPr>
        <w:rPr>
          <w:b/>
          <w:i/>
        </w:rPr>
      </w:pPr>
      <w:r>
        <w:rPr>
          <w:b/>
          <w:i/>
        </w:rPr>
        <w:t>Vulnerable groups</w:t>
      </w:r>
    </w:p>
    <w:p w14:paraId="2508EBC8" w14:textId="0235672A" w:rsidR="001B5684" w:rsidRDefault="00E672E8">
      <w:r>
        <w:t xml:space="preserve">Building on this view of energy as instrumental </w:t>
      </w:r>
      <w:r w:rsidR="00267662">
        <w:t>to a fulfilling</w:t>
      </w:r>
      <w:r>
        <w:t xml:space="preserve"> </w:t>
      </w:r>
      <w:r w:rsidR="006C4286">
        <w:t>life</w:t>
      </w:r>
      <w:r>
        <w:t>, a recognition</w:t>
      </w:r>
      <w:r w:rsidR="00267662">
        <w:t xml:space="preserve">-based approach </w:t>
      </w:r>
      <w:r>
        <w:t xml:space="preserve">can help to identify the </w:t>
      </w:r>
      <w:r w:rsidR="00267662">
        <w:t>particulars</w:t>
      </w:r>
      <w:r w:rsidR="006C4286">
        <w:t xml:space="preserve"> of energy</w:t>
      </w:r>
      <w:r>
        <w:t xml:space="preserve"> injustice</w:t>
      </w:r>
      <w:r w:rsidR="00A1507E">
        <w:t xml:space="preserve"> for different groups</w:t>
      </w:r>
      <w:r>
        <w:t xml:space="preserve"> and</w:t>
      </w:r>
      <w:r w:rsidR="00A1507E">
        <w:t xml:space="preserve"> </w:t>
      </w:r>
      <w:r w:rsidR="00267662">
        <w:t>strengthen</w:t>
      </w:r>
      <w:r>
        <w:t xml:space="preserve"> a </w:t>
      </w:r>
      <w:r w:rsidR="00267662">
        <w:t>political response</w:t>
      </w:r>
      <w:r>
        <w:t xml:space="preserve">. </w:t>
      </w:r>
      <w:r w:rsidR="00267662">
        <w:t>More than simply acknowledging</w:t>
      </w:r>
      <w:r>
        <w:t xml:space="preserve"> the existence of ‘vul</w:t>
      </w:r>
      <w:r w:rsidR="006C4286">
        <w:t xml:space="preserve">nerable groups’ it would </w:t>
      </w:r>
      <w:r w:rsidR="00267662">
        <w:t>seek</w:t>
      </w:r>
      <w:r w:rsidR="006C4286">
        <w:t xml:space="preserve"> to </w:t>
      </w:r>
      <w:r w:rsidR="00267662">
        <w:lastRenderedPageBreak/>
        <w:t>recognise</w:t>
      </w:r>
      <w:r w:rsidR="006C4286">
        <w:t xml:space="preserve"> their </w:t>
      </w:r>
      <w:r w:rsidR="00A1507E">
        <w:t xml:space="preserve">internal </w:t>
      </w:r>
      <w:r w:rsidR="006C4286">
        <w:t>heterogeneity</w:t>
      </w:r>
      <w:r w:rsidR="00267662">
        <w:t xml:space="preserve"> (Young, 2011)</w:t>
      </w:r>
      <w:r w:rsidR="006C4286">
        <w:t>. This could help</w:t>
      </w:r>
      <w:r>
        <w:t xml:space="preserve"> to </w:t>
      </w:r>
      <w:r w:rsidR="002B2AAB">
        <w:t>reduce</w:t>
      </w:r>
      <w:r>
        <w:t xml:space="preserve"> </w:t>
      </w:r>
      <w:r w:rsidR="006248C7">
        <w:t>some of</w:t>
      </w:r>
      <w:r w:rsidR="00A1507E">
        <w:t xml:space="preserve"> </w:t>
      </w:r>
      <w:r>
        <w:t xml:space="preserve">the stigmatisation </w:t>
      </w:r>
      <w:r w:rsidR="002B2AAB">
        <w:t>around (fuel) poverty</w:t>
      </w:r>
      <w:r w:rsidR="006248C7">
        <w:t xml:space="preserve"> and </w:t>
      </w:r>
      <w:r w:rsidR="002B2AAB">
        <w:t xml:space="preserve">avoid </w:t>
      </w:r>
      <w:r w:rsidR="001B5684">
        <w:t>simplistic</w:t>
      </w:r>
      <w:r w:rsidR="006248C7">
        <w:t xml:space="preserve"> assumptions about</w:t>
      </w:r>
      <w:r>
        <w:t xml:space="preserve"> </w:t>
      </w:r>
      <w:r w:rsidR="002B2AAB">
        <w:t>the</w:t>
      </w:r>
      <w:r w:rsidR="001B5684">
        <w:t xml:space="preserve"> needs</w:t>
      </w:r>
      <w:r w:rsidR="002B2AAB">
        <w:t xml:space="preserve"> and lives of vulnerable households </w:t>
      </w:r>
      <w:r w:rsidR="00031E28">
        <w:t>such as</w:t>
      </w:r>
      <w:r w:rsidR="002B2AAB">
        <w:t xml:space="preserve"> </w:t>
      </w:r>
      <w:r w:rsidR="001B5684">
        <w:t>the</w:t>
      </w:r>
      <w:r>
        <w:t xml:space="preserve"> ‘old and cold’</w:t>
      </w:r>
      <w:r w:rsidR="002B2AAB">
        <w:t xml:space="preserve"> discourse</w:t>
      </w:r>
      <w:r>
        <w:t xml:space="preserve"> (Chase and Walker, 2013, Day and Hitchings, 2011</w:t>
      </w:r>
      <w:r w:rsidR="00531663">
        <w:t>; Hards, 2013</w:t>
      </w:r>
      <w:r>
        <w:t xml:space="preserve">). </w:t>
      </w:r>
      <w:r w:rsidR="00A1507E">
        <w:t>Where such levels of recognition are lacking</w:t>
      </w:r>
      <w:r w:rsidR="001B5684">
        <w:t>,</w:t>
      </w:r>
      <w:r w:rsidR="00D7289E">
        <w:t xml:space="preserve"> </w:t>
      </w:r>
      <w:r w:rsidR="00A1507E">
        <w:t>injustices manifest</w:t>
      </w:r>
      <w:r>
        <w:t xml:space="preserve"> in two ways: through </w:t>
      </w:r>
      <w:r w:rsidRPr="001B5684">
        <w:t>social</w:t>
      </w:r>
      <w:r w:rsidRPr="00AA378D">
        <w:rPr>
          <w:i/>
        </w:rPr>
        <w:t xml:space="preserve"> structures</w:t>
      </w:r>
      <w:r>
        <w:t xml:space="preserve"> and institutions that ignore, misrepresent or reinforce inequalities, and through </w:t>
      </w:r>
      <w:r w:rsidRPr="001B5684">
        <w:t>social</w:t>
      </w:r>
      <w:r w:rsidRPr="00AA378D">
        <w:rPr>
          <w:i/>
        </w:rPr>
        <w:t xml:space="preserve"> </w:t>
      </w:r>
      <w:r w:rsidR="00AA378D">
        <w:rPr>
          <w:i/>
        </w:rPr>
        <w:t>processes</w:t>
      </w:r>
      <w:r>
        <w:t xml:space="preserve"> that limit possibilities for expression and ostracise minorities (Fraser </w:t>
      </w:r>
      <w:r w:rsidR="001A3AD1">
        <w:t>and</w:t>
      </w:r>
      <w:r w:rsidR="00691ECA">
        <w:t xml:space="preserve"> Honneth, 2003).</w:t>
      </w:r>
    </w:p>
    <w:p w14:paraId="6F13D0C7" w14:textId="681667AE" w:rsidR="00E672E8" w:rsidRDefault="006D0366">
      <w:r>
        <w:t xml:space="preserve">When the particular energy needs of </w:t>
      </w:r>
      <w:r w:rsidR="00BE39A9">
        <w:t xml:space="preserve">disabled </w:t>
      </w:r>
      <w:r>
        <w:t xml:space="preserve">people and families with young children go unmet </w:t>
      </w:r>
      <w:r w:rsidR="0064547D">
        <w:t>this could be</w:t>
      </w:r>
      <w:r>
        <w:t xml:space="preserve"> interpret</w:t>
      </w:r>
      <w:r w:rsidR="0064547D">
        <w:t>ed</w:t>
      </w:r>
      <w:r>
        <w:t xml:space="preserve"> as an instance of recognition injustice</w:t>
      </w:r>
      <w:r w:rsidR="00691ECA">
        <w:t xml:space="preserve">, and an expression of their </w:t>
      </w:r>
      <w:r w:rsidR="00C83C9B">
        <w:t>vulnerability, which</w:t>
      </w:r>
      <w:r>
        <w:t xml:space="preserve"> </w:t>
      </w:r>
      <w:r w:rsidR="00691ECA">
        <w:t>can be understood – and perhaps remedied – by analysing the</w:t>
      </w:r>
      <w:r>
        <w:t xml:space="preserve"> social structures and processes</w:t>
      </w:r>
      <w:r w:rsidR="00691ECA">
        <w:t xml:space="preserve"> that shape their fuel poverty</w:t>
      </w:r>
      <w:r>
        <w:t>.</w:t>
      </w:r>
    </w:p>
    <w:p w14:paraId="62DEF4C5" w14:textId="3E947546" w:rsidR="00731DFB" w:rsidRDefault="00C83C9B">
      <w:r>
        <w:t>Leading the way,</w:t>
      </w:r>
      <w:r w:rsidR="00CB7C05">
        <w:t xml:space="preserve"> t</w:t>
      </w:r>
      <w:r w:rsidR="00E672E8">
        <w:t xml:space="preserve">he field of disabilities studies has pushed beyond </w:t>
      </w:r>
      <w:r w:rsidR="00CB7C05">
        <w:t>a paternalistic approach</w:t>
      </w:r>
      <w:r>
        <w:t xml:space="preserve"> to recognition</w:t>
      </w:r>
      <w:r w:rsidR="00CB7C05">
        <w:t xml:space="preserve"> </w:t>
      </w:r>
      <w:r w:rsidR="00E672E8">
        <w:t xml:space="preserve">that reinforces a label of ‘special </w:t>
      </w:r>
      <w:r w:rsidR="004655BC">
        <w:t>needs’;</w:t>
      </w:r>
      <w:r w:rsidR="00E672E8">
        <w:t xml:space="preserve"> </w:t>
      </w:r>
      <w:r w:rsidR="004655BC">
        <w:t xml:space="preserve">focussing on the way these needs are overlooked because of a lack </w:t>
      </w:r>
      <w:r w:rsidR="00E672E8">
        <w:t xml:space="preserve">influence and self-expression </w:t>
      </w:r>
      <w:r w:rsidR="004655BC">
        <w:t xml:space="preserve">afforded to </w:t>
      </w:r>
      <w:r w:rsidR="004157B3">
        <w:t xml:space="preserve">disabled </w:t>
      </w:r>
      <w:r w:rsidR="00E672E8">
        <w:t xml:space="preserve">people in </w:t>
      </w:r>
      <w:r>
        <w:t xml:space="preserve">various </w:t>
      </w:r>
      <w:r w:rsidR="004655BC">
        <w:t>institutions</w:t>
      </w:r>
      <w:r>
        <w:t xml:space="preserve"> of </w:t>
      </w:r>
      <w:r w:rsidR="00E672E8">
        <w:t xml:space="preserve">civic and political life (Danermark and Gellerstedt, 2004, Oliver and Barnes, 2012). </w:t>
      </w:r>
      <w:r w:rsidR="00731DFB">
        <w:t xml:space="preserve">As Snell </w:t>
      </w:r>
      <w:r w:rsidR="00731DFB">
        <w:rPr>
          <w:i/>
        </w:rPr>
        <w:t xml:space="preserve">et al. </w:t>
      </w:r>
      <w:r w:rsidR="00731DFB">
        <w:t>(2015)</w:t>
      </w:r>
      <w:r w:rsidR="006A2111">
        <w:t xml:space="preserve"> and George </w:t>
      </w:r>
      <w:r w:rsidR="006A2111">
        <w:rPr>
          <w:i/>
        </w:rPr>
        <w:t xml:space="preserve">et al. </w:t>
      </w:r>
      <w:r w:rsidR="006A2111">
        <w:t>(2013)</w:t>
      </w:r>
      <w:r w:rsidR="00731DFB">
        <w:t xml:space="preserve"> have shown, this can lead to </w:t>
      </w:r>
      <w:r w:rsidR="00FD3CEA">
        <w:t xml:space="preserve">policies </w:t>
      </w:r>
      <w:r w:rsidR="006A2111">
        <w:t xml:space="preserve">and governance arrangements </w:t>
      </w:r>
      <w:r w:rsidR="00FD3CEA">
        <w:t xml:space="preserve">that do not </w:t>
      </w:r>
      <w:r w:rsidR="006A2111">
        <w:t xml:space="preserve">take account of their specific </w:t>
      </w:r>
      <w:r w:rsidR="00FD3CEA">
        <w:t>impairments</w:t>
      </w:r>
      <w:r w:rsidR="006A2111" w:rsidRPr="006A2111">
        <w:t xml:space="preserve"> and vulnerabilities</w:t>
      </w:r>
      <w:r w:rsidR="006A2111">
        <w:t>, resulting in an ‘energy penalty’ for disabled people</w:t>
      </w:r>
      <w:r w:rsidR="006A2111" w:rsidRPr="006A2111">
        <w:t>.</w:t>
      </w:r>
      <w:r w:rsidR="00FD3CEA">
        <w:t xml:space="preserve"> </w:t>
      </w:r>
    </w:p>
    <w:p w14:paraId="663D4D37" w14:textId="2E2E4EAD" w:rsidR="00E672E8" w:rsidRDefault="00E672E8">
      <w:r>
        <w:t xml:space="preserve">Similarly, </w:t>
      </w:r>
      <w:r w:rsidR="001068ED">
        <w:t>with regards to low-income families with young children, it has been argued that the</w:t>
      </w:r>
      <w:r w:rsidR="004157B3">
        <w:t>ir</w:t>
      </w:r>
      <w:r w:rsidR="001068ED">
        <w:t xml:space="preserve"> entrenched disadvantage in social and political life is partly due to insufficient recognition of the multiple dimensions and varied forms of poverty that exist (see: Bradshaw and Finch, 2003, Garthwaite, 2015, Lister, 1998).</w:t>
      </w:r>
      <w:r w:rsidR="00796A4C">
        <w:t xml:space="preserve"> Interestingly, common to most definitions and conceptualisation of poverty is a profound</w:t>
      </w:r>
      <w:r w:rsidR="00AA378D">
        <w:t xml:space="preserve"> lack of entitlement and </w:t>
      </w:r>
      <w:r w:rsidR="002C61C5">
        <w:t>a disempowering experience</w:t>
      </w:r>
      <w:r w:rsidR="00796A4C">
        <w:t xml:space="preserve"> at the hands of social structures (Spicker 2007)</w:t>
      </w:r>
      <w:r w:rsidR="00DF58A9">
        <w:t>.</w:t>
      </w:r>
      <w:r w:rsidR="00AA378D">
        <w:t xml:space="preserve"> </w:t>
      </w:r>
      <w:r w:rsidR="009C29BB">
        <w:t>In the context of fuel poverty this may take the form of financial, physical and contractual barriers faced by families wanting to move to better quality dwellings</w:t>
      </w:r>
      <w:r w:rsidR="00926A60">
        <w:t xml:space="preserve"> (Middlemiss and Gillard, 2015)</w:t>
      </w:r>
      <w:r w:rsidR="009C29BB">
        <w:t>.</w:t>
      </w:r>
      <w:r w:rsidR="00DF58A9">
        <w:t xml:space="preserve"> </w:t>
      </w:r>
    </w:p>
    <w:p w14:paraId="26BEBF8E" w14:textId="1CB72F92" w:rsidR="00D93879" w:rsidRDefault="00564B22">
      <w:r>
        <w:t>In order to avoid an instrumentalist a</w:t>
      </w:r>
      <w:r w:rsidR="00FA0FFA">
        <w:t xml:space="preserve">pproach to recognition justice that </w:t>
      </w:r>
      <w:r>
        <w:t xml:space="preserve">focuses on formal institutional arrangements </w:t>
      </w:r>
      <w:r w:rsidR="00FA0FFA">
        <w:t>(</w:t>
      </w:r>
      <w:r>
        <w:t xml:space="preserve">at the expense of </w:t>
      </w:r>
      <w:r w:rsidR="00FA0FFA">
        <w:t>equally important</w:t>
      </w:r>
      <w:r>
        <w:t xml:space="preserve"> </w:t>
      </w:r>
      <w:r w:rsidR="00FA0FFA">
        <w:t>informal social processes)</w:t>
      </w:r>
      <w:r>
        <w:t xml:space="preserve"> other sites of politics, power and influence should be considered</w:t>
      </w:r>
      <w:r w:rsidRPr="00564B22">
        <w:t xml:space="preserve"> </w:t>
      </w:r>
      <w:r>
        <w:t>(Kompridis, 2007).</w:t>
      </w:r>
      <w:r w:rsidR="00022C0C">
        <w:t xml:space="preserve"> For </w:t>
      </w:r>
      <w:r w:rsidR="004157B3">
        <w:t xml:space="preserve">disabled </w:t>
      </w:r>
      <w:r w:rsidR="00022C0C">
        <w:t xml:space="preserve">people finding it difficult to navigate social norms around energy use and domestic practices, and for low-income families facing </w:t>
      </w:r>
      <w:r w:rsidR="005E64E3">
        <w:t>uncomfortable</w:t>
      </w:r>
      <w:r w:rsidR="00022C0C">
        <w:t xml:space="preserve"> trade-offs between energy services</w:t>
      </w:r>
      <w:r w:rsidR="005E64E3">
        <w:t xml:space="preserve"> and other basic needs</w:t>
      </w:r>
      <w:r w:rsidR="00022C0C">
        <w:t xml:space="preserve">, the socially marginalising effects of fuel poverty are particularly acute. Ensuring </w:t>
      </w:r>
      <w:r w:rsidR="00765CAA">
        <w:t xml:space="preserve">that </w:t>
      </w:r>
      <w:r w:rsidR="00022C0C">
        <w:t xml:space="preserve">social interactions and processes recognise, and respond to, these vulnerabilities can be empowering e.g. through </w:t>
      </w:r>
      <w:r w:rsidR="00F4393F">
        <w:t xml:space="preserve">more </w:t>
      </w:r>
      <w:r w:rsidR="00E672E8">
        <w:t>inclusive practices such as user-led design of services (Barnes and Mercer, 2006</w:t>
      </w:r>
      <w:r w:rsidR="003D0332">
        <w:t xml:space="preserve">; </w:t>
      </w:r>
      <w:r w:rsidR="0034460E">
        <w:t xml:space="preserve">Ornetzeder </w:t>
      </w:r>
      <w:r w:rsidR="001A3AD1">
        <w:t>and</w:t>
      </w:r>
      <w:r w:rsidR="0034460E">
        <w:t xml:space="preserve"> Rohracher, 2006</w:t>
      </w:r>
      <w:r w:rsidR="00E672E8">
        <w:t xml:space="preserve">) and </w:t>
      </w:r>
      <w:r w:rsidR="00FB54C8">
        <w:t xml:space="preserve">more </w:t>
      </w:r>
      <w:r w:rsidR="00E672E8">
        <w:t>deliberative</w:t>
      </w:r>
      <w:r w:rsidR="00F4393F">
        <w:t xml:space="preserve"> or direct </w:t>
      </w:r>
      <w:r w:rsidR="003D0332">
        <w:t xml:space="preserve">forms </w:t>
      </w:r>
      <w:r w:rsidR="00FB54C8">
        <w:t>of political expression</w:t>
      </w:r>
      <w:r w:rsidR="00E672E8">
        <w:t xml:space="preserve"> (Lister, 2004, Young, 2011). </w:t>
      </w:r>
    </w:p>
    <w:p w14:paraId="58C8189C" w14:textId="017256F4" w:rsidR="00E672E8" w:rsidRDefault="00D93879">
      <w:r>
        <w:t xml:space="preserve">Many valuable lessons about the social structures and processes of injustice can be learnt from existing literature to develop a more robust recognition of what makes households vulnerable to fuel poverty. Something akin to the radical shift in thinking brought about </w:t>
      </w:r>
      <w:r w:rsidR="00FB4B13">
        <w:t xml:space="preserve">by </w:t>
      </w:r>
      <w:r>
        <w:t>the social model of disability (see:</w:t>
      </w:r>
      <w:r w:rsidRPr="00B04529">
        <w:rPr>
          <w:color w:val="auto"/>
        </w:rPr>
        <w:t xml:space="preserve"> </w:t>
      </w:r>
      <w:r w:rsidR="00B04529" w:rsidRPr="00B04529">
        <w:rPr>
          <w:color w:val="auto"/>
        </w:rPr>
        <w:t>Oliver &amp; Barnes, 2012</w:t>
      </w:r>
      <w:r w:rsidRPr="00B04529">
        <w:rPr>
          <w:color w:val="auto"/>
        </w:rPr>
        <w:t>)</w:t>
      </w:r>
      <w:r>
        <w:t xml:space="preserve"> is needed in the context of energy politics and vulnerable groups. With regards to low-income families and the experience of poverty for young children, </w:t>
      </w:r>
      <w:r w:rsidR="00BC58A2">
        <w:t>focussing on</w:t>
      </w:r>
      <w:r w:rsidR="00FB4B13">
        <w:t xml:space="preserve"> multiple forms of deprivation highlights </w:t>
      </w:r>
      <w:r w:rsidR="00BC58A2">
        <w:t>the instrumental importance of energy</w:t>
      </w:r>
      <w:r w:rsidR="00FB4B13">
        <w:t xml:space="preserve"> </w:t>
      </w:r>
      <w:r w:rsidR="007504CA">
        <w:t>in achieving certain social goods e.g. where</w:t>
      </w:r>
      <w:r w:rsidR="00FB4B13">
        <w:t xml:space="preserve"> rationing</w:t>
      </w:r>
      <w:r w:rsidR="007504CA">
        <w:t xml:space="preserve"> of energy</w:t>
      </w:r>
      <w:r w:rsidR="00FB4B13">
        <w:t xml:space="preserve"> </w:t>
      </w:r>
      <w:r w:rsidR="00BC58A2">
        <w:t xml:space="preserve">is common </w:t>
      </w:r>
      <w:r w:rsidR="007504CA">
        <w:t>it is</w:t>
      </w:r>
      <w:r w:rsidR="00BC58A2">
        <w:t xml:space="preserve"> linked to</w:t>
      </w:r>
      <w:r w:rsidR="007504CA">
        <w:t xml:space="preserve"> experiences of</w:t>
      </w:r>
      <w:r w:rsidR="00BC58A2">
        <w:t xml:space="preserve"> social</w:t>
      </w:r>
      <w:r w:rsidR="00FB4B13">
        <w:t xml:space="preserve"> exclusion</w:t>
      </w:r>
      <w:r w:rsidR="00BC58A2">
        <w:t xml:space="preserve"> </w:t>
      </w:r>
      <w:r w:rsidR="007504CA">
        <w:t xml:space="preserve">and, inversely, </w:t>
      </w:r>
      <w:r w:rsidR="00BC58A2">
        <w:t xml:space="preserve">sufficient access to </w:t>
      </w:r>
      <w:r w:rsidR="007504CA">
        <w:t xml:space="preserve">energy </w:t>
      </w:r>
      <w:r w:rsidR="00BC58A2">
        <w:t>services</w:t>
      </w:r>
      <w:r w:rsidR="007504CA">
        <w:t xml:space="preserve"> such as heating, lighting and </w:t>
      </w:r>
      <w:r w:rsidR="007504CA">
        <w:lastRenderedPageBreak/>
        <w:t>travel</w:t>
      </w:r>
      <w:r w:rsidR="00BC58A2">
        <w:t xml:space="preserve"> can </w:t>
      </w:r>
      <w:r w:rsidR="007504CA">
        <w:t xml:space="preserve">strengthen </w:t>
      </w:r>
      <w:r w:rsidR="00BC58A2">
        <w:t>families</w:t>
      </w:r>
      <w:r w:rsidR="007504CA">
        <w:t xml:space="preserve"> internal and community-facing relationships</w:t>
      </w:r>
      <w:r w:rsidR="0034460E">
        <w:t xml:space="preserve"> (Brown, 2014</w:t>
      </w:r>
      <w:r w:rsidR="00782615">
        <w:t>;</w:t>
      </w:r>
      <w:r w:rsidR="0034460E">
        <w:t xml:space="preserve"> Emmel, i</w:t>
      </w:r>
      <w:r w:rsidR="00E672E8">
        <w:t>n Press</w:t>
      </w:r>
      <w:r w:rsidR="00782615">
        <w:t>;</w:t>
      </w:r>
      <w:r w:rsidR="00E672E8">
        <w:t xml:space="preserve"> Middlemiss and Gillard, 2015).</w:t>
      </w:r>
    </w:p>
    <w:p w14:paraId="109F31FF" w14:textId="464DBA69" w:rsidR="006B70FF" w:rsidRPr="006B70FF" w:rsidRDefault="006B70FF">
      <w:pPr>
        <w:rPr>
          <w:b/>
          <w:i/>
        </w:rPr>
      </w:pPr>
      <w:r>
        <w:rPr>
          <w:b/>
          <w:i/>
        </w:rPr>
        <w:t>The retrofit challenge</w:t>
      </w:r>
    </w:p>
    <w:p w14:paraId="5B480AE0" w14:textId="448243E6" w:rsidR="003B58DC" w:rsidRDefault="008F285E">
      <w:r>
        <w:t>T</w:t>
      </w:r>
      <w:r w:rsidR="008C5862">
        <w:t xml:space="preserve">he </w:t>
      </w:r>
      <w:r w:rsidR="003B58DC">
        <w:t>formalised and experiential recognition of</w:t>
      </w:r>
      <w:r w:rsidR="00EB6CE6">
        <w:t xml:space="preserve"> </w:t>
      </w:r>
      <w:r w:rsidR="008C5862">
        <w:t xml:space="preserve">vulnerable groups </w:t>
      </w:r>
      <w:r>
        <w:t xml:space="preserve">and their needs </w:t>
      </w:r>
      <w:r w:rsidR="008C5862">
        <w:t xml:space="preserve">in </w:t>
      </w:r>
      <w:r w:rsidR="00EB6CE6">
        <w:t>energy</w:t>
      </w:r>
      <w:r>
        <w:t xml:space="preserve"> efficiency </w:t>
      </w:r>
      <w:r w:rsidR="00EB6CE6">
        <w:t xml:space="preserve">policies and </w:t>
      </w:r>
      <w:r>
        <w:t>scheme</w:t>
      </w:r>
      <w:r w:rsidR="00EB6CE6">
        <w:t>s</w:t>
      </w:r>
      <w:r>
        <w:t xml:space="preserve"> is</w:t>
      </w:r>
      <w:r w:rsidR="008C5862">
        <w:t xml:space="preserve"> crucial. </w:t>
      </w:r>
      <w:r w:rsidR="00EB6CE6">
        <w:t>In the UK, v</w:t>
      </w:r>
      <w:r w:rsidR="008C5862">
        <w:t>arious means of calcula</w:t>
      </w:r>
      <w:r w:rsidR="00EB6CE6">
        <w:t xml:space="preserve">ting eligibility have been used – </w:t>
      </w:r>
      <w:r w:rsidR="008C5862">
        <w:t xml:space="preserve">and are </w:t>
      </w:r>
      <w:r w:rsidR="00EB6CE6">
        <w:t>continually being revised –</w:t>
      </w:r>
      <w:r w:rsidR="008C5862">
        <w:t xml:space="preserve"> in an attempt to manage the tension between achieving ambitious policy targets, keeping costs down, and prioritising the most severely fuel poor (</w:t>
      </w:r>
      <w:r w:rsidR="00EB6CE6">
        <w:t>see:</w:t>
      </w:r>
      <w:r w:rsidR="008C5862">
        <w:t xml:space="preserve"> </w:t>
      </w:r>
      <w:r w:rsidR="00745835">
        <w:rPr>
          <w:color w:val="auto"/>
        </w:rPr>
        <w:t>DECC, 2016</w:t>
      </w:r>
      <w:r w:rsidR="008C5862">
        <w:t>).</w:t>
      </w:r>
      <w:r w:rsidR="00BE2AED">
        <w:t xml:space="preserve"> Further complicating this situation is the fact that energy efficiency policy</w:t>
      </w:r>
      <w:r w:rsidR="009F5B42">
        <w:t xml:space="preserve"> in the UK, and more widely,</w:t>
      </w:r>
      <w:r w:rsidR="00BE2AED">
        <w:t xml:space="preserve"> is not solely intended to reduce fuel </w:t>
      </w:r>
      <w:r w:rsidR="00EB6CE6">
        <w:t>poverty;</w:t>
      </w:r>
      <w:r w:rsidR="00BE2AED">
        <w:t xml:space="preserve"> it is also intended to reduce</w:t>
      </w:r>
      <w:r w:rsidR="009F5B42">
        <w:t xml:space="preserve"> overall</w:t>
      </w:r>
      <w:r w:rsidR="00BE2AED">
        <w:t xml:space="preserve"> </w:t>
      </w:r>
      <w:r w:rsidR="009F5B42">
        <w:t>energy consumption and the associat</w:t>
      </w:r>
      <w:r w:rsidR="009B1A85">
        <w:t>ed</w:t>
      </w:r>
      <w:r w:rsidR="009F5B42">
        <w:t xml:space="preserve"> </w:t>
      </w:r>
      <w:r w:rsidR="00BE2AED">
        <w:t xml:space="preserve">carbon emissions </w:t>
      </w:r>
      <w:r w:rsidR="009F5B42">
        <w:t>and demand on supplies</w:t>
      </w:r>
      <w:r w:rsidR="00BE2AED">
        <w:t xml:space="preserve">. </w:t>
      </w:r>
      <w:r w:rsidR="009F5B42">
        <w:t>Even when it is primarily</w:t>
      </w:r>
      <w:r w:rsidR="00BE2AED">
        <w:t xml:space="preserve"> </w:t>
      </w:r>
      <w:r w:rsidR="003B58DC">
        <w:t>targeting</w:t>
      </w:r>
      <w:r w:rsidR="00BE2AED">
        <w:t xml:space="preserve"> the fuel poor,</w:t>
      </w:r>
      <w:r w:rsidR="008C5862">
        <w:t xml:space="preserve"> Walker </w:t>
      </w:r>
      <w:r w:rsidR="008C5862" w:rsidRPr="00BE2AED">
        <w:rPr>
          <w:i/>
        </w:rPr>
        <w:t>et al.</w:t>
      </w:r>
      <w:r w:rsidR="008C5862">
        <w:t xml:space="preserve"> (</w:t>
      </w:r>
      <w:r w:rsidR="008C5862" w:rsidRPr="007C18D7">
        <w:rPr>
          <w:color w:val="auto"/>
        </w:rPr>
        <w:t>2014</w:t>
      </w:r>
      <w:r w:rsidR="008C5862">
        <w:t xml:space="preserve">) have </w:t>
      </w:r>
      <w:r w:rsidR="009F5B42">
        <w:t>estimated</w:t>
      </w:r>
      <w:r w:rsidR="00BE2AED">
        <w:t xml:space="preserve"> that</w:t>
      </w:r>
      <w:r w:rsidR="008C5862">
        <w:t xml:space="preserve"> relying on simplistic proxies, such as being in receipt of social welfare payments or being a certain age, </w:t>
      </w:r>
      <w:r w:rsidR="003B58DC">
        <w:t>can actually miss</w:t>
      </w:r>
      <w:r w:rsidR="008C5862">
        <w:t xml:space="preserve"> 40-60% of the fuel poor.</w:t>
      </w:r>
      <w:r w:rsidR="003B58DC">
        <w:t xml:space="preserve"> </w:t>
      </w:r>
      <w:r w:rsidR="009F5B42">
        <w:t>Similarly</w:t>
      </w:r>
      <w:r w:rsidR="003B58DC">
        <w:t>, relying on geograph</w:t>
      </w:r>
      <w:r w:rsidR="009F5B42">
        <w:t xml:space="preserve">ical eligibility criteria such as </w:t>
      </w:r>
      <w:r w:rsidR="003B58DC">
        <w:t>Indices of Multiple Deprivation</w:t>
      </w:r>
      <w:r w:rsidR="009F5B42">
        <w:t xml:space="preserve"> across communities</w:t>
      </w:r>
      <w:r w:rsidR="003B58DC">
        <w:t xml:space="preserve"> is problematic</w:t>
      </w:r>
      <w:r w:rsidR="009F5B42">
        <w:t>,</w:t>
      </w:r>
      <w:r w:rsidR="003B58DC">
        <w:t xml:space="preserve"> given that many fuel poor households do not necessarily live in deprived areas</w:t>
      </w:r>
      <w:r w:rsidR="009F5B42">
        <w:t xml:space="preserve"> while many who do, and are thus eligible, are not necessarily fuel poor</w:t>
      </w:r>
      <w:r w:rsidR="003B58DC">
        <w:t xml:space="preserve"> (</w:t>
      </w:r>
      <w:r w:rsidR="0029026D" w:rsidRPr="0029026D">
        <w:rPr>
          <w:color w:val="auto"/>
        </w:rPr>
        <w:t>Boardman, 2013</w:t>
      </w:r>
      <w:r w:rsidR="003B58DC">
        <w:t>).</w:t>
      </w:r>
    </w:p>
    <w:p w14:paraId="003EABA3" w14:textId="0C31802E" w:rsidR="008C5862" w:rsidRDefault="008C5862">
      <w:r>
        <w:t>Policy evaluations have shown that flexibility in scheme design and l</w:t>
      </w:r>
      <w:r w:rsidR="007E0269">
        <w:t xml:space="preserve">ocalised implementation, which </w:t>
      </w:r>
      <w:r w:rsidR="003B58DC">
        <w:t>makes</w:t>
      </w:r>
      <w:r>
        <w:t xml:space="preserve"> use of trusted int</w:t>
      </w:r>
      <w:r w:rsidR="003B58DC">
        <w:t>ermediaries</w:t>
      </w:r>
      <w:r w:rsidR="00BC58A2">
        <w:t xml:space="preserve"> such as </w:t>
      </w:r>
      <w:r w:rsidR="007C4AC8">
        <w:t>charities and community</w:t>
      </w:r>
      <w:r w:rsidR="007D331A">
        <w:t xml:space="preserve"> networks</w:t>
      </w:r>
      <w:r w:rsidR="007C4AC8">
        <w:t>,</w:t>
      </w:r>
      <w:r w:rsidR="003B58DC">
        <w:t xml:space="preserve"> </w:t>
      </w:r>
      <w:r>
        <w:t>have the potential to increase uptake and</w:t>
      </w:r>
      <w:r w:rsidR="007D331A">
        <w:t xml:space="preserve"> improve</w:t>
      </w:r>
      <w:r>
        <w:t xml:space="preserve"> targeting (</w:t>
      </w:r>
      <w:r w:rsidRPr="007C18D7">
        <w:rPr>
          <w:color w:val="auto"/>
        </w:rPr>
        <w:t>DECC, 2016</w:t>
      </w:r>
      <w:r>
        <w:t>).</w:t>
      </w:r>
      <w:r w:rsidR="007D331A">
        <w:t xml:space="preserve"> For example,</w:t>
      </w:r>
      <w:r>
        <w:t xml:space="preserve"> </w:t>
      </w:r>
      <w:r w:rsidR="007D331A">
        <w:t>r</w:t>
      </w:r>
      <w:r>
        <w:t>eferral procedures and collaborative working between health</w:t>
      </w:r>
      <w:r w:rsidR="001E0FE3">
        <w:t xml:space="preserve"> and </w:t>
      </w:r>
      <w:r>
        <w:t xml:space="preserve">social workers and </w:t>
      </w:r>
      <w:r w:rsidR="001E0FE3">
        <w:t>energy scheme providers – such as providing ‘boilers on prescription’ through health care</w:t>
      </w:r>
      <w:r w:rsidR="00DA51B1">
        <w:t xml:space="preserve"> organisations</w:t>
      </w:r>
      <w:r w:rsidR="001E0FE3">
        <w:t xml:space="preserve"> – </w:t>
      </w:r>
      <w:r w:rsidR="007D331A">
        <w:t>can ensure</w:t>
      </w:r>
      <w:r>
        <w:t xml:space="preserve"> v</w:t>
      </w:r>
      <w:r w:rsidR="00253CFF">
        <w:t>ulnerable group</w:t>
      </w:r>
      <w:r w:rsidR="001E0FE3">
        <w:t>s get access to suitable retrofit measures</w:t>
      </w:r>
      <w:r w:rsidR="001B165C">
        <w:t xml:space="preserve"> (Snell et al 2014)</w:t>
      </w:r>
      <w:r w:rsidR="00253CFF">
        <w:t xml:space="preserve">. </w:t>
      </w:r>
      <w:r w:rsidR="007D331A">
        <w:t>As well as</w:t>
      </w:r>
      <w:r w:rsidR="00F82D63">
        <w:t xml:space="preserve"> </w:t>
      </w:r>
      <w:r w:rsidR="00722046">
        <w:t>increasing</w:t>
      </w:r>
      <w:r w:rsidR="00253CFF">
        <w:t xml:space="preserve"> </w:t>
      </w:r>
      <w:r w:rsidR="00F82D63">
        <w:t xml:space="preserve">opportunities to raise awareness </w:t>
      </w:r>
      <w:r w:rsidR="00253CFF">
        <w:t xml:space="preserve">among </w:t>
      </w:r>
      <w:r w:rsidR="001E0FE3">
        <w:t>practitioners</w:t>
      </w:r>
      <w:r w:rsidR="00253CFF">
        <w:t xml:space="preserve"> and uptake </w:t>
      </w:r>
      <w:r w:rsidR="007D331A">
        <w:t>among</w:t>
      </w:r>
      <w:r w:rsidR="00253CFF">
        <w:t xml:space="preserve"> marginalised groups</w:t>
      </w:r>
      <w:r w:rsidR="001E0FE3">
        <w:t>, such schemes can challenge stereotypes by ensuring</w:t>
      </w:r>
      <w:r w:rsidR="00253CFF">
        <w:t xml:space="preserve"> households’ </w:t>
      </w:r>
      <w:r w:rsidR="00144A9C">
        <w:t xml:space="preserve">own views and </w:t>
      </w:r>
      <w:r w:rsidR="00253CFF">
        <w:t>needs are at the heart of scheme design and delivery.</w:t>
      </w:r>
      <w:r w:rsidR="004D0F6C">
        <w:t xml:space="preserve"> </w:t>
      </w:r>
      <w:r w:rsidR="00144A9C">
        <w:t>However, i</w:t>
      </w:r>
      <w:r w:rsidR="004D0F6C">
        <w:t xml:space="preserve">t is not just through </w:t>
      </w:r>
      <w:r w:rsidR="001E0FE3">
        <w:t xml:space="preserve">such </w:t>
      </w:r>
      <w:r w:rsidR="004D0F6C">
        <w:t>trusted intermediaries that households</w:t>
      </w:r>
      <w:r w:rsidR="0051496F">
        <w:t>’</w:t>
      </w:r>
      <w:r w:rsidR="004D0F6C">
        <w:t xml:space="preserve"> needs are recognised, </w:t>
      </w:r>
      <w:r w:rsidR="0051319A">
        <w:t xml:space="preserve">and </w:t>
      </w:r>
      <w:r w:rsidR="004D0F6C">
        <w:t xml:space="preserve">direct forms of participation </w:t>
      </w:r>
      <w:r w:rsidR="0051496F">
        <w:t xml:space="preserve">are also </w:t>
      </w:r>
      <w:r w:rsidR="00CB090F">
        <w:t>able</w:t>
      </w:r>
      <w:r w:rsidR="0051496F">
        <w:t xml:space="preserve"> to increase policy legitimacy and efficacy.</w:t>
      </w:r>
    </w:p>
    <w:p w14:paraId="0F650C84" w14:textId="044CBDE3" w:rsidR="00E672E8" w:rsidRDefault="00C41838" w:rsidP="002F1B3F">
      <w:pPr>
        <w:pStyle w:val="Heading1"/>
      </w:pPr>
      <w:r>
        <w:t xml:space="preserve">Participating in the </w:t>
      </w:r>
      <w:r w:rsidR="0025552F">
        <w:t>social and political life</w:t>
      </w:r>
      <w:r>
        <w:t xml:space="preserve"> of energy</w:t>
      </w:r>
    </w:p>
    <w:p w14:paraId="7A923CC2" w14:textId="5473A938" w:rsidR="00E672E8" w:rsidRDefault="00AB1871">
      <w:bookmarkStart w:id="1" w:name="_9r5vmt3urp5q" w:colFirst="0" w:colLast="0"/>
      <w:bookmarkEnd w:id="1"/>
      <w:r>
        <w:t>There are three key aspects to procedural justice</w:t>
      </w:r>
      <w:r w:rsidR="00E672E8">
        <w:t xml:space="preserve">: 1) who gets to access to decision-making processes, 2) how decisions are made and contested, and 3) how </w:t>
      </w:r>
      <w:r w:rsidR="00A7609C">
        <w:t>i</w:t>
      </w:r>
      <w:r w:rsidR="00E672E8">
        <w:t xml:space="preserve">mpartial these processes are </w:t>
      </w:r>
      <w:r w:rsidR="00E672E8">
        <w:rPr>
          <w:noProof/>
        </w:rPr>
        <w:t>(Sovacool and Dworkin, 2014: 208, Walker and Day, 2012)</w:t>
      </w:r>
      <w:r w:rsidR="00E672E8">
        <w:t xml:space="preserve">. </w:t>
      </w:r>
      <w:bookmarkStart w:id="2" w:name="_o5zvdln666ge" w:colFirst="0" w:colLast="0"/>
      <w:bookmarkStart w:id="3" w:name="_plk3kjddjiy4" w:colFirst="0" w:colLast="0"/>
      <w:bookmarkEnd w:id="2"/>
      <w:bookmarkEnd w:id="3"/>
      <w:r w:rsidR="00E672E8">
        <w:t xml:space="preserve">Political theorists have developed a number of participatory ideals that can offer guidance for our analysis of </w:t>
      </w:r>
      <w:r w:rsidR="003D5E71">
        <w:t>these issues</w:t>
      </w:r>
      <w:r w:rsidR="00E672E8">
        <w:t xml:space="preserve">. Building on the </w:t>
      </w:r>
      <w:r w:rsidR="003D5E71">
        <w:t xml:space="preserve">politics of </w:t>
      </w:r>
      <w:r w:rsidR="00E672E8">
        <w:t xml:space="preserve">recognition </w:t>
      </w:r>
      <w:r w:rsidR="003D5E71">
        <w:t>outlined above</w:t>
      </w:r>
      <w:r w:rsidR="00E672E8">
        <w:t xml:space="preserve">, </w:t>
      </w:r>
      <w:r w:rsidR="00E672E8" w:rsidRPr="00095012">
        <w:rPr>
          <w:color w:val="auto"/>
        </w:rPr>
        <w:t xml:space="preserve">Fraser </w:t>
      </w:r>
      <w:r w:rsidR="00095012">
        <w:t xml:space="preserve">(1999) </w:t>
      </w:r>
      <w:r w:rsidR="00E672E8">
        <w:t>argues for a ‘parity of participation’ in social life based on independence and equal</w:t>
      </w:r>
      <w:r w:rsidR="00235DCB">
        <w:t xml:space="preserve"> respect for all</w:t>
      </w:r>
      <w:r w:rsidR="003D5E71">
        <w:t xml:space="preserve"> voices. </w:t>
      </w:r>
      <w:r w:rsidR="00E763FC">
        <w:t>In the context of politics and decision-making</w:t>
      </w:r>
      <w:r w:rsidR="00E672E8">
        <w:t xml:space="preserve">, </w:t>
      </w:r>
      <w:r w:rsidR="00E672E8" w:rsidRPr="00095012">
        <w:rPr>
          <w:color w:val="auto"/>
        </w:rPr>
        <w:t xml:space="preserve">Habermas </w:t>
      </w:r>
      <w:r w:rsidR="00095012" w:rsidRPr="00095012">
        <w:rPr>
          <w:color w:val="auto"/>
        </w:rPr>
        <w:t xml:space="preserve">(2015) </w:t>
      </w:r>
      <w:r w:rsidR="00E672E8" w:rsidRPr="00095012">
        <w:rPr>
          <w:color w:val="auto"/>
        </w:rPr>
        <w:t xml:space="preserve">and Dryzek </w:t>
      </w:r>
      <w:r w:rsidR="00095012">
        <w:t xml:space="preserve">(2012) </w:t>
      </w:r>
      <w:r w:rsidR="00E763FC">
        <w:t>argue that such parity depends on</w:t>
      </w:r>
      <w:r w:rsidR="00E672E8">
        <w:t xml:space="preserve"> the creation of ‘ideal speech communities’ and </w:t>
      </w:r>
      <w:r w:rsidR="00235DCB">
        <w:t>‘</w:t>
      </w:r>
      <w:r w:rsidR="00E672E8">
        <w:t>deliberative democracies</w:t>
      </w:r>
      <w:r w:rsidR="00235DCB">
        <w:t>’</w:t>
      </w:r>
      <w:r w:rsidR="00E672E8">
        <w:t xml:space="preserve"> </w:t>
      </w:r>
      <w:r w:rsidR="00235DCB">
        <w:t>respectively</w:t>
      </w:r>
      <w:r w:rsidR="00095012">
        <w:t xml:space="preserve">, </w:t>
      </w:r>
      <w:r w:rsidR="001E752A">
        <w:t>stress</w:t>
      </w:r>
      <w:r w:rsidR="00095012">
        <w:t>ing</w:t>
      </w:r>
      <w:r w:rsidR="00E672E8">
        <w:t xml:space="preserve"> the importance of discursive interactions for the production of legitimate and accountable decisions. Ultimately</w:t>
      </w:r>
      <w:r w:rsidR="00235DCB">
        <w:t>,</w:t>
      </w:r>
      <w:r w:rsidR="00E672E8">
        <w:t xml:space="preserve"> </w:t>
      </w:r>
      <w:r w:rsidR="001E752A">
        <w:t>each</w:t>
      </w:r>
      <w:r w:rsidR="00E672E8">
        <w:t xml:space="preserve"> </w:t>
      </w:r>
      <w:r w:rsidR="001E752A">
        <w:t>aims</w:t>
      </w:r>
      <w:r w:rsidR="00E672E8">
        <w:t xml:space="preserve"> for </w:t>
      </w:r>
      <w:r w:rsidR="00235DCB">
        <w:t>a standard</w:t>
      </w:r>
      <w:r w:rsidR="00E672E8">
        <w:t xml:space="preserve"> of ‘due process’</w:t>
      </w:r>
      <w:r w:rsidR="00235DCB">
        <w:t>, through</w:t>
      </w:r>
      <w:r w:rsidR="00E672E8">
        <w:t xml:space="preserve"> which </w:t>
      </w:r>
      <w:r w:rsidR="00235DCB">
        <w:t>all stakeholders</w:t>
      </w:r>
      <w:r w:rsidR="00E672E8">
        <w:t xml:space="preserve"> have sufficient opportunity to assess options and</w:t>
      </w:r>
      <w:r w:rsidR="001E752A">
        <w:t xml:space="preserve"> to</w:t>
      </w:r>
      <w:r w:rsidR="00E672E8">
        <w:t xml:space="preserve"> influence outcomes</w:t>
      </w:r>
      <w:r w:rsidR="00235DCB">
        <w:t>.</w:t>
      </w:r>
    </w:p>
    <w:p w14:paraId="5731E665" w14:textId="27180E68" w:rsidR="00E672E8" w:rsidRDefault="00E672E8">
      <w:bookmarkStart w:id="4" w:name="_nmx86wy8wvw0" w:colFirst="0" w:colLast="0"/>
      <w:bookmarkEnd w:id="4"/>
      <w:r>
        <w:t xml:space="preserve">As with all ideal types, reality </w:t>
      </w:r>
      <w:r w:rsidR="00464DC1">
        <w:t>always falls short</w:t>
      </w:r>
      <w:r>
        <w:t xml:space="preserve">. </w:t>
      </w:r>
      <w:r w:rsidR="00235DCB">
        <w:t xml:space="preserve">But that does not make them redundant. </w:t>
      </w:r>
      <w:r>
        <w:t>Typologies of participation, based on real-world e</w:t>
      </w:r>
      <w:r w:rsidR="00235DCB">
        <w:t>xamples, can be analysed based on</w:t>
      </w:r>
      <w:r>
        <w:t xml:space="preserve"> their approximation to these ideals, as well as</w:t>
      </w:r>
      <w:r w:rsidR="00235DCB">
        <w:t xml:space="preserve"> on</w:t>
      </w:r>
      <w:r>
        <w:t xml:space="preserve"> their </w:t>
      </w:r>
      <w:r w:rsidR="00235DCB">
        <w:t>case-</w:t>
      </w:r>
      <w:r>
        <w:t>spe</w:t>
      </w:r>
      <w:r w:rsidR="00235DCB">
        <w:t>cific successes and failures</w:t>
      </w:r>
      <w:r>
        <w:t xml:space="preserve">. </w:t>
      </w:r>
      <w:r w:rsidR="00235DCB">
        <w:t>To illustrate</w:t>
      </w:r>
      <w:r>
        <w:t xml:space="preserve">, </w:t>
      </w:r>
      <w:r>
        <w:rPr>
          <w:noProof/>
        </w:rPr>
        <w:t>Fung (2006)</w:t>
      </w:r>
      <w:r>
        <w:t xml:space="preserve"> offers an assessment of various institutional spaces for participatory governance, with a specific focus on </w:t>
      </w:r>
      <w:r w:rsidR="00E94A44">
        <w:t xml:space="preserve">their capacity to bring about social </w:t>
      </w:r>
      <w:r>
        <w:t>justice</w:t>
      </w:r>
      <w:r w:rsidR="00E94A44">
        <w:t>. Perhaps unsurprisingly he argues</w:t>
      </w:r>
      <w:r>
        <w:t xml:space="preserve"> that equity can</w:t>
      </w:r>
      <w:r w:rsidR="00E94A44">
        <w:t xml:space="preserve"> best</w:t>
      </w:r>
      <w:r>
        <w:t xml:space="preserve"> be enhanced by shifting decision making powers away from</w:t>
      </w:r>
      <w:r w:rsidR="00E94A44">
        <w:t xml:space="preserve"> powerful</w:t>
      </w:r>
      <w:r>
        <w:t xml:space="preserve"> individuals or elites towards </w:t>
      </w:r>
      <w:r>
        <w:lastRenderedPageBreak/>
        <w:t xml:space="preserve">citizens, and by </w:t>
      </w:r>
      <w:r w:rsidR="00E94A44">
        <w:t>ensuring adequate space for exerting</w:t>
      </w:r>
      <w:r>
        <w:t xml:space="preserve"> public pressure and </w:t>
      </w:r>
      <w:r w:rsidR="00E94A44">
        <w:t>exercising scrutiny over</w:t>
      </w:r>
      <w:r>
        <w:t xml:space="preserve"> officials</w:t>
      </w:r>
      <w:r w:rsidR="009B74DC">
        <w:t xml:space="preserve"> and their decisions</w:t>
      </w:r>
      <w:r w:rsidR="00320547">
        <w:t>. Specifically in the context of energy systems and low-carbon transitions, Chilvers and Longhurst (2016) and Gillard et al. (2016) have demonstrated the importance of inclusive participation for governing changes to complex socio-technical systems.  In this vein</w:t>
      </w:r>
      <w:r>
        <w:t xml:space="preserve">, the increased availability of </w:t>
      </w:r>
      <w:r w:rsidR="00320547">
        <w:t xml:space="preserve">technical </w:t>
      </w:r>
      <w:r>
        <w:t xml:space="preserve">information and the digitalisation of government processes represents new opportunities for </w:t>
      </w:r>
      <w:r w:rsidR="00320547">
        <w:t xml:space="preserve">civic engagement and </w:t>
      </w:r>
      <w:r>
        <w:t xml:space="preserve">greater procedural justice </w:t>
      </w:r>
      <w:r>
        <w:rPr>
          <w:noProof/>
        </w:rPr>
        <w:t>(Hajer, 2009)</w:t>
      </w:r>
      <w:r>
        <w:t xml:space="preserve">, </w:t>
      </w:r>
      <w:r w:rsidR="00464DC1">
        <w:t>especially</w:t>
      </w:r>
      <w:r>
        <w:t xml:space="preserve"> among previously disengaged or hard-to-reach groups </w:t>
      </w:r>
      <w:r>
        <w:rPr>
          <w:noProof/>
        </w:rPr>
        <w:t>(di Gennaro and Dutton, 2006)</w:t>
      </w:r>
      <w:r>
        <w:t xml:space="preserve">. </w:t>
      </w:r>
      <w:r w:rsidR="00043428">
        <w:t xml:space="preserve">Nevertheless, </w:t>
      </w:r>
      <w:r>
        <w:t xml:space="preserve">critics </w:t>
      </w:r>
      <w:r w:rsidR="009B74DC">
        <w:t>warn</w:t>
      </w:r>
      <w:r w:rsidR="00320547">
        <w:t xml:space="preserve"> that, in practice, many such initiatives amount to</w:t>
      </w:r>
      <w:r>
        <w:t xml:space="preserve"> </w:t>
      </w:r>
      <w:r w:rsidR="00320547">
        <w:t>a</w:t>
      </w:r>
      <w:r>
        <w:t xml:space="preserve"> form of token participation, or ‘clicktivism’ that does little to </w:t>
      </w:r>
      <w:r w:rsidR="002C61C5">
        <w:t xml:space="preserve">overcome </w:t>
      </w:r>
      <w:r w:rsidR="00320547">
        <w:t>socio-</w:t>
      </w:r>
      <w:r w:rsidR="009D7C67">
        <w:t>politically</w:t>
      </w:r>
      <w:r w:rsidR="009B74DC">
        <w:t xml:space="preserve"> embedded forms of </w:t>
      </w:r>
      <w:r w:rsidR="002C61C5">
        <w:t>marginalisation</w:t>
      </w:r>
      <w:r>
        <w:t xml:space="preserve"> </w:t>
      </w:r>
      <w:r>
        <w:rPr>
          <w:noProof/>
        </w:rPr>
        <w:t>(Karpf, 2010, Selwyn, 2002)</w:t>
      </w:r>
      <w:r>
        <w:t>.</w:t>
      </w:r>
    </w:p>
    <w:p w14:paraId="51BC38BA" w14:textId="0F66EA5A" w:rsidR="00C82FA2" w:rsidRDefault="00C82FA2">
      <w:r>
        <w:t>Arguably,</w:t>
      </w:r>
      <w:r w:rsidR="00235DCB">
        <w:t xml:space="preserve"> </w:t>
      </w:r>
      <w:r w:rsidR="009B74DC">
        <w:t>information technology</w:t>
      </w:r>
      <w:r w:rsidR="00235DCB">
        <w:t xml:space="preserve"> and</w:t>
      </w:r>
      <w:r>
        <w:t xml:space="preserve"> the rise of non-state </w:t>
      </w:r>
      <w:r w:rsidR="00235DCB">
        <w:t>– or</w:t>
      </w:r>
      <w:r w:rsidR="00BD3711">
        <w:t xml:space="preserve"> what the UK Government termed</w:t>
      </w:r>
      <w:r w:rsidR="00235DCB">
        <w:t xml:space="preserve"> ‘Big Society’ – </w:t>
      </w:r>
      <w:r>
        <w:t xml:space="preserve">forms of governance </w:t>
      </w:r>
      <w:r w:rsidR="009B74DC">
        <w:t>have</w:t>
      </w:r>
      <w:r>
        <w:t xml:space="preserve"> created more opportunities for civic engagement and participation in the policy process (Cabinet Office, 2010</w:t>
      </w:r>
      <w:r w:rsidR="00235DCB">
        <w:t>; Wampler, 2012</w:t>
      </w:r>
      <w:r>
        <w:t>).</w:t>
      </w:r>
      <w:bookmarkStart w:id="5" w:name="_y15q3gqij5ez" w:colFirst="0" w:colLast="0"/>
      <w:bookmarkEnd w:id="5"/>
      <w:r>
        <w:t xml:space="preserve"> In the case of energy this includes community energy schemes, voluntary sector initiatives and microgeneration opportunities</w:t>
      </w:r>
      <w:r w:rsidR="00235DCB">
        <w:t xml:space="preserve">. </w:t>
      </w:r>
      <w:r w:rsidR="009B74DC">
        <w:t xml:space="preserve">For example, with regards to household level energy demand, there is a strand of research that sees procedural justice as a way of fostering collective values for, and practical engagement with, low-carbon living i.e. reducing energy consumption (see contributions to </w:t>
      </w:r>
      <w:r w:rsidR="00043428">
        <w:t xml:space="preserve">the </w:t>
      </w:r>
      <w:r w:rsidR="009B74DC">
        <w:t xml:space="preserve">special section edited by </w:t>
      </w:r>
      <w:r w:rsidR="009B74DC" w:rsidRPr="007251B5">
        <w:rPr>
          <w:color w:val="auto"/>
        </w:rPr>
        <w:t xml:space="preserve">Mulugetta </w:t>
      </w:r>
      <w:r w:rsidR="009B74DC" w:rsidRPr="00BE2AED">
        <w:rPr>
          <w:i/>
          <w:color w:val="auto"/>
        </w:rPr>
        <w:t>et a</w:t>
      </w:r>
      <w:r w:rsidR="009B74DC" w:rsidRPr="00C82FA2">
        <w:rPr>
          <w:i/>
          <w:color w:val="auto"/>
        </w:rPr>
        <w:t>l</w:t>
      </w:r>
      <w:r w:rsidR="009B74DC">
        <w:rPr>
          <w:i/>
          <w:color w:val="auto"/>
        </w:rPr>
        <w:t>.,</w:t>
      </w:r>
      <w:r w:rsidR="009B74DC" w:rsidRPr="007251B5">
        <w:rPr>
          <w:color w:val="auto"/>
        </w:rPr>
        <w:t xml:space="preserve"> 2010; Walker, 2011</w:t>
      </w:r>
      <w:r w:rsidR="009B74DC">
        <w:t xml:space="preserve">). </w:t>
      </w:r>
      <w:r>
        <w:t xml:space="preserve">However, the procedural equity of some of these initiatives </w:t>
      </w:r>
      <w:r w:rsidR="009B74DC">
        <w:t xml:space="preserve">has often been found wanting </w:t>
      </w:r>
      <w:r>
        <w:t xml:space="preserve">when they are put into practice (e.g. </w:t>
      </w:r>
      <w:r w:rsidRPr="00DD0DF5">
        <w:rPr>
          <w:color w:val="auto"/>
        </w:rPr>
        <w:t>Swyngedouw, 2005</w:t>
      </w:r>
      <w:r w:rsidRPr="00BE5C93">
        <w:rPr>
          <w:color w:val="auto"/>
        </w:rPr>
        <w:t xml:space="preserve">; Wesselink </w:t>
      </w:r>
      <w:r w:rsidRPr="00C82FA2">
        <w:rPr>
          <w:i/>
          <w:color w:val="auto"/>
        </w:rPr>
        <w:t>et al</w:t>
      </w:r>
      <w:r w:rsidRPr="00BE5C93">
        <w:rPr>
          <w:color w:val="auto"/>
        </w:rPr>
        <w:t>., 2011; Stirling, 2014</w:t>
      </w:r>
      <w:r>
        <w:t xml:space="preserve">). </w:t>
      </w:r>
      <w:r w:rsidR="009B74DC">
        <w:t xml:space="preserve">In the UK, </w:t>
      </w:r>
      <w:r w:rsidRPr="007251B5">
        <w:rPr>
          <w:color w:val="auto"/>
        </w:rPr>
        <w:t xml:space="preserve">Aiken (2016) </w:t>
      </w:r>
      <w:r>
        <w:t xml:space="preserve">highlights the </w:t>
      </w:r>
      <w:r w:rsidR="009B74DC">
        <w:t>restrictive impact of contingent funding for</w:t>
      </w:r>
      <w:r>
        <w:t xml:space="preserve"> community energy schemes</w:t>
      </w:r>
      <w:r w:rsidR="009B74DC">
        <w:t>,</w:t>
      </w:r>
      <w:r>
        <w:t xml:space="preserve"> </w:t>
      </w:r>
      <w:r w:rsidR="009B74DC">
        <w:t xml:space="preserve">and </w:t>
      </w:r>
      <w:r w:rsidRPr="00224021">
        <w:rPr>
          <w:color w:val="auto"/>
        </w:rPr>
        <w:t xml:space="preserve">Catney </w:t>
      </w:r>
      <w:r w:rsidRPr="00E763FC">
        <w:rPr>
          <w:i/>
          <w:color w:val="auto"/>
        </w:rPr>
        <w:t>et al</w:t>
      </w:r>
      <w:r w:rsidRPr="00224021">
        <w:rPr>
          <w:color w:val="auto"/>
        </w:rPr>
        <w:t xml:space="preserve">. </w:t>
      </w:r>
      <w:r>
        <w:t xml:space="preserve">(2014) directly challenge the Big Society agenda on justice grounds, arguing that </w:t>
      </w:r>
      <w:r w:rsidR="00235DCB">
        <w:t>its</w:t>
      </w:r>
      <w:r>
        <w:t xml:space="preserve"> reduced role for the state actually undermines opportunities for genuine political participation, instead redirecting citizens towards the markets and self-reliance.</w:t>
      </w:r>
    </w:p>
    <w:p w14:paraId="18D7E68D" w14:textId="56782D3B" w:rsidR="008B1236" w:rsidRPr="00205DDE" w:rsidRDefault="0060712F" w:rsidP="008B1236">
      <w:pPr>
        <w:rPr>
          <w:b/>
          <w:i/>
        </w:rPr>
      </w:pPr>
      <w:bookmarkStart w:id="6" w:name="_ots10ofbmmvd" w:colFirst="0" w:colLast="0"/>
      <w:bookmarkStart w:id="7" w:name="_9v4iou4jx7d3" w:colFirst="0" w:colLast="0"/>
      <w:bookmarkEnd w:id="6"/>
      <w:bookmarkEnd w:id="7"/>
      <w:r>
        <w:rPr>
          <w:b/>
          <w:i/>
        </w:rPr>
        <w:t>Vulnerable groups</w:t>
      </w:r>
    </w:p>
    <w:p w14:paraId="1C645D9B" w14:textId="4A7E743F" w:rsidR="008B1236" w:rsidRDefault="008B1236">
      <w:pPr>
        <w:rPr>
          <w:color w:val="auto"/>
        </w:rPr>
      </w:pPr>
      <w:bookmarkStart w:id="8" w:name="_5nleqnid9pc7" w:colFirst="0" w:colLast="0"/>
      <w:bookmarkEnd w:id="8"/>
      <w:r>
        <w:t>Procedural justice</w:t>
      </w:r>
      <w:r w:rsidR="00E672E8">
        <w:t xml:space="preserve"> is a prominent theme in disability studies. It means different things to different </w:t>
      </w:r>
      <w:r w:rsidR="00332407">
        <w:t>people</w:t>
      </w:r>
      <w:r w:rsidR="00E672E8">
        <w:t>, and its form and expression varies depending on the context (</w:t>
      </w:r>
      <w:r w:rsidR="00E672E8" w:rsidRPr="001A3AD1">
        <w:rPr>
          <w:color w:val="auto"/>
        </w:rPr>
        <w:t>Hammel et al</w:t>
      </w:r>
      <w:r w:rsidR="001A3AD1" w:rsidRPr="001A3AD1">
        <w:rPr>
          <w:color w:val="auto"/>
        </w:rPr>
        <w:t>., 2008</w:t>
      </w:r>
      <w:r w:rsidR="00332407" w:rsidRPr="001A3AD1">
        <w:rPr>
          <w:color w:val="auto"/>
        </w:rPr>
        <w:t xml:space="preserve">; Barnes </w:t>
      </w:r>
      <w:r w:rsidR="001A3AD1" w:rsidRPr="001A3AD1">
        <w:rPr>
          <w:color w:val="auto"/>
        </w:rPr>
        <w:t>and</w:t>
      </w:r>
      <w:r w:rsidR="00332407" w:rsidRPr="001A3AD1">
        <w:rPr>
          <w:color w:val="auto"/>
        </w:rPr>
        <w:t xml:space="preserve"> Mercer</w:t>
      </w:r>
      <w:r w:rsidR="001A3AD1" w:rsidRPr="001A3AD1">
        <w:rPr>
          <w:color w:val="auto"/>
        </w:rPr>
        <w:t>, 2006</w:t>
      </w:r>
      <w:r w:rsidR="00E672E8">
        <w:t xml:space="preserve">). Historically, at least in the UK, </w:t>
      </w:r>
      <w:r w:rsidR="002E3565">
        <w:t xml:space="preserve">disabled </w:t>
      </w:r>
      <w:r w:rsidR="00E672E8">
        <w:t>people</w:t>
      </w:r>
      <w:r w:rsidR="00991E1E">
        <w:t xml:space="preserve"> </w:t>
      </w:r>
      <w:r w:rsidR="00E672E8">
        <w:t>have faced significant barriers to engagement with mainstream political activities such as voting, campaigning, an</w:t>
      </w:r>
      <w:r w:rsidR="00A44C5E">
        <w:t>d competing for election (ibid)</w:t>
      </w:r>
      <w:r w:rsidR="007F31ED">
        <w:t>. Partly as a response to this</w:t>
      </w:r>
      <w:r w:rsidR="00E672E8">
        <w:t xml:space="preserve">, during the 1990s there was increased interest in identity politics and </w:t>
      </w:r>
      <w:r w:rsidR="0029026D">
        <w:t>a search for</w:t>
      </w:r>
      <w:r w:rsidR="00E672E8">
        <w:t xml:space="preserve"> focal points through which </w:t>
      </w:r>
      <w:r w:rsidR="002E3565">
        <w:t xml:space="preserve">disabled </w:t>
      </w:r>
      <w:r w:rsidR="00E672E8">
        <w:t>people could directly seek to influence decisions (</w:t>
      </w:r>
      <w:r w:rsidR="00E672E8" w:rsidRPr="007251B5">
        <w:rPr>
          <w:color w:val="auto"/>
        </w:rPr>
        <w:t>Young</w:t>
      </w:r>
      <w:r w:rsidR="007251B5" w:rsidRPr="007251B5">
        <w:rPr>
          <w:color w:val="auto"/>
        </w:rPr>
        <w:t>, 2011</w:t>
      </w:r>
      <w:r w:rsidR="00E672E8" w:rsidRPr="007251B5">
        <w:rPr>
          <w:color w:val="auto"/>
        </w:rPr>
        <w:t>; Oliver and Barnes</w:t>
      </w:r>
      <w:r w:rsidR="007251B5" w:rsidRPr="007251B5">
        <w:rPr>
          <w:color w:val="auto"/>
        </w:rPr>
        <w:t>, 2012</w:t>
      </w:r>
      <w:r w:rsidR="00E672E8" w:rsidRPr="007251B5">
        <w:rPr>
          <w:color w:val="auto"/>
        </w:rPr>
        <w:t xml:space="preserve">). </w:t>
      </w:r>
    </w:p>
    <w:p w14:paraId="7B3090CB" w14:textId="5B4A9CF8" w:rsidR="008B1236" w:rsidRDefault="00E672E8">
      <w:r>
        <w:t>This activity was gradually formalised through routine consultations and partnerships with N</w:t>
      </w:r>
      <w:r w:rsidR="00332407">
        <w:t>on-</w:t>
      </w:r>
      <w:r>
        <w:t>G</w:t>
      </w:r>
      <w:r w:rsidR="00332407">
        <w:t xml:space="preserve">overnmental </w:t>
      </w:r>
      <w:r>
        <w:t>O</w:t>
      </w:r>
      <w:r w:rsidR="00332407">
        <w:t>rganisation</w:t>
      </w:r>
      <w:r>
        <w:t>s</w:t>
      </w:r>
      <w:r w:rsidR="00332407">
        <w:t xml:space="preserve"> (NGOs)</w:t>
      </w:r>
      <w:r>
        <w:t xml:space="preserve"> (e.g. Disability Rights UK) and through government </w:t>
      </w:r>
      <w:r w:rsidR="00332407">
        <w:t>agencies</w:t>
      </w:r>
      <w:r>
        <w:t xml:space="preserve"> (e.g. the Equalities and Human Rights Commission). As</w:t>
      </w:r>
      <w:r w:rsidRPr="007251B5">
        <w:rPr>
          <w:color w:val="auto"/>
        </w:rPr>
        <w:t xml:space="preserve"> Boyce </w:t>
      </w:r>
      <w:r w:rsidR="007251B5" w:rsidRPr="007251B5">
        <w:rPr>
          <w:color w:val="auto"/>
        </w:rPr>
        <w:t xml:space="preserve">(2001) </w:t>
      </w:r>
      <w:r>
        <w:t xml:space="preserve">has shown in numerous case studies, the benefit of this formal approach is its direct </w:t>
      </w:r>
      <w:r w:rsidR="008B1236">
        <w:t>influence on the</w:t>
      </w:r>
      <w:r>
        <w:t xml:space="preserve"> political-legal-economic structures that constrain disability politics. However, </w:t>
      </w:r>
      <w:r w:rsidRPr="007251B5">
        <w:rPr>
          <w:color w:val="auto"/>
        </w:rPr>
        <w:t xml:space="preserve">Oliver and Barnes </w:t>
      </w:r>
      <w:r w:rsidR="007251B5">
        <w:t xml:space="preserve">(2012) </w:t>
      </w:r>
      <w:r>
        <w:t>argue</w:t>
      </w:r>
      <w:r w:rsidR="00A83FEE">
        <w:t xml:space="preserve"> that</w:t>
      </w:r>
      <w:r w:rsidR="008B1236">
        <w:t xml:space="preserve">, because it </w:t>
      </w:r>
      <w:r>
        <w:t xml:space="preserve">aggregates variations in impairments and overlooks the inter-personal self-expression of </w:t>
      </w:r>
      <w:r w:rsidR="002E3565">
        <w:t xml:space="preserve">disabled </w:t>
      </w:r>
      <w:r w:rsidR="0050354F">
        <w:t>people</w:t>
      </w:r>
      <w:r>
        <w:t xml:space="preserve">, </w:t>
      </w:r>
      <w:r w:rsidR="008B1236">
        <w:t>this approach risks</w:t>
      </w:r>
      <w:r>
        <w:t xml:space="preserve"> </w:t>
      </w:r>
      <w:r w:rsidR="008B1236">
        <w:t>undermining</w:t>
      </w:r>
      <w:r>
        <w:t xml:space="preserve"> more radical attempts to create an equal and enabling society. </w:t>
      </w:r>
      <w:r w:rsidR="008B1236">
        <w:t>For instance</w:t>
      </w:r>
      <w:r>
        <w:t xml:space="preserve">, disabled people's participation in UK politics and policymaking depends, to a large extent, on how their interests are represented by </w:t>
      </w:r>
      <w:r w:rsidR="008B1236">
        <w:t>NGOs</w:t>
      </w:r>
      <w:r>
        <w:t xml:space="preserve"> and the</w:t>
      </w:r>
      <w:r w:rsidR="008B1236">
        <w:t xml:space="preserve"> degree of</w:t>
      </w:r>
      <w:r>
        <w:t xml:space="preserve"> institutional space afforded to them by different mechanisms of government. </w:t>
      </w:r>
    </w:p>
    <w:p w14:paraId="0EB2642B" w14:textId="4537066D" w:rsidR="00E672E8" w:rsidRDefault="00E672E8">
      <w:r>
        <w:t>Protecting the interests of a minority of disabled citizens in a majority-rule democracy is certainly no easy task (</w:t>
      </w:r>
      <w:r w:rsidRPr="000A5DFB">
        <w:rPr>
          <w:color w:val="auto"/>
        </w:rPr>
        <w:t>Drake, 2002</w:t>
      </w:r>
      <w:r w:rsidR="00D850E7">
        <w:t>).</w:t>
      </w:r>
      <w:r>
        <w:t xml:space="preserve"> </w:t>
      </w:r>
      <w:r w:rsidR="008B1236">
        <w:t>Although</w:t>
      </w:r>
      <w:r>
        <w:t xml:space="preserve"> some organisations are </w:t>
      </w:r>
      <w:r w:rsidR="00225B13">
        <w:t>effective</w:t>
      </w:r>
      <w:r>
        <w:t xml:space="preserve"> at securing political expression (for a typology see </w:t>
      </w:r>
      <w:r w:rsidRPr="000A5DFB">
        <w:rPr>
          <w:color w:val="auto"/>
        </w:rPr>
        <w:t>Barnes and Mercer</w:t>
      </w:r>
      <w:r w:rsidR="000A5DFB">
        <w:rPr>
          <w:color w:val="auto"/>
        </w:rPr>
        <w:t>, 2006</w:t>
      </w:r>
      <w:r w:rsidRPr="000A5DFB">
        <w:rPr>
          <w:color w:val="auto"/>
        </w:rPr>
        <w:t>: 162</w:t>
      </w:r>
      <w:r>
        <w:t xml:space="preserve">), </w:t>
      </w:r>
      <w:r w:rsidR="00D850E7">
        <w:t xml:space="preserve">there are </w:t>
      </w:r>
      <w:r w:rsidR="008B1236">
        <w:t xml:space="preserve">certainly </w:t>
      </w:r>
      <w:r w:rsidR="00D850E7">
        <w:t xml:space="preserve">limitations imposed by </w:t>
      </w:r>
      <w:r>
        <w:t xml:space="preserve">‘rules </w:t>
      </w:r>
      <w:r>
        <w:lastRenderedPageBreak/>
        <w:t xml:space="preserve">of engagement’ </w:t>
      </w:r>
      <w:r w:rsidR="00225B13">
        <w:t>with government e.g. the UK Lobbying Act</w:t>
      </w:r>
      <w:r w:rsidR="00D850E7">
        <w:t>, which restricts charities who are beneficiaries of public finance from lobbying government</w:t>
      </w:r>
      <w:r w:rsidR="000A5DFB">
        <w:t xml:space="preserve"> </w:t>
      </w:r>
      <w:r w:rsidR="00225B13">
        <w:t>(Butler, 2016).</w:t>
      </w:r>
      <w:r w:rsidR="008B1236">
        <w:t xml:space="preserve"> </w:t>
      </w:r>
      <w:r w:rsidR="00EB3EE0">
        <w:t>Therefore, we should not be too quick to equate certain mainstream forms of political expression with wholesale procedural equity; some groups face additional political, practical and personal barriers to ensuring their voice is heard during decision-making processes.</w:t>
      </w:r>
    </w:p>
    <w:p w14:paraId="149D6AF9" w14:textId="1728F4A9" w:rsidR="007D7552" w:rsidRDefault="00D479CC">
      <w:pPr>
        <w:rPr>
          <w:color w:val="auto"/>
        </w:rPr>
      </w:pPr>
      <w:r>
        <w:t>As for many disabled people</w:t>
      </w:r>
      <w:r w:rsidR="00E672E8">
        <w:t>, government</w:t>
      </w:r>
      <w:r w:rsidR="00D850E7">
        <w:t>s in welfare states play</w:t>
      </w:r>
      <w:r w:rsidR="00E672E8">
        <w:t xml:space="preserve"> an important role in providing a </w:t>
      </w:r>
      <w:r w:rsidR="00A4308D">
        <w:t xml:space="preserve">financial </w:t>
      </w:r>
      <w:r w:rsidR="00E672E8">
        <w:t xml:space="preserve">safety net of key entitlements such as food and energy </w:t>
      </w:r>
      <w:r>
        <w:t xml:space="preserve">for families living on low-incomes </w:t>
      </w:r>
      <w:r w:rsidR="00E672E8">
        <w:t>(</w:t>
      </w:r>
      <w:r w:rsidR="00E672E8" w:rsidRPr="00225B13">
        <w:rPr>
          <w:color w:val="auto"/>
        </w:rPr>
        <w:t>Spicker</w:t>
      </w:r>
      <w:r w:rsidR="00225B13" w:rsidRPr="00225B13">
        <w:rPr>
          <w:color w:val="auto"/>
        </w:rPr>
        <w:t>, 2007</w:t>
      </w:r>
      <w:r w:rsidR="00E672E8">
        <w:t xml:space="preserve">). Yet, even in rich democracies with mature welfare systems, there </w:t>
      </w:r>
      <w:r w:rsidR="00FB5646">
        <w:t>are a number of</w:t>
      </w:r>
      <w:r w:rsidR="00E672E8">
        <w:t xml:space="preserve"> s</w:t>
      </w:r>
      <w:r w:rsidR="00FB5646">
        <w:t>ocio-economic</w:t>
      </w:r>
      <w:r w:rsidR="00E672E8">
        <w:t xml:space="preserve"> risks afflicting low-income families</w:t>
      </w:r>
      <w:r w:rsidR="00233F87" w:rsidRPr="00233F87">
        <w:rPr>
          <w:color w:val="auto"/>
        </w:rPr>
        <w:t xml:space="preserve"> </w:t>
      </w:r>
      <w:r w:rsidR="00FB5646">
        <w:rPr>
          <w:color w:val="auto"/>
        </w:rPr>
        <w:t xml:space="preserve">e.g. tension between family and work life, lone parenthood, long-term unemployment and ‘in work poverty’ </w:t>
      </w:r>
      <w:r w:rsidR="00233F87">
        <w:rPr>
          <w:color w:val="auto"/>
        </w:rPr>
        <w:t>(</w:t>
      </w:r>
      <w:r w:rsidR="00233F87" w:rsidRPr="00225B13">
        <w:rPr>
          <w:color w:val="auto"/>
        </w:rPr>
        <w:t>Bonoli, 2005</w:t>
      </w:r>
      <w:r w:rsidR="00FB5646">
        <w:rPr>
          <w:color w:val="auto"/>
        </w:rPr>
        <w:t xml:space="preserve">; Tinson </w:t>
      </w:r>
      <w:r w:rsidR="00FB5646">
        <w:rPr>
          <w:i/>
          <w:color w:val="auto"/>
        </w:rPr>
        <w:t>et al.</w:t>
      </w:r>
      <w:r w:rsidR="00FB5646">
        <w:rPr>
          <w:color w:val="auto"/>
        </w:rPr>
        <w:t>, 2016</w:t>
      </w:r>
      <w:r w:rsidR="00233F87">
        <w:rPr>
          <w:color w:val="auto"/>
        </w:rPr>
        <w:t xml:space="preserve">). There are </w:t>
      </w:r>
      <w:r w:rsidR="00867868">
        <w:rPr>
          <w:color w:val="auto"/>
        </w:rPr>
        <w:t xml:space="preserve">a </w:t>
      </w:r>
      <w:r w:rsidR="00233F87">
        <w:rPr>
          <w:color w:val="auto"/>
        </w:rPr>
        <w:t>variety of reasons for this persistent vulnerability</w:t>
      </w:r>
      <w:r w:rsidR="007D7552">
        <w:rPr>
          <w:color w:val="auto"/>
        </w:rPr>
        <w:t xml:space="preserve"> effect</w:t>
      </w:r>
      <w:r w:rsidR="00233F87">
        <w:rPr>
          <w:color w:val="auto"/>
        </w:rPr>
        <w:t>, but the ‘politics of poverty’ plays a large part</w:t>
      </w:r>
      <w:r w:rsidR="00867868">
        <w:rPr>
          <w:color w:val="auto"/>
        </w:rPr>
        <w:t>.</w:t>
      </w:r>
    </w:p>
    <w:p w14:paraId="5E3361A4" w14:textId="18140804" w:rsidR="00F82497" w:rsidRDefault="007C0A7D">
      <w:r>
        <w:rPr>
          <w:color w:val="auto"/>
        </w:rPr>
        <w:t>S</w:t>
      </w:r>
      <w:r w:rsidR="007D7552">
        <w:rPr>
          <w:color w:val="auto"/>
        </w:rPr>
        <w:t>implistic</w:t>
      </w:r>
      <w:r w:rsidR="00233F87">
        <w:rPr>
          <w:color w:val="auto"/>
        </w:rPr>
        <w:t xml:space="preserve"> understanding</w:t>
      </w:r>
      <w:r w:rsidR="007D7552">
        <w:rPr>
          <w:color w:val="auto"/>
        </w:rPr>
        <w:t>s</w:t>
      </w:r>
      <w:r w:rsidR="00233F87">
        <w:rPr>
          <w:color w:val="auto"/>
        </w:rPr>
        <w:t xml:space="preserve"> of why poverty exists (</w:t>
      </w:r>
      <w:r w:rsidR="007D7552">
        <w:rPr>
          <w:color w:val="auto"/>
        </w:rPr>
        <w:t>typically described as one or all of: a</w:t>
      </w:r>
      <w:r w:rsidR="00233F87">
        <w:rPr>
          <w:color w:val="auto"/>
        </w:rPr>
        <w:t xml:space="preserve"> lack of money, morals or employment)</w:t>
      </w:r>
      <w:r>
        <w:rPr>
          <w:color w:val="auto"/>
        </w:rPr>
        <w:t>,</w:t>
      </w:r>
      <w:r w:rsidR="00233F87">
        <w:rPr>
          <w:color w:val="auto"/>
        </w:rPr>
        <w:t xml:space="preserve"> </w:t>
      </w:r>
      <w:r w:rsidR="00867868">
        <w:rPr>
          <w:color w:val="auto"/>
        </w:rPr>
        <w:t>and the lack of voice given to alternative perspectives during policymaking</w:t>
      </w:r>
      <w:r>
        <w:rPr>
          <w:color w:val="auto"/>
        </w:rPr>
        <w:t>,</w:t>
      </w:r>
      <w:r w:rsidR="00233F87">
        <w:rPr>
          <w:color w:val="auto"/>
        </w:rPr>
        <w:t xml:space="preserve"> </w:t>
      </w:r>
      <w:r w:rsidR="007D7552">
        <w:t xml:space="preserve">can </w:t>
      </w:r>
      <w:r w:rsidR="00225B13">
        <w:t xml:space="preserve">generate </w:t>
      </w:r>
      <w:r w:rsidR="00E672E8">
        <w:t>inadequate</w:t>
      </w:r>
      <w:r w:rsidR="00D479CC">
        <w:t xml:space="preserve"> or ineffective</w:t>
      </w:r>
      <w:r w:rsidR="00E672E8">
        <w:t xml:space="preserve"> policies (</w:t>
      </w:r>
      <w:r w:rsidR="00E672E8" w:rsidRPr="00225B13">
        <w:rPr>
          <w:color w:val="auto"/>
        </w:rPr>
        <w:t>Brady</w:t>
      </w:r>
      <w:r w:rsidR="00233F87">
        <w:rPr>
          <w:color w:val="auto"/>
        </w:rPr>
        <w:t>, 2009; Levitas, 2005</w:t>
      </w:r>
      <w:r w:rsidR="00E672E8">
        <w:t>).</w:t>
      </w:r>
      <w:r w:rsidR="00CA3E8B">
        <w:t xml:space="preserve"> </w:t>
      </w:r>
      <w:r w:rsidR="0057344B">
        <w:t>To illustrate, recent social p</w:t>
      </w:r>
      <w:r w:rsidR="00E672E8">
        <w:t>olicies</w:t>
      </w:r>
      <w:r w:rsidR="00205B16">
        <w:t xml:space="preserve"> </w:t>
      </w:r>
      <w:r w:rsidR="0057344B">
        <w:t xml:space="preserve">in the UK </w:t>
      </w:r>
      <w:r w:rsidR="00205B16">
        <w:t>targeting the children of low-income</w:t>
      </w:r>
      <w:r w:rsidR="00E672E8">
        <w:t xml:space="preserve"> families</w:t>
      </w:r>
      <w:r w:rsidR="00205B16">
        <w:t xml:space="preserve"> e</w:t>
      </w:r>
      <w:r w:rsidR="00E672E8">
        <w:t>xhibit a</w:t>
      </w:r>
      <w:r w:rsidR="00205B16">
        <w:t xml:space="preserve"> fundamental</w:t>
      </w:r>
      <w:r w:rsidR="00E672E8">
        <w:t xml:space="preserve"> </w:t>
      </w:r>
      <w:r w:rsidR="00507796">
        <w:t>contradiction</w:t>
      </w:r>
      <w:r w:rsidR="003F5E75">
        <w:t>;</w:t>
      </w:r>
      <w:r w:rsidR="00E672E8">
        <w:t xml:space="preserve"> seeking to encourage </w:t>
      </w:r>
      <w:r w:rsidR="00E672E8">
        <w:rPr>
          <w:i/>
        </w:rPr>
        <w:t xml:space="preserve">self-realisation </w:t>
      </w:r>
      <w:r w:rsidR="003F5E75">
        <w:t xml:space="preserve">and independent participation in society </w:t>
      </w:r>
      <w:r w:rsidR="00E672E8">
        <w:t>on the one hand</w:t>
      </w:r>
      <w:r w:rsidR="003F5E75">
        <w:t>,</w:t>
      </w:r>
      <w:r w:rsidR="00E672E8">
        <w:t xml:space="preserve"> whilst seeking to </w:t>
      </w:r>
      <w:r w:rsidR="00E672E8">
        <w:rPr>
          <w:i/>
        </w:rPr>
        <w:t xml:space="preserve">control </w:t>
      </w:r>
      <w:r w:rsidR="003F5E75">
        <w:t>their behaviour in-line with expectations about their productive contribution to the future of the economy on</w:t>
      </w:r>
      <w:r w:rsidR="00E672E8">
        <w:t xml:space="preserve"> the other (</w:t>
      </w:r>
      <w:r w:rsidR="00E672E8" w:rsidRPr="00A2587F">
        <w:rPr>
          <w:color w:val="auto"/>
        </w:rPr>
        <w:t>Prout</w:t>
      </w:r>
      <w:r w:rsidR="00A2587F" w:rsidRPr="00A2587F">
        <w:rPr>
          <w:color w:val="auto"/>
        </w:rPr>
        <w:t>, 2000</w:t>
      </w:r>
      <w:r w:rsidR="00E672E8" w:rsidRPr="00A2587F">
        <w:rPr>
          <w:color w:val="auto"/>
        </w:rPr>
        <w:t xml:space="preserve">; </w:t>
      </w:r>
      <w:r w:rsidR="00E672E8" w:rsidRPr="00220E9D">
        <w:rPr>
          <w:color w:val="auto"/>
        </w:rPr>
        <w:t>Brown</w:t>
      </w:r>
      <w:r w:rsidR="00273FFE">
        <w:t>, 2015</w:t>
      </w:r>
      <w:r w:rsidR="00E672E8">
        <w:t xml:space="preserve">). </w:t>
      </w:r>
      <w:r w:rsidR="00EE7C19">
        <w:t xml:space="preserve">A related example </w:t>
      </w:r>
      <w:r w:rsidR="0057344B">
        <w:t xml:space="preserve">that </w:t>
      </w:r>
      <w:r w:rsidR="000F2CB5">
        <w:t>a</w:t>
      </w:r>
      <w:r w:rsidR="0057344B">
        <w:t xml:space="preserve">ffects the parents of young children </w:t>
      </w:r>
      <w:r w:rsidR="00EE7C19">
        <w:t>is the rise of welfare sanctions, a punitive conditionality attached to welfare support</w:t>
      </w:r>
      <w:r w:rsidR="00507796">
        <w:t xml:space="preserve"> that has added to </w:t>
      </w:r>
      <w:r w:rsidR="0057344B">
        <w:t>the vulnerability of many families</w:t>
      </w:r>
      <w:r w:rsidR="00507796">
        <w:t xml:space="preserve"> (Dwyer, 2004).</w:t>
      </w:r>
    </w:p>
    <w:p w14:paraId="32E6599E" w14:textId="4DD9CEFC" w:rsidR="00E95FA4" w:rsidRDefault="00E95FA4">
      <w:pPr>
        <w:rPr>
          <w:color w:val="auto"/>
        </w:rPr>
      </w:pPr>
      <w:r>
        <w:rPr>
          <w:color w:val="auto"/>
        </w:rPr>
        <w:t>Partly in response to such policy shortcomings, t</w:t>
      </w:r>
      <w:r w:rsidR="00E672E8">
        <w:rPr>
          <w:color w:val="auto"/>
        </w:rPr>
        <w:t>here have been efforts to</w:t>
      </w:r>
      <w:r w:rsidR="00BC7A1C">
        <w:rPr>
          <w:color w:val="auto"/>
        </w:rPr>
        <w:t xml:space="preserve"> </w:t>
      </w:r>
      <w:r w:rsidR="00E672E8">
        <w:rPr>
          <w:color w:val="auto"/>
        </w:rPr>
        <w:t xml:space="preserve">include the perspectives of those </w:t>
      </w:r>
      <w:r>
        <w:rPr>
          <w:color w:val="auto"/>
        </w:rPr>
        <w:t>with first-hand experience of living</w:t>
      </w:r>
      <w:r w:rsidR="007C0A7D">
        <w:rPr>
          <w:color w:val="auto"/>
        </w:rPr>
        <w:t xml:space="preserve"> with disabilities or living</w:t>
      </w:r>
      <w:r>
        <w:rPr>
          <w:color w:val="auto"/>
        </w:rPr>
        <w:t xml:space="preserve"> in poverty</w:t>
      </w:r>
      <w:r w:rsidR="00E672E8">
        <w:rPr>
          <w:color w:val="auto"/>
        </w:rPr>
        <w:t xml:space="preserve"> in policymaking (</w:t>
      </w:r>
      <w:r w:rsidR="00E672E8">
        <w:t xml:space="preserve">see: </w:t>
      </w:r>
      <w:r w:rsidR="00C574E3">
        <w:t>Campbell &amp; Oliver, 2013</w:t>
      </w:r>
      <w:r w:rsidR="00E672E8" w:rsidRPr="0007549D">
        <w:rPr>
          <w:color w:val="auto"/>
        </w:rPr>
        <w:t>; Lister</w:t>
      </w:r>
      <w:r w:rsidR="0007549D" w:rsidRPr="0007549D">
        <w:rPr>
          <w:color w:val="auto"/>
        </w:rPr>
        <w:t>, 2004</w:t>
      </w:r>
      <w:r w:rsidR="00C574E3">
        <w:rPr>
          <w:color w:val="auto"/>
        </w:rPr>
        <w:t xml:space="preserve"> respectively</w:t>
      </w:r>
      <w:r w:rsidR="00E672E8">
        <w:t xml:space="preserve">). </w:t>
      </w:r>
      <w:r>
        <w:t xml:space="preserve">Some of the reasons for </w:t>
      </w:r>
      <w:r w:rsidR="00E672E8">
        <w:t>the</w:t>
      </w:r>
      <w:r>
        <w:t xml:space="preserve">ir </w:t>
      </w:r>
      <w:r w:rsidR="007C0A7D">
        <w:t>limited</w:t>
      </w:r>
      <w:r w:rsidR="00E672E8">
        <w:t xml:space="preserve"> results </w:t>
      </w:r>
      <w:r>
        <w:t xml:space="preserve">attest to </w:t>
      </w:r>
      <w:r w:rsidR="007C0A7D">
        <w:t>a</w:t>
      </w:r>
      <w:r>
        <w:t xml:space="preserve"> lack of procedural </w:t>
      </w:r>
      <w:r w:rsidR="007C0A7D">
        <w:t>equity</w:t>
      </w:r>
      <w:r>
        <w:t xml:space="preserve"> for certain groups e.g.</w:t>
      </w:r>
      <w:r w:rsidR="00E672E8">
        <w:t xml:space="preserve"> difficulties </w:t>
      </w:r>
      <w:r>
        <w:t>around</w:t>
      </w:r>
      <w:r w:rsidR="00E672E8">
        <w:t xml:space="preserve"> capacity building </w:t>
      </w:r>
      <w:r>
        <w:t>(</w:t>
      </w:r>
      <w:r w:rsidR="007C0A7D">
        <w:t xml:space="preserve">e.g. in </w:t>
      </w:r>
      <w:r w:rsidR="00E672E8">
        <w:t>low-income communities</w:t>
      </w:r>
      <w:r>
        <w:t>)</w:t>
      </w:r>
      <w:r w:rsidR="00E672E8">
        <w:t xml:space="preserve">, </w:t>
      </w:r>
      <w:r w:rsidR="007C0A7D">
        <w:t>unequal access to decision makers</w:t>
      </w:r>
      <w:r w:rsidR="00E672E8">
        <w:t xml:space="preserve"> </w:t>
      </w:r>
      <w:r>
        <w:t>(</w:t>
      </w:r>
      <w:r w:rsidR="007C0A7D">
        <w:t>e.g. for marginalised groups</w:t>
      </w:r>
      <w:r w:rsidR="00E672E8">
        <w:t>), and a lack of understanding of – or disillu</w:t>
      </w:r>
      <w:r>
        <w:t>sionment with – party politics (</w:t>
      </w:r>
      <w:r w:rsidR="00F3225F">
        <w:t xml:space="preserve">e.g. among </w:t>
      </w:r>
      <w:r w:rsidR="00E672E8">
        <w:t>young people</w:t>
      </w:r>
      <w:r>
        <w:t>)</w:t>
      </w:r>
      <w:r w:rsidR="00E672E8">
        <w:t xml:space="preserve"> (</w:t>
      </w:r>
      <w:r w:rsidR="00E672E8" w:rsidRPr="00C91E74">
        <w:rPr>
          <w:color w:val="auto"/>
        </w:rPr>
        <w:t>Sloam</w:t>
      </w:r>
      <w:r w:rsidR="00C91E74" w:rsidRPr="00C91E74">
        <w:rPr>
          <w:color w:val="auto"/>
        </w:rPr>
        <w:t>, 2007</w:t>
      </w:r>
      <w:r w:rsidR="00E672E8" w:rsidRPr="00C91E74">
        <w:rPr>
          <w:color w:val="auto"/>
        </w:rPr>
        <w:t xml:space="preserve">; </w:t>
      </w:r>
      <w:r w:rsidR="00C91E74" w:rsidRPr="00C91E74">
        <w:rPr>
          <w:color w:val="auto"/>
        </w:rPr>
        <w:t>Marsh et al., 20</w:t>
      </w:r>
      <w:r w:rsidR="00C91E74">
        <w:rPr>
          <w:color w:val="auto"/>
        </w:rPr>
        <w:t>07</w:t>
      </w:r>
      <w:r w:rsidR="00E672E8">
        <w:rPr>
          <w:color w:val="auto"/>
        </w:rPr>
        <w:t xml:space="preserve">). </w:t>
      </w:r>
    </w:p>
    <w:p w14:paraId="232AFCF6" w14:textId="590DF106" w:rsidR="00E672E8" w:rsidRPr="00D1180C" w:rsidRDefault="007C0A7D">
      <w:pPr>
        <w:rPr>
          <w:color w:val="auto"/>
        </w:rPr>
      </w:pPr>
      <w:r>
        <w:rPr>
          <w:color w:val="auto"/>
        </w:rPr>
        <w:t>In summary</w:t>
      </w:r>
      <w:r w:rsidR="00E672E8">
        <w:rPr>
          <w:color w:val="auto"/>
        </w:rPr>
        <w:t xml:space="preserve">, for </w:t>
      </w:r>
      <w:r w:rsidR="000F2CB5">
        <w:rPr>
          <w:color w:val="auto"/>
        </w:rPr>
        <w:t xml:space="preserve">disabled </w:t>
      </w:r>
      <w:r>
        <w:rPr>
          <w:color w:val="auto"/>
        </w:rPr>
        <w:t xml:space="preserve">people and </w:t>
      </w:r>
      <w:r w:rsidR="00E672E8">
        <w:rPr>
          <w:color w:val="auto"/>
        </w:rPr>
        <w:t>low-income families</w:t>
      </w:r>
      <w:r w:rsidR="00BC7A1C">
        <w:rPr>
          <w:color w:val="auto"/>
        </w:rPr>
        <w:t xml:space="preserve"> and their children</w:t>
      </w:r>
      <w:r w:rsidR="00E672E8">
        <w:rPr>
          <w:color w:val="auto"/>
        </w:rPr>
        <w:t xml:space="preserve">, the barriers to effective participation and due process are manifold. </w:t>
      </w:r>
      <w:r w:rsidR="00E672E8">
        <w:t xml:space="preserve">In the first instance, their means of self-expression are limited and they are generally treated as the targets – not curators – of policies. On top of this, their ability to access information and </w:t>
      </w:r>
      <w:r w:rsidR="00BC7A1C">
        <w:t xml:space="preserve">to </w:t>
      </w:r>
      <w:r w:rsidR="00E672E8">
        <w:t>navigate political processes</w:t>
      </w:r>
      <w:r w:rsidR="00BC7A1C">
        <w:t xml:space="preserve">, </w:t>
      </w:r>
      <w:r w:rsidR="00E95FA4">
        <w:t>whether</w:t>
      </w:r>
      <w:r w:rsidR="00E672E8">
        <w:t xml:space="preserve"> through representat</w:t>
      </w:r>
      <w:r w:rsidR="00204AD6">
        <w:t>ives</w:t>
      </w:r>
      <w:r w:rsidR="00E95FA4">
        <w:t xml:space="preserve"> or personally</w:t>
      </w:r>
      <w:r w:rsidR="00BC7A1C">
        <w:t>,</w:t>
      </w:r>
      <w:r w:rsidR="00204AD6">
        <w:t xml:space="preserve"> </w:t>
      </w:r>
      <w:r w:rsidR="00E672E8">
        <w:t>is limited by</w:t>
      </w:r>
      <w:r w:rsidR="003F5E75">
        <w:t xml:space="preserve"> the</w:t>
      </w:r>
      <w:r w:rsidR="00E672E8">
        <w:t xml:space="preserve"> entrenched </w:t>
      </w:r>
      <w:r w:rsidR="00204AD6">
        <w:t>structural</w:t>
      </w:r>
      <w:r w:rsidR="00E672E8">
        <w:t xml:space="preserve"> power imbalances</w:t>
      </w:r>
      <w:r w:rsidR="003F5E75">
        <w:t xml:space="preserve"> of mainstream politics</w:t>
      </w:r>
      <w:r w:rsidR="00E672E8">
        <w:t>.</w:t>
      </w:r>
    </w:p>
    <w:p w14:paraId="43373738" w14:textId="7E800726" w:rsidR="00E672E8" w:rsidRPr="0044759C" w:rsidRDefault="006B70FF">
      <w:pPr>
        <w:rPr>
          <w:b/>
        </w:rPr>
      </w:pPr>
      <w:bookmarkStart w:id="9" w:name="_p85wn8ot2pes" w:colFirst="0" w:colLast="0"/>
      <w:bookmarkEnd w:id="9"/>
      <w:r>
        <w:rPr>
          <w:b/>
          <w:i/>
        </w:rPr>
        <w:t>The retrofit challenge</w:t>
      </w:r>
    </w:p>
    <w:p w14:paraId="384E2E9E" w14:textId="301E20A6" w:rsidR="00E672E8" w:rsidRDefault="00E672E8">
      <w:pPr>
        <w:spacing w:after="0"/>
      </w:pPr>
      <w:r>
        <w:t xml:space="preserve">There is a </w:t>
      </w:r>
      <w:r w:rsidR="005B6AF1">
        <w:t xml:space="preserve">significant amount </w:t>
      </w:r>
      <w:r>
        <w:t>of literature addressing procedural justice in the context of energy policies (</w:t>
      </w:r>
      <w:r w:rsidR="005B6AF1">
        <w:t xml:space="preserve">for an overview see: </w:t>
      </w:r>
      <w:r w:rsidRPr="005B6AF1">
        <w:rPr>
          <w:color w:val="auto"/>
        </w:rPr>
        <w:t>Sovacool</w:t>
      </w:r>
      <w:r w:rsidR="005B6AF1" w:rsidRPr="005B6AF1">
        <w:rPr>
          <w:color w:val="auto"/>
        </w:rPr>
        <w:t>, 2014</w:t>
      </w:r>
      <w:r>
        <w:t xml:space="preserve">). Much of it focuses on the role of energy in </w:t>
      </w:r>
      <w:r w:rsidR="00762874">
        <w:t>reducing</w:t>
      </w:r>
      <w:r>
        <w:t xml:space="preserve"> </w:t>
      </w:r>
      <w:r w:rsidR="00341849">
        <w:t>poverty</w:t>
      </w:r>
      <w:r w:rsidR="00AA4A83">
        <w:t>, or on the level of</w:t>
      </w:r>
      <w:r>
        <w:t xml:space="preserve"> influence the public has over large-scale infrastructure decisions (</w:t>
      </w:r>
      <w:r w:rsidRPr="005B6AF1">
        <w:rPr>
          <w:color w:val="auto"/>
        </w:rPr>
        <w:t>ibid</w:t>
      </w:r>
      <w:r w:rsidR="00762874" w:rsidRPr="005B6AF1">
        <w:rPr>
          <w:color w:val="auto"/>
        </w:rPr>
        <w:t>; Stirling, 2014</w:t>
      </w:r>
      <w:r>
        <w:t>). Comparatively little has been written about energy efficiency</w:t>
      </w:r>
      <w:r w:rsidR="00AA4A83">
        <w:t>,</w:t>
      </w:r>
      <w:r w:rsidR="00762874">
        <w:t xml:space="preserve"> </w:t>
      </w:r>
      <w:r w:rsidR="00AA4A83">
        <w:t>where the emphasis is usually on participation-as-</w:t>
      </w:r>
      <w:r>
        <w:t>uptake</w:t>
      </w:r>
      <w:r w:rsidR="00762874">
        <w:t xml:space="preserve"> of retrofit measures</w:t>
      </w:r>
      <w:r w:rsidR="00AA4A83">
        <w:t xml:space="preserve"> rather than the more political aspects of scheme design and procedures.</w:t>
      </w:r>
    </w:p>
    <w:p w14:paraId="2A5F43FC" w14:textId="77777777" w:rsidR="00E672E8" w:rsidRDefault="00E672E8">
      <w:pPr>
        <w:spacing w:after="0"/>
      </w:pPr>
    </w:p>
    <w:p w14:paraId="23BFD332" w14:textId="6872367D" w:rsidR="00E672E8" w:rsidRDefault="00E672E8">
      <w:pPr>
        <w:spacing w:after="0"/>
      </w:pPr>
      <w:r>
        <w:t xml:space="preserve">The importance of access to information is frequently stated in energy efficiency policymaking and research, usually with the intention of making energy consumption – and by extension, </w:t>
      </w:r>
      <w:r w:rsidR="00E3421D">
        <w:t>the</w:t>
      </w:r>
      <w:r w:rsidR="00A47756">
        <w:t xml:space="preserve"> </w:t>
      </w:r>
      <w:r w:rsidR="00A47756">
        <w:lastRenderedPageBreak/>
        <w:t>economic and environmental</w:t>
      </w:r>
      <w:r w:rsidR="00E3421D">
        <w:t xml:space="preserve"> costs associated with it</w:t>
      </w:r>
      <w:r>
        <w:t xml:space="preserve"> – more conspicuous. </w:t>
      </w:r>
      <w:r w:rsidR="00E3421D">
        <w:t>For example, i</w:t>
      </w:r>
      <w:r>
        <w:t xml:space="preserve">n the UK, Energy Performance Certificates for dwellings are </w:t>
      </w:r>
      <w:r w:rsidR="00AA4A83">
        <w:t>a legal requirement</w:t>
      </w:r>
      <w:r>
        <w:t>, and there is a strong interest in the behaviour change potential of smart meters and energy saving campaigns</w:t>
      </w:r>
      <w:r w:rsidR="00A47756">
        <w:t xml:space="preserve"> that introduce a real-time display of energy consumption costs into the household</w:t>
      </w:r>
      <w:r>
        <w:t xml:space="preserve"> (</w:t>
      </w:r>
      <w:r w:rsidR="006A63A1">
        <w:t xml:space="preserve">Hargreaves </w:t>
      </w:r>
      <w:r w:rsidR="006A63A1" w:rsidRPr="00341849">
        <w:rPr>
          <w:i/>
        </w:rPr>
        <w:t>et al</w:t>
      </w:r>
      <w:r w:rsidR="006A63A1">
        <w:t>., 2013</w:t>
      </w:r>
      <w:r>
        <w:t xml:space="preserve">). </w:t>
      </w:r>
      <w:r w:rsidR="006927F2">
        <w:t>How individuals react</w:t>
      </w:r>
      <w:r w:rsidR="005B6AF1">
        <w:t xml:space="preserve"> to these </w:t>
      </w:r>
      <w:r w:rsidR="006927F2">
        <w:t xml:space="preserve">specific </w:t>
      </w:r>
      <w:r w:rsidR="005B6AF1">
        <w:t xml:space="preserve">initiatives, and to </w:t>
      </w:r>
      <w:r w:rsidR="006A63A1">
        <w:t>retrofit incentives</w:t>
      </w:r>
      <w:r w:rsidR="006927F2">
        <w:t xml:space="preserve"> more generally, is</w:t>
      </w:r>
      <w:r w:rsidR="005B6AF1">
        <w:t xml:space="preserve"> affected by </w:t>
      </w:r>
      <w:r w:rsidR="006A63A1">
        <w:t>scheme</w:t>
      </w:r>
      <w:r w:rsidR="005B6AF1">
        <w:t xml:space="preserve"> </w:t>
      </w:r>
      <w:r>
        <w:t>designs, information provision and financial incentives (</w:t>
      </w:r>
      <w:r w:rsidRPr="006A63A1">
        <w:rPr>
          <w:color w:val="auto"/>
        </w:rPr>
        <w:t>Hoicka</w:t>
      </w:r>
      <w:r w:rsidR="006A63A1" w:rsidRPr="006A63A1">
        <w:rPr>
          <w:color w:val="auto"/>
        </w:rPr>
        <w:t xml:space="preserve"> </w:t>
      </w:r>
      <w:r w:rsidR="006A63A1" w:rsidRPr="00341849">
        <w:rPr>
          <w:i/>
          <w:color w:val="auto"/>
        </w:rPr>
        <w:t>et al</w:t>
      </w:r>
      <w:r w:rsidR="006A63A1" w:rsidRPr="006A63A1">
        <w:rPr>
          <w:color w:val="auto"/>
        </w:rPr>
        <w:t>., 2014</w:t>
      </w:r>
      <w:r w:rsidRPr="006A63A1">
        <w:rPr>
          <w:color w:val="auto"/>
        </w:rPr>
        <w:t>; James</w:t>
      </w:r>
      <w:r w:rsidR="006A63A1" w:rsidRPr="006A63A1">
        <w:rPr>
          <w:color w:val="auto"/>
        </w:rPr>
        <w:t>, 2012</w:t>
      </w:r>
      <w:r w:rsidR="006927F2">
        <w:t>), as well as by</w:t>
      </w:r>
      <w:r>
        <w:t xml:space="preserve"> particulariti</w:t>
      </w:r>
      <w:r w:rsidR="006927F2">
        <w:t>es of the household itself</w:t>
      </w:r>
      <w:r w:rsidR="005B6AF1">
        <w:t xml:space="preserve"> (</w:t>
      </w:r>
      <w:r w:rsidRPr="006A63A1">
        <w:rPr>
          <w:color w:val="auto"/>
        </w:rPr>
        <w:t>Crosbie and Baker</w:t>
      </w:r>
      <w:r w:rsidR="006A63A1" w:rsidRPr="006A63A1">
        <w:rPr>
          <w:color w:val="auto"/>
        </w:rPr>
        <w:t>, 2010</w:t>
      </w:r>
      <w:r w:rsidRPr="006A63A1">
        <w:rPr>
          <w:color w:val="auto"/>
        </w:rPr>
        <w:t xml:space="preserve">; </w:t>
      </w:r>
      <w:r w:rsidR="007574B3" w:rsidRPr="007574B3">
        <w:rPr>
          <w:color w:val="auto"/>
        </w:rPr>
        <w:t>Jenkins, 2010</w:t>
      </w:r>
      <w:r w:rsidR="005B6AF1">
        <w:rPr>
          <w:color w:val="auto"/>
        </w:rPr>
        <w:t>;</w:t>
      </w:r>
      <w:r w:rsidR="005B6AF1" w:rsidRPr="006A63A1">
        <w:rPr>
          <w:color w:val="auto"/>
        </w:rPr>
        <w:t xml:space="preserve"> Ofgem, </w:t>
      </w:r>
      <w:r w:rsidR="006A63A1" w:rsidRPr="006A63A1">
        <w:rPr>
          <w:color w:val="auto"/>
        </w:rPr>
        <w:t>2013</w:t>
      </w:r>
      <w:r>
        <w:t xml:space="preserve">). </w:t>
      </w:r>
      <w:r w:rsidR="00C229D7">
        <w:t>Echoing findings from disabilities studies regarding</w:t>
      </w:r>
      <w:r>
        <w:t xml:space="preserve"> user-led design, there is evidence </w:t>
      </w:r>
      <w:r w:rsidR="00C229D7">
        <w:t>to support</w:t>
      </w:r>
      <w:r>
        <w:t xml:space="preserve"> engaging energy technology users earlier </w:t>
      </w:r>
      <w:r w:rsidR="00C229D7">
        <w:t>in the design and decision-</w:t>
      </w:r>
      <w:r>
        <w:t>making process to boost uptake and engagement (</w:t>
      </w:r>
      <w:r w:rsidRPr="00E06B24">
        <w:rPr>
          <w:color w:val="auto"/>
        </w:rPr>
        <w:t>Ornetzeder</w:t>
      </w:r>
      <w:r w:rsidR="00E06B24" w:rsidRPr="00E06B24">
        <w:rPr>
          <w:color w:val="auto"/>
        </w:rPr>
        <w:t xml:space="preserve"> </w:t>
      </w:r>
      <w:r w:rsidR="005B6AF1">
        <w:rPr>
          <w:color w:val="auto"/>
        </w:rPr>
        <w:t>and</w:t>
      </w:r>
      <w:r w:rsidR="00E06B24" w:rsidRPr="00E06B24">
        <w:rPr>
          <w:color w:val="auto"/>
        </w:rPr>
        <w:t xml:space="preserve"> Rohracher, 2006</w:t>
      </w:r>
      <w:r>
        <w:t xml:space="preserve">). More </w:t>
      </w:r>
      <w:r w:rsidRPr="00D019CC">
        <w:rPr>
          <w:i/>
        </w:rPr>
        <w:t>ex post</w:t>
      </w:r>
      <w:r>
        <w:t xml:space="preserve"> policy evaluations and </w:t>
      </w:r>
      <w:r w:rsidR="006927F2">
        <w:t xml:space="preserve">practice-oriented </w:t>
      </w:r>
      <w:r>
        <w:t xml:space="preserve">research is needed to learn from vulnerable households about their specific experiences of – not just reasons for – </w:t>
      </w:r>
      <w:r w:rsidR="00E3421D">
        <w:t xml:space="preserve">managing their energy consumption and </w:t>
      </w:r>
      <w:r w:rsidR="00C229D7">
        <w:t>getting involved</w:t>
      </w:r>
      <w:r>
        <w:t xml:space="preserve"> in energy </w:t>
      </w:r>
      <w:r w:rsidR="00E3421D">
        <w:t xml:space="preserve">efficiency </w:t>
      </w:r>
      <w:r>
        <w:t xml:space="preserve">schemes (e.g. </w:t>
      </w:r>
      <w:r w:rsidRPr="00E06B24">
        <w:rPr>
          <w:color w:val="auto"/>
        </w:rPr>
        <w:t>Gamtessa</w:t>
      </w:r>
      <w:r w:rsidR="00E06B24" w:rsidRPr="00E06B24">
        <w:rPr>
          <w:color w:val="auto"/>
        </w:rPr>
        <w:t>, 2013</w:t>
      </w:r>
      <w:r w:rsidRPr="00E06B24">
        <w:rPr>
          <w:color w:val="auto"/>
        </w:rPr>
        <w:t xml:space="preserve">; Gilbertson </w:t>
      </w:r>
      <w:r w:rsidRPr="004C55F2">
        <w:rPr>
          <w:i/>
          <w:color w:val="auto"/>
        </w:rPr>
        <w:t>et al</w:t>
      </w:r>
      <w:r w:rsidR="00E06B24" w:rsidRPr="00E06B24">
        <w:rPr>
          <w:color w:val="auto"/>
        </w:rPr>
        <w:t>., 2006</w:t>
      </w:r>
      <w:r w:rsidR="006927F2">
        <w:rPr>
          <w:color w:val="auto"/>
        </w:rPr>
        <w:t>; Walker, 2014</w:t>
      </w:r>
      <w:r w:rsidRPr="00C34D4C">
        <w:rPr>
          <w:color w:val="auto"/>
        </w:rPr>
        <w:t>)</w:t>
      </w:r>
      <w:r>
        <w:t>.</w:t>
      </w:r>
    </w:p>
    <w:p w14:paraId="1115E4EE" w14:textId="77777777" w:rsidR="00E672E8" w:rsidRDefault="00E672E8">
      <w:pPr>
        <w:spacing w:after="0"/>
      </w:pPr>
    </w:p>
    <w:p w14:paraId="6EEC00BE" w14:textId="2436756F" w:rsidR="00E672E8" w:rsidRDefault="00C229D7" w:rsidP="00461341">
      <w:pPr>
        <w:spacing w:after="0"/>
      </w:pPr>
      <w:r>
        <w:t>At the community level,</w:t>
      </w:r>
      <w:r w:rsidR="00E672E8">
        <w:t xml:space="preserve"> </w:t>
      </w:r>
      <w:r w:rsidR="00E672E8" w:rsidRPr="007574B3">
        <w:rPr>
          <w:color w:val="auto"/>
        </w:rPr>
        <w:t>Hoffman and High-Pippert</w:t>
      </w:r>
      <w:r w:rsidR="007574B3" w:rsidRPr="007574B3">
        <w:rPr>
          <w:color w:val="auto"/>
        </w:rPr>
        <w:t xml:space="preserve"> (2010)</w:t>
      </w:r>
      <w:r w:rsidR="00E672E8">
        <w:t xml:space="preserve"> draw on a range of cases studies to argue that fostering a ‘civic culture’ increases and maintains participation. The Plymouth Energy Community</w:t>
      </w:r>
      <w:r w:rsidR="00B81EFC">
        <w:t xml:space="preserve"> in England</w:t>
      </w:r>
      <w:r w:rsidR="00E672E8">
        <w:t xml:space="preserve"> is an example of how such success stories can </w:t>
      </w:r>
      <w:r w:rsidR="00B81EFC">
        <w:t>directly benefit the most vulnerable</w:t>
      </w:r>
      <w:r w:rsidR="00E80E42">
        <w:t>. Here, profits from electricity micro-generation were reinvested</w:t>
      </w:r>
      <w:r w:rsidR="00E672E8">
        <w:t xml:space="preserve"> into energy efficiency </w:t>
      </w:r>
      <w:r w:rsidR="00E80E42">
        <w:t xml:space="preserve">measures </w:t>
      </w:r>
      <w:r w:rsidR="00E672E8">
        <w:t xml:space="preserve">and </w:t>
      </w:r>
      <w:r w:rsidR="00E80E42">
        <w:t>a formal link was established between previously marginalised fuel poor households and</w:t>
      </w:r>
      <w:r w:rsidR="00E672E8">
        <w:t xml:space="preserve"> </w:t>
      </w:r>
      <w:r w:rsidR="00E80E42">
        <w:t>local government officials</w:t>
      </w:r>
      <w:r w:rsidR="00E672E8">
        <w:t xml:space="preserve">. However, as noted above, building capacity in low-income communities can be slow to yield results, </w:t>
      </w:r>
      <w:r w:rsidR="00E80E42">
        <w:t>especially when</w:t>
      </w:r>
      <w:r w:rsidR="00E672E8">
        <w:t xml:space="preserve"> community level schemes </w:t>
      </w:r>
      <w:r w:rsidR="00E80E42">
        <w:t>fail to take procedural</w:t>
      </w:r>
      <w:r w:rsidR="00E672E8">
        <w:t xml:space="preserve"> inequalities into account (</w:t>
      </w:r>
      <w:r w:rsidR="00E80E42">
        <w:t xml:space="preserve">see: </w:t>
      </w:r>
      <w:r w:rsidR="00E672E8" w:rsidRPr="00FE22F3">
        <w:rPr>
          <w:color w:val="auto"/>
        </w:rPr>
        <w:t>Middlemiss and Parrish</w:t>
      </w:r>
      <w:r w:rsidR="00FE22F3" w:rsidRPr="00FE22F3">
        <w:rPr>
          <w:color w:val="auto"/>
        </w:rPr>
        <w:t>, 2010</w:t>
      </w:r>
      <w:r w:rsidR="00E672E8">
        <w:t xml:space="preserve">). </w:t>
      </w:r>
      <w:r w:rsidR="00E80E42">
        <w:t xml:space="preserve">Evidence from successful schemes point to the importance of </w:t>
      </w:r>
      <w:r w:rsidR="00144A9C">
        <w:t>building</w:t>
      </w:r>
      <w:r w:rsidR="00E80E42">
        <w:t xml:space="preserve"> s</w:t>
      </w:r>
      <w:r w:rsidR="00E672E8">
        <w:t>ocial capital,</w:t>
      </w:r>
      <w:r w:rsidR="00144A9C">
        <w:t xml:space="preserve"> establishing new</w:t>
      </w:r>
      <w:r w:rsidR="00E672E8">
        <w:t xml:space="preserve"> norm</w:t>
      </w:r>
      <w:r w:rsidR="00144A9C">
        <w:t>s,</w:t>
      </w:r>
      <w:r w:rsidR="00E672E8">
        <w:t xml:space="preserve"> and </w:t>
      </w:r>
      <w:r w:rsidR="00144A9C">
        <w:t xml:space="preserve">working with pre-existing </w:t>
      </w:r>
      <w:r w:rsidR="00E672E8">
        <w:t xml:space="preserve">local governance networks </w:t>
      </w:r>
      <w:r w:rsidR="00E80E42">
        <w:t xml:space="preserve">to increase uptake and ensure </w:t>
      </w:r>
      <w:r w:rsidR="00BC7A1C">
        <w:t>fuel poor</w:t>
      </w:r>
      <w:r w:rsidR="00E80E42">
        <w:t xml:space="preserve"> households have a positive</w:t>
      </w:r>
      <w:r w:rsidR="00E672E8">
        <w:t xml:space="preserve"> experience</w:t>
      </w:r>
      <w:r w:rsidR="00E80E42">
        <w:t xml:space="preserve"> when</w:t>
      </w:r>
      <w:r w:rsidR="00BC7A1C">
        <w:t xml:space="preserve"> engaging with policy</w:t>
      </w:r>
      <w:r w:rsidR="00E672E8">
        <w:t xml:space="preserve"> (</w:t>
      </w:r>
      <w:r w:rsidR="00FE22F3">
        <w:t>DECC, 2016</w:t>
      </w:r>
      <w:r w:rsidR="00FE22F3" w:rsidRPr="00FE22F3">
        <w:rPr>
          <w:color w:val="auto"/>
        </w:rPr>
        <w:t xml:space="preserve">; </w:t>
      </w:r>
      <w:r w:rsidR="006F2518" w:rsidRPr="00FE22F3">
        <w:rPr>
          <w:color w:val="auto"/>
        </w:rPr>
        <w:t xml:space="preserve">McMichael </w:t>
      </w:r>
      <w:r w:rsidR="005B6AF1">
        <w:rPr>
          <w:color w:val="auto"/>
        </w:rPr>
        <w:t>and</w:t>
      </w:r>
      <w:r w:rsidR="006F2518" w:rsidRPr="00FE22F3">
        <w:rPr>
          <w:color w:val="auto"/>
        </w:rPr>
        <w:t xml:space="preserve"> Shipworth, 2013; Sovacool, 2015)</w:t>
      </w:r>
      <w:r w:rsidR="00E672E8" w:rsidRPr="00FE22F3">
        <w:rPr>
          <w:color w:val="auto"/>
        </w:rPr>
        <w:t>.</w:t>
      </w:r>
    </w:p>
    <w:p w14:paraId="6EE567EA" w14:textId="5850CB96" w:rsidR="00E672E8" w:rsidRDefault="003E27EC" w:rsidP="002F1B3F">
      <w:pPr>
        <w:pStyle w:val="Heading1"/>
      </w:pPr>
      <w:r>
        <w:t>Distributi</w:t>
      </w:r>
      <w:r w:rsidR="00E672E8">
        <w:t>n</w:t>
      </w:r>
      <w:r>
        <w:t>g access to</w:t>
      </w:r>
      <w:r w:rsidR="00B81EFC">
        <w:t xml:space="preserve"> energy services and efficiency</w:t>
      </w:r>
    </w:p>
    <w:p w14:paraId="71D0759D" w14:textId="33A1F136" w:rsidR="00E672E8" w:rsidRDefault="00B81EFC" w:rsidP="002F1B3F">
      <w:r>
        <w:t>Distributional justice</w:t>
      </w:r>
      <w:r w:rsidR="00E672E8">
        <w:t xml:space="preserve"> refers to the way </w:t>
      </w:r>
      <w:r w:rsidR="00B85552">
        <w:t xml:space="preserve">certain </w:t>
      </w:r>
      <w:r w:rsidR="00493006">
        <w:t xml:space="preserve">goods and services </w:t>
      </w:r>
      <w:r w:rsidR="00E672E8">
        <w:t>are</w:t>
      </w:r>
      <w:r w:rsidR="00B85552">
        <w:t xml:space="preserve"> shared across society</w:t>
      </w:r>
      <w:r w:rsidR="00E672E8">
        <w:t xml:space="preserve">. As such, fuel poverty is intuitively defined as a distributional issue i.e. a minority of people have less than adequate access to energy services </w:t>
      </w:r>
      <w:r w:rsidR="00F53868">
        <w:t xml:space="preserve">that are typically </w:t>
      </w:r>
      <w:r w:rsidR="00E672E8">
        <w:t xml:space="preserve">enjoyed by a majority. </w:t>
      </w:r>
      <w:r>
        <w:t xml:space="preserve">Following Boardman (2013), </w:t>
      </w:r>
      <w:r w:rsidR="00C01302">
        <w:t xml:space="preserve">fuel poverty </w:t>
      </w:r>
      <w:r>
        <w:t>is</w:t>
      </w:r>
      <w:r w:rsidR="00C01302">
        <w:t xml:space="preserve"> the outcome of three </w:t>
      </w:r>
      <w:r>
        <w:t xml:space="preserve">different </w:t>
      </w:r>
      <w:r w:rsidR="00C01302">
        <w:t>intersecting distributional inequities</w:t>
      </w:r>
      <w:r>
        <w:t xml:space="preserve"> (see figure 1)</w:t>
      </w:r>
      <w:r w:rsidR="00C01302">
        <w:t>: the amount of financial resources available, the price of energy</w:t>
      </w:r>
      <w:r w:rsidR="00521B06">
        <w:t xml:space="preserve"> and the level of energy efficiency</w:t>
      </w:r>
      <w:r w:rsidR="00C01302">
        <w:t xml:space="preserve">. </w:t>
      </w:r>
      <w:r w:rsidR="00E672E8">
        <w:t xml:space="preserve">As with recognition and participation, </w:t>
      </w:r>
      <w:r>
        <w:t>the prevalence and impacts of these</w:t>
      </w:r>
      <w:r w:rsidR="00E672E8">
        <w:t xml:space="preserve"> distributional injustices </w:t>
      </w:r>
      <w:r>
        <w:t xml:space="preserve">differs across groups (e.g. </w:t>
      </w:r>
      <w:r w:rsidR="00E672E8">
        <w:t>demographics, dwelling types and geography</w:t>
      </w:r>
      <w:r>
        <w:t>), leaving some more vulnerable than others</w:t>
      </w:r>
      <w:r w:rsidR="00E672E8">
        <w:t xml:space="preserve">. </w:t>
      </w:r>
      <w:r w:rsidR="00C01302">
        <w:t>A</w:t>
      </w:r>
      <w:r w:rsidR="00E672E8">
        <w:t xml:space="preserve">ccounting for these differences is a central theme in policy debates about how to alleviate fuel poverty </w:t>
      </w:r>
      <w:r>
        <w:t>cost-effectively and equitably.</w:t>
      </w:r>
    </w:p>
    <w:p w14:paraId="653D00BE" w14:textId="6D2B306A" w:rsidR="00E672E8" w:rsidRDefault="00225B75" w:rsidP="002F1B3F">
      <w:r>
        <w:t>T</w:t>
      </w:r>
      <w:r w:rsidR="00E672E8">
        <w:t xml:space="preserve">he foundational work of social contract theorists and rights-based capabilities / entitlements approaches offer compelling arguments for designing energy systems to favour the most vulnerable and to pursue universal access to sufficient energy services </w:t>
      </w:r>
      <w:r w:rsidR="00E672E8">
        <w:rPr>
          <w:noProof/>
        </w:rPr>
        <w:t>(Sovacool and Dworkin, 2014, Walker and Day, 2012)</w:t>
      </w:r>
      <w:r w:rsidR="00E672E8">
        <w:t xml:space="preserve">. </w:t>
      </w:r>
      <w:r>
        <w:t>To some extent this position is already embedded in fuel poverty policy, where t</w:t>
      </w:r>
      <w:r w:rsidR="00E672E8">
        <w:t xml:space="preserve">he </w:t>
      </w:r>
      <w:r w:rsidR="00D27FE0">
        <w:t>inclusion of a relative indicator</w:t>
      </w:r>
      <w:r w:rsidR="00E672E8">
        <w:t xml:space="preserve"> </w:t>
      </w:r>
      <w:r w:rsidR="00521B06">
        <w:t>for</w:t>
      </w:r>
      <w:r w:rsidR="00E672E8">
        <w:t xml:space="preserve"> defining and measuring poverty has been present throughout </w:t>
      </w:r>
      <w:r>
        <w:t>its</w:t>
      </w:r>
      <w:r w:rsidR="00E672E8">
        <w:t xml:space="preserve"> evolution </w:t>
      </w:r>
      <w:r>
        <w:t xml:space="preserve">in the UK </w:t>
      </w:r>
      <w:r w:rsidR="00E672E8">
        <w:rPr>
          <w:noProof/>
        </w:rPr>
        <w:t>(Liddell et al., 2012)</w:t>
      </w:r>
      <w:r w:rsidR="00E672E8">
        <w:t xml:space="preserve">. </w:t>
      </w:r>
      <w:r w:rsidR="00521B06">
        <w:t>I</w:t>
      </w:r>
      <w:r w:rsidR="008F3770">
        <w:t xml:space="preserve">n practice, </w:t>
      </w:r>
      <w:r>
        <w:t>t</w:t>
      </w:r>
      <w:r w:rsidR="00E672E8">
        <w:t xml:space="preserve">his enables policymakers </w:t>
      </w:r>
      <w:r w:rsidR="00044DD1">
        <w:t xml:space="preserve">in Scotland </w:t>
      </w:r>
      <w:r w:rsidR="00E672E8">
        <w:t>to classify households as being in severe or extreme fuel poverty based on their actual expenditure (20% and 30% respectively), or</w:t>
      </w:r>
      <w:r w:rsidR="00044DD1">
        <w:t xml:space="preserve"> policymakers in England to calculate a</w:t>
      </w:r>
      <w:r w:rsidR="00E672E8">
        <w:t xml:space="preserve"> ‘fuel poverty gap’ based on the amount </w:t>
      </w:r>
      <w:r w:rsidR="00044DD1">
        <w:t>households</w:t>
      </w:r>
      <w:r w:rsidR="00E672E8">
        <w:t xml:space="preserve"> would need to spend </w:t>
      </w:r>
      <w:r w:rsidR="00D27FE0">
        <w:t>on ade</w:t>
      </w:r>
      <w:r w:rsidR="00872B92">
        <w:t>q</w:t>
      </w:r>
      <w:r w:rsidR="00D27FE0">
        <w:t>uate</w:t>
      </w:r>
      <w:r w:rsidR="00E672E8">
        <w:t xml:space="preserve"> energy services </w:t>
      </w:r>
      <w:r w:rsidR="00E672E8">
        <w:rPr>
          <w:noProof/>
        </w:rPr>
        <w:t>(Hills, 2012)</w:t>
      </w:r>
      <w:r w:rsidR="00E672E8">
        <w:t xml:space="preserve">. The extent to which these metrics under/over represent the scale and distribution of the problem </w:t>
      </w:r>
      <w:r w:rsidR="008F3770">
        <w:t xml:space="preserve">for different groups </w:t>
      </w:r>
      <w:r w:rsidR="00E672E8">
        <w:lastRenderedPageBreak/>
        <w:t>varies, and this</w:t>
      </w:r>
      <w:r w:rsidR="00D27FE0">
        <w:t xml:space="preserve"> has</w:t>
      </w:r>
      <w:r w:rsidR="00E672E8">
        <w:t xml:space="preserve"> significant effects for policy design and implementation. For </w:t>
      </w:r>
      <w:r w:rsidR="008F3770">
        <w:t>instance</w:t>
      </w:r>
      <w:r w:rsidR="00E672E8">
        <w:t xml:space="preserve">, </w:t>
      </w:r>
      <w:r w:rsidR="008F3770">
        <w:t xml:space="preserve">when these measures are inaccurate and policy targeting is poor, </w:t>
      </w:r>
      <w:r w:rsidR="00E672E8">
        <w:t xml:space="preserve">distributional </w:t>
      </w:r>
      <w:r w:rsidR="00521B06">
        <w:t>inequality</w:t>
      </w:r>
      <w:r w:rsidR="00E672E8">
        <w:t xml:space="preserve"> </w:t>
      </w:r>
      <w:r w:rsidR="008F3770">
        <w:t xml:space="preserve">can actually be worsened </w:t>
      </w:r>
      <w:r w:rsidR="00E672E8">
        <w:t xml:space="preserve">as wealthier households benefit from </w:t>
      </w:r>
      <w:r w:rsidR="00521B06">
        <w:t>retrofit</w:t>
      </w:r>
      <w:r w:rsidR="008F3770">
        <w:t xml:space="preserve"> </w:t>
      </w:r>
      <w:r w:rsidR="00E672E8">
        <w:t xml:space="preserve">schemes </w:t>
      </w:r>
      <w:r w:rsidR="00521B06">
        <w:t>while the marginalised miss out or even pay for others’ benefits through levies</w:t>
      </w:r>
      <w:r w:rsidR="00E672E8">
        <w:t xml:space="preserve"> </w:t>
      </w:r>
      <w:r w:rsidR="00E672E8">
        <w:rPr>
          <w:noProof/>
        </w:rPr>
        <w:t>(Fahmy et al., 2011, Jenkins et al., 2016, Mallaburn and Eyre, 2014, Sovacool, 2015)</w:t>
      </w:r>
      <w:r w:rsidR="00E672E8">
        <w:t>.</w:t>
      </w:r>
    </w:p>
    <w:p w14:paraId="6A59462F" w14:textId="2E22F036" w:rsidR="00E672E8" w:rsidRDefault="00E672E8" w:rsidP="002F1B3F">
      <w:r>
        <w:t xml:space="preserve">Typically, </w:t>
      </w:r>
      <w:r w:rsidR="00C03947">
        <w:t>in fuel poverty policy and research, ‘vulnerable groups’</w:t>
      </w:r>
      <w:r>
        <w:t xml:space="preserve"> has </w:t>
      </w:r>
      <w:r w:rsidR="00C03947">
        <w:t>referred to</w:t>
      </w:r>
      <w:r>
        <w:t xml:space="preserve"> </w:t>
      </w:r>
      <w:r w:rsidR="004C2F8D">
        <w:t>people over a certain age</w:t>
      </w:r>
      <w:r>
        <w:t xml:space="preserve">, </w:t>
      </w:r>
      <w:r w:rsidR="006709B7">
        <w:t xml:space="preserve">disabled </w:t>
      </w:r>
      <w:r w:rsidR="00496D3B">
        <w:t>people,</w:t>
      </w:r>
      <w:r>
        <w:t xml:space="preserve"> </w:t>
      </w:r>
      <w:r w:rsidR="006709B7">
        <w:t xml:space="preserve">people with </w:t>
      </w:r>
      <w:r>
        <w:t>long-term illnesses</w:t>
      </w:r>
      <w:r w:rsidR="00C03947">
        <w:t>,</w:t>
      </w:r>
      <w:r>
        <w:t xml:space="preserve"> and low-inco</w:t>
      </w:r>
      <w:r w:rsidR="00C03947">
        <w:t xml:space="preserve">me families with young children. </w:t>
      </w:r>
      <w:r>
        <w:t xml:space="preserve">The underlying rationale </w:t>
      </w:r>
      <w:r w:rsidR="00C03947">
        <w:t xml:space="preserve">for this </w:t>
      </w:r>
      <w:r w:rsidR="00B75AF8">
        <w:t>is</w:t>
      </w:r>
      <w:r>
        <w:t xml:space="preserve"> </w:t>
      </w:r>
      <w:r w:rsidR="00496D3B">
        <w:t>that they share a</w:t>
      </w:r>
      <w:r>
        <w:t xml:space="preserve"> </w:t>
      </w:r>
      <w:r w:rsidR="00C03947">
        <w:t>common</w:t>
      </w:r>
      <w:r>
        <w:t xml:space="preserve"> vulnerability to the negative health impacts of inadequate space heating </w:t>
      </w:r>
      <w:r>
        <w:rPr>
          <w:noProof/>
        </w:rPr>
        <w:t xml:space="preserve">(Hills, 2012, Liddell and Morris, 2010, </w:t>
      </w:r>
      <w:r w:rsidR="00C7647D">
        <w:rPr>
          <w:noProof/>
        </w:rPr>
        <w:t xml:space="preserve">Marmot Review Team, 2011; </w:t>
      </w:r>
      <w:r>
        <w:rPr>
          <w:noProof/>
        </w:rPr>
        <w:t>Moore, 2012)</w:t>
      </w:r>
      <w:r>
        <w:t>.</w:t>
      </w:r>
      <w:r w:rsidR="00834616">
        <w:t xml:space="preserve"> This </w:t>
      </w:r>
      <w:r>
        <w:t>has a significant impact on the numerical construction of fuel poverty prevalence as well as on specific households</w:t>
      </w:r>
      <w:r w:rsidR="006709B7">
        <w:t>’</w:t>
      </w:r>
      <w:r>
        <w:t xml:space="preserve"> eligibility for </w:t>
      </w:r>
      <w:r w:rsidR="00044DD1">
        <w:t>policies</w:t>
      </w:r>
      <w:r>
        <w:t xml:space="preserve">. For example, official targets for eradicating fuel poverty in the UK </w:t>
      </w:r>
      <w:r w:rsidR="00044DD1">
        <w:t xml:space="preserve">were </w:t>
      </w:r>
      <w:r w:rsidR="00834616">
        <w:t>originally</w:t>
      </w:r>
      <w:r>
        <w:t xml:space="preserve"> differentiated for vulnerable groups</w:t>
      </w:r>
      <w:r w:rsidR="00442F0F">
        <w:t xml:space="preserve"> i.e. by 2010 compared </w:t>
      </w:r>
      <w:r w:rsidR="006709B7">
        <w:t xml:space="preserve">with </w:t>
      </w:r>
      <w:r w:rsidR="00442F0F">
        <w:t>2016 for the general population</w:t>
      </w:r>
      <w:r>
        <w:t xml:space="preserve"> </w:t>
      </w:r>
      <w:r>
        <w:rPr>
          <w:noProof/>
        </w:rPr>
        <w:t>(Inter-Ministerial Group on Fuel Poverty, 2001)</w:t>
      </w:r>
      <w:r>
        <w:t>.</w:t>
      </w:r>
      <w:r w:rsidR="00442F0F">
        <w:t xml:space="preserve"> </w:t>
      </w:r>
      <w:r w:rsidR="00834616">
        <w:t>W</w:t>
      </w:r>
      <w:r w:rsidR="00442F0F">
        <w:t xml:space="preserve">hen both these targets were missed, </w:t>
      </w:r>
      <w:r w:rsidR="00834616">
        <w:t>a new</w:t>
      </w:r>
      <w:r w:rsidR="00442F0F">
        <w:t xml:space="preserve"> definition </w:t>
      </w:r>
      <w:r w:rsidR="00946B39">
        <w:t xml:space="preserve">and universal target </w:t>
      </w:r>
      <w:r w:rsidR="00442F0F">
        <w:t xml:space="preserve">was </w:t>
      </w:r>
      <w:r w:rsidR="00834616">
        <w:t>established</w:t>
      </w:r>
      <w:r w:rsidR="00946B39">
        <w:t>,</w:t>
      </w:r>
      <w:r w:rsidR="00442F0F">
        <w:t xml:space="preserve"> this time focusing on home energy efficiency ratings as opposed to demographics (</w:t>
      </w:r>
      <w:r w:rsidR="00442F0F">
        <w:rPr>
          <w:noProof/>
        </w:rPr>
        <w:t xml:space="preserve">Department for Energy and Climate Change, 2015; </w:t>
      </w:r>
      <w:r w:rsidR="00442F0F" w:rsidRPr="006973FC">
        <w:rPr>
          <w:color w:val="auto"/>
        </w:rPr>
        <w:t>Hills, 2012</w:t>
      </w:r>
      <w:r w:rsidR="00442F0F">
        <w:t>)</w:t>
      </w:r>
      <w:r w:rsidR="00442F0F">
        <w:rPr>
          <w:noProof/>
        </w:rPr>
        <w:t>.</w:t>
      </w:r>
      <w:r>
        <w:t xml:space="preserve"> </w:t>
      </w:r>
      <w:r w:rsidR="00442F0F">
        <w:t xml:space="preserve">Early critiques suggest that </w:t>
      </w:r>
      <w:r w:rsidR="00946B39">
        <w:t>many vulnerable</w:t>
      </w:r>
      <w:r w:rsidR="006973FC">
        <w:t xml:space="preserve"> households</w:t>
      </w:r>
      <w:r w:rsidR="00946B39">
        <w:t xml:space="preserve"> </w:t>
      </w:r>
      <w:r w:rsidR="00601659">
        <w:t>will be marginalised by this change and that it effectively sanctions the existence of relative fuel poverty as</w:t>
      </w:r>
      <w:r w:rsidR="002C51C4">
        <w:t xml:space="preserve"> inevitable in socio-economically unequal societies</w:t>
      </w:r>
      <w:r w:rsidR="00601659">
        <w:t xml:space="preserve"> </w:t>
      </w:r>
      <w:r>
        <w:t>(</w:t>
      </w:r>
      <w:r w:rsidR="002C51C4" w:rsidRPr="006973FC">
        <w:rPr>
          <w:color w:val="auto"/>
        </w:rPr>
        <w:t>Moore</w:t>
      </w:r>
      <w:r w:rsidR="002C51C4">
        <w:rPr>
          <w:color w:val="auto"/>
        </w:rPr>
        <w:t>, 2012</w:t>
      </w:r>
      <w:r w:rsidR="002C51C4" w:rsidRPr="006973FC">
        <w:rPr>
          <w:color w:val="auto"/>
        </w:rPr>
        <w:t xml:space="preserve">; </w:t>
      </w:r>
      <w:r w:rsidR="002C51C4" w:rsidRPr="006973FC">
        <w:t xml:space="preserve">National Energy Action </w:t>
      </w:r>
      <w:r w:rsidR="002C51C4">
        <w:t>and</w:t>
      </w:r>
      <w:r w:rsidR="002C51C4" w:rsidRPr="006973FC">
        <w:t xml:space="preserve"> Energy Action Scotland</w:t>
      </w:r>
      <w:r w:rsidR="002C51C4" w:rsidRPr="006973FC">
        <w:rPr>
          <w:color w:val="auto"/>
        </w:rPr>
        <w:t>, 2016</w:t>
      </w:r>
      <w:r w:rsidR="002C51C4">
        <w:rPr>
          <w:color w:val="auto"/>
        </w:rPr>
        <w:t xml:space="preserve">; Walker et al., 2014; </w:t>
      </w:r>
      <w:r w:rsidRPr="003D23DA">
        <w:rPr>
          <w:color w:val="auto"/>
        </w:rPr>
        <w:t>Snell</w:t>
      </w:r>
      <w:r w:rsidR="003D23DA" w:rsidRPr="003D23DA">
        <w:rPr>
          <w:color w:val="auto"/>
        </w:rPr>
        <w:t xml:space="preserve"> </w:t>
      </w:r>
      <w:r w:rsidR="003D23DA" w:rsidRPr="00044DD1">
        <w:rPr>
          <w:i/>
          <w:color w:val="auto"/>
        </w:rPr>
        <w:t>et al</w:t>
      </w:r>
      <w:r w:rsidR="003D23DA" w:rsidRPr="003D23DA">
        <w:rPr>
          <w:color w:val="auto"/>
        </w:rPr>
        <w:t>., 2015</w:t>
      </w:r>
      <w:r w:rsidRPr="003D23DA">
        <w:rPr>
          <w:color w:val="auto"/>
        </w:rPr>
        <w:t>; Middlemiss, 2016</w:t>
      </w:r>
      <w:r w:rsidR="003D23DA">
        <w:t>).</w:t>
      </w:r>
    </w:p>
    <w:p w14:paraId="2DB472CF" w14:textId="24F01C63" w:rsidR="008B1236" w:rsidRPr="00205DDE" w:rsidRDefault="0060712F" w:rsidP="008B1236">
      <w:pPr>
        <w:rPr>
          <w:b/>
          <w:i/>
        </w:rPr>
      </w:pPr>
      <w:r>
        <w:rPr>
          <w:b/>
          <w:i/>
        </w:rPr>
        <w:t>Vulnerable groups</w:t>
      </w:r>
    </w:p>
    <w:p w14:paraId="7E1C06AD" w14:textId="60ED774F" w:rsidR="00CA6CC3" w:rsidRDefault="00F3097F" w:rsidP="002F1B3F">
      <w:pPr>
        <w:rPr>
          <w:color w:val="auto"/>
        </w:rPr>
      </w:pPr>
      <w:r>
        <w:t xml:space="preserve">Often, </w:t>
      </w:r>
      <w:r w:rsidR="0060712F">
        <w:t>theories of justice</w:t>
      </w:r>
      <w:r>
        <w:t xml:space="preserve"> rely on ag</w:t>
      </w:r>
      <w:r w:rsidR="007B7EB7">
        <w:t xml:space="preserve">gregate categories of vulnerability </w:t>
      </w:r>
      <w:r w:rsidR="002F1B3F">
        <w:t>that</w:t>
      </w:r>
      <w:r w:rsidR="007B7EB7">
        <w:t xml:space="preserve"> </w:t>
      </w:r>
      <w:r w:rsidR="00B1258A">
        <w:t xml:space="preserve">do not </w:t>
      </w:r>
      <w:r w:rsidR="007B7EB7">
        <w:t xml:space="preserve">reflect the </w:t>
      </w:r>
      <w:r w:rsidR="0060712F">
        <w:t>heterogeneity</w:t>
      </w:r>
      <w:r w:rsidR="007B7EB7">
        <w:t xml:space="preserve"> of disabilities</w:t>
      </w:r>
      <w:r>
        <w:t>, and</w:t>
      </w:r>
      <w:r w:rsidR="007B7EB7">
        <w:t xml:space="preserve"> they</w:t>
      </w:r>
      <w:r>
        <w:t xml:space="preserve"> pursue </w:t>
      </w:r>
      <w:r w:rsidR="00567142">
        <w:t xml:space="preserve">social </w:t>
      </w:r>
      <w:r>
        <w:t xml:space="preserve">norms </w:t>
      </w:r>
      <w:r w:rsidR="00496D3B">
        <w:t>of work, family</w:t>
      </w:r>
      <w:r w:rsidR="00567142">
        <w:t xml:space="preserve">, and </w:t>
      </w:r>
      <w:r w:rsidR="00496D3B">
        <w:t>social life</w:t>
      </w:r>
      <w:r w:rsidR="00567142">
        <w:t xml:space="preserve"> </w:t>
      </w:r>
      <w:r w:rsidR="0060712F">
        <w:t xml:space="preserve">that </w:t>
      </w:r>
      <w:r w:rsidR="00567142">
        <w:t>may be in</w:t>
      </w:r>
      <w:r w:rsidR="007B7EB7">
        <w:t>appropriate for some</w:t>
      </w:r>
      <w:r>
        <w:t xml:space="preserve"> disabled people (</w:t>
      </w:r>
      <w:r w:rsidRPr="002923D6">
        <w:rPr>
          <w:color w:val="auto"/>
        </w:rPr>
        <w:t>Becker, 2005</w:t>
      </w:r>
      <w:r w:rsidRPr="00130C0E">
        <w:rPr>
          <w:color w:val="auto"/>
        </w:rPr>
        <w:t>; Nussbaum, 2006; Young, 2008</w:t>
      </w:r>
      <w:r w:rsidRPr="00F3097F">
        <w:rPr>
          <w:color w:val="auto"/>
        </w:rPr>
        <w:t xml:space="preserve">). </w:t>
      </w:r>
      <w:r w:rsidR="00B604EB">
        <w:rPr>
          <w:color w:val="auto"/>
        </w:rPr>
        <w:t xml:space="preserve">The language of disabled peoples’ rights and entitlements, </w:t>
      </w:r>
      <w:r w:rsidR="0060712F">
        <w:rPr>
          <w:color w:val="auto"/>
        </w:rPr>
        <w:t>which is prominent in so many social justice</w:t>
      </w:r>
      <w:r w:rsidR="00B604EB">
        <w:rPr>
          <w:color w:val="auto"/>
        </w:rPr>
        <w:t xml:space="preserve"> campaigns, demands recognition </w:t>
      </w:r>
      <w:r w:rsidR="0060712F">
        <w:rPr>
          <w:color w:val="auto"/>
        </w:rPr>
        <w:t>for these groups</w:t>
      </w:r>
      <w:r w:rsidR="00B604EB">
        <w:rPr>
          <w:color w:val="auto"/>
        </w:rPr>
        <w:t xml:space="preserve"> but</w:t>
      </w:r>
      <w:r w:rsidR="0060712F">
        <w:rPr>
          <w:color w:val="auto"/>
        </w:rPr>
        <w:t xml:space="preserve"> it</w:t>
      </w:r>
      <w:r w:rsidR="00B604EB">
        <w:rPr>
          <w:color w:val="auto"/>
        </w:rPr>
        <w:t xml:space="preserve"> also </w:t>
      </w:r>
      <w:r w:rsidR="0060712F">
        <w:rPr>
          <w:color w:val="auto"/>
        </w:rPr>
        <w:t xml:space="preserve">directly </w:t>
      </w:r>
      <w:r w:rsidR="00B604EB">
        <w:rPr>
          <w:color w:val="auto"/>
        </w:rPr>
        <w:t xml:space="preserve">challenges the structural inequalities that exacerbate </w:t>
      </w:r>
      <w:r w:rsidR="0060712F">
        <w:rPr>
          <w:color w:val="auto"/>
        </w:rPr>
        <w:t>their</w:t>
      </w:r>
      <w:r w:rsidR="00B604EB">
        <w:rPr>
          <w:color w:val="auto"/>
        </w:rPr>
        <w:t xml:space="preserve"> needs</w:t>
      </w:r>
      <w:r w:rsidR="00496D3B">
        <w:rPr>
          <w:color w:val="auto"/>
        </w:rPr>
        <w:t xml:space="preserve"> (see:</w:t>
      </w:r>
      <w:r w:rsidR="00130C0E">
        <w:rPr>
          <w:color w:val="auto"/>
        </w:rPr>
        <w:t xml:space="preserve"> United Nations</w:t>
      </w:r>
      <w:r w:rsidR="00AE4C2F" w:rsidRPr="00AE4C2F">
        <w:t xml:space="preserve"> Convention on the Rights of People with Disabilities</w:t>
      </w:r>
      <w:r w:rsidR="00130C0E">
        <w:rPr>
          <w:color w:val="auto"/>
        </w:rPr>
        <w:t>, 2016)</w:t>
      </w:r>
      <w:r w:rsidR="00B604EB">
        <w:rPr>
          <w:color w:val="auto"/>
        </w:rPr>
        <w:t xml:space="preserve">. </w:t>
      </w:r>
      <w:r w:rsidR="0060712F">
        <w:rPr>
          <w:color w:val="auto"/>
        </w:rPr>
        <w:t xml:space="preserve">This line of reasoning </w:t>
      </w:r>
      <w:r w:rsidR="00CA6CC3">
        <w:rPr>
          <w:color w:val="auto"/>
        </w:rPr>
        <w:t>is expressed succinctly in the</w:t>
      </w:r>
      <w:r w:rsidR="0060712F">
        <w:rPr>
          <w:color w:val="auto"/>
        </w:rPr>
        <w:t xml:space="preserve"> </w:t>
      </w:r>
      <w:r w:rsidR="00B604EB">
        <w:rPr>
          <w:color w:val="auto"/>
        </w:rPr>
        <w:t>notion of a ‘disabling society’, which shifts the locus of vulnerability away from disabled people</w:t>
      </w:r>
      <w:r w:rsidR="00BF2CF0">
        <w:rPr>
          <w:color w:val="auto"/>
        </w:rPr>
        <w:t>’</w:t>
      </w:r>
      <w:r w:rsidR="00B604EB">
        <w:rPr>
          <w:color w:val="auto"/>
        </w:rPr>
        <w:t xml:space="preserve">s impairments and on to the lack of fit between these characteristics and </w:t>
      </w:r>
      <w:r w:rsidR="00496D3B">
        <w:rPr>
          <w:color w:val="auto"/>
        </w:rPr>
        <w:t>current social norms</w:t>
      </w:r>
      <w:r w:rsidR="00B604EB">
        <w:rPr>
          <w:color w:val="auto"/>
        </w:rPr>
        <w:t xml:space="preserve"> (Oliver </w:t>
      </w:r>
      <w:r w:rsidR="00493006">
        <w:rPr>
          <w:color w:val="auto"/>
        </w:rPr>
        <w:t>and</w:t>
      </w:r>
      <w:r w:rsidR="00B604EB">
        <w:rPr>
          <w:color w:val="auto"/>
        </w:rPr>
        <w:t xml:space="preserve"> Barnes</w:t>
      </w:r>
      <w:r w:rsidR="00707CC2">
        <w:rPr>
          <w:color w:val="auto"/>
        </w:rPr>
        <w:t>, 2012</w:t>
      </w:r>
      <w:r w:rsidR="00B604EB">
        <w:rPr>
          <w:color w:val="auto"/>
        </w:rPr>
        <w:t>; Young, 2008).</w:t>
      </w:r>
      <w:r w:rsidR="0046023C">
        <w:rPr>
          <w:color w:val="auto"/>
        </w:rPr>
        <w:t xml:space="preserve"> </w:t>
      </w:r>
      <w:r w:rsidR="00CA6CC3">
        <w:rPr>
          <w:color w:val="auto"/>
        </w:rPr>
        <w:t>T</w:t>
      </w:r>
      <w:r w:rsidR="0046023C">
        <w:rPr>
          <w:color w:val="auto"/>
        </w:rPr>
        <w:t xml:space="preserve">his includes the way certain physical or mental attributes are not </w:t>
      </w:r>
      <w:r w:rsidR="00496D3B">
        <w:rPr>
          <w:color w:val="auto"/>
        </w:rPr>
        <w:t xml:space="preserve">well </w:t>
      </w:r>
      <w:r w:rsidR="0046023C">
        <w:rPr>
          <w:color w:val="auto"/>
        </w:rPr>
        <w:t>accommodated by the ins</w:t>
      </w:r>
      <w:r w:rsidR="00CA6CC3">
        <w:rPr>
          <w:color w:val="auto"/>
        </w:rPr>
        <w:t>titutions</w:t>
      </w:r>
      <w:r w:rsidR="009E0217">
        <w:rPr>
          <w:color w:val="auto"/>
        </w:rPr>
        <w:t xml:space="preserve"> of: </w:t>
      </w:r>
      <w:r w:rsidR="0046023C">
        <w:rPr>
          <w:color w:val="auto"/>
        </w:rPr>
        <w:t>education, employment, public space, politics, housing, aesthetics and many more (see: Swain et al., 2014).</w:t>
      </w:r>
      <w:r w:rsidR="00855FEC">
        <w:rPr>
          <w:color w:val="auto"/>
        </w:rPr>
        <w:t xml:space="preserve"> To take a stereotypical but relevant example, </w:t>
      </w:r>
      <w:r w:rsidR="00CA6CC3">
        <w:rPr>
          <w:color w:val="auto"/>
        </w:rPr>
        <w:t>inappropriate housing</w:t>
      </w:r>
      <w:r w:rsidR="00855FEC">
        <w:rPr>
          <w:color w:val="auto"/>
        </w:rPr>
        <w:t xml:space="preserve"> </w:t>
      </w:r>
      <w:r w:rsidR="00CA6CC3">
        <w:rPr>
          <w:color w:val="auto"/>
        </w:rPr>
        <w:t xml:space="preserve">arrangements </w:t>
      </w:r>
      <w:r w:rsidR="00855FEC">
        <w:rPr>
          <w:color w:val="auto"/>
        </w:rPr>
        <w:t xml:space="preserve">may </w:t>
      </w:r>
      <w:r w:rsidR="00704FE0">
        <w:rPr>
          <w:color w:val="auto"/>
        </w:rPr>
        <w:t xml:space="preserve">prevent disabled </w:t>
      </w:r>
      <w:r w:rsidR="00CA6CC3">
        <w:rPr>
          <w:color w:val="auto"/>
        </w:rPr>
        <w:t xml:space="preserve">people </w:t>
      </w:r>
      <w:r w:rsidR="00704FE0">
        <w:rPr>
          <w:color w:val="auto"/>
        </w:rPr>
        <w:t xml:space="preserve">from moving freely, living independently and </w:t>
      </w:r>
      <w:r w:rsidR="008353B5">
        <w:rPr>
          <w:color w:val="auto"/>
        </w:rPr>
        <w:t>accessing</w:t>
      </w:r>
      <w:r w:rsidR="00704FE0">
        <w:rPr>
          <w:color w:val="auto"/>
        </w:rPr>
        <w:t xml:space="preserve"> vario</w:t>
      </w:r>
      <w:r w:rsidR="003E60A7">
        <w:rPr>
          <w:color w:val="auto"/>
        </w:rPr>
        <w:t>us energy services (Imr</w:t>
      </w:r>
      <w:r w:rsidR="00704FE0">
        <w:rPr>
          <w:color w:val="auto"/>
        </w:rPr>
        <w:t xml:space="preserve">ie, 2004; </w:t>
      </w:r>
      <w:r w:rsidR="003E60A7">
        <w:rPr>
          <w:color w:val="auto"/>
        </w:rPr>
        <w:t>Stewart, 200</w:t>
      </w:r>
      <w:r w:rsidR="00704FE0">
        <w:rPr>
          <w:color w:val="auto"/>
        </w:rPr>
        <w:t>4).</w:t>
      </w:r>
      <w:r w:rsidR="003E60A7">
        <w:rPr>
          <w:color w:val="auto"/>
        </w:rPr>
        <w:t xml:space="preserve"> </w:t>
      </w:r>
    </w:p>
    <w:p w14:paraId="77F64FBC" w14:textId="53FD9DE1" w:rsidR="00422D6E" w:rsidRDefault="00CA6CC3" w:rsidP="002F1B3F">
      <w:pPr>
        <w:rPr>
          <w:color w:val="auto"/>
        </w:rPr>
      </w:pPr>
      <w:r>
        <w:rPr>
          <w:color w:val="auto"/>
        </w:rPr>
        <w:t>W</w:t>
      </w:r>
      <w:r w:rsidR="007B7EB7">
        <w:rPr>
          <w:color w:val="auto"/>
        </w:rPr>
        <w:t>ell-targeted</w:t>
      </w:r>
      <w:r w:rsidR="008353B5">
        <w:rPr>
          <w:color w:val="auto"/>
        </w:rPr>
        <w:t xml:space="preserve"> </w:t>
      </w:r>
      <w:r>
        <w:rPr>
          <w:color w:val="auto"/>
        </w:rPr>
        <w:t xml:space="preserve">policies </w:t>
      </w:r>
      <w:r w:rsidR="007B7EB7">
        <w:rPr>
          <w:color w:val="auto"/>
        </w:rPr>
        <w:t>have</w:t>
      </w:r>
      <w:r w:rsidR="008353B5">
        <w:rPr>
          <w:color w:val="auto"/>
        </w:rPr>
        <w:t xml:space="preserve"> the potential to improve the fit between </w:t>
      </w:r>
      <w:r w:rsidR="002923D6">
        <w:rPr>
          <w:color w:val="auto"/>
        </w:rPr>
        <w:t>individuals’</w:t>
      </w:r>
      <w:r w:rsidR="008353B5">
        <w:rPr>
          <w:color w:val="auto"/>
        </w:rPr>
        <w:t xml:space="preserve"> needs and their physical </w:t>
      </w:r>
      <w:r w:rsidR="00AE4C2F">
        <w:rPr>
          <w:color w:val="auto"/>
        </w:rPr>
        <w:t xml:space="preserve">and social </w:t>
      </w:r>
      <w:r w:rsidR="008353B5">
        <w:rPr>
          <w:color w:val="auto"/>
        </w:rPr>
        <w:t>environment</w:t>
      </w:r>
      <w:r w:rsidR="00AE4C2F">
        <w:rPr>
          <w:color w:val="auto"/>
        </w:rPr>
        <w:t xml:space="preserve">s </w:t>
      </w:r>
      <w:r w:rsidR="008353B5">
        <w:rPr>
          <w:color w:val="auto"/>
        </w:rPr>
        <w:t>(</w:t>
      </w:r>
      <w:r w:rsidR="009E0217">
        <w:rPr>
          <w:color w:val="auto"/>
        </w:rPr>
        <w:t>Franz</w:t>
      </w:r>
      <w:r w:rsidR="00934886">
        <w:rPr>
          <w:color w:val="auto"/>
        </w:rPr>
        <w:t xml:space="preserve"> et al., 2014;</w:t>
      </w:r>
      <w:r w:rsidR="009E0217">
        <w:rPr>
          <w:color w:val="auto"/>
        </w:rPr>
        <w:t xml:space="preserve"> Whalley Hammel, 2015</w:t>
      </w:r>
      <w:r w:rsidR="008353B5">
        <w:rPr>
          <w:color w:val="auto"/>
        </w:rPr>
        <w:t>). However, this becomes much more difficult at the aggregate le</w:t>
      </w:r>
      <w:r w:rsidR="00496D3B">
        <w:rPr>
          <w:color w:val="auto"/>
        </w:rPr>
        <w:t>vel of reforming socio-economic</w:t>
      </w:r>
      <w:r>
        <w:rPr>
          <w:color w:val="auto"/>
        </w:rPr>
        <w:t xml:space="preserve"> </w:t>
      </w:r>
      <w:r w:rsidR="008353B5">
        <w:rPr>
          <w:color w:val="auto"/>
        </w:rPr>
        <w:t xml:space="preserve">structures </w:t>
      </w:r>
      <w:r w:rsidR="009E0217">
        <w:rPr>
          <w:color w:val="auto"/>
        </w:rPr>
        <w:t>(Palmer, 2011)</w:t>
      </w:r>
      <w:r w:rsidR="008353B5">
        <w:rPr>
          <w:color w:val="auto"/>
        </w:rPr>
        <w:t>. Here, arguments for redistribution</w:t>
      </w:r>
      <w:r w:rsidR="00AE4C2F">
        <w:rPr>
          <w:color w:val="auto"/>
        </w:rPr>
        <w:t xml:space="preserve"> or positive discrimination</w:t>
      </w:r>
      <w:r w:rsidR="008353B5">
        <w:rPr>
          <w:color w:val="auto"/>
        </w:rPr>
        <w:t xml:space="preserve"> quickly become embroiled in</w:t>
      </w:r>
      <w:r w:rsidR="00E614E9">
        <w:rPr>
          <w:color w:val="auto"/>
        </w:rPr>
        <w:t xml:space="preserve"> ethics</w:t>
      </w:r>
      <w:r w:rsidR="008353B5">
        <w:rPr>
          <w:color w:val="auto"/>
        </w:rPr>
        <w:t xml:space="preserve"> </w:t>
      </w:r>
      <w:r w:rsidR="007B7EB7">
        <w:rPr>
          <w:color w:val="auto"/>
        </w:rPr>
        <w:t xml:space="preserve">debates </w:t>
      </w:r>
      <w:r w:rsidR="008353B5">
        <w:rPr>
          <w:color w:val="auto"/>
        </w:rPr>
        <w:t>and a politics of difference</w:t>
      </w:r>
      <w:r w:rsidR="00E614E9">
        <w:rPr>
          <w:color w:val="auto"/>
        </w:rPr>
        <w:t xml:space="preserve"> (Young, 2008)</w:t>
      </w:r>
      <w:r w:rsidR="00531663">
        <w:rPr>
          <w:color w:val="auto"/>
        </w:rPr>
        <w:t>.</w:t>
      </w:r>
      <w:r w:rsidR="00BF2CF0">
        <w:rPr>
          <w:color w:val="auto"/>
        </w:rPr>
        <w:t xml:space="preserve"> Instead, </w:t>
      </w:r>
      <w:r w:rsidR="003A46E8">
        <w:rPr>
          <w:color w:val="auto"/>
        </w:rPr>
        <w:t xml:space="preserve">the battle to secure </w:t>
      </w:r>
      <w:r w:rsidR="00AE4C2F">
        <w:rPr>
          <w:color w:val="auto"/>
        </w:rPr>
        <w:t>legal</w:t>
      </w:r>
      <w:r w:rsidR="003A46E8">
        <w:rPr>
          <w:color w:val="auto"/>
        </w:rPr>
        <w:t xml:space="preserve"> protecti</w:t>
      </w:r>
      <w:r w:rsidR="00E614E9">
        <w:rPr>
          <w:color w:val="auto"/>
        </w:rPr>
        <w:t xml:space="preserve">on for disabled people’s rights </w:t>
      </w:r>
      <w:r w:rsidR="00D1767A">
        <w:rPr>
          <w:color w:val="auto"/>
        </w:rPr>
        <w:t>should</w:t>
      </w:r>
      <w:r w:rsidR="00E614E9">
        <w:rPr>
          <w:color w:val="auto"/>
        </w:rPr>
        <w:t xml:space="preserve"> be</w:t>
      </w:r>
      <w:r w:rsidR="007B7EB7">
        <w:rPr>
          <w:color w:val="auto"/>
        </w:rPr>
        <w:t xml:space="preserve"> </w:t>
      </w:r>
      <w:r w:rsidR="00E614E9">
        <w:rPr>
          <w:color w:val="auto"/>
        </w:rPr>
        <w:t>couched within</w:t>
      </w:r>
      <w:r w:rsidR="003A46E8">
        <w:rPr>
          <w:color w:val="auto"/>
        </w:rPr>
        <w:t xml:space="preserve"> a </w:t>
      </w:r>
      <w:r w:rsidR="00E614E9">
        <w:rPr>
          <w:color w:val="auto"/>
        </w:rPr>
        <w:t>broader</w:t>
      </w:r>
      <w:r w:rsidR="003A46E8">
        <w:rPr>
          <w:color w:val="auto"/>
        </w:rPr>
        <w:t xml:space="preserve"> discourse of tackling </w:t>
      </w:r>
      <w:r w:rsidR="00D1767A">
        <w:rPr>
          <w:color w:val="auto"/>
        </w:rPr>
        <w:t>society-wide</w:t>
      </w:r>
      <w:r w:rsidR="00E614E9">
        <w:rPr>
          <w:color w:val="auto"/>
        </w:rPr>
        <w:t xml:space="preserve"> forms of </w:t>
      </w:r>
      <w:r w:rsidR="003A46E8">
        <w:rPr>
          <w:color w:val="auto"/>
        </w:rPr>
        <w:t xml:space="preserve">poverty and inequality (Danermark </w:t>
      </w:r>
      <w:r w:rsidR="00493006">
        <w:rPr>
          <w:color w:val="auto"/>
        </w:rPr>
        <w:t>and</w:t>
      </w:r>
      <w:r w:rsidR="003A46E8">
        <w:rPr>
          <w:color w:val="auto"/>
        </w:rPr>
        <w:t xml:space="preserve"> Gellerstedt, 2004).</w:t>
      </w:r>
    </w:p>
    <w:p w14:paraId="569D4A5E" w14:textId="77777777" w:rsidR="00F3624E" w:rsidRDefault="00450D28" w:rsidP="002F1B3F">
      <w:r>
        <w:rPr>
          <w:color w:val="auto"/>
        </w:rPr>
        <w:t xml:space="preserve">A similar story emerges from the child poverty literature. </w:t>
      </w:r>
      <w:r w:rsidR="00AE4C2F">
        <w:rPr>
          <w:color w:val="auto"/>
        </w:rPr>
        <w:t>T</w:t>
      </w:r>
      <w:r>
        <w:rPr>
          <w:color w:val="auto"/>
        </w:rPr>
        <w:t xml:space="preserve">heories of justice based on economics or </w:t>
      </w:r>
      <w:r w:rsidR="00AE4C2F">
        <w:rPr>
          <w:color w:val="auto"/>
        </w:rPr>
        <w:t>mainstream politics tend</w:t>
      </w:r>
      <w:r>
        <w:rPr>
          <w:color w:val="auto"/>
        </w:rPr>
        <w:t xml:space="preserve"> to ignore </w:t>
      </w:r>
      <w:r w:rsidR="00AE4C2F">
        <w:rPr>
          <w:color w:val="auto"/>
        </w:rPr>
        <w:t>the role of children (</w:t>
      </w:r>
      <w:r w:rsidR="00F3624E">
        <w:rPr>
          <w:color w:val="auto"/>
        </w:rPr>
        <w:t>primarily</w:t>
      </w:r>
      <w:r>
        <w:rPr>
          <w:color w:val="auto"/>
        </w:rPr>
        <w:t xml:space="preserve"> because they do not work or vote), which leaves very little in the way of guiding principles for ensuring distributive justice for minors </w:t>
      </w:r>
      <w:r>
        <w:lastRenderedPageBreak/>
        <w:t>(</w:t>
      </w:r>
      <w:r w:rsidRPr="00AE4C2F">
        <w:rPr>
          <w:color w:val="auto"/>
        </w:rPr>
        <w:t>Gordon, 2008; Levison, 200</w:t>
      </w:r>
      <w:r w:rsidR="00AE4C2F" w:rsidRPr="00AE4C2F">
        <w:rPr>
          <w:color w:val="auto"/>
        </w:rPr>
        <w:t>0</w:t>
      </w:r>
      <w:r>
        <w:t xml:space="preserve">). Again, a rights-based discourse has </w:t>
      </w:r>
      <w:r w:rsidR="00AE4C2F">
        <w:t>attempted to fill this</w:t>
      </w:r>
      <w:r>
        <w:t xml:space="preserve"> void; evoking the capabilities approach, developmental psychology, and sociological studies of the family to stress the importance of avoiding </w:t>
      </w:r>
      <w:r w:rsidR="007B607A">
        <w:t>deprivation</w:t>
      </w:r>
      <w:r w:rsidR="00800960">
        <w:t xml:space="preserve"> at an early age (</w:t>
      </w:r>
      <w:r w:rsidR="007B607A" w:rsidRPr="007B607A">
        <w:rPr>
          <w:color w:val="auto"/>
        </w:rPr>
        <w:t>Brown, 2015: 57</w:t>
      </w:r>
      <w:r w:rsidR="00800960" w:rsidRPr="007B607A">
        <w:rPr>
          <w:color w:val="auto"/>
        </w:rPr>
        <w:t>;</w:t>
      </w:r>
      <w:r w:rsidR="007B607A" w:rsidRPr="007B607A">
        <w:rPr>
          <w:color w:val="auto"/>
        </w:rPr>
        <w:t xml:space="preserve"> United Nations Human Rights, 1989</w:t>
      </w:r>
      <w:r w:rsidR="00800960">
        <w:t xml:space="preserve">). </w:t>
      </w:r>
    </w:p>
    <w:p w14:paraId="65C2C914" w14:textId="193ADCCD" w:rsidR="00450D28" w:rsidRDefault="009122BD" w:rsidP="002F1B3F">
      <w:r>
        <w:t>Situating child poverty within the family unit and</w:t>
      </w:r>
      <w:r w:rsidR="00F3624E">
        <w:t xml:space="preserve"> its place in</w:t>
      </w:r>
      <w:r>
        <w:t xml:space="preserve"> </w:t>
      </w:r>
      <w:r w:rsidR="007B607A">
        <w:t xml:space="preserve">wider </w:t>
      </w:r>
      <w:r>
        <w:t xml:space="preserve">social structures has helped develop a body of knowledge </w:t>
      </w:r>
      <w:r w:rsidR="00BF2CF0">
        <w:t xml:space="preserve">that highlights how </w:t>
      </w:r>
      <w:r w:rsidR="007B607A">
        <w:t>children</w:t>
      </w:r>
      <w:r>
        <w:t xml:space="preserve"> </w:t>
      </w:r>
      <w:r w:rsidR="007B607A">
        <w:t>are</w:t>
      </w:r>
      <w:r>
        <w:t xml:space="preserve"> affected by different forms of deprivation and why (</w:t>
      </w:r>
      <w:r w:rsidRPr="00C321FE">
        <w:rPr>
          <w:color w:val="auto"/>
        </w:rPr>
        <w:t>Beresford et al</w:t>
      </w:r>
      <w:r w:rsidR="00C321FE" w:rsidRPr="00C321FE">
        <w:rPr>
          <w:color w:val="auto"/>
        </w:rPr>
        <w:t>., 1999</w:t>
      </w:r>
      <w:r w:rsidRPr="00C321FE">
        <w:rPr>
          <w:color w:val="auto"/>
        </w:rPr>
        <w:t xml:space="preserve">; </w:t>
      </w:r>
      <w:r w:rsidR="00C321FE">
        <w:rPr>
          <w:color w:val="auto"/>
        </w:rPr>
        <w:t>Bradshaw</w:t>
      </w:r>
      <w:r w:rsidR="00531663">
        <w:rPr>
          <w:color w:val="auto"/>
        </w:rPr>
        <w:t xml:space="preserve"> and Main</w:t>
      </w:r>
      <w:r w:rsidR="00C321FE">
        <w:rPr>
          <w:color w:val="auto"/>
        </w:rPr>
        <w:t xml:space="preserve">, 2016; </w:t>
      </w:r>
      <w:r w:rsidRPr="00C321FE">
        <w:rPr>
          <w:color w:val="auto"/>
        </w:rPr>
        <w:t xml:space="preserve">Brighouse </w:t>
      </w:r>
      <w:r w:rsidR="00493006">
        <w:rPr>
          <w:color w:val="auto"/>
        </w:rPr>
        <w:t>and</w:t>
      </w:r>
      <w:r w:rsidRPr="00C321FE">
        <w:rPr>
          <w:color w:val="auto"/>
        </w:rPr>
        <w:t xml:space="preserve"> Swift, 2008</w:t>
      </w:r>
      <w:r w:rsidR="00C321FE">
        <w:rPr>
          <w:color w:val="auto"/>
        </w:rPr>
        <w:t>;</w:t>
      </w:r>
      <w:r w:rsidR="00C321FE" w:rsidRPr="00C321FE">
        <w:rPr>
          <w:color w:val="auto"/>
        </w:rPr>
        <w:t xml:space="preserve"> </w:t>
      </w:r>
      <w:r w:rsidR="00C321FE">
        <w:rPr>
          <w:color w:val="auto"/>
        </w:rPr>
        <w:t>Spicker, 2007</w:t>
      </w:r>
      <w:r>
        <w:t xml:space="preserve">). </w:t>
      </w:r>
      <w:r w:rsidR="00F3624E">
        <w:t>In practice this has helped shift political</w:t>
      </w:r>
      <w:r w:rsidR="00800960">
        <w:t xml:space="preserve"> debates away from </w:t>
      </w:r>
      <w:r w:rsidR="00C321FE">
        <w:t xml:space="preserve">perceived </w:t>
      </w:r>
      <w:r w:rsidR="00800960">
        <w:t>faults of the poor</w:t>
      </w:r>
      <w:r w:rsidR="00C321FE">
        <w:t>,</w:t>
      </w:r>
      <w:r w:rsidR="00800960">
        <w:t xml:space="preserve"> on to the </w:t>
      </w:r>
      <w:r w:rsidR="00F3624E">
        <w:t>functioning of</w:t>
      </w:r>
      <w:r w:rsidR="00800960">
        <w:t xml:space="preserve"> macro-economic structures and </w:t>
      </w:r>
      <w:r w:rsidR="00F3624E">
        <w:t>the role of public</w:t>
      </w:r>
      <w:r w:rsidR="00800960">
        <w:t xml:space="preserve"> policies (</w:t>
      </w:r>
      <w:r w:rsidR="00800960" w:rsidRPr="00C321FE">
        <w:rPr>
          <w:color w:val="auto"/>
        </w:rPr>
        <w:t>Gordon, 2008: 165</w:t>
      </w:r>
      <w:r w:rsidR="00800960">
        <w:t>).</w:t>
      </w:r>
      <w:r w:rsidR="00E003F6">
        <w:t xml:space="preserve"> </w:t>
      </w:r>
      <w:r w:rsidR="00F3624E">
        <w:t>Despite this, t</w:t>
      </w:r>
      <w:r w:rsidR="000F5B04">
        <w:t xml:space="preserve">here has been slow progress on remedying </w:t>
      </w:r>
      <w:r w:rsidR="00E003F6">
        <w:t xml:space="preserve">these </w:t>
      </w:r>
      <w:r w:rsidR="000F5B04">
        <w:t xml:space="preserve">inequalities </w:t>
      </w:r>
      <w:r w:rsidR="00E003F6">
        <w:t>or improving</w:t>
      </w:r>
      <w:r w:rsidR="000F5B04">
        <w:t xml:space="preserve"> social mobility</w:t>
      </w:r>
      <w:r w:rsidR="004B206A">
        <w:t xml:space="preserve"> in the UK</w:t>
      </w:r>
      <w:r w:rsidR="00F3624E">
        <w:t xml:space="preserve"> </w:t>
      </w:r>
      <w:r w:rsidR="001755BB">
        <w:t>(</w:t>
      </w:r>
      <w:r w:rsidR="001B1289" w:rsidRPr="001B1289">
        <w:rPr>
          <w:color w:val="auto"/>
        </w:rPr>
        <w:t>Social Mobility and Child Poverty Commission, 2014</w:t>
      </w:r>
      <w:r w:rsidR="00692CD1">
        <w:rPr>
          <w:color w:val="auto"/>
        </w:rPr>
        <w:t xml:space="preserve">; Emmel </w:t>
      </w:r>
      <w:r w:rsidR="00493006">
        <w:rPr>
          <w:color w:val="auto"/>
        </w:rPr>
        <w:t>and</w:t>
      </w:r>
      <w:r w:rsidR="00692CD1">
        <w:rPr>
          <w:color w:val="auto"/>
        </w:rPr>
        <w:t xml:space="preserve"> Hughes, 2010</w:t>
      </w:r>
      <w:r w:rsidR="001755BB">
        <w:t>).</w:t>
      </w:r>
      <w:r w:rsidR="004B0798">
        <w:t xml:space="preserve"> </w:t>
      </w:r>
      <w:r w:rsidR="001B1289">
        <w:t>In fact</w:t>
      </w:r>
      <w:r w:rsidR="004B0798">
        <w:t xml:space="preserve">, </w:t>
      </w:r>
      <w:r w:rsidR="00F934C7">
        <w:t>it can be argued that their vulnerability became clearly visible in the wake of the recent economic depression in Europe</w:t>
      </w:r>
      <w:r w:rsidR="003854B9">
        <w:t>,</w:t>
      </w:r>
      <w:r w:rsidR="00F934C7">
        <w:t xml:space="preserve"> when</w:t>
      </w:r>
      <w:r w:rsidR="00692CD1">
        <w:t xml:space="preserve"> </w:t>
      </w:r>
      <w:r w:rsidR="00F934C7">
        <w:t>they</w:t>
      </w:r>
      <w:r w:rsidR="004B0798">
        <w:t xml:space="preserve"> </w:t>
      </w:r>
      <w:r w:rsidR="00F934C7">
        <w:t>were</w:t>
      </w:r>
      <w:r w:rsidR="004B0798">
        <w:t xml:space="preserve"> hit hardest by</w:t>
      </w:r>
      <w:r w:rsidR="001B1289">
        <w:t xml:space="preserve"> a perfect storm of rising prices, stagnant wages</w:t>
      </w:r>
      <w:r w:rsidR="004B0798">
        <w:t xml:space="preserve"> and austerity policies</w:t>
      </w:r>
      <w:r w:rsidR="003854B9">
        <w:t xml:space="preserve"> that undermined much of their welfare and public services </w:t>
      </w:r>
      <w:r w:rsidR="004B0798">
        <w:t>(</w:t>
      </w:r>
      <w:r w:rsidR="00692CD1" w:rsidRPr="00692CD1">
        <w:rPr>
          <w:color w:val="auto"/>
        </w:rPr>
        <w:t>Fanjul, 2014</w:t>
      </w:r>
      <w:r w:rsidR="004B0798">
        <w:t>).</w:t>
      </w:r>
    </w:p>
    <w:p w14:paraId="3AB92FCC" w14:textId="38E99718" w:rsidR="00884A8D" w:rsidRDefault="004B0798" w:rsidP="002F1B3F">
      <w:r>
        <w:t>However, the</w:t>
      </w:r>
      <w:r w:rsidR="007B607A">
        <w:t xml:space="preserve"> condition</w:t>
      </w:r>
      <w:r w:rsidR="00372FAF">
        <w:t>s</w:t>
      </w:r>
      <w:r w:rsidR="007B607A">
        <w:t xml:space="preserve"> and</w:t>
      </w:r>
      <w:r>
        <w:t xml:space="preserve"> experience</w:t>
      </w:r>
      <w:r w:rsidR="00372FAF">
        <w:t>s</w:t>
      </w:r>
      <w:r>
        <w:t xml:space="preserve"> of poverty </w:t>
      </w:r>
      <w:r w:rsidR="00372FAF">
        <w:t>are not fixed;</w:t>
      </w:r>
      <w:r>
        <w:t xml:space="preserve"> </w:t>
      </w:r>
      <w:r w:rsidR="00372FAF">
        <w:t>t</w:t>
      </w:r>
      <w:r>
        <w:t xml:space="preserve">he vulnerability of </w:t>
      </w:r>
      <w:r w:rsidR="00372FAF">
        <w:t xml:space="preserve">disabled people and </w:t>
      </w:r>
      <w:r>
        <w:t>low-incom</w:t>
      </w:r>
      <w:r w:rsidR="00372FAF">
        <w:t>e families fluctuates over time. It is partly a</w:t>
      </w:r>
      <w:r>
        <w:t xml:space="preserve"> response to external social structures, but </w:t>
      </w:r>
      <w:r w:rsidR="00372FAF">
        <w:t xml:space="preserve">it is </w:t>
      </w:r>
      <w:r>
        <w:t>also as a result of internal social relations and processes (</w:t>
      </w:r>
      <w:r w:rsidRPr="00C321FE">
        <w:rPr>
          <w:color w:val="auto"/>
        </w:rPr>
        <w:t>Brown</w:t>
      </w:r>
      <w:r w:rsidR="00C321FE" w:rsidRPr="00C321FE">
        <w:rPr>
          <w:color w:val="auto"/>
        </w:rPr>
        <w:t xml:space="preserve">, </w:t>
      </w:r>
      <w:r w:rsidR="00E003F6">
        <w:rPr>
          <w:color w:val="auto"/>
        </w:rPr>
        <w:t xml:space="preserve">2014; </w:t>
      </w:r>
      <w:r w:rsidR="00C321FE" w:rsidRPr="00C321FE">
        <w:rPr>
          <w:color w:val="auto"/>
        </w:rPr>
        <w:t>2015</w:t>
      </w:r>
      <w:r w:rsidRPr="00C321FE">
        <w:rPr>
          <w:color w:val="auto"/>
        </w:rPr>
        <w:t xml:space="preserve">; Brighouse </w:t>
      </w:r>
      <w:r w:rsidR="00493006">
        <w:rPr>
          <w:color w:val="auto"/>
        </w:rPr>
        <w:t>and</w:t>
      </w:r>
      <w:r w:rsidRPr="00C321FE">
        <w:rPr>
          <w:color w:val="auto"/>
        </w:rPr>
        <w:t xml:space="preserve"> Swift</w:t>
      </w:r>
      <w:r w:rsidR="00C321FE" w:rsidRPr="00C321FE">
        <w:rPr>
          <w:color w:val="auto"/>
        </w:rPr>
        <w:t>, 2008</w:t>
      </w:r>
      <w:r w:rsidRPr="00C321FE">
        <w:rPr>
          <w:color w:val="auto"/>
        </w:rPr>
        <w:t xml:space="preserve">). </w:t>
      </w:r>
      <w:r>
        <w:t>This is not to suggest that vulnerability is a proxy for poverty</w:t>
      </w:r>
      <w:r w:rsidR="00372FAF">
        <w:t xml:space="preserve"> or </w:t>
      </w:r>
      <w:r w:rsidR="00372FAF" w:rsidRPr="00372FAF">
        <w:rPr>
          <w:i/>
        </w:rPr>
        <w:t>de facto</w:t>
      </w:r>
      <w:r w:rsidR="00372FAF">
        <w:t xml:space="preserve"> leads to distributional injustices</w:t>
      </w:r>
      <w:r>
        <w:t xml:space="preserve">. Rather, it is a reminder that everyone is vulnerable but ‘some are more vulnerable than others’ and in different ways (Cole, 2016). </w:t>
      </w:r>
      <w:r w:rsidR="00692CD1">
        <w:t>Critically</w:t>
      </w:r>
      <w:r w:rsidR="00884A8D">
        <w:t xml:space="preserve">, it reminds us that </w:t>
      </w:r>
      <w:r w:rsidR="00F8279D">
        <w:t xml:space="preserve">‘problematising’ </w:t>
      </w:r>
      <w:r w:rsidR="00884A8D">
        <w:t xml:space="preserve">some </w:t>
      </w:r>
      <w:r w:rsidR="00F8279D">
        <w:t>families and children</w:t>
      </w:r>
      <w:r w:rsidR="00884A8D">
        <w:t xml:space="preserve"> as vulnerable</w:t>
      </w:r>
      <w:r w:rsidR="00F8279D">
        <w:t>,</w:t>
      </w:r>
      <w:r w:rsidR="00884A8D">
        <w:t xml:space="preserve"> </w:t>
      </w:r>
      <w:r w:rsidR="00F8279D">
        <w:t>through public discourse and policies, may actually conceal the structural causes of their disadvantage or even promulgate them (</w:t>
      </w:r>
      <w:r w:rsidR="00692CD1">
        <w:t xml:space="preserve">Brown; 2014; </w:t>
      </w:r>
      <w:r w:rsidR="00F8279D" w:rsidRPr="0000257E">
        <w:rPr>
          <w:color w:val="auto"/>
        </w:rPr>
        <w:t xml:space="preserve">Daniel, 2010; </w:t>
      </w:r>
      <w:r w:rsidR="00692CD1" w:rsidRPr="00692CD1">
        <w:rPr>
          <w:color w:val="auto"/>
        </w:rPr>
        <w:t xml:space="preserve">James </w:t>
      </w:r>
      <w:r w:rsidR="00493006">
        <w:rPr>
          <w:color w:val="auto"/>
        </w:rPr>
        <w:t>and</w:t>
      </w:r>
      <w:r w:rsidR="00692CD1" w:rsidRPr="00692CD1">
        <w:rPr>
          <w:color w:val="auto"/>
        </w:rPr>
        <w:t xml:space="preserve"> </w:t>
      </w:r>
      <w:r w:rsidR="00F8279D" w:rsidRPr="00692CD1">
        <w:rPr>
          <w:color w:val="auto"/>
        </w:rPr>
        <w:t>Prout</w:t>
      </w:r>
      <w:r w:rsidR="00692CD1" w:rsidRPr="00692CD1">
        <w:rPr>
          <w:color w:val="auto"/>
        </w:rPr>
        <w:t>, 2015</w:t>
      </w:r>
      <w:r w:rsidR="0000257E">
        <w:rPr>
          <w:color w:val="auto"/>
        </w:rPr>
        <w:t>; Prout, 2000</w:t>
      </w:r>
      <w:r w:rsidR="00F8279D">
        <w:t>).</w:t>
      </w:r>
    </w:p>
    <w:p w14:paraId="0C829915" w14:textId="2D18AB41" w:rsidR="00E672E8" w:rsidRPr="009D19AC" w:rsidRDefault="006B70FF" w:rsidP="002F1B3F">
      <w:pPr>
        <w:rPr>
          <w:b/>
          <w:i/>
        </w:rPr>
      </w:pPr>
      <w:r>
        <w:rPr>
          <w:b/>
          <w:i/>
        </w:rPr>
        <w:t>The retrofit challenge</w:t>
      </w:r>
    </w:p>
    <w:p w14:paraId="47864324" w14:textId="308A691E" w:rsidR="00366B31" w:rsidRDefault="00E672E8" w:rsidP="002F1B3F">
      <w:r>
        <w:t xml:space="preserve">Distributional justice is </w:t>
      </w:r>
      <w:r w:rsidR="001E64F0">
        <w:t>especially</w:t>
      </w:r>
      <w:r>
        <w:t xml:space="preserve"> pertinent to energy efficiency</w:t>
      </w:r>
      <w:r w:rsidR="001E64F0">
        <w:t xml:space="preserve"> policy goals</w:t>
      </w:r>
      <w:r>
        <w:t>. As Boardman (</w:t>
      </w:r>
      <w:r w:rsidR="002F0DF1" w:rsidRPr="002F0DF1">
        <w:rPr>
          <w:color w:val="auto"/>
        </w:rPr>
        <w:t>2013</w:t>
      </w:r>
      <w:r>
        <w:t xml:space="preserve">) points out, the poorest and most marginalised members of society tend </w:t>
      </w:r>
      <w:r w:rsidR="00E61249">
        <w:t>to live in the most inefficient</w:t>
      </w:r>
      <w:r>
        <w:t xml:space="preserve"> and poor quality housing, and furthermore, they may have the least capacity to </w:t>
      </w:r>
      <w:r w:rsidR="007E3750">
        <w:t>engage with</w:t>
      </w:r>
      <w:r>
        <w:t xml:space="preserve"> retrofitting</w:t>
      </w:r>
      <w:r w:rsidR="007E3750">
        <w:t xml:space="preserve"> schemes</w:t>
      </w:r>
      <w:r>
        <w:t xml:space="preserve">. </w:t>
      </w:r>
      <w:r w:rsidR="001E64F0">
        <w:t>Regarding policy design,</w:t>
      </w:r>
      <w:r>
        <w:t xml:space="preserve"> distributional questions of who pays and benefits are important. In the UK, the costs incurred by energy companies</w:t>
      </w:r>
      <w:r w:rsidR="00E61249">
        <w:t xml:space="preserve"> </w:t>
      </w:r>
      <w:r>
        <w:t xml:space="preserve">as a result of their </w:t>
      </w:r>
      <w:r w:rsidR="001E64F0">
        <w:t xml:space="preserve">regulatory </w:t>
      </w:r>
      <w:r>
        <w:t xml:space="preserve">obligation to retrofit a certain number of properties each year </w:t>
      </w:r>
      <w:r w:rsidR="007E3750">
        <w:t>are</w:t>
      </w:r>
      <w:r>
        <w:t xml:space="preserve"> passed on to their consumers. Such a funding arrangement is regressive inasmuch as it raises the average</w:t>
      </w:r>
      <w:r w:rsidR="001E64F0">
        <w:t xml:space="preserve"> retail</w:t>
      </w:r>
      <w:r>
        <w:t xml:space="preserve"> price </w:t>
      </w:r>
      <w:r w:rsidR="00E61249">
        <w:t>of energy, which hits low-income and fuel poor</w:t>
      </w:r>
      <w:r>
        <w:t xml:space="preserve"> households hardest</w:t>
      </w:r>
      <w:r w:rsidR="00567142">
        <w:t xml:space="preserve"> (Mallaburn and Eyre, 2014)</w:t>
      </w:r>
      <w:r>
        <w:t xml:space="preserve">. In theory </w:t>
      </w:r>
      <w:r w:rsidR="00777364">
        <w:t xml:space="preserve">this impact </w:t>
      </w:r>
      <w:r w:rsidR="007E3750">
        <w:t>should</w:t>
      </w:r>
      <w:r>
        <w:t xml:space="preserve"> be ameliorated by the savings enjoyed by fuel poor households whose homes have been retrofitted</w:t>
      </w:r>
      <w:r w:rsidR="00777364">
        <w:t>, b</w:t>
      </w:r>
      <w:r>
        <w:t>ut in reality only a portion of these schemes are aimed at poorer households</w:t>
      </w:r>
      <w:r w:rsidR="001E64F0">
        <w:t>,</w:t>
      </w:r>
      <w:r>
        <w:t xml:space="preserve"> and only a portion of those actually reach the most vulnerable (</w:t>
      </w:r>
      <w:r w:rsidR="00DD69FA" w:rsidRPr="00DD69FA">
        <w:rPr>
          <w:color w:val="auto"/>
        </w:rPr>
        <w:t>Sovacool, 2015; Rosenow et al., 2013</w:t>
      </w:r>
      <w:r w:rsidR="00547446">
        <w:t xml:space="preserve">). </w:t>
      </w:r>
    </w:p>
    <w:p w14:paraId="4AD5715F" w14:textId="3C56D9C2" w:rsidR="005C00F0" w:rsidRDefault="00972814" w:rsidP="002F1B3F">
      <w:r>
        <w:t>The potential health benefits of improving</w:t>
      </w:r>
      <w:r w:rsidR="007E3750">
        <w:t xml:space="preserve"> vulnerable</w:t>
      </w:r>
      <w:r>
        <w:t xml:space="preserve"> households’ energy efficiency </w:t>
      </w:r>
      <w:r w:rsidR="007E3750">
        <w:t>(</w:t>
      </w:r>
      <w:r>
        <w:t>and</w:t>
      </w:r>
      <w:r w:rsidR="007E3750">
        <w:t xml:space="preserve"> thus</w:t>
      </w:r>
      <w:r>
        <w:t xml:space="preserve"> thermal comfort</w:t>
      </w:r>
      <w:r w:rsidR="007E3750">
        <w:t>)</w:t>
      </w:r>
      <w:r>
        <w:t xml:space="preserve"> are well documented, </w:t>
      </w:r>
      <w:r w:rsidR="007E3750">
        <w:t>adding to the</w:t>
      </w:r>
      <w:r>
        <w:t xml:space="preserve"> </w:t>
      </w:r>
      <w:r w:rsidR="007E3750">
        <w:t xml:space="preserve">evidence </w:t>
      </w:r>
      <w:r w:rsidR="001E64F0">
        <w:t>base</w:t>
      </w:r>
      <w:r>
        <w:t xml:space="preserve"> for inve</w:t>
      </w:r>
      <w:r w:rsidR="00DA3F47">
        <w:t xml:space="preserve">sting in such policies </w:t>
      </w:r>
      <w:r>
        <w:t>(Marmot Review Team</w:t>
      </w:r>
      <w:r w:rsidR="00DA3F47">
        <w:t>, 2011</w:t>
      </w:r>
      <w:r>
        <w:t xml:space="preserve">). These benefits are particularly clear in the case of </w:t>
      </w:r>
      <w:r w:rsidR="002F6949">
        <w:t xml:space="preserve">disabled </w:t>
      </w:r>
      <w:r>
        <w:t>people and families with young children</w:t>
      </w:r>
      <w:r w:rsidR="001E64F0">
        <w:t>, who are at risk of suffering chronic respiratory illnesses</w:t>
      </w:r>
      <w:r>
        <w:t xml:space="preserve"> (</w:t>
      </w:r>
      <w:r w:rsidR="00B92E7A" w:rsidRPr="00C7647D">
        <w:t>The Children’s Society and National Energy Action</w:t>
      </w:r>
      <w:r w:rsidR="00B92E7A">
        <w:t>,</w:t>
      </w:r>
      <w:r w:rsidR="00B92E7A" w:rsidRPr="00C7647D">
        <w:t xml:space="preserve"> 2015</w:t>
      </w:r>
      <w:r w:rsidR="00B92E7A">
        <w:t xml:space="preserve">; George et al., 2013). </w:t>
      </w:r>
      <w:r w:rsidR="001E64F0">
        <w:t xml:space="preserve">Further, </w:t>
      </w:r>
      <w:r w:rsidR="005C00F0">
        <w:t xml:space="preserve">Figure 2 illustrates a </w:t>
      </w:r>
      <w:r w:rsidR="00CF2090">
        <w:t>range of</w:t>
      </w:r>
      <w:r w:rsidR="001E64F0">
        <w:t xml:space="preserve"> broader</w:t>
      </w:r>
      <w:r w:rsidR="005C00F0">
        <w:t xml:space="preserve"> co-benefits, many of which </w:t>
      </w:r>
      <w:r w:rsidR="00CF2090">
        <w:t>resonate with the above comments about entrenched structural inequalities and a lack of social mobility. For example</w:t>
      </w:r>
      <w:r w:rsidR="005E0C6B">
        <w:t>:</w:t>
      </w:r>
      <w:r w:rsidR="00CF2090">
        <w:t xml:space="preserve"> local spending </w:t>
      </w:r>
      <w:r w:rsidR="005E0C6B">
        <w:t>and employment,</w:t>
      </w:r>
      <w:r w:rsidR="00CF2090">
        <w:t xml:space="preserve"> as well as </w:t>
      </w:r>
      <w:r w:rsidR="009C7D50">
        <w:t>increased</w:t>
      </w:r>
      <w:r w:rsidR="00CF2090">
        <w:t xml:space="preserve"> property values </w:t>
      </w:r>
      <w:r w:rsidR="009C7D50">
        <w:t>and higher subjective wellbeing associated w</w:t>
      </w:r>
      <w:r w:rsidR="00B263F8">
        <w:t xml:space="preserve">ith improved </w:t>
      </w:r>
      <w:r w:rsidR="00C63CFD">
        <w:t xml:space="preserve">community appearances (i.e. housing quality) </w:t>
      </w:r>
      <w:r w:rsidR="00CF2090">
        <w:t xml:space="preserve">would all contribute to </w:t>
      </w:r>
      <w:r w:rsidR="005C00F0">
        <w:t>socio-economi</w:t>
      </w:r>
      <w:r w:rsidR="00CF2090">
        <w:t xml:space="preserve">c development </w:t>
      </w:r>
      <w:r w:rsidR="00CF2090">
        <w:lastRenderedPageBreak/>
        <w:t>in deprived areas.</w:t>
      </w:r>
      <w:r w:rsidR="005E0C6B">
        <w:t xml:space="preserve"> To some extent this potential is recognised in Welsh and Scottish policy, which stipulates that local supply chains and additional community benefits must be considered as part of retrofit schemes.</w:t>
      </w:r>
    </w:p>
    <w:p w14:paraId="3186EBD1" w14:textId="558CD22E" w:rsidR="00D8127D" w:rsidRDefault="005E0C6B" w:rsidP="002F1B3F">
      <w:r>
        <w:t>E</w:t>
      </w:r>
      <w:r w:rsidR="00DC603D">
        <w:t xml:space="preserve">nergy efficiency improvements </w:t>
      </w:r>
      <w:r w:rsidR="00CF703D">
        <w:t xml:space="preserve">have the potential to </w:t>
      </w:r>
      <w:r w:rsidR="00DC603D">
        <w:t xml:space="preserve">rectify the injustice of poorer households living in the poorest quality housing (assuming they actually reach the severest cases first and that there are no financial or material limits to achieving an acceptable level of efficiency – </w:t>
      </w:r>
      <w:r w:rsidR="007574B3">
        <w:t>neither</w:t>
      </w:r>
      <w:r w:rsidR="00DC603D">
        <w:t xml:space="preserve"> of which are true in the UK). Although efficiency gains may lower the overall amount a household needs to spend on energy, this </w:t>
      </w:r>
      <w:r w:rsidR="00CF2090">
        <w:t>does not</w:t>
      </w:r>
      <w:r w:rsidR="00DC603D">
        <w:t xml:space="preserve"> take into account the </w:t>
      </w:r>
      <w:r w:rsidR="00CF2090">
        <w:t xml:space="preserve">above average levels of consumption required by vulnerable households or the </w:t>
      </w:r>
      <w:r w:rsidR="00DC603D">
        <w:t xml:space="preserve">potential increase in consumption </w:t>
      </w:r>
      <w:r w:rsidR="00144B35">
        <w:t>due to previously self-imposed rationing</w:t>
      </w:r>
      <w:r w:rsidR="00DC603D">
        <w:t xml:space="preserve"> (</w:t>
      </w:r>
      <w:r w:rsidR="00144B35">
        <w:t>commonly known as the</w:t>
      </w:r>
      <w:r w:rsidR="00DC603D">
        <w:t xml:space="preserve"> ‘rebound effect’)</w:t>
      </w:r>
      <w:r w:rsidR="00D8127D">
        <w:t xml:space="preserve"> (</w:t>
      </w:r>
      <w:r w:rsidR="00240C77" w:rsidRPr="00240C77">
        <w:rPr>
          <w:color w:val="auto"/>
        </w:rPr>
        <w:t>Jenkins, 2010</w:t>
      </w:r>
      <w:r w:rsidR="00D8127D">
        <w:t xml:space="preserve">). </w:t>
      </w:r>
      <w:r w:rsidR="00144B35">
        <w:t>Ultimately</w:t>
      </w:r>
      <w:r w:rsidR="001E64F0">
        <w:t>,</w:t>
      </w:r>
      <w:r w:rsidR="00144B35">
        <w:t xml:space="preserve"> retrofitting is not a panacea for fuel poverty and has to be analysed and delivered within the context of </w:t>
      </w:r>
      <w:r w:rsidR="00573F04">
        <w:t>numerous</w:t>
      </w:r>
      <w:r w:rsidR="00D8127D">
        <w:t xml:space="preserve"> other structural inequalities </w:t>
      </w:r>
      <w:r w:rsidR="00144B35">
        <w:t>and causes of vulnerability.</w:t>
      </w:r>
    </w:p>
    <w:p w14:paraId="51999C42" w14:textId="6DF7108D" w:rsidR="007070BA" w:rsidRDefault="007070BA" w:rsidP="002F1B3F">
      <w:r w:rsidRPr="007070BA">
        <w:rPr>
          <w:noProof/>
          <w:lang w:val="en-US" w:eastAsia="en-US"/>
        </w:rPr>
        <w:drawing>
          <wp:inline distT="0" distB="0" distL="0" distR="0" wp14:anchorId="0DE43043" wp14:editId="779D2D4A">
            <wp:extent cx="5731510" cy="337573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75738"/>
                    </a:xfrm>
                    <a:prstGeom prst="rect">
                      <a:avLst/>
                    </a:prstGeom>
                    <a:noFill/>
                    <a:ln>
                      <a:noFill/>
                    </a:ln>
                  </pic:spPr>
                </pic:pic>
              </a:graphicData>
            </a:graphic>
          </wp:inline>
        </w:drawing>
      </w:r>
    </w:p>
    <w:p w14:paraId="054B7214" w14:textId="3591B70A" w:rsidR="00C237A2" w:rsidRPr="00C237A2" w:rsidRDefault="00402204" w:rsidP="002F1B3F">
      <w:pPr>
        <w:rPr>
          <w:i/>
        </w:rPr>
      </w:pPr>
      <w:r>
        <w:rPr>
          <w:i/>
        </w:rPr>
        <w:t>Figure 2</w:t>
      </w:r>
      <w:r w:rsidR="00C237A2">
        <w:rPr>
          <w:i/>
        </w:rPr>
        <w:t xml:space="preserve">: Potential co-benefits of investing in energy efficiency schemes (source: </w:t>
      </w:r>
      <w:r w:rsidRPr="00402204">
        <w:rPr>
          <w:i/>
          <w:color w:val="auto"/>
        </w:rPr>
        <w:t xml:space="preserve">Heffner </w:t>
      </w:r>
      <w:r w:rsidR="00B60DA7">
        <w:rPr>
          <w:i/>
          <w:color w:val="auto"/>
        </w:rPr>
        <w:t>and</w:t>
      </w:r>
      <w:r w:rsidRPr="00402204">
        <w:rPr>
          <w:i/>
          <w:color w:val="auto"/>
        </w:rPr>
        <w:t xml:space="preserve"> Campbell, 2011</w:t>
      </w:r>
      <w:r w:rsidR="00C237A2">
        <w:rPr>
          <w:i/>
        </w:rPr>
        <w:t>)</w:t>
      </w:r>
    </w:p>
    <w:p w14:paraId="19F03BDC" w14:textId="21A109C8" w:rsidR="00E672E8" w:rsidRDefault="004412A7" w:rsidP="002F1B3F">
      <w:pPr>
        <w:pStyle w:val="Heading1"/>
      </w:pPr>
      <w:r>
        <w:t xml:space="preserve">Conclusion: </w:t>
      </w:r>
      <w:r w:rsidR="005C5AC7">
        <w:t xml:space="preserve">combining justice and vulnerability perspectives </w:t>
      </w:r>
      <w:r w:rsidR="00BC175B">
        <w:t>to generate</w:t>
      </w:r>
      <w:r w:rsidR="005C5AC7">
        <w:t xml:space="preserve"> fairer energy policy</w:t>
      </w:r>
    </w:p>
    <w:p w14:paraId="01FCA889" w14:textId="553E7EEB" w:rsidR="00EE3563" w:rsidRDefault="00EE3563" w:rsidP="00EE3563">
      <w:r>
        <w:t xml:space="preserve">Conceptual developments and a growing body of empirical research around energy justice </w:t>
      </w:r>
      <w:r w:rsidR="004412A7">
        <w:t xml:space="preserve">present an opportunity to develop new </w:t>
      </w:r>
      <w:r w:rsidR="0055098C">
        <w:t>policy solutions</w:t>
      </w:r>
      <w:r>
        <w:t xml:space="preserve"> to the anachronistic issue of fuel poverty</w:t>
      </w:r>
      <w:r w:rsidR="004412A7">
        <w:t xml:space="preserve"> in industrialised countries</w:t>
      </w:r>
      <w:r w:rsidR="00BC175B">
        <w:t xml:space="preserve"> (Sovacool et al., 2017)</w:t>
      </w:r>
      <w:r>
        <w:t xml:space="preserve">. Walker </w:t>
      </w:r>
      <w:r w:rsidR="00B60DA7">
        <w:t>and</w:t>
      </w:r>
      <w:r>
        <w:t xml:space="preserve"> Day (2012) sketched a first overview of this potential, describing the </w:t>
      </w:r>
      <w:r w:rsidR="00D237B8">
        <w:t xml:space="preserve">interrelated </w:t>
      </w:r>
      <w:r>
        <w:t>distributional</w:t>
      </w:r>
      <w:r w:rsidR="004412A7">
        <w:t>-</w:t>
      </w:r>
      <w:r>
        <w:t>, procedural</w:t>
      </w:r>
      <w:r w:rsidR="004412A7">
        <w:t>-</w:t>
      </w:r>
      <w:r>
        <w:t xml:space="preserve"> and recogn</w:t>
      </w:r>
      <w:r w:rsidR="004412A7">
        <w:t>ition-</w:t>
      </w:r>
      <w:r>
        <w:t>based injustices faced by the fuel poor</w:t>
      </w:r>
      <w:r w:rsidR="004412A7">
        <w:t xml:space="preserve"> in the UK</w:t>
      </w:r>
      <w:r>
        <w:t>. Through</w:t>
      </w:r>
      <w:r w:rsidR="004412A7">
        <w:t>out</w:t>
      </w:r>
      <w:r w:rsidR="00D0035E">
        <w:t xml:space="preserve"> this inter</w:t>
      </w:r>
      <w:r>
        <w:t>disciplinary review we have further refined the three aspects of energy justice in relation to two specific groups</w:t>
      </w:r>
      <w:r w:rsidR="00552156">
        <w:t>,</w:t>
      </w:r>
      <w:r>
        <w:t xml:space="preserve"> </w:t>
      </w:r>
      <w:r w:rsidR="00AD11C5">
        <w:t>highlighting the importance of developing a nuanced understanding of their vulnerability</w:t>
      </w:r>
      <w:r>
        <w:t xml:space="preserve">. Furthermore, these </w:t>
      </w:r>
      <w:r w:rsidR="00552156">
        <w:t xml:space="preserve">reflections have a significant </w:t>
      </w:r>
      <w:r w:rsidR="007A597F">
        <w:t>bearing</w:t>
      </w:r>
      <w:r w:rsidR="00552156">
        <w:t xml:space="preserve"> on </w:t>
      </w:r>
      <w:r w:rsidR="007A597F">
        <w:t xml:space="preserve">domestic energy efficiency policy, raising questions about the equity of </w:t>
      </w:r>
      <w:r w:rsidR="005C5AC7">
        <w:t>its design and implementation.</w:t>
      </w:r>
      <w:r w:rsidR="00D0035E">
        <w:t xml:space="preserve"> As such, it is an example of the way social science can be utilised to </w:t>
      </w:r>
      <w:r w:rsidR="008E2EF4">
        <w:t>address</w:t>
      </w:r>
      <w:r w:rsidR="00D0035E">
        <w:t xml:space="preserve"> transdisciplinary considerations </w:t>
      </w:r>
      <w:r w:rsidR="008E2EF4">
        <w:t>in</w:t>
      </w:r>
      <w:r w:rsidR="00D0035E">
        <w:t xml:space="preserve"> energy </w:t>
      </w:r>
      <w:r w:rsidR="008E2EF4">
        <w:t xml:space="preserve">research i.e. values and norms as </w:t>
      </w:r>
      <w:r w:rsidR="008E2EF4">
        <w:lastRenderedPageBreak/>
        <w:t>well as pragmatic and empirical issues (</w:t>
      </w:r>
      <w:r w:rsidR="0055098C">
        <w:t xml:space="preserve">Heffron and McCauley, 2017; </w:t>
      </w:r>
      <w:r w:rsidR="008E2EF4">
        <w:t>Spreng, 2014).</w:t>
      </w:r>
      <w:r w:rsidR="003B73DC">
        <w:t xml:space="preserve"> The findings themselves relate to the </w:t>
      </w:r>
      <w:r w:rsidR="00BC5CDE">
        <w:t>global</w:t>
      </w:r>
      <w:r w:rsidR="003B73DC">
        <w:t xml:space="preserve"> </w:t>
      </w:r>
      <w:r w:rsidR="00BC5CDE">
        <w:t>issue</w:t>
      </w:r>
      <w:r w:rsidR="003B73DC">
        <w:t xml:space="preserve"> of energy </w:t>
      </w:r>
      <w:r w:rsidR="00BC5CDE">
        <w:t>access,</w:t>
      </w:r>
      <w:r w:rsidR="003B73DC">
        <w:t xml:space="preserve"> and as such have wider relevance beyond the UK; deliberately seeking to expand the horizons of the current definition and understanding of fuel poverty and vulnerability.</w:t>
      </w:r>
    </w:p>
    <w:p w14:paraId="076E740D" w14:textId="32AC4398" w:rsidR="007A597F" w:rsidRDefault="005C5AC7" w:rsidP="00EE3563">
      <w:r>
        <w:t>Rights-based theories of justice</w:t>
      </w:r>
      <w:r w:rsidR="007A597F">
        <w:t xml:space="preserve"> </w:t>
      </w:r>
      <w:r>
        <w:t>have</w:t>
      </w:r>
      <w:r w:rsidR="007A597F">
        <w:t xml:space="preserve"> been </w:t>
      </w:r>
      <w:r>
        <w:t xml:space="preserve">central to the development of energy justice ideas. They have </w:t>
      </w:r>
      <w:r w:rsidR="00194929">
        <w:t xml:space="preserve">a long history in </w:t>
      </w:r>
      <w:r w:rsidR="007A597F">
        <w:t xml:space="preserve">the bodies of literature we have drawn on e.g. capabilities, disability rights, </w:t>
      </w:r>
      <w:r w:rsidR="003512A5">
        <w:t>and children’s</w:t>
      </w:r>
      <w:r w:rsidR="00194929">
        <w:t xml:space="preserve"> rights. I</w:t>
      </w:r>
      <w:r w:rsidR="007A597F">
        <w:t xml:space="preserve">f we </w:t>
      </w:r>
      <w:r w:rsidR="005F45E0">
        <w:t xml:space="preserve">were to </w:t>
      </w:r>
      <w:r w:rsidR="007A597F">
        <w:t xml:space="preserve">treat energy as a right – because it is instrumental in the </w:t>
      </w:r>
      <w:r>
        <w:t>realisation</w:t>
      </w:r>
      <w:r w:rsidR="007A597F">
        <w:t xml:space="preserve"> of a fulfilling life</w:t>
      </w:r>
      <w:r w:rsidR="005F45E0">
        <w:t xml:space="preserve"> </w:t>
      </w:r>
      <w:r w:rsidR="007A597F">
        <w:t xml:space="preserve">– then </w:t>
      </w:r>
      <w:r w:rsidR="00194929">
        <w:t xml:space="preserve">it follows that </w:t>
      </w:r>
      <w:r w:rsidR="007A597F">
        <w:t>we must also recognise the differential energy needs of certain groups.</w:t>
      </w:r>
      <w:r w:rsidR="00194929">
        <w:t xml:space="preserve"> Social researchers and law experts are beginning to explore the implications of such an approach</w:t>
      </w:r>
      <w:r w:rsidR="005F45E0">
        <w:t xml:space="preserve"> </w:t>
      </w:r>
      <w:r w:rsidR="001949B0">
        <w:t>for our understanding of fuel poverty</w:t>
      </w:r>
      <w:r w:rsidR="00194929">
        <w:t xml:space="preserve"> (</w:t>
      </w:r>
      <w:r w:rsidR="005F45E0">
        <w:t xml:space="preserve">Christman and Russell, 2016; </w:t>
      </w:r>
      <w:r w:rsidR="00194929">
        <w:t xml:space="preserve">Walker et al., 2016). </w:t>
      </w:r>
      <w:r w:rsidR="001949B0">
        <w:t>Put into practice</w:t>
      </w:r>
      <w:r w:rsidR="005F45E0">
        <w:t>,</w:t>
      </w:r>
      <w:r w:rsidR="00D06BF2">
        <w:t xml:space="preserve"> </w:t>
      </w:r>
      <w:r w:rsidR="005F45E0">
        <w:t>a</w:t>
      </w:r>
      <w:r w:rsidR="00D06BF2">
        <w:t xml:space="preserve"> rights </w:t>
      </w:r>
      <w:r w:rsidR="005F45E0">
        <w:t xml:space="preserve">perspective </w:t>
      </w:r>
      <w:r w:rsidR="00D06BF2">
        <w:t xml:space="preserve">can </w:t>
      </w:r>
      <w:r w:rsidR="001949B0">
        <w:t xml:space="preserve">be an effective political strategy to </w:t>
      </w:r>
      <w:r w:rsidR="00D06BF2">
        <w:t>draw attention to</w:t>
      </w:r>
      <w:r w:rsidR="005F45E0">
        <w:t xml:space="preserve"> </w:t>
      </w:r>
      <w:r w:rsidR="00D06BF2">
        <w:t>the structural and social forms of misrecognition</w:t>
      </w:r>
      <w:r w:rsidR="005F45E0">
        <w:t xml:space="preserve"> </w:t>
      </w:r>
      <w:r w:rsidR="001949B0">
        <w:t xml:space="preserve">faced by </w:t>
      </w:r>
      <w:r w:rsidR="00EB3F7E">
        <w:t xml:space="preserve">disabled </w:t>
      </w:r>
      <w:r w:rsidR="001949B0">
        <w:t>people and low-income families</w:t>
      </w:r>
      <w:r w:rsidR="00D06BF2">
        <w:t xml:space="preserve">. It can also provide guiding principles for policy interventions, ensuring energy efficiency schemes reach these households in a way that </w:t>
      </w:r>
      <w:r w:rsidR="00232651">
        <w:t xml:space="preserve">responds to their specific needs i.e. validating their entitlement to </w:t>
      </w:r>
      <w:r>
        <w:t>a range of</w:t>
      </w:r>
      <w:r w:rsidR="00232651">
        <w:t xml:space="preserve"> energy services </w:t>
      </w:r>
      <w:r w:rsidR="00CA2089">
        <w:t>(beyond just thermal comfort).</w:t>
      </w:r>
    </w:p>
    <w:p w14:paraId="01534A83" w14:textId="2C0F1F4F" w:rsidR="00BF5E36" w:rsidRDefault="00F47CAA" w:rsidP="00EE3563">
      <w:r>
        <w:t xml:space="preserve">With regards to </w:t>
      </w:r>
      <w:r w:rsidR="00374274">
        <w:t>procedural justice</w:t>
      </w:r>
      <w:r>
        <w:t xml:space="preserve">, </w:t>
      </w:r>
      <w:r w:rsidR="00BF5E36">
        <w:t>the rise of NGOs and new</w:t>
      </w:r>
      <w:r>
        <w:t xml:space="preserve"> </w:t>
      </w:r>
      <w:r w:rsidR="00BF5E36">
        <w:t xml:space="preserve">forms of </w:t>
      </w:r>
      <w:r>
        <w:t xml:space="preserve">governance provides both opportunities (more access to information and decision makers) and challenges (persistent power imbalances and lack of resources). </w:t>
      </w:r>
      <w:r w:rsidR="003854B9">
        <w:t>Disabled p</w:t>
      </w:r>
      <w:r w:rsidR="00374274">
        <w:t xml:space="preserve">eople and low-income families </w:t>
      </w:r>
      <w:r w:rsidR="00BF5E36">
        <w:t>all remain relatively disenfranchised within mainstream politics and</w:t>
      </w:r>
      <w:r w:rsidR="00F038E7">
        <w:t xml:space="preserve"> policymaking</w:t>
      </w:r>
      <w:r w:rsidR="00BF5E36">
        <w:t xml:space="preserve"> </w:t>
      </w:r>
      <w:r w:rsidR="00F038E7">
        <w:t>e.g. less representation, less access to decision makers, less resources for mobilisation, and no votes for minors</w:t>
      </w:r>
      <w:r w:rsidR="00BF5E36">
        <w:t xml:space="preserve">. The outcome is a set of policies that continue to treat these groups as passive recipients of interventions. </w:t>
      </w:r>
      <w:r w:rsidR="00374274">
        <w:t>To increase the uptake of</w:t>
      </w:r>
      <w:r w:rsidR="00BF5E36">
        <w:t xml:space="preserve"> energy efficiency schemes to </w:t>
      </w:r>
      <w:r w:rsidR="00374274">
        <w:t>increase</w:t>
      </w:r>
      <w:r w:rsidR="00BF5E36">
        <w:t xml:space="preserve"> the role of these groups in shaping their design and functioning, there needs to be more understanding of how</w:t>
      </w:r>
      <w:r w:rsidR="00A43317">
        <w:t xml:space="preserve"> vulnerable</w:t>
      </w:r>
      <w:r w:rsidR="00BF5E36">
        <w:t xml:space="preserve"> households become aware of schemes, why they choose to get involved and what barriers they have to overcome to do so.</w:t>
      </w:r>
    </w:p>
    <w:p w14:paraId="0060522A" w14:textId="2574DD25" w:rsidR="002E37F2" w:rsidRDefault="002E37F2" w:rsidP="00EE3563">
      <w:r>
        <w:t xml:space="preserve">Current fuel </w:t>
      </w:r>
      <w:r w:rsidR="00E56FA1">
        <w:t>poverty policy and discourse in the UK</w:t>
      </w:r>
      <w:r>
        <w:t xml:space="preserve"> acknowledge</w:t>
      </w:r>
      <w:r w:rsidR="00E56FA1">
        <w:t>s</w:t>
      </w:r>
      <w:r>
        <w:t xml:space="preserve"> the fact that the three main distributional injustices – high energy prices, low incomes, and inefficient housing – disproportionately </w:t>
      </w:r>
      <w:r w:rsidR="00EB3F7E">
        <w:t>a</w:t>
      </w:r>
      <w:r>
        <w:t xml:space="preserve">ffect certain ‘vulnerable groups’. Despite the dearth of theories of justice that explicitly consider </w:t>
      </w:r>
      <w:r w:rsidR="00EB3F7E">
        <w:t xml:space="preserve">disabled </w:t>
      </w:r>
      <w:r>
        <w:t xml:space="preserve">people or children, there is ample evidence from </w:t>
      </w:r>
      <w:r w:rsidR="00E56FA1">
        <w:t xml:space="preserve">other fields </w:t>
      </w:r>
      <w:r>
        <w:t>about the additional structural inequalities faced by these groups</w:t>
      </w:r>
      <w:r w:rsidR="00E56FA1">
        <w:t xml:space="preserve"> (</w:t>
      </w:r>
      <w:r w:rsidR="00B31C09">
        <w:t xml:space="preserve">see: </w:t>
      </w:r>
      <w:r w:rsidR="00E56FA1">
        <w:t>Olsen, 2015)</w:t>
      </w:r>
      <w:r>
        <w:t>.</w:t>
      </w:r>
      <w:r w:rsidR="005D1D89">
        <w:t xml:space="preserve"> Understanding how this manifests for different groups in different contexts requires a ‘fully political’ conceptualisation of vulnerability i.e. one that </w:t>
      </w:r>
      <w:r w:rsidR="00441942">
        <w:t>goes beyond the confines of an energy-oriented view of household needs and practices</w:t>
      </w:r>
      <w:r w:rsidR="005D1D89">
        <w:t xml:space="preserve"> </w:t>
      </w:r>
      <w:r w:rsidR="00441942">
        <w:t>(</w:t>
      </w:r>
      <w:r w:rsidR="00B31C09">
        <w:t xml:space="preserve">e.g. </w:t>
      </w:r>
      <w:r w:rsidR="00441942">
        <w:t xml:space="preserve">Bouzarovski et al., 2014) to include </w:t>
      </w:r>
      <w:r w:rsidR="005D1D89">
        <w:t>sensitivity to demographic variation, moral critiques of disadvantage, and engagement with social institutions (</w:t>
      </w:r>
      <w:r w:rsidR="005D1D89" w:rsidRPr="0097384A">
        <w:t>Cole, 2016; Ferrarese, 2016</w:t>
      </w:r>
      <w:r w:rsidR="00B31C09">
        <w:t>; Young, 2011</w:t>
      </w:r>
      <w:r w:rsidR="005D1D89">
        <w:t>).</w:t>
      </w:r>
      <w:r w:rsidR="00873F48">
        <w:t xml:space="preserve"> </w:t>
      </w:r>
      <w:r w:rsidR="005D1D89">
        <w:t>In practice, e</w:t>
      </w:r>
      <w:r w:rsidR="00873F48">
        <w:t xml:space="preserve">nergy efficiency </w:t>
      </w:r>
      <w:r w:rsidR="005D1D89">
        <w:t>policies</w:t>
      </w:r>
      <w:r w:rsidR="00873F48">
        <w:t xml:space="preserve"> have many potential co-benefits; but </w:t>
      </w:r>
      <w:r w:rsidR="001C2C20">
        <w:t>they also</w:t>
      </w:r>
      <w:r w:rsidR="00873F48">
        <w:t xml:space="preserve"> need to be </w:t>
      </w:r>
      <w:r w:rsidR="001C2C20">
        <w:t>careful not to reinforce</w:t>
      </w:r>
      <w:r w:rsidR="00873F48">
        <w:t xml:space="preserve"> </w:t>
      </w:r>
      <w:r w:rsidR="001C2C20">
        <w:t>structural</w:t>
      </w:r>
      <w:r w:rsidR="00873F48">
        <w:t xml:space="preserve"> </w:t>
      </w:r>
      <w:r w:rsidR="003B73DC">
        <w:t xml:space="preserve">or social </w:t>
      </w:r>
      <w:r w:rsidR="00873F48">
        <w:t xml:space="preserve">inequalities </w:t>
      </w:r>
      <w:r w:rsidR="005D1D89">
        <w:t>e.g. through</w:t>
      </w:r>
      <w:r w:rsidR="001C2C20">
        <w:t xml:space="preserve"> </w:t>
      </w:r>
      <w:r w:rsidR="005D1D89">
        <w:t>a limited range of retrofit measures</w:t>
      </w:r>
      <w:r w:rsidR="001C2C20">
        <w:t>, regressive funding mechanisms, and stereotyping recruitment practices.</w:t>
      </w:r>
    </w:p>
    <w:p w14:paraId="6B09BF5E" w14:textId="64C101D7" w:rsidR="001756C7" w:rsidRDefault="00235E93" w:rsidP="00BE22DF">
      <w:r>
        <w:t>T</w:t>
      </w:r>
      <w:r w:rsidR="001C2C20">
        <w:t xml:space="preserve">he theoretical contributions </w:t>
      </w:r>
      <w:r>
        <w:t>and policy recommendations in</w:t>
      </w:r>
      <w:r w:rsidR="001C2C20">
        <w:t xml:space="preserve"> this article are only the beginning of what could be a productive discussion between fuel poverty</w:t>
      </w:r>
      <w:r>
        <w:t xml:space="preserve"> experts and scholars working on energy justice and vulnerability</w:t>
      </w:r>
      <w:r w:rsidR="003B73DC">
        <w:t xml:space="preserve"> in the UK and beyond</w:t>
      </w:r>
      <w:r w:rsidR="001C2C20">
        <w:t xml:space="preserve">. For instance, the </w:t>
      </w:r>
      <w:r w:rsidR="00BF041B">
        <w:t>crosscutting</w:t>
      </w:r>
      <w:r w:rsidR="001C2C20">
        <w:t xml:space="preserve"> themes of within-group heterogeneity, </w:t>
      </w:r>
      <w:r w:rsidR="003B73DC">
        <w:t>subjectivity</w:t>
      </w:r>
      <w:r w:rsidR="001C2C20">
        <w:t xml:space="preserve">, and </w:t>
      </w:r>
      <w:r w:rsidR="00E729FD">
        <w:t>social structures are</w:t>
      </w:r>
      <w:r w:rsidR="001C2C20">
        <w:t xml:space="preserve"> </w:t>
      </w:r>
      <w:r w:rsidR="00E729FD">
        <w:t>central to other areas of poverty research</w:t>
      </w:r>
      <w:r w:rsidR="003B73DC">
        <w:t xml:space="preserve"> and country contexts</w:t>
      </w:r>
      <w:r w:rsidR="00E729FD">
        <w:t xml:space="preserve"> e.g. disabilities studies and child poverty. Thus, fuel poverty</w:t>
      </w:r>
      <w:r w:rsidR="001C2C20">
        <w:t xml:space="preserve"> </w:t>
      </w:r>
      <w:r w:rsidR="00E729FD">
        <w:t xml:space="preserve">policy could benefit from looking beyond its current technical purview to </w:t>
      </w:r>
      <w:r w:rsidR="001C2C20">
        <w:t xml:space="preserve">incorporate a much wider set of concepts </w:t>
      </w:r>
      <w:r w:rsidR="00E729FD">
        <w:t xml:space="preserve">associated with social justice </w:t>
      </w:r>
      <w:r w:rsidR="001C2C20">
        <w:t xml:space="preserve">and a </w:t>
      </w:r>
      <w:r w:rsidR="00E729FD">
        <w:t>‘</w:t>
      </w:r>
      <w:r w:rsidR="001C2C20">
        <w:t>politics of difference</w:t>
      </w:r>
      <w:r w:rsidR="00E729FD">
        <w:t>’</w:t>
      </w:r>
      <w:r w:rsidR="001C2C20">
        <w:t>. Similarly, with regards to ene</w:t>
      </w:r>
      <w:r w:rsidR="003B73DC">
        <w:t>rgy efficiency policy</w:t>
      </w:r>
      <w:r w:rsidR="001C2C20">
        <w:t>, there is</w:t>
      </w:r>
      <w:r w:rsidR="003B73DC">
        <w:t xml:space="preserve"> certainly</w:t>
      </w:r>
      <w:r w:rsidR="001C2C20">
        <w:t xml:space="preserve"> scope for collecting best-practice examples </w:t>
      </w:r>
      <w:r w:rsidR="003B73DC">
        <w:t>from multiple country case studies</w:t>
      </w:r>
      <w:r w:rsidR="00E729FD">
        <w:t xml:space="preserve">, </w:t>
      </w:r>
      <w:r w:rsidR="003B73DC">
        <w:t xml:space="preserve">as well as from </w:t>
      </w:r>
      <w:r w:rsidR="00E729FD">
        <w:t xml:space="preserve">complementary areas of social policy, </w:t>
      </w:r>
      <w:r w:rsidR="001C2C20">
        <w:t xml:space="preserve">and </w:t>
      </w:r>
      <w:r w:rsidR="00E729FD">
        <w:t>on-the-ground perspectives</w:t>
      </w:r>
      <w:r w:rsidR="001C2C20">
        <w:t xml:space="preserve"> from </w:t>
      </w:r>
      <w:r w:rsidR="00E729FD">
        <w:t xml:space="preserve">vulnerable </w:t>
      </w:r>
      <w:r w:rsidR="001C2C20">
        <w:t>households.</w:t>
      </w:r>
      <w:r w:rsidR="00E729FD">
        <w:t xml:space="preserve"> Together, this sort of research would add</w:t>
      </w:r>
      <w:r w:rsidR="001C2C20">
        <w:t xml:space="preserve"> a finer grain to our understanding </w:t>
      </w:r>
      <w:r w:rsidR="001C2C20">
        <w:lastRenderedPageBreak/>
        <w:t xml:space="preserve">of </w:t>
      </w:r>
      <w:r w:rsidR="00E729FD">
        <w:t>the</w:t>
      </w:r>
      <w:r w:rsidR="001C2C20">
        <w:t xml:space="preserve"> energy injustices </w:t>
      </w:r>
      <w:r w:rsidR="00E729FD">
        <w:t>affecting specific groups</w:t>
      </w:r>
      <w:r w:rsidR="003B73DC">
        <w:t>,</w:t>
      </w:r>
      <w:r w:rsidR="00E729FD">
        <w:t xml:space="preserve"> and </w:t>
      </w:r>
      <w:r w:rsidR="003B73DC">
        <w:t>sh</w:t>
      </w:r>
      <w:r w:rsidR="004C096C">
        <w:t xml:space="preserve">ould be </w:t>
      </w:r>
      <w:r w:rsidR="00E729FD">
        <w:t>mobilised</w:t>
      </w:r>
      <w:r w:rsidR="004C096C">
        <w:t xml:space="preserve"> to</w:t>
      </w:r>
      <w:r w:rsidR="00E729FD">
        <w:t xml:space="preserve"> </w:t>
      </w:r>
      <w:r w:rsidR="003B73DC">
        <w:t>en</w:t>
      </w:r>
      <w:r w:rsidR="00E729FD">
        <w:t>sure the most vulnerable</w:t>
      </w:r>
      <w:r w:rsidR="004C096C">
        <w:t xml:space="preserve"> households</w:t>
      </w:r>
      <w:r w:rsidR="00E729FD">
        <w:t xml:space="preserve"> are treated fairly in discourse and practice</w:t>
      </w:r>
      <w:r w:rsidR="004C096C">
        <w:t>.</w:t>
      </w:r>
    </w:p>
    <w:p w14:paraId="75BA1E51" w14:textId="68572068" w:rsidR="0050003C" w:rsidRDefault="0050003C" w:rsidP="0050003C">
      <w:pPr>
        <w:pStyle w:val="Heading1"/>
      </w:pPr>
      <w:r>
        <w:t>Acknowledgements</w:t>
      </w:r>
    </w:p>
    <w:p w14:paraId="7EA54A8F" w14:textId="5B70911C" w:rsidR="001756C7" w:rsidRPr="00BE22DF" w:rsidRDefault="0050003C" w:rsidP="00BE22DF">
      <w:r>
        <w:t xml:space="preserve">The research underpinning this article </w:t>
      </w:r>
      <w:r w:rsidR="001756C7">
        <w:t xml:space="preserve">is funded by the UK Energy Research Centre (UKERC) grant number </w:t>
      </w:r>
      <w:r w:rsidRPr="0050003C">
        <w:rPr>
          <w:lang w:val="en-US"/>
        </w:rPr>
        <w:t>EP/L024756/1</w:t>
      </w:r>
      <w:r>
        <w:t>.</w:t>
      </w:r>
    </w:p>
    <w:p w14:paraId="7101368C" w14:textId="77777777" w:rsidR="00E672E8" w:rsidRDefault="00E672E8">
      <w:pPr>
        <w:pStyle w:val="Heading1"/>
      </w:pPr>
      <w:r>
        <w:t>References</w:t>
      </w:r>
    </w:p>
    <w:p w14:paraId="0C15447A" w14:textId="4AE6835B" w:rsidR="007251B5" w:rsidRDefault="007251B5" w:rsidP="00C66D95">
      <w:pPr>
        <w:spacing w:after="0" w:line="276" w:lineRule="auto"/>
        <w:ind w:left="720" w:hanging="720"/>
      </w:pPr>
      <w:r w:rsidRPr="007251B5">
        <w:t xml:space="preserve">Aiken, G. T. 2016. Prosaic state governance of community low carbon transitions. </w:t>
      </w:r>
      <w:r w:rsidRPr="007251B5">
        <w:rPr>
          <w:i/>
          <w:iCs/>
        </w:rPr>
        <w:t>Political Geography,</w:t>
      </w:r>
      <w:r w:rsidRPr="007251B5">
        <w:t xml:space="preserve"> 55</w:t>
      </w:r>
      <w:r w:rsidRPr="007251B5">
        <w:rPr>
          <w:b/>
          <w:bCs/>
        </w:rPr>
        <w:t>,</w:t>
      </w:r>
      <w:r w:rsidRPr="007251B5">
        <w:t xml:space="preserve"> 20-29.</w:t>
      </w:r>
    </w:p>
    <w:p w14:paraId="5696825B" w14:textId="77777777" w:rsidR="00E672E8" w:rsidRDefault="00E672E8" w:rsidP="00C66D95">
      <w:pPr>
        <w:spacing w:after="0" w:line="276" w:lineRule="auto"/>
        <w:ind w:left="720" w:hanging="720"/>
      </w:pPr>
      <w:r>
        <w:t xml:space="preserve">Barnes, C. &amp; Mercer, G. 2006. </w:t>
      </w:r>
      <w:r>
        <w:rPr>
          <w:i/>
        </w:rPr>
        <w:t xml:space="preserve">Independent Futures. Creating user-led disability services in a disabling society, </w:t>
      </w:r>
      <w:r>
        <w:t>Bristol, Policy Press.</w:t>
      </w:r>
    </w:p>
    <w:p w14:paraId="52551B11" w14:textId="5E4D8B64" w:rsidR="002923D6" w:rsidRDefault="002923D6" w:rsidP="00C66D95">
      <w:pPr>
        <w:spacing w:after="0" w:line="276" w:lineRule="auto"/>
        <w:ind w:left="720" w:hanging="720"/>
      </w:pPr>
      <w:r w:rsidRPr="002923D6">
        <w:t xml:space="preserve">Becker, L. C. 2005. Reciprocity, justice, and disability. </w:t>
      </w:r>
      <w:r w:rsidRPr="002923D6">
        <w:rPr>
          <w:i/>
          <w:iCs/>
        </w:rPr>
        <w:t>Ethics,</w:t>
      </w:r>
      <w:r w:rsidRPr="002923D6">
        <w:t xml:space="preserve"> 116</w:t>
      </w:r>
      <w:r w:rsidRPr="002923D6">
        <w:rPr>
          <w:b/>
          <w:bCs/>
        </w:rPr>
        <w:t>,</w:t>
      </w:r>
      <w:r w:rsidRPr="002923D6">
        <w:t xml:space="preserve"> 9-39.</w:t>
      </w:r>
    </w:p>
    <w:p w14:paraId="30AB0E87" w14:textId="26F297C1" w:rsidR="0007549D" w:rsidRDefault="0007549D" w:rsidP="00C66D95">
      <w:pPr>
        <w:spacing w:after="0" w:line="276" w:lineRule="auto"/>
        <w:ind w:left="720" w:hanging="720"/>
      </w:pPr>
      <w:r w:rsidRPr="0007549D">
        <w:t xml:space="preserve">Beresford, P., Green, D., Lister, R. &amp; Woodard, K. 1999. </w:t>
      </w:r>
      <w:r w:rsidRPr="0007549D">
        <w:rPr>
          <w:i/>
          <w:iCs/>
        </w:rPr>
        <w:t>Poverty first hand: Poor people speak for themselves</w:t>
      </w:r>
      <w:r w:rsidRPr="0007549D">
        <w:t>, London</w:t>
      </w:r>
      <w:r>
        <w:t>: Child Poverty Action Group</w:t>
      </w:r>
      <w:r w:rsidRPr="0007549D">
        <w:t>.</w:t>
      </w:r>
    </w:p>
    <w:p w14:paraId="6713D3AB" w14:textId="7018229A" w:rsidR="00E672E8" w:rsidRDefault="00E672E8" w:rsidP="00C66D95">
      <w:pPr>
        <w:spacing w:after="0" w:line="276" w:lineRule="auto"/>
        <w:ind w:left="720" w:hanging="720"/>
      </w:pPr>
      <w:r w:rsidRPr="00E928C9">
        <w:t>Bickerstaff, K., Walker, G. P. &amp; Bulkeley, H. 2013.</w:t>
      </w:r>
      <w:r w:rsidRPr="002F0DF1">
        <w:rPr>
          <w:i/>
        </w:rPr>
        <w:t xml:space="preserve"> Energy Justice in a Changing Climate: Social equity and low-carbon energy</w:t>
      </w:r>
      <w:r w:rsidR="001976F9">
        <w:t>,</w:t>
      </w:r>
      <w:r w:rsidR="002F0DF1">
        <w:t xml:space="preserve"> London: </w:t>
      </w:r>
      <w:r w:rsidRPr="00E928C9">
        <w:t>Zed Books.</w:t>
      </w:r>
    </w:p>
    <w:p w14:paraId="48118530" w14:textId="0CBA7B84" w:rsidR="002F0DF1" w:rsidRDefault="00531663" w:rsidP="00C66D95">
      <w:pPr>
        <w:spacing w:after="0" w:line="276" w:lineRule="auto"/>
        <w:ind w:left="720" w:hanging="720"/>
      </w:pPr>
      <w:r>
        <w:t>Boardman, B. 2010</w:t>
      </w:r>
      <w:r w:rsidR="002F0DF1" w:rsidRPr="002F0DF1">
        <w:t xml:space="preserve">. </w:t>
      </w:r>
      <w:r w:rsidR="002F0DF1" w:rsidRPr="002F0DF1">
        <w:rPr>
          <w:i/>
        </w:rPr>
        <w:t>Fixing fuel poverty: challenges and solutions</w:t>
      </w:r>
      <w:r w:rsidR="002F0DF1" w:rsidRPr="002F0DF1">
        <w:t xml:space="preserve">, </w:t>
      </w:r>
      <w:r w:rsidR="002F0DF1">
        <w:t xml:space="preserve">London: </w:t>
      </w:r>
      <w:r w:rsidR="002F0DF1" w:rsidRPr="002F0DF1">
        <w:t>Routledge.</w:t>
      </w:r>
    </w:p>
    <w:p w14:paraId="4DE7F1E2" w14:textId="024A83A1" w:rsidR="00225B13" w:rsidRDefault="00225B13" w:rsidP="00C66D95">
      <w:pPr>
        <w:spacing w:after="0" w:line="276" w:lineRule="auto"/>
        <w:ind w:left="720" w:hanging="720"/>
      </w:pPr>
      <w:r w:rsidRPr="00225B13">
        <w:t xml:space="preserve">Bonoli, G. 2005. The politics of the new social policies: providing coverage against new social risks in mature welfare states. </w:t>
      </w:r>
      <w:r w:rsidRPr="00225B13">
        <w:rPr>
          <w:i/>
          <w:iCs/>
        </w:rPr>
        <w:t>Policy &amp; politics,</w:t>
      </w:r>
      <w:r w:rsidRPr="00225B13">
        <w:t xml:space="preserve"> 33</w:t>
      </w:r>
      <w:r w:rsidRPr="00225B13">
        <w:rPr>
          <w:b/>
          <w:bCs/>
        </w:rPr>
        <w:t>,</w:t>
      </w:r>
      <w:r w:rsidRPr="00225B13">
        <w:t xml:space="preserve"> 431-449.</w:t>
      </w:r>
    </w:p>
    <w:p w14:paraId="2F8FCB7A" w14:textId="632F6E1C" w:rsidR="00E672E8" w:rsidRDefault="00E672E8" w:rsidP="00C66D95">
      <w:pPr>
        <w:spacing w:after="0" w:line="276" w:lineRule="auto"/>
        <w:ind w:left="720" w:hanging="720"/>
      </w:pPr>
      <w:r w:rsidRPr="004C1703">
        <w:t>Bouzarovski, S. 2014. Energy poverty in the European Union: landscapes of vulnerability. Wiley Interdisciplinary Reviews: Energy and Environment, 3, 276-289.</w:t>
      </w:r>
    </w:p>
    <w:p w14:paraId="12BAEE82" w14:textId="20924849" w:rsidR="00441942" w:rsidRDefault="00441942" w:rsidP="00C66D95">
      <w:pPr>
        <w:spacing w:after="0" w:line="276" w:lineRule="auto"/>
        <w:ind w:left="720" w:hanging="720"/>
      </w:pPr>
      <w:r w:rsidRPr="00441942">
        <w:rPr>
          <w:lang w:val="en-US"/>
        </w:rPr>
        <w:t>Bouzarovski, S., Petrova, S. and Tirado-Herrero, S., 2014. From Fuel Poverty to Energy Vulnerability: The Importance of Services, Needs and Practices. (December 4, 2014).</w:t>
      </w:r>
      <w:r>
        <w:rPr>
          <w:lang w:val="en-US"/>
        </w:rPr>
        <w:t xml:space="preserve"> SWPS 2014-25. Available</w:t>
      </w:r>
      <w:r w:rsidRPr="00441942">
        <w:rPr>
          <w:lang w:val="en-US"/>
        </w:rPr>
        <w:t xml:space="preserve">: </w:t>
      </w:r>
      <w:hyperlink r:id="rId15" w:history="1">
        <w:r w:rsidRPr="00441942">
          <w:rPr>
            <w:rStyle w:val="Hyperlink"/>
            <w:lang w:val="en-US"/>
          </w:rPr>
          <w:t>https://ssrn.com/abstract=2743143</w:t>
        </w:r>
      </w:hyperlink>
    </w:p>
    <w:p w14:paraId="193F4B77" w14:textId="20AABF8A" w:rsidR="007251B5" w:rsidRDefault="007251B5" w:rsidP="00C66D95">
      <w:pPr>
        <w:spacing w:after="0" w:line="276" w:lineRule="auto"/>
        <w:ind w:left="720" w:hanging="720"/>
      </w:pPr>
      <w:r w:rsidRPr="007251B5">
        <w:t xml:space="preserve">Boyce, W. 2001. </w:t>
      </w:r>
      <w:r w:rsidRPr="007251B5">
        <w:rPr>
          <w:i/>
          <w:iCs/>
        </w:rPr>
        <w:t xml:space="preserve">Seat at the Table: Persons with Disabilities and Policy Making, </w:t>
      </w:r>
      <w:r w:rsidRPr="007251B5">
        <w:t>Montreal</w:t>
      </w:r>
      <w:r>
        <w:t>:</w:t>
      </w:r>
      <w:r w:rsidRPr="007251B5">
        <w:t xml:space="preserve"> McGill-Queen's Press.</w:t>
      </w:r>
      <w:r w:rsidR="00441942">
        <w:t xml:space="preserve"> </w:t>
      </w:r>
    </w:p>
    <w:p w14:paraId="47A8EEEE" w14:textId="77777777" w:rsidR="00531663" w:rsidRDefault="00531663" w:rsidP="00531663">
      <w:pPr>
        <w:spacing w:after="0" w:line="276" w:lineRule="auto"/>
        <w:ind w:left="720" w:hanging="720"/>
      </w:pPr>
      <w:r>
        <w:t xml:space="preserve">Bradshaw, J. &amp; Finch, N. 2003. Overlaps in dimensions of poverty. </w:t>
      </w:r>
      <w:r>
        <w:rPr>
          <w:i/>
        </w:rPr>
        <w:t>Journal of social policy,</w:t>
      </w:r>
      <w:r>
        <w:t xml:space="preserve"> 32</w:t>
      </w:r>
      <w:r>
        <w:rPr>
          <w:b/>
        </w:rPr>
        <w:t>,</w:t>
      </w:r>
      <w:r>
        <w:t xml:space="preserve"> 513-525.</w:t>
      </w:r>
    </w:p>
    <w:p w14:paraId="3A7DCC08" w14:textId="0BD1612B" w:rsidR="00E672E8" w:rsidRDefault="00E672E8" w:rsidP="00C66D95">
      <w:pPr>
        <w:spacing w:after="0" w:line="276" w:lineRule="auto"/>
        <w:ind w:left="720" w:hanging="720"/>
      </w:pPr>
      <w:r>
        <w:t xml:space="preserve">Bradshaw, J. 2011. </w:t>
      </w:r>
      <w:r>
        <w:rPr>
          <w:i/>
        </w:rPr>
        <w:t>The w</w:t>
      </w:r>
      <w:r w:rsidR="002F0DF1">
        <w:rPr>
          <w:i/>
        </w:rPr>
        <w:t>ell-being of children in the UK</w:t>
      </w:r>
      <w:r w:rsidR="001976F9">
        <w:rPr>
          <w:i/>
        </w:rPr>
        <w:t>,</w:t>
      </w:r>
      <w:r>
        <w:rPr>
          <w:i/>
        </w:rPr>
        <w:t xml:space="preserve"> </w:t>
      </w:r>
      <w:r w:rsidR="00C321FE">
        <w:t>(3</w:t>
      </w:r>
      <w:r w:rsidR="00C321FE" w:rsidRPr="00C321FE">
        <w:rPr>
          <w:vertAlign w:val="superscript"/>
        </w:rPr>
        <w:t>rd</w:t>
      </w:r>
      <w:r w:rsidR="00C321FE">
        <w:t xml:space="preserve"> ed) </w:t>
      </w:r>
      <w:r w:rsidR="002F0DF1">
        <w:t>Bristol:</w:t>
      </w:r>
      <w:r>
        <w:t xml:space="preserve"> Policy Press.</w:t>
      </w:r>
    </w:p>
    <w:p w14:paraId="5E08F8BA" w14:textId="77777777" w:rsidR="00531663" w:rsidRDefault="00531663" w:rsidP="00531663">
      <w:pPr>
        <w:spacing w:after="0" w:line="276" w:lineRule="auto"/>
        <w:ind w:left="720" w:hanging="720"/>
      </w:pPr>
      <w:r w:rsidRPr="00E928C9">
        <w:t xml:space="preserve">Bradshaw, M. 2013. </w:t>
      </w:r>
      <w:r w:rsidRPr="002F0DF1">
        <w:rPr>
          <w:i/>
        </w:rPr>
        <w:t>Global energy dilemmas</w:t>
      </w:r>
      <w:r>
        <w:t>. Cambridge, UK:</w:t>
      </w:r>
      <w:r w:rsidRPr="00E928C9">
        <w:t xml:space="preserve"> Polity Press.</w:t>
      </w:r>
    </w:p>
    <w:p w14:paraId="7658BDD3" w14:textId="5F0AD7F3" w:rsidR="00C321FE" w:rsidRDefault="00C321FE" w:rsidP="00C66D95">
      <w:pPr>
        <w:spacing w:after="0" w:line="276" w:lineRule="auto"/>
        <w:ind w:left="720" w:hanging="720"/>
      </w:pPr>
      <w:r>
        <w:t>Bradshaw, J.</w:t>
      </w:r>
      <w:r w:rsidR="0000257E">
        <w:t xml:space="preserve"> &amp; Main, J.</w:t>
      </w:r>
      <w:r>
        <w:t xml:space="preserve"> 2016. </w:t>
      </w:r>
      <w:r w:rsidR="0000257E">
        <w:t xml:space="preserve">Child poverty and deprivation in Bradshaw, J. (Ed) </w:t>
      </w:r>
      <w:r>
        <w:rPr>
          <w:i/>
        </w:rPr>
        <w:t xml:space="preserve">The well-being of children in the UK, </w:t>
      </w:r>
      <w:r>
        <w:t>(4</w:t>
      </w:r>
      <w:r w:rsidRPr="00C321FE">
        <w:rPr>
          <w:vertAlign w:val="superscript"/>
        </w:rPr>
        <w:t>th</w:t>
      </w:r>
      <w:r>
        <w:t xml:space="preserve"> ed)</w:t>
      </w:r>
      <w:r>
        <w:rPr>
          <w:i/>
        </w:rPr>
        <w:t xml:space="preserve"> </w:t>
      </w:r>
      <w:r>
        <w:t>Bristol: Policy Press.</w:t>
      </w:r>
    </w:p>
    <w:p w14:paraId="7C97A927" w14:textId="44B45B9B" w:rsidR="00225B13" w:rsidRDefault="00225B13" w:rsidP="00C66D95">
      <w:pPr>
        <w:pStyle w:val="EndNoteBibliography"/>
        <w:spacing w:line="276" w:lineRule="auto"/>
        <w:ind w:left="720" w:hanging="720"/>
      </w:pPr>
      <w:r w:rsidRPr="00225B13">
        <w:t xml:space="preserve">Brady, D. 2009. </w:t>
      </w:r>
      <w:r w:rsidRPr="00225B13">
        <w:rPr>
          <w:i/>
          <w:iCs/>
        </w:rPr>
        <w:t>Rich democracies, poor people: How politics explain poverty</w:t>
      </w:r>
      <w:r w:rsidRPr="00225B13">
        <w:t>, Oxford University Press.</w:t>
      </w:r>
    </w:p>
    <w:p w14:paraId="456AEF4D" w14:textId="5B005B4B" w:rsidR="00C321FE" w:rsidRDefault="00C321FE" w:rsidP="00C66D95">
      <w:pPr>
        <w:pStyle w:val="EndNoteBibliography"/>
        <w:spacing w:line="276" w:lineRule="auto"/>
        <w:ind w:left="720" w:hanging="720"/>
      </w:pPr>
      <w:r>
        <w:t xml:space="preserve">Brighouse, H. &amp; Swift, A. 2008. Social Justice and the Family. In Craig, G. Burchardt, T. &amp; Gordon, D. (eds) </w:t>
      </w:r>
      <w:r>
        <w:rPr>
          <w:i/>
        </w:rPr>
        <w:t xml:space="preserve">Social Justice and Public Policy: seeking fairness in diverse socities, </w:t>
      </w:r>
      <w:r>
        <w:t>Bristol: Policy Press.</w:t>
      </w:r>
    </w:p>
    <w:p w14:paraId="31455039" w14:textId="326B3337" w:rsidR="00E672E8" w:rsidRDefault="00E672E8" w:rsidP="00C66D95">
      <w:pPr>
        <w:pStyle w:val="EndNoteBibliography"/>
        <w:spacing w:line="276" w:lineRule="auto"/>
        <w:ind w:left="720" w:hanging="720"/>
      </w:pPr>
      <w:r>
        <w:t xml:space="preserve">Brown, K. 2014. Questioning the Vulnerability Zeitgeist: Care and Control Practices with ‘Vulnerable’ Young People. </w:t>
      </w:r>
      <w:r>
        <w:rPr>
          <w:i/>
        </w:rPr>
        <w:t>Social Policy and Society,</w:t>
      </w:r>
      <w:r>
        <w:t xml:space="preserve"> 13</w:t>
      </w:r>
      <w:r>
        <w:rPr>
          <w:b/>
        </w:rPr>
        <w:t>,</w:t>
      </w:r>
      <w:r>
        <w:t xml:space="preserve"> 371-387.</w:t>
      </w:r>
    </w:p>
    <w:p w14:paraId="4B23621E" w14:textId="03FE52BD" w:rsidR="00E672E8" w:rsidRDefault="00E672E8" w:rsidP="00C66D95">
      <w:pPr>
        <w:spacing w:after="0" w:line="276" w:lineRule="auto"/>
        <w:ind w:left="720" w:hanging="720"/>
      </w:pPr>
      <w:r w:rsidRPr="00220E9D">
        <w:t xml:space="preserve">Brown, </w:t>
      </w:r>
      <w:r w:rsidR="00C321FE">
        <w:t>K. 2015</w:t>
      </w:r>
      <w:r w:rsidRPr="00220E9D">
        <w:t xml:space="preserve">. </w:t>
      </w:r>
      <w:r w:rsidRPr="002F0DF1">
        <w:rPr>
          <w:i/>
        </w:rPr>
        <w:t>Vulnerability and Young People</w:t>
      </w:r>
      <w:r w:rsidR="001976F9">
        <w:rPr>
          <w:i/>
        </w:rPr>
        <w:t>,</w:t>
      </w:r>
      <w:r w:rsidRPr="00220E9D">
        <w:t xml:space="preserve"> </w:t>
      </w:r>
      <w:r>
        <w:t xml:space="preserve">Bristol: </w:t>
      </w:r>
      <w:r w:rsidRPr="00220E9D">
        <w:t>Policy Press.</w:t>
      </w:r>
    </w:p>
    <w:p w14:paraId="23EDA3CA" w14:textId="1635BA2F" w:rsidR="00225B13" w:rsidRPr="00225B13" w:rsidRDefault="00225B13" w:rsidP="00C66D95">
      <w:pPr>
        <w:spacing w:after="0" w:line="276" w:lineRule="auto"/>
        <w:ind w:left="720" w:hanging="720"/>
      </w:pPr>
      <w:r>
        <w:t xml:space="preserve">Butler, P. 2016. Charities told: Don’t lobby us unless we like what you say. </w:t>
      </w:r>
      <w:r>
        <w:rPr>
          <w:i/>
        </w:rPr>
        <w:t xml:space="preserve">The Guardian. </w:t>
      </w:r>
      <w:r>
        <w:t xml:space="preserve">Available: </w:t>
      </w:r>
      <w:hyperlink r:id="rId16" w:history="1">
        <w:r w:rsidRPr="006C5693">
          <w:rPr>
            <w:rStyle w:val="Hyperlink"/>
          </w:rPr>
          <w:t>https://www.theguardian.com/society/2016/feb/09/charities-lobby-public-funds-sock-puppets-contracts</w:t>
        </w:r>
      </w:hyperlink>
      <w:r>
        <w:t xml:space="preserve"> </w:t>
      </w:r>
    </w:p>
    <w:p w14:paraId="2777E75A" w14:textId="79EB4453" w:rsidR="00E672E8" w:rsidRDefault="00E672E8" w:rsidP="00C66D95">
      <w:pPr>
        <w:spacing w:after="0" w:line="276" w:lineRule="auto"/>
        <w:ind w:left="720" w:hanging="720"/>
      </w:pPr>
      <w:r w:rsidRPr="009C789A">
        <w:t xml:space="preserve">Cabinet Office 2010. </w:t>
      </w:r>
      <w:r w:rsidRPr="002F0DF1">
        <w:rPr>
          <w:i/>
        </w:rPr>
        <w:t>Building the Big Society</w:t>
      </w:r>
      <w:r w:rsidR="001976F9">
        <w:t>,</w:t>
      </w:r>
      <w:r w:rsidRPr="009C789A">
        <w:t xml:space="preserve"> </w:t>
      </w:r>
      <w:r>
        <w:t xml:space="preserve">London: </w:t>
      </w:r>
      <w:r w:rsidRPr="009C789A">
        <w:t>HM Government.</w:t>
      </w:r>
    </w:p>
    <w:p w14:paraId="68FFFBA3" w14:textId="0A5BFFAD" w:rsidR="00C574E3" w:rsidRDefault="00C574E3" w:rsidP="00C66D95">
      <w:pPr>
        <w:spacing w:after="0" w:line="276" w:lineRule="auto"/>
        <w:ind w:left="720" w:hanging="720"/>
      </w:pPr>
      <w:r w:rsidRPr="00C574E3">
        <w:rPr>
          <w:lang w:val="en-US"/>
        </w:rPr>
        <w:lastRenderedPageBreak/>
        <w:t xml:space="preserve">Campbell, J. and Oliver, M., 2013. </w:t>
      </w:r>
      <w:r w:rsidRPr="00C574E3">
        <w:rPr>
          <w:i/>
          <w:iCs/>
          <w:lang w:val="en-US"/>
        </w:rPr>
        <w:t>Disability politics: understanding our past, changing our future</w:t>
      </w:r>
      <w:r w:rsidRPr="00C574E3">
        <w:rPr>
          <w:lang w:val="en-US"/>
        </w:rPr>
        <w:t>. Routledge.</w:t>
      </w:r>
    </w:p>
    <w:p w14:paraId="336BCCE3" w14:textId="77777777" w:rsidR="00E672E8" w:rsidRDefault="00E672E8" w:rsidP="00C66D95">
      <w:pPr>
        <w:spacing w:after="0" w:line="276" w:lineRule="auto"/>
        <w:ind w:left="720" w:hanging="720"/>
      </w:pPr>
      <w:r w:rsidRPr="00224021">
        <w:t>Catney, P., Macgregor, S., Dobson, A., Hall, S. M., Royston, S., Robinson, Z., Ormerod, M. &amp; Ross, S. 2014. Big society, little justice? Community renewable energy and the politics of localism. Local Environment, 19, 715-730.</w:t>
      </w:r>
    </w:p>
    <w:p w14:paraId="49A00279" w14:textId="77777777" w:rsidR="00E672E8" w:rsidRDefault="00E672E8" w:rsidP="00C66D95">
      <w:pPr>
        <w:spacing w:after="0" w:line="276" w:lineRule="auto"/>
        <w:ind w:left="720" w:hanging="720"/>
      </w:pPr>
      <w:r>
        <w:t xml:space="preserve">Chase, E. &amp; Walker, R. 2013. The Co-construction of Shame in the Context of Poverty: Beyond a Threat to the Social Bond. </w:t>
      </w:r>
      <w:r>
        <w:rPr>
          <w:i/>
        </w:rPr>
        <w:t>Sociology,</w:t>
      </w:r>
      <w:r>
        <w:t xml:space="preserve"> 47</w:t>
      </w:r>
      <w:r>
        <w:rPr>
          <w:b/>
        </w:rPr>
        <w:t>,</w:t>
      </w:r>
      <w:r>
        <w:t xml:space="preserve"> 739-754.</w:t>
      </w:r>
    </w:p>
    <w:p w14:paraId="0C127019" w14:textId="296D7B40" w:rsidR="00C7647D" w:rsidRDefault="00C7647D" w:rsidP="00C66D95">
      <w:pPr>
        <w:spacing w:after="0" w:line="276" w:lineRule="auto"/>
        <w:ind w:left="720" w:hanging="720"/>
      </w:pPr>
      <w:r w:rsidRPr="00C7647D">
        <w:t>The Children’s Society and National Energy Action 2015. Making a house a home: Providing affordable warmth solutions for children and families living in fuel poverty.</w:t>
      </w:r>
      <w:r>
        <w:t xml:space="preserve"> Available: </w:t>
      </w:r>
      <w:hyperlink r:id="rId17" w:history="1">
        <w:r w:rsidRPr="00F4279F">
          <w:rPr>
            <w:rStyle w:val="Hyperlink"/>
          </w:rPr>
          <w:t>http://www.childrenssociety.org.uk/what-we-do/resources-and-publications/making-a-house-a-home-providing-affordable-warmth-solutions</w:t>
        </w:r>
      </w:hyperlink>
      <w:r>
        <w:t xml:space="preserve"> </w:t>
      </w:r>
    </w:p>
    <w:p w14:paraId="538ED3AC" w14:textId="330A1042" w:rsidR="00862CA1" w:rsidRDefault="00862CA1" w:rsidP="00C66D95">
      <w:pPr>
        <w:spacing w:after="0" w:line="276" w:lineRule="auto"/>
        <w:ind w:left="720" w:hanging="720"/>
      </w:pPr>
      <w:r w:rsidRPr="00862CA1">
        <w:rPr>
          <w:lang w:val="en-US"/>
        </w:rPr>
        <w:t xml:space="preserve">Chilvers, J. and Longhurst, N., 2016. Participation in transition (s): reconceiving public engagements in energy transitions as co-produced, emergent and diverse. </w:t>
      </w:r>
      <w:r w:rsidRPr="00862CA1">
        <w:rPr>
          <w:i/>
          <w:iCs/>
          <w:lang w:val="en-US"/>
        </w:rPr>
        <w:t>Journal of Environmental Policy &amp; Planning</w:t>
      </w:r>
      <w:r w:rsidRPr="00862CA1">
        <w:rPr>
          <w:lang w:val="en-US"/>
        </w:rPr>
        <w:t xml:space="preserve">, </w:t>
      </w:r>
      <w:r w:rsidRPr="00862CA1">
        <w:rPr>
          <w:iCs/>
          <w:lang w:val="en-US"/>
        </w:rPr>
        <w:t>18</w:t>
      </w:r>
      <w:r>
        <w:rPr>
          <w:lang w:val="en-US"/>
        </w:rPr>
        <w:t xml:space="preserve">: </w:t>
      </w:r>
      <w:r w:rsidRPr="00862CA1">
        <w:rPr>
          <w:lang w:val="en-US"/>
        </w:rPr>
        <w:t>585-607.</w:t>
      </w:r>
    </w:p>
    <w:p w14:paraId="4A047D5C" w14:textId="19C3A461" w:rsidR="005F45E0" w:rsidRDefault="005F45E0" w:rsidP="00C66D95">
      <w:pPr>
        <w:spacing w:after="0" w:line="276" w:lineRule="auto"/>
        <w:ind w:left="720" w:hanging="720"/>
      </w:pPr>
      <w:r w:rsidRPr="005F45E0">
        <w:t xml:space="preserve">Christman, B. &amp; Russell, H. 2016. Readjusting the political thermostat: fuel poverty and human rights in the UK. </w:t>
      </w:r>
      <w:r w:rsidRPr="005F45E0">
        <w:rPr>
          <w:i/>
          <w:iCs/>
        </w:rPr>
        <w:t>Journal of Human Rights in the Commonwealth,</w:t>
      </w:r>
      <w:r w:rsidRPr="005F45E0">
        <w:t xml:space="preserve"> 2.</w:t>
      </w:r>
    </w:p>
    <w:p w14:paraId="3A83DEE6" w14:textId="232E49C7" w:rsidR="0097384A" w:rsidRDefault="0097384A" w:rsidP="00C66D95">
      <w:pPr>
        <w:spacing w:after="0" w:line="276" w:lineRule="auto"/>
        <w:ind w:left="720" w:hanging="720"/>
      </w:pPr>
      <w:r w:rsidRPr="0097384A">
        <w:t xml:space="preserve">Cole, A. 2016. All of Us Are Vulnerable, But Some Are More Vulnerable than Others: The Political Ambiguity of Vulnerability Studies, an Ambivalent Critique. </w:t>
      </w:r>
      <w:r w:rsidRPr="0097384A">
        <w:rPr>
          <w:i/>
          <w:iCs/>
        </w:rPr>
        <w:t>Critical Horizons,</w:t>
      </w:r>
      <w:r w:rsidRPr="0097384A">
        <w:t xml:space="preserve"> 17</w:t>
      </w:r>
      <w:r w:rsidRPr="0097384A">
        <w:rPr>
          <w:b/>
          <w:bCs/>
        </w:rPr>
        <w:t>,</w:t>
      </w:r>
      <w:r w:rsidRPr="0097384A">
        <w:t xml:space="preserve"> 260-277.</w:t>
      </w:r>
    </w:p>
    <w:p w14:paraId="7B9DE4CB" w14:textId="197D3F08" w:rsidR="006A63A1" w:rsidRDefault="006A63A1" w:rsidP="00C66D95">
      <w:pPr>
        <w:spacing w:after="0" w:line="276" w:lineRule="auto"/>
        <w:ind w:left="720" w:hanging="720"/>
      </w:pPr>
      <w:r w:rsidRPr="006A63A1">
        <w:t xml:space="preserve">Crosbie, T. &amp; Baker, K. 2010. Energy-efficiency interventions in housing: learning from the inhabitants. </w:t>
      </w:r>
      <w:r w:rsidRPr="006A63A1">
        <w:rPr>
          <w:i/>
          <w:iCs/>
        </w:rPr>
        <w:t>Building research &amp; information,</w:t>
      </w:r>
      <w:r w:rsidRPr="006A63A1">
        <w:t xml:space="preserve"> 38</w:t>
      </w:r>
      <w:r w:rsidRPr="006A63A1">
        <w:rPr>
          <w:b/>
          <w:bCs/>
        </w:rPr>
        <w:t>,</w:t>
      </w:r>
      <w:r w:rsidRPr="006A63A1">
        <w:t xml:space="preserve"> 70-79.</w:t>
      </w:r>
    </w:p>
    <w:p w14:paraId="1A8BA5EA" w14:textId="77777777" w:rsidR="00E672E8" w:rsidRDefault="00E672E8" w:rsidP="00C66D95">
      <w:pPr>
        <w:spacing w:after="0" w:line="276" w:lineRule="auto"/>
        <w:ind w:left="720" w:hanging="720"/>
      </w:pPr>
      <w:r>
        <w:t xml:space="preserve">Danermark, B. &amp; Gellerstedt, L. C. 2004. Social justice: redistribution and recognition—a non‐reductionist perspective on disability. </w:t>
      </w:r>
      <w:r>
        <w:rPr>
          <w:i/>
        </w:rPr>
        <w:t>Disability &amp; Society,</w:t>
      </w:r>
      <w:r>
        <w:t xml:space="preserve"> 19</w:t>
      </w:r>
      <w:r>
        <w:rPr>
          <w:b/>
        </w:rPr>
        <w:t>,</w:t>
      </w:r>
      <w:r>
        <w:t xml:space="preserve"> 339-353.</w:t>
      </w:r>
    </w:p>
    <w:p w14:paraId="04636838" w14:textId="3618E313" w:rsidR="0000257E" w:rsidRDefault="0000257E" w:rsidP="00C66D95">
      <w:pPr>
        <w:pStyle w:val="EndNoteBibliography"/>
        <w:spacing w:after="0" w:line="276" w:lineRule="auto"/>
        <w:ind w:left="720" w:hanging="720"/>
      </w:pPr>
      <w:r w:rsidRPr="0000257E">
        <w:t xml:space="preserve">Daniel, B. 2010. Concepts of adversity, risk, vulnerability and resilience: A discussion in the context of the ‘child protection system’. </w:t>
      </w:r>
      <w:r w:rsidRPr="0000257E">
        <w:rPr>
          <w:i/>
          <w:iCs/>
        </w:rPr>
        <w:t>Social Policy and Society,</w:t>
      </w:r>
      <w:r w:rsidRPr="0000257E">
        <w:t xml:space="preserve"> 9</w:t>
      </w:r>
      <w:r w:rsidRPr="0000257E">
        <w:rPr>
          <w:b/>
          <w:bCs/>
        </w:rPr>
        <w:t>,</w:t>
      </w:r>
      <w:r w:rsidRPr="0000257E">
        <w:t xml:space="preserve"> 231-241.</w:t>
      </w:r>
    </w:p>
    <w:p w14:paraId="1FA2353A" w14:textId="77777777" w:rsidR="00E672E8" w:rsidRDefault="00E672E8" w:rsidP="00C66D95">
      <w:pPr>
        <w:spacing w:after="0" w:line="276" w:lineRule="auto"/>
        <w:ind w:left="720" w:hanging="720"/>
      </w:pPr>
      <w:r>
        <w:t xml:space="preserve">Davis, A., Hill, K., Hirsch, D. &amp; Padley, M. 2016. </w:t>
      </w:r>
      <w:r w:rsidRPr="002F0DF1">
        <w:t>A Minimum Income Standard for the UK in 2016</w:t>
      </w:r>
      <w:r>
        <w:t>. York: Joseph Rowntree Foundation.</w:t>
      </w:r>
    </w:p>
    <w:p w14:paraId="2CE0BDAD" w14:textId="77777777" w:rsidR="00E672E8" w:rsidRDefault="00E672E8" w:rsidP="00C66D95">
      <w:pPr>
        <w:spacing w:after="0" w:line="276" w:lineRule="auto"/>
        <w:ind w:left="720" w:hanging="720"/>
      </w:pPr>
      <w:r>
        <w:t xml:space="preserve">Day, R. &amp; Hitchings, R. 2011. ‘Only old ladies would do that’: Age stigma and older people’s strategies for dealing with winter cold. </w:t>
      </w:r>
      <w:r>
        <w:rPr>
          <w:i/>
        </w:rPr>
        <w:t>Health &amp; place,</w:t>
      </w:r>
      <w:r>
        <w:t xml:space="preserve"> 17</w:t>
      </w:r>
      <w:r>
        <w:rPr>
          <w:b/>
        </w:rPr>
        <w:t>,</w:t>
      </w:r>
      <w:r>
        <w:t xml:space="preserve"> 885-894.</w:t>
      </w:r>
    </w:p>
    <w:p w14:paraId="60741496" w14:textId="77777777" w:rsidR="00E672E8" w:rsidRDefault="00E672E8" w:rsidP="00C66D95">
      <w:pPr>
        <w:spacing w:after="0" w:line="276" w:lineRule="auto"/>
        <w:ind w:left="720" w:hanging="720"/>
      </w:pPr>
      <w:r w:rsidRPr="004A307F">
        <w:t>Department for Energy and Climate Change 2015. Cutting the cost of keeping warm: a fuel poverty strategy for England. London: HM Government.</w:t>
      </w:r>
      <w:r>
        <w:t xml:space="preserve"> Available: </w:t>
      </w:r>
      <w:hyperlink r:id="rId18" w:history="1">
        <w:r w:rsidRPr="00B32ED3">
          <w:rPr>
            <w:rStyle w:val="Hyperlink"/>
          </w:rPr>
          <w:t>https://www.gov.uk/government/publications/cutting-the-cost-of-keeping-warm</w:t>
        </w:r>
      </w:hyperlink>
      <w:r>
        <w:t xml:space="preserve"> </w:t>
      </w:r>
    </w:p>
    <w:p w14:paraId="6046B8A0" w14:textId="77777777" w:rsidR="00E672E8" w:rsidRDefault="00E672E8" w:rsidP="00C66D95">
      <w:pPr>
        <w:spacing w:after="0" w:line="276" w:lineRule="auto"/>
        <w:ind w:left="720" w:hanging="720"/>
      </w:pPr>
      <w:r w:rsidRPr="007D56E8">
        <w:t>Department for Energy and Climate Change 2016. ECO: Help to Heat: Consultation Document. London: Department for Energy and Climate Change.</w:t>
      </w:r>
      <w:r>
        <w:t xml:space="preserve"> Available: </w:t>
      </w:r>
      <w:hyperlink r:id="rId19" w:history="1">
        <w:r w:rsidRPr="00B32ED3">
          <w:rPr>
            <w:rStyle w:val="Hyperlink"/>
          </w:rPr>
          <w:t>https://www.gov.uk/government/consultations/energy-company-obligation-eco-help-to-heat</w:t>
        </w:r>
      </w:hyperlink>
      <w:r>
        <w:t xml:space="preserve"> </w:t>
      </w:r>
    </w:p>
    <w:p w14:paraId="2236D07F" w14:textId="499337FE" w:rsidR="000A5DFB" w:rsidRDefault="000A5DFB" w:rsidP="00C66D95">
      <w:pPr>
        <w:spacing w:after="0" w:line="276" w:lineRule="auto"/>
        <w:ind w:left="720" w:hanging="720"/>
      </w:pPr>
      <w:r w:rsidRPr="000A5DFB">
        <w:t xml:space="preserve">Drake, R. F. 2002. Disabled people, voluntary organisations and participation in policy making. </w:t>
      </w:r>
      <w:r w:rsidRPr="000A5DFB">
        <w:rPr>
          <w:i/>
          <w:iCs/>
        </w:rPr>
        <w:t>Policy &amp; Politics,</w:t>
      </w:r>
      <w:r w:rsidRPr="000A5DFB">
        <w:t xml:space="preserve"> 30</w:t>
      </w:r>
      <w:r w:rsidRPr="000A5DFB">
        <w:rPr>
          <w:b/>
          <w:bCs/>
        </w:rPr>
        <w:t>,</w:t>
      </w:r>
      <w:r w:rsidRPr="000A5DFB">
        <w:t xml:space="preserve"> 373-385.</w:t>
      </w:r>
    </w:p>
    <w:p w14:paraId="26F7711A" w14:textId="6C945882" w:rsidR="00095012" w:rsidRDefault="00095012" w:rsidP="00C66D95">
      <w:pPr>
        <w:spacing w:after="0" w:line="276" w:lineRule="auto"/>
        <w:ind w:left="720" w:hanging="720"/>
      </w:pPr>
      <w:r w:rsidRPr="00095012">
        <w:t xml:space="preserve">Dryzek, J. S. 2012. </w:t>
      </w:r>
      <w:r w:rsidRPr="00095012">
        <w:rPr>
          <w:i/>
          <w:iCs/>
        </w:rPr>
        <w:t>Foundations and frontiers of deliberative governance</w:t>
      </w:r>
      <w:r w:rsidRPr="00095012">
        <w:t>, Oxford University Press.</w:t>
      </w:r>
    </w:p>
    <w:p w14:paraId="51C9CBE3" w14:textId="3945338D" w:rsidR="00507796" w:rsidRDefault="00507796" w:rsidP="00C66D95">
      <w:pPr>
        <w:spacing w:after="0" w:line="276" w:lineRule="auto"/>
        <w:ind w:left="720" w:hanging="720"/>
      </w:pPr>
      <w:r w:rsidRPr="00507796">
        <w:t xml:space="preserve">Dwyer, P. 2004. Creeping conditionality in the UK: from welfare rights to conditional entitlements? </w:t>
      </w:r>
      <w:r w:rsidRPr="00507796">
        <w:rPr>
          <w:i/>
          <w:iCs/>
        </w:rPr>
        <w:t>The Canadian Journal of Sociology,</w:t>
      </w:r>
      <w:r w:rsidRPr="00507796">
        <w:t xml:space="preserve"> 29</w:t>
      </w:r>
      <w:r w:rsidRPr="00507796">
        <w:rPr>
          <w:b/>
          <w:bCs/>
        </w:rPr>
        <w:t>,</w:t>
      </w:r>
      <w:r w:rsidRPr="00507796">
        <w:t xml:space="preserve"> 265-287.</w:t>
      </w:r>
    </w:p>
    <w:p w14:paraId="44F50888" w14:textId="3DE195D1" w:rsidR="00692CD1" w:rsidRDefault="00692CD1" w:rsidP="00C66D95">
      <w:pPr>
        <w:spacing w:after="0" w:line="276" w:lineRule="auto"/>
        <w:ind w:left="720" w:hanging="720"/>
      </w:pPr>
      <w:r w:rsidRPr="00692CD1">
        <w:t xml:space="preserve">Emmel, N. &amp; Hughes, K. 2010. ‘Recession, it's all the same to us son’: the longitudinal experience (1999–2010) of deprivation. </w:t>
      </w:r>
      <w:r w:rsidRPr="00692CD1">
        <w:rPr>
          <w:i/>
          <w:iCs/>
        </w:rPr>
        <w:t>Twenty-First Century Society,</w:t>
      </w:r>
      <w:r w:rsidRPr="00692CD1">
        <w:t xml:space="preserve"> 5</w:t>
      </w:r>
      <w:r w:rsidRPr="00692CD1">
        <w:rPr>
          <w:b/>
          <w:bCs/>
        </w:rPr>
        <w:t>,</w:t>
      </w:r>
      <w:r w:rsidRPr="00692CD1">
        <w:t xml:space="preserve"> 171-181.</w:t>
      </w:r>
    </w:p>
    <w:p w14:paraId="1425AED0" w14:textId="77777777" w:rsidR="00E672E8" w:rsidRDefault="00E672E8" w:rsidP="00C66D95">
      <w:pPr>
        <w:spacing w:after="0" w:line="276" w:lineRule="auto"/>
        <w:ind w:left="720" w:hanging="720"/>
      </w:pPr>
      <w:r>
        <w:t xml:space="preserve">Emmel, N. In Press. Empowerment in the relational longitudinal space of vulnerability. </w:t>
      </w:r>
      <w:r>
        <w:rPr>
          <w:i/>
        </w:rPr>
        <w:t>Social Policy and Politics</w:t>
      </w:r>
      <w:r>
        <w:t>.</w:t>
      </w:r>
    </w:p>
    <w:p w14:paraId="79F00C6D" w14:textId="06290683" w:rsidR="00692CD1" w:rsidRDefault="00692CD1" w:rsidP="00C66D95">
      <w:pPr>
        <w:spacing w:after="0" w:line="276" w:lineRule="auto"/>
        <w:ind w:left="720" w:hanging="720"/>
      </w:pPr>
      <w:r w:rsidRPr="00692CD1">
        <w:lastRenderedPageBreak/>
        <w:t>Fanjul, G. 2014. Children of the recession: the impact of the economic crisis on child well-being in rich countries.</w:t>
      </w:r>
      <w:r>
        <w:t xml:space="preserve"> UNICEF. Available: </w:t>
      </w:r>
      <w:hyperlink r:id="rId20" w:history="1">
        <w:r w:rsidRPr="00F4279F">
          <w:rPr>
            <w:rStyle w:val="Hyperlink"/>
          </w:rPr>
          <w:t>https://www.unicef-irc.org/publications/pdf/rc12-eng-web.pdf</w:t>
        </w:r>
      </w:hyperlink>
      <w:r>
        <w:t xml:space="preserve"> </w:t>
      </w:r>
    </w:p>
    <w:p w14:paraId="7E989385" w14:textId="0F7BAF8D" w:rsidR="00AE4C2F" w:rsidRDefault="00AE4C2F" w:rsidP="00C66D95">
      <w:pPr>
        <w:pStyle w:val="EndNoteBibliography"/>
        <w:spacing w:after="0" w:line="276" w:lineRule="auto"/>
        <w:ind w:left="720" w:hanging="720"/>
      </w:pPr>
      <w:r w:rsidRPr="001A7B36">
        <w:t xml:space="preserve">Fahmy, E., Gordon, D. &amp; Patsios, D. 2011. Predicting fuel poverty at a small-area level in England. </w:t>
      </w:r>
      <w:r w:rsidRPr="001A7B36">
        <w:rPr>
          <w:i/>
        </w:rPr>
        <w:t>Energy Policy,</w:t>
      </w:r>
      <w:r w:rsidRPr="001A7B36">
        <w:t xml:space="preserve"> 39</w:t>
      </w:r>
      <w:r w:rsidRPr="001A7B36">
        <w:rPr>
          <w:b/>
        </w:rPr>
        <w:t>,</w:t>
      </w:r>
      <w:r w:rsidRPr="001A7B36">
        <w:t xml:space="preserve"> 4370-4377.</w:t>
      </w:r>
    </w:p>
    <w:p w14:paraId="6A8AD448" w14:textId="4B483C37" w:rsidR="005D1D89" w:rsidRDefault="005D1D89" w:rsidP="00C66D95">
      <w:pPr>
        <w:spacing w:after="0" w:line="276" w:lineRule="auto"/>
        <w:ind w:left="720" w:hanging="720"/>
      </w:pPr>
      <w:r w:rsidRPr="0097384A">
        <w:t xml:space="preserve">Ferrarese, E. 2016. The Vulnerable and the Political: On the Seeming Impossibility of Thinking Vulnerability and the Political Together and Its Consequences. </w:t>
      </w:r>
      <w:r w:rsidRPr="0097384A">
        <w:rPr>
          <w:i/>
          <w:iCs/>
        </w:rPr>
        <w:t>Critical Horizons,</w:t>
      </w:r>
      <w:r w:rsidRPr="0097384A">
        <w:t xml:space="preserve"> 17</w:t>
      </w:r>
      <w:r w:rsidRPr="0097384A">
        <w:rPr>
          <w:b/>
          <w:bCs/>
        </w:rPr>
        <w:t>,</w:t>
      </w:r>
      <w:r w:rsidRPr="0097384A">
        <w:t xml:space="preserve"> 224-239.</w:t>
      </w:r>
    </w:p>
    <w:p w14:paraId="04B02F7E" w14:textId="7FD6528D" w:rsidR="00E672E8" w:rsidRDefault="00E672E8" w:rsidP="00C66D95">
      <w:pPr>
        <w:spacing w:after="0" w:line="276" w:lineRule="auto"/>
        <w:ind w:left="720" w:hanging="720"/>
      </w:pPr>
      <w:r w:rsidRPr="008C1A0B">
        <w:t xml:space="preserve">Fitzpatrick, T. 2011. </w:t>
      </w:r>
      <w:r w:rsidRPr="002F0DF1">
        <w:rPr>
          <w:i/>
        </w:rPr>
        <w:t>Understanding the environment and social policy</w:t>
      </w:r>
      <w:r w:rsidR="002F0DF1">
        <w:t>.</w:t>
      </w:r>
      <w:r w:rsidRPr="008C1A0B">
        <w:t xml:space="preserve"> </w:t>
      </w:r>
      <w:r>
        <w:t xml:space="preserve">Bristol: </w:t>
      </w:r>
      <w:r w:rsidRPr="008C1A0B">
        <w:t>Policy Press.</w:t>
      </w:r>
    </w:p>
    <w:p w14:paraId="4F55438D" w14:textId="3DFD5FDC" w:rsidR="00AE4C2F" w:rsidRDefault="00AE4C2F" w:rsidP="00C66D95">
      <w:pPr>
        <w:spacing w:after="0" w:line="276" w:lineRule="auto"/>
        <w:ind w:left="720" w:hanging="720"/>
      </w:pPr>
      <w:r w:rsidRPr="00934886">
        <w:t>Franz, J., Adkins, B., Petriwskyj, A. M., Bitner, G., Ward, M. &amp; Rolfe, A. 2014. Person-centred approaches to private housing for people with disability: impediments, difficulties and opportunities. Brisbane, Australia: The Disability Policy and Research Working Group.</w:t>
      </w:r>
    </w:p>
    <w:p w14:paraId="00BFE903" w14:textId="555BA00E" w:rsidR="00095012" w:rsidRDefault="00095012" w:rsidP="00C66D95">
      <w:pPr>
        <w:spacing w:after="0" w:line="276" w:lineRule="auto"/>
        <w:ind w:left="720" w:hanging="720"/>
      </w:pPr>
      <w:r w:rsidRPr="00095012">
        <w:t xml:space="preserve">Fraser, N. 1999. Social justice in the age of identity politics: Redistribution, recognition, and participation. </w:t>
      </w:r>
      <w:r w:rsidRPr="00095012">
        <w:rPr>
          <w:i/>
          <w:iCs/>
        </w:rPr>
        <w:t>In:</w:t>
      </w:r>
      <w:r w:rsidRPr="00095012">
        <w:t xml:space="preserve"> Ray, L. &amp; Sayer, A. (eds.) </w:t>
      </w:r>
      <w:r w:rsidRPr="00095012">
        <w:rPr>
          <w:i/>
          <w:iCs/>
        </w:rPr>
        <w:t>Culture and economy after the cultural turn.</w:t>
      </w:r>
      <w:r w:rsidRPr="00095012">
        <w:t xml:space="preserve"> London: Sage.</w:t>
      </w:r>
    </w:p>
    <w:p w14:paraId="761AA4A6" w14:textId="79C8B417" w:rsidR="00E672E8" w:rsidRDefault="00E672E8" w:rsidP="00C66D95">
      <w:pPr>
        <w:spacing w:after="0" w:line="276" w:lineRule="auto"/>
        <w:ind w:left="720" w:hanging="720"/>
      </w:pPr>
      <w:r>
        <w:t xml:space="preserve">Fraser, N. &amp; Honneth, A. 2003. </w:t>
      </w:r>
      <w:r>
        <w:rPr>
          <w:i/>
        </w:rPr>
        <w:t>Redistribution or recognition?: a political-philosophical exchange</w:t>
      </w:r>
      <w:r w:rsidR="001976F9">
        <w:t>,</w:t>
      </w:r>
      <w:r>
        <w:t xml:space="preserve"> </w:t>
      </w:r>
      <w:r w:rsidR="002F0DF1">
        <w:t xml:space="preserve">London: </w:t>
      </w:r>
      <w:r>
        <w:t>Verso.</w:t>
      </w:r>
    </w:p>
    <w:p w14:paraId="209739CB" w14:textId="4BCE17AD" w:rsidR="00AE4C2F" w:rsidRDefault="00AE4C2F" w:rsidP="00C66D95">
      <w:pPr>
        <w:spacing w:after="0" w:line="276" w:lineRule="auto"/>
        <w:ind w:left="720" w:hanging="720"/>
      </w:pPr>
      <w:r w:rsidRPr="00B97126">
        <w:t>Fuller, S. &amp; Mc</w:t>
      </w:r>
      <w:r w:rsidR="00284157">
        <w:t>C</w:t>
      </w:r>
      <w:r w:rsidRPr="00B97126">
        <w:t xml:space="preserve">auley, D. 2016. Framing energy justice: perspectives from activism and advocacy. </w:t>
      </w:r>
      <w:r w:rsidRPr="001976F9">
        <w:rPr>
          <w:i/>
        </w:rPr>
        <w:t>Energy Research &amp; Social Science</w:t>
      </w:r>
      <w:r w:rsidRPr="00B97126">
        <w:t>, 11, 1-8.</w:t>
      </w:r>
    </w:p>
    <w:p w14:paraId="772B7720" w14:textId="77777777" w:rsidR="00E672E8" w:rsidRPr="0016289E" w:rsidRDefault="00E672E8" w:rsidP="00C66D95">
      <w:pPr>
        <w:pStyle w:val="EndNoteBibliography"/>
        <w:spacing w:after="0" w:line="276" w:lineRule="auto"/>
        <w:ind w:left="720" w:hanging="720"/>
      </w:pPr>
      <w:r w:rsidRPr="0016289E">
        <w:t xml:space="preserve">Fung, A. 2006. Varieties of participation in complex governance. </w:t>
      </w:r>
      <w:r w:rsidRPr="0016289E">
        <w:rPr>
          <w:i/>
        </w:rPr>
        <w:t>Public administration review,</w:t>
      </w:r>
      <w:r w:rsidRPr="0016289E">
        <w:t xml:space="preserve"> 66</w:t>
      </w:r>
      <w:r w:rsidRPr="0016289E">
        <w:rPr>
          <w:b/>
        </w:rPr>
        <w:t>,</w:t>
      </w:r>
      <w:r w:rsidRPr="0016289E">
        <w:t xml:space="preserve"> 66-75.</w:t>
      </w:r>
    </w:p>
    <w:p w14:paraId="3F4D64FA" w14:textId="4739185A" w:rsidR="00E06B24" w:rsidRDefault="00E06B24" w:rsidP="00C66D95">
      <w:pPr>
        <w:spacing w:after="0" w:line="276" w:lineRule="auto"/>
        <w:ind w:left="720" w:hanging="720"/>
      </w:pPr>
      <w:r w:rsidRPr="00E06B24">
        <w:rPr>
          <w:lang w:val="en-US"/>
        </w:rPr>
        <w:t xml:space="preserve">Gamtessa, S.F., 2013. An explanation of residential energy-efficiency retrofit behavior in Canada. </w:t>
      </w:r>
      <w:r w:rsidRPr="00E06B24">
        <w:rPr>
          <w:i/>
          <w:iCs/>
          <w:lang w:val="en-US"/>
        </w:rPr>
        <w:t>Energy and Buildings</w:t>
      </w:r>
      <w:r w:rsidRPr="00E06B24">
        <w:rPr>
          <w:lang w:val="en-US"/>
        </w:rPr>
        <w:t xml:space="preserve">, </w:t>
      </w:r>
      <w:r w:rsidRPr="00E06B24">
        <w:rPr>
          <w:iCs/>
          <w:lang w:val="en-US"/>
        </w:rPr>
        <w:t>57</w:t>
      </w:r>
      <w:r>
        <w:rPr>
          <w:lang w:val="en-US"/>
        </w:rPr>
        <w:t xml:space="preserve">, </w:t>
      </w:r>
      <w:r w:rsidRPr="00E06B24">
        <w:rPr>
          <w:lang w:val="en-US"/>
        </w:rPr>
        <w:t>155-164.</w:t>
      </w:r>
    </w:p>
    <w:p w14:paraId="59860C85" w14:textId="77777777" w:rsidR="00E672E8" w:rsidRDefault="00E672E8" w:rsidP="00C66D95">
      <w:pPr>
        <w:spacing w:after="0" w:line="276" w:lineRule="auto"/>
        <w:ind w:left="720" w:hanging="720"/>
      </w:pPr>
      <w:r>
        <w:t xml:space="preserve">Garthwaite, K. 2015. ‘Keeping meself to meself’–How Social Networks Can Influence Narratives of Stigma and Identity for Long‐term Sickness Benefits Recipients. </w:t>
      </w:r>
      <w:r>
        <w:rPr>
          <w:i/>
        </w:rPr>
        <w:t>Social Policy &amp; Administration,</w:t>
      </w:r>
      <w:r>
        <w:t xml:space="preserve"> 49</w:t>
      </w:r>
      <w:r>
        <w:rPr>
          <w:b/>
        </w:rPr>
        <w:t>,</w:t>
      </w:r>
      <w:r>
        <w:t xml:space="preserve"> 199-212.</w:t>
      </w:r>
    </w:p>
    <w:p w14:paraId="069B3AF0" w14:textId="77777777" w:rsidR="00E672E8" w:rsidRPr="0016289E" w:rsidRDefault="00E672E8" w:rsidP="00C66D95">
      <w:pPr>
        <w:pStyle w:val="EndNoteBibliography"/>
        <w:spacing w:after="0" w:line="276" w:lineRule="auto"/>
        <w:ind w:left="720" w:hanging="720"/>
      </w:pPr>
      <w:r>
        <w:t>d</w:t>
      </w:r>
      <w:r w:rsidRPr="0016289E">
        <w:t xml:space="preserve">i Gennaro, C. &amp; Dutton, W. 2006. The Internet and the public: Online and offline political participation in the United Kingdom. </w:t>
      </w:r>
      <w:r w:rsidRPr="0016289E">
        <w:rPr>
          <w:i/>
        </w:rPr>
        <w:t>Parliamentary Affairs,</w:t>
      </w:r>
      <w:r w:rsidRPr="0016289E">
        <w:t xml:space="preserve"> 59</w:t>
      </w:r>
      <w:r w:rsidRPr="0016289E">
        <w:rPr>
          <w:b/>
        </w:rPr>
        <w:t>,</w:t>
      </w:r>
      <w:r w:rsidRPr="0016289E">
        <w:t xml:space="preserve"> 299-313.</w:t>
      </w:r>
    </w:p>
    <w:p w14:paraId="191178DC" w14:textId="18258F62" w:rsidR="00F32AE5" w:rsidRDefault="00F32AE5" w:rsidP="00C66D95">
      <w:pPr>
        <w:spacing w:after="0" w:line="276" w:lineRule="auto"/>
        <w:ind w:left="720" w:hanging="720"/>
      </w:pPr>
      <w:r w:rsidRPr="00F32AE5">
        <w:t>George, M., Graham, C. &amp; Lennard, L. 2013. The energy penalty: Disabled people and fuel poverty. University of Leicester.</w:t>
      </w:r>
      <w:r>
        <w:t xml:space="preserve"> Available: </w:t>
      </w:r>
      <w:hyperlink r:id="rId21" w:history="1">
        <w:r w:rsidRPr="00F4279F">
          <w:rPr>
            <w:rStyle w:val="Hyperlink"/>
          </w:rPr>
          <w:t>https://www2.le.ac.uk/departments/law/research/cces/documents/the-energy-penalty-disability-and-fuel-poverty-pdf</w:t>
        </w:r>
      </w:hyperlink>
      <w:r>
        <w:t xml:space="preserve"> </w:t>
      </w:r>
    </w:p>
    <w:p w14:paraId="59865279" w14:textId="42FC5DBE" w:rsidR="00E06B24" w:rsidRDefault="00E06B24" w:rsidP="00C66D95">
      <w:pPr>
        <w:spacing w:after="0" w:line="276" w:lineRule="auto"/>
        <w:ind w:left="720" w:hanging="720"/>
        <w:rPr>
          <w:lang w:val="en-US"/>
        </w:rPr>
      </w:pPr>
      <w:r w:rsidRPr="00E06B24">
        <w:rPr>
          <w:lang w:val="en-US"/>
        </w:rPr>
        <w:t xml:space="preserve">Gilbertson, J., Stevens, M., Stiell, B. and Thorogood, N., 2006. Home is where the hearth is: Grant recipients’ views of England's Home Energy Efficiency Scheme (Warm Front). </w:t>
      </w:r>
      <w:r w:rsidRPr="00E06B24">
        <w:rPr>
          <w:i/>
          <w:iCs/>
          <w:lang w:val="en-US"/>
        </w:rPr>
        <w:t>Social science &amp; medicine</w:t>
      </w:r>
      <w:r w:rsidRPr="00E06B24">
        <w:rPr>
          <w:lang w:val="en-US"/>
        </w:rPr>
        <w:t xml:space="preserve">, </w:t>
      </w:r>
      <w:r w:rsidRPr="00E06B24">
        <w:rPr>
          <w:iCs/>
          <w:lang w:val="en-US"/>
        </w:rPr>
        <w:t>63</w:t>
      </w:r>
      <w:r>
        <w:rPr>
          <w:lang w:val="en-US"/>
        </w:rPr>
        <w:t xml:space="preserve">, </w:t>
      </w:r>
      <w:r w:rsidRPr="00E06B24">
        <w:rPr>
          <w:lang w:val="en-US"/>
        </w:rPr>
        <w:t>946-956.</w:t>
      </w:r>
    </w:p>
    <w:p w14:paraId="6A89DFE4" w14:textId="0893B1D3" w:rsidR="00D70B00" w:rsidRDefault="00D70B00" w:rsidP="00C66D95">
      <w:pPr>
        <w:spacing w:after="0" w:line="276" w:lineRule="auto"/>
        <w:ind w:left="720" w:hanging="720"/>
      </w:pPr>
      <w:r w:rsidRPr="00D70B00">
        <w:rPr>
          <w:lang w:val="en-US"/>
        </w:rPr>
        <w:t xml:space="preserve">Gillard, R., Gouldson, A., Paavola, J. and Van Alstine, J., 2016. Transformational responses to climate change: beyond a systems perspective of social change in mitigation and adaptation. </w:t>
      </w:r>
      <w:r w:rsidRPr="00D70B00">
        <w:rPr>
          <w:i/>
          <w:iCs/>
          <w:lang w:val="en-US"/>
        </w:rPr>
        <w:t>Wiley Interdisciplinary Reviews: Climate Change</w:t>
      </w:r>
      <w:r w:rsidRPr="00D70B00">
        <w:rPr>
          <w:lang w:val="en-US"/>
        </w:rPr>
        <w:t xml:space="preserve">, </w:t>
      </w:r>
      <w:r w:rsidRPr="00D70B00">
        <w:rPr>
          <w:iCs/>
          <w:lang w:val="en-US"/>
        </w:rPr>
        <w:t>7</w:t>
      </w:r>
      <w:r>
        <w:rPr>
          <w:lang w:val="en-US"/>
        </w:rPr>
        <w:t xml:space="preserve">: </w:t>
      </w:r>
      <w:r w:rsidRPr="00D70B00">
        <w:rPr>
          <w:lang w:val="en-US"/>
        </w:rPr>
        <w:t>251-265.</w:t>
      </w:r>
    </w:p>
    <w:p w14:paraId="44CB370B" w14:textId="77777777" w:rsidR="00E672E8" w:rsidRDefault="00E672E8" w:rsidP="00C66D95">
      <w:pPr>
        <w:spacing w:after="0" w:line="276" w:lineRule="auto"/>
        <w:ind w:left="720" w:hanging="720"/>
      </w:pPr>
      <w:r w:rsidRPr="00810271">
        <w:t>Guertler, P. &amp; Royston, S. 2013. Fact-file: Families and fuel poverty. Association for the Conservation of Energy.</w:t>
      </w:r>
      <w:r>
        <w:t xml:space="preserve"> Available: </w:t>
      </w:r>
      <w:hyperlink r:id="rId22" w:history="1">
        <w:r w:rsidRPr="00B32ED3">
          <w:rPr>
            <w:rStyle w:val="Hyperlink"/>
          </w:rPr>
          <w:t>http://www.ukace.org/wp-content/uploads/2013/02/ACE-and-EBR-fact-file-2012-02-Families-and-fuel-poverty.pdf</w:t>
        </w:r>
      </w:hyperlink>
      <w:r>
        <w:t xml:space="preserve"> </w:t>
      </w:r>
    </w:p>
    <w:p w14:paraId="3D36E16C" w14:textId="5E7194FC" w:rsidR="00AE4C2F" w:rsidRDefault="00AE4C2F" w:rsidP="00C66D95">
      <w:pPr>
        <w:pStyle w:val="EndNoteBibliography"/>
        <w:spacing w:line="276" w:lineRule="auto"/>
        <w:ind w:left="720" w:hanging="720"/>
      </w:pPr>
      <w:r>
        <w:t xml:space="preserve">Gordon, D. 2008. Children, Poverty and Social Policy. In Craig, G. Burchardt, T. &amp; Gordon, D. (eds) </w:t>
      </w:r>
      <w:r>
        <w:rPr>
          <w:i/>
        </w:rPr>
        <w:t xml:space="preserve">Social Justice and Public Policy: seeking fairness in diverse socities, </w:t>
      </w:r>
      <w:r>
        <w:t>Bristol: Policy Press.</w:t>
      </w:r>
    </w:p>
    <w:p w14:paraId="2B8527B3" w14:textId="428C99DC" w:rsidR="00095012" w:rsidRDefault="00095012" w:rsidP="00C66D95">
      <w:pPr>
        <w:pStyle w:val="EndNoteBibliography"/>
        <w:spacing w:after="0" w:line="276" w:lineRule="auto"/>
        <w:ind w:left="720" w:hanging="720"/>
      </w:pPr>
      <w:r w:rsidRPr="00095012">
        <w:t xml:space="preserve">Habermas, J. 2015. </w:t>
      </w:r>
      <w:r w:rsidRPr="00095012">
        <w:rPr>
          <w:i/>
          <w:iCs/>
        </w:rPr>
        <w:t>Communication and the Evolution of Society</w:t>
      </w:r>
      <w:r w:rsidRPr="00095012">
        <w:t xml:space="preserve">, </w:t>
      </w:r>
      <w:r>
        <w:t xml:space="preserve">London: </w:t>
      </w:r>
      <w:r w:rsidRPr="00095012">
        <w:t>John Wiley &amp; Sons.</w:t>
      </w:r>
    </w:p>
    <w:p w14:paraId="2888AB88" w14:textId="77777777" w:rsidR="00E672E8" w:rsidRPr="0016289E" w:rsidRDefault="00E672E8" w:rsidP="00C66D95">
      <w:pPr>
        <w:pStyle w:val="EndNoteBibliography"/>
        <w:spacing w:after="0" w:line="276" w:lineRule="auto"/>
        <w:ind w:left="720" w:hanging="720"/>
      </w:pPr>
      <w:r w:rsidRPr="0016289E">
        <w:lastRenderedPageBreak/>
        <w:t xml:space="preserve">Hajer, M. A. 2009. </w:t>
      </w:r>
      <w:r w:rsidRPr="0016289E">
        <w:rPr>
          <w:i/>
        </w:rPr>
        <w:t>Authoritative governance: Policy making in the age of mediatization</w:t>
      </w:r>
      <w:r w:rsidRPr="0016289E">
        <w:t>, Oxford University Press.</w:t>
      </w:r>
    </w:p>
    <w:p w14:paraId="1E294199" w14:textId="77777777" w:rsidR="00E672E8" w:rsidRDefault="00E672E8" w:rsidP="00C66D95">
      <w:pPr>
        <w:spacing w:after="0" w:line="276" w:lineRule="auto"/>
        <w:ind w:left="720" w:hanging="720"/>
      </w:pPr>
      <w:r w:rsidRPr="004C1703">
        <w:t xml:space="preserve">Hall, S. M., Hards, S. &amp; Bulkeley, H. 2013. New approaches to energy: equity, justice and vulnerability. Introduction to the special issue. </w:t>
      </w:r>
      <w:r w:rsidRPr="001976F9">
        <w:rPr>
          <w:i/>
        </w:rPr>
        <w:t>Local Environment</w:t>
      </w:r>
      <w:r w:rsidRPr="004C1703">
        <w:t>, 18, 413-421.</w:t>
      </w:r>
    </w:p>
    <w:p w14:paraId="63D645A3" w14:textId="00FE0E0A" w:rsidR="00E170D1" w:rsidRDefault="00E170D1" w:rsidP="00C66D95">
      <w:pPr>
        <w:spacing w:after="0" w:line="276" w:lineRule="auto"/>
        <w:ind w:left="720" w:hanging="720"/>
      </w:pPr>
      <w:r w:rsidRPr="00E170D1">
        <w:t xml:space="preserve">Hammel, J., Magasi, S., Heinemann, A., Whiteneck, G., Bogner, J. &amp; Rodriguez, E. 2008. What does participation mean? An insider perspective from people with disabilities. </w:t>
      </w:r>
      <w:r w:rsidRPr="00E170D1">
        <w:rPr>
          <w:i/>
          <w:iCs/>
        </w:rPr>
        <w:t>Disability and rehabilitation,</w:t>
      </w:r>
      <w:r w:rsidRPr="00E170D1">
        <w:t xml:space="preserve"> 30</w:t>
      </w:r>
      <w:r w:rsidRPr="00E170D1">
        <w:rPr>
          <w:b/>
          <w:bCs/>
        </w:rPr>
        <w:t>,</w:t>
      </w:r>
      <w:r w:rsidRPr="00E170D1">
        <w:t xml:space="preserve"> 1445-1460.</w:t>
      </w:r>
    </w:p>
    <w:p w14:paraId="2A8C7044" w14:textId="68BBA077" w:rsidR="007574B3" w:rsidRDefault="00E672E8" w:rsidP="00C66D95">
      <w:pPr>
        <w:spacing w:after="0" w:line="276" w:lineRule="auto"/>
        <w:ind w:left="720" w:hanging="720"/>
      </w:pPr>
      <w:r>
        <w:t xml:space="preserve">Hards, S. K. 2013. Status, stigma and energy practices in the home. </w:t>
      </w:r>
      <w:r>
        <w:rPr>
          <w:i/>
        </w:rPr>
        <w:t>Local Environment,</w:t>
      </w:r>
      <w:r>
        <w:t xml:space="preserve"> 18</w:t>
      </w:r>
      <w:r>
        <w:rPr>
          <w:b/>
        </w:rPr>
        <w:t>,</w:t>
      </w:r>
      <w:r>
        <w:t xml:space="preserve"> 438-454.</w:t>
      </w:r>
    </w:p>
    <w:p w14:paraId="050D71B8" w14:textId="752EE8DC" w:rsidR="006A63A1" w:rsidRDefault="006A63A1" w:rsidP="00C66D95">
      <w:pPr>
        <w:pStyle w:val="EndNoteBibliography"/>
        <w:spacing w:after="0" w:line="276" w:lineRule="auto"/>
        <w:ind w:left="720" w:hanging="720"/>
      </w:pPr>
      <w:r w:rsidRPr="006A63A1">
        <w:t xml:space="preserve">Hargreaves, T., Nye, M. &amp; Burgess, J. 2013. Keeping energy visible? Exploring how householders interact with feedback from smart energy monitors in the longer term. </w:t>
      </w:r>
      <w:r w:rsidRPr="006A63A1">
        <w:rPr>
          <w:i/>
          <w:iCs/>
        </w:rPr>
        <w:t>Energy Policy,</w:t>
      </w:r>
      <w:r w:rsidRPr="006A63A1">
        <w:t xml:space="preserve"> 52</w:t>
      </w:r>
      <w:r w:rsidRPr="006A63A1">
        <w:rPr>
          <w:b/>
          <w:bCs/>
        </w:rPr>
        <w:t>,</w:t>
      </w:r>
      <w:r w:rsidRPr="006A63A1">
        <w:t xml:space="preserve"> 126-134.</w:t>
      </w:r>
    </w:p>
    <w:p w14:paraId="66BA39C4" w14:textId="05326D71" w:rsidR="00674E6A" w:rsidRDefault="00674E6A" w:rsidP="00C66D95">
      <w:pPr>
        <w:pStyle w:val="EndNoteBibliography"/>
        <w:spacing w:after="0" w:line="276" w:lineRule="auto"/>
        <w:ind w:left="720" w:hanging="720"/>
      </w:pPr>
      <w:r>
        <w:t>Heffner, G. &amp; Campbell, N. 2011. Evaluating the co-benefits of low-income energy-efficiency. International Energy Ag</w:t>
      </w:r>
      <w:r w:rsidR="0078267A">
        <w:t xml:space="preserve">ency. Available: </w:t>
      </w:r>
      <w:hyperlink r:id="rId23" w:history="1">
        <w:r w:rsidR="0078267A" w:rsidRPr="007D0C7D">
          <w:rPr>
            <w:rStyle w:val="Hyperlink"/>
          </w:rPr>
          <w:t>https://www.iea.org/publications/freepublications/publication/low_income_energy_efficiency.pdf</w:t>
        </w:r>
      </w:hyperlink>
      <w:r w:rsidR="0078267A">
        <w:t xml:space="preserve"> </w:t>
      </w:r>
    </w:p>
    <w:p w14:paraId="5DE67F1B" w14:textId="5AC1BD8D" w:rsidR="0055098C" w:rsidRDefault="0055098C" w:rsidP="00C66D95">
      <w:pPr>
        <w:pStyle w:val="EndNoteBibliography"/>
        <w:spacing w:after="0" w:line="276" w:lineRule="auto"/>
        <w:ind w:left="720" w:hanging="720"/>
      </w:pPr>
      <w:r w:rsidRPr="0055098C">
        <w:rPr>
          <w:lang w:val="en-US"/>
        </w:rPr>
        <w:t xml:space="preserve">Heffron, R.J. and McCauley, D., 2017. The concept of energy justice across the disciplines. </w:t>
      </w:r>
      <w:r w:rsidRPr="0055098C">
        <w:rPr>
          <w:i/>
          <w:iCs/>
          <w:lang w:val="en-US"/>
        </w:rPr>
        <w:t>Energy Policy</w:t>
      </w:r>
      <w:r w:rsidRPr="0055098C">
        <w:rPr>
          <w:lang w:val="en-US"/>
        </w:rPr>
        <w:t>.</w:t>
      </w:r>
      <w:r w:rsidR="002235CD">
        <w:rPr>
          <w:lang w:val="en-US"/>
        </w:rPr>
        <w:t xml:space="preserve"> DOI: </w:t>
      </w:r>
      <w:r w:rsidR="002235CD" w:rsidRPr="002235CD">
        <w:rPr>
          <w:lang w:val="en-US"/>
        </w:rPr>
        <w:t>10.1016/j.enpol.2017.03.018</w:t>
      </w:r>
    </w:p>
    <w:p w14:paraId="71DCD974" w14:textId="4B1B833E" w:rsidR="006973FC" w:rsidRPr="001A7B36" w:rsidRDefault="006973FC" w:rsidP="00C66D95">
      <w:pPr>
        <w:pStyle w:val="EndNoteBibliography"/>
        <w:spacing w:after="0" w:line="276" w:lineRule="auto"/>
        <w:ind w:left="720" w:hanging="720"/>
      </w:pPr>
      <w:r w:rsidRPr="001A7B36">
        <w:t>Hills, J. 2012. Getting the measure of fuel poverty: Final Report of the Fuel Poverty Review.</w:t>
      </w:r>
      <w:r>
        <w:t xml:space="preserve"> Available: </w:t>
      </w:r>
      <w:hyperlink r:id="rId24" w:history="1">
        <w:r w:rsidRPr="007C6254">
          <w:rPr>
            <w:rStyle w:val="Hyperlink"/>
          </w:rPr>
          <w:t>http://sticerd.lse.ac.uk/dps/case/cr/CASEreport72.pdf</w:t>
        </w:r>
      </w:hyperlink>
      <w:r>
        <w:t xml:space="preserve"> </w:t>
      </w:r>
    </w:p>
    <w:p w14:paraId="0107E52D" w14:textId="681DC701" w:rsidR="007574B3" w:rsidRDefault="007574B3" w:rsidP="00C66D95">
      <w:pPr>
        <w:pStyle w:val="EndNoteBibliography"/>
        <w:spacing w:after="0" w:line="276" w:lineRule="auto"/>
        <w:ind w:left="720" w:hanging="720"/>
      </w:pPr>
      <w:r>
        <w:t xml:space="preserve">Hoffman, S. M. &amp; High-Pippert, A. 2010. From private lives to collective action: Recruitment and participation incentives for a community energy project. </w:t>
      </w:r>
      <w:r>
        <w:rPr>
          <w:i/>
        </w:rPr>
        <w:t xml:space="preserve">Energy Policy, </w:t>
      </w:r>
      <w:r>
        <w:t>38, 7567-7574.</w:t>
      </w:r>
    </w:p>
    <w:p w14:paraId="7B8C5513" w14:textId="1C22E097" w:rsidR="00D639A8" w:rsidRPr="007574B3" w:rsidRDefault="00D639A8" w:rsidP="00C66D95">
      <w:pPr>
        <w:pStyle w:val="EndNoteBibliography"/>
        <w:spacing w:after="0" w:line="276" w:lineRule="auto"/>
        <w:ind w:left="720" w:hanging="720"/>
      </w:pPr>
      <w:r w:rsidRPr="00D639A8">
        <w:rPr>
          <w:lang w:val="en-US"/>
        </w:rPr>
        <w:t xml:space="preserve">Hoicka, C.E., Parker, P. and Andrey, J., 2014. Residential energy efficiency retrofits: How program design affects participation and outcomes. </w:t>
      </w:r>
      <w:r w:rsidRPr="00D639A8">
        <w:rPr>
          <w:i/>
          <w:iCs/>
          <w:lang w:val="en-US"/>
        </w:rPr>
        <w:t>Energy Policy</w:t>
      </w:r>
      <w:r w:rsidRPr="00D639A8">
        <w:rPr>
          <w:lang w:val="en-US"/>
        </w:rPr>
        <w:t xml:space="preserve">, </w:t>
      </w:r>
      <w:r w:rsidRPr="00D639A8">
        <w:rPr>
          <w:iCs/>
          <w:lang w:val="en-US"/>
        </w:rPr>
        <w:t>65</w:t>
      </w:r>
      <w:r w:rsidRPr="00D639A8">
        <w:rPr>
          <w:lang w:val="en-US"/>
        </w:rPr>
        <w:t>,</w:t>
      </w:r>
      <w:r>
        <w:rPr>
          <w:lang w:val="en-US"/>
        </w:rPr>
        <w:t xml:space="preserve"> </w:t>
      </w:r>
      <w:r w:rsidRPr="00D639A8">
        <w:rPr>
          <w:lang w:val="en-US"/>
        </w:rPr>
        <w:t>594-607.</w:t>
      </w:r>
    </w:p>
    <w:p w14:paraId="5457241F" w14:textId="77777777" w:rsidR="00E672E8" w:rsidRDefault="00E672E8" w:rsidP="00C66D95">
      <w:pPr>
        <w:pStyle w:val="EndNoteBibliography"/>
        <w:spacing w:after="0" w:line="276" w:lineRule="auto"/>
        <w:ind w:left="720" w:hanging="720"/>
      </w:pPr>
      <w:r>
        <w:t xml:space="preserve">Inter-Ministerial Group on Fuel Poverty 2001. The UK Fuel Poverty Strategy. Available: </w:t>
      </w:r>
      <w:hyperlink r:id="rId25" w:history="1">
        <w:r w:rsidRPr="00B32ED3">
          <w:rPr>
            <w:rStyle w:val="Hyperlink"/>
          </w:rPr>
          <w:t>http://webarchive.nationalarchives.gov.uk/+/http:/www.berr.gov.uk/files/file16495.pdf</w:t>
        </w:r>
      </w:hyperlink>
      <w:r>
        <w:t xml:space="preserve">  </w:t>
      </w:r>
    </w:p>
    <w:p w14:paraId="424F058B" w14:textId="43F90590" w:rsidR="003E60A7" w:rsidRDefault="003E60A7" w:rsidP="00C66D95">
      <w:pPr>
        <w:pStyle w:val="EndNoteBibliography"/>
        <w:spacing w:after="0" w:line="276" w:lineRule="auto"/>
        <w:ind w:left="720" w:hanging="720"/>
      </w:pPr>
      <w:r w:rsidRPr="003E60A7">
        <w:t xml:space="preserve">Imrie, R. 2004. From universal to inclusive design in the built environment. </w:t>
      </w:r>
      <w:r w:rsidRPr="003E60A7">
        <w:rPr>
          <w:i/>
          <w:iCs/>
        </w:rPr>
        <w:t>In:</w:t>
      </w:r>
      <w:r w:rsidRPr="003E60A7">
        <w:t xml:space="preserve"> Swain, J., French, S., Barnes, C. &amp; Thomas, C. (eds.) </w:t>
      </w:r>
      <w:r w:rsidRPr="003E60A7">
        <w:rPr>
          <w:i/>
          <w:iCs/>
        </w:rPr>
        <w:t>Disabling barriers–enabling environments.</w:t>
      </w:r>
      <w:r w:rsidRPr="003E60A7">
        <w:t xml:space="preserve"> </w:t>
      </w:r>
      <w:r>
        <w:t xml:space="preserve">London: </w:t>
      </w:r>
      <w:r w:rsidRPr="003E60A7">
        <w:t>Sage.</w:t>
      </w:r>
    </w:p>
    <w:p w14:paraId="459AEB41" w14:textId="6A2E64C6" w:rsidR="006A63A1" w:rsidRDefault="006A63A1" w:rsidP="00C66D95">
      <w:pPr>
        <w:pStyle w:val="EndNoteBibliography"/>
        <w:spacing w:after="0" w:line="276" w:lineRule="auto"/>
        <w:ind w:left="720" w:hanging="720"/>
      </w:pPr>
      <w:r w:rsidRPr="006A63A1">
        <w:t xml:space="preserve">James, P. 2012. Overcoming barriers to low carbon dwellings: The need for innovative models of finance and service-provision. </w:t>
      </w:r>
      <w:r w:rsidRPr="006A63A1">
        <w:rPr>
          <w:i/>
          <w:iCs/>
        </w:rPr>
        <w:t>Environmental Development,</w:t>
      </w:r>
      <w:r w:rsidRPr="006A63A1">
        <w:t xml:space="preserve"> 2</w:t>
      </w:r>
      <w:r w:rsidRPr="006A63A1">
        <w:rPr>
          <w:b/>
          <w:bCs/>
        </w:rPr>
        <w:t>,</w:t>
      </w:r>
      <w:r w:rsidRPr="006A63A1">
        <w:t xml:space="preserve"> 6-17.</w:t>
      </w:r>
    </w:p>
    <w:p w14:paraId="38442E00" w14:textId="7ABB2141" w:rsidR="0000257E" w:rsidRDefault="0000257E" w:rsidP="00C66D95">
      <w:pPr>
        <w:pStyle w:val="EndNoteBibliography"/>
        <w:spacing w:after="0" w:line="276" w:lineRule="auto"/>
        <w:ind w:left="720" w:hanging="720"/>
      </w:pPr>
      <w:r w:rsidRPr="0000257E">
        <w:t xml:space="preserve">James, A. &amp; Prout, A. 2015. </w:t>
      </w:r>
      <w:r w:rsidRPr="0000257E">
        <w:rPr>
          <w:i/>
          <w:iCs/>
        </w:rPr>
        <w:t>Constructing and reconstructing childhood: Contemporary issues in the sociological study of childhood</w:t>
      </w:r>
      <w:r w:rsidRPr="0000257E">
        <w:t xml:space="preserve">, </w:t>
      </w:r>
      <w:r>
        <w:t xml:space="preserve">London: </w:t>
      </w:r>
      <w:r w:rsidRPr="0000257E">
        <w:t>Routledge.</w:t>
      </w:r>
    </w:p>
    <w:p w14:paraId="67BB9B41" w14:textId="09576B53" w:rsidR="00240C77" w:rsidRDefault="00240C77" w:rsidP="00C66D95">
      <w:pPr>
        <w:pStyle w:val="EndNoteBibliography"/>
        <w:spacing w:after="0" w:line="276" w:lineRule="auto"/>
        <w:ind w:left="720" w:hanging="720"/>
      </w:pPr>
      <w:r w:rsidRPr="00240C77">
        <w:rPr>
          <w:lang w:val="en-US"/>
        </w:rPr>
        <w:t xml:space="preserve">Jenkins, D.P., 2010. The value of retrofitting carbon-saving measures into fuel poor social housing. </w:t>
      </w:r>
      <w:r w:rsidRPr="00240C77">
        <w:rPr>
          <w:i/>
          <w:iCs/>
          <w:lang w:val="en-US"/>
        </w:rPr>
        <w:t>Energy policy</w:t>
      </w:r>
      <w:r w:rsidRPr="00240C77">
        <w:rPr>
          <w:lang w:val="en-US"/>
        </w:rPr>
        <w:t xml:space="preserve">, </w:t>
      </w:r>
      <w:r w:rsidRPr="00240C77">
        <w:rPr>
          <w:iCs/>
          <w:lang w:val="en-US"/>
        </w:rPr>
        <w:t>38</w:t>
      </w:r>
      <w:r>
        <w:rPr>
          <w:lang w:val="en-US"/>
        </w:rPr>
        <w:t xml:space="preserve">, </w:t>
      </w:r>
      <w:r w:rsidRPr="00240C77">
        <w:rPr>
          <w:lang w:val="en-US"/>
        </w:rPr>
        <w:t>832-839.</w:t>
      </w:r>
    </w:p>
    <w:p w14:paraId="2E118CBC" w14:textId="5D464725" w:rsidR="00E672E8" w:rsidRDefault="00371D95" w:rsidP="00C66D95">
      <w:pPr>
        <w:pStyle w:val="EndNoteBibliography"/>
        <w:spacing w:after="0" w:line="276" w:lineRule="auto"/>
        <w:ind w:left="720" w:hanging="720"/>
      </w:pPr>
      <w:r>
        <w:t>Jenkins, K., McC</w:t>
      </w:r>
      <w:r w:rsidR="00E672E8" w:rsidRPr="004C1703">
        <w:t xml:space="preserve">auley, D., Heffron, R., Stephan, H. &amp; Rehner, R. 2016. Energy justice: A conceptual review. </w:t>
      </w:r>
      <w:r w:rsidR="00E672E8" w:rsidRPr="001976F9">
        <w:rPr>
          <w:i/>
        </w:rPr>
        <w:t>Energy Research &amp; Social Science</w:t>
      </w:r>
      <w:r w:rsidR="00E672E8" w:rsidRPr="004C1703">
        <w:t>, 11, 174-182.</w:t>
      </w:r>
    </w:p>
    <w:p w14:paraId="7250C91B" w14:textId="77777777" w:rsidR="00E672E8" w:rsidRPr="0016289E" w:rsidRDefault="00E672E8" w:rsidP="00C66D95">
      <w:pPr>
        <w:pStyle w:val="EndNoteBibliography"/>
        <w:spacing w:after="0" w:line="276" w:lineRule="auto"/>
        <w:ind w:left="720" w:hanging="720"/>
      </w:pPr>
      <w:r w:rsidRPr="0016289E">
        <w:t xml:space="preserve">Karpf, D. 2010. Online political mobilization from the advocacy group's perspective: Looking beyond clicktivism. </w:t>
      </w:r>
      <w:r w:rsidRPr="0016289E">
        <w:rPr>
          <w:i/>
        </w:rPr>
        <w:t>Policy &amp; Internet,</w:t>
      </w:r>
      <w:r w:rsidRPr="0016289E">
        <w:t xml:space="preserve"> 2</w:t>
      </w:r>
      <w:r w:rsidRPr="0016289E">
        <w:rPr>
          <w:b/>
        </w:rPr>
        <w:t>,</w:t>
      </w:r>
      <w:r w:rsidRPr="0016289E">
        <w:t xml:space="preserve"> 7-41.</w:t>
      </w:r>
    </w:p>
    <w:p w14:paraId="20401595" w14:textId="77777777" w:rsidR="00E672E8" w:rsidRDefault="00E672E8" w:rsidP="00C66D95">
      <w:pPr>
        <w:spacing w:after="0" w:line="276" w:lineRule="auto"/>
        <w:ind w:left="720" w:hanging="720"/>
      </w:pPr>
      <w:r>
        <w:t xml:space="preserve">Kompridis, N. 2007. Struggling over the Meaning of Recognition A Matter of Identity, Justice, or Freedom? </w:t>
      </w:r>
      <w:r>
        <w:rPr>
          <w:i/>
        </w:rPr>
        <w:t>European Journal of Political Theory,</w:t>
      </w:r>
      <w:r>
        <w:t xml:space="preserve"> 6</w:t>
      </w:r>
      <w:r>
        <w:rPr>
          <w:b/>
        </w:rPr>
        <w:t>,</w:t>
      </w:r>
      <w:r>
        <w:t xml:space="preserve"> 277-289.</w:t>
      </w:r>
    </w:p>
    <w:p w14:paraId="330DA994" w14:textId="256D1872" w:rsidR="004449A0" w:rsidRDefault="004449A0" w:rsidP="00C66D95">
      <w:pPr>
        <w:pStyle w:val="EndNoteBibliography"/>
        <w:spacing w:after="0" w:line="276" w:lineRule="auto"/>
        <w:ind w:left="720" w:hanging="720"/>
      </w:pPr>
      <w:r w:rsidRPr="004449A0">
        <w:t xml:space="preserve">Laxton, C. &amp; Parckar, G. 2009. Fuel poverty and disability. </w:t>
      </w:r>
      <w:r>
        <w:t xml:space="preserve">London: </w:t>
      </w:r>
      <w:r w:rsidRPr="004449A0">
        <w:rPr>
          <w:iCs/>
        </w:rPr>
        <w:t>Leonard Cheshire Disability</w:t>
      </w:r>
      <w:r>
        <w:rPr>
          <w:i/>
          <w:iCs/>
        </w:rPr>
        <w:t>.</w:t>
      </w:r>
    </w:p>
    <w:p w14:paraId="5770BA27" w14:textId="3CCE60E7" w:rsidR="00AE4C2F" w:rsidRDefault="00AE4C2F" w:rsidP="00C66D95">
      <w:pPr>
        <w:pStyle w:val="EndNoteBibliography"/>
        <w:spacing w:after="0" w:line="276" w:lineRule="auto"/>
        <w:ind w:left="720" w:hanging="720"/>
      </w:pPr>
      <w:r w:rsidRPr="00AE4C2F">
        <w:t xml:space="preserve">Levison, D. 2000. Children as economic agents. </w:t>
      </w:r>
      <w:r w:rsidRPr="00AE4C2F">
        <w:rPr>
          <w:i/>
          <w:iCs/>
        </w:rPr>
        <w:t>Feminist Economics,</w:t>
      </w:r>
      <w:r w:rsidRPr="00AE4C2F">
        <w:t xml:space="preserve"> 6</w:t>
      </w:r>
      <w:r w:rsidRPr="00AE4C2F">
        <w:rPr>
          <w:b/>
          <w:bCs/>
        </w:rPr>
        <w:t>,</w:t>
      </w:r>
      <w:r w:rsidRPr="00AE4C2F">
        <w:t xml:space="preserve"> 125-134.</w:t>
      </w:r>
    </w:p>
    <w:p w14:paraId="3D338ECF" w14:textId="63990AB3" w:rsidR="00233F87" w:rsidRDefault="00233F87" w:rsidP="00C66D95">
      <w:pPr>
        <w:pStyle w:val="EndNoteBibliography"/>
        <w:spacing w:after="0" w:line="276" w:lineRule="auto"/>
        <w:ind w:left="720" w:hanging="720"/>
      </w:pPr>
      <w:r w:rsidRPr="00233F87">
        <w:t xml:space="preserve">Levitas, R. 2005. </w:t>
      </w:r>
      <w:r w:rsidRPr="00233F87">
        <w:rPr>
          <w:i/>
          <w:iCs/>
        </w:rPr>
        <w:t>The inclusive society?: social exclusion and New Labour</w:t>
      </w:r>
      <w:r w:rsidRPr="00233F87">
        <w:t>, Springer.</w:t>
      </w:r>
    </w:p>
    <w:p w14:paraId="399C413E" w14:textId="5C2CE61C" w:rsidR="004449A0" w:rsidRPr="004449A0" w:rsidRDefault="004449A0" w:rsidP="00C66D95">
      <w:pPr>
        <w:pStyle w:val="EndNoteBibliography"/>
        <w:spacing w:after="0" w:line="276" w:lineRule="auto"/>
        <w:ind w:left="720" w:hanging="720"/>
        <w:rPr>
          <w:b/>
          <w:bCs/>
        </w:rPr>
      </w:pPr>
      <w:r>
        <w:t xml:space="preserve">Liddell, C. 2008. </w:t>
      </w:r>
      <w:r w:rsidRPr="004449A0">
        <w:rPr>
          <w:bCs/>
        </w:rPr>
        <w:t>The impact of fuel poverty on children</w:t>
      </w:r>
      <w:r>
        <w:rPr>
          <w:bCs/>
        </w:rPr>
        <w:t xml:space="preserve">. Save the Children. Available: </w:t>
      </w:r>
      <w:hyperlink r:id="rId26" w:history="1">
        <w:r w:rsidRPr="00F4279F">
          <w:rPr>
            <w:rStyle w:val="Hyperlink"/>
            <w:bCs/>
          </w:rPr>
          <w:t>http://www.savethechildren.org.uk/resources/online-library/the-impact-of-fuel-poverty-on-children</w:t>
        </w:r>
      </w:hyperlink>
      <w:r>
        <w:rPr>
          <w:bCs/>
        </w:rPr>
        <w:t xml:space="preserve"> </w:t>
      </w:r>
    </w:p>
    <w:p w14:paraId="73EF775D" w14:textId="77777777" w:rsidR="006973FC" w:rsidRPr="001A7B36" w:rsidRDefault="006973FC" w:rsidP="00C66D95">
      <w:pPr>
        <w:pStyle w:val="EndNoteBibliography"/>
        <w:spacing w:after="0" w:line="276" w:lineRule="auto"/>
        <w:ind w:left="720" w:hanging="720"/>
      </w:pPr>
      <w:r w:rsidRPr="001A7B36">
        <w:lastRenderedPageBreak/>
        <w:t xml:space="preserve">Liddell, C. &amp; Morris, C. 2010. Fuel poverty and human health: a review of recent evidence. </w:t>
      </w:r>
      <w:r w:rsidRPr="001A7B36">
        <w:rPr>
          <w:i/>
        </w:rPr>
        <w:t>Energy policy,</w:t>
      </w:r>
      <w:r w:rsidRPr="001A7B36">
        <w:t xml:space="preserve"> 38</w:t>
      </w:r>
      <w:r w:rsidRPr="001A7B36">
        <w:rPr>
          <w:b/>
        </w:rPr>
        <w:t>,</w:t>
      </w:r>
      <w:r w:rsidRPr="001A7B36">
        <w:t xml:space="preserve"> 2987-2997.</w:t>
      </w:r>
    </w:p>
    <w:p w14:paraId="44C31E8D" w14:textId="77777777" w:rsidR="006973FC" w:rsidRPr="001A7B36" w:rsidRDefault="006973FC" w:rsidP="00C66D95">
      <w:pPr>
        <w:pStyle w:val="EndNoteBibliography"/>
        <w:spacing w:after="0" w:line="276" w:lineRule="auto"/>
        <w:ind w:left="720" w:hanging="720"/>
      </w:pPr>
      <w:r w:rsidRPr="001A7B36">
        <w:t xml:space="preserve">Liddell, C., Morris, C., Mckenzie, S. &amp; Rae, G. 2012. Measuring and monitoring fuel poverty in the UK: National and regional perspectives. </w:t>
      </w:r>
      <w:r w:rsidRPr="001A7B36">
        <w:rPr>
          <w:i/>
        </w:rPr>
        <w:t>Energy Policy,</w:t>
      </w:r>
      <w:r w:rsidRPr="001A7B36">
        <w:t xml:space="preserve"> 49</w:t>
      </w:r>
      <w:r w:rsidRPr="001A7B36">
        <w:rPr>
          <w:b/>
        </w:rPr>
        <w:t>,</w:t>
      </w:r>
      <w:r w:rsidRPr="001A7B36">
        <w:t xml:space="preserve"> 27-32.</w:t>
      </w:r>
    </w:p>
    <w:p w14:paraId="5588C9DF" w14:textId="77777777" w:rsidR="00E672E8" w:rsidRDefault="00E672E8" w:rsidP="00C66D95">
      <w:pPr>
        <w:spacing w:after="0" w:line="276" w:lineRule="auto"/>
        <w:ind w:left="720" w:hanging="720"/>
      </w:pPr>
      <w:r>
        <w:t xml:space="preserve">Lister, R. 1998. From equality to social inclusion: New Labour and the welfare state. </w:t>
      </w:r>
      <w:r>
        <w:rPr>
          <w:i/>
        </w:rPr>
        <w:t>Critical social policy,</w:t>
      </w:r>
      <w:r>
        <w:t xml:space="preserve"> 18</w:t>
      </w:r>
      <w:r>
        <w:rPr>
          <w:b/>
        </w:rPr>
        <w:t>,</w:t>
      </w:r>
      <w:r>
        <w:t xml:space="preserve"> 215-225.</w:t>
      </w:r>
    </w:p>
    <w:p w14:paraId="7BB55A8E" w14:textId="77777777" w:rsidR="00E672E8" w:rsidRDefault="00E672E8" w:rsidP="00C66D95">
      <w:pPr>
        <w:spacing w:after="0" w:line="276" w:lineRule="auto"/>
        <w:ind w:left="720" w:hanging="720"/>
      </w:pPr>
      <w:r>
        <w:t xml:space="preserve">Lister, R. 2004. A politics of recognition and respect: involving people with experience of poverty in decision-making that affects their lives. </w:t>
      </w:r>
      <w:r>
        <w:rPr>
          <w:i/>
        </w:rPr>
        <w:t>The politics of inclusion and empowerment.</w:t>
      </w:r>
      <w:r>
        <w:t xml:space="preserve"> Springer.</w:t>
      </w:r>
    </w:p>
    <w:p w14:paraId="6BEB4C89" w14:textId="77777777" w:rsidR="006973FC" w:rsidRPr="001A7B36" w:rsidRDefault="006973FC" w:rsidP="00C66D95">
      <w:pPr>
        <w:pStyle w:val="EndNoteBibliography"/>
        <w:spacing w:after="0" w:line="276" w:lineRule="auto"/>
        <w:ind w:left="720" w:hanging="720"/>
      </w:pPr>
      <w:r w:rsidRPr="001A7B36">
        <w:t xml:space="preserve">Mallaburn, P. S. &amp; Eyre, N. 2014. Lessons from energy efficiency policy and programmesin the UK from 1973 to 2013. </w:t>
      </w:r>
      <w:r w:rsidRPr="001A7B36">
        <w:rPr>
          <w:i/>
        </w:rPr>
        <w:t>Energy Efficiency,</w:t>
      </w:r>
      <w:r w:rsidRPr="001A7B36">
        <w:t xml:space="preserve"> 7</w:t>
      </w:r>
      <w:r w:rsidRPr="001A7B36">
        <w:rPr>
          <w:b/>
        </w:rPr>
        <w:t>,</w:t>
      </w:r>
      <w:r w:rsidRPr="001A7B36">
        <w:t xml:space="preserve"> 23-41.</w:t>
      </w:r>
    </w:p>
    <w:p w14:paraId="514D278C" w14:textId="22C618EF" w:rsidR="00C7647D" w:rsidRDefault="00C7647D" w:rsidP="00C66D95">
      <w:pPr>
        <w:spacing w:after="0" w:line="276" w:lineRule="auto"/>
        <w:ind w:left="720" w:hanging="720"/>
      </w:pPr>
      <w:r>
        <w:t xml:space="preserve">Marmot Review Team 2011. The Health Impacts of Cold Homes and Fuel Poverty. Marmot Review Team and Friends of the Earth. Available: </w:t>
      </w:r>
      <w:hyperlink r:id="rId27" w:history="1">
        <w:r w:rsidRPr="00F4279F">
          <w:rPr>
            <w:rStyle w:val="Hyperlink"/>
          </w:rPr>
          <w:t>https://www.foe.co.uk/sites/default/files/downloads/cold_homes_health.pdf</w:t>
        </w:r>
      </w:hyperlink>
      <w:r>
        <w:t xml:space="preserve"> </w:t>
      </w:r>
    </w:p>
    <w:p w14:paraId="18055288" w14:textId="0020E61F" w:rsidR="00C91E74" w:rsidRDefault="00C91E74" w:rsidP="00C66D95">
      <w:pPr>
        <w:spacing w:after="0" w:line="276" w:lineRule="auto"/>
        <w:ind w:left="720" w:hanging="720"/>
        <w:rPr>
          <w:lang w:val="en-US"/>
        </w:rPr>
      </w:pPr>
      <w:r w:rsidRPr="00C91E74">
        <w:t>Marsh, D</w:t>
      </w:r>
      <w:r>
        <w:t>., O ́Toole, T. &amp; Jones, S. 2007</w:t>
      </w:r>
      <w:r w:rsidRPr="00C91E74">
        <w:t xml:space="preserve">. </w:t>
      </w:r>
      <w:r w:rsidRPr="00C91E74">
        <w:rPr>
          <w:i/>
          <w:iCs/>
        </w:rPr>
        <w:t>Young people and politics in the UK: Apathy or alienation?</w:t>
      </w:r>
      <w:r w:rsidRPr="00C91E74">
        <w:t xml:space="preserve"> </w:t>
      </w:r>
      <w:r>
        <w:t>New York: Palgrave Macmillan</w:t>
      </w:r>
      <w:r w:rsidRPr="00C91E74">
        <w:t>.</w:t>
      </w:r>
    </w:p>
    <w:p w14:paraId="44386E10" w14:textId="7B2B5440" w:rsidR="00FE22F3" w:rsidRDefault="00FE22F3" w:rsidP="00C66D95">
      <w:pPr>
        <w:spacing w:after="0" w:line="276" w:lineRule="auto"/>
        <w:ind w:left="720" w:hanging="720"/>
      </w:pPr>
      <w:r w:rsidRPr="00FE22F3">
        <w:rPr>
          <w:lang w:val="en-US"/>
        </w:rPr>
        <w:t>M</w:t>
      </w:r>
      <w:r>
        <w:rPr>
          <w:lang w:val="en-US"/>
        </w:rPr>
        <w:t>iddlemiss, L. and Parrish, B.D.</w:t>
      </w:r>
      <w:r w:rsidRPr="00FE22F3">
        <w:rPr>
          <w:lang w:val="en-US"/>
        </w:rPr>
        <w:t xml:space="preserve"> 2010. Building capacity for low-carbon communities: The role of grassroots initiatives. </w:t>
      </w:r>
      <w:r w:rsidRPr="00FE22F3">
        <w:rPr>
          <w:i/>
          <w:iCs/>
          <w:lang w:val="en-US"/>
        </w:rPr>
        <w:t>Energy Policy</w:t>
      </w:r>
      <w:r w:rsidRPr="00FE22F3">
        <w:rPr>
          <w:lang w:val="en-US"/>
        </w:rPr>
        <w:t xml:space="preserve">, </w:t>
      </w:r>
      <w:r w:rsidRPr="00FE22F3">
        <w:rPr>
          <w:iCs/>
          <w:lang w:val="en-US"/>
        </w:rPr>
        <w:t>38</w:t>
      </w:r>
      <w:r>
        <w:rPr>
          <w:lang w:val="en-US"/>
        </w:rPr>
        <w:t xml:space="preserve">, </w:t>
      </w:r>
      <w:r w:rsidRPr="00FE22F3">
        <w:rPr>
          <w:lang w:val="en-US"/>
        </w:rPr>
        <w:t>7559-7566.</w:t>
      </w:r>
    </w:p>
    <w:p w14:paraId="77600506" w14:textId="77777777" w:rsidR="00E672E8" w:rsidRDefault="00E672E8" w:rsidP="00C66D95">
      <w:pPr>
        <w:spacing w:after="0" w:line="276" w:lineRule="auto"/>
        <w:ind w:left="720" w:hanging="720"/>
      </w:pPr>
      <w:r>
        <w:t xml:space="preserve">Middlemiss, L. &amp; Gillard, R. 2015. Fuel poverty from the bottom-up: Characterising household energy vulnerability through the lived experience of the fuel poor. </w:t>
      </w:r>
      <w:r>
        <w:rPr>
          <w:i/>
        </w:rPr>
        <w:t>Energy Research &amp; Social Science,</w:t>
      </w:r>
      <w:r>
        <w:t xml:space="preserve"> 6</w:t>
      </w:r>
      <w:r>
        <w:rPr>
          <w:b/>
        </w:rPr>
        <w:t>,</w:t>
      </w:r>
      <w:r>
        <w:t xml:space="preserve"> 146-154.</w:t>
      </w:r>
    </w:p>
    <w:p w14:paraId="39ADB8BB" w14:textId="77777777" w:rsidR="00E672E8" w:rsidRDefault="00E672E8" w:rsidP="00C66D95">
      <w:pPr>
        <w:spacing w:after="0" w:line="276" w:lineRule="auto"/>
        <w:ind w:left="720" w:hanging="720"/>
      </w:pPr>
      <w:r w:rsidRPr="005B2546">
        <w:t>Middlemiss, L. 2016. A critical analysis of the new politics of fuel poverty in England. Critical Social Policy, 0261018316674851.</w:t>
      </w:r>
    </w:p>
    <w:p w14:paraId="5AF8A28B" w14:textId="385887FA" w:rsidR="00FE22F3" w:rsidRPr="00FE22F3" w:rsidRDefault="00FE22F3" w:rsidP="00C66D95">
      <w:pPr>
        <w:pStyle w:val="EndNoteBibliography"/>
        <w:spacing w:after="0" w:line="276" w:lineRule="auto"/>
        <w:ind w:left="720" w:hanging="720"/>
      </w:pPr>
      <w:r>
        <w:t xml:space="preserve">McMichael, M. &amp; Shipworth, D. 2013. The value of social networks in the diffusion of energy-efficiency innovations in UK households. </w:t>
      </w:r>
      <w:r>
        <w:rPr>
          <w:i/>
        </w:rPr>
        <w:t xml:space="preserve">Energy Policy, </w:t>
      </w:r>
      <w:r>
        <w:t>53, 159-168.</w:t>
      </w:r>
    </w:p>
    <w:p w14:paraId="1716DB47" w14:textId="77777777" w:rsidR="006973FC" w:rsidRPr="001A7B36" w:rsidRDefault="006973FC" w:rsidP="00C66D95">
      <w:pPr>
        <w:pStyle w:val="EndNoteBibliography"/>
        <w:spacing w:after="0" w:line="276" w:lineRule="auto"/>
        <w:ind w:left="720" w:hanging="720"/>
      </w:pPr>
      <w:r w:rsidRPr="001A7B36">
        <w:t xml:space="preserve">Moore, R. 2012. Definitions of fuel poverty: Implications for policy. </w:t>
      </w:r>
      <w:r w:rsidRPr="001A7B36">
        <w:rPr>
          <w:i/>
        </w:rPr>
        <w:t>Energy Policy,</w:t>
      </w:r>
      <w:r w:rsidRPr="001A7B36">
        <w:t xml:space="preserve"> 49</w:t>
      </w:r>
      <w:r w:rsidRPr="001A7B36">
        <w:rPr>
          <w:b/>
        </w:rPr>
        <w:t>,</w:t>
      </w:r>
      <w:r w:rsidRPr="001A7B36">
        <w:t xml:space="preserve"> 19-26.</w:t>
      </w:r>
    </w:p>
    <w:p w14:paraId="1FF366E0" w14:textId="7DE96EA1" w:rsidR="007251B5" w:rsidRDefault="007251B5" w:rsidP="00C66D95">
      <w:pPr>
        <w:spacing w:after="0" w:line="276" w:lineRule="auto"/>
        <w:ind w:left="720" w:hanging="720"/>
      </w:pPr>
      <w:r w:rsidRPr="007251B5">
        <w:t xml:space="preserve">Mulugetta, Y., Jackson, T. &amp; Van Der Horst, D. 2010. Carbon reduction at community scale. </w:t>
      </w:r>
      <w:r w:rsidRPr="007251B5">
        <w:rPr>
          <w:i/>
          <w:iCs/>
        </w:rPr>
        <w:t>Energy Policy,</w:t>
      </w:r>
      <w:r w:rsidRPr="007251B5">
        <w:t xml:space="preserve"> 38</w:t>
      </w:r>
      <w:r w:rsidRPr="007251B5">
        <w:rPr>
          <w:b/>
          <w:bCs/>
        </w:rPr>
        <w:t>,</w:t>
      </w:r>
      <w:r w:rsidRPr="007251B5">
        <w:t xml:space="preserve"> 7541-7545.</w:t>
      </w:r>
    </w:p>
    <w:p w14:paraId="4EE17821" w14:textId="4B1A6C51" w:rsidR="006973FC" w:rsidRDefault="006973FC" w:rsidP="00C66D95">
      <w:pPr>
        <w:spacing w:after="0" w:line="276" w:lineRule="auto"/>
        <w:ind w:left="720" w:hanging="720"/>
      </w:pPr>
      <w:r w:rsidRPr="006973FC">
        <w:t>National Energy Action &amp; Energy Action Scotland 2016. UK Fuel Poverty Monitor 2015-2016: a review of progress across the nations. National Energy Action.</w:t>
      </w:r>
      <w:r>
        <w:t xml:space="preserve"> Available: </w:t>
      </w:r>
      <w:hyperlink r:id="rId28" w:history="1">
        <w:r>
          <w:rPr>
            <w:rStyle w:val="Hyperlink"/>
          </w:rPr>
          <w:t>http://www.nea.org.uk/wp-content/uploads/2016/05/FPM_2016_low_res.pdf</w:t>
        </w:r>
      </w:hyperlink>
      <w:r>
        <w:t>.</w:t>
      </w:r>
    </w:p>
    <w:p w14:paraId="6EDE1890" w14:textId="2518E388" w:rsidR="00983A61" w:rsidRDefault="00983A61" w:rsidP="00C66D95">
      <w:pPr>
        <w:spacing w:after="0" w:line="276" w:lineRule="auto"/>
        <w:ind w:left="720" w:hanging="720"/>
      </w:pPr>
      <w:r w:rsidRPr="00983A61">
        <w:t xml:space="preserve">Newman, I. 2011. Work as a route out of poverty: a critical evaluation of the UK welfare to work policy. </w:t>
      </w:r>
      <w:r w:rsidRPr="00983A61">
        <w:rPr>
          <w:i/>
          <w:iCs/>
        </w:rPr>
        <w:t>Policy Studies,</w:t>
      </w:r>
      <w:r w:rsidRPr="00983A61">
        <w:t xml:space="preserve"> 32</w:t>
      </w:r>
      <w:r w:rsidRPr="00983A61">
        <w:rPr>
          <w:b/>
          <w:bCs/>
        </w:rPr>
        <w:t>,</w:t>
      </w:r>
      <w:r w:rsidRPr="00983A61">
        <w:t xml:space="preserve"> 91-108.</w:t>
      </w:r>
    </w:p>
    <w:p w14:paraId="5894BA05" w14:textId="5B847040" w:rsidR="00E672E8" w:rsidRDefault="00E672E8" w:rsidP="00C66D95">
      <w:pPr>
        <w:spacing w:after="0" w:line="276" w:lineRule="auto"/>
        <w:ind w:left="720" w:hanging="720"/>
      </w:pPr>
      <w:r>
        <w:t xml:space="preserve">Nussbaum, M. C. 2011. </w:t>
      </w:r>
      <w:r>
        <w:rPr>
          <w:i/>
        </w:rPr>
        <w:t>Creating capabilities</w:t>
      </w:r>
      <w:r w:rsidR="001976F9">
        <w:t>,</w:t>
      </w:r>
      <w:r>
        <w:t xml:space="preserve"> Harvard University Press.</w:t>
      </w:r>
    </w:p>
    <w:p w14:paraId="4844991A" w14:textId="0514B347" w:rsidR="00130C0E" w:rsidRDefault="00130C0E" w:rsidP="00C66D95">
      <w:pPr>
        <w:spacing w:after="0" w:line="276" w:lineRule="auto"/>
        <w:ind w:left="720" w:hanging="720"/>
      </w:pPr>
      <w:r w:rsidRPr="00130C0E">
        <w:t xml:space="preserve">Nussbaum Martha, C. 2006. </w:t>
      </w:r>
      <w:r w:rsidRPr="00130C0E">
        <w:rPr>
          <w:i/>
          <w:iCs/>
        </w:rPr>
        <w:t>Frontiers of justice: disability, nationality, species membership</w:t>
      </w:r>
      <w:r>
        <w:t>, Cambridge, MA</w:t>
      </w:r>
      <w:r w:rsidRPr="00130C0E">
        <w:t>: Belknap Press of Harvard University Press.</w:t>
      </w:r>
    </w:p>
    <w:p w14:paraId="043A1B3C" w14:textId="0FFF8784" w:rsidR="006A63A1" w:rsidRDefault="006A63A1" w:rsidP="00C66D95">
      <w:pPr>
        <w:spacing w:after="0" w:line="276" w:lineRule="auto"/>
        <w:ind w:left="720" w:hanging="720"/>
      </w:pPr>
      <w:r>
        <w:t xml:space="preserve">Ofgem 2013. Consumer Vulnerability Strategy. London: Ofgem. Available: </w:t>
      </w:r>
      <w:hyperlink r:id="rId29" w:history="1">
        <w:r w:rsidRPr="006C5693">
          <w:rPr>
            <w:rStyle w:val="Hyperlink"/>
          </w:rPr>
          <w:t>https://www.ofgem.gov.uk/publications-and-updates/consumer-vulnerability-strategy</w:t>
        </w:r>
      </w:hyperlink>
      <w:r>
        <w:t xml:space="preserve"> </w:t>
      </w:r>
    </w:p>
    <w:p w14:paraId="5CB134B8" w14:textId="58A8E126" w:rsidR="00E672E8" w:rsidRDefault="00E672E8" w:rsidP="00C66D95">
      <w:pPr>
        <w:spacing w:after="0" w:line="276" w:lineRule="auto"/>
        <w:ind w:left="720" w:hanging="720"/>
      </w:pPr>
      <w:r>
        <w:t xml:space="preserve">Oliver, M. &amp; Barnes, C. 2012. </w:t>
      </w:r>
      <w:r>
        <w:rPr>
          <w:i/>
        </w:rPr>
        <w:t>The new politics of disablement</w:t>
      </w:r>
      <w:r w:rsidR="001976F9">
        <w:t>,</w:t>
      </w:r>
      <w:r>
        <w:t xml:space="preserve"> Palgrave Macmillan.</w:t>
      </w:r>
    </w:p>
    <w:p w14:paraId="0C960BD5" w14:textId="74E4A1D3" w:rsidR="00A43317" w:rsidRDefault="00A43317" w:rsidP="00C66D95">
      <w:pPr>
        <w:spacing w:after="0" w:line="276" w:lineRule="auto"/>
        <w:ind w:left="720" w:hanging="720"/>
      </w:pPr>
      <w:r w:rsidRPr="00925BB2">
        <w:t xml:space="preserve">Olsen, K. 2015. Distributive justice and the politics of difference. </w:t>
      </w:r>
      <w:r w:rsidRPr="00925BB2">
        <w:rPr>
          <w:i/>
          <w:iCs/>
        </w:rPr>
        <w:t>Critical Horizons</w:t>
      </w:r>
      <w:r>
        <w:t>, 5-32</w:t>
      </w:r>
    </w:p>
    <w:p w14:paraId="51135B56" w14:textId="1676609E" w:rsidR="00E06B24" w:rsidRPr="004429FD" w:rsidRDefault="00E06B24" w:rsidP="00C66D95">
      <w:pPr>
        <w:spacing w:after="0" w:line="276" w:lineRule="auto"/>
        <w:ind w:left="720" w:hanging="720"/>
      </w:pPr>
      <w:r>
        <w:t xml:space="preserve">Ornetzeder, M. &amp; Rohracher, H. </w:t>
      </w:r>
      <w:r w:rsidR="004429FD">
        <w:t xml:space="preserve">2006. User-led innovations and participation processes: lessons from sustainable energy technologies. </w:t>
      </w:r>
      <w:r w:rsidR="004429FD">
        <w:rPr>
          <w:i/>
        </w:rPr>
        <w:t xml:space="preserve">Energy Policy, </w:t>
      </w:r>
      <w:r w:rsidR="004429FD">
        <w:t>34, 138-150.</w:t>
      </w:r>
    </w:p>
    <w:p w14:paraId="15406E0F" w14:textId="77777777" w:rsidR="00E672E8" w:rsidRDefault="00E672E8" w:rsidP="00C66D95">
      <w:pPr>
        <w:spacing w:after="0" w:line="276" w:lineRule="auto"/>
        <w:ind w:left="720" w:hanging="720"/>
      </w:pPr>
      <w:r>
        <w:t xml:space="preserve">Palmer, M. 2011. Disability and poverty: A conceptual review. </w:t>
      </w:r>
      <w:r>
        <w:rPr>
          <w:i/>
        </w:rPr>
        <w:t>Journal of Disability Policy Studies,</w:t>
      </w:r>
      <w:r>
        <w:t xml:space="preserve"> 21</w:t>
      </w:r>
      <w:r>
        <w:rPr>
          <w:b/>
        </w:rPr>
        <w:t>,</w:t>
      </w:r>
      <w:r>
        <w:t xml:space="preserve"> 210-218.</w:t>
      </w:r>
    </w:p>
    <w:p w14:paraId="7F75E237" w14:textId="74A72AE6" w:rsidR="00A2587F" w:rsidRDefault="00A2587F" w:rsidP="00C66D95">
      <w:pPr>
        <w:spacing w:after="0" w:line="276" w:lineRule="auto"/>
        <w:ind w:left="720" w:hanging="720"/>
      </w:pPr>
      <w:r w:rsidRPr="00A2587F">
        <w:t xml:space="preserve">Prout, A. 2000. Children's participation: control and self‐realisation in British late modernity. </w:t>
      </w:r>
      <w:r w:rsidRPr="00A2587F">
        <w:rPr>
          <w:i/>
          <w:iCs/>
        </w:rPr>
        <w:t>Children &amp; Society,</w:t>
      </w:r>
      <w:r w:rsidRPr="00A2587F">
        <w:t xml:space="preserve"> 14</w:t>
      </w:r>
      <w:r w:rsidRPr="00A2587F">
        <w:rPr>
          <w:b/>
          <w:bCs/>
        </w:rPr>
        <w:t>,</w:t>
      </w:r>
      <w:r w:rsidRPr="00A2587F">
        <w:t xml:space="preserve"> 304-315.</w:t>
      </w:r>
    </w:p>
    <w:p w14:paraId="63CAE88C" w14:textId="77777777" w:rsidR="00E672E8" w:rsidRDefault="00E672E8" w:rsidP="00C66D95">
      <w:pPr>
        <w:spacing w:after="0" w:line="276" w:lineRule="auto"/>
        <w:ind w:left="720" w:hanging="720"/>
      </w:pPr>
      <w:r>
        <w:lastRenderedPageBreak/>
        <w:t xml:space="preserve">Rawls, J. 2009. </w:t>
      </w:r>
      <w:r>
        <w:rPr>
          <w:i/>
        </w:rPr>
        <w:t>A theory of justice</w:t>
      </w:r>
      <w:r>
        <w:t>, Harvard University press.</w:t>
      </w:r>
    </w:p>
    <w:p w14:paraId="408F5681" w14:textId="77777777" w:rsidR="00E672E8" w:rsidRPr="0016289E" w:rsidRDefault="00E672E8" w:rsidP="00C66D95">
      <w:pPr>
        <w:pStyle w:val="EndNoteBibliography"/>
        <w:spacing w:after="0" w:line="276" w:lineRule="auto"/>
        <w:ind w:left="720" w:hanging="720"/>
      </w:pPr>
      <w:r w:rsidRPr="005B2546">
        <w:t xml:space="preserve">Rosenow, J., Platt, R. &amp; Flanagan, B. 2013. Fuel poverty and energy efficiency obligations–A critical assessment of the supplier obligation in the UK. </w:t>
      </w:r>
      <w:r w:rsidRPr="001976F9">
        <w:rPr>
          <w:i/>
        </w:rPr>
        <w:t>Energy Policy</w:t>
      </w:r>
      <w:r w:rsidRPr="005B2546">
        <w:t>, 62, 1194-1203.</w:t>
      </w:r>
    </w:p>
    <w:p w14:paraId="55F65F37" w14:textId="77777777" w:rsidR="00E672E8" w:rsidRPr="0016289E" w:rsidRDefault="00E672E8" w:rsidP="00C66D95">
      <w:pPr>
        <w:pStyle w:val="EndNoteBibliography"/>
        <w:spacing w:after="0" w:line="276" w:lineRule="auto"/>
        <w:ind w:left="720" w:hanging="720"/>
      </w:pPr>
      <w:r w:rsidRPr="0016289E">
        <w:t xml:space="preserve">Selwyn, N. 2002. ‘E-stablishing’an inclusive society? Technology, social exclusion and UK government policy making. </w:t>
      </w:r>
      <w:r w:rsidRPr="0016289E">
        <w:rPr>
          <w:i/>
        </w:rPr>
        <w:t>Journal of social Policy,</w:t>
      </w:r>
      <w:r w:rsidRPr="0016289E">
        <w:t xml:space="preserve"> 31</w:t>
      </w:r>
      <w:r w:rsidRPr="0016289E">
        <w:rPr>
          <w:b/>
        </w:rPr>
        <w:t>,</w:t>
      </w:r>
      <w:r w:rsidRPr="0016289E">
        <w:t xml:space="preserve"> 1-20.</w:t>
      </w:r>
    </w:p>
    <w:p w14:paraId="67AF9E57" w14:textId="77777777" w:rsidR="00E672E8" w:rsidRDefault="00E672E8" w:rsidP="00C66D95">
      <w:pPr>
        <w:spacing w:after="0" w:line="276" w:lineRule="auto"/>
        <w:ind w:left="720" w:hanging="720"/>
      </w:pPr>
      <w:r>
        <w:t xml:space="preserve">Sen, A. 2001. </w:t>
      </w:r>
      <w:r>
        <w:rPr>
          <w:i/>
        </w:rPr>
        <w:t>Development as freedom</w:t>
      </w:r>
      <w:r>
        <w:t>, Oxford Paperbacks.</w:t>
      </w:r>
    </w:p>
    <w:p w14:paraId="40D1A306" w14:textId="612D4077" w:rsidR="004228C1" w:rsidRDefault="004228C1" w:rsidP="00C66D95">
      <w:pPr>
        <w:spacing w:after="0" w:line="276" w:lineRule="auto"/>
        <w:ind w:left="720" w:hanging="720"/>
      </w:pPr>
      <w:r w:rsidRPr="004228C1">
        <w:rPr>
          <w:lang w:val="en-US"/>
        </w:rPr>
        <w:t xml:space="preserve">Schlosberg, D., 2004. Reconceiving environmental justice: global movements and political theories. </w:t>
      </w:r>
      <w:r w:rsidRPr="004228C1">
        <w:rPr>
          <w:i/>
          <w:iCs/>
          <w:lang w:val="en-US"/>
        </w:rPr>
        <w:t>Environmental politics</w:t>
      </w:r>
      <w:r w:rsidRPr="004228C1">
        <w:rPr>
          <w:lang w:val="en-US"/>
        </w:rPr>
        <w:t xml:space="preserve">, </w:t>
      </w:r>
      <w:r w:rsidRPr="004228C1">
        <w:rPr>
          <w:iCs/>
          <w:lang w:val="en-US"/>
        </w:rPr>
        <w:t>13</w:t>
      </w:r>
      <w:r>
        <w:rPr>
          <w:lang w:val="en-US"/>
        </w:rPr>
        <w:t xml:space="preserve">, </w:t>
      </w:r>
      <w:r w:rsidRPr="004228C1">
        <w:rPr>
          <w:lang w:val="en-US"/>
        </w:rPr>
        <w:t>517-540.</w:t>
      </w:r>
    </w:p>
    <w:p w14:paraId="3F9D969E" w14:textId="77777777" w:rsidR="00E672E8" w:rsidRDefault="00E672E8" w:rsidP="00C66D95">
      <w:pPr>
        <w:spacing w:after="0" w:line="276" w:lineRule="auto"/>
        <w:ind w:left="720" w:hanging="720"/>
      </w:pPr>
      <w:r>
        <w:t xml:space="preserve">Silvers, A. 1998. Formal justice. </w:t>
      </w:r>
      <w:r>
        <w:rPr>
          <w:i/>
        </w:rPr>
        <w:t>In:</w:t>
      </w:r>
      <w:r>
        <w:t xml:space="preserve"> Silvers, A., Wassermann, D. T. &amp; Mahowald, M. B. (eds.) </w:t>
      </w:r>
      <w:r>
        <w:rPr>
          <w:i/>
        </w:rPr>
        <w:t>Disability, difference, discrimination: Perspectives on justice in bioethics and public policy.</w:t>
      </w:r>
      <w:r>
        <w:t xml:space="preserve"> New York: Rowman &amp; Littlefield.</w:t>
      </w:r>
    </w:p>
    <w:p w14:paraId="0EFB4539" w14:textId="1E5D2F62" w:rsidR="00C91E74" w:rsidRDefault="00C91E74" w:rsidP="00C66D95">
      <w:pPr>
        <w:spacing w:after="0" w:line="276" w:lineRule="auto"/>
        <w:ind w:left="720" w:hanging="720"/>
      </w:pPr>
      <w:r w:rsidRPr="00C91E74">
        <w:t xml:space="preserve">Sloam, J. 2007. Rebooting democracy: Youth participation in politics in the UK. </w:t>
      </w:r>
      <w:r w:rsidRPr="00C91E74">
        <w:rPr>
          <w:i/>
          <w:iCs/>
        </w:rPr>
        <w:t>Parliamentary affairs,</w:t>
      </w:r>
      <w:r w:rsidRPr="00C91E74">
        <w:t xml:space="preserve"> 60</w:t>
      </w:r>
      <w:r w:rsidRPr="00C91E74">
        <w:rPr>
          <w:b/>
          <w:bCs/>
        </w:rPr>
        <w:t>,</w:t>
      </w:r>
      <w:r w:rsidRPr="00C91E74">
        <w:t xml:space="preserve"> 548-567.</w:t>
      </w:r>
    </w:p>
    <w:p w14:paraId="7F98B63D" w14:textId="35D908A0" w:rsidR="001B165C" w:rsidRDefault="001B165C" w:rsidP="00C66D95">
      <w:pPr>
        <w:spacing w:after="0" w:line="276" w:lineRule="auto"/>
        <w:ind w:left="720" w:hanging="720"/>
      </w:pPr>
      <w:r>
        <w:t xml:space="preserve">Snell, C., Bevan, M., &amp; Thomson, H. 2014. Fuel Poverty and Disabled People: Research Summary, eaga Charitable Trust </w:t>
      </w:r>
    </w:p>
    <w:p w14:paraId="1BA80B3C" w14:textId="77777777" w:rsidR="00E672E8" w:rsidRDefault="00E672E8" w:rsidP="00C66D95">
      <w:pPr>
        <w:spacing w:after="0" w:line="276" w:lineRule="auto"/>
        <w:ind w:left="720" w:hanging="720"/>
      </w:pPr>
      <w:r>
        <w:t xml:space="preserve">Snell, C., Bevan, M. &amp; Thomson, H. 2015. Justice, fuel poverty and disabled people in England. </w:t>
      </w:r>
      <w:r>
        <w:rPr>
          <w:i/>
        </w:rPr>
        <w:t>Energy Research &amp; Social Science,</w:t>
      </w:r>
      <w:r>
        <w:t xml:space="preserve"> 10</w:t>
      </w:r>
      <w:r>
        <w:rPr>
          <w:b/>
        </w:rPr>
        <w:t>,</w:t>
      </w:r>
      <w:r>
        <w:t xml:space="preserve"> 123-132.</w:t>
      </w:r>
    </w:p>
    <w:p w14:paraId="5405C581" w14:textId="0B607BEE" w:rsidR="001B1289" w:rsidRDefault="001B1289" w:rsidP="00C66D95">
      <w:pPr>
        <w:spacing w:after="0" w:line="276" w:lineRule="auto"/>
        <w:ind w:left="720" w:hanging="720"/>
      </w:pPr>
      <w:r w:rsidRPr="001B1289">
        <w:rPr>
          <w:color w:val="auto"/>
        </w:rPr>
        <w:t>Social Mobili</w:t>
      </w:r>
      <w:r>
        <w:rPr>
          <w:color w:val="auto"/>
        </w:rPr>
        <w:t>ty and Child Poverty Commission</w:t>
      </w:r>
      <w:r w:rsidRPr="001B1289">
        <w:rPr>
          <w:color w:val="auto"/>
        </w:rPr>
        <w:t xml:space="preserve"> 2014</w:t>
      </w:r>
      <w:r>
        <w:rPr>
          <w:color w:val="auto"/>
        </w:rPr>
        <w:t xml:space="preserve">. State of the Nation 2014: Social Mobility and Child Poverty in Great Britain. Available: </w:t>
      </w:r>
      <w:hyperlink r:id="rId30" w:history="1">
        <w:r w:rsidR="00692CD1" w:rsidRPr="00F4279F">
          <w:rPr>
            <w:rStyle w:val="Hyperlink"/>
          </w:rPr>
          <w:t>https://www.gov.uk/government/publications/state-of-the-nation-2014-report</w:t>
        </w:r>
      </w:hyperlink>
      <w:r w:rsidR="00692CD1">
        <w:rPr>
          <w:color w:val="auto"/>
        </w:rPr>
        <w:t xml:space="preserve"> </w:t>
      </w:r>
    </w:p>
    <w:p w14:paraId="76CED656" w14:textId="77777777" w:rsidR="006973FC" w:rsidRDefault="006973FC" w:rsidP="00C66D95">
      <w:pPr>
        <w:spacing w:after="0" w:line="276" w:lineRule="auto"/>
        <w:ind w:left="720" w:hanging="720"/>
      </w:pPr>
      <w:r>
        <w:t xml:space="preserve">Sovacool, B. K., Sidortsov, R. V. &amp; Jones, B. R. 2013. </w:t>
      </w:r>
      <w:r>
        <w:rPr>
          <w:i/>
        </w:rPr>
        <w:t>Energy security, equality and justice</w:t>
      </w:r>
      <w:r>
        <w:t>, Routledge.</w:t>
      </w:r>
    </w:p>
    <w:p w14:paraId="4DCF2877" w14:textId="3F15898F" w:rsidR="005B6AF1" w:rsidRDefault="005B6AF1" w:rsidP="00C66D95">
      <w:pPr>
        <w:spacing w:after="0" w:line="276" w:lineRule="auto"/>
        <w:ind w:left="720" w:hanging="720"/>
      </w:pPr>
      <w:r w:rsidRPr="005B6AF1">
        <w:t xml:space="preserve">Sovacool, B. K. 2014. What are we doing here? Analyzing fifteen years of energy scholarship and proposing a social science research agenda. </w:t>
      </w:r>
      <w:r w:rsidRPr="005B6AF1">
        <w:rPr>
          <w:i/>
          <w:iCs/>
        </w:rPr>
        <w:t>Energy Research &amp; Social Science,</w:t>
      </w:r>
      <w:r w:rsidRPr="005B6AF1">
        <w:t xml:space="preserve"> 1</w:t>
      </w:r>
      <w:r w:rsidRPr="005B6AF1">
        <w:rPr>
          <w:b/>
          <w:bCs/>
        </w:rPr>
        <w:t>,</w:t>
      </w:r>
      <w:r w:rsidRPr="005B6AF1">
        <w:t xml:space="preserve"> 1-29.</w:t>
      </w:r>
    </w:p>
    <w:p w14:paraId="18C3BC7D" w14:textId="77777777" w:rsidR="00E672E8" w:rsidRDefault="00E672E8" w:rsidP="00C66D95">
      <w:pPr>
        <w:spacing w:after="0" w:line="276" w:lineRule="auto"/>
        <w:ind w:left="720" w:hanging="720"/>
      </w:pPr>
      <w:r>
        <w:t xml:space="preserve">Sovacool, B. K. &amp; Dworkin, M. H. 2014. </w:t>
      </w:r>
      <w:r>
        <w:rPr>
          <w:i/>
        </w:rPr>
        <w:t>Global energy justice</w:t>
      </w:r>
      <w:r>
        <w:t>, Cambridge University Press.</w:t>
      </w:r>
    </w:p>
    <w:p w14:paraId="25B78BEC" w14:textId="77777777" w:rsidR="006973FC" w:rsidRDefault="006973FC" w:rsidP="00C66D95">
      <w:pPr>
        <w:pStyle w:val="EndNoteBibliography"/>
        <w:spacing w:after="0" w:line="276" w:lineRule="auto"/>
        <w:ind w:left="720" w:hanging="720"/>
      </w:pPr>
      <w:r w:rsidRPr="001A7B36">
        <w:t xml:space="preserve">Sovacool, B. K. 2015. Fuel poverty, affordability, and energy justice in England: Policy insights from the Warm Front Program. </w:t>
      </w:r>
      <w:r w:rsidRPr="001A7B36">
        <w:rPr>
          <w:i/>
        </w:rPr>
        <w:t>Energy,</w:t>
      </w:r>
      <w:r w:rsidRPr="001A7B36">
        <w:t xml:space="preserve"> 93</w:t>
      </w:r>
      <w:r w:rsidRPr="001A7B36">
        <w:rPr>
          <w:b/>
        </w:rPr>
        <w:t>,</w:t>
      </w:r>
      <w:r w:rsidRPr="001A7B36">
        <w:t xml:space="preserve"> 361-371.</w:t>
      </w:r>
    </w:p>
    <w:p w14:paraId="2AA1F64D" w14:textId="1309041B" w:rsidR="00BC175B" w:rsidRPr="001A7B36" w:rsidRDefault="00BC175B" w:rsidP="00C66D95">
      <w:pPr>
        <w:pStyle w:val="EndNoteBibliography"/>
        <w:spacing w:after="0" w:line="276" w:lineRule="auto"/>
        <w:ind w:left="720" w:hanging="720"/>
      </w:pPr>
      <w:r w:rsidRPr="00BC175B">
        <w:rPr>
          <w:lang w:val="en-US"/>
        </w:rPr>
        <w:t xml:space="preserve">Sovacool, B.K., Burke, M., Baker, L., Kotikalapudi, C.K. and Wlokas, H., 2017. New frontiers and conceptual frameworks for energy justice. </w:t>
      </w:r>
      <w:r w:rsidRPr="00BC175B">
        <w:rPr>
          <w:i/>
          <w:iCs/>
          <w:lang w:val="en-US"/>
        </w:rPr>
        <w:t>Energy Policy</w:t>
      </w:r>
      <w:r w:rsidRPr="00BC175B">
        <w:rPr>
          <w:lang w:val="en-US"/>
        </w:rPr>
        <w:t>.</w:t>
      </w:r>
      <w:r>
        <w:rPr>
          <w:lang w:val="en-US"/>
        </w:rPr>
        <w:t xml:space="preserve"> DOI: </w:t>
      </w:r>
      <w:r w:rsidRPr="00BC175B">
        <w:rPr>
          <w:lang w:val="en-US"/>
        </w:rPr>
        <w:t>10.1016/j.enpol.2017.03.005</w:t>
      </w:r>
    </w:p>
    <w:p w14:paraId="59AD0E03" w14:textId="283D9FF9" w:rsidR="00E672E8" w:rsidRDefault="00E672E8" w:rsidP="00C66D95">
      <w:pPr>
        <w:spacing w:after="0" w:line="276" w:lineRule="auto"/>
        <w:ind w:left="720" w:hanging="720"/>
      </w:pPr>
      <w:r>
        <w:t xml:space="preserve">Spicker, P. 2007. </w:t>
      </w:r>
      <w:r w:rsidR="001976F9">
        <w:rPr>
          <w:i/>
        </w:rPr>
        <w:t>The idea of poverty,</w:t>
      </w:r>
      <w:r>
        <w:rPr>
          <w:i/>
        </w:rPr>
        <w:t xml:space="preserve"> </w:t>
      </w:r>
      <w:r w:rsidR="003E60A7">
        <w:t>Bristol:</w:t>
      </w:r>
      <w:r>
        <w:t xml:space="preserve"> Policy Press.</w:t>
      </w:r>
    </w:p>
    <w:p w14:paraId="2719254D" w14:textId="4CDE8519" w:rsidR="002E578B" w:rsidRDefault="00CD2485" w:rsidP="00C66D95">
      <w:pPr>
        <w:spacing w:after="0" w:line="276" w:lineRule="auto"/>
        <w:ind w:left="720" w:hanging="720"/>
      </w:pPr>
      <w:r w:rsidRPr="00CD2485">
        <w:rPr>
          <w:lang w:val="en-US"/>
        </w:rPr>
        <w:t xml:space="preserve">Spreng, D., 2014. Transdisciplinary energy research–reflecting the context. </w:t>
      </w:r>
      <w:r w:rsidRPr="00CD2485">
        <w:rPr>
          <w:i/>
          <w:iCs/>
          <w:lang w:val="en-US"/>
        </w:rPr>
        <w:t>Energy Research &amp; Social Science</w:t>
      </w:r>
      <w:r w:rsidRPr="00CD2485">
        <w:rPr>
          <w:lang w:val="en-US"/>
        </w:rPr>
        <w:t xml:space="preserve">, </w:t>
      </w:r>
      <w:r w:rsidRPr="00CD2485">
        <w:rPr>
          <w:iCs/>
          <w:lang w:val="en-US"/>
        </w:rPr>
        <w:t>1</w:t>
      </w:r>
      <w:r w:rsidRPr="00CD2485">
        <w:rPr>
          <w:lang w:val="en-US"/>
        </w:rPr>
        <w:t>:</w:t>
      </w:r>
      <w:r>
        <w:rPr>
          <w:lang w:val="en-US"/>
        </w:rPr>
        <w:t xml:space="preserve"> </w:t>
      </w:r>
      <w:r w:rsidRPr="00CD2485">
        <w:rPr>
          <w:lang w:val="en-US"/>
        </w:rPr>
        <w:t>65-73.</w:t>
      </w:r>
    </w:p>
    <w:p w14:paraId="435731AA" w14:textId="33F4ED5F" w:rsidR="003E60A7" w:rsidRPr="003E60A7" w:rsidRDefault="003E60A7" w:rsidP="00C66D95">
      <w:pPr>
        <w:spacing w:after="0" w:line="276" w:lineRule="auto"/>
        <w:ind w:left="720" w:hanging="720"/>
      </w:pPr>
      <w:r w:rsidRPr="003E60A7">
        <w:t xml:space="preserve">Stewart, J. 2004. Housing and independent living. </w:t>
      </w:r>
      <w:r w:rsidRPr="003E60A7">
        <w:rPr>
          <w:i/>
          <w:iCs/>
        </w:rPr>
        <w:t>In:</w:t>
      </w:r>
      <w:r w:rsidRPr="003E60A7">
        <w:t xml:space="preserve"> Swain, J., French, S., Barnes, C. &amp; Thomas, C. (eds.) </w:t>
      </w:r>
      <w:r w:rsidRPr="003E60A7">
        <w:rPr>
          <w:i/>
          <w:iCs/>
        </w:rPr>
        <w:t xml:space="preserve">Disabling </w:t>
      </w:r>
      <w:r>
        <w:rPr>
          <w:i/>
          <w:iCs/>
        </w:rPr>
        <w:t xml:space="preserve">Barriers, Enabling Environments, </w:t>
      </w:r>
      <w:r>
        <w:rPr>
          <w:iCs/>
        </w:rPr>
        <w:t>London: Sage.</w:t>
      </w:r>
    </w:p>
    <w:p w14:paraId="332401A4" w14:textId="15F010FB" w:rsidR="00E10096" w:rsidRDefault="00E10096" w:rsidP="00C66D95">
      <w:pPr>
        <w:spacing w:after="0" w:line="276" w:lineRule="auto"/>
        <w:ind w:left="720" w:hanging="720"/>
        <w:rPr>
          <w:lang w:val="en-US"/>
        </w:rPr>
      </w:pPr>
      <w:r w:rsidRPr="00E10096">
        <w:rPr>
          <w:lang w:val="en-US"/>
        </w:rPr>
        <w:t xml:space="preserve">Stirling, A., 2014. Transforming power: Social science and the politics of energy choices. </w:t>
      </w:r>
      <w:r w:rsidRPr="00E10096">
        <w:rPr>
          <w:i/>
          <w:iCs/>
          <w:lang w:val="en-US"/>
        </w:rPr>
        <w:t>Energy Research &amp; Social Science</w:t>
      </w:r>
      <w:r w:rsidRPr="00E10096">
        <w:rPr>
          <w:lang w:val="en-US"/>
        </w:rPr>
        <w:t xml:space="preserve">, </w:t>
      </w:r>
      <w:r>
        <w:rPr>
          <w:iCs/>
          <w:lang w:val="en-US"/>
        </w:rPr>
        <w:t>1,</w:t>
      </w:r>
      <w:r>
        <w:rPr>
          <w:lang w:val="en-US"/>
        </w:rPr>
        <w:t xml:space="preserve"> </w:t>
      </w:r>
      <w:r w:rsidRPr="00E10096">
        <w:rPr>
          <w:lang w:val="en-US"/>
        </w:rPr>
        <w:t>83-95.</w:t>
      </w:r>
    </w:p>
    <w:p w14:paraId="2F8EA138" w14:textId="65DDF79E" w:rsidR="0029026D" w:rsidRPr="0029026D" w:rsidRDefault="0029026D" w:rsidP="00C66D95">
      <w:pPr>
        <w:spacing w:after="0" w:line="276" w:lineRule="auto"/>
        <w:ind w:left="720" w:hanging="720"/>
      </w:pPr>
      <w:r>
        <w:rPr>
          <w:lang w:val="en-US"/>
        </w:rPr>
        <w:t xml:space="preserve">Stone, J. 2016. 2,000 disabled people wrongly declared ‘fit for work’ by DWP in just three months. </w:t>
      </w:r>
      <w:r>
        <w:rPr>
          <w:i/>
          <w:lang w:val="en-US"/>
        </w:rPr>
        <w:t xml:space="preserve">The Independent, </w:t>
      </w:r>
      <w:r>
        <w:rPr>
          <w:lang w:val="en-US"/>
        </w:rPr>
        <w:t xml:space="preserve">8 December. Available: </w:t>
      </w:r>
      <w:hyperlink r:id="rId31" w:history="1">
        <w:r w:rsidRPr="000D31B1">
          <w:rPr>
            <w:rStyle w:val="Hyperlink"/>
            <w:lang w:val="en-US"/>
          </w:rPr>
          <w:t>http://www.independent.co.uk/news/uk/politics/dwp-fit-to-work-wca-figures-3000-disabled-people-wrongly-declared-three-months-a7464166.html</w:t>
        </w:r>
      </w:hyperlink>
      <w:r>
        <w:rPr>
          <w:lang w:val="en-US"/>
        </w:rPr>
        <w:t xml:space="preserve"> </w:t>
      </w:r>
    </w:p>
    <w:p w14:paraId="6340A513" w14:textId="4DF5CBE2" w:rsidR="00855FEC" w:rsidRDefault="00855FEC" w:rsidP="00C66D95">
      <w:pPr>
        <w:spacing w:after="0" w:line="276" w:lineRule="auto"/>
        <w:ind w:left="720" w:hanging="720"/>
      </w:pPr>
      <w:r w:rsidRPr="00855FEC">
        <w:t xml:space="preserve">Swain, J., French, S., Barnes, C. &amp; Thomas, C. 2014. </w:t>
      </w:r>
      <w:r w:rsidRPr="00855FEC">
        <w:rPr>
          <w:i/>
          <w:iCs/>
        </w:rPr>
        <w:t xml:space="preserve">Disabling Barriers - Enabling Environments </w:t>
      </w:r>
      <w:r w:rsidRPr="00855FEC">
        <w:t>London, Sage.</w:t>
      </w:r>
    </w:p>
    <w:p w14:paraId="5EFF6E04" w14:textId="77777777" w:rsidR="00E672E8" w:rsidRDefault="00E672E8" w:rsidP="00C66D95">
      <w:pPr>
        <w:spacing w:after="0" w:line="276" w:lineRule="auto"/>
        <w:ind w:left="720" w:hanging="720"/>
      </w:pPr>
      <w:r w:rsidRPr="00DD0DF5">
        <w:t xml:space="preserve">Swyngedouw, E. 2005. Governance Innovation and the Citizen: The Janus Face of Governance-beyond-the-State. </w:t>
      </w:r>
      <w:r w:rsidRPr="001976F9">
        <w:rPr>
          <w:i/>
        </w:rPr>
        <w:t>Urban Studies</w:t>
      </w:r>
      <w:r w:rsidRPr="00DD0DF5">
        <w:t>, 42, 1991-2006.</w:t>
      </w:r>
    </w:p>
    <w:p w14:paraId="2992EC21" w14:textId="55C35CB2" w:rsidR="00D639A8" w:rsidRDefault="00D639A8" w:rsidP="00C66D95">
      <w:pPr>
        <w:spacing w:after="0" w:line="276" w:lineRule="auto"/>
        <w:ind w:left="720" w:hanging="720"/>
      </w:pPr>
      <w:r>
        <w:lastRenderedPageBreak/>
        <w:t>Tinson, A., Ayrton, C., Barker, K., Born, T. B., Aldridge, H. &amp; K</w:t>
      </w:r>
      <w:r w:rsidR="006568DE">
        <w:t>e</w:t>
      </w:r>
      <w:r>
        <w:t xml:space="preserve">nway, P. 2016. Monitoring Poverty and Social Exclusion 2016. Joseph Rowntree Foundation and New Policy Institute. Available: </w:t>
      </w:r>
      <w:hyperlink r:id="rId32" w:history="1">
        <w:r w:rsidRPr="004E0FF7">
          <w:rPr>
            <w:rStyle w:val="Hyperlink"/>
          </w:rPr>
          <w:t>https://www.jrf.org.uk/report/monitoring-poverty-and-social-exclusion-2016</w:t>
        </w:r>
      </w:hyperlink>
      <w:r>
        <w:t xml:space="preserve"> </w:t>
      </w:r>
    </w:p>
    <w:p w14:paraId="7ACD70A2" w14:textId="2C99AC07" w:rsidR="00AE4C2F" w:rsidRDefault="00AE4C2F" w:rsidP="00C66D95">
      <w:pPr>
        <w:spacing w:after="0" w:line="276" w:lineRule="auto"/>
        <w:ind w:left="720" w:hanging="720"/>
      </w:pPr>
      <w:r w:rsidRPr="00AE4C2F">
        <w:t>United Nations Convention on the Rights of People with Disabilities 2016. Inquiry concerning the United Kingdom of Great Britain and Northern Ireland carried out by the Committee under article 6 of the Optional Protocol to the Convention. Geneva: Committee on the Rights of Persons with Disabilities.</w:t>
      </w:r>
      <w:r>
        <w:t xml:space="preserve"> Available:</w:t>
      </w:r>
      <w:r w:rsidR="00D639A8">
        <w:t xml:space="preserve"> </w:t>
      </w:r>
      <w:hyperlink r:id="rId33" w:history="1">
        <w:r w:rsidRPr="00F4279F">
          <w:rPr>
            <w:rStyle w:val="Hyperlink"/>
          </w:rPr>
          <w:t>http://www.ohchr.org/EN/HRBodies/CRPD/Pages/InquiryProcedure.aspx</w:t>
        </w:r>
      </w:hyperlink>
      <w:r>
        <w:t xml:space="preserve"> </w:t>
      </w:r>
    </w:p>
    <w:p w14:paraId="26D15839" w14:textId="4711C522" w:rsidR="007B607A" w:rsidRDefault="007B607A" w:rsidP="00C66D95">
      <w:pPr>
        <w:spacing w:after="0" w:line="276" w:lineRule="auto"/>
        <w:ind w:left="720" w:hanging="720"/>
      </w:pPr>
      <w:r>
        <w:t xml:space="preserve">United Nations Human Rights 1989. Convention on the Rights of the Child. Office of the High Commission. Available: </w:t>
      </w:r>
      <w:hyperlink r:id="rId34" w:history="1">
        <w:r w:rsidRPr="00F4279F">
          <w:rPr>
            <w:rStyle w:val="Hyperlink"/>
          </w:rPr>
          <w:t>http://www.ohchr.org/en/professionalinterest/pages/crc.aspx</w:t>
        </w:r>
      </w:hyperlink>
      <w:r>
        <w:t xml:space="preserve"> </w:t>
      </w:r>
    </w:p>
    <w:p w14:paraId="3E5D1BFF" w14:textId="79BAF177" w:rsidR="007251B5" w:rsidRDefault="007251B5" w:rsidP="00C66D95">
      <w:pPr>
        <w:spacing w:after="0" w:line="276" w:lineRule="auto"/>
        <w:ind w:left="720" w:hanging="720"/>
      </w:pPr>
      <w:r w:rsidRPr="007251B5">
        <w:t>Walker, G. 2011. The role for ‘community’</w:t>
      </w:r>
      <w:r>
        <w:t xml:space="preserve"> </w:t>
      </w:r>
      <w:r w:rsidRPr="007251B5">
        <w:t xml:space="preserve">in carbon governance. </w:t>
      </w:r>
      <w:r w:rsidRPr="007251B5">
        <w:rPr>
          <w:i/>
          <w:iCs/>
        </w:rPr>
        <w:t>Wiley Interdisciplinary Reviews: Climate Change,</w:t>
      </w:r>
      <w:r w:rsidRPr="007251B5">
        <w:t xml:space="preserve"> 2</w:t>
      </w:r>
      <w:r w:rsidRPr="007251B5">
        <w:rPr>
          <w:b/>
          <w:bCs/>
        </w:rPr>
        <w:t>,</w:t>
      </w:r>
      <w:r w:rsidRPr="007251B5">
        <w:t xml:space="preserve"> 777-782.</w:t>
      </w:r>
    </w:p>
    <w:p w14:paraId="082C82FF" w14:textId="77777777" w:rsidR="00E672E8" w:rsidRDefault="00E672E8" w:rsidP="00C66D95">
      <w:pPr>
        <w:spacing w:after="0" w:line="276" w:lineRule="auto"/>
        <w:ind w:left="720" w:hanging="720"/>
      </w:pPr>
      <w:r>
        <w:t xml:space="preserve">Walker, G. &amp; Day, R. 2012. Fuel poverty as injustice: Integrating distribution, recognition and procedure in the struggle for affordable warmth. </w:t>
      </w:r>
      <w:r>
        <w:rPr>
          <w:i/>
        </w:rPr>
        <w:t>Energy policy,</w:t>
      </w:r>
      <w:r>
        <w:t xml:space="preserve"> 49</w:t>
      </w:r>
      <w:r>
        <w:rPr>
          <w:b/>
        </w:rPr>
        <w:t>,</w:t>
      </w:r>
      <w:r>
        <w:t xml:space="preserve"> 69-75.</w:t>
      </w:r>
    </w:p>
    <w:p w14:paraId="00A154BF" w14:textId="39F88358" w:rsidR="006927F2" w:rsidRDefault="006927F2" w:rsidP="006927F2">
      <w:pPr>
        <w:spacing w:after="0" w:line="276" w:lineRule="auto"/>
        <w:ind w:left="720" w:hanging="720"/>
      </w:pPr>
      <w:r w:rsidRPr="006927F2">
        <w:t xml:space="preserve">Walker, G., 2014. The dynamics of energy demand: change, rhythm and synchronicity. </w:t>
      </w:r>
      <w:r w:rsidRPr="006927F2">
        <w:rPr>
          <w:i/>
          <w:iCs/>
        </w:rPr>
        <w:t>Energy Research &amp; Social Science</w:t>
      </w:r>
      <w:r w:rsidRPr="006927F2">
        <w:t xml:space="preserve">, </w:t>
      </w:r>
      <w:r w:rsidRPr="006927F2">
        <w:rPr>
          <w:i/>
          <w:iCs/>
        </w:rPr>
        <w:t>1</w:t>
      </w:r>
      <w:r w:rsidRPr="006927F2">
        <w:t>, pp.49-55.</w:t>
      </w:r>
    </w:p>
    <w:p w14:paraId="2EAA278F" w14:textId="77777777" w:rsidR="00E672E8" w:rsidRDefault="00E672E8" w:rsidP="00C66D95">
      <w:pPr>
        <w:spacing w:after="0" w:line="276" w:lineRule="auto"/>
        <w:ind w:left="720" w:hanging="720"/>
      </w:pPr>
      <w:r>
        <w:t xml:space="preserve">Walker, G., Simcock, N. &amp; Day, R. 2016. Necessary energy uses and a minimum standard of living in the United Kingdom: energy justice or escalating expectations? </w:t>
      </w:r>
      <w:r>
        <w:rPr>
          <w:i/>
        </w:rPr>
        <w:t>Energy Research &amp; Social Science</w:t>
      </w:r>
      <w:r>
        <w:t>.</w:t>
      </w:r>
    </w:p>
    <w:p w14:paraId="1503C7E8" w14:textId="77777777" w:rsidR="006927F2" w:rsidRDefault="006927F2" w:rsidP="006927F2">
      <w:pPr>
        <w:spacing w:after="0" w:line="276" w:lineRule="auto"/>
        <w:ind w:left="720" w:hanging="720"/>
      </w:pPr>
      <w:r w:rsidRPr="006973FC">
        <w:t xml:space="preserve">Walker, R., Liddell, C., Mckenzie, P., Morris, C. &amp; Lagdon, S. 2014. Fuel poverty in Northern Ireland: Humanizing the plight of vulnerable households. </w:t>
      </w:r>
      <w:r w:rsidRPr="001976F9">
        <w:rPr>
          <w:i/>
        </w:rPr>
        <w:t>Energy Research &amp; Social Science</w:t>
      </w:r>
      <w:r w:rsidRPr="006973FC">
        <w:t>, 4, 89-99.</w:t>
      </w:r>
    </w:p>
    <w:p w14:paraId="208206A8" w14:textId="77777777" w:rsidR="001976F9" w:rsidRDefault="001976F9" w:rsidP="00C66D95">
      <w:pPr>
        <w:pStyle w:val="EndNoteBibliography"/>
        <w:spacing w:line="276" w:lineRule="auto"/>
        <w:ind w:left="720" w:hanging="720"/>
      </w:pPr>
      <w:r w:rsidRPr="0016289E">
        <w:t xml:space="preserve">Wampler, B. 2012. Participation, Representation, and Social Justice: Using participatory governance to transform representative democracy. </w:t>
      </w:r>
      <w:r w:rsidRPr="0016289E">
        <w:rPr>
          <w:i/>
        </w:rPr>
        <w:t>Polity,</w:t>
      </w:r>
      <w:r w:rsidRPr="0016289E">
        <w:t xml:space="preserve"> 44</w:t>
      </w:r>
      <w:r w:rsidRPr="0016289E">
        <w:rPr>
          <w:b/>
        </w:rPr>
        <w:t>,</w:t>
      </w:r>
      <w:r w:rsidRPr="0016289E">
        <w:t xml:space="preserve"> 666-682.</w:t>
      </w:r>
    </w:p>
    <w:p w14:paraId="3998019C" w14:textId="7330C4E0" w:rsidR="006B4048" w:rsidRDefault="006B4048" w:rsidP="00C66D95">
      <w:pPr>
        <w:pStyle w:val="EndNoteBibliography"/>
        <w:spacing w:line="276" w:lineRule="auto"/>
        <w:ind w:left="720" w:hanging="720"/>
      </w:pPr>
      <w:r w:rsidRPr="006B4048">
        <w:rPr>
          <w:lang w:val="en-US"/>
        </w:rPr>
        <w:t xml:space="preserve">Wesselink, A., Paavola, J., Fritsch, O. and Renn, O., 2011. Rationales for public participation in environmental policy and governance: practitioners' perspectives. </w:t>
      </w:r>
      <w:r w:rsidRPr="006B4048">
        <w:rPr>
          <w:i/>
          <w:iCs/>
          <w:lang w:val="en-US"/>
        </w:rPr>
        <w:t>Environment and Planning A</w:t>
      </w:r>
      <w:r w:rsidRPr="006B4048">
        <w:rPr>
          <w:lang w:val="en-US"/>
        </w:rPr>
        <w:t xml:space="preserve">, </w:t>
      </w:r>
      <w:r w:rsidRPr="006B4048">
        <w:rPr>
          <w:iCs/>
          <w:lang w:val="en-US"/>
        </w:rPr>
        <w:t>43</w:t>
      </w:r>
      <w:r>
        <w:rPr>
          <w:lang w:val="en-US"/>
        </w:rPr>
        <w:t xml:space="preserve">, </w:t>
      </w:r>
      <w:r w:rsidRPr="006B4048">
        <w:rPr>
          <w:lang w:val="en-US"/>
        </w:rPr>
        <w:t>2688-2704.</w:t>
      </w:r>
    </w:p>
    <w:p w14:paraId="5B8B39BF" w14:textId="77777777" w:rsidR="00F32AE5" w:rsidRDefault="00F32AE5" w:rsidP="00C66D95">
      <w:pPr>
        <w:pStyle w:val="EndNoteBibliography"/>
        <w:spacing w:line="276" w:lineRule="auto"/>
        <w:ind w:left="720" w:hanging="720"/>
      </w:pPr>
      <w:r w:rsidRPr="009E0217">
        <w:t xml:space="preserve">Whalley Hammell, K. R. 2015. Client-centred occupational therapy: the importance of critical perspectives. </w:t>
      </w:r>
      <w:r w:rsidRPr="009E0217">
        <w:rPr>
          <w:i/>
          <w:iCs/>
        </w:rPr>
        <w:t>Scandinavian Journal of Occupational Therapy,</w:t>
      </w:r>
      <w:r w:rsidRPr="009E0217">
        <w:t xml:space="preserve"> 22</w:t>
      </w:r>
      <w:r w:rsidRPr="009E0217">
        <w:rPr>
          <w:b/>
          <w:bCs/>
        </w:rPr>
        <w:t>,</w:t>
      </w:r>
      <w:r w:rsidRPr="009E0217">
        <w:t xml:space="preserve"> 237-243.</w:t>
      </w:r>
    </w:p>
    <w:p w14:paraId="37461B9F" w14:textId="239186B2" w:rsidR="001976F9" w:rsidRPr="001976F9" w:rsidRDefault="001976F9" w:rsidP="00C66D95">
      <w:pPr>
        <w:pStyle w:val="EndNoteBibliography"/>
        <w:spacing w:line="276" w:lineRule="auto"/>
        <w:ind w:left="720" w:hanging="720"/>
      </w:pPr>
      <w:r>
        <w:t xml:space="preserve">Young, I. M. 2008. Structural injustice and the politics of difference. In Craig, </w:t>
      </w:r>
      <w:r w:rsidR="00AE4C2F">
        <w:t>G. Burchardt, T. &amp; Gordon, D. (e</w:t>
      </w:r>
      <w:r>
        <w:t xml:space="preserve">ds) </w:t>
      </w:r>
      <w:r>
        <w:rPr>
          <w:i/>
        </w:rPr>
        <w:t xml:space="preserve">Social Justice and Public Policy: seeking fairness in diverse socities, </w:t>
      </w:r>
      <w:r>
        <w:t>Bristol: Policy Press.</w:t>
      </w:r>
    </w:p>
    <w:p w14:paraId="4EEA08EB" w14:textId="089F9C03" w:rsidR="00E672E8" w:rsidRDefault="006973FC" w:rsidP="00C66D95">
      <w:pPr>
        <w:pStyle w:val="EndNoteBibliography"/>
        <w:spacing w:line="276" w:lineRule="auto"/>
        <w:ind w:left="720" w:hanging="720"/>
      </w:pPr>
      <w:r w:rsidRPr="006973FC">
        <w:t xml:space="preserve">Young, I. M. 2011. </w:t>
      </w:r>
      <w:r w:rsidRPr="006973FC">
        <w:rPr>
          <w:i/>
        </w:rPr>
        <w:t>Justice and the Politics of Difference</w:t>
      </w:r>
      <w:r w:rsidRPr="006973FC">
        <w:t>, Princeton University Press.</w:t>
      </w:r>
    </w:p>
    <w:p w14:paraId="0364F817" w14:textId="0AA32711" w:rsidR="00E63D7F" w:rsidRDefault="00E63D7F" w:rsidP="00C66D95">
      <w:pPr>
        <w:spacing w:line="276" w:lineRule="auto"/>
      </w:pPr>
    </w:p>
    <w:sectPr w:rsidR="00E63D7F" w:rsidSect="002F1B3F">
      <w:footerReference w:type="even" r:id="rId35"/>
      <w:footerReference w:type="default" r:id="rId3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991A4" w15:done="0"/>
  <w15:commentEx w15:paraId="2AAE209E" w15:done="0"/>
  <w15:commentEx w15:paraId="012B53C3" w15:done="0"/>
  <w15:commentEx w15:paraId="76E679D1" w15:done="0"/>
  <w15:commentEx w15:paraId="76BA0F4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4418" w14:textId="77777777" w:rsidR="001428ED" w:rsidRDefault="001428ED" w:rsidP="00E672E8">
      <w:pPr>
        <w:spacing w:after="0" w:line="240" w:lineRule="auto"/>
      </w:pPr>
      <w:r>
        <w:separator/>
      </w:r>
    </w:p>
  </w:endnote>
  <w:endnote w:type="continuationSeparator" w:id="0">
    <w:p w14:paraId="26343646" w14:textId="77777777" w:rsidR="001428ED" w:rsidRDefault="001428ED" w:rsidP="00E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Menlo Bold"/>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7A3D1" w14:textId="77777777" w:rsidR="001428ED" w:rsidRDefault="001428ED" w:rsidP="002F1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43A4E" w14:textId="77777777" w:rsidR="001428ED" w:rsidRDefault="001428ED" w:rsidP="002F1B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56FCF" w14:textId="77777777" w:rsidR="001428ED" w:rsidRDefault="001428ED" w:rsidP="002F1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14C0">
      <w:rPr>
        <w:rStyle w:val="PageNumber"/>
        <w:noProof/>
      </w:rPr>
      <w:t>19</w:t>
    </w:r>
    <w:r>
      <w:rPr>
        <w:rStyle w:val="PageNumber"/>
      </w:rPr>
      <w:fldChar w:fldCharType="end"/>
    </w:r>
  </w:p>
  <w:p w14:paraId="2D5F1C03" w14:textId="77777777" w:rsidR="001428ED" w:rsidRDefault="001428ED" w:rsidP="002F1B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E015E" w14:textId="77777777" w:rsidR="001428ED" w:rsidRDefault="001428ED" w:rsidP="00E672E8">
      <w:pPr>
        <w:spacing w:after="0" w:line="240" w:lineRule="auto"/>
      </w:pPr>
      <w:r>
        <w:separator/>
      </w:r>
    </w:p>
  </w:footnote>
  <w:footnote w:type="continuationSeparator" w:id="0">
    <w:p w14:paraId="1DD56C47" w14:textId="77777777" w:rsidR="001428ED" w:rsidRDefault="001428ED" w:rsidP="00E672E8">
      <w:pPr>
        <w:spacing w:after="0" w:line="240" w:lineRule="auto"/>
      </w:pPr>
      <w:r>
        <w:continuationSeparator/>
      </w:r>
    </w:p>
  </w:footnote>
  <w:footnote w:id="1">
    <w:p w14:paraId="45AD18DA" w14:textId="1D5654A2" w:rsidR="001428ED" w:rsidRPr="00BB59A1" w:rsidRDefault="001428ED" w:rsidP="00504C6E">
      <w:pPr>
        <w:pStyle w:val="FootnoteText"/>
        <w:rPr>
          <w:lang w:val="en-US"/>
        </w:rPr>
      </w:pPr>
      <w:r>
        <w:rPr>
          <w:rStyle w:val="FootnoteReference"/>
        </w:rPr>
        <w:footnoteRef/>
      </w:r>
      <w:r>
        <w:t xml:space="preserve"> </w:t>
      </w:r>
      <w:r w:rsidRPr="00D44AA7">
        <w:rPr>
          <w:sz w:val="22"/>
          <w:szCs w:val="22"/>
        </w:rPr>
        <w:t xml:space="preserve">Previously the target was to eradicate fuel poverty among these groups sooner than in the general population. Although </w:t>
      </w:r>
      <w:r>
        <w:rPr>
          <w:sz w:val="22"/>
          <w:szCs w:val="22"/>
        </w:rPr>
        <w:t>this target was abandoned in 2015</w:t>
      </w:r>
      <w:r w:rsidRPr="00D44AA7">
        <w:rPr>
          <w:sz w:val="22"/>
          <w:szCs w:val="22"/>
        </w:rPr>
        <w:t xml:space="preserve">, targeting the most severely fuel poor and vulnerable is </w:t>
      </w:r>
      <w:r>
        <w:rPr>
          <w:sz w:val="22"/>
          <w:szCs w:val="22"/>
        </w:rPr>
        <w:t xml:space="preserve">still </w:t>
      </w:r>
      <w:r w:rsidRPr="00D44AA7">
        <w:rPr>
          <w:sz w:val="22"/>
          <w:szCs w:val="22"/>
        </w:rPr>
        <w:t>a</w:t>
      </w:r>
      <w:r>
        <w:rPr>
          <w:sz w:val="22"/>
          <w:szCs w:val="22"/>
        </w:rPr>
        <w:t>n explicit</w:t>
      </w:r>
      <w:r w:rsidRPr="00D44AA7">
        <w:rPr>
          <w:sz w:val="22"/>
          <w:szCs w:val="22"/>
        </w:rPr>
        <w:t xml:space="preserve"> ‘guiding principle’ for policymakers.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0EE7"/>
    <w:multiLevelType w:val="hybridMultilevel"/>
    <w:tmpl w:val="EA56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616A2C"/>
    <w:multiLevelType w:val="hybridMultilevel"/>
    <w:tmpl w:val="BA6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750CF"/>
    <w:multiLevelType w:val="hybridMultilevel"/>
    <w:tmpl w:val="B248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62A3B"/>
    <w:multiLevelType w:val="hybridMultilevel"/>
    <w:tmpl w:val="E6E8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276C2"/>
    <w:multiLevelType w:val="hybridMultilevel"/>
    <w:tmpl w:val="8D8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1E3A10"/>
    <w:multiLevelType w:val="multilevel"/>
    <w:tmpl w:val="7A0CA6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85F70C3"/>
    <w:multiLevelType w:val="multilevel"/>
    <w:tmpl w:val="557CDC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B90317E"/>
    <w:multiLevelType w:val="hybridMultilevel"/>
    <w:tmpl w:val="73FE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Bevan">
    <w15:presenceInfo w15:providerId="AD" w15:userId="S-1-5-21-1531108181-3683089376-3301072873-983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72E8"/>
    <w:rsid w:val="0000087A"/>
    <w:rsid w:val="0000257E"/>
    <w:rsid w:val="0000578A"/>
    <w:rsid w:val="00022C0C"/>
    <w:rsid w:val="00023996"/>
    <w:rsid w:val="00030D4D"/>
    <w:rsid w:val="00031E28"/>
    <w:rsid w:val="00033A41"/>
    <w:rsid w:val="00043428"/>
    <w:rsid w:val="000436B4"/>
    <w:rsid w:val="000443A5"/>
    <w:rsid w:val="00044552"/>
    <w:rsid w:val="00044DD1"/>
    <w:rsid w:val="00046E5C"/>
    <w:rsid w:val="000632A6"/>
    <w:rsid w:val="00065D7B"/>
    <w:rsid w:val="0007083A"/>
    <w:rsid w:val="0007549D"/>
    <w:rsid w:val="00082B28"/>
    <w:rsid w:val="00082C14"/>
    <w:rsid w:val="00092FA9"/>
    <w:rsid w:val="00095012"/>
    <w:rsid w:val="000A5DFB"/>
    <w:rsid w:val="000C1A8B"/>
    <w:rsid w:val="000C2FD6"/>
    <w:rsid w:val="000C7524"/>
    <w:rsid w:val="000D21E4"/>
    <w:rsid w:val="000D54F3"/>
    <w:rsid w:val="000E045F"/>
    <w:rsid w:val="000F067E"/>
    <w:rsid w:val="000F0E8D"/>
    <w:rsid w:val="000F2CB5"/>
    <w:rsid w:val="000F322D"/>
    <w:rsid w:val="000F5B04"/>
    <w:rsid w:val="001068ED"/>
    <w:rsid w:val="00121745"/>
    <w:rsid w:val="00121C21"/>
    <w:rsid w:val="001247DA"/>
    <w:rsid w:val="00130C0E"/>
    <w:rsid w:val="001378BF"/>
    <w:rsid w:val="001428ED"/>
    <w:rsid w:val="00144A9C"/>
    <w:rsid w:val="00144B35"/>
    <w:rsid w:val="00146C77"/>
    <w:rsid w:val="001471D4"/>
    <w:rsid w:val="00147A0A"/>
    <w:rsid w:val="00150C9E"/>
    <w:rsid w:val="001613C5"/>
    <w:rsid w:val="00163830"/>
    <w:rsid w:val="00172A54"/>
    <w:rsid w:val="00174D36"/>
    <w:rsid w:val="001755BB"/>
    <w:rsid w:val="001756C7"/>
    <w:rsid w:val="00186155"/>
    <w:rsid w:val="0019150D"/>
    <w:rsid w:val="00194929"/>
    <w:rsid w:val="001949B0"/>
    <w:rsid w:val="001976F9"/>
    <w:rsid w:val="001A1D6F"/>
    <w:rsid w:val="001A3AD1"/>
    <w:rsid w:val="001A642D"/>
    <w:rsid w:val="001B1289"/>
    <w:rsid w:val="001B165C"/>
    <w:rsid w:val="001B5684"/>
    <w:rsid w:val="001B60CA"/>
    <w:rsid w:val="001C171C"/>
    <w:rsid w:val="001C2C20"/>
    <w:rsid w:val="001C49F2"/>
    <w:rsid w:val="001D4646"/>
    <w:rsid w:val="001E0FE3"/>
    <w:rsid w:val="001E472C"/>
    <w:rsid w:val="001E64F0"/>
    <w:rsid w:val="001E700B"/>
    <w:rsid w:val="001E752A"/>
    <w:rsid w:val="001F3034"/>
    <w:rsid w:val="001F7BB9"/>
    <w:rsid w:val="00202493"/>
    <w:rsid w:val="00204AD6"/>
    <w:rsid w:val="00205B16"/>
    <w:rsid w:val="00205DDE"/>
    <w:rsid w:val="002110C1"/>
    <w:rsid w:val="002142CD"/>
    <w:rsid w:val="00221867"/>
    <w:rsid w:val="002235CD"/>
    <w:rsid w:val="00224997"/>
    <w:rsid w:val="00225B13"/>
    <w:rsid w:val="00225B75"/>
    <w:rsid w:val="00230BB2"/>
    <w:rsid w:val="00232651"/>
    <w:rsid w:val="00233859"/>
    <w:rsid w:val="00233F87"/>
    <w:rsid w:val="00234D3B"/>
    <w:rsid w:val="00235DCB"/>
    <w:rsid w:val="00235E93"/>
    <w:rsid w:val="00240C77"/>
    <w:rsid w:val="00253CFF"/>
    <w:rsid w:val="0025552F"/>
    <w:rsid w:val="002578C8"/>
    <w:rsid w:val="00265726"/>
    <w:rsid w:val="0026755F"/>
    <w:rsid w:val="00267662"/>
    <w:rsid w:val="00273FFE"/>
    <w:rsid w:val="00283CDE"/>
    <w:rsid w:val="00284157"/>
    <w:rsid w:val="00286103"/>
    <w:rsid w:val="0029026D"/>
    <w:rsid w:val="002923D6"/>
    <w:rsid w:val="002A2FCA"/>
    <w:rsid w:val="002A68E4"/>
    <w:rsid w:val="002B2AAB"/>
    <w:rsid w:val="002C190F"/>
    <w:rsid w:val="002C51C4"/>
    <w:rsid w:val="002C61C5"/>
    <w:rsid w:val="002D32C8"/>
    <w:rsid w:val="002D664A"/>
    <w:rsid w:val="002E3565"/>
    <w:rsid w:val="002E37F2"/>
    <w:rsid w:val="002E578B"/>
    <w:rsid w:val="002F0DF1"/>
    <w:rsid w:val="002F0F0B"/>
    <w:rsid w:val="002F1B3F"/>
    <w:rsid w:val="002F4599"/>
    <w:rsid w:val="002F6949"/>
    <w:rsid w:val="00306C0C"/>
    <w:rsid w:val="00316764"/>
    <w:rsid w:val="00320547"/>
    <w:rsid w:val="00322D7D"/>
    <w:rsid w:val="00324507"/>
    <w:rsid w:val="00325867"/>
    <w:rsid w:val="00326C76"/>
    <w:rsid w:val="00332407"/>
    <w:rsid w:val="003325EA"/>
    <w:rsid w:val="003360E7"/>
    <w:rsid w:val="00341849"/>
    <w:rsid w:val="0034460E"/>
    <w:rsid w:val="00350F16"/>
    <w:rsid w:val="003512A5"/>
    <w:rsid w:val="00354EAC"/>
    <w:rsid w:val="00356B1D"/>
    <w:rsid w:val="00362A89"/>
    <w:rsid w:val="003663F2"/>
    <w:rsid w:val="00366B31"/>
    <w:rsid w:val="00367274"/>
    <w:rsid w:val="003707E1"/>
    <w:rsid w:val="00371D95"/>
    <w:rsid w:val="00372FAF"/>
    <w:rsid w:val="00374274"/>
    <w:rsid w:val="00384666"/>
    <w:rsid w:val="003854B9"/>
    <w:rsid w:val="00391D42"/>
    <w:rsid w:val="003A46E8"/>
    <w:rsid w:val="003A5B88"/>
    <w:rsid w:val="003B0864"/>
    <w:rsid w:val="003B58DC"/>
    <w:rsid w:val="003B73DC"/>
    <w:rsid w:val="003C17EA"/>
    <w:rsid w:val="003C672E"/>
    <w:rsid w:val="003D0332"/>
    <w:rsid w:val="003D23DA"/>
    <w:rsid w:val="003D2623"/>
    <w:rsid w:val="003D5E71"/>
    <w:rsid w:val="003E27EC"/>
    <w:rsid w:val="003E60A7"/>
    <w:rsid w:val="003F5E75"/>
    <w:rsid w:val="00402204"/>
    <w:rsid w:val="004157B3"/>
    <w:rsid w:val="004228C1"/>
    <w:rsid w:val="00422D6E"/>
    <w:rsid w:val="00422E1C"/>
    <w:rsid w:val="00427389"/>
    <w:rsid w:val="00437631"/>
    <w:rsid w:val="004412A7"/>
    <w:rsid w:val="00441942"/>
    <w:rsid w:val="004429FD"/>
    <w:rsid w:val="00442F0F"/>
    <w:rsid w:val="004449A0"/>
    <w:rsid w:val="00447A4C"/>
    <w:rsid w:val="00450D28"/>
    <w:rsid w:val="0046023C"/>
    <w:rsid w:val="004608C2"/>
    <w:rsid w:val="00461341"/>
    <w:rsid w:val="00464DC1"/>
    <w:rsid w:val="004655BC"/>
    <w:rsid w:val="00475382"/>
    <w:rsid w:val="0047608F"/>
    <w:rsid w:val="00483591"/>
    <w:rsid w:val="004842E4"/>
    <w:rsid w:val="00484544"/>
    <w:rsid w:val="00490AF6"/>
    <w:rsid w:val="00493006"/>
    <w:rsid w:val="00496485"/>
    <w:rsid w:val="00496D3B"/>
    <w:rsid w:val="004A456F"/>
    <w:rsid w:val="004A7F98"/>
    <w:rsid w:val="004B0798"/>
    <w:rsid w:val="004B163B"/>
    <w:rsid w:val="004B206A"/>
    <w:rsid w:val="004B3EE1"/>
    <w:rsid w:val="004C073F"/>
    <w:rsid w:val="004C096C"/>
    <w:rsid w:val="004C1DC2"/>
    <w:rsid w:val="004C1E53"/>
    <w:rsid w:val="004C2F8D"/>
    <w:rsid w:val="004C46F5"/>
    <w:rsid w:val="004C55F2"/>
    <w:rsid w:val="004D0F6C"/>
    <w:rsid w:val="004E0D5A"/>
    <w:rsid w:val="004E184A"/>
    <w:rsid w:val="004E36E7"/>
    <w:rsid w:val="004F26A0"/>
    <w:rsid w:val="004F6BD6"/>
    <w:rsid w:val="0050003C"/>
    <w:rsid w:val="0050354F"/>
    <w:rsid w:val="00504C6E"/>
    <w:rsid w:val="00507796"/>
    <w:rsid w:val="0051319A"/>
    <w:rsid w:val="0051496F"/>
    <w:rsid w:val="00520A96"/>
    <w:rsid w:val="00521982"/>
    <w:rsid w:val="00521B06"/>
    <w:rsid w:val="00525BE3"/>
    <w:rsid w:val="00531663"/>
    <w:rsid w:val="005328E6"/>
    <w:rsid w:val="00533536"/>
    <w:rsid w:val="00547446"/>
    <w:rsid w:val="0055098C"/>
    <w:rsid w:val="00552156"/>
    <w:rsid w:val="00552CA5"/>
    <w:rsid w:val="005550E3"/>
    <w:rsid w:val="00564B22"/>
    <w:rsid w:val="00567142"/>
    <w:rsid w:val="005677E9"/>
    <w:rsid w:val="0057344B"/>
    <w:rsid w:val="00573F04"/>
    <w:rsid w:val="00577BED"/>
    <w:rsid w:val="00582C67"/>
    <w:rsid w:val="00585BF7"/>
    <w:rsid w:val="005B20E1"/>
    <w:rsid w:val="005B6AF1"/>
    <w:rsid w:val="005C00F0"/>
    <w:rsid w:val="005C1687"/>
    <w:rsid w:val="005C5AC7"/>
    <w:rsid w:val="005D1D89"/>
    <w:rsid w:val="005E0C6B"/>
    <w:rsid w:val="005E4B9C"/>
    <w:rsid w:val="005E64E3"/>
    <w:rsid w:val="005F45E0"/>
    <w:rsid w:val="006002D9"/>
    <w:rsid w:val="00601659"/>
    <w:rsid w:val="00604C71"/>
    <w:rsid w:val="0060712F"/>
    <w:rsid w:val="006162FB"/>
    <w:rsid w:val="00620E68"/>
    <w:rsid w:val="006248C7"/>
    <w:rsid w:val="00631D28"/>
    <w:rsid w:val="0063268D"/>
    <w:rsid w:val="006334FD"/>
    <w:rsid w:val="006355E9"/>
    <w:rsid w:val="006433C4"/>
    <w:rsid w:val="006443BA"/>
    <w:rsid w:val="0064547D"/>
    <w:rsid w:val="00652D68"/>
    <w:rsid w:val="00656133"/>
    <w:rsid w:val="006568DE"/>
    <w:rsid w:val="0066255D"/>
    <w:rsid w:val="006636B3"/>
    <w:rsid w:val="00667296"/>
    <w:rsid w:val="006709B7"/>
    <w:rsid w:val="00674E6A"/>
    <w:rsid w:val="00687A41"/>
    <w:rsid w:val="00691ECA"/>
    <w:rsid w:val="006927F2"/>
    <w:rsid w:val="00692CD1"/>
    <w:rsid w:val="006973FC"/>
    <w:rsid w:val="006A2111"/>
    <w:rsid w:val="006A4354"/>
    <w:rsid w:val="006A63A1"/>
    <w:rsid w:val="006A697E"/>
    <w:rsid w:val="006B4048"/>
    <w:rsid w:val="006B70FF"/>
    <w:rsid w:val="006C1147"/>
    <w:rsid w:val="006C4286"/>
    <w:rsid w:val="006D0366"/>
    <w:rsid w:val="006D348A"/>
    <w:rsid w:val="006F2518"/>
    <w:rsid w:val="00704FE0"/>
    <w:rsid w:val="007070BA"/>
    <w:rsid w:val="00707CC2"/>
    <w:rsid w:val="00711F45"/>
    <w:rsid w:val="0071718B"/>
    <w:rsid w:val="00722046"/>
    <w:rsid w:val="007251B5"/>
    <w:rsid w:val="00731DFB"/>
    <w:rsid w:val="00745295"/>
    <w:rsid w:val="00745835"/>
    <w:rsid w:val="007504CA"/>
    <w:rsid w:val="007574B3"/>
    <w:rsid w:val="007617E5"/>
    <w:rsid w:val="007624C4"/>
    <w:rsid w:val="00762874"/>
    <w:rsid w:val="00765CAA"/>
    <w:rsid w:val="00771223"/>
    <w:rsid w:val="007718D9"/>
    <w:rsid w:val="007730CE"/>
    <w:rsid w:val="007772D1"/>
    <w:rsid w:val="00777364"/>
    <w:rsid w:val="0078058C"/>
    <w:rsid w:val="00782615"/>
    <w:rsid w:val="0078267A"/>
    <w:rsid w:val="007874BB"/>
    <w:rsid w:val="00796A4C"/>
    <w:rsid w:val="007A597F"/>
    <w:rsid w:val="007B607A"/>
    <w:rsid w:val="007B7EB7"/>
    <w:rsid w:val="007C0A7D"/>
    <w:rsid w:val="007C18D7"/>
    <w:rsid w:val="007C31E8"/>
    <w:rsid w:val="007C4AC8"/>
    <w:rsid w:val="007D331A"/>
    <w:rsid w:val="007D7552"/>
    <w:rsid w:val="007E0269"/>
    <w:rsid w:val="007E0DF9"/>
    <w:rsid w:val="007E3750"/>
    <w:rsid w:val="007E547E"/>
    <w:rsid w:val="007F31ED"/>
    <w:rsid w:val="00800960"/>
    <w:rsid w:val="008123DD"/>
    <w:rsid w:val="0082246C"/>
    <w:rsid w:val="008345D6"/>
    <w:rsid w:val="00834616"/>
    <w:rsid w:val="008353B5"/>
    <w:rsid w:val="00837D29"/>
    <w:rsid w:val="008419D5"/>
    <w:rsid w:val="00842855"/>
    <w:rsid w:val="00847F74"/>
    <w:rsid w:val="00853F97"/>
    <w:rsid w:val="00855FEC"/>
    <w:rsid w:val="00862CA1"/>
    <w:rsid w:val="00867868"/>
    <w:rsid w:val="00872B92"/>
    <w:rsid w:val="00873F48"/>
    <w:rsid w:val="0088341A"/>
    <w:rsid w:val="00884A8D"/>
    <w:rsid w:val="00885536"/>
    <w:rsid w:val="00892471"/>
    <w:rsid w:val="00894410"/>
    <w:rsid w:val="00896736"/>
    <w:rsid w:val="008B1236"/>
    <w:rsid w:val="008B5276"/>
    <w:rsid w:val="008C5862"/>
    <w:rsid w:val="008D0AFF"/>
    <w:rsid w:val="008D4943"/>
    <w:rsid w:val="008D5D3F"/>
    <w:rsid w:val="008E2EF4"/>
    <w:rsid w:val="008E3B49"/>
    <w:rsid w:val="008F285E"/>
    <w:rsid w:val="008F3770"/>
    <w:rsid w:val="0090212D"/>
    <w:rsid w:val="00910874"/>
    <w:rsid w:val="009122BD"/>
    <w:rsid w:val="0092009A"/>
    <w:rsid w:val="00925BB2"/>
    <w:rsid w:val="00926A60"/>
    <w:rsid w:val="00934886"/>
    <w:rsid w:val="00946B39"/>
    <w:rsid w:val="00956882"/>
    <w:rsid w:val="00971C9F"/>
    <w:rsid w:val="00972814"/>
    <w:rsid w:val="0097384A"/>
    <w:rsid w:val="009754AE"/>
    <w:rsid w:val="00983A61"/>
    <w:rsid w:val="00983BAF"/>
    <w:rsid w:val="00991E1E"/>
    <w:rsid w:val="00994A23"/>
    <w:rsid w:val="009A4228"/>
    <w:rsid w:val="009B1A85"/>
    <w:rsid w:val="009B1D35"/>
    <w:rsid w:val="009B74DC"/>
    <w:rsid w:val="009C0B37"/>
    <w:rsid w:val="009C29BB"/>
    <w:rsid w:val="009C7D50"/>
    <w:rsid w:val="009D2C8E"/>
    <w:rsid w:val="009D72E0"/>
    <w:rsid w:val="009D7C67"/>
    <w:rsid w:val="009E0217"/>
    <w:rsid w:val="009E19E6"/>
    <w:rsid w:val="009E3CAC"/>
    <w:rsid w:val="009E6647"/>
    <w:rsid w:val="009F2B18"/>
    <w:rsid w:val="009F5B42"/>
    <w:rsid w:val="00A03E14"/>
    <w:rsid w:val="00A05289"/>
    <w:rsid w:val="00A1507E"/>
    <w:rsid w:val="00A2587F"/>
    <w:rsid w:val="00A317B2"/>
    <w:rsid w:val="00A31C72"/>
    <w:rsid w:val="00A406C8"/>
    <w:rsid w:val="00A42AA1"/>
    <w:rsid w:val="00A4308D"/>
    <w:rsid w:val="00A43317"/>
    <w:rsid w:val="00A4476C"/>
    <w:rsid w:val="00A44C5E"/>
    <w:rsid w:val="00A47756"/>
    <w:rsid w:val="00A50BD7"/>
    <w:rsid w:val="00A52936"/>
    <w:rsid w:val="00A6152C"/>
    <w:rsid w:val="00A736E7"/>
    <w:rsid w:val="00A7609C"/>
    <w:rsid w:val="00A807B6"/>
    <w:rsid w:val="00A83FEE"/>
    <w:rsid w:val="00AA0049"/>
    <w:rsid w:val="00AA213B"/>
    <w:rsid w:val="00AA2E34"/>
    <w:rsid w:val="00AA378D"/>
    <w:rsid w:val="00AA4A83"/>
    <w:rsid w:val="00AB1871"/>
    <w:rsid w:val="00AB5E5C"/>
    <w:rsid w:val="00AC026A"/>
    <w:rsid w:val="00AC2A2C"/>
    <w:rsid w:val="00AC7BB8"/>
    <w:rsid w:val="00AD11C5"/>
    <w:rsid w:val="00AE3B8F"/>
    <w:rsid w:val="00AE4508"/>
    <w:rsid w:val="00AE4C2F"/>
    <w:rsid w:val="00AE6636"/>
    <w:rsid w:val="00AF4FA0"/>
    <w:rsid w:val="00B04529"/>
    <w:rsid w:val="00B05CBF"/>
    <w:rsid w:val="00B118CB"/>
    <w:rsid w:val="00B1258A"/>
    <w:rsid w:val="00B15594"/>
    <w:rsid w:val="00B263F8"/>
    <w:rsid w:val="00B269F2"/>
    <w:rsid w:val="00B31C09"/>
    <w:rsid w:val="00B355B9"/>
    <w:rsid w:val="00B414C0"/>
    <w:rsid w:val="00B5085C"/>
    <w:rsid w:val="00B53A0A"/>
    <w:rsid w:val="00B604EB"/>
    <w:rsid w:val="00B60DA7"/>
    <w:rsid w:val="00B62DDF"/>
    <w:rsid w:val="00B66711"/>
    <w:rsid w:val="00B71BE9"/>
    <w:rsid w:val="00B73EF3"/>
    <w:rsid w:val="00B75AF8"/>
    <w:rsid w:val="00B81EFC"/>
    <w:rsid w:val="00B83BB3"/>
    <w:rsid w:val="00B85552"/>
    <w:rsid w:val="00B861D8"/>
    <w:rsid w:val="00B86A3C"/>
    <w:rsid w:val="00B92E7A"/>
    <w:rsid w:val="00B94C10"/>
    <w:rsid w:val="00B9699A"/>
    <w:rsid w:val="00BB1112"/>
    <w:rsid w:val="00BB31D8"/>
    <w:rsid w:val="00BB59A1"/>
    <w:rsid w:val="00BB6089"/>
    <w:rsid w:val="00BB73C3"/>
    <w:rsid w:val="00BC175B"/>
    <w:rsid w:val="00BC58A2"/>
    <w:rsid w:val="00BC5CDE"/>
    <w:rsid w:val="00BC7A1C"/>
    <w:rsid w:val="00BD3711"/>
    <w:rsid w:val="00BD6905"/>
    <w:rsid w:val="00BE22DF"/>
    <w:rsid w:val="00BE2AED"/>
    <w:rsid w:val="00BE39A9"/>
    <w:rsid w:val="00BE3B93"/>
    <w:rsid w:val="00BE5C93"/>
    <w:rsid w:val="00BF041B"/>
    <w:rsid w:val="00BF0B59"/>
    <w:rsid w:val="00BF2CF0"/>
    <w:rsid w:val="00BF5B63"/>
    <w:rsid w:val="00BF5E36"/>
    <w:rsid w:val="00BF7EFA"/>
    <w:rsid w:val="00C00254"/>
    <w:rsid w:val="00C01302"/>
    <w:rsid w:val="00C03947"/>
    <w:rsid w:val="00C13D45"/>
    <w:rsid w:val="00C22380"/>
    <w:rsid w:val="00C229D7"/>
    <w:rsid w:val="00C237A2"/>
    <w:rsid w:val="00C23DF3"/>
    <w:rsid w:val="00C2422D"/>
    <w:rsid w:val="00C242E4"/>
    <w:rsid w:val="00C26BDB"/>
    <w:rsid w:val="00C321FE"/>
    <w:rsid w:val="00C332FC"/>
    <w:rsid w:val="00C33BCA"/>
    <w:rsid w:val="00C34971"/>
    <w:rsid w:val="00C362F1"/>
    <w:rsid w:val="00C41838"/>
    <w:rsid w:val="00C574E3"/>
    <w:rsid w:val="00C63CFD"/>
    <w:rsid w:val="00C65DC8"/>
    <w:rsid w:val="00C66D95"/>
    <w:rsid w:val="00C7341E"/>
    <w:rsid w:val="00C7647D"/>
    <w:rsid w:val="00C81451"/>
    <w:rsid w:val="00C82FA2"/>
    <w:rsid w:val="00C83C9B"/>
    <w:rsid w:val="00C91E74"/>
    <w:rsid w:val="00C9456B"/>
    <w:rsid w:val="00C96ED3"/>
    <w:rsid w:val="00CA2089"/>
    <w:rsid w:val="00CA3E8B"/>
    <w:rsid w:val="00CA6CC3"/>
    <w:rsid w:val="00CB090F"/>
    <w:rsid w:val="00CB10C9"/>
    <w:rsid w:val="00CB169D"/>
    <w:rsid w:val="00CB7C05"/>
    <w:rsid w:val="00CC2F63"/>
    <w:rsid w:val="00CC7D3E"/>
    <w:rsid w:val="00CD2485"/>
    <w:rsid w:val="00CE2239"/>
    <w:rsid w:val="00CE3138"/>
    <w:rsid w:val="00CE3526"/>
    <w:rsid w:val="00CF2090"/>
    <w:rsid w:val="00CF703D"/>
    <w:rsid w:val="00CF7817"/>
    <w:rsid w:val="00D0035E"/>
    <w:rsid w:val="00D06BF2"/>
    <w:rsid w:val="00D1767A"/>
    <w:rsid w:val="00D237B8"/>
    <w:rsid w:val="00D23C55"/>
    <w:rsid w:val="00D27FE0"/>
    <w:rsid w:val="00D41342"/>
    <w:rsid w:val="00D44AA7"/>
    <w:rsid w:val="00D479CC"/>
    <w:rsid w:val="00D52064"/>
    <w:rsid w:val="00D604F4"/>
    <w:rsid w:val="00D61553"/>
    <w:rsid w:val="00D62E6A"/>
    <w:rsid w:val="00D639A8"/>
    <w:rsid w:val="00D6757D"/>
    <w:rsid w:val="00D70B00"/>
    <w:rsid w:val="00D7289E"/>
    <w:rsid w:val="00D73371"/>
    <w:rsid w:val="00D74E39"/>
    <w:rsid w:val="00D75572"/>
    <w:rsid w:val="00D75BA5"/>
    <w:rsid w:val="00D8127D"/>
    <w:rsid w:val="00D8369B"/>
    <w:rsid w:val="00D850E7"/>
    <w:rsid w:val="00D873BE"/>
    <w:rsid w:val="00D93879"/>
    <w:rsid w:val="00D95352"/>
    <w:rsid w:val="00D97049"/>
    <w:rsid w:val="00DA3F47"/>
    <w:rsid w:val="00DA51B1"/>
    <w:rsid w:val="00DA761B"/>
    <w:rsid w:val="00DB0C96"/>
    <w:rsid w:val="00DC576D"/>
    <w:rsid w:val="00DC603D"/>
    <w:rsid w:val="00DD08D0"/>
    <w:rsid w:val="00DD1454"/>
    <w:rsid w:val="00DD69FA"/>
    <w:rsid w:val="00DE5924"/>
    <w:rsid w:val="00DF06C0"/>
    <w:rsid w:val="00DF4027"/>
    <w:rsid w:val="00DF58A9"/>
    <w:rsid w:val="00E003F6"/>
    <w:rsid w:val="00E01ED1"/>
    <w:rsid w:val="00E02FC3"/>
    <w:rsid w:val="00E06B24"/>
    <w:rsid w:val="00E10096"/>
    <w:rsid w:val="00E170D1"/>
    <w:rsid w:val="00E260A6"/>
    <w:rsid w:val="00E3421D"/>
    <w:rsid w:val="00E3459A"/>
    <w:rsid w:val="00E34DFD"/>
    <w:rsid w:val="00E35F3D"/>
    <w:rsid w:val="00E52051"/>
    <w:rsid w:val="00E56FA1"/>
    <w:rsid w:val="00E61249"/>
    <w:rsid w:val="00E614E9"/>
    <w:rsid w:val="00E61C92"/>
    <w:rsid w:val="00E63D7F"/>
    <w:rsid w:val="00E6521C"/>
    <w:rsid w:val="00E672E8"/>
    <w:rsid w:val="00E7274D"/>
    <w:rsid w:val="00E729FD"/>
    <w:rsid w:val="00E763FC"/>
    <w:rsid w:val="00E80E42"/>
    <w:rsid w:val="00E8195A"/>
    <w:rsid w:val="00E8258C"/>
    <w:rsid w:val="00E85743"/>
    <w:rsid w:val="00E94229"/>
    <w:rsid w:val="00E94A44"/>
    <w:rsid w:val="00E95FA4"/>
    <w:rsid w:val="00E97364"/>
    <w:rsid w:val="00EA1AAE"/>
    <w:rsid w:val="00EA39DD"/>
    <w:rsid w:val="00EA39E2"/>
    <w:rsid w:val="00EB3573"/>
    <w:rsid w:val="00EB3EE0"/>
    <w:rsid w:val="00EB3F7E"/>
    <w:rsid w:val="00EB67C5"/>
    <w:rsid w:val="00EB6CE6"/>
    <w:rsid w:val="00EC5E84"/>
    <w:rsid w:val="00ED0FBD"/>
    <w:rsid w:val="00ED1DF8"/>
    <w:rsid w:val="00EE3404"/>
    <w:rsid w:val="00EE3563"/>
    <w:rsid w:val="00EE52F0"/>
    <w:rsid w:val="00EE7C19"/>
    <w:rsid w:val="00EF17E1"/>
    <w:rsid w:val="00EF6B87"/>
    <w:rsid w:val="00F038E7"/>
    <w:rsid w:val="00F12B9E"/>
    <w:rsid w:val="00F23824"/>
    <w:rsid w:val="00F26E2F"/>
    <w:rsid w:val="00F3097F"/>
    <w:rsid w:val="00F3225F"/>
    <w:rsid w:val="00F32AE5"/>
    <w:rsid w:val="00F3624E"/>
    <w:rsid w:val="00F414D9"/>
    <w:rsid w:val="00F429F9"/>
    <w:rsid w:val="00F4339B"/>
    <w:rsid w:val="00F4393F"/>
    <w:rsid w:val="00F47CAA"/>
    <w:rsid w:val="00F504B3"/>
    <w:rsid w:val="00F53868"/>
    <w:rsid w:val="00F5512C"/>
    <w:rsid w:val="00F63DD4"/>
    <w:rsid w:val="00F712DE"/>
    <w:rsid w:val="00F742EE"/>
    <w:rsid w:val="00F74437"/>
    <w:rsid w:val="00F80950"/>
    <w:rsid w:val="00F82497"/>
    <w:rsid w:val="00F8279D"/>
    <w:rsid w:val="00F82D63"/>
    <w:rsid w:val="00F902B3"/>
    <w:rsid w:val="00F909CF"/>
    <w:rsid w:val="00F92CF0"/>
    <w:rsid w:val="00F934C7"/>
    <w:rsid w:val="00FA0FFA"/>
    <w:rsid w:val="00FA30BC"/>
    <w:rsid w:val="00FA4100"/>
    <w:rsid w:val="00FB4B13"/>
    <w:rsid w:val="00FB52ED"/>
    <w:rsid w:val="00FB54C8"/>
    <w:rsid w:val="00FB5646"/>
    <w:rsid w:val="00FC13B1"/>
    <w:rsid w:val="00FC2083"/>
    <w:rsid w:val="00FC2A41"/>
    <w:rsid w:val="00FC302E"/>
    <w:rsid w:val="00FD3B50"/>
    <w:rsid w:val="00FD3CEA"/>
    <w:rsid w:val="00FE22F3"/>
    <w:rsid w:val="00FE2514"/>
    <w:rsid w:val="00FF3253"/>
    <w:rsid w:val="00FF51E9"/>
    <w:rsid w:val="00FF5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7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2E8"/>
    <w:rPr>
      <w:rFonts w:ascii="Calibri" w:eastAsia="Calibri" w:hAnsi="Calibri" w:cs="Calibri"/>
      <w:color w:val="000000"/>
      <w:lang w:eastAsia="en-GB"/>
    </w:rPr>
  </w:style>
  <w:style w:type="paragraph" w:styleId="Heading1">
    <w:name w:val="heading 1"/>
    <w:basedOn w:val="Normal"/>
    <w:next w:val="Normal"/>
    <w:link w:val="Heading1Char"/>
    <w:rsid w:val="00E672E8"/>
    <w:pPr>
      <w:keepNext/>
      <w:keepLines/>
      <w:spacing w:before="240" w:after="0"/>
      <w:outlineLvl w:val="0"/>
    </w:pPr>
    <w:rPr>
      <w:color w:val="2E75B5"/>
      <w:sz w:val="32"/>
      <w:szCs w:val="32"/>
    </w:rPr>
  </w:style>
  <w:style w:type="paragraph" w:styleId="Heading2">
    <w:name w:val="heading 2"/>
    <w:basedOn w:val="Normal"/>
    <w:next w:val="Normal"/>
    <w:link w:val="Heading2Char"/>
    <w:rsid w:val="00E672E8"/>
    <w:pPr>
      <w:keepNext/>
      <w:keepLines/>
      <w:spacing w:before="360" w:after="80"/>
      <w:contextualSpacing/>
      <w:outlineLvl w:val="1"/>
    </w:pPr>
    <w:rPr>
      <w:b/>
      <w:sz w:val="36"/>
      <w:szCs w:val="36"/>
    </w:rPr>
  </w:style>
  <w:style w:type="paragraph" w:styleId="Heading3">
    <w:name w:val="heading 3"/>
    <w:basedOn w:val="Normal"/>
    <w:next w:val="Normal"/>
    <w:link w:val="Heading3Char"/>
    <w:rsid w:val="00E672E8"/>
    <w:pPr>
      <w:keepNext/>
      <w:keepLines/>
      <w:spacing w:before="280" w:after="80"/>
      <w:contextualSpacing/>
      <w:outlineLvl w:val="2"/>
    </w:pPr>
    <w:rPr>
      <w:b/>
      <w:sz w:val="28"/>
      <w:szCs w:val="28"/>
    </w:rPr>
  </w:style>
  <w:style w:type="paragraph" w:styleId="Heading4">
    <w:name w:val="heading 4"/>
    <w:basedOn w:val="Normal"/>
    <w:next w:val="Normal"/>
    <w:link w:val="Heading4Char"/>
    <w:rsid w:val="00E672E8"/>
    <w:pPr>
      <w:keepNext/>
      <w:keepLines/>
      <w:spacing w:before="240" w:after="40"/>
      <w:contextualSpacing/>
      <w:outlineLvl w:val="3"/>
    </w:pPr>
    <w:rPr>
      <w:b/>
      <w:sz w:val="24"/>
      <w:szCs w:val="24"/>
    </w:rPr>
  </w:style>
  <w:style w:type="paragraph" w:styleId="Heading5">
    <w:name w:val="heading 5"/>
    <w:basedOn w:val="Normal"/>
    <w:next w:val="Normal"/>
    <w:link w:val="Heading5Char"/>
    <w:rsid w:val="00E672E8"/>
    <w:pPr>
      <w:keepNext/>
      <w:keepLines/>
      <w:spacing w:before="220" w:after="40"/>
      <w:contextualSpacing/>
      <w:outlineLvl w:val="4"/>
    </w:pPr>
    <w:rPr>
      <w:b/>
    </w:rPr>
  </w:style>
  <w:style w:type="paragraph" w:styleId="Heading6">
    <w:name w:val="heading 6"/>
    <w:basedOn w:val="Normal"/>
    <w:next w:val="Normal"/>
    <w:link w:val="Heading6Char"/>
    <w:rsid w:val="00E672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2E8"/>
    <w:rPr>
      <w:rFonts w:ascii="Calibri" w:eastAsia="Calibri" w:hAnsi="Calibri" w:cs="Calibri"/>
      <w:color w:val="2E75B5"/>
      <w:sz w:val="32"/>
      <w:szCs w:val="32"/>
      <w:lang w:eastAsia="en-GB"/>
    </w:rPr>
  </w:style>
  <w:style w:type="character" w:customStyle="1" w:styleId="Heading2Char">
    <w:name w:val="Heading 2 Char"/>
    <w:basedOn w:val="DefaultParagraphFont"/>
    <w:link w:val="Heading2"/>
    <w:rsid w:val="00E672E8"/>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E672E8"/>
    <w:rPr>
      <w:rFonts w:ascii="Calibri" w:eastAsia="Calibri" w:hAnsi="Calibri" w:cs="Calibri"/>
      <w:b/>
      <w:color w:val="000000"/>
      <w:sz w:val="28"/>
      <w:szCs w:val="28"/>
      <w:lang w:eastAsia="en-GB"/>
    </w:rPr>
  </w:style>
  <w:style w:type="character" w:customStyle="1" w:styleId="Heading4Char">
    <w:name w:val="Heading 4 Char"/>
    <w:basedOn w:val="DefaultParagraphFont"/>
    <w:link w:val="Heading4"/>
    <w:rsid w:val="00E672E8"/>
    <w:rPr>
      <w:rFonts w:ascii="Calibri" w:eastAsia="Calibri" w:hAnsi="Calibri" w:cs="Calibri"/>
      <w:b/>
      <w:color w:val="000000"/>
      <w:sz w:val="24"/>
      <w:szCs w:val="24"/>
      <w:lang w:eastAsia="en-GB"/>
    </w:rPr>
  </w:style>
  <w:style w:type="character" w:customStyle="1" w:styleId="Heading5Char">
    <w:name w:val="Heading 5 Char"/>
    <w:basedOn w:val="DefaultParagraphFont"/>
    <w:link w:val="Heading5"/>
    <w:rsid w:val="00E672E8"/>
    <w:rPr>
      <w:rFonts w:ascii="Calibri" w:eastAsia="Calibri" w:hAnsi="Calibri" w:cs="Calibri"/>
      <w:b/>
      <w:color w:val="000000"/>
      <w:lang w:eastAsia="en-GB"/>
    </w:rPr>
  </w:style>
  <w:style w:type="character" w:customStyle="1" w:styleId="Heading6Char">
    <w:name w:val="Heading 6 Char"/>
    <w:basedOn w:val="DefaultParagraphFont"/>
    <w:link w:val="Heading6"/>
    <w:rsid w:val="00E672E8"/>
    <w:rPr>
      <w:rFonts w:ascii="Calibri" w:eastAsia="Calibri" w:hAnsi="Calibri" w:cs="Calibri"/>
      <w:b/>
      <w:color w:val="000000"/>
      <w:sz w:val="20"/>
      <w:szCs w:val="20"/>
      <w:lang w:eastAsia="en-GB"/>
    </w:rPr>
  </w:style>
  <w:style w:type="paragraph" w:styleId="Title">
    <w:name w:val="Title"/>
    <w:basedOn w:val="Normal"/>
    <w:next w:val="Normal"/>
    <w:link w:val="TitleChar"/>
    <w:rsid w:val="00E672E8"/>
    <w:pPr>
      <w:keepNext/>
      <w:keepLines/>
      <w:spacing w:after="0" w:line="240" w:lineRule="auto"/>
    </w:pPr>
    <w:rPr>
      <w:sz w:val="56"/>
      <w:szCs w:val="56"/>
    </w:rPr>
  </w:style>
  <w:style w:type="character" w:customStyle="1" w:styleId="TitleChar">
    <w:name w:val="Title Char"/>
    <w:basedOn w:val="DefaultParagraphFont"/>
    <w:link w:val="Title"/>
    <w:rsid w:val="00E672E8"/>
    <w:rPr>
      <w:rFonts w:ascii="Calibri" w:eastAsia="Calibri" w:hAnsi="Calibri" w:cs="Calibri"/>
      <w:color w:val="000000"/>
      <w:sz w:val="56"/>
      <w:szCs w:val="56"/>
      <w:lang w:eastAsia="en-GB"/>
    </w:rPr>
  </w:style>
  <w:style w:type="paragraph" w:styleId="Subtitle">
    <w:name w:val="Subtitle"/>
    <w:basedOn w:val="Normal"/>
    <w:next w:val="Normal"/>
    <w:link w:val="SubtitleChar"/>
    <w:rsid w:val="00E672E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72E8"/>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E672E8"/>
    <w:pPr>
      <w:spacing w:line="240" w:lineRule="auto"/>
    </w:pPr>
    <w:rPr>
      <w:sz w:val="20"/>
      <w:szCs w:val="20"/>
    </w:rPr>
  </w:style>
  <w:style w:type="character" w:customStyle="1" w:styleId="CommentTextChar">
    <w:name w:val="Comment Text Char"/>
    <w:basedOn w:val="DefaultParagraphFont"/>
    <w:link w:val="CommentText"/>
    <w:uiPriority w:val="99"/>
    <w:semiHidden/>
    <w:rsid w:val="00E672E8"/>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sid w:val="00E672E8"/>
    <w:rPr>
      <w:sz w:val="16"/>
      <w:szCs w:val="16"/>
    </w:rPr>
  </w:style>
  <w:style w:type="paragraph" w:styleId="BalloonText">
    <w:name w:val="Balloon Text"/>
    <w:basedOn w:val="Normal"/>
    <w:link w:val="BalloonTextChar"/>
    <w:uiPriority w:val="99"/>
    <w:semiHidden/>
    <w:unhideWhenUsed/>
    <w:rsid w:val="00E67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E8"/>
    <w:rPr>
      <w:rFonts w:ascii="Segoe UI" w:eastAsia="Calibri" w:hAnsi="Segoe UI" w:cs="Segoe UI"/>
      <w:color w:val="000000"/>
      <w:sz w:val="18"/>
      <w:szCs w:val="18"/>
      <w:lang w:eastAsia="en-GB"/>
    </w:rPr>
  </w:style>
  <w:style w:type="paragraph" w:customStyle="1" w:styleId="EndNoteBibliographyTitle">
    <w:name w:val="EndNote Bibliography Title"/>
    <w:basedOn w:val="Normal"/>
    <w:link w:val="EndNoteBibliographyTitleChar"/>
    <w:rsid w:val="00E672E8"/>
    <w:pPr>
      <w:spacing w:after="0"/>
      <w:jc w:val="center"/>
    </w:pPr>
    <w:rPr>
      <w:noProof/>
    </w:rPr>
  </w:style>
  <w:style w:type="character" w:customStyle="1" w:styleId="EndNoteBibliographyTitleChar">
    <w:name w:val="EndNote Bibliography Title Char"/>
    <w:basedOn w:val="DefaultParagraphFont"/>
    <w:link w:val="EndNoteBibliographyTitle"/>
    <w:rsid w:val="00E672E8"/>
    <w:rPr>
      <w:rFonts w:ascii="Calibri" w:eastAsia="Calibri" w:hAnsi="Calibri" w:cs="Calibri"/>
      <w:noProof/>
      <w:color w:val="000000"/>
      <w:lang w:eastAsia="en-GB"/>
    </w:rPr>
  </w:style>
  <w:style w:type="paragraph" w:customStyle="1" w:styleId="EndNoteBibliography">
    <w:name w:val="EndNote Bibliography"/>
    <w:basedOn w:val="Normal"/>
    <w:link w:val="EndNoteBibliographyChar"/>
    <w:rsid w:val="00E672E8"/>
    <w:pPr>
      <w:spacing w:line="240" w:lineRule="auto"/>
    </w:pPr>
    <w:rPr>
      <w:noProof/>
    </w:rPr>
  </w:style>
  <w:style w:type="character" w:customStyle="1" w:styleId="EndNoteBibliographyChar">
    <w:name w:val="EndNote Bibliography Char"/>
    <w:basedOn w:val="DefaultParagraphFont"/>
    <w:link w:val="EndNoteBibliography"/>
    <w:rsid w:val="00E672E8"/>
    <w:rPr>
      <w:rFonts w:ascii="Calibri" w:eastAsia="Calibri" w:hAnsi="Calibri" w:cs="Calibri"/>
      <w:noProof/>
      <w:color w:val="000000"/>
      <w:lang w:eastAsia="en-GB"/>
    </w:rPr>
  </w:style>
  <w:style w:type="paragraph" w:styleId="CommentSubject">
    <w:name w:val="annotation subject"/>
    <w:basedOn w:val="CommentText"/>
    <w:next w:val="CommentText"/>
    <w:link w:val="CommentSubjectChar"/>
    <w:uiPriority w:val="99"/>
    <w:semiHidden/>
    <w:unhideWhenUsed/>
    <w:rsid w:val="00E672E8"/>
    <w:rPr>
      <w:b/>
      <w:bCs/>
    </w:rPr>
  </w:style>
  <w:style w:type="character" w:customStyle="1" w:styleId="CommentSubjectChar">
    <w:name w:val="Comment Subject Char"/>
    <w:basedOn w:val="CommentTextChar"/>
    <w:link w:val="CommentSubject"/>
    <w:uiPriority w:val="99"/>
    <w:semiHidden/>
    <w:rsid w:val="00E672E8"/>
    <w:rPr>
      <w:rFonts w:ascii="Calibri" w:eastAsia="Calibri" w:hAnsi="Calibri" w:cs="Calibri"/>
      <w:b/>
      <w:bCs/>
      <w:color w:val="000000"/>
      <w:sz w:val="20"/>
      <w:szCs w:val="20"/>
      <w:lang w:eastAsia="en-GB"/>
    </w:rPr>
  </w:style>
  <w:style w:type="paragraph" w:styleId="FootnoteText">
    <w:name w:val="footnote text"/>
    <w:basedOn w:val="Normal"/>
    <w:link w:val="FootnoteTextChar"/>
    <w:uiPriority w:val="99"/>
    <w:unhideWhenUsed/>
    <w:rsid w:val="00E672E8"/>
    <w:pPr>
      <w:spacing w:after="0" w:line="240" w:lineRule="auto"/>
    </w:pPr>
    <w:rPr>
      <w:sz w:val="24"/>
      <w:szCs w:val="24"/>
    </w:rPr>
  </w:style>
  <w:style w:type="character" w:customStyle="1" w:styleId="FootnoteTextChar">
    <w:name w:val="Footnote Text Char"/>
    <w:basedOn w:val="DefaultParagraphFont"/>
    <w:link w:val="FootnoteText"/>
    <w:uiPriority w:val="99"/>
    <w:rsid w:val="00E672E8"/>
    <w:rPr>
      <w:rFonts w:ascii="Calibri" w:eastAsia="Calibri" w:hAnsi="Calibri" w:cs="Calibri"/>
      <w:color w:val="000000"/>
      <w:sz w:val="24"/>
      <w:szCs w:val="24"/>
      <w:lang w:eastAsia="en-GB"/>
    </w:rPr>
  </w:style>
  <w:style w:type="character" w:styleId="FootnoteReference">
    <w:name w:val="footnote reference"/>
    <w:basedOn w:val="DefaultParagraphFont"/>
    <w:uiPriority w:val="99"/>
    <w:unhideWhenUsed/>
    <w:rsid w:val="00E672E8"/>
    <w:rPr>
      <w:vertAlign w:val="superscript"/>
    </w:rPr>
  </w:style>
  <w:style w:type="character" w:styleId="Hyperlink">
    <w:name w:val="Hyperlink"/>
    <w:basedOn w:val="DefaultParagraphFont"/>
    <w:uiPriority w:val="99"/>
    <w:unhideWhenUsed/>
    <w:rsid w:val="00E672E8"/>
    <w:rPr>
      <w:color w:val="0563C1" w:themeColor="hyperlink"/>
      <w:u w:val="single"/>
    </w:rPr>
  </w:style>
  <w:style w:type="paragraph" w:styleId="ListParagraph">
    <w:name w:val="List Paragraph"/>
    <w:basedOn w:val="Normal"/>
    <w:uiPriority w:val="34"/>
    <w:qFormat/>
    <w:rsid w:val="00E672E8"/>
    <w:pPr>
      <w:ind w:left="720"/>
      <w:contextualSpacing/>
    </w:pPr>
  </w:style>
  <w:style w:type="paragraph" w:styleId="Header">
    <w:name w:val="header"/>
    <w:basedOn w:val="Normal"/>
    <w:link w:val="HeaderChar"/>
    <w:uiPriority w:val="99"/>
    <w:unhideWhenUsed/>
    <w:rsid w:val="00E672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72E8"/>
    <w:rPr>
      <w:rFonts w:ascii="Calibri" w:eastAsia="Calibri" w:hAnsi="Calibri" w:cs="Calibri"/>
      <w:color w:val="000000"/>
      <w:lang w:eastAsia="en-GB"/>
    </w:rPr>
  </w:style>
  <w:style w:type="paragraph" w:styleId="Footer">
    <w:name w:val="footer"/>
    <w:basedOn w:val="Normal"/>
    <w:link w:val="FooterChar"/>
    <w:uiPriority w:val="99"/>
    <w:unhideWhenUsed/>
    <w:rsid w:val="00E672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72E8"/>
    <w:rPr>
      <w:rFonts w:ascii="Calibri" w:eastAsia="Calibri" w:hAnsi="Calibri" w:cs="Calibri"/>
      <w:color w:val="000000"/>
      <w:lang w:eastAsia="en-GB"/>
    </w:rPr>
  </w:style>
  <w:style w:type="character" w:styleId="PageNumber">
    <w:name w:val="page number"/>
    <w:basedOn w:val="DefaultParagraphFont"/>
    <w:uiPriority w:val="99"/>
    <w:semiHidden/>
    <w:unhideWhenUsed/>
    <w:rsid w:val="00E672E8"/>
  </w:style>
  <w:style w:type="table" w:customStyle="1" w:styleId="GridTable4-Accent11">
    <w:name w:val="Grid Table 4 - Accent 11"/>
    <w:basedOn w:val="TableNormal"/>
    <w:uiPriority w:val="49"/>
    <w:rsid w:val="00E672E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E672E8"/>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2142CD"/>
    <w:pPr>
      <w:spacing w:after="0" w:line="240" w:lineRule="auto"/>
    </w:pPr>
    <w:rPr>
      <w:rFonts w:ascii="Calibri" w:eastAsia="Calibri" w:hAnsi="Calibri" w:cs="Calibri"/>
      <w:color w:val="000000"/>
      <w:lang w:eastAsia="en-GB"/>
    </w:rPr>
  </w:style>
  <w:style w:type="paragraph" w:styleId="DocumentMap">
    <w:name w:val="Document Map"/>
    <w:basedOn w:val="Normal"/>
    <w:link w:val="DocumentMapChar"/>
    <w:uiPriority w:val="99"/>
    <w:semiHidden/>
    <w:unhideWhenUsed/>
    <w:rsid w:val="002142C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42CD"/>
    <w:rPr>
      <w:rFonts w:ascii="Lucida Grande" w:eastAsia="Calibri" w:hAnsi="Lucida Grande" w:cs="Lucida Grande"/>
      <w:color w:val="000000"/>
      <w:sz w:val="24"/>
      <w:szCs w:val="24"/>
      <w:lang w:eastAsia="en-GB"/>
    </w:rPr>
  </w:style>
  <w:style w:type="character" w:styleId="FollowedHyperlink">
    <w:name w:val="FollowedHyperlink"/>
    <w:basedOn w:val="DefaultParagraphFont"/>
    <w:uiPriority w:val="99"/>
    <w:semiHidden/>
    <w:unhideWhenUsed/>
    <w:rsid w:val="000E045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72E8"/>
    <w:rPr>
      <w:rFonts w:ascii="Calibri" w:eastAsia="Calibri" w:hAnsi="Calibri" w:cs="Calibri"/>
      <w:color w:val="000000"/>
      <w:lang w:eastAsia="en-GB"/>
    </w:rPr>
  </w:style>
  <w:style w:type="paragraph" w:styleId="Heading1">
    <w:name w:val="heading 1"/>
    <w:basedOn w:val="Normal"/>
    <w:next w:val="Normal"/>
    <w:link w:val="Heading1Char"/>
    <w:rsid w:val="00E672E8"/>
    <w:pPr>
      <w:keepNext/>
      <w:keepLines/>
      <w:spacing w:before="240" w:after="0"/>
      <w:outlineLvl w:val="0"/>
    </w:pPr>
    <w:rPr>
      <w:color w:val="2E75B5"/>
      <w:sz w:val="32"/>
      <w:szCs w:val="32"/>
    </w:rPr>
  </w:style>
  <w:style w:type="paragraph" w:styleId="Heading2">
    <w:name w:val="heading 2"/>
    <w:basedOn w:val="Normal"/>
    <w:next w:val="Normal"/>
    <w:link w:val="Heading2Char"/>
    <w:rsid w:val="00E672E8"/>
    <w:pPr>
      <w:keepNext/>
      <w:keepLines/>
      <w:spacing w:before="360" w:after="80"/>
      <w:contextualSpacing/>
      <w:outlineLvl w:val="1"/>
    </w:pPr>
    <w:rPr>
      <w:b/>
      <w:sz w:val="36"/>
      <w:szCs w:val="36"/>
    </w:rPr>
  </w:style>
  <w:style w:type="paragraph" w:styleId="Heading3">
    <w:name w:val="heading 3"/>
    <w:basedOn w:val="Normal"/>
    <w:next w:val="Normal"/>
    <w:link w:val="Heading3Char"/>
    <w:rsid w:val="00E672E8"/>
    <w:pPr>
      <w:keepNext/>
      <w:keepLines/>
      <w:spacing w:before="280" w:after="80"/>
      <w:contextualSpacing/>
      <w:outlineLvl w:val="2"/>
    </w:pPr>
    <w:rPr>
      <w:b/>
      <w:sz w:val="28"/>
      <w:szCs w:val="28"/>
    </w:rPr>
  </w:style>
  <w:style w:type="paragraph" w:styleId="Heading4">
    <w:name w:val="heading 4"/>
    <w:basedOn w:val="Normal"/>
    <w:next w:val="Normal"/>
    <w:link w:val="Heading4Char"/>
    <w:rsid w:val="00E672E8"/>
    <w:pPr>
      <w:keepNext/>
      <w:keepLines/>
      <w:spacing w:before="240" w:after="40"/>
      <w:contextualSpacing/>
      <w:outlineLvl w:val="3"/>
    </w:pPr>
    <w:rPr>
      <w:b/>
      <w:sz w:val="24"/>
      <w:szCs w:val="24"/>
    </w:rPr>
  </w:style>
  <w:style w:type="paragraph" w:styleId="Heading5">
    <w:name w:val="heading 5"/>
    <w:basedOn w:val="Normal"/>
    <w:next w:val="Normal"/>
    <w:link w:val="Heading5Char"/>
    <w:rsid w:val="00E672E8"/>
    <w:pPr>
      <w:keepNext/>
      <w:keepLines/>
      <w:spacing w:before="220" w:after="40"/>
      <w:contextualSpacing/>
      <w:outlineLvl w:val="4"/>
    </w:pPr>
    <w:rPr>
      <w:b/>
    </w:rPr>
  </w:style>
  <w:style w:type="paragraph" w:styleId="Heading6">
    <w:name w:val="heading 6"/>
    <w:basedOn w:val="Normal"/>
    <w:next w:val="Normal"/>
    <w:link w:val="Heading6Char"/>
    <w:rsid w:val="00E672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72E8"/>
    <w:rPr>
      <w:rFonts w:ascii="Calibri" w:eastAsia="Calibri" w:hAnsi="Calibri" w:cs="Calibri"/>
      <w:color w:val="2E75B5"/>
      <w:sz w:val="32"/>
      <w:szCs w:val="32"/>
      <w:lang w:eastAsia="en-GB"/>
    </w:rPr>
  </w:style>
  <w:style w:type="character" w:customStyle="1" w:styleId="Heading2Char">
    <w:name w:val="Heading 2 Char"/>
    <w:basedOn w:val="DefaultParagraphFont"/>
    <w:link w:val="Heading2"/>
    <w:rsid w:val="00E672E8"/>
    <w:rPr>
      <w:rFonts w:ascii="Calibri" w:eastAsia="Calibri" w:hAnsi="Calibri" w:cs="Calibri"/>
      <w:b/>
      <w:color w:val="000000"/>
      <w:sz w:val="36"/>
      <w:szCs w:val="36"/>
      <w:lang w:eastAsia="en-GB"/>
    </w:rPr>
  </w:style>
  <w:style w:type="character" w:customStyle="1" w:styleId="Heading3Char">
    <w:name w:val="Heading 3 Char"/>
    <w:basedOn w:val="DefaultParagraphFont"/>
    <w:link w:val="Heading3"/>
    <w:rsid w:val="00E672E8"/>
    <w:rPr>
      <w:rFonts w:ascii="Calibri" w:eastAsia="Calibri" w:hAnsi="Calibri" w:cs="Calibri"/>
      <w:b/>
      <w:color w:val="000000"/>
      <w:sz w:val="28"/>
      <w:szCs w:val="28"/>
      <w:lang w:eastAsia="en-GB"/>
    </w:rPr>
  </w:style>
  <w:style w:type="character" w:customStyle="1" w:styleId="Heading4Char">
    <w:name w:val="Heading 4 Char"/>
    <w:basedOn w:val="DefaultParagraphFont"/>
    <w:link w:val="Heading4"/>
    <w:rsid w:val="00E672E8"/>
    <w:rPr>
      <w:rFonts w:ascii="Calibri" w:eastAsia="Calibri" w:hAnsi="Calibri" w:cs="Calibri"/>
      <w:b/>
      <w:color w:val="000000"/>
      <w:sz w:val="24"/>
      <w:szCs w:val="24"/>
      <w:lang w:eastAsia="en-GB"/>
    </w:rPr>
  </w:style>
  <w:style w:type="character" w:customStyle="1" w:styleId="Heading5Char">
    <w:name w:val="Heading 5 Char"/>
    <w:basedOn w:val="DefaultParagraphFont"/>
    <w:link w:val="Heading5"/>
    <w:rsid w:val="00E672E8"/>
    <w:rPr>
      <w:rFonts w:ascii="Calibri" w:eastAsia="Calibri" w:hAnsi="Calibri" w:cs="Calibri"/>
      <w:b/>
      <w:color w:val="000000"/>
      <w:lang w:eastAsia="en-GB"/>
    </w:rPr>
  </w:style>
  <w:style w:type="character" w:customStyle="1" w:styleId="Heading6Char">
    <w:name w:val="Heading 6 Char"/>
    <w:basedOn w:val="DefaultParagraphFont"/>
    <w:link w:val="Heading6"/>
    <w:rsid w:val="00E672E8"/>
    <w:rPr>
      <w:rFonts w:ascii="Calibri" w:eastAsia="Calibri" w:hAnsi="Calibri" w:cs="Calibri"/>
      <w:b/>
      <w:color w:val="000000"/>
      <w:sz w:val="20"/>
      <w:szCs w:val="20"/>
      <w:lang w:eastAsia="en-GB"/>
    </w:rPr>
  </w:style>
  <w:style w:type="paragraph" w:styleId="Title">
    <w:name w:val="Title"/>
    <w:basedOn w:val="Normal"/>
    <w:next w:val="Normal"/>
    <w:link w:val="TitleChar"/>
    <w:rsid w:val="00E672E8"/>
    <w:pPr>
      <w:keepNext/>
      <w:keepLines/>
      <w:spacing w:after="0" w:line="240" w:lineRule="auto"/>
    </w:pPr>
    <w:rPr>
      <w:sz w:val="56"/>
      <w:szCs w:val="56"/>
    </w:rPr>
  </w:style>
  <w:style w:type="character" w:customStyle="1" w:styleId="TitleChar">
    <w:name w:val="Title Char"/>
    <w:basedOn w:val="DefaultParagraphFont"/>
    <w:link w:val="Title"/>
    <w:rsid w:val="00E672E8"/>
    <w:rPr>
      <w:rFonts w:ascii="Calibri" w:eastAsia="Calibri" w:hAnsi="Calibri" w:cs="Calibri"/>
      <w:color w:val="000000"/>
      <w:sz w:val="56"/>
      <w:szCs w:val="56"/>
      <w:lang w:eastAsia="en-GB"/>
    </w:rPr>
  </w:style>
  <w:style w:type="paragraph" w:styleId="Subtitle">
    <w:name w:val="Subtitle"/>
    <w:basedOn w:val="Normal"/>
    <w:next w:val="Normal"/>
    <w:link w:val="SubtitleChar"/>
    <w:rsid w:val="00E672E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672E8"/>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E672E8"/>
    <w:pPr>
      <w:spacing w:line="240" w:lineRule="auto"/>
    </w:pPr>
    <w:rPr>
      <w:sz w:val="20"/>
      <w:szCs w:val="20"/>
    </w:rPr>
  </w:style>
  <w:style w:type="character" w:customStyle="1" w:styleId="CommentTextChar">
    <w:name w:val="Comment Text Char"/>
    <w:basedOn w:val="DefaultParagraphFont"/>
    <w:link w:val="CommentText"/>
    <w:uiPriority w:val="99"/>
    <w:semiHidden/>
    <w:rsid w:val="00E672E8"/>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sid w:val="00E672E8"/>
    <w:rPr>
      <w:sz w:val="16"/>
      <w:szCs w:val="16"/>
    </w:rPr>
  </w:style>
  <w:style w:type="paragraph" w:styleId="BalloonText">
    <w:name w:val="Balloon Text"/>
    <w:basedOn w:val="Normal"/>
    <w:link w:val="BalloonTextChar"/>
    <w:uiPriority w:val="99"/>
    <w:semiHidden/>
    <w:unhideWhenUsed/>
    <w:rsid w:val="00E67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E8"/>
    <w:rPr>
      <w:rFonts w:ascii="Segoe UI" w:eastAsia="Calibri" w:hAnsi="Segoe UI" w:cs="Segoe UI"/>
      <w:color w:val="000000"/>
      <w:sz w:val="18"/>
      <w:szCs w:val="18"/>
      <w:lang w:eastAsia="en-GB"/>
    </w:rPr>
  </w:style>
  <w:style w:type="paragraph" w:customStyle="1" w:styleId="EndNoteBibliographyTitle">
    <w:name w:val="EndNote Bibliography Title"/>
    <w:basedOn w:val="Normal"/>
    <w:link w:val="EndNoteBibliographyTitleChar"/>
    <w:rsid w:val="00E672E8"/>
    <w:pPr>
      <w:spacing w:after="0"/>
      <w:jc w:val="center"/>
    </w:pPr>
    <w:rPr>
      <w:noProof/>
    </w:rPr>
  </w:style>
  <w:style w:type="character" w:customStyle="1" w:styleId="EndNoteBibliographyTitleChar">
    <w:name w:val="EndNote Bibliography Title Char"/>
    <w:basedOn w:val="DefaultParagraphFont"/>
    <w:link w:val="EndNoteBibliographyTitle"/>
    <w:rsid w:val="00E672E8"/>
    <w:rPr>
      <w:rFonts w:ascii="Calibri" w:eastAsia="Calibri" w:hAnsi="Calibri" w:cs="Calibri"/>
      <w:noProof/>
      <w:color w:val="000000"/>
      <w:lang w:eastAsia="en-GB"/>
    </w:rPr>
  </w:style>
  <w:style w:type="paragraph" w:customStyle="1" w:styleId="EndNoteBibliography">
    <w:name w:val="EndNote Bibliography"/>
    <w:basedOn w:val="Normal"/>
    <w:link w:val="EndNoteBibliographyChar"/>
    <w:rsid w:val="00E672E8"/>
    <w:pPr>
      <w:spacing w:line="240" w:lineRule="auto"/>
    </w:pPr>
    <w:rPr>
      <w:noProof/>
    </w:rPr>
  </w:style>
  <w:style w:type="character" w:customStyle="1" w:styleId="EndNoteBibliographyChar">
    <w:name w:val="EndNote Bibliography Char"/>
    <w:basedOn w:val="DefaultParagraphFont"/>
    <w:link w:val="EndNoteBibliography"/>
    <w:rsid w:val="00E672E8"/>
    <w:rPr>
      <w:rFonts w:ascii="Calibri" w:eastAsia="Calibri" w:hAnsi="Calibri" w:cs="Calibri"/>
      <w:noProof/>
      <w:color w:val="000000"/>
      <w:lang w:eastAsia="en-GB"/>
    </w:rPr>
  </w:style>
  <w:style w:type="paragraph" w:styleId="CommentSubject">
    <w:name w:val="annotation subject"/>
    <w:basedOn w:val="CommentText"/>
    <w:next w:val="CommentText"/>
    <w:link w:val="CommentSubjectChar"/>
    <w:uiPriority w:val="99"/>
    <w:semiHidden/>
    <w:unhideWhenUsed/>
    <w:rsid w:val="00E672E8"/>
    <w:rPr>
      <w:b/>
      <w:bCs/>
    </w:rPr>
  </w:style>
  <w:style w:type="character" w:customStyle="1" w:styleId="CommentSubjectChar">
    <w:name w:val="Comment Subject Char"/>
    <w:basedOn w:val="CommentTextChar"/>
    <w:link w:val="CommentSubject"/>
    <w:uiPriority w:val="99"/>
    <w:semiHidden/>
    <w:rsid w:val="00E672E8"/>
    <w:rPr>
      <w:rFonts w:ascii="Calibri" w:eastAsia="Calibri" w:hAnsi="Calibri" w:cs="Calibri"/>
      <w:b/>
      <w:bCs/>
      <w:color w:val="000000"/>
      <w:sz w:val="20"/>
      <w:szCs w:val="20"/>
      <w:lang w:eastAsia="en-GB"/>
    </w:rPr>
  </w:style>
  <w:style w:type="paragraph" w:styleId="FootnoteText">
    <w:name w:val="footnote text"/>
    <w:basedOn w:val="Normal"/>
    <w:link w:val="FootnoteTextChar"/>
    <w:uiPriority w:val="99"/>
    <w:unhideWhenUsed/>
    <w:rsid w:val="00E672E8"/>
    <w:pPr>
      <w:spacing w:after="0" w:line="240" w:lineRule="auto"/>
    </w:pPr>
    <w:rPr>
      <w:sz w:val="24"/>
      <w:szCs w:val="24"/>
    </w:rPr>
  </w:style>
  <w:style w:type="character" w:customStyle="1" w:styleId="FootnoteTextChar">
    <w:name w:val="Footnote Text Char"/>
    <w:basedOn w:val="DefaultParagraphFont"/>
    <w:link w:val="FootnoteText"/>
    <w:uiPriority w:val="99"/>
    <w:rsid w:val="00E672E8"/>
    <w:rPr>
      <w:rFonts w:ascii="Calibri" w:eastAsia="Calibri" w:hAnsi="Calibri" w:cs="Calibri"/>
      <w:color w:val="000000"/>
      <w:sz w:val="24"/>
      <w:szCs w:val="24"/>
      <w:lang w:eastAsia="en-GB"/>
    </w:rPr>
  </w:style>
  <w:style w:type="character" w:styleId="FootnoteReference">
    <w:name w:val="footnote reference"/>
    <w:basedOn w:val="DefaultParagraphFont"/>
    <w:uiPriority w:val="99"/>
    <w:unhideWhenUsed/>
    <w:rsid w:val="00E672E8"/>
    <w:rPr>
      <w:vertAlign w:val="superscript"/>
    </w:rPr>
  </w:style>
  <w:style w:type="character" w:styleId="Hyperlink">
    <w:name w:val="Hyperlink"/>
    <w:basedOn w:val="DefaultParagraphFont"/>
    <w:uiPriority w:val="99"/>
    <w:unhideWhenUsed/>
    <w:rsid w:val="00E672E8"/>
    <w:rPr>
      <w:color w:val="0563C1" w:themeColor="hyperlink"/>
      <w:u w:val="single"/>
    </w:rPr>
  </w:style>
  <w:style w:type="paragraph" w:styleId="ListParagraph">
    <w:name w:val="List Paragraph"/>
    <w:basedOn w:val="Normal"/>
    <w:uiPriority w:val="34"/>
    <w:qFormat/>
    <w:rsid w:val="00E672E8"/>
    <w:pPr>
      <w:ind w:left="720"/>
      <w:contextualSpacing/>
    </w:pPr>
  </w:style>
  <w:style w:type="paragraph" w:styleId="Header">
    <w:name w:val="header"/>
    <w:basedOn w:val="Normal"/>
    <w:link w:val="HeaderChar"/>
    <w:uiPriority w:val="99"/>
    <w:unhideWhenUsed/>
    <w:rsid w:val="00E672E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72E8"/>
    <w:rPr>
      <w:rFonts w:ascii="Calibri" w:eastAsia="Calibri" w:hAnsi="Calibri" w:cs="Calibri"/>
      <w:color w:val="000000"/>
      <w:lang w:eastAsia="en-GB"/>
    </w:rPr>
  </w:style>
  <w:style w:type="paragraph" w:styleId="Footer">
    <w:name w:val="footer"/>
    <w:basedOn w:val="Normal"/>
    <w:link w:val="FooterChar"/>
    <w:uiPriority w:val="99"/>
    <w:unhideWhenUsed/>
    <w:rsid w:val="00E672E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72E8"/>
    <w:rPr>
      <w:rFonts w:ascii="Calibri" w:eastAsia="Calibri" w:hAnsi="Calibri" w:cs="Calibri"/>
      <w:color w:val="000000"/>
      <w:lang w:eastAsia="en-GB"/>
    </w:rPr>
  </w:style>
  <w:style w:type="character" w:styleId="PageNumber">
    <w:name w:val="page number"/>
    <w:basedOn w:val="DefaultParagraphFont"/>
    <w:uiPriority w:val="99"/>
    <w:semiHidden/>
    <w:unhideWhenUsed/>
    <w:rsid w:val="00E672E8"/>
  </w:style>
  <w:style w:type="table" w:customStyle="1" w:styleId="GridTable4-Accent11">
    <w:name w:val="Grid Table 4 - Accent 11"/>
    <w:basedOn w:val="TableNormal"/>
    <w:uiPriority w:val="49"/>
    <w:rsid w:val="00E672E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uiPriority w:val="51"/>
    <w:rsid w:val="00E672E8"/>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2142CD"/>
    <w:pPr>
      <w:spacing w:after="0" w:line="240" w:lineRule="auto"/>
    </w:pPr>
    <w:rPr>
      <w:rFonts w:ascii="Calibri" w:eastAsia="Calibri" w:hAnsi="Calibri" w:cs="Calibri"/>
      <w:color w:val="000000"/>
      <w:lang w:eastAsia="en-GB"/>
    </w:rPr>
  </w:style>
  <w:style w:type="paragraph" w:styleId="DocumentMap">
    <w:name w:val="Document Map"/>
    <w:basedOn w:val="Normal"/>
    <w:link w:val="DocumentMapChar"/>
    <w:uiPriority w:val="99"/>
    <w:semiHidden/>
    <w:unhideWhenUsed/>
    <w:rsid w:val="002142C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142CD"/>
    <w:rPr>
      <w:rFonts w:ascii="Lucida Grande" w:eastAsia="Calibri" w:hAnsi="Lucida Grande" w:cs="Lucida Grande"/>
      <w:color w:val="000000"/>
      <w:sz w:val="24"/>
      <w:szCs w:val="24"/>
      <w:lang w:eastAsia="en-GB"/>
    </w:rPr>
  </w:style>
  <w:style w:type="character" w:styleId="FollowedHyperlink">
    <w:name w:val="FollowedHyperlink"/>
    <w:basedOn w:val="DefaultParagraphFont"/>
    <w:uiPriority w:val="99"/>
    <w:semiHidden/>
    <w:unhideWhenUsed/>
    <w:rsid w:val="000E0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2106">
      <w:bodyDiv w:val="1"/>
      <w:marLeft w:val="0"/>
      <w:marRight w:val="0"/>
      <w:marTop w:val="0"/>
      <w:marBottom w:val="0"/>
      <w:divBdr>
        <w:top w:val="none" w:sz="0" w:space="0" w:color="auto"/>
        <w:left w:val="none" w:sz="0" w:space="0" w:color="auto"/>
        <w:bottom w:val="none" w:sz="0" w:space="0" w:color="auto"/>
        <w:right w:val="none" w:sz="0" w:space="0" w:color="auto"/>
      </w:divBdr>
    </w:div>
    <w:div w:id="209270589">
      <w:bodyDiv w:val="1"/>
      <w:marLeft w:val="0"/>
      <w:marRight w:val="0"/>
      <w:marTop w:val="0"/>
      <w:marBottom w:val="0"/>
      <w:divBdr>
        <w:top w:val="none" w:sz="0" w:space="0" w:color="auto"/>
        <w:left w:val="none" w:sz="0" w:space="0" w:color="auto"/>
        <w:bottom w:val="none" w:sz="0" w:space="0" w:color="auto"/>
        <w:right w:val="none" w:sz="0" w:space="0" w:color="auto"/>
      </w:divBdr>
      <w:divsChild>
        <w:div w:id="1012873037">
          <w:marLeft w:val="0"/>
          <w:marRight w:val="0"/>
          <w:marTop w:val="0"/>
          <w:marBottom w:val="0"/>
          <w:divBdr>
            <w:top w:val="none" w:sz="0" w:space="0" w:color="auto"/>
            <w:left w:val="none" w:sz="0" w:space="0" w:color="auto"/>
            <w:bottom w:val="none" w:sz="0" w:space="0" w:color="auto"/>
            <w:right w:val="none" w:sz="0" w:space="0" w:color="auto"/>
          </w:divBdr>
        </w:div>
      </w:divsChild>
    </w:div>
    <w:div w:id="823012950">
      <w:bodyDiv w:val="1"/>
      <w:marLeft w:val="0"/>
      <w:marRight w:val="0"/>
      <w:marTop w:val="0"/>
      <w:marBottom w:val="0"/>
      <w:divBdr>
        <w:top w:val="none" w:sz="0" w:space="0" w:color="auto"/>
        <w:left w:val="none" w:sz="0" w:space="0" w:color="auto"/>
        <w:bottom w:val="none" w:sz="0" w:space="0" w:color="auto"/>
        <w:right w:val="none" w:sz="0" w:space="0" w:color="auto"/>
      </w:divBdr>
    </w:div>
    <w:div w:id="1313951965">
      <w:bodyDiv w:val="1"/>
      <w:marLeft w:val="0"/>
      <w:marRight w:val="0"/>
      <w:marTop w:val="0"/>
      <w:marBottom w:val="0"/>
      <w:divBdr>
        <w:top w:val="none" w:sz="0" w:space="0" w:color="auto"/>
        <w:left w:val="none" w:sz="0" w:space="0" w:color="auto"/>
        <w:bottom w:val="none" w:sz="0" w:space="0" w:color="auto"/>
        <w:right w:val="none" w:sz="0" w:space="0" w:color="auto"/>
      </w:divBdr>
      <w:divsChild>
        <w:div w:id="8284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unicef-irc.org/publications/pdf/rc12-eng-web.pdf" TargetMode="External"/><Relationship Id="rId21" Type="http://schemas.openxmlformats.org/officeDocument/2006/relationships/hyperlink" Target="https://www2.le.ac.uk/departments/law/research/cces/documents/the-energy-penalty-disability-and-fuel-poverty-pdf" TargetMode="External"/><Relationship Id="rId22" Type="http://schemas.openxmlformats.org/officeDocument/2006/relationships/hyperlink" Target="http://www.ukace.org/wp-content/uploads/2013/02/ACE-and-EBR-fact-file-2012-02-Families-and-fuel-poverty.pdf" TargetMode="External"/><Relationship Id="rId23" Type="http://schemas.openxmlformats.org/officeDocument/2006/relationships/hyperlink" Target="https://www.iea.org/publications/freepublications/publication/low_income_energy_efficiency.pdf" TargetMode="External"/><Relationship Id="rId24" Type="http://schemas.openxmlformats.org/officeDocument/2006/relationships/hyperlink" Target="http://sticerd.lse.ac.uk/dps/case/cr/CASEreport72.pdf" TargetMode="External"/><Relationship Id="rId25" Type="http://schemas.openxmlformats.org/officeDocument/2006/relationships/hyperlink" Target="http://webarchive.nationalarchives.gov.uk/+/http:/www.berr.gov.uk/files/file16495.pdf" TargetMode="External"/><Relationship Id="rId26" Type="http://schemas.openxmlformats.org/officeDocument/2006/relationships/hyperlink" Target="http://www.savethechildren.org.uk/resources/online-library/the-impact-of-fuel-poverty-on-children" TargetMode="External"/><Relationship Id="rId27" Type="http://schemas.openxmlformats.org/officeDocument/2006/relationships/hyperlink" Target="https://www.foe.co.uk/sites/default/files/downloads/cold_homes_health.pdf" TargetMode="External"/><Relationship Id="rId28" Type="http://schemas.openxmlformats.org/officeDocument/2006/relationships/hyperlink" Target="http://www.nea.org.uk/wp-content/uploads/2016/05/FPM_2016_low_res.pdf" TargetMode="External"/><Relationship Id="rId29" Type="http://schemas.openxmlformats.org/officeDocument/2006/relationships/hyperlink" Target="https://www.ofgem.gov.uk/publications-and-updates/consumer-vulnerability-strateg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gov.uk/government/publications/state-of-the-nation-2014-report" TargetMode="External"/><Relationship Id="rId31" Type="http://schemas.openxmlformats.org/officeDocument/2006/relationships/hyperlink" Target="http://www.independent.co.uk/news/uk/politics/dwp-fit-to-work-wca-figures-3000-disabled-people-wrongly-declared-three-months-a7464166.html" TargetMode="External"/><Relationship Id="rId32" Type="http://schemas.openxmlformats.org/officeDocument/2006/relationships/hyperlink" Target="https://www.jrf.org.uk/report/monitoring-poverty-and-social-exclusion-2016" TargetMode="External"/><Relationship Id="rId9" Type="http://schemas.openxmlformats.org/officeDocument/2006/relationships/diagramData" Target="diagrams/data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ohchr.org/EN/HRBodies/CRPD/Pages/InquiryProcedure.aspx" TargetMode="External"/><Relationship Id="rId34" Type="http://schemas.openxmlformats.org/officeDocument/2006/relationships/hyperlink" Target="http://www.ohchr.org/en/professionalinterest/pages/crc.aspx"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image" Target="media/image1.emf"/><Relationship Id="rId15" Type="http://schemas.openxmlformats.org/officeDocument/2006/relationships/hyperlink" Target="https://ssrn.com/abstract=2743143" TargetMode="External"/><Relationship Id="rId16" Type="http://schemas.openxmlformats.org/officeDocument/2006/relationships/hyperlink" Target="https://www.theguardian.com/society/2016/feb/09/charities-lobby-public-funds-sock-puppets-contracts" TargetMode="External"/><Relationship Id="rId17" Type="http://schemas.openxmlformats.org/officeDocument/2006/relationships/hyperlink" Target="http://www.childrenssociety.org.uk/what-we-do/resources-and-publications/making-a-house-a-home-providing-affordable-warmth-solutions" TargetMode="External"/><Relationship Id="rId18" Type="http://schemas.openxmlformats.org/officeDocument/2006/relationships/hyperlink" Target="https://www.gov.uk/government/publications/cutting-the-cost-of-keeping-warm" TargetMode="External"/><Relationship Id="rId19" Type="http://schemas.openxmlformats.org/officeDocument/2006/relationships/hyperlink" Target="https://www.gov.uk/government/consultations/energy-company-obligation-eco-help-to-heat" TargetMode="External"/><Relationship Id="rId37" Type="http://schemas.openxmlformats.org/officeDocument/2006/relationships/fontTable" Target="fontTable.xml"/><Relationship Id="rId38" Type="http://schemas.openxmlformats.org/officeDocument/2006/relationships/theme" Target="theme/theme1.xml"/><Relationship Id="rId39" Type="http://schemas.microsoft.com/office/2011/relationships/people" Target="people.xml"/><Relationship Id="rId40"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EA8CBE-C6A7-904D-8878-F9650E03110C}" type="doc">
      <dgm:prSet loTypeId="urn:microsoft.com/office/officeart/2005/8/layout/cycle7" loCatId="" qsTypeId="urn:microsoft.com/office/officeart/2005/8/quickstyle/simple3" qsCatId="simple" csTypeId="urn:microsoft.com/office/officeart/2005/8/colors/colorful1" csCatId="colorful" phldr="1"/>
      <dgm:spPr/>
      <dgm:t>
        <a:bodyPr/>
        <a:lstStyle/>
        <a:p>
          <a:endParaRPr lang="en-US"/>
        </a:p>
      </dgm:t>
    </dgm:pt>
    <dgm:pt modelId="{7650EED7-40AC-D241-9228-6F9658CB37B3}">
      <dgm:prSet phldrT="[Text]"/>
      <dgm:spPr/>
      <dgm:t>
        <a:bodyPr/>
        <a:lstStyle/>
        <a:p>
          <a:pPr algn="ctr"/>
          <a:r>
            <a:rPr lang="en-US" dirty="0" smtClean="0"/>
            <a:t>Distribution</a:t>
          </a:r>
          <a:endParaRPr lang="en-US" dirty="0"/>
        </a:p>
      </dgm:t>
    </dgm:pt>
    <dgm:pt modelId="{8DEA8810-A45D-5343-8521-9FAD42A62D58}" type="parTrans" cxnId="{FB57AD40-F230-F24F-8EFC-EF650FB44C63}">
      <dgm:prSet/>
      <dgm:spPr/>
      <dgm:t>
        <a:bodyPr/>
        <a:lstStyle/>
        <a:p>
          <a:endParaRPr lang="en-US"/>
        </a:p>
      </dgm:t>
    </dgm:pt>
    <dgm:pt modelId="{F0087DC7-FE02-AB4D-A17D-7C6D005E8C05}" type="sibTrans" cxnId="{FB57AD40-F230-F24F-8EFC-EF650FB44C63}">
      <dgm:prSet/>
      <dgm:spPr/>
      <dgm:t>
        <a:bodyPr/>
        <a:lstStyle/>
        <a:p>
          <a:endParaRPr lang="en-US"/>
        </a:p>
      </dgm:t>
    </dgm:pt>
    <dgm:pt modelId="{FB8FB505-997D-6149-98E2-E4F9EA9A0335}">
      <dgm:prSet phldrT="[Text]"/>
      <dgm:spPr/>
      <dgm:t>
        <a:bodyPr/>
        <a:lstStyle/>
        <a:p>
          <a:pPr algn="ctr"/>
          <a:r>
            <a:rPr lang="en-US" dirty="0" smtClean="0"/>
            <a:t>Procedure</a:t>
          </a:r>
          <a:endParaRPr lang="en-US" dirty="0"/>
        </a:p>
      </dgm:t>
    </dgm:pt>
    <dgm:pt modelId="{C5106508-2F94-074E-8C14-46CA5AF53F16}" type="parTrans" cxnId="{E6BAA4BB-BDD0-5F49-9DA9-27D3E5597B2D}">
      <dgm:prSet/>
      <dgm:spPr/>
      <dgm:t>
        <a:bodyPr/>
        <a:lstStyle/>
        <a:p>
          <a:endParaRPr lang="en-US"/>
        </a:p>
      </dgm:t>
    </dgm:pt>
    <dgm:pt modelId="{33657147-D942-154A-9D1A-B03B3F34CEC9}" type="sibTrans" cxnId="{E6BAA4BB-BDD0-5F49-9DA9-27D3E5597B2D}">
      <dgm:prSet/>
      <dgm:spPr/>
      <dgm:t>
        <a:bodyPr/>
        <a:lstStyle/>
        <a:p>
          <a:endParaRPr lang="en-US"/>
        </a:p>
      </dgm:t>
    </dgm:pt>
    <dgm:pt modelId="{40CBC88C-D2C1-F04E-9C1A-6B3FC9FABCDA}">
      <dgm:prSet phldrT="[Text]"/>
      <dgm:spPr/>
      <dgm:t>
        <a:bodyPr/>
        <a:lstStyle/>
        <a:p>
          <a:pPr algn="ctr"/>
          <a:r>
            <a:rPr lang="en-US" dirty="0" smtClean="0"/>
            <a:t>Income</a:t>
          </a:r>
          <a:endParaRPr lang="en-US" dirty="0"/>
        </a:p>
      </dgm:t>
    </dgm:pt>
    <dgm:pt modelId="{AE3ACF77-EAD6-7C47-9069-16932C5E8A30}" type="parTrans" cxnId="{1F7675B6-2CB2-CF43-A690-E148114C4E44}">
      <dgm:prSet/>
      <dgm:spPr/>
      <dgm:t>
        <a:bodyPr/>
        <a:lstStyle/>
        <a:p>
          <a:endParaRPr lang="en-US"/>
        </a:p>
      </dgm:t>
    </dgm:pt>
    <dgm:pt modelId="{27C711F5-C735-5F4F-890A-99BEC65B684E}" type="sibTrans" cxnId="{1F7675B6-2CB2-CF43-A690-E148114C4E44}">
      <dgm:prSet/>
      <dgm:spPr/>
      <dgm:t>
        <a:bodyPr/>
        <a:lstStyle/>
        <a:p>
          <a:endParaRPr lang="en-US"/>
        </a:p>
      </dgm:t>
    </dgm:pt>
    <dgm:pt modelId="{CA1BC24C-3C37-0C47-81F4-3BF44E9504C2}">
      <dgm:prSet phldrT="[Text]"/>
      <dgm:spPr/>
      <dgm:t>
        <a:bodyPr/>
        <a:lstStyle/>
        <a:p>
          <a:pPr algn="ctr"/>
          <a:r>
            <a:rPr lang="en-US" dirty="0" smtClean="0"/>
            <a:t>Energy prices</a:t>
          </a:r>
          <a:endParaRPr lang="en-US" dirty="0"/>
        </a:p>
      </dgm:t>
    </dgm:pt>
    <dgm:pt modelId="{EF5727D0-F326-B540-A15A-CA0F7C205EE0}" type="parTrans" cxnId="{B0216158-CB89-6947-B849-734AC1D5DDAF}">
      <dgm:prSet/>
      <dgm:spPr/>
      <dgm:t>
        <a:bodyPr/>
        <a:lstStyle/>
        <a:p>
          <a:endParaRPr lang="en-US"/>
        </a:p>
      </dgm:t>
    </dgm:pt>
    <dgm:pt modelId="{614E7378-778A-FD48-9837-DE7C2C7D4886}" type="sibTrans" cxnId="{B0216158-CB89-6947-B849-734AC1D5DDAF}">
      <dgm:prSet/>
      <dgm:spPr/>
      <dgm:t>
        <a:bodyPr/>
        <a:lstStyle/>
        <a:p>
          <a:endParaRPr lang="en-US"/>
        </a:p>
      </dgm:t>
    </dgm:pt>
    <dgm:pt modelId="{48C4BA8D-47BB-6E4A-8624-714DC9C89F72}">
      <dgm:prSet phldrT="[Text]"/>
      <dgm:spPr/>
      <dgm:t>
        <a:bodyPr/>
        <a:lstStyle/>
        <a:p>
          <a:pPr algn="ctr"/>
          <a:r>
            <a:rPr lang="en-US" dirty="0" smtClean="0"/>
            <a:t>Energy efficiency</a:t>
          </a:r>
          <a:endParaRPr lang="en-US" dirty="0"/>
        </a:p>
      </dgm:t>
    </dgm:pt>
    <dgm:pt modelId="{62EECDC3-6A25-3349-BD4D-F5A245DE6061}" type="parTrans" cxnId="{0842D6B0-E948-D041-B479-727920932157}">
      <dgm:prSet/>
      <dgm:spPr/>
      <dgm:t>
        <a:bodyPr/>
        <a:lstStyle/>
        <a:p>
          <a:endParaRPr lang="en-US"/>
        </a:p>
      </dgm:t>
    </dgm:pt>
    <dgm:pt modelId="{F2A96419-F13E-1A45-AC69-081C2E7634F9}" type="sibTrans" cxnId="{0842D6B0-E948-D041-B479-727920932157}">
      <dgm:prSet/>
      <dgm:spPr/>
      <dgm:t>
        <a:bodyPr/>
        <a:lstStyle/>
        <a:p>
          <a:endParaRPr lang="en-US"/>
        </a:p>
      </dgm:t>
    </dgm:pt>
    <dgm:pt modelId="{CF1FC266-4772-3E48-A393-7F68453AA250}">
      <dgm:prSet/>
      <dgm:spPr/>
      <dgm:t>
        <a:bodyPr/>
        <a:lstStyle/>
        <a:p>
          <a:pPr algn="ctr"/>
          <a:r>
            <a:rPr lang="en-US" dirty="0" smtClean="0"/>
            <a:t>Information access</a:t>
          </a:r>
          <a:endParaRPr lang="en-US" dirty="0"/>
        </a:p>
      </dgm:t>
    </dgm:pt>
    <dgm:pt modelId="{DB74C65F-8055-7544-AA4E-6073C00B974F}" type="parTrans" cxnId="{A055F35A-AB31-6146-A2FA-E87321D6B904}">
      <dgm:prSet/>
      <dgm:spPr/>
      <dgm:t>
        <a:bodyPr/>
        <a:lstStyle/>
        <a:p>
          <a:endParaRPr lang="en-US"/>
        </a:p>
      </dgm:t>
    </dgm:pt>
    <dgm:pt modelId="{84C34564-FEF6-014E-8B24-351866FE9287}" type="sibTrans" cxnId="{A055F35A-AB31-6146-A2FA-E87321D6B904}">
      <dgm:prSet/>
      <dgm:spPr/>
      <dgm:t>
        <a:bodyPr/>
        <a:lstStyle/>
        <a:p>
          <a:endParaRPr lang="en-US"/>
        </a:p>
      </dgm:t>
    </dgm:pt>
    <dgm:pt modelId="{267105DB-2905-6248-858E-0FCC207C9CBA}">
      <dgm:prSet/>
      <dgm:spPr/>
      <dgm:t>
        <a:bodyPr/>
        <a:lstStyle/>
        <a:p>
          <a:pPr algn="ctr"/>
          <a:r>
            <a:rPr lang="en-US" dirty="0" smtClean="0"/>
            <a:t>Legal rights</a:t>
          </a:r>
          <a:endParaRPr lang="en-US" dirty="0"/>
        </a:p>
      </dgm:t>
    </dgm:pt>
    <dgm:pt modelId="{4D64A34D-41C6-4D48-8005-46F1DDBB8376}" type="parTrans" cxnId="{1F0EEA60-EAB2-394C-92E6-C833B0050637}">
      <dgm:prSet/>
      <dgm:spPr/>
      <dgm:t>
        <a:bodyPr/>
        <a:lstStyle/>
        <a:p>
          <a:endParaRPr lang="en-US"/>
        </a:p>
      </dgm:t>
    </dgm:pt>
    <dgm:pt modelId="{E6B2DA64-30E1-E941-B12F-3882C47D78FB}" type="sibTrans" cxnId="{1F0EEA60-EAB2-394C-92E6-C833B0050637}">
      <dgm:prSet/>
      <dgm:spPr/>
      <dgm:t>
        <a:bodyPr/>
        <a:lstStyle/>
        <a:p>
          <a:endParaRPr lang="en-US"/>
        </a:p>
      </dgm:t>
    </dgm:pt>
    <dgm:pt modelId="{3CEE081C-83C2-5D4C-81F0-9998116611E9}">
      <dgm:prSet/>
      <dgm:spPr/>
      <dgm:t>
        <a:bodyPr/>
        <a:lstStyle/>
        <a:p>
          <a:pPr algn="ctr"/>
          <a:r>
            <a:rPr lang="en-US" dirty="0" smtClean="0"/>
            <a:t>Decision making</a:t>
          </a:r>
          <a:endParaRPr lang="en-US" dirty="0"/>
        </a:p>
      </dgm:t>
    </dgm:pt>
    <dgm:pt modelId="{B5192F0A-AC88-5B43-B090-A66D5AB754F4}" type="parTrans" cxnId="{84D96E8F-DD43-8C44-AA65-E3D9D84A5B19}">
      <dgm:prSet/>
      <dgm:spPr/>
      <dgm:t>
        <a:bodyPr/>
        <a:lstStyle/>
        <a:p>
          <a:endParaRPr lang="en-US"/>
        </a:p>
      </dgm:t>
    </dgm:pt>
    <dgm:pt modelId="{6282CDBF-229F-C441-BE3D-0FA311DB8D73}" type="sibTrans" cxnId="{84D96E8F-DD43-8C44-AA65-E3D9D84A5B19}">
      <dgm:prSet/>
      <dgm:spPr/>
      <dgm:t>
        <a:bodyPr/>
        <a:lstStyle/>
        <a:p>
          <a:endParaRPr lang="en-US"/>
        </a:p>
      </dgm:t>
    </dgm:pt>
    <dgm:pt modelId="{A241E08B-854E-064C-8B5E-337069BC4AE1}">
      <dgm:prSet phldrT="[Text]"/>
      <dgm:spPr/>
      <dgm:t>
        <a:bodyPr/>
        <a:lstStyle/>
        <a:p>
          <a:pPr algn="ctr"/>
          <a:r>
            <a:rPr lang="en-US" dirty="0" smtClean="0"/>
            <a:t>Vulnerability</a:t>
          </a:r>
          <a:endParaRPr lang="en-US" dirty="0"/>
        </a:p>
      </dgm:t>
    </dgm:pt>
    <dgm:pt modelId="{E5C887E4-ABA0-7E42-BE59-CB475FE33250}" type="parTrans" cxnId="{05640B4C-3AC2-A548-9221-E085DCBC8FBE}">
      <dgm:prSet/>
      <dgm:spPr/>
      <dgm:t>
        <a:bodyPr/>
        <a:lstStyle/>
        <a:p>
          <a:endParaRPr lang="en-US"/>
        </a:p>
      </dgm:t>
    </dgm:pt>
    <dgm:pt modelId="{CBD936AE-E3AF-1F4D-902C-0456A40D7217}" type="sibTrans" cxnId="{05640B4C-3AC2-A548-9221-E085DCBC8FBE}">
      <dgm:prSet/>
      <dgm:spPr/>
      <dgm:t>
        <a:bodyPr/>
        <a:lstStyle/>
        <a:p>
          <a:endParaRPr lang="en-US"/>
        </a:p>
      </dgm:t>
    </dgm:pt>
    <dgm:pt modelId="{FC7A5603-7747-C549-B16F-2492598C1F44}">
      <dgm:prSet phldrT="[Text]"/>
      <dgm:spPr/>
      <dgm:t>
        <a:bodyPr/>
        <a:lstStyle/>
        <a:p>
          <a:pPr algn="ctr"/>
          <a:r>
            <a:rPr lang="en-US" dirty="0" smtClean="0"/>
            <a:t>Respect</a:t>
          </a:r>
          <a:endParaRPr lang="en-US" dirty="0"/>
        </a:p>
      </dgm:t>
    </dgm:pt>
    <dgm:pt modelId="{08BAA2EA-2EFA-1248-A0D5-D144FB88DF56}" type="parTrans" cxnId="{08225392-D52F-D546-A159-E0287A8C27AF}">
      <dgm:prSet/>
      <dgm:spPr/>
      <dgm:t>
        <a:bodyPr/>
        <a:lstStyle/>
        <a:p>
          <a:endParaRPr lang="en-US"/>
        </a:p>
      </dgm:t>
    </dgm:pt>
    <dgm:pt modelId="{FA419C83-BB50-0343-8E88-8DD7B6B17658}" type="sibTrans" cxnId="{08225392-D52F-D546-A159-E0287A8C27AF}">
      <dgm:prSet/>
      <dgm:spPr/>
      <dgm:t>
        <a:bodyPr/>
        <a:lstStyle/>
        <a:p>
          <a:endParaRPr lang="en-US"/>
        </a:p>
      </dgm:t>
    </dgm:pt>
    <dgm:pt modelId="{0E6306E9-C1E0-D34D-9C88-AD7AF6A88A3A}">
      <dgm:prSet phldrT="[Text]"/>
      <dgm:spPr/>
      <dgm:t>
        <a:bodyPr/>
        <a:lstStyle/>
        <a:p>
          <a:pPr algn="ctr"/>
          <a:r>
            <a:rPr lang="en-US" dirty="0" smtClean="0"/>
            <a:t>Recognition</a:t>
          </a:r>
          <a:endParaRPr lang="en-US" dirty="0"/>
        </a:p>
      </dgm:t>
    </dgm:pt>
    <dgm:pt modelId="{89382DB4-189B-9144-AAB2-5278F76E3AC6}" type="sibTrans" cxnId="{39AC76B1-9342-7445-896A-B9B230222F22}">
      <dgm:prSet/>
      <dgm:spPr/>
      <dgm:t>
        <a:bodyPr/>
        <a:lstStyle/>
        <a:p>
          <a:endParaRPr lang="en-US"/>
        </a:p>
      </dgm:t>
    </dgm:pt>
    <dgm:pt modelId="{EF4BFD71-EBE8-F047-87D4-1CB099441726}" type="parTrans" cxnId="{39AC76B1-9342-7445-896A-B9B230222F22}">
      <dgm:prSet/>
      <dgm:spPr/>
      <dgm:t>
        <a:bodyPr/>
        <a:lstStyle/>
        <a:p>
          <a:endParaRPr lang="en-US"/>
        </a:p>
      </dgm:t>
    </dgm:pt>
    <dgm:pt modelId="{70A70CF4-0083-4ACB-8026-E4D42365EE1F}">
      <dgm:prSet phldrT="[Text]"/>
      <dgm:spPr/>
      <dgm:t>
        <a:bodyPr/>
        <a:lstStyle/>
        <a:p>
          <a:pPr algn="ctr"/>
          <a:r>
            <a:rPr lang="en-US" dirty="0"/>
            <a:t>Needs</a:t>
          </a:r>
        </a:p>
      </dgm:t>
    </dgm:pt>
    <dgm:pt modelId="{E0AE3110-6978-4D17-AC64-62703D78FEBF}" type="parTrans" cxnId="{9CF40CBA-07AD-4046-9EED-0EC9246DDFE1}">
      <dgm:prSet/>
      <dgm:spPr/>
      <dgm:t>
        <a:bodyPr/>
        <a:lstStyle/>
        <a:p>
          <a:endParaRPr lang="en-US"/>
        </a:p>
      </dgm:t>
    </dgm:pt>
    <dgm:pt modelId="{5082741B-2647-489E-9D44-54CFAF6CCABB}" type="sibTrans" cxnId="{9CF40CBA-07AD-4046-9EED-0EC9246DDFE1}">
      <dgm:prSet/>
      <dgm:spPr/>
      <dgm:t>
        <a:bodyPr/>
        <a:lstStyle/>
        <a:p>
          <a:endParaRPr lang="en-US"/>
        </a:p>
      </dgm:t>
    </dgm:pt>
    <dgm:pt modelId="{57A5516D-3A58-D14D-A31B-6BAD16C0A482}" type="pres">
      <dgm:prSet presAssocID="{C1EA8CBE-C6A7-904D-8878-F9650E03110C}" presName="Name0" presStyleCnt="0">
        <dgm:presLayoutVars>
          <dgm:dir/>
          <dgm:resizeHandles val="exact"/>
        </dgm:presLayoutVars>
      </dgm:prSet>
      <dgm:spPr/>
      <dgm:t>
        <a:bodyPr/>
        <a:lstStyle/>
        <a:p>
          <a:endParaRPr lang="en-US"/>
        </a:p>
      </dgm:t>
    </dgm:pt>
    <dgm:pt modelId="{53DEA1CA-0E30-F94A-91B5-700B748D0408}" type="pres">
      <dgm:prSet presAssocID="{7650EED7-40AC-D241-9228-6F9658CB37B3}" presName="node" presStyleLbl="node1" presStyleIdx="0" presStyleCnt="3">
        <dgm:presLayoutVars>
          <dgm:bulletEnabled val="1"/>
        </dgm:presLayoutVars>
      </dgm:prSet>
      <dgm:spPr/>
      <dgm:t>
        <a:bodyPr/>
        <a:lstStyle/>
        <a:p>
          <a:endParaRPr lang="en-US"/>
        </a:p>
      </dgm:t>
    </dgm:pt>
    <dgm:pt modelId="{EC825951-576D-7444-B468-DD8AC905794E}" type="pres">
      <dgm:prSet presAssocID="{F0087DC7-FE02-AB4D-A17D-7C6D005E8C05}" presName="sibTrans" presStyleLbl="sibTrans2D1" presStyleIdx="0" presStyleCnt="3"/>
      <dgm:spPr/>
      <dgm:t>
        <a:bodyPr/>
        <a:lstStyle/>
        <a:p>
          <a:endParaRPr lang="en-US"/>
        </a:p>
      </dgm:t>
    </dgm:pt>
    <dgm:pt modelId="{251D6AF3-0E0D-EA41-BC8A-A9714AA7FC1E}" type="pres">
      <dgm:prSet presAssocID="{F0087DC7-FE02-AB4D-A17D-7C6D005E8C05}" presName="connectorText" presStyleLbl="sibTrans2D1" presStyleIdx="0" presStyleCnt="3"/>
      <dgm:spPr/>
      <dgm:t>
        <a:bodyPr/>
        <a:lstStyle/>
        <a:p>
          <a:endParaRPr lang="en-US"/>
        </a:p>
      </dgm:t>
    </dgm:pt>
    <dgm:pt modelId="{8B0E82EA-ABD1-2543-82F3-EDC0F18E213C}" type="pres">
      <dgm:prSet presAssocID="{FB8FB505-997D-6149-98E2-E4F9EA9A0335}" presName="node" presStyleLbl="node1" presStyleIdx="1" presStyleCnt="3">
        <dgm:presLayoutVars>
          <dgm:bulletEnabled val="1"/>
        </dgm:presLayoutVars>
      </dgm:prSet>
      <dgm:spPr/>
      <dgm:t>
        <a:bodyPr/>
        <a:lstStyle/>
        <a:p>
          <a:endParaRPr lang="en-US"/>
        </a:p>
      </dgm:t>
    </dgm:pt>
    <dgm:pt modelId="{2AABD6C4-5F44-E340-BCDE-EBE59444A3F3}" type="pres">
      <dgm:prSet presAssocID="{33657147-D942-154A-9D1A-B03B3F34CEC9}" presName="sibTrans" presStyleLbl="sibTrans2D1" presStyleIdx="1" presStyleCnt="3"/>
      <dgm:spPr/>
      <dgm:t>
        <a:bodyPr/>
        <a:lstStyle/>
        <a:p>
          <a:endParaRPr lang="en-US"/>
        </a:p>
      </dgm:t>
    </dgm:pt>
    <dgm:pt modelId="{4D4473DC-92EC-524B-83D6-FEB25A51BCC8}" type="pres">
      <dgm:prSet presAssocID="{33657147-D942-154A-9D1A-B03B3F34CEC9}" presName="connectorText" presStyleLbl="sibTrans2D1" presStyleIdx="1" presStyleCnt="3"/>
      <dgm:spPr/>
      <dgm:t>
        <a:bodyPr/>
        <a:lstStyle/>
        <a:p>
          <a:endParaRPr lang="en-US"/>
        </a:p>
      </dgm:t>
    </dgm:pt>
    <dgm:pt modelId="{E77E3A44-C622-FE44-A1C4-8CF37DC64E02}" type="pres">
      <dgm:prSet presAssocID="{0E6306E9-C1E0-D34D-9C88-AD7AF6A88A3A}" presName="node" presStyleLbl="node1" presStyleIdx="2" presStyleCnt="3">
        <dgm:presLayoutVars>
          <dgm:bulletEnabled val="1"/>
        </dgm:presLayoutVars>
      </dgm:prSet>
      <dgm:spPr/>
      <dgm:t>
        <a:bodyPr/>
        <a:lstStyle/>
        <a:p>
          <a:endParaRPr lang="en-US"/>
        </a:p>
      </dgm:t>
    </dgm:pt>
    <dgm:pt modelId="{18D11DFC-CA4D-8144-9A9A-7A52D325858D}" type="pres">
      <dgm:prSet presAssocID="{89382DB4-189B-9144-AAB2-5278F76E3AC6}" presName="sibTrans" presStyleLbl="sibTrans2D1" presStyleIdx="2" presStyleCnt="3"/>
      <dgm:spPr/>
      <dgm:t>
        <a:bodyPr/>
        <a:lstStyle/>
        <a:p>
          <a:endParaRPr lang="en-US"/>
        </a:p>
      </dgm:t>
    </dgm:pt>
    <dgm:pt modelId="{2A4E5E06-AE61-BB41-996D-C0533253C145}" type="pres">
      <dgm:prSet presAssocID="{89382DB4-189B-9144-AAB2-5278F76E3AC6}" presName="connectorText" presStyleLbl="sibTrans2D1" presStyleIdx="2" presStyleCnt="3"/>
      <dgm:spPr/>
      <dgm:t>
        <a:bodyPr/>
        <a:lstStyle/>
        <a:p>
          <a:endParaRPr lang="en-US"/>
        </a:p>
      </dgm:t>
    </dgm:pt>
  </dgm:ptLst>
  <dgm:cxnLst>
    <dgm:cxn modelId="{076EC02B-3439-294D-BBA6-90BBD82B824B}" type="presOf" srcId="{CF1FC266-4772-3E48-A393-7F68453AA250}" destId="{8B0E82EA-ABD1-2543-82F3-EDC0F18E213C}" srcOrd="0" destOrd="1" presId="urn:microsoft.com/office/officeart/2005/8/layout/cycle7"/>
    <dgm:cxn modelId="{1F7675B6-2CB2-CF43-A690-E148114C4E44}" srcId="{7650EED7-40AC-D241-9228-6F9658CB37B3}" destId="{40CBC88C-D2C1-F04E-9C1A-6B3FC9FABCDA}" srcOrd="0" destOrd="0" parTransId="{AE3ACF77-EAD6-7C47-9069-16932C5E8A30}" sibTransId="{27C711F5-C735-5F4F-890A-99BEC65B684E}"/>
    <dgm:cxn modelId="{02973F61-157F-A340-96B1-2855742DBE9A}" type="presOf" srcId="{F0087DC7-FE02-AB4D-A17D-7C6D005E8C05}" destId="{EC825951-576D-7444-B468-DD8AC905794E}" srcOrd="0" destOrd="0" presId="urn:microsoft.com/office/officeart/2005/8/layout/cycle7"/>
    <dgm:cxn modelId="{39AC76B1-9342-7445-896A-B9B230222F22}" srcId="{C1EA8CBE-C6A7-904D-8878-F9650E03110C}" destId="{0E6306E9-C1E0-D34D-9C88-AD7AF6A88A3A}" srcOrd="2" destOrd="0" parTransId="{EF4BFD71-EBE8-F047-87D4-1CB099441726}" sibTransId="{89382DB4-189B-9144-AAB2-5278F76E3AC6}"/>
    <dgm:cxn modelId="{55884F27-4AB6-F942-8CB7-087131B1A97F}" type="presOf" srcId="{FC7A5603-7747-C549-B16F-2492598C1F44}" destId="{E77E3A44-C622-FE44-A1C4-8CF37DC64E02}" srcOrd="0" destOrd="3" presId="urn:microsoft.com/office/officeart/2005/8/layout/cycle7"/>
    <dgm:cxn modelId="{C4231690-6799-9F41-B1B1-C78C0BB07D98}" type="presOf" srcId="{CA1BC24C-3C37-0C47-81F4-3BF44E9504C2}" destId="{53DEA1CA-0E30-F94A-91B5-700B748D0408}" srcOrd="0" destOrd="2" presId="urn:microsoft.com/office/officeart/2005/8/layout/cycle7"/>
    <dgm:cxn modelId="{CB515030-BCA8-7944-91F4-9C206A580736}" type="presOf" srcId="{267105DB-2905-6248-858E-0FCC207C9CBA}" destId="{8B0E82EA-ABD1-2543-82F3-EDC0F18E213C}" srcOrd="0" destOrd="3" presId="urn:microsoft.com/office/officeart/2005/8/layout/cycle7"/>
    <dgm:cxn modelId="{08225392-D52F-D546-A159-E0287A8C27AF}" srcId="{0E6306E9-C1E0-D34D-9C88-AD7AF6A88A3A}" destId="{FC7A5603-7747-C549-B16F-2492598C1F44}" srcOrd="2" destOrd="0" parTransId="{08BAA2EA-2EFA-1248-A0D5-D144FB88DF56}" sibTransId="{FA419C83-BB50-0343-8E88-8DD7B6B17658}"/>
    <dgm:cxn modelId="{E6BAA4BB-BDD0-5F49-9DA9-27D3E5597B2D}" srcId="{C1EA8CBE-C6A7-904D-8878-F9650E03110C}" destId="{FB8FB505-997D-6149-98E2-E4F9EA9A0335}" srcOrd="1" destOrd="0" parTransId="{C5106508-2F94-074E-8C14-46CA5AF53F16}" sibTransId="{33657147-D942-154A-9D1A-B03B3F34CEC9}"/>
    <dgm:cxn modelId="{45F9DE8B-DA08-FD42-B0CD-582987A4B7AE}" type="presOf" srcId="{33657147-D942-154A-9D1A-B03B3F34CEC9}" destId="{2AABD6C4-5F44-E340-BCDE-EBE59444A3F3}" srcOrd="0" destOrd="0" presId="urn:microsoft.com/office/officeart/2005/8/layout/cycle7"/>
    <dgm:cxn modelId="{052198DE-C2FE-2D4F-BBFD-E90C46D48257}" type="presOf" srcId="{40CBC88C-D2C1-F04E-9C1A-6B3FC9FABCDA}" destId="{53DEA1CA-0E30-F94A-91B5-700B748D0408}" srcOrd="0" destOrd="1" presId="urn:microsoft.com/office/officeart/2005/8/layout/cycle7"/>
    <dgm:cxn modelId="{9F05D9C0-B4BA-A14A-8304-378A9F96975F}" type="presOf" srcId="{3CEE081C-83C2-5D4C-81F0-9998116611E9}" destId="{8B0E82EA-ABD1-2543-82F3-EDC0F18E213C}" srcOrd="0" destOrd="2" presId="urn:microsoft.com/office/officeart/2005/8/layout/cycle7"/>
    <dgm:cxn modelId="{0C374C7F-E133-914B-A0F0-A09169281460}" type="presOf" srcId="{F0087DC7-FE02-AB4D-A17D-7C6D005E8C05}" destId="{251D6AF3-0E0D-EA41-BC8A-A9714AA7FC1E}" srcOrd="1" destOrd="0" presId="urn:microsoft.com/office/officeart/2005/8/layout/cycle7"/>
    <dgm:cxn modelId="{2DB36F60-EBCB-1B4D-903C-5486432FB715}" type="presOf" srcId="{7650EED7-40AC-D241-9228-6F9658CB37B3}" destId="{53DEA1CA-0E30-F94A-91B5-700B748D0408}" srcOrd="0" destOrd="0" presId="urn:microsoft.com/office/officeart/2005/8/layout/cycle7"/>
    <dgm:cxn modelId="{A61D6D72-7628-7041-81BA-ED4F85488C9E}" type="presOf" srcId="{70A70CF4-0083-4ACB-8026-E4D42365EE1F}" destId="{E77E3A44-C622-FE44-A1C4-8CF37DC64E02}" srcOrd="0" destOrd="2" presId="urn:microsoft.com/office/officeart/2005/8/layout/cycle7"/>
    <dgm:cxn modelId="{9ED77BEE-B8DA-6146-A256-23CAA3FFFCC2}" type="presOf" srcId="{FB8FB505-997D-6149-98E2-E4F9EA9A0335}" destId="{8B0E82EA-ABD1-2543-82F3-EDC0F18E213C}" srcOrd="0" destOrd="0" presId="urn:microsoft.com/office/officeart/2005/8/layout/cycle7"/>
    <dgm:cxn modelId="{9CF40CBA-07AD-4046-9EED-0EC9246DDFE1}" srcId="{0E6306E9-C1E0-D34D-9C88-AD7AF6A88A3A}" destId="{70A70CF4-0083-4ACB-8026-E4D42365EE1F}" srcOrd="1" destOrd="0" parTransId="{E0AE3110-6978-4D17-AC64-62703D78FEBF}" sibTransId="{5082741B-2647-489E-9D44-54CFAF6CCABB}"/>
    <dgm:cxn modelId="{6EB08AD9-F59B-4F48-B323-7BE940C62A4D}" type="presOf" srcId="{33657147-D942-154A-9D1A-B03B3F34CEC9}" destId="{4D4473DC-92EC-524B-83D6-FEB25A51BCC8}" srcOrd="1" destOrd="0" presId="urn:microsoft.com/office/officeart/2005/8/layout/cycle7"/>
    <dgm:cxn modelId="{365C4D72-B305-5647-98F4-BB1AFB23F66A}" type="presOf" srcId="{89382DB4-189B-9144-AAB2-5278F76E3AC6}" destId="{18D11DFC-CA4D-8144-9A9A-7A52D325858D}" srcOrd="0" destOrd="0" presId="urn:microsoft.com/office/officeart/2005/8/layout/cycle7"/>
    <dgm:cxn modelId="{05640B4C-3AC2-A548-9221-E085DCBC8FBE}" srcId="{0E6306E9-C1E0-D34D-9C88-AD7AF6A88A3A}" destId="{A241E08B-854E-064C-8B5E-337069BC4AE1}" srcOrd="0" destOrd="0" parTransId="{E5C887E4-ABA0-7E42-BE59-CB475FE33250}" sibTransId="{CBD936AE-E3AF-1F4D-902C-0456A40D7217}"/>
    <dgm:cxn modelId="{089FE7DC-EA82-0F43-993E-27BE1338A49A}" type="presOf" srcId="{89382DB4-189B-9144-AAB2-5278F76E3AC6}" destId="{2A4E5E06-AE61-BB41-996D-C0533253C145}" srcOrd="1" destOrd="0" presId="urn:microsoft.com/office/officeart/2005/8/layout/cycle7"/>
    <dgm:cxn modelId="{0842D6B0-E948-D041-B479-727920932157}" srcId="{7650EED7-40AC-D241-9228-6F9658CB37B3}" destId="{48C4BA8D-47BB-6E4A-8624-714DC9C89F72}" srcOrd="2" destOrd="0" parTransId="{62EECDC3-6A25-3349-BD4D-F5A245DE6061}" sibTransId="{F2A96419-F13E-1A45-AC69-081C2E7634F9}"/>
    <dgm:cxn modelId="{865DFDA6-85DF-244F-BD8E-AE6DD7FF9B66}" type="presOf" srcId="{0E6306E9-C1E0-D34D-9C88-AD7AF6A88A3A}" destId="{E77E3A44-C622-FE44-A1C4-8CF37DC64E02}" srcOrd="0" destOrd="0" presId="urn:microsoft.com/office/officeart/2005/8/layout/cycle7"/>
    <dgm:cxn modelId="{88F69405-03E0-C14A-B686-F3D56B1E15BF}" type="presOf" srcId="{A241E08B-854E-064C-8B5E-337069BC4AE1}" destId="{E77E3A44-C622-FE44-A1C4-8CF37DC64E02}" srcOrd="0" destOrd="1" presId="urn:microsoft.com/office/officeart/2005/8/layout/cycle7"/>
    <dgm:cxn modelId="{65D26679-C842-3241-ADC5-00AED79505B8}" type="presOf" srcId="{C1EA8CBE-C6A7-904D-8878-F9650E03110C}" destId="{57A5516D-3A58-D14D-A31B-6BAD16C0A482}" srcOrd="0" destOrd="0" presId="urn:microsoft.com/office/officeart/2005/8/layout/cycle7"/>
    <dgm:cxn modelId="{84D96E8F-DD43-8C44-AA65-E3D9D84A5B19}" srcId="{FB8FB505-997D-6149-98E2-E4F9EA9A0335}" destId="{3CEE081C-83C2-5D4C-81F0-9998116611E9}" srcOrd="1" destOrd="0" parTransId="{B5192F0A-AC88-5B43-B090-A66D5AB754F4}" sibTransId="{6282CDBF-229F-C441-BE3D-0FA311DB8D73}"/>
    <dgm:cxn modelId="{FB57AD40-F230-F24F-8EFC-EF650FB44C63}" srcId="{C1EA8CBE-C6A7-904D-8878-F9650E03110C}" destId="{7650EED7-40AC-D241-9228-6F9658CB37B3}" srcOrd="0" destOrd="0" parTransId="{8DEA8810-A45D-5343-8521-9FAD42A62D58}" sibTransId="{F0087DC7-FE02-AB4D-A17D-7C6D005E8C05}"/>
    <dgm:cxn modelId="{D0F91A44-C1F8-844E-8894-E209362C70A5}" type="presOf" srcId="{48C4BA8D-47BB-6E4A-8624-714DC9C89F72}" destId="{53DEA1CA-0E30-F94A-91B5-700B748D0408}" srcOrd="0" destOrd="3" presId="urn:microsoft.com/office/officeart/2005/8/layout/cycle7"/>
    <dgm:cxn modelId="{B0216158-CB89-6947-B849-734AC1D5DDAF}" srcId="{7650EED7-40AC-D241-9228-6F9658CB37B3}" destId="{CA1BC24C-3C37-0C47-81F4-3BF44E9504C2}" srcOrd="1" destOrd="0" parTransId="{EF5727D0-F326-B540-A15A-CA0F7C205EE0}" sibTransId="{614E7378-778A-FD48-9837-DE7C2C7D4886}"/>
    <dgm:cxn modelId="{1F0EEA60-EAB2-394C-92E6-C833B0050637}" srcId="{FB8FB505-997D-6149-98E2-E4F9EA9A0335}" destId="{267105DB-2905-6248-858E-0FCC207C9CBA}" srcOrd="2" destOrd="0" parTransId="{4D64A34D-41C6-4D48-8005-46F1DDBB8376}" sibTransId="{E6B2DA64-30E1-E941-B12F-3882C47D78FB}"/>
    <dgm:cxn modelId="{A055F35A-AB31-6146-A2FA-E87321D6B904}" srcId="{FB8FB505-997D-6149-98E2-E4F9EA9A0335}" destId="{CF1FC266-4772-3E48-A393-7F68453AA250}" srcOrd="0" destOrd="0" parTransId="{DB74C65F-8055-7544-AA4E-6073C00B974F}" sibTransId="{84C34564-FEF6-014E-8B24-351866FE9287}"/>
    <dgm:cxn modelId="{EC1C1364-6A49-7843-AABD-2497CE9D8D63}" type="presParOf" srcId="{57A5516D-3A58-D14D-A31B-6BAD16C0A482}" destId="{53DEA1CA-0E30-F94A-91B5-700B748D0408}" srcOrd="0" destOrd="0" presId="urn:microsoft.com/office/officeart/2005/8/layout/cycle7"/>
    <dgm:cxn modelId="{C2B79E25-B52E-AD49-A489-1896C458EFAB}" type="presParOf" srcId="{57A5516D-3A58-D14D-A31B-6BAD16C0A482}" destId="{EC825951-576D-7444-B468-DD8AC905794E}" srcOrd="1" destOrd="0" presId="urn:microsoft.com/office/officeart/2005/8/layout/cycle7"/>
    <dgm:cxn modelId="{A72E4AF4-5CC3-884A-AB67-66EAE29EA31C}" type="presParOf" srcId="{EC825951-576D-7444-B468-DD8AC905794E}" destId="{251D6AF3-0E0D-EA41-BC8A-A9714AA7FC1E}" srcOrd="0" destOrd="0" presId="urn:microsoft.com/office/officeart/2005/8/layout/cycle7"/>
    <dgm:cxn modelId="{C6486DEE-F835-5044-A4EE-EDCF3A5DE6BB}" type="presParOf" srcId="{57A5516D-3A58-D14D-A31B-6BAD16C0A482}" destId="{8B0E82EA-ABD1-2543-82F3-EDC0F18E213C}" srcOrd="2" destOrd="0" presId="urn:microsoft.com/office/officeart/2005/8/layout/cycle7"/>
    <dgm:cxn modelId="{D7AE16DC-FEC6-3645-951D-895008DAA1D4}" type="presParOf" srcId="{57A5516D-3A58-D14D-A31B-6BAD16C0A482}" destId="{2AABD6C4-5F44-E340-BCDE-EBE59444A3F3}" srcOrd="3" destOrd="0" presId="urn:microsoft.com/office/officeart/2005/8/layout/cycle7"/>
    <dgm:cxn modelId="{883B020A-C27B-7F45-9763-E63EB18373AA}" type="presParOf" srcId="{2AABD6C4-5F44-E340-BCDE-EBE59444A3F3}" destId="{4D4473DC-92EC-524B-83D6-FEB25A51BCC8}" srcOrd="0" destOrd="0" presId="urn:microsoft.com/office/officeart/2005/8/layout/cycle7"/>
    <dgm:cxn modelId="{A44C556B-DA56-EC49-B5C5-23C7064EA6E6}" type="presParOf" srcId="{57A5516D-3A58-D14D-A31B-6BAD16C0A482}" destId="{E77E3A44-C622-FE44-A1C4-8CF37DC64E02}" srcOrd="4" destOrd="0" presId="urn:microsoft.com/office/officeart/2005/8/layout/cycle7"/>
    <dgm:cxn modelId="{9B040529-22BD-B041-8E52-D059CD913911}" type="presParOf" srcId="{57A5516D-3A58-D14D-A31B-6BAD16C0A482}" destId="{18D11DFC-CA4D-8144-9A9A-7A52D325858D}" srcOrd="5" destOrd="0" presId="urn:microsoft.com/office/officeart/2005/8/layout/cycle7"/>
    <dgm:cxn modelId="{91843DF1-F074-B942-BB32-AA3BD56851E0}" type="presParOf" srcId="{18D11DFC-CA4D-8144-9A9A-7A52D325858D}" destId="{2A4E5E06-AE61-BB41-996D-C0533253C145}"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DEA1CA-0E30-F94A-91B5-700B748D0408}">
      <dsp:nvSpPr>
        <dsp:cNvPr id="0" name=""/>
        <dsp:cNvSpPr/>
      </dsp:nvSpPr>
      <dsp:spPr>
        <a:xfrm>
          <a:off x="1796206" y="1061"/>
          <a:ext cx="1893986" cy="946993"/>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dirty="0" smtClean="0"/>
            <a:t>Distribution</a:t>
          </a:r>
          <a:endParaRPr lang="en-US" sz="1400" kern="1200" dirty="0"/>
        </a:p>
        <a:p>
          <a:pPr marL="57150" lvl="1" indent="-57150" algn="ctr" defTabSz="488950">
            <a:lnSpc>
              <a:spcPct val="90000"/>
            </a:lnSpc>
            <a:spcBef>
              <a:spcPct val="0"/>
            </a:spcBef>
            <a:spcAft>
              <a:spcPct val="15000"/>
            </a:spcAft>
            <a:buChar char="••"/>
          </a:pPr>
          <a:r>
            <a:rPr lang="en-US" sz="1100" kern="1200" dirty="0" smtClean="0"/>
            <a:t>Income</a:t>
          </a:r>
          <a:endParaRPr lang="en-US" sz="1100" kern="1200" dirty="0"/>
        </a:p>
        <a:p>
          <a:pPr marL="57150" lvl="1" indent="-57150" algn="ctr" defTabSz="488950">
            <a:lnSpc>
              <a:spcPct val="90000"/>
            </a:lnSpc>
            <a:spcBef>
              <a:spcPct val="0"/>
            </a:spcBef>
            <a:spcAft>
              <a:spcPct val="15000"/>
            </a:spcAft>
            <a:buChar char="••"/>
          </a:pPr>
          <a:r>
            <a:rPr lang="en-US" sz="1100" kern="1200" dirty="0" smtClean="0"/>
            <a:t>Energy prices</a:t>
          </a:r>
          <a:endParaRPr lang="en-US" sz="1100" kern="1200" dirty="0"/>
        </a:p>
        <a:p>
          <a:pPr marL="57150" lvl="1" indent="-57150" algn="ctr" defTabSz="488950">
            <a:lnSpc>
              <a:spcPct val="90000"/>
            </a:lnSpc>
            <a:spcBef>
              <a:spcPct val="0"/>
            </a:spcBef>
            <a:spcAft>
              <a:spcPct val="15000"/>
            </a:spcAft>
            <a:buChar char="••"/>
          </a:pPr>
          <a:r>
            <a:rPr lang="en-US" sz="1100" kern="1200" dirty="0" smtClean="0"/>
            <a:t>Energy efficiency</a:t>
          </a:r>
          <a:endParaRPr lang="en-US" sz="1100" kern="1200" dirty="0"/>
        </a:p>
      </dsp:txBody>
      <dsp:txXfrm>
        <a:off x="1823942" y="28797"/>
        <a:ext cx="1838514" cy="891521"/>
      </dsp:txXfrm>
    </dsp:sp>
    <dsp:sp modelId="{EC825951-576D-7444-B468-DD8AC905794E}">
      <dsp:nvSpPr>
        <dsp:cNvPr id="0" name=""/>
        <dsp:cNvSpPr/>
      </dsp:nvSpPr>
      <dsp:spPr>
        <a:xfrm rot="3600000">
          <a:off x="3031671" y="1663076"/>
          <a:ext cx="986800" cy="331447"/>
        </a:xfrm>
        <a:prstGeom prst="lef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131105" y="1729365"/>
        <a:ext cx="787932" cy="198869"/>
      </dsp:txXfrm>
    </dsp:sp>
    <dsp:sp modelId="{8B0E82EA-ABD1-2543-82F3-EDC0F18E213C}">
      <dsp:nvSpPr>
        <dsp:cNvPr id="0" name=""/>
        <dsp:cNvSpPr/>
      </dsp:nvSpPr>
      <dsp:spPr>
        <a:xfrm>
          <a:off x="3359950" y="2709545"/>
          <a:ext cx="1893986" cy="946993"/>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dirty="0" smtClean="0"/>
            <a:t>Procedure</a:t>
          </a:r>
          <a:endParaRPr lang="en-US" sz="1400" kern="1200" dirty="0"/>
        </a:p>
        <a:p>
          <a:pPr marL="57150" lvl="1" indent="-57150" algn="ctr" defTabSz="488950">
            <a:lnSpc>
              <a:spcPct val="90000"/>
            </a:lnSpc>
            <a:spcBef>
              <a:spcPct val="0"/>
            </a:spcBef>
            <a:spcAft>
              <a:spcPct val="15000"/>
            </a:spcAft>
            <a:buChar char="••"/>
          </a:pPr>
          <a:r>
            <a:rPr lang="en-US" sz="1100" kern="1200" dirty="0" smtClean="0"/>
            <a:t>Information access</a:t>
          </a:r>
          <a:endParaRPr lang="en-US" sz="1100" kern="1200" dirty="0"/>
        </a:p>
        <a:p>
          <a:pPr marL="57150" lvl="1" indent="-57150" algn="ctr" defTabSz="488950">
            <a:lnSpc>
              <a:spcPct val="90000"/>
            </a:lnSpc>
            <a:spcBef>
              <a:spcPct val="0"/>
            </a:spcBef>
            <a:spcAft>
              <a:spcPct val="15000"/>
            </a:spcAft>
            <a:buChar char="••"/>
          </a:pPr>
          <a:r>
            <a:rPr lang="en-US" sz="1100" kern="1200" dirty="0" smtClean="0"/>
            <a:t>Decision making</a:t>
          </a:r>
          <a:endParaRPr lang="en-US" sz="1100" kern="1200" dirty="0"/>
        </a:p>
        <a:p>
          <a:pPr marL="57150" lvl="1" indent="-57150" algn="ctr" defTabSz="488950">
            <a:lnSpc>
              <a:spcPct val="90000"/>
            </a:lnSpc>
            <a:spcBef>
              <a:spcPct val="0"/>
            </a:spcBef>
            <a:spcAft>
              <a:spcPct val="15000"/>
            </a:spcAft>
            <a:buChar char="••"/>
          </a:pPr>
          <a:r>
            <a:rPr lang="en-US" sz="1100" kern="1200" dirty="0" smtClean="0"/>
            <a:t>Legal rights</a:t>
          </a:r>
          <a:endParaRPr lang="en-US" sz="1100" kern="1200" dirty="0"/>
        </a:p>
      </dsp:txBody>
      <dsp:txXfrm>
        <a:off x="3387686" y="2737281"/>
        <a:ext cx="1838514" cy="891521"/>
      </dsp:txXfrm>
    </dsp:sp>
    <dsp:sp modelId="{2AABD6C4-5F44-E340-BCDE-EBE59444A3F3}">
      <dsp:nvSpPr>
        <dsp:cNvPr id="0" name=""/>
        <dsp:cNvSpPr/>
      </dsp:nvSpPr>
      <dsp:spPr>
        <a:xfrm rot="10800000">
          <a:off x="2249799" y="3017318"/>
          <a:ext cx="986800" cy="331447"/>
        </a:xfrm>
        <a:prstGeom prst="lef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2349233" y="3083607"/>
        <a:ext cx="787932" cy="198869"/>
      </dsp:txXfrm>
    </dsp:sp>
    <dsp:sp modelId="{E77E3A44-C622-FE44-A1C4-8CF37DC64E02}">
      <dsp:nvSpPr>
        <dsp:cNvPr id="0" name=""/>
        <dsp:cNvSpPr/>
      </dsp:nvSpPr>
      <dsp:spPr>
        <a:xfrm>
          <a:off x="232462" y="2709545"/>
          <a:ext cx="1893986" cy="94699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dirty="0" smtClean="0"/>
            <a:t>Recognition</a:t>
          </a:r>
          <a:endParaRPr lang="en-US" sz="1400" kern="1200" dirty="0"/>
        </a:p>
        <a:p>
          <a:pPr marL="57150" lvl="1" indent="-57150" algn="ctr" defTabSz="488950">
            <a:lnSpc>
              <a:spcPct val="90000"/>
            </a:lnSpc>
            <a:spcBef>
              <a:spcPct val="0"/>
            </a:spcBef>
            <a:spcAft>
              <a:spcPct val="15000"/>
            </a:spcAft>
            <a:buChar char="••"/>
          </a:pPr>
          <a:r>
            <a:rPr lang="en-US" sz="1100" kern="1200" dirty="0" smtClean="0"/>
            <a:t>Vulnerability</a:t>
          </a:r>
          <a:endParaRPr lang="en-US" sz="1100" kern="1200" dirty="0"/>
        </a:p>
        <a:p>
          <a:pPr marL="57150" lvl="1" indent="-57150" algn="ctr" defTabSz="488950">
            <a:lnSpc>
              <a:spcPct val="90000"/>
            </a:lnSpc>
            <a:spcBef>
              <a:spcPct val="0"/>
            </a:spcBef>
            <a:spcAft>
              <a:spcPct val="15000"/>
            </a:spcAft>
            <a:buChar char="••"/>
          </a:pPr>
          <a:r>
            <a:rPr lang="en-US" sz="1100" kern="1200" dirty="0"/>
            <a:t>Needs</a:t>
          </a:r>
        </a:p>
        <a:p>
          <a:pPr marL="57150" lvl="1" indent="-57150" algn="ctr" defTabSz="488950">
            <a:lnSpc>
              <a:spcPct val="90000"/>
            </a:lnSpc>
            <a:spcBef>
              <a:spcPct val="0"/>
            </a:spcBef>
            <a:spcAft>
              <a:spcPct val="15000"/>
            </a:spcAft>
            <a:buChar char="••"/>
          </a:pPr>
          <a:r>
            <a:rPr lang="en-US" sz="1100" kern="1200" dirty="0" smtClean="0"/>
            <a:t>Respect</a:t>
          </a:r>
          <a:endParaRPr lang="en-US" sz="1100" kern="1200" dirty="0"/>
        </a:p>
      </dsp:txBody>
      <dsp:txXfrm>
        <a:off x="260198" y="2737281"/>
        <a:ext cx="1838514" cy="891521"/>
      </dsp:txXfrm>
    </dsp:sp>
    <dsp:sp modelId="{18D11DFC-CA4D-8144-9A9A-7A52D325858D}">
      <dsp:nvSpPr>
        <dsp:cNvPr id="0" name=""/>
        <dsp:cNvSpPr/>
      </dsp:nvSpPr>
      <dsp:spPr>
        <a:xfrm rot="18000000">
          <a:off x="1467927" y="1663076"/>
          <a:ext cx="986800" cy="331447"/>
        </a:xfrm>
        <a:prstGeom prst="lef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567361" y="1729365"/>
        <a:ext cx="787932" cy="19886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CB36-6344-CC4F-8A3A-2B81707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10800</Words>
  <Characters>61565</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Gillard</dc:creator>
  <cp:lastModifiedBy>Carolyn Snell</cp:lastModifiedBy>
  <cp:revision>2</cp:revision>
  <dcterms:created xsi:type="dcterms:W3CDTF">2017-05-31T07:47:00Z</dcterms:created>
  <dcterms:modified xsi:type="dcterms:W3CDTF">2017-05-31T07:47:00Z</dcterms:modified>
</cp:coreProperties>
</file>