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36" w:rsidRDefault="00153638">
      <w:bookmarkStart w:id="0" w:name="_GoBack"/>
      <w:bookmarkEnd w:id="0"/>
      <w:r>
        <w:t xml:space="preserve">Table S2. </w:t>
      </w:r>
      <w:proofErr w:type="gramStart"/>
      <w:r>
        <w:t>N</w:t>
      </w:r>
      <w:r w:rsidR="00E02323">
        <w:t xml:space="preserve">on-metric </w:t>
      </w:r>
      <w:r>
        <w:t>M</w:t>
      </w:r>
      <w:r w:rsidR="00E02323">
        <w:t xml:space="preserve">ultidimensional </w:t>
      </w:r>
      <w:r>
        <w:t>S</w:t>
      </w:r>
      <w:r w:rsidR="00E02323">
        <w:t>caling (NMDS)</w:t>
      </w:r>
      <w:r>
        <w:t xml:space="preserve"> axis scores for taxa</w:t>
      </w:r>
      <w:r w:rsidR="00463C9A">
        <w:t xml:space="preserve">, in an analysis </w:t>
      </w:r>
      <w:r>
        <w:t xml:space="preserve">using all taxa at their finest level of identification, and </w:t>
      </w:r>
      <w:r w:rsidR="002A0AA4">
        <w:t>another at just the family</w:t>
      </w:r>
      <w:r w:rsidR="00463C9A">
        <w:t xml:space="preserve"> level</w:t>
      </w:r>
      <w:r>
        <w:t xml:space="preserve"> (or orders for </w:t>
      </w:r>
      <w:proofErr w:type="spellStart"/>
      <w:r>
        <w:t>Oligochaeta</w:t>
      </w:r>
      <w:proofErr w:type="spellEnd"/>
      <w:r>
        <w:t xml:space="preserve"> and </w:t>
      </w:r>
      <w:proofErr w:type="spellStart"/>
      <w:r>
        <w:t>Hydracarina</w:t>
      </w:r>
      <w:proofErr w:type="spellEnd"/>
      <w:r>
        <w:t>).</w:t>
      </w:r>
      <w:proofErr w:type="gramEnd"/>
      <w:r w:rsidR="002663ED">
        <w:t xml:space="preserve"> Bray-Curtis measures of dissimilarity were applied. </w:t>
      </w:r>
      <w:r w:rsidR="00F1742D">
        <w:t xml:space="preserve">In both analyses there was a square root transformation and the stress was 0.150 (finest level) and 0.157 (family level) respectively.  </w:t>
      </w:r>
    </w:p>
    <w:p w:rsidR="00153638" w:rsidRDefault="00153638"/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418"/>
        <w:gridCol w:w="1842"/>
        <w:gridCol w:w="1276"/>
        <w:gridCol w:w="1134"/>
      </w:tblGrid>
      <w:tr w:rsidR="002A0AA4" w:rsidTr="00E02323">
        <w:tc>
          <w:tcPr>
            <w:tcW w:w="2093" w:type="dxa"/>
          </w:tcPr>
          <w:p w:rsidR="002A0AA4" w:rsidRDefault="002A0AA4"/>
        </w:tc>
        <w:tc>
          <w:tcPr>
            <w:tcW w:w="2977" w:type="dxa"/>
            <w:gridSpan w:val="2"/>
          </w:tcPr>
          <w:p w:rsidR="002A0AA4" w:rsidRDefault="002A0AA4" w:rsidP="004E3883">
            <w:pPr>
              <w:jc w:val="center"/>
            </w:pPr>
            <w:r>
              <w:t>Finest taxonomical level</w:t>
            </w:r>
          </w:p>
        </w:tc>
        <w:tc>
          <w:tcPr>
            <w:tcW w:w="1842" w:type="dxa"/>
          </w:tcPr>
          <w:p w:rsidR="002A0AA4" w:rsidRDefault="002A0AA4" w:rsidP="00463C9A"/>
        </w:tc>
        <w:tc>
          <w:tcPr>
            <w:tcW w:w="2410" w:type="dxa"/>
            <w:gridSpan w:val="2"/>
          </w:tcPr>
          <w:p w:rsidR="002A0AA4" w:rsidRDefault="002A0AA4" w:rsidP="004E3883">
            <w:pPr>
              <w:jc w:val="center"/>
            </w:pPr>
            <w:r>
              <w:t>Family level</w:t>
            </w:r>
          </w:p>
        </w:tc>
      </w:tr>
      <w:tr w:rsidR="002A0AA4" w:rsidTr="00E02323">
        <w:tc>
          <w:tcPr>
            <w:tcW w:w="2093" w:type="dxa"/>
          </w:tcPr>
          <w:p w:rsidR="002A0AA4" w:rsidRDefault="002A0AA4">
            <w:r>
              <w:t>Taxon</w:t>
            </w:r>
          </w:p>
        </w:tc>
        <w:tc>
          <w:tcPr>
            <w:tcW w:w="1559" w:type="dxa"/>
          </w:tcPr>
          <w:p w:rsidR="002A0AA4" w:rsidRDefault="002A0AA4">
            <w:r>
              <w:t>NMDS 1</w:t>
            </w:r>
          </w:p>
        </w:tc>
        <w:tc>
          <w:tcPr>
            <w:tcW w:w="1418" w:type="dxa"/>
          </w:tcPr>
          <w:p w:rsidR="002A0AA4" w:rsidRDefault="002A0AA4">
            <w:r>
              <w:t>NMDS 2</w:t>
            </w:r>
          </w:p>
        </w:tc>
        <w:tc>
          <w:tcPr>
            <w:tcW w:w="1842" w:type="dxa"/>
          </w:tcPr>
          <w:p w:rsidR="002A0AA4" w:rsidRDefault="002A0AA4">
            <w:r>
              <w:t>Taxon</w:t>
            </w:r>
          </w:p>
        </w:tc>
        <w:tc>
          <w:tcPr>
            <w:tcW w:w="1276" w:type="dxa"/>
          </w:tcPr>
          <w:p w:rsidR="002A0AA4" w:rsidRDefault="002A0AA4">
            <w:r>
              <w:t>NMDS 1</w:t>
            </w:r>
          </w:p>
        </w:tc>
        <w:tc>
          <w:tcPr>
            <w:tcW w:w="1134" w:type="dxa"/>
          </w:tcPr>
          <w:p w:rsidR="002A0AA4" w:rsidRDefault="002A0AA4">
            <w:r>
              <w:t>NMDS 2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color w:val="000000"/>
                <w:sz w:val="22"/>
                <w:szCs w:val="22"/>
              </w:rPr>
              <w:t>Hydracarina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0.311302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0.104985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000000"/>
                <w:sz w:val="22"/>
                <w:szCs w:val="22"/>
              </w:rPr>
              <w:t>Hydracarina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0.317509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-0.10934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color w:val="000000"/>
                <w:sz w:val="22"/>
                <w:szCs w:val="22"/>
              </w:rPr>
              <w:t>Sphaeriidae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-0.38112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0.691591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000000"/>
                <w:sz w:val="22"/>
                <w:szCs w:val="22"/>
              </w:rPr>
              <w:t>Sphaeriidae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-0.23948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0.737496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color w:val="000000"/>
                <w:sz w:val="22"/>
                <w:szCs w:val="22"/>
              </w:rPr>
              <w:t>Lumbricidae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0.140952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-0.7171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000000"/>
                <w:sz w:val="22"/>
                <w:szCs w:val="22"/>
              </w:rPr>
              <w:t>Lumbricidae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0.154141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-0.89209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color w:val="000000"/>
                <w:sz w:val="22"/>
                <w:szCs w:val="22"/>
              </w:rPr>
              <w:t>Oligochaeta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-0.02984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-0.31775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000000"/>
                <w:sz w:val="22"/>
                <w:szCs w:val="22"/>
              </w:rPr>
              <w:t>Oligochaeta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-0.06381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-0.35622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Asellus</w:t>
            </w:r>
            <w:proofErr w:type="spellEnd"/>
            <w:r w:rsidRPr="002A0AA4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aquaticus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0.173836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1.14491</w:t>
            </w:r>
          </w:p>
        </w:tc>
        <w:tc>
          <w:tcPr>
            <w:tcW w:w="1842" w:type="dxa"/>
            <w:vAlign w:val="bottom"/>
          </w:tcPr>
          <w:p w:rsidR="002A0AA4" w:rsidRPr="00E02323" w:rsidRDefault="002A0AA4" w:rsidP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000000"/>
                <w:sz w:val="22"/>
                <w:szCs w:val="22"/>
              </w:rPr>
              <w:t>Asellidae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0.412023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1.094506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Gyraulus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-1.09444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0.444406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000000"/>
                <w:sz w:val="22"/>
                <w:szCs w:val="22"/>
              </w:rPr>
              <w:t>Planorbidae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-0.99049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0.606028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color w:val="000000"/>
                <w:sz w:val="22"/>
                <w:szCs w:val="22"/>
              </w:rPr>
              <w:t>Dysticidae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-0.45369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-0.2441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000000"/>
                <w:sz w:val="22"/>
                <w:szCs w:val="22"/>
              </w:rPr>
              <w:t>Dysticidae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-0.52259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-0.13567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color w:val="000000"/>
                <w:sz w:val="22"/>
                <w:szCs w:val="22"/>
              </w:rPr>
              <w:t>Gyrinidae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-0.46951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0.097934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000000"/>
                <w:sz w:val="22"/>
                <w:szCs w:val="22"/>
              </w:rPr>
              <w:t>Gyrinidae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-0.58623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0.241437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color w:val="000000"/>
                <w:sz w:val="22"/>
                <w:szCs w:val="22"/>
              </w:rPr>
              <w:t>Hydrophilidae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0.899397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0.84656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000000"/>
                <w:sz w:val="22"/>
                <w:szCs w:val="22"/>
              </w:rPr>
              <w:t>Hydrophilidae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1.035245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0.608716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color w:val="000000"/>
                <w:sz w:val="22"/>
                <w:szCs w:val="22"/>
              </w:rPr>
              <w:t>Scirtidae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0.836275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0.355491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000000"/>
                <w:sz w:val="22"/>
                <w:szCs w:val="22"/>
              </w:rPr>
              <w:t>Scirtidae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0.93939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0.2306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color w:val="000000"/>
                <w:sz w:val="22"/>
                <w:szCs w:val="22"/>
              </w:rPr>
              <w:t>Dryopidae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0.096398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-0.06159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000000"/>
                <w:sz w:val="22"/>
                <w:szCs w:val="22"/>
              </w:rPr>
              <w:t>Dryopidae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0.121314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-0.26048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color w:val="000000"/>
                <w:sz w:val="22"/>
                <w:szCs w:val="22"/>
              </w:rPr>
              <w:t>Haliplidae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-0.80071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0.192398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000000"/>
                <w:sz w:val="22"/>
                <w:szCs w:val="22"/>
              </w:rPr>
              <w:t>Haliplidae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-0.80853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0.356659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Oulimnius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0.831765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0.540336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000000"/>
                <w:sz w:val="22"/>
                <w:szCs w:val="22"/>
              </w:rPr>
              <w:t>Elmidae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1.020999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0.1625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Limnius</w:t>
            </w:r>
            <w:proofErr w:type="spellEnd"/>
            <w:r w:rsidRPr="002A0AA4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volckmari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1.178546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-0.18437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000000"/>
                <w:sz w:val="22"/>
                <w:szCs w:val="22"/>
              </w:rPr>
              <w:t>Chrysomelidae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0.697058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0.704666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color w:val="000000"/>
                <w:sz w:val="22"/>
                <w:szCs w:val="22"/>
              </w:rPr>
              <w:t>Chrysomelidae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0.522728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0.813634</w:t>
            </w:r>
          </w:p>
        </w:tc>
        <w:tc>
          <w:tcPr>
            <w:tcW w:w="1842" w:type="dxa"/>
            <w:vAlign w:val="bottom"/>
          </w:tcPr>
          <w:p w:rsidR="002A0AA4" w:rsidRPr="00E02323" w:rsidRDefault="002A0AA4" w:rsidP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000000"/>
                <w:sz w:val="22"/>
                <w:szCs w:val="22"/>
              </w:rPr>
              <w:t>Tipulidae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-0.00031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-0.44412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color w:val="000000"/>
                <w:sz w:val="22"/>
                <w:szCs w:val="22"/>
              </w:rPr>
              <w:t>Tipulidae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0.288726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-0.35887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000000"/>
                <w:sz w:val="22"/>
                <w:szCs w:val="22"/>
              </w:rPr>
              <w:t>Simuliidae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0.335352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-0.11347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color w:val="000000"/>
                <w:sz w:val="22"/>
                <w:szCs w:val="22"/>
              </w:rPr>
              <w:t>Limoniidae</w:t>
            </w:r>
            <w:proofErr w:type="spellEnd"/>
            <w:r w:rsidRPr="002A0AA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0.198942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-0.54875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000000"/>
                <w:sz w:val="22"/>
                <w:szCs w:val="22"/>
              </w:rPr>
              <w:t>Chironomidae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-0.43514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0.008619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color w:val="000000"/>
                <w:sz w:val="22"/>
                <w:szCs w:val="22"/>
              </w:rPr>
              <w:t>Pediciidae</w:t>
            </w:r>
            <w:proofErr w:type="spellEnd"/>
            <w:r w:rsidRPr="002A0AA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0.022326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-0.41303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000000"/>
                <w:sz w:val="22"/>
                <w:szCs w:val="22"/>
              </w:rPr>
              <w:t>Empididae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0.185454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-0.39487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color w:val="000000"/>
                <w:sz w:val="22"/>
                <w:szCs w:val="22"/>
              </w:rPr>
              <w:t>Simuliidae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0.348088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-0.01207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000000"/>
                <w:sz w:val="22"/>
                <w:szCs w:val="22"/>
              </w:rPr>
              <w:t>Athericidae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0.838645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-0.12046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color w:val="000000"/>
                <w:sz w:val="22"/>
                <w:szCs w:val="22"/>
              </w:rPr>
              <w:t>Chironomidae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-0.41836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-0.04173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000000"/>
                <w:sz w:val="22"/>
                <w:szCs w:val="22"/>
              </w:rPr>
              <w:t>Ceratopogonidae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0.063702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1.366016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color w:val="000000"/>
                <w:sz w:val="22"/>
                <w:szCs w:val="22"/>
              </w:rPr>
              <w:t>Empididae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0.288726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-0.35887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000000"/>
                <w:sz w:val="22"/>
                <w:szCs w:val="22"/>
              </w:rPr>
              <w:t>Psychodidae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0.495458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-0.02005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color w:val="000000"/>
                <w:sz w:val="22"/>
                <w:szCs w:val="22"/>
              </w:rPr>
              <w:t>Athericidae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0.822012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-0.11259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000000"/>
                <w:sz w:val="22"/>
                <w:szCs w:val="22"/>
              </w:rPr>
              <w:t>Siphlonuridae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0.404718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-0.41613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color w:val="000000"/>
                <w:sz w:val="22"/>
                <w:szCs w:val="22"/>
              </w:rPr>
              <w:t>Ceratopogonidae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-0.21445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1.304572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222222"/>
                <w:sz w:val="22"/>
                <w:szCs w:val="22"/>
                <w:shd w:val="clear" w:color="auto" w:fill="FFFFFF"/>
              </w:rPr>
              <w:t>Heptageniidae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1.149014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-0.21126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color w:val="000000"/>
                <w:sz w:val="22"/>
                <w:szCs w:val="22"/>
              </w:rPr>
              <w:t>Psychodidae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0.410212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-0.02969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000000"/>
                <w:sz w:val="22"/>
                <w:szCs w:val="22"/>
              </w:rPr>
              <w:t>Leptophlebiidae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0.163591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-0.12665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Siphlonurus</w:t>
            </w:r>
            <w:proofErr w:type="spellEnd"/>
            <w:r w:rsidRPr="002A0AA4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lacustris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0.390194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-0.28811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222222"/>
                <w:sz w:val="22"/>
                <w:szCs w:val="22"/>
                <w:shd w:val="clear" w:color="auto" w:fill="FFFFFF"/>
              </w:rPr>
              <w:t>Ephemerellidae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0.59656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0.018716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Ecdyonurus</w:t>
            </w:r>
            <w:proofErr w:type="spellEnd"/>
            <w:r w:rsidRPr="002A0AA4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torentis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1.178546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-0.18437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000000"/>
                <w:sz w:val="22"/>
                <w:szCs w:val="22"/>
              </w:rPr>
              <w:t>Baetidae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0.576566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-0.14645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Paraleptophlebia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-0.63574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-0.11283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000000"/>
                <w:sz w:val="22"/>
                <w:szCs w:val="22"/>
              </w:rPr>
              <w:t>Corixidae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-0.99049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0.606028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Habrophlebia</w:t>
            </w:r>
            <w:proofErr w:type="spellEnd"/>
            <w:r w:rsidRPr="002A0AA4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fusca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1.178546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-0.18437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000000"/>
                <w:sz w:val="22"/>
                <w:szCs w:val="22"/>
              </w:rPr>
              <w:t>Sialidae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0.603878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-0.12971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Serratella</w:t>
            </w:r>
            <w:proofErr w:type="spellEnd"/>
            <w:r w:rsidRPr="002A0AA4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ignita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0.502164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0.184872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000000"/>
                <w:sz w:val="22"/>
                <w:szCs w:val="22"/>
              </w:rPr>
              <w:t>Cordulegastridae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-0.46309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0.14437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Baetis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0.565874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-0.04014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000000"/>
                <w:sz w:val="22"/>
                <w:szCs w:val="22"/>
              </w:rPr>
              <w:t>Libellulidae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0.063702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1.366016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Callicorixa</w:t>
            </w:r>
            <w:proofErr w:type="spellEnd"/>
            <w:r w:rsidRPr="002A0AA4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praeusta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-1.09444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0.444406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000000"/>
                <w:sz w:val="22"/>
                <w:szCs w:val="22"/>
              </w:rPr>
              <w:t>Coenagrionidae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-0.5093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0.464282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i/>
                <w:color w:val="000000"/>
                <w:sz w:val="22"/>
                <w:szCs w:val="22"/>
              </w:rPr>
            </w:pPr>
            <w:r w:rsidRPr="002A0AA4">
              <w:rPr>
                <w:i/>
                <w:color w:val="000000"/>
                <w:sz w:val="22"/>
                <w:szCs w:val="22"/>
              </w:rPr>
              <w:t xml:space="preserve">Cymatia </w:t>
            </w: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coleoptrata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-1.09444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0.444406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000000"/>
                <w:sz w:val="22"/>
                <w:szCs w:val="22"/>
              </w:rPr>
              <w:t>Leuctridae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0.15128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-0.40496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color w:val="000000"/>
                <w:sz w:val="22"/>
                <w:szCs w:val="22"/>
              </w:rPr>
              <w:t>Sialidae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0.608503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-0.07219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000000"/>
                <w:sz w:val="22"/>
                <w:szCs w:val="22"/>
              </w:rPr>
              <w:t>Perlodidae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0.9017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0.312928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Cordulegaster</w:t>
            </w:r>
            <w:proofErr w:type="spellEnd"/>
            <w:r w:rsidRPr="002A0AA4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boltonii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-0.46699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0.071415</w:t>
            </w:r>
          </w:p>
        </w:tc>
        <w:tc>
          <w:tcPr>
            <w:tcW w:w="1842" w:type="dxa"/>
            <w:vAlign w:val="bottom"/>
          </w:tcPr>
          <w:p w:rsidR="002A0AA4" w:rsidRPr="00E02323" w:rsidRDefault="002A0AA4" w:rsidP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000000"/>
                <w:sz w:val="22"/>
                <w:szCs w:val="22"/>
              </w:rPr>
              <w:t>Chloroperlidae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1.035245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0.608716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i/>
                <w:color w:val="000000"/>
                <w:sz w:val="22"/>
                <w:szCs w:val="22"/>
              </w:rPr>
            </w:pPr>
            <w:r w:rsidRPr="002A0AA4">
              <w:rPr>
                <w:i/>
                <w:color w:val="000000"/>
                <w:sz w:val="22"/>
                <w:szCs w:val="22"/>
              </w:rPr>
              <w:t xml:space="preserve">Sympetrum </w:t>
            </w: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sanguineum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-0.21445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1.304572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000000"/>
                <w:sz w:val="22"/>
                <w:szCs w:val="22"/>
              </w:rPr>
              <w:t>Nemouridae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0.298876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-0.03967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Ishnura</w:t>
            </w:r>
            <w:proofErr w:type="spellEnd"/>
            <w:r w:rsidRPr="002A0AA4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elegans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-0.54037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0.388842</w:t>
            </w:r>
          </w:p>
        </w:tc>
        <w:tc>
          <w:tcPr>
            <w:tcW w:w="1842" w:type="dxa"/>
            <w:vAlign w:val="bottom"/>
          </w:tcPr>
          <w:p w:rsidR="002A0AA4" w:rsidRPr="00E02323" w:rsidRDefault="002A0AA4" w:rsidP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000000"/>
                <w:sz w:val="22"/>
                <w:szCs w:val="22"/>
              </w:rPr>
              <w:t>Odontoceridae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0.968119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-0.0694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color w:val="000000"/>
                <w:sz w:val="22"/>
                <w:szCs w:val="22"/>
              </w:rPr>
              <w:t>Leuctridae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0.235858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-0.3304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sz w:val="22"/>
                <w:szCs w:val="22"/>
                <w:shd w:val="clear" w:color="auto" w:fill="FFFFFF"/>
              </w:rPr>
              <w:t>Sericostomatidae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1.149014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-0.21126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Isoperla</w:t>
            </w:r>
            <w:proofErr w:type="spellEnd"/>
            <w:r w:rsidRPr="002A0AA4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grammatica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0.73509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0.493281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000000"/>
                <w:sz w:val="22"/>
                <w:szCs w:val="22"/>
              </w:rPr>
              <w:t>Rhyacophilidae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0.879038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0.173582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Chloroperla</w:t>
            </w:r>
            <w:proofErr w:type="spellEnd"/>
            <w:r w:rsidRPr="002A0AA4">
              <w:rPr>
                <w:color w:val="000000"/>
                <w:sz w:val="22"/>
                <w:szCs w:val="22"/>
              </w:rPr>
              <w:t>(=</w:t>
            </w: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Siphonoperla</w:t>
            </w:r>
            <w:proofErr w:type="spellEnd"/>
            <w:r w:rsidRPr="002A0AA4">
              <w:rPr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torrentium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0.899397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0.84656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000000"/>
                <w:sz w:val="22"/>
                <w:szCs w:val="22"/>
              </w:rPr>
              <w:t>Polycentropodidae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-0.27434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-0.33394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Nemurella</w:t>
            </w:r>
            <w:proofErr w:type="spellEnd"/>
            <w:r w:rsidRPr="002A0AA4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picteta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0.594439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-0.88015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2323">
              <w:rPr>
                <w:color w:val="000000"/>
                <w:sz w:val="22"/>
                <w:szCs w:val="22"/>
              </w:rPr>
              <w:t>Limnephilidae</w:t>
            </w:r>
            <w:proofErr w:type="spellEnd"/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0.168472</w:t>
            </w: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E02323">
              <w:rPr>
                <w:color w:val="000000"/>
                <w:sz w:val="22"/>
                <w:szCs w:val="22"/>
              </w:rPr>
              <w:t>-0.05397</w:t>
            </w: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Amphinemura</w:t>
            </w:r>
            <w:proofErr w:type="spellEnd"/>
            <w:r w:rsidRPr="002A0AA4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lastRenderedPageBreak/>
              <w:t>sulcicollis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lastRenderedPageBreak/>
              <w:t>0.594439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-0.88015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lastRenderedPageBreak/>
              <w:t>Nemoura</w:t>
            </w:r>
            <w:proofErr w:type="spellEnd"/>
            <w:r w:rsidRPr="002A0AA4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cambrica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0.231105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0.323013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Odontocerum</w:t>
            </w:r>
            <w:proofErr w:type="spellEnd"/>
            <w:r w:rsidRPr="002A0AA4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albicorne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0.887815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0.017897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Sericostoma</w:t>
            </w:r>
            <w:proofErr w:type="spellEnd"/>
            <w:r w:rsidRPr="002A0AA4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personatum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1.178546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-0.18437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Rhyacophila</w:t>
            </w:r>
            <w:proofErr w:type="spellEnd"/>
            <w:r w:rsidRPr="002A0AA4">
              <w:rPr>
                <w:i/>
                <w:color w:val="000000"/>
                <w:sz w:val="22"/>
                <w:szCs w:val="22"/>
              </w:rPr>
              <w:t xml:space="preserve"> dorsalis</w:t>
            </w:r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0.745447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0.156175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Rhyacophila</w:t>
            </w:r>
            <w:proofErr w:type="spellEnd"/>
            <w:r w:rsidRPr="002A0AA4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septentrionis</w:t>
            </w:r>
            <w:proofErr w:type="spellEnd"/>
            <w:r w:rsidRPr="002A0AA4">
              <w:rPr>
                <w:color w:val="000000"/>
                <w:sz w:val="22"/>
                <w:szCs w:val="22"/>
              </w:rPr>
              <w:t xml:space="preserve"> (=</w:t>
            </w: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fasciata</w:t>
            </w:r>
            <w:proofErr w:type="spellEnd"/>
            <w:r w:rsidRPr="002A0AA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0.899397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0.84656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Plectrocnemia</w:t>
            </w:r>
            <w:proofErr w:type="spellEnd"/>
            <w:r w:rsidRPr="002A0AA4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conspera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-0.23608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-0.32107</w:t>
            </w:r>
          </w:p>
        </w:tc>
        <w:tc>
          <w:tcPr>
            <w:tcW w:w="1842" w:type="dxa"/>
            <w:vAlign w:val="bottom"/>
          </w:tcPr>
          <w:p w:rsidR="002A0AA4" w:rsidRPr="00E02323" w:rsidRDefault="002A0A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A0AA4" w:rsidRPr="00E02323" w:rsidRDefault="002A0AA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Plectrocnemia</w:t>
            </w:r>
            <w:proofErr w:type="spellEnd"/>
            <w:r w:rsidRPr="002A0AA4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0AA4">
              <w:rPr>
                <w:i/>
                <w:color w:val="000000"/>
                <w:sz w:val="22"/>
                <w:szCs w:val="22"/>
              </w:rPr>
              <w:t>geniculata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0.594439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-0.88015</w:t>
            </w:r>
          </w:p>
        </w:tc>
        <w:tc>
          <w:tcPr>
            <w:tcW w:w="1842" w:type="dxa"/>
          </w:tcPr>
          <w:p w:rsidR="002A0AA4" w:rsidRPr="00E02323" w:rsidRDefault="002A0AA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0AA4" w:rsidRPr="00E02323" w:rsidRDefault="002A0A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0AA4" w:rsidRPr="00E02323" w:rsidRDefault="002A0AA4">
            <w:pPr>
              <w:rPr>
                <w:sz w:val="20"/>
                <w:szCs w:val="20"/>
              </w:rPr>
            </w:pPr>
          </w:p>
        </w:tc>
      </w:tr>
      <w:tr w:rsidR="002A0AA4" w:rsidTr="00E02323">
        <w:tc>
          <w:tcPr>
            <w:tcW w:w="2093" w:type="dxa"/>
            <w:vAlign w:val="bottom"/>
          </w:tcPr>
          <w:p w:rsidR="002A0AA4" w:rsidRPr="002A0AA4" w:rsidRDefault="002A0A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0AA4">
              <w:rPr>
                <w:color w:val="000000"/>
                <w:sz w:val="22"/>
                <w:szCs w:val="22"/>
              </w:rPr>
              <w:t>Limnephilidae</w:t>
            </w:r>
            <w:proofErr w:type="spellEnd"/>
          </w:p>
        </w:tc>
        <w:tc>
          <w:tcPr>
            <w:tcW w:w="1559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0.186269</w:t>
            </w:r>
          </w:p>
        </w:tc>
        <w:tc>
          <w:tcPr>
            <w:tcW w:w="1418" w:type="dxa"/>
            <w:vAlign w:val="bottom"/>
          </w:tcPr>
          <w:p w:rsidR="002A0AA4" w:rsidRPr="002A0AA4" w:rsidRDefault="002A0AA4">
            <w:pPr>
              <w:jc w:val="right"/>
              <w:rPr>
                <w:color w:val="000000"/>
                <w:sz w:val="22"/>
                <w:szCs w:val="22"/>
              </w:rPr>
            </w:pPr>
            <w:r w:rsidRPr="002A0AA4">
              <w:rPr>
                <w:color w:val="000000"/>
                <w:sz w:val="22"/>
                <w:szCs w:val="22"/>
              </w:rPr>
              <w:t>-0.00421</w:t>
            </w:r>
          </w:p>
        </w:tc>
        <w:tc>
          <w:tcPr>
            <w:tcW w:w="1842" w:type="dxa"/>
          </w:tcPr>
          <w:p w:rsidR="002A0AA4" w:rsidRPr="00E02323" w:rsidRDefault="002A0AA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0AA4" w:rsidRPr="00E02323" w:rsidRDefault="002A0A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0AA4" w:rsidRPr="00E02323" w:rsidRDefault="002A0AA4">
            <w:pPr>
              <w:rPr>
                <w:sz w:val="20"/>
                <w:szCs w:val="20"/>
              </w:rPr>
            </w:pPr>
          </w:p>
        </w:tc>
      </w:tr>
    </w:tbl>
    <w:p w:rsidR="00153638" w:rsidRDefault="00153638"/>
    <w:sectPr w:rsidR="001536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38"/>
    <w:rsid w:val="00153638"/>
    <w:rsid w:val="002663ED"/>
    <w:rsid w:val="002A0AA4"/>
    <w:rsid w:val="00463C9A"/>
    <w:rsid w:val="004D7A88"/>
    <w:rsid w:val="004E3883"/>
    <w:rsid w:val="007C2736"/>
    <w:rsid w:val="00A71989"/>
    <w:rsid w:val="00E02323"/>
    <w:rsid w:val="00F1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B6B469D4.dotm</Template>
  <TotalTime>1</TotalTime>
  <Pages>2</Pages>
  <Words>515</Words>
  <Characters>2942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Mayhew</dc:creator>
  <cp:lastModifiedBy>Clare Bilton</cp:lastModifiedBy>
  <cp:revision>2</cp:revision>
  <dcterms:created xsi:type="dcterms:W3CDTF">2016-08-31T08:36:00Z</dcterms:created>
  <dcterms:modified xsi:type="dcterms:W3CDTF">2016-08-31T08:36:00Z</dcterms:modified>
</cp:coreProperties>
</file>