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25B1" w:rsidRPr="00764AF8" w:rsidRDefault="00F725B1" w:rsidP="00F725B1">
      <w:pPr>
        <w:spacing w:after="0" w:line="240" w:lineRule="auto"/>
        <w:jc w:val="center"/>
        <w:rPr>
          <w:sz w:val="36"/>
          <w:szCs w:val="24"/>
        </w:rPr>
      </w:pPr>
      <w:bookmarkStart w:id="0" w:name="_Toc399862754"/>
      <w:bookmarkStart w:id="1" w:name="_GoBack"/>
      <w:bookmarkEnd w:id="1"/>
      <w:r w:rsidRPr="00764AF8">
        <w:rPr>
          <w:b/>
          <w:sz w:val="36"/>
          <w:szCs w:val="24"/>
        </w:rPr>
        <w:t xml:space="preserve">Recent Advances in </w:t>
      </w:r>
      <w:r>
        <w:rPr>
          <w:b/>
          <w:sz w:val="36"/>
          <w:szCs w:val="24"/>
        </w:rPr>
        <w:t>Explaining Hedge Fund Returns: Implicit Factors and Exposures</w:t>
      </w:r>
    </w:p>
    <w:p w:rsidR="00F725B1" w:rsidRDefault="00F725B1" w:rsidP="00F725B1">
      <w:pPr>
        <w:spacing w:after="0" w:line="240" w:lineRule="auto"/>
        <w:jc w:val="center"/>
        <w:rPr>
          <w:szCs w:val="24"/>
        </w:rPr>
      </w:pPr>
    </w:p>
    <w:p w:rsidR="00974280" w:rsidRDefault="00974280" w:rsidP="00F725B1">
      <w:pPr>
        <w:spacing w:after="0" w:line="240" w:lineRule="auto"/>
        <w:jc w:val="center"/>
        <w:rPr>
          <w:szCs w:val="24"/>
        </w:rPr>
      </w:pPr>
    </w:p>
    <w:p w:rsidR="00BE6024" w:rsidRDefault="00BE6024" w:rsidP="00F725B1">
      <w:pPr>
        <w:spacing w:after="0" w:line="240" w:lineRule="auto"/>
        <w:jc w:val="center"/>
        <w:rPr>
          <w:szCs w:val="24"/>
        </w:rPr>
      </w:pPr>
    </w:p>
    <w:p w:rsidR="00F725B1" w:rsidRDefault="00F725B1" w:rsidP="00F725B1">
      <w:pPr>
        <w:spacing w:after="0" w:line="240" w:lineRule="auto"/>
        <w:jc w:val="center"/>
        <w:rPr>
          <w:szCs w:val="24"/>
        </w:rPr>
      </w:pPr>
    </w:p>
    <w:p w:rsidR="00A27535" w:rsidRPr="00571757" w:rsidRDefault="00A27535" w:rsidP="00F725B1">
      <w:pPr>
        <w:spacing w:after="0" w:line="240" w:lineRule="auto"/>
        <w:jc w:val="center"/>
        <w:rPr>
          <w:szCs w:val="24"/>
        </w:rPr>
      </w:pPr>
    </w:p>
    <w:p w:rsidR="00F725B1" w:rsidRPr="00571757" w:rsidRDefault="00F725B1" w:rsidP="00F725B1">
      <w:pPr>
        <w:spacing w:after="0" w:line="240" w:lineRule="auto"/>
        <w:rPr>
          <w:szCs w:val="24"/>
        </w:rPr>
      </w:pPr>
    </w:p>
    <w:p w:rsidR="00F725B1" w:rsidRPr="00571757" w:rsidRDefault="00F725B1" w:rsidP="00F725B1">
      <w:pPr>
        <w:spacing w:after="0" w:line="240" w:lineRule="auto"/>
        <w:rPr>
          <w:szCs w:val="24"/>
        </w:rPr>
      </w:pPr>
    </w:p>
    <w:p w:rsidR="00F725B1" w:rsidRPr="00A24E10" w:rsidRDefault="00F725B1" w:rsidP="00F725B1">
      <w:pPr>
        <w:spacing w:after="0"/>
        <w:jc w:val="center"/>
        <w:rPr>
          <w:b/>
          <w:sz w:val="32"/>
          <w:szCs w:val="32"/>
          <w:lang w:val="en-US"/>
        </w:rPr>
      </w:pPr>
      <w:r w:rsidRPr="00A24E10">
        <w:rPr>
          <w:b/>
          <w:sz w:val="32"/>
          <w:szCs w:val="32"/>
          <w:lang w:val="en-US"/>
        </w:rPr>
        <w:t>Abstract</w:t>
      </w:r>
    </w:p>
    <w:p w:rsidR="00F725B1" w:rsidRPr="00003625" w:rsidRDefault="00F725B1" w:rsidP="00F725B1">
      <w:pPr>
        <w:ind w:left="567" w:right="567"/>
        <w:jc w:val="both"/>
        <w:rPr>
          <w:sz w:val="20"/>
          <w:szCs w:val="20"/>
          <w:lang w:val="en-US"/>
        </w:rPr>
      </w:pPr>
      <w:r>
        <w:rPr>
          <w:sz w:val="20"/>
          <w:szCs w:val="20"/>
        </w:rPr>
        <w:t>W</w:t>
      </w:r>
      <w:r w:rsidRPr="005615B2">
        <w:rPr>
          <w:sz w:val="20"/>
          <w:szCs w:val="20"/>
        </w:rPr>
        <w:t xml:space="preserve">e </w:t>
      </w:r>
      <w:r>
        <w:rPr>
          <w:sz w:val="20"/>
          <w:szCs w:val="20"/>
        </w:rPr>
        <w:t xml:space="preserve">survey </w:t>
      </w:r>
      <w:r w:rsidRPr="005615B2">
        <w:rPr>
          <w:sz w:val="20"/>
          <w:szCs w:val="20"/>
        </w:rPr>
        <w:t xml:space="preserve">articles </w:t>
      </w:r>
      <w:r>
        <w:rPr>
          <w:sz w:val="20"/>
          <w:szCs w:val="20"/>
        </w:rPr>
        <w:t>covering</w:t>
      </w:r>
      <w:r w:rsidRPr="005615B2">
        <w:rPr>
          <w:sz w:val="20"/>
          <w:szCs w:val="20"/>
          <w:lang w:val="en-US"/>
        </w:rPr>
        <w:t xml:space="preserve"> how hedge funds returns are explained</w:t>
      </w:r>
      <w:r>
        <w:rPr>
          <w:sz w:val="20"/>
          <w:szCs w:val="20"/>
          <w:lang w:val="en-US"/>
        </w:rPr>
        <w:t>,</w:t>
      </w:r>
      <w:r w:rsidRPr="005615B2">
        <w:rPr>
          <w:sz w:val="20"/>
          <w:szCs w:val="20"/>
          <w:lang w:val="en-US"/>
        </w:rPr>
        <w:t xml:space="preserve"> using </w:t>
      </w:r>
      <w:r w:rsidR="00CD579B">
        <w:rPr>
          <w:sz w:val="20"/>
          <w:szCs w:val="20"/>
          <w:lang w:val="en-US"/>
        </w:rPr>
        <w:t>largely</w:t>
      </w:r>
      <w:r>
        <w:rPr>
          <w:sz w:val="20"/>
          <w:szCs w:val="20"/>
          <w:lang w:val="en-US"/>
        </w:rPr>
        <w:t xml:space="preserve"> </w:t>
      </w:r>
      <w:r w:rsidRPr="005615B2">
        <w:rPr>
          <w:sz w:val="20"/>
          <w:szCs w:val="20"/>
          <w:lang w:val="en-US"/>
        </w:rPr>
        <w:t xml:space="preserve">non-linear multifactor models that </w:t>
      </w:r>
      <w:r w:rsidRPr="00CD579B">
        <w:rPr>
          <w:sz w:val="20"/>
          <w:szCs w:val="20"/>
          <w:lang w:val="en-US"/>
        </w:rPr>
        <w:t xml:space="preserve">examine the non-linear pay-offs and exposures of hedge funds. We provide an integrated view of the implicit factor and statistical factor models that are largely able to explain the hedge </w:t>
      </w:r>
      <w:r w:rsidR="00CD579B" w:rsidRPr="00CD579B">
        <w:rPr>
          <w:sz w:val="20"/>
          <w:szCs w:val="20"/>
          <w:lang w:val="en-US"/>
        </w:rPr>
        <w:t xml:space="preserve">fund </w:t>
      </w:r>
      <w:r w:rsidRPr="00CD579B">
        <w:rPr>
          <w:sz w:val="20"/>
          <w:szCs w:val="20"/>
          <w:lang w:val="en-US"/>
        </w:rPr>
        <w:t xml:space="preserve">return-generating process. We present their evolution through time by discussing pioneering studies that made </w:t>
      </w:r>
      <w:r w:rsidRPr="005615B2">
        <w:rPr>
          <w:sz w:val="20"/>
          <w:szCs w:val="20"/>
          <w:lang w:val="en-US"/>
        </w:rPr>
        <w:t xml:space="preserve">a significant contribution </w:t>
      </w:r>
      <w:r>
        <w:rPr>
          <w:sz w:val="20"/>
          <w:szCs w:val="20"/>
          <w:lang w:val="en-US"/>
        </w:rPr>
        <w:t xml:space="preserve">to </w:t>
      </w:r>
      <w:r w:rsidRPr="005615B2">
        <w:rPr>
          <w:sz w:val="20"/>
          <w:szCs w:val="20"/>
          <w:lang w:val="en-US"/>
        </w:rPr>
        <w:t>knowledge</w:t>
      </w:r>
      <w:r>
        <w:rPr>
          <w:sz w:val="20"/>
          <w:szCs w:val="20"/>
          <w:lang w:val="en-US"/>
        </w:rPr>
        <w:t>, and also recent</w:t>
      </w:r>
      <w:r w:rsidRPr="005615B2">
        <w:rPr>
          <w:sz w:val="20"/>
          <w:szCs w:val="20"/>
          <w:lang w:val="en-US"/>
        </w:rPr>
        <w:t xml:space="preserve"> innovative studies that examine hedge funds exposures using advanced econometric methods</w:t>
      </w:r>
      <w:r>
        <w:rPr>
          <w:sz w:val="20"/>
          <w:szCs w:val="20"/>
          <w:lang w:val="en-US"/>
        </w:rPr>
        <w:t>.</w:t>
      </w:r>
      <w:r w:rsidRPr="005615B2">
        <w:rPr>
          <w:sz w:val="20"/>
          <w:szCs w:val="20"/>
          <w:lang w:val="en-US"/>
        </w:rPr>
        <w:t xml:space="preserve"> This </w:t>
      </w:r>
      <w:r>
        <w:rPr>
          <w:sz w:val="20"/>
          <w:szCs w:val="20"/>
          <w:lang w:val="en-US"/>
        </w:rPr>
        <w:t>is the first</w:t>
      </w:r>
      <w:r w:rsidRPr="005615B2">
        <w:rPr>
          <w:sz w:val="20"/>
          <w:szCs w:val="20"/>
          <w:lang w:val="en-US"/>
        </w:rPr>
        <w:t xml:space="preserve"> </w:t>
      </w:r>
      <w:r>
        <w:rPr>
          <w:sz w:val="20"/>
          <w:szCs w:val="20"/>
          <w:lang w:val="en-US"/>
        </w:rPr>
        <w:t xml:space="preserve">review </w:t>
      </w:r>
      <w:r w:rsidRPr="005615B2">
        <w:rPr>
          <w:sz w:val="20"/>
          <w:szCs w:val="20"/>
          <w:lang w:val="en-US"/>
        </w:rPr>
        <w:t>that analyze</w:t>
      </w:r>
      <w:r>
        <w:rPr>
          <w:sz w:val="20"/>
          <w:szCs w:val="20"/>
          <w:lang w:val="en-US"/>
        </w:rPr>
        <w:t>s</w:t>
      </w:r>
      <w:r w:rsidRPr="005615B2">
        <w:rPr>
          <w:sz w:val="20"/>
          <w:szCs w:val="20"/>
          <w:lang w:val="en-US"/>
        </w:rPr>
        <w:t xml:space="preserve"> very recent studies that </w:t>
      </w:r>
      <w:r>
        <w:rPr>
          <w:sz w:val="20"/>
          <w:szCs w:val="20"/>
          <w:lang w:val="en-US"/>
        </w:rPr>
        <w:t>explain a large part of hedge fund variation</w:t>
      </w:r>
      <w:r w:rsidRPr="005615B2">
        <w:rPr>
          <w:sz w:val="20"/>
          <w:szCs w:val="20"/>
          <w:lang w:val="en-US"/>
        </w:rPr>
        <w:t xml:space="preserve">. We </w:t>
      </w:r>
      <w:r>
        <w:rPr>
          <w:sz w:val="20"/>
          <w:szCs w:val="20"/>
          <w:lang w:val="en-US"/>
        </w:rPr>
        <w:t>conclude</w:t>
      </w:r>
      <w:r w:rsidRPr="005615B2">
        <w:rPr>
          <w:sz w:val="20"/>
          <w:szCs w:val="20"/>
          <w:lang w:val="en-US"/>
        </w:rPr>
        <w:t xml:space="preserve"> by presenting some gaps for future research</w:t>
      </w:r>
      <w:r w:rsidRPr="00003625">
        <w:rPr>
          <w:sz w:val="20"/>
          <w:szCs w:val="20"/>
          <w:lang w:val="en-US"/>
        </w:rPr>
        <w:t xml:space="preserve">. </w:t>
      </w:r>
    </w:p>
    <w:p w:rsidR="00F725B1" w:rsidRDefault="00F725B1" w:rsidP="00F725B1">
      <w:pPr>
        <w:jc w:val="both"/>
        <w:rPr>
          <w:lang w:val="en-US"/>
        </w:rPr>
      </w:pPr>
    </w:p>
    <w:p w:rsidR="00F725B1" w:rsidRDefault="00F725B1" w:rsidP="00F725B1">
      <w:pPr>
        <w:jc w:val="both"/>
        <w:rPr>
          <w:i/>
          <w:lang w:val="en-US"/>
        </w:rPr>
      </w:pPr>
      <w:r>
        <w:rPr>
          <w:lang w:val="en-US"/>
        </w:rPr>
        <w:t xml:space="preserve">Keywords: </w:t>
      </w:r>
      <w:r w:rsidRPr="00CC5026">
        <w:rPr>
          <w:i/>
          <w:lang w:val="en-US"/>
        </w:rPr>
        <w:t>hedge fund performance; implicit factors; statistical factors; linear and non-linear multi-factor models; alpha and beta returns</w:t>
      </w:r>
    </w:p>
    <w:p w:rsidR="00F725B1" w:rsidRPr="00F85428" w:rsidRDefault="00F725B1" w:rsidP="00F725B1">
      <w:pPr>
        <w:jc w:val="both"/>
      </w:pPr>
    </w:p>
    <w:p w:rsidR="00F725B1" w:rsidRDefault="00F725B1" w:rsidP="00B93647">
      <w:pPr>
        <w:spacing w:line="480" w:lineRule="auto"/>
        <w:rPr>
          <w:lang w:val="en-US"/>
        </w:rPr>
      </w:pPr>
    </w:p>
    <w:p w:rsidR="00A27535" w:rsidRDefault="00A27535" w:rsidP="00B93647">
      <w:pPr>
        <w:pStyle w:val="Heading1"/>
        <w:spacing w:line="480" w:lineRule="auto"/>
        <w:jc w:val="left"/>
        <w:rPr>
          <w:lang w:val="en-US"/>
        </w:rPr>
        <w:sectPr w:rsidR="00A27535" w:rsidSect="00CB65D7">
          <w:footerReference w:type="default" r:id="rId9"/>
          <w:footerReference w:type="first" r:id="rId10"/>
          <w:endnotePr>
            <w:numFmt w:val="decimal"/>
          </w:endnotePr>
          <w:pgSz w:w="11906" w:h="16838"/>
          <w:pgMar w:top="1440" w:right="1440" w:bottom="1440" w:left="2268" w:header="709" w:footer="567" w:gutter="0"/>
          <w:pgNumType w:start="0"/>
          <w:cols w:space="708"/>
          <w:titlePg/>
          <w:docGrid w:linePitch="360"/>
        </w:sectPr>
      </w:pPr>
    </w:p>
    <w:p w:rsidR="00F53845" w:rsidRPr="00A44D31" w:rsidRDefault="00C77EBD" w:rsidP="00B93647">
      <w:pPr>
        <w:pStyle w:val="Heading1"/>
        <w:spacing w:line="480" w:lineRule="auto"/>
        <w:jc w:val="left"/>
        <w:rPr>
          <w:lang w:val="en-US"/>
        </w:rPr>
      </w:pPr>
      <w:r w:rsidRPr="00A44D31">
        <w:rPr>
          <w:lang w:val="en-US"/>
        </w:rPr>
        <w:lastRenderedPageBreak/>
        <w:t>Introduction</w:t>
      </w:r>
      <w:bookmarkEnd w:id="0"/>
    </w:p>
    <w:p w:rsidR="000A7C7E" w:rsidRDefault="00D76D90" w:rsidP="00B93647">
      <w:pPr>
        <w:spacing w:line="480" w:lineRule="auto"/>
        <w:jc w:val="both"/>
        <w:rPr>
          <w:rFonts w:eastAsiaTheme="minorEastAsia"/>
          <w:lang w:val="en-US"/>
        </w:rPr>
      </w:pPr>
      <w:r w:rsidRPr="00A44D31">
        <w:rPr>
          <w:rFonts w:cs="Times New Roman"/>
          <w:szCs w:val="24"/>
        </w:rPr>
        <w:t>A large and growing body of literature has investigated</w:t>
      </w:r>
      <w:r w:rsidR="006F5D2C" w:rsidRPr="00A44D31">
        <w:rPr>
          <w:rFonts w:cs="Times New Roman"/>
          <w:szCs w:val="24"/>
        </w:rPr>
        <w:t xml:space="preserve"> </w:t>
      </w:r>
      <w:r w:rsidRPr="00A44D31">
        <w:rPr>
          <w:rFonts w:cs="Times New Roman"/>
          <w:szCs w:val="24"/>
        </w:rPr>
        <w:t xml:space="preserve">hedge fund </w:t>
      </w:r>
      <w:r w:rsidR="006F5D2C" w:rsidRPr="00A44D31">
        <w:rPr>
          <w:rFonts w:cs="Times New Roman"/>
          <w:szCs w:val="24"/>
        </w:rPr>
        <w:t xml:space="preserve">performance </w:t>
      </w:r>
      <w:r w:rsidR="002317FD" w:rsidRPr="00A44D31">
        <w:rPr>
          <w:rFonts w:cs="Times New Roman"/>
          <w:szCs w:val="24"/>
        </w:rPr>
        <w:t>attribution through the use of implicit or statistical factor models</w:t>
      </w:r>
      <w:r w:rsidR="00576F3C">
        <w:rPr>
          <w:rFonts w:cs="Times New Roman"/>
          <w:szCs w:val="24"/>
        </w:rPr>
        <w:t xml:space="preserve"> (e.g. </w:t>
      </w:r>
      <w:proofErr w:type="spellStart"/>
      <w:r w:rsidR="00576F3C">
        <w:t>Billio</w:t>
      </w:r>
      <w:proofErr w:type="spellEnd"/>
      <w:r w:rsidR="00576F3C">
        <w:t xml:space="preserve">, </w:t>
      </w:r>
      <w:proofErr w:type="spellStart"/>
      <w:r w:rsidR="00576F3C">
        <w:t>Getmansky</w:t>
      </w:r>
      <w:proofErr w:type="spellEnd"/>
      <w:r w:rsidR="00576F3C">
        <w:t xml:space="preserve"> and </w:t>
      </w:r>
      <w:proofErr w:type="spellStart"/>
      <w:r w:rsidR="00576F3C">
        <w:t>Pelizzon</w:t>
      </w:r>
      <w:proofErr w:type="spellEnd"/>
      <w:r w:rsidR="00576F3C">
        <w:t xml:space="preserve">, 2012; </w:t>
      </w:r>
      <w:proofErr w:type="spellStart"/>
      <w:r w:rsidR="00576F3C">
        <w:t>Akay</w:t>
      </w:r>
      <w:proofErr w:type="spellEnd"/>
      <w:r w:rsidR="00576F3C">
        <w:t xml:space="preserve">, </w:t>
      </w:r>
      <w:proofErr w:type="spellStart"/>
      <w:r w:rsidR="00576F3C">
        <w:t>Senyuz</w:t>
      </w:r>
      <w:proofErr w:type="spellEnd"/>
      <w:r w:rsidR="00576F3C">
        <w:t xml:space="preserve">, and </w:t>
      </w:r>
      <w:proofErr w:type="spellStart"/>
      <w:r w:rsidR="00576F3C">
        <w:t>Yoldas</w:t>
      </w:r>
      <w:proofErr w:type="spellEnd"/>
      <w:r w:rsidR="00576F3C">
        <w:t>, 2013;</w:t>
      </w:r>
      <w:r w:rsidR="00576F3C" w:rsidRPr="00A44D31">
        <w:t xml:space="preserve"> </w:t>
      </w:r>
      <w:proofErr w:type="spellStart"/>
      <w:r w:rsidR="00576F3C">
        <w:t>O’Doherty</w:t>
      </w:r>
      <w:proofErr w:type="spellEnd"/>
      <w:r w:rsidR="00576F3C">
        <w:t xml:space="preserve">, </w:t>
      </w:r>
      <w:proofErr w:type="spellStart"/>
      <w:r w:rsidR="00576F3C">
        <w:t>Savin</w:t>
      </w:r>
      <w:proofErr w:type="spellEnd"/>
      <w:r w:rsidR="00576F3C">
        <w:t xml:space="preserve">, and Tiwari, </w:t>
      </w:r>
      <w:r w:rsidR="00576F3C" w:rsidRPr="00A44D31">
        <w:t>2015)</w:t>
      </w:r>
      <w:r w:rsidR="002317FD" w:rsidRPr="00A44D31">
        <w:rPr>
          <w:rFonts w:cs="Times New Roman"/>
          <w:szCs w:val="24"/>
        </w:rPr>
        <w:t xml:space="preserve">. </w:t>
      </w:r>
      <w:r w:rsidR="00DF3665" w:rsidRPr="00A44D31">
        <w:rPr>
          <w:rFonts w:cs="Times New Roman"/>
          <w:szCs w:val="24"/>
        </w:rPr>
        <w:t xml:space="preserve">Investors want </w:t>
      </w:r>
      <w:r w:rsidR="0051577C" w:rsidRPr="00A44D31">
        <w:rPr>
          <w:rFonts w:cs="Times New Roman"/>
          <w:szCs w:val="24"/>
        </w:rPr>
        <w:t xml:space="preserve">to know what is behind </w:t>
      </w:r>
      <w:r w:rsidR="00DF3665" w:rsidRPr="00A44D31">
        <w:rPr>
          <w:rFonts w:cs="Times New Roman"/>
          <w:szCs w:val="24"/>
        </w:rPr>
        <w:t>hedge fund return variation</w:t>
      </w:r>
      <w:r w:rsidR="0051577C" w:rsidRPr="00A44D31">
        <w:rPr>
          <w:rFonts w:cs="Times New Roman"/>
          <w:szCs w:val="24"/>
        </w:rPr>
        <w:t xml:space="preserve"> and what to expect from different hedge fund strategies or funds with different </w:t>
      </w:r>
      <w:r w:rsidR="00950A9B" w:rsidRPr="00A44D31">
        <w:rPr>
          <w:rFonts w:cs="Times New Roman"/>
          <w:szCs w:val="24"/>
        </w:rPr>
        <w:t>styles</w:t>
      </w:r>
      <w:r w:rsidR="00DF3665" w:rsidRPr="00A44D31">
        <w:rPr>
          <w:rFonts w:cs="Times New Roman"/>
          <w:szCs w:val="24"/>
        </w:rPr>
        <w:t xml:space="preserve">. </w:t>
      </w:r>
      <w:r w:rsidR="00C1213A">
        <w:rPr>
          <w:rFonts w:cs="Times New Roman"/>
          <w:szCs w:val="24"/>
        </w:rPr>
        <w:t>I</w:t>
      </w:r>
      <w:r w:rsidR="00056CBD" w:rsidRPr="00A44D31">
        <w:rPr>
          <w:rFonts w:cs="Times New Roman"/>
          <w:szCs w:val="24"/>
        </w:rPr>
        <w:t xml:space="preserve">nvestors </w:t>
      </w:r>
      <w:r w:rsidR="00C1213A">
        <w:rPr>
          <w:rFonts w:cs="Times New Roman"/>
          <w:szCs w:val="24"/>
        </w:rPr>
        <w:t xml:space="preserve">need </w:t>
      </w:r>
      <w:r w:rsidR="00056CBD" w:rsidRPr="00A44D31">
        <w:rPr>
          <w:rFonts w:cs="Times New Roman"/>
          <w:szCs w:val="24"/>
        </w:rPr>
        <w:t xml:space="preserve">to </w:t>
      </w:r>
      <w:r w:rsidR="00E42AF8" w:rsidRPr="00A44D31">
        <w:rPr>
          <w:rFonts w:cs="Times New Roman"/>
          <w:szCs w:val="24"/>
        </w:rPr>
        <w:t>be familiar</w:t>
      </w:r>
      <w:r w:rsidR="00056CBD" w:rsidRPr="00A44D31">
        <w:rPr>
          <w:rFonts w:cs="Times New Roman"/>
          <w:szCs w:val="24"/>
        </w:rPr>
        <w:t xml:space="preserve"> </w:t>
      </w:r>
      <w:r w:rsidR="00E42AF8" w:rsidRPr="00A44D31">
        <w:rPr>
          <w:rFonts w:cs="Times New Roman"/>
          <w:szCs w:val="24"/>
        </w:rPr>
        <w:t xml:space="preserve">with </w:t>
      </w:r>
      <w:r w:rsidR="00056CBD" w:rsidRPr="00A44D31">
        <w:rPr>
          <w:rFonts w:cs="Times New Roman"/>
          <w:szCs w:val="24"/>
        </w:rPr>
        <w:t xml:space="preserve">the principles </w:t>
      </w:r>
      <w:r w:rsidR="00EB0291" w:rsidRPr="00A44D31">
        <w:rPr>
          <w:rFonts w:cs="Times New Roman"/>
          <w:szCs w:val="24"/>
        </w:rPr>
        <w:t>that enable</w:t>
      </w:r>
      <w:r w:rsidR="00511B80">
        <w:rPr>
          <w:rFonts w:cs="Times New Roman"/>
          <w:szCs w:val="24"/>
        </w:rPr>
        <w:t xml:space="preserve"> them</w:t>
      </w:r>
      <w:r w:rsidR="00EB0291" w:rsidRPr="00A44D31">
        <w:rPr>
          <w:rFonts w:cs="Times New Roman"/>
          <w:szCs w:val="24"/>
        </w:rPr>
        <w:t xml:space="preserve"> to understand hedge fund performance behaviour.</w:t>
      </w:r>
      <w:r w:rsidR="00EB0291" w:rsidRPr="00A44D31">
        <w:rPr>
          <w:rFonts w:eastAsiaTheme="minorEastAsia"/>
          <w:lang w:val="en-US"/>
        </w:rPr>
        <w:t xml:space="preserve"> </w:t>
      </w:r>
      <w:r w:rsidR="00857143" w:rsidRPr="00A44D31">
        <w:rPr>
          <w:rFonts w:cs="Times New Roman"/>
          <w:szCs w:val="24"/>
        </w:rPr>
        <w:t xml:space="preserve">Although </w:t>
      </w:r>
      <w:r w:rsidR="00C1213A">
        <w:rPr>
          <w:rFonts w:cs="Times New Roman"/>
          <w:szCs w:val="24"/>
        </w:rPr>
        <w:t xml:space="preserve">many studies </w:t>
      </w:r>
      <w:r w:rsidR="00857143" w:rsidRPr="00A44D31">
        <w:rPr>
          <w:rFonts w:cs="Times New Roman"/>
          <w:szCs w:val="24"/>
        </w:rPr>
        <w:t>describ</w:t>
      </w:r>
      <w:r w:rsidR="00C1213A">
        <w:rPr>
          <w:rFonts w:cs="Times New Roman"/>
          <w:szCs w:val="24"/>
        </w:rPr>
        <w:t>e</w:t>
      </w:r>
      <w:r w:rsidR="00857143" w:rsidRPr="00A44D31">
        <w:rPr>
          <w:rFonts w:cs="Times New Roman"/>
          <w:szCs w:val="24"/>
        </w:rPr>
        <w:t xml:space="preserve"> the role of factors or exposures of hedge funds in delivering excess return</w:t>
      </w:r>
      <w:r w:rsidR="00C1213A">
        <w:rPr>
          <w:rFonts w:cs="Times New Roman"/>
          <w:szCs w:val="24"/>
        </w:rPr>
        <w:t>s</w:t>
      </w:r>
      <w:r w:rsidR="00857143" w:rsidRPr="00A44D31">
        <w:rPr>
          <w:rFonts w:cs="Times New Roman"/>
          <w:szCs w:val="24"/>
        </w:rPr>
        <w:t xml:space="preserve"> to investors, </w:t>
      </w:r>
      <w:r w:rsidR="00527E6B" w:rsidRPr="00A44D31">
        <w:rPr>
          <w:rFonts w:cs="Times New Roman"/>
          <w:szCs w:val="24"/>
        </w:rPr>
        <w:t xml:space="preserve">there is no </w:t>
      </w:r>
      <w:r w:rsidR="002D593A" w:rsidRPr="00A44D31">
        <w:rPr>
          <w:rFonts w:cs="Times New Roman"/>
          <w:szCs w:val="24"/>
        </w:rPr>
        <w:t xml:space="preserve">survey </w:t>
      </w:r>
      <w:r w:rsidR="000F3B65" w:rsidRPr="00A44D31">
        <w:rPr>
          <w:rFonts w:cs="Times New Roman"/>
          <w:szCs w:val="24"/>
        </w:rPr>
        <w:t xml:space="preserve">that </w:t>
      </w:r>
      <w:r w:rsidR="002D593A" w:rsidRPr="00A44D31">
        <w:rPr>
          <w:rFonts w:cs="Times New Roman"/>
          <w:szCs w:val="24"/>
        </w:rPr>
        <w:t>summariz</w:t>
      </w:r>
      <w:r w:rsidR="000F3B65" w:rsidRPr="00A44D31">
        <w:rPr>
          <w:rFonts w:cs="Times New Roman"/>
          <w:szCs w:val="24"/>
        </w:rPr>
        <w:t>es</w:t>
      </w:r>
      <w:r w:rsidR="005E4E62">
        <w:rPr>
          <w:rFonts w:cs="Times New Roman"/>
          <w:szCs w:val="24"/>
        </w:rPr>
        <w:t xml:space="preserve"> and</w:t>
      </w:r>
      <w:r w:rsidR="00616A28">
        <w:rPr>
          <w:rFonts w:cs="Times New Roman"/>
          <w:szCs w:val="24"/>
        </w:rPr>
        <w:t xml:space="preserve"> discuss</w:t>
      </w:r>
      <w:r w:rsidR="005E4E62">
        <w:rPr>
          <w:rFonts w:cs="Times New Roman"/>
          <w:szCs w:val="24"/>
        </w:rPr>
        <w:t>es</w:t>
      </w:r>
      <w:r w:rsidR="00616A28">
        <w:rPr>
          <w:rFonts w:cs="Times New Roman"/>
          <w:szCs w:val="24"/>
        </w:rPr>
        <w:t xml:space="preserve"> </w:t>
      </w:r>
      <w:r w:rsidR="007947F1" w:rsidRPr="00A44D31">
        <w:rPr>
          <w:rFonts w:cs="Times New Roman"/>
          <w:szCs w:val="24"/>
        </w:rPr>
        <w:t>the results</w:t>
      </w:r>
      <w:r w:rsidR="00C1213A">
        <w:rPr>
          <w:rFonts w:cs="Times New Roman"/>
          <w:szCs w:val="24"/>
        </w:rPr>
        <w:t>.</w:t>
      </w:r>
      <w:r w:rsidR="007947F1" w:rsidRPr="00A44D31">
        <w:rPr>
          <w:rFonts w:cs="Times New Roman"/>
          <w:szCs w:val="24"/>
        </w:rPr>
        <w:t xml:space="preserve"> </w:t>
      </w:r>
      <w:r w:rsidR="00903FEC" w:rsidRPr="00A44D31">
        <w:rPr>
          <w:rFonts w:cs="Times New Roman"/>
          <w:szCs w:val="24"/>
        </w:rPr>
        <w:t>T</w:t>
      </w:r>
      <w:r w:rsidR="007947F1" w:rsidRPr="00A44D31">
        <w:rPr>
          <w:rFonts w:cs="Times New Roman"/>
          <w:szCs w:val="24"/>
        </w:rPr>
        <w:t xml:space="preserve">his issue creates confusion to investors </w:t>
      </w:r>
      <w:r w:rsidR="000A7C7E">
        <w:rPr>
          <w:rFonts w:cs="Times New Roman"/>
          <w:szCs w:val="24"/>
        </w:rPr>
        <w:t>who</w:t>
      </w:r>
      <w:r w:rsidR="00EA59EE">
        <w:rPr>
          <w:rFonts w:cs="Times New Roman"/>
          <w:szCs w:val="24"/>
        </w:rPr>
        <w:t xml:space="preserve"> do not</w:t>
      </w:r>
      <w:r w:rsidR="007947F1" w:rsidRPr="00A44D31">
        <w:rPr>
          <w:rFonts w:cs="Times New Roman"/>
          <w:szCs w:val="24"/>
        </w:rPr>
        <w:t xml:space="preserve"> </w:t>
      </w:r>
      <w:r w:rsidR="002F4E65">
        <w:rPr>
          <w:rFonts w:cs="Times New Roman"/>
          <w:szCs w:val="24"/>
        </w:rPr>
        <w:t xml:space="preserve">have </w:t>
      </w:r>
      <w:r w:rsidR="007947F1" w:rsidRPr="00A44D31">
        <w:rPr>
          <w:rFonts w:cs="Times New Roman"/>
          <w:szCs w:val="24"/>
        </w:rPr>
        <w:t xml:space="preserve">a clear picture or </w:t>
      </w:r>
      <w:r w:rsidR="006B7B78">
        <w:rPr>
          <w:rFonts w:cs="Times New Roman"/>
          <w:szCs w:val="24"/>
        </w:rPr>
        <w:t xml:space="preserve">a </w:t>
      </w:r>
      <w:r w:rsidR="007947F1" w:rsidRPr="00A44D31">
        <w:rPr>
          <w:rFonts w:cs="Times New Roman"/>
          <w:szCs w:val="24"/>
        </w:rPr>
        <w:t xml:space="preserve">holistic </w:t>
      </w:r>
      <w:r w:rsidR="000C34D0">
        <w:rPr>
          <w:rFonts w:cs="Times New Roman"/>
          <w:szCs w:val="24"/>
        </w:rPr>
        <w:t>interpretation</w:t>
      </w:r>
      <w:r w:rsidR="007947F1" w:rsidRPr="00A44D31">
        <w:rPr>
          <w:rFonts w:cs="Times New Roman"/>
          <w:szCs w:val="24"/>
        </w:rPr>
        <w:t xml:space="preserve"> </w:t>
      </w:r>
      <w:r w:rsidR="00C1213A">
        <w:rPr>
          <w:rFonts w:cs="Times New Roman"/>
          <w:szCs w:val="24"/>
        </w:rPr>
        <w:t xml:space="preserve">of </w:t>
      </w:r>
      <w:r w:rsidR="00B40206" w:rsidRPr="00A44D31">
        <w:rPr>
          <w:rFonts w:cs="Times New Roman"/>
          <w:szCs w:val="24"/>
        </w:rPr>
        <w:t xml:space="preserve">the </w:t>
      </w:r>
      <w:r w:rsidR="00BA270B" w:rsidRPr="00A44D31">
        <w:rPr>
          <w:rFonts w:cs="Times New Roman"/>
          <w:szCs w:val="24"/>
        </w:rPr>
        <w:t xml:space="preserve">dynamics </w:t>
      </w:r>
      <w:r w:rsidR="00B40206" w:rsidRPr="00A44D31">
        <w:rPr>
          <w:rFonts w:cs="Times New Roman"/>
          <w:szCs w:val="24"/>
        </w:rPr>
        <w:t xml:space="preserve">of </w:t>
      </w:r>
      <w:r w:rsidR="007947F1" w:rsidRPr="00A44D31">
        <w:rPr>
          <w:rFonts w:cs="Times New Roman"/>
          <w:szCs w:val="24"/>
        </w:rPr>
        <w:t>hedge fund performance attribution.</w:t>
      </w:r>
      <w:r w:rsidR="007947F1" w:rsidRPr="00A44D31">
        <w:rPr>
          <w:rFonts w:eastAsiaTheme="minorEastAsia"/>
          <w:lang w:val="en-US"/>
        </w:rPr>
        <w:t xml:space="preserve"> </w:t>
      </w:r>
    </w:p>
    <w:p w:rsidR="00450038" w:rsidRPr="00C1213A" w:rsidRDefault="00C1213A" w:rsidP="00B93647">
      <w:pPr>
        <w:spacing w:line="480" w:lineRule="auto"/>
        <w:jc w:val="both"/>
        <w:rPr>
          <w:rFonts w:cs="Times New Roman"/>
          <w:szCs w:val="24"/>
        </w:rPr>
      </w:pPr>
      <w:r>
        <w:rPr>
          <w:rFonts w:cs="Times New Roman"/>
          <w:szCs w:val="24"/>
        </w:rPr>
        <w:t>T</w:t>
      </w:r>
      <w:r w:rsidR="00BB3C6D" w:rsidRPr="00A44D31">
        <w:rPr>
          <w:rFonts w:cs="Times New Roman"/>
          <w:szCs w:val="24"/>
        </w:rPr>
        <w:t xml:space="preserve">he present study </w:t>
      </w:r>
      <w:r>
        <w:rPr>
          <w:rFonts w:cs="Times New Roman"/>
          <w:szCs w:val="24"/>
        </w:rPr>
        <w:t xml:space="preserve">therefore </w:t>
      </w:r>
      <w:r w:rsidR="00BB3C6D" w:rsidRPr="00A44D31">
        <w:rPr>
          <w:rFonts w:cs="Times New Roman"/>
          <w:szCs w:val="24"/>
        </w:rPr>
        <w:t>closes an important gap.</w:t>
      </w:r>
      <w:r w:rsidR="008D5D54" w:rsidRPr="00A44D31">
        <w:rPr>
          <w:rFonts w:cs="Times New Roman"/>
          <w:szCs w:val="24"/>
        </w:rPr>
        <w:t xml:space="preserve"> The aim of this study is to survey the literature and investigate </w:t>
      </w:r>
      <w:r w:rsidR="00277E0D">
        <w:rPr>
          <w:rFonts w:cs="Times New Roman"/>
          <w:szCs w:val="24"/>
        </w:rPr>
        <w:t xml:space="preserve">the </w:t>
      </w:r>
      <w:r w:rsidR="008D5D54" w:rsidRPr="00A44D31">
        <w:rPr>
          <w:rFonts w:cs="Times New Roman"/>
          <w:szCs w:val="24"/>
        </w:rPr>
        <w:t xml:space="preserve">hedge fund </w:t>
      </w:r>
      <w:r w:rsidR="007D70A8">
        <w:rPr>
          <w:rFonts w:cs="Times New Roman"/>
          <w:szCs w:val="24"/>
        </w:rPr>
        <w:t>return generating process</w:t>
      </w:r>
      <w:r w:rsidR="008D5D54" w:rsidRPr="00A44D31">
        <w:rPr>
          <w:rFonts w:cs="Times New Roman"/>
          <w:szCs w:val="24"/>
        </w:rPr>
        <w:t xml:space="preserve"> within implicit </w:t>
      </w:r>
      <w:r w:rsidR="002A3D9A">
        <w:rPr>
          <w:rFonts w:cs="Times New Roman"/>
          <w:szCs w:val="24"/>
        </w:rPr>
        <w:t>or statistical factor models</w:t>
      </w:r>
      <w:r w:rsidR="008D5D54" w:rsidRPr="00A44D31">
        <w:rPr>
          <w:rFonts w:cs="Times New Roman"/>
          <w:szCs w:val="24"/>
        </w:rPr>
        <w:t>.</w:t>
      </w:r>
      <w:r w:rsidR="00BB3C6D" w:rsidRPr="00A44D31">
        <w:rPr>
          <w:rFonts w:eastAsiaTheme="minorEastAsia"/>
          <w:lang w:val="en-US"/>
        </w:rPr>
        <w:t xml:space="preserve"> </w:t>
      </w:r>
      <w:r w:rsidR="001B02E5" w:rsidRPr="00A44D31">
        <w:rPr>
          <w:rFonts w:cs="Times New Roman"/>
          <w:szCs w:val="24"/>
        </w:rPr>
        <w:t xml:space="preserve">This is the first survey and synthesis of older literature to yield a historical perspective, along with </w:t>
      </w:r>
      <w:r>
        <w:rPr>
          <w:rFonts w:cs="Times New Roman"/>
          <w:szCs w:val="24"/>
        </w:rPr>
        <w:t xml:space="preserve">a </w:t>
      </w:r>
      <w:r w:rsidR="00925BAE">
        <w:rPr>
          <w:rFonts w:cs="Times New Roman"/>
          <w:szCs w:val="24"/>
        </w:rPr>
        <w:t xml:space="preserve">survey in more detail </w:t>
      </w:r>
      <w:r>
        <w:rPr>
          <w:rFonts w:cs="Times New Roman"/>
          <w:szCs w:val="24"/>
        </w:rPr>
        <w:t xml:space="preserve">of </w:t>
      </w:r>
      <w:r w:rsidR="004B23F8" w:rsidRPr="00A44D31">
        <w:rPr>
          <w:rFonts w:cs="Times New Roman"/>
          <w:szCs w:val="24"/>
        </w:rPr>
        <w:t>recent innovative studies t</w:t>
      </w:r>
      <w:r>
        <w:rPr>
          <w:rFonts w:cs="Times New Roman"/>
          <w:szCs w:val="24"/>
        </w:rPr>
        <w:t>hat</w:t>
      </w:r>
      <w:r w:rsidR="004B23F8" w:rsidRPr="00A44D31">
        <w:rPr>
          <w:rFonts w:cs="Times New Roman"/>
          <w:szCs w:val="24"/>
        </w:rPr>
        <w:t xml:space="preserve"> depict</w:t>
      </w:r>
      <w:r w:rsidR="00C17CAB" w:rsidRPr="00A44D31">
        <w:rPr>
          <w:rFonts w:cs="Times New Roman"/>
          <w:szCs w:val="24"/>
        </w:rPr>
        <w:t xml:space="preserve"> advances in hedge fund performance attribution</w:t>
      </w:r>
      <w:r w:rsidR="00450038" w:rsidRPr="00A44D31">
        <w:rPr>
          <w:rStyle w:val="EndnoteReference"/>
          <w:rFonts w:cs="Times New Roman"/>
          <w:szCs w:val="24"/>
        </w:rPr>
        <w:endnoteReference w:id="1"/>
      </w:r>
      <w:r w:rsidR="00450038" w:rsidRPr="00A44D31">
        <w:rPr>
          <w:rFonts w:cs="Times New Roman"/>
          <w:szCs w:val="24"/>
        </w:rPr>
        <w:t>.</w:t>
      </w:r>
      <w:r w:rsidR="00450038" w:rsidRPr="00A44D31">
        <w:rPr>
          <w:rFonts w:eastAsiaTheme="minorEastAsia"/>
          <w:lang w:val="en-US"/>
        </w:rPr>
        <w:t xml:space="preserve"> </w:t>
      </w:r>
      <w:r w:rsidR="00450038" w:rsidRPr="00A44D31">
        <w:rPr>
          <w:rFonts w:cs="Times New Roman"/>
          <w:szCs w:val="24"/>
        </w:rPr>
        <w:t xml:space="preserve">Hence readers will have </w:t>
      </w:r>
      <w:r w:rsidR="00450038">
        <w:rPr>
          <w:rFonts w:cs="Times New Roman"/>
          <w:szCs w:val="24"/>
        </w:rPr>
        <w:t xml:space="preserve">an </w:t>
      </w:r>
      <w:r w:rsidR="00450038" w:rsidRPr="00A44D31">
        <w:rPr>
          <w:rFonts w:cs="Times New Roman"/>
          <w:szCs w:val="24"/>
        </w:rPr>
        <w:t xml:space="preserve">integrated view and </w:t>
      </w:r>
      <w:r w:rsidR="00450038">
        <w:rPr>
          <w:rFonts w:cs="Times New Roman"/>
          <w:szCs w:val="24"/>
        </w:rPr>
        <w:t xml:space="preserve">a </w:t>
      </w:r>
      <w:r w:rsidR="00450038" w:rsidRPr="00A44D31">
        <w:rPr>
          <w:rFonts w:cs="Times New Roman"/>
          <w:szCs w:val="24"/>
        </w:rPr>
        <w:t xml:space="preserve">deeper understanding of hedge funds. Our findings both </w:t>
      </w:r>
      <w:r>
        <w:rPr>
          <w:rFonts w:cs="Times New Roman"/>
          <w:szCs w:val="24"/>
        </w:rPr>
        <w:t xml:space="preserve">make life easier for </w:t>
      </w:r>
      <w:r w:rsidR="00450038" w:rsidRPr="00A44D31">
        <w:rPr>
          <w:rFonts w:cs="Times New Roman"/>
          <w:szCs w:val="24"/>
        </w:rPr>
        <w:t xml:space="preserve">hedge fund investors and </w:t>
      </w:r>
      <w:r>
        <w:rPr>
          <w:rFonts w:cs="Times New Roman"/>
          <w:szCs w:val="24"/>
        </w:rPr>
        <w:t>highlight</w:t>
      </w:r>
      <w:r w:rsidR="00450038" w:rsidRPr="00A44D31">
        <w:rPr>
          <w:rFonts w:cs="Times New Roman"/>
          <w:szCs w:val="24"/>
        </w:rPr>
        <w:t xml:space="preserve"> opportunities </w:t>
      </w:r>
      <w:r>
        <w:rPr>
          <w:rFonts w:cs="Times New Roman"/>
          <w:szCs w:val="24"/>
        </w:rPr>
        <w:t>for further research</w:t>
      </w:r>
      <w:r w:rsidR="00450038" w:rsidRPr="00A44D31">
        <w:rPr>
          <w:rFonts w:cs="Times New Roman"/>
          <w:szCs w:val="24"/>
        </w:rPr>
        <w:t>.</w:t>
      </w:r>
      <w:r w:rsidR="00450038" w:rsidRPr="00A44D31">
        <w:rPr>
          <w:rFonts w:eastAsiaTheme="minorEastAsia"/>
          <w:lang w:val="en-US"/>
        </w:rPr>
        <w:t xml:space="preserve"> </w:t>
      </w:r>
    </w:p>
    <w:p w:rsidR="00450038" w:rsidRPr="00A44D31" w:rsidRDefault="00450038" w:rsidP="00B93647">
      <w:pPr>
        <w:spacing w:line="480" w:lineRule="auto"/>
        <w:jc w:val="both"/>
        <w:rPr>
          <w:rFonts w:cs="Times New Roman"/>
          <w:szCs w:val="24"/>
        </w:rPr>
      </w:pPr>
      <w:r w:rsidRPr="00A44D31">
        <w:rPr>
          <w:rFonts w:eastAsiaTheme="minorEastAsia"/>
          <w:lang w:val="en-US"/>
        </w:rPr>
        <w:t xml:space="preserve">Our main conclusions are that early studies (e.g. Sharpe, 1992), through the use of Principal Component Analysis and Common Factor Analysis (the most common statistical approach) dealt </w:t>
      </w:r>
      <w:r>
        <w:rPr>
          <w:rFonts w:eastAsiaTheme="minorEastAsia"/>
          <w:lang w:val="en-US"/>
        </w:rPr>
        <w:t>mainly</w:t>
      </w:r>
      <w:r w:rsidRPr="00A44D31">
        <w:rPr>
          <w:rFonts w:eastAsiaTheme="minorEastAsia"/>
          <w:lang w:val="en-US"/>
        </w:rPr>
        <w:t xml:space="preserve"> with linear factor models</w:t>
      </w:r>
      <w:r w:rsidR="00C1213A">
        <w:rPr>
          <w:rFonts w:eastAsiaTheme="minorEastAsia"/>
          <w:lang w:val="en-US"/>
        </w:rPr>
        <w:t>,</w:t>
      </w:r>
      <w:r w:rsidRPr="00A44D31">
        <w:rPr>
          <w:rFonts w:eastAsiaTheme="minorEastAsia"/>
          <w:lang w:val="en-US"/>
        </w:rPr>
        <w:t xml:space="preserve"> giving weight to the asset </w:t>
      </w:r>
      <w:r w:rsidRPr="00A44D31">
        <w:rPr>
          <w:rFonts w:eastAsiaTheme="minorEastAsia"/>
          <w:lang w:val="en-US"/>
        </w:rPr>
        <w:lastRenderedPageBreak/>
        <w:t xml:space="preserve">categories or where the fund manager </w:t>
      </w:r>
      <w:r w:rsidR="00C1213A">
        <w:rPr>
          <w:rFonts w:eastAsiaTheme="minorEastAsia"/>
          <w:lang w:val="en-US"/>
        </w:rPr>
        <w:t>invests</w:t>
      </w:r>
      <w:r w:rsidRPr="00A44D31">
        <w:rPr>
          <w:rFonts w:eastAsiaTheme="minorEastAsia"/>
          <w:lang w:val="en-US"/>
        </w:rPr>
        <w:t xml:space="preserve">. They depicted a static representation of hedge fund performance attribution. Then there was a development toward non-linear models that tried to explain hedge funds’ performance as option portfolios (e.g. Fung and Hsieh, 2004; Agarwal and </w:t>
      </w:r>
      <w:proofErr w:type="spellStart"/>
      <w:r w:rsidRPr="00A44D31">
        <w:rPr>
          <w:rFonts w:eastAsiaTheme="minorEastAsia"/>
          <w:lang w:val="en-US"/>
        </w:rPr>
        <w:t>Naik</w:t>
      </w:r>
      <w:proofErr w:type="spellEnd"/>
      <w:r w:rsidRPr="00A44D31">
        <w:rPr>
          <w:rFonts w:eastAsiaTheme="minorEastAsia"/>
          <w:lang w:val="en-US"/>
        </w:rPr>
        <w:t xml:space="preserve">, 2004). Nevertheless, </w:t>
      </w:r>
      <w:r w:rsidR="00C6544A">
        <w:rPr>
          <w:rFonts w:eastAsiaTheme="minorEastAsia"/>
          <w:lang w:val="en-US"/>
        </w:rPr>
        <w:t xml:space="preserve">in </w:t>
      </w:r>
      <w:r w:rsidR="00C1213A">
        <w:rPr>
          <w:rFonts w:eastAsiaTheme="minorEastAsia"/>
          <w:lang w:val="en-US"/>
        </w:rPr>
        <w:t>recent</w:t>
      </w:r>
      <w:r w:rsidRPr="00A44D31">
        <w:rPr>
          <w:rFonts w:eastAsiaTheme="minorEastAsia"/>
          <w:lang w:val="en-US"/>
        </w:rPr>
        <w:t xml:space="preserve"> years there have been several studies (e.g.</w:t>
      </w:r>
      <w:r w:rsidRPr="00A44D31">
        <w:t xml:space="preserve"> </w:t>
      </w:r>
      <w:r w:rsidRPr="00A44D31">
        <w:rPr>
          <w:rFonts w:eastAsiaTheme="minorEastAsia"/>
          <w:lang w:val="en-US"/>
        </w:rPr>
        <w:t xml:space="preserve">Patton and </w:t>
      </w:r>
      <w:proofErr w:type="spellStart"/>
      <w:r w:rsidRPr="00A44D31">
        <w:rPr>
          <w:rFonts w:eastAsiaTheme="minorEastAsia"/>
          <w:lang w:val="en-US"/>
        </w:rPr>
        <w:t>Ramadorai</w:t>
      </w:r>
      <w:proofErr w:type="spellEnd"/>
      <w:r w:rsidRPr="00A44D31">
        <w:rPr>
          <w:rFonts w:eastAsiaTheme="minorEastAsia"/>
          <w:lang w:val="en-US"/>
        </w:rPr>
        <w:t xml:space="preserve">, 2013; Bali, Brown and </w:t>
      </w:r>
      <w:proofErr w:type="spellStart"/>
      <w:r w:rsidRPr="00A44D31">
        <w:rPr>
          <w:rFonts w:eastAsiaTheme="minorEastAsia"/>
          <w:lang w:val="en-US"/>
        </w:rPr>
        <w:t>Caglayan</w:t>
      </w:r>
      <w:proofErr w:type="spellEnd"/>
      <w:r w:rsidRPr="00A44D31">
        <w:rPr>
          <w:rFonts w:eastAsiaTheme="minorEastAsia"/>
          <w:lang w:val="en-US"/>
        </w:rPr>
        <w:t xml:space="preserve">, 2014; </w:t>
      </w:r>
      <w:proofErr w:type="spellStart"/>
      <w:r w:rsidRPr="00A44D31">
        <w:rPr>
          <w:rFonts w:eastAsiaTheme="minorEastAsia"/>
          <w:lang w:val="en-US"/>
        </w:rPr>
        <w:t>O’Doherty</w:t>
      </w:r>
      <w:proofErr w:type="spellEnd"/>
      <w:r w:rsidRPr="00A44D31">
        <w:rPr>
          <w:rFonts w:eastAsiaTheme="minorEastAsia"/>
          <w:lang w:val="en-US"/>
        </w:rPr>
        <w:t xml:space="preserve">, </w:t>
      </w:r>
      <w:proofErr w:type="spellStart"/>
      <w:r w:rsidRPr="00A44D31">
        <w:rPr>
          <w:rFonts w:eastAsiaTheme="minorEastAsia"/>
          <w:lang w:val="en-US"/>
        </w:rPr>
        <w:t>Savin</w:t>
      </w:r>
      <w:proofErr w:type="spellEnd"/>
      <w:r w:rsidRPr="00A44D31">
        <w:rPr>
          <w:rFonts w:eastAsiaTheme="minorEastAsia"/>
          <w:lang w:val="en-US"/>
        </w:rPr>
        <w:t xml:space="preserve">, and Tiwari, 2015) </w:t>
      </w:r>
      <w:r w:rsidR="00C1213A">
        <w:rPr>
          <w:rFonts w:eastAsiaTheme="minorEastAsia"/>
          <w:lang w:val="en-US"/>
        </w:rPr>
        <w:t xml:space="preserve">that </w:t>
      </w:r>
      <w:r w:rsidRPr="00A44D31">
        <w:rPr>
          <w:rFonts w:eastAsiaTheme="minorEastAsia"/>
          <w:lang w:val="en-US"/>
        </w:rPr>
        <w:t>us</w:t>
      </w:r>
      <w:r w:rsidR="00C1213A">
        <w:rPr>
          <w:rFonts w:eastAsiaTheme="minorEastAsia"/>
          <w:lang w:val="en-US"/>
        </w:rPr>
        <w:t>e</w:t>
      </w:r>
      <w:r w:rsidRPr="00A44D31">
        <w:rPr>
          <w:rFonts w:eastAsiaTheme="minorEastAsia"/>
          <w:lang w:val="en-US"/>
        </w:rPr>
        <w:t xml:space="preserve"> more advanced models regarding hedge fund exposures. They confirmed previous studies that hedge funds have </w:t>
      </w:r>
      <w:r w:rsidR="004A487E">
        <w:rPr>
          <w:rFonts w:eastAsiaTheme="minorEastAsia"/>
          <w:lang w:val="en-US"/>
        </w:rPr>
        <w:t>non-linear</w:t>
      </w:r>
      <w:r w:rsidRPr="00A44D31">
        <w:rPr>
          <w:rFonts w:eastAsiaTheme="minorEastAsia"/>
          <w:lang w:val="en-US"/>
        </w:rPr>
        <w:t xml:space="preserve"> </w:t>
      </w:r>
      <w:r w:rsidRPr="00E34E6E">
        <w:rPr>
          <w:rFonts w:eastAsiaTheme="minorEastAsia"/>
          <w:lang w:val="en-US"/>
        </w:rPr>
        <w:t>returns</w:t>
      </w:r>
      <w:r w:rsidR="005B72B3" w:rsidRPr="00E34E6E">
        <w:rPr>
          <w:rFonts w:eastAsiaTheme="minorEastAsia"/>
          <w:lang w:val="en-US"/>
        </w:rPr>
        <w:t xml:space="preserve"> </w:t>
      </w:r>
      <w:r w:rsidR="00E439C3" w:rsidRPr="00E34E6E">
        <w:rPr>
          <w:rFonts w:eastAsiaTheme="minorEastAsia"/>
          <w:lang w:val="en-US"/>
        </w:rPr>
        <w:t>in relation</w:t>
      </w:r>
      <w:r w:rsidR="005B72B3" w:rsidRPr="00E34E6E">
        <w:rPr>
          <w:rFonts w:eastAsiaTheme="minorEastAsia"/>
          <w:lang w:val="en-US"/>
        </w:rPr>
        <w:t xml:space="preserve"> to </w:t>
      </w:r>
      <w:r w:rsidR="008F3A6D" w:rsidRPr="00E34E6E">
        <w:rPr>
          <w:rFonts w:eastAsiaTheme="minorEastAsia"/>
          <w:lang w:val="en-US"/>
        </w:rPr>
        <w:t xml:space="preserve">the </w:t>
      </w:r>
      <w:r w:rsidR="00861538" w:rsidRPr="00E34E6E">
        <w:rPr>
          <w:rFonts w:eastAsiaTheme="minorEastAsia"/>
          <w:lang w:val="en-US"/>
        </w:rPr>
        <w:t>market return</w:t>
      </w:r>
      <w:r w:rsidR="00D15002" w:rsidRPr="00E34E6E">
        <w:rPr>
          <w:rFonts w:eastAsiaTheme="minorEastAsia"/>
          <w:lang w:val="en-US"/>
        </w:rPr>
        <w:t>,</w:t>
      </w:r>
      <w:r w:rsidRPr="00E34E6E">
        <w:rPr>
          <w:rFonts w:eastAsiaTheme="minorEastAsia"/>
          <w:lang w:val="en-US"/>
        </w:rPr>
        <w:t xml:space="preserve"> but </w:t>
      </w:r>
      <w:r w:rsidRPr="00A44D31">
        <w:rPr>
          <w:rFonts w:eastAsiaTheme="minorEastAsia"/>
          <w:lang w:val="en-US"/>
        </w:rPr>
        <w:t xml:space="preserve">they moved further and showed how these </w:t>
      </w:r>
      <w:r w:rsidR="004A487E">
        <w:rPr>
          <w:rFonts w:eastAsiaTheme="minorEastAsia"/>
          <w:lang w:val="en-US"/>
        </w:rPr>
        <w:t>non-linear</w:t>
      </w:r>
      <w:r w:rsidRPr="00A44D31">
        <w:rPr>
          <w:rFonts w:eastAsiaTheme="minorEastAsia"/>
          <w:lang w:val="en-US"/>
        </w:rPr>
        <w:t xml:space="preserve"> exposures change over time according to financial conditions. Different strategies frequently </w:t>
      </w:r>
      <w:r w:rsidR="00B774BA" w:rsidRPr="00A44D31">
        <w:rPr>
          <w:rFonts w:eastAsiaTheme="minorEastAsia"/>
          <w:lang w:val="en-US"/>
        </w:rPr>
        <w:t xml:space="preserve">have </w:t>
      </w:r>
      <w:r w:rsidRPr="00A44D31">
        <w:rPr>
          <w:rFonts w:eastAsiaTheme="minorEastAsia"/>
          <w:lang w:val="en-US"/>
        </w:rPr>
        <w:t xml:space="preserve">different exposures. However, there are a few exposures that are valid for virtually every hedge fund strategy (equity market, volatility, liquidity). Furthermore, systematic </w:t>
      </w:r>
      <w:r w:rsidR="00D15002">
        <w:rPr>
          <w:rFonts w:eastAsiaTheme="minorEastAsia"/>
          <w:lang w:val="en-US"/>
        </w:rPr>
        <w:t xml:space="preserve">risk </w:t>
      </w:r>
      <w:r w:rsidRPr="00A44D31">
        <w:rPr>
          <w:rFonts w:eastAsiaTheme="minorEastAsia"/>
          <w:lang w:val="en-US"/>
        </w:rPr>
        <w:t>and more specific</w:t>
      </w:r>
      <w:r w:rsidR="00D15002">
        <w:rPr>
          <w:rFonts w:eastAsiaTheme="minorEastAsia"/>
          <w:lang w:val="en-US"/>
        </w:rPr>
        <w:t>ally</w:t>
      </w:r>
      <w:r w:rsidRPr="00A44D31">
        <w:rPr>
          <w:rFonts w:eastAsiaTheme="minorEastAsia"/>
          <w:lang w:val="en-US"/>
        </w:rPr>
        <w:t xml:space="preserve"> macroeconomic risk ha</w:t>
      </w:r>
      <w:r w:rsidR="00D15002">
        <w:rPr>
          <w:rFonts w:eastAsiaTheme="minorEastAsia"/>
          <w:lang w:val="en-US"/>
        </w:rPr>
        <w:t>ve</w:t>
      </w:r>
      <w:r w:rsidRPr="00A44D31">
        <w:rPr>
          <w:rFonts w:eastAsiaTheme="minorEastAsia"/>
          <w:lang w:val="en-US"/>
        </w:rPr>
        <w:t xml:space="preserve"> a significant role in </w:t>
      </w:r>
      <w:r w:rsidR="002F78CC">
        <w:rPr>
          <w:rFonts w:eastAsiaTheme="minorEastAsia"/>
          <w:lang w:val="en-US"/>
        </w:rPr>
        <w:t xml:space="preserve">explaining </w:t>
      </w:r>
      <w:r w:rsidRPr="00A44D31">
        <w:rPr>
          <w:rFonts w:eastAsiaTheme="minorEastAsia"/>
          <w:lang w:val="en-US"/>
        </w:rPr>
        <w:t xml:space="preserve">hedge fund performance </w:t>
      </w:r>
      <w:r w:rsidR="002F78CC">
        <w:rPr>
          <w:rFonts w:eastAsiaTheme="minorEastAsia"/>
          <w:lang w:val="en-US"/>
        </w:rPr>
        <w:t>for</w:t>
      </w:r>
      <w:r w:rsidRPr="00A44D31">
        <w:rPr>
          <w:rFonts w:eastAsiaTheme="minorEastAsia"/>
          <w:lang w:val="en-US"/>
        </w:rPr>
        <w:t xml:space="preserve"> nearly all strategies. </w:t>
      </w:r>
      <w:r w:rsidR="002F78CC">
        <w:rPr>
          <w:rFonts w:eastAsiaTheme="minorEastAsia"/>
          <w:lang w:val="en-US"/>
        </w:rPr>
        <w:t>H</w:t>
      </w:r>
      <w:r w:rsidRPr="00A44D31">
        <w:rPr>
          <w:rFonts w:eastAsiaTheme="minorEastAsia"/>
          <w:lang w:val="en-US"/>
        </w:rPr>
        <w:t>igher moment factors provide extra explanatory power to the models</w:t>
      </w:r>
      <w:r w:rsidR="00D247F6">
        <w:rPr>
          <w:rFonts w:eastAsiaTheme="minorEastAsia"/>
          <w:lang w:val="en-US"/>
        </w:rPr>
        <w:t>.</w:t>
      </w:r>
    </w:p>
    <w:p w:rsidR="00450038" w:rsidRPr="00A44D31" w:rsidRDefault="00450038" w:rsidP="00B93647">
      <w:pPr>
        <w:spacing w:line="480" w:lineRule="auto"/>
        <w:jc w:val="both"/>
        <w:rPr>
          <w:rFonts w:eastAsiaTheme="minorEastAsia"/>
          <w:lang w:val="en-US"/>
        </w:rPr>
      </w:pPr>
      <w:r w:rsidRPr="00A44D31">
        <w:rPr>
          <w:rFonts w:eastAsiaTheme="minorEastAsia"/>
          <w:lang w:val="en-US"/>
        </w:rPr>
        <w:t xml:space="preserve">This paper makes a number of important contributions to the understanding of the hedge fund literature. First, it covers a significant gap by presenting a survey that summarizes </w:t>
      </w:r>
      <w:r>
        <w:rPr>
          <w:rFonts w:eastAsiaTheme="minorEastAsia"/>
          <w:lang w:val="en-US"/>
        </w:rPr>
        <w:t xml:space="preserve">and discusses </w:t>
      </w:r>
      <w:r w:rsidRPr="00A44D31">
        <w:rPr>
          <w:rFonts w:eastAsiaTheme="minorEastAsia"/>
          <w:lang w:val="en-US"/>
        </w:rPr>
        <w:t xml:space="preserve">studies examining hedge fund performance attribution within statistical factors and exposures. </w:t>
      </w:r>
      <w:r w:rsidR="00D15002">
        <w:rPr>
          <w:rFonts w:eastAsiaTheme="minorEastAsia"/>
          <w:lang w:val="en-US"/>
        </w:rPr>
        <w:t>I</w:t>
      </w:r>
      <w:r w:rsidRPr="00A44D31">
        <w:rPr>
          <w:rFonts w:eastAsiaTheme="minorEastAsia"/>
          <w:lang w:val="en-US"/>
        </w:rPr>
        <w:t>t demonstrates a historical perspective by com</w:t>
      </w:r>
      <w:r>
        <w:rPr>
          <w:rFonts w:eastAsiaTheme="minorEastAsia"/>
          <w:lang w:val="en-US"/>
        </w:rPr>
        <w:t>bining earlier and more recent</w:t>
      </w:r>
      <w:r w:rsidRPr="00A44D31">
        <w:rPr>
          <w:rFonts w:eastAsiaTheme="minorEastAsia"/>
          <w:lang w:val="en-US"/>
        </w:rPr>
        <w:t xml:space="preserve"> innovative studies</w:t>
      </w:r>
      <w:r>
        <w:rPr>
          <w:rFonts w:eastAsiaTheme="minorEastAsia"/>
          <w:lang w:val="en-US"/>
        </w:rPr>
        <w:t xml:space="preserve">, </w:t>
      </w:r>
      <w:r w:rsidR="00D15002">
        <w:rPr>
          <w:rFonts w:eastAsiaTheme="minorEastAsia"/>
          <w:lang w:val="en-US"/>
        </w:rPr>
        <w:t xml:space="preserve">discussing </w:t>
      </w:r>
      <w:r>
        <w:rPr>
          <w:rFonts w:eastAsiaTheme="minorEastAsia"/>
          <w:lang w:val="en-US"/>
        </w:rPr>
        <w:t>their strengths and weakness</w:t>
      </w:r>
      <w:r w:rsidR="009B0988">
        <w:rPr>
          <w:rFonts w:eastAsiaTheme="minorEastAsia"/>
          <w:lang w:val="en-US"/>
        </w:rPr>
        <w:t>es</w:t>
      </w:r>
      <w:r w:rsidRPr="00A44D31">
        <w:rPr>
          <w:rFonts w:eastAsiaTheme="minorEastAsia"/>
          <w:lang w:val="en-US"/>
        </w:rPr>
        <w:t xml:space="preserve">. Therefore the reader is able to look at the dynamic nature of the literature explaining hedge fund returns. This study assist investors in their asset allocation process </w:t>
      </w:r>
      <w:r w:rsidR="00693883">
        <w:rPr>
          <w:rFonts w:eastAsiaTheme="minorEastAsia"/>
          <w:lang w:val="en-US"/>
        </w:rPr>
        <w:t>in two ways</w:t>
      </w:r>
      <w:r w:rsidR="00D15002">
        <w:rPr>
          <w:rFonts w:eastAsiaTheme="minorEastAsia"/>
          <w:lang w:val="en-US"/>
        </w:rPr>
        <w:t>:</w:t>
      </w:r>
      <w:r w:rsidRPr="00A44D31">
        <w:rPr>
          <w:rFonts w:eastAsiaTheme="minorEastAsia"/>
          <w:lang w:val="en-US"/>
        </w:rPr>
        <w:t xml:space="preserve"> it facilitate</w:t>
      </w:r>
      <w:r w:rsidR="00693883">
        <w:rPr>
          <w:rFonts w:eastAsiaTheme="minorEastAsia"/>
          <w:lang w:val="en-US"/>
        </w:rPr>
        <w:t>s</w:t>
      </w:r>
      <w:r w:rsidRPr="00A44D31">
        <w:rPr>
          <w:rFonts w:eastAsiaTheme="minorEastAsia"/>
          <w:lang w:val="en-US"/>
        </w:rPr>
        <w:t xml:space="preserve"> </w:t>
      </w:r>
      <w:r w:rsidR="00D15002">
        <w:rPr>
          <w:rFonts w:eastAsiaTheme="minorEastAsia"/>
          <w:lang w:val="en-US"/>
        </w:rPr>
        <w:t>a</w:t>
      </w:r>
      <w:r w:rsidRPr="00A44D31">
        <w:rPr>
          <w:rFonts w:eastAsiaTheme="minorEastAsia"/>
          <w:lang w:val="en-US"/>
        </w:rPr>
        <w:t xml:space="preserve"> deeper understanding of what is behind hedge fund return variation and it </w:t>
      </w:r>
      <w:r w:rsidR="00693883">
        <w:rPr>
          <w:rFonts w:eastAsiaTheme="minorEastAsia"/>
          <w:lang w:val="en-US"/>
        </w:rPr>
        <w:t xml:space="preserve">also </w:t>
      </w:r>
      <w:r w:rsidRPr="00A44D31">
        <w:rPr>
          <w:rFonts w:eastAsiaTheme="minorEastAsia"/>
          <w:lang w:val="en-US"/>
        </w:rPr>
        <w:t xml:space="preserve">enables </w:t>
      </w:r>
      <w:r w:rsidR="00D15002">
        <w:rPr>
          <w:rFonts w:eastAsiaTheme="minorEastAsia"/>
          <w:lang w:val="en-US"/>
        </w:rPr>
        <w:t xml:space="preserve">investors </w:t>
      </w:r>
      <w:r w:rsidRPr="00A44D31">
        <w:rPr>
          <w:rFonts w:eastAsiaTheme="minorEastAsia"/>
          <w:lang w:val="en-US"/>
        </w:rPr>
        <w:t xml:space="preserve">to know what to foresee from funds with different strategies or fund styles. Last but not least, </w:t>
      </w:r>
      <w:r w:rsidR="00D15002">
        <w:rPr>
          <w:rFonts w:eastAsiaTheme="minorEastAsia"/>
          <w:lang w:val="en-US"/>
        </w:rPr>
        <w:t>we have</w:t>
      </w:r>
      <w:r w:rsidRPr="00A44D31">
        <w:rPr>
          <w:rFonts w:eastAsiaTheme="minorEastAsia"/>
          <w:lang w:val="en-US"/>
        </w:rPr>
        <w:t xml:space="preserve"> identified some gaps for </w:t>
      </w:r>
      <w:r w:rsidRPr="00A44D31">
        <w:rPr>
          <w:rFonts w:eastAsiaTheme="minorEastAsia"/>
          <w:lang w:val="en-US"/>
        </w:rPr>
        <w:lastRenderedPageBreak/>
        <w:t>future research. An example is the absence of a unified framework that takes into consideration the comprehensive macroeconomic environment along with the internal structure of the hedge fund industry in explaining returns</w:t>
      </w:r>
      <w:r w:rsidR="003F3CDE">
        <w:rPr>
          <w:rFonts w:eastAsiaTheme="minorEastAsia"/>
          <w:lang w:val="en-US"/>
        </w:rPr>
        <w:t>,</w:t>
      </w:r>
      <w:r w:rsidRPr="00A44D31">
        <w:rPr>
          <w:rFonts w:eastAsiaTheme="minorEastAsia"/>
          <w:lang w:val="en-US"/>
        </w:rPr>
        <w:t xml:space="preserve"> or identifying the proportion of alpha affected by each of the underlying factors.    </w:t>
      </w:r>
    </w:p>
    <w:p w:rsidR="00450038" w:rsidRDefault="009C61F3" w:rsidP="00B93647">
      <w:pPr>
        <w:spacing w:line="480" w:lineRule="auto"/>
        <w:jc w:val="both"/>
        <w:rPr>
          <w:rFonts w:eastAsiaTheme="minorEastAsia"/>
          <w:lang w:val="en-US"/>
        </w:rPr>
      </w:pPr>
      <w:r>
        <w:rPr>
          <w:rFonts w:eastAsiaTheme="minorEastAsia"/>
          <w:lang w:val="en-US"/>
        </w:rPr>
        <w:t xml:space="preserve">We start off in section 2 with a review of extant hedge fund literature review papers. </w:t>
      </w:r>
      <w:r w:rsidR="00450038" w:rsidRPr="00A44D31">
        <w:rPr>
          <w:rFonts w:eastAsiaTheme="minorEastAsia"/>
          <w:lang w:val="en-US"/>
        </w:rPr>
        <w:t xml:space="preserve">In section </w:t>
      </w:r>
      <w:r>
        <w:rPr>
          <w:rFonts w:eastAsiaTheme="minorEastAsia"/>
          <w:lang w:val="en-US"/>
        </w:rPr>
        <w:t>3</w:t>
      </w:r>
      <w:r w:rsidR="00450038" w:rsidRPr="00A44D31">
        <w:rPr>
          <w:rFonts w:eastAsiaTheme="minorEastAsia"/>
          <w:lang w:val="en-US"/>
        </w:rPr>
        <w:t xml:space="preserve"> we depict different </w:t>
      </w:r>
      <w:r w:rsidR="003E7C55">
        <w:rPr>
          <w:rFonts w:eastAsiaTheme="minorEastAsia"/>
          <w:lang w:val="en-US"/>
        </w:rPr>
        <w:t xml:space="preserve">general </w:t>
      </w:r>
      <w:r w:rsidR="00450038" w:rsidRPr="00A44D31">
        <w:rPr>
          <w:rFonts w:eastAsiaTheme="minorEastAsia"/>
          <w:lang w:val="en-US"/>
        </w:rPr>
        <w:t xml:space="preserve">approaches </w:t>
      </w:r>
      <w:r w:rsidR="00450038">
        <w:rPr>
          <w:rFonts w:eastAsiaTheme="minorEastAsia"/>
          <w:lang w:val="en-US"/>
        </w:rPr>
        <w:t>in</w:t>
      </w:r>
      <w:r w:rsidR="00450038" w:rsidRPr="00A44D31">
        <w:rPr>
          <w:rFonts w:eastAsiaTheme="minorEastAsia"/>
          <w:lang w:val="en-US"/>
        </w:rPr>
        <w:t xml:space="preserve"> measuring the performance of all hedge fund strategies</w:t>
      </w:r>
      <w:r w:rsidR="00450038" w:rsidRPr="00A44D31">
        <w:rPr>
          <w:rStyle w:val="EndnoteReference"/>
          <w:rFonts w:cs="Times New Roman"/>
          <w:szCs w:val="24"/>
        </w:rPr>
        <w:endnoteReference w:id="2"/>
      </w:r>
      <w:r w:rsidR="00450038" w:rsidRPr="00A44D31">
        <w:rPr>
          <w:rFonts w:eastAsiaTheme="minorEastAsia"/>
          <w:lang w:val="en-US"/>
        </w:rPr>
        <w:t xml:space="preserve">. Section </w:t>
      </w:r>
      <w:r>
        <w:rPr>
          <w:rFonts w:eastAsiaTheme="minorEastAsia"/>
          <w:lang w:val="en-US"/>
        </w:rPr>
        <w:t>4</w:t>
      </w:r>
      <w:r w:rsidR="00450038" w:rsidRPr="00A44D31">
        <w:rPr>
          <w:rFonts w:eastAsiaTheme="minorEastAsia"/>
          <w:lang w:val="en-US"/>
        </w:rPr>
        <w:t xml:space="preserve"> </w:t>
      </w:r>
      <w:r w:rsidR="00B9398F">
        <w:rPr>
          <w:rFonts w:eastAsiaTheme="minorEastAsia"/>
          <w:lang w:val="en-US"/>
        </w:rPr>
        <w:t xml:space="preserve">briefly </w:t>
      </w:r>
      <w:r w:rsidR="00450038" w:rsidRPr="00A44D31">
        <w:rPr>
          <w:rFonts w:eastAsiaTheme="minorEastAsia"/>
          <w:lang w:val="en-US"/>
        </w:rPr>
        <w:t xml:space="preserve">reviews earlier linear studies. Section </w:t>
      </w:r>
      <w:r>
        <w:rPr>
          <w:rFonts w:eastAsiaTheme="minorEastAsia"/>
          <w:lang w:val="en-US"/>
        </w:rPr>
        <w:t>5</w:t>
      </w:r>
      <w:r w:rsidR="00450038" w:rsidRPr="00A44D31">
        <w:rPr>
          <w:rFonts w:eastAsiaTheme="minorEastAsia"/>
          <w:lang w:val="en-US"/>
        </w:rPr>
        <w:t xml:space="preserve"> reviews </w:t>
      </w:r>
      <w:r w:rsidR="00B9398F">
        <w:rPr>
          <w:rFonts w:eastAsiaTheme="minorEastAsia"/>
          <w:lang w:val="en-US"/>
        </w:rPr>
        <w:t xml:space="preserve">in detail the most recent </w:t>
      </w:r>
      <w:r w:rsidR="004A487E">
        <w:rPr>
          <w:rFonts w:eastAsiaTheme="minorEastAsia"/>
          <w:lang w:val="en-US"/>
        </w:rPr>
        <w:t>non-linear</w:t>
      </w:r>
      <w:r w:rsidR="00450038" w:rsidRPr="00A44D31">
        <w:rPr>
          <w:rFonts w:eastAsiaTheme="minorEastAsia"/>
          <w:lang w:val="en-US"/>
        </w:rPr>
        <w:t xml:space="preserve"> models within the bottom-up, up-bottom, and alternative modeling approaches, as we describe later. In the final section </w:t>
      </w:r>
      <w:r>
        <w:rPr>
          <w:rFonts w:eastAsiaTheme="minorEastAsia"/>
          <w:lang w:val="en-US"/>
        </w:rPr>
        <w:t>6</w:t>
      </w:r>
      <w:r w:rsidR="00450038" w:rsidRPr="00A44D31">
        <w:rPr>
          <w:rFonts w:eastAsiaTheme="minorEastAsia"/>
          <w:lang w:val="en-US"/>
        </w:rPr>
        <w:t xml:space="preserve"> we summarize the key conclusions and reveal some gaps that should be addressed in future research.  </w:t>
      </w:r>
    </w:p>
    <w:p w:rsidR="006C50E9" w:rsidRPr="00AD38E5" w:rsidRDefault="006C50E9" w:rsidP="006C50E9">
      <w:pPr>
        <w:pStyle w:val="Heading1"/>
        <w:spacing w:line="480" w:lineRule="auto"/>
        <w:jc w:val="left"/>
        <w:rPr>
          <w:color w:val="7030A0"/>
        </w:rPr>
      </w:pPr>
      <w:r>
        <w:rPr>
          <w:color w:val="7030A0"/>
        </w:rPr>
        <w:t>Extant Hedge Fund Literature R</w:t>
      </w:r>
      <w:r w:rsidRPr="00AD38E5">
        <w:rPr>
          <w:color w:val="7030A0"/>
        </w:rPr>
        <w:t xml:space="preserve">eview </w:t>
      </w:r>
      <w:r>
        <w:rPr>
          <w:color w:val="7030A0"/>
        </w:rPr>
        <w:t>Papers</w:t>
      </w:r>
    </w:p>
    <w:p w:rsidR="006C50E9" w:rsidRDefault="006C50E9" w:rsidP="006C50E9">
      <w:pPr>
        <w:spacing w:line="480" w:lineRule="auto"/>
        <w:jc w:val="both"/>
        <w:rPr>
          <w:rFonts w:eastAsiaTheme="minorEastAsia"/>
          <w:color w:val="7030A0"/>
          <w:lang w:val="en-US"/>
        </w:rPr>
      </w:pPr>
      <w:r w:rsidRPr="00AD38E5">
        <w:rPr>
          <w:rFonts w:eastAsiaTheme="minorEastAsia"/>
          <w:color w:val="7030A0"/>
          <w:lang w:val="en-US"/>
        </w:rPr>
        <w:t xml:space="preserve">In this section we </w:t>
      </w:r>
      <w:r>
        <w:rPr>
          <w:rFonts w:eastAsiaTheme="minorEastAsia"/>
          <w:color w:val="7030A0"/>
          <w:lang w:val="en-US"/>
        </w:rPr>
        <w:t xml:space="preserve">briefly </w:t>
      </w:r>
      <w:r w:rsidRPr="00AD38E5">
        <w:rPr>
          <w:rFonts w:eastAsiaTheme="minorEastAsia"/>
          <w:color w:val="7030A0"/>
          <w:lang w:val="en-US"/>
        </w:rPr>
        <w:t>discuss</w:t>
      </w:r>
      <w:r>
        <w:rPr>
          <w:rFonts w:eastAsiaTheme="minorEastAsia"/>
          <w:color w:val="7030A0"/>
          <w:lang w:val="en-US"/>
        </w:rPr>
        <w:t xml:space="preserve"> the extant hedge fund literature surveys. These consist of two very recent and two earlier papers. They deal with different aspects of hedge funds, including hedge fund performance attribution that we address specifically in this paper. For brevity we do not review the papers covered in these papers, as many of them are covered later in this paper and the reader can also refer to these other review papers.</w:t>
      </w:r>
    </w:p>
    <w:p w:rsidR="006C50E9" w:rsidRPr="00BC26E7" w:rsidRDefault="006C50E9" w:rsidP="006C50E9">
      <w:pPr>
        <w:spacing w:line="480" w:lineRule="auto"/>
        <w:jc w:val="both"/>
        <w:rPr>
          <w:rFonts w:eastAsiaTheme="minorEastAsia"/>
          <w:color w:val="7030A0"/>
          <w:lang w:val="en-US"/>
        </w:rPr>
      </w:pPr>
      <w:r w:rsidRPr="00BC26E7">
        <w:rPr>
          <w:rFonts w:eastAsiaTheme="minorEastAsia"/>
          <w:color w:val="7030A0"/>
          <w:lang w:val="en-US"/>
        </w:rPr>
        <w:t xml:space="preserve">An interesting general study is from </w:t>
      </w:r>
      <w:proofErr w:type="spellStart"/>
      <w:r w:rsidRPr="00BC26E7">
        <w:rPr>
          <w:rFonts w:eastAsiaTheme="minorEastAsia"/>
          <w:color w:val="7030A0"/>
          <w:lang w:val="en-US"/>
        </w:rPr>
        <w:t>Getmansky</w:t>
      </w:r>
      <w:proofErr w:type="spellEnd"/>
      <w:r w:rsidRPr="00BC26E7">
        <w:rPr>
          <w:rFonts w:eastAsiaTheme="minorEastAsia"/>
          <w:color w:val="7030A0"/>
          <w:lang w:val="en-US"/>
        </w:rPr>
        <w:t>, Lee, and Lo (2015) that replicated many previous studies using Lipper TASS databas</w:t>
      </w:r>
      <w:r>
        <w:rPr>
          <w:rFonts w:eastAsiaTheme="minorEastAsia"/>
          <w:color w:val="7030A0"/>
          <w:lang w:val="en-US"/>
        </w:rPr>
        <w:t>e from 1996 to 2014. It focused</w:t>
      </w:r>
      <w:r w:rsidRPr="00BC26E7">
        <w:rPr>
          <w:rFonts w:eastAsiaTheme="minorEastAsia"/>
          <w:color w:val="7030A0"/>
          <w:lang w:val="en-US"/>
        </w:rPr>
        <w:t xml:space="preserve"> on several perspectives, offering a set of insights into the financial system with implications for the efficient market hypothesis, financial regulation</w:t>
      </w:r>
      <w:r>
        <w:rPr>
          <w:rFonts w:eastAsiaTheme="minorEastAsia"/>
          <w:color w:val="7030A0"/>
          <w:lang w:val="en-US"/>
        </w:rPr>
        <w:t xml:space="preserve"> and</w:t>
      </w:r>
      <w:r w:rsidRPr="00BC26E7">
        <w:rPr>
          <w:rFonts w:eastAsiaTheme="minorEastAsia"/>
          <w:color w:val="7030A0"/>
          <w:lang w:val="en-US"/>
        </w:rPr>
        <w:t xml:space="preserve"> systematic </w:t>
      </w:r>
      <w:r w:rsidRPr="00BC26E7">
        <w:rPr>
          <w:rFonts w:eastAsiaTheme="minorEastAsia"/>
          <w:color w:val="7030A0"/>
          <w:lang w:val="en-US"/>
        </w:rPr>
        <w:lastRenderedPageBreak/>
        <w:t>risk a</w:t>
      </w:r>
      <w:r>
        <w:rPr>
          <w:rFonts w:eastAsiaTheme="minorEastAsia"/>
          <w:color w:val="7030A0"/>
          <w:lang w:val="en-US"/>
        </w:rPr>
        <w:t>mong</w:t>
      </w:r>
      <w:r w:rsidRPr="00BC26E7">
        <w:rPr>
          <w:rFonts w:eastAsiaTheme="minorEastAsia"/>
          <w:color w:val="7030A0"/>
          <w:lang w:val="en-US"/>
        </w:rPr>
        <w:t xml:space="preserve"> other areas. </w:t>
      </w:r>
      <w:proofErr w:type="spellStart"/>
      <w:r>
        <w:rPr>
          <w:rFonts w:eastAsiaTheme="minorEastAsia"/>
          <w:color w:val="7030A0"/>
          <w:lang w:val="en-US"/>
        </w:rPr>
        <w:t>Getmansky</w:t>
      </w:r>
      <w:proofErr w:type="spellEnd"/>
      <w:r>
        <w:rPr>
          <w:rFonts w:eastAsiaTheme="minorEastAsia"/>
          <w:color w:val="7030A0"/>
          <w:lang w:val="en-US"/>
        </w:rPr>
        <w:t xml:space="preserve"> et al. </w:t>
      </w:r>
      <w:r w:rsidRPr="00BC26E7">
        <w:rPr>
          <w:rFonts w:eastAsiaTheme="minorEastAsia"/>
          <w:color w:val="7030A0"/>
          <w:lang w:val="en-US"/>
        </w:rPr>
        <w:t xml:space="preserve">considered four perspectives on the hedge fund industry: </w:t>
      </w:r>
      <w:r>
        <w:rPr>
          <w:rFonts w:eastAsiaTheme="minorEastAsia"/>
          <w:color w:val="7030A0"/>
          <w:lang w:val="en-US"/>
        </w:rPr>
        <w:t xml:space="preserve">the </w:t>
      </w:r>
      <w:r w:rsidRPr="00BC26E7">
        <w:rPr>
          <w:rFonts w:eastAsiaTheme="minorEastAsia"/>
          <w:color w:val="7030A0"/>
          <w:lang w:val="en-US"/>
        </w:rPr>
        <w:t xml:space="preserve">investor’s perspective, </w:t>
      </w:r>
      <w:r>
        <w:rPr>
          <w:rFonts w:eastAsiaTheme="minorEastAsia"/>
          <w:color w:val="7030A0"/>
          <w:lang w:val="en-US"/>
        </w:rPr>
        <w:t xml:space="preserve">the </w:t>
      </w:r>
      <w:r w:rsidRPr="00BC26E7">
        <w:rPr>
          <w:rFonts w:eastAsiaTheme="minorEastAsia"/>
          <w:color w:val="7030A0"/>
          <w:lang w:val="en-US"/>
        </w:rPr>
        <w:t xml:space="preserve">manager’s perspective, </w:t>
      </w:r>
      <w:r>
        <w:rPr>
          <w:rFonts w:eastAsiaTheme="minorEastAsia"/>
          <w:color w:val="7030A0"/>
          <w:lang w:val="en-US"/>
        </w:rPr>
        <w:t xml:space="preserve">the </w:t>
      </w:r>
      <w:r w:rsidRPr="00BC26E7">
        <w:rPr>
          <w:rFonts w:eastAsiaTheme="minorEastAsia"/>
          <w:color w:val="7030A0"/>
          <w:lang w:val="en-US"/>
        </w:rPr>
        <w:t xml:space="preserve">regulator’s perspective and </w:t>
      </w:r>
      <w:r>
        <w:rPr>
          <w:rFonts w:eastAsiaTheme="minorEastAsia"/>
          <w:color w:val="7030A0"/>
          <w:lang w:val="en-US"/>
        </w:rPr>
        <w:t xml:space="preserve">the </w:t>
      </w:r>
      <w:r w:rsidRPr="00BC26E7">
        <w:rPr>
          <w:rFonts w:eastAsiaTheme="minorEastAsia"/>
          <w:color w:val="7030A0"/>
          <w:lang w:val="en-US"/>
        </w:rPr>
        <w:t xml:space="preserve">academic perspective. By reviewing several aspects of the hedge fund literature and their implications </w:t>
      </w:r>
      <w:r>
        <w:rPr>
          <w:rFonts w:eastAsiaTheme="minorEastAsia"/>
          <w:color w:val="7030A0"/>
          <w:lang w:val="en-US"/>
        </w:rPr>
        <w:t>for</w:t>
      </w:r>
      <w:r w:rsidRPr="00BC26E7">
        <w:rPr>
          <w:rFonts w:eastAsiaTheme="minorEastAsia"/>
          <w:color w:val="7030A0"/>
          <w:lang w:val="en-US"/>
        </w:rPr>
        <w:t xml:space="preserve"> stakeholders in th</w:t>
      </w:r>
      <w:r>
        <w:rPr>
          <w:rFonts w:eastAsiaTheme="minorEastAsia"/>
          <w:color w:val="7030A0"/>
          <w:lang w:val="en-US"/>
        </w:rPr>
        <w:t xml:space="preserve">e hedge fund </w:t>
      </w:r>
      <w:r w:rsidRPr="00BC26E7">
        <w:rPr>
          <w:rFonts w:eastAsiaTheme="minorEastAsia"/>
          <w:color w:val="7030A0"/>
          <w:lang w:val="en-US"/>
        </w:rPr>
        <w:t>industry the authors sh</w:t>
      </w:r>
      <w:r>
        <w:rPr>
          <w:rFonts w:eastAsiaTheme="minorEastAsia"/>
          <w:color w:val="7030A0"/>
          <w:lang w:val="en-US"/>
        </w:rPr>
        <w:t xml:space="preserve">one a </w:t>
      </w:r>
      <w:r w:rsidRPr="00BC26E7">
        <w:rPr>
          <w:rFonts w:eastAsiaTheme="minorEastAsia"/>
          <w:color w:val="7030A0"/>
          <w:lang w:val="en-US"/>
        </w:rPr>
        <w:t xml:space="preserve">light </w:t>
      </w:r>
      <w:r>
        <w:rPr>
          <w:rFonts w:eastAsiaTheme="minorEastAsia"/>
          <w:color w:val="7030A0"/>
          <w:lang w:val="en-US"/>
        </w:rPr>
        <w:t>on two</w:t>
      </w:r>
      <w:r w:rsidRPr="00BC26E7">
        <w:rPr>
          <w:rFonts w:eastAsiaTheme="minorEastAsia"/>
          <w:color w:val="7030A0"/>
          <w:lang w:val="en-US"/>
        </w:rPr>
        <w:t xml:space="preserve"> investors’ myths</w:t>
      </w:r>
      <w:r>
        <w:rPr>
          <w:rFonts w:eastAsiaTheme="minorEastAsia"/>
          <w:color w:val="7030A0"/>
          <w:lang w:val="en-US"/>
        </w:rPr>
        <w:t xml:space="preserve">: </w:t>
      </w:r>
      <w:r w:rsidRPr="00BC26E7">
        <w:rPr>
          <w:rFonts w:eastAsiaTheme="minorEastAsia"/>
          <w:color w:val="7030A0"/>
          <w:lang w:val="en-US"/>
        </w:rPr>
        <w:t>first, that hedge funds comprise a homogenous asset class that have similar investment characteristics and returns</w:t>
      </w:r>
      <w:r>
        <w:rPr>
          <w:rFonts w:eastAsiaTheme="minorEastAsia"/>
          <w:color w:val="7030A0"/>
          <w:lang w:val="en-US"/>
        </w:rPr>
        <w:t>,</w:t>
      </w:r>
      <w:r w:rsidRPr="00BC26E7">
        <w:rPr>
          <w:rFonts w:eastAsiaTheme="minorEastAsia"/>
          <w:color w:val="7030A0"/>
          <w:lang w:val="en-US"/>
        </w:rPr>
        <w:t xml:space="preserve"> and second that all hedge funds are unique </w:t>
      </w:r>
      <w:r>
        <w:rPr>
          <w:rFonts w:eastAsiaTheme="minorEastAsia"/>
          <w:color w:val="7030A0"/>
          <w:lang w:val="en-US"/>
        </w:rPr>
        <w:t xml:space="preserve">with </w:t>
      </w:r>
      <w:r w:rsidRPr="00BC26E7">
        <w:rPr>
          <w:rFonts w:eastAsiaTheme="minorEastAsia"/>
          <w:color w:val="7030A0"/>
          <w:lang w:val="en-US"/>
        </w:rPr>
        <w:t>no commonalities and, hence, no implications for diversification or systematic risk.</w:t>
      </w:r>
    </w:p>
    <w:p w:rsidR="006C50E9" w:rsidRPr="00BC26E7" w:rsidRDefault="006C50E9" w:rsidP="006C50E9">
      <w:pPr>
        <w:spacing w:line="480" w:lineRule="auto"/>
        <w:jc w:val="both"/>
        <w:rPr>
          <w:rFonts w:eastAsiaTheme="minorEastAsia"/>
          <w:color w:val="7030A0"/>
          <w:lang w:val="en-US"/>
        </w:rPr>
      </w:pPr>
      <w:r>
        <w:rPr>
          <w:rFonts w:eastAsiaTheme="minorEastAsia"/>
          <w:color w:val="7030A0"/>
          <w:lang w:val="en-US"/>
        </w:rPr>
        <w:t>S</w:t>
      </w:r>
      <w:r w:rsidRPr="00BC26E7">
        <w:rPr>
          <w:rFonts w:eastAsiaTheme="minorEastAsia"/>
          <w:color w:val="7030A0"/>
          <w:lang w:val="en-US"/>
        </w:rPr>
        <w:t xml:space="preserve">imilar to the above is a survey from Agarwal, </w:t>
      </w:r>
      <w:proofErr w:type="spellStart"/>
      <w:r w:rsidRPr="00BC26E7">
        <w:rPr>
          <w:rFonts w:eastAsiaTheme="minorEastAsia"/>
          <w:color w:val="7030A0"/>
          <w:lang w:val="en-US"/>
        </w:rPr>
        <w:t>Mullall</w:t>
      </w:r>
      <w:r>
        <w:rPr>
          <w:rFonts w:eastAsiaTheme="minorEastAsia"/>
          <w:color w:val="7030A0"/>
          <w:lang w:val="en-US"/>
        </w:rPr>
        <w:t>y</w:t>
      </w:r>
      <w:proofErr w:type="spellEnd"/>
      <w:r>
        <w:rPr>
          <w:rFonts w:eastAsiaTheme="minorEastAsia"/>
          <w:color w:val="7030A0"/>
          <w:lang w:val="en-US"/>
        </w:rPr>
        <w:t xml:space="preserve">, and </w:t>
      </w:r>
      <w:proofErr w:type="spellStart"/>
      <w:r>
        <w:rPr>
          <w:rFonts w:eastAsiaTheme="minorEastAsia"/>
          <w:color w:val="7030A0"/>
          <w:lang w:val="en-US"/>
        </w:rPr>
        <w:t>Naik</w:t>
      </w:r>
      <w:proofErr w:type="spellEnd"/>
      <w:r>
        <w:rPr>
          <w:rFonts w:eastAsiaTheme="minorEastAsia"/>
          <w:color w:val="7030A0"/>
          <w:lang w:val="en-US"/>
        </w:rPr>
        <w:t xml:space="preserve"> (2015) in that it examined</w:t>
      </w:r>
      <w:r w:rsidRPr="00BC26E7">
        <w:rPr>
          <w:rFonts w:eastAsiaTheme="minorEastAsia"/>
          <w:color w:val="7030A0"/>
          <w:lang w:val="en-US"/>
        </w:rPr>
        <w:t xml:space="preserve"> several aspects of hedge funds such as hedge fund performance (time-series and cross-sectional variation), the sources and nature of risks related to managerial incentives and sources of capital, and the role of hedge funds in the financial system. Concerning performance evaluation and attribution, the authors suggest</w:t>
      </w:r>
      <w:r>
        <w:rPr>
          <w:rFonts w:eastAsiaTheme="minorEastAsia"/>
          <w:color w:val="7030A0"/>
          <w:lang w:val="en-US"/>
        </w:rPr>
        <w:t>ed</w:t>
      </w:r>
      <w:r w:rsidRPr="00BC26E7">
        <w:rPr>
          <w:rFonts w:eastAsiaTheme="minorEastAsia"/>
          <w:color w:val="7030A0"/>
          <w:lang w:val="en-US"/>
        </w:rPr>
        <w:t xml:space="preserve"> that the spectrum of risk factors explaining hedge funds variation is very broad. The key challenge is the identification of a parsimonious set of factors with greater availability of time-series data. This is because with more data </w:t>
      </w:r>
      <w:r>
        <w:rPr>
          <w:rFonts w:eastAsiaTheme="minorEastAsia"/>
          <w:color w:val="7030A0"/>
          <w:lang w:val="en-US"/>
        </w:rPr>
        <w:t>we are</w:t>
      </w:r>
      <w:r w:rsidRPr="00BC26E7">
        <w:rPr>
          <w:rFonts w:eastAsiaTheme="minorEastAsia"/>
          <w:color w:val="7030A0"/>
          <w:lang w:val="en-US"/>
        </w:rPr>
        <w:t xml:space="preserve"> more likely to </w:t>
      </w:r>
      <w:r>
        <w:rPr>
          <w:rFonts w:eastAsiaTheme="minorEastAsia"/>
          <w:color w:val="7030A0"/>
          <w:lang w:val="en-US"/>
        </w:rPr>
        <w:t xml:space="preserve">be able to </w:t>
      </w:r>
      <w:r w:rsidRPr="00BC26E7">
        <w:rPr>
          <w:rFonts w:eastAsiaTheme="minorEastAsia"/>
          <w:color w:val="7030A0"/>
          <w:lang w:val="en-US"/>
        </w:rPr>
        <w:t xml:space="preserve">eliminate spurious factors that do not stand </w:t>
      </w:r>
      <w:r>
        <w:rPr>
          <w:rFonts w:eastAsiaTheme="minorEastAsia"/>
          <w:color w:val="7030A0"/>
          <w:lang w:val="en-US"/>
        </w:rPr>
        <w:t xml:space="preserve">the test of </w:t>
      </w:r>
      <w:r w:rsidRPr="00BC26E7">
        <w:rPr>
          <w:rFonts w:eastAsiaTheme="minorEastAsia"/>
          <w:color w:val="7030A0"/>
          <w:lang w:val="en-US"/>
        </w:rPr>
        <w:t>time. Finally, the authors a</w:t>
      </w:r>
      <w:r>
        <w:rPr>
          <w:rFonts w:eastAsiaTheme="minorEastAsia"/>
          <w:color w:val="7030A0"/>
          <w:lang w:val="en-US"/>
        </w:rPr>
        <w:t>ssert</w:t>
      </w:r>
      <w:r w:rsidRPr="00BC26E7">
        <w:rPr>
          <w:rFonts w:eastAsiaTheme="minorEastAsia"/>
          <w:color w:val="7030A0"/>
          <w:lang w:val="en-US"/>
        </w:rPr>
        <w:t xml:space="preserve"> that there is substantial evidence that at least a subset of hedge fund managers possess skill. </w:t>
      </w:r>
      <w:r>
        <w:rPr>
          <w:rFonts w:eastAsiaTheme="minorEastAsia"/>
          <w:color w:val="7030A0"/>
          <w:lang w:val="en-US"/>
        </w:rPr>
        <w:t>S</w:t>
      </w:r>
      <w:r w:rsidRPr="00BC26E7">
        <w:rPr>
          <w:rFonts w:eastAsiaTheme="minorEastAsia"/>
          <w:color w:val="7030A0"/>
          <w:lang w:val="en-US"/>
        </w:rPr>
        <w:t>pecific</w:t>
      </w:r>
      <w:r>
        <w:rPr>
          <w:rFonts w:eastAsiaTheme="minorEastAsia"/>
          <w:color w:val="7030A0"/>
          <w:lang w:val="en-US"/>
        </w:rPr>
        <w:t>ally</w:t>
      </w:r>
      <w:r w:rsidRPr="00BC26E7">
        <w:rPr>
          <w:rFonts w:eastAsiaTheme="minorEastAsia"/>
          <w:color w:val="7030A0"/>
          <w:lang w:val="en-US"/>
        </w:rPr>
        <w:t xml:space="preserve"> there is evidence of managerial skill in terms of their timing ability and their delayed disclosure of certain security holdings.  </w:t>
      </w:r>
      <w:r w:rsidRPr="00BC26E7">
        <w:rPr>
          <w:rFonts w:eastAsiaTheme="minorEastAsia"/>
          <w:color w:val="7030A0"/>
          <w:lang w:val="en-US"/>
        </w:rPr>
        <w:tab/>
        <w:t xml:space="preserve">   </w:t>
      </w:r>
    </w:p>
    <w:p w:rsidR="006C50E9" w:rsidRPr="00BC26E7" w:rsidRDefault="009B0281" w:rsidP="009B0281">
      <w:pPr>
        <w:spacing w:line="480" w:lineRule="auto"/>
        <w:jc w:val="both"/>
        <w:rPr>
          <w:rFonts w:eastAsiaTheme="minorEastAsia"/>
          <w:color w:val="7030A0"/>
          <w:lang w:val="en-US"/>
        </w:rPr>
      </w:pPr>
      <w:r w:rsidRPr="009B0281">
        <w:rPr>
          <w:rFonts w:eastAsiaTheme="minorEastAsia"/>
          <w:color w:val="7030A0"/>
          <w:lang w:val="en-US"/>
        </w:rPr>
        <w:t>An earlier study came from Fung and Hsieh (200</w:t>
      </w:r>
      <w:r>
        <w:rPr>
          <w:rFonts w:eastAsiaTheme="minorEastAsia"/>
          <w:color w:val="7030A0"/>
          <w:lang w:val="en-US"/>
        </w:rPr>
        <w:t xml:space="preserve">6). They examined the growth of </w:t>
      </w:r>
      <w:r w:rsidRPr="009B0281">
        <w:rPr>
          <w:rFonts w:eastAsiaTheme="minorEastAsia"/>
          <w:color w:val="7030A0"/>
          <w:lang w:val="en-US"/>
        </w:rPr>
        <w:t>the hedge fund industry as it evolved into adolescence using the TASS, HFR, and</w:t>
      </w:r>
      <w:r>
        <w:rPr>
          <w:rFonts w:eastAsiaTheme="minorEastAsia"/>
          <w:color w:val="7030A0"/>
          <w:lang w:val="en-US"/>
        </w:rPr>
        <w:t xml:space="preserve"> </w:t>
      </w:r>
      <w:r w:rsidRPr="009B0281">
        <w:rPr>
          <w:rFonts w:eastAsiaTheme="minorEastAsia"/>
          <w:color w:val="7030A0"/>
          <w:lang w:val="en-US"/>
        </w:rPr>
        <w:t>CISDM databases using the</w:t>
      </w:r>
      <w:r>
        <w:rPr>
          <w:rFonts w:eastAsiaTheme="minorEastAsia"/>
          <w:color w:val="7030A0"/>
          <w:lang w:val="en-US"/>
        </w:rPr>
        <w:t xml:space="preserve"> framework from their 1997 paper</w:t>
      </w:r>
      <w:r w:rsidRPr="009B0281">
        <w:rPr>
          <w:rFonts w:eastAsiaTheme="minorEastAsia"/>
          <w:color w:val="7030A0"/>
          <w:lang w:val="en-US"/>
        </w:rPr>
        <w:t>.</w:t>
      </w:r>
      <w:r>
        <w:rPr>
          <w:rFonts w:eastAsiaTheme="minorEastAsia"/>
          <w:color w:val="7030A0"/>
          <w:lang w:val="en-US"/>
        </w:rPr>
        <w:t xml:space="preserve"> </w:t>
      </w:r>
      <w:r w:rsidR="006C50E9" w:rsidRPr="00BC26E7">
        <w:rPr>
          <w:rFonts w:eastAsiaTheme="minorEastAsia"/>
          <w:color w:val="7030A0"/>
          <w:lang w:val="en-US"/>
        </w:rPr>
        <w:t xml:space="preserve">By putting forward a simple model of </w:t>
      </w:r>
      <w:r w:rsidR="006C50E9">
        <w:rPr>
          <w:rFonts w:eastAsiaTheme="minorEastAsia"/>
          <w:color w:val="7030A0"/>
          <w:lang w:val="en-US"/>
        </w:rPr>
        <w:t xml:space="preserve">how </w:t>
      </w:r>
      <w:r w:rsidR="006C50E9" w:rsidRPr="00BC26E7">
        <w:rPr>
          <w:rFonts w:eastAsiaTheme="minorEastAsia"/>
          <w:color w:val="7030A0"/>
          <w:lang w:val="en-US"/>
        </w:rPr>
        <w:t>hedge fund</w:t>
      </w:r>
      <w:r w:rsidR="006C50E9">
        <w:rPr>
          <w:rFonts w:eastAsiaTheme="minorEastAsia"/>
          <w:color w:val="7030A0"/>
          <w:lang w:val="en-US"/>
        </w:rPr>
        <w:t>s</w:t>
      </w:r>
      <w:r w:rsidR="006C50E9" w:rsidRPr="00BC26E7">
        <w:rPr>
          <w:rFonts w:eastAsiaTheme="minorEastAsia"/>
          <w:color w:val="7030A0"/>
          <w:lang w:val="en-US"/>
        </w:rPr>
        <w:t xml:space="preserve"> </w:t>
      </w:r>
      <w:r w:rsidR="006C50E9">
        <w:rPr>
          <w:rFonts w:eastAsiaTheme="minorEastAsia"/>
          <w:color w:val="7030A0"/>
          <w:lang w:val="en-US"/>
        </w:rPr>
        <w:t xml:space="preserve">do </w:t>
      </w:r>
      <w:r w:rsidR="006C50E9" w:rsidRPr="00BC26E7">
        <w:rPr>
          <w:rFonts w:eastAsiaTheme="minorEastAsia"/>
          <w:color w:val="7030A0"/>
          <w:lang w:val="en-US"/>
        </w:rPr>
        <w:t xml:space="preserve">business they pulled together some of the important </w:t>
      </w:r>
      <w:r w:rsidR="006C50E9" w:rsidRPr="00BC26E7">
        <w:rPr>
          <w:rFonts w:eastAsiaTheme="minorEastAsia"/>
          <w:color w:val="7030A0"/>
          <w:lang w:val="en-US"/>
        </w:rPr>
        <w:lastRenderedPageBreak/>
        <w:t>issues involving investors in hedge fund products, financial intermediaries, and regulators into a single framework. This framework reveal</w:t>
      </w:r>
      <w:r w:rsidR="006C50E9">
        <w:rPr>
          <w:rFonts w:eastAsiaTheme="minorEastAsia"/>
          <w:color w:val="7030A0"/>
          <w:lang w:val="en-US"/>
        </w:rPr>
        <w:t>ed</w:t>
      </w:r>
      <w:r w:rsidR="006C50E9" w:rsidRPr="00BC26E7">
        <w:rPr>
          <w:rFonts w:eastAsiaTheme="minorEastAsia"/>
          <w:color w:val="7030A0"/>
          <w:lang w:val="en-US"/>
        </w:rPr>
        <w:t xml:space="preserve"> a fundamental question regarding the identification of systematic risk factors inherent in hedge fund strategies. In addition, the identification of these risk factors </w:t>
      </w:r>
      <w:r w:rsidR="006C50E9">
        <w:rPr>
          <w:rFonts w:eastAsiaTheme="minorEastAsia"/>
          <w:color w:val="7030A0"/>
          <w:lang w:val="en-US"/>
        </w:rPr>
        <w:t>wa</w:t>
      </w:r>
      <w:r w:rsidR="006C50E9" w:rsidRPr="00BC26E7">
        <w:rPr>
          <w:rFonts w:eastAsiaTheme="minorEastAsia"/>
          <w:color w:val="7030A0"/>
          <w:lang w:val="en-US"/>
        </w:rPr>
        <w:t>s the key input to important questions such as optimal contrast design between buyers and sellers of hedge fund products and explaining large changes in the hedge fund industry. In their simple hedge fund business model the authors argue</w:t>
      </w:r>
      <w:r w:rsidR="006C50E9">
        <w:rPr>
          <w:rFonts w:eastAsiaTheme="minorEastAsia"/>
          <w:color w:val="7030A0"/>
          <w:lang w:val="en-US"/>
        </w:rPr>
        <w:t>d</w:t>
      </w:r>
      <w:r w:rsidR="006C50E9" w:rsidRPr="00BC26E7">
        <w:rPr>
          <w:rFonts w:eastAsiaTheme="minorEastAsia"/>
          <w:color w:val="7030A0"/>
          <w:lang w:val="en-US"/>
        </w:rPr>
        <w:t xml:space="preserve"> that apparent style changes are consistent with fund managers maximizing their enterprise value</w:t>
      </w:r>
      <w:r w:rsidR="006C50E9">
        <w:rPr>
          <w:rFonts w:eastAsiaTheme="minorEastAsia"/>
          <w:color w:val="7030A0"/>
          <w:lang w:val="en-US"/>
        </w:rPr>
        <w:t>,</w:t>
      </w:r>
      <w:r w:rsidR="006C50E9" w:rsidRPr="00BC26E7">
        <w:rPr>
          <w:rFonts w:eastAsiaTheme="minorEastAsia"/>
          <w:color w:val="7030A0"/>
          <w:lang w:val="en-US"/>
        </w:rPr>
        <w:t xml:space="preserve"> by diversifying the impact of different life cycles of hedge fund strategies. Moreover</w:t>
      </w:r>
      <w:r w:rsidR="006C50E9">
        <w:rPr>
          <w:rFonts w:eastAsiaTheme="minorEastAsia"/>
          <w:color w:val="7030A0"/>
          <w:lang w:val="en-US"/>
        </w:rPr>
        <w:t xml:space="preserve"> the</w:t>
      </w:r>
      <w:r w:rsidR="006C50E9" w:rsidRPr="00BC26E7">
        <w:rPr>
          <w:rFonts w:eastAsiaTheme="minorEastAsia"/>
          <w:color w:val="7030A0"/>
          <w:lang w:val="en-US"/>
        </w:rPr>
        <w:t xml:space="preserve"> pricing discovery process of a hedge fund firm favors those fund managers with a steady, diversified stream of fee income. Thus this could reduce excessive risk taking by individual fund managers. </w:t>
      </w:r>
    </w:p>
    <w:p w:rsidR="006C50E9" w:rsidRDefault="006C50E9" w:rsidP="009B0281">
      <w:pPr>
        <w:spacing w:line="480" w:lineRule="auto"/>
        <w:jc w:val="both"/>
        <w:rPr>
          <w:rFonts w:eastAsiaTheme="minorEastAsia"/>
          <w:color w:val="7030A0"/>
          <w:lang w:val="en-US"/>
        </w:rPr>
      </w:pPr>
      <w:r w:rsidRPr="00BC26E7">
        <w:rPr>
          <w:rFonts w:eastAsiaTheme="minorEastAsia"/>
          <w:color w:val="7030A0"/>
          <w:lang w:val="en-US"/>
        </w:rPr>
        <w:t>Given that there is a concern o</w:t>
      </w:r>
      <w:r>
        <w:rPr>
          <w:rFonts w:eastAsiaTheme="minorEastAsia"/>
          <w:color w:val="7030A0"/>
          <w:lang w:val="en-US"/>
        </w:rPr>
        <w:t>ver</w:t>
      </w:r>
      <w:r w:rsidRPr="00BC26E7">
        <w:rPr>
          <w:rFonts w:eastAsiaTheme="minorEastAsia"/>
          <w:color w:val="7030A0"/>
          <w:lang w:val="en-US"/>
        </w:rPr>
        <w:t xml:space="preserve"> whether traditional metrics and tools for portfolio measurement and risk management are applicable to hedge funds (e.g. due to serial correlations in fund returns caused by illiquidity and smoothed returns), </w:t>
      </w:r>
      <w:r w:rsidR="009B0281" w:rsidRPr="009B0281">
        <w:rPr>
          <w:rFonts w:eastAsiaTheme="minorEastAsia"/>
          <w:color w:val="7030A0"/>
          <w:lang w:val="en-US"/>
        </w:rPr>
        <w:t>Lo (2005) briefly reviewed and described hedge fund propertie</w:t>
      </w:r>
      <w:r w:rsidR="009B0281">
        <w:rPr>
          <w:rFonts w:eastAsiaTheme="minorEastAsia"/>
          <w:color w:val="7030A0"/>
          <w:lang w:val="en-US"/>
        </w:rPr>
        <w:t xml:space="preserve">s. He also developed new tools </w:t>
      </w:r>
      <w:r w:rsidR="009B0281" w:rsidRPr="009B0281">
        <w:rPr>
          <w:rFonts w:eastAsiaTheme="minorEastAsia"/>
          <w:color w:val="7030A0"/>
          <w:lang w:val="en-US"/>
        </w:rPr>
        <w:t>and metrics when analyzing hedge funds</w:t>
      </w:r>
      <w:r w:rsidRPr="00BC26E7">
        <w:rPr>
          <w:rFonts w:eastAsiaTheme="minorEastAsia"/>
          <w:color w:val="7030A0"/>
          <w:lang w:val="en-US"/>
        </w:rPr>
        <w:t xml:space="preserve">. Using the CSFB/Tremont indices and the TASS database and applying an econometric model </w:t>
      </w:r>
      <w:r>
        <w:rPr>
          <w:rFonts w:eastAsiaTheme="minorEastAsia"/>
          <w:color w:val="7030A0"/>
          <w:lang w:val="en-US"/>
        </w:rPr>
        <w:t xml:space="preserve">using </w:t>
      </w:r>
      <w:r w:rsidRPr="00BC26E7">
        <w:rPr>
          <w:rFonts w:eastAsiaTheme="minorEastAsia"/>
          <w:color w:val="7030A0"/>
          <w:lang w:val="en-US"/>
        </w:rPr>
        <w:t xml:space="preserve">smoothed returns </w:t>
      </w:r>
      <w:r>
        <w:rPr>
          <w:rFonts w:eastAsiaTheme="minorEastAsia"/>
          <w:color w:val="7030A0"/>
          <w:lang w:val="en-US"/>
        </w:rPr>
        <w:t>and</w:t>
      </w:r>
      <w:r w:rsidRPr="00BC26E7">
        <w:rPr>
          <w:rFonts w:eastAsiaTheme="minorEastAsia"/>
          <w:color w:val="7030A0"/>
          <w:lang w:val="en-US"/>
        </w:rPr>
        <w:t xml:space="preserve"> adjustments for the Sharpe ratio and other risk and return metrics</w:t>
      </w:r>
      <w:r>
        <w:rPr>
          <w:rFonts w:eastAsiaTheme="minorEastAsia"/>
          <w:color w:val="7030A0"/>
          <w:lang w:val="en-US"/>
        </w:rPr>
        <w:t xml:space="preserve">, </w:t>
      </w:r>
      <w:proofErr w:type="gramStart"/>
      <w:r>
        <w:rPr>
          <w:rFonts w:eastAsiaTheme="minorEastAsia"/>
          <w:color w:val="7030A0"/>
          <w:lang w:val="en-US"/>
        </w:rPr>
        <w:t>Lo</w:t>
      </w:r>
      <w:proofErr w:type="gramEnd"/>
      <w:r>
        <w:rPr>
          <w:rFonts w:eastAsiaTheme="minorEastAsia"/>
          <w:color w:val="7030A0"/>
          <w:lang w:val="en-US"/>
        </w:rPr>
        <w:t xml:space="preserve"> showed</w:t>
      </w:r>
      <w:r w:rsidRPr="00BC26E7">
        <w:rPr>
          <w:rFonts w:eastAsiaTheme="minorEastAsia"/>
          <w:color w:val="7030A0"/>
          <w:lang w:val="en-US"/>
        </w:rPr>
        <w:t xml:space="preserve"> that serial correlation can have a significant impact on performance measures such as the Sharpe ratio</w:t>
      </w:r>
      <w:r>
        <w:rPr>
          <w:rFonts w:eastAsiaTheme="minorEastAsia"/>
          <w:color w:val="7030A0"/>
          <w:lang w:val="en-US"/>
        </w:rPr>
        <w:t>,</w:t>
      </w:r>
      <w:r w:rsidRPr="00BC26E7">
        <w:rPr>
          <w:rFonts w:eastAsiaTheme="minorEastAsia"/>
          <w:color w:val="7030A0"/>
          <w:lang w:val="en-US"/>
        </w:rPr>
        <w:t xml:space="preserve"> with an overstatement of approximately 70 percent. </w:t>
      </w:r>
      <w:r>
        <w:rPr>
          <w:rFonts w:eastAsiaTheme="minorEastAsia"/>
          <w:color w:val="7030A0"/>
          <w:lang w:val="en-US"/>
        </w:rPr>
        <w:t>He</w:t>
      </w:r>
      <w:r w:rsidRPr="00BC26E7">
        <w:rPr>
          <w:rFonts w:eastAsiaTheme="minorEastAsia"/>
          <w:color w:val="7030A0"/>
          <w:lang w:val="en-US"/>
        </w:rPr>
        <w:t xml:space="preserve"> </w:t>
      </w:r>
      <w:r>
        <w:rPr>
          <w:rFonts w:eastAsiaTheme="minorEastAsia"/>
          <w:color w:val="7030A0"/>
          <w:lang w:val="en-US"/>
        </w:rPr>
        <w:t xml:space="preserve">also </w:t>
      </w:r>
      <w:r w:rsidRPr="00BC26E7">
        <w:rPr>
          <w:rFonts w:eastAsiaTheme="minorEastAsia"/>
          <w:color w:val="7030A0"/>
          <w:lang w:val="en-US"/>
        </w:rPr>
        <w:t xml:space="preserve">addressed how liquidity can be integrated into the portfolio construction process so as to deliver optimal mean-variance-liquidity portfolios. </w:t>
      </w:r>
      <w:r>
        <w:rPr>
          <w:rFonts w:eastAsiaTheme="minorEastAsia"/>
          <w:color w:val="7030A0"/>
          <w:lang w:val="en-US"/>
        </w:rPr>
        <w:t xml:space="preserve">Moreover Lo </w:t>
      </w:r>
      <w:r w:rsidRPr="00BC26E7">
        <w:rPr>
          <w:rFonts w:eastAsiaTheme="minorEastAsia"/>
          <w:color w:val="7030A0"/>
          <w:lang w:val="en-US"/>
        </w:rPr>
        <w:t>suggest</w:t>
      </w:r>
      <w:r>
        <w:rPr>
          <w:rFonts w:eastAsiaTheme="minorEastAsia"/>
          <w:color w:val="7030A0"/>
          <w:lang w:val="en-US"/>
        </w:rPr>
        <w:t xml:space="preserve">ed </w:t>
      </w:r>
      <w:r w:rsidRPr="00BC26E7">
        <w:rPr>
          <w:rFonts w:eastAsiaTheme="minorEastAsia"/>
          <w:color w:val="7030A0"/>
          <w:lang w:val="en-US"/>
        </w:rPr>
        <w:t>that hedge fund</w:t>
      </w:r>
      <w:r>
        <w:rPr>
          <w:rFonts w:eastAsiaTheme="minorEastAsia"/>
          <w:color w:val="7030A0"/>
          <w:lang w:val="en-US"/>
        </w:rPr>
        <w:t>s’</w:t>
      </w:r>
      <w:r w:rsidRPr="00BC26E7">
        <w:rPr>
          <w:rFonts w:eastAsiaTheme="minorEastAsia"/>
          <w:color w:val="7030A0"/>
          <w:lang w:val="en-US"/>
        </w:rPr>
        <w:t xml:space="preserve"> positive alphas come not only from seeking returns but also from adroit risk </w:t>
      </w:r>
      <w:r w:rsidRPr="00BC26E7">
        <w:rPr>
          <w:rFonts w:eastAsiaTheme="minorEastAsia"/>
          <w:color w:val="7030A0"/>
          <w:lang w:val="en-US"/>
        </w:rPr>
        <w:lastRenderedPageBreak/>
        <w:t xml:space="preserve">management. </w:t>
      </w:r>
      <w:r>
        <w:rPr>
          <w:rFonts w:eastAsiaTheme="minorEastAsia"/>
          <w:color w:val="7030A0"/>
          <w:lang w:val="en-US"/>
        </w:rPr>
        <w:t>U</w:t>
      </w:r>
      <w:r w:rsidRPr="00BC26E7">
        <w:rPr>
          <w:rFonts w:eastAsiaTheme="minorEastAsia"/>
          <w:color w:val="7030A0"/>
          <w:lang w:val="en-US"/>
        </w:rPr>
        <w:t xml:space="preserve">nderstanding </w:t>
      </w:r>
      <w:r>
        <w:rPr>
          <w:rFonts w:eastAsiaTheme="minorEastAsia"/>
          <w:color w:val="7030A0"/>
          <w:lang w:val="en-US"/>
        </w:rPr>
        <w:t>t</w:t>
      </w:r>
      <w:r w:rsidRPr="00BC26E7">
        <w:rPr>
          <w:rFonts w:eastAsiaTheme="minorEastAsia"/>
          <w:color w:val="7030A0"/>
          <w:lang w:val="en-US"/>
        </w:rPr>
        <w:t xml:space="preserve">he risk preferences of investors and fund managers is </w:t>
      </w:r>
      <w:r>
        <w:rPr>
          <w:rFonts w:eastAsiaTheme="minorEastAsia"/>
          <w:color w:val="7030A0"/>
          <w:lang w:val="en-US"/>
        </w:rPr>
        <w:t xml:space="preserve">an </w:t>
      </w:r>
      <w:r w:rsidRPr="00BC26E7">
        <w:rPr>
          <w:rFonts w:eastAsiaTheme="minorEastAsia"/>
          <w:color w:val="7030A0"/>
          <w:lang w:val="en-US"/>
        </w:rPr>
        <w:t>important element for proper risk management and investment policy.</w:t>
      </w:r>
    </w:p>
    <w:p w:rsidR="00B96968" w:rsidRPr="00AD38E5" w:rsidRDefault="00B96968" w:rsidP="006C50E9">
      <w:pPr>
        <w:spacing w:line="480" w:lineRule="auto"/>
        <w:jc w:val="both"/>
        <w:rPr>
          <w:rFonts w:eastAsiaTheme="minorEastAsia"/>
          <w:color w:val="7030A0"/>
          <w:lang w:val="en-US"/>
        </w:rPr>
      </w:pPr>
      <w:r>
        <w:rPr>
          <w:rFonts w:eastAsiaTheme="minorEastAsia"/>
          <w:color w:val="7030A0"/>
          <w:lang w:val="en-US"/>
        </w:rPr>
        <w:t xml:space="preserve">In summary, four papers in the last decade conducted reviews of the academic literature on hedge funds. They reached several valuable conclusions, however no review paper has concentrated on how hedge fund returns have been explained. It is this that we focus on in the rest of this paper, looking in particular at recent work on non-linear models that had not been done at the time of the </w:t>
      </w:r>
      <w:r w:rsidR="001C0009">
        <w:rPr>
          <w:rFonts w:eastAsiaTheme="minorEastAsia"/>
          <w:color w:val="7030A0"/>
          <w:lang w:val="en-US"/>
        </w:rPr>
        <w:t xml:space="preserve">Lo (2005) and </w:t>
      </w:r>
      <w:r>
        <w:rPr>
          <w:rFonts w:eastAsiaTheme="minorEastAsia"/>
          <w:color w:val="7030A0"/>
          <w:lang w:val="en-US"/>
        </w:rPr>
        <w:t>Fung and Hsieh (2006) papers. However, we start in section 3 by describing different general approaches towards hedge fund performance measurement.</w:t>
      </w:r>
    </w:p>
    <w:p w:rsidR="00450038" w:rsidRPr="00A44D31" w:rsidRDefault="00450038" w:rsidP="00B93647">
      <w:pPr>
        <w:pStyle w:val="Heading1"/>
        <w:spacing w:line="480" w:lineRule="auto"/>
        <w:jc w:val="left"/>
      </w:pPr>
      <w:r>
        <w:t>Model Categories</w:t>
      </w:r>
    </w:p>
    <w:p w:rsidR="00450038" w:rsidRPr="00A44D31" w:rsidRDefault="00450038" w:rsidP="00B93647">
      <w:pPr>
        <w:spacing w:line="480" w:lineRule="auto"/>
        <w:jc w:val="both"/>
      </w:pPr>
      <w:r w:rsidRPr="00A44D31">
        <w:t>In this section we present two general categories of models</w:t>
      </w:r>
      <w:r w:rsidR="00D15002">
        <w:t>:</w:t>
      </w:r>
      <w:r w:rsidRPr="00A44D31">
        <w:t xml:space="preserve"> absolute pricing models and relative value models. Then we focus on two different statistical approaches: Principal Component Analysis and Common Factor Analysis.  </w:t>
      </w:r>
    </w:p>
    <w:p w:rsidR="00450038" w:rsidRPr="00A44D31" w:rsidRDefault="00450038" w:rsidP="00B93647">
      <w:pPr>
        <w:spacing w:line="480" w:lineRule="auto"/>
        <w:jc w:val="both"/>
      </w:pPr>
      <w:r w:rsidRPr="00A44D31">
        <w:t>Generally speaking, asset pricing models are divided into two main categories: (</w:t>
      </w:r>
      <w:proofErr w:type="spellStart"/>
      <w:r w:rsidRPr="00A44D31">
        <w:rPr>
          <w:i/>
        </w:rPr>
        <w:t>i</w:t>
      </w:r>
      <w:proofErr w:type="spellEnd"/>
      <w:r w:rsidRPr="00A44D31">
        <w:t>) absolute pricing models and (</w:t>
      </w:r>
      <w:r w:rsidRPr="00A44D31">
        <w:rPr>
          <w:i/>
        </w:rPr>
        <w:t>ii</w:t>
      </w:r>
      <w:r w:rsidRPr="00A44D31">
        <w:t>) relative value models (</w:t>
      </w:r>
      <w:proofErr w:type="spellStart"/>
      <w:r w:rsidRPr="00A44D31">
        <w:t>Lhabitant</w:t>
      </w:r>
      <w:proofErr w:type="spellEnd"/>
      <w:r w:rsidRPr="00A44D31">
        <w:t xml:space="preserve">, 2004 and 2007). The first category consists of fundamental equilibrium models and consumption-based models in combination with many macro-economic models. They use asset pricing theory and price each asset individually taking into consideration its exposures. They give an economic interpretation of </w:t>
      </w:r>
      <w:r w:rsidRPr="00A44D31">
        <w:rPr>
          <w:i/>
        </w:rPr>
        <w:t>why</w:t>
      </w:r>
      <w:r w:rsidRPr="00A44D31">
        <w:t xml:space="preserve"> prices are what they are and </w:t>
      </w:r>
      <w:r w:rsidRPr="00A44D31">
        <w:rPr>
          <w:i/>
        </w:rPr>
        <w:t>why</w:t>
      </w:r>
      <w:r w:rsidRPr="00A44D31">
        <w:t xml:space="preserve"> exposures are what they are. In addition they are supposed to </w:t>
      </w:r>
      <w:r w:rsidRPr="00A44D31">
        <w:rPr>
          <w:i/>
        </w:rPr>
        <w:t>predict</w:t>
      </w:r>
      <w:r w:rsidRPr="00A44D31">
        <w:t xml:space="preserve"> price changes due to economic structure changes. The second category of asset pricing models explores the </w:t>
      </w:r>
      <w:r w:rsidRPr="00A44D31">
        <w:rPr>
          <w:i/>
        </w:rPr>
        <w:t>evidence</w:t>
      </w:r>
      <w:r w:rsidRPr="00A44D31">
        <w:t xml:space="preserve"> of the </w:t>
      </w:r>
      <w:r w:rsidRPr="00A44D31">
        <w:rPr>
          <w:i/>
        </w:rPr>
        <w:t>different</w:t>
      </w:r>
      <w:r w:rsidRPr="00A44D31">
        <w:t xml:space="preserve"> asset pricing rather than trying to fit an explanation of the financial </w:t>
      </w:r>
      <w:r w:rsidRPr="00A44D31">
        <w:lastRenderedPageBreak/>
        <w:t xml:space="preserve">markets. They price each asset by taking into consideration the prices of some other assets that are extraneous. In other words, they provide a plain illustration of </w:t>
      </w:r>
      <w:r w:rsidRPr="00A44D31">
        <w:rPr>
          <w:i/>
        </w:rPr>
        <w:t>how</w:t>
      </w:r>
      <w:r w:rsidRPr="00A44D31">
        <w:t xml:space="preserve"> the financial world works. A typical well known example is the Black-Scholes (1973) formula that computes an option price in regard to its underlying asset price, disregarding whether that asset is fairly </w:t>
      </w:r>
      <w:r w:rsidR="00B56448">
        <w:t>priced</w:t>
      </w:r>
      <w:r w:rsidRPr="00A44D31">
        <w:t xml:space="preserve"> by the market. The factor models that we mention in this study belong to the category of relative price models. They price or evaluate hedge funds in regard to the market or any other risk factors. They do not concentrate on what induces the primitive factors, the market or factor risk premium, or the risk exposures accepted by the fund managers. </w:t>
      </w:r>
    </w:p>
    <w:p w:rsidR="00450038" w:rsidRPr="00A44D31" w:rsidRDefault="00450038" w:rsidP="00B93647">
      <w:pPr>
        <w:spacing w:line="480" w:lineRule="auto"/>
        <w:jc w:val="both"/>
      </w:pPr>
      <w:r w:rsidRPr="00A44D31">
        <w:t xml:space="preserve">The majority of the factor (or relative price) models in this study use a two-stage approach: At the beginning, they hypothesize that hedge funds returns are specific functions of macro-economic and micro-economic factors (variables). Second, they test those initial assumptions and assess the sensitivity of hedge funds returns to those assumptions. Factor models determine the relationships between a large </w:t>
      </w:r>
      <w:proofErr w:type="gramStart"/>
      <w:r w:rsidRPr="00A44D31">
        <w:t>number</w:t>
      </w:r>
      <w:proofErr w:type="gramEnd"/>
      <w:r w:rsidRPr="00A44D31">
        <w:t xml:space="preserve"> of variables (for instance fund returns) and describe these relationships in terms of their common underlying dimensions, so called ‘factors’. Hence, there is the advantage of dimensionality reduction because it sums up the information that is contained in a large number of original values (hedge funds returns) into a smaller set of factors with a minimum loss of information. In other words, via factor models we simplify the covariance matrix (correlation or covariance among the returns of all hedge finds). </w:t>
      </w:r>
    </w:p>
    <w:p w:rsidR="00450038" w:rsidRPr="00A44D31" w:rsidRDefault="00450038" w:rsidP="00B93647">
      <w:pPr>
        <w:spacing w:line="480" w:lineRule="auto"/>
        <w:jc w:val="both"/>
      </w:pPr>
      <w:proofErr w:type="spellStart"/>
      <w:r w:rsidRPr="00A44D31">
        <w:t>Amenc</w:t>
      </w:r>
      <w:proofErr w:type="spellEnd"/>
      <w:r w:rsidRPr="00A44D31">
        <w:t xml:space="preserve">, </w:t>
      </w:r>
      <w:proofErr w:type="spellStart"/>
      <w:r w:rsidRPr="00A44D31">
        <w:t>Sfeir</w:t>
      </w:r>
      <w:proofErr w:type="spellEnd"/>
      <w:r w:rsidRPr="00A44D31">
        <w:t xml:space="preserve"> and </w:t>
      </w:r>
      <w:proofErr w:type="spellStart"/>
      <w:r w:rsidRPr="00A44D31">
        <w:t>Martellini</w:t>
      </w:r>
      <w:proofErr w:type="spellEnd"/>
      <w:r w:rsidRPr="00A44D31">
        <w:t xml:space="preserve"> (2002) report four types of factor models. These are: (1) </w:t>
      </w:r>
      <w:proofErr w:type="gramStart"/>
      <w:r w:rsidRPr="00A44D31">
        <w:rPr>
          <w:i/>
        </w:rPr>
        <w:t>Explicit</w:t>
      </w:r>
      <w:proofErr w:type="gramEnd"/>
      <w:r w:rsidRPr="00A44D31">
        <w:rPr>
          <w:i/>
        </w:rPr>
        <w:t xml:space="preserve"> macro factors</w:t>
      </w:r>
      <w:r w:rsidRPr="00A44D31">
        <w:t xml:space="preserve">: These are macro-economic variables that are calculated either as predictive variables or adopted ex-post to measure market sensitivities in relation to some macroeconomic parameters. (2) </w:t>
      </w:r>
      <w:r w:rsidRPr="00A44D31">
        <w:rPr>
          <w:i/>
        </w:rPr>
        <w:t>Explicit index factor model</w:t>
      </w:r>
      <w:r w:rsidRPr="00A44D31">
        <w:t xml:space="preserve">: In these models </w:t>
      </w:r>
      <w:r w:rsidRPr="00A44D31">
        <w:lastRenderedPageBreak/>
        <w:t xml:space="preserve">each factor is investable and represents some index or fund available as an ETF (Exchange Trading Funds) or futures contract. (3) </w:t>
      </w:r>
      <w:r w:rsidRPr="00A44D31">
        <w:rPr>
          <w:i/>
        </w:rPr>
        <w:t>Explicit micro factor models</w:t>
      </w:r>
      <w:r w:rsidRPr="00A44D31">
        <w:t xml:space="preserve">: These microeconomic parameters (or variables) that refer to fund-specific features are estimated and forecast in a comparable manner as the explicit factor models. (4) </w:t>
      </w:r>
      <w:r w:rsidRPr="00A44D31">
        <w:rPr>
          <w:i/>
        </w:rPr>
        <w:t>Implicit factor models</w:t>
      </w:r>
      <w:r w:rsidRPr="00A44D31">
        <w:t xml:space="preserve">: These implicit factors are mainly derived through Principal Component Analysis (PCA) or Common Factor Analysis (CFA) and are regarded as a merely statistical approach. An analogous classification is suggested by Connor (1995) with the use of three types of factor models that are available for examining asset returns, named as: </w:t>
      </w:r>
      <w:r w:rsidRPr="00A44D31">
        <w:rPr>
          <w:i/>
        </w:rPr>
        <w:t>Macroeconomic factor models,</w:t>
      </w:r>
      <w:r w:rsidRPr="00A44D31">
        <w:t xml:space="preserve"> </w:t>
      </w:r>
      <w:r w:rsidRPr="00A44D31">
        <w:rPr>
          <w:i/>
        </w:rPr>
        <w:t>Fundamental factor models</w:t>
      </w:r>
      <w:r w:rsidRPr="00A44D31">
        <w:t xml:space="preserve"> and </w:t>
      </w:r>
      <w:r w:rsidRPr="00A44D31">
        <w:rPr>
          <w:i/>
        </w:rPr>
        <w:t>Statistical factor models</w:t>
      </w:r>
      <w:r w:rsidRPr="00A44D31">
        <w:t xml:space="preserve">. </w:t>
      </w:r>
    </w:p>
    <w:p w:rsidR="00450038" w:rsidRPr="00A44D31" w:rsidRDefault="00450038" w:rsidP="00B93647">
      <w:pPr>
        <w:spacing w:line="480" w:lineRule="auto"/>
        <w:jc w:val="both"/>
        <w:rPr>
          <w:rFonts w:eastAsiaTheme="minorEastAsia"/>
        </w:rPr>
      </w:pPr>
      <w:r w:rsidRPr="00A44D31">
        <w:t xml:space="preserve">In this part of our review we deal with statistical or implicit factor models. Regarding those factor models there are two widely-used methodologies </w:t>
      </w:r>
      <w:r w:rsidRPr="00A44D31">
        <w:rPr>
          <w:rFonts w:eastAsiaTheme="minorEastAsia"/>
        </w:rPr>
        <w:t>that are used to distinguish the underlying factors: (</w:t>
      </w:r>
      <w:proofErr w:type="spellStart"/>
      <w:r w:rsidRPr="00A44D31">
        <w:rPr>
          <w:rFonts w:eastAsiaTheme="minorEastAsia"/>
          <w:i/>
        </w:rPr>
        <w:t>i</w:t>
      </w:r>
      <w:proofErr w:type="spellEnd"/>
      <w:r w:rsidRPr="00A44D31">
        <w:rPr>
          <w:rFonts w:eastAsiaTheme="minorEastAsia"/>
        </w:rPr>
        <w:t xml:space="preserve">) </w:t>
      </w:r>
      <w:r w:rsidRPr="00A44D31">
        <w:rPr>
          <w:rFonts w:eastAsiaTheme="minorEastAsia"/>
          <w:i/>
        </w:rPr>
        <w:t>Principal Component Analysis (PCA)</w:t>
      </w:r>
      <w:r w:rsidRPr="00A44D31">
        <w:rPr>
          <w:rFonts w:eastAsiaTheme="minorEastAsia"/>
        </w:rPr>
        <w:t xml:space="preserve"> and (</w:t>
      </w:r>
      <w:r w:rsidRPr="00A44D31">
        <w:rPr>
          <w:rFonts w:eastAsiaTheme="minorEastAsia"/>
          <w:i/>
        </w:rPr>
        <w:t>ii</w:t>
      </w:r>
      <w:r w:rsidRPr="00A44D31">
        <w:rPr>
          <w:rFonts w:eastAsiaTheme="minorEastAsia"/>
        </w:rPr>
        <w:t xml:space="preserve">) </w:t>
      </w:r>
      <w:r w:rsidRPr="00A44D31">
        <w:rPr>
          <w:rFonts w:eastAsiaTheme="minorEastAsia"/>
          <w:i/>
        </w:rPr>
        <w:t>Common Factor Analysis (CFA)</w:t>
      </w:r>
      <w:r w:rsidRPr="00A44D31">
        <w:rPr>
          <w:rFonts w:eastAsiaTheme="minorEastAsia"/>
        </w:rPr>
        <w:t>. We explain and analyse those two methodologies and studies with regard to hedge funds.</w:t>
      </w:r>
    </w:p>
    <w:p w:rsidR="00450038" w:rsidRPr="00A44D31" w:rsidRDefault="00450038" w:rsidP="00B93647">
      <w:pPr>
        <w:pStyle w:val="Heading2"/>
        <w:spacing w:line="480" w:lineRule="auto"/>
      </w:pPr>
      <w:bookmarkStart w:id="2" w:name="_Toc399862756"/>
      <w:r w:rsidRPr="00A44D31">
        <w:t>Principal Components Analysis</w:t>
      </w:r>
      <w:bookmarkEnd w:id="2"/>
    </w:p>
    <w:p w:rsidR="00450038" w:rsidRPr="00A44D31" w:rsidRDefault="00450038" w:rsidP="00B93647">
      <w:pPr>
        <w:spacing w:line="480" w:lineRule="auto"/>
        <w:jc w:val="both"/>
        <w:rPr>
          <w:rFonts w:eastAsiaTheme="minorEastAsia"/>
        </w:rPr>
      </w:pPr>
      <w:r w:rsidRPr="00A44D31">
        <w:rPr>
          <w:rFonts w:eastAsiaTheme="minorEastAsia"/>
        </w:rPr>
        <w:t xml:space="preserve">The PCA methodology was first described by Pearson (1901). Implicit factors are obtained via this approach. The purpose is to explain the return series of observed variables via a smaller group of non-observed implicit variables. Those implicit factors are extracted from the time series of returns. In other words, the main objective of PCA is to explain the behaviour of a number of correlated variables using a smaller number of uncorrelated and unobserved implied variables or implicit factors called </w:t>
      </w:r>
      <w:r w:rsidRPr="00A44D31">
        <w:rPr>
          <w:rFonts w:eastAsiaTheme="minorEastAsia"/>
          <w:i/>
        </w:rPr>
        <w:t>principal components</w:t>
      </w:r>
      <w:r w:rsidRPr="00A44D31">
        <w:rPr>
          <w:rFonts w:eastAsiaTheme="minorEastAsia"/>
        </w:rPr>
        <w:t xml:space="preserve">. </w:t>
      </w:r>
    </w:p>
    <w:p w:rsidR="00450038" w:rsidRPr="00A44D31" w:rsidRDefault="00450038" w:rsidP="00B93647">
      <w:pPr>
        <w:spacing w:line="480" w:lineRule="auto"/>
        <w:jc w:val="both"/>
        <w:rPr>
          <w:rFonts w:eastAsiaTheme="minorEastAsia"/>
        </w:rPr>
      </w:pPr>
      <w:r w:rsidRPr="00A44D31">
        <w:lastRenderedPageBreak/>
        <w:t xml:space="preserve">Fung and Hsieh (1997) used PCA to extract implicit factors in order to provide a quantitative classification of hedge funds based on returns alone. </w:t>
      </w:r>
      <w:r w:rsidRPr="00A44D31">
        <w:rPr>
          <w:rFonts w:eastAsiaTheme="minorEastAsia"/>
        </w:rPr>
        <w:t xml:space="preserve">They took into consideration the location (market) as well the strategy (investment style) followed by managers. The returns are supposed to be correlated to each other even though they might not be linearly correlated to the returns of asset markets. They used a database (1991-1995) from Paradigm LDC and from TASS Management. They found that five principal components jointly accounted for 43% of the return variance of hedge funds. They assigned concise names to these components: (1) Trend-following strategies on diversified markets such as managed futures and CTAs (Commodity Trading Advisors), (2) Global/macro funds, (3) Long/short equity funds, (4) Funds with trend-following strategies specialized in major currencies, (5) Distressed securities funds. </w:t>
      </w:r>
    </w:p>
    <w:p w:rsidR="00450038" w:rsidRPr="00A44D31" w:rsidRDefault="00450038" w:rsidP="00B93647">
      <w:pPr>
        <w:spacing w:line="480" w:lineRule="auto"/>
        <w:jc w:val="both"/>
      </w:pPr>
      <w:r w:rsidRPr="00A44D31">
        <w:t xml:space="preserve">Later, </w:t>
      </w:r>
      <w:proofErr w:type="spellStart"/>
      <w:r w:rsidRPr="00A44D31">
        <w:t>Amenc</w:t>
      </w:r>
      <w:proofErr w:type="spellEnd"/>
      <w:r w:rsidRPr="00A44D31">
        <w:t xml:space="preserve">, </w:t>
      </w:r>
      <w:proofErr w:type="spellStart"/>
      <w:r w:rsidRPr="00A44D31">
        <w:t>Martellini</w:t>
      </w:r>
      <w:proofErr w:type="spellEnd"/>
      <w:r w:rsidRPr="00A44D31">
        <w:t xml:space="preserve"> and Faff (2003) used PCA in creating a passive hedge fund index or index of indices. Their method was a natural generalization of the equally weighted portfolio of indices. Using PCA they created a portfolio of indices with appropriate weights so that the combination of indices captured the largest possible amount of information contained in the data (time-series returns) of those indices. The first component was a candidate for a pure style index. This component caught a large percentage of cross-sectional variation due to the fact that those competing indices tend to be highly positively correlated. They proved mathematically that an index of indices is always more representative than any competing index upon which it is based. Furthermore, an index of indices is consistent</w:t>
      </w:r>
      <w:r w:rsidR="00AD003F">
        <w:t>ly</w:t>
      </w:r>
      <w:r w:rsidRPr="00A44D31">
        <w:t xml:space="preserve"> less biased than the average of the set of indices it is derived from.  </w:t>
      </w:r>
    </w:p>
    <w:p w:rsidR="00450038" w:rsidRPr="00A44D31" w:rsidRDefault="00450038" w:rsidP="00B93647">
      <w:pPr>
        <w:spacing w:line="480" w:lineRule="auto"/>
        <w:jc w:val="both"/>
      </w:pPr>
      <w:r w:rsidRPr="00A44D31">
        <w:t xml:space="preserve">Additional authors who used PCA are Christiansen, Madsen and Christiansen (2003) so as to identify the minimum number of components needed to describe the returns </w:t>
      </w:r>
      <w:r w:rsidRPr="00A44D31">
        <w:lastRenderedPageBreak/>
        <w:t>of hedge funds from the CISDM database (1999-2002). They found that there were five components</w:t>
      </w:r>
      <w:r w:rsidR="00F66985">
        <w:t>,</w:t>
      </w:r>
      <w:r w:rsidRPr="00A44D31">
        <w:t xml:space="preserve"> and by comparing these with the qualitative self-reported classifications of hedge funds they identified five different strategies that could explain greater than 60% of hedge fund return variation (Opportunistic/Sector, Event Driven, Global Macro, Value and Market Neutral Arbitrage). It is evident from the above papers that using four to five components is sufficient to explain a large part of hedge fund returns. </w:t>
      </w:r>
    </w:p>
    <w:p w:rsidR="00450038" w:rsidRPr="00A44D31" w:rsidRDefault="00450038" w:rsidP="00B93647">
      <w:pPr>
        <w:pStyle w:val="Heading2"/>
        <w:spacing w:line="480" w:lineRule="auto"/>
      </w:pPr>
      <w:bookmarkStart w:id="3" w:name="_Toc399862757"/>
      <w:r w:rsidRPr="00A44D31">
        <w:t>Common Factor Analysis</w:t>
      </w:r>
      <w:bookmarkEnd w:id="3"/>
    </w:p>
    <w:p w:rsidR="00450038" w:rsidRPr="00A44D31" w:rsidRDefault="00450038" w:rsidP="00B93647">
      <w:pPr>
        <w:spacing w:line="480" w:lineRule="auto"/>
        <w:jc w:val="both"/>
      </w:pPr>
      <w:r w:rsidRPr="00A44D31">
        <w:t xml:space="preserve">The second statistical approach that is used more often in the literature is the </w:t>
      </w:r>
      <w:r w:rsidRPr="00A44D31">
        <w:rPr>
          <w:i/>
        </w:rPr>
        <w:t>Common Factor Analysis (CFA)</w:t>
      </w:r>
      <w:r w:rsidRPr="00A44D31">
        <w:t xml:space="preserve">. Its goal is identical to PCA, which is to transform a number of correlated variables into a smaller number (dimensionality reduction) of uncorrelated variables, that is, factors. Nevertheless, there is a great difference with PCA. Here, the underlying factors are </w:t>
      </w:r>
      <w:r w:rsidRPr="00A44D31">
        <w:rPr>
          <w:i/>
        </w:rPr>
        <w:t>observable</w:t>
      </w:r>
      <w:r w:rsidRPr="00A44D31">
        <w:t xml:space="preserve"> and </w:t>
      </w:r>
      <w:r w:rsidRPr="00A44D31">
        <w:rPr>
          <w:i/>
        </w:rPr>
        <w:t>clearly stated</w:t>
      </w:r>
      <w:r w:rsidRPr="00A44D31">
        <w:t xml:space="preserve"> by the researcher carrying out explanatory and/or confirmatory analysis. They are not just implied by the data. As with PCA, the number of factors should be as small as feasible in order to have the advantages of dimensionality reduction. However, the researcher is making a trade-off between the dimensionality reduction and the accuracy she wants to maintain.</w:t>
      </w:r>
    </w:p>
    <w:p w:rsidR="00450038" w:rsidRPr="00A44D31" w:rsidRDefault="00450038" w:rsidP="00B93647">
      <w:pPr>
        <w:spacing w:line="480" w:lineRule="auto"/>
        <w:jc w:val="both"/>
      </w:pPr>
      <w:r w:rsidRPr="00A44D31">
        <w:t xml:space="preserve">It is very common in factor analysis to choose factors on an </w:t>
      </w:r>
      <w:r w:rsidRPr="00A44D31">
        <w:rPr>
          <w:i/>
        </w:rPr>
        <w:t>ad hoc</w:t>
      </w:r>
      <w:r w:rsidRPr="00A44D31">
        <w:t xml:space="preserve"> basis. The basic principle is to pick up variables that are considered most probably to influence asset returns. A researcher should take into consideration quantitative and qualitative approaches in order to decide which factors to use. Furthermore, a researcher should look for evidence from the empirical asset pricing literature. For many years </w:t>
      </w:r>
      <w:r w:rsidRPr="00A44D31">
        <w:lastRenderedPageBreak/>
        <w:t>researchers looked for factors</w:t>
      </w:r>
      <w:r w:rsidRPr="00A44D31">
        <w:rPr>
          <w:rStyle w:val="EndnoteReference"/>
        </w:rPr>
        <w:endnoteReference w:id="3"/>
      </w:r>
      <w:r w:rsidRPr="00A44D31">
        <w:t xml:space="preserve"> that explained and influenced the cross-sections of expected returns. </w:t>
      </w:r>
    </w:p>
    <w:p w:rsidR="00450038" w:rsidRDefault="00450038" w:rsidP="00B93647">
      <w:pPr>
        <w:spacing w:line="480" w:lineRule="auto"/>
        <w:jc w:val="both"/>
      </w:pPr>
      <w:r w:rsidRPr="00A44D31">
        <w:t xml:space="preserve">Certain models that are extensions of the basic CAPM model have heavily influenced hedge funds models. These are </w:t>
      </w:r>
      <w:proofErr w:type="spellStart"/>
      <w:r w:rsidRPr="00A44D31">
        <w:t>Fama</w:t>
      </w:r>
      <w:proofErr w:type="spellEnd"/>
      <w:r w:rsidRPr="00A44D31">
        <w:t xml:space="preserve"> and French (1993), using the size and book to price ratio and </w:t>
      </w:r>
      <w:proofErr w:type="spellStart"/>
      <w:r w:rsidRPr="00A44D31">
        <w:t>Carhart</w:t>
      </w:r>
      <w:proofErr w:type="spellEnd"/>
      <w:r w:rsidRPr="00A44D31">
        <w:t xml:space="preserve"> (1997) that included the momentum as a fourth factor. Other more recent models are Fung and Hsieh’s (2004) seven factor model, or </w:t>
      </w:r>
      <w:proofErr w:type="spellStart"/>
      <w:r w:rsidRPr="00A44D31">
        <w:t>Capocci’s</w:t>
      </w:r>
      <w:proofErr w:type="spellEnd"/>
      <w:r w:rsidRPr="00A44D31">
        <w:t xml:space="preserve"> (2007) fourteen factor model. In the following </w:t>
      </w:r>
      <w:r w:rsidR="00A91848">
        <w:t>two sections</w:t>
      </w:r>
      <w:r w:rsidRPr="00A44D31">
        <w:t xml:space="preserve"> we present some earlier and some more recent studies using implicit factor models that are useful to reveal hedge funds exposures and explain their returns. A branch of the CFA approach </w:t>
      </w:r>
      <w:r w:rsidR="00C05825">
        <w:t>is</w:t>
      </w:r>
      <w:r w:rsidRPr="00A44D31">
        <w:t xml:space="preserve"> the Asset-Based style (ABS)</w:t>
      </w:r>
      <w:r w:rsidR="00C05825">
        <w:t>,</w:t>
      </w:r>
      <w:r w:rsidRPr="00A44D31">
        <w:t xml:space="preserve"> factors where the factors are constructed by trading in the appropriate securities within the underlying conventional assets (e.g. bonds or equities) that mimic the returns of hedge funds (please see section </w:t>
      </w:r>
      <w:r w:rsidR="00F55A2B">
        <w:t>5</w:t>
      </w:r>
      <w:r w:rsidRPr="00A44D31">
        <w:t xml:space="preserve">.1). </w:t>
      </w:r>
    </w:p>
    <w:p w:rsidR="00696394" w:rsidRPr="00E34E6E" w:rsidRDefault="00696394" w:rsidP="00B93647">
      <w:pPr>
        <w:spacing w:line="480" w:lineRule="auto"/>
        <w:jc w:val="both"/>
      </w:pPr>
      <w:r w:rsidRPr="00E34E6E">
        <w:t xml:space="preserve">Last but not least, one important application of factor models is hedge fund replication. </w:t>
      </w:r>
      <w:r w:rsidR="006710DF" w:rsidRPr="00E34E6E">
        <w:t>There is a distinction</w:t>
      </w:r>
      <w:r w:rsidRPr="00E34E6E">
        <w:t xml:space="preserve"> between traded </w:t>
      </w:r>
      <w:r w:rsidR="004A487E" w:rsidRPr="00E34E6E">
        <w:t xml:space="preserve">factors </w:t>
      </w:r>
      <w:r w:rsidRPr="00E34E6E">
        <w:t xml:space="preserve">(e.g. </w:t>
      </w:r>
      <w:r w:rsidR="00B5271A" w:rsidRPr="00E34E6E">
        <w:t>market</w:t>
      </w:r>
      <w:r w:rsidR="004A487E" w:rsidRPr="00E34E6E">
        <w:t xml:space="preserve"> and</w:t>
      </w:r>
      <w:r w:rsidR="00B5271A" w:rsidRPr="00E34E6E">
        <w:t xml:space="preserve"> size factor</w:t>
      </w:r>
      <w:r w:rsidR="004A487E" w:rsidRPr="00E34E6E">
        <w:t>s</w:t>
      </w:r>
      <w:r w:rsidRPr="00E34E6E">
        <w:t>) and non-traded factors (e.g. volatility or liquidity</w:t>
      </w:r>
      <w:r w:rsidR="004A487E" w:rsidRPr="00E34E6E">
        <w:t>), the latter of which are</w:t>
      </w:r>
      <w:r w:rsidRPr="00E34E6E">
        <w:t xml:space="preserve"> not readily tradeable</w:t>
      </w:r>
      <w:r w:rsidR="004A487E" w:rsidRPr="00E34E6E">
        <w:t>. In</w:t>
      </w:r>
      <w:r w:rsidR="00950A36" w:rsidRPr="00E34E6E">
        <w:t xml:space="preserve">vestors may </w:t>
      </w:r>
      <w:r w:rsidR="004A487E" w:rsidRPr="00E34E6E">
        <w:t xml:space="preserve">therefore </w:t>
      </w:r>
      <w:r w:rsidR="00950A36" w:rsidRPr="00E34E6E">
        <w:t>encounter problems in their replication</w:t>
      </w:r>
      <w:r w:rsidR="004F2364" w:rsidRPr="00E34E6E">
        <w:t>. In general, the same issues arise in the context of non-linear models where some of them do not allow for easy replication of hedge funds.</w:t>
      </w:r>
      <w:r w:rsidRPr="00E34E6E">
        <w:t xml:space="preserve"> </w:t>
      </w:r>
    </w:p>
    <w:p w:rsidR="00450038" w:rsidRPr="00A44D31" w:rsidRDefault="00450038" w:rsidP="00B93647">
      <w:pPr>
        <w:pStyle w:val="Heading1"/>
        <w:spacing w:line="480" w:lineRule="auto"/>
        <w:jc w:val="left"/>
      </w:pPr>
      <w:r w:rsidRPr="00A44D31">
        <w:t>Linear Factor Models</w:t>
      </w:r>
    </w:p>
    <w:p w:rsidR="00450038" w:rsidRPr="00A44D31" w:rsidRDefault="00450038" w:rsidP="00B93647">
      <w:pPr>
        <w:spacing w:line="480" w:lineRule="auto"/>
        <w:jc w:val="both"/>
      </w:pPr>
      <w:r w:rsidRPr="00A44D31">
        <w:t xml:space="preserve">In this section we </w:t>
      </w:r>
      <w:r w:rsidR="00153613">
        <w:t xml:space="preserve">briefly </w:t>
      </w:r>
      <w:r>
        <w:t>discuss</w:t>
      </w:r>
      <w:r w:rsidRPr="00A44D31">
        <w:t xml:space="preserve"> some linear multi-factor models that are considered to be key studies in the hedge fund literature</w:t>
      </w:r>
      <w:r w:rsidRPr="00A44D31">
        <w:rPr>
          <w:rStyle w:val="EndnoteReference"/>
        </w:rPr>
        <w:endnoteReference w:id="4"/>
      </w:r>
      <w:r w:rsidRPr="00A44D31">
        <w:t xml:space="preserve">. It is known that linear multi-factors models are based on the general linear equation model (Ross, 1976). In addition to the </w:t>
      </w:r>
      <w:r w:rsidRPr="00A44D31">
        <w:lastRenderedPageBreak/>
        <w:t xml:space="preserve">market factor (Sharpe, 1964) the most popular is the </w:t>
      </w:r>
      <w:proofErr w:type="spellStart"/>
      <w:r w:rsidRPr="00A44D31">
        <w:t>Fama</w:t>
      </w:r>
      <w:proofErr w:type="spellEnd"/>
      <w:r w:rsidRPr="00A44D31">
        <w:t xml:space="preserve"> and French (1993) model with the SMB (small minus large) and HML (high</w:t>
      </w:r>
      <w:r w:rsidR="007556BB">
        <w:t xml:space="preserve"> minus low book to market ratio</w:t>
      </w:r>
      <w:r w:rsidRPr="00A44D31">
        <w:t xml:space="preserve">) factors. </w:t>
      </w:r>
      <w:proofErr w:type="spellStart"/>
      <w:r w:rsidRPr="00A44D31">
        <w:t>Carhart</w:t>
      </w:r>
      <w:proofErr w:type="spellEnd"/>
      <w:r w:rsidRPr="00A44D31">
        <w:t xml:space="preserve"> (1997) was the first who used the momentum factor (</w:t>
      </w:r>
      <w:proofErr w:type="spellStart"/>
      <w:r w:rsidRPr="00A44D31">
        <w:t>Jegadeesh</w:t>
      </w:r>
      <w:proofErr w:type="spellEnd"/>
      <w:r w:rsidRPr="00A44D31">
        <w:t xml:space="preserve"> and Titman, 1993) as the fourth factor – a zero investment portfolio that is long in past winners and short in past losers. His model is an extension of the </w:t>
      </w:r>
      <w:proofErr w:type="spellStart"/>
      <w:r w:rsidRPr="00A44D31">
        <w:t>Fama</w:t>
      </w:r>
      <w:proofErr w:type="spellEnd"/>
      <w:r w:rsidRPr="00A44D31">
        <w:t xml:space="preserve"> and French factor model. All these previous factors are extensively used in the hedge fund academic literature.</w:t>
      </w:r>
    </w:p>
    <w:p w:rsidR="00450038" w:rsidRPr="00A44D31" w:rsidRDefault="00450038" w:rsidP="00B93647">
      <w:pPr>
        <w:spacing w:line="480" w:lineRule="auto"/>
        <w:jc w:val="both"/>
        <w:rPr>
          <w:rFonts w:eastAsiaTheme="minorEastAsia"/>
        </w:rPr>
      </w:pPr>
      <w:r w:rsidRPr="00A44D31">
        <w:t xml:space="preserve">We first </w:t>
      </w:r>
      <w:r>
        <w:t>consider</w:t>
      </w:r>
      <w:r w:rsidRPr="00A44D31">
        <w:t xml:space="preserve"> style analysis-trading factors so as to introduce the reader gently to further linear and non-linear models. Therefore, we start from Sharpe (1992)</w:t>
      </w:r>
      <w:r w:rsidR="00892668">
        <w:t>.</w:t>
      </w:r>
      <w:r w:rsidRPr="00A44D31">
        <w:t xml:space="preserve"> </w:t>
      </w:r>
      <w:r w:rsidR="00892668">
        <w:t>Sharpe</w:t>
      </w:r>
      <w:r w:rsidRPr="00A44D31">
        <w:t xml:space="preserve"> used an asset class factor model implementing style analysis as a substantial complement to other methodologies designed to assist investors achieve their targets in a cost-effective manner. He used a model composed of twelve asset classes to analyse the performance of funds between 1985 and 1989. </w:t>
      </w:r>
      <w:r w:rsidRPr="00A44D31">
        <w:rPr>
          <w:rFonts w:eastAsiaTheme="minorEastAsia"/>
        </w:rPr>
        <w:t xml:space="preserve">The twelve asset classes were: (1) T-bills, (2) Intermediate-term Govt. Bonds, (3) Long-term Govt. Bonds, (4) Corporate Bonds, (5) Mortgage-Related Securities, (6) Large Cap Value Stocks, (7) Large Cap Growth Stocks, (8) Medium Cap Stocks, (9) Small Cap Stocks (10) Non-U.S. Bonds, (11) European Stocks and (12) Japanese Stocks. The variation of fund returns in any specific period could be associated with the combined effects of their exposures to these asset classes and the realized returns on these classes. Those investors’ exposures to asset classes were a function of, first, the </w:t>
      </w:r>
      <w:r w:rsidR="00AE6434">
        <w:rPr>
          <w:rFonts w:eastAsiaTheme="minorEastAsia"/>
        </w:rPr>
        <w:t>proportion</w:t>
      </w:r>
      <w:r w:rsidRPr="00A44D31">
        <w:rPr>
          <w:rFonts w:eastAsiaTheme="minorEastAsia"/>
        </w:rPr>
        <w:t xml:space="preserve"> of the investor’s portfolio invested in the various funds and second the exposures of each given fund to the asset classes. The exposures of a fund to wider asset classes depended on two elements: the amount of money that the fund had invested in various securities and the exposures of the securities to the asset class.</w:t>
      </w:r>
    </w:p>
    <w:p w:rsidR="00450038" w:rsidRPr="00A44D31" w:rsidRDefault="00450038" w:rsidP="00B93647">
      <w:pPr>
        <w:spacing w:line="480" w:lineRule="auto"/>
        <w:jc w:val="both"/>
        <w:rPr>
          <w:rFonts w:eastAsiaTheme="minorEastAsia"/>
        </w:rPr>
      </w:pPr>
      <w:r w:rsidRPr="00A44D31">
        <w:rPr>
          <w:rFonts w:eastAsiaTheme="minorEastAsia"/>
        </w:rPr>
        <w:lastRenderedPageBreak/>
        <w:t xml:space="preserve">Sharpe’s (1992) style analysis can be used to appraise the behaviour of a fund manager’s exposures to asset classes over a specific time period. Moreover it can be used to measure a fund manager’s relative performance, in other words the value added by her skills (alpha). A passive hedge fund manager provides investors with an investment style whereas an active hedge fund manager provides both </w:t>
      </w:r>
      <w:r w:rsidRPr="00A44D31">
        <w:rPr>
          <w:rFonts w:eastAsiaTheme="minorEastAsia"/>
          <w:i/>
        </w:rPr>
        <w:t>style</w:t>
      </w:r>
      <w:r w:rsidRPr="00A44D31">
        <w:rPr>
          <w:rFonts w:eastAsiaTheme="minorEastAsia"/>
        </w:rPr>
        <w:t xml:space="preserve"> and </w:t>
      </w:r>
      <w:r w:rsidRPr="00A44D31">
        <w:rPr>
          <w:rFonts w:eastAsiaTheme="minorEastAsia"/>
          <w:i/>
        </w:rPr>
        <w:t>selection</w:t>
      </w:r>
      <w:r w:rsidRPr="00A44D31">
        <w:rPr>
          <w:rFonts w:eastAsiaTheme="minorEastAsia"/>
        </w:rPr>
        <w:t xml:space="preserve">. Thus we can determine the terms of </w:t>
      </w:r>
      <w:r w:rsidRPr="00A44D31">
        <w:rPr>
          <w:rFonts w:eastAsiaTheme="minorEastAsia"/>
          <w:i/>
        </w:rPr>
        <w:t>active</w:t>
      </w:r>
      <w:r w:rsidRPr="00A44D31">
        <w:rPr>
          <w:rFonts w:eastAsiaTheme="minorEastAsia"/>
        </w:rPr>
        <w:t xml:space="preserve"> and </w:t>
      </w:r>
      <w:r w:rsidRPr="00A44D31">
        <w:rPr>
          <w:rFonts w:eastAsiaTheme="minorEastAsia"/>
          <w:i/>
        </w:rPr>
        <w:t>passive</w:t>
      </w:r>
      <w:r w:rsidRPr="00A44D31">
        <w:rPr>
          <w:rFonts w:eastAsiaTheme="minorEastAsia"/>
        </w:rPr>
        <w:t xml:space="preserve"> management. An investor may choose a set of asset classes that is superior to the performance of the ‘standard’ static mix and fulfils the requirement for higher fees. As a result, fund selection return according to Sharpe (1992) is denoted as the difference between the fund’s return and that of a passive mix with the same style.  Once the styles of an investor’s funds have been estimated it is possible to estimate the effective asset mix. The effective asset mix reflects the style of the investor’s overall portfolio.  </w:t>
      </w:r>
    </w:p>
    <w:p w:rsidR="00450038" w:rsidRPr="00A44D31" w:rsidRDefault="00450038" w:rsidP="00B93647">
      <w:pPr>
        <w:spacing w:line="480" w:lineRule="auto"/>
        <w:jc w:val="both"/>
      </w:pPr>
      <w:r w:rsidRPr="00A44D31">
        <w:t xml:space="preserve">The model for explaining the results of traditional mixed funds (composed of equities and bonds) first introduced by Sharpe (1992) is </w:t>
      </w:r>
      <w:r>
        <w:t xml:space="preserve">limited </w:t>
      </w:r>
      <w:r w:rsidR="00F23B3A">
        <w:t>to</w:t>
      </w:r>
      <w:r w:rsidRPr="00A44D31">
        <w:t xml:space="preserve"> funds that pursue a long- only strategy. However, hedge funds are much more flexible and can also use short selling and leveraging. These trading strategies of hedge funds lead to option-like structures that are not covered by the basic Sharpe model or other s</w:t>
      </w:r>
      <w:r w:rsidR="00F23B3A">
        <w:t xml:space="preserve">imilar models. Confronting </w:t>
      </w:r>
      <w:r w:rsidRPr="00A44D31">
        <w:t xml:space="preserve">that </w:t>
      </w:r>
      <w:r w:rsidR="00F23B3A">
        <w:t>problem</w:t>
      </w:r>
      <w:r w:rsidRPr="00A44D31">
        <w:t xml:space="preserve">, Fung and Hsieh’s (1997) study is presented in section </w:t>
      </w:r>
      <w:r w:rsidR="00F55A2B">
        <w:t>5</w:t>
      </w:r>
      <w:r>
        <w:t xml:space="preserve">.1 </w:t>
      </w:r>
      <w:r w:rsidRPr="00A44D31">
        <w:t>dealing with non-linear factor models</w:t>
      </w:r>
      <w:r>
        <w:t>.</w:t>
      </w:r>
      <w:r w:rsidRPr="00A44D31">
        <w:t xml:space="preserve">  </w:t>
      </w:r>
    </w:p>
    <w:p w:rsidR="00450038" w:rsidRPr="00E34E6E" w:rsidRDefault="00450038" w:rsidP="00B93647">
      <w:pPr>
        <w:spacing w:line="480" w:lineRule="auto"/>
        <w:jc w:val="both"/>
        <w:rPr>
          <w:rFonts w:eastAsiaTheme="minorEastAsia"/>
        </w:rPr>
      </w:pPr>
      <w:proofErr w:type="spellStart"/>
      <w:r w:rsidRPr="00A44D31">
        <w:rPr>
          <w:rFonts w:eastAsiaTheme="minorEastAsia"/>
        </w:rPr>
        <w:t>Schneeweis</w:t>
      </w:r>
      <w:proofErr w:type="spellEnd"/>
      <w:r w:rsidRPr="00A44D31">
        <w:rPr>
          <w:rFonts w:eastAsiaTheme="minorEastAsia"/>
        </w:rPr>
        <w:t xml:space="preserve"> and </w:t>
      </w:r>
      <w:proofErr w:type="spellStart"/>
      <w:r w:rsidRPr="00A44D31">
        <w:rPr>
          <w:rFonts w:eastAsiaTheme="minorEastAsia"/>
        </w:rPr>
        <w:t>Spurgin</w:t>
      </w:r>
      <w:proofErr w:type="spellEnd"/>
      <w:r w:rsidRPr="00A44D31">
        <w:rPr>
          <w:rFonts w:eastAsiaTheme="minorEastAsia"/>
        </w:rPr>
        <w:t xml:space="preserve"> (1998) used factors designed to capture the trading opportunities available to CTAs or hedge funds as a means of forecasting return performance. They used the databases of HFR, EACM, MAR and Barclays from 1990 to 1995. They considered the following factors to examine the returns to active management of hedge funds, CTAs and mutual funds: (1) a natural return to owning </w:t>
      </w:r>
      <w:r w:rsidRPr="00A44D31">
        <w:rPr>
          <w:rFonts w:eastAsiaTheme="minorEastAsia"/>
        </w:rPr>
        <w:lastRenderedPageBreak/>
        <w:t xml:space="preserve">financial and real assets, (2) the use of both short and long positions, (3) the exploitation of the indices’ intermonth volatility and (4) </w:t>
      </w:r>
      <w:r w:rsidR="00042B8A">
        <w:rPr>
          <w:rFonts w:eastAsiaTheme="minorEastAsia"/>
        </w:rPr>
        <w:t xml:space="preserve">the </w:t>
      </w:r>
      <w:r w:rsidRPr="00A44D31">
        <w:rPr>
          <w:rFonts w:eastAsiaTheme="minorEastAsia"/>
        </w:rPr>
        <w:t>exploitation of market inefficiencies that result in temporary trends in prices. These factors were able to significantly explain the differences in investment returns within each investment grouping. Using multivariate r</w:t>
      </w:r>
      <w:r w:rsidR="00042B8A">
        <w:rPr>
          <w:rFonts w:eastAsiaTheme="minorEastAsia"/>
        </w:rPr>
        <w:t>egressions they showed that CTA</w:t>
      </w:r>
      <w:r w:rsidRPr="00A44D31">
        <w:rPr>
          <w:rFonts w:eastAsiaTheme="minorEastAsia"/>
        </w:rPr>
        <w:t xml:space="preserve"> returns are positively related to commodity </w:t>
      </w:r>
      <w:r w:rsidRPr="00E34E6E">
        <w:rPr>
          <w:rFonts w:eastAsiaTheme="minorEastAsia"/>
        </w:rPr>
        <w:t xml:space="preserve">market trends. Hedge funds were related to </w:t>
      </w:r>
      <w:r w:rsidR="00042B8A" w:rsidRPr="00E34E6E">
        <w:rPr>
          <w:rFonts w:eastAsiaTheme="minorEastAsia"/>
        </w:rPr>
        <w:t xml:space="preserve">the returns of the </w:t>
      </w:r>
      <w:r w:rsidRPr="00E34E6E">
        <w:rPr>
          <w:rFonts w:eastAsiaTheme="minorEastAsia"/>
        </w:rPr>
        <w:t>index which they were investing</w:t>
      </w:r>
      <w:r w:rsidR="00270E55" w:rsidRPr="00E34E6E">
        <w:rPr>
          <w:rFonts w:eastAsiaTheme="minorEastAsia"/>
        </w:rPr>
        <w:t>,</w:t>
      </w:r>
      <w:r w:rsidR="008C7644" w:rsidRPr="00E34E6E">
        <w:rPr>
          <w:rFonts w:eastAsiaTheme="minorEastAsia"/>
        </w:rPr>
        <w:t xml:space="preserve"> whereas they</w:t>
      </w:r>
      <w:r w:rsidR="00CC3A45" w:rsidRPr="00E34E6E">
        <w:rPr>
          <w:rFonts w:eastAsiaTheme="minorEastAsia"/>
        </w:rPr>
        <w:t xml:space="preserve"> offer higher returns than CTAs for any given level of risk. </w:t>
      </w:r>
      <w:r w:rsidRPr="00E34E6E">
        <w:rPr>
          <w:rFonts w:eastAsiaTheme="minorEastAsia"/>
        </w:rPr>
        <w:t xml:space="preserve">  </w:t>
      </w:r>
    </w:p>
    <w:p w:rsidR="00450038" w:rsidRDefault="00450038" w:rsidP="00B93647">
      <w:pPr>
        <w:spacing w:line="480" w:lineRule="auto"/>
        <w:jc w:val="both"/>
        <w:rPr>
          <w:color w:val="FF0000"/>
        </w:rPr>
      </w:pPr>
      <w:r w:rsidRPr="00A44D31">
        <w:rPr>
          <w:rFonts w:eastAsiaTheme="minorEastAsia"/>
        </w:rPr>
        <w:t xml:space="preserve">A few years later, </w:t>
      </w:r>
      <w:proofErr w:type="spellStart"/>
      <w:r w:rsidRPr="00A44D31">
        <w:rPr>
          <w:rFonts w:eastAsiaTheme="minorEastAsia"/>
        </w:rPr>
        <w:t>Capocci</w:t>
      </w:r>
      <w:proofErr w:type="spellEnd"/>
      <w:r w:rsidRPr="00A44D31">
        <w:rPr>
          <w:rFonts w:eastAsiaTheme="minorEastAsia"/>
        </w:rPr>
        <w:t xml:space="preserve"> and </w:t>
      </w:r>
      <w:proofErr w:type="spellStart"/>
      <w:r w:rsidRPr="00A44D31">
        <w:rPr>
          <w:rFonts w:eastAsiaTheme="minorEastAsia"/>
        </w:rPr>
        <w:t>Hubner</w:t>
      </w:r>
      <w:proofErr w:type="spellEnd"/>
      <w:r w:rsidRPr="00A44D31">
        <w:t xml:space="preserve"> (2004) examined hedge funds’ behaviour from 1984 to 2000 (HFR, MAR) using various asset pricing models. Those included an extended form of </w:t>
      </w:r>
      <w:proofErr w:type="spellStart"/>
      <w:r w:rsidRPr="00A44D31">
        <w:t>Carhart’s</w:t>
      </w:r>
      <w:proofErr w:type="spellEnd"/>
      <w:r w:rsidRPr="00A44D31">
        <w:t xml:space="preserve"> (1997) model, combined with the </w:t>
      </w:r>
      <w:proofErr w:type="spellStart"/>
      <w:r w:rsidRPr="00A44D31">
        <w:t>Fama</w:t>
      </w:r>
      <w:proofErr w:type="spellEnd"/>
      <w:r w:rsidRPr="00A44D31">
        <w:t xml:space="preserve"> and French (1998) and Agarwal and </w:t>
      </w:r>
      <w:proofErr w:type="spellStart"/>
      <w:r w:rsidRPr="00A44D31">
        <w:t>Naik</w:t>
      </w:r>
      <w:proofErr w:type="spellEnd"/>
      <w:r w:rsidRPr="00A44D31">
        <w:t xml:space="preserve"> (2000) models plus one more factor that takes into consideration </w:t>
      </w:r>
      <w:r w:rsidR="00560A67">
        <w:t xml:space="preserve">the fact </w:t>
      </w:r>
      <w:r w:rsidRPr="00A44D31">
        <w:t xml:space="preserve">that hedge funds may invest in Emerging Markets. According to the authors, that combined model better explained variations of hedge funds over time than other studies, especially for Event Driven, U.S Opportunities, Global Macro, Equity non-hedge and Sector Funds. The performance analysis showed that one quarter of individual hedge funds delivered significant positive excess returns. The majority of them preferred to invest in smaller stocks and also invest in emerging markets bonds. Nine out of twelve strategies offered significantly positive returns. </w:t>
      </w:r>
      <w:r w:rsidR="00AA187E" w:rsidRPr="00E34E6E">
        <w:t>Most Event Driven, Market Neutral and US Opportunistic funds prefer stocks with high book-to-market ratios.</w:t>
      </w:r>
      <w:r w:rsidRPr="00E34E6E">
        <w:t xml:space="preserve">    </w:t>
      </w:r>
      <w:r w:rsidR="00190259" w:rsidRPr="00E34E6E">
        <w:t xml:space="preserve"> </w:t>
      </w:r>
    </w:p>
    <w:p w:rsidR="001A63D4" w:rsidRPr="00AC4ABD" w:rsidRDefault="006E6FD0" w:rsidP="00B93647">
      <w:pPr>
        <w:spacing w:line="480" w:lineRule="auto"/>
        <w:jc w:val="both"/>
      </w:pPr>
      <w:r w:rsidRPr="00AC4ABD">
        <w:t>To sum up, there are several studies (e.g. S</w:t>
      </w:r>
      <w:r w:rsidR="00F54634" w:rsidRPr="00AC4ABD">
        <w:t xml:space="preserve">harpe, 1992; </w:t>
      </w:r>
      <w:proofErr w:type="spellStart"/>
      <w:r w:rsidR="00F54634" w:rsidRPr="00AC4ABD">
        <w:t>Capocci</w:t>
      </w:r>
      <w:proofErr w:type="spellEnd"/>
      <w:r w:rsidR="00F54634" w:rsidRPr="00AC4ABD">
        <w:t xml:space="preserve"> and </w:t>
      </w:r>
      <w:proofErr w:type="spellStart"/>
      <w:r w:rsidR="00F54634" w:rsidRPr="00AC4ABD">
        <w:t>Hubner</w:t>
      </w:r>
      <w:proofErr w:type="spellEnd"/>
      <w:r w:rsidR="00F54634" w:rsidRPr="00AC4ABD">
        <w:t>, 2004</w:t>
      </w:r>
      <w:r w:rsidRPr="00AC4ABD">
        <w:t>)</w:t>
      </w:r>
      <w:r w:rsidR="00F54634" w:rsidRPr="00AC4ABD">
        <w:t xml:space="preserve"> that examined hedge fund performance under a linear framework. </w:t>
      </w:r>
      <w:r w:rsidR="00EB1CAF" w:rsidRPr="00AC4ABD">
        <w:t xml:space="preserve">However, </w:t>
      </w:r>
      <w:r w:rsidR="001F1700" w:rsidRPr="00AC4ABD">
        <w:t>linear</w:t>
      </w:r>
      <w:r w:rsidR="00EB1CAF" w:rsidRPr="00AC4ABD">
        <w:t xml:space="preserve"> models are more suitable for </w:t>
      </w:r>
      <w:r w:rsidR="007C69BB" w:rsidRPr="00AC4ABD">
        <w:t xml:space="preserve">traditional mixed funds </w:t>
      </w:r>
      <w:r w:rsidR="001F1700" w:rsidRPr="00AC4ABD">
        <w:t xml:space="preserve">(investing in equity and bonds). </w:t>
      </w:r>
      <w:r w:rsidR="00D1034D" w:rsidRPr="00AC4ABD">
        <w:lastRenderedPageBreak/>
        <w:t>Moreover they cannot capture the time variation of fund</w:t>
      </w:r>
      <w:r w:rsidR="00AC4ABD" w:rsidRPr="00AC4ABD">
        <w:t>s</w:t>
      </w:r>
      <w:r w:rsidR="00D1034D" w:rsidRPr="00AC4ABD">
        <w:t xml:space="preserve">’ exposures. Some of these issues </w:t>
      </w:r>
      <w:r w:rsidR="00AC4ABD" w:rsidRPr="00AC4ABD">
        <w:t xml:space="preserve">are </w:t>
      </w:r>
      <w:r w:rsidR="00D1034D" w:rsidRPr="00AC4ABD">
        <w:t xml:space="preserve">addressed </w:t>
      </w:r>
      <w:r w:rsidR="00AC4ABD" w:rsidRPr="00AC4ABD">
        <w:t>by</w:t>
      </w:r>
      <w:r w:rsidR="00D1034D" w:rsidRPr="00AC4ABD">
        <w:t xml:space="preserve"> </w:t>
      </w:r>
      <w:r w:rsidR="00AC4ABD" w:rsidRPr="00AC4ABD">
        <w:t xml:space="preserve">the </w:t>
      </w:r>
      <w:r w:rsidR="00D1034D" w:rsidRPr="00AC4ABD">
        <w:t xml:space="preserve">non-linear factor models </w:t>
      </w:r>
      <w:r w:rsidR="00252C9A" w:rsidRPr="00AC4ABD">
        <w:t xml:space="preserve">that </w:t>
      </w:r>
      <w:r w:rsidR="005D0836" w:rsidRPr="00AC4ABD">
        <w:t xml:space="preserve">are </w:t>
      </w:r>
      <w:r w:rsidR="00D1034D" w:rsidRPr="00AC4ABD">
        <w:t>presented in the following section</w:t>
      </w:r>
      <w:r w:rsidR="002D1749">
        <w:rPr>
          <w:rStyle w:val="EndnoteReference"/>
        </w:rPr>
        <w:endnoteReference w:id="5"/>
      </w:r>
      <w:r w:rsidR="00D1034D" w:rsidRPr="00AC4ABD">
        <w:t xml:space="preserve">. </w:t>
      </w:r>
      <w:r w:rsidR="001F1700" w:rsidRPr="00AC4ABD">
        <w:t xml:space="preserve"> </w:t>
      </w:r>
      <w:r w:rsidR="00EB1CAF" w:rsidRPr="00AC4ABD">
        <w:t xml:space="preserve"> </w:t>
      </w:r>
    </w:p>
    <w:p w:rsidR="00450038" w:rsidRPr="00A44D31" w:rsidRDefault="00450038" w:rsidP="00B93647">
      <w:pPr>
        <w:pStyle w:val="Heading1"/>
        <w:spacing w:line="480" w:lineRule="auto"/>
        <w:jc w:val="left"/>
      </w:pPr>
      <w:r w:rsidRPr="00A44D31">
        <w:t>Non Linear Factor Models</w:t>
      </w:r>
    </w:p>
    <w:p w:rsidR="00450038" w:rsidRPr="00A44D31" w:rsidRDefault="00450038" w:rsidP="00B93647">
      <w:pPr>
        <w:spacing w:line="480" w:lineRule="auto"/>
        <w:jc w:val="both"/>
        <w:rPr>
          <w:lang w:val="en-US"/>
        </w:rPr>
      </w:pPr>
      <w:r w:rsidRPr="00A44D31">
        <w:rPr>
          <w:lang w:val="en-US"/>
        </w:rPr>
        <w:t xml:space="preserve">Beyond </w:t>
      </w:r>
      <w:r w:rsidR="00C9093C">
        <w:rPr>
          <w:lang w:val="en-US"/>
        </w:rPr>
        <w:t xml:space="preserve">the </w:t>
      </w:r>
      <w:r w:rsidRPr="00A44D31">
        <w:rPr>
          <w:lang w:val="en-US"/>
        </w:rPr>
        <w:t xml:space="preserve">linear factor models that </w:t>
      </w:r>
      <w:r w:rsidR="00C9093C">
        <w:rPr>
          <w:lang w:val="en-US"/>
        </w:rPr>
        <w:t xml:space="preserve">were </w:t>
      </w:r>
      <w:r w:rsidRPr="00A44D31">
        <w:rPr>
          <w:lang w:val="en-US"/>
        </w:rPr>
        <w:t xml:space="preserve">used for explaining hedge fund returns during </w:t>
      </w:r>
      <w:r w:rsidR="00C9093C">
        <w:rPr>
          <w:lang w:val="en-US"/>
        </w:rPr>
        <w:t xml:space="preserve">the </w:t>
      </w:r>
      <w:r w:rsidRPr="00E34E6E">
        <w:rPr>
          <w:lang w:val="en-US"/>
        </w:rPr>
        <w:t>earlier years there is a development toward non-linear models</w:t>
      </w:r>
      <w:r w:rsidR="00C9093C" w:rsidRPr="00E34E6E">
        <w:rPr>
          <w:lang w:val="en-US"/>
        </w:rPr>
        <w:t>.</w:t>
      </w:r>
      <w:r w:rsidRPr="00E34E6E">
        <w:rPr>
          <w:lang w:val="en-US"/>
        </w:rPr>
        <w:t xml:space="preserve"> </w:t>
      </w:r>
      <w:r w:rsidR="00C9093C" w:rsidRPr="00E34E6E">
        <w:rPr>
          <w:lang w:val="en-US"/>
        </w:rPr>
        <w:t>These</w:t>
      </w:r>
      <w:r w:rsidRPr="00E34E6E">
        <w:rPr>
          <w:lang w:val="en-US"/>
        </w:rPr>
        <w:t xml:space="preserve"> tr</w:t>
      </w:r>
      <w:r w:rsidR="00C9093C" w:rsidRPr="00E34E6E">
        <w:rPr>
          <w:lang w:val="en-US"/>
        </w:rPr>
        <w:t>y</w:t>
      </w:r>
      <w:r w:rsidRPr="00E34E6E">
        <w:rPr>
          <w:lang w:val="en-US"/>
        </w:rPr>
        <w:t xml:space="preserve"> to capture the </w:t>
      </w:r>
      <w:r w:rsidR="00D05FCD" w:rsidRPr="00E34E6E">
        <w:rPr>
          <w:lang w:val="en-US"/>
        </w:rPr>
        <w:t xml:space="preserve">exposures and the </w:t>
      </w:r>
      <w:r w:rsidRPr="00E34E6E">
        <w:rPr>
          <w:lang w:val="en-US"/>
        </w:rPr>
        <w:t>non-linear payoffs of hedge fund returns</w:t>
      </w:r>
      <w:r w:rsidR="0006296E" w:rsidRPr="00E34E6E">
        <w:rPr>
          <w:lang w:val="en-US"/>
        </w:rPr>
        <w:t xml:space="preserve"> in relation to </w:t>
      </w:r>
      <w:r w:rsidR="00B4612C" w:rsidRPr="00E34E6E">
        <w:rPr>
          <w:lang w:val="en-US"/>
        </w:rPr>
        <w:t xml:space="preserve">their </w:t>
      </w:r>
      <w:r w:rsidR="00D17435" w:rsidRPr="00E34E6E">
        <w:rPr>
          <w:lang w:val="en-US"/>
        </w:rPr>
        <w:t>risk</w:t>
      </w:r>
      <w:r w:rsidR="00B4612C" w:rsidRPr="00E34E6E">
        <w:rPr>
          <w:lang w:val="en-US"/>
        </w:rPr>
        <w:t xml:space="preserve"> or </w:t>
      </w:r>
      <w:r w:rsidR="0006296E" w:rsidRPr="00E34E6E">
        <w:rPr>
          <w:lang w:val="en-US"/>
        </w:rPr>
        <w:t>market returns</w:t>
      </w:r>
      <w:r w:rsidR="0050260E" w:rsidRPr="00E34E6E">
        <w:rPr>
          <w:rStyle w:val="EndnoteReference"/>
          <w:lang w:val="en-US"/>
        </w:rPr>
        <w:endnoteReference w:id="6"/>
      </w:r>
      <w:r w:rsidRPr="00E34E6E">
        <w:rPr>
          <w:lang w:val="en-US"/>
        </w:rPr>
        <w:t>. In general</w:t>
      </w:r>
      <w:r w:rsidRPr="00A44D31">
        <w:rPr>
          <w:lang w:val="en-US"/>
        </w:rPr>
        <w:t xml:space="preserve">, there are two different approaches: bottom-up (or indirect) and up-bottom (or direct). The </w:t>
      </w:r>
      <w:r w:rsidR="00C9093C">
        <w:rPr>
          <w:lang w:val="en-US"/>
        </w:rPr>
        <w:t>former</w:t>
      </w:r>
      <w:r w:rsidRPr="00A44D31">
        <w:rPr>
          <w:lang w:val="en-US"/>
        </w:rPr>
        <w:t xml:space="preserve"> starts with the underlying assets (e.g. stocks or bonds) to find </w:t>
      </w:r>
      <w:r w:rsidR="00C9093C">
        <w:rPr>
          <w:lang w:val="en-US"/>
        </w:rPr>
        <w:t xml:space="preserve">the </w:t>
      </w:r>
      <w:r w:rsidRPr="00A44D31">
        <w:rPr>
          <w:lang w:val="en-US"/>
        </w:rPr>
        <w:t>sources of hedge funds</w:t>
      </w:r>
      <w:r w:rsidR="00C9093C">
        <w:rPr>
          <w:lang w:val="en-US"/>
        </w:rPr>
        <w:t>’ returns</w:t>
      </w:r>
      <w:r w:rsidRPr="00A44D31">
        <w:rPr>
          <w:lang w:val="en-US"/>
        </w:rPr>
        <w:t xml:space="preserve">. It involves replicating hedge fund portfolios by trading in the correspondent securities. These trading constructed factors are defined as asset-based style (ABS) factors (Fund and Hsieh, 2002a). The </w:t>
      </w:r>
      <w:r w:rsidR="009014EB">
        <w:rPr>
          <w:lang w:val="en-US"/>
        </w:rPr>
        <w:t>latter</w:t>
      </w:r>
      <w:r w:rsidRPr="00A44D31">
        <w:rPr>
          <w:lang w:val="en-US"/>
        </w:rPr>
        <w:t xml:space="preserve"> approach starts with identifying the sources of hedge fund returns and relates pre-specified risk factors for hedge fund performance attribution. </w:t>
      </w:r>
      <w:r w:rsidRPr="00A44D31">
        <w:t xml:space="preserve">It uses additional factors that better explain hedge fund returns. We </w:t>
      </w:r>
      <w:r w:rsidR="00385738" w:rsidRPr="00A44D31">
        <w:t xml:space="preserve">also </w:t>
      </w:r>
      <w:r w:rsidRPr="00A44D31">
        <w:t>present a third approach (an extension of the up-bottom) that deals with methodological issues and tries to identify funds’ structural breaks</w:t>
      </w:r>
      <w:r>
        <w:rPr>
          <w:rStyle w:val="EndnoteReference"/>
        </w:rPr>
        <w:endnoteReference w:id="7"/>
      </w:r>
      <w:r w:rsidRPr="00A44D31">
        <w:t xml:space="preserve">.  </w:t>
      </w:r>
    </w:p>
    <w:p w:rsidR="00450038" w:rsidRPr="00A44D31" w:rsidRDefault="00450038" w:rsidP="00B93647">
      <w:pPr>
        <w:pStyle w:val="Heading2"/>
        <w:spacing w:line="480" w:lineRule="auto"/>
        <w:rPr>
          <w:rFonts w:eastAsiaTheme="minorEastAsia"/>
          <w:lang w:val="en-US"/>
        </w:rPr>
      </w:pPr>
      <w:r w:rsidRPr="00A44D31">
        <w:rPr>
          <w:rFonts w:eastAsiaTheme="minorEastAsia"/>
          <w:lang w:val="en-US"/>
        </w:rPr>
        <w:t>Bottom-Up Approach</w:t>
      </w:r>
    </w:p>
    <w:p w:rsidR="00450038" w:rsidRPr="00A44D31" w:rsidRDefault="00450038" w:rsidP="00B93647">
      <w:pPr>
        <w:spacing w:line="480" w:lineRule="auto"/>
        <w:jc w:val="both"/>
        <w:rPr>
          <w:b/>
        </w:rPr>
      </w:pPr>
      <w:r w:rsidRPr="00A44D31">
        <w:rPr>
          <w:b/>
        </w:rPr>
        <w:t>Option Portfolios and Trend Followers</w:t>
      </w:r>
    </w:p>
    <w:p w:rsidR="000B18F7" w:rsidRPr="00A44D31" w:rsidRDefault="000B18F7" w:rsidP="000B18F7">
      <w:pPr>
        <w:spacing w:line="480" w:lineRule="auto"/>
        <w:jc w:val="both"/>
      </w:pPr>
      <w:r w:rsidRPr="00AC4ABD">
        <w:t xml:space="preserve">In this sub-section, we begin with Fung and Hsieh (1997) who provided a useful </w:t>
      </w:r>
      <w:r w:rsidRPr="00A44D31">
        <w:t>characterization of the type of option strategy that one should expect when analysing hedge fund returns. Then we proc</w:t>
      </w:r>
      <w:r>
        <w:t>e</w:t>
      </w:r>
      <w:r w:rsidRPr="00A44D31">
        <w:t xml:space="preserve">ed with </w:t>
      </w:r>
      <w:r>
        <w:t xml:space="preserve">the </w:t>
      </w:r>
      <w:r w:rsidRPr="00A44D31">
        <w:t xml:space="preserve">Fung and Hsieh (2001) study </w:t>
      </w:r>
      <w:r w:rsidR="00A35823">
        <w:t>which</w:t>
      </w:r>
      <w:r w:rsidRPr="00A44D31">
        <w:t xml:space="preserve"> </w:t>
      </w:r>
      <w:r w:rsidRPr="00A44D31">
        <w:lastRenderedPageBreak/>
        <w:t xml:space="preserve">showed how to model hedge funds returns by concentrating on the ‘trend-following’ strategy. Examining futures and option futures, they demonstrated empirically that </w:t>
      </w:r>
      <w:r>
        <w:t xml:space="preserve">the </w:t>
      </w:r>
      <w:r w:rsidRPr="00A44D31">
        <w:t>returns of trend-following funds resemble lookback straddle returns</w:t>
      </w:r>
      <w:r w:rsidRPr="00A44D31">
        <w:rPr>
          <w:rStyle w:val="EndnoteReference"/>
        </w:rPr>
        <w:endnoteReference w:id="8"/>
      </w:r>
      <w:r>
        <w:t>.</w:t>
      </w:r>
      <w:r w:rsidRPr="00A44D31">
        <w:t xml:space="preserve"> Fung and Hsieh (2002a) extended their 2001 study to construct asset-based style factors. They demonstrated a model that could predict the returns behaviour of trend following strategies during certain </w:t>
      </w:r>
      <w:r>
        <w:t>market conditions</w:t>
      </w:r>
      <w:r w:rsidRPr="00A44D31">
        <w:t>. Fung and Hsieh (2004) was another extension of their previous work in 2001 and 2002a on asset-based style (ABS) factors. It proposed a model of hedge funds returns that is comparable to models depend</w:t>
      </w:r>
      <w:r>
        <w:t>ing on arbitrage pricing theory</w:t>
      </w:r>
      <w:r w:rsidRPr="00A44D31">
        <w:t xml:space="preserve"> with dynamic risk coefficients</w:t>
      </w:r>
      <w:r w:rsidRPr="00AE3711">
        <w:t>.</w:t>
      </w:r>
      <w:r w:rsidRPr="00AE3711">
        <w:rPr>
          <w:lang w:val="en-US"/>
        </w:rPr>
        <w:t xml:space="preserve"> Huber and Kaiser (2004) confirmed Fung and Hsieh (1997, 2001) that CTAs have a payoff profile similar to a long straddle</w:t>
      </w:r>
      <w:r w:rsidRPr="00AE3711">
        <w:rPr>
          <w:rStyle w:val="EndnoteReference"/>
          <w:lang w:val="en-US"/>
        </w:rPr>
        <w:endnoteReference w:id="9"/>
      </w:r>
      <w:r w:rsidRPr="00AE3711">
        <w:rPr>
          <w:lang w:val="en-US"/>
        </w:rPr>
        <w:t>.</w:t>
      </w:r>
    </w:p>
    <w:p w:rsidR="00450038" w:rsidRPr="00A44D31" w:rsidRDefault="00450038" w:rsidP="00B93647">
      <w:pPr>
        <w:spacing w:line="480" w:lineRule="auto"/>
        <w:jc w:val="both"/>
      </w:pPr>
      <w:r w:rsidRPr="00A44D31">
        <w:t>The authors Fung and Hsieh (1997) raised the issue of considering hedge funds as option portfolios. Their study is an extension of Sharpe</w:t>
      </w:r>
      <w:r w:rsidR="007F32A4">
        <w:t>’s</w:t>
      </w:r>
      <w:r w:rsidRPr="00A44D31">
        <w:t xml:space="preserve"> (1992) style analysis as beyond the “location” component </w:t>
      </w:r>
      <w:r w:rsidRPr="00A44D31">
        <w:rPr>
          <w:rFonts w:eastAsiaTheme="minorEastAsia"/>
        </w:rPr>
        <w:t xml:space="preserve">or factor of returns (which tell us the asset categories or where the manager trades using a static buy and hold policy) they added two other components: ‘Trading strategy factors’ (the way the manager trades, denoting the type of dynamic strategy) and the ‘leverage factor’ (a scaling factor, the quantity that is invested and regarded as a component of the return). </w:t>
      </w:r>
      <w:r w:rsidRPr="00A44D31">
        <w:t>In order to quantify their statement (modelling hedge funds as option portfolios) and identify the location and trading strategy factors, the authors used a relatively simple method that is equivalent to non-parametric regression. They compared the performance returns of hedge funds strategies versus U.S. equities (S&amp;P 500) i</w:t>
      </w:r>
      <w:r w:rsidR="00907D88">
        <w:t>n</w:t>
      </w:r>
      <w:r w:rsidRPr="00A44D31">
        <w:t xml:space="preserve"> five different economic conditions (from worst to best). As suspected the short-only strategy had no</w:t>
      </w:r>
      <w:r w:rsidR="00907D88">
        <w:t xml:space="preserve"> option-like feature and behaved</w:t>
      </w:r>
      <w:r w:rsidRPr="00A44D31">
        <w:t xml:space="preserve"> almost exactly the opposite of equities. The CTA strategy had a return profile close to a straddle on equities. The global macro strategy performed like a short put </w:t>
      </w:r>
      <w:r w:rsidRPr="00A44D31">
        <w:lastRenderedPageBreak/>
        <w:t>on the S&amp;P 500 and had an approximately linear profile with regard to the USD/JPY exchange rate. Finally, the distressed securities and risk arbitrage strategies also behaved like short puts on the S&amp;P 500. Ultimately, Fung and Hsieh (1997) provided a convenient characterization of the type of option strategy that one should anticipate when dealing with funds</w:t>
      </w:r>
      <w:r w:rsidR="00143783">
        <w:t>’</w:t>
      </w:r>
      <w:r w:rsidRPr="00A44D31">
        <w:t xml:space="preserve"> returns</w:t>
      </w:r>
      <w:r w:rsidR="00143783">
        <w:t>,</w:t>
      </w:r>
      <w:r w:rsidRPr="00A44D31">
        <w:t xml:space="preserve"> as hedge fund strategies are highly dynamic (</w:t>
      </w:r>
      <w:r>
        <w:t>e.g.</w:t>
      </w:r>
      <w:r w:rsidRPr="00A44D31">
        <w:t xml:space="preserve"> using derivatives, short-selling etc.). </w:t>
      </w:r>
      <w:r w:rsidRPr="00A44D31">
        <w:rPr>
          <w:rFonts w:eastAsiaTheme="minorEastAsia"/>
        </w:rPr>
        <w:t>Moreover, their study showed that there are five dominant strategies</w:t>
      </w:r>
      <w:r w:rsidRPr="00A44D31">
        <w:rPr>
          <w:rStyle w:val="EndnoteReference"/>
          <w:rFonts w:eastAsiaTheme="minorEastAsia"/>
        </w:rPr>
        <w:endnoteReference w:id="10"/>
      </w:r>
      <w:r w:rsidRPr="00A44D31">
        <w:rPr>
          <w:rFonts w:eastAsiaTheme="minorEastAsia"/>
        </w:rPr>
        <w:t xml:space="preserve"> in hedge funds having lower correlations with standard asset returns and mutual fund returns. </w:t>
      </w:r>
    </w:p>
    <w:p w:rsidR="00450038" w:rsidRPr="00A44D31" w:rsidRDefault="00450038" w:rsidP="00B93647">
      <w:pPr>
        <w:spacing w:line="480" w:lineRule="auto"/>
        <w:jc w:val="both"/>
        <w:rPr>
          <w:lang w:val="en-US"/>
        </w:rPr>
      </w:pPr>
      <w:r w:rsidRPr="00A44D31">
        <w:t xml:space="preserve">A few years later, Fung and Hsieh (2001) showed a way to model hedge funds returns by concentrating on the well-known ‘trend-following’ strategy. They examined futures and option </w:t>
      </w:r>
      <w:r w:rsidRPr="00A44D31">
        <w:rPr>
          <w:lang w:val="en-US"/>
        </w:rPr>
        <w:t xml:space="preserve">futures from </w:t>
      </w:r>
      <w:r w:rsidR="007102DD">
        <w:rPr>
          <w:lang w:val="en-US"/>
        </w:rPr>
        <w:t xml:space="preserve">the </w:t>
      </w:r>
      <w:r w:rsidRPr="00A44D31">
        <w:rPr>
          <w:lang w:val="en-US"/>
        </w:rPr>
        <w:t xml:space="preserve">Futures Industry Institute (FII), </w:t>
      </w:r>
      <w:r w:rsidR="007102DD">
        <w:rPr>
          <w:lang w:val="en-US"/>
        </w:rPr>
        <w:t xml:space="preserve">The </w:t>
      </w:r>
      <w:r w:rsidRPr="00A44D31">
        <w:rPr>
          <w:lang w:val="en-US"/>
        </w:rPr>
        <w:t xml:space="preserve">Chicago Mercantile Exchange (CME) and Datastream. They used a general methodology for understanding hedge fund risk by modeling a specific trading strategy which is widely referred as “trend following” within the industry. They demonstrated empirically that </w:t>
      </w:r>
      <w:r w:rsidR="003B6107">
        <w:rPr>
          <w:lang w:val="en-US"/>
        </w:rPr>
        <w:t xml:space="preserve">the </w:t>
      </w:r>
      <w:r w:rsidRPr="00A44D31">
        <w:rPr>
          <w:lang w:val="en-US"/>
        </w:rPr>
        <w:t>returns of trend-following funds resemble lookback straddle returns. They explored hedge funds returns through modelling the differences between trend-following and market-timing as trading strategies.</w:t>
      </w:r>
    </w:p>
    <w:p w:rsidR="00450038" w:rsidRPr="00A44D31" w:rsidRDefault="00450038" w:rsidP="00B93647">
      <w:pPr>
        <w:spacing w:line="480" w:lineRule="auto"/>
        <w:jc w:val="both"/>
      </w:pPr>
      <w:r w:rsidRPr="00A44D31">
        <w:t>Given the market prices in any specific time period, the optimal pay-out of any trend-following strategy should be equal to the one that bought at the lowest price and sold at the highest price. It was for this reason that Fung and Hsieh (2001) suggested using a lookback straddle. Indeed, the lookback straddle is of specific interest due to its close connection to the return profile</w:t>
      </w:r>
      <w:r w:rsidR="006B1A7D">
        <w:t>s</w:t>
      </w:r>
      <w:r w:rsidRPr="00A44D31">
        <w:t xml:space="preserve"> of trend-following hedge funds. The majority of CTAs or managed futures funds are in fact ‘trend-followers’ (or primitive trading strategies). The payoff of a perfect market timer who may take long only positions </w:t>
      </w:r>
      <w:r w:rsidRPr="00A44D31">
        <w:lastRenderedPageBreak/>
        <w:t xml:space="preserve">should be very similar to the payoff from holding a call option. However, if the flawless market timer may take long or short positions, this would correspond to a perfect trend follower who could ‘buy low and sell high’. This is equivalent to the payoff of a lookback straddle. Therefore, the lookback straddle can be regarded as a primitive trading strategy exploited by market timers. </w:t>
      </w:r>
    </w:p>
    <w:p w:rsidR="00450038" w:rsidRPr="00A44D31" w:rsidRDefault="00450038" w:rsidP="00B93647">
      <w:pPr>
        <w:spacing w:line="480" w:lineRule="auto"/>
        <w:jc w:val="both"/>
        <w:rPr>
          <w:lang w:val="en-US"/>
        </w:rPr>
      </w:pPr>
      <w:r w:rsidRPr="00A44D31">
        <w:rPr>
          <w:lang w:val="en-US"/>
        </w:rPr>
        <w:t>Fung and Hsieh (2001) showed that a lookback straddle is better fitted to capture the principle of trend following strategies than simple standard asset benchmarks. Trend-following funds have a systematic risk that cannot be captured by linear-factor models applied to standard asset benchmarks. Also, trend-followers or portfolios of lookback straddles can reduce the volatility of a typical bond and stock portfolio during severe market downturns.  However, it is important to mention that it is not possible to have a unique benchmark that can be used to model the performance of every trend follower. That is because there are significant dissimilarities in trading strategies among trend-following funds.</w:t>
      </w:r>
    </w:p>
    <w:p w:rsidR="00450038" w:rsidRPr="00E34E6E" w:rsidRDefault="00450038" w:rsidP="00B93647">
      <w:pPr>
        <w:spacing w:line="480" w:lineRule="auto"/>
        <w:jc w:val="both"/>
        <w:rPr>
          <w:lang w:val="en-US"/>
        </w:rPr>
      </w:pPr>
      <w:r>
        <w:rPr>
          <w:lang w:val="en-US"/>
        </w:rPr>
        <w:t>E</w:t>
      </w:r>
      <w:r w:rsidRPr="00A44D31">
        <w:rPr>
          <w:lang w:val="en-US"/>
        </w:rPr>
        <w:t>xtend</w:t>
      </w:r>
      <w:r>
        <w:rPr>
          <w:lang w:val="en-US"/>
        </w:rPr>
        <w:t>ing</w:t>
      </w:r>
      <w:r w:rsidRPr="00A44D31">
        <w:rPr>
          <w:lang w:val="en-US"/>
        </w:rPr>
        <w:t xml:space="preserve"> their 2001 study</w:t>
      </w:r>
      <w:r>
        <w:rPr>
          <w:lang w:val="en-US"/>
        </w:rPr>
        <w:t>,</w:t>
      </w:r>
      <w:r w:rsidRPr="00A44D31">
        <w:rPr>
          <w:lang w:val="en-US"/>
        </w:rPr>
        <w:t xml:space="preserve"> Fung and Hsieh (2002a) us</w:t>
      </w:r>
      <w:r>
        <w:rPr>
          <w:lang w:val="en-US"/>
        </w:rPr>
        <w:t>ed</w:t>
      </w:r>
      <w:r w:rsidRPr="00A44D31">
        <w:rPr>
          <w:lang w:val="en-US"/>
        </w:rPr>
        <w:t xml:space="preserve"> previously-developed models to build asset-based style factors. They demonstrated a model that can predict the return</w:t>
      </w:r>
      <w:r w:rsidR="00F019A8">
        <w:rPr>
          <w:lang w:val="en-US"/>
        </w:rPr>
        <w:t>s</w:t>
      </w:r>
      <w:r w:rsidRPr="00A44D31">
        <w:rPr>
          <w:lang w:val="en-US"/>
        </w:rPr>
        <w:t xml:space="preserve"> behavior of trend following strategies during certain periods and particularly during stressful market conditions such as those of September 2001. In this study th</w:t>
      </w:r>
      <w:r>
        <w:rPr>
          <w:lang w:val="en-US"/>
        </w:rPr>
        <w:t>e authors</w:t>
      </w:r>
      <w:r w:rsidRPr="00A44D31">
        <w:rPr>
          <w:lang w:val="en-US"/>
        </w:rPr>
        <w:t xml:space="preserve"> added almost four years of data (1998 to 2001) since the</w:t>
      </w:r>
      <w:r>
        <w:rPr>
          <w:lang w:val="en-US"/>
        </w:rPr>
        <w:t>ir</w:t>
      </w:r>
      <w:r w:rsidRPr="00A44D31">
        <w:rPr>
          <w:lang w:val="en-US"/>
        </w:rPr>
        <w:t xml:space="preserve"> publication of </w:t>
      </w:r>
      <w:r>
        <w:rPr>
          <w:lang w:val="en-US"/>
        </w:rPr>
        <w:t>2001</w:t>
      </w:r>
      <w:r w:rsidRPr="00A44D31">
        <w:rPr>
          <w:lang w:val="en-US"/>
        </w:rPr>
        <w:t>. Hence, they provided out-of-sample validation for their finding that trend followers have return</w:t>
      </w:r>
      <w:r w:rsidR="00000E0D">
        <w:rPr>
          <w:lang w:val="en-US"/>
        </w:rPr>
        <w:t>s</w:t>
      </w:r>
      <w:r w:rsidRPr="00A44D31">
        <w:rPr>
          <w:lang w:val="en-US"/>
        </w:rPr>
        <w:t xml:space="preserve"> characteristics that mimic the payout of a lookback option on traditional assets. They </w:t>
      </w:r>
      <w:r w:rsidRPr="00E34E6E">
        <w:rPr>
          <w:lang w:val="en-US"/>
        </w:rPr>
        <w:t xml:space="preserve">showed that it is beneficial to model hedge funds strategies using asset-based style factors. </w:t>
      </w:r>
      <w:r w:rsidR="00802560" w:rsidRPr="00E34E6E">
        <w:rPr>
          <w:lang w:val="en-US"/>
        </w:rPr>
        <w:t xml:space="preserve">Hedge fund directional strategies can be </w:t>
      </w:r>
      <w:r w:rsidR="00802560" w:rsidRPr="00E34E6E">
        <w:rPr>
          <w:lang w:val="en-US"/>
        </w:rPr>
        <w:lastRenderedPageBreak/>
        <w:t>modelled with “long only” asset-based style factors and the “directional component” represent</w:t>
      </w:r>
      <w:r w:rsidR="00270E55" w:rsidRPr="00E34E6E">
        <w:rPr>
          <w:lang w:val="en-US"/>
        </w:rPr>
        <w:t>s</w:t>
      </w:r>
      <w:r w:rsidR="00802560" w:rsidRPr="00E34E6E">
        <w:rPr>
          <w:lang w:val="en-US"/>
        </w:rPr>
        <w:t xml:space="preserve"> more than 50 percent of the hedge fund return variation.</w:t>
      </w:r>
      <w:r w:rsidRPr="00E34E6E">
        <w:rPr>
          <w:lang w:val="en-US"/>
        </w:rPr>
        <w:t xml:space="preserve"> </w:t>
      </w:r>
    </w:p>
    <w:p w:rsidR="00450038" w:rsidRPr="00A44D31" w:rsidRDefault="00DF23E9" w:rsidP="00B93647">
      <w:pPr>
        <w:spacing w:line="480" w:lineRule="auto"/>
        <w:jc w:val="both"/>
        <w:rPr>
          <w:lang w:val="en-US"/>
        </w:rPr>
      </w:pPr>
      <w:r w:rsidRPr="002243BA">
        <w:rPr>
          <w:rFonts w:cs="Times New Roman"/>
        </w:rPr>
        <w:t>Fung and Hsieh’s 2004 study was an extension of their previous 2001 and 2002 papers on asset-based style (ABS)</w:t>
      </w:r>
      <w:r>
        <w:rPr>
          <w:rFonts w:cs="Times New Roman"/>
        </w:rPr>
        <w:t xml:space="preserve"> factors. It proposed a model of hedge fund returns that is comparable to models based on arbitrage pricing theory, with dynamic risk coefficients. They examined data from HFR and TASS databases for 1998 to 2002 and identified seven ABS factors to create hedge fund benchmarks that capture hedge funds’ common risk factors. The seven ABS factors were two equity factors (market and size), two fixed income factors (change in bond yield and change in credit spread yield), and three trend-following factors (lookback straddles on bonds, commodities, and currencies). Using funds of funds as a proxy for hedge fund portfolios these factors were able to explain up to 80 percent (as represented by the R-squares and depending on which time period they used) of monthly return variations. Regarding the average hedge fund portfolio (using as proxy the HFR fund of funds index), they found that it had systematic exposures to directional equity and interest rates odds (bets), but they also had exposures to long equity and credit events. The authors also used the </w:t>
      </w:r>
      <w:proofErr w:type="spellStart"/>
      <w:r>
        <w:rPr>
          <w:rFonts w:cs="Times New Roman"/>
        </w:rPr>
        <w:t>Kalman</w:t>
      </w:r>
      <w:proofErr w:type="spellEnd"/>
      <w:r>
        <w:rPr>
          <w:rFonts w:cs="Times New Roman"/>
        </w:rPr>
        <w:t xml:space="preserve"> Filtering technique with a set of exogenous market events (e.g. LTCM, 09/11) for result verification</w:t>
      </w:r>
      <w:r w:rsidR="00450038" w:rsidRPr="00DF23E9">
        <w:rPr>
          <w:rStyle w:val="EndnoteReference"/>
          <w:lang w:val="en-US"/>
        </w:rPr>
        <w:endnoteReference w:id="11"/>
      </w:r>
      <w:r w:rsidR="00450038" w:rsidRPr="00DF23E9">
        <w:rPr>
          <w:lang w:val="en-US"/>
        </w:rPr>
        <w:t>.</w:t>
      </w:r>
    </w:p>
    <w:p w:rsidR="0021173B" w:rsidRDefault="00450038" w:rsidP="00B93647">
      <w:pPr>
        <w:spacing w:line="480" w:lineRule="auto"/>
        <w:jc w:val="both"/>
        <w:rPr>
          <w:rFonts w:eastAsiaTheme="minorEastAsia"/>
          <w:lang w:val="en-US"/>
        </w:rPr>
      </w:pPr>
      <w:r w:rsidRPr="00A44D31">
        <w:rPr>
          <w:lang w:val="en-US"/>
        </w:rPr>
        <w:t>The final paper that we cover in this section on non-linear models is Huber and Kaiser (2004). They supported Fung and Hsieh (1997, 2001) in that, because hedge funds trade in a flexible way, their strategies lead to option-like structures that cannot be covered by the classic Sharpe model. They explained how these option-like structures come about. Thus hedge funds and CTAs using certain trad</w:t>
      </w:r>
      <w:r w:rsidR="00211F91">
        <w:rPr>
          <w:lang w:val="en-US"/>
        </w:rPr>
        <w:t>ing</w:t>
      </w:r>
      <w:r w:rsidRPr="00A44D31">
        <w:rPr>
          <w:lang w:val="en-US"/>
        </w:rPr>
        <w:t xml:space="preserve"> strategies generate returns similar to options. In particular, the structures of CTAs have a pay</w:t>
      </w:r>
      <w:r w:rsidR="0045317E">
        <w:rPr>
          <w:lang w:val="en-US"/>
        </w:rPr>
        <w:t>off</w:t>
      </w:r>
      <w:r w:rsidRPr="00A44D31">
        <w:rPr>
          <w:lang w:val="en-US"/>
        </w:rPr>
        <w:t xml:space="preserve"> profile </w:t>
      </w:r>
      <w:r w:rsidRPr="00A44D31">
        <w:rPr>
          <w:lang w:val="en-US"/>
        </w:rPr>
        <w:lastRenderedPageBreak/>
        <w:t>similar to a long straddle.</w:t>
      </w:r>
      <w:r w:rsidR="00DB2BCB">
        <w:rPr>
          <w:lang w:val="en-US"/>
        </w:rPr>
        <w:t xml:space="preserve"> </w:t>
      </w:r>
      <w:r w:rsidR="0064482B" w:rsidRPr="00A44D31">
        <w:rPr>
          <w:lang w:val="en-US"/>
        </w:rPr>
        <w:t>In their research, the authors presented an investigation of the risk factors affecting the nine Standard &amp; Poor’s Hedge Fund Indices. Daily data about hedge funds indices were available from 1998 to 2003. The highest return was achieved by the Equity Long/Short basket (23.6% p.a.) followed by Convertible Arbitrage (21.8%) and Managed Futures (19.2%). The poorest performers were Fixed Income Arbitrage (3.9%) and Merger Arbitrage (6.9%). The authors use</w:t>
      </w:r>
      <w:r w:rsidR="00B02E9F">
        <w:rPr>
          <w:lang w:val="en-US"/>
        </w:rPr>
        <w:t>d</w:t>
      </w:r>
      <w:r w:rsidR="0064482B" w:rsidRPr="00A44D31">
        <w:rPr>
          <w:lang w:val="en-US"/>
        </w:rPr>
        <w:t xml:space="preserve"> the classical Sharpe model equation using several </w:t>
      </w:r>
      <w:proofErr w:type="gramStart"/>
      <w:r w:rsidR="0064482B" w:rsidRPr="00A44D31">
        <w:rPr>
          <w:lang w:val="en-US"/>
        </w:rPr>
        <w:t xml:space="preserve">factors </w:t>
      </w:r>
      <w:proofErr w:type="gramEnd"/>
      <m:oMath>
        <m:sSub>
          <m:sSubPr>
            <m:ctrlPr>
              <w:rPr>
                <w:rFonts w:ascii="Cambria Math" w:hAnsi="Cambria Math"/>
                <w:i/>
                <w:lang w:val="en-US"/>
              </w:rPr>
            </m:ctrlPr>
          </m:sSubPr>
          <m:e>
            <m:r>
              <w:rPr>
                <w:rFonts w:ascii="Cambria Math" w:hAnsi="Cambria Math"/>
                <w:lang w:val="en-US"/>
              </w:rPr>
              <m:t>F</m:t>
            </m:r>
          </m:e>
          <m:sub>
            <m:r>
              <w:rPr>
                <w:rFonts w:ascii="Cambria Math" w:hAnsi="Cambria Math"/>
                <w:lang w:val="en-US"/>
              </w:rPr>
              <m:t>k</m:t>
            </m:r>
          </m:sub>
        </m:sSub>
      </m:oMath>
      <w:r w:rsidR="0064482B" w:rsidRPr="00A44D31">
        <w:rPr>
          <w:rFonts w:eastAsiaTheme="minorEastAsia"/>
          <w:lang w:val="en-US"/>
        </w:rPr>
        <w:t xml:space="preserve">. The empirical section of their study explained the risk factors of the Standard &amp; Poor’s Hedge Fund Indices taking the option-like futures into account. For instance merger arbitrage </w:t>
      </w:r>
      <w:r w:rsidR="00DA2034">
        <w:rPr>
          <w:rFonts w:eastAsiaTheme="minorEastAsia"/>
          <w:lang w:val="en-US"/>
        </w:rPr>
        <w:t>ha</w:t>
      </w:r>
      <w:r w:rsidR="00B02E9F">
        <w:rPr>
          <w:rFonts w:eastAsiaTheme="minorEastAsia"/>
          <w:lang w:val="en-US"/>
        </w:rPr>
        <w:t>d</w:t>
      </w:r>
      <w:r w:rsidR="00DA2034">
        <w:rPr>
          <w:rFonts w:eastAsiaTheme="minorEastAsia"/>
          <w:lang w:val="en-US"/>
        </w:rPr>
        <w:t xml:space="preserve"> </w:t>
      </w:r>
      <w:r w:rsidR="0064482B" w:rsidRPr="00A44D31">
        <w:rPr>
          <w:rFonts w:eastAsiaTheme="minorEastAsia"/>
          <w:lang w:val="en-US"/>
        </w:rPr>
        <w:t xml:space="preserve">a significant determinant similar </w:t>
      </w:r>
      <w:r w:rsidR="0048330B">
        <w:rPr>
          <w:rFonts w:eastAsiaTheme="minorEastAsia"/>
          <w:lang w:val="en-US"/>
        </w:rPr>
        <w:t>to a short put on the S&amp;P index,</w:t>
      </w:r>
      <w:r w:rsidR="0064482B" w:rsidRPr="00A44D31">
        <w:rPr>
          <w:rFonts w:eastAsiaTheme="minorEastAsia"/>
          <w:lang w:val="en-US"/>
        </w:rPr>
        <w:t xml:space="preserve"> </w:t>
      </w:r>
      <w:r w:rsidR="00DA2034">
        <w:rPr>
          <w:rFonts w:eastAsiaTheme="minorEastAsia"/>
          <w:lang w:val="en-US"/>
        </w:rPr>
        <w:t xml:space="preserve">and </w:t>
      </w:r>
      <w:r w:rsidR="0048330B">
        <w:rPr>
          <w:rFonts w:eastAsiaTheme="minorEastAsia"/>
          <w:lang w:val="en-US"/>
        </w:rPr>
        <w:t>managed futures,</w:t>
      </w:r>
      <w:r w:rsidR="0064482B" w:rsidRPr="00A44D31">
        <w:rPr>
          <w:rFonts w:eastAsiaTheme="minorEastAsia"/>
          <w:lang w:val="en-US"/>
        </w:rPr>
        <w:t xml:space="preserve"> a long straddle on the S&amp;P 500 index.</w:t>
      </w:r>
    </w:p>
    <w:p w:rsidR="00AE135C" w:rsidRPr="00A44D31" w:rsidRDefault="0034146B" w:rsidP="00B93647">
      <w:pPr>
        <w:spacing w:line="480" w:lineRule="auto"/>
        <w:jc w:val="both"/>
        <w:rPr>
          <w:b/>
          <w:lang w:val="en-US"/>
        </w:rPr>
      </w:pPr>
      <w:r>
        <w:rPr>
          <w:b/>
          <w:lang w:val="en-US"/>
        </w:rPr>
        <w:t>Option-Based</w:t>
      </w:r>
      <w:r w:rsidR="00AE135C" w:rsidRPr="00A44D31">
        <w:rPr>
          <w:b/>
          <w:lang w:val="en-US"/>
        </w:rPr>
        <w:t xml:space="preserve"> Buy and Hold Strategies</w:t>
      </w:r>
    </w:p>
    <w:p w:rsidR="000B18F7" w:rsidRPr="00AC4ABD" w:rsidRDefault="000B18F7" w:rsidP="000B18F7">
      <w:pPr>
        <w:spacing w:line="480" w:lineRule="auto"/>
        <w:jc w:val="both"/>
        <w:rPr>
          <w:lang w:val="en-US"/>
        </w:rPr>
      </w:pPr>
      <w:r w:rsidRPr="00AC4ABD">
        <w:rPr>
          <w:lang w:val="en-US"/>
        </w:rPr>
        <w:t xml:space="preserve">In this sub-section we present the other line of research originating from Agarwal and </w:t>
      </w:r>
      <w:proofErr w:type="spellStart"/>
      <w:r w:rsidRPr="00AC4ABD">
        <w:rPr>
          <w:lang w:val="en-US"/>
        </w:rPr>
        <w:t>Naik</w:t>
      </w:r>
      <w:proofErr w:type="spellEnd"/>
      <w:r w:rsidRPr="00AC4ABD">
        <w:rPr>
          <w:lang w:val="en-US"/>
        </w:rPr>
        <w:t xml:space="preserve"> (2000), who suggested a general asset factor model consisting of excess returns on passive option-based strategies and on buy-and-hold strategies. In a later study (2004) they focused on the systematic risk exposures of hedge funds </w:t>
      </w:r>
      <w:r w:rsidR="00AC4ABD">
        <w:rPr>
          <w:lang w:val="en-US"/>
        </w:rPr>
        <w:t xml:space="preserve">that </w:t>
      </w:r>
      <w:proofErr w:type="spellStart"/>
      <w:r w:rsidRPr="00AC4ABD">
        <w:rPr>
          <w:lang w:val="en-US"/>
        </w:rPr>
        <w:t>practi</w:t>
      </w:r>
      <w:r w:rsidR="00AC4ABD">
        <w:rPr>
          <w:lang w:val="en-US"/>
        </w:rPr>
        <w:t>se</w:t>
      </w:r>
      <w:proofErr w:type="spellEnd"/>
      <w:r w:rsidRPr="00AC4ABD">
        <w:rPr>
          <w:lang w:val="en-US"/>
        </w:rPr>
        <w:t xml:space="preserve"> buy-and-hold and option-based strategies. A more recent study that we discuss is from Duarte, </w:t>
      </w:r>
      <w:proofErr w:type="spellStart"/>
      <w:r w:rsidRPr="00AC4ABD">
        <w:rPr>
          <w:lang w:val="en-US"/>
        </w:rPr>
        <w:t>Longstaff</w:t>
      </w:r>
      <w:proofErr w:type="spellEnd"/>
      <w:r w:rsidRPr="00AC4ABD">
        <w:rPr>
          <w:lang w:val="en-US"/>
        </w:rPr>
        <w:t>, and Yu (2007) that f</w:t>
      </w:r>
      <w:r w:rsidR="00083805" w:rsidRPr="00AC4ABD">
        <w:rPr>
          <w:lang w:val="en-US"/>
        </w:rPr>
        <w:t>ocus</w:t>
      </w:r>
      <w:r w:rsidR="00AC4ABD">
        <w:rPr>
          <w:lang w:val="en-US"/>
        </w:rPr>
        <w:t>es</w:t>
      </w:r>
      <w:r w:rsidR="00083805" w:rsidRPr="00AC4ABD">
        <w:rPr>
          <w:lang w:val="en-US"/>
        </w:rPr>
        <w:t xml:space="preserve"> on fixed</w:t>
      </w:r>
      <w:r w:rsidR="00AC4ABD">
        <w:rPr>
          <w:lang w:val="en-US"/>
        </w:rPr>
        <w:t xml:space="preserve"> </w:t>
      </w:r>
      <w:r w:rsidR="00083805" w:rsidRPr="00AC4ABD">
        <w:rPr>
          <w:lang w:val="en-US"/>
        </w:rPr>
        <w:t>income strategies</w:t>
      </w:r>
      <w:r w:rsidR="00AC4ABD">
        <w:rPr>
          <w:lang w:val="en-US"/>
        </w:rPr>
        <w:t>,</w:t>
      </w:r>
      <w:r w:rsidR="00083805" w:rsidRPr="00AC4ABD">
        <w:rPr>
          <w:lang w:val="en-US"/>
        </w:rPr>
        <w:t xml:space="preserve"> showing that “market neutral” strategies impose substantial risk exposures on investors.</w:t>
      </w:r>
    </w:p>
    <w:p w:rsidR="0064482B" w:rsidRPr="00A44D31" w:rsidRDefault="00C6012E" w:rsidP="00B93647">
      <w:pPr>
        <w:spacing w:line="480" w:lineRule="auto"/>
        <w:jc w:val="both"/>
        <w:rPr>
          <w:lang w:val="en-US"/>
        </w:rPr>
      </w:pPr>
      <w:r w:rsidRPr="00A44D31">
        <w:rPr>
          <w:lang w:val="en-US"/>
        </w:rPr>
        <w:t xml:space="preserve">Agarwal and </w:t>
      </w:r>
      <w:proofErr w:type="spellStart"/>
      <w:r w:rsidRPr="00A44D31">
        <w:rPr>
          <w:lang w:val="en-US"/>
        </w:rPr>
        <w:t>Naik</w:t>
      </w:r>
      <w:proofErr w:type="spellEnd"/>
      <w:r w:rsidRPr="00A44D31">
        <w:rPr>
          <w:lang w:val="en-US"/>
        </w:rPr>
        <w:t xml:space="preserve"> (2000)</w:t>
      </w:r>
      <w:r w:rsidR="0064482B" w:rsidRPr="00A44D31">
        <w:rPr>
          <w:lang w:val="en-US"/>
        </w:rPr>
        <w:t xml:space="preserve"> suggested a general asset factor model consisting of excess returns on passive option-based strategies and on buy-and-hold strategies. Despite the fact that many hedge funds implement dynamic strategies, they found that a small number of simple option writing/buying strategies </w:t>
      </w:r>
      <w:r w:rsidR="00A75692">
        <w:rPr>
          <w:lang w:val="en-US"/>
        </w:rPr>
        <w:t>were</w:t>
      </w:r>
      <w:r w:rsidR="0064482B" w:rsidRPr="00A44D31">
        <w:rPr>
          <w:lang w:val="en-US"/>
        </w:rPr>
        <w:t xml:space="preserve"> sufficient to explain a large </w:t>
      </w:r>
      <w:r w:rsidR="0064482B" w:rsidRPr="00A44D31">
        <w:rPr>
          <w:lang w:val="en-US"/>
        </w:rPr>
        <w:lastRenderedPageBreak/>
        <w:t>part of the variation in hedge fund returns over time. Using the Hedge Fund Research Database from 1990 to 1998 (hedge fund indices), they evaluated the performance of hedge funds that adopted different strategies (especially Event Driven and Relative Value Arbitrage) using a general asset class factor model composed of excess return on Location (buy-and-hold) and on Trading Strategy (option writing/buying) factors.</w:t>
      </w:r>
    </w:p>
    <w:p w:rsidR="0064482B" w:rsidRPr="00A44D31" w:rsidRDefault="0064482B" w:rsidP="00B93647">
      <w:pPr>
        <w:spacing w:line="480" w:lineRule="auto"/>
        <w:jc w:val="both"/>
        <w:rPr>
          <w:lang w:val="en-US"/>
        </w:rPr>
      </w:pPr>
      <w:r w:rsidRPr="00A44D31">
        <w:rPr>
          <w:lang w:val="en-US"/>
        </w:rPr>
        <w:t xml:space="preserve">Agarwal and </w:t>
      </w:r>
      <w:proofErr w:type="spellStart"/>
      <w:r w:rsidRPr="00A44D31">
        <w:rPr>
          <w:lang w:val="en-US"/>
        </w:rPr>
        <w:t>Naik</w:t>
      </w:r>
      <w:proofErr w:type="spellEnd"/>
      <w:r w:rsidRPr="00A44D31">
        <w:rPr>
          <w:lang w:val="en-US"/>
        </w:rPr>
        <w:t xml:space="preserve"> presented four main findings: First their model composed of Trading Strategy factors and Location factors was able to interpret a significant amount (up to 93%) of hedge funds’ returns over time. Second, non-directional strategies displayed more significant loadings on Trading Strategy factors whereas directional strategies displayed significant loadings on Location factors. They found that in the early </w:t>
      </w:r>
      <w:r w:rsidR="003A6AB4">
        <w:rPr>
          <w:lang w:val="en-US"/>
        </w:rPr>
        <w:t>1990s</w:t>
      </w:r>
      <w:r w:rsidRPr="00A44D31">
        <w:rPr>
          <w:lang w:val="en-US"/>
        </w:rPr>
        <w:t xml:space="preserve"> 38% of hedge funds added significant value (excess return </w:t>
      </w:r>
      <w:r w:rsidR="003A6AB4">
        <w:rPr>
          <w:lang w:val="en-US"/>
        </w:rPr>
        <w:t>or</w:t>
      </w:r>
      <w:r w:rsidRPr="00A44D31">
        <w:rPr>
          <w:lang w:val="en-US"/>
        </w:rPr>
        <w:t xml:space="preserve"> alpha) compared to 28% of hedge funds that added value in the late </w:t>
      </w:r>
      <w:r w:rsidR="003A6AB4">
        <w:rPr>
          <w:lang w:val="en-US"/>
        </w:rPr>
        <w:t>1990s</w:t>
      </w:r>
      <w:r w:rsidRPr="00A44D31">
        <w:rPr>
          <w:lang w:val="en-US"/>
        </w:rPr>
        <w:t>. Last but not least, leveraged funds d</w:t>
      </w:r>
      <w:r w:rsidR="0020616F">
        <w:rPr>
          <w:lang w:val="en-US"/>
        </w:rPr>
        <w:t>id</w:t>
      </w:r>
      <w:r w:rsidRPr="00A44D31">
        <w:rPr>
          <w:lang w:val="en-US"/>
        </w:rPr>
        <w:t xml:space="preserve"> not consistently perform better or worse than funds that d</w:t>
      </w:r>
      <w:r w:rsidR="0020616F">
        <w:rPr>
          <w:lang w:val="en-US"/>
        </w:rPr>
        <w:t>id</w:t>
      </w:r>
      <w:r w:rsidRPr="00A44D31">
        <w:rPr>
          <w:lang w:val="en-US"/>
        </w:rPr>
        <w:t xml:space="preserve"> not use leverage.</w:t>
      </w:r>
      <w:r w:rsidRPr="00A44D31">
        <w:rPr>
          <w:rFonts w:eastAsiaTheme="minorEastAsia"/>
          <w:lang w:val="en-US"/>
        </w:rPr>
        <w:t xml:space="preserve"> </w:t>
      </w:r>
    </w:p>
    <w:p w:rsidR="0064482B" w:rsidRPr="00E34E6E" w:rsidRDefault="0064482B" w:rsidP="00B93647">
      <w:pPr>
        <w:spacing w:line="480" w:lineRule="auto"/>
        <w:jc w:val="both"/>
        <w:rPr>
          <w:rFonts w:eastAsiaTheme="minorEastAsia"/>
          <w:lang w:val="en-US"/>
        </w:rPr>
      </w:pPr>
      <w:r w:rsidRPr="00A44D31">
        <w:rPr>
          <w:rFonts w:eastAsiaTheme="minorEastAsia"/>
          <w:lang w:val="en-US"/>
        </w:rPr>
        <w:t xml:space="preserve">Likewise, in 2004 the same authors examined the systematic risk </w:t>
      </w:r>
      <w:r w:rsidR="003F49B4">
        <w:rPr>
          <w:rFonts w:eastAsiaTheme="minorEastAsia"/>
          <w:lang w:val="en-US"/>
        </w:rPr>
        <w:t>exposures of hedge funds practic</w:t>
      </w:r>
      <w:r w:rsidR="003F49B4" w:rsidRPr="00A44D31">
        <w:rPr>
          <w:rFonts w:eastAsiaTheme="minorEastAsia"/>
          <w:lang w:val="en-US"/>
        </w:rPr>
        <w:t>ing</w:t>
      </w:r>
      <w:r w:rsidRPr="00A44D31">
        <w:rPr>
          <w:rFonts w:eastAsiaTheme="minorEastAsia"/>
          <w:lang w:val="en-US"/>
        </w:rPr>
        <w:t xml:space="preserve"> buy-and-hold and option-based strategies. They used data from HFR and TASS (hedge fund indices, 1990-2000). They found that a large number of equity-oriented hedge funds strategies ha</w:t>
      </w:r>
      <w:r w:rsidR="00F50D08">
        <w:rPr>
          <w:rFonts w:eastAsiaTheme="minorEastAsia"/>
          <w:lang w:val="en-US"/>
        </w:rPr>
        <w:t>d</w:t>
      </w:r>
      <w:r w:rsidRPr="00A44D31">
        <w:rPr>
          <w:rFonts w:eastAsiaTheme="minorEastAsia"/>
          <w:lang w:val="en-US"/>
        </w:rPr>
        <w:t xml:space="preserve"> payoffs similar to a short position in a put option on the market index. This </w:t>
      </w:r>
      <w:r w:rsidR="00F50D08">
        <w:rPr>
          <w:rFonts w:eastAsiaTheme="minorEastAsia"/>
          <w:lang w:val="en-US"/>
        </w:rPr>
        <w:t>was</w:t>
      </w:r>
      <w:r w:rsidRPr="00A44D31">
        <w:rPr>
          <w:rFonts w:eastAsiaTheme="minorEastAsia"/>
          <w:lang w:val="en-US"/>
        </w:rPr>
        <w:t xml:space="preserve"> in alignment with findings from other studies such </w:t>
      </w:r>
      <w:proofErr w:type="spellStart"/>
      <w:r w:rsidRPr="00A44D31">
        <w:rPr>
          <w:rFonts w:eastAsiaTheme="minorEastAsia"/>
          <w:lang w:val="en-US"/>
        </w:rPr>
        <w:t>Awargal</w:t>
      </w:r>
      <w:proofErr w:type="spellEnd"/>
      <w:r w:rsidRPr="00A44D31">
        <w:rPr>
          <w:rFonts w:eastAsiaTheme="minorEastAsia"/>
          <w:lang w:val="en-US"/>
        </w:rPr>
        <w:t xml:space="preserve"> and </w:t>
      </w:r>
      <w:proofErr w:type="spellStart"/>
      <w:r w:rsidRPr="00A44D31">
        <w:rPr>
          <w:rFonts w:eastAsiaTheme="minorEastAsia"/>
          <w:lang w:val="en-US"/>
        </w:rPr>
        <w:t>Naik</w:t>
      </w:r>
      <w:proofErr w:type="spellEnd"/>
      <w:r w:rsidRPr="00A44D31">
        <w:rPr>
          <w:rFonts w:eastAsiaTheme="minorEastAsia"/>
          <w:lang w:val="en-US"/>
        </w:rPr>
        <w:t xml:space="preserve"> (2000) and Fund and Hsieh (1997) concerning the payoff style of some hedge funds strategies. They found that a short position in a put option on the market index </w:t>
      </w:r>
      <w:r w:rsidR="00F50D08">
        <w:rPr>
          <w:rFonts w:eastAsiaTheme="minorEastAsia"/>
          <w:lang w:val="en-US"/>
        </w:rPr>
        <w:t>brought</w:t>
      </w:r>
      <w:r w:rsidRPr="00A44D31">
        <w:rPr>
          <w:rFonts w:eastAsiaTheme="minorEastAsia"/>
          <w:lang w:val="en-US"/>
        </w:rPr>
        <w:t xml:space="preserve"> a significant left-tail risk that </w:t>
      </w:r>
      <w:r w:rsidR="00F50D08">
        <w:rPr>
          <w:rFonts w:eastAsiaTheme="minorEastAsia"/>
          <w:lang w:val="en-US"/>
        </w:rPr>
        <w:t>was</w:t>
      </w:r>
      <w:r w:rsidRPr="00A44D31">
        <w:rPr>
          <w:rFonts w:eastAsiaTheme="minorEastAsia"/>
          <w:lang w:val="en-US"/>
        </w:rPr>
        <w:t xml:space="preserve"> not captured sufficiently in the mean-variance framework. Hence, they used a mean-conditional value-at-risk framework and they </w:t>
      </w:r>
      <w:r w:rsidRPr="00E34E6E">
        <w:rPr>
          <w:rFonts w:eastAsiaTheme="minorEastAsia"/>
          <w:lang w:val="en-US"/>
        </w:rPr>
        <w:t xml:space="preserve">demonstrated the degree to which the mean-variance framework </w:t>
      </w:r>
      <w:r w:rsidRPr="00E34E6E">
        <w:rPr>
          <w:rFonts w:eastAsiaTheme="minorEastAsia"/>
          <w:lang w:val="en-US"/>
        </w:rPr>
        <w:lastRenderedPageBreak/>
        <w:t>underestimate</w:t>
      </w:r>
      <w:r w:rsidR="00F50D08" w:rsidRPr="00E34E6E">
        <w:rPr>
          <w:rFonts w:eastAsiaTheme="minorEastAsia"/>
          <w:lang w:val="en-US"/>
        </w:rPr>
        <w:t>d</w:t>
      </w:r>
      <w:r w:rsidR="00ED707C" w:rsidRPr="00E34E6E">
        <w:rPr>
          <w:rFonts w:eastAsiaTheme="minorEastAsia"/>
          <w:lang w:val="en-US"/>
        </w:rPr>
        <w:t xml:space="preserve"> the tail risk</w:t>
      </w:r>
      <w:r w:rsidR="00270E55" w:rsidRPr="00E34E6E">
        <w:rPr>
          <w:rFonts w:eastAsiaTheme="minorEastAsia"/>
          <w:lang w:val="en-US"/>
        </w:rPr>
        <w:t>, also</w:t>
      </w:r>
      <w:r w:rsidR="00ED707C" w:rsidRPr="00E34E6E">
        <w:rPr>
          <w:rFonts w:eastAsiaTheme="minorEastAsia"/>
          <w:lang w:val="en-US"/>
        </w:rPr>
        <w:t xml:space="preserve"> showing that the last decade is not representative of </w:t>
      </w:r>
      <w:r w:rsidR="00270E55" w:rsidRPr="00E34E6E">
        <w:rPr>
          <w:rFonts w:eastAsiaTheme="minorEastAsia"/>
          <w:lang w:val="en-US"/>
        </w:rPr>
        <w:t xml:space="preserve">long term </w:t>
      </w:r>
      <w:r w:rsidR="00ED707C" w:rsidRPr="00E34E6E">
        <w:rPr>
          <w:rFonts w:eastAsiaTheme="minorEastAsia"/>
          <w:lang w:val="en-US"/>
        </w:rPr>
        <w:t>hedge fund performance.</w:t>
      </w:r>
    </w:p>
    <w:p w:rsidR="0064482B" w:rsidRPr="00A44D31" w:rsidRDefault="0064482B" w:rsidP="00B93647">
      <w:pPr>
        <w:spacing w:line="480" w:lineRule="auto"/>
        <w:jc w:val="both"/>
        <w:rPr>
          <w:rFonts w:eastAsiaTheme="minorEastAsia"/>
          <w:lang w:val="en-US"/>
        </w:rPr>
      </w:pPr>
      <w:r w:rsidRPr="00A44D31">
        <w:rPr>
          <w:rFonts w:eastAsiaTheme="minorEastAsia"/>
          <w:lang w:val="en-US"/>
        </w:rPr>
        <w:t xml:space="preserve">In order to identify the linear and non-linear risks of a wide range of hedge funds strategies they used buy-and-hold and option-based risk factors. They followed a three-step approach: First they considered the loading coefficients (betas) using the returns of standard asset classes and options on them as factors. Then they constructed replicating portfolios that best explained the in-sample variation </w:t>
      </w:r>
      <w:r w:rsidR="00FC799B">
        <w:rPr>
          <w:rFonts w:eastAsiaTheme="minorEastAsia"/>
          <w:lang w:val="en-US"/>
        </w:rPr>
        <w:t>in hedge funds returns. Finally</w:t>
      </w:r>
      <w:r w:rsidRPr="00A44D31">
        <w:rPr>
          <w:rFonts w:eastAsiaTheme="minorEastAsia"/>
          <w:lang w:val="en-US"/>
        </w:rPr>
        <w:t xml:space="preserve"> they examined how well those replicating portfolios caught the </w:t>
      </w:r>
      <w:proofErr w:type="spellStart"/>
      <w:r w:rsidRPr="00A44D31">
        <w:rPr>
          <w:rFonts w:eastAsiaTheme="minorEastAsia"/>
          <w:lang w:val="en-US"/>
        </w:rPr>
        <w:t>out-of</w:t>
      </w:r>
      <w:proofErr w:type="spellEnd"/>
      <w:r w:rsidRPr="00A44D31">
        <w:rPr>
          <w:rFonts w:eastAsiaTheme="minorEastAsia"/>
          <w:lang w:val="en-US"/>
        </w:rPr>
        <w:t xml:space="preserve"> sample performance of hedge funds. They conducted an analysis not only at the index level, but also at the individual hedge fund level. As well as their characteriza</w:t>
      </w:r>
      <w:r w:rsidR="00874807">
        <w:rPr>
          <w:rFonts w:eastAsiaTheme="minorEastAsia"/>
          <w:lang w:val="en-US"/>
        </w:rPr>
        <w:t xml:space="preserve">tion of a </w:t>
      </w:r>
      <w:r w:rsidR="004A487E">
        <w:rPr>
          <w:rFonts w:eastAsiaTheme="minorEastAsia"/>
          <w:lang w:val="en-US"/>
        </w:rPr>
        <w:t>non-linear</w:t>
      </w:r>
      <w:r w:rsidR="00874807">
        <w:rPr>
          <w:rFonts w:eastAsiaTheme="minorEastAsia"/>
          <w:lang w:val="en-US"/>
        </w:rPr>
        <w:t xml:space="preserve"> </w:t>
      </w:r>
      <w:r w:rsidRPr="00E34E6E">
        <w:rPr>
          <w:rFonts w:eastAsiaTheme="minorEastAsia"/>
          <w:lang w:val="en-US"/>
        </w:rPr>
        <w:t xml:space="preserve">relationship </w:t>
      </w:r>
      <w:r w:rsidR="00874807" w:rsidRPr="00E34E6E">
        <w:rPr>
          <w:rFonts w:eastAsiaTheme="minorEastAsia"/>
          <w:lang w:val="en-US"/>
        </w:rPr>
        <w:t xml:space="preserve">between portfolio return and its risk </w:t>
      </w:r>
      <w:r w:rsidRPr="00E34E6E">
        <w:rPr>
          <w:rFonts w:eastAsiaTheme="minorEastAsia"/>
          <w:lang w:val="en-US"/>
        </w:rPr>
        <w:t xml:space="preserve">when </w:t>
      </w:r>
      <w:r w:rsidRPr="00A44D31">
        <w:rPr>
          <w:rFonts w:eastAsiaTheme="minorEastAsia"/>
          <w:lang w:val="en-US"/>
        </w:rPr>
        <w:t xml:space="preserve">examining hedge funds, Agarwal and </w:t>
      </w:r>
      <w:proofErr w:type="spellStart"/>
      <w:r w:rsidRPr="00A44D31">
        <w:rPr>
          <w:rFonts w:eastAsiaTheme="minorEastAsia"/>
          <w:lang w:val="en-US"/>
        </w:rPr>
        <w:t>Naik</w:t>
      </w:r>
      <w:proofErr w:type="spellEnd"/>
      <w:r w:rsidRPr="00A44D31">
        <w:rPr>
          <w:rFonts w:eastAsiaTheme="minorEastAsia"/>
          <w:lang w:val="en-US"/>
        </w:rPr>
        <w:t xml:space="preserve"> (2004) found that hedge funds exhibited significant exposures to </w:t>
      </w:r>
      <w:proofErr w:type="spellStart"/>
      <w:r w:rsidRPr="00A44D31">
        <w:rPr>
          <w:rFonts w:eastAsiaTheme="minorEastAsia"/>
          <w:lang w:val="en-US"/>
        </w:rPr>
        <w:t>Fama</w:t>
      </w:r>
      <w:proofErr w:type="spellEnd"/>
      <w:r w:rsidRPr="00A44D31">
        <w:rPr>
          <w:rFonts w:eastAsiaTheme="minorEastAsia"/>
          <w:lang w:val="en-US"/>
        </w:rPr>
        <w:t xml:space="preserve"> and French’s (1993) three-factor model and </w:t>
      </w:r>
      <w:proofErr w:type="spellStart"/>
      <w:r w:rsidRPr="00A44D31">
        <w:rPr>
          <w:rFonts w:eastAsiaTheme="minorEastAsia"/>
          <w:lang w:val="en-US"/>
        </w:rPr>
        <w:t>Carhart’s</w:t>
      </w:r>
      <w:proofErr w:type="spellEnd"/>
      <w:r w:rsidRPr="00A44D31">
        <w:rPr>
          <w:rFonts w:eastAsiaTheme="minorEastAsia"/>
          <w:lang w:val="en-US"/>
        </w:rPr>
        <w:t xml:space="preserve"> (1997) momentum factor.</w:t>
      </w:r>
    </w:p>
    <w:p w:rsidR="00632EF0" w:rsidRPr="00A44D31" w:rsidRDefault="00256CA7" w:rsidP="00B93647">
      <w:pPr>
        <w:spacing w:line="480" w:lineRule="auto"/>
        <w:jc w:val="both"/>
      </w:pPr>
      <w:r>
        <w:t>A more recent study using the ABS approach</w:t>
      </w:r>
      <w:r w:rsidR="005D3CB2">
        <w:t xml:space="preserve"> was</w:t>
      </w:r>
      <w:r>
        <w:t xml:space="preserve"> from</w:t>
      </w:r>
      <w:r w:rsidR="00D2599D" w:rsidRPr="00A44D31">
        <w:t xml:space="preserve"> </w:t>
      </w:r>
      <w:r w:rsidR="00632EF0" w:rsidRPr="00A44D31">
        <w:t xml:space="preserve">Duarte, </w:t>
      </w:r>
      <w:proofErr w:type="spellStart"/>
      <w:r w:rsidR="00632EF0" w:rsidRPr="00A44D31">
        <w:t>Longstaff</w:t>
      </w:r>
      <w:proofErr w:type="spellEnd"/>
      <w:r w:rsidR="00632EF0" w:rsidRPr="00A44D31">
        <w:t xml:space="preserve">, and Yu (2007) </w:t>
      </w:r>
      <w:r>
        <w:t xml:space="preserve">that </w:t>
      </w:r>
      <w:r w:rsidR="00632EF0" w:rsidRPr="00A44D31">
        <w:t>examined the return and risk characteristic of fixed-income st</w:t>
      </w:r>
      <w:r w:rsidR="001328B9">
        <w:t>rategies using the CSFB/Tremont</w:t>
      </w:r>
      <w:r w:rsidR="00632EF0" w:rsidRPr="00A44D31">
        <w:t xml:space="preserve"> and HFR databases from 1994-2004. </w:t>
      </w:r>
      <w:r w:rsidR="00D2599D" w:rsidRPr="00A44D31">
        <w:t>Implementing i</w:t>
      </w:r>
      <w:r w:rsidR="00632EF0" w:rsidRPr="00A44D31">
        <w:t>sotonic regression and linear-kernel regressions, they found all five strategies exhibited positive excess returns. Some strategies such as yield curv</w:t>
      </w:r>
      <w:r w:rsidR="00843919">
        <w:t>e arbitrage, mortgage arbitrage</w:t>
      </w:r>
      <w:r w:rsidR="00632EF0" w:rsidRPr="00A44D31">
        <w:t xml:space="preserve"> and capital structure arbitrage present</w:t>
      </w:r>
      <w:r w:rsidR="00843919">
        <w:t>ed</w:t>
      </w:r>
      <w:r w:rsidR="00632EF0" w:rsidRPr="00A44D31">
        <w:t xml:space="preserve"> significant </w:t>
      </w:r>
      <w:r w:rsidR="00632EF0" w:rsidRPr="00E34E6E">
        <w:t xml:space="preserve">positive alphas </w:t>
      </w:r>
      <w:r w:rsidR="008645D5" w:rsidRPr="00E34E6E">
        <w:t xml:space="preserve">(even after taking </w:t>
      </w:r>
      <w:r w:rsidR="00270E55" w:rsidRPr="00E34E6E">
        <w:t xml:space="preserve">fees into </w:t>
      </w:r>
      <w:r w:rsidR="008645D5" w:rsidRPr="00E34E6E">
        <w:t xml:space="preserve">consideration) </w:t>
      </w:r>
      <w:r w:rsidR="00632EF0" w:rsidRPr="00E34E6E">
        <w:t>as they require</w:t>
      </w:r>
      <w:r w:rsidR="00843919" w:rsidRPr="00E34E6E">
        <w:t>d</w:t>
      </w:r>
      <w:r w:rsidR="00632EF0" w:rsidRPr="00E34E6E">
        <w:t xml:space="preserve"> the most “intellectual </w:t>
      </w:r>
      <w:r w:rsidR="00632EF0" w:rsidRPr="00A44D31">
        <w:t xml:space="preserve">capital” to implement. They </w:t>
      </w:r>
      <w:r w:rsidR="00843919" w:rsidRPr="00A44D31">
        <w:t xml:space="preserve">also </w:t>
      </w:r>
      <w:r w:rsidR="00632EF0" w:rsidRPr="00A44D31">
        <w:t>found that</w:t>
      </w:r>
      <w:r w:rsidR="001D42CC">
        <w:t>,</w:t>
      </w:r>
      <w:r w:rsidR="00632EF0" w:rsidRPr="00A44D31">
        <w:t xml:space="preserve"> with the exception of the volatility arbitrage strategy</w:t>
      </w:r>
      <w:r w:rsidR="001D42CC">
        <w:t>,</w:t>
      </w:r>
      <w:r w:rsidR="00632EF0" w:rsidRPr="00A44D31">
        <w:t xml:space="preserve"> the returns ha</w:t>
      </w:r>
      <w:r w:rsidR="001D42CC">
        <w:t>d</w:t>
      </w:r>
      <w:r w:rsidR="00632EF0" w:rsidRPr="00A44D31">
        <w:t xml:space="preserve"> positive skewness. Moreover, several so called “market-neutral” arbitrage strategies impose</w:t>
      </w:r>
      <w:r w:rsidR="00B850F9">
        <w:t>d</w:t>
      </w:r>
      <w:r w:rsidR="00632EF0" w:rsidRPr="00A44D31">
        <w:t xml:space="preserve"> substantial risk exposures such as equity and bond market </w:t>
      </w:r>
      <w:r w:rsidR="00632EF0" w:rsidRPr="00A44D31">
        <w:lastRenderedPageBreak/>
        <w:t>factors</w:t>
      </w:r>
      <w:r w:rsidR="00B850F9">
        <w:t xml:space="preserve"> on investors</w:t>
      </w:r>
      <w:r w:rsidR="00632EF0" w:rsidRPr="00A44D31">
        <w:t xml:space="preserve">. </w:t>
      </w:r>
      <w:r w:rsidR="004D5D03">
        <w:t>However</w:t>
      </w:r>
      <w:r w:rsidR="00632EF0" w:rsidRPr="00A44D31">
        <w:t>, they found little evidence that these strategies expose</w:t>
      </w:r>
      <w:r w:rsidR="00C730B9">
        <w:t>d</w:t>
      </w:r>
      <w:r w:rsidR="00632EF0" w:rsidRPr="00A44D31">
        <w:t xml:space="preserve"> investors to substantial downside risk. </w:t>
      </w:r>
    </w:p>
    <w:p w:rsidR="0064482B" w:rsidRPr="00A44D31" w:rsidRDefault="0064482B" w:rsidP="00B93647">
      <w:pPr>
        <w:spacing w:line="480" w:lineRule="auto"/>
        <w:jc w:val="both"/>
        <w:rPr>
          <w:rFonts w:eastAsiaTheme="minorEastAsia"/>
          <w:lang w:val="en-US"/>
        </w:rPr>
      </w:pPr>
      <w:r w:rsidRPr="00A44D31">
        <w:rPr>
          <w:rFonts w:eastAsiaTheme="minorEastAsia"/>
          <w:lang w:val="en-US"/>
        </w:rPr>
        <w:t>All the studies we have covered in th</w:t>
      </w:r>
      <w:r w:rsidR="00D0496A" w:rsidRPr="00A44D31">
        <w:rPr>
          <w:rFonts w:eastAsiaTheme="minorEastAsia"/>
          <w:lang w:val="en-US"/>
        </w:rPr>
        <w:t>is sub-section</w:t>
      </w:r>
      <w:r w:rsidRPr="00A44D31">
        <w:rPr>
          <w:rFonts w:eastAsiaTheme="minorEastAsia"/>
          <w:lang w:val="en-US"/>
        </w:rPr>
        <w:t xml:space="preserve"> have</w:t>
      </w:r>
      <w:r w:rsidR="00DC69F7">
        <w:rPr>
          <w:rFonts w:eastAsiaTheme="minorEastAsia"/>
          <w:lang w:val="en-US"/>
        </w:rPr>
        <w:t xml:space="preserve"> been non-linear models that tried</w:t>
      </w:r>
      <w:r w:rsidRPr="00A44D31">
        <w:rPr>
          <w:rFonts w:eastAsiaTheme="minorEastAsia"/>
          <w:lang w:val="en-US"/>
        </w:rPr>
        <w:t xml:space="preserve"> to explain hedge funds’ performance as option portfolios. Fung and Hsieh (1997) provided a useful characterization of the type of option strategy that one should expect when analyzing hedge funds returns. Fung and Hsieh (2001, 2002) repeatedly demonstrated empirically that returns of trend-following strategies resemble lookback straddle returns. The same authors in 2004 presented the seven factor model that was able to capture </w:t>
      </w:r>
      <w:r w:rsidRPr="00A44D31">
        <w:rPr>
          <w:lang w:val="en-US"/>
        </w:rPr>
        <w:t>the common risk ABS factors in hedge funds.</w:t>
      </w:r>
      <w:r w:rsidRPr="00A44D31">
        <w:rPr>
          <w:rFonts w:eastAsiaTheme="minorEastAsia"/>
          <w:lang w:val="en-US"/>
        </w:rPr>
        <w:t xml:space="preserve"> Huber and Kaiser (2004) verified Fung and Hsieh (1997, 2001)’s results. They also showed that hedge funds (especially those using a convergence strategy) also have option-like return structures. Agarwal and </w:t>
      </w:r>
      <w:proofErr w:type="spellStart"/>
      <w:r w:rsidRPr="00A44D31">
        <w:rPr>
          <w:rFonts w:eastAsiaTheme="minorEastAsia"/>
          <w:lang w:val="en-US"/>
        </w:rPr>
        <w:t>Naik</w:t>
      </w:r>
      <w:proofErr w:type="spellEnd"/>
      <w:r w:rsidRPr="00A44D31">
        <w:rPr>
          <w:rFonts w:eastAsiaTheme="minorEastAsia"/>
          <w:lang w:val="en-US"/>
        </w:rPr>
        <w:t xml:space="preserve"> (2000 and 2004) suggested a factor model based on passive option-based strategies and buy-and-hold strategies to benchmark the performance of hedge funds. Their findings </w:t>
      </w:r>
      <w:r w:rsidR="00F70B68">
        <w:rPr>
          <w:rFonts w:eastAsiaTheme="minorEastAsia"/>
          <w:lang w:val="en-US"/>
        </w:rPr>
        <w:t>were</w:t>
      </w:r>
      <w:r w:rsidRPr="00A44D31">
        <w:rPr>
          <w:rFonts w:eastAsiaTheme="minorEastAsia"/>
          <w:lang w:val="en-US"/>
        </w:rPr>
        <w:t xml:space="preserve"> consistent with Fung and Hsieh (1997) concerning the payoff style of some hedge fund strategies. </w:t>
      </w:r>
      <w:r w:rsidR="009C742F">
        <w:t xml:space="preserve">Duarte, </w:t>
      </w:r>
      <w:proofErr w:type="spellStart"/>
      <w:r w:rsidR="009C742F">
        <w:t>Longstaff</w:t>
      </w:r>
      <w:proofErr w:type="spellEnd"/>
      <w:r w:rsidR="003068B4" w:rsidRPr="00A44D31">
        <w:t xml:space="preserve"> and Yu (2007) found that the so called market neutral strategies </w:t>
      </w:r>
      <w:r w:rsidR="00CD6377">
        <w:t>were</w:t>
      </w:r>
      <w:r w:rsidR="003068B4" w:rsidRPr="00A44D31">
        <w:t xml:space="preserve"> not so neutral for investors and some fixed income strategies require</w:t>
      </w:r>
      <w:r w:rsidR="00DA6331">
        <w:t>d</w:t>
      </w:r>
      <w:r w:rsidR="003068B4" w:rsidRPr="00A44D31">
        <w:t xml:space="preserve"> the most “intellectual capital” to implement.</w:t>
      </w:r>
    </w:p>
    <w:p w:rsidR="0064482B" w:rsidRPr="00A44D31" w:rsidRDefault="0064482B" w:rsidP="00B93647">
      <w:pPr>
        <w:spacing w:line="480" w:lineRule="auto"/>
        <w:jc w:val="both"/>
        <w:rPr>
          <w:rFonts w:eastAsiaTheme="minorEastAsia"/>
          <w:lang w:val="en-US"/>
        </w:rPr>
      </w:pPr>
      <w:r w:rsidRPr="00A44D31">
        <w:rPr>
          <w:rFonts w:eastAsiaTheme="minorEastAsia"/>
          <w:lang w:val="en-US"/>
        </w:rPr>
        <w:t xml:space="preserve">Although these studies are important to conceptually explain hedge funds returns using non-linear models, we believe </w:t>
      </w:r>
      <w:r w:rsidR="0082373D">
        <w:rPr>
          <w:rFonts w:eastAsiaTheme="minorEastAsia"/>
          <w:lang w:val="en-US"/>
        </w:rPr>
        <w:t>that there is a weakness as</w:t>
      </w:r>
      <w:r w:rsidRPr="00A44D31">
        <w:rPr>
          <w:rFonts w:eastAsiaTheme="minorEastAsia"/>
          <w:lang w:val="en-US"/>
        </w:rPr>
        <w:t xml:space="preserve"> those perspectives may not help investors in a practical way to choose and evaluate hedge funds. This is because, first, these exposures are not static and change very often (see </w:t>
      </w:r>
      <w:r w:rsidR="00255365" w:rsidRPr="00A44D31">
        <w:rPr>
          <w:rFonts w:eastAsiaTheme="minorEastAsia"/>
          <w:lang w:val="en-US"/>
        </w:rPr>
        <w:t xml:space="preserve">sub-section </w:t>
      </w:r>
      <w:r w:rsidR="00F55A2B">
        <w:rPr>
          <w:rFonts w:eastAsiaTheme="minorEastAsia"/>
          <w:lang w:val="en-US"/>
        </w:rPr>
        <w:t>5</w:t>
      </w:r>
      <w:r w:rsidR="00255365" w:rsidRPr="00A44D31">
        <w:rPr>
          <w:rFonts w:eastAsiaTheme="minorEastAsia"/>
          <w:lang w:val="en-US"/>
        </w:rPr>
        <w:t>.3</w:t>
      </w:r>
      <w:r w:rsidRPr="00A44D31">
        <w:rPr>
          <w:rFonts w:eastAsiaTheme="minorEastAsia"/>
          <w:lang w:val="en-US"/>
        </w:rPr>
        <w:t>) and, second, these factors</w:t>
      </w:r>
      <w:r w:rsidR="00F72A7A" w:rsidRPr="00F72A7A">
        <w:rPr>
          <w:rFonts w:eastAsiaTheme="minorEastAsia"/>
          <w:color w:val="7030A0"/>
          <w:lang w:val="en-US"/>
        </w:rPr>
        <w:t xml:space="preserve"> </w:t>
      </w:r>
      <w:r w:rsidRPr="00A44D31">
        <w:rPr>
          <w:rFonts w:eastAsiaTheme="minorEastAsia"/>
          <w:lang w:val="en-US"/>
        </w:rPr>
        <w:t xml:space="preserve">are not easy to replicate by an investor. </w:t>
      </w:r>
      <w:r w:rsidR="00D4325E" w:rsidRPr="00A44D31">
        <w:rPr>
          <w:rFonts w:eastAsiaTheme="minorEastAsia"/>
        </w:rPr>
        <w:t>Moreover, some strategies (such as global mac</w:t>
      </w:r>
      <w:r w:rsidR="00E53791" w:rsidRPr="00A44D31">
        <w:rPr>
          <w:rFonts w:eastAsiaTheme="minorEastAsia"/>
        </w:rPr>
        <w:t>ro or multi strategy</w:t>
      </w:r>
      <w:r w:rsidR="00D4325E" w:rsidRPr="00A44D31">
        <w:rPr>
          <w:rFonts w:eastAsiaTheme="minorEastAsia"/>
        </w:rPr>
        <w:t xml:space="preserve">) are not well defined hence </w:t>
      </w:r>
      <w:r w:rsidR="00586D7E">
        <w:rPr>
          <w:rFonts w:eastAsiaTheme="minorEastAsia"/>
        </w:rPr>
        <w:t>are</w:t>
      </w:r>
      <w:r w:rsidR="00D4325E" w:rsidRPr="00A44D31">
        <w:rPr>
          <w:rFonts w:eastAsiaTheme="minorEastAsia"/>
        </w:rPr>
        <w:t xml:space="preserve"> difficult to replicate. </w:t>
      </w:r>
      <w:r w:rsidRPr="00A44D31">
        <w:rPr>
          <w:rFonts w:eastAsiaTheme="minorEastAsia"/>
          <w:lang w:val="en-US"/>
        </w:rPr>
        <w:t xml:space="preserve">We discuss this issue further in </w:t>
      </w:r>
      <w:r w:rsidR="00255365" w:rsidRPr="00A44D31">
        <w:rPr>
          <w:rFonts w:eastAsiaTheme="minorEastAsia"/>
          <w:lang w:val="en-US"/>
        </w:rPr>
        <w:t xml:space="preserve">section </w:t>
      </w:r>
      <w:r w:rsidR="00F55A2B">
        <w:rPr>
          <w:rFonts w:eastAsiaTheme="minorEastAsia"/>
          <w:lang w:val="en-US"/>
        </w:rPr>
        <w:t>5</w:t>
      </w:r>
      <w:r w:rsidR="00255365" w:rsidRPr="00A44D31">
        <w:rPr>
          <w:rFonts w:eastAsiaTheme="minorEastAsia"/>
          <w:lang w:val="en-US"/>
        </w:rPr>
        <w:t>.3</w:t>
      </w:r>
      <w:r w:rsidRPr="00A44D31">
        <w:rPr>
          <w:rFonts w:eastAsiaTheme="minorEastAsia"/>
          <w:lang w:val="en-US"/>
        </w:rPr>
        <w:t xml:space="preserve">.     </w:t>
      </w:r>
      <w:r w:rsidRPr="00A44D31">
        <w:rPr>
          <w:lang w:val="en-US"/>
        </w:rPr>
        <w:t xml:space="preserve"> </w:t>
      </w:r>
    </w:p>
    <w:p w:rsidR="004F2638" w:rsidRPr="00A44D31" w:rsidRDefault="00F04316" w:rsidP="00B93647">
      <w:pPr>
        <w:pStyle w:val="Heading2"/>
        <w:spacing w:line="480" w:lineRule="auto"/>
        <w:rPr>
          <w:rFonts w:eastAsiaTheme="minorEastAsia"/>
          <w:lang w:val="en-US"/>
        </w:rPr>
      </w:pPr>
      <w:r w:rsidRPr="00A44D31">
        <w:rPr>
          <w:rFonts w:eastAsiaTheme="minorEastAsia"/>
          <w:lang w:val="en-US"/>
        </w:rPr>
        <w:lastRenderedPageBreak/>
        <w:t>Up-Bottom Approach</w:t>
      </w:r>
    </w:p>
    <w:p w:rsidR="008C7EC1" w:rsidRPr="00A44D31" w:rsidRDefault="008C7EC1" w:rsidP="00B93647">
      <w:pPr>
        <w:spacing w:line="480" w:lineRule="auto"/>
        <w:jc w:val="both"/>
      </w:pPr>
      <w:r w:rsidRPr="00A44D31">
        <w:t xml:space="preserve">In this sub-section we deal with up-bottom approaches that in general use additional factors that better explain hedge fund returns </w:t>
      </w:r>
      <w:r w:rsidR="00950292" w:rsidRPr="00A44D31">
        <w:t>and also</w:t>
      </w:r>
      <w:r w:rsidRPr="00A44D31">
        <w:t xml:space="preserve"> statistical techniques refining these risk factors within the multi-factor models. </w:t>
      </w:r>
      <w:r w:rsidR="00B775F8" w:rsidRPr="00A44D31">
        <w:t>Later studies, use more advanced econometric techniques.</w:t>
      </w:r>
      <w:r w:rsidR="00950292" w:rsidRPr="00A44D31">
        <w:t xml:space="preserve"> We begin with two studies of Patton (2009) and Bali, Brown, and </w:t>
      </w:r>
      <w:proofErr w:type="spellStart"/>
      <w:r w:rsidR="00950292" w:rsidRPr="00A44D31">
        <w:t>Caglayan</w:t>
      </w:r>
      <w:proofErr w:type="spellEnd"/>
      <w:r w:rsidR="00950292" w:rsidRPr="00A44D31">
        <w:t xml:space="preserve"> (2012) that have examined hedge funds’ claim of market neutrality. </w:t>
      </w:r>
      <w:r w:rsidR="008C2D73" w:rsidRPr="00A44D31">
        <w:t xml:space="preserve">Given the evidence that hedge funds contain systematic risk we proceed </w:t>
      </w:r>
      <w:r w:rsidR="00C6781C" w:rsidRPr="00A44D31">
        <w:t xml:space="preserve">further </w:t>
      </w:r>
      <w:r w:rsidR="008C2D73" w:rsidRPr="00A44D31">
        <w:t xml:space="preserve">to studies that attribute hedge fund performance to various risks.  </w:t>
      </w:r>
    </w:p>
    <w:p w:rsidR="00B12A75" w:rsidRPr="00B12A75" w:rsidRDefault="00B12A75" w:rsidP="00B93647">
      <w:pPr>
        <w:spacing w:line="480" w:lineRule="auto"/>
        <w:jc w:val="both"/>
        <w:rPr>
          <w:b/>
        </w:rPr>
      </w:pPr>
      <w:r w:rsidRPr="00B12A75">
        <w:rPr>
          <w:b/>
        </w:rPr>
        <w:t>Market Neutrality</w:t>
      </w:r>
    </w:p>
    <w:p w:rsidR="0017782E" w:rsidRPr="00A44D31" w:rsidRDefault="00D209DF" w:rsidP="00B93647">
      <w:pPr>
        <w:spacing w:line="480" w:lineRule="auto"/>
        <w:jc w:val="both"/>
      </w:pPr>
      <w:r>
        <w:t xml:space="preserve">An </w:t>
      </w:r>
      <w:r w:rsidR="00ED4DAF">
        <w:t>in-</w:t>
      </w:r>
      <w:r w:rsidR="00F958B7" w:rsidRPr="00A44D31">
        <w:t xml:space="preserve">depth </w:t>
      </w:r>
      <w:r>
        <w:t xml:space="preserve">study of </w:t>
      </w:r>
      <w:r w:rsidR="00F958B7" w:rsidRPr="00A44D31">
        <w:t xml:space="preserve">the dependence between hedge fund returns and the S&amp;P 500 index </w:t>
      </w:r>
      <w:r w:rsidR="00256E4C">
        <w:t>was carried out</w:t>
      </w:r>
      <w:r>
        <w:t xml:space="preserve"> </w:t>
      </w:r>
      <w:r w:rsidR="00F958B7" w:rsidRPr="00A44D31">
        <w:t xml:space="preserve">by </w:t>
      </w:r>
      <w:r w:rsidRPr="00A44D31">
        <w:t>Patton (2009)</w:t>
      </w:r>
      <w:r>
        <w:t xml:space="preserve"> </w:t>
      </w:r>
      <w:r w:rsidR="00F958B7" w:rsidRPr="00A44D31">
        <w:t xml:space="preserve">using the HFR and TASS databases from 1993 to 2003. He proposed five new neutrality concepts: mean neutrality, variance neutrality, value-at-risk neutrality, tail neutrality, and complete neutrality. The neutrality tests showed that about one quarter of funds in the market neutral category </w:t>
      </w:r>
      <w:r w:rsidR="00EB12B9">
        <w:t>were</w:t>
      </w:r>
      <w:r w:rsidR="00F958B7" w:rsidRPr="00A44D31">
        <w:t xml:space="preserve"> significant non-</w:t>
      </w:r>
      <w:r w:rsidR="00F958B7" w:rsidRPr="00E34E6E">
        <w:t xml:space="preserve">neutral. </w:t>
      </w:r>
      <w:r w:rsidR="00B30683" w:rsidRPr="00E34E6E">
        <w:t>For other fund styles the proportions of non-neutral fu</w:t>
      </w:r>
      <w:r w:rsidR="00194C60" w:rsidRPr="00E34E6E">
        <w:t>nds are from 50%</w:t>
      </w:r>
      <w:r w:rsidR="00B30683" w:rsidRPr="00E34E6E">
        <w:t xml:space="preserve"> for fund of funds to 85% for equity non-hedge. </w:t>
      </w:r>
      <w:r w:rsidR="00500716" w:rsidRPr="00E34E6E">
        <w:t>M</w:t>
      </w:r>
      <w:r w:rsidR="00F958B7" w:rsidRPr="00E34E6E">
        <w:t>arket</w:t>
      </w:r>
      <w:r w:rsidR="00F958B7" w:rsidRPr="00A44D31">
        <w:t xml:space="preserve"> neutral style funds </w:t>
      </w:r>
      <w:r w:rsidR="00164C88">
        <w:t>were</w:t>
      </w:r>
      <w:r w:rsidR="00F958B7" w:rsidRPr="00A44D31">
        <w:t xml:space="preserve"> more neutral to market returns than other categories such as equity hedge, non-equity hedge, or event driven funds. Overall, even for market neutral funds there </w:t>
      </w:r>
      <w:r w:rsidR="00044B2A">
        <w:t>was</w:t>
      </w:r>
      <w:r w:rsidR="00F958B7" w:rsidRPr="00A44D31">
        <w:t xml:space="preserve"> significant and positive dependence between hedge fund returns and market returns.</w:t>
      </w:r>
      <w:r w:rsidR="0017782E" w:rsidRPr="00A44D31">
        <w:t xml:space="preserve"> </w:t>
      </w:r>
    </w:p>
    <w:p w:rsidR="00EC1EB1" w:rsidRPr="00A44D31" w:rsidRDefault="00A767BF" w:rsidP="00B93647">
      <w:pPr>
        <w:spacing w:line="480" w:lineRule="auto"/>
        <w:jc w:val="both"/>
      </w:pPr>
      <w:r w:rsidRPr="00A44D31">
        <w:t xml:space="preserve">A closely related study with the above </w:t>
      </w:r>
      <w:r w:rsidR="003F36D8">
        <w:t>came</w:t>
      </w:r>
      <w:r w:rsidRPr="00A44D31">
        <w:t xml:space="preserve"> from </w:t>
      </w:r>
      <w:r w:rsidR="0017782E" w:rsidRPr="00A44D31">
        <w:t xml:space="preserve">Bali, Brown, </w:t>
      </w:r>
      <w:proofErr w:type="spellStart"/>
      <w:r w:rsidR="0017782E" w:rsidRPr="00A44D31">
        <w:t>Caglayan</w:t>
      </w:r>
      <w:proofErr w:type="spellEnd"/>
      <w:r w:rsidR="0017782E" w:rsidRPr="00A44D31">
        <w:t xml:space="preserve"> (2012) </w:t>
      </w:r>
      <w:r w:rsidR="0064224D">
        <w:t>who</w:t>
      </w:r>
      <w:r w:rsidRPr="00A44D31">
        <w:t xml:space="preserve"> </w:t>
      </w:r>
      <w:r w:rsidR="0017782E" w:rsidRPr="00A44D31">
        <w:t xml:space="preserve">examined </w:t>
      </w:r>
      <w:r w:rsidR="0064224D">
        <w:t>how much</w:t>
      </w:r>
      <w:r w:rsidR="002C207F">
        <w:t xml:space="preserve"> the market risk, residual risk</w:t>
      </w:r>
      <w:r w:rsidR="0017782E" w:rsidRPr="00A44D31">
        <w:t xml:space="preserve"> and tail risk justif</w:t>
      </w:r>
      <w:r w:rsidR="002C207F">
        <w:t>ied</w:t>
      </w:r>
      <w:r w:rsidR="0017782E" w:rsidRPr="00A44D31">
        <w:t xml:space="preserve"> the cross-sectional dispersion in hedge fund returns, using the Lipper/TASS database from 1994 </w:t>
      </w:r>
      <w:r w:rsidR="0017782E" w:rsidRPr="00A44D31">
        <w:lastRenderedPageBreak/>
        <w:t>to 2010. The authors separate</w:t>
      </w:r>
      <w:r w:rsidR="00106B3C">
        <w:t>d</w:t>
      </w:r>
      <w:r w:rsidR="0017782E" w:rsidRPr="00A44D31">
        <w:t xml:space="preserve"> the total risk into systematic and fund-specific or residual risk components. Using cross-sectional regressions, univariate and bivariate portfolio analysis they found that systematic risk </w:t>
      </w:r>
      <w:r w:rsidR="00C6088F">
        <w:t>was</w:t>
      </w:r>
      <w:r w:rsidR="0017782E" w:rsidRPr="00A44D31">
        <w:t xml:space="preserve"> more powerful than residual risk in predicting the cross-sectional variation </w:t>
      </w:r>
      <w:r w:rsidR="0017782E" w:rsidRPr="00E34E6E">
        <w:t>in hedge funds</w:t>
      </w:r>
      <w:r w:rsidR="0069304A" w:rsidRPr="00E34E6E">
        <w:t>, even after taking into consideration various fund characteristics (e.g. fees, size</w:t>
      </w:r>
      <w:r w:rsidR="00270E55" w:rsidRPr="00E34E6E">
        <w:t xml:space="preserve"> and</w:t>
      </w:r>
      <w:r w:rsidR="0069304A" w:rsidRPr="00E34E6E">
        <w:t xml:space="preserve"> age)</w:t>
      </w:r>
      <w:r w:rsidR="0017782E" w:rsidRPr="00E34E6E">
        <w:t>. Furthermore, funds within the highest systematic risk quintile generate</w:t>
      </w:r>
      <w:r w:rsidR="00613739" w:rsidRPr="00E34E6E">
        <w:t>d</w:t>
      </w:r>
      <w:r w:rsidR="0017782E" w:rsidRPr="00E34E6E">
        <w:t xml:space="preserve"> </w:t>
      </w:r>
      <w:r w:rsidR="00613739" w:rsidRPr="00E34E6E">
        <w:t xml:space="preserve">on average </w:t>
      </w:r>
      <w:r w:rsidR="0017782E" w:rsidRPr="00E34E6E">
        <w:t xml:space="preserve">6% </w:t>
      </w:r>
      <w:r w:rsidR="00613739" w:rsidRPr="00E34E6E">
        <w:t>higher</w:t>
      </w:r>
      <w:r w:rsidR="0017782E" w:rsidRPr="00E34E6E">
        <w:t xml:space="preserve"> annual return</w:t>
      </w:r>
      <w:r w:rsidR="00613739" w:rsidRPr="00E34E6E">
        <w:t>s</w:t>
      </w:r>
      <w:r w:rsidR="0017782E" w:rsidRPr="00E34E6E">
        <w:t xml:space="preserve"> </w:t>
      </w:r>
      <w:r w:rsidR="00613739" w:rsidRPr="00E34E6E">
        <w:t>than</w:t>
      </w:r>
      <w:r w:rsidR="0017782E" w:rsidRPr="00E34E6E">
        <w:t xml:space="preserve"> funds within the lowest systematic risk quintile. These results </w:t>
      </w:r>
      <w:r w:rsidR="00613739" w:rsidRPr="00E34E6E">
        <w:t>remained</w:t>
      </w:r>
      <w:r w:rsidR="0017782E" w:rsidRPr="00E34E6E">
        <w:t xml:space="preserve"> w</w:t>
      </w:r>
      <w:r w:rsidR="00613739" w:rsidRPr="00E34E6E">
        <w:t>hen using risk-adjusted returns</w:t>
      </w:r>
      <w:r w:rsidR="0017782E" w:rsidRPr="00E34E6E">
        <w:t xml:space="preserve"> as well. </w:t>
      </w:r>
      <w:r w:rsidR="0055610E" w:rsidRPr="00E34E6E">
        <w:t>In addition the relation</w:t>
      </w:r>
      <w:r w:rsidR="00270E55" w:rsidRPr="00E34E6E">
        <w:t>ship</w:t>
      </w:r>
      <w:r w:rsidR="0055610E" w:rsidRPr="00E34E6E">
        <w:t xml:space="preserve"> between residual risk and future fund returns </w:t>
      </w:r>
      <w:r w:rsidR="00270E55" w:rsidRPr="00E34E6E">
        <w:t>wa</w:t>
      </w:r>
      <w:r w:rsidR="0055610E" w:rsidRPr="00E34E6E">
        <w:t xml:space="preserve">s insignificant. </w:t>
      </w:r>
      <w:r w:rsidR="00EC1EB1" w:rsidRPr="00E34E6E">
        <w:rPr>
          <w:lang w:val="en-US"/>
        </w:rPr>
        <w:t xml:space="preserve">     </w:t>
      </w:r>
    </w:p>
    <w:p w:rsidR="00FC2CB7" w:rsidRPr="00FC2CB7" w:rsidRDefault="00F52A24" w:rsidP="00B93647">
      <w:pPr>
        <w:spacing w:line="480" w:lineRule="auto"/>
        <w:jc w:val="both"/>
        <w:rPr>
          <w:rFonts w:eastAsiaTheme="minorEastAsia"/>
          <w:b/>
          <w:lang w:val="en-US"/>
        </w:rPr>
      </w:pPr>
      <w:r>
        <w:rPr>
          <w:rFonts w:eastAsiaTheme="minorEastAsia"/>
          <w:b/>
          <w:lang w:val="en-US"/>
        </w:rPr>
        <w:t>Dealing with S</w:t>
      </w:r>
      <w:r w:rsidR="00FC2CB7" w:rsidRPr="00FC2CB7">
        <w:rPr>
          <w:rFonts w:eastAsiaTheme="minorEastAsia"/>
          <w:b/>
          <w:lang w:val="en-US"/>
        </w:rPr>
        <w:t>ystematic Risk</w:t>
      </w:r>
    </w:p>
    <w:p w:rsidR="004217B7" w:rsidRPr="00E34E6E" w:rsidRDefault="007D74BB" w:rsidP="00B93647">
      <w:pPr>
        <w:spacing w:line="480" w:lineRule="auto"/>
        <w:jc w:val="both"/>
        <w:rPr>
          <w:rFonts w:eastAsiaTheme="minorEastAsia"/>
          <w:lang w:val="en-US"/>
        </w:rPr>
      </w:pPr>
      <w:r w:rsidRPr="00A44D31">
        <w:rPr>
          <w:rFonts w:eastAsiaTheme="minorEastAsia"/>
          <w:lang w:val="en-US"/>
        </w:rPr>
        <w:t>As we mentioned, g</w:t>
      </w:r>
      <w:r w:rsidR="006E3B2E" w:rsidRPr="00A44D31">
        <w:rPr>
          <w:rFonts w:eastAsiaTheme="minorEastAsia"/>
          <w:lang w:val="en-US"/>
        </w:rPr>
        <w:t xml:space="preserve">iven that hedge fund strategies are not </w:t>
      </w:r>
      <w:r w:rsidR="00350DEB" w:rsidRPr="00A44D31">
        <w:rPr>
          <w:rFonts w:eastAsiaTheme="minorEastAsia"/>
          <w:lang w:val="en-US"/>
        </w:rPr>
        <w:t>as</w:t>
      </w:r>
      <w:r w:rsidR="006E3B2E" w:rsidRPr="00A44D31">
        <w:rPr>
          <w:rFonts w:eastAsiaTheme="minorEastAsia"/>
          <w:lang w:val="en-US"/>
        </w:rPr>
        <w:t xml:space="preserve"> neutral as </w:t>
      </w:r>
      <w:r w:rsidR="00FD51FE">
        <w:rPr>
          <w:rFonts w:eastAsiaTheme="minorEastAsia"/>
          <w:lang w:val="en-US"/>
        </w:rPr>
        <w:t>they claim (at least for the so-</w:t>
      </w:r>
      <w:r w:rsidR="006E3B2E" w:rsidRPr="00A44D31">
        <w:rPr>
          <w:rFonts w:eastAsiaTheme="minorEastAsia"/>
          <w:lang w:val="en-US"/>
        </w:rPr>
        <w:t>called market neutral strategies)</w:t>
      </w:r>
      <w:r w:rsidR="00D416D0">
        <w:rPr>
          <w:rFonts w:eastAsiaTheme="minorEastAsia"/>
          <w:lang w:val="en-US"/>
        </w:rPr>
        <w:t>,</w:t>
      </w:r>
      <w:r w:rsidR="006E3B2E" w:rsidRPr="00A44D31">
        <w:rPr>
          <w:rFonts w:eastAsiaTheme="minorEastAsia"/>
          <w:lang w:val="en-US"/>
        </w:rPr>
        <w:t xml:space="preserve"> there are studies that </w:t>
      </w:r>
      <w:r w:rsidR="00D416D0">
        <w:rPr>
          <w:rFonts w:eastAsiaTheme="minorEastAsia"/>
          <w:lang w:val="en-US"/>
        </w:rPr>
        <w:t xml:space="preserve">have </w:t>
      </w:r>
      <w:r w:rsidR="006E3B2E" w:rsidRPr="00A44D31">
        <w:rPr>
          <w:rFonts w:eastAsiaTheme="minorEastAsia"/>
          <w:lang w:val="en-US"/>
        </w:rPr>
        <w:t>examine</w:t>
      </w:r>
      <w:r w:rsidR="00D416D0">
        <w:rPr>
          <w:rFonts w:eastAsiaTheme="minorEastAsia"/>
          <w:lang w:val="en-US"/>
        </w:rPr>
        <w:t>d</w:t>
      </w:r>
      <w:r w:rsidR="006E3B2E" w:rsidRPr="00A44D31">
        <w:rPr>
          <w:rFonts w:eastAsiaTheme="minorEastAsia"/>
          <w:lang w:val="en-US"/>
        </w:rPr>
        <w:t xml:space="preserve"> the systematic risk that hedge fund</w:t>
      </w:r>
      <w:r w:rsidR="00D416D0">
        <w:rPr>
          <w:rFonts w:eastAsiaTheme="minorEastAsia"/>
          <w:lang w:val="en-US"/>
        </w:rPr>
        <w:t>s</w:t>
      </w:r>
      <w:r w:rsidR="006E3B2E" w:rsidRPr="00A44D31">
        <w:rPr>
          <w:rFonts w:eastAsiaTheme="minorEastAsia"/>
          <w:lang w:val="en-US"/>
        </w:rPr>
        <w:t xml:space="preserve"> impose </w:t>
      </w:r>
      <w:r w:rsidR="00D416D0">
        <w:rPr>
          <w:rFonts w:eastAsiaTheme="minorEastAsia"/>
          <w:lang w:val="en-US"/>
        </w:rPr>
        <w:t>on</w:t>
      </w:r>
      <w:r w:rsidR="006E3B2E" w:rsidRPr="00A44D31">
        <w:rPr>
          <w:rFonts w:eastAsiaTheme="minorEastAsia"/>
          <w:lang w:val="en-US"/>
        </w:rPr>
        <w:t xml:space="preserve"> investors </w:t>
      </w:r>
      <w:r w:rsidR="00D416D0">
        <w:rPr>
          <w:rFonts w:eastAsiaTheme="minorEastAsia"/>
          <w:lang w:val="en-US"/>
        </w:rPr>
        <w:t>due to</w:t>
      </w:r>
      <w:r w:rsidR="006E3B2E" w:rsidRPr="00A44D31">
        <w:rPr>
          <w:rFonts w:eastAsiaTheme="minorEastAsia"/>
          <w:lang w:val="en-US"/>
        </w:rPr>
        <w:t xml:space="preserve"> the market and the </w:t>
      </w:r>
      <w:r w:rsidR="00350DEB" w:rsidRPr="00A44D31">
        <w:rPr>
          <w:rFonts w:eastAsiaTheme="minorEastAsia"/>
          <w:lang w:val="en-US"/>
        </w:rPr>
        <w:t>general macroeconomic</w:t>
      </w:r>
      <w:r w:rsidR="006E3B2E" w:rsidRPr="00A44D31">
        <w:rPr>
          <w:rFonts w:eastAsiaTheme="minorEastAsia"/>
          <w:lang w:val="en-US"/>
        </w:rPr>
        <w:t xml:space="preserve"> environment that funds operate within. </w:t>
      </w:r>
      <w:r w:rsidR="004217B7" w:rsidRPr="00A44D31">
        <w:rPr>
          <w:rFonts w:eastAsiaTheme="minorEastAsia"/>
          <w:lang w:val="en-US"/>
        </w:rPr>
        <w:t xml:space="preserve">Ibbotson, Chen and Zhu (2011) examined hedge funds’ alphas, betas and costs in a common framework. They used the TASS database and the sampling period was from 1995 to 2009. Fees were based on median fees - normally a 20 percent incentive fee and 1.5 percent management fee. Using regressions with the S&amp;P 500, U.S. intermediate-term government bond returns and U.S Treasury bills, they broke down </w:t>
      </w:r>
      <w:r w:rsidR="00EA1578">
        <w:rPr>
          <w:rFonts w:eastAsiaTheme="minorEastAsia"/>
          <w:lang w:val="en-US"/>
        </w:rPr>
        <w:t xml:space="preserve">average </w:t>
      </w:r>
      <w:r w:rsidR="004217B7" w:rsidRPr="00A44D31">
        <w:rPr>
          <w:rFonts w:eastAsiaTheme="minorEastAsia"/>
          <w:lang w:val="en-US"/>
        </w:rPr>
        <w:t xml:space="preserve">hedge funds </w:t>
      </w:r>
      <w:r w:rsidR="00EA1578">
        <w:rPr>
          <w:rFonts w:eastAsiaTheme="minorEastAsia"/>
          <w:lang w:val="en-US"/>
        </w:rPr>
        <w:t xml:space="preserve">annual </w:t>
      </w:r>
      <w:r w:rsidR="004217B7" w:rsidRPr="00A44D31">
        <w:rPr>
          <w:rFonts w:eastAsiaTheme="minorEastAsia"/>
          <w:lang w:val="en-US"/>
        </w:rPr>
        <w:t xml:space="preserve">returns of 11.3% into alpha (3.0%), beta (4.7%) and costs (fees, 3.43%). Their results showed that alphas were positive even during the financial crisis in 2008. The only exception was in 1998. Their results showed that a typical fund manager could add </w:t>
      </w:r>
      <w:r w:rsidR="004217B7" w:rsidRPr="00E34E6E">
        <w:rPr>
          <w:rFonts w:eastAsiaTheme="minorEastAsia"/>
          <w:lang w:val="en-US"/>
        </w:rPr>
        <w:t xml:space="preserve">value in both bear and bull markets and their betas were in general reduced </w:t>
      </w:r>
      <w:r w:rsidR="004217B7" w:rsidRPr="00E34E6E">
        <w:rPr>
          <w:rFonts w:eastAsiaTheme="minorEastAsia"/>
          <w:lang w:val="en-US"/>
        </w:rPr>
        <w:lastRenderedPageBreak/>
        <w:t>during bear markets.</w:t>
      </w:r>
      <w:r w:rsidR="004E5021" w:rsidRPr="00E34E6E">
        <w:rPr>
          <w:rFonts w:eastAsiaTheme="minorEastAsia"/>
          <w:lang w:val="en-US"/>
        </w:rPr>
        <w:t xml:space="preserve"> For example, during the technology bubble collapse fund managers underweighted equities in their portfolios.</w:t>
      </w:r>
    </w:p>
    <w:p w:rsidR="001F3D2F" w:rsidRPr="00A44D31" w:rsidRDefault="00861BA8" w:rsidP="00B93647">
      <w:pPr>
        <w:spacing w:line="480" w:lineRule="auto"/>
        <w:jc w:val="both"/>
        <w:rPr>
          <w:rFonts w:eastAsiaTheme="minorEastAsia"/>
          <w:lang w:val="en-US"/>
        </w:rPr>
      </w:pPr>
      <w:r>
        <w:rPr>
          <w:rFonts w:eastAsiaTheme="minorEastAsia"/>
          <w:lang w:val="en-US"/>
        </w:rPr>
        <w:t>A comparable study is from</w:t>
      </w:r>
      <w:r w:rsidR="007E5E45" w:rsidRPr="00A44D31">
        <w:rPr>
          <w:rFonts w:eastAsiaTheme="minorEastAsia"/>
          <w:lang w:val="en-US"/>
        </w:rPr>
        <w:t xml:space="preserve"> </w:t>
      </w:r>
      <w:r w:rsidR="001F3D2F" w:rsidRPr="00A44D31">
        <w:rPr>
          <w:rFonts w:eastAsiaTheme="minorEastAsia"/>
          <w:lang w:val="en-US"/>
        </w:rPr>
        <w:t>Bali</w:t>
      </w:r>
      <w:r w:rsidR="001F3D2F" w:rsidRPr="00A44D31">
        <w:rPr>
          <w:rFonts w:eastAsiaTheme="minorEastAsia"/>
          <w:i/>
          <w:lang w:val="en-US"/>
        </w:rPr>
        <w:t xml:space="preserve">, </w:t>
      </w:r>
      <w:r w:rsidR="001F3D2F" w:rsidRPr="00A44D31">
        <w:rPr>
          <w:rFonts w:eastAsiaTheme="minorEastAsia"/>
          <w:lang w:val="en-US"/>
        </w:rPr>
        <w:t xml:space="preserve">Brown and </w:t>
      </w:r>
      <w:proofErr w:type="spellStart"/>
      <w:r w:rsidR="001F3D2F" w:rsidRPr="00A44D31">
        <w:rPr>
          <w:rFonts w:eastAsiaTheme="minorEastAsia"/>
          <w:lang w:val="en-US"/>
        </w:rPr>
        <w:t>Caglayan</w:t>
      </w:r>
      <w:proofErr w:type="spellEnd"/>
      <w:r w:rsidR="001F3D2F" w:rsidRPr="00A44D31">
        <w:rPr>
          <w:rFonts w:eastAsiaTheme="minorEastAsia"/>
          <w:i/>
          <w:lang w:val="en-US"/>
        </w:rPr>
        <w:t xml:space="preserve"> </w:t>
      </w:r>
      <w:r w:rsidR="001F3D2F" w:rsidRPr="00A44D31">
        <w:rPr>
          <w:rFonts w:eastAsiaTheme="minorEastAsia"/>
          <w:lang w:val="en-US"/>
        </w:rPr>
        <w:t xml:space="preserve">(2011) </w:t>
      </w:r>
      <w:r w:rsidR="001765B3">
        <w:rPr>
          <w:rFonts w:eastAsiaTheme="minorEastAsia"/>
          <w:lang w:val="en-US"/>
        </w:rPr>
        <w:t>who</w:t>
      </w:r>
      <w:r w:rsidR="0083196D">
        <w:rPr>
          <w:rFonts w:eastAsiaTheme="minorEastAsia"/>
          <w:lang w:val="en-US"/>
        </w:rPr>
        <w:t xml:space="preserve"> </w:t>
      </w:r>
      <w:r w:rsidR="001F3D2F" w:rsidRPr="00A44D31">
        <w:rPr>
          <w:rFonts w:eastAsiaTheme="minorEastAsia"/>
          <w:lang w:val="en-US"/>
        </w:rPr>
        <w:t>examined how hedge funds’ exposures to various financial and macroeconomic factors could justify the cross-sectional variations in hedge fund returns. They used the Lipper/TASS database from 1994 to 2008. Their most important finding was that there is a positive relation between hedge fund exposure to default risk premium and hedge fund future return</w:t>
      </w:r>
      <w:r w:rsidR="007B411D">
        <w:rPr>
          <w:rFonts w:eastAsiaTheme="minorEastAsia"/>
          <w:lang w:val="en-US"/>
        </w:rPr>
        <w:t>s</w:t>
      </w:r>
      <w:r w:rsidR="001F3D2F" w:rsidRPr="00A44D31">
        <w:rPr>
          <w:rFonts w:eastAsiaTheme="minorEastAsia"/>
          <w:lang w:val="en-US"/>
        </w:rPr>
        <w:t xml:space="preserve">. This could be interpreted as </w:t>
      </w:r>
      <w:r w:rsidR="000E0EA2">
        <w:rPr>
          <w:rFonts w:eastAsiaTheme="minorEastAsia"/>
          <w:lang w:val="en-US"/>
        </w:rPr>
        <w:t xml:space="preserve">a </w:t>
      </w:r>
      <w:r w:rsidR="007B411D">
        <w:rPr>
          <w:rFonts w:eastAsiaTheme="minorEastAsia"/>
          <w:lang w:val="en-US"/>
        </w:rPr>
        <w:t xml:space="preserve">meaning that risk </w:t>
      </w:r>
      <w:proofErr w:type="spellStart"/>
      <w:r w:rsidR="007B411D">
        <w:rPr>
          <w:rFonts w:eastAsiaTheme="minorEastAsia"/>
          <w:lang w:val="en-US"/>
        </w:rPr>
        <w:t>premia</w:t>
      </w:r>
      <w:proofErr w:type="spellEnd"/>
      <w:r w:rsidR="001F3D2F" w:rsidRPr="00A44D31">
        <w:rPr>
          <w:rFonts w:eastAsiaTheme="minorEastAsia"/>
          <w:lang w:val="en-US"/>
        </w:rPr>
        <w:t xml:space="preserve"> on risky assets are negatively correlated with present economic activity. For example, investors demand higher expected returns in recessions and lower expected returns in booms when holding risky assets. In a recession period, the default risk spread is high, so hedge funds with higher exposure to the default premium are expected to give higher returns. They also found that hedge funds with lower exposure to inflation derived higher returns in the future. This has to do with uncertainty. As inflation rises, there is uncertainty in the economy (as investors have changing expectations) and they expect to observe a decline not only in hedge fund values but also in other financial instruments. When inflation is stable and uncertainty is low then </w:t>
      </w:r>
      <w:r w:rsidR="00C50CA3">
        <w:rPr>
          <w:rFonts w:eastAsiaTheme="minorEastAsia"/>
          <w:lang w:val="en-US"/>
        </w:rPr>
        <w:t>investors</w:t>
      </w:r>
      <w:r w:rsidR="001F3D2F" w:rsidRPr="00A44D31">
        <w:rPr>
          <w:rFonts w:eastAsiaTheme="minorEastAsia"/>
          <w:lang w:val="en-US"/>
        </w:rPr>
        <w:t xml:space="preserve"> expect those hedge funds and other financial instruments to have attractive returns. Overall, non-directional strategies (such as Fixed Income Arbitrage and Convertible Arbitrage) had lower variation and spreads in their exposures (beta factors) than directional strategies (such as Global Macro and Emerging Markets). </w:t>
      </w:r>
    </w:p>
    <w:p w:rsidR="00CC40F1" w:rsidRPr="00E34E6E" w:rsidRDefault="00791731" w:rsidP="00B93647">
      <w:pPr>
        <w:spacing w:line="480" w:lineRule="auto"/>
        <w:jc w:val="both"/>
      </w:pPr>
      <w:r>
        <w:rPr>
          <w:lang w:val="en-US"/>
        </w:rPr>
        <w:t>E</w:t>
      </w:r>
      <w:r w:rsidR="00E95F59">
        <w:rPr>
          <w:lang w:val="en-US"/>
        </w:rPr>
        <w:t>xtending</w:t>
      </w:r>
      <w:r w:rsidRPr="00A44D31">
        <w:rPr>
          <w:lang w:val="en-US"/>
        </w:rPr>
        <w:t xml:space="preserve"> their </w:t>
      </w:r>
      <w:r w:rsidR="00884827">
        <w:rPr>
          <w:lang w:val="en-US"/>
        </w:rPr>
        <w:t xml:space="preserve">2011 </w:t>
      </w:r>
      <w:r>
        <w:rPr>
          <w:lang w:val="en-US"/>
        </w:rPr>
        <w:t>work,</w:t>
      </w:r>
      <w:r w:rsidRPr="00A44D31">
        <w:rPr>
          <w:lang w:val="en-US"/>
        </w:rPr>
        <w:t xml:space="preserve"> </w:t>
      </w:r>
      <w:r w:rsidR="00CC40F1" w:rsidRPr="00A44D31">
        <w:t xml:space="preserve">Bali, Brown, </w:t>
      </w:r>
      <w:r w:rsidR="00884827">
        <w:t xml:space="preserve">and </w:t>
      </w:r>
      <w:proofErr w:type="spellStart"/>
      <w:r w:rsidR="00CC40F1" w:rsidRPr="00A44D31">
        <w:t>Caglayan</w:t>
      </w:r>
      <w:proofErr w:type="spellEnd"/>
      <w:r w:rsidR="00CC40F1" w:rsidRPr="00A44D31">
        <w:t xml:space="preserve"> (2014) proposed custom measures of macroeconomic risk that c</w:t>
      </w:r>
      <w:r w:rsidR="00CF2B4D">
        <w:t>ould</w:t>
      </w:r>
      <w:r w:rsidR="00CC40F1" w:rsidRPr="00A44D31">
        <w:t xml:space="preserve"> be regarded as measures of economic activity</w:t>
      </w:r>
      <w:r w:rsidR="00033251">
        <w:t>,</w:t>
      </w:r>
      <w:r w:rsidR="00CC40F1" w:rsidRPr="00A44D31">
        <w:t xml:space="preserve"> using the Lipper TASS database from 1994 to 2012. The macroeconomic </w:t>
      </w:r>
      <w:r w:rsidR="00CC40F1" w:rsidRPr="00A44D31">
        <w:lastRenderedPageBreak/>
        <w:t xml:space="preserve">variables that the authors used </w:t>
      </w:r>
      <w:r w:rsidR="009D7D1E">
        <w:t>were</w:t>
      </w:r>
      <w:r w:rsidR="00CC40F1" w:rsidRPr="00A44D31">
        <w:t xml:space="preserve"> the default spread, term spread, short-term interest rates changes, aggregate dividend yield, equity market index, inflation rate, unemployment rate, and the growth rate of real gross domestic product per capital. By using cross sectional regressions and portfolio analysis, the</w:t>
      </w:r>
      <w:r w:rsidR="006B2DE9">
        <w:t xml:space="preserve">y </w:t>
      </w:r>
      <w:r w:rsidR="00CC40F1" w:rsidRPr="00A44D31">
        <w:t>showed that uncertainty betas can describe a significant proportion of cross section return differences between hedge funds (</w:t>
      </w:r>
      <w:r w:rsidR="003051BA">
        <w:t>two</w:t>
      </w:r>
      <w:r w:rsidR="00CC40F1" w:rsidRPr="00A44D31">
        <w:t xml:space="preserve"> exception</w:t>
      </w:r>
      <w:r w:rsidR="003051BA">
        <w:t>s</w:t>
      </w:r>
      <w:r w:rsidR="00CC40F1" w:rsidRPr="00A44D31">
        <w:t xml:space="preserve"> </w:t>
      </w:r>
      <w:r w:rsidR="003051BA">
        <w:t>were</w:t>
      </w:r>
      <w:r w:rsidR="00CC40F1" w:rsidRPr="00A44D31">
        <w:t xml:space="preserve"> unemployment and short-term interest rate changes). More specific</w:t>
      </w:r>
      <w:r w:rsidR="00556C32">
        <w:t>ally</w:t>
      </w:r>
      <w:r w:rsidR="00CC40F1" w:rsidRPr="00A44D31">
        <w:t>, funds in the highest uncertainty index beta quintile deliver</w:t>
      </w:r>
      <w:r w:rsidR="00941ECC">
        <w:t>ed</w:t>
      </w:r>
      <w:r w:rsidR="00CC40F1" w:rsidRPr="00A44D31">
        <w:t xml:space="preserve"> 0.80% to 0.90% higher monthly returns and alphas compared to funds in the lowest uncertainty index beta quintile. Moreover, the macroeconomic risk </w:t>
      </w:r>
      <w:r w:rsidR="005B7009">
        <w:t xml:space="preserve">was a </w:t>
      </w:r>
      <w:r w:rsidR="00CC40F1" w:rsidRPr="00A44D31">
        <w:t xml:space="preserve">more powerful determinant on hedge fund returns </w:t>
      </w:r>
      <w:r w:rsidR="00885B96">
        <w:t>than</w:t>
      </w:r>
      <w:r w:rsidR="00CC40F1" w:rsidRPr="00A44D31">
        <w:t xml:space="preserve"> other common</w:t>
      </w:r>
      <w:r w:rsidR="00885B96">
        <w:t>ly</w:t>
      </w:r>
      <w:r w:rsidR="00CC40F1" w:rsidRPr="00A44D31">
        <w:t xml:space="preserve"> used financial risk factors (e.g. market</w:t>
      </w:r>
      <w:r w:rsidR="00885B96">
        <w:t xml:space="preserve"> returns</w:t>
      </w:r>
      <w:r w:rsidR="00CC40F1" w:rsidRPr="00A44D31">
        <w:t xml:space="preserve">, size, high minus low, momentum etc.). In addition, through the use of principal component analysis, the authors constructed an aggregate or broad index of macroeconomic risk </w:t>
      </w:r>
      <w:r w:rsidR="008624C2">
        <w:t>whose</w:t>
      </w:r>
      <w:r w:rsidR="00CC40F1" w:rsidRPr="00A44D31">
        <w:t xml:space="preserve"> first principal component explain</w:t>
      </w:r>
      <w:r w:rsidR="008624C2">
        <w:t>ed</w:t>
      </w:r>
      <w:r w:rsidR="00CC40F1" w:rsidRPr="00A44D31">
        <w:t xml:space="preserve"> about 62% of the correspond</w:t>
      </w:r>
      <w:r w:rsidR="008624C2">
        <w:t>ing</w:t>
      </w:r>
      <w:r w:rsidR="00CC40F1" w:rsidRPr="00A44D31">
        <w:t xml:space="preserve"> hedge fund return </w:t>
      </w:r>
      <w:r w:rsidR="00CC40F1" w:rsidRPr="00E34E6E">
        <w:t>variance. Moreover, directional strategies t</w:t>
      </w:r>
      <w:r w:rsidR="008624C2" w:rsidRPr="00E34E6E">
        <w:t>ook</w:t>
      </w:r>
      <w:r w:rsidR="00CC40F1" w:rsidRPr="00E34E6E">
        <w:t xml:space="preserve"> direct exposure to the underl</w:t>
      </w:r>
      <w:r w:rsidR="008C7903" w:rsidRPr="00E34E6E">
        <w:t>ying macroeconomic risk factors and non-directional strategies d</w:t>
      </w:r>
      <w:r w:rsidR="00270E55" w:rsidRPr="00E34E6E">
        <w:t>id</w:t>
      </w:r>
      <w:r w:rsidR="008C7903" w:rsidRPr="00E34E6E">
        <w:t xml:space="preserve"> not have significant macro-timing ability.</w:t>
      </w:r>
      <w:r w:rsidR="00CC40F1" w:rsidRPr="00E34E6E">
        <w:t xml:space="preserve">   </w:t>
      </w:r>
    </w:p>
    <w:p w:rsidR="004270FB" w:rsidRDefault="007B0193" w:rsidP="00B93647">
      <w:pPr>
        <w:spacing w:line="480" w:lineRule="auto"/>
        <w:jc w:val="both"/>
        <w:rPr>
          <w:color w:val="FF0000"/>
        </w:rPr>
      </w:pPr>
      <w:r w:rsidRPr="00A44D31">
        <w:t>Analogous to th</w:t>
      </w:r>
      <w:r w:rsidR="000B336F">
        <w:t>at</w:t>
      </w:r>
      <w:r w:rsidRPr="00A44D31">
        <w:t xml:space="preserve"> study but emphasizing forecasting </w:t>
      </w:r>
      <w:r w:rsidR="00473AF5" w:rsidRPr="00A44D31">
        <w:t xml:space="preserve">more </w:t>
      </w:r>
      <w:r w:rsidR="00473AF5">
        <w:t>was</w:t>
      </w:r>
      <w:r w:rsidRPr="00A44D31">
        <w:t xml:space="preserve"> the study </w:t>
      </w:r>
      <w:r w:rsidR="00473AF5">
        <w:t>by</w:t>
      </w:r>
      <w:r w:rsidRPr="00A44D31">
        <w:t xml:space="preserve"> </w:t>
      </w:r>
      <w:proofErr w:type="spellStart"/>
      <w:r w:rsidR="004270FB" w:rsidRPr="00A44D31">
        <w:t>Avramov</w:t>
      </w:r>
      <w:proofErr w:type="spellEnd"/>
      <w:r w:rsidR="004270FB" w:rsidRPr="00A44D31">
        <w:t xml:space="preserve">, </w:t>
      </w:r>
      <w:proofErr w:type="spellStart"/>
      <w:r w:rsidR="004270FB" w:rsidRPr="00A44D31">
        <w:t>Barras</w:t>
      </w:r>
      <w:proofErr w:type="spellEnd"/>
      <w:r w:rsidR="004270FB" w:rsidRPr="00A44D31">
        <w:t xml:space="preserve">, and </w:t>
      </w:r>
      <w:proofErr w:type="spellStart"/>
      <w:r w:rsidR="004270FB" w:rsidRPr="00A44D31">
        <w:t>Kosowski</w:t>
      </w:r>
      <w:proofErr w:type="spellEnd"/>
      <w:r w:rsidR="004270FB" w:rsidRPr="00A44D31">
        <w:t xml:space="preserve"> (2013)</w:t>
      </w:r>
      <w:r w:rsidR="00CB1583">
        <w:t>.</w:t>
      </w:r>
      <w:r w:rsidR="004270FB" w:rsidRPr="00A44D31">
        <w:t xml:space="preserve"> </w:t>
      </w:r>
      <w:r w:rsidR="00CB1583">
        <w:t>They</w:t>
      </w:r>
      <w:r w:rsidRPr="00A44D31">
        <w:t xml:space="preserve"> </w:t>
      </w:r>
      <w:r w:rsidR="004270FB" w:rsidRPr="00A44D31">
        <w:t>developed a unified methodological framework to asses both in-sample and out-of-sample hedge fund return</w:t>
      </w:r>
      <w:r w:rsidR="00216B33">
        <w:t>s</w:t>
      </w:r>
      <w:r w:rsidR="004270FB" w:rsidRPr="00A44D31">
        <w:t xml:space="preserve"> predictability based on macroeconomic </w:t>
      </w:r>
      <w:r w:rsidR="004270FB" w:rsidRPr="00E34E6E">
        <w:t xml:space="preserve">variables, using the </w:t>
      </w:r>
      <w:proofErr w:type="spellStart"/>
      <w:r w:rsidR="004270FB" w:rsidRPr="00E34E6E">
        <w:t>Barclayhedge</w:t>
      </w:r>
      <w:proofErr w:type="spellEnd"/>
      <w:r w:rsidR="004270FB" w:rsidRPr="00E34E6E">
        <w:t xml:space="preserve">, TASS, HFR, CISDM, </w:t>
      </w:r>
      <w:r w:rsidR="00216B33" w:rsidRPr="00E34E6E">
        <w:t>and MSCI</w:t>
      </w:r>
      <w:r w:rsidR="004270FB" w:rsidRPr="00E34E6E">
        <w:t xml:space="preserve"> databases from 1994 to 2008. </w:t>
      </w:r>
      <w:r w:rsidR="00D35487" w:rsidRPr="00E34E6E">
        <w:t>Beginning from in-sa</w:t>
      </w:r>
      <w:r w:rsidR="00194C60" w:rsidRPr="00E34E6E">
        <w:t>mple analysis, approximately 63%</w:t>
      </w:r>
      <w:r w:rsidR="00D35487" w:rsidRPr="00E34E6E">
        <w:t xml:space="preserve"> of the sample funds ha</w:t>
      </w:r>
      <w:r w:rsidR="00270E55" w:rsidRPr="00E34E6E">
        <w:t>d</w:t>
      </w:r>
      <w:r w:rsidR="00D35487" w:rsidRPr="00E34E6E">
        <w:t xml:space="preserve"> expected returns that change</w:t>
      </w:r>
      <w:r w:rsidR="00270E55" w:rsidRPr="00E34E6E">
        <w:t>d</w:t>
      </w:r>
      <w:r w:rsidR="00D35487" w:rsidRPr="00E34E6E">
        <w:t xml:space="preserve"> according to business conditions. </w:t>
      </w:r>
      <w:r w:rsidR="004270FB" w:rsidRPr="00E34E6E">
        <w:t>They used five macro variables (default spread, dividend yield, VIX index, net aggregate flows in the hedge fund industry) and found that return</w:t>
      </w:r>
      <w:r w:rsidR="00DA71C1" w:rsidRPr="00E34E6E">
        <w:t>s</w:t>
      </w:r>
      <w:r w:rsidR="004270FB" w:rsidRPr="00E34E6E">
        <w:t xml:space="preserve"> predictability </w:t>
      </w:r>
      <w:r w:rsidR="00DA71C1" w:rsidRPr="00E34E6E">
        <w:t>was</w:t>
      </w:r>
      <w:r w:rsidR="004270FB" w:rsidRPr="00E34E6E">
        <w:t xml:space="preserve"> widespread across different hedge fund strategies</w:t>
      </w:r>
      <w:r w:rsidR="00DA71C1" w:rsidRPr="00E34E6E">
        <w:t>,</w:t>
      </w:r>
      <w:r w:rsidR="004270FB" w:rsidRPr="00E34E6E">
        <w:t xml:space="preserve"> consistent with economic </w:t>
      </w:r>
      <w:r w:rsidR="004270FB" w:rsidRPr="00E34E6E">
        <w:lastRenderedPageBreak/>
        <w:t xml:space="preserve">intuition. A conditional </w:t>
      </w:r>
      <w:r w:rsidR="00DA378B" w:rsidRPr="00E34E6E">
        <w:t xml:space="preserve">(singe-predictor) </w:t>
      </w:r>
      <w:r w:rsidR="004270FB" w:rsidRPr="00E34E6E">
        <w:t>strategy that forecast each macro variable</w:t>
      </w:r>
      <w:r w:rsidR="00DA378B" w:rsidRPr="00E34E6E">
        <w:t xml:space="preserve"> (and selecting the top decile of funds with the highest return mean)</w:t>
      </w:r>
      <w:r w:rsidR="004270FB" w:rsidRPr="00E34E6E">
        <w:t xml:space="preserve"> </w:t>
      </w:r>
      <w:r w:rsidR="00DA71C1" w:rsidRPr="00E34E6E">
        <w:t>was</w:t>
      </w:r>
      <w:r w:rsidR="004270FB" w:rsidRPr="00E34E6E">
        <w:t xml:space="preserve"> </w:t>
      </w:r>
      <w:r w:rsidR="004270FB" w:rsidRPr="00A44D31">
        <w:t>able to deliver superior performance</w:t>
      </w:r>
      <w:r w:rsidR="00CF5A5C">
        <w:t>.</w:t>
      </w:r>
      <w:r w:rsidR="00545534">
        <w:rPr>
          <w:color w:val="FF0000"/>
        </w:rPr>
        <w:t xml:space="preserve"> </w:t>
      </w:r>
      <w:r w:rsidR="0061542B" w:rsidRPr="005767F3">
        <w:t xml:space="preserve">By diversifying </w:t>
      </w:r>
      <w:r w:rsidR="00570A66" w:rsidRPr="005767F3">
        <w:t>across</w:t>
      </w:r>
      <w:r w:rsidR="0061542B" w:rsidRPr="005767F3">
        <w:t xml:space="preserve"> forecasts</w:t>
      </w:r>
      <w:r w:rsidR="00545534" w:rsidRPr="005767F3">
        <w:t>,</w:t>
      </w:r>
      <w:r w:rsidR="00570A66" w:rsidRPr="005767F3">
        <w:t xml:space="preserve"> the combination strategy is more sufficient when return forecasts </w:t>
      </w:r>
      <w:r w:rsidR="00545534" w:rsidRPr="005767F3">
        <w:t>are not sufficiently accurate</w:t>
      </w:r>
      <w:r w:rsidR="00B53A53" w:rsidRPr="005767F3">
        <w:t>,</w:t>
      </w:r>
      <w:r w:rsidR="00545534" w:rsidRPr="005767F3">
        <w:t xml:space="preserve"> thus avoiding a poor fund selection.</w:t>
      </w:r>
      <w:r w:rsidR="00570A66">
        <w:rPr>
          <w:color w:val="0070C0"/>
        </w:rPr>
        <w:t xml:space="preserve"> </w:t>
      </w:r>
      <w:r w:rsidR="0061542B">
        <w:rPr>
          <w:color w:val="0070C0"/>
        </w:rPr>
        <w:t xml:space="preserve"> </w:t>
      </w:r>
      <w:r w:rsidR="00545534">
        <w:t xml:space="preserve"> </w:t>
      </w:r>
    </w:p>
    <w:p w:rsidR="000B253D" w:rsidRPr="00AC4ABD" w:rsidRDefault="000B253D" w:rsidP="00033A8C">
      <w:pPr>
        <w:spacing w:line="480" w:lineRule="auto"/>
        <w:jc w:val="both"/>
      </w:pPr>
      <w:r w:rsidRPr="00AC4ABD">
        <w:t xml:space="preserve">Racicot and </w:t>
      </w:r>
      <w:proofErr w:type="spellStart"/>
      <w:r w:rsidRPr="00AC4ABD">
        <w:t>Theoret</w:t>
      </w:r>
      <w:proofErr w:type="spellEnd"/>
      <w:r w:rsidRPr="00AC4ABD">
        <w:t xml:space="preserve"> (2016)</w:t>
      </w:r>
      <w:r w:rsidR="00AC4ABD">
        <w:t>,</w:t>
      </w:r>
      <w:r w:rsidRPr="00AC4ABD">
        <w:t xml:space="preserve"> using strategy indices from the Greenwich Alternative Investment database from 1995 to 2012</w:t>
      </w:r>
      <w:r w:rsidR="00AC4ABD">
        <w:t>,</w:t>
      </w:r>
      <w:r w:rsidRPr="00AC4ABD">
        <w:t xml:space="preserve"> examined the behaviour of the cross-sectional dispersions of hedge funds’ returns, market betas and alphas during times of macroeconomic uncertainty. In their model they used the three </w:t>
      </w:r>
      <w:proofErr w:type="spellStart"/>
      <w:r w:rsidRPr="00AC4ABD">
        <w:t>Fama</w:t>
      </w:r>
      <w:proofErr w:type="spellEnd"/>
      <w:r w:rsidRPr="00AC4ABD">
        <w:t xml:space="preserve"> and French (1993) factors and the Fung and Hsieh (1997, 2001, </w:t>
      </w:r>
      <w:proofErr w:type="gramStart"/>
      <w:r w:rsidRPr="00AC4ABD">
        <w:t>2004</w:t>
      </w:r>
      <w:proofErr w:type="gramEnd"/>
      <w:r w:rsidRPr="00AC4ABD">
        <w:t xml:space="preserve">) lookback factors. Macroeconomic uncertainty was </w:t>
      </w:r>
      <w:r w:rsidR="00AC4ABD">
        <w:t>modelled using</w:t>
      </w:r>
      <w:r w:rsidRPr="00AC4ABD">
        <w:t xml:space="preserve"> the conditional variances of six macro and financial variables (growth on industrial production, interest rate, inflation, market return, growth of consumer credit, a</w:t>
      </w:r>
      <w:r w:rsidR="00BF3C40" w:rsidRPr="00AC4ABD">
        <w:t xml:space="preserve">nd the term spread). Using the </w:t>
      </w:r>
      <w:proofErr w:type="spellStart"/>
      <w:r w:rsidR="00BF3C40" w:rsidRPr="00AC4ABD">
        <w:t>K</w:t>
      </w:r>
      <w:r w:rsidRPr="00AC4ABD">
        <w:t>alman</w:t>
      </w:r>
      <w:proofErr w:type="spellEnd"/>
      <w:r w:rsidRPr="00AC4ABD">
        <w:t xml:space="preserve"> filter </w:t>
      </w:r>
      <w:r w:rsidRPr="00E34E6E">
        <w:t>technique they found that hedge fund market beta reduces with macro uncertainty</w:t>
      </w:r>
      <w:r w:rsidR="00270E55" w:rsidRPr="00E34E6E">
        <w:t>. This</w:t>
      </w:r>
      <w:r w:rsidR="008426A3" w:rsidRPr="00E34E6E">
        <w:t xml:space="preserve"> makes their strategies more homogeneous</w:t>
      </w:r>
      <w:r w:rsidR="00270E55" w:rsidRPr="00E34E6E">
        <w:t>,</w:t>
      </w:r>
      <w:r w:rsidR="008426A3" w:rsidRPr="00E34E6E">
        <w:t xml:space="preserve"> resulting in a contribution to the increased systematic risk </w:t>
      </w:r>
      <w:r w:rsidR="00270E55" w:rsidRPr="00E34E6E">
        <w:t>of</w:t>
      </w:r>
      <w:r w:rsidR="008426A3" w:rsidRPr="00E34E6E">
        <w:t xml:space="preserve"> the financial system.</w:t>
      </w:r>
      <w:r w:rsidRPr="00E34E6E">
        <w:t xml:space="preserve"> </w:t>
      </w:r>
      <w:r w:rsidR="008426A3" w:rsidRPr="00E34E6E">
        <w:t>The</w:t>
      </w:r>
      <w:r w:rsidRPr="00E34E6E">
        <w:t xml:space="preserve"> dispersion of hedge fu</w:t>
      </w:r>
      <w:r w:rsidR="008426A3" w:rsidRPr="00E34E6E">
        <w:t>nds returns and alphas increase</w:t>
      </w:r>
      <w:r w:rsidR="00270E55" w:rsidRPr="00E34E6E">
        <w:t>s</w:t>
      </w:r>
      <w:r w:rsidR="008426A3" w:rsidRPr="00E34E6E">
        <w:t xml:space="preserve"> during times of rising macroeconomic uncertainty.</w:t>
      </w:r>
      <w:r w:rsidRPr="00E34E6E">
        <w:t xml:space="preserve"> </w:t>
      </w:r>
    </w:p>
    <w:p w:rsidR="00595E46" w:rsidRPr="00AC4ABD" w:rsidRDefault="00AC4ABD" w:rsidP="00B93647">
      <w:pPr>
        <w:spacing w:line="480" w:lineRule="auto"/>
        <w:jc w:val="both"/>
      </w:pPr>
      <w:r>
        <w:t>R</w:t>
      </w:r>
      <w:r w:rsidR="000B253D" w:rsidRPr="00AC4ABD">
        <w:t xml:space="preserve">elevant to the above study is </w:t>
      </w:r>
      <w:r>
        <w:t>the study of</w:t>
      </w:r>
      <w:r w:rsidR="000B253D" w:rsidRPr="00AC4ABD">
        <w:t xml:space="preserve"> </w:t>
      </w:r>
      <w:proofErr w:type="spellStart"/>
      <w:r w:rsidR="00595E46" w:rsidRPr="00AC4ABD">
        <w:t>Namvar</w:t>
      </w:r>
      <w:proofErr w:type="spellEnd"/>
      <w:r w:rsidR="00595E46" w:rsidRPr="00AC4ABD">
        <w:t xml:space="preserve">, Phillips, </w:t>
      </w:r>
      <w:proofErr w:type="spellStart"/>
      <w:r w:rsidR="00595E46" w:rsidRPr="00AC4ABD">
        <w:t>Pukthuanthong</w:t>
      </w:r>
      <w:proofErr w:type="spellEnd"/>
      <w:r w:rsidR="00595E46" w:rsidRPr="00AC4ABD">
        <w:t xml:space="preserve">, and Rau (2016) </w:t>
      </w:r>
      <w:r w:rsidR="000B253D" w:rsidRPr="00AC4ABD">
        <w:t xml:space="preserve">who </w:t>
      </w:r>
      <w:r w:rsidR="00595E46" w:rsidRPr="00AC4ABD">
        <w:t xml:space="preserve">used the CISDM and TASS Lipper databases from 1996 to 2010. Using Fung and Hsieh’s (2004) factors in their model </w:t>
      </w:r>
      <w:r>
        <w:t>with</w:t>
      </w:r>
      <w:r w:rsidR="00CC6407" w:rsidRPr="00AC4ABD">
        <w:t xml:space="preserve"> </w:t>
      </w:r>
      <w:r w:rsidR="006B1D05" w:rsidRPr="00AC4ABD">
        <w:t>PCA,</w:t>
      </w:r>
      <w:r w:rsidR="00595E46" w:rsidRPr="00AC4ABD">
        <w:t xml:space="preserve"> </w:t>
      </w:r>
      <w:r w:rsidR="006B1D05" w:rsidRPr="00AC4ABD">
        <w:t>time</w:t>
      </w:r>
      <w:r>
        <w:t xml:space="preserve"> </w:t>
      </w:r>
      <w:r w:rsidR="006B1D05" w:rsidRPr="00AC4ABD">
        <w:t xml:space="preserve">series and </w:t>
      </w:r>
      <w:r w:rsidR="004866B8" w:rsidRPr="00AC4ABD">
        <w:t xml:space="preserve">panel </w:t>
      </w:r>
      <w:r w:rsidR="00595E46" w:rsidRPr="00AC4ABD">
        <w:t>regression</w:t>
      </w:r>
      <w:r w:rsidR="004866B8" w:rsidRPr="00AC4ABD">
        <w:t>s</w:t>
      </w:r>
      <w:r>
        <w:t>,</w:t>
      </w:r>
      <w:r w:rsidR="00595E46" w:rsidRPr="00AC4ABD">
        <w:t xml:space="preserve"> they examined the prevalence and the determinants of the systematic risk management (SRM) skill of fund managers and its </w:t>
      </w:r>
      <w:r>
        <w:t>effect</w:t>
      </w:r>
      <w:r w:rsidR="00595E46" w:rsidRPr="00AC4ABD">
        <w:t xml:space="preserve"> on funds’ performance over time. They used the spread between the AA an</w:t>
      </w:r>
      <w:r w:rsidR="00A2408F" w:rsidRPr="00AC4ABD">
        <w:t>d BB corporate bond index yield</w:t>
      </w:r>
      <w:r>
        <w:t>s</w:t>
      </w:r>
      <w:r w:rsidR="00595E46" w:rsidRPr="00AC4ABD">
        <w:t xml:space="preserve"> to define the strong, medium and weak market state</w:t>
      </w:r>
      <w:r>
        <w:t>s</w:t>
      </w:r>
      <w:r w:rsidR="00595E46" w:rsidRPr="00AC4ABD">
        <w:t xml:space="preserve">. They found that during weak </w:t>
      </w:r>
      <w:r w:rsidR="00595E46" w:rsidRPr="00AC4ABD">
        <w:lastRenderedPageBreak/>
        <w:t>market states</w:t>
      </w:r>
      <w:r>
        <w:t>,</w:t>
      </w:r>
      <w:r w:rsidR="00595E46" w:rsidRPr="00AC4ABD">
        <w:t xml:space="preserve"> skilled fund managers maintain low systematic risk via active adjustments to return factor loadings</w:t>
      </w:r>
      <w:r>
        <w:t>,</w:t>
      </w:r>
      <w:r w:rsidR="00595E46" w:rsidRPr="00AC4ABD">
        <w:t xml:space="preserve"> even </w:t>
      </w:r>
      <w:r>
        <w:t xml:space="preserve">though that </w:t>
      </w:r>
      <w:r w:rsidR="00A2408F" w:rsidRPr="00AC4ABD">
        <w:t>provid</w:t>
      </w:r>
      <w:r>
        <w:t>es</w:t>
      </w:r>
      <w:r w:rsidR="00A2408F" w:rsidRPr="00AC4ABD">
        <w:t xml:space="preserve"> </w:t>
      </w:r>
      <w:r w:rsidR="00595E46" w:rsidRPr="00AC4ABD">
        <w:t xml:space="preserve">low excess return. In strong market states, skilled fund managers provide higher alpha than low skill managers through </w:t>
      </w:r>
      <w:r>
        <w:t xml:space="preserve">their </w:t>
      </w:r>
      <w:r w:rsidR="00595E46" w:rsidRPr="00AC4ABD">
        <w:t>superior asset selection ability. More experienced or more educated fund managers present higher SRM skill</w:t>
      </w:r>
      <w:r>
        <w:t>.</w:t>
      </w:r>
      <w:r w:rsidR="00595E46" w:rsidRPr="00AC4ABD">
        <w:t xml:space="preserve"> Moreover, SRM is lower for managers who manage fund</w:t>
      </w:r>
      <w:r>
        <w:t>s</w:t>
      </w:r>
      <w:r w:rsidR="00595E46" w:rsidRPr="00AC4ABD">
        <w:t xml:space="preserve"> with distress indicators (e.g. low investor flows</w:t>
      </w:r>
      <w:r>
        <w:t xml:space="preserve"> or</w:t>
      </w:r>
      <w:r w:rsidR="00595E46" w:rsidRPr="00AC4ABD">
        <w:t xml:space="preserve"> poor performance).   </w:t>
      </w:r>
    </w:p>
    <w:p w:rsidR="00EC78AA" w:rsidRPr="00EC78AA" w:rsidRDefault="004F3F6C" w:rsidP="00B93647">
      <w:pPr>
        <w:spacing w:line="480" w:lineRule="auto"/>
        <w:jc w:val="both"/>
        <w:rPr>
          <w:b/>
        </w:rPr>
      </w:pPr>
      <w:r>
        <w:rPr>
          <w:b/>
        </w:rPr>
        <w:t>Higher Moment Risk</w:t>
      </w:r>
      <w:r w:rsidR="00EC78AA" w:rsidRPr="00EC78AA">
        <w:rPr>
          <w:b/>
        </w:rPr>
        <w:t xml:space="preserve"> </w:t>
      </w:r>
      <w:r w:rsidR="00296E02">
        <w:rPr>
          <w:b/>
        </w:rPr>
        <w:t>and Refined</w:t>
      </w:r>
      <w:r w:rsidR="00EC78AA">
        <w:rPr>
          <w:b/>
        </w:rPr>
        <w:t xml:space="preserve"> Factors</w:t>
      </w:r>
    </w:p>
    <w:p w:rsidR="00933CB4" w:rsidRPr="00E34E6E" w:rsidRDefault="005573BB" w:rsidP="00B93647">
      <w:pPr>
        <w:spacing w:line="480" w:lineRule="auto"/>
        <w:jc w:val="both"/>
      </w:pPr>
      <w:r>
        <w:t xml:space="preserve">In this </w:t>
      </w:r>
      <w:r w:rsidR="003E1FAB">
        <w:t>sub-section</w:t>
      </w:r>
      <w:r>
        <w:t xml:space="preserve"> w</w:t>
      </w:r>
      <w:r w:rsidR="009C7C35" w:rsidRPr="00A44D31">
        <w:t>e present some studies that tr</w:t>
      </w:r>
      <w:r w:rsidR="00BF7A27">
        <w:t>y</w:t>
      </w:r>
      <w:r w:rsidR="009C7C35" w:rsidRPr="00A44D31">
        <w:t xml:space="preserve"> to explain hedge fund performance attribution based on higher moment risk. For example, </w:t>
      </w:r>
      <w:r w:rsidR="00BA6B06">
        <w:t xml:space="preserve">Agarwal, </w:t>
      </w:r>
      <w:proofErr w:type="spellStart"/>
      <w:r w:rsidR="00BA6B06">
        <w:t>Arisoy</w:t>
      </w:r>
      <w:proofErr w:type="spellEnd"/>
      <w:r w:rsidR="00933CB4" w:rsidRPr="00A44D31">
        <w:t xml:space="preserve"> and </w:t>
      </w:r>
      <w:proofErr w:type="spellStart"/>
      <w:r w:rsidR="00933CB4" w:rsidRPr="00A44D31">
        <w:t>Naik</w:t>
      </w:r>
      <w:proofErr w:type="spellEnd"/>
      <w:r w:rsidR="00933CB4" w:rsidRPr="00A44D31">
        <w:t xml:space="preserve"> (201</w:t>
      </w:r>
      <w:r w:rsidR="00C930BE" w:rsidRPr="00145037">
        <w:t>6</w:t>
      </w:r>
      <w:r w:rsidR="00933CB4" w:rsidRPr="00A44D31">
        <w:t>), using th</w:t>
      </w:r>
      <w:r w:rsidR="00BA6B06">
        <w:t xml:space="preserve">e </w:t>
      </w:r>
      <w:proofErr w:type="spellStart"/>
      <w:r w:rsidR="00BA6B06">
        <w:t>Eurekahedge</w:t>
      </w:r>
      <w:proofErr w:type="spellEnd"/>
      <w:r w:rsidR="00BA6B06">
        <w:t>, HFR, Lipper TASS</w:t>
      </w:r>
      <w:r w:rsidR="00933CB4" w:rsidRPr="00A44D31">
        <w:t xml:space="preserve"> and Morningstar</w:t>
      </w:r>
      <w:r w:rsidR="00BA6B06">
        <w:t xml:space="preserve"> databases</w:t>
      </w:r>
      <w:r w:rsidR="00933CB4" w:rsidRPr="00A44D31">
        <w:t>, from 2006 to 2012</w:t>
      </w:r>
      <w:r w:rsidR="00BA6B06">
        <w:t>,</w:t>
      </w:r>
      <w:r w:rsidR="00933CB4" w:rsidRPr="00A44D31">
        <w:t xml:space="preserve"> investigated whether uncertainty about volatility of the market portfolio c</w:t>
      </w:r>
      <w:r w:rsidR="00A474E7">
        <w:t>ould</w:t>
      </w:r>
      <w:r w:rsidR="00933CB4" w:rsidRPr="00A44D31">
        <w:t xml:space="preserve"> explain the performance of hedge funds</w:t>
      </w:r>
      <w:r w:rsidR="003F0F4E">
        <w:t>,</w:t>
      </w:r>
      <w:r w:rsidR="00933CB4" w:rsidRPr="00A44D31">
        <w:t xml:space="preserve"> both in the c</w:t>
      </w:r>
      <w:r w:rsidR="00506AF8">
        <w:t xml:space="preserve">ross-section and over </w:t>
      </w:r>
      <w:r w:rsidR="00933CB4" w:rsidRPr="00A44D31">
        <w:t xml:space="preserve">time. They measured uncertainty about volatility of the market portfolio with the volatility of the aggregate volatility (VOV) of equity market returns. They constructed an investable version of this measure by calculating monthly returns on lookback straddles on the VIX index. They found that there </w:t>
      </w:r>
      <w:r w:rsidR="009C19AB">
        <w:t>was</w:t>
      </w:r>
      <w:r w:rsidR="00933CB4" w:rsidRPr="00A44D31">
        <w:t xml:space="preserve"> negative relation</w:t>
      </w:r>
      <w:r w:rsidR="009C19AB">
        <w:t>ship</w:t>
      </w:r>
      <w:r w:rsidR="00933CB4" w:rsidRPr="00A44D31">
        <w:t xml:space="preserve"> between VOV exposures and hedge fund risk adjusted returns; however, this </w:t>
      </w:r>
      <w:r w:rsidR="009C19AB">
        <w:t>was</w:t>
      </w:r>
      <w:r w:rsidR="00933CB4" w:rsidRPr="00A44D31">
        <w:t xml:space="preserve"> not homogenous across all hedge fund strategies. They </w:t>
      </w:r>
      <w:r w:rsidR="009C19AB" w:rsidRPr="00A44D31">
        <w:t xml:space="preserve">also </w:t>
      </w:r>
      <w:r w:rsidR="00933CB4" w:rsidRPr="00A44D31">
        <w:t xml:space="preserve">found that the VOX negative exposure </w:t>
      </w:r>
      <w:r w:rsidR="00D0319B">
        <w:t>was</w:t>
      </w:r>
      <w:r w:rsidR="00933CB4" w:rsidRPr="00A44D31">
        <w:t xml:space="preserve"> a significant determinant of hedge funds returns at the general index level, at different strategy levels, and at </w:t>
      </w:r>
      <w:r w:rsidR="00D0319B">
        <w:t xml:space="preserve">the </w:t>
      </w:r>
      <w:r w:rsidR="0077021B">
        <w:t>individual level</w:t>
      </w:r>
      <w:r w:rsidR="00933CB4" w:rsidRPr="00A44D31">
        <w:t xml:space="preserve"> as well. Strategies with less negative VOV betas outperform</w:t>
      </w:r>
      <w:r w:rsidR="003116D6">
        <w:t>ed</w:t>
      </w:r>
      <w:r w:rsidR="00933CB4" w:rsidRPr="00A44D31">
        <w:t xml:space="preserve"> strategies with more negative VOV betas during </w:t>
      </w:r>
      <w:r w:rsidR="000E13CD">
        <w:t>banking</w:t>
      </w:r>
      <w:r w:rsidR="00933CB4" w:rsidRPr="00A44D31">
        <w:t xml:space="preserve"> crisis period. Conversely, strategies with more negative VOV betas </w:t>
      </w:r>
      <w:r w:rsidR="00933CB4" w:rsidRPr="00A44D31">
        <w:lastRenderedPageBreak/>
        <w:t>deliver</w:t>
      </w:r>
      <w:r w:rsidR="000E13CD">
        <w:t>ed</w:t>
      </w:r>
      <w:r w:rsidR="00933CB4" w:rsidRPr="00A44D31">
        <w:t xml:space="preserve"> superior returns when the </w:t>
      </w:r>
      <w:r w:rsidR="00933CB4" w:rsidRPr="00E34E6E">
        <w:t xml:space="preserve">uncertainty in the market </w:t>
      </w:r>
      <w:r w:rsidR="000E13CD" w:rsidRPr="00E34E6E">
        <w:t>was</w:t>
      </w:r>
      <w:r w:rsidR="00933CB4" w:rsidRPr="00E34E6E">
        <w:t xml:space="preserve"> less. </w:t>
      </w:r>
      <w:r w:rsidR="008D16BA" w:rsidRPr="00E34E6E">
        <w:t>Also funds</w:t>
      </w:r>
      <w:r w:rsidR="00270E55" w:rsidRPr="00E34E6E">
        <w:t>’</w:t>
      </w:r>
      <w:r w:rsidR="008D16BA" w:rsidRPr="00E34E6E">
        <w:t xml:space="preserve"> VOV betas ha</w:t>
      </w:r>
      <w:r w:rsidR="00270E55" w:rsidRPr="00E34E6E">
        <w:t>d</w:t>
      </w:r>
      <w:r w:rsidR="008D16BA" w:rsidRPr="00E34E6E">
        <w:t xml:space="preserve"> a significant </w:t>
      </w:r>
      <w:r w:rsidR="00270E55" w:rsidRPr="00E34E6E">
        <w:t>ability to predict</w:t>
      </w:r>
      <w:r w:rsidR="008D16BA" w:rsidRPr="00E34E6E">
        <w:t xml:space="preserve"> excess returns</w:t>
      </w:r>
      <w:r w:rsidR="00270E55" w:rsidRPr="00E34E6E">
        <w:t xml:space="preserve"> one month ahead</w:t>
      </w:r>
      <w:r w:rsidR="008D16BA" w:rsidRPr="00E34E6E">
        <w:t>.</w:t>
      </w:r>
    </w:p>
    <w:p w:rsidR="008C2379" w:rsidRPr="00A44D31" w:rsidRDefault="00DD3176" w:rsidP="00B93647">
      <w:pPr>
        <w:spacing w:line="480" w:lineRule="auto"/>
        <w:jc w:val="both"/>
      </w:pPr>
      <w:r>
        <w:t>R</w:t>
      </w:r>
      <w:r w:rsidR="0045729F">
        <w:t>elated</w:t>
      </w:r>
      <w:r w:rsidR="008C2379" w:rsidRPr="00A44D31">
        <w:t xml:space="preserve"> </w:t>
      </w:r>
      <w:r>
        <w:t>to</w:t>
      </w:r>
      <w:r w:rsidR="008C2379" w:rsidRPr="00A44D31">
        <w:t xml:space="preserve"> the above study </w:t>
      </w:r>
      <w:r>
        <w:t>was that</w:t>
      </w:r>
      <w:r w:rsidR="008C2379" w:rsidRPr="00A44D31">
        <w:t xml:space="preserve"> from </w:t>
      </w:r>
      <w:proofErr w:type="spellStart"/>
      <w:r w:rsidR="008C2379" w:rsidRPr="00A44D31">
        <w:t>Hubner</w:t>
      </w:r>
      <w:proofErr w:type="spellEnd"/>
      <w:r w:rsidR="008C2379" w:rsidRPr="00A44D31">
        <w:t xml:space="preserve">, Lambert and </w:t>
      </w:r>
      <w:proofErr w:type="spellStart"/>
      <w:r w:rsidR="008C2379" w:rsidRPr="00A44D31">
        <w:t>Papageorgiou</w:t>
      </w:r>
      <w:proofErr w:type="spellEnd"/>
      <w:r w:rsidR="008C2379" w:rsidRPr="00A44D31">
        <w:t xml:space="preserve"> (2015)</w:t>
      </w:r>
      <w:r w:rsidR="00831A6C">
        <w:t>,</w:t>
      </w:r>
      <w:r w:rsidR="008C2379" w:rsidRPr="00A44D31">
        <w:t xml:space="preserve"> </w:t>
      </w:r>
      <w:r w:rsidR="00831A6C">
        <w:t>who</w:t>
      </w:r>
      <w:r w:rsidR="008C2379" w:rsidRPr="00A44D31">
        <w:t xml:space="preserve"> modelled hedge fund returns on a conditional asset pricing model using the information content of market skewness and kurtosis. They used the HFR database from 1996 to 2009. They described the dynamics of the equity hedge, event-driven, relative value, and fund of funds styles and in their model considered the location, trading and the higher-moment factors. Within this framework they investigate</w:t>
      </w:r>
      <w:r w:rsidR="00361E90">
        <w:t>d</w:t>
      </w:r>
      <w:r w:rsidR="008C2379" w:rsidRPr="00A44D31">
        <w:t xml:space="preserve"> the effect of the implied moments retrieved from the US equity markets and more specific</w:t>
      </w:r>
      <w:r w:rsidR="004518FE">
        <w:t>ally</w:t>
      </w:r>
      <w:r w:rsidR="00FD1034">
        <w:t xml:space="preserve"> from the option-</w:t>
      </w:r>
      <w:r w:rsidR="008C2379" w:rsidRPr="00A44D31">
        <w:t>implied higher moments. The implied skewness and kurtosis of index portfolios increase</w:t>
      </w:r>
      <w:r w:rsidR="00F10636">
        <w:t>d</w:t>
      </w:r>
      <w:r w:rsidR="008C2379" w:rsidRPr="00A44D31">
        <w:t xml:space="preserve"> </w:t>
      </w:r>
      <w:r w:rsidR="00F10636" w:rsidRPr="00E34E6E">
        <w:t xml:space="preserve">the </w:t>
      </w:r>
      <w:r w:rsidR="007E11D6" w:rsidRPr="00E34E6E">
        <w:t>model’s</w:t>
      </w:r>
      <w:r w:rsidR="008C2379" w:rsidRPr="00E34E6E">
        <w:t xml:space="preserve"> explanatory power and reduce</w:t>
      </w:r>
      <w:r w:rsidR="00CC359F" w:rsidRPr="00E34E6E">
        <w:t>d</w:t>
      </w:r>
      <w:r w:rsidR="008C2379" w:rsidRPr="00E34E6E">
        <w:t xml:space="preserve"> the specification error for the majority of strategies. </w:t>
      </w:r>
      <w:r w:rsidR="008513D3" w:rsidRPr="00E34E6E">
        <w:t xml:space="preserve">Market Neutral, Relative Value and Fund of Funds </w:t>
      </w:r>
      <w:r w:rsidR="005C1290" w:rsidRPr="00E34E6E">
        <w:t>change</w:t>
      </w:r>
      <w:r w:rsidR="008513D3" w:rsidRPr="00E34E6E">
        <w:t xml:space="preserve"> their market exposure during financial cris</w:t>
      </w:r>
      <w:r w:rsidR="00270E55" w:rsidRPr="00E34E6E">
        <w:t>e</w:t>
      </w:r>
      <w:r w:rsidR="008513D3" w:rsidRPr="00E34E6E">
        <w:t xml:space="preserve">s. </w:t>
      </w:r>
      <w:r w:rsidR="007A72AF" w:rsidRPr="00E34E6E">
        <w:t xml:space="preserve">The </w:t>
      </w:r>
      <w:r w:rsidR="007A72AF">
        <w:t>authors recognize</w:t>
      </w:r>
      <w:r w:rsidR="00270E55">
        <w:t>d</w:t>
      </w:r>
      <w:r w:rsidR="007A72AF">
        <w:t xml:space="preserve"> that a</w:t>
      </w:r>
      <w:r w:rsidR="008C2379" w:rsidRPr="00A44D31">
        <w:t>n extension of their framework to o</w:t>
      </w:r>
      <w:r w:rsidR="007A72AF">
        <w:t xml:space="preserve">ther market types and locations </w:t>
      </w:r>
      <w:r w:rsidR="008C2379" w:rsidRPr="00A44D31">
        <w:t>would provide extra explanatory power to the</w:t>
      </w:r>
      <w:r w:rsidR="007A72AF">
        <w:t>ir model</w:t>
      </w:r>
      <w:r w:rsidR="008C2379" w:rsidRPr="00A44D31">
        <w:t>.</w:t>
      </w:r>
      <w:r w:rsidR="007A72AF">
        <w:rPr>
          <w:color w:val="FF0000"/>
        </w:rPr>
        <w:t xml:space="preserve"> </w:t>
      </w:r>
    </w:p>
    <w:p w:rsidR="00F958B7" w:rsidRPr="00E34E6E" w:rsidRDefault="001D6AEC" w:rsidP="00B93647">
      <w:pPr>
        <w:spacing w:line="480" w:lineRule="auto"/>
        <w:jc w:val="both"/>
        <w:rPr>
          <w:rFonts w:eastAsiaTheme="minorEastAsia"/>
          <w:lang w:val="en-US"/>
        </w:rPr>
      </w:pPr>
      <w:r w:rsidRPr="00A44D31">
        <w:rPr>
          <w:rFonts w:eastAsiaTheme="minorEastAsia"/>
          <w:lang w:val="en-US"/>
        </w:rPr>
        <w:t xml:space="preserve">There are </w:t>
      </w:r>
      <w:r w:rsidR="00B27548" w:rsidRPr="00A44D31">
        <w:rPr>
          <w:rFonts w:eastAsiaTheme="minorEastAsia"/>
          <w:lang w:val="en-US"/>
        </w:rPr>
        <w:t xml:space="preserve">studies </w:t>
      </w:r>
      <w:r w:rsidRPr="00A44D31">
        <w:rPr>
          <w:rFonts w:eastAsiaTheme="minorEastAsia"/>
          <w:lang w:val="en-US"/>
        </w:rPr>
        <w:t>that use high frequency econometrics or refin</w:t>
      </w:r>
      <w:r w:rsidR="00252DD9">
        <w:rPr>
          <w:rFonts w:eastAsiaTheme="minorEastAsia"/>
          <w:lang w:val="en-US"/>
        </w:rPr>
        <w:t>ed</w:t>
      </w:r>
      <w:r w:rsidRPr="00A44D31">
        <w:rPr>
          <w:rFonts w:eastAsiaTheme="minorEastAsia"/>
          <w:lang w:val="en-US"/>
        </w:rPr>
        <w:t xml:space="preserve"> statistical methods to choose the appropriate factors.</w:t>
      </w:r>
      <w:r w:rsidR="000F521B" w:rsidRPr="00A44D31">
        <w:t xml:space="preserve"> </w:t>
      </w:r>
      <w:r w:rsidRPr="00A44D31">
        <w:rPr>
          <w:rFonts w:eastAsiaTheme="minorEastAsia"/>
          <w:lang w:val="en-US"/>
        </w:rPr>
        <w:t>For instance,</w:t>
      </w:r>
      <w:r w:rsidR="00F958B7" w:rsidRPr="00A44D31">
        <w:rPr>
          <w:rFonts w:eastAsiaTheme="minorEastAsia"/>
          <w:lang w:val="en-US"/>
        </w:rPr>
        <w:t xml:space="preserve"> Patton and </w:t>
      </w:r>
      <w:proofErr w:type="spellStart"/>
      <w:r w:rsidR="00F958B7" w:rsidRPr="00A44D31">
        <w:rPr>
          <w:rFonts w:eastAsiaTheme="minorEastAsia"/>
          <w:lang w:val="en-US"/>
        </w:rPr>
        <w:t>Ramadorai</w:t>
      </w:r>
      <w:proofErr w:type="spellEnd"/>
      <w:r w:rsidR="00F958B7" w:rsidRPr="00A44D31">
        <w:rPr>
          <w:rFonts w:eastAsiaTheme="minorEastAsia"/>
          <w:lang w:val="en-US"/>
        </w:rPr>
        <w:t xml:space="preserve"> (2013) proposed a new performance evaluation method that </w:t>
      </w:r>
      <w:r w:rsidR="00C13DCF">
        <w:rPr>
          <w:rFonts w:eastAsiaTheme="minorEastAsia"/>
          <w:lang w:val="en-US"/>
        </w:rPr>
        <w:t>was</w:t>
      </w:r>
      <w:r w:rsidR="00F958B7" w:rsidRPr="00A44D31">
        <w:rPr>
          <w:rFonts w:eastAsiaTheme="minorEastAsia"/>
          <w:lang w:val="en-US"/>
        </w:rPr>
        <w:t xml:space="preserve"> based on </w:t>
      </w:r>
      <w:proofErr w:type="spellStart"/>
      <w:r w:rsidR="00F958B7" w:rsidRPr="00A44D31">
        <w:rPr>
          <w:rFonts w:eastAsiaTheme="minorEastAsia"/>
          <w:lang w:val="en-US"/>
        </w:rPr>
        <w:t>Ferson</w:t>
      </w:r>
      <w:proofErr w:type="spellEnd"/>
      <w:r w:rsidR="00F958B7" w:rsidRPr="00A44D31">
        <w:rPr>
          <w:rFonts w:eastAsiaTheme="minorEastAsia"/>
          <w:lang w:val="en-US"/>
        </w:rPr>
        <w:t xml:space="preserve"> and </w:t>
      </w:r>
      <w:proofErr w:type="spellStart"/>
      <w:r w:rsidR="00F958B7" w:rsidRPr="00A44D31">
        <w:rPr>
          <w:rFonts w:eastAsiaTheme="minorEastAsia"/>
          <w:lang w:val="en-US"/>
        </w:rPr>
        <w:t>Schadt’s</w:t>
      </w:r>
      <w:proofErr w:type="spellEnd"/>
      <w:r w:rsidR="00F958B7" w:rsidRPr="00A44D31">
        <w:rPr>
          <w:rFonts w:eastAsiaTheme="minorEastAsia"/>
          <w:lang w:val="en-US"/>
        </w:rPr>
        <w:t xml:space="preserve"> (1996) model (</w:t>
      </w:r>
      <w:r w:rsidR="00056E41">
        <w:rPr>
          <w:rFonts w:eastAsiaTheme="minorEastAsia"/>
          <w:lang w:val="en-US"/>
        </w:rPr>
        <w:t xml:space="preserve">a </w:t>
      </w:r>
      <w:r w:rsidR="00F958B7" w:rsidRPr="00A44D31">
        <w:rPr>
          <w:rFonts w:eastAsiaTheme="minorEastAsia"/>
          <w:lang w:val="en-US"/>
        </w:rPr>
        <w:t>customized conditional model for mutual funds incorporating lagged information variables). That model was able to capture higher-fre</w:t>
      </w:r>
      <w:r w:rsidR="00F6597B">
        <w:rPr>
          <w:rFonts w:eastAsiaTheme="minorEastAsia"/>
          <w:lang w:val="en-US"/>
        </w:rPr>
        <w:t>quency variations in hedge fund</w:t>
      </w:r>
      <w:r w:rsidR="00F958B7" w:rsidRPr="00A44D31">
        <w:rPr>
          <w:rFonts w:eastAsiaTheme="minorEastAsia"/>
          <w:lang w:val="en-US"/>
        </w:rPr>
        <w:t>s</w:t>
      </w:r>
      <w:r w:rsidR="00F6597B">
        <w:rPr>
          <w:rFonts w:eastAsiaTheme="minorEastAsia"/>
          <w:lang w:val="en-US"/>
        </w:rPr>
        <w:t>’</w:t>
      </w:r>
      <w:r w:rsidR="00F958B7" w:rsidRPr="00A44D31">
        <w:rPr>
          <w:rFonts w:eastAsiaTheme="minorEastAsia"/>
          <w:lang w:val="en-US"/>
        </w:rPr>
        <w:t xml:space="preserve"> exposures. They used the HFR, CISDM, TASS, Morningstar and </w:t>
      </w:r>
      <w:proofErr w:type="gramStart"/>
      <w:r w:rsidR="00F958B7" w:rsidRPr="00A44D31">
        <w:rPr>
          <w:rFonts w:eastAsiaTheme="minorEastAsia"/>
          <w:lang w:val="en-US"/>
        </w:rPr>
        <w:t>Barclay</w:t>
      </w:r>
      <w:r w:rsidR="00AB3DD7">
        <w:rPr>
          <w:rFonts w:eastAsiaTheme="minorEastAsia"/>
          <w:lang w:val="en-US"/>
        </w:rPr>
        <w:t>s</w:t>
      </w:r>
      <w:proofErr w:type="gramEnd"/>
      <w:r w:rsidR="00F958B7" w:rsidRPr="00A44D31">
        <w:rPr>
          <w:rFonts w:eastAsiaTheme="minorEastAsia"/>
          <w:lang w:val="en-US"/>
        </w:rPr>
        <w:t xml:space="preserve"> databases and the sample period was from 1994 to 2009. In their factor model that included a simulation process, they used daily hedge fund (index) returns in relation to monthly hedge fund (individual) returns. They observed similar parameter </w:t>
      </w:r>
      <w:r w:rsidR="00F958B7" w:rsidRPr="00A44D31">
        <w:rPr>
          <w:rFonts w:eastAsiaTheme="minorEastAsia"/>
          <w:lang w:val="en-US"/>
        </w:rPr>
        <w:lastRenderedPageBreak/>
        <w:t>estimates across the two sampling frequencies. Furthermore, hedge funds exposures var</w:t>
      </w:r>
      <w:r w:rsidR="00B70C53">
        <w:rPr>
          <w:rFonts w:eastAsiaTheme="minorEastAsia"/>
          <w:lang w:val="en-US"/>
        </w:rPr>
        <w:t>ied</w:t>
      </w:r>
      <w:r w:rsidR="00F958B7" w:rsidRPr="00A44D31">
        <w:rPr>
          <w:rFonts w:eastAsiaTheme="minorEastAsia"/>
          <w:lang w:val="en-US"/>
        </w:rPr>
        <w:t xml:space="preserve"> across and within months. Moreover, they discovered patterns where the exposure variation was higher early in the month (immediately after the reporting date) and then got progressively lower until the reporting date. In addition, they found changes in portfolio allocation</w:t>
      </w:r>
      <w:r w:rsidR="00F933DA">
        <w:rPr>
          <w:rFonts w:eastAsiaTheme="minorEastAsia"/>
          <w:lang w:val="en-US"/>
        </w:rPr>
        <w:t>s (weights) (that ultimately le</w:t>
      </w:r>
      <w:r w:rsidR="00F958B7" w:rsidRPr="00A44D31">
        <w:rPr>
          <w:rFonts w:eastAsiaTheme="minorEastAsia"/>
          <w:lang w:val="en-US"/>
        </w:rPr>
        <w:t xml:space="preserve">d to exposure changing) rather than changes in exposures to different asset classes and also a tendency to cut positions in response to significant market events (such as </w:t>
      </w:r>
      <w:r w:rsidR="00F958B7" w:rsidRPr="00E34E6E">
        <w:rPr>
          <w:rFonts w:eastAsiaTheme="minorEastAsia"/>
          <w:lang w:val="en-US"/>
        </w:rPr>
        <w:t xml:space="preserve">sharp changes in market returns or volatility). </w:t>
      </w:r>
      <w:r w:rsidR="00270E55" w:rsidRPr="00E34E6E">
        <w:rPr>
          <w:rFonts w:eastAsiaTheme="minorEastAsia"/>
          <w:lang w:val="en-US"/>
        </w:rPr>
        <w:t>The a</w:t>
      </w:r>
      <w:r w:rsidR="009830D6" w:rsidRPr="00E34E6E">
        <w:rPr>
          <w:rFonts w:eastAsiaTheme="minorEastAsia"/>
          <w:lang w:val="en-US"/>
        </w:rPr>
        <w:t>uthors’</w:t>
      </w:r>
      <w:r w:rsidR="00F958B7" w:rsidRPr="00E34E6E">
        <w:rPr>
          <w:rFonts w:eastAsiaTheme="minorEastAsia"/>
          <w:lang w:val="en-US"/>
        </w:rPr>
        <w:t xml:space="preserve"> results show</w:t>
      </w:r>
      <w:r w:rsidR="00270E55" w:rsidRPr="00E34E6E">
        <w:rPr>
          <w:rFonts w:eastAsiaTheme="minorEastAsia"/>
          <w:lang w:val="en-US"/>
        </w:rPr>
        <w:t>ed</w:t>
      </w:r>
      <w:r w:rsidR="00F958B7" w:rsidRPr="00E34E6E">
        <w:rPr>
          <w:rFonts w:eastAsiaTheme="minorEastAsia"/>
          <w:lang w:val="en-US"/>
        </w:rPr>
        <w:t xml:space="preserve"> that hedge funds</w:t>
      </w:r>
      <w:r w:rsidR="00D7738E" w:rsidRPr="00E34E6E">
        <w:rPr>
          <w:rFonts w:eastAsiaTheme="minorEastAsia"/>
          <w:lang w:val="en-US"/>
        </w:rPr>
        <w:t>, contrary to mutual funds,</w:t>
      </w:r>
      <w:r w:rsidR="00F958B7" w:rsidRPr="00E34E6E">
        <w:rPr>
          <w:rFonts w:eastAsiaTheme="minorEastAsia"/>
          <w:lang w:val="en-US"/>
        </w:rPr>
        <w:t xml:space="preserve"> respon</w:t>
      </w:r>
      <w:r w:rsidR="00270E55" w:rsidRPr="00E34E6E">
        <w:rPr>
          <w:rFonts w:eastAsiaTheme="minorEastAsia"/>
          <w:lang w:val="en-US"/>
        </w:rPr>
        <w:t>ded</w:t>
      </w:r>
      <w:r w:rsidR="00F958B7" w:rsidRPr="00E34E6E">
        <w:rPr>
          <w:rFonts w:eastAsiaTheme="minorEastAsia"/>
          <w:lang w:val="en-US"/>
        </w:rPr>
        <w:t xml:space="preserve"> very quickly, </w:t>
      </w:r>
      <w:r w:rsidR="00270E55" w:rsidRPr="00E34E6E">
        <w:rPr>
          <w:rFonts w:eastAsiaTheme="minorEastAsia"/>
          <w:lang w:val="en-US"/>
        </w:rPr>
        <w:t>we</w:t>
      </w:r>
      <w:r w:rsidR="00F958B7" w:rsidRPr="00E34E6E">
        <w:rPr>
          <w:rFonts w:eastAsiaTheme="minorEastAsia"/>
          <w:lang w:val="en-US"/>
        </w:rPr>
        <w:t>re very flexible and adapt</w:t>
      </w:r>
      <w:r w:rsidR="00270E55" w:rsidRPr="00E34E6E">
        <w:rPr>
          <w:rFonts w:eastAsiaTheme="minorEastAsia"/>
          <w:lang w:val="en-US"/>
        </w:rPr>
        <w:t>ed</w:t>
      </w:r>
      <w:r w:rsidR="00F958B7" w:rsidRPr="00E34E6E">
        <w:rPr>
          <w:rFonts w:eastAsiaTheme="minorEastAsia"/>
          <w:lang w:val="en-US"/>
        </w:rPr>
        <w:t xml:space="preserve"> to any market triggers.</w:t>
      </w:r>
    </w:p>
    <w:p w:rsidR="00333C76" w:rsidRDefault="00F958B7" w:rsidP="00B93647">
      <w:pPr>
        <w:spacing w:line="480" w:lineRule="auto"/>
        <w:jc w:val="both"/>
        <w:rPr>
          <w:rFonts w:eastAsiaTheme="minorEastAsia"/>
          <w:lang w:val="en-US"/>
        </w:rPr>
      </w:pPr>
      <w:r w:rsidRPr="00E34E6E">
        <w:rPr>
          <w:rFonts w:eastAsiaTheme="minorEastAsia"/>
          <w:lang w:val="en-US"/>
        </w:rPr>
        <w:t xml:space="preserve">Brown (2012) proposed a specific framework for hedge fund return and risk attribution. He used the HFN and HFR databases and the sample period was from 1997 to 2010. In order to better estimate hedge funds fees, betas and alphas he suggested a framework that monthly returns be drawn from the following influences: fees (management and incentive fees) and four simple systematic risk factors. Those </w:t>
      </w:r>
      <w:r w:rsidR="00953241" w:rsidRPr="00E34E6E">
        <w:rPr>
          <w:rFonts w:eastAsiaTheme="minorEastAsia"/>
          <w:lang w:val="en-US"/>
        </w:rPr>
        <w:t>were</w:t>
      </w:r>
      <w:r w:rsidRPr="00E34E6E">
        <w:rPr>
          <w:rFonts w:eastAsiaTheme="minorEastAsia"/>
          <w:lang w:val="en-US"/>
        </w:rPr>
        <w:t xml:space="preserve"> volatility, leverage and two other more traditional factors such as equities, credit, interest rates, or commodities. </w:t>
      </w:r>
      <w:r w:rsidR="00ED1CC6" w:rsidRPr="00E34E6E">
        <w:rPr>
          <w:rFonts w:eastAsiaTheme="minorEastAsia"/>
          <w:lang w:val="en-US"/>
        </w:rPr>
        <w:t xml:space="preserve">For most fund strategies, volatility is the most important source of systematic risk. </w:t>
      </w:r>
      <w:r w:rsidRPr="00E34E6E">
        <w:rPr>
          <w:rFonts w:eastAsiaTheme="minorEastAsia"/>
          <w:lang w:val="en-US"/>
        </w:rPr>
        <w:t xml:space="preserve">Brown applied stepwise regressions to various style or aggregate indices because </w:t>
      </w:r>
      <w:r w:rsidR="00B24B45" w:rsidRPr="00E34E6E">
        <w:rPr>
          <w:rFonts w:eastAsiaTheme="minorEastAsia"/>
          <w:lang w:val="en-US"/>
        </w:rPr>
        <w:t>of the</w:t>
      </w:r>
      <w:r w:rsidRPr="00E34E6E">
        <w:rPr>
          <w:rFonts w:eastAsiaTheme="minorEastAsia"/>
          <w:lang w:val="en-US"/>
        </w:rPr>
        <w:t xml:space="preserve"> need to customize p</w:t>
      </w:r>
      <w:r w:rsidRPr="002072FD">
        <w:rPr>
          <w:rFonts w:eastAsiaTheme="minorEastAsia"/>
          <w:lang w:val="en-US"/>
        </w:rPr>
        <w:t xml:space="preserve">erformance benchmarks to different styles. He found that many hedge fund styles carried significant exposures to traditional systematic risk factors such as equities, interest rates or credit. Due to the fact that incentive fees are computed on total returns, there is a potential that abnormal returns attributed to those systematic exposures may overwhelm hedge fund alpha.  Thus, fund managers may get paid for simple passive market exposures. Those problems of charging incentive fees on simple market exposures extend to most hedge fund styles and </w:t>
      </w:r>
      <w:r w:rsidR="00916F5D" w:rsidRPr="002072FD">
        <w:rPr>
          <w:rFonts w:eastAsiaTheme="minorEastAsia"/>
          <w:lang w:val="en-US"/>
        </w:rPr>
        <w:t>therefore</w:t>
      </w:r>
      <w:r w:rsidRPr="002072FD">
        <w:rPr>
          <w:rFonts w:eastAsiaTheme="minorEastAsia"/>
          <w:lang w:val="en-US"/>
        </w:rPr>
        <w:t xml:space="preserve"> constitute a barrier to their efficient usage.</w:t>
      </w:r>
    </w:p>
    <w:p w:rsidR="00F958B7" w:rsidRPr="002072FD" w:rsidRDefault="00333C76" w:rsidP="00B93647">
      <w:pPr>
        <w:spacing w:line="480" w:lineRule="auto"/>
        <w:jc w:val="both"/>
        <w:rPr>
          <w:rFonts w:eastAsiaTheme="minorEastAsia"/>
          <w:lang w:val="en-US"/>
        </w:rPr>
      </w:pPr>
      <w:r w:rsidRPr="00A44D31">
        <w:lastRenderedPageBreak/>
        <w:t>Last</w:t>
      </w:r>
      <w:r>
        <w:t>ly</w:t>
      </w:r>
      <w:r w:rsidRPr="00A44D31">
        <w:t xml:space="preserve">, </w:t>
      </w:r>
      <w:proofErr w:type="spellStart"/>
      <w:r w:rsidRPr="00A44D31">
        <w:t>Slavutskaya</w:t>
      </w:r>
      <w:proofErr w:type="spellEnd"/>
      <w:r w:rsidRPr="00A44D31">
        <w:t xml:space="preserve"> (201</w:t>
      </w:r>
      <w:r>
        <w:t>3</w:t>
      </w:r>
      <w:r w:rsidRPr="00A44D31">
        <w:t xml:space="preserve">) improved the out-of-sample accuracy of linear factor models by combining cross-sectional and time-series information (panel data methods) for groups of hedge funds with similar investment strategies. She used the TASS, HFR, CISDM, and </w:t>
      </w:r>
      <w:proofErr w:type="spellStart"/>
      <w:r w:rsidRPr="00A44D31">
        <w:t>Alvest</w:t>
      </w:r>
      <w:proofErr w:type="spellEnd"/>
      <w:r w:rsidRPr="00A44D31">
        <w:t xml:space="preserve"> databases from 1994-2009. </w:t>
      </w:r>
      <w:r>
        <w:t>She suggested that c</w:t>
      </w:r>
      <w:r w:rsidRPr="00A44D31">
        <w:t xml:space="preserve">urrent factor models </w:t>
      </w:r>
      <w:r>
        <w:t>are</w:t>
      </w:r>
      <w:r w:rsidRPr="00A44D31">
        <w:t xml:space="preserve"> over-parameterized which results </w:t>
      </w:r>
      <w:r>
        <w:t>in</w:t>
      </w:r>
      <w:r w:rsidRPr="00A44D31">
        <w:t xml:space="preserve"> unstable estimates. The “shrinkage” estimate</w:t>
      </w:r>
      <w:r>
        <w:t>,</w:t>
      </w:r>
      <w:r w:rsidRPr="00A44D31">
        <w:t xml:space="preserve"> which is the trade-off between the individual estimates and the common mean estimate (the average risk exposure of a particular hedge fund style) provide</w:t>
      </w:r>
      <w:r>
        <w:t>d</w:t>
      </w:r>
      <w:r w:rsidRPr="00A44D31">
        <w:t xml:space="preserve"> </w:t>
      </w:r>
      <w:r>
        <w:t xml:space="preserve">a </w:t>
      </w:r>
      <w:r w:rsidRPr="00A44D31">
        <w:t>more accurate estimate. More specific</w:t>
      </w:r>
      <w:r>
        <w:t>ally</w:t>
      </w:r>
      <w:r w:rsidRPr="00A44D31">
        <w:t xml:space="preserve">, she found that the root mean squared monthly error in panel data models </w:t>
      </w:r>
      <w:r>
        <w:t>was</w:t>
      </w:r>
      <w:r w:rsidRPr="00A44D31">
        <w:t xml:space="preserve"> 10-15% smaller than in linear regressions, and the rate of decrease is significant. </w:t>
      </w:r>
      <w:r>
        <w:t>Nevertheless, s</w:t>
      </w:r>
      <w:r w:rsidRPr="00A44D31">
        <w:t>he point</w:t>
      </w:r>
      <w:r>
        <w:t>ed</w:t>
      </w:r>
      <w:r w:rsidRPr="00A44D31">
        <w:t xml:space="preserve"> out that the use of cross-sectional beta estimates assume</w:t>
      </w:r>
      <w:r>
        <w:t>d</w:t>
      </w:r>
      <w:r w:rsidRPr="00A44D31">
        <w:t xml:space="preserve"> that all funds ha</w:t>
      </w:r>
      <w:r>
        <w:t>d</w:t>
      </w:r>
      <w:r w:rsidRPr="00A44D31">
        <w:t xml:space="preserve"> the same risk exposures for a given time.</w:t>
      </w:r>
      <w:r w:rsidR="00F958B7" w:rsidRPr="002072FD">
        <w:rPr>
          <w:rFonts w:eastAsiaTheme="minorEastAsia"/>
          <w:lang w:val="en-US"/>
        </w:rPr>
        <w:t xml:space="preserve"> </w:t>
      </w:r>
    </w:p>
    <w:p w:rsidR="008E08C8" w:rsidRPr="00E34E6E" w:rsidRDefault="008E08C8" w:rsidP="00B93647">
      <w:pPr>
        <w:spacing w:line="480" w:lineRule="auto"/>
        <w:jc w:val="both"/>
        <w:rPr>
          <w:b/>
        </w:rPr>
      </w:pPr>
      <w:r w:rsidRPr="00E34E6E">
        <w:rPr>
          <w:b/>
        </w:rPr>
        <w:t>Holdings/SEC filings</w:t>
      </w:r>
    </w:p>
    <w:p w:rsidR="00F958B7" w:rsidRPr="00E34E6E" w:rsidRDefault="00A7780D" w:rsidP="00B93647">
      <w:pPr>
        <w:spacing w:line="480" w:lineRule="auto"/>
        <w:jc w:val="both"/>
      </w:pPr>
      <w:r w:rsidRPr="00333C76">
        <w:t>A study that focused</w:t>
      </w:r>
      <w:r w:rsidR="002872ED" w:rsidRPr="00333C76">
        <w:t xml:space="preserve"> on the funds</w:t>
      </w:r>
      <w:r w:rsidR="004E5BEB" w:rsidRPr="00333C76">
        <w:t>’</w:t>
      </w:r>
      <w:r w:rsidR="002872ED" w:rsidRPr="00333C76">
        <w:t xml:space="preserve"> security holdings and stock-picking </w:t>
      </w:r>
      <w:r w:rsidR="004E5BEB" w:rsidRPr="00333C76">
        <w:t>was that of</w:t>
      </w:r>
      <w:r w:rsidR="002872ED" w:rsidRPr="00333C76">
        <w:t xml:space="preserve"> </w:t>
      </w:r>
      <w:r w:rsidR="00F958B7" w:rsidRPr="00333C76">
        <w:t>Chung, Fung, and Patel (2015)</w:t>
      </w:r>
      <w:r w:rsidR="00BB7639" w:rsidRPr="00333C76">
        <w:t>.</w:t>
      </w:r>
      <w:r w:rsidR="00F958B7" w:rsidRPr="00333C76">
        <w:t xml:space="preserve"> </w:t>
      </w:r>
      <w:r w:rsidR="00BB7639" w:rsidRPr="00333C76">
        <w:t>They</w:t>
      </w:r>
      <w:r w:rsidR="002872ED" w:rsidRPr="00333C76">
        <w:t xml:space="preserve"> </w:t>
      </w:r>
      <w:r w:rsidR="00F958B7" w:rsidRPr="00333C76">
        <w:t xml:space="preserve">examined whether hedge funds deliver consistent superior performance by focusing long-equity holdings. They used four databases: GOEF, CRSP, </w:t>
      </w:r>
      <w:r w:rsidR="003C3917" w:rsidRPr="00333C76">
        <w:t xml:space="preserve">data from </w:t>
      </w:r>
      <w:r w:rsidR="00F958B7" w:rsidRPr="00333C76">
        <w:t xml:space="preserve">French’s website, and </w:t>
      </w:r>
      <w:r w:rsidR="0090075A" w:rsidRPr="00333C76">
        <w:t xml:space="preserve">that of </w:t>
      </w:r>
      <w:r w:rsidR="00F958B7" w:rsidRPr="00333C76">
        <w:t xml:space="preserve">Orissa Group from 1997 to 2006. By </w:t>
      </w:r>
      <w:r w:rsidR="00DA7AFC" w:rsidRPr="00333C76">
        <w:t>focusing</w:t>
      </w:r>
      <w:r w:rsidR="00F958B7" w:rsidRPr="00333C76">
        <w:t xml:space="preserve"> </w:t>
      </w:r>
      <w:r w:rsidR="0090075A" w:rsidRPr="00333C76">
        <w:t>on</w:t>
      </w:r>
      <w:r w:rsidR="00F958B7" w:rsidRPr="00333C76">
        <w:t xml:space="preserve"> the characteristics of returns associated with long-equity picks of hedge funds and other institutional investors</w:t>
      </w:r>
      <w:r w:rsidR="004D3701" w:rsidRPr="00333C76">
        <w:t>,</w:t>
      </w:r>
      <w:r w:rsidR="00F958B7" w:rsidRPr="00333C76">
        <w:t xml:space="preserve"> they showed that hedge funds present</w:t>
      </w:r>
      <w:r w:rsidR="00B35A5C" w:rsidRPr="00333C76">
        <w:t>ed</w:t>
      </w:r>
      <w:r w:rsidR="00F958B7" w:rsidRPr="00333C76">
        <w:t xml:space="preserve"> stock-picking </w:t>
      </w:r>
      <w:r w:rsidR="00F958B7" w:rsidRPr="00E34E6E">
        <w:t xml:space="preserve">superiority </w:t>
      </w:r>
      <w:r w:rsidR="004E3A57" w:rsidRPr="00E34E6E">
        <w:t xml:space="preserve">on their loading on the market risk factor compared to other institutional investors </w:t>
      </w:r>
      <w:r w:rsidR="00F958B7" w:rsidRPr="00E34E6E">
        <w:t xml:space="preserve">across three different market eras: bubble, deflation, and recovery. Moreover, high </w:t>
      </w:r>
      <w:r w:rsidR="00944AFA" w:rsidRPr="00E34E6E">
        <w:t>information acquisition</w:t>
      </w:r>
      <w:r w:rsidR="00F958B7" w:rsidRPr="00E34E6E">
        <w:t xml:space="preserve"> </w:t>
      </w:r>
      <w:r w:rsidR="000D5919" w:rsidRPr="00E34E6E">
        <w:t xml:space="preserve">(high churn rate) </w:t>
      </w:r>
      <w:r w:rsidR="00F958B7" w:rsidRPr="00E34E6E">
        <w:t xml:space="preserve">and </w:t>
      </w:r>
      <w:r w:rsidR="00944AFA" w:rsidRPr="00E34E6E">
        <w:t>active portfolio management</w:t>
      </w:r>
      <w:r w:rsidR="00F958B7" w:rsidRPr="00E34E6E">
        <w:t xml:space="preserve"> </w:t>
      </w:r>
      <w:r w:rsidR="000D5919" w:rsidRPr="00E34E6E">
        <w:t xml:space="preserve">(high active share) </w:t>
      </w:r>
      <w:r w:rsidR="00F958B7" w:rsidRPr="00E34E6E">
        <w:t>appear</w:t>
      </w:r>
      <w:r w:rsidR="00B35A5C" w:rsidRPr="00E34E6E">
        <w:t>ed</w:t>
      </w:r>
      <w:r w:rsidR="00F958B7" w:rsidRPr="00E34E6E">
        <w:t xml:space="preserve"> to be necessities for the superior returns of hedge funds</w:t>
      </w:r>
      <w:r w:rsidR="00944AFA" w:rsidRPr="00E34E6E">
        <w:t xml:space="preserve"> relative to other institutional investors.</w:t>
      </w:r>
    </w:p>
    <w:p w:rsidR="00E65004" w:rsidRPr="00E34E6E" w:rsidRDefault="00AC6BA5" w:rsidP="00B93647">
      <w:pPr>
        <w:spacing w:line="480" w:lineRule="auto"/>
        <w:jc w:val="both"/>
      </w:pPr>
      <w:r w:rsidRPr="00E34E6E">
        <w:rPr>
          <w:rFonts w:cs="Times New Roman"/>
          <w:szCs w:val="24"/>
        </w:rPr>
        <w:lastRenderedPageBreak/>
        <w:t xml:space="preserve">Related to the above study is the paper by </w:t>
      </w:r>
      <w:r w:rsidRPr="00E34E6E">
        <w:rPr>
          <w:rFonts w:cs="Times New Roman"/>
          <w:szCs w:val="24"/>
          <w:lang w:val="en-US"/>
        </w:rPr>
        <w:t>Agarwal, Jiang, Tang and Yang (2013) who examined the “confidential holdings” from hedge funds which are amendments to Form 13F (SEC’s requirement of quarterly holding</w:t>
      </w:r>
      <w:r w:rsidR="00831B1D" w:rsidRPr="00E34E6E">
        <w:rPr>
          <w:rFonts w:cs="Times New Roman"/>
          <w:szCs w:val="24"/>
          <w:lang w:val="en-US"/>
        </w:rPr>
        <w:t>s</w:t>
      </w:r>
      <w:r w:rsidRPr="00E34E6E">
        <w:rPr>
          <w:rFonts w:cs="Times New Roman"/>
          <w:szCs w:val="24"/>
          <w:lang w:val="en-US"/>
        </w:rPr>
        <w:t xml:space="preserve"> </w:t>
      </w:r>
      <w:r w:rsidR="00116B9B" w:rsidRPr="00E34E6E">
        <w:rPr>
          <w:rFonts w:cs="Times New Roman"/>
          <w:szCs w:val="24"/>
          <w:lang w:val="en-US"/>
        </w:rPr>
        <w:t xml:space="preserve">report </w:t>
      </w:r>
      <w:r w:rsidRPr="00E34E6E">
        <w:rPr>
          <w:rFonts w:cs="Times New Roman"/>
          <w:szCs w:val="24"/>
          <w:lang w:val="en-US"/>
        </w:rPr>
        <w:t xml:space="preserve">for funds with over $100 million in qualifying assets), using the SEC’s EDGAR database (1999-2007). </w:t>
      </w:r>
      <w:r w:rsidR="007F3809" w:rsidRPr="00E34E6E">
        <w:rPr>
          <w:rFonts w:cs="Times New Roman"/>
          <w:szCs w:val="24"/>
        </w:rPr>
        <w:t>The authors</w:t>
      </w:r>
      <w:r w:rsidRPr="00E34E6E">
        <w:rPr>
          <w:rFonts w:cs="Times New Roman"/>
          <w:szCs w:val="24"/>
        </w:rPr>
        <w:t xml:space="preserve"> incorporated and compared confidential holdings’ performance to original holdings’ performance of fund managers’ portfolios providing a clear picture of the stock-picking ability of hedge funds. </w:t>
      </w:r>
      <w:r w:rsidRPr="00E34E6E">
        <w:rPr>
          <w:rFonts w:cs="Times New Roman"/>
          <w:szCs w:val="24"/>
          <w:lang w:val="en-US"/>
        </w:rPr>
        <w:t xml:space="preserve">They showed that confidential treatment provides an incentive for active portfolio managers and also relieves fund managers from having to reveal their private information before reaping the full benefits of their investments. Funds managing large risky portfolios with nonconventional strategies (e.g. higher idiosyncratic risk) pursue confidentiality frequently and confidential holdings exhibit superior performance from 2 to 12 months. </w:t>
      </w:r>
      <w:r w:rsidR="002C08F7" w:rsidRPr="00E34E6E">
        <w:rPr>
          <w:rFonts w:eastAsiaTheme="minorEastAsia"/>
          <w:lang w:val="en-US"/>
        </w:rPr>
        <w:t xml:space="preserve">Although the conventional 13F databases </w:t>
      </w:r>
      <w:r w:rsidR="007A0377" w:rsidRPr="00E34E6E">
        <w:rPr>
          <w:rFonts w:eastAsiaTheme="minorEastAsia"/>
          <w:lang w:val="en-US"/>
        </w:rPr>
        <w:t>which</w:t>
      </w:r>
      <w:r w:rsidR="002C08F7" w:rsidRPr="00E34E6E">
        <w:rPr>
          <w:rFonts w:eastAsiaTheme="minorEastAsia"/>
          <w:lang w:val="en-US"/>
        </w:rPr>
        <w:t xml:space="preserve"> ignore confidential holdings may </w:t>
      </w:r>
      <w:r w:rsidR="00270E55" w:rsidRPr="00E34E6E">
        <w:rPr>
          <w:rFonts w:eastAsiaTheme="minorEastAsia"/>
          <w:lang w:val="en-US"/>
        </w:rPr>
        <w:t>be</w:t>
      </w:r>
      <w:r w:rsidR="002C08F7" w:rsidRPr="00E34E6E">
        <w:rPr>
          <w:rFonts w:eastAsiaTheme="minorEastAsia"/>
          <w:lang w:val="en-US"/>
        </w:rPr>
        <w:t xml:space="preserve"> bias</w:t>
      </w:r>
      <w:r w:rsidR="00270E55" w:rsidRPr="00E34E6E">
        <w:rPr>
          <w:rFonts w:eastAsiaTheme="minorEastAsia"/>
          <w:lang w:val="en-US"/>
        </w:rPr>
        <w:t>ed</w:t>
      </w:r>
      <w:r w:rsidR="007A0377" w:rsidRPr="00E34E6E">
        <w:rPr>
          <w:rFonts w:eastAsiaTheme="minorEastAsia"/>
          <w:lang w:val="en-US"/>
        </w:rPr>
        <w:t>,</w:t>
      </w:r>
      <w:r w:rsidR="002C08F7" w:rsidRPr="00E34E6E">
        <w:rPr>
          <w:rFonts w:eastAsiaTheme="minorEastAsia"/>
          <w:lang w:val="en-US"/>
        </w:rPr>
        <w:t xml:space="preserve"> th</w:t>
      </w:r>
      <w:r w:rsidR="00270E55" w:rsidRPr="00E34E6E">
        <w:rPr>
          <w:rFonts w:eastAsiaTheme="minorEastAsia"/>
          <w:lang w:val="en-US"/>
        </w:rPr>
        <w:t>is</w:t>
      </w:r>
      <w:r w:rsidR="002C08F7" w:rsidRPr="00E34E6E">
        <w:rPr>
          <w:rFonts w:eastAsiaTheme="minorEastAsia"/>
          <w:lang w:val="en-US"/>
        </w:rPr>
        <w:t xml:space="preserve"> </w:t>
      </w:r>
      <w:r w:rsidR="002A6418" w:rsidRPr="00E34E6E">
        <w:rPr>
          <w:rFonts w:eastAsiaTheme="minorEastAsia"/>
          <w:lang w:val="en-US"/>
        </w:rPr>
        <w:t xml:space="preserve">bias </w:t>
      </w:r>
      <w:r w:rsidR="00270E55" w:rsidRPr="00E34E6E">
        <w:rPr>
          <w:rFonts w:eastAsiaTheme="minorEastAsia"/>
          <w:lang w:val="en-US"/>
        </w:rPr>
        <w:t>is</w:t>
      </w:r>
      <w:r w:rsidR="002C08F7" w:rsidRPr="00E34E6E">
        <w:rPr>
          <w:rFonts w:eastAsiaTheme="minorEastAsia"/>
          <w:lang w:val="en-US"/>
        </w:rPr>
        <w:t xml:space="preserve"> small when considering aggregate institutio</w:t>
      </w:r>
      <w:r w:rsidR="007A0377" w:rsidRPr="00E34E6E">
        <w:rPr>
          <w:rFonts w:eastAsiaTheme="minorEastAsia"/>
          <w:lang w:val="en-US"/>
        </w:rPr>
        <w:t>nal holding</w:t>
      </w:r>
      <w:r w:rsidR="00270E55" w:rsidRPr="00E34E6E">
        <w:rPr>
          <w:rFonts w:eastAsiaTheme="minorEastAsia"/>
          <w:lang w:val="en-US"/>
        </w:rPr>
        <w:t>s</w:t>
      </w:r>
      <w:r w:rsidR="007A0377" w:rsidRPr="00E34E6E">
        <w:rPr>
          <w:rFonts w:eastAsiaTheme="minorEastAsia"/>
          <w:lang w:val="en-US"/>
        </w:rPr>
        <w:t xml:space="preserve"> in public companies.</w:t>
      </w:r>
      <w:r w:rsidR="002C08F7" w:rsidRPr="00E34E6E">
        <w:rPr>
          <w:rFonts w:eastAsiaTheme="minorEastAsia"/>
          <w:lang w:val="en-US"/>
        </w:rPr>
        <w:t xml:space="preserve"> </w:t>
      </w:r>
      <w:r w:rsidR="007A0377" w:rsidRPr="00E34E6E">
        <w:rPr>
          <w:rFonts w:eastAsiaTheme="minorEastAsia"/>
          <w:lang w:val="en-US"/>
        </w:rPr>
        <w:t>However</w:t>
      </w:r>
      <w:r w:rsidR="002C08F7" w:rsidRPr="00E34E6E">
        <w:rPr>
          <w:rFonts w:eastAsiaTheme="minorEastAsia"/>
          <w:lang w:val="en-US"/>
        </w:rPr>
        <w:t xml:space="preserve"> </w:t>
      </w:r>
      <w:r w:rsidR="007A0377" w:rsidRPr="00E34E6E">
        <w:rPr>
          <w:rFonts w:eastAsiaTheme="minorEastAsia"/>
          <w:lang w:val="en-US"/>
        </w:rPr>
        <w:t>this</w:t>
      </w:r>
      <w:r w:rsidR="002C08F7" w:rsidRPr="00E34E6E">
        <w:rPr>
          <w:rFonts w:eastAsiaTheme="minorEastAsia"/>
          <w:lang w:val="en-US"/>
        </w:rPr>
        <w:t xml:space="preserve"> is a significant omission when analyzing position changes of individual institutions or in </w:t>
      </w:r>
      <w:r w:rsidR="00270E55" w:rsidRPr="00E34E6E">
        <w:rPr>
          <w:rFonts w:eastAsiaTheme="minorEastAsia"/>
          <w:lang w:val="en-US"/>
        </w:rPr>
        <w:t>response to certain events.</w:t>
      </w:r>
    </w:p>
    <w:p w:rsidR="00324B89" w:rsidRPr="00180AB2" w:rsidRDefault="00AB3246" w:rsidP="00B93647">
      <w:pPr>
        <w:spacing w:line="480" w:lineRule="auto"/>
        <w:jc w:val="both"/>
      </w:pPr>
      <w:r w:rsidRPr="00180AB2">
        <w:t xml:space="preserve">The above studies using additional factors and statistical techniques examined in detail </w:t>
      </w:r>
      <w:r w:rsidR="00355D67" w:rsidRPr="00E34E6E">
        <w:t>systematic risk</w:t>
      </w:r>
      <w:r w:rsidRPr="00E34E6E">
        <w:t xml:space="preserve"> </w:t>
      </w:r>
      <w:r w:rsidR="00333C76" w:rsidRPr="00E34E6E">
        <w:t>and performance</w:t>
      </w:r>
      <w:r w:rsidR="00D80361" w:rsidRPr="00E34E6E">
        <w:t>,</w:t>
      </w:r>
      <w:r w:rsidR="00333C76" w:rsidRPr="00E34E6E">
        <w:t xml:space="preserve"> </w:t>
      </w:r>
      <w:r w:rsidRPr="00E34E6E">
        <w:t xml:space="preserve">and </w:t>
      </w:r>
      <w:r w:rsidR="00D0313E" w:rsidRPr="00E34E6E">
        <w:t>the</w:t>
      </w:r>
      <w:r w:rsidR="00355D67" w:rsidRPr="00E34E6E">
        <w:t xml:space="preserve"> </w:t>
      </w:r>
      <w:r w:rsidR="00D0313E" w:rsidRPr="00E34E6E">
        <w:t xml:space="preserve">way </w:t>
      </w:r>
      <w:r w:rsidR="00333C76" w:rsidRPr="00E34E6E">
        <w:t>they</w:t>
      </w:r>
      <w:r w:rsidRPr="00E34E6E">
        <w:t xml:space="preserve"> change</w:t>
      </w:r>
      <w:r w:rsidR="00333C06" w:rsidRPr="00E34E6E">
        <w:t xml:space="preserve"> according to financial conditions</w:t>
      </w:r>
      <w:r w:rsidR="00A24985" w:rsidRPr="00E34E6E">
        <w:t xml:space="preserve"> or holdings</w:t>
      </w:r>
      <w:r w:rsidRPr="00E34E6E">
        <w:t>. However</w:t>
      </w:r>
      <w:r w:rsidR="006D5D0E" w:rsidRPr="00180AB2">
        <w:t>, more work is need</w:t>
      </w:r>
      <w:r w:rsidR="0011778F">
        <w:t>ed</w:t>
      </w:r>
      <w:r w:rsidRPr="00180AB2">
        <w:t xml:space="preserve"> </w:t>
      </w:r>
      <w:r w:rsidR="0011778F">
        <w:t>look at</w:t>
      </w:r>
      <w:r w:rsidRPr="00180AB2">
        <w:t xml:space="preserve"> the time variation of hedge fund performance attribution</w:t>
      </w:r>
      <w:r w:rsidR="00E132A0" w:rsidRPr="00180AB2">
        <w:t>. This is</w:t>
      </w:r>
      <w:r w:rsidRPr="00180AB2">
        <w:t xml:space="preserve"> an issue that can better be captured with the identification of the structural br</w:t>
      </w:r>
      <w:r w:rsidR="009E6619">
        <w:t>eaks</w:t>
      </w:r>
      <w:r w:rsidRPr="00180AB2">
        <w:t xml:space="preserve"> within the underlying models, </w:t>
      </w:r>
      <w:r w:rsidR="001B5367">
        <w:t xml:space="preserve">as </w:t>
      </w:r>
      <w:r w:rsidRPr="00180AB2">
        <w:t>presented in section</w:t>
      </w:r>
      <w:r w:rsidR="001B5367">
        <w:t xml:space="preserve"> </w:t>
      </w:r>
      <w:r w:rsidR="00F55A2B">
        <w:t>5</w:t>
      </w:r>
      <w:r w:rsidR="001B5367">
        <w:t>.3</w:t>
      </w:r>
      <w:r w:rsidRPr="00180AB2">
        <w:t>.</w:t>
      </w:r>
    </w:p>
    <w:p w:rsidR="001A4591" w:rsidRPr="00A44D31" w:rsidRDefault="00A763F4" w:rsidP="00B93647">
      <w:pPr>
        <w:pStyle w:val="Heading2"/>
        <w:spacing w:line="480" w:lineRule="auto"/>
        <w:rPr>
          <w:rFonts w:eastAsiaTheme="minorEastAsia"/>
          <w:lang w:val="en-US"/>
        </w:rPr>
      </w:pPr>
      <w:r>
        <w:rPr>
          <w:rFonts w:eastAsiaTheme="minorEastAsia"/>
          <w:lang w:val="en-US"/>
        </w:rPr>
        <w:lastRenderedPageBreak/>
        <w:t>Alternative Approach</w:t>
      </w:r>
      <w:r w:rsidR="0082129E" w:rsidRPr="00A44D31">
        <w:rPr>
          <w:rFonts w:eastAsiaTheme="minorEastAsia"/>
          <w:lang w:val="en-US"/>
        </w:rPr>
        <w:t xml:space="preserve"> </w:t>
      </w:r>
    </w:p>
    <w:p w:rsidR="0082129E" w:rsidRPr="00A44D31" w:rsidRDefault="0082129E" w:rsidP="00B93647">
      <w:pPr>
        <w:spacing w:line="480" w:lineRule="auto"/>
        <w:jc w:val="both"/>
        <w:rPr>
          <w:rFonts w:eastAsiaTheme="minorEastAsia"/>
          <w:lang w:val="en-US"/>
        </w:rPr>
      </w:pPr>
      <w:r w:rsidRPr="00A44D31">
        <w:rPr>
          <w:rFonts w:eastAsiaTheme="minorEastAsia"/>
          <w:lang w:val="en-US"/>
        </w:rPr>
        <w:t xml:space="preserve">In this section we present studies </w:t>
      </w:r>
      <w:r w:rsidR="00FA6129" w:rsidRPr="00A44D31">
        <w:rPr>
          <w:rFonts w:eastAsiaTheme="minorEastAsia"/>
          <w:lang w:val="en-US"/>
        </w:rPr>
        <w:t xml:space="preserve">that </w:t>
      </w:r>
      <w:r w:rsidR="00FA5D9D">
        <w:rPr>
          <w:rFonts w:eastAsiaTheme="minorEastAsia"/>
          <w:lang w:val="en-US"/>
        </w:rPr>
        <w:t xml:space="preserve">have </w:t>
      </w:r>
      <w:r w:rsidR="00FA6129" w:rsidRPr="00A44D31">
        <w:rPr>
          <w:rFonts w:eastAsiaTheme="minorEastAsia"/>
          <w:lang w:val="en-US"/>
        </w:rPr>
        <w:t xml:space="preserve">addressed </w:t>
      </w:r>
      <w:r w:rsidRPr="00A44D31">
        <w:rPr>
          <w:rFonts w:eastAsiaTheme="minorEastAsia"/>
          <w:lang w:val="en-US"/>
        </w:rPr>
        <w:t xml:space="preserve">different methodological issues and </w:t>
      </w:r>
      <w:r w:rsidR="00FA6129" w:rsidRPr="00A44D31">
        <w:rPr>
          <w:rFonts w:eastAsiaTheme="minorEastAsia"/>
          <w:lang w:val="en-US"/>
        </w:rPr>
        <w:t xml:space="preserve">tried to identify </w:t>
      </w:r>
      <w:r w:rsidRPr="00A44D31">
        <w:rPr>
          <w:rFonts w:eastAsiaTheme="minorEastAsia"/>
          <w:lang w:val="en-US"/>
        </w:rPr>
        <w:t>structural break</w:t>
      </w:r>
      <w:r w:rsidR="00FA6129" w:rsidRPr="00A44D31">
        <w:rPr>
          <w:rFonts w:eastAsiaTheme="minorEastAsia"/>
          <w:lang w:val="en-US"/>
        </w:rPr>
        <w:t xml:space="preserve">s in hedge fund returns. </w:t>
      </w:r>
      <w:r w:rsidR="004A2A40">
        <w:rPr>
          <w:rFonts w:eastAsiaTheme="minorEastAsia"/>
          <w:lang w:val="en-US"/>
        </w:rPr>
        <w:t>These studies focus</w:t>
      </w:r>
      <w:r w:rsidR="00876275" w:rsidRPr="00A44D31">
        <w:rPr>
          <w:rFonts w:eastAsiaTheme="minorEastAsia"/>
          <w:lang w:val="en-US"/>
        </w:rPr>
        <w:t xml:space="preserve"> on the model uncertainty and </w:t>
      </w:r>
      <w:r w:rsidR="00D47D25">
        <w:rPr>
          <w:rFonts w:eastAsiaTheme="minorEastAsia"/>
          <w:lang w:val="en-US"/>
        </w:rPr>
        <w:t>its</w:t>
      </w:r>
      <w:r w:rsidR="00876275" w:rsidRPr="00A44D31">
        <w:rPr>
          <w:rFonts w:eastAsiaTheme="minorEastAsia"/>
          <w:lang w:val="en-US"/>
        </w:rPr>
        <w:t xml:space="preserve"> different </w:t>
      </w:r>
      <w:proofErr w:type="spellStart"/>
      <w:r w:rsidR="00876275" w:rsidRPr="00A44D31">
        <w:rPr>
          <w:rFonts w:eastAsiaTheme="minorEastAsia"/>
          <w:lang w:val="en-US"/>
        </w:rPr>
        <w:t>behaviour</w:t>
      </w:r>
      <w:proofErr w:type="spellEnd"/>
      <w:r w:rsidR="00876275" w:rsidRPr="00A44D31">
        <w:rPr>
          <w:rFonts w:eastAsiaTheme="minorEastAsia"/>
          <w:lang w:val="en-US"/>
        </w:rPr>
        <w:t xml:space="preserve"> </w:t>
      </w:r>
      <w:r w:rsidR="00D47D25">
        <w:rPr>
          <w:rFonts w:eastAsiaTheme="minorEastAsia"/>
          <w:lang w:val="en-US"/>
        </w:rPr>
        <w:t>when</w:t>
      </w:r>
      <w:r w:rsidR="00876275" w:rsidRPr="00A44D31">
        <w:rPr>
          <w:rFonts w:eastAsiaTheme="minorEastAsia"/>
          <w:lang w:val="en-US"/>
        </w:rPr>
        <w:t xml:space="preserve"> describing hedge fund returns. </w:t>
      </w:r>
      <w:r w:rsidR="00AD3C84" w:rsidRPr="00A44D31">
        <w:rPr>
          <w:rFonts w:eastAsiaTheme="minorEastAsia"/>
          <w:lang w:val="en-US"/>
        </w:rPr>
        <w:t xml:space="preserve">As with the up-bottom approach, these studies </w:t>
      </w:r>
      <w:r w:rsidR="00E7507D">
        <w:rPr>
          <w:rFonts w:eastAsiaTheme="minorEastAsia"/>
          <w:lang w:val="en-US"/>
        </w:rPr>
        <w:t xml:space="preserve">also </w:t>
      </w:r>
      <w:r w:rsidR="00AD3C84" w:rsidRPr="00A44D31">
        <w:rPr>
          <w:rFonts w:eastAsiaTheme="minorEastAsia"/>
          <w:lang w:val="en-US"/>
        </w:rPr>
        <w:t>tend to use more advanced econometric techniques.</w:t>
      </w:r>
      <w:r w:rsidR="00876275" w:rsidRPr="00A44D31">
        <w:rPr>
          <w:rFonts w:eastAsiaTheme="minorEastAsia"/>
          <w:lang w:val="en-US"/>
        </w:rPr>
        <w:t xml:space="preserve"> </w:t>
      </w:r>
      <w:r w:rsidRPr="00A44D31">
        <w:rPr>
          <w:rFonts w:eastAsiaTheme="minorEastAsia"/>
          <w:lang w:val="en-US"/>
        </w:rPr>
        <w:t xml:space="preserve"> </w:t>
      </w:r>
    </w:p>
    <w:p w:rsidR="00E316CC" w:rsidRPr="00A44D31" w:rsidRDefault="00901327" w:rsidP="00B93647">
      <w:pPr>
        <w:spacing w:line="480" w:lineRule="auto"/>
        <w:jc w:val="both"/>
        <w:rPr>
          <w:rFonts w:eastAsiaTheme="minorEastAsia"/>
          <w:lang w:val="en-US"/>
        </w:rPr>
      </w:pPr>
      <w:r>
        <w:rPr>
          <w:rFonts w:eastAsiaTheme="minorEastAsia"/>
          <w:lang w:val="en-US"/>
        </w:rPr>
        <w:t xml:space="preserve">We begin with </w:t>
      </w:r>
      <w:proofErr w:type="spellStart"/>
      <w:r w:rsidR="00C71667" w:rsidRPr="00A44D31">
        <w:rPr>
          <w:rFonts w:eastAsiaTheme="minorEastAsia"/>
          <w:lang w:val="en-US"/>
        </w:rPr>
        <w:t>Bollen</w:t>
      </w:r>
      <w:proofErr w:type="spellEnd"/>
      <w:r w:rsidR="00C71667" w:rsidRPr="00A44D31">
        <w:rPr>
          <w:rFonts w:eastAsiaTheme="minorEastAsia"/>
          <w:lang w:val="en-US"/>
        </w:rPr>
        <w:t xml:space="preserve"> and Whaley (200</w:t>
      </w:r>
      <w:r w:rsidR="00111EB4" w:rsidRPr="00A44D31">
        <w:rPr>
          <w:rFonts w:eastAsiaTheme="minorEastAsia"/>
          <w:lang w:val="en-US"/>
        </w:rPr>
        <w:t>9</w:t>
      </w:r>
      <w:r w:rsidR="00C71667" w:rsidRPr="00A44D31">
        <w:rPr>
          <w:rFonts w:eastAsiaTheme="minorEastAsia"/>
          <w:lang w:val="en-US"/>
        </w:rPr>
        <w:t xml:space="preserve">) </w:t>
      </w:r>
      <w:r w:rsidR="004B0FCA">
        <w:rPr>
          <w:rFonts w:eastAsiaTheme="minorEastAsia"/>
          <w:lang w:val="en-US"/>
        </w:rPr>
        <w:t xml:space="preserve">who </w:t>
      </w:r>
      <w:r w:rsidR="00C71667" w:rsidRPr="00A44D31">
        <w:rPr>
          <w:rFonts w:eastAsiaTheme="minorEastAsia"/>
          <w:lang w:val="en-US"/>
        </w:rPr>
        <w:t>us</w:t>
      </w:r>
      <w:r w:rsidR="004B0FCA">
        <w:rPr>
          <w:rFonts w:eastAsiaTheme="minorEastAsia"/>
          <w:lang w:val="en-US"/>
        </w:rPr>
        <w:t>ed</w:t>
      </w:r>
      <w:r w:rsidR="00C71667" w:rsidRPr="00A44D31">
        <w:rPr>
          <w:rFonts w:eastAsiaTheme="minorEastAsia"/>
          <w:lang w:val="en-US"/>
        </w:rPr>
        <w:t xml:space="preserve"> the CISDM database from 1994 to 2</w:t>
      </w:r>
      <w:r w:rsidR="006A4030">
        <w:rPr>
          <w:rFonts w:eastAsiaTheme="minorEastAsia"/>
          <w:lang w:val="en-US"/>
        </w:rPr>
        <w:t>005</w:t>
      </w:r>
      <w:r w:rsidR="004B0FCA">
        <w:rPr>
          <w:rFonts w:eastAsiaTheme="minorEastAsia"/>
          <w:lang w:val="en-US"/>
        </w:rPr>
        <w:t>.</w:t>
      </w:r>
      <w:r w:rsidR="006A4030">
        <w:rPr>
          <w:rFonts w:eastAsiaTheme="minorEastAsia"/>
          <w:lang w:val="en-US"/>
        </w:rPr>
        <w:t xml:space="preserve"> </w:t>
      </w:r>
      <w:r w:rsidR="004B0FCA">
        <w:rPr>
          <w:rFonts w:eastAsiaTheme="minorEastAsia"/>
          <w:lang w:val="en-US"/>
        </w:rPr>
        <w:t>They ran</w:t>
      </w:r>
      <w:r w:rsidR="006A4030">
        <w:rPr>
          <w:rFonts w:eastAsiaTheme="minorEastAsia"/>
          <w:lang w:val="en-US"/>
        </w:rPr>
        <w:t xml:space="preserve"> an optimal change-</w:t>
      </w:r>
      <w:r w:rsidR="00C71667" w:rsidRPr="00A44D31">
        <w:rPr>
          <w:rFonts w:eastAsiaTheme="minorEastAsia"/>
          <w:lang w:val="en-US"/>
        </w:rPr>
        <w:t>point regression model that allow</w:t>
      </w:r>
      <w:r w:rsidR="00445E5C">
        <w:rPr>
          <w:rFonts w:eastAsiaTheme="minorEastAsia"/>
          <w:lang w:val="en-US"/>
        </w:rPr>
        <w:t>ed</w:t>
      </w:r>
      <w:r w:rsidR="00C71667" w:rsidRPr="00A44D31">
        <w:rPr>
          <w:rFonts w:eastAsiaTheme="minorEastAsia"/>
          <w:lang w:val="en-US"/>
        </w:rPr>
        <w:t xml:space="preserve"> risk exposures to change</w:t>
      </w:r>
      <w:r w:rsidR="00946CB0">
        <w:rPr>
          <w:rFonts w:eastAsiaTheme="minorEastAsia"/>
          <w:lang w:val="en-US"/>
        </w:rPr>
        <w:t>-switch</w:t>
      </w:r>
      <w:r w:rsidR="00C71667" w:rsidRPr="00A44D31">
        <w:rPr>
          <w:rFonts w:eastAsiaTheme="minorEastAsia"/>
          <w:lang w:val="en-US"/>
        </w:rPr>
        <w:t xml:space="preserve"> (although they implemented </w:t>
      </w:r>
      <w:r w:rsidR="001D3B65">
        <w:rPr>
          <w:rFonts w:eastAsiaTheme="minorEastAsia"/>
          <w:lang w:val="en-US"/>
        </w:rPr>
        <w:t>it using just one change-</w:t>
      </w:r>
      <w:r w:rsidR="00C71667" w:rsidRPr="00A44D31">
        <w:rPr>
          <w:rFonts w:eastAsiaTheme="minorEastAsia"/>
          <w:lang w:val="en-US"/>
        </w:rPr>
        <w:t>point) and a stochastic beta model that use</w:t>
      </w:r>
      <w:r w:rsidR="00AB4DD0">
        <w:rPr>
          <w:rFonts w:eastAsiaTheme="minorEastAsia"/>
          <w:lang w:val="en-US"/>
        </w:rPr>
        <w:t>d</w:t>
      </w:r>
      <w:r w:rsidR="00C71667" w:rsidRPr="00A44D31">
        <w:rPr>
          <w:rFonts w:eastAsiaTheme="minorEastAsia"/>
          <w:lang w:val="en-US"/>
        </w:rPr>
        <w:t xml:space="preserve"> </w:t>
      </w:r>
      <w:r w:rsidR="001E40DA">
        <w:rPr>
          <w:rFonts w:eastAsiaTheme="minorEastAsia"/>
          <w:lang w:val="en-US"/>
        </w:rPr>
        <w:t xml:space="preserve">an </w:t>
      </w:r>
      <w:r w:rsidR="00C71667" w:rsidRPr="00A44D31">
        <w:rPr>
          <w:rFonts w:eastAsiaTheme="minorEastAsia"/>
          <w:lang w:val="en-US"/>
        </w:rPr>
        <w:t>autoregressive process for risk exposures. In order to select the most appropriate subset of available factors they first selected a subset of factors that maximize</w:t>
      </w:r>
      <w:r w:rsidR="00873261">
        <w:rPr>
          <w:rFonts w:eastAsiaTheme="minorEastAsia"/>
          <w:lang w:val="en-US"/>
        </w:rPr>
        <w:t>d</w:t>
      </w:r>
      <w:r w:rsidR="00C71667" w:rsidRPr="00A44D31">
        <w:rPr>
          <w:rFonts w:eastAsiaTheme="minorEastAsia"/>
          <w:lang w:val="en-US"/>
        </w:rPr>
        <w:t xml:space="preserve"> the explanatory power of a constant parametric regression by using the Bayesian Information Criterion. Th</w:t>
      </w:r>
      <w:r w:rsidR="0027338A">
        <w:rPr>
          <w:rFonts w:eastAsiaTheme="minorEastAsia"/>
          <w:lang w:val="en-US"/>
        </w:rPr>
        <w:t>e change-</w:t>
      </w:r>
      <w:r w:rsidR="00C71667" w:rsidRPr="00A44D31">
        <w:rPr>
          <w:rFonts w:eastAsiaTheme="minorEastAsia"/>
          <w:lang w:val="en-US"/>
        </w:rPr>
        <w:t>point regression model performed be</w:t>
      </w:r>
      <w:r w:rsidR="00873261">
        <w:rPr>
          <w:rFonts w:eastAsiaTheme="minorEastAsia"/>
          <w:lang w:val="en-US"/>
        </w:rPr>
        <w:t>tter overall</w:t>
      </w:r>
      <w:r w:rsidR="00C71667" w:rsidRPr="00A44D31">
        <w:rPr>
          <w:rFonts w:eastAsiaTheme="minorEastAsia"/>
          <w:lang w:val="en-US"/>
        </w:rPr>
        <w:t xml:space="preserve"> compared to the stochastic beta model, showing that approximately 40% of the hedge funds in their sample presented a significant shift in risk exposures. Moreover, for live funds, switches tend to take place early in the fund’s life, whereas switcher funds tend to outperform non-switchers funds. Overall, time-varying risk exposures present</w:t>
      </w:r>
      <w:r w:rsidR="00660B84">
        <w:rPr>
          <w:rFonts w:eastAsiaTheme="minorEastAsia"/>
          <w:lang w:val="en-US"/>
        </w:rPr>
        <w:t>ed</w:t>
      </w:r>
      <w:r w:rsidR="00C71667" w:rsidRPr="00A44D31">
        <w:rPr>
          <w:rFonts w:eastAsiaTheme="minorEastAsia"/>
          <w:lang w:val="en-US"/>
        </w:rPr>
        <w:t xml:space="preserve"> better estimates of funds</w:t>
      </w:r>
      <w:r w:rsidR="00660B84">
        <w:rPr>
          <w:rFonts w:eastAsiaTheme="minorEastAsia"/>
          <w:lang w:val="en-US"/>
        </w:rPr>
        <w:t>’</w:t>
      </w:r>
      <w:r w:rsidR="00C71667" w:rsidRPr="00A44D31">
        <w:rPr>
          <w:rFonts w:eastAsiaTheme="minorEastAsia"/>
          <w:lang w:val="en-US"/>
        </w:rPr>
        <w:t xml:space="preserve"> alphas and </w:t>
      </w:r>
      <w:r w:rsidR="00660B84">
        <w:rPr>
          <w:rFonts w:eastAsiaTheme="minorEastAsia"/>
          <w:lang w:val="en-US"/>
        </w:rPr>
        <w:t>could</w:t>
      </w:r>
      <w:r w:rsidR="00C71667" w:rsidRPr="00A44D31">
        <w:rPr>
          <w:rFonts w:eastAsiaTheme="minorEastAsia"/>
          <w:lang w:val="en-US"/>
        </w:rPr>
        <w:t xml:space="preserve"> make better hedge fund return</w:t>
      </w:r>
      <w:r w:rsidR="00C84F1B">
        <w:rPr>
          <w:rFonts w:eastAsiaTheme="minorEastAsia"/>
          <w:lang w:val="en-US"/>
        </w:rPr>
        <w:t>s</w:t>
      </w:r>
      <w:r w:rsidR="00C71667" w:rsidRPr="00A44D31">
        <w:rPr>
          <w:rFonts w:eastAsiaTheme="minorEastAsia"/>
          <w:lang w:val="en-US"/>
        </w:rPr>
        <w:t xml:space="preserve"> predictions. </w:t>
      </w:r>
      <w:r w:rsidR="00AB5D63" w:rsidRPr="00A44D31">
        <w:rPr>
          <w:rFonts w:eastAsiaTheme="minorEastAsia"/>
          <w:lang w:val="en-US"/>
        </w:rPr>
        <w:t xml:space="preserve"> </w:t>
      </w:r>
      <w:r w:rsidR="004A2B9E" w:rsidRPr="00A44D31">
        <w:rPr>
          <w:rFonts w:eastAsiaTheme="minorEastAsia"/>
          <w:lang w:val="en-US"/>
        </w:rPr>
        <w:t xml:space="preserve">  </w:t>
      </w:r>
    </w:p>
    <w:p w:rsidR="00A454DB" w:rsidRPr="00E34E6E" w:rsidRDefault="00B44296" w:rsidP="00B93647">
      <w:pPr>
        <w:spacing w:line="480" w:lineRule="auto"/>
        <w:jc w:val="both"/>
        <w:rPr>
          <w:rFonts w:eastAsiaTheme="minorEastAsia"/>
          <w:lang w:val="en-US"/>
        </w:rPr>
      </w:pPr>
      <w:proofErr w:type="spellStart"/>
      <w:r w:rsidRPr="00A44D31">
        <w:rPr>
          <w:rFonts w:eastAsiaTheme="minorEastAsia"/>
          <w:lang w:val="en-US"/>
        </w:rPr>
        <w:t>Giannikis</w:t>
      </w:r>
      <w:proofErr w:type="spellEnd"/>
      <w:r w:rsidRPr="00A44D31">
        <w:rPr>
          <w:rFonts w:eastAsiaTheme="minorEastAsia"/>
          <w:lang w:val="en-US"/>
        </w:rPr>
        <w:t xml:space="preserve"> and </w:t>
      </w:r>
      <w:proofErr w:type="spellStart"/>
      <w:r w:rsidRPr="00A44D31">
        <w:rPr>
          <w:rFonts w:eastAsiaTheme="minorEastAsia"/>
          <w:lang w:val="en-US"/>
        </w:rPr>
        <w:t>Vrontos</w:t>
      </w:r>
      <w:proofErr w:type="spellEnd"/>
      <w:r w:rsidRPr="00A44D31">
        <w:rPr>
          <w:rFonts w:eastAsiaTheme="minorEastAsia"/>
          <w:lang w:val="en-US"/>
        </w:rPr>
        <w:t xml:space="preserve"> (2011) used the HFR database from 1990 to 2009 to examine the </w:t>
      </w:r>
      <w:r w:rsidR="004A487E">
        <w:rPr>
          <w:rFonts w:eastAsiaTheme="minorEastAsia"/>
          <w:lang w:val="en-US"/>
        </w:rPr>
        <w:t>non-linear</w:t>
      </w:r>
      <w:r w:rsidRPr="00A44D31">
        <w:rPr>
          <w:rFonts w:eastAsiaTheme="minorEastAsia"/>
          <w:lang w:val="en-US"/>
        </w:rPr>
        <w:t xml:space="preserve"> risk exposures of hedge funds to various risk factors. Their analysis revealed that different strategies exhibit</w:t>
      </w:r>
      <w:r w:rsidR="009F29C9">
        <w:rPr>
          <w:rFonts w:eastAsiaTheme="minorEastAsia"/>
          <w:lang w:val="en-US"/>
        </w:rPr>
        <w:t>ed</w:t>
      </w:r>
      <w:r w:rsidRPr="00A44D31">
        <w:rPr>
          <w:rFonts w:eastAsiaTheme="minorEastAsia"/>
          <w:lang w:val="en-US"/>
        </w:rPr>
        <w:t xml:space="preserve"> non-linear relations</w:t>
      </w:r>
      <w:r w:rsidR="0000409E">
        <w:rPr>
          <w:rFonts w:eastAsiaTheme="minorEastAsia"/>
          <w:lang w:val="en-US"/>
        </w:rPr>
        <w:t>hips</w:t>
      </w:r>
      <w:r w:rsidRPr="00A44D31">
        <w:rPr>
          <w:rFonts w:eastAsiaTheme="minorEastAsia"/>
          <w:lang w:val="en-US"/>
        </w:rPr>
        <w:t xml:space="preserve"> to different risk factors and that a threshold regression model incorporating a Bayesian approach </w:t>
      </w:r>
      <w:r w:rsidRPr="00A44D31">
        <w:rPr>
          <w:rFonts w:eastAsiaTheme="minorEastAsia"/>
          <w:lang w:val="en-US"/>
        </w:rPr>
        <w:lastRenderedPageBreak/>
        <w:t>improved the ability to appraise hedge fund performance. They used the Bayesian approach to identify the relevant risk factors (instead of stepwise regression or performing other statistical criteria) and at the same time detect possible thresholds in the model. The Bayesian methodology solve</w:t>
      </w:r>
      <w:r w:rsidR="00E07FFA">
        <w:rPr>
          <w:rFonts w:eastAsiaTheme="minorEastAsia"/>
          <w:lang w:val="en-US"/>
        </w:rPr>
        <w:t>d</w:t>
      </w:r>
      <w:r w:rsidRPr="00A44D31">
        <w:rPr>
          <w:rFonts w:eastAsiaTheme="minorEastAsia"/>
          <w:lang w:val="en-US"/>
        </w:rPr>
        <w:t xml:space="preserve"> two problems of the regression models: first</w:t>
      </w:r>
      <w:r w:rsidR="00E07FFA">
        <w:rPr>
          <w:rFonts w:eastAsiaTheme="minorEastAsia"/>
          <w:lang w:val="en-US"/>
        </w:rPr>
        <w:t>,</w:t>
      </w:r>
      <w:r w:rsidRPr="00A44D31">
        <w:rPr>
          <w:rFonts w:eastAsiaTheme="minorEastAsia"/>
          <w:lang w:val="en-US"/>
        </w:rPr>
        <w:t xml:space="preserve"> the uncertainty of the set of the risk factors and, second, the number and the values of the appropriate thresholds. This </w:t>
      </w:r>
      <w:r w:rsidR="00E07FFA">
        <w:rPr>
          <w:rFonts w:eastAsiaTheme="minorEastAsia"/>
          <w:lang w:val="en-US"/>
        </w:rPr>
        <w:t>was</w:t>
      </w:r>
      <w:r w:rsidRPr="00A44D31">
        <w:rPr>
          <w:rFonts w:eastAsiaTheme="minorEastAsia"/>
          <w:lang w:val="en-US"/>
        </w:rPr>
        <w:t xml:space="preserve"> a </w:t>
      </w:r>
      <w:r w:rsidRPr="00E34E6E">
        <w:rPr>
          <w:rFonts w:eastAsiaTheme="minorEastAsia"/>
          <w:lang w:val="en-US"/>
        </w:rPr>
        <w:t>probabilistic approach incorporating prior information – inferences appropriate to the underlying datasets.</w:t>
      </w:r>
      <w:r w:rsidR="005C4B42" w:rsidRPr="00E34E6E">
        <w:rPr>
          <w:rFonts w:eastAsiaTheme="minorEastAsia"/>
          <w:lang w:val="en-US"/>
        </w:rPr>
        <w:t xml:space="preserve"> Finally, different hedge fund strategies present</w:t>
      </w:r>
      <w:r w:rsidR="00D80361" w:rsidRPr="00E34E6E">
        <w:rPr>
          <w:rFonts w:eastAsiaTheme="minorEastAsia"/>
          <w:lang w:val="en-US"/>
        </w:rPr>
        <w:t>ed</w:t>
      </w:r>
      <w:r w:rsidR="005C4B42" w:rsidRPr="00E34E6E">
        <w:rPr>
          <w:rFonts w:eastAsiaTheme="minorEastAsia"/>
          <w:lang w:val="en-US"/>
        </w:rPr>
        <w:t xml:space="preserve"> different timing abilities.</w:t>
      </w:r>
      <w:r w:rsidRPr="00E34E6E">
        <w:rPr>
          <w:rFonts w:eastAsiaTheme="minorEastAsia"/>
          <w:lang w:val="en-US"/>
        </w:rPr>
        <w:t xml:space="preserve"> </w:t>
      </w:r>
    </w:p>
    <w:p w:rsidR="00B44296" w:rsidRPr="00A44D31" w:rsidRDefault="00A454DB" w:rsidP="00B93647">
      <w:pPr>
        <w:spacing w:line="480" w:lineRule="auto"/>
        <w:jc w:val="both"/>
        <w:rPr>
          <w:rFonts w:eastAsiaTheme="minorEastAsia"/>
          <w:lang w:val="en-US"/>
        </w:rPr>
      </w:pPr>
      <w:r w:rsidRPr="00E34E6E">
        <w:rPr>
          <w:rFonts w:eastAsiaTheme="minorEastAsia"/>
          <w:lang w:val="en-US"/>
        </w:rPr>
        <w:t xml:space="preserve">One more recent innovative study </w:t>
      </w:r>
      <w:r w:rsidR="00F60CC2" w:rsidRPr="00E34E6E">
        <w:rPr>
          <w:rFonts w:eastAsiaTheme="minorEastAsia"/>
          <w:lang w:val="en-US"/>
        </w:rPr>
        <w:t>was</w:t>
      </w:r>
      <w:r w:rsidRPr="00E34E6E">
        <w:rPr>
          <w:rFonts w:eastAsiaTheme="minorEastAsia"/>
          <w:lang w:val="en-US"/>
        </w:rPr>
        <w:t xml:space="preserve"> from </w:t>
      </w:r>
      <w:proofErr w:type="spellStart"/>
      <w:r w:rsidRPr="00E34E6E">
        <w:rPr>
          <w:rFonts w:eastAsiaTheme="minorEastAsia"/>
          <w:lang w:val="en-US"/>
        </w:rPr>
        <w:t>Jawadi</w:t>
      </w:r>
      <w:proofErr w:type="spellEnd"/>
      <w:r w:rsidRPr="00E34E6E">
        <w:rPr>
          <w:rFonts w:eastAsiaTheme="minorEastAsia"/>
          <w:lang w:val="en-US"/>
        </w:rPr>
        <w:t xml:space="preserve"> and </w:t>
      </w:r>
      <w:proofErr w:type="spellStart"/>
      <w:r w:rsidRPr="00E34E6E">
        <w:rPr>
          <w:rFonts w:eastAsiaTheme="minorEastAsia"/>
          <w:lang w:val="en-US"/>
        </w:rPr>
        <w:t>Khanniche</w:t>
      </w:r>
      <w:proofErr w:type="spellEnd"/>
      <w:r w:rsidRPr="00E34E6E">
        <w:rPr>
          <w:rFonts w:eastAsiaTheme="minorEastAsia"/>
          <w:lang w:val="en-US"/>
        </w:rPr>
        <w:t xml:space="preserve"> (2012). They used the CSFB/Tremont database (hedge fund indices) </w:t>
      </w:r>
      <w:r w:rsidR="002012D5" w:rsidRPr="00E34E6E">
        <w:rPr>
          <w:rFonts w:eastAsiaTheme="minorEastAsia"/>
          <w:lang w:val="en-US"/>
        </w:rPr>
        <w:t>over the</w:t>
      </w:r>
      <w:r w:rsidRPr="00E34E6E">
        <w:rPr>
          <w:rFonts w:eastAsiaTheme="minorEastAsia"/>
          <w:lang w:val="en-US"/>
        </w:rPr>
        <w:t xml:space="preserve"> period 1994 to 2009. They examined the ad</w:t>
      </w:r>
      <w:r w:rsidR="000D1868" w:rsidRPr="00E34E6E">
        <w:rPr>
          <w:rFonts w:eastAsiaTheme="minorEastAsia"/>
          <w:lang w:val="en-US"/>
        </w:rPr>
        <w:t>justment dynamics of hedge fund</w:t>
      </w:r>
      <w:r w:rsidRPr="00E34E6E">
        <w:rPr>
          <w:rFonts w:eastAsiaTheme="minorEastAsia"/>
          <w:lang w:val="en-US"/>
        </w:rPr>
        <w:t xml:space="preserve"> returns and their exposures in a non-linear framework</w:t>
      </w:r>
      <w:r w:rsidR="000D1868" w:rsidRPr="00E34E6E">
        <w:rPr>
          <w:rFonts w:eastAsiaTheme="minorEastAsia"/>
          <w:lang w:val="en-US"/>
        </w:rPr>
        <w:t>,</w:t>
      </w:r>
      <w:r w:rsidRPr="00E34E6E">
        <w:rPr>
          <w:rFonts w:eastAsiaTheme="minorEastAsia"/>
          <w:lang w:val="en-US"/>
        </w:rPr>
        <w:t xml:space="preserve"> and more specific</w:t>
      </w:r>
      <w:r w:rsidR="000D1868" w:rsidRPr="00E34E6E">
        <w:rPr>
          <w:rFonts w:eastAsiaTheme="minorEastAsia"/>
          <w:lang w:val="en-US"/>
        </w:rPr>
        <w:t>ally</w:t>
      </w:r>
      <w:r w:rsidRPr="00E34E6E">
        <w:rPr>
          <w:rFonts w:eastAsiaTheme="minorEastAsia"/>
          <w:lang w:val="en-US"/>
        </w:rPr>
        <w:t xml:space="preserve"> the smooth transition regression method. They found that the dynamics of hedge funds returns realize</w:t>
      </w:r>
      <w:r w:rsidR="00A56973" w:rsidRPr="00E34E6E">
        <w:rPr>
          <w:rFonts w:eastAsiaTheme="minorEastAsia"/>
          <w:lang w:val="en-US"/>
        </w:rPr>
        <w:t>d</w:t>
      </w:r>
      <w:r w:rsidRPr="00E34E6E">
        <w:rPr>
          <w:rFonts w:eastAsiaTheme="minorEastAsia"/>
          <w:lang w:val="en-US"/>
        </w:rPr>
        <w:t xml:space="preserve"> significant asymmetry and </w:t>
      </w:r>
      <w:r w:rsidR="004A487E" w:rsidRPr="00E34E6E">
        <w:rPr>
          <w:rFonts w:eastAsiaTheme="minorEastAsia"/>
          <w:lang w:val="en-US"/>
        </w:rPr>
        <w:t>non-linear</w:t>
      </w:r>
      <w:r w:rsidRPr="00E34E6E">
        <w:rPr>
          <w:rFonts w:eastAsiaTheme="minorEastAsia"/>
          <w:lang w:val="en-US"/>
        </w:rPr>
        <w:t>ity</w:t>
      </w:r>
      <w:r w:rsidR="0048426A" w:rsidRPr="00E34E6E">
        <w:rPr>
          <w:rFonts w:eastAsiaTheme="minorEastAsia"/>
          <w:lang w:val="en-US"/>
        </w:rPr>
        <w:t xml:space="preserve"> </w:t>
      </w:r>
      <w:r w:rsidR="00BB1AC8" w:rsidRPr="00E34E6E">
        <w:rPr>
          <w:rFonts w:eastAsiaTheme="minorEastAsia"/>
          <w:lang w:val="en-US"/>
        </w:rPr>
        <w:t>in relation</w:t>
      </w:r>
      <w:r w:rsidR="0048426A" w:rsidRPr="00E34E6E">
        <w:rPr>
          <w:rFonts w:eastAsiaTheme="minorEastAsia"/>
          <w:lang w:val="en-US"/>
        </w:rPr>
        <w:t xml:space="preserve"> to </w:t>
      </w:r>
      <w:r w:rsidR="000E3A41" w:rsidRPr="00E34E6E">
        <w:rPr>
          <w:rFonts w:eastAsiaTheme="minorEastAsia"/>
          <w:lang w:val="en-US"/>
        </w:rPr>
        <w:t xml:space="preserve">the </w:t>
      </w:r>
      <w:r w:rsidR="00BB1AC8" w:rsidRPr="00E34E6E">
        <w:rPr>
          <w:rFonts w:eastAsiaTheme="minorEastAsia"/>
          <w:lang w:val="en-US"/>
        </w:rPr>
        <w:t>market return</w:t>
      </w:r>
      <w:r w:rsidRPr="00E34E6E">
        <w:rPr>
          <w:rFonts w:eastAsiaTheme="minorEastAsia"/>
          <w:lang w:val="en-US"/>
        </w:rPr>
        <w:t>, showing</w:t>
      </w:r>
      <w:r w:rsidRPr="00A44D31">
        <w:rPr>
          <w:rFonts w:eastAsiaTheme="minorEastAsia"/>
          <w:lang w:val="en-US"/>
        </w:rPr>
        <w:t xml:space="preserve"> that they change</w:t>
      </w:r>
      <w:r w:rsidR="00A56973">
        <w:rPr>
          <w:rFonts w:eastAsiaTheme="minorEastAsia"/>
          <w:lang w:val="en-US"/>
        </w:rPr>
        <w:t>d</w:t>
      </w:r>
      <w:r w:rsidRPr="00A44D31">
        <w:rPr>
          <w:rFonts w:eastAsiaTheme="minorEastAsia"/>
          <w:lang w:val="en-US"/>
        </w:rPr>
        <w:t xml:space="preserve"> and differ</w:t>
      </w:r>
      <w:r w:rsidR="00A56973">
        <w:rPr>
          <w:rFonts w:eastAsiaTheme="minorEastAsia"/>
          <w:lang w:val="en-US"/>
        </w:rPr>
        <w:t>ed</w:t>
      </w:r>
      <w:r w:rsidRPr="00A44D31">
        <w:rPr>
          <w:rFonts w:eastAsiaTheme="minorEastAsia"/>
          <w:lang w:val="en-US"/>
        </w:rPr>
        <w:t xml:space="preserve"> asymmetrically with respect to different financial conditions. Furthermore, hedge funds exposures var</w:t>
      </w:r>
      <w:r w:rsidR="00AF56D6">
        <w:rPr>
          <w:rFonts w:eastAsiaTheme="minorEastAsia"/>
          <w:lang w:val="en-US"/>
        </w:rPr>
        <w:t>ied</w:t>
      </w:r>
      <w:r w:rsidRPr="00A44D31">
        <w:rPr>
          <w:rFonts w:eastAsiaTheme="minorEastAsia"/>
          <w:lang w:val="en-US"/>
        </w:rPr>
        <w:t xml:space="preserve"> over time depending on the strategy and regime. They advocated the superiority of </w:t>
      </w:r>
      <w:r w:rsidR="004A487E">
        <w:rPr>
          <w:rFonts w:eastAsiaTheme="minorEastAsia"/>
          <w:lang w:val="en-US"/>
        </w:rPr>
        <w:t>non-linear</w:t>
      </w:r>
      <w:r w:rsidRPr="00A44D31">
        <w:rPr>
          <w:rFonts w:eastAsiaTheme="minorEastAsia"/>
          <w:lang w:val="en-US"/>
        </w:rPr>
        <w:t xml:space="preserve"> models to capture the evolution of hedge funds exposures, especially during periods of financial crisis. </w:t>
      </w:r>
      <w:r w:rsidR="00B44296" w:rsidRPr="00A44D31">
        <w:rPr>
          <w:rFonts w:eastAsiaTheme="minorEastAsia"/>
          <w:lang w:val="en-US"/>
        </w:rPr>
        <w:t xml:space="preserve">     </w:t>
      </w:r>
    </w:p>
    <w:p w:rsidR="00866E51" w:rsidRPr="00A44D31" w:rsidRDefault="00DF4FD2" w:rsidP="00B93647">
      <w:pPr>
        <w:spacing w:line="480" w:lineRule="auto"/>
        <w:jc w:val="both"/>
        <w:rPr>
          <w:rFonts w:eastAsiaTheme="minorEastAsia"/>
          <w:lang w:val="en-US"/>
        </w:rPr>
      </w:pPr>
      <w:r>
        <w:t xml:space="preserve">In the same year, </w:t>
      </w:r>
      <w:proofErr w:type="spellStart"/>
      <w:r w:rsidR="00015265">
        <w:t>Billio</w:t>
      </w:r>
      <w:proofErr w:type="spellEnd"/>
      <w:r w:rsidR="00015265">
        <w:t xml:space="preserve">, </w:t>
      </w:r>
      <w:proofErr w:type="spellStart"/>
      <w:r w:rsidR="00015265">
        <w:t>Getmansky</w:t>
      </w:r>
      <w:proofErr w:type="spellEnd"/>
      <w:r w:rsidR="008E7C26" w:rsidRPr="00A44D31">
        <w:t xml:space="preserve"> and</w:t>
      </w:r>
      <w:r w:rsidR="000C41F3" w:rsidRPr="00A44D31">
        <w:t xml:space="preserve"> </w:t>
      </w:r>
      <w:proofErr w:type="spellStart"/>
      <w:r w:rsidR="008E7C26" w:rsidRPr="00A44D31">
        <w:t>Pelizzon</w:t>
      </w:r>
      <w:proofErr w:type="spellEnd"/>
      <w:r w:rsidR="008E7C26" w:rsidRPr="00A44D31">
        <w:t xml:space="preserve"> (2012) </w:t>
      </w:r>
      <w:r w:rsidR="00866E51" w:rsidRPr="00A44D31">
        <w:rPr>
          <w:rFonts w:eastAsiaTheme="minorEastAsia"/>
          <w:lang w:val="en-US"/>
        </w:rPr>
        <w:t xml:space="preserve">examined hedge funds exposures using regime-switching beta models </w:t>
      </w:r>
      <w:r w:rsidR="00AC65B2">
        <w:rPr>
          <w:rFonts w:eastAsiaTheme="minorEastAsia"/>
          <w:lang w:val="en-US"/>
        </w:rPr>
        <w:t xml:space="preserve">on data from </w:t>
      </w:r>
      <w:r w:rsidR="00866E51" w:rsidRPr="00A44D31">
        <w:rPr>
          <w:rFonts w:eastAsiaTheme="minorEastAsia"/>
          <w:lang w:val="en-US"/>
        </w:rPr>
        <w:t>the Credit Suisse/Tremont database from 1994-2009 (hedge fund indices). They noticed that hedge funds ha</w:t>
      </w:r>
      <w:r w:rsidR="00430821">
        <w:rPr>
          <w:rFonts w:eastAsiaTheme="minorEastAsia"/>
          <w:lang w:val="en-US"/>
        </w:rPr>
        <w:t>d</w:t>
      </w:r>
      <w:r w:rsidR="00866E51" w:rsidRPr="00A44D31">
        <w:rPr>
          <w:rFonts w:eastAsiaTheme="minorEastAsia"/>
          <w:lang w:val="en-US"/>
        </w:rPr>
        <w:t xml:space="preserve"> non-linear exposures not only to the equity market risk factor, but also to the liquidity risk factor, volatility, credit, term spreads and commodities. Also, hedge funds change</w:t>
      </w:r>
      <w:r w:rsidR="00856D7F">
        <w:rPr>
          <w:rFonts w:eastAsiaTheme="minorEastAsia"/>
          <w:lang w:val="en-US"/>
        </w:rPr>
        <w:t>d</w:t>
      </w:r>
      <w:r w:rsidR="00866E51" w:rsidRPr="00A44D31">
        <w:rPr>
          <w:rFonts w:eastAsiaTheme="minorEastAsia"/>
          <w:lang w:val="en-US"/>
        </w:rPr>
        <w:t xml:space="preserve"> their exposures when dealing with up, down, or tranquil regime</w:t>
      </w:r>
      <w:r w:rsidR="00AD6173">
        <w:rPr>
          <w:rFonts w:eastAsiaTheme="minorEastAsia"/>
          <w:lang w:val="en-US"/>
        </w:rPr>
        <w:t>s</w:t>
      </w:r>
      <w:r w:rsidR="00866E51" w:rsidRPr="00A44D31">
        <w:rPr>
          <w:rFonts w:eastAsiaTheme="minorEastAsia"/>
          <w:lang w:val="en-US"/>
        </w:rPr>
        <w:t xml:space="preserve">. </w:t>
      </w:r>
      <w:r w:rsidR="00866E51" w:rsidRPr="00A44D31">
        <w:rPr>
          <w:rFonts w:eastAsiaTheme="minorEastAsia"/>
          <w:lang w:val="en-US"/>
        </w:rPr>
        <w:lastRenderedPageBreak/>
        <w:t xml:space="preserve">Furthermore, they found that </w:t>
      </w:r>
      <w:r w:rsidR="00856D7F">
        <w:rPr>
          <w:rFonts w:eastAsiaTheme="minorEastAsia"/>
          <w:lang w:val="en-US"/>
        </w:rPr>
        <w:t xml:space="preserve">the </w:t>
      </w:r>
      <w:r w:rsidR="00866E51" w:rsidRPr="00A44D31">
        <w:rPr>
          <w:rFonts w:eastAsiaTheme="minorEastAsia"/>
          <w:lang w:val="en-US"/>
        </w:rPr>
        <w:t xml:space="preserve">S&amp;P 500, Credit Spread, Small-Large and VIX (measure of volatility in S&amp;P 500 index options – Chicago Board Options Exchange) </w:t>
      </w:r>
      <w:r w:rsidR="00856D7F">
        <w:rPr>
          <w:rFonts w:eastAsiaTheme="minorEastAsia"/>
          <w:lang w:val="en-US"/>
        </w:rPr>
        <w:t>were</w:t>
      </w:r>
      <w:r w:rsidR="00866E51" w:rsidRPr="00A44D31">
        <w:rPr>
          <w:rFonts w:eastAsiaTheme="minorEastAsia"/>
          <w:lang w:val="en-US"/>
        </w:rPr>
        <w:t xml:space="preserve"> common hedge fund factors</w:t>
      </w:r>
      <w:r w:rsidR="00856D7F">
        <w:rPr>
          <w:rFonts w:eastAsiaTheme="minorEastAsia"/>
          <w:lang w:val="en-US"/>
        </w:rPr>
        <w:t>,</w:t>
      </w:r>
      <w:r w:rsidR="00866E51" w:rsidRPr="00A44D31">
        <w:rPr>
          <w:rFonts w:eastAsiaTheme="minorEastAsia"/>
          <w:lang w:val="en-US"/>
        </w:rPr>
        <w:t xml:space="preserve"> especially in </w:t>
      </w:r>
      <w:r w:rsidR="00856D7F">
        <w:rPr>
          <w:rFonts w:eastAsiaTheme="minorEastAsia"/>
          <w:lang w:val="en-US"/>
        </w:rPr>
        <w:t>a falling</w:t>
      </w:r>
      <w:r w:rsidR="00866E51" w:rsidRPr="00A44D31">
        <w:rPr>
          <w:rFonts w:eastAsiaTheme="minorEastAsia"/>
          <w:lang w:val="en-US"/>
        </w:rPr>
        <w:t xml:space="preserve"> market. The estimated exposures were unaffected even when authors de-smoothed the returns. </w:t>
      </w:r>
    </w:p>
    <w:p w:rsidR="00DB4C46" w:rsidRPr="00A44D31" w:rsidRDefault="00DB4C46" w:rsidP="00B93647">
      <w:pPr>
        <w:spacing w:line="480" w:lineRule="auto"/>
        <w:jc w:val="both"/>
        <w:rPr>
          <w:lang w:val="en-US"/>
        </w:rPr>
      </w:pPr>
      <w:r w:rsidRPr="00A44D31">
        <w:rPr>
          <w:lang w:val="en-US"/>
        </w:rPr>
        <w:t xml:space="preserve">A related to the above study </w:t>
      </w:r>
      <w:r w:rsidR="00A244BD">
        <w:rPr>
          <w:lang w:val="en-US"/>
        </w:rPr>
        <w:t xml:space="preserve">was from </w:t>
      </w:r>
      <w:proofErr w:type="spellStart"/>
      <w:r w:rsidR="00A244BD">
        <w:rPr>
          <w:lang w:val="en-US"/>
        </w:rPr>
        <w:t>Akay</w:t>
      </w:r>
      <w:proofErr w:type="spellEnd"/>
      <w:r w:rsidR="00A244BD">
        <w:rPr>
          <w:lang w:val="en-US"/>
        </w:rPr>
        <w:t xml:space="preserve">, </w:t>
      </w:r>
      <w:proofErr w:type="spellStart"/>
      <w:r w:rsidR="00A244BD">
        <w:rPr>
          <w:lang w:val="en-US"/>
        </w:rPr>
        <w:t>Senyuz</w:t>
      </w:r>
      <w:proofErr w:type="spellEnd"/>
      <w:r w:rsidRPr="00A44D31">
        <w:rPr>
          <w:lang w:val="en-US"/>
        </w:rPr>
        <w:t xml:space="preserve"> and </w:t>
      </w:r>
      <w:proofErr w:type="spellStart"/>
      <w:r w:rsidRPr="00A44D31">
        <w:rPr>
          <w:lang w:val="en-US"/>
        </w:rPr>
        <w:t>Yoldas</w:t>
      </w:r>
      <w:proofErr w:type="spellEnd"/>
      <w:r w:rsidRPr="00A44D31">
        <w:rPr>
          <w:lang w:val="en-US"/>
        </w:rPr>
        <w:t xml:space="preserve"> (2013) </w:t>
      </w:r>
      <w:r w:rsidR="00A244BD">
        <w:rPr>
          <w:lang w:val="en-US"/>
        </w:rPr>
        <w:t>who</w:t>
      </w:r>
      <w:r w:rsidRPr="00A44D31">
        <w:rPr>
          <w:lang w:val="en-US"/>
        </w:rPr>
        <w:t xml:space="preserve"> examined hedge fund industry contagion and time variation in risk adjusted return (alpha)</w:t>
      </w:r>
      <w:r w:rsidR="00217B46">
        <w:rPr>
          <w:lang w:val="en-US"/>
        </w:rPr>
        <w:t>,</w:t>
      </w:r>
      <w:r w:rsidRPr="00A44D31">
        <w:rPr>
          <w:lang w:val="en-US"/>
        </w:rPr>
        <w:t xml:space="preserve"> using the Dow Jones Credit Suisse Hedge Fund Indices database from 1994 to 201</w:t>
      </w:r>
      <w:r w:rsidR="00D23311">
        <w:rPr>
          <w:lang w:val="en-US"/>
        </w:rPr>
        <w:t xml:space="preserve">0. They used </w:t>
      </w:r>
      <w:r w:rsidR="00D10C21">
        <w:rPr>
          <w:lang w:val="en-US"/>
        </w:rPr>
        <w:t>a</w:t>
      </w:r>
      <w:r w:rsidR="00D23311">
        <w:rPr>
          <w:lang w:val="en-US"/>
        </w:rPr>
        <w:t xml:space="preserve"> Markov regime s</w:t>
      </w:r>
      <w:r w:rsidRPr="00A44D31">
        <w:rPr>
          <w:lang w:val="en-US"/>
        </w:rPr>
        <w:t>witching model and found three regimes that c</w:t>
      </w:r>
      <w:r w:rsidR="00A609EF">
        <w:rPr>
          <w:lang w:val="en-US"/>
        </w:rPr>
        <w:t>ould</w:t>
      </w:r>
      <w:r w:rsidR="0038593D">
        <w:rPr>
          <w:lang w:val="en-US"/>
        </w:rPr>
        <w:t xml:space="preserve"> capture hedge fund</w:t>
      </w:r>
      <w:r w:rsidRPr="00A44D31">
        <w:rPr>
          <w:lang w:val="en-US"/>
        </w:rPr>
        <w:t xml:space="preserve"> </w:t>
      </w:r>
      <w:r w:rsidR="0038593D">
        <w:rPr>
          <w:lang w:val="en-US"/>
        </w:rPr>
        <w:t>returns</w:t>
      </w:r>
      <w:r w:rsidR="0038593D" w:rsidRPr="00A44D31">
        <w:rPr>
          <w:lang w:val="en-US"/>
        </w:rPr>
        <w:t xml:space="preserve"> </w:t>
      </w:r>
      <w:r w:rsidRPr="00A44D31">
        <w:rPr>
          <w:lang w:val="en-US"/>
        </w:rPr>
        <w:t xml:space="preserve">dynamics: the first </w:t>
      </w:r>
      <w:r w:rsidR="0038593D">
        <w:rPr>
          <w:lang w:val="en-US"/>
        </w:rPr>
        <w:t>was</w:t>
      </w:r>
      <w:r w:rsidRPr="00A44D31">
        <w:rPr>
          <w:lang w:val="en-US"/>
        </w:rPr>
        <w:t xml:space="preserve"> the crash state with l</w:t>
      </w:r>
      <w:r w:rsidR="0038593D">
        <w:rPr>
          <w:lang w:val="en-US"/>
        </w:rPr>
        <w:t>arge negative mean and extreme</w:t>
      </w:r>
      <w:r w:rsidRPr="00A44D31">
        <w:rPr>
          <w:lang w:val="en-US"/>
        </w:rPr>
        <w:t xml:space="preserve"> volatility, the second regime </w:t>
      </w:r>
      <w:r w:rsidR="0038593D">
        <w:rPr>
          <w:lang w:val="en-US"/>
        </w:rPr>
        <w:t>was</w:t>
      </w:r>
      <w:r w:rsidRPr="00A44D31">
        <w:rPr>
          <w:lang w:val="en-US"/>
        </w:rPr>
        <w:t xml:space="preserve"> </w:t>
      </w:r>
      <w:r w:rsidR="0038593D">
        <w:rPr>
          <w:lang w:val="en-US"/>
        </w:rPr>
        <w:t>a</w:t>
      </w:r>
      <w:r w:rsidRPr="00A44D31">
        <w:rPr>
          <w:lang w:val="en-US"/>
        </w:rPr>
        <w:t xml:space="preserve"> low mean and high volatility state, and the third regime </w:t>
      </w:r>
      <w:r w:rsidR="0038593D">
        <w:rPr>
          <w:lang w:val="en-US"/>
        </w:rPr>
        <w:t>was</w:t>
      </w:r>
      <w:r w:rsidRPr="00A44D31">
        <w:rPr>
          <w:lang w:val="en-US"/>
        </w:rPr>
        <w:t xml:space="preserve"> a high mean state with minimal volatility. They also found evidence for a decline in risk adjusted returns for most investment strategies </w:t>
      </w:r>
      <w:r w:rsidR="007F5563" w:rsidRPr="007F5563">
        <w:rPr>
          <w:lang w:val="en-US"/>
        </w:rPr>
        <w:t xml:space="preserve">especially after the stock market crash </w:t>
      </w:r>
      <w:r w:rsidR="00BA54AC">
        <w:rPr>
          <w:lang w:val="en-US"/>
        </w:rPr>
        <w:t>in</w:t>
      </w:r>
      <w:r w:rsidR="007F5563" w:rsidRPr="007F5563">
        <w:rPr>
          <w:lang w:val="en-US"/>
        </w:rPr>
        <w:t xml:space="preserve"> 2000</w:t>
      </w:r>
      <w:r w:rsidRPr="00A44D31">
        <w:rPr>
          <w:lang w:val="en-US"/>
        </w:rPr>
        <w:t>. Moreover, the</w:t>
      </w:r>
      <w:r w:rsidR="00A965AF">
        <w:rPr>
          <w:lang w:val="en-US"/>
        </w:rPr>
        <w:t>y</w:t>
      </w:r>
      <w:r w:rsidRPr="00A44D31">
        <w:rPr>
          <w:lang w:val="en-US"/>
        </w:rPr>
        <w:t xml:space="preserve"> f</w:t>
      </w:r>
      <w:r w:rsidR="00A965AF">
        <w:rPr>
          <w:lang w:val="en-US"/>
        </w:rPr>
        <w:t>ound</w:t>
      </w:r>
      <w:r w:rsidRPr="00A44D31">
        <w:rPr>
          <w:lang w:val="en-US"/>
        </w:rPr>
        <w:t xml:space="preserve"> that co-movement in hedge funds returns, after </w:t>
      </w:r>
      <w:r w:rsidR="00797366">
        <w:rPr>
          <w:lang w:val="en-US"/>
        </w:rPr>
        <w:t>count</w:t>
      </w:r>
      <w:r w:rsidR="00D62153">
        <w:rPr>
          <w:lang w:val="en-US"/>
        </w:rPr>
        <w:t>ing</w:t>
      </w:r>
      <w:r w:rsidRPr="00A44D31">
        <w:rPr>
          <w:lang w:val="en-US"/>
        </w:rPr>
        <w:t xml:space="preserve"> for common risk factors, </w:t>
      </w:r>
      <w:r w:rsidR="00D62153">
        <w:rPr>
          <w:lang w:val="en-US"/>
        </w:rPr>
        <w:t>was</w:t>
      </w:r>
      <w:r w:rsidRPr="00A44D31">
        <w:rPr>
          <w:lang w:val="en-US"/>
        </w:rPr>
        <w:t xml:space="preserve"> not only restricted to times of extreme financial turbulence. Last but not least, they linked the probability of observing the crash state to liquidity proxies and panic, measured by the VIX index and found that both play</w:t>
      </w:r>
      <w:r w:rsidR="00B4244C">
        <w:rPr>
          <w:lang w:val="en-US"/>
        </w:rPr>
        <w:t>ed</w:t>
      </w:r>
      <w:r w:rsidRPr="00A44D31">
        <w:rPr>
          <w:lang w:val="en-US"/>
        </w:rPr>
        <w:t xml:space="preserve"> a significant role in leading to contagion.</w:t>
      </w:r>
    </w:p>
    <w:p w:rsidR="00654EE1" w:rsidRPr="00E34E6E" w:rsidRDefault="00946453" w:rsidP="00B93647">
      <w:pPr>
        <w:spacing w:line="480" w:lineRule="auto"/>
        <w:jc w:val="both"/>
      </w:pPr>
      <w:r w:rsidRPr="00A44D31">
        <w:t>A final</w:t>
      </w:r>
      <w:r w:rsidR="00807149" w:rsidRPr="00A44D31">
        <w:t xml:space="preserve"> study is from </w:t>
      </w:r>
      <w:proofErr w:type="spellStart"/>
      <w:r w:rsidR="00807149" w:rsidRPr="00A44D31">
        <w:t>O’Doherty</w:t>
      </w:r>
      <w:proofErr w:type="spellEnd"/>
      <w:r w:rsidR="00807149" w:rsidRPr="00A44D31">
        <w:t xml:space="preserve">, </w:t>
      </w:r>
      <w:proofErr w:type="spellStart"/>
      <w:r w:rsidR="00807149" w:rsidRPr="00A44D31">
        <w:t>Savin</w:t>
      </w:r>
      <w:proofErr w:type="spellEnd"/>
      <w:r w:rsidR="00807149" w:rsidRPr="00A44D31">
        <w:t xml:space="preserve">, and Tiwari (2015), using the Lipper TASS database from 1994 to 2011, implementing a pooled benchmark model by combining (with different weights) five linear models: five equity factors, three fixed income and commodity factors, three global factors, the five Fung and Hsieh (2001) trend following factors, </w:t>
      </w:r>
      <w:r w:rsidR="00794DF0">
        <w:t xml:space="preserve">and </w:t>
      </w:r>
      <w:r w:rsidR="00807149" w:rsidRPr="00A44D31">
        <w:t xml:space="preserve">the four Agarwal and </w:t>
      </w:r>
      <w:proofErr w:type="spellStart"/>
      <w:r w:rsidR="00807149" w:rsidRPr="00A44D31">
        <w:t>Naik</w:t>
      </w:r>
      <w:proofErr w:type="spellEnd"/>
      <w:r w:rsidR="00807149" w:rsidRPr="00A44D31">
        <w:t xml:space="preserve"> (2004) option-based factors. The</w:t>
      </w:r>
      <w:r w:rsidR="00794DF0">
        <w:t>ir</w:t>
      </w:r>
      <w:r w:rsidR="00807149" w:rsidRPr="00A44D31">
        <w:t xml:space="preserve"> optimal pool </w:t>
      </w:r>
      <w:r w:rsidR="00794DF0">
        <w:t>was</w:t>
      </w:r>
      <w:r w:rsidR="00807149" w:rsidRPr="00A44D31">
        <w:t xml:space="preserve"> based on the score log which </w:t>
      </w:r>
      <w:r w:rsidR="00794DF0">
        <w:t>was</w:t>
      </w:r>
      <w:r w:rsidR="00807149" w:rsidRPr="00A44D31">
        <w:t xml:space="preserve"> a measure of the conditional performance of a factor model</w:t>
      </w:r>
      <w:r w:rsidR="00794DF0">
        <w:t>,</w:t>
      </w:r>
      <w:r w:rsidR="00807149" w:rsidRPr="00A44D31">
        <w:t xml:space="preserve"> regarding its ability to track the monthly return for a </w:t>
      </w:r>
      <w:r w:rsidR="00807149" w:rsidRPr="00A44D31">
        <w:lastRenderedPageBreak/>
        <w:t xml:space="preserve">given hedge fund. </w:t>
      </w:r>
      <w:r w:rsidR="005C5B1E">
        <w:t xml:space="preserve">The authors verified </w:t>
      </w:r>
      <w:r w:rsidR="005C5B1E" w:rsidRPr="00E34E6E">
        <w:t>that the above factors of the models capture hedge funds’ exposures; in addition, t</w:t>
      </w:r>
      <w:r w:rsidR="00807149" w:rsidRPr="00E34E6E">
        <w:t>heir op</w:t>
      </w:r>
      <w:r w:rsidR="00221FBD" w:rsidRPr="00E34E6E">
        <w:t>timal pooled benchmark mitigated</w:t>
      </w:r>
      <w:r w:rsidR="00807149" w:rsidRPr="00E34E6E">
        <w:t xml:space="preserve"> the (benchmark) error of </w:t>
      </w:r>
      <w:r w:rsidR="005C5B1E" w:rsidRPr="00E34E6E">
        <w:t xml:space="preserve">these </w:t>
      </w:r>
      <w:r w:rsidR="00807149" w:rsidRPr="00E34E6E">
        <w:t>factor-based attribution models.</w:t>
      </w:r>
      <w:r w:rsidR="0086633D" w:rsidRPr="00E34E6E">
        <w:t xml:space="preserve"> Also the model pooling approach ha</w:t>
      </w:r>
      <w:r w:rsidR="00D80361" w:rsidRPr="00E34E6E">
        <w:t>d</w:t>
      </w:r>
      <w:r w:rsidR="0086633D" w:rsidRPr="00E34E6E">
        <w:t xml:space="preserve"> more predictive power for failures among </w:t>
      </w:r>
      <w:r w:rsidR="00D80361" w:rsidRPr="00E34E6E">
        <w:t xml:space="preserve">the funds in their </w:t>
      </w:r>
      <w:r w:rsidR="0086633D" w:rsidRPr="00E34E6E">
        <w:t>sample than other performance attribution models.</w:t>
      </w:r>
    </w:p>
    <w:p w:rsidR="00F949C0" w:rsidRDefault="003C10EF" w:rsidP="00B93647">
      <w:pPr>
        <w:spacing w:line="480" w:lineRule="auto"/>
        <w:jc w:val="both"/>
        <w:rPr>
          <w:rFonts w:eastAsiaTheme="minorEastAsia"/>
          <w:lang w:val="en-US"/>
        </w:rPr>
      </w:pPr>
      <w:r w:rsidRPr="00E34E6E">
        <w:t xml:space="preserve">To sum up, </w:t>
      </w:r>
      <w:r w:rsidR="00123A76" w:rsidRPr="00E34E6E">
        <w:t xml:space="preserve">several </w:t>
      </w:r>
      <w:r w:rsidRPr="00E34E6E">
        <w:t xml:space="preserve">studies that follow the bottom-up approach </w:t>
      </w:r>
      <w:r w:rsidR="00123A76" w:rsidRPr="00E34E6E">
        <w:t xml:space="preserve">have </w:t>
      </w:r>
      <w:r w:rsidRPr="00E34E6E">
        <w:t>examined hedge fund performance as</w:t>
      </w:r>
      <w:r w:rsidRPr="00E34E6E">
        <w:rPr>
          <w:lang w:val="en-US"/>
        </w:rPr>
        <w:t xml:space="preserve"> </w:t>
      </w:r>
      <w:r w:rsidR="00123A76" w:rsidRPr="00E34E6E">
        <w:rPr>
          <w:lang w:val="en-US"/>
        </w:rPr>
        <w:t xml:space="preserve">a </w:t>
      </w:r>
      <w:r w:rsidRPr="00E34E6E">
        <w:rPr>
          <w:lang w:val="en-US"/>
        </w:rPr>
        <w:t>non-linea</w:t>
      </w:r>
      <w:r w:rsidR="00123A76" w:rsidRPr="00E34E6E">
        <w:rPr>
          <w:lang w:val="en-US"/>
        </w:rPr>
        <w:t>r payoff</w:t>
      </w:r>
      <w:r w:rsidRPr="00E34E6E">
        <w:rPr>
          <w:lang w:val="en-US"/>
        </w:rPr>
        <w:t xml:space="preserve"> of hedge fund returns</w:t>
      </w:r>
      <w:r w:rsidR="004F0F03" w:rsidRPr="00E34E6E">
        <w:rPr>
          <w:lang w:val="en-US"/>
        </w:rPr>
        <w:t xml:space="preserve"> in </w:t>
      </w:r>
      <w:r w:rsidR="00953994" w:rsidRPr="00E34E6E">
        <w:rPr>
          <w:lang w:val="en-US"/>
        </w:rPr>
        <w:t>relation to</w:t>
      </w:r>
      <w:r w:rsidR="004F0F03" w:rsidRPr="00E34E6E">
        <w:rPr>
          <w:lang w:val="en-US"/>
        </w:rPr>
        <w:t xml:space="preserve"> market return</w:t>
      </w:r>
      <w:r w:rsidR="00A40BB0" w:rsidRPr="00E34E6E">
        <w:rPr>
          <w:lang w:val="en-US"/>
        </w:rPr>
        <w:t>s</w:t>
      </w:r>
      <w:r w:rsidRPr="00E34E6E">
        <w:rPr>
          <w:lang w:val="en-US"/>
        </w:rPr>
        <w:t xml:space="preserve">. </w:t>
      </w:r>
      <w:r w:rsidR="00787DD9" w:rsidRPr="00E34E6E">
        <w:rPr>
          <w:lang w:val="en-US"/>
        </w:rPr>
        <w:t xml:space="preserve">However this </w:t>
      </w:r>
      <w:r w:rsidR="00AE276D" w:rsidRPr="00E34E6E">
        <w:rPr>
          <w:lang w:val="en-US"/>
        </w:rPr>
        <w:t>method</w:t>
      </w:r>
      <w:r w:rsidR="00787DD9" w:rsidRPr="00E34E6E">
        <w:rPr>
          <w:lang w:val="en-US"/>
        </w:rPr>
        <w:t xml:space="preserve"> </w:t>
      </w:r>
      <w:r w:rsidR="007F0604" w:rsidRPr="00E34E6E">
        <w:rPr>
          <w:lang w:val="en-US"/>
        </w:rPr>
        <w:t>is</w:t>
      </w:r>
      <w:r w:rsidR="00787DD9" w:rsidRPr="00E34E6E">
        <w:rPr>
          <w:lang w:val="en-US"/>
        </w:rPr>
        <w:t xml:space="preserve"> not easily understood</w:t>
      </w:r>
      <w:r w:rsidR="00787DD9" w:rsidRPr="00F1342D">
        <w:rPr>
          <w:lang w:val="en-US"/>
        </w:rPr>
        <w:t xml:space="preserve"> or implemented by investors. Moreover</w:t>
      </w:r>
      <w:r w:rsidR="00F534FE" w:rsidRPr="00F1342D">
        <w:rPr>
          <w:lang w:val="en-US"/>
        </w:rPr>
        <w:t>, there are some hedge fund strategies (</w:t>
      </w:r>
      <w:r w:rsidR="004515DC">
        <w:rPr>
          <w:lang w:val="en-US"/>
        </w:rPr>
        <w:t>such as multi-strategy and</w:t>
      </w:r>
      <w:r w:rsidR="00AC462A" w:rsidRPr="00F1342D">
        <w:rPr>
          <w:lang w:val="en-US"/>
        </w:rPr>
        <w:t xml:space="preserve"> global macro</w:t>
      </w:r>
      <w:r w:rsidR="00F534FE" w:rsidRPr="00F1342D">
        <w:rPr>
          <w:lang w:val="en-US"/>
        </w:rPr>
        <w:t>) that are less well-defined</w:t>
      </w:r>
      <w:r w:rsidR="00D41C3D">
        <w:rPr>
          <w:lang w:val="en-US"/>
        </w:rPr>
        <w:t>,</w:t>
      </w:r>
      <w:r w:rsidR="00F534FE" w:rsidRPr="00F1342D">
        <w:rPr>
          <w:lang w:val="en-US"/>
        </w:rPr>
        <w:t xml:space="preserve"> thus making </w:t>
      </w:r>
      <w:r w:rsidR="00AE276D">
        <w:rPr>
          <w:lang w:val="en-US"/>
        </w:rPr>
        <w:t xml:space="preserve">replicating </w:t>
      </w:r>
      <w:r w:rsidR="00F534FE" w:rsidRPr="00F1342D">
        <w:rPr>
          <w:lang w:val="en-US"/>
        </w:rPr>
        <w:t>their return</w:t>
      </w:r>
      <w:r w:rsidR="00AE276D">
        <w:rPr>
          <w:lang w:val="en-US"/>
        </w:rPr>
        <w:t>s</w:t>
      </w:r>
      <w:r w:rsidR="00F534FE" w:rsidRPr="00F1342D">
        <w:rPr>
          <w:lang w:val="en-US"/>
        </w:rPr>
        <w:t xml:space="preserve"> through security trading a challenge. </w:t>
      </w:r>
      <w:r w:rsidR="00CE441D" w:rsidRPr="00F1342D">
        <w:rPr>
          <w:lang w:val="en-US"/>
        </w:rPr>
        <w:t>On the contrary</w:t>
      </w:r>
      <w:r w:rsidR="00B80357" w:rsidRPr="00F1342D">
        <w:rPr>
          <w:lang w:val="en-US"/>
        </w:rPr>
        <w:t>,</w:t>
      </w:r>
      <w:r w:rsidR="00CE441D" w:rsidRPr="00F1342D">
        <w:rPr>
          <w:lang w:val="en-US"/>
        </w:rPr>
        <w:t xml:space="preserve"> </w:t>
      </w:r>
      <w:r w:rsidR="00864105" w:rsidRPr="00F1342D">
        <w:rPr>
          <w:lang w:val="en-US"/>
        </w:rPr>
        <w:t>studies that follow</w:t>
      </w:r>
      <w:r w:rsidR="00CE441D" w:rsidRPr="00F1342D">
        <w:rPr>
          <w:lang w:val="en-US"/>
        </w:rPr>
        <w:t xml:space="preserve"> the up-bottom and </w:t>
      </w:r>
      <w:r w:rsidR="005A2FC4" w:rsidRPr="00F1342D">
        <w:rPr>
          <w:lang w:val="en-US"/>
        </w:rPr>
        <w:t>especially</w:t>
      </w:r>
      <w:r w:rsidR="00CE441D" w:rsidRPr="00F1342D">
        <w:rPr>
          <w:lang w:val="en-US"/>
        </w:rPr>
        <w:t xml:space="preserve"> the alternative approach </w:t>
      </w:r>
      <w:r w:rsidR="00223A8A" w:rsidRPr="00F1342D">
        <w:rPr>
          <w:lang w:val="en-US"/>
        </w:rPr>
        <w:t xml:space="preserve">have </w:t>
      </w:r>
      <w:r w:rsidR="00AE276D">
        <w:rPr>
          <w:lang w:val="en-US"/>
        </w:rPr>
        <w:t>the</w:t>
      </w:r>
      <w:r w:rsidR="00223A8A" w:rsidRPr="00F1342D">
        <w:rPr>
          <w:lang w:val="en-US"/>
        </w:rPr>
        <w:t xml:space="preserve"> strength </w:t>
      </w:r>
      <w:r w:rsidR="00AE276D">
        <w:rPr>
          <w:lang w:val="en-US"/>
        </w:rPr>
        <w:t xml:space="preserve">of showing greater </w:t>
      </w:r>
      <w:r w:rsidR="00223A8A" w:rsidRPr="00F1342D">
        <w:rPr>
          <w:lang w:val="en-US"/>
        </w:rPr>
        <w:t>flexibility</w:t>
      </w:r>
      <w:r w:rsidR="00CE441D" w:rsidRPr="00F1342D">
        <w:rPr>
          <w:lang w:val="en-US"/>
        </w:rPr>
        <w:t xml:space="preserve"> </w:t>
      </w:r>
      <w:r w:rsidR="00223A8A" w:rsidRPr="00F1342D">
        <w:rPr>
          <w:lang w:val="en-US"/>
        </w:rPr>
        <w:t>in</w:t>
      </w:r>
      <w:r w:rsidR="005A2FC4" w:rsidRPr="00F1342D">
        <w:rPr>
          <w:lang w:val="en-US"/>
        </w:rPr>
        <w:t xml:space="preserve"> </w:t>
      </w:r>
      <w:r w:rsidR="00223A8A" w:rsidRPr="00F1342D">
        <w:rPr>
          <w:lang w:val="en-US"/>
        </w:rPr>
        <w:t>explaining</w:t>
      </w:r>
      <w:r w:rsidR="004855FB" w:rsidRPr="00F1342D">
        <w:rPr>
          <w:lang w:val="en-US"/>
        </w:rPr>
        <w:t xml:space="preserve"> hedge fund performance </w:t>
      </w:r>
      <w:r w:rsidR="004855FB" w:rsidRPr="00AE276D">
        <w:rPr>
          <w:lang w:val="en-US"/>
        </w:rPr>
        <w:t>attribution</w:t>
      </w:r>
      <w:r w:rsidR="00946D11" w:rsidRPr="00AE276D">
        <w:rPr>
          <w:lang w:val="en-US"/>
        </w:rPr>
        <w:t xml:space="preserve">. </w:t>
      </w:r>
      <w:r w:rsidR="00DE7027" w:rsidRPr="00AE276D">
        <w:rPr>
          <w:rFonts w:eastAsiaTheme="minorEastAsia"/>
          <w:lang w:val="en-US"/>
        </w:rPr>
        <w:t xml:space="preserve">They support previous studies that hedge funds have </w:t>
      </w:r>
      <w:r w:rsidR="004A487E">
        <w:rPr>
          <w:rFonts w:eastAsiaTheme="minorEastAsia"/>
          <w:lang w:val="en-US"/>
        </w:rPr>
        <w:t>non-linear</w:t>
      </w:r>
      <w:r w:rsidR="00DE7027" w:rsidRPr="00AE276D">
        <w:rPr>
          <w:rFonts w:eastAsiaTheme="minorEastAsia"/>
          <w:lang w:val="en-US"/>
        </w:rPr>
        <w:t xml:space="preserve"> returns and exposures and they s</w:t>
      </w:r>
      <w:r w:rsidR="00AE276D">
        <w:rPr>
          <w:rFonts w:eastAsiaTheme="minorEastAsia"/>
          <w:lang w:val="en-US"/>
        </w:rPr>
        <w:t>how</w:t>
      </w:r>
      <w:r w:rsidR="00DE7027" w:rsidRPr="00AE276D">
        <w:rPr>
          <w:rFonts w:eastAsiaTheme="minorEastAsia"/>
          <w:lang w:val="en-US"/>
        </w:rPr>
        <w:t xml:space="preserve"> how these </w:t>
      </w:r>
      <w:r w:rsidR="004A487E">
        <w:rPr>
          <w:rFonts w:eastAsiaTheme="minorEastAsia"/>
          <w:lang w:val="en-US"/>
        </w:rPr>
        <w:t>non-linear</w:t>
      </w:r>
      <w:r w:rsidR="00DE7027" w:rsidRPr="00AE276D">
        <w:rPr>
          <w:rFonts w:eastAsiaTheme="minorEastAsia"/>
          <w:lang w:val="en-US"/>
        </w:rPr>
        <w:t xml:space="preserve"> exposures change over time</w:t>
      </w:r>
      <w:r w:rsidR="00AE276D">
        <w:rPr>
          <w:rFonts w:eastAsiaTheme="minorEastAsia"/>
          <w:lang w:val="en-US"/>
        </w:rPr>
        <w:t>.</w:t>
      </w:r>
      <w:r w:rsidR="00DE7027" w:rsidRPr="00AE276D">
        <w:rPr>
          <w:lang w:val="en-US"/>
        </w:rPr>
        <w:t xml:space="preserve"> </w:t>
      </w:r>
      <w:r w:rsidR="00AE276D">
        <w:rPr>
          <w:lang w:val="en-US"/>
        </w:rPr>
        <w:t>D</w:t>
      </w:r>
      <w:r w:rsidR="006F4AA3" w:rsidRPr="00AE276D">
        <w:rPr>
          <w:rFonts w:eastAsiaTheme="minorEastAsia"/>
          <w:lang w:val="en-US"/>
        </w:rPr>
        <w:t>ifferent strategies usually have different exposures</w:t>
      </w:r>
      <w:r w:rsidR="00AE276D">
        <w:rPr>
          <w:rFonts w:eastAsiaTheme="minorEastAsia"/>
          <w:lang w:val="en-US"/>
        </w:rPr>
        <w:t>,</w:t>
      </w:r>
      <w:r w:rsidR="006F4AA3" w:rsidRPr="00AE276D">
        <w:rPr>
          <w:rFonts w:eastAsiaTheme="minorEastAsia"/>
          <w:lang w:val="en-US"/>
        </w:rPr>
        <w:t xml:space="preserve"> although there are a few exposures that are valid for nearly every hedge fund strategy (e.g. equi</w:t>
      </w:r>
      <w:r w:rsidR="00BA6DE1" w:rsidRPr="00AE276D">
        <w:rPr>
          <w:rFonts w:eastAsiaTheme="minorEastAsia"/>
          <w:lang w:val="en-US"/>
        </w:rPr>
        <w:t>ty market</w:t>
      </w:r>
      <w:r w:rsidR="00AE276D">
        <w:rPr>
          <w:rFonts w:eastAsiaTheme="minorEastAsia"/>
          <w:lang w:val="en-US"/>
        </w:rPr>
        <w:t xml:space="preserve"> and</w:t>
      </w:r>
      <w:r w:rsidR="00BA6DE1" w:rsidRPr="00AE276D">
        <w:rPr>
          <w:rFonts w:eastAsiaTheme="minorEastAsia"/>
          <w:lang w:val="en-US"/>
        </w:rPr>
        <w:t xml:space="preserve"> volatility</w:t>
      </w:r>
      <w:r w:rsidR="006F4AA3" w:rsidRPr="00AE276D">
        <w:rPr>
          <w:rFonts w:eastAsiaTheme="minorEastAsia"/>
          <w:lang w:val="en-US"/>
        </w:rPr>
        <w:t>).</w:t>
      </w:r>
      <w:r w:rsidR="00D14355">
        <w:rPr>
          <w:rFonts w:eastAsiaTheme="minorEastAsia"/>
          <w:lang w:val="en-US"/>
        </w:rPr>
        <w:t xml:space="preserve"> </w:t>
      </w:r>
    </w:p>
    <w:p w:rsidR="0021037F" w:rsidRPr="00A44D31" w:rsidRDefault="0021037F" w:rsidP="00B93647">
      <w:pPr>
        <w:pStyle w:val="Heading1"/>
        <w:spacing w:line="480" w:lineRule="auto"/>
        <w:jc w:val="left"/>
        <w:rPr>
          <w:rFonts w:eastAsiaTheme="minorEastAsia"/>
          <w:lang w:val="en-US"/>
        </w:rPr>
      </w:pPr>
      <w:bookmarkStart w:id="4" w:name="_Toc399862766"/>
      <w:r w:rsidRPr="00A44D31">
        <w:rPr>
          <w:rFonts w:eastAsiaTheme="minorEastAsia"/>
          <w:lang w:val="en-US"/>
        </w:rPr>
        <w:t>Conclusion</w:t>
      </w:r>
      <w:bookmarkEnd w:id="4"/>
    </w:p>
    <w:p w:rsidR="000149E2" w:rsidRPr="00A44D31" w:rsidRDefault="003F09E0" w:rsidP="00B93647">
      <w:pPr>
        <w:spacing w:line="480" w:lineRule="auto"/>
        <w:jc w:val="both"/>
        <w:rPr>
          <w:rFonts w:eastAsiaTheme="minorEastAsia"/>
          <w:lang w:val="en-US"/>
        </w:rPr>
      </w:pPr>
      <w:r w:rsidRPr="00A44D31">
        <w:rPr>
          <w:rFonts w:eastAsiaTheme="minorEastAsia"/>
          <w:lang w:val="en-US"/>
        </w:rPr>
        <w:t>W</w:t>
      </w:r>
      <w:r w:rsidR="006C3150" w:rsidRPr="00A44D31">
        <w:rPr>
          <w:rFonts w:eastAsiaTheme="minorEastAsia"/>
          <w:lang w:val="en-US"/>
        </w:rPr>
        <w:t xml:space="preserve">e </w:t>
      </w:r>
      <w:r w:rsidRPr="00A44D31">
        <w:rPr>
          <w:rFonts w:eastAsiaTheme="minorEastAsia"/>
          <w:lang w:val="en-US"/>
        </w:rPr>
        <w:t xml:space="preserve">have </w:t>
      </w:r>
      <w:r w:rsidR="008223A6" w:rsidRPr="00A44D31">
        <w:rPr>
          <w:rFonts w:eastAsiaTheme="minorEastAsia"/>
          <w:lang w:val="en-US"/>
        </w:rPr>
        <w:t xml:space="preserve">demonstrated </w:t>
      </w:r>
      <w:r w:rsidR="00CE0758" w:rsidRPr="00A44D31">
        <w:rPr>
          <w:rFonts w:eastAsiaTheme="minorEastAsia"/>
          <w:lang w:val="en-US"/>
        </w:rPr>
        <w:t xml:space="preserve">how hedge funds returns </w:t>
      </w:r>
      <w:r w:rsidR="00EA5B05">
        <w:rPr>
          <w:rFonts w:eastAsiaTheme="minorEastAsia"/>
          <w:lang w:val="en-US"/>
        </w:rPr>
        <w:t>can</w:t>
      </w:r>
      <w:r w:rsidR="000A0FB9" w:rsidRPr="00A44D31">
        <w:rPr>
          <w:rFonts w:eastAsiaTheme="minorEastAsia"/>
          <w:lang w:val="en-US"/>
        </w:rPr>
        <w:t xml:space="preserve"> be </w:t>
      </w:r>
      <w:r w:rsidR="00CE0758" w:rsidRPr="00A44D31">
        <w:rPr>
          <w:rFonts w:eastAsiaTheme="minorEastAsia"/>
          <w:lang w:val="en-US"/>
        </w:rPr>
        <w:t>explained using implicit or statis</w:t>
      </w:r>
      <w:r w:rsidR="00884059" w:rsidRPr="00A44D31">
        <w:rPr>
          <w:rFonts w:eastAsiaTheme="minorEastAsia"/>
          <w:lang w:val="en-US"/>
        </w:rPr>
        <w:t>tical factor models.</w:t>
      </w:r>
      <w:r w:rsidR="00CE0758" w:rsidRPr="00A44D31">
        <w:rPr>
          <w:rFonts w:eastAsiaTheme="minorEastAsia"/>
          <w:lang w:val="en-US"/>
        </w:rPr>
        <w:t xml:space="preserve"> </w:t>
      </w:r>
      <w:r w:rsidR="000149E2" w:rsidRPr="00A44D31">
        <w:rPr>
          <w:rFonts w:eastAsiaTheme="minorEastAsia"/>
          <w:lang w:val="en-US"/>
        </w:rPr>
        <w:t xml:space="preserve">We </w:t>
      </w:r>
      <w:r w:rsidR="009E01AA">
        <w:rPr>
          <w:rFonts w:eastAsiaTheme="minorEastAsia"/>
          <w:lang w:val="en-US"/>
        </w:rPr>
        <w:t xml:space="preserve">have </w:t>
      </w:r>
      <w:r w:rsidR="000149E2" w:rsidRPr="00A44D31">
        <w:rPr>
          <w:rFonts w:eastAsiaTheme="minorEastAsia"/>
          <w:lang w:val="en-US"/>
        </w:rPr>
        <w:t xml:space="preserve">presented a </w:t>
      </w:r>
      <w:r w:rsidR="009265CB" w:rsidRPr="00A44D31">
        <w:rPr>
          <w:rFonts w:eastAsiaTheme="minorEastAsia"/>
          <w:lang w:val="en-US"/>
        </w:rPr>
        <w:t>combination</w:t>
      </w:r>
      <w:r w:rsidR="000149E2" w:rsidRPr="00A44D31">
        <w:rPr>
          <w:rFonts w:eastAsiaTheme="minorEastAsia"/>
          <w:lang w:val="en-US"/>
        </w:rPr>
        <w:t xml:space="preserve"> of older literature to </w:t>
      </w:r>
      <w:r w:rsidR="00631CD3">
        <w:rPr>
          <w:rFonts w:eastAsiaTheme="minorEastAsia"/>
          <w:lang w:val="en-US"/>
        </w:rPr>
        <w:t>give</w:t>
      </w:r>
      <w:r w:rsidR="000149E2" w:rsidRPr="00A44D31">
        <w:rPr>
          <w:rFonts w:eastAsiaTheme="minorEastAsia"/>
          <w:lang w:val="en-US"/>
        </w:rPr>
        <w:t xml:space="preserve"> a historical perspective and </w:t>
      </w:r>
      <w:r w:rsidR="00161EB3" w:rsidRPr="00A44D31">
        <w:rPr>
          <w:rFonts w:eastAsiaTheme="minorEastAsia"/>
          <w:lang w:val="en-US"/>
        </w:rPr>
        <w:t>r</w:t>
      </w:r>
      <w:r w:rsidR="000149E2" w:rsidRPr="00A44D31">
        <w:rPr>
          <w:rFonts w:eastAsiaTheme="minorEastAsia"/>
          <w:lang w:val="en-US"/>
        </w:rPr>
        <w:t xml:space="preserve">ecent papers to reveal </w:t>
      </w:r>
      <w:r w:rsidR="0033781F" w:rsidRPr="00A44D31">
        <w:rPr>
          <w:rFonts w:eastAsiaTheme="minorEastAsia"/>
          <w:lang w:val="en-US"/>
        </w:rPr>
        <w:t>a</w:t>
      </w:r>
      <w:r w:rsidRPr="00A44D31">
        <w:rPr>
          <w:rFonts w:eastAsiaTheme="minorEastAsia"/>
          <w:lang w:val="en-US"/>
        </w:rPr>
        <w:t>dvances</w:t>
      </w:r>
      <w:r w:rsidR="000149E2" w:rsidRPr="00A44D31">
        <w:rPr>
          <w:rFonts w:eastAsiaTheme="minorEastAsia"/>
          <w:lang w:val="en-US"/>
        </w:rPr>
        <w:t xml:space="preserve"> in those topics. </w:t>
      </w:r>
      <w:r w:rsidR="00236F1E" w:rsidRPr="00A44D31">
        <w:rPr>
          <w:rFonts w:eastAsiaTheme="minorEastAsia"/>
          <w:lang w:val="en-US"/>
        </w:rPr>
        <w:t xml:space="preserve">This review is important because is the first that presents and analyses very recent studies </w:t>
      </w:r>
      <w:r w:rsidR="00236F1E" w:rsidRPr="00A44D31">
        <w:rPr>
          <w:rFonts w:eastAsiaTheme="minorEastAsia"/>
          <w:lang w:val="en-US"/>
        </w:rPr>
        <w:lastRenderedPageBreak/>
        <w:t>that explain a large part</w:t>
      </w:r>
      <w:r w:rsidR="000A0FB9" w:rsidRPr="00A44D31">
        <w:rPr>
          <w:rFonts w:eastAsiaTheme="minorEastAsia"/>
          <w:lang w:val="en-US"/>
        </w:rPr>
        <w:t xml:space="preserve"> of </w:t>
      </w:r>
      <w:r w:rsidR="0083310B">
        <w:rPr>
          <w:rFonts w:eastAsiaTheme="minorEastAsia"/>
          <w:lang w:val="en-US"/>
        </w:rPr>
        <w:t xml:space="preserve">the </w:t>
      </w:r>
      <w:r w:rsidR="000A0FB9" w:rsidRPr="00A44D31">
        <w:rPr>
          <w:rFonts w:eastAsiaTheme="minorEastAsia"/>
          <w:lang w:val="en-US"/>
        </w:rPr>
        <w:t xml:space="preserve">hedge fund return </w:t>
      </w:r>
      <w:r w:rsidR="0083310B">
        <w:rPr>
          <w:rFonts w:eastAsiaTheme="minorEastAsia"/>
          <w:lang w:val="en-US"/>
        </w:rPr>
        <w:t>generating process</w:t>
      </w:r>
      <w:r w:rsidR="00113587">
        <w:rPr>
          <w:rFonts w:eastAsiaTheme="minorEastAsia"/>
          <w:lang w:val="en-US"/>
        </w:rPr>
        <w:t>,</w:t>
      </w:r>
      <w:r w:rsidR="00355692" w:rsidRPr="00A44D31">
        <w:rPr>
          <w:rFonts w:eastAsiaTheme="minorEastAsia"/>
          <w:lang w:val="en-US"/>
        </w:rPr>
        <w:t xml:space="preserve"> showing and discussing how </w:t>
      </w:r>
      <w:r w:rsidR="00AC393D">
        <w:rPr>
          <w:rFonts w:eastAsiaTheme="minorEastAsia"/>
          <w:lang w:val="en-US"/>
        </w:rPr>
        <w:t xml:space="preserve">the </w:t>
      </w:r>
      <w:r w:rsidR="00E646F1">
        <w:rPr>
          <w:rFonts w:eastAsiaTheme="minorEastAsia"/>
          <w:lang w:val="en-US"/>
        </w:rPr>
        <w:t>research has evolved</w:t>
      </w:r>
      <w:r w:rsidR="00113587">
        <w:rPr>
          <w:rFonts w:eastAsiaTheme="minorEastAsia"/>
          <w:lang w:val="en-US"/>
        </w:rPr>
        <w:t>.</w:t>
      </w:r>
      <w:r w:rsidR="009100D8" w:rsidRPr="00A44D31">
        <w:rPr>
          <w:rFonts w:eastAsiaTheme="minorEastAsia"/>
          <w:lang w:val="en-US"/>
        </w:rPr>
        <w:t xml:space="preserve"> </w:t>
      </w:r>
    </w:p>
    <w:p w:rsidR="001D0B6F" w:rsidRPr="00E05E26" w:rsidRDefault="00B432CD" w:rsidP="00B93647">
      <w:pPr>
        <w:spacing w:line="480" w:lineRule="auto"/>
        <w:jc w:val="both"/>
        <w:rPr>
          <w:rFonts w:eastAsiaTheme="minorEastAsia"/>
          <w:lang w:val="en-US"/>
        </w:rPr>
      </w:pPr>
      <w:r w:rsidRPr="00A44D31">
        <w:rPr>
          <w:rFonts w:eastAsiaTheme="minorEastAsia"/>
          <w:lang w:val="en-US"/>
        </w:rPr>
        <w:t xml:space="preserve">Principal Component Analysis and Common Factor Analysis are the </w:t>
      </w:r>
      <w:r w:rsidRPr="00A44D31">
        <w:t xml:space="preserve">two widely-used </w:t>
      </w:r>
      <w:r w:rsidR="00281794" w:rsidRPr="00A44D31">
        <w:t>statistical approaches</w:t>
      </w:r>
      <w:r w:rsidRPr="00A44D31">
        <w:t xml:space="preserve"> </w:t>
      </w:r>
      <w:r w:rsidRPr="00A44D31">
        <w:rPr>
          <w:rFonts w:eastAsiaTheme="minorEastAsia"/>
        </w:rPr>
        <w:t>that are used to distinguish the factors</w:t>
      </w:r>
      <w:r w:rsidRPr="00A44D31">
        <w:rPr>
          <w:rFonts w:eastAsiaTheme="minorEastAsia"/>
          <w:lang w:val="en-US"/>
        </w:rPr>
        <w:t xml:space="preserve"> </w:t>
      </w:r>
      <w:r w:rsidR="00631CD3" w:rsidRPr="00A44D31">
        <w:rPr>
          <w:rFonts w:eastAsiaTheme="minorEastAsia"/>
        </w:rPr>
        <w:t xml:space="preserve">underlying </w:t>
      </w:r>
      <w:r w:rsidR="00631CD3">
        <w:rPr>
          <w:rFonts w:eastAsiaTheme="minorEastAsia"/>
          <w:lang w:val="en-US"/>
        </w:rPr>
        <w:t>hedge fund returns</w:t>
      </w:r>
      <w:r w:rsidR="000F6379" w:rsidRPr="00A44D31">
        <w:rPr>
          <w:rFonts w:eastAsiaTheme="minorEastAsia"/>
          <w:lang w:val="en-US"/>
        </w:rPr>
        <w:t xml:space="preserve"> and we </w:t>
      </w:r>
      <w:r w:rsidR="00AE276D">
        <w:rPr>
          <w:rFonts w:eastAsiaTheme="minorEastAsia"/>
          <w:lang w:val="en-US"/>
        </w:rPr>
        <w:t xml:space="preserve">have </w:t>
      </w:r>
      <w:r w:rsidR="000F6379" w:rsidRPr="00A44D31">
        <w:rPr>
          <w:rFonts w:eastAsiaTheme="minorEastAsia"/>
          <w:lang w:val="en-US"/>
        </w:rPr>
        <w:t xml:space="preserve">presented </w:t>
      </w:r>
      <w:r w:rsidR="00C82D92" w:rsidRPr="00A44D31">
        <w:rPr>
          <w:rFonts w:eastAsiaTheme="minorEastAsia"/>
          <w:lang w:val="en-US"/>
        </w:rPr>
        <w:t xml:space="preserve">these </w:t>
      </w:r>
      <w:r w:rsidR="000F6379" w:rsidRPr="00A44D31">
        <w:rPr>
          <w:rFonts w:eastAsiaTheme="minorEastAsia"/>
          <w:lang w:val="en-US"/>
        </w:rPr>
        <w:t>in detail.</w:t>
      </w:r>
      <w:r w:rsidR="00D919BB" w:rsidRPr="00A44D31">
        <w:rPr>
          <w:rFonts w:eastAsiaTheme="minorEastAsia"/>
          <w:lang w:val="en-US"/>
        </w:rPr>
        <w:t xml:space="preserve"> </w:t>
      </w:r>
      <w:r w:rsidR="00D4150A" w:rsidRPr="00A44D31">
        <w:rPr>
          <w:rFonts w:eastAsiaTheme="minorEastAsia"/>
          <w:lang w:val="en-US"/>
        </w:rPr>
        <w:t xml:space="preserve">Concerning </w:t>
      </w:r>
      <w:r w:rsidR="003662F0">
        <w:rPr>
          <w:rFonts w:eastAsiaTheme="minorEastAsia"/>
          <w:lang w:val="en-US"/>
        </w:rPr>
        <w:t>CFA</w:t>
      </w:r>
      <w:r w:rsidR="00C944E4" w:rsidRPr="00A44D31">
        <w:rPr>
          <w:rFonts w:eastAsiaTheme="minorEastAsia"/>
          <w:lang w:val="en-US"/>
        </w:rPr>
        <w:t>,</w:t>
      </w:r>
      <w:r w:rsidR="00D4150A" w:rsidRPr="00A44D31">
        <w:rPr>
          <w:rFonts w:eastAsiaTheme="minorEastAsia"/>
          <w:lang w:val="en-US"/>
        </w:rPr>
        <w:t xml:space="preserve"> </w:t>
      </w:r>
      <w:r w:rsidR="003662F0">
        <w:rPr>
          <w:rFonts w:eastAsiaTheme="minorEastAsia"/>
          <w:lang w:val="en-US"/>
        </w:rPr>
        <w:t>which</w:t>
      </w:r>
      <w:r w:rsidR="00D4150A" w:rsidRPr="00A44D31">
        <w:rPr>
          <w:rFonts w:eastAsiaTheme="minorEastAsia"/>
          <w:lang w:val="en-US"/>
        </w:rPr>
        <w:t xml:space="preserve"> is more common in the literature, e</w:t>
      </w:r>
      <w:r w:rsidRPr="00A44D31">
        <w:rPr>
          <w:rFonts w:eastAsiaTheme="minorEastAsia"/>
          <w:lang w:val="en-US"/>
        </w:rPr>
        <w:t>arly studies deal</w:t>
      </w:r>
      <w:r w:rsidR="00C82D92" w:rsidRPr="00A44D31">
        <w:rPr>
          <w:rFonts w:eastAsiaTheme="minorEastAsia"/>
          <w:lang w:val="en-US"/>
        </w:rPr>
        <w:t>t</w:t>
      </w:r>
      <w:r w:rsidRPr="00A44D31">
        <w:rPr>
          <w:rFonts w:eastAsiaTheme="minorEastAsia"/>
          <w:lang w:val="en-US"/>
        </w:rPr>
        <w:t xml:space="preserve"> mostly with linear factor models</w:t>
      </w:r>
      <w:r w:rsidR="000F6379" w:rsidRPr="00A44D31">
        <w:rPr>
          <w:rFonts w:eastAsiaTheme="minorEastAsia"/>
          <w:lang w:val="en-US"/>
        </w:rPr>
        <w:t xml:space="preserve">. Then there was a movement toward non-linear </w:t>
      </w:r>
      <w:r w:rsidR="00A87BFF" w:rsidRPr="00A44D31">
        <w:rPr>
          <w:rFonts w:eastAsiaTheme="minorEastAsia"/>
          <w:lang w:val="en-US"/>
        </w:rPr>
        <w:t>models that tr</w:t>
      </w:r>
      <w:r w:rsidR="00C944E4" w:rsidRPr="00A44D31">
        <w:rPr>
          <w:rFonts w:eastAsiaTheme="minorEastAsia"/>
          <w:lang w:val="en-US"/>
        </w:rPr>
        <w:t>ied</w:t>
      </w:r>
      <w:r w:rsidR="00A87BFF" w:rsidRPr="00A44D31">
        <w:rPr>
          <w:rFonts w:eastAsiaTheme="minorEastAsia"/>
          <w:lang w:val="en-US"/>
        </w:rPr>
        <w:t xml:space="preserve"> to explain hedge funds’ performance as option portfolios.</w:t>
      </w:r>
      <w:r w:rsidR="000F6379" w:rsidRPr="00A44D31">
        <w:rPr>
          <w:rFonts w:eastAsiaTheme="minorEastAsia"/>
          <w:lang w:val="en-US"/>
        </w:rPr>
        <w:t xml:space="preserve"> </w:t>
      </w:r>
      <w:r w:rsidR="00F55832" w:rsidRPr="00A44D31">
        <w:rPr>
          <w:rFonts w:eastAsiaTheme="minorEastAsia"/>
          <w:lang w:val="en-US"/>
        </w:rPr>
        <w:t>Non-linear studies may follow a bottom-up, an up-b</w:t>
      </w:r>
      <w:r w:rsidR="008F19C5">
        <w:rPr>
          <w:rFonts w:eastAsiaTheme="minorEastAsia"/>
          <w:lang w:val="en-US"/>
        </w:rPr>
        <w:t>ottom, or alternative approach</w:t>
      </w:r>
      <w:r w:rsidR="00F55832" w:rsidRPr="00A44D31">
        <w:rPr>
          <w:rFonts w:eastAsiaTheme="minorEastAsia"/>
          <w:lang w:val="en-US"/>
        </w:rPr>
        <w:t xml:space="preserve"> (that </w:t>
      </w:r>
      <w:r w:rsidR="008F19C5">
        <w:rPr>
          <w:rFonts w:eastAsiaTheme="minorEastAsia"/>
          <w:lang w:val="en-US"/>
        </w:rPr>
        <w:t>is</w:t>
      </w:r>
      <w:r w:rsidR="00F55832" w:rsidRPr="00A44D31">
        <w:rPr>
          <w:rFonts w:eastAsiaTheme="minorEastAsia"/>
          <w:lang w:val="en-US"/>
        </w:rPr>
        <w:t xml:space="preserve"> </w:t>
      </w:r>
      <w:r w:rsidR="00CF1CE4">
        <w:rPr>
          <w:rFonts w:eastAsiaTheme="minorEastAsia"/>
          <w:lang w:val="en-US"/>
        </w:rPr>
        <w:t xml:space="preserve">an </w:t>
      </w:r>
      <w:r w:rsidR="00F55832" w:rsidRPr="00A44D31">
        <w:rPr>
          <w:rFonts w:eastAsiaTheme="minorEastAsia"/>
          <w:lang w:val="en-US"/>
        </w:rPr>
        <w:t>extension of the up-bottom approach).</w:t>
      </w:r>
      <w:r w:rsidR="000958A8" w:rsidRPr="00A44D31">
        <w:rPr>
          <w:rFonts w:eastAsiaTheme="minorEastAsia"/>
          <w:lang w:val="en-US"/>
        </w:rPr>
        <w:t xml:space="preserve"> </w:t>
      </w:r>
      <w:r w:rsidR="005D0703">
        <w:rPr>
          <w:rFonts w:eastAsiaTheme="minorEastAsia"/>
          <w:lang w:val="en-US"/>
        </w:rPr>
        <w:t>R</w:t>
      </w:r>
      <w:r w:rsidR="000B2AB7" w:rsidRPr="00A44D31">
        <w:rPr>
          <w:rFonts w:eastAsiaTheme="minorEastAsia"/>
          <w:lang w:val="en-US"/>
        </w:rPr>
        <w:t>ecently</w:t>
      </w:r>
      <w:r w:rsidR="009825B0">
        <w:rPr>
          <w:rFonts w:eastAsiaTheme="minorEastAsia"/>
          <w:lang w:val="en-US"/>
        </w:rPr>
        <w:t>,</w:t>
      </w:r>
      <w:r w:rsidR="0017125E" w:rsidRPr="00A44D31">
        <w:rPr>
          <w:rFonts w:eastAsiaTheme="minorEastAsia"/>
          <w:lang w:val="en-US"/>
        </w:rPr>
        <w:t xml:space="preserve"> there have been several studies using more advanced models </w:t>
      </w:r>
      <w:r w:rsidR="003F09E0" w:rsidRPr="00A44D31">
        <w:rPr>
          <w:rFonts w:eastAsiaTheme="minorEastAsia"/>
          <w:lang w:val="en-US"/>
        </w:rPr>
        <w:t>regarding hedge fund</w:t>
      </w:r>
      <w:r w:rsidR="00BC56BD" w:rsidRPr="00A44D31">
        <w:rPr>
          <w:rFonts w:eastAsiaTheme="minorEastAsia"/>
          <w:lang w:val="en-US"/>
        </w:rPr>
        <w:t xml:space="preserve"> exposures. </w:t>
      </w:r>
      <w:r w:rsidR="0017125E" w:rsidRPr="00A44D31">
        <w:rPr>
          <w:rFonts w:eastAsiaTheme="minorEastAsia"/>
          <w:lang w:val="en-US"/>
        </w:rPr>
        <w:t xml:space="preserve">They confirmed previous studies that hedge funds have </w:t>
      </w:r>
      <w:r w:rsidR="004A487E">
        <w:rPr>
          <w:rFonts w:eastAsiaTheme="minorEastAsia"/>
          <w:lang w:val="en-US"/>
        </w:rPr>
        <w:t>non-linear</w:t>
      </w:r>
      <w:r w:rsidR="0017125E" w:rsidRPr="00A44D31">
        <w:rPr>
          <w:rFonts w:eastAsiaTheme="minorEastAsia"/>
          <w:lang w:val="en-US"/>
        </w:rPr>
        <w:t xml:space="preserve"> </w:t>
      </w:r>
      <w:r w:rsidR="0017125E" w:rsidRPr="00E34E6E">
        <w:rPr>
          <w:rFonts w:eastAsiaTheme="minorEastAsia"/>
          <w:lang w:val="en-US"/>
        </w:rPr>
        <w:t xml:space="preserve">returns </w:t>
      </w:r>
      <w:r w:rsidR="001F7858" w:rsidRPr="00E34E6E">
        <w:rPr>
          <w:rFonts w:eastAsiaTheme="minorEastAsia"/>
          <w:lang w:val="en-US"/>
        </w:rPr>
        <w:t>in terms of market return</w:t>
      </w:r>
      <w:r w:rsidR="00A40BB0" w:rsidRPr="00E34E6E">
        <w:rPr>
          <w:rFonts w:eastAsiaTheme="minorEastAsia"/>
          <w:lang w:val="en-US"/>
        </w:rPr>
        <w:t>s</w:t>
      </w:r>
      <w:r w:rsidR="0036316F" w:rsidRPr="00E34E6E">
        <w:rPr>
          <w:rFonts w:eastAsiaTheme="minorEastAsia"/>
          <w:lang w:val="en-US"/>
        </w:rPr>
        <w:t>,</w:t>
      </w:r>
      <w:r w:rsidR="001F7858" w:rsidRPr="00E34E6E">
        <w:rPr>
          <w:rFonts w:eastAsiaTheme="minorEastAsia"/>
          <w:lang w:val="en-US"/>
        </w:rPr>
        <w:t xml:space="preserve"> </w:t>
      </w:r>
      <w:r w:rsidR="0017125E" w:rsidRPr="00E34E6E">
        <w:rPr>
          <w:rFonts w:eastAsiaTheme="minorEastAsia"/>
          <w:lang w:val="en-US"/>
        </w:rPr>
        <w:t xml:space="preserve">and </w:t>
      </w:r>
      <w:r w:rsidR="0017125E" w:rsidRPr="00A44D31">
        <w:rPr>
          <w:rFonts w:eastAsiaTheme="minorEastAsia"/>
          <w:lang w:val="en-US"/>
        </w:rPr>
        <w:t>they studied how the</w:t>
      </w:r>
      <w:r w:rsidR="002A368B">
        <w:rPr>
          <w:rFonts w:eastAsiaTheme="minorEastAsia"/>
          <w:lang w:val="en-US"/>
        </w:rPr>
        <w:t>ir</w:t>
      </w:r>
      <w:r w:rsidR="0017125E" w:rsidRPr="00A44D31">
        <w:rPr>
          <w:rFonts w:eastAsiaTheme="minorEastAsia"/>
          <w:lang w:val="en-US"/>
        </w:rPr>
        <w:t xml:space="preserve"> </w:t>
      </w:r>
      <w:r w:rsidR="004A487E">
        <w:rPr>
          <w:rFonts w:eastAsiaTheme="minorEastAsia"/>
          <w:lang w:val="en-US"/>
        </w:rPr>
        <w:t>non-linear</w:t>
      </w:r>
      <w:r w:rsidR="0017125E" w:rsidRPr="00A44D31">
        <w:rPr>
          <w:rFonts w:eastAsiaTheme="minorEastAsia"/>
          <w:lang w:val="en-US"/>
        </w:rPr>
        <w:t xml:space="preserve"> exposures change over time according to financial conditions.</w:t>
      </w:r>
      <w:r w:rsidR="001101F8" w:rsidRPr="00A44D31">
        <w:rPr>
          <w:rFonts w:eastAsiaTheme="minorEastAsia"/>
          <w:lang w:val="en-US"/>
        </w:rPr>
        <w:t xml:space="preserve"> </w:t>
      </w:r>
      <w:r w:rsidR="00A134BA" w:rsidRPr="00A44D31">
        <w:rPr>
          <w:rFonts w:eastAsiaTheme="minorEastAsia"/>
          <w:lang w:val="en-US"/>
        </w:rPr>
        <w:t>D</w:t>
      </w:r>
      <w:r w:rsidR="001101F8" w:rsidRPr="00A44D31">
        <w:rPr>
          <w:rFonts w:eastAsiaTheme="minorEastAsia"/>
          <w:lang w:val="en-US"/>
        </w:rPr>
        <w:t xml:space="preserve">ifferent strategies </w:t>
      </w:r>
      <w:r w:rsidR="00A134BA" w:rsidRPr="00A44D31">
        <w:rPr>
          <w:rFonts w:eastAsiaTheme="minorEastAsia"/>
          <w:lang w:val="en-US"/>
        </w:rPr>
        <w:t xml:space="preserve">usually </w:t>
      </w:r>
      <w:r w:rsidR="001101F8" w:rsidRPr="00A44D31">
        <w:rPr>
          <w:rFonts w:eastAsiaTheme="minorEastAsia"/>
          <w:lang w:val="en-US"/>
        </w:rPr>
        <w:t xml:space="preserve">have different exposures. However there are </w:t>
      </w:r>
      <w:r w:rsidR="00557E22" w:rsidRPr="00A44D31">
        <w:rPr>
          <w:rFonts w:eastAsiaTheme="minorEastAsia"/>
          <w:lang w:val="en-US"/>
        </w:rPr>
        <w:t>a few</w:t>
      </w:r>
      <w:r w:rsidR="001101F8" w:rsidRPr="00A44D31">
        <w:rPr>
          <w:rFonts w:eastAsiaTheme="minorEastAsia"/>
          <w:lang w:val="en-US"/>
        </w:rPr>
        <w:t xml:space="preserve"> exposures that are</w:t>
      </w:r>
      <w:r w:rsidR="0017125E" w:rsidRPr="00A44D31">
        <w:rPr>
          <w:rFonts w:eastAsiaTheme="minorEastAsia"/>
          <w:lang w:val="en-US"/>
        </w:rPr>
        <w:t xml:space="preserve"> </w:t>
      </w:r>
      <w:r w:rsidR="001101F8" w:rsidRPr="00A44D31">
        <w:rPr>
          <w:rFonts w:eastAsiaTheme="minorEastAsia"/>
          <w:lang w:val="en-US"/>
        </w:rPr>
        <w:t>valid for near</w:t>
      </w:r>
      <w:r w:rsidR="00875749" w:rsidRPr="00A44D31">
        <w:rPr>
          <w:rFonts w:eastAsiaTheme="minorEastAsia"/>
          <w:lang w:val="en-US"/>
        </w:rPr>
        <w:t>ly</w:t>
      </w:r>
      <w:r w:rsidR="001101F8" w:rsidRPr="00A44D31">
        <w:rPr>
          <w:rFonts w:eastAsiaTheme="minorEastAsia"/>
          <w:lang w:val="en-US"/>
        </w:rPr>
        <w:t xml:space="preserve"> every hedge fund strategy</w:t>
      </w:r>
      <w:r w:rsidR="00C82D92" w:rsidRPr="00A44D31">
        <w:rPr>
          <w:rFonts w:eastAsiaTheme="minorEastAsia"/>
          <w:lang w:val="en-US"/>
        </w:rPr>
        <w:t xml:space="preserve"> (</w:t>
      </w:r>
      <w:r w:rsidR="008F19C5">
        <w:rPr>
          <w:rFonts w:eastAsiaTheme="minorEastAsia"/>
          <w:lang w:val="en-US"/>
        </w:rPr>
        <w:t xml:space="preserve">e.g. </w:t>
      </w:r>
      <w:r w:rsidR="00DA3866" w:rsidRPr="00A44D31">
        <w:rPr>
          <w:rFonts w:eastAsiaTheme="minorEastAsia"/>
          <w:lang w:val="en-US"/>
        </w:rPr>
        <w:t>equity market, volatility, liquidity</w:t>
      </w:r>
      <w:r w:rsidR="00C82D92" w:rsidRPr="00A44D31">
        <w:rPr>
          <w:rFonts w:eastAsiaTheme="minorEastAsia"/>
          <w:lang w:val="en-US"/>
        </w:rPr>
        <w:t>)</w:t>
      </w:r>
      <w:r w:rsidR="001101F8" w:rsidRPr="00A44D31">
        <w:rPr>
          <w:rFonts w:eastAsiaTheme="minorEastAsia"/>
          <w:lang w:val="en-US"/>
        </w:rPr>
        <w:t xml:space="preserve">. </w:t>
      </w:r>
      <w:r w:rsidR="00CE4957" w:rsidRPr="00A44D31">
        <w:rPr>
          <w:rFonts w:eastAsiaTheme="minorEastAsia"/>
          <w:lang w:val="en-US"/>
        </w:rPr>
        <w:t xml:space="preserve">Macroeconomic risk has a significant role in </w:t>
      </w:r>
      <w:r w:rsidR="00AE276D">
        <w:rPr>
          <w:rFonts w:eastAsiaTheme="minorEastAsia"/>
          <w:lang w:val="en-US"/>
        </w:rPr>
        <w:t xml:space="preserve">explaining </w:t>
      </w:r>
      <w:r w:rsidR="00CE4957" w:rsidRPr="00A44D31">
        <w:rPr>
          <w:rFonts w:eastAsiaTheme="minorEastAsia"/>
          <w:lang w:val="en-US"/>
        </w:rPr>
        <w:t xml:space="preserve">hedge fund performance </w:t>
      </w:r>
      <w:r w:rsidR="008A28C7">
        <w:rPr>
          <w:rFonts w:eastAsiaTheme="minorEastAsia"/>
          <w:lang w:val="en-US"/>
        </w:rPr>
        <w:t>for</w:t>
      </w:r>
      <w:r w:rsidR="00CE4957" w:rsidRPr="00A44D31">
        <w:rPr>
          <w:rFonts w:eastAsiaTheme="minorEastAsia"/>
          <w:lang w:val="en-US"/>
        </w:rPr>
        <w:t xml:space="preserve"> nearly all strategies. Moreover, h</w:t>
      </w:r>
      <w:r w:rsidR="001D0B6F" w:rsidRPr="00A44D31">
        <w:rPr>
          <w:rFonts w:eastAsiaTheme="minorEastAsia"/>
          <w:lang w:val="en-US"/>
        </w:rPr>
        <w:t>igher moment factors can</w:t>
      </w:r>
      <w:r w:rsidR="001D0B6F" w:rsidRPr="00A44D31">
        <w:t xml:space="preserve"> </w:t>
      </w:r>
      <w:r w:rsidR="001D0B6F" w:rsidRPr="00A44D31">
        <w:rPr>
          <w:rFonts w:eastAsiaTheme="minorEastAsia"/>
          <w:lang w:val="en-US"/>
        </w:rPr>
        <w:t>provide extra explanatory power to the models</w:t>
      </w:r>
      <w:r w:rsidR="008A28C7">
        <w:rPr>
          <w:rFonts w:eastAsiaTheme="minorEastAsia"/>
          <w:lang w:val="en-US"/>
        </w:rPr>
        <w:t>, and hedge fund managers</w:t>
      </w:r>
      <w:r w:rsidR="00A47DCF">
        <w:rPr>
          <w:rFonts w:eastAsiaTheme="minorEastAsia"/>
          <w:lang w:val="en-US"/>
        </w:rPr>
        <w:t xml:space="preserve"> in general</w:t>
      </w:r>
      <w:r w:rsidR="001D0B6F" w:rsidRPr="00A44D31">
        <w:rPr>
          <w:rFonts w:eastAsiaTheme="minorEastAsia"/>
          <w:lang w:val="en-US"/>
        </w:rPr>
        <w:t xml:space="preserve"> </w:t>
      </w:r>
      <w:r w:rsidR="008A28C7">
        <w:rPr>
          <w:rFonts w:eastAsiaTheme="minorEastAsia"/>
          <w:lang w:val="en-US"/>
        </w:rPr>
        <w:t>show</w:t>
      </w:r>
      <w:r w:rsidR="001D0B6F" w:rsidRPr="00A44D31">
        <w:rPr>
          <w:rFonts w:eastAsiaTheme="minorEastAsia"/>
          <w:lang w:val="en-US"/>
        </w:rPr>
        <w:t xml:space="preserve"> </w:t>
      </w:r>
      <w:r w:rsidR="008A28C7">
        <w:rPr>
          <w:rFonts w:eastAsiaTheme="minorEastAsia"/>
          <w:lang w:val="en-US"/>
        </w:rPr>
        <w:t xml:space="preserve">superior </w:t>
      </w:r>
      <w:r w:rsidR="001D0B6F" w:rsidRPr="00A44D31">
        <w:rPr>
          <w:rFonts w:eastAsiaTheme="minorEastAsia"/>
          <w:lang w:val="en-US"/>
        </w:rPr>
        <w:t xml:space="preserve">stock-picking </w:t>
      </w:r>
      <w:r w:rsidR="008A28C7">
        <w:rPr>
          <w:rFonts w:eastAsiaTheme="minorEastAsia"/>
          <w:lang w:val="en-US"/>
        </w:rPr>
        <w:t xml:space="preserve">ability </w:t>
      </w:r>
      <w:r w:rsidR="00AE276D">
        <w:rPr>
          <w:rFonts w:eastAsiaTheme="minorEastAsia"/>
          <w:lang w:val="en-US"/>
        </w:rPr>
        <w:t>compared to</w:t>
      </w:r>
      <w:r w:rsidR="000F2F4D" w:rsidRPr="00E05E26">
        <w:rPr>
          <w:rFonts w:eastAsiaTheme="minorEastAsia"/>
          <w:lang w:val="en-US"/>
        </w:rPr>
        <w:t xml:space="preserve"> </w:t>
      </w:r>
      <w:r w:rsidR="00E05E26" w:rsidRPr="00E05E26">
        <w:rPr>
          <w:rFonts w:eastAsiaTheme="minorEastAsia"/>
          <w:lang w:val="en-US"/>
        </w:rPr>
        <w:t>other institutional investors</w:t>
      </w:r>
      <w:r w:rsidR="0080519A" w:rsidRPr="00E05E26">
        <w:rPr>
          <w:rFonts w:eastAsiaTheme="minorEastAsia"/>
          <w:lang w:val="en-US"/>
        </w:rPr>
        <w:t>.</w:t>
      </w:r>
      <w:r w:rsidR="00CE4957" w:rsidRPr="00E05E26">
        <w:rPr>
          <w:rFonts w:eastAsiaTheme="minorEastAsia"/>
          <w:lang w:val="en-US"/>
        </w:rPr>
        <w:t xml:space="preserve"> </w:t>
      </w:r>
    </w:p>
    <w:p w:rsidR="00AE276D" w:rsidRDefault="00E46D17" w:rsidP="00B93647">
      <w:pPr>
        <w:spacing w:line="480" w:lineRule="auto"/>
        <w:jc w:val="both"/>
        <w:rPr>
          <w:rFonts w:eastAsiaTheme="minorEastAsia"/>
          <w:lang w:val="en-US"/>
        </w:rPr>
      </w:pPr>
      <w:r w:rsidRPr="00A44D31">
        <w:rPr>
          <w:rFonts w:eastAsiaTheme="minorEastAsia"/>
          <w:lang w:val="en-US"/>
        </w:rPr>
        <w:t xml:space="preserve">In this review we </w:t>
      </w:r>
      <w:r w:rsidR="00557767">
        <w:rPr>
          <w:rFonts w:eastAsiaTheme="minorEastAsia"/>
          <w:lang w:val="en-US"/>
        </w:rPr>
        <w:t xml:space="preserve">have </w:t>
      </w:r>
      <w:r w:rsidRPr="00A44D31">
        <w:rPr>
          <w:rFonts w:eastAsiaTheme="minorEastAsia"/>
          <w:lang w:val="en-US"/>
        </w:rPr>
        <w:t>presented and analyzed studies that try to explain hedge funds</w:t>
      </w:r>
      <w:r w:rsidR="00E5255D" w:rsidRPr="00A44D31">
        <w:rPr>
          <w:rFonts w:eastAsiaTheme="minorEastAsia"/>
          <w:lang w:val="en-US"/>
        </w:rPr>
        <w:t xml:space="preserve"> returns using implicit </w:t>
      </w:r>
      <w:r w:rsidRPr="00A44D31">
        <w:rPr>
          <w:rFonts w:eastAsiaTheme="minorEastAsia"/>
          <w:lang w:val="en-US"/>
        </w:rPr>
        <w:t xml:space="preserve">statistical </w:t>
      </w:r>
      <w:r w:rsidR="00C60E53" w:rsidRPr="00A44D31">
        <w:rPr>
          <w:rFonts w:eastAsiaTheme="minorEastAsia"/>
          <w:lang w:val="en-US"/>
        </w:rPr>
        <w:t>factors.</w:t>
      </w:r>
      <w:r w:rsidRPr="00A44D31">
        <w:rPr>
          <w:rFonts w:eastAsiaTheme="minorEastAsia"/>
          <w:lang w:val="en-US"/>
        </w:rPr>
        <w:t xml:space="preserve"> </w:t>
      </w:r>
      <w:r w:rsidR="0017125E" w:rsidRPr="00A44D31">
        <w:rPr>
          <w:rFonts w:eastAsiaTheme="minorEastAsia"/>
          <w:lang w:val="en-US"/>
        </w:rPr>
        <w:t xml:space="preserve">It is crucial </w:t>
      </w:r>
      <w:r w:rsidR="0032105D" w:rsidRPr="00A44D31">
        <w:rPr>
          <w:rFonts w:eastAsiaTheme="minorEastAsia"/>
          <w:lang w:val="en-US"/>
        </w:rPr>
        <w:t xml:space="preserve">for an investor or researcher </w:t>
      </w:r>
      <w:r w:rsidR="0017125E" w:rsidRPr="00A44D31">
        <w:rPr>
          <w:rFonts w:eastAsiaTheme="minorEastAsia"/>
          <w:lang w:val="en-US"/>
        </w:rPr>
        <w:t>to understand how hedge fund exposures change over time</w:t>
      </w:r>
      <w:r w:rsidR="00420072" w:rsidRPr="00A44D31">
        <w:rPr>
          <w:rFonts w:eastAsiaTheme="minorEastAsia"/>
          <w:lang w:val="en-US"/>
        </w:rPr>
        <w:t>,</w:t>
      </w:r>
      <w:r w:rsidR="0017125E" w:rsidRPr="00A44D31">
        <w:rPr>
          <w:rFonts w:eastAsiaTheme="minorEastAsia"/>
          <w:lang w:val="en-US"/>
        </w:rPr>
        <w:t xml:space="preserve"> taking into consideration their styles as well as the economic environment in which they operate.</w:t>
      </w:r>
      <w:r w:rsidR="0032105D" w:rsidRPr="00A44D31">
        <w:rPr>
          <w:rFonts w:eastAsiaTheme="minorEastAsia"/>
          <w:lang w:val="en-US"/>
        </w:rPr>
        <w:t xml:space="preserve"> </w:t>
      </w:r>
      <w:r w:rsidR="00B85004" w:rsidRPr="00A44D31">
        <w:rPr>
          <w:rFonts w:eastAsiaTheme="minorEastAsia"/>
          <w:lang w:val="en-US"/>
        </w:rPr>
        <w:t xml:space="preserve">That environment is very dynamic, </w:t>
      </w:r>
      <w:r w:rsidR="00483E25" w:rsidRPr="00A44D31">
        <w:rPr>
          <w:rFonts w:eastAsiaTheme="minorEastAsia"/>
          <w:lang w:val="en-US"/>
        </w:rPr>
        <w:t>thus</w:t>
      </w:r>
      <w:r w:rsidR="00B85004" w:rsidRPr="00A44D31">
        <w:rPr>
          <w:rFonts w:eastAsiaTheme="minorEastAsia"/>
          <w:lang w:val="en-US"/>
        </w:rPr>
        <w:t xml:space="preserve"> the researcher should incorporate those external </w:t>
      </w:r>
      <w:r w:rsidR="00B85004" w:rsidRPr="00A44D31">
        <w:rPr>
          <w:rFonts w:eastAsiaTheme="minorEastAsia"/>
          <w:lang w:val="en-US"/>
        </w:rPr>
        <w:lastRenderedPageBreak/>
        <w:t xml:space="preserve">variables </w:t>
      </w:r>
      <w:r w:rsidR="00E5255D" w:rsidRPr="00A44D31">
        <w:rPr>
          <w:rFonts w:eastAsiaTheme="minorEastAsia"/>
          <w:lang w:val="en-US"/>
        </w:rPr>
        <w:t>in</w:t>
      </w:r>
      <w:r w:rsidR="00B85004" w:rsidRPr="00A44D31">
        <w:rPr>
          <w:rFonts w:eastAsiaTheme="minorEastAsia"/>
          <w:lang w:val="en-US"/>
        </w:rPr>
        <w:t xml:space="preserve">to her model for more robust and reliable results. </w:t>
      </w:r>
      <w:r w:rsidR="0032105D" w:rsidRPr="00A44D31">
        <w:rPr>
          <w:rFonts w:eastAsiaTheme="minorEastAsia"/>
          <w:lang w:val="en-US"/>
        </w:rPr>
        <w:t xml:space="preserve">It is also helpful to understand the evolution and advances </w:t>
      </w:r>
      <w:r w:rsidR="00161EB3" w:rsidRPr="00A44D31">
        <w:rPr>
          <w:rFonts w:eastAsiaTheme="minorEastAsia"/>
          <w:lang w:val="en-US"/>
        </w:rPr>
        <w:t>in</w:t>
      </w:r>
      <w:r w:rsidR="0040543D" w:rsidRPr="00A44D31">
        <w:rPr>
          <w:rFonts w:eastAsiaTheme="minorEastAsia"/>
          <w:lang w:val="en-US"/>
        </w:rPr>
        <w:t xml:space="preserve"> hedge fund implicit factors s</w:t>
      </w:r>
      <w:r w:rsidR="0032105D" w:rsidRPr="00A44D31">
        <w:rPr>
          <w:rFonts w:eastAsiaTheme="minorEastAsia"/>
          <w:lang w:val="en-US"/>
        </w:rPr>
        <w:t xml:space="preserve">o as to better evaluate </w:t>
      </w:r>
      <w:r w:rsidR="00BB1109" w:rsidRPr="00A44D31">
        <w:rPr>
          <w:rFonts w:eastAsiaTheme="minorEastAsia"/>
          <w:lang w:val="en-US"/>
        </w:rPr>
        <w:t>hedge funds</w:t>
      </w:r>
      <w:r w:rsidR="00AE276D">
        <w:rPr>
          <w:rFonts w:eastAsiaTheme="minorEastAsia"/>
          <w:lang w:val="en-US"/>
        </w:rPr>
        <w:t>,</w:t>
      </w:r>
      <w:r w:rsidR="00BB1109" w:rsidRPr="00A44D31">
        <w:rPr>
          <w:rFonts w:eastAsiaTheme="minorEastAsia"/>
          <w:lang w:val="en-US"/>
        </w:rPr>
        <w:t xml:space="preserve"> or at least know what to expect from different hedge fund strategies </w:t>
      </w:r>
      <w:r w:rsidR="00E562B4" w:rsidRPr="00A44D31">
        <w:rPr>
          <w:rFonts w:eastAsiaTheme="minorEastAsia"/>
          <w:lang w:val="en-US"/>
        </w:rPr>
        <w:t>or fund styles</w:t>
      </w:r>
      <w:r w:rsidR="00BB1109" w:rsidRPr="00A44D31">
        <w:rPr>
          <w:rFonts w:eastAsiaTheme="minorEastAsia"/>
          <w:lang w:val="en-US"/>
        </w:rPr>
        <w:t xml:space="preserve">. </w:t>
      </w:r>
    </w:p>
    <w:p w:rsidR="00EE0931" w:rsidRPr="00A44D31" w:rsidRDefault="00AE276D" w:rsidP="00B93647">
      <w:pPr>
        <w:spacing w:line="480" w:lineRule="auto"/>
        <w:jc w:val="both"/>
        <w:rPr>
          <w:rFonts w:eastAsiaTheme="minorEastAsia"/>
          <w:lang w:val="en-US"/>
        </w:rPr>
      </w:pPr>
      <w:r>
        <w:rPr>
          <w:rFonts w:eastAsiaTheme="minorEastAsia"/>
          <w:lang w:val="en-US"/>
        </w:rPr>
        <w:t>A</w:t>
      </w:r>
      <w:r w:rsidR="00E562B4" w:rsidRPr="00A44D31">
        <w:rPr>
          <w:rFonts w:eastAsiaTheme="minorEastAsia"/>
          <w:lang w:val="en-US"/>
        </w:rPr>
        <w:t xml:space="preserve"> limitation </w:t>
      </w:r>
      <w:r w:rsidR="00684194" w:rsidRPr="00A44D31">
        <w:rPr>
          <w:rFonts w:eastAsiaTheme="minorEastAsia"/>
          <w:lang w:val="en-US"/>
        </w:rPr>
        <w:t>of</w:t>
      </w:r>
      <w:r w:rsidR="003277CE" w:rsidRPr="00A44D31">
        <w:rPr>
          <w:rFonts w:eastAsiaTheme="minorEastAsia"/>
          <w:lang w:val="en-US"/>
        </w:rPr>
        <w:t xml:space="preserve"> </w:t>
      </w:r>
      <w:r w:rsidR="00E210F4">
        <w:rPr>
          <w:rFonts w:eastAsiaTheme="minorEastAsia"/>
          <w:lang w:val="en-US"/>
        </w:rPr>
        <w:t>our</w:t>
      </w:r>
      <w:r w:rsidR="003277CE" w:rsidRPr="00A44D31">
        <w:rPr>
          <w:rFonts w:eastAsiaTheme="minorEastAsia"/>
          <w:lang w:val="en-US"/>
        </w:rPr>
        <w:t xml:space="preserve"> study is that we do not </w:t>
      </w:r>
      <w:r w:rsidR="00C32C0F" w:rsidRPr="00A44D31">
        <w:rPr>
          <w:rFonts w:eastAsiaTheme="minorEastAsia"/>
          <w:lang w:val="en-US"/>
        </w:rPr>
        <w:t>consider</w:t>
      </w:r>
      <w:r w:rsidR="003277CE" w:rsidRPr="00A44D31">
        <w:rPr>
          <w:rFonts w:eastAsiaTheme="minorEastAsia"/>
          <w:lang w:val="en-US"/>
        </w:rPr>
        <w:t xml:space="preserve"> </w:t>
      </w:r>
      <w:r w:rsidR="00D60B7A" w:rsidRPr="00A44D31">
        <w:rPr>
          <w:rFonts w:eastAsiaTheme="minorEastAsia"/>
          <w:lang w:val="en-US"/>
        </w:rPr>
        <w:t>other aspects of hedge funds</w:t>
      </w:r>
      <w:r w:rsidR="00065D5E" w:rsidRPr="00A44D31">
        <w:rPr>
          <w:rFonts w:eastAsiaTheme="minorEastAsia"/>
          <w:lang w:val="en-US"/>
        </w:rPr>
        <w:t>,</w:t>
      </w:r>
      <w:r w:rsidR="00D60B7A" w:rsidRPr="00A44D31">
        <w:rPr>
          <w:rFonts w:eastAsiaTheme="minorEastAsia"/>
          <w:lang w:val="en-US"/>
        </w:rPr>
        <w:t xml:space="preserve"> </w:t>
      </w:r>
      <w:r w:rsidR="00065D5E" w:rsidRPr="00A44D31">
        <w:rPr>
          <w:rFonts w:eastAsiaTheme="minorEastAsia"/>
          <w:lang w:val="en-US"/>
        </w:rPr>
        <w:t>for instance</w:t>
      </w:r>
      <w:r w:rsidR="003277CE" w:rsidRPr="00A44D31">
        <w:rPr>
          <w:rFonts w:eastAsiaTheme="minorEastAsia"/>
          <w:lang w:val="en-US"/>
        </w:rPr>
        <w:t xml:space="preserve"> </w:t>
      </w:r>
      <w:r w:rsidR="001A39E4" w:rsidRPr="00A44D31">
        <w:rPr>
          <w:rFonts w:eastAsiaTheme="minorEastAsia"/>
          <w:lang w:val="en-US"/>
        </w:rPr>
        <w:t xml:space="preserve">specific </w:t>
      </w:r>
      <w:r w:rsidR="003277CE" w:rsidRPr="00A44D31">
        <w:rPr>
          <w:rFonts w:eastAsiaTheme="minorEastAsia"/>
          <w:lang w:val="en-US"/>
        </w:rPr>
        <w:t xml:space="preserve">characteristics </w:t>
      </w:r>
      <w:r w:rsidR="00C32C0F" w:rsidRPr="00A44D31">
        <w:rPr>
          <w:rFonts w:eastAsiaTheme="minorEastAsia"/>
          <w:lang w:val="en-US"/>
        </w:rPr>
        <w:t xml:space="preserve">(e.g. </w:t>
      </w:r>
      <w:r w:rsidR="005A5DA0" w:rsidRPr="00A44D31">
        <w:rPr>
          <w:rFonts w:eastAsiaTheme="minorEastAsia"/>
          <w:lang w:val="en-US"/>
        </w:rPr>
        <w:t xml:space="preserve">fundamental factors such as </w:t>
      </w:r>
      <w:r w:rsidR="00C32C0F" w:rsidRPr="00A44D31">
        <w:rPr>
          <w:rFonts w:eastAsiaTheme="minorEastAsia"/>
          <w:lang w:val="en-US"/>
        </w:rPr>
        <w:t>size</w:t>
      </w:r>
      <w:r>
        <w:rPr>
          <w:rFonts w:eastAsiaTheme="minorEastAsia"/>
          <w:lang w:val="en-US"/>
        </w:rPr>
        <w:t xml:space="preserve"> and</w:t>
      </w:r>
      <w:r w:rsidR="00C32C0F" w:rsidRPr="00A44D31">
        <w:rPr>
          <w:rFonts w:eastAsiaTheme="minorEastAsia"/>
          <w:lang w:val="en-US"/>
        </w:rPr>
        <w:t xml:space="preserve"> lockup </w:t>
      </w:r>
      <w:r w:rsidR="00C32C0F" w:rsidRPr="00AE276D">
        <w:rPr>
          <w:rFonts w:eastAsiaTheme="minorEastAsia"/>
          <w:lang w:val="en-US"/>
        </w:rPr>
        <w:t xml:space="preserve">periods) </w:t>
      </w:r>
      <w:r w:rsidR="003277CE" w:rsidRPr="00AE276D">
        <w:rPr>
          <w:rFonts w:eastAsiaTheme="minorEastAsia"/>
          <w:lang w:val="en-US"/>
        </w:rPr>
        <w:t>that affect fund performance</w:t>
      </w:r>
      <w:r w:rsidR="005A1FF8" w:rsidRPr="00AE276D">
        <w:rPr>
          <w:rFonts w:eastAsiaTheme="minorEastAsia"/>
          <w:lang w:val="en-US"/>
        </w:rPr>
        <w:t xml:space="preserve">, </w:t>
      </w:r>
      <w:r w:rsidR="00113422" w:rsidRPr="00AE276D">
        <w:rPr>
          <w:rFonts w:eastAsiaTheme="minorEastAsia"/>
          <w:lang w:val="en-US"/>
        </w:rPr>
        <w:t xml:space="preserve">fund performance </w:t>
      </w:r>
      <w:r w:rsidR="00514FD4" w:rsidRPr="00AE276D">
        <w:rPr>
          <w:rFonts w:eastAsiaTheme="minorEastAsia"/>
          <w:lang w:val="en-US"/>
        </w:rPr>
        <w:t>persistence</w:t>
      </w:r>
      <w:r w:rsidR="005A1FF8" w:rsidRPr="00AE276D">
        <w:rPr>
          <w:rFonts w:eastAsiaTheme="minorEastAsia"/>
          <w:lang w:val="en-US"/>
        </w:rPr>
        <w:t xml:space="preserve"> or qualitative </w:t>
      </w:r>
      <w:r w:rsidR="005A1FF8" w:rsidRPr="00A44D31">
        <w:rPr>
          <w:rFonts w:eastAsiaTheme="minorEastAsia"/>
          <w:lang w:val="en-US"/>
        </w:rPr>
        <w:t>performance criteria (e.g. fund investment policies</w:t>
      </w:r>
      <w:r>
        <w:rPr>
          <w:rFonts w:eastAsiaTheme="minorEastAsia"/>
          <w:lang w:val="en-US"/>
        </w:rPr>
        <w:t xml:space="preserve"> or</w:t>
      </w:r>
      <w:r w:rsidR="005A1FF8" w:rsidRPr="00A44D31">
        <w:rPr>
          <w:rFonts w:eastAsiaTheme="minorEastAsia"/>
          <w:lang w:val="en-US"/>
        </w:rPr>
        <w:t xml:space="preserve"> management experience)</w:t>
      </w:r>
      <w:r>
        <w:rPr>
          <w:rFonts w:eastAsiaTheme="minorEastAsia"/>
          <w:lang w:val="en-US"/>
        </w:rPr>
        <w:t>. T</w:t>
      </w:r>
      <w:r w:rsidR="00514FD4" w:rsidRPr="00A44D31">
        <w:rPr>
          <w:rFonts w:eastAsiaTheme="minorEastAsia"/>
          <w:lang w:val="en-US"/>
        </w:rPr>
        <w:t>his</w:t>
      </w:r>
      <w:r w:rsidR="00065D5E" w:rsidRPr="00A44D31">
        <w:rPr>
          <w:rFonts w:eastAsiaTheme="minorEastAsia"/>
          <w:lang w:val="en-US"/>
        </w:rPr>
        <w:t xml:space="preserve"> is because our </w:t>
      </w:r>
      <w:r w:rsidR="00514FD4" w:rsidRPr="00A44D31">
        <w:rPr>
          <w:rFonts w:eastAsiaTheme="minorEastAsia"/>
          <w:lang w:val="en-US"/>
        </w:rPr>
        <w:t xml:space="preserve">study specializes in </w:t>
      </w:r>
      <w:r w:rsidR="0004213B" w:rsidRPr="00A44D31">
        <w:rPr>
          <w:rFonts w:eastAsiaTheme="minorEastAsia"/>
          <w:lang w:val="en-US"/>
        </w:rPr>
        <w:t xml:space="preserve">the return generating </w:t>
      </w:r>
      <w:r w:rsidR="00980CF3" w:rsidRPr="00A44D31">
        <w:rPr>
          <w:rFonts w:eastAsiaTheme="minorEastAsia"/>
          <w:lang w:val="en-US"/>
        </w:rPr>
        <w:t>mechanism</w:t>
      </w:r>
      <w:r w:rsidR="00514FD4" w:rsidRPr="00A44D31">
        <w:rPr>
          <w:rFonts w:eastAsiaTheme="minorEastAsia"/>
          <w:lang w:val="en-US"/>
        </w:rPr>
        <w:t xml:space="preserve"> of hedge funds</w:t>
      </w:r>
      <w:r w:rsidR="0088464A" w:rsidRPr="00A44D31">
        <w:rPr>
          <w:rFonts w:eastAsiaTheme="minorEastAsia"/>
          <w:lang w:val="en-US"/>
        </w:rPr>
        <w:t xml:space="preserve"> </w:t>
      </w:r>
      <w:r w:rsidR="00D51FAE">
        <w:rPr>
          <w:rFonts w:eastAsiaTheme="minorEastAsia"/>
          <w:lang w:val="en-US"/>
        </w:rPr>
        <w:t>within implicit or statistical factor models</w:t>
      </w:r>
      <w:r w:rsidR="003277CE" w:rsidRPr="00A44D31">
        <w:rPr>
          <w:rFonts w:eastAsiaTheme="minorEastAsia"/>
          <w:lang w:val="en-US"/>
        </w:rPr>
        <w:t xml:space="preserve">. </w:t>
      </w:r>
      <w:r w:rsidR="00220D5F">
        <w:rPr>
          <w:rFonts w:eastAsiaTheme="minorEastAsia"/>
          <w:lang w:val="en-US"/>
        </w:rPr>
        <w:t>Another limitation is that</w:t>
      </w:r>
      <w:r w:rsidR="00C32C0F" w:rsidRPr="00A44D31">
        <w:rPr>
          <w:rFonts w:eastAsiaTheme="minorEastAsia"/>
          <w:lang w:val="en-US"/>
        </w:rPr>
        <w:t xml:space="preserve"> </w:t>
      </w:r>
      <w:r w:rsidR="00220D5F">
        <w:rPr>
          <w:rFonts w:eastAsiaTheme="minorEastAsia"/>
          <w:lang w:val="en-US"/>
        </w:rPr>
        <w:t xml:space="preserve">there </w:t>
      </w:r>
      <w:r w:rsidR="00C32C0F" w:rsidRPr="00A44D31">
        <w:rPr>
          <w:rFonts w:eastAsiaTheme="minorEastAsia"/>
          <w:lang w:val="en-US"/>
        </w:rPr>
        <w:t xml:space="preserve">are differences in studies due to industry heterogeneity </w:t>
      </w:r>
      <w:r w:rsidR="005836AA" w:rsidRPr="00A44D31">
        <w:rPr>
          <w:rFonts w:eastAsiaTheme="minorEastAsia"/>
          <w:lang w:val="en-US"/>
        </w:rPr>
        <w:t>and authors use different sample periods, datasets, and methodolog</w:t>
      </w:r>
      <w:r w:rsidR="0094244A" w:rsidRPr="00A44D31">
        <w:rPr>
          <w:rFonts w:eastAsiaTheme="minorEastAsia"/>
          <w:lang w:val="en-US"/>
        </w:rPr>
        <w:t>ies</w:t>
      </w:r>
      <w:r w:rsidR="005836AA" w:rsidRPr="00A44D31">
        <w:rPr>
          <w:rFonts w:eastAsiaTheme="minorEastAsia"/>
          <w:lang w:val="en-US"/>
        </w:rPr>
        <w:t xml:space="preserve">. </w:t>
      </w:r>
      <w:r w:rsidR="000D55CD" w:rsidRPr="00A44D31">
        <w:rPr>
          <w:rFonts w:eastAsiaTheme="minorEastAsia"/>
          <w:lang w:val="en-US"/>
        </w:rPr>
        <w:t xml:space="preserve">However, this is a common issue faced by other authors. </w:t>
      </w:r>
      <w:r w:rsidR="008D10A8" w:rsidRPr="00A44D31">
        <w:rPr>
          <w:rFonts w:eastAsiaTheme="minorEastAsia"/>
          <w:lang w:val="en-US"/>
        </w:rPr>
        <w:t xml:space="preserve">Even with this limitation, </w:t>
      </w:r>
      <w:r>
        <w:rPr>
          <w:rFonts w:eastAsiaTheme="minorEastAsia"/>
          <w:lang w:val="en-US"/>
        </w:rPr>
        <w:t xml:space="preserve">we have highlighted </w:t>
      </w:r>
      <w:r w:rsidR="008D10A8" w:rsidRPr="00A44D31">
        <w:rPr>
          <w:rFonts w:eastAsiaTheme="minorEastAsia"/>
          <w:lang w:val="en-US"/>
        </w:rPr>
        <w:t xml:space="preserve">some consistent trends and conclusions that </w:t>
      </w:r>
      <w:r>
        <w:rPr>
          <w:rFonts w:eastAsiaTheme="minorEastAsia"/>
          <w:lang w:val="en-US"/>
        </w:rPr>
        <w:t>should</w:t>
      </w:r>
      <w:r w:rsidR="008D10A8" w:rsidRPr="00A44D31">
        <w:rPr>
          <w:rFonts w:eastAsiaTheme="minorEastAsia"/>
          <w:lang w:val="en-US"/>
        </w:rPr>
        <w:t xml:space="preserve"> be </w:t>
      </w:r>
      <w:r w:rsidR="001339FF" w:rsidRPr="00A44D31">
        <w:rPr>
          <w:rFonts w:eastAsiaTheme="minorEastAsia"/>
          <w:lang w:val="en-US"/>
        </w:rPr>
        <w:t>helpful</w:t>
      </w:r>
      <w:r w:rsidR="008D10A8" w:rsidRPr="00A44D31">
        <w:rPr>
          <w:rFonts w:eastAsiaTheme="minorEastAsia"/>
          <w:lang w:val="en-US"/>
        </w:rPr>
        <w:t xml:space="preserve"> to investors. </w:t>
      </w:r>
      <w:r w:rsidR="00852466" w:rsidRPr="00A44D31">
        <w:rPr>
          <w:rFonts w:eastAsiaTheme="minorEastAsia"/>
          <w:lang w:val="en-US"/>
        </w:rPr>
        <w:t xml:space="preserve"> </w:t>
      </w:r>
    </w:p>
    <w:p w:rsidR="002F7BEA" w:rsidRDefault="007E41B8" w:rsidP="00B93647">
      <w:pPr>
        <w:spacing w:line="480" w:lineRule="auto"/>
        <w:jc w:val="both"/>
        <w:rPr>
          <w:rFonts w:eastAsiaTheme="minorEastAsia"/>
          <w:lang w:val="en-US"/>
        </w:rPr>
      </w:pPr>
      <w:r>
        <w:rPr>
          <w:rFonts w:eastAsiaTheme="minorEastAsia"/>
          <w:lang w:val="en-US"/>
        </w:rPr>
        <w:t>Possible</w:t>
      </w:r>
      <w:r w:rsidR="00012F79" w:rsidRPr="00A44D31">
        <w:rPr>
          <w:rFonts w:eastAsiaTheme="minorEastAsia"/>
          <w:lang w:val="en-US"/>
        </w:rPr>
        <w:t xml:space="preserve"> directions for </w:t>
      </w:r>
      <w:r w:rsidR="00BB069E" w:rsidRPr="00A44D31">
        <w:rPr>
          <w:rFonts w:eastAsiaTheme="minorEastAsia"/>
          <w:lang w:val="en-US"/>
        </w:rPr>
        <w:t xml:space="preserve">future research </w:t>
      </w:r>
      <w:r>
        <w:rPr>
          <w:rFonts w:eastAsiaTheme="minorEastAsia"/>
          <w:lang w:val="en-US"/>
        </w:rPr>
        <w:t>include</w:t>
      </w:r>
      <w:r w:rsidR="00953BAB" w:rsidRPr="00A44D31">
        <w:rPr>
          <w:rFonts w:eastAsiaTheme="minorEastAsia"/>
          <w:lang w:val="en-US"/>
        </w:rPr>
        <w:t>,</w:t>
      </w:r>
      <w:r w:rsidR="00ED2DDD" w:rsidRPr="00A44D31">
        <w:rPr>
          <w:rFonts w:eastAsiaTheme="minorEastAsia"/>
          <w:lang w:val="en-US"/>
        </w:rPr>
        <w:t xml:space="preserve"> </w:t>
      </w:r>
      <w:r w:rsidR="00953BAB" w:rsidRPr="00A44D31">
        <w:rPr>
          <w:rFonts w:eastAsiaTheme="minorEastAsia"/>
          <w:lang w:val="en-US"/>
        </w:rPr>
        <w:t>first,</w:t>
      </w:r>
      <w:r w:rsidR="004D27BD" w:rsidRPr="00A44D31">
        <w:rPr>
          <w:rFonts w:eastAsiaTheme="minorEastAsia"/>
          <w:lang w:val="en-US"/>
        </w:rPr>
        <w:t xml:space="preserve"> </w:t>
      </w:r>
      <w:r w:rsidR="00ED2DDD" w:rsidRPr="00A44D31">
        <w:rPr>
          <w:rFonts w:eastAsiaTheme="minorEastAsia"/>
          <w:lang w:val="en-US"/>
        </w:rPr>
        <w:t xml:space="preserve">the external </w:t>
      </w:r>
      <w:r w:rsidR="006614F1" w:rsidRPr="00A44D31">
        <w:rPr>
          <w:rFonts w:eastAsiaTheme="minorEastAsia"/>
          <w:lang w:val="en-US"/>
        </w:rPr>
        <w:t xml:space="preserve">macroeconomic </w:t>
      </w:r>
      <w:r w:rsidR="00ED2DDD" w:rsidRPr="00A44D31">
        <w:rPr>
          <w:rFonts w:eastAsiaTheme="minorEastAsia"/>
          <w:lang w:val="en-US"/>
        </w:rPr>
        <w:t xml:space="preserve">environment that hedge funds operate </w:t>
      </w:r>
      <w:r w:rsidR="009A2B6E" w:rsidRPr="00A44D31">
        <w:rPr>
          <w:rFonts w:eastAsiaTheme="minorEastAsia"/>
          <w:lang w:val="en-US"/>
        </w:rPr>
        <w:t>and</w:t>
      </w:r>
      <w:r w:rsidR="007358DB">
        <w:rPr>
          <w:rFonts w:eastAsiaTheme="minorEastAsia"/>
          <w:lang w:val="en-US"/>
        </w:rPr>
        <w:t>, second,</w:t>
      </w:r>
      <w:r w:rsidR="00953BAB" w:rsidRPr="00A44D31">
        <w:rPr>
          <w:rFonts w:eastAsiaTheme="minorEastAsia"/>
          <w:lang w:val="en-US"/>
        </w:rPr>
        <w:t xml:space="preserve"> </w:t>
      </w:r>
      <w:r w:rsidR="00ED2DDD" w:rsidRPr="00A44D31">
        <w:rPr>
          <w:rFonts w:eastAsiaTheme="minorEastAsia"/>
          <w:lang w:val="en-US"/>
        </w:rPr>
        <w:t xml:space="preserve">the </w:t>
      </w:r>
      <w:r w:rsidR="00E5255D" w:rsidRPr="00A44D31">
        <w:rPr>
          <w:rFonts w:eastAsiaTheme="minorEastAsia"/>
          <w:lang w:val="en-US"/>
        </w:rPr>
        <w:t xml:space="preserve">internal </w:t>
      </w:r>
      <w:r w:rsidR="00ED2DDD" w:rsidRPr="00A44D31">
        <w:rPr>
          <w:rFonts w:eastAsiaTheme="minorEastAsia"/>
          <w:lang w:val="en-US"/>
        </w:rPr>
        <w:t>structure of the hedge fund industry.</w:t>
      </w:r>
      <w:r w:rsidR="00BB44D3" w:rsidRPr="00A44D31">
        <w:rPr>
          <w:rFonts w:eastAsiaTheme="minorEastAsia"/>
          <w:lang w:val="en-US"/>
        </w:rPr>
        <w:t xml:space="preserve"> </w:t>
      </w:r>
      <w:r w:rsidR="00953BAB" w:rsidRPr="00A44D31">
        <w:rPr>
          <w:rFonts w:eastAsiaTheme="minorEastAsia"/>
          <w:lang w:val="en-US"/>
        </w:rPr>
        <w:t>Concerning the f</w:t>
      </w:r>
      <w:r w:rsidR="008D3D13" w:rsidRPr="00A44D31">
        <w:rPr>
          <w:rFonts w:eastAsiaTheme="minorEastAsia"/>
          <w:lang w:val="en-US"/>
        </w:rPr>
        <w:t>ormer,</w:t>
      </w:r>
      <w:r w:rsidR="000839E2" w:rsidRPr="00A44D31">
        <w:rPr>
          <w:rFonts w:eastAsiaTheme="minorEastAsia"/>
          <w:lang w:val="en-US"/>
        </w:rPr>
        <w:t xml:space="preserve"> there is </w:t>
      </w:r>
      <w:r w:rsidR="00087704">
        <w:rPr>
          <w:rFonts w:eastAsiaTheme="minorEastAsia"/>
          <w:lang w:val="en-US"/>
        </w:rPr>
        <w:t xml:space="preserve">a </w:t>
      </w:r>
      <w:r w:rsidR="000839E2" w:rsidRPr="00A44D31">
        <w:rPr>
          <w:rFonts w:eastAsiaTheme="minorEastAsia"/>
          <w:lang w:val="en-US"/>
        </w:rPr>
        <w:t xml:space="preserve">need for a </w:t>
      </w:r>
      <w:r w:rsidR="008A4CAB" w:rsidRPr="00A44D31">
        <w:rPr>
          <w:rFonts w:eastAsiaTheme="minorEastAsia"/>
          <w:lang w:val="en-US"/>
        </w:rPr>
        <w:t xml:space="preserve">general </w:t>
      </w:r>
      <w:r w:rsidR="009A2B6E" w:rsidRPr="00A44D31">
        <w:rPr>
          <w:rFonts w:eastAsiaTheme="minorEastAsia"/>
          <w:lang w:val="en-US"/>
        </w:rPr>
        <w:t xml:space="preserve">comprehensive </w:t>
      </w:r>
      <w:r w:rsidR="000839E2" w:rsidRPr="00A44D31">
        <w:rPr>
          <w:rFonts w:eastAsiaTheme="minorEastAsia"/>
          <w:lang w:val="en-US"/>
        </w:rPr>
        <w:t xml:space="preserve">framework </w:t>
      </w:r>
      <w:r w:rsidR="00AD76AF" w:rsidRPr="00A44D31">
        <w:rPr>
          <w:rFonts w:eastAsiaTheme="minorEastAsia"/>
          <w:lang w:val="en-US"/>
        </w:rPr>
        <w:t>that include</w:t>
      </w:r>
      <w:r w:rsidR="003010DC">
        <w:rPr>
          <w:rFonts w:eastAsiaTheme="minorEastAsia"/>
          <w:lang w:val="en-US"/>
        </w:rPr>
        <w:t>s</w:t>
      </w:r>
      <w:r w:rsidR="004D27BD" w:rsidRPr="00A44D31">
        <w:rPr>
          <w:rFonts w:eastAsiaTheme="minorEastAsia"/>
          <w:lang w:val="en-US"/>
        </w:rPr>
        <w:t xml:space="preserve"> </w:t>
      </w:r>
      <w:r w:rsidR="000B1836" w:rsidRPr="00A44D31">
        <w:rPr>
          <w:rFonts w:eastAsiaTheme="minorEastAsia"/>
          <w:lang w:val="en-US"/>
        </w:rPr>
        <w:t>the impact of economic polic</w:t>
      </w:r>
      <w:r w:rsidR="008D3D13" w:rsidRPr="00A44D31">
        <w:rPr>
          <w:rFonts w:eastAsiaTheme="minorEastAsia"/>
          <w:lang w:val="en-US"/>
        </w:rPr>
        <w:t>i</w:t>
      </w:r>
      <w:r w:rsidR="000B1836" w:rsidRPr="00A44D31">
        <w:rPr>
          <w:rFonts w:eastAsiaTheme="minorEastAsia"/>
          <w:lang w:val="en-US"/>
        </w:rPr>
        <w:t xml:space="preserve">es (monetary and fiscal) on </w:t>
      </w:r>
      <w:r w:rsidR="000B1836" w:rsidRPr="00AE276D">
        <w:rPr>
          <w:rFonts w:eastAsiaTheme="minorEastAsia"/>
          <w:lang w:val="en-US"/>
        </w:rPr>
        <w:t>hedge funds</w:t>
      </w:r>
      <w:r w:rsidR="00161EB3" w:rsidRPr="00AE276D">
        <w:rPr>
          <w:rFonts w:eastAsiaTheme="minorEastAsia"/>
          <w:lang w:val="en-US"/>
        </w:rPr>
        <w:t>’</w:t>
      </w:r>
      <w:r w:rsidR="001F7835" w:rsidRPr="00AE276D">
        <w:rPr>
          <w:rFonts w:eastAsiaTheme="minorEastAsia"/>
          <w:lang w:val="en-US"/>
        </w:rPr>
        <w:t xml:space="preserve"> performance</w:t>
      </w:r>
      <w:r w:rsidR="00AE276D" w:rsidRPr="00AE276D">
        <w:rPr>
          <w:rFonts w:eastAsiaTheme="minorEastAsia"/>
          <w:lang w:val="en-US"/>
        </w:rPr>
        <w:t>,</w:t>
      </w:r>
      <w:r w:rsidR="00AB6E67" w:rsidRPr="00AE276D">
        <w:rPr>
          <w:rFonts w:eastAsiaTheme="minorEastAsia"/>
          <w:lang w:val="en-US"/>
        </w:rPr>
        <w:t xml:space="preserve"> or </w:t>
      </w:r>
      <w:r w:rsidR="00144C27" w:rsidRPr="00AE276D">
        <w:rPr>
          <w:rFonts w:eastAsiaTheme="minorEastAsia"/>
          <w:lang w:val="en-US"/>
        </w:rPr>
        <w:t xml:space="preserve">examining </w:t>
      </w:r>
      <w:r w:rsidR="00AB6E67" w:rsidRPr="00AE276D">
        <w:rPr>
          <w:rFonts w:eastAsiaTheme="minorEastAsia"/>
          <w:lang w:val="en-US"/>
        </w:rPr>
        <w:t>the impact of different market conditions</w:t>
      </w:r>
      <w:r w:rsidR="00A308FB" w:rsidRPr="00AE276D">
        <w:rPr>
          <w:rFonts w:eastAsiaTheme="minorEastAsia"/>
          <w:lang w:val="en-US"/>
        </w:rPr>
        <w:t xml:space="preserve"> in a holistic approach</w:t>
      </w:r>
      <w:r w:rsidR="00AB6E67" w:rsidRPr="00AE276D">
        <w:rPr>
          <w:rFonts w:eastAsiaTheme="minorEastAsia"/>
          <w:lang w:val="en-US"/>
        </w:rPr>
        <w:t xml:space="preserve"> not isolating </w:t>
      </w:r>
      <w:r w:rsidR="00144C27" w:rsidRPr="00AE276D">
        <w:rPr>
          <w:rFonts w:eastAsiaTheme="minorEastAsia"/>
          <w:lang w:val="en-US"/>
        </w:rPr>
        <w:t>one or two only stressful economic events</w:t>
      </w:r>
      <w:r w:rsidR="000B1836" w:rsidRPr="00AE276D">
        <w:rPr>
          <w:rFonts w:eastAsiaTheme="minorEastAsia"/>
          <w:lang w:val="en-US"/>
        </w:rPr>
        <w:t xml:space="preserve">. </w:t>
      </w:r>
      <w:r w:rsidR="00521AE2" w:rsidRPr="00AE276D">
        <w:rPr>
          <w:rFonts w:eastAsiaTheme="minorEastAsia"/>
          <w:lang w:val="en-US"/>
        </w:rPr>
        <w:t>However</w:t>
      </w:r>
      <w:r w:rsidR="007F3028" w:rsidRPr="00AE276D">
        <w:rPr>
          <w:rFonts w:eastAsiaTheme="minorEastAsia"/>
          <w:lang w:val="en-US"/>
        </w:rPr>
        <w:t>, th</w:t>
      </w:r>
      <w:r w:rsidR="008745D1" w:rsidRPr="00AE276D">
        <w:rPr>
          <w:rFonts w:eastAsiaTheme="minorEastAsia"/>
          <w:lang w:val="en-US"/>
        </w:rPr>
        <w:t>is</w:t>
      </w:r>
      <w:r w:rsidR="007F3028" w:rsidRPr="00AE276D">
        <w:rPr>
          <w:rFonts w:eastAsiaTheme="minorEastAsia"/>
          <w:lang w:val="en-US"/>
        </w:rPr>
        <w:t xml:space="preserve"> depends on hedge fund data availability for </w:t>
      </w:r>
      <w:r w:rsidR="003141BF" w:rsidRPr="00AE276D">
        <w:rPr>
          <w:rFonts w:eastAsiaTheme="minorEastAsia"/>
          <w:lang w:val="en-US"/>
        </w:rPr>
        <w:t xml:space="preserve">the </w:t>
      </w:r>
      <w:r w:rsidR="007F3028" w:rsidRPr="00AE276D">
        <w:rPr>
          <w:rFonts w:eastAsiaTheme="minorEastAsia"/>
          <w:lang w:val="en-US"/>
        </w:rPr>
        <w:t xml:space="preserve">earlier years. </w:t>
      </w:r>
      <w:r w:rsidR="00637710" w:rsidRPr="00AE276D">
        <w:rPr>
          <w:rFonts w:eastAsiaTheme="minorEastAsia"/>
          <w:lang w:val="en-US"/>
        </w:rPr>
        <w:t xml:space="preserve">Concerning the </w:t>
      </w:r>
      <w:r w:rsidR="00985592" w:rsidRPr="00AE276D">
        <w:rPr>
          <w:rFonts w:eastAsiaTheme="minorEastAsia"/>
          <w:lang w:val="en-US"/>
        </w:rPr>
        <w:t>lat</w:t>
      </w:r>
      <w:r w:rsidR="00AE276D">
        <w:rPr>
          <w:rFonts w:eastAsiaTheme="minorEastAsia"/>
          <w:lang w:val="en-US"/>
        </w:rPr>
        <w:t>t</w:t>
      </w:r>
      <w:r w:rsidR="00985592" w:rsidRPr="00AE276D">
        <w:rPr>
          <w:rFonts w:eastAsiaTheme="minorEastAsia"/>
          <w:lang w:val="en-US"/>
        </w:rPr>
        <w:t>er</w:t>
      </w:r>
      <w:r w:rsidR="008D3D13" w:rsidRPr="00AE276D">
        <w:rPr>
          <w:rFonts w:eastAsiaTheme="minorEastAsia"/>
          <w:lang w:val="en-US"/>
        </w:rPr>
        <w:t>,</w:t>
      </w:r>
      <w:r w:rsidR="00816923" w:rsidRPr="00AE276D">
        <w:rPr>
          <w:rFonts w:eastAsiaTheme="minorEastAsia"/>
          <w:lang w:val="en-US"/>
        </w:rPr>
        <w:t xml:space="preserve"> </w:t>
      </w:r>
      <w:r w:rsidR="00087704">
        <w:rPr>
          <w:rFonts w:eastAsiaTheme="minorEastAsia"/>
          <w:lang w:val="en-US"/>
        </w:rPr>
        <w:t>there is</w:t>
      </w:r>
      <w:r w:rsidR="008D3D13" w:rsidRPr="00A44D31">
        <w:rPr>
          <w:rFonts w:eastAsiaTheme="minorEastAsia"/>
          <w:lang w:val="en-US"/>
        </w:rPr>
        <w:t xml:space="preserve"> </w:t>
      </w:r>
      <w:r w:rsidR="00087704">
        <w:rPr>
          <w:rFonts w:eastAsiaTheme="minorEastAsia"/>
          <w:lang w:val="en-US"/>
        </w:rPr>
        <w:t xml:space="preserve">a </w:t>
      </w:r>
      <w:r w:rsidR="00637710" w:rsidRPr="00A44D31">
        <w:rPr>
          <w:rFonts w:eastAsiaTheme="minorEastAsia"/>
          <w:lang w:val="en-US"/>
        </w:rPr>
        <w:t xml:space="preserve">need </w:t>
      </w:r>
      <w:r w:rsidR="008D3D13" w:rsidRPr="00A44D31">
        <w:rPr>
          <w:rFonts w:eastAsiaTheme="minorEastAsia"/>
          <w:lang w:val="en-US"/>
        </w:rPr>
        <w:t>to</w:t>
      </w:r>
      <w:r w:rsidR="00331431" w:rsidRPr="00A44D31">
        <w:rPr>
          <w:rFonts w:eastAsiaTheme="minorEastAsia"/>
          <w:lang w:val="en-US"/>
        </w:rPr>
        <w:t xml:space="preserve"> examin</w:t>
      </w:r>
      <w:r w:rsidR="008D3D13" w:rsidRPr="00A44D31">
        <w:rPr>
          <w:rFonts w:eastAsiaTheme="minorEastAsia"/>
          <w:lang w:val="en-US"/>
        </w:rPr>
        <w:t>e</w:t>
      </w:r>
      <w:r w:rsidR="00331431" w:rsidRPr="00A44D31">
        <w:rPr>
          <w:rFonts w:eastAsiaTheme="minorEastAsia"/>
          <w:lang w:val="en-US"/>
        </w:rPr>
        <w:t xml:space="preserve"> </w:t>
      </w:r>
      <w:r w:rsidR="009A6E6C">
        <w:rPr>
          <w:rFonts w:eastAsiaTheme="minorEastAsia"/>
          <w:lang w:val="en-US"/>
        </w:rPr>
        <w:t>the return generating mechanism</w:t>
      </w:r>
      <w:r w:rsidR="00816923" w:rsidRPr="00A44D31">
        <w:rPr>
          <w:rFonts w:eastAsiaTheme="minorEastAsia"/>
          <w:lang w:val="en-US"/>
        </w:rPr>
        <w:t xml:space="preserve"> within </w:t>
      </w:r>
      <w:r w:rsidR="00AD615F" w:rsidRPr="00A44D31">
        <w:rPr>
          <w:rFonts w:eastAsiaTheme="minorEastAsia"/>
          <w:lang w:val="en-US"/>
        </w:rPr>
        <w:t>the hedge fund</w:t>
      </w:r>
      <w:r w:rsidR="00816923" w:rsidRPr="00A44D31">
        <w:rPr>
          <w:rFonts w:eastAsiaTheme="minorEastAsia"/>
          <w:lang w:val="en-US"/>
        </w:rPr>
        <w:t xml:space="preserve"> market microstructure.</w:t>
      </w:r>
      <w:r w:rsidR="006C3A80" w:rsidRPr="00A44D31">
        <w:rPr>
          <w:rFonts w:eastAsiaTheme="minorEastAsia"/>
          <w:lang w:val="en-US"/>
        </w:rPr>
        <w:t xml:space="preserve"> For example</w:t>
      </w:r>
      <w:r w:rsidR="00D73852" w:rsidRPr="00A44D31">
        <w:rPr>
          <w:rFonts w:eastAsiaTheme="minorEastAsia"/>
          <w:lang w:val="en-US"/>
        </w:rPr>
        <w:t>,</w:t>
      </w:r>
      <w:r w:rsidR="006C3A80" w:rsidRPr="00A44D31">
        <w:rPr>
          <w:rFonts w:eastAsiaTheme="minorEastAsia"/>
          <w:lang w:val="en-US"/>
        </w:rPr>
        <w:t xml:space="preserve"> </w:t>
      </w:r>
      <w:r w:rsidR="00C66E5B">
        <w:rPr>
          <w:rFonts w:eastAsiaTheme="minorEastAsia"/>
          <w:lang w:val="en-US"/>
        </w:rPr>
        <w:t>the way</w:t>
      </w:r>
      <w:r w:rsidR="006C3A80" w:rsidRPr="00A44D31">
        <w:rPr>
          <w:rFonts w:eastAsiaTheme="minorEastAsia"/>
          <w:lang w:val="en-US"/>
        </w:rPr>
        <w:t xml:space="preserve"> that</w:t>
      </w:r>
      <w:r w:rsidR="00B8502C">
        <w:rPr>
          <w:rFonts w:eastAsiaTheme="minorEastAsia"/>
          <w:lang w:val="en-US"/>
        </w:rPr>
        <w:t xml:space="preserve"> the working processes in</w:t>
      </w:r>
      <w:r w:rsidR="006C3A80" w:rsidRPr="00A44D31">
        <w:rPr>
          <w:rFonts w:eastAsiaTheme="minorEastAsia"/>
          <w:lang w:val="en-US"/>
        </w:rPr>
        <w:t xml:space="preserve"> the hedge fund industry </w:t>
      </w:r>
      <w:r w:rsidR="00A379D9">
        <w:rPr>
          <w:rFonts w:eastAsiaTheme="minorEastAsia"/>
          <w:lang w:val="en-US"/>
        </w:rPr>
        <w:t xml:space="preserve">relate </w:t>
      </w:r>
      <w:r w:rsidR="0095732C">
        <w:rPr>
          <w:rFonts w:eastAsiaTheme="minorEastAsia"/>
          <w:lang w:val="en-US"/>
        </w:rPr>
        <w:t>to</w:t>
      </w:r>
      <w:r w:rsidR="00546599" w:rsidRPr="00A44D31">
        <w:rPr>
          <w:rFonts w:eastAsiaTheme="minorEastAsia"/>
          <w:lang w:val="en-US"/>
        </w:rPr>
        <w:t xml:space="preserve"> transaction costs, </w:t>
      </w:r>
      <w:r w:rsidR="007F14C6" w:rsidRPr="00A44D31">
        <w:rPr>
          <w:rFonts w:eastAsiaTheme="minorEastAsia"/>
          <w:lang w:val="en-US"/>
        </w:rPr>
        <w:t>quotes, volume</w:t>
      </w:r>
      <w:r w:rsidR="00DB5CF2">
        <w:rPr>
          <w:rFonts w:eastAsiaTheme="minorEastAsia"/>
          <w:lang w:val="en-US"/>
        </w:rPr>
        <w:t>s</w:t>
      </w:r>
      <w:r w:rsidR="007F14C6" w:rsidRPr="00A44D31">
        <w:rPr>
          <w:rFonts w:eastAsiaTheme="minorEastAsia"/>
          <w:lang w:val="en-US"/>
        </w:rPr>
        <w:t xml:space="preserve">, </w:t>
      </w:r>
      <w:r w:rsidR="00546599" w:rsidRPr="00A44D31">
        <w:rPr>
          <w:rFonts w:eastAsiaTheme="minorEastAsia"/>
          <w:lang w:val="en-US"/>
        </w:rPr>
        <w:t>prices</w:t>
      </w:r>
      <w:r w:rsidR="00923E48" w:rsidRPr="00A44D31">
        <w:rPr>
          <w:rFonts w:eastAsiaTheme="minorEastAsia"/>
          <w:lang w:val="en-US"/>
        </w:rPr>
        <w:t xml:space="preserve"> and</w:t>
      </w:r>
      <w:r w:rsidR="00546599" w:rsidRPr="00A44D31">
        <w:rPr>
          <w:rFonts w:eastAsiaTheme="minorEastAsia"/>
          <w:lang w:val="en-US"/>
        </w:rPr>
        <w:t xml:space="preserve"> trading behavior</w:t>
      </w:r>
      <w:r w:rsidR="008D3D13" w:rsidRPr="00A44D31">
        <w:rPr>
          <w:rFonts w:eastAsiaTheme="minorEastAsia"/>
          <w:lang w:val="en-US"/>
        </w:rPr>
        <w:t xml:space="preserve"> </w:t>
      </w:r>
      <w:r w:rsidR="008D3D13" w:rsidRPr="00A44D31">
        <w:rPr>
          <w:rFonts w:eastAsiaTheme="minorEastAsia"/>
          <w:lang w:val="en-US"/>
        </w:rPr>
        <w:lastRenderedPageBreak/>
        <w:t>need</w:t>
      </w:r>
      <w:r w:rsidR="0095732C">
        <w:rPr>
          <w:rFonts w:eastAsiaTheme="minorEastAsia"/>
          <w:lang w:val="en-US"/>
        </w:rPr>
        <w:t>s</w:t>
      </w:r>
      <w:r w:rsidR="008D3D13" w:rsidRPr="00A44D31">
        <w:rPr>
          <w:rFonts w:eastAsiaTheme="minorEastAsia"/>
          <w:lang w:val="en-US"/>
        </w:rPr>
        <w:t xml:space="preserve"> to be considered</w:t>
      </w:r>
      <w:r w:rsidR="00754C6A" w:rsidRPr="00A44D31">
        <w:rPr>
          <w:rFonts w:eastAsiaTheme="minorEastAsia"/>
          <w:lang w:val="en-US"/>
        </w:rPr>
        <w:t>. Those elements</w:t>
      </w:r>
      <w:r w:rsidR="00F91ADC">
        <w:rPr>
          <w:rFonts w:eastAsiaTheme="minorEastAsia"/>
          <w:lang w:val="en-US"/>
        </w:rPr>
        <w:t xml:space="preserve"> </w:t>
      </w:r>
      <w:r w:rsidR="00754C6A" w:rsidRPr="00A44D31">
        <w:rPr>
          <w:rFonts w:eastAsiaTheme="minorEastAsia"/>
          <w:lang w:val="en-US"/>
        </w:rPr>
        <w:t>have a</w:t>
      </w:r>
      <w:r w:rsidR="00635FF4">
        <w:rPr>
          <w:rFonts w:eastAsiaTheme="minorEastAsia"/>
          <w:lang w:val="en-US"/>
        </w:rPr>
        <w:t>n</w:t>
      </w:r>
      <w:r w:rsidR="00754C6A" w:rsidRPr="00A44D31">
        <w:rPr>
          <w:rFonts w:eastAsiaTheme="minorEastAsia"/>
          <w:lang w:val="en-US"/>
        </w:rPr>
        <w:t xml:space="preserve"> </w:t>
      </w:r>
      <w:r w:rsidR="00BE255F">
        <w:rPr>
          <w:rFonts w:eastAsiaTheme="minorEastAsia"/>
          <w:lang w:val="en-US"/>
        </w:rPr>
        <w:t>impact on hedge fund</w:t>
      </w:r>
      <w:r w:rsidR="0016025F" w:rsidRPr="00A44D31">
        <w:rPr>
          <w:rFonts w:eastAsiaTheme="minorEastAsia"/>
          <w:lang w:val="en-US"/>
        </w:rPr>
        <w:t xml:space="preserve"> exposures and returns.</w:t>
      </w:r>
      <w:r w:rsidR="00E35EB6">
        <w:rPr>
          <w:rFonts w:eastAsiaTheme="minorEastAsia"/>
          <w:lang w:val="en-US"/>
        </w:rPr>
        <w:t xml:space="preserve"> </w:t>
      </w:r>
    </w:p>
    <w:p w:rsidR="00F27251" w:rsidRPr="00FE097C" w:rsidRDefault="00C36A51" w:rsidP="00A61A5F">
      <w:pPr>
        <w:jc w:val="center"/>
        <w:rPr>
          <w:b/>
          <w:sz w:val="32"/>
          <w:lang w:val="en-US"/>
        </w:rPr>
      </w:pPr>
      <w:r w:rsidRPr="00FE097C">
        <w:rPr>
          <w:b/>
          <w:sz w:val="32"/>
          <w:lang w:val="en-US"/>
        </w:rPr>
        <w:t>References</w:t>
      </w:r>
    </w:p>
    <w:p w:rsidR="006F3559" w:rsidRPr="00FE097C" w:rsidRDefault="006F3559" w:rsidP="006F3559">
      <w:pPr>
        <w:rPr>
          <w:rFonts w:eastAsiaTheme="minorEastAsia"/>
          <w:lang w:val="en-US"/>
        </w:rPr>
      </w:pPr>
      <w:proofErr w:type="spellStart"/>
      <w:r w:rsidRPr="00FE097C">
        <w:rPr>
          <w:rFonts w:eastAsiaTheme="minorEastAsia"/>
          <w:lang w:val="en-US"/>
        </w:rPr>
        <w:t>Akay</w:t>
      </w:r>
      <w:proofErr w:type="spellEnd"/>
      <w:r w:rsidRPr="00FE097C">
        <w:rPr>
          <w:rFonts w:eastAsiaTheme="minorEastAsia"/>
          <w:lang w:val="en-US"/>
        </w:rPr>
        <w:t xml:space="preserve">, O., </w:t>
      </w:r>
      <w:proofErr w:type="spellStart"/>
      <w:r w:rsidRPr="00FE097C">
        <w:rPr>
          <w:rFonts w:eastAsiaTheme="minorEastAsia"/>
          <w:lang w:val="en-US"/>
        </w:rPr>
        <w:t>Senyuz</w:t>
      </w:r>
      <w:proofErr w:type="spellEnd"/>
      <w:r w:rsidRPr="00FE097C">
        <w:rPr>
          <w:rFonts w:eastAsiaTheme="minorEastAsia"/>
          <w:lang w:val="en-US"/>
        </w:rPr>
        <w:t xml:space="preserve">, Z., and </w:t>
      </w:r>
      <w:proofErr w:type="spellStart"/>
      <w:r w:rsidRPr="00FE097C">
        <w:rPr>
          <w:rFonts w:eastAsiaTheme="minorEastAsia"/>
          <w:lang w:val="en-US"/>
        </w:rPr>
        <w:t>Yoldas</w:t>
      </w:r>
      <w:proofErr w:type="spellEnd"/>
      <w:r w:rsidRPr="00FE097C">
        <w:rPr>
          <w:rFonts w:eastAsiaTheme="minorEastAsia"/>
          <w:lang w:val="en-US"/>
        </w:rPr>
        <w:t xml:space="preserve">, E. (2013). Hedge fund contagion and risk-adjusted returns: A Markov-switching dynamic factor model, </w:t>
      </w:r>
      <w:r w:rsidRPr="00FE097C">
        <w:rPr>
          <w:rFonts w:eastAsiaTheme="minorEastAsia"/>
          <w:i/>
          <w:lang w:val="en-US"/>
        </w:rPr>
        <w:t>Journal of Empirical Finance</w:t>
      </w:r>
      <w:r w:rsidRPr="00FE097C">
        <w:rPr>
          <w:rFonts w:eastAsiaTheme="minorEastAsia"/>
          <w:lang w:val="en-US"/>
        </w:rPr>
        <w:t>, 22</w:t>
      </w:r>
      <w:r w:rsidR="004C7F82" w:rsidRPr="00FE097C">
        <w:rPr>
          <w:rFonts w:eastAsiaTheme="minorEastAsia"/>
          <w:lang w:val="en-US"/>
        </w:rPr>
        <w:t>(1)</w:t>
      </w:r>
      <w:r w:rsidRPr="00FE097C">
        <w:rPr>
          <w:rFonts w:eastAsiaTheme="minorEastAsia"/>
          <w:lang w:val="en-US"/>
        </w:rPr>
        <w:t xml:space="preserve">, </w:t>
      </w:r>
      <w:r w:rsidR="00E903F7" w:rsidRPr="00FE097C">
        <w:rPr>
          <w:rFonts w:eastAsiaTheme="minorEastAsia"/>
          <w:lang w:val="en-US"/>
        </w:rPr>
        <w:t>pp.</w:t>
      </w:r>
      <w:r w:rsidRPr="00FE097C">
        <w:rPr>
          <w:rFonts w:eastAsiaTheme="minorEastAsia"/>
          <w:lang w:val="en-US"/>
        </w:rPr>
        <w:t>16-29.</w:t>
      </w:r>
    </w:p>
    <w:p w:rsidR="00D42AF3" w:rsidRPr="00E34E6E" w:rsidRDefault="00D42AF3" w:rsidP="00D42AF3">
      <w:pPr>
        <w:rPr>
          <w:rFonts w:eastAsiaTheme="minorEastAsia"/>
          <w:lang w:val="en-US"/>
        </w:rPr>
      </w:pPr>
      <w:r w:rsidRPr="00FE097C">
        <w:rPr>
          <w:rFonts w:eastAsiaTheme="minorEastAsia"/>
          <w:lang w:val="en-US"/>
        </w:rPr>
        <w:t xml:space="preserve">Agarwal, V., </w:t>
      </w:r>
      <w:proofErr w:type="spellStart"/>
      <w:r w:rsidRPr="00FE097C">
        <w:rPr>
          <w:rFonts w:eastAsiaTheme="minorEastAsia"/>
          <w:lang w:val="en-US"/>
        </w:rPr>
        <w:t>Arisoy</w:t>
      </w:r>
      <w:proofErr w:type="spellEnd"/>
      <w:r w:rsidRPr="00FE097C">
        <w:rPr>
          <w:rFonts w:eastAsiaTheme="minorEastAsia"/>
          <w:lang w:val="en-US"/>
        </w:rPr>
        <w:t xml:space="preserve">, E., and </w:t>
      </w:r>
      <w:proofErr w:type="spellStart"/>
      <w:r w:rsidRPr="00FE097C">
        <w:rPr>
          <w:rFonts w:eastAsiaTheme="minorEastAsia"/>
          <w:lang w:val="en-US"/>
        </w:rPr>
        <w:t>Naik</w:t>
      </w:r>
      <w:proofErr w:type="spellEnd"/>
      <w:r w:rsidRPr="00FE097C">
        <w:rPr>
          <w:rFonts w:eastAsiaTheme="minorEastAsia"/>
          <w:lang w:val="en-US"/>
        </w:rPr>
        <w:t>, N. (</w:t>
      </w:r>
      <w:r w:rsidRPr="00883C6D">
        <w:rPr>
          <w:rFonts w:eastAsiaTheme="minorEastAsia"/>
          <w:lang w:val="en-US"/>
        </w:rPr>
        <w:t>201</w:t>
      </w:r>
      <w:r w:rsidR="00ED3363" w:rsidRPr="00883C6D">
        <w:rPr>
          <w:rFonts w:eastAsiaTheme="minorEastAsia"/>
          <w:lang w:val="en-US"/>
        </w:rPr>
        <w:t>6</w:t>
      </w:r>
      <w:r w:rsidRPr="00883C6D">
        <w:rPr>
          <w:rFonts w:eastAsiaTheme="minorEastAsia"/>
          <w:lang w:val="en-US"/>
        </w:rPr>
        <w:t>)</w:t>
      </w:r>
      <w:r w:rsidRPr="00FE097C">
        <w:rPr>
          <w:rFonts w:eastAsiaTheme="minorEastAsia"/>
          <w:lang w:val="en-US"/>
        </w:rPr>
        <w:t>. Volatility of aggregate volatility a</w:t>
      </w:r>
      <w:r w:rsidR="00C635B9" w:rsidRPr="00FE097C">
        <w:rPr>
          <w:rFonts w:eastAsiaTheme="minorEastAsia"/>
          <w:lang w:val="en-US"/>
        </w:rPr>
        <w:t>nd hedge fund returns, [Online].</w:t>
      </w:r>
      <w:r w:rsidRPr="00FE097C">
        <w:rPr>
          <w:rFonts w:eastAsiaTheme="minorEastAsia"/>
          <w:lang w:val="en-US"/>
        </w:rPr>
        <w:t xml:space="preserve"> Available at http://papers.ssrn.com/sol3/papers.cfm?</w:t>
      </w:r>
      <w:r w:rsidRPr="00E34E6E">
        <w:rPr>
          <w:rFonts w:eastAsiaTheme="minorEastAsia"/>
          <w:lang w:val="en-US"/>
        </w:rPr>
        <w:t xml:space="preserve">abstract_id=2502352 [Accessed </w:t>
      </w:r>
      <w:r w:rsidR="00ED3363" w:rsidRPr="00E34E6E">
        <w:rPr>
          <w:rFonts w:eastAsiaTheme="minorEastAsia"/>
          <w:lang w:val="en-US"/>
        </w:rPr>
        <w:t>01</w:t>
      </w:r>
      <w:r w:rsidRPr="00E34E6E">
        <w:rPr>
          <w:rFonts w:eastAsiaTheme="minorEastAsia"/>
          <w:lang w:val="en-US"/>
        </w:rPr>
        <w:t xml:space="preserve"> </w:t>
      </w:r>
      <w:r w:rsidR="00ED3363" w:rsidRPr="00E34E6E">
        <w:rPr>
          <w:rFonts w:eastAsiaTheme="minorEastAsia"/>
          <w:lang w:val="en-US"/>
        </w:rPr>
        <w:t>June</w:t>
      </w:r>
      <w:r w:rsidRPr="00E34E6E">
        <w:rPr>
          <w:rFonts w:eastAsiaTheme="minorEastAsia"/>
          <w:lang w:val="en-US"/>
        </w:rPr>
        <w:t xml:space="preserve"> 201</w:t>
      </w:r>
      <w:r w:rsidR="00ED3363" w:rsidRPr="00E34E6E">
        <w:rPr>
          <w:rFonts w:eastAsiaTheme="minorEastAsia"/>
          <w:lang w:val="en-US"/>
        </w:rPr>
        <w:t>6</w:t>
      </w:r>
      <w:r w:rsidRPr="00E34E6E">
        <w:rPr>
          <w:rFonts w:eastAsiaTheme="minorEastAsia"/>
          <w:lang w:val="en-US"/>
        </w:rPr>
        <w:t>].</w:t>
      </w:r>
    </w:p>
    <w:p w:rsidR="003D6B9D" w:rsidRPr="00E34E6E" w:rsidRDefault="003D6B9D" w:rsidP="003D6B9D">
      <w:pPr>
        <w:rPr>
          <w:rFonts w:eastAsiaTheme="minorEastAsia"/>
          <w:lang w:val="en-US"/>
        </w:rPr>
      </w:pPr>
      <w:r w:rsidRPr="00E34E6E">
        <w:rPr>
          <w:rFonts w:eastAsiaTheme="minorEastAsia"/>
          <w:lang w:val="en-US"/>
        </w:rPr>
        <w:t xml:space="preserve">Agarwal, V., Jiang, W., Tang, Y. and Yang, B. (2013). Uncovering Hedge Fund Skill from the Portfolio Holdings They Hide, </w:t>
      </w:r>
      <w:r w:rsidRPr="00E34E6E">
        <w:rPr>
          <w:rFonts w:eastAsiaTheme="minorEastAsia"/>
          <w:i/>
          <w:lang w:val="en-US"/>
        </w:rPr>
        <w:t>The Journal of Finance</w:t>
      </w:r>
      <w:r w:rsidRPr="00E34E6E">
        <w:rPr>
          <w:rFonts w:eastAsiaTheme="minorEastAsia"/>
          <w:lang w:val="en-US"/>
        </w:rPr>
        <w:t xml:space="preserve">, 68(2), pp.739-780. </w:t>
      </w:r>
    </w:p>
    <w:p w:rsidR="00280FED" w:rsidRPr="00280FED" w:rsidRDefault="00280FED" w:rsidP="008A3090">
      <w:pPr>
        <w:rPr>
          <w:rFonts w:eastAsiaTheme="minorEastAsia"/>
          <w:color w:val="7030A0"/>
          <w:lang w:val="en-US"/>
        </w:rPr>
      </w:pPr>
      <w:r w:rsidRPr="00280FED">
        <w:rPr>
          <w:rFonts w:eastAsiaTheme="minorEastAsia"/>
          <w:color w:val="7030A0"/>
          <w:lang w:val="en-US"/>
        </w:rPr>
        <w:t xml:space="preserve">Agarwal V., </w:t>
      </w:r>
      <w:proofErr w:type="spellStart"/>
      <w:r w:rsidRPr="00280FED">
        <w:rPr>
          <w:rFonts w:eastAsiaTheme="minorEastAsia"/>
          <w:color w:val="7030A0"/>
          <w:lang w:val="en-US"/>
        </w:rPr>
        <w:t>Mullally</w:t>
      </w:r>
      <w:proofErr w:type="spellEnd"/>
      <w:r w:rsidRPr="00280FED">
        <w:rPr>
          <w:rFonts w:eastAsiaTheme="minorEastAsia"/>
          <w:color w:val="7030A0"/>
          <w:lang w:val="en-US"/>
        </w:rPr>
        <w:t xml:space="preserve">, K., and </w:t>
      </w:r>
      <w:proofErr w:type="spellStart"/>
      <w:r w:rsidRPr="00280FED">
        <w:rPr>
          <w:rFonts w:eastAsiaTheme="minorEastAsia"/>
          <w:color w:val="7030A0"/>
          <w:lang w:val="en-US"/>
        </w:rPr>
        <w:t>Naik</w:t>
      </w:r>
      <w:proofErr w:type="spellEnd"/>
      <w:r w:rsidRPr="00280FED">
        <w:rPr>
          <w:rFonts w:eastAsiaTheme="minorEastAsia"/>
          <w:color w:val="7030A0"/>
          <w:lang w:val="en-US"/>
        </w:rPr>
        <w:t xml:space="preserve">, N. (2015). Hedge funds: A survey of the academic literature, </w:t>
      </w:r>
      <w:r w:rsidRPr="00280FED">
        <w:rPr>
          <w:rFonts w:eastAsiaTheme="minorEastAsia"/>
          <w:i/>
          <w:color w:val="7030A0"/>
          <w:lang w:val="en-US"/>
        </w:rPr>
        <w:t>Foundations and Trends in Finance</w:t>
      </w:r>
      <w:r w:rsidRPr="00280FED">
        <w:rPr>
          <w:rFonts w:eastAsiaTheme="minorEastAsia"/>
          <w:color w:val="7030A0"/>
          <w:lang w:val="en-US"/>
        </w:rPr>
        <w:t>, Publishers Inc. pp.1-63.</w:t>
      </w:r>
    </w:p>
    <w:p w:rsidR="004552EA" w:rsidRPr="00FE097C" w:rsidRDefault="004552EA" w:rsidP="008A3090">
      <w:r w:rsidRPr="00FE097C">
        <w:t xml:space="preserve">Agarwal, V. and </w:t>
      </w:r>
      <w:proofErr w:type="spellStart"/>
      <w:r w:rsidRPr="00FE097C">
        <w:t>Naik</w:t>
      </w:r>
      <w:proofErr w:type="spellEnd"/>
      <w:r w:rsidRPr="00FE097C">
        <w:t>, N. (2000). Performance evaluation of hedge funds with option-based and bu</w:t>
      </w:r>
      <w:r w:rsidR="008A3090" w:rsidRPr="00FE097C">
        <w:t>y-and-hold strategies, [Online].</w:t>
      </w:r>
      <w:r w:rsidRPr="00FE097C">
        <w:t xml:space="preserve"> Available at http://papers.ssrn.com/sol3/papers.cfm?abstract_id=238708 [Accessed 15 October 2014].</w:t>
      </w:r>
      <w:r w:rsidR="00DD5190" w:rsidRPr="00FE097C">
        <w:t xml:space="preserve"> </w:t>
      </w:r>
      <w:r w:rsidR="00306125" w:rsidRPr="00FE097C">
        <w:t xml:space="preserve"> </w:t>
      </w:r>
    </w:p>
    <w:p w:rsidR="005A5038" w:rsidRPr="00FE097C" w:rsidRDefault="005A5038" w:rsidP="005A5038">
      <w:pPr>
        <w:jc w:val="both"/>
      </w:pPr>
      <w:r w:rsidRPr="00FE097C">
        <w:t>Agarwal, V.</w:t>
      </w:r>
      <w:r w:rsidR="00923E48" w:rsidRPr="00FE097C">
        <w:t xml:space="preserve"> and</w:t>
      </w:r>
      <w:r w:rsidR="003D23FE" w:rsidRPr="00FE097C">
        <w:t xml:space="preserve"> </w:t>
      </w:r>
      <w:proofErr w:type="spellStart"/>
      <w:r w:rsidR="003D23FE" w:rsidRPr="00FE097C">
        <w:t>Naik</w:t>
      </w:r>
      <w:proofErr w:type="spellEnd"/>
      <w:r w:rsidR="003D23FE" w:rsidRPr="00FE097C">
        <w:t>, N. (2004). Risks and portfolio decisions i</w:t>
      </w:r>
      <w:r w:rsidRPr="00FE097C">
        <w:t xml:space="preserve">nvolving </w:t>
      </w:r>
      <w:r w:rsidR="003D23FE" w:rsidRPr="00FE097C">
        <w:t>h</w:t>
      </w:r>
      <w:r w:rsidRPr="00FE097C">
        <w:t xml:space="preserve">edge </w:t>
      </w:r>
      <w:r w:rsidR="003D23FE" w:rsidRPr="00FE097C">
        <w:t>f</w:t>
      </w:r>
      <w:r w:rsidRPr="00FE097C">
        <w:t xml:space="preserve">unds. </w:t>
      </w:r>
      <w:r w:rsidRPr="00FE097C">
        <w:rPr>
          <w:i/>
        </w:rPr>
        <w:t>The Review of Financial Studies</w:t>
      </w:r>
      <w:r w:rsidRPr="00FE097C">
        <w:t xml:space="preserve">, </w:t>
      </w:r>
      <w:r w:rsidR="00BC41CA" w:rsidRPr="00FE097C">
        <w:t xml:space="preserve">17(1), </w:t>
      </w:r>
      <w:r w:rsidRPr="00FE097C">
        <w:t>pp.63-98.</w:t>
      </w:r>
    </w:p>
    <w:p w:rsidR="00C77B30" w:rsidRPr="00FE097C" w:rsidRDefault="00C77B30" w:rsidP="00C77B30">
      <w:proofErr w:type="spellStart"/>
      <w:r w:rsidRPr="00FE097C">
        <w:t>Amenc</w:t>
      </w:r>
      <w:proofErr w:type="spellEnd"/>
      <w:r w:rsidRPr="00FE097C">
        <w:t xml:space="preserve">, N. and </w:t>
      </w:r>
      <w:proofErr w:type="spellStart"/>
      <w:r w:rsidRPr="00FE097C">
        <w:t>Martellini</w:t>
      </w:r>
      <w:proofErr w:type="spellEnd"/>
      <w:r w:rsidRPr="00FE097C">
        <w:t xml:space="preserve">, L. and Faff, R. (2003). Desperately seeking pure style indices, </w:t>
      </w:r>
      <w:r w:rsidRPr="00FE097C">
        <w:rPr>
          <w:i/>
        </w:rPr>
        <w:t>EDHEC-MISYS Risk and Asset Management Research</w:t>
      </w:r>
      <w:r w:rsidR="007022AE" w:rsidRPr="00FE097C">
        <w:rPr>
          <w:i/>
        </w:rPr>
        <w:t xml:space="preserve"> Centre</w:t>
      </w:r>
      <w:r w:rsidR="007022AE" w:rsidRPr="00FE097C">
        <w:t xml:space="preserve">, [Online]. Available at </w:t>
      </w:r>
      <w:r w:rsidR="00635740" w:rsidRPr="00FE097C">
        <w:t>http://citeseerx.ist.psu.edu/viewdoc/download?doi=10.1.1.114.4819&amp;rep=rep1&amp;type=</w:t>
      </w:r>
      <w:proofErr w:type="gramStart"/>
      <w:r w:rsidR="00635740" w:rsidRPr="00FE097C">
        <w:t xml:space="preserve">pdf  </w:t>
      </w:r>
      <w:r w:rsidRPr="00FE097C">
        <w:t>[</w:t>
      </w:r>
      <w:proofErr w:type="gramEnd"/>
      <w:r w:rsidRPr="00FE097C">
        <w:t xml:space="preserve">Accessed 28 </w:t>
      </w:r>
      <w:r w:rsidR="00635740" w:rsidRPr="00FE097C">
        <w:t>October</w:t>
      </w:r>
      <w:r w:rsidRPr="00FE097C">
        <w:t xml:space="preserve"> 201</w:t>
      </w:r>
      <w:r w:rsidR="00635740" w:rsidRPr="00FE097C">
        <w:t>4</w:t>
      </w:r>
      <w:r w:rsidRPr="00FE097C">
        <w:t>].</w:t>
      </w:r>
    </w:p>
    <w:p w:rsidR="005A721B" w:rsidRPr="00FE097C" w:rsidRDefault="005A721B" w:rsidP="005A721B">
      <w:proofErr w:type="spellStart"/>
      <w:r w:rsidRPr="00FE097C">
        <w:lastRenderedPageBreak/>
        <w:t>Amenc</w:t>
      </w:r>
      <w:proofErr w:type="spellEnd"/>
      <w:r w:rsidRPr="00FE097C">
        <w:t xml:space="preserve">, </w:t>
      </w:r>
      <w:r w:rsidR="00472C32" w:rsidRPr="00FE097C">
        <w:t xml:space="preserve">N., </w:t>
      </w:r>
      <w:proofErr w:type="spellStart"/>
      <w:r w:rsidRPr="00FE097C">
        <w:t>Sfeir</w:t>
      </w:r>
      <w:proofErr w:type="spellEnd"/>
      <w:r w:rsidRPr="00FE097C">
        <w:t xml:space="preserve">, </w:t>
      </w:r>
      <w:r w:rsidR="00472C32" w:rsidRPr="00FE097C">
        <w:t xml:space="preserve">D. </w:t>
      </w:r>
      <w:r w:rsidRPr="00FE097C">
        <w:t xml:space="preserve">and </w:t>
      </w:r>
      <w:proofErr w:type="spellStart"/>
      <w:r w:rsidRPr="00FE097C">
        <w:t>Martellini</w:t>
      </w:r>
      <w:proofErr w:type="spellEnd"/>
      <w:r w:rsidR="00472C32" w:rsidRPr="00FE097C">
        <w:t>, L.</w:t>
      </w:r>
      <w:r w:rsidRPr="00FE097C">
        <w:t xml:space="preserve"> (2002)</w:t>
      </w:r>
      <w:r w:rsidR="00525961" w:rsidRPr="00FE097C">
        <w:t>. An Integrated f</w:t>
      </w:r>
      <w:r w:rsidRPr="00FE097C">
        <w:t xml:space="preserve">ramework for </w:t>
      </w:r>
      <w:r w:rsidR="00525961" w:rsidRPr="00FE097C">
        <w:t>style a</w:t>
      </w:r>
      <w:r w:rsidRPr="00FE097C">
        <w:t xml:space="preserve">nalysis and </w:t>
      </w:r>
      <w:r w:rsidR="00525961" w:rsidRPr="00FE097C">
        <w:t>p</w:t>
      </w:r>
      <w:r w:rsidRPr="00FE097C">
        <w:t xml:space="preserve">erformance </w:t>
      </w:r>
      <w:r w:rsidR="00525961" w:rsidRPr="00FE097C">
        <w:t>m</w:t>
      </w:r>
      <w:r w:rsidRPr="00FE097C">
        <w:t>easurement, [Online]. Available at http://www.edhec-risk.com/edhec_publications/RISKReview1048588983078116286/attachments/edhec_perf_</w:t>
      </w:r>
      <w:proofErr w:type="gramStart"/>
      <w:r w:rsidRPr="00FE097C">
        <w:t>analysis.pdf  [</w:t>
      </w:r>
      <w:proofErr w:type="gramEnd"/>
      <w:r w:rsidRPr="00FE097C">
        <w:t>Accessed 01 October 2014].</w:t>
      </w:r>
    </w:p>
    <w:p w:rsidR="0079534C" w:rsidRPr="00FE097C" w:rsidRDefault="0079534C" w:rsidP="00E43353">
      <w:proofErr w:type="spellStart"/>
      <w:r w:rsidRPr="00FE097C">
        <w:t>Amihud</w:t>
      </w:r>
      <w:proofErr w:type="spellEnd"/>
      <w:r w:rsidRPr="00FE097C">
        <w:t xml:space="preserve">, Y. (2002). Illiquidity and stock returns: cross-section and time series effects, </w:t>
      </w:r>
      <w:r w:rsidRPr="00FE097C">
        <w:rPr>
          <w:i/>
        </w:rPr>
        <w:t>Journal of Financial Markets</w:t>
      </w:r>
      <w:r w:rsidRPr="00FE097C">
        <w:t xml:space="preserve">, </w:t>
      </w:r>
      <w:r w:rsidR="000061B5" w:rsidRPr="00FE097C">
        <w:t>5</w:t>
      </w:r>
      <w:r w:rsidR="0020551E" w:rsidRPr="00FE097C">
        <w:t>(1), pp.</w:t>
      </w:r>
      <w:r w:rsidR="000061B5" w:rsidRPr="00FE097C">
        <w:t>31-56.</w:t>
      </w:r>
      <w:r w:rsidRPr="00FE097C">
        <w:t xml:space="preserve"> </w:t>
      </w:r>
    </w:p>
    <w:p w:rsidR="00FA5850" w:rsidRPr="00FE097C" w:rsidRDefault="00FA5850" w:rsidP="00E43353">
      <w:proofErr w:type="spellStart"/>
      <w:r w:rsidRPr="00FE097C">
        <w:rPr>
          <w:rFonts w:eastAsiaTheme="minorEastAsia"/>
          <w:lang w:val="en-US"/>
        </w:rPr>
        <w:t>Avramov</w:t>
      </w:r>
      <w:proofErr w:type="spellEnd"/>
      <w:r w:rsidRPr="00FE097C">
        <w:rPr>
          <w:rFonts w:eastAsiaTheme="minorEastAsia"/>
          <w:lang w:val="en-US"/>
        </w:rPr>
        <w:t xml:space="preserve">, D., </w:t>
      </w:r>
      <w:proofErr w:type="spellStart"/>
      <w:r w:rsidRPr="00FE097C">
        <w:rPr>
          <w:rFonts w:eastAsiaTheme="minorEastAsia"/>
          <w:lang w:val="en-US"/>
        </w:rPr>
        <w:t>Barras</w:t>
      </w:r>
      <w:proofErr w:type="spellEnd"/>
      <w:r w:rsidRPr="00FE097C">
        <w:rPr>
          <w:rFonts w:eastAsiaTheme="minorEastAsia"/>
          <w:lang w:val="en-US"/>
        </w:rPr>
        <w:t xml:space="preserve">, L., and </w:t>
      </w:r>
      <w:proofErr w:type="spellStart"/>
      <w:r w:rsidRPr="00FE097C">
        <w:rPr>
          <w:rFonts w:eastAsiaTheme="minorEastAsia"/>
          <w:lang w:val="en-US"/>
        </w:rPr>
        <w:t>Kosowski</w:t>
      </w:r>
      <w:proofErr w:type="spellEnd"/>
      <w:r w:rsidRPr="00FE097C">
        <w:rPr>
          <w:rFonts w:eastAsiaTheme="minorEastAsia"/>
          <w:lang w:val="en-US"/>
        </w:rPr>
        <w:t xml:space="preserve">, R. (2013). Hedge fund return predictability under the magnifying glass, </w:t>
      </w:r>
      <w:r w:rsidRPr="00FE097C">
        <w:rPr>
          <w:rFonts w:eastAsiaTheme="minorEastAsia"/>
          <w:i/>
          <w:lang w:val="en-US"/>
        </w:rPr>
        <w:t>Journal of Financial and Quantitative Analysis</w:t>
      </w:r>
      <w:r w:rsidRPr="00FE097C">
        <w:rPr>
          <w:rFonts w:eastAsiaTheme="minorEastAsia"/>
          <w:lang w:val="en-US"/>
        </w:rPr>
        <w:t>, 48(4), pp.1057-1083.</w:t>
      </w:r>
    </w:p>
    <w:p w:rsidR="005A5038" w:rsidRPr="00FE097C" w:rsidRDefault="005A5038" w:rsidP="00B526F4">
      <w:r w:rsidRPr="00FE097C">
        <w:t>Bali, T., Brown, S.</w:t>
      </w:r>
      <w:r w:rsidR="00923E48" w:rsidRPr="00FE097C">
        <w:t xml:space="preserve"> and</w:t>
      </w:r>
      <w:r w:rsidRPr="00FE097C">
        <w:t xml:space="preserve"> </w:t>
      </w:r>
      <w:proofErr w:type="spellStart"/>
      <w:r w:rsidRPr="00FE097C">
        <w:t>Caglayan</w:t>
      </w:r>
      <w:proofErr w:type="spellEnd"/>
      <w:r w:rsidRPr="00FE097C">
        <w:t>, M. (2011). Do hedge funds’ exposures to risk factors predict their future returns</w:t>
      </w:r>
      <w:proofErr w:type="gramStart"/>
      <w:r w:rsidRPr="00FE097C">
        <w:t>?,</w:t>
      </w:r>
      <w:proofErr w:type="gramEnd"/>
      <w:r w:rsidRPr="00FE097C">
        <w:t xml:space="preserve"> </w:t>
      </w:r>
      <w:r w:rsidRPr="00FE097C">
        <w:rPr>
          <w:i/>
        </w:rPr>
        <w:t>Journal of Financial Economics</w:t>
      </w:r>
      <w:r w:rsidRPr="00FE097C">
        <w:t>, 101</w:t>
      </w:r>
      <w:r w:rsidR="00E43353" w:rsidRPr="00FE097C">
        <w:t>(1)</w:t>
      </w:r>
      <w:r w:rsidRPr="00FE097C">
        <w:t>, pp.36-68.</w:t>
      </w:r>
    </w:p>
    <w:p w:rsidR="00746E7F" w:rsidRPr="00FE097C" w:rsidRDefault="00746E7F" w:rsidP="00746E7F">
      <w:pPr>
        <w:rPr>
          <w:rFonts w:eastAsiaTheme="minorEastAsia"/>
          <w:lang w:val="en-US"/>
        </w:rPr>
      </w:pPr>
      <w:r w:rsidRPr="00FE097C">
        <w:rPr>
          <w:rFonts w:eastAsiaTheme="minorEastAsia"/>
          <w:lang w:val="en-US"/>
        </w:rPr>
        <w:t xml:space="preserve">Bali, T., Brown, S., and </w:t>
      </w:r>
      <w:proofErr w:type="spellStart"/>
      <w:r w:rsidRPr="00FE097C">
        <w:rPr>
          <w:rFonts w:eastAsiaTheme="minorEastAsia"/>
          <w:lang w:val="en-US"/>
        </w:rPr>
        <w:t>Caglayan</w:t>
      </w:r>
      <w:proofErr w:type="spellEnd"/>
      <w:r w:rsidRPr="00FE097C">
        <w:rPr>
          <w:rFonts w:eastAsiaTheme="minorEastAsia"/>
          <w:lang w:val="en-US"/>
        </w:rPr>
        <w:t xml:space="preserve">, M. (2012). Systematic risk and the cross section of hedge fund returns, </w:t>
      </w:r>
      <w:r w:rsidRPr="00FE097C">
        <w:rPr>
          <w:rFonts w:eastAsiaTheme="minorEastAsia"/>
          <w:i/>
          <w:lang w:val="en-US"/>
        </w:rPr>
        <w:t>Journal of Financial Economics</w:t>
      </w:r>
      <w:r w:rsidRPr="00FE097C">
        <w:rPr>
          <w:rFonts w:eastAsiaTheme="minorEastAsia"/>
          <w:lang w:val="en-US"/>
        </w:rPr>
        <w:t xml:space="preserve">, 106(1), pp.114-131. </w:t>
      </w:r>
    </w:p>
    <w:p w:rsidR="009D3EB7" w:rsidRPr="00FE097C" w:rsidRDefault="009D3EB7" w:rsidP="009D3EB7">
      <w:pPr>
        <w:rPr>
          <w:rFonts w:eastAsiaTheme="minorEastAsia"/>
          <w:lang w:val="en-US"/>
        </w:rPr>
      </w:pPr>
      <w:r w:rsidRPr="00FE097C">
        <w:rPr>
          <w:rFonts w:eastAsiaTheme="minorEastAsia"/>
          <w:lang w:val="en-US"/>
        </w:rPr>
        <w:t xml:space="preserve">Bali, T., Brown, S., and </w:t>
      </w:r>
      <w:proofErr w:type="spellStart"/>
      <w:r w:rsidRPr="00FE097C">
        <w:rPr>
          <w:rFonts w:eastAsiaTheme="minorEastAsia"/>
          <w:lang w:val="en-US"/>
        </w:rPr>
        <w:t>Caglayan</w:t>
      </w:r>
      <w:proofErr w:type="spellEnd"/>
      <w:r w:rsidRPr="00FE097C">
        <w:rPr>
          <w:rFonts w:eastAsiaTheme="minorEastAsia"/>
          <w:lang w:val="en-US"/>
        </w:rPr>
        <w:t xml:space="preserve">, M. (2014). Macroeconomic risk and hedge fund returns, </w:t>
      </w:r>
      <w:r w:rsidRPr="00FE097C">
        <w:rPr>
          <w:rFonts w:eastAsiaTheme="minorEastAsia"/>
          <w:i/>
          <w:lang w:val="en-US"/>
        </w:rPr>
        <w:t>Journal of Financial Economics</w:t>
      </w:r>
      <w:r w:rsidRPr="00FE097C">
        <w:rPr>
          <w:rFonts w:eastAsiaTheme="minorEastAsia"/>
          <w:lang w:val="en-US"/>
        </w:rPr>
        <w:t xml:space="preserve">, 114(1), pp.1-19. </w:t>
      </w:r>
    </w:p>
    <w:p w:rsidR="00B21AB5" w:rsidRPr="00FE097C" w:rsidRDefault="00B21AB5" w:rsidP="00E7160A">
      <w:proofErr w:type="spellStart"/>
      <w:r w:rsidRPr="00FE097C">
        <w:t>Banz</w:t>
      </w:r>
      <w:proofErr w:type="spellEnd"/>
      <w:r w:rsidRPr="00FE097C">
        <w:t xml:space="preserve">, R.W. (1981). The relationship between return and market value of common stocks, </w:t>
      </w:r>
      <w:r w:rsidRPr="00FE097C">
        <w:rPr>
          <w:i/>
        </w:rPr>
        <w:t>Journal of Financial Economics</w:t>
      </w:r>
      <w:r w:rsidRPr="00FE097C">
        <w:t>, 9</w:t>
      </w:r>
      <w:r w:rsidR="00F82A36" w:rsidRPr="00FE097C">
        <w:t>(1)</w:t>
      </w:r>
      <w:r w:rsidRPr="00FE097C">
        <w:t xml:space="preserve">, </w:t>
      </w:r>
      <w:r w:rsidR="000A7103" w:rsidRPr="00FE097C">
        <w:t>pp.</w:t>
      </w:r>
      <w:r w:rsidRPr="00FE097C">
        <w:t>3-18.</w:t>
      </w:r>
    </w:p>
    <w:p w:rsidR="003A1B54" w:rsidRPr="00FE097C" w:rsidRDefault="003A1B54" w:rsidP="00313580">
      <w:proofErr w:type="spellStart"/>
      <w:r w:rsidRPr="00FE097C">
        <w:t>Basu</w:t>
      </w:r>
      <w:proofErr w:type="spellEnd"/>
      <w:r w:rsidRPr="00FE097C">
        <w:t>, S. (1983). The relationship between earnings yield, market value</w:t>
      </w:r>
      <w:r w:rsidR="00923E48" w:rsidRPr="00FE097C">
        <w:t xml:space="preserve"> and</w:t>
      </w:r>
      <w:r w:rsidRPr="00FE097C">
        <w:t xml:space="preserve"> the return for NYSE common stocks: further evidence</w:t>
      </w:r>
      <w:r w:rsidRPr="00FE097C">
        <w:rPr>
          <w:i/>
        </w:rPr>
        <w:t>, Journal of Financial Economics</w:t>
      </w:r>
      <w:r w:rsidRPr="00FE097C">
        <w:t>, 12</w:t>
      </w:r>
      <w:r w:rsidR="00DF7DC1" w:rsidRPr="00FE097C">
        <w:t>(1)</w:t>
      </w:r>
      <w:r w:rsidRPr="00FE097C">
        <w:t>, pp.129-156.</w:t>
      </w:r>
    </w:p>
    <w:p w:rsidR="00F045B5" w:rsidRPr="00FE097C" w:rsidRDefault="00F045B5" w:rsidP="00C3184A">
      <w:r w:rsidRPr="00FE097C">
        <w:t xml:space="preserve">Bhandari, L.X. (1988). Debt equity ratio and expected common stock returns: empirical evidence, </w:t>
      </w:r>
      <w:r w:rsidRPr="00FE097C">
        <w:rPr>
          <w:i/>
        </w:rPr>
        <w:t>Journal of Finance</w:t>
      </w:r>
      <w:r w:rsidRPr="00FE097C">
        <w:t xml:space="preserve">, </w:t>
      </w:r>
      <w:r w:rsidR="00DF7265" w:rsidRPr="00FE097C">
        <w:t>48(2)</w:t>
      </w:r>
      <w:r w:rsidRPr="00FE097C">
        <w:t>, pp.507-528.</w:t>
      </w:r>
    </w:p>
    <w:p w:rsidR="00F01827" w:rsidRPr="00FE097C" w:rsidRDefault="00F01827" w:rsidP="00E82FC5">
      <w:proofErr w:type="spellStart"/>
      <w:r w:rsidRPr="00FE097C">
        <w:t>Billio</w:t>
      </w:r>
      <w:proofErr w:type="spellEnd"/>
      <w:r w:rsidRPr="00FE097C">
        <w:t xml:space="preserve">, M., </w:t>
      </w:r>
      <w:proofErr w:type="spellStart"/>
      <w:r w:rsidRPr="00FE097C">
        <w:t>Getmansky</w:t>
      </w:r>
      <w:proofErr w:type="spellEnd"/>
      <w:r w:rsidRPr="00FE097C">
        <w:t>, M.</w:t>
      </w:r>
      <w:r w:rsidR="00923E48" w:rsidRPr="00FE097C">
        <w:t xml:space="preserve"> and</w:t>
      </w:r>
      <w:r w:rsidRPr="00FE097C">
        <w:t xml:space="preserve"> </w:t>
      </w:r>
      <w:proofErr w:type="spellStart"/>
      <w:r w:rsidRPr="00FE097C">
        <w:t>Pelizzon</w:t>
      </w:r>
      <w:proofErr w:type="spellEnd"/>
      <w:r w:rsidRPr="00FE097C">
        <w:t xml:space="preserve">, L. (2012). Dynamic risk exposures in hedge funds, </w:t>
      </w:r>
      <w:r w:rsidRPr="00FE097C">
        <w:rPr>
          <w:i/>
        </w:rPr>
        <w:t>Computational Statistics and Data Analysis</w:t>
      </w:r>
      <w:r w:rsidRPr="00FE097C">
        <w:t>, 56</w:t>
      </w:r>
      <w:r w:rsidR="004E5AC1" w:rsidRPr="00FE097C">
        <w:t>(11)</w:t>
      </w:r>
      <w:r w:rsidRPr="00FE097C">
        <w:t xml:space="preserve">, </w:t>
      </w:r>
      <w:r w:rsidR="004E5AC1" w:rsidRPr="00FE097C">
        <w:t>pp.</w:t>
      </w:r>
      <w:r w:rsidRPr="00FE097C">
        <w:t>3517-3532.</w:t>
      </w:r>
    </w:p>
    <w:p w:rsidR="00FB1252" w:rsidRPr="00FE097C" w:rsidRDefault="00FB1252" w:rsidP="009A25E6">
      <w:r w:rsidRPr="00FE097C">
        <w:lastRenderedPageBreak/>
        <w:t>Black, F. and S</w:t>
      </w:r>
      <w:r w:rsidR="00DD5A9E" w:rsidRPr="00FE097C">
        <w:t>choles, M. (1973). The p</w:t>
      </w:r>
      <w:r w:rsidR="00EF08DF" w:rsidRPr="00FE097C">
        <w:t>ricing o</w:t>
      </w:r>
      <w:r w:rsidRPr="00FE097C">
        <w:t xml:space="preserve">ptions and </w:t>
      </w:r>
      <w:r w:rsidR="00EF08DF" w:rsidRPr="00FE097C">
        <w:t>c</w:t>
      </w:r>
      <w:r w:rsidRPr="00FE097C">
        <w:t xml:space="preserve">orporate </w:t>
      </w:r>
      <w:r w:rsidR="00EF08DF" w:rsidRPr="00FE097C">
        <w:t>l</w:t>
      </w:r>
      <w:r w:rsidRPr="00FE097C">
        <w:t xml:space="preserve">iabilities, </w:t>
      </w:r>
      <w:r w:rsidRPr="00FE097C">
        <w:rPr>
          <w:i/>
        </w:rPr>
        <w:t>The Journal of Political Economy</w:t>
      </w:r>
      <w:r w:rsidRPr="00FE097C">
        <w:t xml:space="preserve">, 17(1), </w:t>
      </w:r>
      <w:r w:rsidR="006351BD" w:rsidRPr="00FE097C">
        <w:t>pp.</w:t>
      </w:r>
      <w:r w:rsidRPr="00FE097C">
        <w:t>637-654.</w:t>
      </w:r>
    </w:p>
    <w:p w:rsidR="00C71667" w:rsidRPr="00FE097C" w:rsidRDefault="00C71667" w:rsidP="00C71667">
      <w:pPr>
        <w:rPr>
          <w:rFonts w:eastAsiaTheme="minorEastAsia"/>
          <w:lang w:val="en-US"/>
        </w:rPr>
      </w:pPr>
      <w:proofErr w:type="spellStart"/>
      <w:r w:rsidRPr="00FE097C">
        <w:rPr>
          <w:rFonts w:eastAsiaTheme="minorEastAsia"/>
          <w:lang w:val="en-US"/>
        </w:rPr>
        <w:t>Bollen</w:t>
      </w:r>
      <w:proofErr w:type="spellEnd"/>
      <w:r w:rsidRPr="00FE097C">
        <w:rPr>
          <w:rFonts w:eastAsiaTheme="minorEastAsia"/>
          <w:lang w:val="en-US"/>
        </w:rPr>
        <w:t xml:space="preserve">, N. and Whaley, R. (2009). Hedge fund risk dynamics: Implications for performance appraisal, </w:t>
      </w:r>
      <w:r w:rsidRPr="00FE097C">
        <w:rPr>
          <w:rFonts w:eastAsiaTheme="minorEastAsia"/>
          <w:i/>
          <w:lang w:val="en-US"/>
        </w:rPr>
        <w:t>The Journal of Finance</w:t>
      </w:r>
      <w:r w:rsidRPr="00FE097C">
        <w:rPr>
          <w:rFonts w:eastAsiaTheme="minorEastAsia"/>
          <w:lang w:val="en-US"/>
        </w:rPr>
        <w:t>, 66(2), pp.985-1035.</w:t>
      </w:r>
    </w:p>
    <w:p w:rsidR="00181303" w:rsidRPr="00FE097C" w:rsidRDefault="00181303" w:rsidP="00FC2A6A">
      <w:r w:rsidRPr="00FE097C">
        <w:rPr>
          <w:lang w:val="en-US"/>
        </w:rPr>
        <w:t>B</w:t>
      </w:r>
      <w:r w:rsidR="00DD5A9E" w:rsidRPr="00FE097C">
        <w:rPr>
          <w:lang w:val="en-US"/>
        </w:rPr>
        <w:t>rown, R. (2012). Framework for hedge fund return and risk a</w:t>
      </w:r>
      <w:r w:rsidRPr="00FE097C">
        <w:rPr>
          <w:lang w:val="en-US"/>
        </w:rPr>
        <w:t xml:space="preserve">ttribution, </w:t>
      </w:r>
      <w:r w:rsidRPr="00FE097C">
        <w:rPr>
          <w:i/>
          <w:lang w:val="en-US"/>
        </w:rPr>
        <w:t>The Journal of Investing</w:t>
      </w:r>
      <w:r w:rsidRPr="00FE097C">
        <w:rPr>
          <w:lang w:val="en-US"/>
        </w:rPr>
        <w:t xml:space="preserve">, </w:t>
      </w:r>
      <w:r w:rsidR="00C414E9" w:rsidRPr="00FE097C">
        <w:rPr>
          <w:lang w:val="en-US"/>
        </w:rPr>
        <w:t>21(4)</w:t>
      </w:r>
      <w:r w:rsidRPr="00FE097C">
        <w:rPr>
          <w:lang w:val="en-US"/>
        </w:rPr>
        <w:t>, pp.8-23.</w:t>
      </w:r>
    </w:p>
    <w:p w:rsidR="008016EC" w:rsidRPr="00FE097C" w:rsidRDefault="008016EC" w:rsidP="002E478C">
      <w:proofErr w:type="spellStart"/>
      <w:r w:rsidRPr="00FE097C">
        <w:t>Capocci</w:t>
      </w:r>
      <w:proofErr w:type="spellEnd"/>
      <w:r w:rsidRPr="00FE097C">
        <w:t xml:space="preserve">, D. and </w:t>
      </w:r>
      <w:proofErr w:type="spellStart"/>
      <w:r w:rsidRPr="00FE097C">
        <w:t>Hubner</w:t>
      </w:r>
      <w:proofErr w:type="spellEnd"/>
      <w:r w:rsidRPr="00FE097C">
        <w:t xml:space="preserve">, G. (2004). Analysis of hedge fund performance, </w:t>
      </w:r>
      <w:r w:rsidRPr="00FE097C">
        <w:rPr>
          <w:i/>
        </w:rPr>
        <w:t>Journal of Empirical Finance</w:t>
      </w:r>
      <w:r w:rsidRPr="00FE097C">
        <w:t>, 11</w:t>
      </w:r>
      <w:r w:rsidR="00DA474D" w:rsidRPr="00FE097C">
        <w:t>(1)</w:t>
      </w:r>
      <w:r w:rsidRPr="00FE097C">
        <w:t>, pp.55-89.</w:t>
      </w:r>
    </w:p>
    <w:p w:rsidR="00037619" w:rsidRPr="00FE097C" w:rsidRDefault="00925B23" w:rsidP="00CE6EF3">
      <w:proofErr w:type="spellStart"/>
      <w:r w:rsidRPr="00FE097C">
        <w:t>Capocci</w:t>
      </w:r>
      <w:proofErr w:type="spellEnd"/>
      <w:r w:rsidRPr="00FE097C">
        <w:t>, D. (2007). An analysis of hedge fund s</w:t>
      </w:r>
      <w:r w:rsidR="00037619" w:rsidRPr="00FE097C">
        <w:t xml:space="preserve">trategies, </w:t>
      </w:r>
      <w:r w:rsidR="00037619" w:rsidRPr="00FE097C">
        <w:rPr>
          <w:i/>
        </w:rPr>
        <w:t xml:space="preserve">PhD </w:t>
      </w:r>
      <w:r w:rsidR="00794945" w:rsidRPr="00FE097C">
        <w:rPr>
          <w:i/>
        </w:rPr>
        <w:t>Thesis</w:t>
      </w:r>
      <w:r w:rsidR="00037619" w:rsidRPr="00FE097C">
        <w:rPr>
          <w:i/>
        </w:rPr>
        <w:t xml:space="preserve"> </w:t>
      </w:r>
      <w:r w:rsidR="00794945" w:rsidRPr="00FE097C">
        <w:rPr>
          <w:i/>
        </w:rPr>
        <w:t>Dissertation</w:t>
      </w:r>
      <w:r w:rsidR="00C414E9" w:rsidRPr="00FE097C">
        <w:rPr>
          <w:i/>
        </w:rPr>
        <w:t xml:space="preserve">, </w:t>
      </w:r>
      <w:r w:rsidR="00C414E9" w:rsidRPr="00FE097C">
        <w:t>[Online]. Available at http://www.opalesque.com/files/Thesis.pdf [Accessed 30 October 2014].</w:t>
      </w:r>
      <w:r w:rsidR="00C414E9" w:rsidRPr="00FE097C">
        <w:rPr>
          <w:i/>
        </w:rPr>
        <w:t xml:space="preserve"> </w:t>
      </w:r>
    </w:p>
    <w:p w:rsidR="005A5038" w:rsidRPr="00FE097C" w:rsidRDefault="005A5038" w:rsidP="006402F3">
      <w:proofErr w:type="spellStart"/>
      <w:r w:rsidRPr="00FE097C">
        <w:t>Carhart</w:t>
      </w:r>
      <w:proofErr w:type="spellEnd"/>
      <w:r w:rsidRPr="00FE097C">
        <w:t xml:space="preserve">, M. (1997). On persistence in mutual fund performance, </w:t>
      </w:r>
      <w:r w:rsidRPr="00FE097C">
        <w:rPr>
          <w:i/>
        </w:rPr>
        <w:t>Journal of Finance</w:t>
      </w:r>
      <w:r w:rsidRPr="00FE097C">
        <w:t>, 52</w:t>
      </w:r>
      <w:r w:rsidR="006402F3" w:rsidRPr="00FE097C">
        <w:t>(1)</w:t>
      </w:r>
      <w:r w:rsidRPr="00FE097C">
        <w:t xml:space="preserve">, </w:t>
      </w:r>
      <w:r w:rsidR="006402F3" w:rsidRPr="00FE097C">
        <w:t>pp.</w:t>
      </w:r>
      <w:r w:rsidRPr="00FE097C">
        <w:t>57-82.</w:t>
      </w:r>
    </w:p>
    <w:p w:rsidR="00BF29BA" w:rsidRPr="00FE097C" w:rsidRDefault="005A5038" w:rsidP="005D1AD4">
      <w:pPr>
        <w:rPr>
          <w:i/>
        </w:rPr>
      </w:pPr>
      <w:r w:rsidRPr="00FE097C">
        <w:t>Christiansen, C., Madsen, P.</w:t>
      </w:r>
      <w:r w:rsidR="00923E48" w:rsidRPr="00FE097C">
        <w:t xml:space="preserve"> and</w:t>
      </w:r>
      <w:r w:rsidR="00321D88" w:rsidRPr="00FE097C">
        <w:t xml:space="preserve"> Christiansen, M. (2003). A quantitative analysis of hedge fund style and p</w:t>
      </w:r>
      <w:r w:rsidRPr="00FE097C">
        <w:t xml:space="preserve">erformance, </w:t>
      </w:r>
      <w:r w:rsidR="00BF29BA" w:rsidRPr="00FE097C">
        <w:t>[Online</w:t>
      </w:r>
      <w:r w:rsidR="005032B8" w:rsidRPr="00FE097C">
        <w:t>].</w:t>
      </w:r>
      <w:r w:rsidR="00BF29BA" w:rsidRPr="00FE097C">
        <w:t xml:space="preserve"> Available at http://pure.au.dk//portal/files/12742/D03_5</w:t>
      </w:r>
      <w:r w:rsidR="00BF29BA" w:rsidRPr="00FE097C">
        <w:rPr>
          <w:i/>
        </w:rPr>
        <w:t xml:space="preserve"> </w:t>
      </w:r>
      <w:r w:rsidR="00BF29BA" w:rsidRPr="00FE097C">
        <w:t>[Accessed 30 October 2014].</w:t>
      </w:r>
      <w:r w:rsidR="00BF29BA" w:rsidRPr="00FE097C">
        <w:rPr>
          <w:i/>
        </w:rPr>
        <w:t xml:space="preserve"> </w:t>
      </w:r>
    </w:p>
    <w:p w:rsidR="00EA4969" w:rsidRPr="00FE097C" w:rsidRDefault="00EA4969" w:rsidP="00EA4969">
      <w:r w:rsidRPr="00FE097C">
        <w:t xml:space="preserve">Chung, R., Fung, S., and Patel, J. (2015). Alpha-beta-churn of equity picks by institutional investors and the robust superiority of hedge funds, </w:t>
      </w:r>
      <w:r w:rsidRPr="00FE097C">
        <w:rPr>
          <w:i/>
        </w:rPr>
        <w:t>Review of Quantitative Finance and Accounting</w:t>
      </w:r>
      <w:r w:rsidRPr="00FE097C">
        <w:t xml:space="preserve">, 45(1), pp.363-405. </w:t>
      </w:r>
    </w:p>
    <w:p w:rsidR="005A5038" w:rsidRPr="00FE097C" w:rsidRDefault="005A5038" w:rsidP="009F568D">
      <w:r w:rsidRPr="00FE097C">
        <w:t xml:space="preserve">Connor, G. (1995). The </w:t>
      </w:r>
      <w:r w:rsidR="00695C22" w:rsidRPr="00FE097C">
        <w:t>t</w:t>
      </w:r>
      <w:r w:rsidRPr="00FE097C">
        <w:t xml:space="preserve">hree </w:t>
      </w:r>
      <w:r w:rsidR="00695C22" w:rsidRPr="00FE097C">
        <w:t>t</w:t>
      </w:r>
      <w:r w:rsidRPr="00FE097C">
        <w:t xml:space="preserve">ypes of </w:t>
      </w:r>
      <w:r w:rsidR="00695C22" w:rsidRPr="00FE097C">
        <w:t>f</w:t>
      </w:r>
      <w:r w:rsidRPr="00FE097C">
        <w:t xml:space="preserve">actor </w:t>
      </w:r>
      <w:r w:rsidR="00695C22" w:rsidRPr="00FE097C">
        <w:t>m</w:t>
      </w:r>
      <w:r w:rsidRPr="00FE097C">
        <w:t xml:space="preserve">odels: A </w:t>
      </w:r>
      <w:r w:rsidR="00695C22" w:rsidRPr="00FE097C">
        <w:t>c</w:t>
      </w:r>
      <w:r w:rsidRPr="00FE097C">
        <w:t xml:space="preserve">omparison of </w:t>
      </w:r>
      <w:r w:rsidR="00695C22" w:rsidRPr="00FE097C">
        <w:t>t</w:t>
      </w:r>
      <w:r w:rsidRPr="00FE097C">
        <w:t xml:space="preserve">heir </w:t>
      </w:r>
      <w:r w:rsidR="00695C22" w:rsidRPr="00FE097C">
        <w:t>e</w:t>
      </w:r>
      <w:r w:rsidRPr="00FE097C">
        <w:t xml:space="preserve">xplanatory </w:t>
      </w:r>
      <w:r w:rsidR="00695C22" w:rsidRPr="00FE097C">
        <w:t>p</w:t>
      </w:r>
      <w:r w:rsidRPr="00FE097C">
        <w:t xml:space="preserve">ower, </w:t>
      </w:r>
      <w:r w:rsidRPr="00FE097C">
        <w:rPr>
          <w:i/>
        </w:rPr>
        <w:t>Financial Analysts Journal</w:t>
      </w:r>
      <w:r w:rsidRPr="00FE097C">
        <w:t xml:space="preserve">, </w:t>
      </w:r>
      <w:r w:rsidR="00C34D36" w:rsidRPr="00FE097C">
        <w:t xml:space="preserve">51(3), </w:t>
      </w:r>
      <w:r w:rsidRPr="00FE097C">
        <w:t xml:space="preserve">pp.42-46.  </w:t>
      </w:r>
    </w:p>
    <w:p w:rsidR="00E1573A" w:rsidRPr="00FE097C" w:rsidRDefault="00E1573A" w:rsidP="00E1573A">
      <w:r w:rsidRPr="00FE097C">
        <w:t xml:space="preserve">Duarte, J, </w:t>
      </w:r>
      <w:proofErr w:type="spellStart"/>
      <w:r w:rsidRPr="00FE097C">
        <w:t>Longstaff</w:t>
      </w:r>
      <w:proofErr w:type="spellEnd"/>
      <w:r w:rsidRPr="00FE097C">
        <w:t xml:space="preserve">, F., and Yu, F. (2007). Risk and </w:t>
      </w:r>
      <w:r w:rsidR="000D0F19" w:rsidRPr="00FE097C">
        <w:t>r</w:t>
      </w:r>
      <w:r w:rsidRPr="00FE097C">
        <w:t xml:space="preserve">eturn in </w:t>
      </w:r>
      <w:r w:rsidR="000D0F19" w:rsidRPr="00FE097C">
        <w:t>f</w:t>
      </w:r>
      <w:r w:rsidRPr="00FE097C">
        <w:t>ixed-</w:t>
      </w:r>
      <w:r w:rsidR="000D0F19" w:rsidRPr="00FE097C">
        <w:t>i</w:t>
      </w:r>
      <w:r w:rsidRPr="00FE097C">
        <w:t xml:space="preserve">ncome </w:t>
      </w:r>
      <w:r w:rsidR="000D0F19" w:rsidRPr="00FE097C">
        <w:t>a</w:t>
      </w:r>
      <w:r w:rsidRPr="00FE097C">
        <w:t xml:space="preserve">rbitrage: Nickels in </w:t>
      </w:r>
      <w:r w:rsidR="000D0F19" w:rsidRPr="00FE097C">
        <w:t>f</w:t>
      </w:r>
      <w:r w:rsidRPr="00FE097C">
        <w:t xml:space="preserve">ront of </w:t>
      </w:r>
      <w:r w:rsidR="000D0F19" w:rsidRPr="00FE097C">
        <w:t>s</w:t>
      </w:r>
      <w:r w:rsidRPr="00FE097C">
        <w:t>teamroller</w:t>
      </w:r>
      <w:proofErr w:type="gramStart"/>
      <w:r w:rsidRPr="00FE097C">
        <w:t>?,</w:t>
      </w:r>
      <w:proofErr w:type="gramEnd"/>
      <w:r w:rsidRPr="00FE097C">
        <w:t xml:space="preserve"> </w:t>
      </w:r>
      <w:r w:rsidRPr="00FE097C">
        <w:rPr>
          <w:i/>
        </w:rPr>
        <w:t>Review of Financial Studies</w:t>
      </w:r>
      <w:r w:rsidRPr="00FE097C">
        <w:t>, 20(1), pp.770-811.</w:t>
      </w:r>
    </w:p>
    <w:p w:rsidR="005A5038" w:rsidRPr="00FE097C" w:rsidRDefault="005A5038" w:rsidP="00A86196">
      <w:pPr>
        <w:rPr>
          <w:lang w:val="en-US"/>
        </w:rPr>
      </w:pPr>
      <w:proofErr w:type="spellStart"/>
      <w:r w:rsidRPr="00FE097C">
        <w:rPr>
          <w:lang w:val="en-US"/>
        </w:rPr>
        <w:lastRenderedPageBreak/>
        <w:t>Fama</w:t>
      </w:r>
      <w:proofErr w:type="spellEnd"/>
      <w:r w:rsidR="00472C32" w:rsidRPr="00FE097C">
        <w:rPr>
          <w:lang w:val="en-US"/>
        </w:rPr>
        <w:t>,</w:t>
      </w:r>
      <w:r w:rsidRPr="00FE097C">
        <w:rPr>
          <w:lang w:val="en-US"/>
        </w:rPr>
        <w:t xml:space="preserve"> </w:t>
      </w:r>
      <w:r w:rsidR="00744297" w:rsidRPr="00FE097C">
        <w:rPr>
          <w:lang w:val="en-US"/>
        </w:rPr>
        <w:t>E</w:t>
      </w:r>
      <w:r w:rsidR="00472C32" w:rsidRPr="00FE097C">
        <w:rPr>
          <w:lang w:val="en-US"/>
        </w:rPr>
        <w:t>.</w:t>
      </w:r>
      <w:r w:rsidR="00744297" w:rsidRPr="00FE097C">
        <w:rPr>
          <w:lang w:val="en-US"/>
        </w:rPr>
        <w:t xml:space="preserve"> </w:t>
      </w:r>
      <w:r w:rsidRPr="00FE097C">
        <w:rPr>
          <w:lang w:val="en-US"/>
        </w:rPr>
        <w:t>and French</w:t>
      </w:r>
      <w:r w:rsidR="00472C32" w:rsidRPr="00FE097C">
        <w:rPr>
          <w:lang w:val="en-US"/>
        </w:rPr>
        <w:t>,</w:t>
      </w:r>
      <w:r w:rsidRPr="00FE097C">
        <w:rPr>
          <w:lang w:val="en-US"/>
        </w:rPr>
        <w:t xml:space="preserve"> </w:t>
      </w:r>
      <w:r w:rsidR="00744297" w:rsidRPr="00FE097C">
        <w:rPr>
          <w:lang w:val="en-US"/>
        </w:rPr>
        <w:t>K</w:t>
      </w:r>
      <w:r w:rsidR="00472C32" w:rsidRPr="00FE097C">
        <w:rPr>
          <w:lang w:val="en-US"/>
        </w:rPr>
        <w:t>.</w:t>
      </w:r>
      <w:r w:rsidR="00744297" w:rsidRPr="00FE097C">
        <w:rPr>
          <w:lang w:val="en-US"/>
        </w:rPr>
        <w:t xml:space="preserve"> </w:t>
      </w:r>
      <w:r w:rsidR="00E557CB" w:rsidRPr="00FE097C">
        <w:rPr>
          <w:lang w:val="en-US"/>
        </w:rPr>
        <w:t>(1993). Common risk factors in the returns of stocks and b</w:t>
      </w:r>
      <w:r w:rsidRPr="00FE097C">
        <w:rPr>
          <w:lang w:val="en-US"/>
        </w:rPr>
        <w:t xml:space="preserve">onds, </w:t>
      </w:r>
      <w:r w:rsidRPr="00FE097C">
        <w:rPr>
          <w:i/>
          <w:lang w:val="en-US"/>
        </w:rPr>
        <w:t>Journal of Financial Economics</w:t>
      </w:r>
      <w:r w:rsidRPr="00FE097C">
        <w:rPr>
          <w:lang w:val="en-US"/>
        </w:rPr>
        <w:t xml:space="preserve">, </w:t>
      </w:r>
      <w:r w:rsidR="004E650E" w:rsidRPr="00FE097C">
        <w:rPr>
          <w:lang w:val="en-US"/>
        </w:rPr>
        <w:t>33</w:t>
      </w:r>
      <w:r w:rsidR="00226AA3" w:rsidRPr="00FE097C">
        <w:rPr>
          <w:lang w:val="en-US"/>
        </w:rPr>
        <w:t>(1)</w:t>
      </w:r>
      <w:r w:rsidR="004E650E" w:rsidRPr="00FE097C">
        <w:rPr>
          <w:lang w:val="en-US"/>
        </w:rPr>
        <w:t xml:space="preserve">, </w:t>
      </w:r>
      <w:r w:rsidRPr="00FE097C">
        <w:rPr>
          <w:lang w:val="en-US"/>
        </w:rPr>
        <w:t>pp</w:t>
      </w:r>
      <w:r w:rsidR="009A1CA6" w:rsidRPr="00FE097C">
        <w:rPr>
          <w:lang w:val="en-US"/>
        </w:rPr>
        <w:t>.3-56.</w:t>
      </w:r>
    </w:p>
    <w:p w:rsidR="008E466C" w:rsidRPr="00FE097C" w:rsidRDefault="008E466C" w:rsidP="00382834">
      <w:pPr>
        <w:rPr>
          <w:lang w:val="en-US"/>
        </w:rPr>
      </w:pPr>
      <w:proofErr w:type="spellStart"/>
      <w:r w:rsidRPr="00FE097C">
        <w:rPr>
          <w:lang w:val="en-US"/>
        </w:rPr>
        <w:t>Fama</w:t>
      </w:r>
      <w:proofErr w:type="spellEnd"/>
      <w:r w:rsidRPr="00FE097C">
        <w:rPr>
          <w:lang w:val="en-US"/>
        </w:rPr>
        <w:t>, E. and French, K. (1998).</w:t>
      </w:r>
      <w:r w:rsidR="001D0933" w:rsidRPr="00FE097C">
        <w:rPr>
          <w:lang w:val="en-US"/>
        </w:rPr>
        <w:t xml:space="preserve"> Value versus growth: The international e</w:t>
      </w:r>
      <w:r w:rsidRPr="00FE097C">
        <w:rPr>
          <w:lang w:val="en-US"/>
        </w:rPr>
        <w:t xml:space="preserve">vidence, </w:t>
      </w:r>
      <w:r w:rsidRPr="00FE097C">
        <w:rPr>
          <w:i/>
          <w:lang w:val="en-US"/>
        </w:rPr>
        <w:t>The Journal of Finance</w:t>
      </w:r>
      <w:r w:rsidRPr="00FE097C">
        <w:rPr>
          <w:lang w:val="en-US"/>
        </w:rPr>
        <w:t xml:space="preserve">, </w:t>
      </w:r>
      <w:r w:rsidR="009B5008" w:rsidRPr="00FE097C">
        <w:rPr>
          <w:lang w:val="en-US"/>
        </w:rPr>
        <w:t>13(6)</w:t>
      </w:r>
      <w:r w:rsidRPr="00FE097C">
        <w:rPr>
          <w:lang w:val="en-US"/>
        </w:rPr>
        <w:t>, pp.1975-1999.</w:t>
      </w:r>
    </w:p>
    <w:p w:rsidR="00472C32" w:rsidRPr="00FE097C" w:rsidRDefault="00472C32" w:rsidP="008A4D6B">
      <w:pPr>
        <w:rPr>
          <w:lang w:val="en-US"/>
        </w:rPr>
      </w:pPr>
      <w:proofErr w:type="spellStart"/>
      <w:r w:rsidRPr="00FE097C">
        <w:rPr>
          <w:lang w:val="en-US"/>
        </w:rPr>
        <w:t>Ferson</w:t>
      </w:r>
      <w:proofErr w:type="spellEnd"/>
      <w:r w:rsidRPr="00FE097C">
        <w:rPr>
          <w:lang w:val="en-US"/>
        </w:rPr>
        <w:t>, W.</w:t>
      </w:r>
      <w:r w:rsidR="00923E48" w:rsidRPr="00FE097C">
        <w:rPr>
          <w:lang w:val="en-US"/>
        </w:rPr>
        <w:t xml:space="preserve"> and</w:t>
      </w:r>
      <w:r w:rsidRPr="00FE097C">
        <w:rPr>
          <w:lang w:val="en-US"/>
        </w:rPr>
        <w:t xml:space="preserve"> </w:t>
      </w:r>
      <w:proofErr w:type="spellStart"/>
      <w:r w:rsidRPr="00FE097C">
        <w:rPr>
          <w:lang w:val="en-US"/>
        </w:rPr>
        <w:t>Schadt</w:t>
      </w:r>
      <w:proofErr w:type="spellEnd"/>
      <w:r w:rsidRPr="00FE097C">
        <w:rPr>
          <w:lang w:val="en-US"/>
        </w:rPr>
        <w:t xml:space="preserve">, R. (1996). Measuring fund strategy and performance in changing economic conditions, </w:t>
      </w:r>
      <w:r w:rsidRPr="00FE097C">
        <w:rPr>
          <w:i/>
          <w:lang w:val="en-US"/>
        </w:rPr>
        <w:t>Journal of Finance</w:t>
      </w:r>
      <w:r w:rsidRPr="00FE097C">
        <w:rPr>
          <w:lang w:val="en-US"/>
        </w:rPr>
        <w:t>, 51</w:t>
      </w:r>
      <w:r w:rsidR="00E2347F" w:rsidRPr="00FE097C">
        <w:rPr>
          <w:lang w:val="en-US"/>
        </w:rPr>
        <w:t>(2)</w:t>
      </w:r>
      <w:r w:rsidRPr="00FE097C">
        <w:rPr>
          <w:lang w:val="en-US"/>
        </w:rPr>
        <w:t>, pp. 425-461.</w:t>
      </w:r>
    </w:p>
    <w:p w:rsidR="00196F47" w:rsidRPr="00FE097C" w:rsidRDefault="00196F47" w:rsidP="00196F47">
      <w:r w:rsidRPr="00FE097C">
        <w:t>Fung, W. a</w:t>
      </w:r>
      <w:r w:rsidR="006B3488" w:rsidRPr="00FE097C">
        <w:t>nd Hsieh, D. (1997), Empirical c</w:t>
      </w:r>
      <w:r w:rsidRPr="00FE097C">
        <w:t xml:space="preserve">haracteristics of </w:t>
      </w:r>
      <w:r w:rsidR="006B3488" w:rsidRPr="00FE097C">
        <w:t>d</w:t>
      </w:r>
      <w:r w:rsidRPr="00FE097C">
        <w:t xml:space="preserve">ynamic </w:t>
      </w:r>
      <w:r w:rsidR="006B3488" w:rsidRPr="00FE097C">
        <w:t>t</w:t>
      </w:r>
      <w:r w:rsidRPr="00FE097C">
        <w:t xml:space="preserve">rading </w:t>
      </w:r>
      <w:r w:rsidR="006B3488" w:rsidRPr="00FE097C">
        <w:t>s</w:t>
      </w:r>
      <w:r w:rsidRPr="00FE097C">
        <w:t xml:space="preserve">trategies: The </w:t>
      </w:r>
      <w:r w:rsidR="006B3488" w:rsidRPr="00FE097C">
        <w:t>c</w:t>
      </w:r>
      <w:r w:rsidRPr="00FE097C">
        <w:t xml:space="preserve">ase of </w:t>
      </w:r>
      <w:r w:rsidR="006B3488" w:rsidRPr="00FE097C">
        <w:t>h</w:t>
      </w:r>
      <w:r w:rsidRPr="00FE097C">
        <w:t xml:space="preserve">edge </w:t>
      </w:r>
      <w:r w:rsidR="006B3488" w:rsidRPr="00FE097C">
        <w:t>f</w:t>
      </w:r>
      <w:r w:rsidRPr="00FE097C">
        <w:t xml:space="preserve">unds, </w:t>
      </w:r>
      <w:r w:rsidRPr="00FE097C">
        <w:rPr>
          <w:i/>
        </w:rPr>
        <w:t>The Review of Financial Studies</w:t>
      </w:r>
      <w:r w:rsidRPr="00FE097C">
        <w:t>, 10(2), 275-302.</w:t>
      </w:r>
    </w:p>
    <w:p w:rsidR="005A5038" w:rsidRPr="00FE097C" w:rsidRDefault="00B909D3" w:rsidP="00843150">
      <w:pPr>
        <w:rPr>
          <w:lang w:val="en-US"/>
        </w:rPr>
      </w:pPr>
      <w:r w:rsidRPr="00FE097C">
        <w:rPr>
          <w:lang w:val="en-US"/>
        </w:rPr>
        <w:t xml:space="preserve">Fung, W. </w:t>
      </w:r>
      <w:r w:rsidR="002B1477" w:rsidRPr="00FE097C">
        <w:rPr>
          <w:lang w:val="en-US"/>
        </w:rPr>
        <w:t>and Hsieh, D. (2001</w:t>
      </w:r>
      <w:r w:rsidR="00843150" w:rsidRPr="00FE097C">
        <w:rPr>
          <w:lang w:val="en-US"/>
        </w:rPr>
        <w:t>). The risk in hedge fund s</w:t>
      </w:r>
      <w:r w:rsidR="005A5038" w:rsidRPr="00FE097C">
        <w:rPr>
          <w:lang w:val="en-US"/>
        </w:rPr>
        <w:t xml:space="preserve">trategies: Theory and </w:t>
      </w:r>
      <w:r w:rsidR="00843150" w:rsidRPr="00FE097C">
        <w:rPr>
          <w:lang w:val="en-US"/>
        </w:rPr>
        <w:t>e</w:t>
      </w:r>
      <w:r w:rsidR="005A5038" w:rsidRPr="00FE097C">
        <w:rPr>
          <w:lang w:val="en-US"/>
        </w:rPr>
        <w:t xml:space="preserve">vidence from </w:t>
      </w:r>
      <w:r w:rsidR="00843150" w:rsidRPr="00FE097C">
        <w:rPr>
          <w:lang w:val="en-US"/>
        </w:rPr>
        <w:t>t</w:t>
      </w:r>
      <w:r w:rsidR="005A5038" w:rsidRPr="00FE097C">
        <w:rPr>
          <w:lang w:val="en-US"/>
        </w:rPr>
        <w:t xml:space="preserve">rend </w:t>
      </w:r>
      <w:r w:rsidR="00843150" w:rsidRPr="00FE097C">
        <w:rPr>
          <w:lang w:val="en-US"/>
        </w:rPr>
        <w:t>f</w:t>
      </w:r>
      <w:r w:rsidR="005A5038" w:rsidRPr="00FE097C">
        <w:rPr>
          <w:lang w:val="en-US"/>
        </w:rPr>
        <w:t xml:space="preserve">ollowers, </w:t>
      </w:r>
      <w:r w:rsidR="005A5038" w:rsidRPr="00FE097C">
        <w:rPr>
          <w:i/>
          <w:lang w:val="en-US"/>
        </w:rPr>
        <w:t>The Review of Financial Studies</w:t>
      </w:r>
      <w:r w:rsidR="005A5038" w:rsidRPr="00FE097C">
        <w:rPr>
          <w:lang w:val="en-US"/>
        </w:rPr>
        <w:t xml:space="preserve">, </w:t>
      </w:r>
      <w:r w:rsidR="00120326" w:rsidRPr="00FE097C">
        <w:rPr>
          <w:lang w:val="en-US"/>
        </w:rPr>
        <w:t>14(2)</w:t>
      </w:r>
      <w:r w:rsidR="005A5038" w:rsidRPr="00FE097C">
        <w:rPr>
          <w:lang w:val="en-US"/>
        </w:rPr>
        <w:t xml:space="preserve">, pp. 313-341. </w:t>
      </w:r>
    </w:p>
    <w:p w:rsidR="00780694" w:rsidRPr="00FE097C" w:rsidRDefault="00780694" w:rsidP="007F53A9">
      <w:proofErr w:type="gramStart"/>
      <w:r w:rsidRPr="00FE097C">
        <w:t>Fung ,</w:t>
      </w:r>
      <w:proofErr w:type="gramEnd"/>
      <w:r w:rsidRPr="00FE097C">
        <w:t xml:space="preserve"> W. and Hsieh, D. (2002</w:t>
      </w:r>
      <w:r w:rsidR="00A057C9" w:rsidRPr="00FE097C">
        <w:t>a</w:t>
      </w:r>
      <w:r w:rsidR="00433B8E" w:rsidRPr="00FE097C">
        <w:t>). Asset-based style f</w:t>
      </w:r>
      <w:r w:rsidRPr="00FE097C">
        <w:t xml:space="preserve">actors for </w:t>
      </w:r>
      <w:r w:rsidR="00433B8E" w:rsidRPr="00FE097C">
        <w:t>h</w:t>
      </w:r>
      <w:r w:rsidRPr="00FE097C">
        <w:t xml:space="preserve">edge </w:t>
      </w:r>
      <w:r w:rsidR="00433B8E" w:rsidRPr="00FE097C">
        <w:t>f</w:t>
      </w:r>
      <w:r w:rsidRPr="00FE097C">
        <w:t xml:space="preserve">unds, </w:t>
      </w:r>
      <w:r w:rsidRPr="00FE097C">
        <w:rPr>
          <w:i/>
        </w:rPr>
        <w:t>Financial Analysts Journal</w:t>
      </w:r>
      <w:r w:rsidRPr="00FE097C">
        <w:t xml:space="preserve">, </w:t>
      </w:r>
      <w:r w:rsidR="00120326" w:rsidRPr="00FE097C">
        <w:t xml:space="preserve">58(5), </w:t>
      </w:r>
      <w:r w:rsidR="00433B8E" w:rsidRPr="00FE097C">
        <w:t>pp.</w:t>
      </w:r>
      <w:r w:rsidRPr="00FE097C">
        <w:t>16-27.</w:t>
      </w:r>
    </w:p>
    <w:p w:rsidR="009670A7" w:rsidRPr="00FE097C" w:rsidRDefault="009670A7" w:rsidP="004B5087">
      <w:proofErr w:type="gramStart"/>
      <w:r w:rsidRPr="00FE097C">
        <w:t>Fung ,</w:t>
      </w:r>
      <w:proofErr w:type="gramEnd"/>
      <w:r w:rsidRPr="00FE097C">
        <w:t xml:space="preserve"> W. and Hsieh, D. (2002b). Risk in fixed income hedge fund styles, </w:t>
      </w:r>
      <w:r w:rsidRPr="00FE097C">
        <w:rPr>
          <w:i/>
        </w:rPr>
        <w:t>Journal of Financial Intermediate</w:t>
      </w:r>
      <w:r w:rsidRPr="00FE097C">
        <w:t>, 12(1), pp.6-27.</w:t>
      </w:r>
    </w:p>
    <w:p w:rsidR="009670A7" w:rsidRPr="00FE097C" w:rsidRDefault="009670A7" w:rsidP="004B5087">
      <w:proofErr w:type="gramStart"/>
      <w:r w:rsidRPr="00FE097C">
        <w:t>Fung ,</w:t>
      </w:r>
      <w:proofErr w:type="gramEnd"/>
      <w:r w:rsidRPr="00FE097C">
        <w:t xml:space="preserve"> W. and Hsieh, D. (2002c). </w:t>
      </w:r>
      <w:r w:rsidR="001C3473" w:rsidRPr="00FE097C">
        <w:t xml:space="preserve">Extracting portable alphas from equity long-short hedge funds, </w:t>
      </w:r>
      <w:r w:rsidR="001C3473" w:rsidRPr="00FE097C">
        <w:rPr>
          <w:i/>
        </w:rPr>
        <w:t>Journal of Investment Management</w:t>
      </w:r>
      <w:r w:rsidR="001C3473" w:rsidRPr="00FE097C">
        <w:t>, 2(1), pp.57-75.</w:t>
      </w:r>
    </w:p>
    <w:p w:rsidR="004B5087" w:rsidRPr="00FE097C" w:rsidRDefault="004B5087" w:rsidP="004B5087">
      <w:r w:rsidRPr="00FE097C">
        <w:t>Fung, W. and Hs</w:t>
      </w:r>
      <w:r w:rsidR="001C5743" w:rsidRPr="00FE097C">
        <w:t>ieh, D. (2004). Hedge fund b</w:t>
      </w:r>
      <w:r w:rsidRPr="00FE097C">
        <w:t xml:space="preserve">enchmarks: A </w:t>
      </w:r>
      <w:r w:rsidR="001C5743" w:rsidRPr="00FE097C">
        <w:t>r</w:t>
      </w:r>
      <w:r w:rsidRPr="00FE097C">
        <w:t>isk-</w:t>
      </w:r>
      <w:r w:rsidR="001C5743" w:rsidRPr="00FE097C">
        <w:t>b</w:t>
      </w:r>
      <w:r w:rsidRPr="00FE097C">
        <w:t xml:space="preserve">ased </w:t>
      </w:r>
      <w:r w:rsidR="001C5743" w:rsidRPr="00FE097C">
        <w:t>a</w:t>
      </w:r>
      <w:r w:rsidRPr="00FE097C">
        <w:t xml:space="preserve">pproach, </w:t>
      </w:r>
      <w:r w:rsidRPr="00FE097C">
        <w:rPr>
          <w:i/>
        </w:rPr>
        <w:t>Financial Analysts Journal</w:t>
      </w:r>
      <w:r w:rsidRPr="00FE097C">
        <w:t xml:space="preserve">, 60(5), </w:t>
      </w:r>
      <w:r w:rsidR="001C5743" w:rsidRPr="00FE097C">
        <w:t>pp.</w:t>
      </w:r>
      <w:r w:rsidRPr="00FE097C">
        <w:t xml:space="preserve">65-80. </w:t>
      </w:r>
    </w:p>
    <w:p w:rsidR="00FA2D09" w:rsidRPr="00FA2D09" w:rsidRDefault="00FA2D09" w:rsidP="00386693">
      <w:pPr>
        <w:rPr>
          <w:color w:val="7030A0"/>
        </w:rPr>
      </w:pPr>
      <w:r w:rsidRPr="00FA2D09">
        <w:rPr>
          <w:color w:val="7030A0"/>
        </w:rPr>
        <w:t xml:space="preserve">Fung, W., Hsieh, D. (2006). Hedge funds: An industry in its adolescence, </w:t>
      </w:r>
      <w:r w:rsidRPr="00FA2D09">
        <w:rPr>
          <w:rFonts w:eastAsiaTheme="minorEastAsia"/>
          <w:color w:val="7030A0"/>
          <w:lang w:val="en-US"/>
        </w:rPr>
        <w:t>[Online], Available at</w:t>
      </w:r>
      <w:r w:rsidRPr="00FA2D09">
        <w:rPr>
          <w:color w:val="7030A0"/>
        </w:rPr>
        <w:t xml:space="preserve"> https://www.frbatlanta.org/research/publications/economic-review/2006/q4/vol91no4_hedge-funds-an-industry-in-its-adolescence.aspx </w:t>
      </w:r>
      <w:r w:rsidRPr="00FA2D09">
        <w:rPr>
          <w:rFonts w:eastAsiaTheme="minorEastAsia"/>
          <w:color w:val="7030A0"/>
          <w:lang w:val="en-US"/>
        </w:rPr>
        <w:t>[Accessed 19 July 2016].</w:t>
      </w:r>
    </w:p>
    <w:p w:rsidR="00B01FCF" w:rsidRPr="00B01FCF" w:rsidRDefault="00B01FCF" w:rsidP="00386693">
      <w:pPr>
        <w:rPr>
          <w:color w:val="7030A0"/>
        </w:rPr>
      </w:pPr>
      <w:proofErr w:type="spellStart"/>
      <w:r w:rsidRPr="00B01FCF">
        <w:rPr>
          <w:color w:val="7030A0"/>
        </w:rPr>
        <w:lastRenderedPageBreak/>
        <w:t>Getmansky</w:t>
      </w:r>
      <w:proofErr w:type="spellEnd"/>
      <w:r w:rsidRPr="00B01FCF">
        <w:rPr>
          <w:color w:val="7030A0"/>
        </w:rPr>
        <w:t xml:space="preserve">, M., Lee, P., and Lo, A. (2015). Hedge Funds: A dynamic industry in transition, </w:t>
      </w:r>
      <w:r w:rsidRPr="00B01FCF">
        <w:rPr>
          <w:rFonts w:eastAsiaTheme="minorEastAsia"/>
          <w:color w:val="7030A0"/>
          <w:lang w:val="en-US"/>
        </w:rPr>
        <w:t>[Online], Available at</w:t>
      </w:r>
      <w:r w:rsidRPr="00B01FCF">
        <w:rPr>
          <w:color w:val="7030A0"/>
        </w:rPr>
        <w:t xml:space="preserve"> http://alo.mit.edu/wp-content/uploads/2015/08/HFReview_11b.pdf </w:t>
      </w:r>
      <w:r w:rsidRPr="00B01FCF">
        <w:rPr>
          <w:rFonts w:eastAsiaTheme="minorEastAsia"/>
          <w:color w:val="7030A0"/>
          <w:lang w:val="en-US"/>
        </w:rPr>
        <w:t>[Accessed 20 July 2016]</w:t>
      </w:r>
    </w:p>
    <w:p w:rsidR="005A5038" w:rsidRPr="00FE097C" w:rsidRDefault="005A5038" w:rsidP="00386693">
      <w:pPr>
        <w:rPr>
          <w:lang w:val="en-US"/>
        </w:rPr>
      </w:pPr>
      <w:proofErr w:type="spellStart"/>
      <w:r w:rsidRPr="00FE097C">
        <w:rPr>
          <w:lang w:val="en-US"/>
        </w:rPr>
        <w:t>Giannikis</w:t>
      </w:r>
      <w:proofErr w:type="spellEnd"/>
      <w:r w:rsidRPr="00FE097C">
        <w:rPr>
          <w:lang w:val="en-US"/>
        </w:rPr>
        <w:t xml:space="preserve">, D. and </w:t>
      </w:r>
      <w:proofErr w:type="spellStart"/>
      <w:r w:rsidRPr="00FE097C">
        <w:rPr>
          <w:lang w:val="en-US"/>
        </w:rPr>
        <w:t>Vrontos</w:t>
      </w:r>
      <w:proofErr w:type="spellEnd"/>
      <w:r w:rsidRPr="00FE097C">
        <w:rPr>
          <w:lang w:val="en-US"/>
        </w:rPr>
        <w:t xml:space="preserve">, I. (2011). A Bayesian approach to detecting </w:t>
      </w:r>
      <w:r w:rsidR="004A487E">
        <w:rPr>
          <w:lang w:val="en-US"/>
        </w:rPr>
        <w:t>non-linear</w:t>
      </w:r>
      <w:r w:rsidRPr="00FE097C">
        <w:rPr>
          <w:lang w:val="en-US"/>
        </w:rPr>
        <w:t xml:space="preserve"> risk exposures in hedge fund strategies, </w:t>
      </w:r>
      <w:r w:rsidRPr="00FE097C">
        <w:rPr>
          <w:i/>
          <w:lang w:val="en-US"/>
        </w:rPr>
        <w:t>Journal of Banking and Finance</w:t>
      </w:r>
      <w:r w:rsidRPr="00FE097C">
        <w:rPr>
          <w:lang w:val="en-US"/>
        </w:rPr>
        <w:t>, 35</w:t>
      </w:r>
      <w:r w:rsidR="004B1713" w:rsidRPr="00FE097C">
        <w:rPr>
          <w:lang w:val="en-US"/>
        </w:rPr>
        <w:t>(6)</w:t>
      </w:r>
      <w:r w:rsidRPr="00FE097C">
        <w:rPr>
          <w:lang w:val="en-US"/>
        </w:rPr>
        <w:t xml:space="preserve">, </w:t>
      </w:r>
      <w:r w:rsidR="00386693" w:rsidRPr="00FE097C">
        <w:rPr>
          <w:lang w:val="en-US"/>
        </w:rPr>
        <w:t>pp.</w:t>
      </w:r>
      <w:r w:rsidRPr="00FE097C">
        <w:rPr>
          <w:lang w:val="en-US"/>
        </w:rPr>
        <w:t xml:space="preserve">1399-1414. </w:t>
      </w:r>
    </w:p>
    <w:p w:rsidR="008016EC" w:rsidRPr="00FE097C" w:rsidRDefault="005A5038" w:rsidP="001A08FC">
      <w:r w:rsidRPr="00FE097C">
        <w:t>Huber, C.</w:t>
      </w:r>
      <w:r w:rsidR="00923E48" w:rsidRPr="00FE097C">
        <w:t xml:space="preserve"> and</w:t>
      </w:r>
      <w:r w:rsidR="001A08FC" w:rsidRPr="00FE097C">
        <w:t xml:space="preserve"> Kaiser, H. (2004). Hedge fund risk factors with option-like s</w:t>
      </w:r>
      <w:r w:rsidRPr="00FE097C">
        <w:t>tructures: Example</w:t>
      </w:r>
      <w:r w:rsidR="001A08FC" w:rsidRPr="00FE097C">
        <w:t>s and e</w:t>
      </w:r>
      <w:r w:rsidRPr="00FE097C">
        <w:t xml:space="preserve">xplanations, </w:t>
      </w:r>
      <w:r w:rsidRPr="00FE097C">
        <w:rPr>
          <w:i/>
        </w:rPr>
        <w:t>The Journal of Wealth Management</w:t>
      </w:r>
      <w:r w:rsidRPr="00FE097C">
        <w:t xml:space="preserve">, </w:t>
      </w:r>
      <w:r w:rsidR="00674759" w:rsidRPr="00FE097C">
        <w:t xml:space="preserve">7(3), </w:t>
      </w:r>
      <w:r w:rsidRPr="00FE097C">
        <w:t>pp.49-60.</w:t>
      </w:r>
    </w:p>
    <w:p w:rsidR="00365251" w:rsidRPr="00FE097C" w:rsidRDefault="00365251" w:rsidP="0007230B">
      <w:proofErr w:type="spellStart"/>
      <w:r w:rsidRPr="00FE097C">
        <w:t>Hubner</w:t>
      </w:r>
      <w:proofErr w:type="spellEnd"/>
      <w:r w:rsidRPr="00FE097C">
        <w:t xml:space="preserve">, G., Lambert, M., and </w:t>
      </w:r>
      <w:proofErr w:type="spellStart"/>
      <w:r w:rsidRPr="00FE097C">
        <w:t>Papageor</w:t>
      </w:r>
      <w:r w:rsidR="0007230B" w:rsidRPr="00FE097C">
        <w:t>giou</w:t>
      </w:r>
      <w:proofErr w:type="spellEnd"/>
      <w:r w:rsidR="0007230B" w:rsidRPr="00FE097C">
        <w:t>, N. (2015). Higher-moment risk exposures in hedge f</w:t>
      </w:r>
      <w:r w:rsidRPr="00FE097C">
        <w:t xml:space="preserve">unds, </w:t>
      </w:r>
      <w:r w:rsidRPr="00FE097C">
        <w:rPr>
          <w:i/>
        </w:rPr>
        <w:t>European Financial Management</w:t>
      </w:r>
      <w:r w:rsidRPr="00FE097C">
        <w:t>, 21(2), pp.236-264.</w:t>
      </w:r>
    </w:p>
    <w:p w:rsidR="00AA222F" w:rsidRPr="00FE097C" w:rsidRDefault="00AA222F" w:rsidP="00023BF5">
      <w:pPr>
        <w:rPr>
          <w:lang w:val="en-US"/>
        </w:rPr>
      </w:pPr>
      <w:r w:rsidRPr="00FE097C">
        <w:rPr>
          <w:lang w:val="en-US"/>
        </w:rPr>
        <w:t>Ibbotson, R., Chen, P.</w:t>
      </w:r>
      <w:proofErr w:type="gramStart"/>
      <w:r w:rsidRPr="00FE097C">
        <w:rPr>
          <w:lang w:val="en-US"/>
        </w:rPr>
        <w:t>,CFA</w:t>
      </w:r>
      <w:proofErr w:type="gramEnd"/>
      <w:r w:rsidR="00923E48" w:rsidRPr="00FE097C">
        <w:rPr>
          <w:lang w:val="en-US"/>
        </w:rPr>
        <w:t xml:space="preserve"> and</w:t>
      </w:r>
      <w:r w:rsidRPr="00FE097C">
        <w:rPr>
          <w:lang w:val="en-US"/>
        </w:rPr>
        <w:t xml:space="preserve"> Zhu, K. (2011). The ABC of </w:t>
      </w:r>
      <w:r w:rsidR="00023BF5" w:rsidRPr="00FE097C">
        <w:rPr>
          <w:lang w:val="en-US"/>
        </w:rPr>
        <w:t>h</w:t>
      </w:r>
      <w:r w:rsidRPr="00FE097C">
        <w:rPr>
          <w:lang w:val="en-US"/>
        </w:rPr>
        <w:t xml:space="preserve">edge </w:t>
      </w:r>
      <w:r w:rsidR="00023BF5" w:rsidRPr="00FE097C">
        <w:rPr>
          <w:lang w:val="en-US"/>
        </w:rPr>
        <w:t>f</w:t>
      </w:r>
      <w:r w:rsidRPr="00FE097C">
        <w:rPr>
          <w:lang w:val="en-US"/>
        </w:rPr>
        <w:t xml:space="preserve">unds: Alphas, </w:t>
      </w:r>
      <w:r w:rsidR="00023BF5" w:rsidRPr="00FE097C">
        <w:rPr>
          <w:lang w:val="en-US"/>
        </w:rPr>
        <w:t>b</w:t>
      </w:r>
      <w:r w:rsidRPr="00FE097C">
        <w:rPr>
          <w:lang w:val="en-US"/>
        </w:rPr>
        <w:t>etas</w:t>
      </w:r>
      <w:r w:rsidR="00923E48" w:rsidRPr="00FE097C">
        <w:rPr>
          <w:lang w:val="en-US"/>
        </w:rPr>
        <w:t xml:space="preserve"> and</w:t>
      </w:r>
      <w:r w:rsidRPr="00FE097C">
        <w:rPr>
          <w:lang w:val="en-US"/>
        </w:rPr>
        <w:t xml:space="preserve"> </w:t>
      </w:r>
      <w:r w:rsidR="00023BF5" w:rsidRPr="00FE097C">
        <w:rPr>
          <w:lang w:val="en-US"/>
        </w:rPr>
        <w:t>c</w:t>
      </w:r>
      <w:r w:rsidRPr="00FE097C">
        <w:rPr>
          <w:lang w:val="en-US"/>
        </w:rPr>
        <w:t xml:space="preserve">osts, </w:t>
      </w:r>
      <w:r w:rsidRPr="00FE097C">
        <w:rPr>
          <w:i/>
          <w:lang w:val="en-US"/>
        </w:rPr>
        <w:t>Financial Analysts Journal</w:t>
      </w:r>
      <w:r w:rsidRPr="00FE097C">
        <w:rPr>
          <w:lang w:val="en-US"/>
        </w:rPr>
        <w:t xml:space="preserve">, </w:t>
      </w:r>
      <w:r w:rsidR="00B57041" w:rsidRPr="00FE097C">
        <w:rPr>
          <w:lang w:val="en-US"/>
        </w:rPr>
        <w:t>67(1)</w:t>
      </w:r>
      <w:r w:rsidRPr="00FE097C">
        <w:rPr>
          <w:lang w:val="en-US"/>
        </w:rPr>
        <w:t>, pp.15-25.</w:t>
      </w:r>
    </w:p>
    <w:p w:rsidR="005A5038" w:rsidRPr="00FE097C" w:rsidRDefault="005F5E76" w:rsidP="001D1CB3">
      <w:pPr>
        <w:rPr>
          <w:lang w:val="en-US"/>
        </w:rPr>
      </w:pPr>
      <w:proofErr w:type="spellStart"/>
      <w:r w:rsidRPr="00FE097C">
        <w:rPr>
          <w:lang w:val="en-US"/>
        </w:rPr>
        <w:t>Jawa</w:t>
      </w:r>
      <w:r w:rsidR="005A5038" w:rsidRPr="00FE097C">
        <w:rPr>
          <w:lang w:val="en-US"/>
        </w:rPr>
        <w:t>di</w:t>
      </w:r>
      <w:proofErr w:type="spellEnd"/>
      <w:r w:rsidR="005A5038" w:rsidRPr="00FE097C">
        <w:rPr>
          <w:lang w:val="en-US"/>
        </w:rPr>
        <w:t>, F.</w:t>
      </w:r>
      <w:r w:rsidR="00923E48" w:rsidRPr="00FE097C">
        <w:rPr>
          <w:lang w:val="en-US"/>
        </w:rPr>
        <w:t xml:space="preserve"> and</w:t>
      </w:r>
      <w:r w:rsidR="005A5038" w:rsidRPr="00FE097C">
        <w:rPr>
          <w:lang w:val="en-US"/>
        </w:rPr>
        <w:t xml:space="preserve"> </w:t>
      </w:r>
      <w:proofErr w:type="spellStart"/>
      <w:r w:rsidR="005A5038" w:rsidRPr="00FE097C">
        <w:rPr>
          <w:lang w:val="en-US"/>
        </w:rPr>
        <w:t>Khanniche</w:t>
      </w:r>
      <w:proofErr w:type="spellEnd"/>
      <w:r w:rsidR="005A5038" w:rsidRPr="00FE097C">
        <w:rPr>
          <w:lang w:val="en-US"/>
        </w:rPr>
        <w:t xml:space="preserve">, S. (2012). Modeling hedge fund exposure to risk factors, </w:t>
      </w:r>
      <w:r w:rsidR="005A5038" w:rsidRPr="00FE097C">
        <w:rPr>
          <w:i/>
          <w:lang w:val="en-US"/>
        </w:rPr>
        <w:t>Economic Modeling</w:t>
      </w:r>
      <w:r w:rsidR="00662E6B" w:rsidRPr="00FE097C">
        <w:rPr>
          <w:lang w:val="en-US"/>
        </w:rPr>
        <w:t>, 29(4), pp.</w:t>
      </w:r>
      <w:r w:rsidR="005A5038" w:rsidRPr="00FE097C">
        <w:rPr>
          <w:lang w:val="en-US"/>
        </w:rPr>
        <w:t>1003-1018.</w:t>
      </w:r>
    </w:p>
    <w:p w:rsidR="005A5038" w:rsidRPr="00FE097C" w:rsidRDefault="005A5038" w:rsidP="007C2C8E">
      <w:proofErr w:type="spellStart"/>
      <w:r w:rsidRPr="00FE097C">
        <w:t>Jegadeesh</w:t>
      </w:r>
      <w:proofErr w:type="spellEnd"/>
      <w:r w:rsidRPr="00FE097C">
        <w:t>, N. and Titman, S. (1</w:t>
      </w:r>
      <w:r w:rsidR="009A039A" w:rsidRPr="00FE097C">
        <w:t>993). Returns to buying winners and selling losers: Implications for stock market e</w:t>
      </w:r>
      <w:r w:rsidRPr="00FE097C">
        <w:t xml:space="preserve">fficiency, </w:t>
      </w:r>
      <w:r w:rsidRPr="00FE097C">
        <w:rPr>
          <w:i/>
        </w:rPr>
        <w:t>Journal of Finance</w:t>
      </w:r>
      <w:r w:rsidRPr="00FE097C">
        <w:t>, 48</w:t>
      </w:r>
      <w:r w:rsidR="00E275D5" w:rsidRPr="00FE097C">
        <w:t>(1)</w:t>
      </w:r>
      <w:r w:rsidRPr="00FE097C">
        <w:t xml:space="preserve">, </w:t>
      </w:r>
      <w:r w:rsidR="007C2C8E" w:rsidRPr="00FE097C">
        <w:t>pp.</w:t>
      </w:r>
      <w:r w:rsidRPr="00FE097C">
        <w:t>65-91.</w:t>
      </w:r>
    </w:p>
    <w:p w:rsidR="001A6F95" w:rsidRPr="00FE097C" w:rsidRDefault="001A6F95" w:rsidP="001A6F95">
      <w:pPr>
        <w:rPr>
          <w:i/>
        </w:rPr>
      </w:pPr>
      <w:proofErr w:type="spellStart"/>
      <w:r w:rsidRPr="00FE097C">
        <w:t>Lhabitant</w:t>
      </w:r>
      <w:proofErr w:type="spellEnd"/>
      <w:r w:rsidRPr="00FE097C">
        <w:t>, Francois-Serge. (20</w:t>
      </w:r>
      <w:r w:rsidR="00F76624" w:rsidRPr="00FE097C">
        <w:t>04). Hedge f</w:t>
      </w:r>
      <w:r w:rsidR="0004215B" w:rsidRPr="00FE097C">
        <w:t>unds: Quantitative i</w:t>
      </w:r>
      <w:r w:rsidRPr="00FE097C">
        <w:t xml:space="preserve">nsights, book, </w:t>
      </w:r>
      <w:r w:rsidRPr="00FE097C">
        <w:rPr>
          <w:i/>
        </w:rPr>
        <w:t>John Wiley &amp; Sons, Ltd,</w:t>
      </w:r>
      <w:r w:rsidR="00952977" w:rsidRPr="00FE097C">
        <w:rPr>
          <w:i/>
        </w:rPr>
        <w:t xml:space="preserve"> </w:t>
      </w:r>
      <w:r w:rsidR="00952977" w:rsidRPr="00FE097C">
        <w:t>pp.</w:t>
      </w:r>
      <w:r w:rsidRPr="00FE097C">
        <w:t>87-98.</w:t>
      </w:r>
    </w:p>
    <w:p w:rsidR="001A6F95" w:rsidRPr="00FE097C" w:rsidRDefault="001A6F95" w:rsidP="001A6F95">
      <w:proofErr w:type="spellStart"/>
      <w:r w:rsidRPr="00FE097C">
        <w:t>Lhabitant</w:t>
      </w:r>
      <w:proofErr w:type="spellEnd"/>
      <w:r w:rsidRPr="00FE097C">
        <w:t xml:space="preserve">, Francois-Serge. (2007). Handbook of hedge funds, book, </w:t>
      </w:r>
      <w:r w:rsidRPr="00FE097C">
        <w:rPr>
          <w:i/>
        </w:rPr>
        <w:t>John Wiley &amp; Sons</w:t>
      </w:r>
      <w:r w:rsidRPr="00FE097C">
        <w:t xml:space="preserve">, </w:t>
      </w:r>
      <w:r w:rsidRPr="00FE097C">
        <w:rPr>
          <w:i/>
        </w:rPr>
        <w:t>Ltd,</w:t>
      </w:r>
      <w:r w:rsidR="002E6A1D" w:rsidRPr="00FE097C">
        <w:rPr>
          <w:i/>
        </w:rPr>
        <w:t xml:space="preserve"> </w:t>
      </w:r>
      <w:r w:rsidR="002E6A1D" w:rsidRPr="00FE097C">
        <w:t>pp.</w:t>
      </w:r>
      <w:r w:rsidRPr="00FE097C">
        <w:t>487-490.</w:t>
      </w:r>
    </w:p>
    <w:p w:rsidR="00800733" w:rsidRPr="00800733" w:rsidRDefault="00800733" w:rsidP="00E86A93">
      <w:pPr>
        <w:rPr>
          <w:rFonts w:eastAsiaTheme="minorEastAsia"/>
          <w:color w:val="7030A0"/>
          <w:lang w:val="en-US"/>
        </w:rPr>
      </w:pPr>
      <w:r w:rsidRPr="00800733">
        <w:rPr>
          <w:rFonts w:eastAsiaTheme="minorEastAsia"/>
          <w:color w:val="7030A0"/>
          <w:lang w:val="en-US"/>
        </w:rPr>
        <w:t xml:space="preserve">Lo, A. (2005). The dynamics </w:t>
      </w:r>
      <w:r w:rsidRPr="00800733">
        <w:rPr>
          <w:rFonts w:eastAsiaTheme="minorEastAsia"/>
          <w:color w:val="7030A0"/>
          <w:lang w:val="en-US"/>
        </w:rPr>
        <w:tab/>
        <w:t xml:space="preserve">of the hedge fund industry, </w:t>
      </w:r>
      <w:r w:rsidRPr="00800733">
        <w:rPr>
          <w:rFonts w:eastAsiaTheme="minorEastAsia"/>
          <w:i/>
          <w:color w:val="7030A0"/>
          <w:lang w:val="en-US"/>
        </w:rPr>
        <w:t>Research foundation of CFA institute monograph</w:t>
      </w:r>
      <w:r w:rsidRPr="00800733">
        <w:rPr>
          <w:rFonts w:eastAsiaTheme="minorEastAsia"/>
          <w:color w:val="7030A0"/>
          <w:lang w:val="en-US"/>
        </w:rPr>
        <w:t>, 35(4), pp.87-90.</w:t>
      </w:r>
    </w:p>
    <w:p w:rsidR="00DC7FBE" w:rsidRPr="00FE097C" w:rsidRDefault="00DC7FBE" w:rsidP="00E86A93">
      <w:r w:rsidRPr="00FE097C">
        <w:t xml:space="preserve">Mitchell, M. and </w:t>
      </w:r>
      <w:proofErr w:type="spellStart"/>
      <w:r w:rsidRPr="00FE097C">
        <w:t>Pulvino</w:t>
      </w:r>
      <w:proofErr w:type="spellEnd"/>
      <w:r w:rsidRPr="00FE097C">
        <w:t xml:space="preserve">, T. (2001). Characteristics of risk and return in risk arbitrage, </w:t>
      </w:r>
      <w:r w:rsidRPr="00FE097C">
        <w:rPr>
          <w:i/>
        </w:rPr>
        <w:t>Journal of Finance</w:t>
      </w:r>
      <w:r w:rsidRPr="00FE097C">
        <w:t>, 56(</w:t>
      </w:r>
      <w:r w:rsidR="00AA57D8" w:rsidRPr="00FE097C">
        <w:t>6</w:t>
      </w:r>
      <w:r w:rsidRPr="00FE097C">
        <w:t xml:space="preserve">), pp.2135-2175. </w:t>
      </w:r>
    </w:p>
    <w:p w:rsidR="004677D1" w:rsidRPr="00FE097C" w:rsidRDefault="004677D1" w:rsidP="00E86A93">
      <w:pPr>
        <w:rPr>
          <w:rFonts w:eastAsiaTheme="minorEastAsia"/>
          <w:lang w:val="en-US"/>
        </w:rPr>
      </w:pPr>
      <w:proofErr w:type="spellStart"/>
      <w:r w:rsidRPr="00FE097C">
        <w:rPr>
          <w:rFonts w:eastAsiaTheme="minorEastAsia"/>
          <w:lang w:val="en-US"/>
        </w:rPr>
        <w:lastRenderedPageBreak/>
        <w:t>Namvar</w:t>
      </w:r>
      <w:proofErr w:type="spellEnd"/>
      <w:r w:rsidRPr="00FE097C">
        <w:rPr>
          <w:rFonts w:eastAsiaTheme="minorEastAsia"/>
          <w:lang w:val="en-US"/>
        </w:rPr>
        <w:t xml:space="preserve">, E., Phillips, B., </w:t>
      </w:r>
      <w:proofErr w:type="spellStart"/>
      <w:r w:rsidRPr="00FE097C">
        <w:rPr>
          <w:rFonts w:eastAsiaTheme="minorEastAsia"/>
          <w:lang w:val="en-US"/>
        </w:rPr>
        <w:t>Pukthuanthong</w:t>
      </w:r>
      <w:proofErr w:type="spellEnd"/>
      <w:r w:rsidRPr="00FE097C">
        <w:rPr>
          <w:rFonts w:eastAsiaTheme="minorEastAsia"/>
          <w:lang w:val="en-US"/>
        </w:rPr>
        <w:t>, K., and Rau, R. (2016). Do hedge funds dynamically manage systematic risk</w:t>
      </w:r>
      <w:proofErr w:type="gramStart"/>
      <w:r w:rsidRPr="00FE097C">
        <w:rPr>
          <w:rFonts w:eastAsiaTheme="minorEastAsia"/>
          <w:lang w:val="en-US"/>
        </w:rPr>
        <w:t>?,</w:t>
      </w:r>
      <w:proofErr w:type="gramEnd"/>
      <w:r w:rsidRPr="00FE097C">
        <w:rPr>
          <w:rFonts w:eastAsiaTheme="minorEastAsia"/>
          <w:lang w:val="en-US"/>
        </w:rPr>
        <w:t xml:space="preserve"> </w:t>
      </w:r>
      <w:r w:rsidRPr="00FE097C">
        <w:rPr>
          <w:rFonts w:eastAsiaTheme="minorEastAsia"/>
          <w:i/>
          <w:lang w:val="en-US"/>
        </w:rPr>
        <w:t>Journal of Banking and Finance</w:t>
      </w:r>
      <w:r w:rsidRPr="00FE097C">
        <w:rPr>
          <w:rFonts w:eastAsiaTheme="minorEastAsia"/>
          <w:lang w:val="en-US"/>
        </w:rPr>
        <w:t xml:space="preserve">, 64(1), pp.1-15. </w:t>
      </w:r>
    </w:p>
    <w:p w:rsidR="00E86A93" w:rsidRPr="00FE097C" w:rsidRDefault="00E86A93" w:rsidP="00E86A93">
      <w:pPr>
        <w:rPr>
          <w:rFonts w:eastAsiaTheme="minorEastAsia"/>
        </w:rPr>
      </w:pPr>
      <w:proofErr w:type="spellStart"/>
      <w:r w:rsidRPr="00FE097C">
        <w:t>O’Doherty</w:t>
      </w:r>
      <w:proofErr w:type="spellEnd"/>
      <w:r w:rsidRPr="00FE097C">
        <w:t xml:space="preserve">, M., </w:t>
      </w:r>
      <w:proofErr w:type="spellStart"/>
      <w:r w:rsidRPr="00FE097C">
        <w:t>Savin</w:t>
      </w:r>
      <w:proofErr w:type="spellEnd"/>
      <w:r w:rsidRPr="00FE097C">
        <w:t>, N.E., and</w:t>
      </w:r>
      <w:r w:rsidR="0072262C" w:rsidRPr="00FE097C">
        <w:t xml:space="preserve"> Tiwari, A. (2015). Evaluating hedge funds with pooled b</w:t>
      </w:r>
      <w:r w:rsidRPr="00FE097C">
        <w:t xml:space="preserve">enchmarks, </w:t>
      </w:r>
      <w:r w:rsidRPr="00FE097C">
        <w:rPr>
          <w:i/>
        </w:rPr>
        <w:t>Management Science</w:t>
      </w:r>
      <w:r w:rsidRPr="00FE097C">
        <w:t xml:space="preserve">, </w:t>
      </w:r>
      <w:r w:rsidR="00BF07E2" w:rsidRPr="00FE097C">
        <w:t>(Articles in Advance)</w:t>
      </w:r>
      <w:r w:rsidRPr="00FE097C">
        <w:t>, pp.1-21.</w:t>
      </w:r>
    </w:p>
    <w:p w:rsidR="009338F8" w:rsidRPr="00FE097C" w:rsidRDefault="009338F8" w:rsidP="009338F8">
      <w:pPr>
        <w:rPr>
          <w:rFonts w:eastAsiaTheme="minorEastAsia"/>
          <w:lang w:val="en-US"/>
        </w:rPr>
      </w:pPr>
      <w:r w:rsidRPr="00FE097C">
        <w:rPr>
          <w:rFonts w:eastAsiaTheme="minorEastAsia"/>
          <w:lang w:val="en-US"/>
        </w:rPr>
        <w:t>Patton, A. (2009). Are “market neutral” hedge funds really market neutral</w:t>
      </w:r>
      <w:proofErr w:type="gramStart"/>
      <w:r w:rsidRPr="00FE097C">
        <w:rPr>
          <w:rFonts w:eastAsiaTheme="minorEastAsia"/>
          <w:lang w:val="en-US"/>
        </w:rPr>
        <w:t>?,</w:t>
      </w:r>
      <w:proofErr w:type="gramEnd"/>
      <w:r w:rsidRPr="00FE097C">
        <w:rPr>
          <w:rFonts w:eastAsiaTheme="minorEastAsia"/>
          <w:lang w:val="en-US"/>
        </w:rPr>
        <w:t xml:space="preserve"> </w:t>
      </w:r>
      <w:r w:rsidRPr="00FE097C">
        <w:rPr>
          <w:rFonts w:eastAsiaTheme="minorEastAsia"/>
          <w:i/>
          <w:lang w:val="en-US"/>
        </w:rPr>
        <w:t>Review of Financial Studies</w:t>
      </w:r>
      <w:r w:rsidRPr="00FE097C">
        <w:rPr>
          <w:rFonts w:eastAsiaTheme="minorEastAsia"/>
          <w:lang w:val="en-US"/>
        </w:rPr>
        <w:t>, 22(1), pp.2495-2530.</w:t>
      </w:r>
    </w:p>
    <w:p w:rsidR="00543256" w:rsidRPr="00FE097C" w:rsidRDefault="00543256" w:rsidP="00C234EC">
      <w:r w:rsidRPr="00FE097C">
        <w:t>Patton, A.</w:t>
      </w:r>
      <w:r w:rsidR="00923E48" w:rsidRPr="00FE097C">
        <w:t xml:space="preserve"> and</w:t>
      </w:r>
      <w:r w:rsidR="00436D67" w:rsidRPr="00FE097C">
        <w:t xml:space="preserve"> </w:t>
      </w:r>
      <w:proofErr w:type="spellStart"/>
      <w:r w:rsidR="00436D67" w:rsidRPr="00FE097C">
        <w:t>Ramadorai</w:t>
      </w:r>
      <w:proofErr w:type="spellEnd"/>
      <w:r w:rsidR="00436D67" w:rsidRPr="00FE097C">
        <w:t>, T. (2013). On the high-frequency dynamics of hedge fund risk exposures</w:t>
      </w:r>
      <w:r w:rsidRPr="00FE097C">
        <w:t xml:space="preserve">, </w:t>
      </w:r>
      <w:r w:rsidRPr="00FE097C">
        <w:rPr>
          <w:i/>
        </w:rPr>
        <w:t>The Journal of Finance</w:t>
      </w:r>
      <w:r w:rsidR="003541AC" w:rsidRPr="00FE097C">
        <w:t xml:space="preserve">, </w:t>
      </w:r>
      <w:r w:rsidR="00A323BB" w:rsidRPr="00FE097C">
        <w:t>68(2), pp.</w:t>
      </w:r>
      <w:r w:rsidR="003541AC" w:rsidRPr="00FE097C">
        <w:t>597-635.</w:t>
      </w:r>
    </w:p>
    <w:p w:rsidR="00DA3866" w:rsidRPr="00FE097C" w:rsidRDefault="00DA3866" w:rsidP="00152B84">
      <w:r w:rsidRPr="00FE097C">
        <w:t xml:space="preserve">Pearson, K. (1901). On lines and planes of closest fit to systems of  points in space [On line]. Available at http://stat.smmu.edu.cn/history/pearson1901.pdf [Accessed 26 September 2014]. </w:t>
      </w:r>
    </w:p>
    <w:p w:rsidR="00E32D38" w:rsidRPr="00FE097C" w:rsidRDefault="00E32D38" w:rsidP="0009261B">
      <w:pPr>
        <w:rPr>
          <w:rFonts w:eastAsiaTheme="minorEastAsia"/>
          <w:lang w:val="en-US"/>
        </w:rPr>
      </w:pPr>
      <w:r w:rsidRPr="00FE097C">
        <w:rPr>
          <w:rFonts w:eastAsiaTheme="minorEastAsia"/>
          <w:lang w:val="en-US"/>
        </w:rPr>
        <w:t xml:space="preserve">Racicot, F.E. and </w:t>
      </w:r>
      <w:proofErr w:type="spellStart"/>
      <w:r w:rsidRPr="00FE097C">
        <w:rPr>
          <w:rFonts w:eastAsiaTheme="minorEastAsia"/>
          <w:lang w:val="en-US"/>
        </w:rPr>
        <w:t>Theoret</w:t>
      </w:r>
      <w:proofErr w:type="spellEnd"/>
      <w:r w:rsidRPr="00FE097C">
        <w:rPr>
          <w:rFonts w:eastAsiaTheme="minorEastAsia"/>
          <w:lang w:val="en-US"/>
        </w:rPr>
        <w:t xml:space="preserve">, R. (2016). Macroeconomic shocks, forward-looking dynamics, and the </w:t>
      </w:r>
      <w:proofErr w:type="spellStart"/>
      <w:r w:rsidRPr="00FE097C">
        <w:rPr>
          <w:rFonts w:eastAsiaTheme="minorEastAsia"/>
          <w:lang w:val="en-US"/>
        </w:rPr>
        <w:t>behaviour</w:t>
      </w:r>
      <w:proofErr w:type="spellEnd"/>
      <w:r w:rsidRPr="00FE097C">
        <w:rPr>
          <w:rFonts w:eastAsiaTheme="minorEastAsia"/>
          <w:lang w:val="en-US"/>
        </w:rPr>
        <w:t xml:space="preserve"> of hedge funds, </w:t>
      </w:r>
      <w:r w:rsidRPr="00FE097C">
        <w:rPr>
          <w:rFonts w:eastAsiaTheme="minorEastAsia"/>
          <w:i/>
          <w:lang w:val="en-US"/>
        </w:rPr>
        <w:t>Journal of Banking and Finance</w:t>
      </w:r>
      <w:r w:rsidRPr="00FE097C">
        <w:rPr>
          <w:rFonts w:eastAsiaTheme="minorEastAsia"/>
          <w:lang w:val="en-US"/>
        </w:rPr>
        <w:t>, 62(1), pp.41-61.</w:t>
      </w:r>
    </w:p>
    <w:p w:rsidR="00AA5613" w:rsidRPr="00FE097C" w:rsidRDefault="00AA5613" w:rsidP="0009261B">
      <w:proofErr w:type="spellStart"/>
      <w:r w:rsidRPr="00FE097C">
        <w:t>Reinganum</w:t>
      </w:r>
      <w:proofErr w:type="spellEnd"/>
      <w:r w:rsidRPr="00FE097C">
        <w:t xml:space="preserve">, M.R. (1981). Misspecification of capital asset pricing: empirical anomalies based on earnings yield and market values, </w:t>
      </w:r>
      <w:r w:rsidRPr="00FE097C">
        <w:rPr>
          <w:i/>
        </w:rPr>
        <w:t>Journal of Financial Economics</w:t>
      </w:r>
      <w:r w:rsidRPr="00FE097C">
        <w:t>, 9</w:t>
      </w:r>
      <w:r w:rsidR="006F5874" w:rsidRPr="00FE097C">
        <w:t>(1)</w:t>
      </w:r>
      <w:r w:rsidRPr="00FE097C">
        <w:t>, pp.19-46.</w:t>
      </w:r>
    </w:p>
    <w:p w:rsidR="00684ACF" w:rsidRPr="00FE097C" w:rsidRDefault="009B57E1" w:rsidP="006F0212">
      <w:pPr>
        <w:rPr>
          <w:lang w:val="en-US"/>
        </w:rPr>
      </w:pPr>
      <w:r w:rsidRPr="00FE097C">
        <w:rPr>
          <w:lang w:val="en-US"/>
        </w:rPr>
        <w:t>Ross, S. (1976). The arbitrage theory of capital asset p</w:t>
      </w:r>
      <w:r w:rsidR="00684ACF" w:rsidRPr="00FE097C">
        <w:rPr>
          <w:lang w:val="en-US"/>
        </w:rPr>
        <w:t xml:space="preserve">ricing, </w:t>
      </w:r>
      <w:r w:rsidR="00684ACF" w:rsidRPr="00FE097C">
        <w:rPr>
          <w:i/>
          <w:lang w:val="en-US"/>
        </w:rPr>
        <w:t>Journal of Economic Perspective</w:t>
      </w:r>
      <w:r w:rsidR="00684ACF" w:rsidRPr="00FE097C">
        <w:rPr>
          <w:lang w:val="en-US"/>
        </w:rPr>
        <w:t>, 13</w:t>
      </w:r>
      <w:r w:rsidR="003401B7" w:rsidRPr="00FE097C">
        <w:rPr>
          <w:lang w:val="en-US"/>
        </w:rPr>
        <w:t>(3)</w:t>
      </w:r>
      <w:r w:rsidR="00684ACF" w:rsidRPr="00FE097C">
        <w:rPr>
          <w:lang w:val="en-US"/>
        </w:rPr>
        <w:t xml:space="preserve">, </w:t>
      </w:r>
      <w:r w:rsidR="003401B7" w:rsidRPr="00FE097C">
        <w:rPr>
          <w:lang w:val="en-US"/>
        </w:rPr>
        <w:t>pp.</w:t>
      </w:r>
      <w:r w:rsidR="00684ACF" w:rsidRPr="00FE097C">
        <w:rPr>
          <w:lang w:val="en-US"/>
        </w:rPr>
        <w:t>341-360.</w:t>
      </w:r>
    </w:p>
    <w:p w:rsidR="005F6459" w:rsidRPr="00FE097C" w:rsidRDefault="005F6459" w:rsidP="00056760">
      <w:proofErr w:type="spellStart"/>
      <w:r w:rsidRPr="00FE097C">
        <w:t>Schneeweis</w:t>
      </w:r>
      <w:proofErr w:type="spellEnd"/>
      <w:r w:rsidRPr="00FE097C">
        <w:t xml:space="preserve">, T. and </w:t>
      </w:r>
      <w:proofErr w:type="spellStart"/>
      <w:r w:rsidRPr="00FE097C">
        <w:t>Spurgin</w:t>
      </w:r>
      <w:proofErr w:type="spellEnd"/>
      <w:r w:rsidRPr="00FE097C">
        <w:t xml:space="preserve"> R. (1998). Multifactor analysis of hedge fund, managed futures and mutual fund return and risk characteristics, </w:t>
      </w:r>
      <w:r w:rsidRPr="00FE097C">
        <w:rPr>
          <w:i/>
        </w:rPr>
        <w:t>The Journal of Alternative Investments</w:t>
      </w:r>
      <w:r w:rsidRPr="00FE097C">
        <w:t>, 1(2), pp.1-24.</w:t>
      </w:r>
    </w:p>
    <w:p w:rsidR="005A5038" w:rsidRPr="00FE097C" w:rsidRDefault="00E26EA0" w:rsidP="00056760">
      <w:r w:rsidRPr="00FE097C">
        <w:rPr>
          <w:lang w:val="en-US"/>
        </w:rPr>
        <w:t xml:space="preserve">Sharpe, W. </w:t>
      </w:r>
      <w:r w:rsidR="005A5038" w:rsidRPr="00FE097C">
        <w:rPr>
          <w:lang w:val="en-US"/>
        </w:rPr>
        <w:t xml:space="preserve">(1964). </w:t>
      </w:r>
      <w:r w:rsidR="00F76624" w:rsidRPr="00FE097C">
        <w:rPr>
          <w:lang w:val="en-US"/>
        </w:rPr>
        <w:t>Capital asset p</w:t>
      </w:r>
      <w:r w:rsidR="004F387F" w:rsidRPr="00FE097C">
        <w:rPr>
          <w:lang w:val="en-US"/>
        </w:rPr>
        <w:t xml:space="preserve">rices: </w:t>
      </w:r>
      <w:r w:rsidR="00F8132F" w:rsidRPr="00FE097C">
        <w:rPr>
          <w:lang w:val="en-US"/>
        </w:rPr>
        <w:t>A theory of m</w:t>
      </w:r>
      <w:r w:rsidR="005A5038" w:rsidRPr="00FE097C">
        <w:rPr>
          <w:lang w:val="en-US"/>
        </w:rPr>
        <w:t xml:space="preserve">arket </w:t>
      </w:r>
      <w:r w:rsidR="00F8132F" w:rsidRPr="00FE097C">
        <w:rPr>
          <w:lang w:val="en-US"/>
        </w:rPr>
        <w:t>e</w:t>
      </w:r>
      <w:r w:rsidR="005A5038" w:rsidRPr="00FE097C">
        <w:rPr>
          <w:lang w:val="en-US"/>
        </w:rPr>
        <w:t>quilibrium</w:t>
      </w:r>
      <w:r w:rsidR="004F387F" w:rsidRPr="00FE097C">
        <w:rPr>
          <w:lang w:val="en-US"/>
        </w:rPr>
        <w:t xml:space="preserve"> </w:t>
      </w:r>
      <w:r w:rsidR="00F8132F" w:rsidRPr="00FE097C">
        <w:rPr>
          <w:lang w:val="en-US"/>
        </w:rPr>
        <w:t>u</w:t>
      </w:r>
      <w:r w:rsidR="004F387F" w:rsidRPr="00FE097C">
        <w:rPr>
          <w:lang w:val="en-US"/>
        </w:rPr>
        <w:t xml:space="preserve">nder </w:t>
      </w:r>
      <w:r w:rsidR="00F8132F" w:rsidRPr="00FE097C">
        <w:rPr>
          <w:lang w:val="en-US"/>
        </w:rPr>
        <w:t>c</w:t>
      </w:r>
      <w:r w:rsidR="004F387F" w:rsidRPr="00FE097C">
        <w:rPr>
          <w:lang w:val="en-US"/>
        </w:rPr>
        <w:t xml:space="preserve">onditions of </w:t>
      </w:r>
      <w:r w:rsidR="00F8132F" w:rsidRPr="00FE097C">
        <w:rPr>
          <w:lang w:val="en-US"/>
        </w:rPr>
        <w:t>r</w:t>
      </w:r>
      <w:r w:rsidR="004F387F" w:rsidRPr="00FE097C">
        <w:rPr>
          <w:lang w:val="en-US"/>
        </w:rPr>
        <w:t>isk</w:t>
      </w:r>
      <w:r w:rsidR="005A5038" w:rsidRPr="00FE097C">
        <w:rPr>
          <w:lang w:val="en-US"/>
        </w:rPr>
        <w:t xml:space="preserve">, </w:t>
      </w:r>
      <w:r w:rsidR="005A5038" w:rsidRPr="00FE097C">
        <w:rPr>
          <w:i/>
          <w:lang w:val="en-US"/>
        </w:rPr>
        <w:t>Journal of Finance</w:t>
      </w:r>
      <w:r w:rsidR="004F387F" w:rsidRPr="00FE097C">
        <w:rPr>
          <w:i/>
          <w:lang w:val="en-US"/>
        </w:rPr>
        <w:t xml:space="preserve">, </w:t>
      </w:r>
      <w:r w:rsidR="004F387F" w:rsidRPr="00FE097C">
        <w:rPr>
          <w:lang w:val="en-US"/>
        </w:rPr>
        <w:t>19(3), pp.425-442</w:t>
      </w:r>
      <w:r w:rsidR="009E6828" w:rsidRPr="00FE097C">
        <w:rPr>
          <w:i/>
          <w:lang w:val="en-US"/>
        </w:rPr>
        <w:t>.</w:t>
      </w:r>
    </w:p>
    <w:p w:rsidR="005A5038" w:rsidRPr="00FE097C" w:rsidRDefault="008C6DDB" w:rsidP="00200349">
      <w:r w:rsidRPr="00FE097C">
        <w:lastRenderedPageBreak/>
        <w:t>Sharpe, W. (1992). Asset a</w:t>
      </w:r>
      <w:r w:rsidR="005A5038" w:rsidRPr="00FE097C">
        <w:t xml:space="preserve">llocation: Management </w:t>
      </w:r>
      <w:r w:rsidRPr="00FE097C">
        <w:t>s</w:t>
      </w:r>
      <w:r w:rsidR="005A5038" w:rsidRPr="00FE097C">
        <w:t xml:space="preserve">tyle and </w:t>
      </w:r>
      <w:r w:rsidRPr="00FE097C">
        <w:t>p</w:t>
      </w:r>
      <w:r w:rsidR="005A5038" w:rsidRPr="00FE097C">
        <w:t xml:space="preserve">erformance </w:t>
      </w:r>
      <w:r w:rsidRPr="00FE097C">
        <w:t>m</w:t>
      </w:r>
      <w:r w:rsidR="005A5038" w:rsidRPr="00FE097C">
        <w:t xml:space="preserve">easurement, </w:t>
      </w:r>
      <w:r w:rsidR="005A5038" w:rsidRPr="00FE097C">
        <w:rPr>
          <w:i/>
        </w:rPr>
        <w:t>The Journal of Portfolio Management</w:t>
      </w:r>
      <w:r w:rsidR="005A5038" w:rsidRPr="00FE097C">
        <w:t xml:space="preserve">, </w:t>
      </w:r>
      <w:r w:rsidR="00E875FD" w:rsidRPr="00FE097C">
        <w:t xml:space="preserve">18(2), </w:t>
      </w:r>
      <w:r w:rsidR="005A5038" w:rsidRPr="00FE097C">
        <w:t xml:space="preserve">pp.7-19. </w:t>
      </w:r>
    </w:p>
    <w:p w:rsidR="00E02D48" w:rsidRPr="00FE097C" w:rsidRDefault="00E02D48" w:rsidP="00E02D48">
      <w:pPr>
        <w:rPr>
          <w:rFonts w:eastAsiaTheme="minorEastAsia"/>
          <w:lang w:val="en-US"/>
        </w:rPr>
      </w:pPr>
      <w:proofErr w:type="spellStart"/>
      <w:r w:rsidRPr="00FE097C">
        <w:rPr>
          <w:rFonts w:eastAsiaTheme="minorEastAsia"/>
          <w:lang w:val="en-US"/>
        </w:rPr>
        <w:t>Slavutskaya</w:t>
      </w:r>
      <w:proofErr w:type="spellEnd"/>
      <w:r w:rsidRPr="00FE097C">
        <w:rPr>
          <w:rFonts w:eastAsiaTheme="minorEastAsia"/>
          <w:lang w:val="en-US"/>
        </w:rPr>
        <w:t xml:space="preserve">, A. (2013). Short-term hedge fund performance, </w:t>
      </w:r>
      <w:r w:rsidRPr="00FE097C">
        <w:rPr>
          <w:rFonts w:eastAsiaTheme="minorEastAsia"/>
          <w:i/>
          <w:lang w:val="en-US"/>
        </w:rPr>
        <w:t>Journal of Banking and Finance</w:t>
      </w:r>
      <w:r w:rsidRPr="00FE097C">
        <w:rPr>
          <w:rFonts w:eastAsiaTheme="minorEastAsia"/>
          <w:lang w:val="en-US"/>
        </w:rPr>
        <w:t>, 37(11), pp.4404-4431.</w:t>
      </w:r>
    </w:p>
    <w:p w:rsidR="005E5E2E" w:rsidRPr="00FE097C" w:rsidRDefault="001D10B4" w:rsidP="009B0768">
      <w:pPr>
        <w:rPr>
          <w:rFonts w:eastAsiaTheme="minorEastAsia"/>
          <w:lang w:val="en-US"/>
        </w:rPr>
      </w:pPr>
      <w:proofErr w:type="spellStart"/>
      <w:r w:rsidRPr="00FE097C">
        <w:rPr>
          <w:rFonts w:eastAsiaTheme="minorEastAsia"/>
          <w:lang w:val="en-US"/>
        </w:rPr>
        <w:t>Stafylas</w:t>
      </w:r>
      <w:proofErr w:type="spellEnd"/>
      <w:r w:rsidRPr="00FE097C">
        <w:rPr>
          <w:rFonts w:eastAsiaTheme="minorEastAsia"/>
          <w:lang w:val="en-US"/>
        </w:rPr>
        <w:t xml:space="preserve">, D., Anderson, K., </w:t>
      </w:r>
      <w:r w:rsidR="00C86340" w:rsidRPr="00FE097C">
        <w:rPr>
          <w:rFonts w:eastAsiaTheme="minorEastAsia"/>
          <w:lang w:val="en-US"/>
        </w:rPr>
        <w:t xml:space="preserve">and </w:t>
      </w:r>
      <w:r w:rsidRPr="00FE097C">
        <w:rPr>
          <w:rFonts w:eastAsiaTheme="minorEastAsia"/>
          <w:lang w:val="en-US"/>
        </w:rPr>
        <w:t xml:space="preserve">Uddin, M. (2016). </w:t>
      </w:r>
      <w:r w:rsidR="009B0768" w:rsidRPr="00FE097C">
        <w:rPr>
          <w:rFonts w:eastAsiaTheme="minorEastAsia"/>
          <w:lang w:val="en-US"/>
        </w:rPr>
        <w:t>Recent Advances in Hedge Fund Performance Attribution:</w:t>
      </w:r>
      <w:r w:rsidR="006C5933" w:rsidRPr="00FE097C">
        <w:rPr>
          <w:rFonts w:eastAsiaTheme="minorEastAsia"/>
          <w:lang w:val="en-US"/>
        </w:rPr>
        <w:t xml:space="preserve"> </w:t>
      </w:r>
      <w:r w:rsidR="009B0768" w:rsidRPr="00FE097C">
        <w:rPr>
          <w:rFonts w:eastAsiaTheme="minorEastAsia"/>
          <w:lang w:val="en-US"/>
        </w:rPr>
        <w:t xml:space="preserve">Performance Persistence and Fundamental Factors, </w:t>
      </w:r>
      <w:r w:rsidR="009B0768" w:rsidRPr="00FE097C">
        <w:rPr>
          <w:rFonts w:eastAsiaTheme="minorEastAsia"/>
          <w:i/>
          <w:lang w:val="en-US"/>
        </w:rPr>
        <w:t>International Review of Financial Analysi</w:t>
      </w:r>
      <w:r w:rsidR="00FE097C" w:rsidRPr="00FE097C">
        <w:rPr>
          <w:rFonts w:eastAsiaTheme="minorEastAsia"/>
          <w:i/>
          <w:lang w:val="en-US"/>
        </w:rPr>
        <w:t>s</w:t>
      </w:r>
      <w:r w:rsidR="009B0768" w:rsidRPr="00FE097C">
        <w:rPr>
          <w:rFonts w:eastAsiaTheme="minorEastAsia"/>
          <w:lang w:val="en-US"/>
        </w:rPr>
        <w:t xml:space="preserve">, 43(1), </w:t>
      </w:r>
      <w:r w:rsidR="006C5933" w:rsidRPr="00FE097C">
        <w:rPr>
          <w:rFonts w:eastAsiaTheme="minorEastAsia"/>
          <w:lang w:val="en-US"/>
        </w:rPr>
        <w:t>pp.</w:t>
      </w:r>
      <w:r w:rsidR="009B0768" w:rsidRPr="00FE097C">
        <w:rPr>
          <w:rFonts w:eastAsiaTheme="minorEastAsia"/>
          <w:lang w:val="en-US"/>
        </w:rPr>
        <w:t>48-61</w:t>
      </w:r>
    </w:p>
    <w:p w:rsidR="005E5E2E" w:rsidRPr="00FE097C" w:rsidRDefault="005E5E2E" w:rsidP="006C5933">
      <w:pPr>
        <w:rPr>
          <w:b/>
          <w:sz w:val="32"/>
          <w:lang w:val="en-US"/>
        </w:rPr>
        <w:sectPr w:rsidR="005E5E2E" w:rsidRPr="00FE097C" w:rsidSect="00A27535">
          <w:footerReference w:type="first" r:id="rId11"/>
          <w:endnotePr>
            <w:numFmt w:val="decimal"/>
          </w:endnotePr>
          <w:pgSz w:w="11906" w:h="16838"/>
          <w:pgMar w:top="1440" w:right="1440" w:bottom="1440" w:left="2268" w:header="709" w:footer="567" w:gutter="0"/>
          <w:pgNumType w:start="1"/>
          <w:cols w:space="708"/>
          <w:titlePg/>
          <w:docGrid w:linePitch="360"/>
        </w:sectPr>
      </w:pPr>
    </w:p>
    <w:p w:rsidR="00451A1E" w:rsidRPr="00A44D31" w:rsidRDefault="00451A1E" w:rsidP="00B26327">
      <w:pPr>
        <w:jc w:val="center"/>
        <w:rPr>
          <w:b/>
          <w:sz w:val="32"/>
          <w:lang w:val="en-US"/>
        </w:rPr>
      </w:pPr>
      <w:r w:rsidRPr="00A44D31">
        <w:rPr>
          <w:b/>
          <w:sz w:val="32"/>
          <w:lang w:val="en-US"/>
        </w:rPr>
        <w:lastRenderedPageBreak/>
        <w:t>Appendix</w:t>
      </w:r>
    </w:p>
    <w:p w:rsidR="00473373" w:rsidRPr="00E34E6E" w:rsidRDefault="00473373" w:rsidP="0088117F">
      <w:pPr>
        <w:spacing w:after="0"/>
        <w:jc w:val="both"/>
        <w:rPr>
          <w:b/>
        </w:rPr>
      </w:pPr>
      <w:r w:rsidRPr="00E34E6E">
        <w:rPr>
          <w:b/>
        </w:rPr>
        <w:t xml:space="preserve">Table 1. </w:t>
      </w:r>
      <w:r w:rsidR="00757C56" w:rsidRPr="00E34E6E">
        <w:rPr>
          <w:b/>
        </w:rPr>
        <w:t>Performance Attribution – Linear Studies</w:t>
      </w:r>
    </w:p>
    <w:p w:rsidR="00473373" w:rsidRPr="00A44D31" w:rsidRDefault="00473373" w:rsidP="0088117F">
      <w:pPr>
        <w:spacing w:after="0"/>
        <w:jc w:val="both"/>
        <w:rPr>
          <w:sz w:val="18"/>
          <w:szCs w:val="18"/>
        </w:rPr>
      </w:pPr>
      <w:r w:rsidRPr="00A44D31">
        <w:rPr>
          <w:sz w:val="18"/>
          <w:szCs w:val="18"/>
        </w:rPr>
        <w:t xml:space="preserve">This Table presents the main characteristics and </w:t>
      </w:r>
      <w:r w:rsidR="008108DC" w:rsidRPr="00A44D31">
        <w:rPr>
          <w:sz w:val="18"/>
          <w:szCs w:val="18"/>
        </w:rPr>
        <w:t>findings</w:t>
      </w:r>
      <w:r w:rsidRPr="00A44D31">
        <w:rPr>
          <w:sz w:val="18"/>
          <w:szCs w:val="18"/>
        </w:rPr>
        <w:t xml:space="preserve"> of the </w:t>
      </w:r>
      <w:r w:rsidR="008108DC" w:rsidRPr="00A44D31">
        <w:rPr>
          <w:sz w:val="18"/>
          <w:szCs w:val="18"/>
        </w:rPr>
        <w:t xml:space="preserve">linear </w:t>
      </w:r>
      <w:r w:rsidR="005409E1">
        <w:rPr>
          <w:sz w:val="18"/>
          <w:szCs w:val="18"/>
        </w:rPr>
        <w:t>studies of</w:t>
      </w:r>
      <w:r w:rsidRPr="00A44D31">
        <w:rPr>
          <w:sz w:val="18"/>
          <w:szCs w:val="18"/>
        </w:rPr>
        <w:t xml:space="preserve"> hedge fund performance </w:t>
      </w:r>
      <w:r w:rsidR="008108DC" w:rsidRPr="00A44D31">
        <w:rPr>
          <w:sz w:val="18"/>
          <w:szCs w:val="18"/>
        </w:rPr>
        <w:t>attribution</w:t>
      </w:r>
      <w:r w:rsidRPr="00A44D31">
        <w:rPr>
          <w:sz w:val="18"/>
          <w:szCs w:val="18"/>
        </w:rPr>
        <w:t xml:space="preserve">. Abbreviations:  </w:t>
      </w:r>
      <w:r w:rsidR="00DC4736" w:rsidRPr="00A44D31">
        <w:rPr>
          <w:sz w:val="18"/>
          <w:szCs w:val="18"/>
        </w:rPr>
        <w:t xml:space="preserve">CTA: Commodity Trading Advisors, </w:t>
      </w:r>
      <w:r w:rsidR="005A3FEE" w:rsidRPr="00A44D31">
        <w:rPr>
          <w:sz w:val="18"/>
          <w:szCs w:val="18"/>
        </w:rPr>
        <w:t xml:space="preserve">EACM: Evaluation Associates Capital Market, </w:t>
      </w:r>
      <w:r w:rsidRPr="00A44D31">
        <w:rPr>
          <w:sz w:val="18"/>
          <w:szCs w:val="18"/>
        </w:rPr>
        <w:t>HFR: Hedge Fund Research</w:t>
      </w:r>
      <w:r w:rsidR="0002565A" w:rsidRPr="00A44D31">
        <w:rPr>
          <w:sz w:val="18"/>
          <w:szCs w:val="18"/>
        </w:rPr>
        <w:t>, MAR: Managed Account Reports</w:t>
      </w:r>
      <w:r w:rsidR="00DA4BFE" w:rsidRPr="00A44D31">
        <w:rPr>
          <w:sz w:val="18"/>
          <w:szCs w:val="18"/>
        </w:rPr>
        <w:t>.</w:t>
      </w:r>
      <w:r w:rsidR="0002565A" w:rsidRPr="00A44D31">
        <w:rPr>
          <w:sz w:val="18"/>
          <w:szCs w:val="18"/>
        </w:rPr>
        <w:t xml:space="preserve"> </w:t>
      </w:r>
      <w:r w:rsidR="00F81EF1" w:rsidRPr="00A44D31">
        <w:rPr>
          <w:sz w:val="18"/>
          <w:szCs w:val="18"/>
        </w:rPr>
        <w:t xml:space="preserve">Some </w:t>
      </w:r>
      <w:r w:rsidRPr="00A44D31">
        <w:rPr>
          <w:sz w:val="18"/>
          <w:szCs w:val="18"/>
        </w:rPr>
        <w:t>databases (e.g. Lipper and TASS</w:t>
      </w:r>
      <w:r w:rsidR="005A3FEE" w:rsidRPr="00A44D31">
        <w:rPr>
          <w:sz w:val="18"/>
          <w:szCs w:val="18"/>
        </w:rPr>
        <w:t>, MAR and CISDM</w:t>
      </w:r>
      <w:r w:rsidRPr="00A44D31">
        <w:rPr>
          <w:sz w:val="18"/>
          <w:szCs w:val="18"/>
        </w:rPr>
        <w:t xml:space="preserve">) have been </w:t>
      </w:r>
      <w:r w:rsidR="005A3FEE" w:rsidRPr="00A44D31">
        <w:rPr>
          <w:sz w:val="18"/>
          <w:szCs w:val="18"/>
        </w:rPr>
        <w:t>merged.</w:t>
      </w:r>
    </w:p>
    <w:tbl>
      <w:tblPr>
        <w:tblStyle w:val="TableGrid"/>
        <w:tblW w:w="15021" w:type="dxa"/>
        <w:tblLook w:val="04A0" w:firstRow="1" w:lastRow="0" w:firstColumn="1" w:lastColumn="0" w:noHBand="0" w:noVBand="1"/>
      </w:tblPr>
      <w:tblGrid>
        <w:gridCol w:w="2629"/>
        <w:gridCol w:w="2552"/>
        <w:gridCol w:w="2126"/>
        <w:gridCol w:w="7714"/>
      </w:tblGrid>
      <w:tr w:rsidR="004A2444" w:rsidRPr="00A44D31" w:rsidTr="0064179C">
        <w:trPr>
          <w:trHeight w:hRule="exact" w:val="567"/>
        </w:trPr>
        <w:tc>
          <w:tcPr>
            <w:tcW w:w="2629" w:type="dxa"/>
          </w:tcPr>
          <w:p w:rsidR="00F502A4" w:rsidRPr="00A44D31" w:rsidRDefault="00BF1211" w:rsidP="002C05E3">
            <w:pPr>
              <w:rPr>
                <w:b/>
                <w:szCs w:val="24"/>
              </w:rPr>
            </w:pPr>
            <w:r w:rsidRPr="00A44D31">
              <w:rPr>
                <w:b/>
                <w:szCs w:val="24"/>
              </w:rPr>
              <w:t>Study</w:t>
            </w:r>
          </w:p>
        </w:tc>
        <w:tc>
          <w:tcPr>
            <w:tcW w:w="2552" w:type="dxa"/>
          </w:tcPr>
          <w:p w:rsidR="00F502A4" w:rsidRPr="00A44D31" w:rsidRDefault="00BF1211" w:rsidP="002C05E3">
            <w:pPr>
              <w:rPr>
                <w:b/>
                <w:szCs w:val="24"/>
              </w:rPr>
            </w:pPr>
            <w:r w:rsidRPr="00A44D31">
              <w:rPr>
                <w:b/>
                <w:szCs w:val="24"/>
              </w:rPr>
              <w:t>Sample</w:t>
            </w:r>
          </w:p>
        </w:tc>
        <w:tc>
          <w:tcPr>
            <w:tcW w:w="2126" w:type="dxa"/>
          </w:tcPr>
          <w:p w:rsidR="00F502A4" w:rsidRPr="00A44D31" w:rsidRDefault="00BF1211" w:rsidP="002C05E3">
            <w:pPr>
              <w:rPr>
                <w:b/>
                <w:szCs w:val="24"/>
              </w:rPr>
            </w:pPr>
            <w:r w:rsidRPr="00A44D31">
              <w:rPr>
                <w:b/>
                <w:szCs w:val="24"/>
              </w:rPr>
              <w:t>Methodology</w:t>
            </w:r>
          </w:p>
        </w:tc>
        <w:tc>
          <w:tcPr>
            <w:tcW w:w="7714" w:type="dxa"/>
          </w:tcPr>
          <w:p w:rsidR="00F502A4" w:rsidRPr="00A44D31" w:rsidRDefault="00BF1211" w:rsidP="002C05E3">
            <w:pPr>
              <w:rPr>
                <w:b/>
                <w:szCs w:val="24"/>
              </w:rPr>
            </w:pPr>
            <w:r w:rsidRPr="00A44D31">
              <w:rPr>
                <w:b/>
                <w:szCs w:val="24"/>
              </w:rPr>
              <w:t>Findings</w:t>
            </w:r>
          </w:p>
        </w:tc>
      </w:tr>
      <w:tr w:rsidR="004A2444" w:rsidRPr="00A44D31" w:rsidTr="0064179C">
        <w:trPr>
          <w:trHeight w:hRule="exact" w:val="1077"/>
        </w:trPr>
        <w:tc>
          <w:tcPr>
            <w:tcW w:w="2629" w:type="dxa"/>
          </w:tcPr>
          <w:p w:rsidR="00F502A4" w:rsidRPr="00A44D31" w:rsidRDefault="00BF1211" w:rsidP="00106774">
            <w:pPr>
              <w:spacing w:line="240" w:lineRule="auto"/>
              <w:rPr>
                <w:sz w:val="18"/>
                <w:szCs w:val="18"/>
              </w:rPr>
            </w:pPr>
            <w:proofErr w:type="spellStart"/>
            <w:r w:rsidRPr="00A44D31">
              <w:rPr>
                <w:sz w:val="18"/>
                <w:szCs w:val="18"/>
              </w:rPr>
              <w:t>Capocci</w:t>
            </w:r>
            <w:proofErr w:type="spellEnd"/>
            <w:r w:rsidRPr="00A44D31">
              <w:rPr>
                <w:sz w:val="18"/>
                <w:szCs w:val="18"/>
              </w:rPr>
              <w:t xml:space="preserve"> and </w:t>
            </w:r>
            <w:proofErr w:type="spellStart"/>
            <w:r w:rsidRPr="00A44D31">
              <w:rPr>
                <w:sz w:val="18"/>
                <w:szCs w:val="18"/>
              </w:rPr>
              <w:t>Hubner</w:t>
            </w:r>
            <w:proofErr w:type="spellEnd"/>
            <w:r w:rsidRPr="00A44D31">
              <w:rPr>
                <w:sz w:val="18"/>
                <w:szCs w:val="18"/>
              </w:rPr>
              <w:t xml:space="preserve"> (2004)</w:t>
            </w:r>
          </w:p>
        </w:tc>
        <w:tc>
          <w:tcPr>
            <w:tcW w:w="2552" w:type="dxa"/>
          </w:tcPr>
          <w:p w:rsidR="00F502A4" w:rsidRPr="00A44D31" w:rsidRDefault="00BF1211" w:rsidP="00106774">
            <w:pPr>
              <w:spacing w:line="240" w:lineRule="auto"/>
              <w:rPr>
                <w:sz w:val="18"/>
                <w:szCs w:val="18"/>
              </w:rPr>
            </w:pPr>
            <w:r w:rsidRPr="00A44D31">
              <w:rPr>
                <w:sz w:val="18"/>
                <w:szCs w:val="18"/>
              </w:rPr>
              <w:t>HFR, MAR, 1988-1995</w:t>
            </w:r>
          </w:p>
        </w:tc>
        <w:tc>
          <w:tcPr>
            <w:tcW w:w="2126" w:type="dxa"/>
          </w:tcPr>
          <w:p w:rsidR="00F502A4" w:rsidRPr="00A44D31" w:rsidRDefault="00BF1211" w:rsidP="00106774">
            <w:pPr>
              <w:spacing w:line="240" w:lineRule="auto"/>
              <w:rPr>
                <w:sz w:val="18"/>
                <w:szCs w:val="18"/>
              </w:rPr>
            </w:pPr>
            <w:r w:rsidRPr="00A44D31">
              <w:rPr>
                <w:sz w:val="18"/>
                <w:szCs w:val="18"/>
              </w:rPr>
              <w:t>Regression based and portfolio construction</w:t>
            </w:r>
          </w:p>
        </w:tc>
        <w:tc>
          <w:tcPr>
            <w:tcW w:w="7714" w:type="dxa"/>
          </w:tcPr>
          <w:p w:rsidR="00F502A4" w:rsidRPr="00E34E6E" w:rsidRDefault="00EF5193" w:rsidP="00D80361">
            <w:pPr>
              <w:spacing w:line="240" w:lineRule="auto"/>
              <w:rPr>
                <w:sz w:val="18"/>
                <w:szCs w:val="18"/>
              </w:rPr>
            </w:pPr>
            <w:r w:rsidRPr="00E34E6E">
              <w:rPr>
                <w:sz w:val="18"/>
                <w:szCs w:val="18"/>
              </w:rPr>
              <w:t>One quarter of individual hedge funds deliver significant positive excess returns. The majority of them invest in smaller stocks and emerging market bonds</w:t>
            </w:r>
            <w:r w:rsidR="008D597A" w:rsidRPr="00E34E6E">
              <w:rPr>
                <w:sz w:val="18"/>
                <w:szCs w:val="18"/>
              </w:rPr>
              <w:t xml:space="preserve"> </w:t>
            </w:r>
            <w:r w:rsidR="00AC4E62" w:rsidRPr="00E34E6E">
              <w:rPr>
                <w:sz w:val="18"/>
                <w:szCs w:val="18"/>
              </w:rPr>
              <w:t>ha</w:t>
            </w:r>
            <w:r w:rsidR="0016136C" w:rsidRPr="00E34E6E">
              <w:rPr>
                <w:sz w:val="18"/>
                <w:szCs w:val="18"/>
              </w:rPr>
              <w:t xml:space="preserve">ving </w:t>
            </w:r>
            <w:r w:rsidR="006A6CFB" w:rsidRPr="00E34E6E">
              <w:rPr>
                <w:sz w:val="18"/>
                <w:szCs w:val="18"/>
              </w:rPr>
              <w:t xml:space="preserve">also </w:t>
            </w:r>
            <w:r w:rsidR="005957D5" w:rsidRPr="00E34E6E">
              <w:rPr>
                <w:sz w:val="18"/>
                <w:szCs w:val="18"/>
              </w:rPr>
              <w:t>exposure</w:t>
            </w:r>
            <w:r w:rsidR="0016136C" w:rsidRPr="00E34E6E">
              <w:rPr>
                <w:sz w:val="18"/>
                <w:szCs w:val="18"/>
              </w:rPr>
              <w:t xml:space="preserve"> to the US bond market.</w:t>
            </w:r>
            <w:r w:rsidR="00D80361" w:rsidRPr="00E34E6E">
              <w:rPr>
                <w:sz w:val="18"/>
                <w:szCs w:val="18"/>
              </w:rPr>
              <w:t xml:space="preserve"> </w:t>
            </w:r>
            <w:r w:rsidRPr="00E34E6E">
              <w:rPr>
                <w:sz w:val="18"/>
                <w:szCs w:val="18"/>
              </w:rPr>
              <w:t>Nine out of twelve strategies deliver significant positive returns</w:t>
            </w:r>
            <w:r w:rsidR="00763D3D" w:rsidRPr="00E34E6E">
              <w:rPr>
                <w:sz w:val="18"/>
                <w:szCs w:val="18"/>
              </w:rPr>
              <w:t>. Most Event Driven, Market Neutral, and US Opportunistic funds prefer stocks with high book-to-market ratios</w:t>
            </w:r>
          </w:p>
        </w:tc>
      </w:tr>
      <w:tr w:rsidR="004A2444" w:rsidRPr="00A44D31" w:rsidTr="0064179C">
        <w:trPr>
          <w:trHeight w:hRule="exact" w:val="851"/>
        </w:trPr>
        <w:tc>
          <w:tcPr>
            <w:tcW w:w="2629" w:type="dxa"/>
          </w:tcPr>
          <w:p w:rsidR="00F502A4" w:rsidRPr="00A44D31" w:rsidRDefault="00C35061" w:rsidP="00106774">
            <w:pPr>
              <w:spacing w:line="240" w:lineRule="auto"/>
              <w:rPr>
                <w:sz w:val="18"/>
                <w:szCs w:val="18"/>
              </w:rPr>
            </w:pPr>
            <w:proofErr w:type="spellStart"/>
            <w:r>
              <w:rPr>
                <w:sz w:val="18"/>
                <w:szCs w:val="18"/>
              </w:rPr>
              <w:t>Sch</w:t>
            </w:r>
            <w:r w:rsidR="00AF5AAD" w:rsidRPr="00A44D31">
              <w:rPr>
                <w:sz w:val="18"/>
                <w:szCs w:val="18"/>
              </w:rPr>
              <w:t>neeweis</w:t>
            </w:r>
            <w:proofErr w:type="spellEnd"/>
            <w:r w:rsidR="00AF5AAD" w:rsidRPr="00A44D31">
              <w:rPr>
                <w:sz w:val="18"/>
                <w:szCs w:val="18"/>
              </w:rPr>
              <w:t xml:space="preserve"> and </w:t>
            </w:r>
            <w:proofErr w:type="spellStart"/>
            <w:r w:rsidR="00AF5AAD" w:rsidRPr="00A44D31">
              <w:rPr>
                <w:sz w:val="18"/>
                <w:szCs w:val="18"/>
              </w:rPr>
              <w:t>Spurgin</w:t>
            </w:r>
            <w:proofErr w:type="spellEnd"/>
            <w:r w:rsidR="00AF5AAD" w:rsidRPr="00A44D31">
              <w:rPr>
                <w:sz w:val="18"/>
                <w:szCs w:val="18"/>
              </w:rPr>
              <w:t xml:space="preserve"> (1998)</w:t>
            </w:r>
          </w:p>
        </w:tc>
        <w:tc>
          <w:tcPr>
            <w:tcW w:w="2552" w:type="dxa"/>
          </w:tcPr>
          <w:p w:rsidR="00F502A4" w:rsidRPr="00A44D31" w:rsidRDefault="00AF5AAD" w:rsidP="00106774">
            <w:pPr>
              <w:spacing w:line="240" w:lineRule="auto"/>
              <w:rPr>
                <w:sz w:val="18"/>
                <w:szCs w:val="18"/>
              </w:rPr>
            </w:pPr>
            <w:r w:rsidRPr="00A44D31">
              <w:rPr>
                <w:sz w:val="18"/>
                <w:szCs w:val="18"/>
              </w:rPr>
              <w:t>HFR, EACM, MAR, Barclays, 1990-1995</w:t>
            </w:r>
          </w:p>
        </w:tc>
        <w:tc>
          <w:tcPr>
            <w:tcW w:w="2126" w:type="dxa"/>
          </w:tcPr>
          <w:p w:rsidR="00F502A4" w:rsidRPr="00A44D31" w:rsidRDefault="00AF5AAD" w:rsidP="00106774">
            <w:pPr>
              <w:spacing w:line="240" w:lineRule="auto"/>
              <w:rPr>
                <w:sz w:val="18"/>
                <w:szCs w:val="18"/>
              </w:rPr>
            </w:pPr>
            <w:r w:rsidRPr="00A44D31">
              <w:rPr>
                <w:sz w:val="18"/>
                <w:szCs w:val="18"/>
              </w:rPr>
              <w:t>Regression based</w:t>
            </w:r>
          </w:p>
        </w:tc>
        <w:tc>
          <w:tcPr>
            <w:tcW w:w="7714" w:type="dxa"/>
          </w:tcPr>
          <w:p w:rsidR="00F502A4" w:rsidRPr="00E34E6E" w:rsidRDefault="00AF5AAD" w:rsidP="005163CA">
            <w:pPr>
              <w:spacing w:line="240" w:lineRule="auto"/>
              <w:rPr>
                <w:sz w:val="18"/>
                <w:szCs w:val="18"/>
              </w:rPr>
            </w:pPr>
            <w:r w:rsidRPr="00E34E6E">
              <w:rPr>
                <w:sz w:val="18"/>
                <w:szCs w:val="18"/>
              </w:rPr>
              <w:t xml:space="preserve">CTA returns are positively related to commodities </w:t>
            </w:r>
            <w:r w:rsidR="00037739" w:rsidRPr="00E34E6E">
              <w:rPr>
                <w:sz w:val="18"/>
                <w:szCs w:val="18"/>
              </w:rPr>
              <w:t xml:space="preserve">and currency movements </w:t>
            </w:r>
            <w:r w:rsidRPr="00E34E6E">
              <w:rPr>
                <w:sz w:val="18"/>
                <w:szCs w:val="18"/>
              </w:rPr>
              <w:t>whe</w:t>
            </w:r>
            <w:r w:rsidR="006F4878" w:rsidRPr="00E34E6E">
              <w:rPr>
                <w:sz w:val="18"/>
                <w:szCs w:val="18"/>
              </w:rPr>
              <w:t xml:space="preserve">reas hedge fund returns </w:t>
            </w:r>
            <w:r w:rsidR="005163CA" w:rsidRPr="00E34E6E">
              <w:rPr>
                <w:sz w:val="18"/>
                <w:szCs w:val="18"/>
              </w:rPr>
              <w:t xml:space="preserve">are </w:t>
            </w:r>
            <w:r w:rsidR="00C52772" w:rsidRPr="00E34E6E">
              <w:rPr>
                <w:sz w:val="18"/>
                <w:szCs w:val="18"/>
              </w:rPr>
              <w:t xml:space="preserve">related </w:t>
            </w:r>
            <w:r w:rsidRPr="00E34E6E">
              <w:rPr>
                <w:sz w:val="18"/>
                <w:szCs w:val="18"/>
              </w:rPr>
              <w:t xml:space="preserve">to the index returns </w:t>
            </w:r>
            <w:r w:rsidR="005163CA" w:rsidRPr="00E34E6E">
              <w:rPr>
                <w:sz w:val="18"/>
                <w:szCs w:val="18"/>
              </w:rPr>
              <w:t>invested</w:t>
            </w:r>
            <w:r w:rsidR="001A2D83" w:rsidRPr="00E34E6E">
              <w:rPr>
                <w:sz w:val="18"/>
                <w:szCs w:val="18"/>
              </w:rPr>
              <w:t xml:space="preserve">. Hedge funds systematically offer higher returns than either mutual funds or CTAs for any given level of risk </w:t>
            </w:r>
          </w:p>
        </w:tc>
      </w:tr>
      <w:tr w:rsidR="004A2444" w:rsidRPr="00A44D31" w:rsidTr="0064179C">
        <w:trPr>
          <w:trHeight w:hRule="exact" w:val="851"/>
        </w:trPr>
        <w:tc>
          <w:tcPr>
            <w:tcW w:w="2629" w:type="dxa"/>
          </w:tcPr>
          <w:p w:rsidR="00F502A4" w:rsidRPr="00A44D31" w:rsidRDefault="00635B6F" w:rsidP="00106774">
            <w:pPr>
              <w:spacing w:line="240" w:lineRule="auto"/>
              <w:rPr>
                <w:sz w:val="18"/>
                <w:szCs w:val="18"/>
              </w:rPr>
            </w:pPr>
            <w:r w:rsidRPr="00A44D31">
              <w:rPr>
                <w:sz w:val="18"/>
                <w:szCs w:val="18"/>
              </w:rPr>
              <w:t>Sharpe (1992)</w:t>
            </w:r>
          </w:p>
        </w:tc>
        <w:tc>
          <w:tcPr>
            <w:tcW w:w="2552" w:type="dxa"/>
          </w:tcPr>
          <w:p w:rsidR="00F502A4" w:rsidRPr="00A44D31" w:rsidRDefault="00635B6F" w:rsidP="00106774">
            <w:pPr>
              <w:spacing w:line="240" w:lineRule="auto"/>
              <w:rPr>
                <w:sz w:val="18"/>
                <w:szCs w:val="18"/>
              </w:rPr>
            </w:pPr>
            <w:r w:rsidRPr="00A44D31">
              <w:rPr>
                <w:sz w:val="18"/>
                <w:szCs w:val="18"/>
              </w:rPr>
              <w:t>C. Jarrett &amp; Company, Inc., 1985-1989</w:t>
            </w:r>
          </w:p>
        </w:tc>
        <w:tc>
          <w:tcPr>
            <w:tcW w:w="2126" w:type="dxa"/>
          </w:tcPr>
          <w:p w:rsidR="00F502A4" w:rsidRPr="00A44D31" w:rsidRDefault="00635B6F" w:rsidP="00106774">
            <w:pPr>
              <w:spacing w:line="240" w:lineRule="auto"/>
              <w:rPr>
                <w:sz w:val="18"/>
                <w:szCs w:val="18"/>
              </w:rPr>
            </w:pPr>
            <w:r w:rsidRPr="00A44D31">
              <w:rPr>
                <w:sz w:val="18"/>
                <w:szCs w:val="18"/>
              </w:rPr>
              <w:t>Regression based, portfolio construction</w:t>
            </w:r>
          </w:p>
        </w:tc>
        <w:tc>
          <w:tcPr>
            <w:tcW w:w="7714" w:type="dxa"/>
          </w:tcPr>
          <w:p w:rsidR="00F502A4" w:rsidRPr="00E34E6E" w:rsidRDefault="00635B6F" w:rsidP="00106774">
            <w:pPr>
              <w:spacing w:line="240" w:lineRule="auto"/>
              <w:rPr>
                <w:sz w:val="18"/>
                <w:szCs w:val="18"/>
              </w:rPr>
            </w:pPr>
            <w:r w:rsidRPr="00E34E6E">
              <w:rPr>
                <w:sz w:val="18"/>
                <w:szCs w:val="18"/>
              </w:rPr>
              <w:t>Focus on traditional mixed funds (composed of equities and bonds). Fund returns depend on their exposures to the investable assets and their realized returns</w:t>
            </w:r>
            <w:r w:rsidR="00330BB9" w:rsidRPr="00E34E6E">
              <w:rPr>
                <w:sz w:val="18"/>
                <w:szCs w:val="18"/>
              </w:rPr>
              <w:t>. Exposures to assets classes are a function of the proportion of</w:t>
            </w:r>
            <w:r w:rsidR="00D80361" w:rsidRPr="00E34E6E">
              <w:rPr>
                <w:sz w:val="18"/>
                <w:szCs w:val="18"/>
              </w:rPr>
              <w:t xml:space="preserve"> the</w:t>
            </w:r>
            <w:r w:rsidR="00330BB9" w:rsidRPr="00E34E6E">
              <w:rPr>
                <w:sz w:val="18"/>
                <w:szCs w:val="18"/>
              </w:rPr>
              <w:t xml:space="preserve"> investor’s portfolio invested in various funds and exposures of each </w:t>
            </w:r>
            <w:r w:rsidR="004649E8" w:rsidRPr="00E34E6E">
              <w:rPr>
                <w:sz w:val="18"/>
                <w:szCs w:val="18"/>
              </w:rPr>
              <w:t>given fund to the asset classes</w:t>
            </w:r>
          </w:p>
        </w:tc>
      </w:tr>
    </w:tbl>
    <w:p w:rsidR="00451A1E" w:rsidRDefault="00451A1E" w:rsidP="005A5038">
      <w:pPr>
        <w:jc w:val="both"/>
      </w:pPr>
    </w:p>
    <w:p w:rsidR="005E5E2E" w:rsidRDefault="005E5E2E" w:rsidP="005A5038">
      <w:pPr>
        <w:jc w:val="both"/>
      </w:pPr>
    </w:p>
    <w:p w:rsidR="005E5E2E" w:rsidRDefault="005E5E2E" w:rsidP="005A5038">
      <w:pPr>
        <w:jc w:val="both"/>
      </w:pPr>
    </w:p>
    <w:p w:rsidR="00F93E56" w:rsidRDefault="00F93E56" w:rsidP="005A5038">
      <w:pPr>
        <w:jc w:val="both"/>
      </w:pPr>
    </w:p>
    <w:p w:rsidR="005E5E2E" w:rsidRDefault="005E5E2E" w:rsidP="005E5E2E">
      <w:pPr>
        <w:spacing w:after="0"/>
        <w:jc w:val="both"/>
      </w:pPr>
    </w:p>
    <w:p w:rsidR="00D22CF6" w:rsidRDefault="00D22CF6" w:rsidP="005E5E2E">
      <w:pPr>
        <w:spacing w:after="0"/>
        <w:jc w:val="both"/>
      </w:pPr>
    </w:p>
    <w:p w:rsidR="00FB0DFB" w:rsidRDefault="00FB0DFB" w:rsidP="005E5E2E">
      <w:pPr>
        <w:spacing w:after="0"/>
        <w:jc w:val="both"/>
      </w:pPr>
    </w:p>
    <w:p w:rsidR="005E5E2E" w:rsidRDefault="005E5E2E" w:rsidP="005E5E2E">
      <w:pPr>
        <w:spacing w:after="0"/>
        <w:jc w:val="both"/>
      </w:pPr>
    </w:p>
    <w:p w:rsidR="00E719F0" w:rsidRPr="00E34E6E" w:rsidRDefault="00E719F0" w:rsidP="0088117F">
      <w:pPr>
        <w:spacing w:after="0"/>
        <w:jc w:val="both"/>
        <w:rPr>
          <w:b/>
        </w:rPr>
      </w:pPr>
      <w:r w:rsidRPr="00E34E6E">
        <w:rPr>
          <w:b/>
        </w:rPr>
        <w:lastRenderedPageBreak/>
        <w:t xml:space="preserve">Table 2. </w:t>
      </w:r>
      <w:r w:rsidR="00757C56" w:rsidRPr="00E34E6E">
        <w:rPr>
          <w:b/>
        </w:rPr>
        <w:t>Performance A</w:t>
      </w:r>
      <w:r w:rsidR="00A31104" w:rsidRPr="00E34E6E">
        <w:rPr>
          <w:b/>
        </w:rPr>
        <w:t>ttribution – Non-linear Studies</w:t>
      </w:r>
    </w:p>
    <w:p w:rsidR="000900B8" w:rsidRPr="00A44D31" w:rsidRDefault="00E719F0" w:rsidP="0088117F">
      <w:pPr>
        <w:spacing w:after="0"/>
        <w:jc w:val="both"/>
        <w:rPr>
          <w:sz w:val="18"/>
          <w:szCs w:val="18"/>
        </w:rPr>
      </w:pPr>
      <w:r w:rsidRPr="00A44D31">
        <w:rPr>
          <w:sz w:val="18"/>
          <w:szCs w:val="18"/>
        </w:rPr>
        <w:t xml:space="preserve">This Table presents the main characteristics and </w:t>
      </w:r>
      <w:r w:rsidR="00C347C3" w:rsidRPr="00A44D31">
        <w:rPr>
          <w:sz w:val="18"/>
          <w:szCs w:val="18"/>
        </w:rPr>
        <w:t>findings</w:t>
      </w:r>
      <w:r w:rsidRPr="00A44D31">
        <w:rPr>
          <w:sz w:val="18"/>
          <w:szCs w:val="18"/>
        </w:rPr>
        <w:t xml:space="preserve"> of the </w:t>
      </w:r>
      <w:r w:rsidR="004A487E">
        <w:rPr>
          <w:sz w:val="18"/>
          <w:szCs w:val="18"/>
        </w:rPr>
        <w:t>non-linear</w:t>
      </w:r>
      <w:r w:rsidR="008550A8" w:rsidRPr="00A44D31">
        <w:rPr>
          <w:sz w:val="18"/>
          <w:szCs w:val="18"/>
        </w:rPr>
        <w:t xml:space="preserve"> </w:t>
      </w:r>
      <w:r w:rsidRPr="00A44D31">
        <w:rPr>
          <w:sz w:val="18"/>
          <w:szCs w:val="18"/>
        </w:rPr>
        <w:t xml:space="preserve">studies </w:t>
      </w:r>
      <w:r w:rsidR="008550A8" w:rsidRPr="00A44D31">
        <w:rPr>
          <w:sz w:val="18"/>
          <w:szCs w:val="18"/>
        </w:rPr>
        <w:t>(bottom-up</w:t>
      </w:r>
      <w:r w:rsidR="00182725" w:rsidRPr="00A44D31">
        <w:rPr>
          <w:sz w:val="18"/>
          <w:szCs w:val="18"/>
        </w:rPr>
        <w:t xml:space="preserve"> approach</w:t>
      </w:r>
      <w:r w:rsidR="008550A8" w:rsidRPr="00A44D31">
        <w:rPr>
          <w:sz w:val="18"/>
          <w:szCs w:val="18"/>
        </w:rPr>
        <w:t xml:space="preserve">) </w:t>
      </w:r>
      <w:r w:rsidR="00A12FD4">
        <w:rPr>
          <w:sz w:val="18"/>
          <w:szCs w:val="18"/>
        </w:rPr>
        <w:t>of</w:t>
      </w:r>
      <w:r w:rsidRPr="00A44D31">
        <w:rPr>
          <w:sz w:val="18"/>
          <w:szCs w:val="18"/>
        </w:rPr>
        <w:t xml:space="preserve"> hedge fund performance </w:t>
      </w:r>
      <w:r w:rsidR="008550A8" w:rsidRPr="00A44D31">
        <w:rPr>
          <w:sz w:val="18"/>
          <w:szCs w:val="18"/>
        </w:rPr>
        <w:t>attribution</w:t>
      </w:r>
      <w:r w:rsidRPr="00A44D31">
        <w:rPr>
          <w:sz w:val="18"/>
          <w:szCs w:val="18"/>
        </w:rPr>
        <w:t xml:space="preserve">. Abbreviations: </w:t>
      </w:r>
      <w:r w:rsidR="00814882" w:rsidRPr="00A44D31">
        <w:rPr>
          <w:sz w:val="18"/>
          <w:szCs w:val="18"/>
        </w:rPr>
        <w:t xml:space="preserve">CSFB/Tremont: Credit Suisse First Boston, </w:t>
      </w:r>
      <w:r w:rsidR="0023435D" w:rsidRPr="00A44D31">
        <w:rPr>
          <w:sz w:val="18"/>
          <w:szCs w:val="18"/>
        </w:rPr>
        <w:t xml:space="preserve">CME: Chicago Mercantile Exchange, </w:t>
      </w:r>
      <w:r w:rsidR="00F65CCC" w:rsidRPr="00A44D31">
        <w:rPr>
          <w:sz w:val="18"/>
          <w:szCs w:val="18"/>
        </w:rPr>
        <w:t xml:space="preserve">FII: </w:t>
      </w:r>
      <w:r w:rsidR="003F1492" w:rsidRPr="00A44D31">
        <w:rPr>
          <w:sz w:val="18"/>
          <w:szCs w:val="18"/>
        </w:rPr>
        <w:t>Futures Industry Institute</w:t>
      </w:r>
      <w:r w:rsidR="00F65CCC" w:rsidRPr="00A44D31">
        <w:rPr>
          <w:sz w:val="18"/>
          <w:szCs w:val="18"/>
        </w:rPr>
        <w:t xml:space="preserve">, </w:t>
      </w:r>
      <w:r w:rsidRPr="00A44D31">
        <w:rPr>
          <w:sz w:val="18"/>
          <w:szCs w:val="18"/>
        </w:rPr>
        <w:t>HFR: Hedge Fund Research, Lipper/TASS: Tremont Advisory Shareholders Services</w:t>
      </w:r>
      <w:r w:rsidR="009205F4" w:rsidRPr="00A44D31">
        <w:rPr>
          <w:sz w:val="18"/>
          <w:szCs w:val="18"/>
        </w:rPr>
        <w:t>, PCA: Principal Component Analysis</w:t>
      </w:r>
      <w:r w:rsidR="00D332CF" w:rsidRPr="00A44D31">
        <w:rPr>
          <w:sz w:val="18"/>
          <w:szCs w:val="18"/>
        </w:rPr>
        <w:t>.</w:t>
      </w:r>
      <w:r w:rsidR="008550A8" w:rsidRPr="00A44D31">
        <w:rPr>
          <w:sz w:val="18"/>
          <w:szCs w:val="18"/>
        </w:rPr>
        <w:t xml:space="preserve"> </w:t>
      </w:r>
      <w:r w:rsidR="000900B8" w:rsidRPr="00A44D31">
        <w:rPr>
          <w:sz w:val="18"/>
          <w:szCs w:val="18"/>
        </w:rPr>
        <w:t xml:space="preserve">Some databases (e.g. Lipper and TASS, MAR and CISDM) have been merged.  </w:t>
      </w:r>
    </w:p>
    <w:tbl>
      <w:tblPr>
        <w:tblStyle w:val="TableGrid"/>
        <w:tblW w:w="15127" w:type="dxa"/>
        <w:jc w:val="center"/>
        <w:tblLayout w:type="fixed"/>
        <w:tblLook w:val="04A0" w:firstRow="1" w:lastRow="0" w:firstColumn="1" w:lastColumn="0" w:noHBand="0" w:noVBand="1"/>
      </w:tblPr>
      <w:tblGrid>
        <w:gridCol w:w="2410"/>
        <w:gridCol w:w="2410"/>
        <w:gridCol w:w="2835"/>
        <w:gridCol w:w="7472"/>
      </w:tblGrid>
      <w:tr w:rsidR="004A2444" w:rsidRPr="00A44D31" w:rsidTr="00E82681">
        <w:trPr>
          <w:trHeight w:hRule="exact" w:val="340"/>
          <w:jc w:val="center"/>
        </w:trPr>
        <w:tc>
          <w:tcPr>
            <w:tcW w:w="2410" w:type="dxa"/>
          </w:tcPr>
          <w:p w:rsidR="00834350" w:rsidRPr="00A44D31" w:rsidRDefault="00834350" w:rsidP="00797366">
            <w:pPr>
              <w:rPr>
                <w:b/>
                <w:szCs w:val="24"/>
              </w:rPr>
            </w:pPr>
            <w:r w:rsidRPr="00A44D31">
              <w:rPr>
                <w:b/>
                <w:szCs w:val="24"/>
              </w:rPr>
              <w:t>Study</w:t>
            </w:r>
          </w:p>
        </w:tc>
        <w:tc>
          <w:tcPr>
            <w:tcW w:w="2410" w:type="dxa"/>
          </w:tcPr>
          <w:p w:rsidR="00834350" w:rsidRPr="00A44D31" w:rsidRDefault="00834350" w:rsidP="00797366">
            <w:pPr>
              <w:rPr>
                <w:b/>
                <w:szCs w:val="24"/>
              </w:rPr>
            </w:pPr>
            <w:r w:rsidRPr="00A44D31">
              <w:rPr>
                <w:b/>
                <w:szCs w:val="24"/>
              </w:rPr>
              <w:t>Sample</w:t>
            </w:r>
          </w:p>
        </w:tc>
        <w:tc>
          <w:tcPr>
            <w:tcW w:w="2835" w:type="dxa"/>
          </w:tcPr>
          <w:p w:rsidR="00834350" w:rsidRPr="00A44D31" w:rsidRDefault="00F87A69" w:rsidP="00797366">
            <w:pPr>
              <w:rPr>
                <w:b/>
                <w:szCs w:val="24"/>
              </w:rPr>
            </w:pPr>
            <w:r w:rsidRPr="00A44D31">
              <w:rPr>
                <w:b/>
                <w:szCs w:val="24"/>
              </w:rPr>
              <w:t>Approach/</w:t>
            </w:r>
            <w:r w:rsidR="00834350" w:rsidRPr="00A44D31">
              <w:rPr>
                <w:b/>
                <w:szCs w:val="24"/>
              </w:rPr>
              <w:t>Methodology</w:t>
            </w:r>
          </w:p>
        </w:tc>
        <w:tc>
          <w:tcPr>
            <w:tcW w:w="7472" w:type="dxa"/>
          </w:tcPr>
          <w:p w:rsidR="00834350" w:rsidRPr="00A44D31" w:rsidRDefault="00834350" w:rsidP="00797366">
            <w:pPr>
              <w:rPr>
                <w:b/>
                <w:szCs w:val="24"/>
              </w:rPr>
            </w:pPr>
            <w:r w:rsidRPr="00A44D31">
              <w:rPr>
                <w:b/>
                <w:szCs w:val="24"/>
              </w:rPr>
              <w:t>Findings</w:t>
            </w:r>
          </w:p>
        </w:tc>
      </w:tr>
      <w:tr w:rsidR="004A2444" w:rsidRPr="00A44D31" w:rsidTr="003A1335">
        <w:trPr>
          <w:trHeight w:hRule="exact" w:val="1077"/>
          <w:jc w:val="center"/>
        </w:trPr>
        <w:tc>
          <w:tcPr>
            <w:tcW w:w="2410" w:type="dxa"/>
          </w:tcPr>
          <w:p w:rsidR="00834350" w:rsidRPr="00A44D31" w:rsidRDefault="00834350" w:rsidP="00D45E3B">
            <w:pPr>
              <w:spacing w:line="240" w:lineRule="auto"/>
              <w:rPr>
                <w:sz w:val="18"/>
                <w:szCs w:val="18"/>
              </w:rPr>
            </w:pPr>
            <w:r w:rsidRPr="00A44D31">
              <w:rPr>
                <w:sz w:val="18"/>
                <w:szCs w:val="18"/>
              </w:rPr>
              <w:t xml:space="preserve">Agarwal and </w:t>
            </w:r>
            <w:proofErr w:type="spellStart"/>
            <w:r w:rsidRPr="00A44D31">
              <w:rPr>
                <w:sz w:val="18"/>
                <w:szCs w:val="18"/>
              </w:rPr>
              <w:t>Naik</w:t>
            </w:r>
            <w:proofErr w:type="spellEnd"/>
            <w:r w:rsidRPr="00A44D31">
              <w:rPr>
                <w:sz w:val="18"/>
                <w:szCs w:val="18"/>
              </w:rPr>
              <w:t xml:space="preserve"> (2000)</w:t>
            </w:r>
          </w:p>
        </w:tc>
        <w:tc>
          <w:tcPr>
            <w:tcW w:w="2410" w:type="dxa"/>
          </w:tcPr>
          <w:p w:rsidR="00834350" w:rsidRPr="00A44D31" w:rsidRDefault="00F87A69" w:rsidP="00D45E3B">
            <w:pPr>
              <w:spacing w:line="240" w:lineRule="auto"/>
              <w:rPr>
                <w:sz w:val="18"/>
                <w:szCs w:val="18"/>
              </w:rPr>
            </w:pPr>
            <w:r w:rsidRPr="00A44D31">
              <w:rPr>
                <w:sz w:val="18"/>
                <w:szCs w:val="18"/>
              </w:rPr>
              <w:t>HFR, 1990-1998</w:t>
            </w:r>
          </w:p>
        </w:tc>
        <w:tc>
          <w:tcPr>
            <w:tcW w:w="2835" w:type="dxa"/>
          </w:tcPr>
          <w:p w:rsidR="00834350" w:rsidRPr="00A44D31" w:rsidRDefault="00F87A69" w:rsidP="00D45E3B">
            <w:pPr>
              <w:spacing w:line="240" w:lineRule="auto"/>
              <w:rPr>
                <w:sz w:val="18"/>
                <w:szCs w:val="18"/>
              </w:rPr>
            </w:pPr>
            <w:r w:rsidRPr="00A44D31">
              <w:rPr>
                <w:sz w:val="18"/>
                <w:szCs w:val="18"/>
              </w:rPr>
              <w:t xml:space="preserve">Bottom-Up/Regression based, portfolio </w:t>
            </w:r>
            <w:r w:rsidR="001963AF" w:rsidRPr="00A44D31">
              <w:rPr>
                <w:sz w:val="18"/>
                <w:szCs w:val="18"/>
              </w:rPr>
              <w:t>construction</w:t>
            </w:r>
          </w:p>
        </w:tc>
        <w:tc>
          <w:tcPr>
            <w:tcW w:w="7472" w:type="dxa"/>
          </w:tcPr>
          <w:p w:rsidR="00834350" w:rsidRPr="00E34E6E" w:rsidRDefault="00490FFF" w:rsidP="00D45E3B">
            <w:pPr>
              <w:spacing w:line="240" w:lineRule="auto"/>
              <w:rPr>
                <w:sz w:val="18"/>
                <w:szCs w:val="18"/>
              </w:rPr>
            </w:pPr>
            <w:r w:rsidRPr="00E34E6E">
              <w:rPr>
                <w:sz w:val="18"/>
                <w:szCs w:val="18"/>
              </w:rPr>
              <w:t xml:space="preserve">Trading strategy and location factors are able to interpret </w:t>
            </w:r>
            <w:r w:rsidR="00AB53B5" w:rsidRPr="00E34E6E">
              <w:rPr>
                <w:sz w:val="18"/>
                <w:szCs w:val="18"/>
              </w:rPr>
              <w:t xml:space="preserve">a </w:t>
            </w:r>
            <w:r w:rsidRPr="00E34E6E">
              <w:rPr>
                <w:sz w:val="18"/>
                <w:szCs w:val="18"/>
              </w:rPr>
              <w:t xml:space="preserve">significant amount </w:t>
            </w:r>
            <w:r w:rsidR="00AB53B5" w:rsidRPr="00E34E6E">
              <w:rPr>
                <w:sz w:val="18"/>
                <w:szCs w:val="18"/>
              </w:rPr>
              <w:t>(</w:t>
            </w:r>
            <w:r w:rsidRPr="00E34E6E">
              <w:rPr>
                <w:sz w:val="18"/>
                <w:szCs w:val="18"/>
              </w:rPr>
              <w:t>up to 90%</w:t>
            </w:r>
            <w:r w:rsidR="00AB53B5" w:rsidRPr="00E34E6E">
              <w:rPr>
                <w:sz w:val="18"/>
                <w:szCs w:val="18"/>
              </w:rPr>
              <w:t>)</w:t>
            </w:r>
            <w:r w:rsidRPr="00E34E6E">
              <w:rPr>
                <w:sz w:val="18"/>
                <w:szCs w:val="18"/>
              </w:rPr>
              <w:t xml:space="preserve"> of hedge fund returns. Non-directional strategies present more significant loadings on trading strategy factors. Directional strategies present significant loadings on location factors</w:t>
            </w:r>
            <w:r w:rsidR="00A16B47" w:rsidRPr="00E34E6E">
              <w:rPr>
                <w:sz w:val="18"/>
                <w:szCs w:val="18"/>
              </w:rPr>
              <w:t xml:space="preserve">. </w:t>
            </w:r>
            <w:r w:rsidR="00EA2EA4" w:rsidRPr="00E34E6E">
              <w:rPr>
                <w:sz w:val="18"/>
                <w:szCs w:val="18"/>
              </w:rPr>
              <w:t xml:space="preserve">Only 35% of the hedge funds have added significant excess returns to investors. </w:t>
            </w:r>
            <w:r w:rsidR="003A1335" w:rsidRPr="00E34E6E">
              <w:rPr>
                <w:sz w:val="18"/>
                <w:szCs w:val="18"/>
              </w:rPr>
              <w:t xml:space="preserve">Funds that use leverage do not necessarily perform better or worse than funds that do not use leverage </w:t>
            </w:r>
          </w:p>
        </w:tc>
      </w:tr>
      <w:tr w:rsidR="004A2444" w:rsidRPr="00A44D31" w:rsidTr="005350A4">
        <w:trPr>
          <w:trHeight w:hRule="exact" w:val="1304"/>
          <w:jc w:val="center"/>
        </w:trPr>
        <w:tc>
          <w:tcPr>
            <w:tcW w:w="2410" w:type="dxa"/>
          </w:tcPr>
          <w:p w:rsidR="00834350" w:rsidRPr="00A44D31" w:rsidRDefault="00A12122" w:rsidP="00D45E3B">
            <w:pPr>
              <w:spacing w:line="240" w:lineRule="auto"/>
              <w:rPr>
                <w:sz w:val="18"/>
                <w:szCs w:val="18"/>
              </w:rPr>
            </w:pPr>
            <w:r w:rsidRPr="00A44D31">
              <w:rPr>
                <w:sz w:val="18"/>
                <w:szCs w:val="18"/>
              </w:rPr>
              <w:t xml:space="preserve">Agarwal and </w:t>
            </w:r>
            <w:proofErr w:type="spellStart"/>
            <w:r w:rsidRPr="00A44D31">
              <w:rPr>
                <w:sz w:val="18"/>
                <w:szCs w:val="18"/>
              </w:rPr>
              <w:t>Naik</w:t>
            </w:r>
            <w:proofErr w:type="spellEnd"/>
            <w:r w:rsidRPr="00A44D31">
              <w:rPr>
                <w:sz w:val="18"/>
                <w:szCs w:val="18"/>
              </w:rPr>
              <w:t xml:space="preserve"> (2004)</w:t>
            </w:r>
          </w:p>
        </w:tc>
        <w:tc>
          <w:tcPr>
            <w:tcW w:w="2410" w:type="dxa"/>
          </w:tcPr>
          <w:p w:rsidR="00834350" w:rsidRPr="00A44D31" w:rsidRDefault="00A12122" w:rsidP="00D45E3B">
            <w:pPr>
              <w:spacing w:line="240" w:lineRule="auto"/>
              <w:rPr>
                <w:sz w:val="18"/>
                <w:szCs w:val="18"/>
              </w:rPr>
            </w:pPr>
            <w:r w:rsidRPr="00A44D31">
              <w:rPr>
                <w:sz w:val="18"/>
                <w:szCs w:val="18"/>
              </w:rPr>
              <w:t>HFR, TASS, 1990-2000</w:t>
            </w:r>
          </w:p>
        </w:tc>
        <w:tc>
          <w:tcPr>
            <w:tcW w:w="2835" w:type="dxa"/>
          </w:tcPr>
          <w:p w:rsidR="00834350" w:rsidRPr="00A44D31" w:rsidRDefault="00A12122" w:rsidP="00D45E3B">
            <w:pPr>
              <w:spacing w:line="240" w:lineRule="auto"/>
              <w:rPr>
                <w:sz w:val="18"/>
                <w:szCs w:val="18"/>
              </w:rPr>
            </w:pPr>
            <w:r w:rsidRPr="00A44D31">
              <w:rPr>
                <w:sz w:val="18"/>
                <w:szCs w:val="18"/>
              </w:rPr>
              <w:t>Bottom-Up/Regression based, portfolio construction</w:t>
            </w:r>
          </w:p>
        </w:tc>
        <w:tc>
          <w:tcPr>
            <w:tcW w:w="7472" w:type="dxa"/>
          </w:tcPr>
          <w:p w:rsidR="00834350" w:rsidRPr="00E34E6E" w:rsidRDefault="00690232" w:rsidP="00D45E3B">
            <w:pPr>
              <w:spacing w:line="240" w:lineRule="auto"/>
              <w:rPr>
                <w:sz w:val="18"/>
                <w:szCs w:val="18"/>
              </w:rPr>
            </w:pPr>
            <w:r w:rsidRPr="00E34E6E">
              <w:rPr>
                <w:sz w:val="18"/>
                <w:szCs w:val="18"/>
              </w:rPr>
              <w:t xml:space="preserve">Hedge fund strategies </w:t>
            </w:r>
            <w:r w:rsidR="003E3B2C" w:rsidRPr="00E34E6E">
              <w:rPr>
                <w:sz w:val="18"/>
                <w:szCs w:val="18"/>
              </w:rPr>
              <w:t xml:space="preserve">can </w:t>
            </w:r>
            <w:r w:rsidRPr="00E34E6E">
              <w:rPr>
                <w:sz w:val="18"/>
                <w:szCs w:val="18"/>
              </w:rPr>
              <w:t xml:space="preserve">have payoffs similar to a short position in a put option on the market index and </w:t>
            </w:r>
            <w:r w:rsidR="00603697" w:rsidRPr="00E34E6E">
              <w:rPr>
                <w:sz w:val="18"/>
                <w:szCs w:val="18"/>
              </w:rPr>
              <w:t xml:space="preserve">exhibit </w:t>
            </w:r>
            <w:r w:rsidRPr="00E34E6E">
              <w:rPr>
                <w:sz w:val="18"/>
                <w:szCs w:val="18"/>
              </w:rPr>
              <w:t>significant exposures to the size, value, and momentum factors. A short position in a put option on the market index delivers a significant left-tailed risk that is not captured sufficiently</w:t>
            </w:r>
            <w:r w:rsidR="00A1404F" w:rsidRPr="00E34E6E">
              <w:rPr>
                <w:sz w:val="18"/>
                <w:szCs w:val="18"/>
              </w:rPr>
              <w:t xml:space="preserve"> in the mean variance framework</w:t>
            </w:r>
            <w:r w:rsidR="00272411" w:rsidRPr="00E34E6E">
              <w:rPr>
                <w:sz w:val="18"/>
                <w:szCs w:val="18"/>
              </w:rPr>
              <w:t>. The expected tail losses of mean-variance optimal portfolios can be underestimated</w:t>
            </w:r>
            <w:r w:rsidR="005350A4" w:rsidRPr="00E34E6E">
              <w:rPr>
                <w:sz w:val="18"/>
                <w:szCs w:val="18"/>
              </w:rPr>
              <w:t xml:space="preserve"> and the performance during the last decade is not representative of hedge fund long-term performance</w:t>
            </w:r>
          </w:p>
        </w:tc>
      </w:tr>
      <w:tr w:rsidR="004A2444" w:rsidRPr="00A44D31" w:rsidTr="00E43604">
        <w:trPr>
          <w:trHeight w:hRule="exact" w:val="1304"/>
          <w:jc w:val="center"/>
        </w:trPr>
        <w:tc>
          <w:tcPr>
            <w:tcW w:w="2410" w:type="dxa"/>
          </w:tcPr>
          <w:p w:rsidR="00834350" w:rsidRPr="00A44D31" w:rsidRDefault="001E0F2D" w:rsidP="00D45E3B">
            <w:pPr>
              <w:spacing w:line="240" w:lineRule="auto"/>
              <w:rPr>
                <w:sz w:val="18"/>
                <w:szCs w:val="18"/>
              </w:rPr>
            </w:pPr>
            <w:r w:rsidRPr="00A44D31">
              <w:rPr>
                <w:sz w:val="18"/>
                <w:szCs w:val="18"/>
              </w:rPr>
              <w:t xml:space="preserve">Duarte, </w:t>
            </w:r>
            <w:proofErr w:type="spellStart"/>
            <w:r w:rsidRPr="00A44D31">
              <w:rPr>
                <w:sz w:val="18"/>
                <w:szCs w:val="18"/>
              </w:rPr>
              <w:t>Longstaff</w:t>
            </w:r>
            <w:proofErr w:type="spellEnd"/>
            <w:r w:rsidRPr="00A44D31">
              <w:rPr>
                <w:sz w:val="18"/>
                <w:szCs w:val="18"/>
              </w:rPr>
              <w:t>, and Yu (2007)</w:t>
            </w:r>
          </w:p>
        </w:tc>
        <w:tc>
          <w:tcPr>
            <w:tcW w:w="2410" w:type="dxa"/>
          </w:tcPr>
          <w:p w:rsidR="00834350" w:rsidRPr="00A44D31" w:rsidRDefault="001E0F2D" w:rsidP="00D45E3B">
            <w:pPr>
              <w:spacing w:line="240" w:lineRule="auto"/>
              <w:rPr>
                <w:sz w:val="18"/>
                <w:szCs w:val="18"/>
              </w:rPr>
            </w:pPr>
            <w:r w:rsidRPr="00A44D31">
              <w:rPr>
                <w:sz w:val="18"/>
                <w:szCs w:val="18"/>
              </w:rPr>
              <w:t>CSFB/Tremont, HFR, 1994-2004</w:t>
            </w:r>
          </w:p>
        </w:tc>
        <w:tc>
          <w:tcPr>
            <w:tcW w:w="2835" w:type="dxa"/>
          </w:tcPr>
          <w:p w:rsidR="00834350" w:rsidRPr="00A44D31" w:rsidRDefault="001E0F2D" w:rsidP="00D45E3B">
            <w:pPr>
              <w:spacing w:line="240" w:lineRule="auto"/>
              <w:rPr>
                <w:sz w:val="18"/>
                <w:szCs w:val="18"/>
              </w:rPr>
            </w:pPr>
            <w:r w:rsidRPr="00A44D31">
              <w:rPr>
                <w:sz w:val="18"/>
                <w:szCs w:val="18"/>
              </w:rPr>
              <w:t>Bottom-Up/Isotonic regression, Linear-Kernel regression</w:t>
            </w:r>
          </w:p>
        </w:tc>
        <w:tc>
          <w:tcPr>
            <w:tcW w:w="7472" w:type="dxa"/>
          </w:tcPr>
          <w:p w:rsidR="00834350" w:rsidRPr="00E34E6E" w:rsidRDefault="00FE6DE2" w:rsidP="00D80361">
            <w:pPr>
              <w:spacing w:line="240" w:lineRule="auto"/>
              <w:rPr>
                <w:sz w:val="18"/>
                <w:szCs w:val="18"/>
              </w:rPr>
            </w:pPr>
            <w:r w:rsidRPr="00E34E6E">
              <w:rPr>
                <w:sz w:val="18"/>
                <w:szCs w:val="18"/>
              </w:rPr>
              <w:t>In general, f</w:t>
            </w:r>
            <w:r w:rsidR="001E0F2D" w:rsidRPr="00E34E6E">
              <w:rPr>
                <w:sz w:val="18"/>
                <w:szCs w:val="18"/>
              </w:rPr>
              <w:t>ixed income arbitrage strategies deliver positi</w:t>
            </w:r>
            <w:r w:rsidR="00584E5B" w:rsidRPr="00E34E6E">
              <w:rPr>
                <w:sz w:val="18"/>
                <w:szCs w:val="18"/>
              </w:rPr>
              <w:t>ve excess returns</w:t>
            </w:r>
            <w:r w:rsidR="00E82681" w:rsidRPr="00E34E6E">
              <w:rPr>
                <w:sz w:val="18"/>
                <w:szCs w:val="18"/>
              </w:rPr>
              <w:t xml:space="preserve"> which are positively skewed</w:t>
            </w:r>
            <w:r w:rsidR="00584E5B" w:rsidRPr="00E34E6E">
              <w:rPr>
                <w:sz w:val="18"/>
                <w:szCs w:val="18"/>
              </w:rPr>
              <w:t xml:space="preserve">. </w:t>
            </w:r>
            <w:r w:rsidR="00C02A86" w:rsidRPr="00E34E6E">
              <w:rPr>
                <w:sz w:val="18"/>
                <w:szCs w:val="18"/>
              </w:rPr>
              <w:t>However, t</w:t>
            </w:r>
            <w:r w:rsidR="00584E5B" w:rsidRPr="00E34E6E">
              <w:rPr>
                <w:sz w:val="18"/>
                <w:szCs w:val="18"/>
              </w:rPr>
              <w:t>hey expose</w:t>
            </w:r>
            <w:r w:rsidR="001E0F2D" w:rsidRPr="00E34E6E">
              <w:rPr>
                <w:sz w:val="18"/>
                <w:szCs w:val="18"/>
              </w:rPr>
              <w:t xml:space="preserve"> investors to substantial levels of market risk. </w:t>
            </w:r>
            <w:r w:rsidR="00C02A86" w:rsidRPr="00E34E6E">
              <w:rPr>
                <w:sz w:val="18"/>
                <w:szCs w:val="18"/>
              </w:rPr>
              <w:t>After adjusting for equity and bond factors</w:t>
            </w:r>
            <w:r w:rsidR="0000759F" w:rsidRPr="00E34E6E">
              <w:rPr>
                <w:sz w:val="18"/>
                <w:szCs w:val="18"/>
              </w:rPr>
              <w:t>,</w:t>
            </w:r>
            <w:r w:rsidR="00C02A86" w:rsidRPr="00E34E6E">
              <w:rPr>
                <w:sz w:val="18"/>
                <w:szCs w:val="18"/>
              </w:rPr>
              <w:t xml:space="preserve"> the Swap spread arbitrage and the Volatility Arbitrage </w:t>
            </w:r>
            <w:r w:rsidR="0000759F" w:rsidRPr="00E34E6E">
              <w:rPr>
                <w:sz w:val="18"/>
                <w:szCs w:val="18"/>
              </w:rPr>
              <w:t xml:space="preserve">strategies </w:t>
            </w:r>
            <w:r w:rsidR="00C02A86" w:rsidRPr="00E34E6E">
              <w:rPr>
                <w:sz w:val="18"/>
                <w:szCs w:val="18"/>
              </w:rPr>
              <w:t>deliver insignificant alphas</w:t>
            </w:r>
            <w:r w:rsidR="00E82681" w:rsidRPr="00E34E6E">
              <w:rPr>
                <w:sz w:val="18"/>
                <w:szCs w:val="18"/>
              </w:rPr>
              <w:t>.</w:t>
            </w:r>
            <w:r w:rsidR="00C02A86" w:rsidRPr="00E34E6E">
              <w:rPr>
                <w:sz w:val="18"/>
                <w:szCs w:val="18"/>
              </w:rPr>
              <w:t xml:space="preserve"> </w:t>
            </w:r>
            <w:r w:rsidR="00E82681" w:rsidRPr="00E34E6E">
              <w:rPr>
                <w:sz w:val="18"/>
                <w:szCs w:val="18"/>
              </w:rPr>
              <w:t>In contrast, s</w:t>
            </w:r>
            <w:r w:rsidR="001E0F2D" w:rsidRPr="00E34E6E">
              <w:rPr>
                <w:sz w:val="18"/>
                <w:szCs w:val="18"/>
              </w:rPr>
              <w:t xml:space="preserve">ome "intellectual capital" intensive strategies </w:t>
            </w:r>
            <w:r w:rsidR="00E82681" w:rsidRPr="00E34E6E">
              <w:rPr>
                <w:sz w:val="18"/>
                <w:szCs w:val="18"/>
              </w:rPr>
              <w:t xml:space="preserve">such as Yield curve arbitrage, Mortgage arbitrage or Capital structure arbitrage </w:t>
            </w:r>
            <w:r w:rsidR="001E0F2D" w:rsidRPr="00E34E6E">
              <w:rPr>
                <w:sz w:val="18"/>
                <w:szCs w:val="18"/>
              </w:rPr>
              <w:t>produce significant alphas</w:t>
            </w:r>
            <w:r w:rsidR="00022073" w:rsidRPr="00E34E6E">
              <w:rPr>
                <w:sz w:val="18"/>
                <w:szCs w:val="18"/>
              </w:rPr>
              <w:t xml:space="preserve"> (even after taking </w:t>
            </w:r>
            <w:r w:rsidR="00D80361" w:rsidRPr="00E34E6E">
              <w:rPr>
                <w:sz w:val="18"/>
                <w:szCs w:val="18"/>
              </w:rPr>
              <w:t xml:space="preserve">fees </w:t>
            </w:r>
            <w:r w:rsidR="00022073" w:rsidRPr="00E34E6E">
              <w:rPr>
                <w:sz w:val="18"/>
                <w:szCs w:val="18"/>
              </w:rPr>
              <w:t>into consideration)</w:t>
            </w:r>
          </w:p>
        </w:tc>
      </w:tr>
      <w:tr w:rsidR="004A2444" w:rsidRPr="00A44D31" w:rsidTr="0014410A">
        <w:trPr>
          <w:trHeight w:hRule="exact" w:val="1077"/>
          <w:jc w:val="center"/>
        </w:trPr>
        <w:tc>
          <w:tcPr>
            <w:tcW w:w="2410" w:type="dxa"/>
          </w:tcPr>
          <w:p w:rsidR="00834350" w:rsidRPr="00A44D31" w:rsidRDefault="00BD0B93" w:rsidP="00D45E3B">
            <w:pPr>
              <w:spacing w:line="240" w:lineRule="auto"/>
              <w:rPr>
                <w:sz w:val="18"/>
                <w:szCs w:val="18"/>
              </w:rPr>
            </w:pPr>
            <w:r w:rsidRPr="00A44D31">
              <w:rPr>
                <w:sz w:val="18"/>
                <w:szCs w:val="18"/>
              </w:rPr>
              <w:t>Fund and Hsieh (1997)</w:t>
            </w:r>
          </w:p>
        </w:tc>
        <w:tc>
          <w:tcPr>
            <w:tcW w:w="2410" w:type="dxa"/>
          </w:tcPr>
          <w:p w:rsidR="00834350" w:rsidRPr="00A44D31" w:rsidRDefault="00BD0B93" w:rsidP="00D45E3B">
            <w:pPr>
              <w:spacing w:line="240" w:lineRule="auto"/>
              <w:rPr>
                <w:sz w:val="18"/>
                <w:szCs w:val="18"/>
              </w:rPr>
            </w:pPr>
            <w:r w:rsidRPr="00A44D31">
              <w:rPr>
                <w:sz w:val="18"/>
                <w:szCs w:val="18"/>
              </w:rPr>
              <w:t>Morningstar, 1991-1995</w:t>
            </w:r>
          </w:p>
        </w:tc>
        <w:tc>
          <w:tcPr>
            <w:tcW w:w="2835" w:type="dxa"/>
          </w:tcPr>
          <w:p w:rsidR="00834350" w:rsidRPr="00A44D31" w:rsidRDefault="00BD0B93" w:rsidP="00D45E3B">
            <w:pPr>
              <w:spacing w:line="240" w:lineRule="auto"/>
              <w:rPr>
                <w:sz w:val="18"/>
                <w:szCs w:val="18"/>
              </w:rPr>
            </w:pPr>
            <w:r w:rsidRPr="00A44D31">
              <w:rPr>
                <w:sz w:val="18"/>
                <w:szCs w:val="18"/>
              </w:rPr>
              <w:t>Bottom-Up/Regression based, portfolio construction, PCA</w:t>
            </w:r>
          </w:p>
        </w:tc>
        <w:tc>
          <w:tcPr>
            <w:tcW w:w="7472" w:type="dxa"/>
          </w:tcPr>
          <w:p w:rsidR="00834350" w:rsidRPr="00E34E6E" w:rsidRDefault="00BD0B93" w:rsidP="00D80361">
            <w:pPr>
              <w:spacing w:line="240" w:lineRule="auto"/>
              <w:rPr>
                <w:sz w:val="18"/>
                <w:szCs w:val="18"/>
              </w:rPr>
            </w:pPr>
            <w:r w:rsidRPr="00E34E6E">
              <w:rPr>
                <w:sz w:val="18"/>
                <w:szCs w:val="18"/>
              </w:rPr>
              <w:t xml:space="preserve">There are certain types of option strategies </w:t>
            </w:r>
            <w:r w:rsidR="00953DF4" w:rsidRPr="00E34E6E">
              <w:rPr>
                <w:sz w:val="18"/>
                <w:szCs w:val="18"/>
              </w:rPr>
              <w:t>corresponding to</w:t>
            </w:r>
            <w:r w:rsidRPr="00E34E6E">
              <w:rPr>
                <w:sz w:val="18"/>
                <w:szCs w:val="18"/>
              </w:rPr>
              <w:t xml:space="preserve"> specific strategies. There are five dominant strategies: Systems/Opportunistic, Global/Macro, Value, Systems/Trend Following, and Distressed</w:t>
            </w:r>
            <w:r w:rsidR="00115583" w:rsidRPr="00E34E6E">
              <w:rPr>
                <w:sz w:val="18"/>
                <w:szCs w:val="18"/>
              </w:rPr>
              <w:t xml:space="preserve">. Beyond the “location” component of return they focus on “how the manager trades” and leverage. </w:t>
            </w:r>
            <w:r w:rsidR="00D80361" w:rsidRPr="00E34E6E">
              <w:rPr>
                <w:sz w:val="18"/>
                <w:szCs w:val="18"/>
              </w:rPr>
              <w:t>D</w:t>
            </w:r>
            <w:r w:rsidR="0014410A" w:rsidRPr="00E34E6E">
              <w:rPr>
                <w:sz w:val="18"/>
                <w:szCs w:val="18"/>
              </w:rPr>
              <w:t xml:space="preserve">ynamic trading strategies can improve the performance of a traditional stock-bond portfolio without substantially </w:t>
            </w:r>
            <w:r w:rsidR="00E43604" w:rsidRPr="00E34E6E">
              <w:rPr>
                <w:sz w:val="18"/>
                <w:szCs w:val="18"/>
              </w:rPr>
              <w:t>increasing its risk</w:t>
            </w:r>
            <w:r w:rsidR="0014410A" w:rsidRPr="00E34E6E">
              <w:rPr>
                <w:sz w:val="18"/>
                <w:szCs w:val="18"/>
              </w:rPr>
              <w:t xml:space="preserve"> </w:t>
            </w:r>
          </w:p>
        </w:tc>
      </w:tr>
      <w:tr w:rsidR="004A2444" w:rsidRPr="00A44D31" w:rsidTr="00E43604">
        <w:trPr>
          <w:trHeight w:hRule="exact" w:val="1304"/>
          <w:jc w:val="center"/>
        </w:trPr>
        <w:tc>
          <w:tcPr>
            <w:tcW w:w="2410" w:type="dxa"/>
          </w:tcPr>
          <w:p w:rsidR="00834350" w:rsidRPr="00A44D31" w:rsidRDefault="00DE02E2" w:rsidP="00D45E3B">
            <w:pPr>
              <w:spacing w:line="240" w:lineRule="auto"/>
              <w:rPr>
                <w:sz w:val="18"/>
                <w:szCs w:val="18"/>
              </w:rPr>
            </w:pPr>
            <w:r w:rsidRPr="00A44D31">
              <w:rPr>
                <w:sz w:val="18"/>
                <w:szCs w:val="18"/>
              </w:rPr>
              <w:t>Fung and Hsieh (2001)</w:t>
            </w:r>
          </w:p>
        </w:tc>
        <w:tc>
          <w:tcPr>
            <w:tcW w:w="2410" w:type="dxa"/>
          </w:tcPr>
          <w:p w:rsidR="00834350" w:rsidRPr="00A44D31" w:rsidRDefault="00DE02E2" w:rsidP="00D45E3B">
            <w:pPr>
              <w:spacing w:line="240" w:lineRule="auto"/>
              <w:rPr>
                <w:sz w:val="18"/>
                <w:szCs w:val="18"/>
              </w:rPr>
            </w:pPr>
            <w:r w:rsidRPr="00A44D31">
              <w:rPr>
                <w:sz w:val="18"/>
                <w:szCs w:val="18"/>
              </w:rPr>
              <w:t>FII, CME, Datastream, 1989-1997</w:t>
            </w:r>
          </w:p>
        </w:tc>
        <w:tc>
          <w:tcPr>
            <w:tcW w:w="2835" w:type="dxa"/>
          </w:tcPr>
          <w:p w:rsidR="00834350" w:rsidRPr="00A44D31" w:rsidRDefault="00DE02E2" w:rsidP="00D45E3B">
            <w:pPr>
              <w:spacing w:line="240" w:lineRule="auto"/>
              <w:rPr>
                <w:sz w:val="18"/>
                <w:szCs w:val="18"/>
              </w:rPr>
            </w:pPr>
            <w:r w:rsidRPr="00A44D31">
              <w:rPr>
                <w:sz w:val="18"/>
                <w:szCs w:val="18"/>
              </w:rPr>
              <w:t>Bottom-Up/Regression and portfolio based</w:t>
            </w:r>
          </w:p>
        </w:tc>
        <w:tc>
          <w:tcPr>
            <w:tcW w:w="7472" w:type="dxa"/>
          </w:tcPr>
          <w:p w:rsidR="00834350" w:rsidRPr="00E34E6E" w:rsidRDefault="00DE02E2" w:rsidP="00D80361">
            <w:pPr>
              <w:spacing w:line="240" w:lineRule="auto"/>
              <w:rPr>
                <w:sz w:val="18"/>
                <w:szCs w:val="18"/>
              </w:rPr>
            </w:pPr>
            <w:r w:rsidRPr="00E34E6E">
              <w:rPr>
                <w:sz w:val="18"/>
                <w:szCs w:val="18"/>
              </w:rPr>
              <w:t>Trend-following fund returns resemble lookback straddle returns. Trend followers or portfolios of lookback straddles can reduce the volatility of a typical bond and stock portfolio during severe market conditions</w:t>
            </w:r>
            <w:r w:rsidR="009707F4" w:rsidRPr="00E34E6E">
              <w:rPr>
                <w:sz w:val="18"/>
                <w:szCs w:val="18"/>
              </w:rPr>
              <w:t>. Trend-following funds do have systematic risk</w:t>
            </w:r>
            <w:r w:rsidR="00D80361" w:rsidRPr="00E34E6E">
              <w:rPr>
                <w:sz w:val="18"/>
                <w:szCs w:val="18"/>
              </w:rPr>
              <w:t>,</w:t>
            </w:r>
            <w:r w:rsidR="009707F4" w:rsidRPr="00E34E6E">
              <w:rPr>
                <w:sz w:val="18"/>
                <w:szCs w:val="18"/>
              </w:rPr>
              <w:t xml:space="preserve"> although this risk cannot be observed in the context of a linear model applied to standard asset benchmarks. </w:t>
            </w:r>
            <w:r w:rsidR="00E43604" w:rsidRPr="00E34E6E">
              <w:rPr>
                <w:sz w:val="18"/>
                <w:szCs w:val="18"/>
              </w:rPr>
              <w:t xml:space="preserve">In addition, during stressful market conditions trend-following funds can reduce the volatility of a typical stock and bond portfolio </w:t>
            </w:r>
          </w:p>
        </w:tc>
      </w:tr>
      <w:tr w:rsidR="004A2444" w:rsidRPr="00A44D31" w:rsidTr="000B6B2D">
        <w:trPr>
          <w:trHeight w:hRule="exact" w:val="851"/>
          <w:jc w:val="center"/>
        </w:trPr>
        <w:tc>
          <w:tcPr>
            <w:tcW w:w="2410" w:type="dxa"/>
          </w:tcPr>
          <w:p w:rsidR="00834350" w:rsidRPr="00A44D31" w:rsidRDefault="006215C2" w:rsidP="00D45E3B">
            <w:pPr>
              <w:spacing w:line="240" w:lineRule="auto"/>
              <w:rPr>
                <w:sz w:val="18"/>
                <w:szCs w:val="18"/>
              </w:rPr>
            </w:pPr>
            <w:r w:rsidRPr="00A44D31">
              <w:rPr>
                <w:sz w:val="18"/>
                <w:szCs w:val="18"/>
              </w:rPr>
              <w:t>Fung and Hsieh (2002a)</w:t>
            </w:r>
          </w:p>
        </w:tc>
        <w:tc>
          <w:tcPr>
            <w:tcW w:w="2410" w:type="dxa"/>
          </w:tcPr>
          <w:p w:rsidR="00834350" w:rsidRPr="00A44D31" w:rsidRDefault="006215C2" w:rsidP="00D45E3B">
            <w:pPr>
              <w:spacing w:line="240" w:lineRule="auto"/>
              <w:rPr>
                <w:sz w:val="18"/>
                <w:szCs w:val="18"/>
              </w:rPr>
            </w:pPr>
            <w:r w:rsidRPr="00A44D31">
              <w:rPr>
                <w:sz w:val="18"/>
                <w:szCs w:val="18"/>
              </w:rPr>
              <w:t>FII, CME, Datastream, 1989-2001</w:t>
            </w:r>
          </w:p>
        </w:tc>
        <w:tc>
          <w:tcPr>
            <w:tcW w:w="2835" w:type="dxa"/>
          </w:tcPr>
          <w:p w:rsidR="00834350" w:rsidRPr="00A44D31" w:rsidRDefault="006215C2" w:rsidP="00D45E3B">
            <w:pPr>
              <w:spacing w:line="240" w:lineRule="auto"/>
              <w:rPr>
                <w:sz w:val="18"/>
                <w:szCs w:val="18"/>
              </w:rPr>
            </w:pPr>
            <w:r w:rsidRPr="00A44D31">
              <w:rPr>
                <w:sz w:val="18"/>
                <w:szCs w:val="18"/>
              </w:rPr>
              <w:t>Bottom-Up/Regression and portfolio based</w:t>
            </w:r>
          </w:p>
        </w:tc>
        <w:tc>
          <w:tcPr>
            <w:tcW w:w="7472" w:type="dxa"/>
          </w:tcPr>
          <w:p w:rsidR="00834350" w:rsidRPr="00E34E6E" w:rsidRDefault="006215C2" w:rsidP="00D80361">
            <w:pPr>
              <w:spacing w:line="240" w:lineRule="auto"/>
              <w:rPr>
                <w:sz w:val="18"/>
                <w:szCs w:val="18"/>
              </w:rPr>
            </w:pPr>
            <w:r w:rsidRPr="00E34E6E">
              <w:rPr>
                <w:sz w:val="18"/>
                <w:szCs w:val="18"/>
              </w:rPr>
              <w:t xml:space="preserve">Trend followers mimic the pay-out of a lookback option on traditional assets. It is beneficial </w:t>
            </w:r>
            <w:r w:rsidR="0023319D" w:rsidRPr="00E34E6E">
              <w:rPr>
                <w:sz w:val="18"/>
                <w:szCs w:val="18"/>
              </w:rPr>
              <w:t>to use</w:t>
            </w:r>
            <w:r w:rsidRPr="00E34E6E">
              <w:rPr>
                <w:sz w:val="18"/>
                <w:szCs w:val="18"/>
              </w:rPr>
              <w:t xml:space="preserve"> asset-based style factors for modelling hedge funds</w:t>
            </w:r>
            <w:r w:rsidR="00863FF7" w:rsidRPr="00E34E6E">
              <w:rPr>
                <w:sz w:val="18"/>
                <w:szCs w:val="18"/>
              </w:rPr>
              <w:t>. Hedge fund directional strategies can be modelled with “long only” asset-based style factors (e.g. conventional indices)</w:t>
            </w:r>
            <w:r w:rsidR="00D80361" w:rsidRPr="00E34E6E">
              <w:rPr>
                <w:sz w:val="18"/>
                <w:szCs w:val="18"/>
              </w:rPr>
              <w:t>.</w:t>
            </w:r>
            <w:r w:rsidR="000B6B2D" w:rsidRPr="00E34E6E">
              <w:rPr>
                <w:sz w:val="18"/>
                <w:szCs w:val="18"/>
              </w:rPr>
              <w:t xml:space="preserve"> The “directional component ” can represent more than 50</w:t>
            </w:r>
            <w:r w:rsidR="00C65B31" w:rsidRPr="00E34E6E">
              <w:rPr>
                <w:sz w:val="18"/>
                <w:szCs w:val="18"/>
              </w:rPr>
              <w:t>%</w:t>
            </w:r>
            <w:r w:rsidR="000B6B2D" w:rsidRPr="00E34E6E">
              <w:rPr>
                <w:sz w:val="18"/>
                <w:szCs w:val="18"/>
              </w:rPr>
              <w:t xml:space="preserve"> of the hedge fund return variation </w:t>
            </w:r>
          </w:p>
        </w:tc>
      </w:tr>
      <w:tr w:rsidR="004A2444" w:rsidRPr="00A44D31" w:rsidTr="002F2E77">
        <w:trPr>
          <w:trHeight w:hRule="exact" w:val="699"/>
          <w:jc w:val="center"/>
        </w:trPr>
        <w:tc>
          <w:tcPr>
            <w:tcW w:w="2410" w:type="dxa"/>
          </w:tcPr>
          <w:p w:rsidR="00834350" w:rsidRPr="00A44D31" w:rsidRDefault="004A062B" w:rsidP="00D45E3B">
            <w:pPr>
              <w:spacing w:line="240" w:lineRule="auto"/>
              <w:rPr>
                <w:sz w:val="18"/>
                <w:szCs w:val="18"/>
              </w:rPr>
            </w:pPr>
            <w:r w:rsidRPr="00A44D31">
              <w:rPr>
                <w:sz w:val="18"/>
                <w:szCs w:val="18"/>
              </w:rPr>
              <w:t>Fung and Hsieh (2004)</w:t>
            </w:r>
          </w:p>
        </w:tc>
        <w:tc>
          <w:tcPr>
            <w:tcW w:w="2410" w:type="dxa"/>
          </w:tcPr>
          <w:p w:rsidR="00834350" w:rsidRPr="00A44D31" w:rsidRDefault="004A062B" w:rsidP="00D45E3B">
            <w:pPr>
              <w:spacing w:line="240" w:lineRule="auto"/>
              <w:rPr>
                <w:sz w:val="18"/>
                <w:szCs w:val="18"/>
              </w:rPr>
            </w:pPr>
            <w:r w:rsidRPr="00A44D31">
              <w:rPr>
                <w:sz w:val="18"/>
                <w:szCs w:val="18"/>
              </w:rPr>
              <w:t>HFR, TASS, 1998-2002</w:t>
            </w:r>
          </w:p>
        </w:tc>
        <w:tc>
          <w:tcPr>
            <w:tcW w:w="2835" w:type="dxa"/>
          </w:tcPr>
          <w:p w:rsidR="00834350" w:rsidRPr="00A44D31" w:rsidRDefault="004A062B" w:rsidP="00D45E3B">
            <w:pPr>
              <w:spacing w:line="240" w:lineRule="auto"/>
              <w:rPr>
                <w:sz w:val="18"/>
                <w:szCs w:val="18"/>
              </w:rPr>
            </w:pPr>
            <w:r w:rsidRPr="00A44D31">
              <w:rPr>
                <w:sz w:val="18"/>
                <w:szCs w:val="18"/>
              </w:rPr>
              <w:t xml:space="preserve">Bottom-Up/Regression based, PCA, and </w:t>
            </w:r>
            <w:proofErr w:type="spellStart"/>
            <w:r w:rsidRPr="00A44D31">
              <w:rPr>
                <w:sz w:val="18"/>
                <w:szCs w:val="18"/>
              </w:rPr>
              <w:t>Kalman</w:t>
            </w:r>
            <w:proofErr w:type="spellEnd"/>
            <w:r w:rsidRPr="00A44D31">
              <w:rPr>
                <w:sz w:val="18"/>
                <w:szCs w:val="18"/>
              </w:rPr>
              <w:t xml:space="preserve"> filter</w:t>
            </w:r>
          </w:p>
        </w:tc>
        <w:tc>
          <w:tcPr>
            <w:tcW w:w="7472" w:type="dxa"/>
          </w:tcPr>
          <w:p w:rsidR="00834350" w:rsidRPr="00E34E6E" w:rsidRDefault="004A062B" w:rsidP="00D80361">
            <w:pPr>
              <w:spacing w:line="240" w:lineRule="auto"/>
              <w:rPr>
                <w:sz w:val="18"/>
                <w:szCs w:val="18"/>
              </w:rPr>
            </w:pPr>
            <w:r w:rsidRPr="00E34E6E">
              <w:rPr>
                <w:sz w:val="18"/>
                <w:szCs w:val="18"/>
              </w:rPr>
              <w:t>The proposed model of hedge funds returns is similar to arbitrage pricing theory models with dynamic risk coefficients explain</w:t>
            </w:r>
            <w:r w:rsidR="0023319D" w:rsidRPr="00E34E6E">
              <w:rPr>
                <w:sz w:val="18"/>
                <w:szCs w:val="18"/>
              </w:rPr>
              <w:t>ing</w:t>
            </w:r>
            <w:r w:rsidRPr="00E34E6E">
              <w:rPr>
                <w:sz w:val="18"/>
                <w:szCs w:val="18"/>
              </w:rPr>
              <w:t xml:space="preserve"> up to 80 </w:t>
            </w:r>
            <w:r w:rsidR="006A3B95" w:rsidRPr="00E34E6E">
              <w:rPr>
                <w:sz w:val="18"/>
                <w:szCs w:val="18"/>
              </w:rPr>
              <w:t>%</w:t>
            </w:r>
            <w:r w:rsidRPr="00E34E6E">
              <w:rPr>
                <w:sz w:val="18"/>
                <w:szCs w:val="18"/>
              </w:rPr>
              <w:t xml:space="preserve"> of monthly return</w:t>
            </w:r>
            <w:r w:rsidR="0023319D" w:rsidRPr="00E34E6E">
              <w:rPr>
                <w:sz w:val="18"/>
                <w:szCs w:val="18"/>
              </w:rPr>
              <w:t>s variation</w:t>
            </w:r>
            <w:r w:rsidR="0075723A" w:rsidRPr="00E34E6E">
              <w:rPr>
                <w:sz w:val="18"/>
                <w:szCs w:val="18"/>
              </w:rPr>
              <w:t>. Their seven ABS risk factors are found in 37</w:t>
            </w:r>
            <w:r w:rsidR="00C65B31" w:rsidRPr="00E34E6E">
              <w:rPr>
                <w:sz w:val="18"/>
                <w:szCs w:val="18"/>
              </w:rPr>
              <w:t>%</w:t>
            </w:r>
            <w:r w:rsidR="0075723A" w:rsidRPr="00E34E6E">
              <w:rPr>
                <w:sz w:val="18"/>
                <w:szCs w:val="18"/>
              </w:rPr>
              <w:t xml:space="preserve"> </w:t>
            </w:r>
            <w:r w:rsidR="00D80361" w:rsidRPr="00E34E6E">
              <w:rPr>
                <w:sz w:val="18"/>
                <w:szCs w:val="18"/>
              </w:rPr>
              <w:t xml:space="preserve">of </w:t>
            </w:r>
            <w:r w:rsidR="0075723A" w:rsidRPr="00E34E6E">
              <w:rPr>
                <w:sz w:val="18"/>
                <w:szCs w:val="18"/>
              </w:rPr>
              <w:t xml:space="preserve">HFR </w:t>
            </w:r>
            <w:r w:rsidR="00D80361" w:rsidRPr="00E34E6E">
              <w:rPr>
                <w:sz w:val="18"/>
                <w:szCs w:val="18"/>
              </w:rPr>
              <w:t xml:space="preserve">hedge funds </w:t>
            </w:r>
            <w:r w:rsidR="0075723A" w:rsidRPr="00E34E6E">
              <w:rPr>
                <w:sz w:val="18"/>
                <w:szCs w:val="18"/>
              </w:rPr>
              <w:t>and 57</w:t>
            </w:r>
            <w:r w:rsidR="00C65B31" w:rsidRPr="00E34E6E">
              <w:rPr>
                <w:sz w:val="18"/>
                <w:szCs w:val="18"/>
              </w:rPr>
              <w:t>%</w:t>
            </w:r>
            <w:r w:rsidR="0075723A" w:rsidRPr="00E34E6E">
              <w:rPr>
                <w:sz w:val="18"/>
                <w:szCs w:val="18"/>
              </w:rPr>
              <w:t xml:space="preserve"> </w:t>
            </w:r>
            <w:r w:rsidR="00D80361" w:rsidRPr="00E34E6E">
              <w:rPr>
                <w:sz w:val="18"/>
                <w:szCs w:val="18"/>
              </w:rPr>
              <w:t>of those in the</w:t>
            </w:r>
            <w:r w:rsidR="003722E4" w:rsidRPr="00E34E6E">
              <w:rPr>
                <w:sz w:val="18"/>
                <w:szCs w:val="18"/>
              </w:rPr>
              <w:t xml:space="preserve"> TASS</w:t>
            </w:r>
            <w:r w:rsidR="00D80361" w:rsidRPr="00E34E6E">
              <w:rPr>
                <w:sz w:val="18"/>
                <w:szCs w:val="18"/>
              </w:rPr>
              <w:t xml:space="preserve"> database</w:t>
            </w:r>
          </w:p>
        </w:tc>
      </w:tr>
      <w:tr w:rsidR="004A2444" w:rsidRPr="00A44D31" w:rsidTr="003722E4">
        <w:trPr>
          <w:trHeight w:hRule="exact" w:val="907"/>
          <w:jc w:val="center"/>
        </w:trPr>
        <w:tc>
          <w:tcPr>
            <w:tcW w:w="2410" w:type="dxa"/>
          </w:tcPr>
          <w:p w:rsidR="00834350" w:rsidRPr="00A44D31" w:rsidRDefault="00382228" w:rsidP="00D45E3B">
            <w:pPr>
              <w:spacing w:line="240" w:lineRule="auto"/>
              <w:rPr>
                <w:sz w:val="18"/>
                <w:szCs w:val="18"/>
              </w:rPr>
            </w:pPr>
            <w:r w:rsidRPr="00A44D31">
              <w:rPr>
                <w:sz w:val="18"/>
                <w:szCs w:val="18"/>
              </w:rPr>
              <w:t>Huber and Kaiser (2004)</w:t>
            </w:r>
          </w:p>
        </w:tc>
        <w:tc>
          <w:tcPr>
            <w:tcW w:w="2410" w:type="dxa"/>
          </w:tcPr>
          <w:p w:rsidR="00834350" w:rsidRPr="00A44D31" w:rsidRDefault="00382228" w:rsidP="00D45E3B">
            <w:pPr>
              <w:spacing w:line="240" w:lineRule="auto"/>
              <w:rPr>
                <w:sz w:val="18"/>
                <w:szCs w:val="18"/>
              </w:rPr>
            </w:pPr>
            <w:r w:rsidRPr="00A44D31">
              <w:rPr>
                <w:sz w:val="18"/>
                <w:szCs w:val="18"/>
              </w:rPr>
              <w:t>S&amp;P Hedge Fund Indices, 1998-2003</w:t>
            </w:r>
          </w:p>
        </w:tc>
        <w:tc>
          <w:tcPr>
            <w:tcW w:w="2835" w:type="dxa"/>
          </w:tcPr>
          <w:p w:rsidR="00834350" w:rsidRPr="00A44D31" w:rsidRDefault="00382228" w:rsidP="00D45E3B">
            <w:pPr>
              <w:spacing w:line="240" w:lineRule="auto"/>
              <w:rPr>
                <w:sz w:val="18"/>
                <w:szCs w:val="18"/>
              </w:rPr>
            </w:pPr>
            <w:r w:rsidRPr="00A44D31">
              <w:rPr>
                <w:sz w:val="18"/>
                <w:szCs w:val="18"/>
              </w:rPr>
              <w:t>Bottom-Up/Regression based, portfolio construction</w:t>
            </w:r>
          </w:p>
        </w:tc>
        <w:tc>
          <w:tcPr>
            <w:tcW w:w="7472" w:type="dxa"/>
          </w:tcPr>
          <w:p w:rsidR="00834350" w:rsidRPr="00E34E6E" w:rsidRDefault="00382228" w:rsidP="003722E4">
            <w:pPr>
              <w:spacing w:line="240" w:lineRule="auto"/>
              <w:rPr>
                <w:sz w:val="18"/>
                <w:szCs w:val="18"/>
              </w:rPr>
            </w:pPr>
            <w:r w:rsidRPr="00E34E6E">
              <w:rPr>
                <w:sz w:val="18"/>
                <w:szCs w:val="18"/>
              </w:rPr>
              <w:t>Hedge funds and CTAs using certain trading strategies generate returns similar to options. The structures of CTAs have a payment profile similar to a long straddle</w:t>
            </w:r>
            <w:r w:rsidR="003722E4" w:rsidRPr="00E34E6E">
              <w:rPr>
                <w:sz w:val="18"/>
                <w:szCs w:val="18"/>
              </w:rPr>
              <w:t>. The Merger arbitrage strategy can be determined with a short put option on the S&amp;P 500 index whereas the Manage</w:t>
            </w:r>
            <w:r w:rsidR="00D80361" w:rsidRPr="00E34E6E">
              <w:rPr>
                <w:sz w:val="18"/>
                <w:szCs w:val="18"/>
              </w:rPr>
              <w:t>d</w:t>
            </w:r>
            <w:r w:rsidR="003722E4" w:rsidRPr="00E34E6E">
              <w:rPr>
                <w:sz w:val="18"/>
                <w:szCs w:val="18"/>
              </w:rPr>
              <w:t xml:space="preserve"> futures strategy can be determined by a long straddle in the S&amp;P 500 index  </w:t>
            </w:r>
          </w:p>
        </w:tc>
      </w:tr>
    </w:tbl>
    <w:p w:rsidR="00E719F0" w:rsidRPr="00E34E6E" w:rsidRDefault="00E719F0" w:rsidP="0088117F">
      <w:pPr>
        <w:spacing w:after="0"/>
        <w:jc w:val="both"/>
        <w:rPr>
          <w:b/>
        </w:rPr>
      </w:pPr>
      <w:r w:rsidRPr="00E34E6E">
        <w:rPr>
          <w:b/>
        </w:rPr>
        <w:lastRenderedPageBreak/>
        <w:t xml:space="preserve">Table 3. </w:t>
      </w:r>
      <w:r w:rsidR="00757C56" w:rsidRPr="00E34E6E">
        <w:rPr>
          <w:b/>
        </w:rPr>
        <w:t xml:space="preserve">Performance Attribution – Non-linear </w:t>
      </w:r>
      <w:r w:rsidR="00A31104" w:rsidRPr="00E34E6E">
        <w:rPr>
          <w:b/>
        </w:rPr>
        <w:t>Studies</w:t>
      </w:r>
    </w:p>
    <w:p w:rsidR="00E719F0" w:rsidRPr="00A44D31" w:rsidRDefault="00E719F0" w:rsidP="0088117F">
      <w:pPr>
        <w:spacing w:after="0"/>
        <w:jc w:val="both"/>
        <w:rPr>
          <w:sz w:val="18"/>
          <w:szCs w:val="18"/>
        </w:rPr>
      </w:pPr>
      <w:r w:rsidRPr="00A44D31">
        <w:rPr>
          <w:sz w:val="18"/>
          <w:szCs w:val="18"/>
        </w:rPr>
        <w:t xml:space="preserve">This Table presents the main characteristics and </w:t>
      </w:r>
      <w:r w:rsidR="00C347C3" w:rsidRPr="00A44D31">
        <w:rPr>
          <w:sz w:val="18"/>
          <w:szCs w:val="18"/>
        </w:rPr>
        <w:t>findings</w:t>
      </w:r>
      <w:r w:rsidRPr="00A44D31">
        <w:rPr>
          <w:sz w:val="18"/>
          <w:szCs w:val="18"/>
        </w:rPr>
        <w:t xml:space="preserve"> of the </w:t>
      </w:r>
      <w:r w:rsidR="004A487E">
        <w:rPr>
          <w:sz w:val="18"/>
          <w:szCs w:val="18"/>
        </w:rPr>
        <w:t>non-linear</w:t>
      </w:r>
      <w:r w:rsidR="00C347C3" w:rsidRPr="00A44D31">
        <w:rPr>
          <w:sz w:val="18"/>
          <w:szCs w:val="18"/>
        </w:rPr>
        <w:t xml:space="preserve"> </w:t>
      </w:r>
      <w:r w:rsidRPr="00A44D31">
        <w:rPr>
          <w:sz w:val="18"/>
          <w:szCs w:val="18"/>
        </w:rPr>
        <w:t xml:space="preserve">studies </w:t>
      </w:r>
      <w:r w:rsidR="00C347C3" w:rsidRPr="00A44D31">
        <w:rPr>
          <w:sz w:val="18"/>
          <w:szCs w:val="18"/>
        </w:rPr>
        <w:t>(up-bottom</w:t>
      </w:r>
      <w:r w:rsidR="002B1CA9" w:rsidRPr="00A44D31">
        <w:rPr>
          <w:sz w:val="18"/>
          <w:szCs w:val="18"/>
        </w:rPr>
        <w:t xml:space="preserve"> approach</w:t>
      </w:r>
      <w:r w:rsidR="00C347C3" w:rsidRPr="00A44D31">
        <w:rPr>
          <w:sz w:val="18"/>
          <w:szCs w:val="18"/>
        </w:rPr>
        <w:t xml:space="preserve">) </w:t>
      </w:r>
      <w:r w:rsidRPr="00A44D31">
        <w:rPr>
          <w:sz w:val="18"/>
          <w:szCs w:val="18"/>
        </w:rPr>
        <w:t>o</w:t>
      </w:r>
      <w:r w:rsidR="003F1551">
        <w:rPr>
          <w:sz w:val="18"/>
          <w:szCs w:val="18"/>
        </w:rPr>
        <w:t>f</w:t>
      </w:r>
      <w:r w:rsidRPr="00A44D31">
        <w:rPr>
          <w:sz w:val="18"/>
          <w:szCs w:val="18"/>
        </w:rPr>
        <w:t xml:space="preserve"> hedge fund performance </w:t>
      </w:r>
      <w:r w:rsidR="00196C50" w:rsidRPr="00A44D31">
        <w:rPr>
          <w:sz w:val="18"/>
          <w:szCs w:val="18"/>
        </w:rPr>
        <w:t>attribution</w:t>
      </w:r>
      <w:r w:rsidRPr="00A44D31">
        <w:rPr>
          <w:sz w:val="18"/>
          <w:szCs w:val="18"/>
        </w:rPr>
        <w:t xml:space="preserve">. Abbreviations: CISDM: Centre for International and Securities Markets, </w:t>
      </w:r>
      <w:r w:rsidR="00370BB6" w:rsidRPr="00A44D31">
        <w:rPr>
          <w:sz w:val="18"/>
          <w:szCs w:val="18"/>
        </w:rPr>
        <w:t xml:space="preserve">CRSP: </w:t>
      </w:r>
      <w:r w:rsidR="00BD6E90" w:rsidRPr="00A44D31">
        <w:rPr>
          <w:sz w:val="18"/>
          <w:szCs w:val="18"/>
        </w:rPr>
        <w:t xml:space="preserve">Centre from Research in Security Prices, </w:t>
      </w:r>
      <w:r w:rsidR="00370BB6" w:rsidRPr="00A44D31">
        <w:rPr>
          <w:sz w:val="18"/>
          <w:szCs w:val="18"/>
        </w:rPr>
        <w:t xml:space="preserve">GOEF: </w:t>
      </w:r>
      <w:r w:rsidR="00C36D70" w:rsidRPr="00A44D31">
        <w:rPr>
          <w:sz w:val="18"/>
          <w:szCs w:val="18"/>
        </w:rPr>
        <w:t xml:space="preserve">Global Equity Ownership Feed of Thomson Financial, </w:t>
      </w:r>
      <w:r w:rsidR="00814F1B" w:rsidRPr="00A44D31">
        <w:rPr>
          <w:sz w:val="18"/>
          <w:szCs w:val="18"/>
        </w:rPr>
        <w:t xml:space="preserve">HFN: </w:t>
      </w:r>
      <w:proofErr w:type="spellStart"/>
      <w:r w:rsidR="00814F1B" w:rsidRPr="00A44D31">
        <w:rPr>
          <w:sz w:val="18"/>
          <w:szCs w:val="18"/>
        </w:rPr>
        <w:t>Evestment</w:t>
      </w:r>
      <w:proofErr w:type="spellEnd"/>
      <w:r w:rsidR="00814F1B" w:rsidRPr="00A44D31">
        <w:rPr>
          <w:sz w:val="18"/>
          <w:szCs w:val="18"/>
        </w:rPr>
        <w:t xml:space="preserve"> Co</w:t>
      </w:r>
      <w:r w:rsidR="00FE3385" w:rsidRPr="00A44D31">
        <w:rPr>
          <w:sz w:val="18"/>
          <w:szCs w:val="18"/>
        </w:rPr>
        <w:t>m</w:t>
      </w:r>
      <w:r w:rsidR="00814F1B" w:rsidRPr="00A44D31">
        <w:rPr>
          <w:sz w:val="18"/>
          <w:szCs w:val="18"/>
        </w:rPr>
        <w:t xml:space="preserve"> (database), </w:t>
      </w:r>
      <w:r w:rsidRPr="00A44D31">
        <w:rPr>
          <w:sz w:val="18"/>
          <w:szCs w:val="18"/>
        </w:rPr>
        <w:t>HFR: Hedge Fund Research, Lipper/TASS: Tremont Advisory Shareholders Services</w:t>
      </w:r>
      <w:r w:rsidR="0026563C" w:rsidRPr="00A44D31">
        <w:rPr>
          <w:sz w:val="18"/>
          <w:szCs w:val="18"/>
        </w:rPr>
        <w:t xml:space="preserve">, </w:t>
      </w:r>
      <w:r w:rsidR="00961F72" w:rsidRPr="00A44D31">
        <w:rPr>
          <w:sz w:val="18"/>
          <w:szCs w:val="18"/>
        </w:rPr>
        <w:t xml:space="preserve">MSCI: </w:t>
      </w:r>
      <w:r w:rsidR="002E5DD9" w:rsidRPr="00A44D31">
        <w:rPr>
          <w:sz w:val="18"/>
          <w:szCs w:val="18"/>
        </w:rPr>
        <w:t xml:space="preserve">Morgan Stanley Capital International, </w:t>
      </w:r>
      <w:r w:rsidR="0026563C" w:rsidRPr="00A44D31">
        <w:rPr>
          <w:sz w:val="18"/>
          <w:szCs w:val="18"/>
        </w:rPr>
        <w:t xml:space="preserve">VOV: </w:t>
      </w:r>
      <w:r w:rsidR="005B524A" w:rsidRPr="00A44D31">
        <w:rPr>
          <w:sz w:val="18"/>
          <w:szCs w:val="18"/>
        </w:rPr>
        <w:t>Volatility of the aggregate volatility</w:t>
      </w:r>
      <w:r w:rsidRPr="00A44D31">
        <w:rPr>
          <w:sz w:val="18"/>
          <w:szCs w:val="18"/>
        </w:rPr>
        <w:t xml:space="preserve">. </w:t>
      </w:r>
      <w:r w:rsidR="00556744" w:rsidRPr="00A44D31">
        <w:rPr>
          <w:sz w:val="18"/>
          <w:szCs w:val="18"/>
        </w:rPr>
        <w:t xml:space="preserve">Some databases (e.g. Lipper and TASS, MAR and CISDM) have </w:t>
      </w:r>
      <w:r w:rsidR="005B524A" w:rsidRPr="00A44D31">
        <w:rPr>
          <w:sz w:val="18"/>
          <w:szCs w:val="18"/>
        </w:rPr>
        <w:t xml:space="preserve">been </w:t>
      </w:r>
      <w:r w:rsidR="00556744" w:rsidRPr="00A44D31">
        <w:rPr>
          <w:sz w:val="18"/>
          <w:szCs w:val="18"/>
        </w:rPr>
        <w:t xml:space="preserve">merged.  </w:t>
      </w:r>
    </w:p>
    <w:tbl>
      <w:tblPr>
        <w:tblStyle w:val="TableGrid"/>
        <w:tblW w:w="15550" w:type="dxa"/>
        <w:tblLayout w:type="fixed"/>
        <w:tblLook w:val="04A0" w:firstRow="1" w:lastRow="0" w:firstColumn="1" w:lastColumn="0" w:noHBand="0" w:noVBand="1"/>
      </w:tblPr>
      <w:tblGrid>
        <w:gridCol w:w="1980"/>
        <w:gridCol w:w="2126"/>
        <w:gridCol w:w="2552"/>
        <w:gridCol w:w="8892"/>
      </w:tblGrid>
      <w:tr w:rsidR="00F23A64" w:rsidRPr="00A44D31" w:rsidTr="0088117F">
        <w:trPr>
          <w:trHeight w:hRule="exact" w:val="339"/>
        </w:trPr>
        <w:tc>
          <w:tcPr>
            <w:tcW w:w="1980" w:type="dxa"/>
          </w:tcPr>
          <w:p w:rsidR="002C058D" w:rsidRPr="00A44D31" w:rsidRDefault="002C058D" w:rsidP="00797366">
            <w:pPr>
              <w:rPr>
                <w:b/>
                <w:szCs w:val="24"/>
              </w:rPr>
            </w:pPr>
            <w:r w:rsidRPr="00A44D31">
              <w:rPr>
                <w:b/>
                <w:szCs w:val="24"/>
              </w:rPr>
              <w:t>Study</w:t>
            </w:r>
          </w:p>
        </w:tc>
        <w:tc>
          <w:tcPr>
            <w:tcW w:w="2126" w:type="dxa"/>
          </w:tcPr>
          <w:p w:rsidR="002C058D" w:rsidRPr="00A44D31" w:rsidRDefault="002C058D" w:rsidP="00797366">
            <w:pPr>
              <w:rPr>
                <w:b/>
                <w:szCs w:val="24"/>
              </w:rPr>
            </w:pPr>
            <w:r w:rsidRPr="00A44D31">
              <w:rPr>
                <w:b/>
                <w:szCs w:val="24"/>
              </w:rPr>
              <w:t>Sample</w:t>
            </w:r>
          </w:p>
        </w:tc>
        <w:tc>
          <w:tcPr>
            <w:tcW w:w="2552" w:type="dxa"/>
          </w:tcPr>
          <w:p w:rsidR="002C058D" w:rsidRPr="00A44D31" w:rsidRDefault="002C058D" w:rsidP="00797366">
            <w:pPr>
              <w:rPr>
                <w:b/>
                <w:szCs w:val="24"/>
              </w:rPr>
            </w:pPr>
            <w:r w:rsidRPr="00A44D31">
              <w:rPr>
                <w:b/>
                <w:szCs w:val="24"/>
              </w:rPr>
              <w:t>Approach/Methodology</w:t>
            </w:r>
          </w:p>
        </w:tc>
        <w:tc>
          <w:tcPr>
            <w:tcW w:w="8892" w:type="dxa"/>
          </w:tcPr>
          <w:p w:rsidR="002C058D" w:rsidRPr="00A44D31" w:rsidRDefault="002C058D" w:rsidP="00797366">
            <w:pPr>
              <w:rPr>
                <w:b/>
                <w:szCs w:val="24"/>
              </w:rPr>
            </w:pPr>
            <w:r w:rsidRPr="00A44D31">
              <w:rPr>
                <w:b/>
                <w:szCs w:val="24"/>
              </w:rPr>
              <w:t>Findings</w:t>
            </w:r>
          </w:p>
        </w:tc>
      </w:tr>
      <w:tr w:rsidR="00E34E6E" w:rsidRPr="00E34E6E" w:rsidTr="007F6FB4">
        <w:trPr>
          <w:trHeight w:hRule="exact" w:val="851"/>
        </w:trPr>
        <w:tc>
          <w:tcPr>
            <w:tcW w:w="1980" w:type="dxa"/>
          </w:tcPr>
          <w:p w:rsidR="002C058D" w:rsidRPr="00E34E6E" w:rsidRDefault="002C058D" w:rsidP="00EB14FB">
            <w:pPr>
              <w:spacing w:line="240" w:lineRule="auto"/>
              <w:rPr>
                <w:sz w:val="18"/>
                <w:szCs w:val="18"/>
              </w:rPr>
            </w:pPr>
            <w:r w:rsidRPr="00E34E6E">
              <w:rPr>
                <w:sz w:val="18"/>
                <w:szCs w:val="18"/>
              </w:rPr>
              <w:t xml:space="preserve">Agarwal, </w:t>
            </w:r>
            <w:proofErr w:type="spellStart"/>
            <w:r w:rsidRPr="00E34E6E">
              <w:rPr>
                <w:sz w:val="18"/>
                <w:szCs w:val="18"/>
              </w:rPr>
              <w:t>Arisoy</w:t>
            </w:r>
            <w:proofErr w:type="spellEnd"/>
            <w:r w:rsidRPr="00E34E6E">
              <w:rPr>
                <w:sz w:val="18"/>
                <w:szCs w:val="18"/>
              </w:rPr>
              <w:t xml:space="preserve">, and </w:t>
            </w:r>
            <w:proofErr w:type="spellStart"/>
            <w:r w:rsidRPr="00E34E6E">
              <w:rPr>
                <w:sz w:val="18"/>
                <w:szCs w:val="18"/>
              </w:rPr>
              <w:t>Naik</w:t>
            </w:r>
            <w:proofErr w:type="spellEnd"/>
            <w:r w:rsidRPr="00E34E6E">
              <w:rPr>
                <w:sz w:val="18"/>
                <w:szCs w:val="18"/>
              </w:rPr>
              <w:t xml:space="preserve"> (201</w:t>
            </w:r>
            <w:r w:rsidR="00EB14FB" w:rsidRPr="00E34E6E">
              <w:rPr>
                <w:sz w:val="18"/>
                <w:szCs w:val="18"/>
              </w:rPr>
              <w:t>6</w:t>
            </w:r>
            <w:r w:rsidRPr="00E34E6E">
              <w:rPr>
                <w:sz w:val="18"/>
                <w:szCs w:val="18"/>
              </w:rPr>
              <w:t>)</w:t>
            </w:r>
          </w:p>
        </w:tc>
        <w:tc>
          <w:tcPr>
            <w:tcW w:w="2126" w:type="dxa"/>
          </w:tcPr>
          <w:p w:rsidR="002C058D" w:rsidRPr="00E34E6E" w:rsidRDefault="00F26422" w:rsidP="00D45E3B">
            <w:pPr>
              <w:spacing w:line="240" w:lineRule="auto"/>
              <w:rPr>
                <w:sz w:val="18"/>
                <w:szCs w:val="18"/>
              </w:rPr>
            </w:pPr>
            <w:proofErr w:type="spellStart"/>
            <w:r w:rsidRPr="00E34E6E">
              <w:rPr>
                <w:sz w:val="18"/>
                <w:szCs w:val="18"/>
              </w:rPr>
              <w:t>Eurekahedge</w:t>
            </w:r>
            <w:proofErr w:type="spellEnd"/>
            <w:r w:rsidRPr="00E34E6E">
              <w:rPr>
                <w:sz w:val="18"/>
                <w:szCs w:val="18"/>
              </w:rPr>
              <w:t>, HFR, Lipper TASS, and Morningstar, 2006-2012</w:t>
            </w:r>
          </w:p>
        </w:tc>
        <w:tc>
          <w:tcPr>
            <w:tcW w:w="2552" w:type="dxa"/>
          </w:tcPr>
          <w:p w:rsidR="002C058D" w:rsidRPr="00E34E6E" w:rsidRDefault="00F26422" w:rsidP="00D45E3B">
            <w:pPr>
              <w:spacing w:line="240" w:lineRule="auto"/>
              <w:rPr>
                <w:sz w:val="18"/>
                <w:szCs w:val="18"/>
              </w:rPr>
            </w:pPr>
            <w:r w:rsidRPr="00E34E6E">
              <w:rPr>
                <w:sz w:val="18"/>
                <w:szCs w:val="18"/>
              </w:rPr>
              <w:t>Up-Bottom/Regression based, portfolio construction</w:t>
            </w:r>
          </w:p>
        </w:tc>
        <w:tc>
          <w:tcPr>
            <w:tcW w:w="8892" w:type="dxa"/>
          </w:tcPr>
          <w:p w:rsidR="002C058D" w:rsidRPr="00E34E6E" w:rsidRDefault="005E7DFC" w:rsidP="00D80361">
            <w:pPr>
              <w:spacing w:line="240" w:lineRule="auto"/>
              <w:rPr>
                <w:sz w:val="18"/>
                <w:szCs w:val="18"/>
              </w:rPr>
            </w:pPr>
            <w:r w:rsidRPr="00E34E6E">
              <w:rPr>
                <w:sz w:val="18"/>
                <w:szCs w:val="18"/>
              </w:rPr>
              <w:t>Hedge funds have a significant negative VOV (volatility of aggregate volatility) exposure especially during financial cris</w:t>
            </w:r>
            <w:r w:rsidR="00D80361" w:rsidRPr="00E34E6E">
              <w:rPr>
                <w:sz w:val="18"/>
                <w:szCs w:val="18"/>
              </w:rPr>
              <w:t>e</w:t>
            </w:r>
            <w:r w:rsidRPr="00E34E6E">
              <w:rPr>
                <w:sz w:val="18"/>
                <w:szCs w:val="18"/>
              </w:rPr>
              <w:t xml:space="preserve">s. </w:t>
            </w:r>
            <w:r w:rsidR="00F3581C" w:rsidRPr="00E34E6E">
              <w:rPr>
                <w:sz w:val="18"/>
                <w:szCs w:val="18"/>
              </w:rPr>
              <w:t>Funds</w:t>
            </w:r>
            <w:r w:rsidR="00D80361" w:rsidRPr="00E34E6E">
              <w:rPr>
                <w:sz w:val="18"/>
                <w:szCs w:val="18"/>
              </w:rPr>
              <w:t>’</w:t>
            </w:r>
            <w:r w:rsidR="00F3581C" w:rsidRPr="00E34E6E">
              <w:rPr>
                <w:sz w:val="18"/>
                <w:szCs w:val="18"/>
              </w:rPr>
              <w:t xml:space="preserve"> VOV betas have a significant </w:t>
            </w:r>
            <w:r w:rsidR="00D80361" w:rsidRPr="00E34E6E">
              <w:rPr>
                <w:sz w:val="18"/>
                <w:szCs w:val="18"/>
              </w:rPr>
              <w:t xml:space="preserve">ability to </w:t>
            </w:r>
            <w:r w:rsidR="00F3581C" w:rsidRPr="00E34E6E">
              <w:rPr>
                <w:sz w:val="18"/>
                <w:szCs w:val="18"/>
              </w:rPr>
              <w:t>predict excess returns</w:t>
            </w:r>
            <w:r w:rsidR="00D80361" w:rsidRPr="00E34E6E">
              <w:rPr>
                <w:sz w:val="18"/>
                <w:szCs w:val="18"/>
              </w:rPr>
              <w:t xml:space="preserve"> one month ahead</w:t>
            </w:r>
            <w:r w:rsidR="00F3581C" w:rsidRPr="00E34E6E">
              <w:rPr>
                <w:sz w:val="18"/>
                <w:szCs w:val="18"/>
              </w:rPr>
              <w:t xml:space="preserve">. </w:t>
            </w:r>
            <w:r w:rsidR="00D54930" w:rsidRPr="00E34E6E">
              <w:rPr>
                <w:sz w:val="18"/>
                <w:szCs w:val="18"/>
              </w:rPr>
              <w:t>Funds</w:t>
            </w:r>
            <w:r w:rsidR="00722728" w:rsidRPr="00E34E6E">
              <w:rPr>
                <w:sz w:val="18"/>
                <w:szCs w:val="18"/>
              </w:rPr>
              <w:t xml:space="preserve"> with </w:t>
            </w:r>
            <w:r w:rsidR="009C70AC" w:rsidRPr="00E34E6E">
              <w:rPr>
                <w:sz w:val="18"/>
                <w:szCs w:val="18"/>
              </w:rPr>
              <w:t>low</w:t>
            </w:r>
            <w:r w:rsidR="00722728" w:rsidRPr="00E34E6E">
              <w:rPr>
                <w:sz w:val="18"/>
                <w:szCs w:val="18"/>
              </w:rPr>
              <w:t xml:space="preserve"> </w:t>
            </w:r>
            <w:r w:rsidRPr="00E34E6E">
              <w:rPr>
                <w:sz w:val="18"/>
                <w:szCs w:val="18"/>
              </w:rPr>
              <w:t xml:space="preserve">VOV </w:t>
            </w:r>
            <w:r w:rsidR="00722728" w:rsidRPr="00E34E6E">
              <w:rPr>
                <w:sz w:val="18"/>
                <w:szCs w:val="18"/>
              </w:rPr>
              <w:t xml:space="preserve">betas outperform </w:t>
            </w:r>
            <w:r w:rsidR="009C70AC" w:rsidRPr="00E34E6E">
              <w:rPr>
                <w:sz w:val="18"/>
                <w:szCs w:val="18"/>
              </w:rPr>
              <w:t>funds</w:t>
            </w:r>
            <w:r w:rsidR="00722728" w:rsidRPr="00E34E6E">
              <w:rPr>
                <w:sz w:val="18"/>
                <w:szCs w:val="18"/>
              </w:rPr>
              <w:t xml:space="preserve"> with </w:t>
            </w:r>
            <w:r w:rsidR="009C70AC" w:rsidRPr="00E34E6E">
              <w:rPr>
                <w:sz w:val="18"/>
                <w:szCs w:val="18"/>
              </w:rPr>
              <w:t>higher</w:t>
            </w:r>
            <w:r w:rsidR="00722728" w:rsidRPr="00E34E6E">
              <w:rPr>
                <w:sz w:val="18"/>
                <w:szCs w:val="18"/>
              </w:rPr>
              <w:t xml:space="preserve"> VOV betas during </w:t>
            </w:r>
            <w:r w:rsidR="00EA775C" w:rsidRPr="00E34E6E">
              <w:rPr>
                <w:sz w:val="18"/>
                <w:szCs w:val="18"/>
              </w:rPr>
              <w:t xml:space="preserve">the </w:t>
            </w:r>
            <w:r w:rsidR="00722728" w:rsidRPr="00E34E6E">
              <w:rPr>
                <w:sz w:val="18"/>
                <w:szCs w:val="18"/>
              </w:rPr>
              <w:t xml:space="preserve">financial crisis period. </w:t>
            </w:r>
            <w:r w:rsidR="009C70AC" w:rsidRPr="00E34E6E">
              <w:rPr>
                <w:sz w:val="18"/>
                <w:szCs w:val="18"/>
              </w:rPr>
              <w:t>S</w:t>
            </w:r>
            <w:r w:rsidR="00722728" w:rsidRPr="00E34E6E">
              <w:rPr>
                <w:sz w:val="18"/>
                <w:szCs w:val="18"/>
              </w:rPr>
              <w:t>trategies with more negative VOV betas deliver superior returns when uncertainty in the market is less</w:t>
            </w:r>
          </w:p>
        </w:tc>
      </w:tr>
      <w:tr w:rsidR="00E34E6E" w:rsidRPr="00E34E6E" w:rsidTr="0088117F">
        <w:trPr>
          <w:trHeight w:hRule="exact" w:val="907"/>
        </w:trPr>
        <w:tc>
          <w:tcPr>
            <w:tcW w:w="1980" w:type="dxa"/>
          </w:tcPr>
          <w:p w:rsidR="001E38B0" w:rsidRPr="00E34E6E" w:rsidRDefault="001E38B0" w:rsidP="00D45E3B">
            <w:pPr>
              <w:spacing w:line="240" w:lineRule="auto"/>
              <w:rPr>
                <w:sz w:val="18"/>
                <w:szCs w:val="18"/>
              </w:rPr>
            </w:pPr>
            <w:r w:rsidRPr="00E34E6E">
              <w:rPr>
                <w:sz w:val="18"/>
                <w:szCs w:val="18"/>
              </w:rPr>
              <w:t>Agarwal, Jiang, Tang, and Yang (2013)</w:t>
            </w:r>
          </w:p>
        </w:tc>
        <w:tc>
          <w:tcPr>
            <w:tcW w:w="2126" w:type="dxa"/>
          </w:tcPr>
          <w:p w:rsidR="001E38B0" w:rsidRPr="00E34E6E" w:rsidRDefault="001E38B0" w:rsidP="00D45E3B">
            <w:pPr>
              <w:spacing w:line="240" w:lineRule="auto"/>
              <w:rPr>
                <w:sz w:val="18"/>
                <w:szCs w:val="18"/>
              </w:rPr>
            </w:pPr>
            <w:r w:rsidRPr="00E34E6E">
              <w:rPr>
                <w:sz w:val="18"/>
                <w:szCs w:val="18"/>
              </w:rPr>
              <w:t>SEC’s EDGCAR database, 1999-2007</w:t>
            </w:r>
          </w:p>
        </w:tc>
        <w:tc>
          <w:tcPr>
            <w:tcW w:w="2552" w:type="dxa"/>
          </w:tcPr>
          <w:p w:rsidR="001E38B0" w:rsidRPr="00E34E6E" w:rsidRDefault="001E38B0" w:rsidP="00D45E3B">
            <w:pPr>
              <w:spacing w:line="240" w:lineRule="auto"/>
              <w:rPr>
                <w:sz w:val="18"/>
                <w:szCs w:val="18"/>
              </w:rPr>
            </w:pPr>
            <w:r w:rsidRPr="00E34E6E">
              <w:rPr>
                <w:sz w:val="18"/>
                <w:szCs w:val="18"/>
              </w:rPr>
              <w:t>Up-Bottom/</w:t>
            </w:r>
            <w:proofErr w:type="spellStart"/>
            <w:r w:rsidRPr="00E34E6E">
              <w:rPr>
                <w:sz w:val="18"/>
                <w:szCs w:val="18"/>
              </w:rPr>
              <w:t>Probit</w:t>
            </w:r>
            <w:proofErr w:type="spellEnd"/>
            <w:r w:rsidRPr="00E34E6E">
              <w:rPr>
                <w:sz w:val="18"/>
                <w:szCs w:val="18"/>
              </w:rPr>
              <w:t>-Tobit model, logistic regression, portfolio construction</w:t>
            </w:r>
          </w:p>
        </w:tc>
        <w:tc>
          <w:tcPr>
            <w:tcW w:w="8892" w:type="dxa"/>
          </w:tcPr>
          <w:p w:rsidR="001E38B0" w:rsidRPr="00E34E6E" w:rsidRDefault="002F7084" w:rsidP="00D80361">
            <w:pPr>
              <w:spacing w:line="240" w:lineRule="auto"/>
              <w:rPr>
                <w:sz w:val="18"/>
                <w:szCs w:val="18"/>
              </w:rPr>
            </w:pPr>
            <w:r w:rsidRPr="00E34E6E">
              <w:rPr>
                <w:sz w:val="18"/>
                <w:szCs w:val="18"/>
              </w:rPr>
              <w:t xml:space="preserve">There is evidence of managerial skill in stock picking. </w:t>
            </w:r>
            <w:r w:rsidR="00914DBE" w:rsidRPr="00E34E6E">
              <w:rPr>
                <w:sz w:val="18"/>
                <w:szCs w:val="18"/>
              </w:rPr>
              <w:t xml:space="preserve">Funds </w:t>
            </w:r>
            <w:r w:rsidR="00D80361" w:rsidRPr="00E34E6E">
              <w:rPr>
                <w:sz w:val="18"/>
                <w:szCs w:val="18"/>
              </w:rPr>
              <w:t>runn</w:t>
            </w:r>
            <w:r w:rsidR="00914DBE" w:rsidRPr="00E34E6E">
              <w:rPr>
                <w:sz w:val="18"/>
                <w:szCs w:val="18"/>
              </w:rPr>
              <w:t xml:space="preserve">ing large risky portfolios with nonconventional strategies pursue confidentiality frequently and confidential holdings exhibit superior performance up to 12 months. </w:t>
            </w:r>
            <w:r w:rsidR="00CE08E5" w:rsidRPr="00E34E6E">
              <w:rPr>
                <w:sz w:val="18"/>
                <w:szCs w:val="18"/>
              </w:rPr>
              <w:t>Confidential treatment provides an incentive for active portfolio managers</w:t>
            </w:r>
            <w:r w:rsidR="00D80361" w:rsidRPr="00E34E6E">
              <w:rPr>
                <w:sz w:val="18"/>
                <w:szCs w:val="18"/>
              </w:rPr>
              <w:t>,</w:t>
            </w:r>
            <w:r w:rsidR="00CE08E5" w:rsidRPr="00E34E6E">
              <w:rPr>
                <w:sz w:val="18"/>
                <w:szCs w:val="18"/>
              </w:rPr>
              <w:t xml:space="preserve"> whereas it relieves </w:t>
            </w:r>
            <w:r w:rsidR="00D54930" w:rsidRPr="00E34E6E">
              <w:rPr>
                <w:sz w:val="18"/>
                <w:szCs w:val="18"/>
              </w:rPr>
              <w:t>fund managers</w:t>
            </w:r>
            <w:r w:rsidR="00CE08E5" w:rsidRPr="00E34E6E">
              <w:rPr>
                <w:sz w:val="18"/>
                <w:szCs w:val="18"/>
              </w:rPr>
              <w:t xml:space="preserve"> from </w:t>
            </w:r>
            <w:r w:rsidR="00D80361" w:rsidRPr="00E34E6E">
              <w:rPr>
                <w:sz w:val="18"/>
                <w:szCs w:val="18"/>
              </w:rPr>
              <w:t xml:space="preserve">having to </w:t>
            </w:r>
            <w:r w:rsidR="00CE08E5" w:rsidRPr="00E34E6E">
              <w:rPr>
                <w:sz w:val="18"/>
                <w:szCs w:val="18"/>
              </w:rPr>
              <w:t>reveal their private information</w:t>
            </w:r>
            <w:r w:rsidR="00D80361" w:rsidRPr="00E34E6E">
              <w:rPr>
                <w:sz w:val="18"/>
                <w:szCs w:val="18"/>
              </w:rPr>
              <w:t>,</w:t>
            </w:r>
            <w:r w:rsidR="00CE08E5" w:rsidRPr="00E34E6E">
              <w:rPr>
                <w:sz w:val="18"/>
                <w:szCs w:val="18"/>
              </w:rPr>
              <w:t xml:space="preserve"> not having </w:t>
            </w:r>
            <w:r w:rsidR="00D54930" w:rsidRPr="00E34E6E">
              <w:rPr>
                <w:sz w:val="18"/>
                <w:szCs w:val="18"/>
              </w:rPr>
              <w:t>exploit</w:t>
            </w:r>
            <w:r w:rsidR="002873AD" w:rsidRPr="00E34E6E">
              <w:rPr>
                <w:sz w:val="18"/>
                <w:szCs w:val="18"/>
              </w:rPr>
              <w:t>ed</w:t>
            </w:r>
            <w:r w:rsidR="00D54930" w:rsidRPr="00E34E6E">
              <w:rPr>
                <w:sz w:val="18"/>
                <w:szCs w:val="18"/>
              </w:rPr>
              <w:t xml:space="preserve"> </w:t>
            </w:r>
            <w:r w:rsidR="00CE08E5" w:rsidRPr="00E34E6E">
              <w:rPr>
                <w:sz w:val="18"/>
                <w:szCs w:val="18"/>
              </w:rPr>
              <w:t>the full benefits yet</w:t>
            </w:r>
          </w:p>
        </w:tc>
      </w:tr>
      <w:tr w:rsidR="00E34E6E" w:rsidRPr="00E34E6E" w:rsidTr="00DF0067">
        <w:trPr>
          <w:trHeight w:hRule="exact" w:val="851"/>
        </w:trPr>
        <w:tc>
          <w:tcPr>
            <w:tcW w:w="1980" w:type="dxa"/>
          </w:tcPr>
          <w:p w:rsidR="002C058D" w:rsidRPr="00E34E6E" w:rsidRDefault="00812F6C" w:rsidP="00D45E3B">
            <w:pPr>
              <w:spacing w:line="240" w:lineRule="auto"/>
              <w:rPr>
                <w:sz w:val="18"/>
                <w:szCs w:val="18"/>
              </w:rPr>
            </w:pPr>
            <w:r w:rsidRPr="00E34E6E">
              <w:rPr>
                <w:sz w:val="18"/>
                <w:szCs w:val="18"/>
              </w:rPr>
              <w:t>Patton (2009)</w:t>
            </w:r>
          </w:p>
        </w:tc>
        <w:tc>
          <w:tcPr>
            <w:tcW w:w="2126" w:type="dxa"/>
          </w:tcPr>
          <w:p w:rsidR="002C058D" w:rsidRPr="00E34E6E" w:rsidRDefault="00812F6C" w:rsidP="00D45E3B">
            <w:pPr>
              <w:spacing w:line="240" w:lineRule="auto"/>
              <w:rPr>
                <w:sz w:val="18"/>
                <w:szCs w:val="18"/>
              </w:rPr>
            </w:pPr>
            <w:r w:rsidRPr="00E34E6E">
              <w:rPr>
                <w:sz w:val="18"/>
                <w:szCs w:val="18"/>
              </w:rPr>
              <w:t>HFR, TASS, 1993-2003</w:t>
            </w:r>
          </w:p>
        </w:tc>
        <w:tc>
          <w:tcPr>
            <w:tcW w:w="2552" w:type="dxa"/>
          </w:tcPr>
          <w:p w:rsidR="002C058D" w:rsidRPr="00E34E6E" w:rsidRDefault="00812F6C" w:rsidP="00D45E3B">
            <w:pPr>
              <w:spacing w:line="240" w:lineRule="auto"/>
              <w:rPr>
                <w:sz w:val="18"/>
                <w:szCs w:val="18"/>
              </w:rPr>
            </w:pPr>
            <w:r w:rsidRPr="00E34E6E">
              <w:rPr>
                <w:sz w:val="18"/>
                <w:szCs w:val="18"/>
              </w:rPr>
              <w:t>Up-Bottom/Regression based, bootstrap methods</w:t>
            </w:r>
          </w:p>
        </w:tc>
        <w:tc>
          <w:tcPr>
            <w:tcW w:w="8892" w:type="dxa"/>
          </w:tcPr>
          <w:p w:rsidR="002C058D" w:rsidRPr="00E34E6E" w:rsidRDefault="00812F6C" w:rsidP="00DF0067">
            <w:pPr>
              <w:spacing w:line="240" w:lineRule="auto"/>
              <w:rPr>
                <w:sz w:val="18"/>
                <w:szCs w:val="18"/>
              </w:rPr>
            </w:pPr>
            <w:r w:rsidRPr="00E34E6E">
              <w:rPr>
                <w:sz w:val="18"/>
                <w:szCs w:val="18"/>
              </w:rPr>
              <w:t xml:space="preserve">About one quarter of funds in the market neutral category </w:t>
            </w:r>
            <w:r w:rsidR="00EA775C" w:rsidRPr="00E34E6E">
              <w:rPr>
                <w:sz w:val="18"/>
                <w:szCs w:val="18"/>
              </w:rPr>
              <w:t>are</w:t>
            </w:r>
            <w:r w:rsidRPr="00E34E6E">
              <w:rPr>
                <w:sz w:val="18"/>
                <w:szCs w:val="18"/>
              </w:rPr>
              <w:t xml:space="preserve"> significant</w:t>
            </w:r>
            <w:r w:rsidR="00EA775C" w:rsidRPr="00E34E6E">
              <w:rPr>
                <w:sz w:val="18"/>
                <w:szCs w:val="18"/>
              </w:rPr>
              <w:t>ly</w:t>
            </w:r>
            <w:r w:rsidRPr="00E34E6E">
              <w:rPr>
                <w:sz w:val="18"/>
                <w:szCs w:val="18"/>
              </w:rPr>
              <w:t xml:space="preserve"> non-neutral. </w:t>
            </w:r>
            <w:r w:rsidR="00DF0067" w:rsidRPr="00E34E6E">
              <w:rPr>
                <w:sz w:val="18"/>
                <w:szCs w:val="18"/>
              </w:rPr>
              <w:t xml:space="preserve">For other fund styles the proportions of non-neutral funds are from 50% for fund of funds to 85% for equity non-hedge style. </w:t>
            </w:r>
            <w:r w:rsidRPr="00E34E6E">
              <w:rPr>
                <w:sz w:val="18"/>
                <w:szCs w:val="18"/>
              </w:rPr>
              <w:t>Market neutral style funds are more neutral to market returns than other categories such as equity hedge, non-equity hedge, or event driven funds</w:t>
            </w:r>
          </w:p>
        </w:tc>
      </w:tr>
      <w:tr w:rsidR="00E34E6E" w:rsidRPr="00E34E6E" w:rsidTr="001A0E84">
        <w:trPr>
          <w:trHeight w:hRule="exact" w:val="1304"/>
        </w:trPr>
        <w:tc>
          <w:tcPr>
            <w:tcW w:w="1980" w:type="dxa"/>
          </w:tcPr>
          <w:p w:rsidR="002C058D" w:rsidRPr="00E34E6E" w:rsidRDefault="005B2F5C" w:rsidP="00D45E3B">
            <w:pPr>
              <w:spacing w:line="240" w:lineRule="auto"/>
              <w:rPr>
                <w:sz w:val="18"/>
                <w:szCs w:val="18"/>
              </w:rPr>
            </w:pPr>
            <w:proofErr w:type="spellStart"/>
            <w:r w:rsidRPr="00E34E6E">
              <w:rPr>
                <w:sz w:val="18"/>
                <w:szCs w:val="18"/>
              </w:rPr>
              <w:t>Avramov</w:t>
            </w:r>
            <w:proofErr w:type="spellEnd"/>
            <w:r w:rsidRPr="00E34E6E">
              <w:rPr>
                <w:sz w:val="18"/>
                <w:szCs w:val="18"/>
              </w:rPr>
              <w:t xml:space="preserve">, </w:t>
            </w:r>
            <w:proofErr w:type="spellStart"/>
            <w:r w:rsidRPr="00E34E6E">
              <w:rPr>
                <w:sz w:val="18"/>
                <w:szCs w:val="18"/>
              </w:rPr>
              <w:t>Barras</w:t>
            </w:r>
            <w:proofErr w:type="spellEnd"/>
            <w:r w:rsidRPr="00E34E6E">
              <w:rPr>
                <w:sz w:val="18"/>
                <w:szCs w:val="18"/>
              </w:rPr>
              <w:t xml:space="preserve">, and </w:t>
            </w:r>
            <w:proofErr w:type="spellStart"/>
            <w:r w:rsidRPr="00E34E6E">
              <w:rPr>
                <w:sz w:val="18"/>
                <w:szCs w:val="18"/>
              </w:rPr>
              <w:t>Kosowski</w:t>
            </w:r>
            <w:proofErr w:type="spellEnd"/>
            <w:r w:rsidRPr="00E34E6E">
              <w:rPr>
                <w:sz w:val="18"/>
                <w:szCs w:val="18"/>
              </w:rPr>
              <w:t xml:space="preserve"> (2013)</w:t>
            </w:r>
          </w:p>
        </w:tc>
        <w:tc>
          <w:tcPr>
            <w:tcW w:w="2126" w:type="dxa"/>
          </w:tcPr>
          <w:p w:rsidR="002C058D" w:rsidRPr="00E34E6E" w:rsidRDefault="005B2F5C" w:rsidP="00D45E3B">
            <w:pPr>
              <w:spacing w:line="240" w:lineRule="auto"/>
              <w:rPr>
                <w:sz w:val="18"/>
                <w:szCs w:val="18"/>
              </w:rPr>
            </w:pPr>
            <w:proofErr w:type="spellStart"/>
            <w:r w:rsidRPr="00E34E6E">
              <w:rPr>
                <w:sz w:val="18"/>
                <w:szCs w:val="18"/>
              </w:rPr>
              <w:t>Barclayhedge</w:t>
            </w:r>
            <w:proofErr w:type="spellEnd"/>
            <w:r w:rsidRPr="00E34E6E">
              <w:rPr>
                <w:sz w:val="18"/>
                <w:szCs w:val="18"/>
              </w:rPr>
              <w:t>, TASS, HFR, CISDM, MSCI, 1994-2008</w:t>
            </w:r>
          </w:p>
        </w:tc>
        <w:tc>
          <w:tcPr>
            <w:tcW w:w="2552" w:type="dxa"/>
          </w:tcPr>
          <w:p w:rsidR="002C058D" w:rsidRPr="00E34E6E" w:rsidRDefault="005B2F5C" w:rsidP="00D45E3B">
            <w:pPr>
              <w:spacing w:line="240" w:lineRule="auto"/>
              <w:rPr>
                <w:sz w:val="18"/>
                <w:szCs w:val="18"/>
              </w:rPr>
            </w:pPr>
            <w:r w:rsidRPr="00E34E6E">
              <w:rPr>
                <w:sz w:val="18"/>
                <w:szCs w:val="18"/>
              </w:rPr>
              <w:t>Up/Bottom, Regression based, portfolio construction</w:t>
            </w:r>
          </w:p>
        </w:tc>
        <w:tc>
          <w:tcPr>
            <w:tcW w:w="8892" w:type="dxa"/>
          </w:tcPr>
          <w:p w:rsidR="002C058D" w:rsidRPr="00E34E6E" w:rsidRDefault="00D80361" w:rsidP="00475642">
            <w:pPr>
              <w:spacing w:line="240" w:lineRule="auto"/>
              <w:rPr>
                <w:sz w:val="18"/>
                <w:szCs w:val="18"/>
              </w:rPr>
            </w:pPr>
            <w:r w:rsidRPr="00E34E6E">
              <w:rPr>
                <w:sz w:val="18"/>
                <w:szCs w:val="18"/>
              </w:rPr>
              <w:t>A</w:t>
            </w:r>
            <w:r w:rsidR="00924E06" w:rsidRPr="00E34E6E">
              <w:rPr>
                <w:sz w:val="18"/>
                <w:szCs w:val="18"/>
              </w:rPr>
              <w:t xml:space="preserve">pproximately 63% of the sample funds have expected returns that change according to business conditions. </w:t>
            </w:r>
            <w:r w:rsidR="00AA7FFD" w:rsidRPr="00E34E6E">
              <w:rPr>
                <w:sz w:val="18"/>
                <w:szCs w:val="18"/>
              </w:rPr>
              <w:t>Out-of-sample</w:t>
            </w:r>
            <w:r w:rsidR="00D42F01" w:rsidRPr="00E34E6E">
              <w:rPr>
                <w:sz w:val="18"/>
                <w:szCs w:val="18"/>
              </w:rPr>
              <w:t>,</w:t>
            </w:r>
            <w:r w:rsidR="00AA7FFD" w:rsidRPr="00E34E6E">
              <w:rPr>
                <w:sz w:val="18"/>
                <w:szCs w:val="18"/>
              </w:rPr>
              <w:t xml:space="preserve"> a simple strategy that combines the fund's return forecasts obtained from individual investors produces superior performance. A conditional </w:t>
            </w:r>
            <w:r w:rsidR="00F01AFA" w:rsidRPr="00E34E6E">
              <w:rPr>
                <w:sz w:val="18"/>
                <w:szCs w:val="18"/>
              </w:rPr>
              <w:t xml:space="preserve">(singe-predictor) </w:t>
            </w:r>
            <w:r w:rsidR="00AA7FFD" w:rsidRPr="00E34E6E">
              <w:rPr>
                <w:sz w:val="18"/>
                <w:szCs w:val="18"/>
              </w:rPr>
              <w:t>strategy that forecast</w:t>
            </w:r>
            <w:r w:rsidR="003B6E86" w:rsidRPr="00E34E6E">
              <w:rPr>
                <w:sz w:val="18"/>
                <w:szCs w:val="18"/>
              </w:rPr>
              <w:t>s</w:t>
            </w:r>
            <w:r w:rsidR="00AA7FFD" w:rsidRPr="00E34E6E">
              <w:rPr>
                <w:sz w:val="18"/>
                <w:szCs w:val="18"/>
              </w:rPr>
              <w:t xml:space="preserve"> each macro variable </w:t>
            </w:r>
            <w:r w:rsidR="00607F41" w:rsidRPr="00E34E6E">
              <w:rPr>
                <w:sz w:val="18"/>
                <w:szCs w:val="18"/>
              </w:rPr>
              <w:t>(</w:t>
            </w:r>
            <w:r w:rsidR="00F01AFA" w:rsidRPr="00E34E6E">
              <w:rPr>
                <w:sz w:val="18"/>
                <w:szCs w:val="18"/>
              </w:rPr>
              <w:t xml:space="preserve">and </w:t>
            </w:r>
            <w:r w:rsidR="00607F41" w:rsidRPr="00E34E6E">
              <w:rPr>
                <w:sz w:val="18"/>
                <w:szCs w:val="18"/>
              </w:rPr>
              <w:t xml:space="preserve">selecting the top decile of funds with the highest return mean) </w:t>
            </w:r>
            <w:r w:rsidR="00AA7FFD" w:rsidRPr="00E34E6E">
              <w:rPr>
                <w:sz w:val="18"/>
                <w:szCs w:val="18"/>
              </w:rPr>
              <w:t xml:space="preserve">is able to deliver superior performance. Another option is to </w:t>
            </w:r>
            <w:r w:rsidR="00EF6074" w:rsidRPr="00E34E6E">
              <w:rPr>
                <w:sz w:val="18"/>
                <w:szCs w:val="18"/>
              </w:rPr>
              <w:t>diversi</w:t>
            </w:r>
            <w:r w:rsidR="0006359E" w:rsidRPr="00E34E6E">
              <w:rPr>
                <w:sz w:val="18"/>
                <w:szCs w:val="18"/>
              </w:rPr>
              <w:t>fy</w:t>
            </w:r>
            <w:r w:rsidR="00EF6074" w:rsidRPr="00E34E6E">
              <w:rPr>
                <w:sz w:val="18"/>
                <w:szCs w:val="18"/>
              </w:rPr>
              <w:t xml:space="preserve"> </w:t>
            </w:r>
            <w:r w:rsidR="00607F41" w:rsidRPr="00E34E6E">
              <w:rPr>
                <w:sz w:val="18"/>
                <w:szCs w:val="18"/>
              </w:rPr>
              <w:t xml:space="preserve">and use the average </w:t>
            </w:r>
            <w:r w:rsidR="00475642" w:rsidRPr="00E34E6E">
              <w:rPr>
                <w:sz w:val="18"/>
                <w:szCs w:val="18"/>
              </w:rPr>
              <w:t>forecast</w:t>
            </w:r>
            <w:r w:rsidR="00607F41" w:rsidRPr="00E34E6E">
              <w:rPr>
                <w:sz w:val="18"/>
                <w:szCs w:val="18"/>
              </w:rPr>
              <w:t xml:space="preserve"> </w:t>
            </w:r>
            <w:r w:rsidR="00475642" w:rsidRPr="00E34E6E">
              <w:rPr>
                <w:sz w:val="18"/>
                <w:szCs w:val="18"/>
              </w:rPr>
              <w:t>from each predictor</w:t>
            </w:r>
            <w:r w:rsidR="00E65523" w:rsidRPr="00E34E6E">
              <w:rPr>
                <w:sz w:val="18"/>
                <w:szCs w:val="18"/>
              </w:rPr>
              <w:t xml:space="preserve"> </w:t>
            </w:r>
            <w:r w:rsidR="00AA7FFD" w:rsidRPr="00E34E6E">
              <w:rPr>
                <w:sz w:val="18"/>
                <w:szCs w:val="18"/>
              </w:rPr>
              <w:t>that avoids a poor fund selection</w:t>
            </w:r>
            <w:r w:rsidR="00D67601" w:rsidRPr="00E34E6E">
              <w:rPr>
                <w:sz w:val="18"/>
                <w:szCs w:val="18"/>
              </w:rPr>
              <w:t xml:space="preserve"> when there is no accuracy in the return forecasting</w:t>
            </w:r>
          </w:p>
        </w:tc>
      </w:tr>
      <w:tr w:rsidR="00E34E6E" w:rsidRPr="00E34E6E" w:rsidTr="00FA07C9">
        <w:trPr>
          <w:trHeight w:hRule="exact" w:val="851"/>
        </w:trPr>
        <w:tc>
          <w:tcPr>
            <w:tcW w:w="1980" w:type="dxa"/>
          </w:tcPr>
          <w:p w:rsidR="002C058D" w:rsidRPr="00E34E6E" w:rsidRDefault="00FE5772" w:rsidP="00D45E3B">
            <w:pPr>
              <w:spacing w:line="240" w:lineRule="auto"/>
              <w:rPr>
                <w:sz w:val="18"/>
                <w:szCs w:val="18"/>
              </w:rPr>
            </w:pPr>
            <w:r w:rsidRPr="00E34E6E">
              <w:rPr>
                <w:sz w:val="18"/>
                <w:szCs w:val="18"/>
              </w:rPr>
              <w:t xml:space="preserve">Bali, Brown and </w:t>
            </w:r>
            <w:proofErr w:type="spellStart"/>
            <w:r w:rsidRPr="00E34E6E">
              <w:rPr>
                <w:sz w:val="18"/>
                <w:szCs w:val="18"/>
              </w:rPr>
              <w:t>Caglayan</w:t>
            </w:r>
            <w:proofErr w:type="spellEnd"/>
            <w:r w:rsidRPr="00E34E6E">
              <w:rPr>
                <w:sz w:val="18"/>
                <w:szCs w:val="18"/>
              </w:rPr>
              <w:t xml:space="preserve"> (2011)</w:t>
            </w:r>
          </w:p>
        </w:tc>
        <w:tc>
          <w:tcPr>
            <w:tcW w:w="2126" w:type="dxa"/>
          </w:tcPr>
          <w:p w:rsidR="002C058D" w:rsidRPr="00E34E6E" w:rsidRDefault="00FE5772" w:rsidP="00D45E3B">
            <w:pPr>
              <w:spacing w:line="240" w:lineRule="auto"/>
              <w:rPr>
                <w:sz w:val="18"/>
                <w:szCs w:val="18"/>
              </w:rPr>
            </w:pPr>
            <w:r w:rsidRPr="00E34E6E">
              <w:rPr>
                <w:sz w:val="18"/>
                <w:szCs w:val="18"/>
              </w:rPr>
              <w:t>Lipper/TASS, 1994-2008</w:t>
            </w:r>
          </w:p>
        </w:tc>
        <w:tc>
          <w:tcPr>
            <w:tcW w:w="2552" w:type="dxa"/>
          </w:tcPr>
          <w:p w:rsidR="002C058D" w:rsidRPr="00E34E6E" w:rsidRDefault="00FE5772" w:rsidP="00D45E3B">
            <w:pPr>
              <w:spacing w:line="240" w:lineRule="auto"/>
              <w:rPr>
                <w:sz w:val="18"/>
                <w:szCs w:val="18"/>
              </w:rPr>
            </w:pPr>
            <w:r w:rsidRPr="00E34E6E">
              <w:rPr>
                <w:sz w:val="18"/>
                <w:szCs w:val="18"/>
              </w:rPr>
              <w:t>Up-Bottom/Cross-sectional regressions, quintile portfolios</w:t>
            </w:r>
          </w:p>
        </w:tc>
        <w:tc>
          <w:tcPr>
            <w:tcW w:w="8892" w:type="dxa"/>
          </w:tcPr>
          <w:p w:rsidR="002C058D" w:rsidRPr="00E34E6E" w:rsidRDefault="00FE5772" w:rsidP="00D80361">
            <w:pPr>
              <w:spacing w:line="240" w:lineRule="auto"/>
              <w:rPr>
                <w:sz w:val="18"/>
                <w:szCs w:val="18"/>
              </w:rPr>
            </w:pPr>
            <w:r w:rsidRPr="00E34E6E">
              <w:rPr>
                <w:sz w:val="18"/>
                <w:szCs w:val="18"/>
              </w:rPr>
              <w:t xml:space="preserve">There is </w:t>
            </w:r>
            <w:r w:rsidR="005137EF" w:rsidRPr="00E34E6E">
              <w:rPr>
                <w:sz w:val="18"/>
                <w:szCs w:val="18"/>
              </w:rPr>
              <w:t xml:space="preserve">a </w:t>
            </w:r>
            <w:r w:rsidRPr="00E34E6E">
              <w:rPr>
                <w:sz w:val="18"/>
                <w:szCs w:val="18"/>
              </w:rPr>
              <w:t>positive relation</w:t>
            </w:r>
            <w:r w:rsidR="005137EF" w:rsidRPr="00E34E6E">
              <w:rPr>
                <w:sz w:val="18"/>
                <w:szCs w:val="18"/>
              </w:rPr>
              <w:t>ship</w:t>
            </w:r>
            <w:r w:rsidRPr="00E34E6E">
              <w:rPr>
                <w:sz w:val="18"/>
                <w:szCs w:val="18"/>
              </w:rPr>
              <w:t xml:space="preserve"> between default risk premium and hedge fund future return. </w:t>
            </w:r>
            <w:r w:rsidR="002D519C" w:rsidRPr="00E34E6E">
              <w:rPr>
                <w:sz w:val="18"/>
                <w:szCs w:val="18"/>
              </w:rPr>
              <w:t>More specific</w:t>
            </w:r>
            <w:r w:rsidR="00D80361" w:rsidRPr="00E34E6E">
              <w:rPr>
                <w:sz w:val="18"/>
                <w:szCs w:val="18"/>
              </w:rPr>
              <w:t>ally</w:t>
            </w:r>
            <w:r w:rsidR="002D519C" w:rsidRPr="00E34E6E">
              <w:rPr>
                <w:sz w:val="18"/>
                <w:szCs w:val="18"/>
              </w:rPr>
              <w:t xml:space="preserve">, funds with higher exposure to the default risk premium in the </w:t>
            </w:r>
            <w:r w:rsidR="00FA07C9" w:rsidRPr="00E34E6E">
              <w:rPr>
                <w:sz w:val="18"/>
                <w:szCs w:val="18"/>
              </w:rPr>
              <w:t>previous</w:t>
            </w:r>
            <w:r w:rsidR="00906C6C" w:rsidRPr="00E34E6E">
              <w:rPr>
                <w:sz w:val="18"/>
                <w:szCs w:val="18"/>
              </w:rPr>
              <w:t xml:space="preserve"> month deliver</w:t>
            </w:r>
            <w:r w:rsidR="002D519C" w:rsidRPr="00E34E6E">
              <w:rPr>
                <w:sz w:val="18"/>
                <w:szCs w:val="18"/>
              </w:rPr>
              <w:t xml:space="preserve"> higher returns in the following month. </w:t>
            </w:r>
            <w:r w:rsidRPr="00E34E6E">
              <w:rPr>
                <w:sz w:val="18"/>
                <w:szCs w:val="18"/>
              </w:rPr>
              <w:t>Hedge funds with lower exposure to inflation deliver higher returns in the future</w:t>
            </w:r>
            <w:r w:rsidR="00FA07C9" w:rsidRPr="00E34E6E">
              <w:rPr>
                <w:sz w:val="18"/>
                <w:szCs w:val="18"/>
              </w:rPr>
              <w:t xml:space="preserve">. </w:t>
            </w:r>
            <w:r w:rsidR="00D80361" w:rsidRPr="00E34E6E">
              <w:rPr>
                <w:sz w:val="18"/>
                <w:szCs w:val="18"/>
              </w:rPr>
              <w:t>In p</w:t>
            </w:r>
            <w:r w:rsidR="00FA07C9" w:rsidRPr="00E34E6E">
              <w:rPr>
                <w:sz w:val="18"/>
                <w:szCs w:val="18"/>
              </w:rPr>
              <w:t xml:space="preserve">articular, funds with lower exposure to inflation in the previous month </w:t>
            </w:r>
            <w:r w:rsidR="00F663E4" w:rsidRPr="00E34E6E">
              <w:rPr>
                <w:sz w:val="18"/>
                <w:szCs w:val="18"/>
              </w:rPr>
              <w:t>deliver higher returns in the following month</w:t>
            </w:r>
          </w:p>
        </w:tc>
      </w:tr>
      <w:tr w:rsidR="00E34E6E" w:rsidRPr="00E34E6E" w:rsidTr="00351A73">
        <w:trPr>
          <w:trHeight w:hRule="exact" w:val="851"/>
        </w:trPr>
        <w:tc>
          <w:tcPr>
            <w:tcW w:w="1980" w:type="dxa"/>
          </w:tcPr>
          <w:p w:rsidR="002C058D" w:rsidRPr="00E34E6E" w:rsidRDefault="00646638" w:rsidP="00D45E3B">
            <w:pPr>
              <w:spacing w:line="240" w:lineRule="auto"/>
              <w:rPr>
                <w:sz w:val="18"/>
                <w:szCs w:val="18"/>
              </w:rPr>
            </w:pPr>
            <w:r w:rsidRPr="00E34E6E">
              <w:rPr>
                <w:sz w:val="18"/>
                <w:szCs w:val="18"/>
              </w:rPr>
              <w:t xml:space="preserve">Bali, Brown and </w:t>
            </w:r>
            <w:proofErr w:type="spellStart"/>
            <w:r w:rsidRPr="00E34E6E">
              <w:rPr>
                <w:sz w:val="18"/>
                <w:szCs w:val="18"/>
              </w:rPr>
              <w:t>Caglayan</w:t>
            </w:r>
            <w:proofErr w:type="spellEnd"/>
            <w:r w:rsidRPr="00E34E6E">
              <w:rPr>
                <w:sz w:val="18"/>
                <w:szCs w:val="18"/>
              </w:rPr>
              <w:t xml:space="preserve"> (2012)</w:t>
            </w:r>
          </w:p>
        </w:tc>
        <w:tc>
          <w:tcPr>
            <w:tcW w:w="2126" w:type="dxa"/>
          </w:tcPr>
          <w:p w:rsidR="002C058D" w:rsidRPr="00E34E6E" w:rsidRDefault="00646638" w:rsidP="00D45E3B">
            <w:pPr>
              <w:spacing w:line="240" w:lineRule="auto"/>
              <w:rPr>
                <w:sz w:val="18"/>
                <w:szCs w:val="18"/>
              </w:rPr>
            </w:pPr>
            <w:r w:rsidRPr="00E34E6E">
              <w:rPr>
                <w:sz w:val="18"/>
                <w:szCs w:val="18"/>
              </w:rPr>
              <w:t>Lipper/TASS, 1994 to 2010</w:t>
            </w:r>
          </w:p>
        </w:tc>
        <w:tc>
          <w:tcPr>
            <w:tcW w:w="2552" w:type="dxa"/>
          </w:tcPr>
          <w:p w:rsidR="002C058D" w:rsidRPr="00E34E6E" w:rsidRDefault="00646638" w:rsidP="00D45E3B">
            <w:pPr>
              <w:spacing w:line="240" w:lineRule="auto"/>
              <w:rPr>
                <w:sz w:val="18"/>
                <w:szCs w:val="18"/>
              </w:rPr>
            </w:pPr>
            <w:r w:rsidRPr="00E34E6E">
              <w:rPr>
                <w:sz w:val="18"/>
                <w:szCs w:val="18"/>
              </w:rPr>
              <w:t>Up-Down/Cross-sectional regressions, portfolio analysis</w:t>
            </w:r>
          </w:p>
        </w:tc>
        <w:tc>
          <w:tcPr>
            <w:tcW w:w="8892" w:type="dxa"/>
          </w:tcPr>
          <w:p w:rsidR="002C058D" w:rsidRPr="00E34E6E" w:rsidRDefault="00646638" w:rsidP="003935CB">
            <w:pPr>
              <w:spacing w:line="240" w:lineRule="auto"/>
              <w:rPr>
                <w:sz w:val="18"/>
                <w:szCs w:val="18"/>
              </w:rPr>
            </w:pPr>
            <w:r w:rsidRPr="00E34E6E">
              <w:rPr>
                <w:sz w:val="18"/>
                <w:szCs w:val="18"/>
              </w:rPr>
              <w:t>Systematic risk is more powerful than residual risk in predicting the cross-sectional variation in hedge funds</w:t>
            </w:r>
            <w:r w:rsidR="00B63B6A" w:rsidRPr="00E34E6E">
              <w:rPr>
                <w:sz w:val="18"/>
                <w:szCs w:val="18"/>
              </w:rPr>
              <w:t xml:space="preserve"> even after controlling for various fund characteristics </w:t>
            </w:r>
            <w:r w:rsidR="001112F2" w:rsidRPr="00E34E6E">
              <w:rPr>
                <w:sz w:val="18"/>
                <w:szCs w:val="18"/>
              </w:rPr>
              <w:t>(e.g. age, size</w:t>
            </w:r>
            <w:r w:rsidR="003935CB" w:rsidRPr="00E34E6E">
              <w:rPr>
                <w:sz w:val="18"/>
                <w:szCs w:val="18"/>
              </w:rPr>
              <w:t xml:space="preserve"> and</w:t>
            </w:r>
            <w:r w:rsidR="001112F2" w:rsidRPr="00E34E6E">
              <w:rPr>
                <w:sz w:val="18"/>
                <w:szCs w:val="18"/>
              </w:rPr>
              <w:t xml:space="preserve"> fees) </w:t>
            </w:r>
            <w:r w:rsidR="00B63B6A" w:rsidRPr="00E34E6E">
              <w:rPr>
                <w:sz w:val="18"/>
                <w:szCs w:val="18"/>
              </w:rPr>
              <w:t>and risk factors</w:t>
            </w:r>
            <w:r w:rsidRPr="00E34E6E">
              <w:rPr>
                <w:sz w:val="18"/>
                <w:szCs w:val="18"/>
              </w:rPr>
              <w:t>. Funds within the highest systematic risk quintile generate 6% more average annual return compared to funds within the lowest risk quintile</w:t>
            </w:r>
            <w:r w:rsidR="00351A73" w:rsidRPr="00E34E6E">
              <w:rPr>
                <w:sz w:val="18"/>
                <w:szCs w:val="18"/>
              </w:rPr>
              <w:t>. The relation</w:t>
            </w:r>
            <w:r w:rsidR="003935CB" w:rsidRPr="00E34E6E">
              <w:rPr>
                <w:sz w:val="18"/>
                <w:szCs w:val="18"/>
              </w:rPr>
              <w:t>ship</w:t>
            </w:r>
            <w:r w:rsidR="00351A73" w:rsidRPr="00E34E6E">
              <w:rPr>
                <w:sz w:val="18"/>
                <w:szCs w:val="18"/>
              </w:rPr>
              <w:t xml:space="preserve"> between residual risk and future fund returns is insignificant</w:t>
            </w:r>
          </w:p>
        </w:tc>
      </w:tr>
      <w:tr w:rsidR="00E34E6E" w:rsidRPr="00E34E6E" w:rsidTr="00FD3187">
        <w:trPr>
          <w:trHeight w:hRule="exact" w:val="851"/>
        </w:trPr>
        <w:tc>
          <w:tcPr>
            <w:tcW w:w="1980" w:type="dxa"/>
          </w:tcPr>
          <w:p w:rsidR="002C058D" w:rsidRPr="00E34E6E" w:rsidRDefault="004052B0" w:rsidP="00D45E3B">
            <w:pPr>
              <w:spacing w:line="240" w:lineRule="auto"/>
              <w:rPr>
                <w:sz w:val="18"/>
                <w:szCs w:val="18"/>
              </w:rPr>
            </w:pPr>
            <w:r w:rsidRPr="00E34E6E">
              <w:rPr>
                <w:sz w:val="18"/>
                <w:szCs w:val="18"/>
              </w:rPr>
              <w:t xml:space="preserve">Bali, Brown and </w:t>
            </w:r>
            <w:proofErr w:type="spellStart"/>
            <w:r w:rsidRPr="00E34E6E">
              <w:rPr>
                <w:sz w:val="18"/>
                <w:szCs w:val="18"/>
              </w:rPr>
              <w:t>Caglayan</w:t>
            </w:r>
            <w:proofErr w:type="spellEnd"/>
            <w:r w:rsidRPr="00E34E6E">
              <w:rPr>
                <w:sz w:val="18"/>
                <w:szCs w:val="18"/>
              </w:rPr>
              <w:t xml:space="preserve"> (2014)</w:t>
            </w:r>
          </w:p>
        </w:tc>
        <w:tc>
          <w:tcPr>
            <w:tcW w:w="2126" w:type="dxa"/>
          </w:tcPr>
          <w:p w:rsidR="002C058D" w:rsidRPr="00E34E6E" w:rsidRDefault="004052B0" w:rsidP="00D45E3B">
            <w:pPr>
              <w:spacing w:line="240" w:lineRule="auto"/>
              <w:rPr>
                <w:sz w:val="18"/>
                <w:szCs w:val="18"/>
              </w:rPr>
            </w:pPr>
            <w:r w:rsidRPr="00E34E6E">
              <w:rPr>
                <w:sz w:val="18"/>
                <w:szCs w:val="18"/>
              </w:rPr>
              <w:t>Lipper TASS, 1994-2012</w:t>
            </w:r>
          </w:p>
        </w:tc>
        <w:tc>
          <w:tcPr>
            <w:tcW w:w="2552" w:type="dxa"/>
          </w:tcPr>
          <w:p w:rsidR="002C058D" w:rsidRPr="00E34E6E" w:rsidRDefault="004052B0" w:rsidP="00D45E3B">
            <w:pPr>
              <w:spacing w:line="240" w:lineRule="auto"/>
              <w:rPr>
                <w:sz w:val="18"/>
                <w:szCs w:val="18"/>
              </w:rPr>
            </w:pPr>
            <w:r w:rsidRPr="00E34E6E">
              <w:rPr>
                <w:sz w:val="18"/>
                <w:szCs w:val="18"/>
              </w:rPr>
              <w:t>Up-Bottom/Cross-sectional regressions, portfolio analysis, PCA</w:t>
            </w:r>
          </w:p>
        </w:tc>
        <w:tc>
          <w:tcPr>
            <w:tcW w:w="8892" w:type="dxa"/>
          </w:tcPr>
          <w:p w:rsidR="002C058D" w:rsidRPr="00E34E6E" w:rsidRDefault="004052B0" w:rsidP="0050338B">
            <w:pPr>
              <w:spacing w:line="240" w:lineRule="auto"/>
              <w:rPr>
                <w:sz w:val="18"/>
                <w:szCs w:val="18"/>
              </w:rPr>
            </w:pPr>
            <w:r w:rsidRPr="00E34E6E">
              <w:rPr>
                <w:sz w:val="18"/>
                <w:szCs w:val="18"/>
              </w:rPr>
              <w:t xml:space="preserve">There is </w:t>
            </w:r>
            <w:r w:rsidR="006E4E74" w:rsidRPr="00E34E6E">
              <w:rPr>
                <w:sz w:val="18"/>
                <w:szCs w:val="18"/>
              </w:rPr>
              <w:t xml:space="preserve">a </w:t>
            </w:r>
            <w:r w:rsidRPr="00E34E6E">
              <w:rPr>
                <w:sz w:val="18"/>
                <w:szCs w:val="18"/>
              </w:rPr>
              <w:t>positive and significant relation</w:t>
            </w:r>
            <w:r w:rsidR="006E4E74" w:rsidRPr="00E34E6E">
              <w:rPr>
                <w:sz w:val="18"/>
                <w:szCs w:val="18"/>
              </w:rPr>
              <w:t>ship</w:t>
            </w:r>
            <w:r w:rsidRPr="00E34E6E">
              <w:rPr>
                <w:sz w:val="18"/>
                <w:szCs w:val="18"/>
              </w:rPr>
              <w:t xml:space="preserve"> between uncertainty beta and hedge fund returns</w:t>
            </w:r>
            <w:r w:rsidR="0050338B" w:rsidRPr="00E34E6E">
              <w:rPr>
                <w:sz w:val="18"/>
                <w:szCs w:val="18"/>
              </w:rPr>
              <w:t xml:space="preserve"> even when taking into consideration fund characteristics and risk factors</w:t>
            </w:r>
            <w:r w:rsidRPr="00E34E6E">
              <w:rPr>
                <w:sz w:val="18"/>
                <w:szCs w:val="18"/>
              </w:rPr>
              <w:t xml:space="preserve">. Macroeconomic risk is </w:t>
            </w:r>
            <w:r w:rsidR="006E4E74" w:rsidRPr="00E34E6E">
              <w:rPr>
                <w:sz w:val="18"/>
                <w:szCs w:val="18"/>
              </w:rPr>
              <w:t xml:space="preserve">a </w:t>
            </w:r>
            <w:r w:rsidRPr="00E34E6E">
              <w:rPr>
                <w:sz w:val="18"/>
                <w:szCs w:val="18"/>
              </w:rPr>
              <w:t xml:space="preserve">better determinant of hedge fund returns </w:t>
            </w:r>
            <w:r w:rsidR="006E4E74" w:rsidRPr="00E34E6E">
              <w:rPr>
                <w:sz w:val="18"/>
                <w:szCs w:val="18"/>
              </w:rPr>
              <w:t>than</w:t>
            </w:r>
            <w:r w:rsidRPr="00E34E6E">
              <w:rPr>
                <w:sz w:val="18"/>
                <w:szCs w:val="18"/>
              </w:rPr>
              <w:t xml:space="preserve"> common financial risk factors. Directional strategies have</w:t>
            </w:r>
            <w:r w:rsidR="006E4E74" w:rsidRPr="00E34E6E">
              <w:rPr>
                <w:sz w:val="18"/>
                <w:szCs w:val="18"/>
              </w:rPr>
              <w:t xml:space="preserve"> a </w:t>
            </w:r>
            <w:r w:rsidRPr="00E34E6E">
              <w:rPr>
                <w:sz w:val="18"/>
                <w:szCs w:val="18"/>
              </w:rPr>
              <w:t>high exposure to the underlying macroeconomic risk factors</w:t>
            </w:r>
            <w:r w:rsidR="00540C0E" w:rsidRPr="00E34E6E">
              <w:rPr>
                <w:sz w:val="18"/>
                <w:szCs w:val="18"/>
              </w:rPr>
              <w:t>. Non-directional funds and mutual funds do not have s</w:t>
            </w:r>
            <w:r w:rsidR="003935CB" w:rsidRPr="00E34E6E">
              <w:rPr>
                <w:sz w:val="18"/>
                <w:szCs w:val="18"/>
              </w:rPr>
              <w:t>ignificant macro-timing ability</w:t>
            </w:r>
          </w:p>
        </w:tc>
      </w:tr>
      <w:tr w:rsidR="00E34E6E" w:rsidRPr="00E34E6E" w:rsidTr="007762BA">
        <w:trPr>
          <w:trHeight w:hRule="exact" w:val="851"/>
        </w:trPr>
        <w:tc>
          <w:tcPr>
            <w:tcW w:w="1980" w:type="dxa"/>
          </w:tcPr>
          <w:p w:rsidR="002C058D" w:rsidRPr="00E34E6E" w:rsidRDefault="004B7836" w:rsidP="00D45E3B">
            <w:pPr>
              <w:spacing w:line="240" w:lineRule="auto"/>
              <w:rPr>
                <w:sz w:val="18"/>
                <w:szCs w:val="18"/>
              </w:rPr>
            </w:pPr>
            <w:r w:rsidRPr="00E34E6E">
              <w:rPr>
                <w:sz w:val="18"/>
                <w:szCs w:val="18"/>
              </w:rPr>
              <w:t>Brown (2012)</w:t>
            </w:r>
          </w:p>
        </w:tc>
        <w:tc>
          <w:tcPr>
            <w:tcW w:w="2126" w:type="dxa"/>
          </w:tcPr>
          <w:p w:rsidR="002C058D" w:rsidRPr="00E34E6E" w:rsidRDefault="004B7836" w:rsidP="00D45E3B">
            <w:pPr>
              <w:spacing w:line="240" w:lineRule="auto"/>
              <w:rPr>
                <w:sz w:val="18"/>
                <w:szCs w:val="18"/>
              </w:rPr>
            </w:pPr>
            <w:r w:rsidRPr="00E34E6E">
              <w:rPr>
                <w:sz w:val="18"/>
                <w:szCs w:val="18"/>
              </w:rPr>
              <w:t>HFN and HFR, 1997-2010</w:t>
            </w:r>
          </w:p>
        </w:tc>
        <w:tc>
          <w:tcPr>
            <w:tcW w:w="2552" w:type="dxa"/>
          </w:tcPr>
          <w:p w:rsidR="002C058D" w:rsidRPr="00E34E6E" w:rsidRDefault="004B7836" w:rsidP="00D45E3B">
            <w:pPr>
              <w:spacing w:line="240" w:lineRule="auto"/>
              <w:rPr>
                <w:sz w:val="18"/>
                <w:szCs w:val="18"/>
              </w:rPr>
            </w:pPr>
            <w:r w:rsidRPr="00E34E6E">
              <w:rPr>
                <w:sz w:val="18"/>
                <w:szCs w:val="18"/>
              </w:rPr>
              <w:t>Up-Bottom/Stepwise regressions</w:t>
            </w:r>
          </w:p>
        </w:tc>
        <w:tc>
          <w:tcPr>
            <w:tcW w:w="8892" w:type="dxa"/>
          </w:tcPr>
          <w:p w:rsidR="002C058D" w:rsidRPr="00E34E6E" w:rsidRDefault="00897B43" w:rsidP="00AD3636">
            <w:pPr>
              <w:spacing w:line="240" w:lineRule="auto"/>
              <w:rPr>
                <w:sz w:val="18"/>
                <w:szCs w:val="18"/>
              </w:rPr>
            </w:pPr>
            <w:r w:rsidRPr="00E34E6E">
              <w:rPr>
                <w:sz w:val="18"/>
                <w:szCs w:val="18"/>
              </w:rPr>
              <w:t>For most hedge fund strategies</w:t>
            </w:r>
            <w:r w:rsidR="00906C6C" w:rsidRPr="00E34E6E">
              <w:rPr>
                <w:sz w:val="18"/>
                <w:szCs w:val="18"/>
              </w:rPr>
              <w:t>,</w:t>
            </w:r>
            <w:r w:rsidRPr="00E34E6E">
              <w:rPr>
                <w:sz w:val="18"/>
                <w:szCs w:val="18"/>
              </w:rPr>
              <w:t xml:space="preserve"> volatility is an important source of systematic risk. </w:t>
            </w:r>
            <w:r w:rsidR="008850EA" w:rsidRPr="00E34E6E">
              <w:rPr>
                <w:sz w:val="18"/>
                <w:szCs w:val="18"/>
              </w:rPr>
              <w:t xml:space="preserve">Volatility measures based on equity market returns are more robust than volatility measures based on commodity market or fixed income. </w:t>
            </w:r>
            <w:r w:rsidR="004B7836" w:rsidRPr="00E34E6E">
              <w:rPr>
                <w:sz w:val="18"/>
                <w:szCs w:val="18"/>
              </w:rPr>
              <w:t>Many hedge fund styles carr</w:t>
            </w:r>
            <w:r w:rsidR="00325AB1" w:rsidRPr="00E34E6E">
              <w:rPr>
                <w:sz w:val="18"/>
                <w:szCs w:val="18"/>
              </w:rPr>
              <w:t>y</w:t>
            </w:r>
            <w:r w:rsidR="004B7836" w:rsidRPr="00E34E6E">
              <w:rPr>
                <w:sz w:val="18"/>
                <w:szCs w:val="18"/>
              </w:rPr>
              <w:t xml:space="preserve"> significant exposures to traditional systematic risk factors such as equities, interest rates or credit. There is some evidence that </w:t>
            </w:r>
            <w:r w:rsidR="00AD3636" w:rsidRPr="00E34E6E">
              <w:rPr>
                <w:sz w:val="18"/>
                <w:szCs w:val="18"/>
              </w:rPr>
              <w:t>fees</w:t>
            </w:r>
            <w:r w:rsidR="004B7836" w:rsidRPr="00E34E6E">
              <w:rPr>
                <w:sz w:val="18"/>
                <w:szCs w:val="18"/>
              </w:rPr>
              <w:t xml:space="preserve"> may overwhelm hedge fund alpha</w:t>
            </w:r>
          </w:p>
        </w:tc>
      </w:tr>
      <w:tr w:rsidR="00F23A64" w:rsidRPr="00E34E6E" w:rsidTr="009A0726">
        <w:trPr>
          <w:trHeight w:hRule="exact" w:val="1077"/>
        </w:trPr>
        <w:tc>
          <w:tcPr>
            <w:tcW w:w="1980" w:type="dxa"/>
          </w:tcPr>
          <w:p w:rsidR="002C058D" w:rsidRPr="00E34E6E" w:rsidRDefault="00715E25" w:rsidP="00D45E3B">
            <w:pPr>
              <w:spacing w:line="240" w:lineRule="auto"/>
              <w:rPr>
                <w:sz w:val="18"/>
                <w:szCs w:val="18"/>
              </w:rPr>
            </w:pPr>
            <w:r w:rsidRPr="00E34E6E">
              <w:rPr>
                <w:sz w:val="18"/>
                <w:szCs w:val="18"/>
              </w:rPr>
              <w:t>Chung, Fung, and Patel (2015)</w:t>
            </w:r>
          </w:p>
        </w:tc>
        <w:tc>
          <w:tcPr>
            <w:tcW w:w="2126" w:type="dxa"/>
          </w:tcPr>
          <w:p w:rsidR="002C058D" w:rsidRPr="00E34E6E" w:rsidRDefault="00715E25" w:rsidP="00D45E3B">
            <w:pPr>
              <w:spacing w:line="240" w:lineRule="auto"/>
              <w:rPr>
                <w:sz w:val="18"/>
                <w:szCs w:val="18"/>
              </w:rPr>
            </w:pPr>
            <w:r w:rsidRPr="00E34E6E">
              <w:rPr>
                <w:sz w:val="18"/>
                <w:szCs w:val="18"/>
              </w:rPr>
              <w:t>GOEF, CRSP, French’s website, Orissa Group, 1997-2006</w:t>
            </w:r>
          </w:p>
        </w:tc>
        <w:tc>
          <w:tcPr>
            <w:tcW w:w="2552" w:type="dxa"/>
          </w:tcPr>
          <w:p w:rsidR="002C058D" w:rsidRPr="00E34E6E" w:rsidRDefault="00715E25" w:rsidP="00D45E3B">
            <w:pPr>
              <w:spacing w:line="240" w:lineRule="auto"/>
              <w:rPr>
                <w:sz w:val="18"/>
                <w:szCs w:val="18"/>
              </w:rPr>
            </w:pPr>
            <w:r w:rsidRPr="00E34E6E">
              <w:rPr>
                <w:sz w:val="18"/>
                <w:szCs w:val="18"/>
              </w:rPr>
              <w:t>Up-Bottom/Regression based, cross-sectional regressions</w:t>
            </w:r>
          </w:p>
        </w:tc>
        <w:tc>
          <w:tcPr>
            <w:tcW w:w="8892" w:type="dxa"/>
          </w:tcPr>
          <w:p w:rsidR="002C058D" w:rsidRPr="00E34E6E" w:rsidRDefault="00715E25" w:rsidP="00251757">
            <w:pPr>
              <w:spacing w:line="240" w:lineRule="auto"/>
              <w:rPr>
                <w:sz w:val="18"/>
                <w:szCs w:val="18"/>
              </w:rPr>
            </w:pPr>
            <w:r w:rsidRPr="00E34E6E">
              <w:rPr>
                <w:sz w:val="18"/>
                <w:szCs w:val="18"/>
              </w:rPr>
              <w:t xml:space="preserve">Hedge funds present stock-picking superiority </w:t>
            </w:r>
            <w:r w:rsidR="003935CB" w:rsidRPr="00E34E6E">
              <w:rPr>
                <w:sz w:val="18"/>
                <w:szCs w:val="18"/>
              </w:rPr>
              <w:t>for</w:t>
            </w:r>
            <w:r w:rsidR="00B82500" w:rsidRPr="00E34E6E">
              <w:rPr>
                <w:sz w:val="18"/>
                <w:szCs w:val="18"/>
              </w:rPr>
              <w:t xml:space="preserve"> their loading on the market risk factor </w:t>
            </w:r>
            <w:r w:rsidR="002B3E16" w:rsidRPr="00E34E6E">
              <w:rPr>
                <w:sz w:val="18"/>
                <w:szCs w:val="18"/>
              </w:rPr>
              <w:t>compared to other institutional investors</w:t>
            </w:r>
            <w:r w:rsidRPr="00E34E6E">
              <w:rPr>
                <w:sz w:val="18"/>
                <w:szCs w:val="18"/>
              </w:rPr>
              <w:t xml:space="preserve"> across three different market eras: bubble, deflation, and recovery. </w:t>
            </w:r>
            <w:r w:rsidR="002B3E16" w:rsidRPr="00E34E6E">
              <w:rPr>
                <w:sz w:val="18"/>
                <w:szCs w:val="18"/>
              </w:rPr>
              <w:t>A h</w:t>
            </w:r>
            <w:r w:rsidRPr="00E34E6E">
              <w:rPr>
                <w:sz w:val="18"/>
                <w:szCs w:val="18"/>
              </w:rPr>
              <w:t xml:space="preserve">igh churn rate and </w:t>
            </w:r>
            <w:r w:rsidR="002B3E16" w:rsidRPr="00E34E6E">
              <w:rPr>
                <w:sz w:val="18"/>
                <w:szCs w:val="18"/>
              </w:rPr>
              <w:t xml:space="preserve">a </w:t>
            </w:r>
            <w:r w:rsidRPr="00E34E6E">
              <w:rPr>
                <w:sz w:val="18"/>
                <w:szCs w:val="18"/>
              </w:rPr>
              <w:t>high active share appear to be necessities for superior hedge fund returns</w:t>
            </w:r>
            <w:r w:rsidR="001246DE" w:rsidRPr="00E34E6E">
              <w:rPr>
                <w:sz w:val="18"/>
                <w:szCs w:val="18"/>
              </w:rPr>
              <w:t xml:space="preserve">. In addition, </w:t>
            </w:r>
            <w:r w:rsidR="004D2183" w:rsidRPr="00E34E6E">
              <w:rPr>
                <w:sz w:val="18"/>
                <w:szCs w:val="18"/>
              </w:rPr>
              <w:t>hedge funds load negatively on an illiquidity factor compared to other institutional investors</w:t>
            </w:r>
            <w:r w:rsidR="009A0726" w:rsidRPr="00E34E6E">
              <w:rPr>
                <w:sz w:val="18"/>
                <w:szCs w:val="18"/>
              </w:rPr>
              <w:t xml:space="preserve">. The robust superiority of hedge funds aligns with the use of active information acquisition </w:t>
            </w:r>
            <w:r w:rsidR="00251757" w:rsidRPr="00E34E6E">
              <w:rPr>
                <w:sz w:val="18"/>
                <w:szCs w:val="18"/>
              </w:rPr>
              <w:t xml:space="preserve">(high churn rate) </w:t>
            </w:r>
            <w:r w:rsidR="009A0726" w:rsidRPr="00E34E6E">
              <w:rPr>
                <w:sz w:val="18"/>
                <w:szCs w:val="18"/>
              </w:rPr>
              <w:t>and active portfolio management</w:t>
            </w:r>
            <w:r w:rsidR="003935CB" w:rsidRPr="00E34E6E">
              <w:rPr>
                <w:sz w:val="18"/>
                <w:szCs w:val="18"/>
              </w:rPr>
              <w:t xml:space="preserve"> </w:t>
            </w:r>
            <w:r w:rsidR="00251757" w:rsidRPr="00E34E6E">
              <w:rPr>
                <w:sz w:val="18"/>
                <w:szCs w:val="18"/>
              </w:rPr>
              <w:t>(high active share)</w:t>
            </w:r>
          </w:p>
        </w:tc>
      </w:tr>
    </w:tbl>
    <w:p w:rsidR="00CD0CB7" w:rsidRPr="00E34E6E" w:rsidRDefault="00CD0CB7"/>
    <w:p w:rsidR="00CD0CB7" w:rsidRPr="00E34E6E" w:rsidRDefault="00CD0CB7" w:rsidP="00CD0CB7">
      <w:pPr>
        <w:spacing w:after="0"/>
      </w:pPr>
      <w:r w:rsidRPr="00E34E6E">
        <w:rPr>
          <w:b/>
        </w:rPr>
        <w:t>Table 3. Continued</w:t>
      </w:r>
    </w:p>
    <w:tbl>
      <w:tblPr>
        <w:tblStyle w:val="TableGrid"/>
        <w:tblW w:w="15550" w:type="dxa"/>
        <w:tblLayout w:type="fixed"/>
        <w:tblLook w:val="04A0" w:firstRow="1" w:lastRow="0" w:firstColumn="1" w:lastColumn="0" w:noHBand="0" w:noVBand="1"/>
      </w:tblPr>
      <w:tblGrid>
        <w:gridCol w:w="1980"/>
        <w:gridCol w:w="2126"/>
        <w:gridCol w:w="2552"/>
        <w:gridCol w:w="8892"/>
      </w:tblGrid>
      <w:tr w:rsidR="00E34E6E" w:rsidRPr="00E34E6E" w:rsidTr="00DB42C9">
        <w:trPr>
          <w:trHeight w:hRule="exact" w:val="1077"/>
        </w:trPr>
        <w:tc>
          <w:tcPr>
            <w:tcW w:w="1980" w:type="dxa"/>
          </w:tcPr>
          <w:p w:rsidR="002C058D" w:rsidRPr="00E34E6E" w:rsidRDefault="00EC47C3" w:rsidP="00D45E3B">
            <w:pPr>
              <w:spacing w:line="240" w:lineRule="auto"/>
              <w:rPr>
                <w:sz w:val="18"/>
                <w:szCs w:val="18"/>
              </w:rPr>
            </w:pPr>
            <w:proofErr w:type="spellStart"/>
            <w:r w:rsidRPr="00E34E6E">
              <w:rPr>
                <w:sz w:val="18"/>
                <w:szCs w:val="18"/>
              </w:rPr>
              <w:t>Hubner</w:t>
            </w:r>
            <w:proofErr w:type="spellEnd"/>
            <w:r w:rsidRPr="00E34E6E">
              <w:rPr>
                <w:sz w:val="18"/>
                <w:szCs w:val="18"/>
              </w:rPr>
              <w:t xml:space="preserve">, Lambert and </w:t>
            </w:r>
            <w:proofErr w:type="spellStart"/>
            <w:r w:rsidRPr="00E34E6E">
              <w:rPr>
                <w:sz w:val="18"/>
                <w:szCs w:val="18"/>
              </w:rPr>
              <w:t>Papageorgiou</w:t>
            </w:r>
            <w:proofErr w:type="spellEnd"/>
            <w:r w:rsidRPr="00E34E6E">
              <w:rPr>
                <w:sz w:val="18"/>
                <w:szCs w:val="18"/>
              </w:rPr>
              <w:t xml:space="preserve"> (2015)</w:t>
            </w:r>
          </w:p>
        </w:tc>
        <w:tc>
          <w:tcPr>
            <w:tcW w:w="2126" w:type="dxa"/>
          </w:tcPr>
          <w:p w:rsidR="002C058D" w:rsidRPr="00E34E6E" w:rsidRDefault="00EC47C3" w:rsidP="00D45E3B">
            <w:pPr>
              <w:spacing w:line="240" w:lineRule="auto"/>
              <w:rPr>
                <w:sz w:val="18"/>
                <w:szCs w:val="18"/>
              </w:rPr>
            </w:pPr>
            <w:r w:rsidRPr="00E34E6E">
              <w:rPr>
                <w:sz w:val="18"/>
                <w:szCs w:val="18"/>
              </w:rPr>
              <w:t>HFR, 1996-2009</w:t>
            </w:r>
          </w:p>
        </w:tc>
        <w:tc>
          <w:tcPr>
            <w:tcW w:w="2552" w:type="dxa"/>
          </w:tcPr>
          <w:p w:rsidR="002C058D" w:rsidRPr="00E34E6E" w:rsidRDefault="00EC47C3" w:rsidP="00D45E3B">
            <w:pPr>
              <w:spacing w:line="240" w:lineRule="auto"/>
              <w:rPr>
                <w:sz w:val="18"/>
                <w:szCs w:val="18"/>
              </w:rPr>
            </w:pPr>
            <w:r w:rsidRPr="00E34E6E">
              <w:rPr>
                <w:sz w:val="18"/>
                <w:szCs w:val="18"/>
              </w:rPr>
              <w:t>Up-Bottom/Higher moment regression based</w:t>
            </w:r>
          </w:p>
        </w:tc>
        <w:tc>
          <w:tcPr>
            <w:tcW w:w="8892" w:type="dxa"/>
          </w:tcPr>
          <w:p w:rsidR="002C058D" w:rsidRPr="00E34E6E" w:rsidRDefault="00EC47C3" w:rsidP="003935CB">
            <w:pPr>
              <w:spacing w:line="240" w:lineRule="auto"/>
              <w:rPr>
                <w:sz w:val="18"/>
                <w:szCs w:val="18"/>
              </w:rPr>
            </w:pPr>
            <w:r w:rsidRPr="00E34E6E">
              <w:rPr>
                <w:sz w:val="18"/>
                <w:szCs w:val="18"/>
              </w:rPr>
              <w:t xml:space="preserve">The implied skewness and kurtosis of index portfolios increase models' </w:t>
            </w:r>
            <w:r w:rsidR="00A1404F" w:rsidRPr="00E34E6E">
              <w:rPr>
                <w:sz w:val="18"/>
                <w:szCs w:val="18"/>
              </w:rPr>
              <w:t>explanatory</w:t>
            </w:r>
            <w:r w:rsidR="002B3E16" w:rsidRPr="00E34E6E">
              <w:rPr>
                <w:sz w:val="18"/>
                <w:szCs w:val="18"/>
              </w:rPr>
              <w:t xml:space="preserve"> power and reduce</w:t>
            </w:r>
            <w:r w:rsidRPr="00E34E6E">
              <w:rPr>
                <w:sz w:val="18"/>
                <w:szCs w:val="18"/>
              </w:rPr>
              <w:t xml:space="preserve"> the specificati</w:t>
            </w:r>
            <w:r w:rsidR="00F76A25" w:rsidRPr="00E34E6E">
              <w:rPr>
                <w:sz w:val="18"/>
                <w:szCs w:val="18"/>
              </w:rPr>
              <w:t>on error for the majority of</w:t>
            </w:r>
            <w:r w:rsidRPr="00E34E6E">
              <w:rPr>
                <w:sz w:val="18"/>
                <w:szCs w:val="18"/>
              </w:rPr>
              <w:t xml:space="preserve"> hedge fund strategies</w:t>
            </w:r>
            <w:r w:rsidR="00F76A25" w:rsidRPr="00E34E6E">
              <w:rPr>
                <w:sz w:val="18"/>
                <w:szCs w:val="18"/>
              </w:rPr>
              <w:t xml:space="preserve">. Market neutral, </w:t>
            </w:r>
            <w:r w:rsidR="00BE60A5" w:rsidRPr="00E34E6E">
              <w:rPr>
                <w:sz w:val="18"/>
                <w:szCs w:val="18"/>
              </w:rPr>
              <w:t>R</w:t>
            </w:r>
            <w:r w:rsidR="00F76A25" w:rsidRPr="00E34E6E">
              <w:rPr>
                <w:sz w:val="18"/>
                <w:szCs w:val="18"/>
              </w:rPr>
              <w:t xml:space="preserve">elative value, and </w:t>
            </w:r>
            <w:r w:rsidR="00BE60A5" w:rsidRPr="00E34E6E">
              <w:rPr>
                <w:sz w:val="18"/>
                <w:szCs w:val="18"/>
              </w:rPr>
              <w:t>F</w:t>
            </w:r>
            <w:r w:rsidR="00F76A25" w:rsidRPr="00E34E6E">
              <w:rPr>
                <w:sz w:val="18"/>
                <w:szCs w:val="18"/>
              </w:rPr>
              <w:t xml:space="preserve">und of funds styles </w:t>
            </w:r>
            <w:r w:rsidR="00881A3F" w:rsidRPr="00E34E6E">
              <w:rPr>
                <w:sz w:val="18"/>
                <w:szCs w:val="18"/>
              </w:rPr>
              <w:t>change</w:t>
            </w:r>
            <w:r w:rsidR="00F76A25" w:rsidRPr="00E34E6E">
              <w:rPr>
                <w:sz w:val="18"/>
                <w:szCs w:val="18"/>
              </w:rPr>
              <w:t xml:space="preserve"> their market exposure during financial cris</w:t>
            </w:r>
            <w:r w:rsidR="003935CB" w:rsidRPr="00E34E6E">
              <w:rPr>
                <w:sz w:val="18"/>
                <w:szCs w:val="18"/>
              </w:rPr>
              <w:t>e</w:t>
            </w:r>
            <w:r w:rsidR="00F76A25" w:rsidRPr="00E34E6E">
              <w:rPr>
                <w:sz w:val="18"/>
                <w:szCs w:val="18"/>
              </w:rPr>
              <w:t>s</w:t>
            </w:r>
            <w:r w:rsidR="00604D76" w:rsidRPr="00E34E6E">
              <w:rPr>
                <w:sz w:val="18"/>
                <w:szCs w:val="18"/>
              </w:rPr>
              <w:t>. If fund managers use the volatility, skewness, and kurtosis implied by US options as tools for anticipating market movements then they should adjust their market exposure according to these mo</w:t>
            </w:r>
            <w:r w:rsidR="003935CB" w:rsidRPr="00E34E6E">
              <w:rPr>
                <w:sz w:val="18"/>
                <w:szCs w:val="18"/>
              </w:rPr>
              <w:t>ve</w:t>
            </w:r>
            <w:r w:rsidR="00604D76" w:rsidRPr="00E34E6E">
              <w:rPr>
                <w:sz w:val="18"/>
                <w:szCs w:val="18"/>
              </w:rPr>
              <w:t>ments</w:t>
            </w:r>
          </w:p>
        </w:tc>
      </w:tr>
      <w:tr w:rsidR="00E34E6E" w:rsidRPr="00E34E6E" w:rsidTr="00B32619">
        <w:trPr>
          <w:trHeight w:hRule="exact" w:val="680"/>
        </w:trPr>
        <w:tc>
          <w:tcPr>
            <w:tcW w:w="1980" w:type="dxa"/>
          </w:tcPr>
          <w:p w:rsidR="002C058D" w:rsidRPr="00E34E6E" w:rsidRDefault="00C961D8" w:rsidP="00D45E3B">
            <w:pPr>
              <w:spacing w:line="240" w:lineRule="auto"/>
              <w:rPr>
                <w:sz w:val="18"/>
                <w:szCs w:val="18"/>
              </w:rPr>
            </w:pPr>
            <w:r w:rsidRPr="00E34E6E">
              <w:rPr>
                <w:sz w:val="18"/>
                <w:szCs w:val="18"/>
              </w:rPr>
              <w:t>Ibbotson, Chen and Zhu (2011)</w:t>
            </w:r>
          </w:p>
        </w:tc>
        <w:tc>
          <w:tcPr>
            <w:tcW w:w="2126" w:type="dxa"/>
          </w:tcPr>
          <w:p w:rsidR="002C058D" w:rsidRPr="00E34E6E" w:rsidRDefault="00C961D8" w:rsidP="00D45E3B">
            <w:pPr>
              <w:spacing w:line="240" w:lineRule="auto"/>
              <w:rPr>
                <w:sz w:val="18"/>
                <w:szCs w:val="18"/>
              </w:rPr>
            </w:pPr>
            <w:r w:rsidRPr="00E34E6E">
              <w:rPr>
                <w:sz w:val="18"/>
                <w:szCs w:val="18"/>
              </w:rPr>
              <w:t>TASS, 1995-2009</w:t>
            </w:r>
          </w:p>
        </w:tc>
        <w:tc>
          <w:tcPr>
            <w:tcW w:w="2552" w:type="dxa"/>
          </w:tcPr>
          <w:p w:rsidR="002C058D" w:rsidRPr="00E34E6E" w:rsidRDefault="00C961D8" w:rsidP="00D45E3B">
            <w:pPr>
              <w:spacing w:line="240" w:lineRule="auto"/>
              <w:rPr>
                <w:sz w:val="18"/>
                <w:szCs w:val="18"/>
              </w:rPr>
            </w:pPr>
            <w:r w:rsidRPr="00E34E6E">
              <w:rPr>
                <w:sz w:val="18"/>
                <w:szCs w:val="18"/>
              </w:rPr>
              <w:t>Up-Bottom/Regression based</w:t>
            </w:r>
          </w:p>
        </w:tc>
        <w:tc>
          <w:tcPr>
            <w:tcW w:w="8892" w:type="dxa"/>
          </w:tcPr>
          <w:p w:rsidR="002C058D" w:rsidRPr="00E34E6E" w:rsidRDefault="00C961D8" w:rsidP="003935CB">
            <w:pPr>
              <w:spacing w:line="240" w:lineRule="auto"/>
              <w:rPr>
                <w:sz w:val="18"/>
                <w:szCs w:val="18"/>
              </w:rPr>
            </w:pPr>
            <w:r w:rsidRPr="00E34E6E">
              <w:rPr>
                <w:sz w:val="18"/>
                <w:szCs w:val="18"/>
              </w:rPr>
              <w:t xml:space="preserve">Hedge funds have positive alphas even during </w:t>
            </w:r>
            <w:r w:rsidR="002360DF" w:rsidRPr="00E34E6E">
              <w:rPr>
                <w:sz w:val="18"/>
                <w:szCs w:val="18"/>
              </w:rPr>
              <w:t xml:space="preserve">the 2008 </w:t>
            </w:r>
            <w:r w:rsidRPr="00E34E6E">
              <w:rPr>
                <w:sz w:val="18"/>
                <w:szCs w:val="18"/>
              </w:rPr>
              <w:t>financial crisis. Their exposures are generally reduced during bear markets</w:t>
            </w:r>
            <w:r w:rsidR="00B32619" w:rsidRPr="00E34E6E">
              <w:rPr>
                <w:sz w:val="18"/>
                <w:szCs w:val="18"/>
              </w:rPr>
              <w:t xml:space="preserve">. During the technology bubble collapse, fund managers </w:t>
            </w:r>
            <w:r w:rsidR="00B55008" w:rsidRPr="00E34E6E">
              <w:rPr>
                <w:sz w:val="18"/>
                <w:szCs w:val="18"/>
              </w:rPr>
              <w:t>on average</w:t>
            </w:r>
            <w:r w:rsidR="00B32619" w:rsidRPr="00E34E6E">
              <w:rPr>
                <w:sz w:val="18"/>
                <w:szCs w:val="18"/>
              </w:rPr>
              <w:t xml:space="preserve"> underweighted equities in their portfolios </w:t>
            </w:r>
          </w:p>
        </w:tc>
      </w:tr>
      <w:tr w:rsidR="00E34E6E" w:rsidRPr="00E34E6E" w:rsidTr="00210FA0">
        <w:trPr>
          <w:trHeight w:hRule="exact" w:val="1247"/>
        </w:trPr>
        <w:tc>
          <w:tcPr>
            <w:tcW w:w="1980" w:type="dxa"/>
          </w:tcPr>
          <w:p w:rsidR="00DB5378" w:rsidRPr="00E34E6E" w:rsidRDefault="00946CD9" w:rsidP="00D45E3B">
            <w:pPr>
              <w:spacing w:line="240" w:lineRule="auto"/>
              <w:rPr>
                <w:sz w:val="18"/>
                <w:szCs w:val="18"/>
              </w:rPr>
            </w:pPr>
            <w:proofErr w:type="spellStart"/>
            <w:r w:rsidRPr="00E34E6E">
              <w:rPr>
                <w:sz w:val="18"/>
                <w:szCs w:val="18"/>
              </w:rPr>
              <w:t>Namvar</w:t>
            </w:r>
            <w:proofErr w:type="spellEnd"/>
            <w:r w:rsidRPr="00E34E6E">
              <w:rPr>
                <w:sz w:val="18"/>
                <w:szCs w:val="18"/>
              </w:rPr>
              <w:t xml:space="preserve">, Phillips, </w:t>
            </w:r>
            <w:proofErr w:type="spellStart"/>
            <w:r w:rsidRPr="00E34E6E">
              <w:rPr>
                <w:sz w:val="18"/>
                <w:szCs w:val="18"/>
              </w:rPr>
              <w:t>Pukthuanthong</w:t>
            </w:r>
            <w:proofErr w:type="spellEnd"/>
            <w:r w:rsidR="008729C5" w:rsidRPr="00E34E6E">
              <w:rPr>
                <w:sz w:val="18"/>
                <w:szCs w:val="18"/>
              </w:rPr>
              <w:t>,</w:t>
            </w:r>
            <w:r w:rsidRPr="00E34E6E">
              <w:rPr>
                <w:sz w:val="18"/>
                <w:szCs w:val="18"/>
              </w:rPr>
              <w:t xml:space="preserve"> and Rau</w:t>
            </w:r>
            <w:r w:rsidR="00F34363" w:rsidRPr="00E34E6E">
              <w:rPr>
                <w:sz w:val="18"/>
                <w:szCs w:val="18"/>
              </w:rPr>
              <w:t xml:space="preserve"> (2016)</w:t>
            </w:r>
          </w:p>
        </w:tc>
        <w:tc>
          <w:tcPr>
            <w:tcW w:w="2126" w:type="dxa"/>
          </w:tcPr>
          <w:p w:rsidR="00DB5378" w:rsidRPr="00E34E6E" w:rsidRDefault="000E08BB" w:rsidP="00D45E3B">
            <w:pPr>
              <w:spacing w:line="240" w:lineRule="auto"/>
              <w:rPr>
                <w:sz w:val="18"/>
                <w:szCs w:val="18"/>
              </w:rPr>
            </w:pPr>
            <w:r w:rsidRPr="00E34E6E">
              <w:rPr>
                <w:sz w:val="18"/>
                <w:szCs w:val="18"/>
              </w:rPr>
              <w:t>CISDM and TASS Lipper, 1996-2010</w:t>
            </w:r>
          </w:p>
        </w:tc>
        <w:tc>
          <w:tcPr>
            <w:tcW w:w="2552" w:type="dxa"/>
          </w:tcPr>
          <w:p w:rsidR="00DB5378" w:rsidRPr="00E34E6E" w:rsidRDefault="000E08BB" w:rsidP="00D45E3B">
            <w:pPr>
              <w:spacing w:line="240" w:lineRule="auto"/>
              <w:rPr>
                <w:sz w:val="18"/>
                <w:szCs w:val="18"/>
              </w:rPr>
            </w:pPr>
            <w:r w:rsidRPr="00E34E6E">
              <w:rPr>
                <w:sz w:val="18"/>
                <w:szCs w:val="18"/>
              </w:rPr>
              <w:t>Up-Bottom/PCA, time-series, panel regression</w:t>
            </w:r>
          </w:p>
        </w:tc>
        <w:tc>
          <w:tcPr>
            <w:tcW w:w="8892" w:type="dxa"/>
          </w:tcPr>
          <w:p w:rsidR="00DB5378" w:rsidRPr="00E34E6E" w:rsidRDefault="00A93308" w:rsidP="00B53191">
            <w:pPr>
              <w:spacing w:line="240" w:lineRule="auto"/>
              <w:rPr>
                <w:sz w:val="18"/>
                <w:szCs w:val="18"/>
              </w:rPr>
            </w:pPr>
            <w:r w:rsidRPr="00E34E6E">
              <w:rPr>
                <w:sz w:val="18"/>
                <w:szCs w:val="18"/>
              </w:rPr>
              <w:t xml:space="preserve">During weak market states skilled fund managers maintain low systematic risk via active adjustments to return factor loadings even </w:t>
            </w:r>
            <w:r w:rsidR="007B7A14" w:rsidRPr="00E34E6E">
              <w:rPr>
                <w:sz w:val="18"/>
                <w:szCs w:val="18"/>
              </w:rPr>
              <w:t xml:space="preserve">providing </w:t>
            </w:r>
            <w:r w:rsidRPr="00E34E6E">
              <w:rPr>
                <w:sz w:val="18"/>
                <w:szCs w:val="18"/>
              </w:rPr>
              <w:t>with low excess return. In strong market states, skilled fund managers provide incremental higher alpha than low skill</w:t>
            </w:r>
            <w:r w:rsidR="003935CB" w:rsidRPr="00E34E6E">
              <w:rPr>
                <w:sz w:val="18"/>
                <w:szCs w:val="18"/>
              </w:rPr>
              <w:t>ed</w:t>
            </w:r>
            <w:r w:rsidRPr="00E34E6E">
              <w:rPr>
                <w:sz w:val="18"/>
                <w:szCs w:val="18"/>
              </w:rPr>
              <w:t xml:space="preserve"> managers through s</w:t>
            </w:r>
            <w:r w:rsidR="0088117F" w:rsidRPr="00E34E6E">
              <w:rPr>
                <w:sz w:val="18"/>
                <w:szCs w:val="18"/>
              </w:rPr>
              <w:t>uperior asset selection ability</w:t>
            </w:r>
            <w:r w:rsidR="00B53191" w:rsidRPr="00E34E6E">
              <w:rPr>
                <w:sz w:val="18"/>
                <w:szCs w:val="18"/>
              </w:rPr>
              <w:t xml:space="preserve">. Over a two-year period, only 30% of </w:t>
            </w:r>
            <w:r w:rsidR="006A1D49" w:rsidRPr="00E34E6E">
              <w:rPr>
                <w:sz w:val="18"/>
                <w:szCs w:val="18"/>
              </w:rPr>
              <w:t>funds remain</w:t>
            </w:r>
            <w:r w:rsidR="00B53191" w:rsidRPr="00E34E6E">
              <w:rPr>
                <w:sz w:val="18"/>
                <w:szCs w:val="18"/>
              </w:rPr>
              <w:t xml:space="preserve"> in the same </w:t>
            </w:r>
            <w:r w:rsidR="006A1D49" w:rsidRPr="00E34E6E">
              <w:rPr>
                <w:sz w:val="18"/>
                <w:szCs w:val="18"/>
              </w:rPr>
              <w:t xml:space="preserve">risk quintile. </w:t>
            </w:r>
            <w:r w:rsidR="00210FA0" w:rsidRPr="00E34E6E">
              <w:rPr>
                <w:sz w:val="18"/>
                <w:szCs w:val="18"/>
              </w:rPr>
              <w:t>Systematic risk management skill is higher for better educated fund managers and lower for fund managers who manage funds with poor performance, low investor flows, and greater performance volatility</w:t>
            </w:r>
          </w:p>
        </w:tc>
      </w:tr>
      <w:tr w:rsidR="00E34E6E" w:rsidRPr="00E34E6E" w:rsidTr="00D61EB0">
        <w:trPr>
          <w:trHeight w:hRule="exact" w:val="851"/>
        </w:trPr>
        <w:tc>
          <w:tcPr>
            <w:tcW w:w="1980" w:type="dxa"/>
          </w:tcPr>
          <w:p w:rsidR="002C058D" w:rsidRPr="00E34E6E" w:rsidRDefault="00E952A1" w:rsidP="00D45E3B">
            <w:pPr>
              <w:spacing w:line="240" w:lineRule="auto"/>
              <w:rPr>
                <w:sz w:val="18"/>
                <w:szCs w:val="18"/>
              </w:rPr>
            </w:pPr>
            <w:r w:rsidRPr="00E34E6E">
              <w:rPr>
                <w:sz w:val="18"/>
                <w:szCs w:val="18"/>
              </w:rPr>
              <w:t xml:space="preserve">Patton and </w:t>
            </w:r>
            <w:proofErr w:type="spellStart"/>
            <w:r w:rsidRPr="00E34E6E">
              <w:rPr>
                <w:sz w:val="18"/>
                <w:szCs w:val="18"/>
              </w:rPr>
              <w:t>Ramadorai</w:t>
            </w:r>
            <w:proofErr w:type="spellEnd"/>
            <w:r w:rsidRPr="00E34E6E">
              <w:rPr>
                <w:sz w:val="18"/>
                <w:szCs w:val="18"/>
              </w:rPr>
              <w:t xml:space="preserve"> (2013)</w:t>
            </w:r>
          </w:p>
        </w:tc>
        <w:tc>
          <w:tcPr>
            <w:tcW w:w="2126" w:type="dxa"/>
          </w:tcPr>
          <w:p w:rsidR="002C058D" w:rsidRPr="00E34E6E" w:rsidRDefault="00E952A1" w:rsidP="00D45E3B">
            <w:pPr>
              <w:spacing w:line="240" w:lineRule="auto"/>
              <w:rPr>
                <w:sz w:val="18"/>
                <w:szCs w:val="18"/>
              </w:rPr>
            </w:pPr>
            <w:r w:rsidRPr="00E34E6E">
              <w:rPr>
                <w:sz w:val="18"/>
                <w:szCs w:val="18"/>
              </w:rPr>
              <w:t>HFR, CISDM, TASS, Morningstar and Barclay, 1994-2009</w:t>
            </w:r>
          </w:p>
        </w:tc>
        <w:tc>
          <w:tcPr>
            <w:tcW w:w="2552" w:type="dxa"/>
          </w:tcPr>
          <w:p w:rsidR="002C058D" w:rsidRPr="00E34E6E" w:rsidRDefault="00E952A1" w:rsidP="00D45E3B">
            <w:pPr>
              <w:spacing w:line="240" w:lineRule="auto"/>
              <w:rPr>
                <w:sz w:val="18"/>
                <w:szCs w:val="18"/>
              </w:rPr>
            </w:pPr>
            <w:r w:rsidRPr="00E34E6E">
              <w:rPr>
                <w:sz w:val="18"/>
                <w:szCs w:val="18"/>
              </w:rPr>
              <w:t>Up-Bottom/Dynamic high frequency econometrics</w:t>
            </w:r>
          </w:p>
        </w:tc>
        <w:tc>
          <w:tcPr>
            <w:tcW w:w="8892" w:type="dxa"/>
          </w:tcPr>
          <w:p w:rsidR="002C058D" w:rsidRPr="00E34E6E" w:rsidRDefault="00CA69D3" w:rsidP="00F56FBC">
            <w:pPr>
              <w:spacing w:line="240" w:lineRule="auto"/>
              <w:rPr>
                <w:sz w:val="18"/>
                <w:szCs w:val="18"/>
              </w:rPr>
            </w:pPr>
            <w:r w:rsidRPr="00E34E6E">
              <w:rPr>
                <w:sz w:val="18"/>
                <w:szCs w:val="18"/>
              </w:rPr>
              <w:t xml:space="preserve">Hedge fund risk exposures change across and within months. </w:t>
            </w:r>
            <w:r w:rsidR="00E952A1" w:rsidRPr="00E34E6E">
              <w:rPr>
                <w:sz w:val="18"/>
                <w:szCs w:val="18"/>
              </w:rPr>
              <w:t>Exposure variation is higher early in the month and then g</w:t>
            </w:r>
            <w:r w:rsidR="0013616E" w:rsidRPr="00E34E6E">
              <w:rPr>
                <w:sz w:val="18"/>
                <w:szCs w:val="18"/>
              </w:rPr>
              <w:t>ets</w:t>
            </w:r>
            <w:r w:rsidR="00E952A1" w:rsidRPr="00E34E6E">
              <w:rPr>
                <w:sz w:val="18"/>
                <w:szCs w:val="18"/>
              </w:rPr>
              <w:t xml:space="preserve"> progressively lower until the reporting date. There are changes to portfolio allocations and to exposures in different asset classes</w:t>
            </w:r>
            <w:r w:rsidR="003935CB" w:rsidRPr="00E34E6E">
              <w:rPr>
                <w:sz w:val="18"/>
                <w:szCs w:val="18"/>
              </w:rPr>
              <w:t>,</w:t>
            </w:r>
            <w:r w:rsidR="00743638" w:rsidRPr="00E34E6E">
              <w:rPr>
                <w:sz w:val="18"/>
                <w:szCs w:val="18"/>
              </w:rPr>
              <w:t xml:space="preserve"> however changes in portfolio allocations are the main drivers of the funds’ risk exposure variation</w:t>
            </w:r>
            <w:r w:rsidR="00D61EB0" w:rsidRPr="00E34E6E">
              <w:rPr>
                <w:sz w:val="18"/>
                <w:szCs w:val="18"/>
              </w:rPr>
              <w:t>. Also, hedge funds update their positions a</w:t>
            </w:r>
            <w:r w:rsidR="00F56FBC" w:rsidRPr="00E34E6E">
              <w:rPr>
                <w:sz w:val="18"/>
                <w:szCs w:val="18"/>
              </w:rPr>
              <w:t>t</w:t>
            </w:r>
            <w:r w:rsidR="00D61EB0" w:rsidRPr="00E34E6E">
              <w:rPr>
                <w:sz w:val="18"/>
                <w:szCs w:val="18"/>
              </w:rPr>
              <w:t xml:space="preserve"> a higher frequency than mutual funds</w:t>
            </w:r>
          </w:p>
        </w:tc>
      </w:tr>
      <w:tr w:rsidR="00E34E6E" w:rsidRPr="00E34E6E" w:rsidTr="00261E57">
        <w:trPr>
          <w:trHeight w:hRule="exact" w:val="1021"/>
        </w:trPr>
        <w:tc>
          <w:tcPr>
            <w:tcW w:w="1980" w:type="dxa"/>
          </w:tcPr>
          <w:p w:rsidR="00DB5378" w:rsidRPr="00E34E6E" w:rsidRDefault="00946CD9" w:rsidP="00D45E3B">
            <w:pPr>
              <w:spacing w:line="240" w:lineRule="auto"/>
              <w:rPr>
                <w:sz w:val="18"/>
                <w:szCs w:val="18"/>
              </w:rPr>
            </w:pPr>
            <w:r w:rsidRPr="00E34E6E">
              <w:rPr>
                <w:sz w:val="18"/>
                <w:szCs w:val="18"/>
              </w:rPr>
              <w:t>Racicot and</w:t>
            </w:r>
            <w:r w:rsidR="00190F52" w:rsidRPr="00E34E6E">
              <w:rPr>
                <w:sz w:val="18"/>
                <w:szCs w:val="18"/>
              </w:rPr>
              <w:t xml:space="preserve"> </w:t>
            </w:r>
            <w:proofErr w:type="spellStart"/>
            <w:r w:rsidR="00190F52" w:rsidRPr="00E34E6E">
              <w:rPr>
                <w:sz w:val="18"/>
                <w:szCs w:val="18"/>
              </w:rPr>
              <w:t>Theoret</w:t>
            </w:r>
            <w:proofErr w:type="spellEnd"/>
            <w:r w:rsidR="00190F52" w:rsidRPr="00E34E6E">
              <w:rPr>
                <w:sz w:val="18"/>
                <w:szCs w:val="18"/>
              </w:rPr>
              <w:t xml:space="preserve"> (2016)</w:t>
            </w:r>
          </w:p>
        </w:tc>
        <w:tc>
          <w:tcPr>
            <w:tcW w:w="2126" w:type="dxa"/>
          </w:tcPr>
          <w:p w:rsidR="00DB5378" w:rsidRPr="00E34E6E" w:rsidRDefault="00865584" w:rsidP="00D45E3B">
            <w:pPr>
              <w:spacing w:line="240" w:lineRule="auto"/>
              <w:rPr>
                <w:sz w:val="18"/>
                <w:szCs w:val="18"/>
              </w:rPr>
            </w:pPr>
            <w:r w:rsidRPr="00E34E6E">
              <w:rPr>
                <w:sz w:val="18"/>
                <w:szCs w:val="18"/>
              </w:rPr>
              <w:t>Greenwich Alternative Investment, 1995-2012</w:t>
            </w:r>
          </w:p>
        </w:tc>
        <w:tc>
          <w:tcPr>
            <w:tcW w:w="2552" w:type="dxa"/>
          </w:tcPr>
          <w:p w:rsidR="00DB5378" w:rsidRPr="00E34E6E" w:rsidRDefault="00865584" w:rsidP="00D45E3B">
            <w:pPr>
              <w:spacing w:line="240" w:lineRule="auto"/>
              <w:rPr>
                <w:sz w:val="18"/>
                <w:szCs w:val="18"/>
              </w:rPr>
            </w:pPr>
            <w:r w:rsidRPr="00E34E6E">
              <w:rPr>
                <w:sz w:val="18"/>
                <w:szCs w:val="18"/>
              </w:rPr>
              <w:t>Up-Bottom/</w:t>
            </w:r>
            <w:proofErr w:type="spellStart"/>
            <w:r w:rsidRPr="00E34E6E">
              <w:rPr>
                <w:sz w:val="18"/>
                <w:szCs w:val="18"/>
              </w:rPr>
              <w:t>Kalman</w:t>
            </w:r>
            <w:proofErr w:type="spellEnd"/>
            <w:r w:rsidRPr="00E34E6E">
              <w:rPr>
                <w:sz w:val="18"/>
                <w:szCs w:val="18"/>
              </w:rPr>
              <w:t xml:space="preserve"> filter, time- series and cross-sectional regression</w:t>
            </w:r>
            <w:r w:rsidR="006B392B" w:rsidRPr="00E34E6E">
              <w:rPr>
                <w:sz w:val="18"/>
                <w:szCs w:val="18"/>
              </w:rPr>
              <w:t>s</w:t>
            </w:r>
          </w:p>
        </w:tc>
        <w:tc>
          <w:tcPr>
            <w:tcW w:w="8892" w:type="dxa"/>
          </w:tcPr>
          <w:p w:rsidR="00DB5378" w:rsidRPr="00E34E6E" w:rsidRDefault="009F6AE6" w:rsidP="003935CB">
            <w:pPr>
              <w:spacing w:line="240" w:lineRule="auto"/>
              <w:rPr>
                <w:sz w:val="18"/>
                <w:szCs w:val="18"/>
              </w:rPr>
            </w:pPr>
            <w:r w:rsidRPr="00E34E6E">
              <w:rPr>
                <w:sz w:val="18"/>
                <w:szCs w:val="18"/>
              </w:rPr>
              <w:t xml:space="preserve">The macroeconomic uncertainty </w:t>
            </w:r>
            <w:r w:rsidR="007B7A14" w:rsidRPr="00E34E6E">
              <w:rPr>
                <w:sz w:val="18"/>
                <w:szCs w:val="18"/>
              </w:rPr>
              <w:t xml:space="preserve">is </w:t>
            </w:r>
            <w:r w:rsidRPr="00E34E6E">
              <w:rPr>
                <w:sz w:val="18"/>
                <w:szCs w:val="18"/>
              </w:rPr>
              <w:t xml:space="preserve">relied on conditional variances of six macro and financial variables (growth on industrial production, interest rate, inflation, market return, growth of consumer credit, and the term spread). </w:t>
            </w:r>
            <w:r w:rsidR="00110C67" w:rsidRPr="00E34E6E">
              <w:rPr>
                <w:sz w:val="18"/>
                <w:szCs w:val="18"/>
              </w:rPr>
              <w:t>H</w:t>
            </w:r>
            <w:r w:rsidRPr="00E34E6E">
              <w:rPr>
                <w:sz w:val="18"/>
                <w:szCs w:val="18"/>
              </w:rPr>
              <w:t>edge fund</w:t>
            </w:r>
            <w:r w:rsidR="00110C67" w:rsidRPr="00E34E6E">
              <w:rPr>
                <w:sz w:val="18"/>
                <w:szCs w:val="18"/>
              </w:rPr>
              <w:t>s’</w:t>
            </w:r>
            <w:r w:rsidRPr="00E34E6E">
              <w:rPr>
                <w:sz w:val="18"/>
                <w:szCs w:val="18"/>
              </w:rPr>
              <w:t xml:space="preserve"> market beta reduces with macro uncertainty</w:t>
            </w:r>
            <w:r w:rsidR="003935CB" w:rsidRPr="00E34E6E">
              <w:rPr>
                <w:sz w:val="18"/>
                <w:szCs w:val="18"/>
              </w:rPr>
              <w:t xml:space="preserve">. This </w:t>
            </w:r>
            <w:r w:rsidR="00261E57" w:rsidRPr="00E34E6E">
              <w:rPr>
                <w:sz w:val="18"/>
                <w:szCs w:val="18"/>
              </w:rPr>
              <w:t>makes their strategies more homogeneous</w:t>
            </w:r>
            <w:r w:rsidR="003935CB" w:rsidRPr="00E34E6E">
              <w:rPr>
                <w:sz w:val="18"/>
                <w:szCs w:val="18"/>
              </w:rPr>
              <w:t>,</w:t>
            </w:r>
            <w:r w:rsidR="00261E57" w:rsidRPr="00E34E6E">
              <w:rPr>
                <w:sz w:val="18"/>
                <w:szCs w:val="18"/>
              </w:rPr>
              <w:t xml:space="preserve"> resulting in a contribution to increased systematic risk in the financial system.  T</w:t>
            </w:r>
            <w:r w:rsidRPr="00E34E6E">
              <w:rPr>
                <w:sz w:val="18"/>
                <w:szCs w:val="18"/>
              </w:rPr>
              <w:t>he dispersion of hedge funds returns and alphas increase</w:t>
            </w:r>
            <w:r w:rsidR="003935CB" w:rsidRPr="00E34E6E">
              <w:rPr>
                <w:sz w:val="18"/>
                <w:szCs w:val="18"/>
              </w:rPr>
              <w:t>s</w:t>
            </w:r>
            <w:r w:rsidR="00261E57" w:rsidRPr="00E34E6E">
              <w:rPr>
                <w:sz w:val="18"/>
                <w:szCs w:val="18"/>
              </w:rPr>
              <w:t xml:space="preserve"> during times of rising macroeconomic uncertainty  </w:t>
            </w:r>
          </w:p>
        </w:tc>
      </w:tr>
      <w:tr w:rsidR="00E34E6E" w:rsidRPr="00E34E6E" w:rsidTr="007370E2">
        <w:trPr>
          <w:trHeight w:hRule="exact" w:val="851"/>
        </w:trPr>
        <w:tc>
          <w:tcPr>
            <w:tcW w:w="1980" w:type="dxa"/>
          </w:tcPr>
          <w:p w:rsidR="002C058D" w:rsidRPr="00E34E6E" w:rsidRDefault="00565E36" w:rsidP="00D45E3B">
            <w:pPr>
              <w:spacing w:line="240" w:lineRule="auto"/>
              <w:rPr>
                <w:sz w:val="18"/>
                <w:szCs w:val="18"/>
              </w:rPr>
            </w:pPr>
            <w:proofErr w:type="spellStart"/>
            <w:r w:rsidRPr="00E34E6E">
              <w:rPr>
                <w:sz w:val="18"/>
                <w:szCs w:val="18"/>
              </w:rPr>
              <w:t>Slavutskaya</w:t>
            </w:r>
            <w:proofErr w:type="spellEnd"/>
            <w:r w:rsidRPr="00E34E6E">
              <w:rPr>
                <w:sz w:val="18"/>
                <w:szCs w:val="18"/>
              </w:rPr>
              <w:t xml:space="preserve"> (2013)</w:t>
            </w:r>
          </w:p>
        </w:tc>
        <w:tc>
          <w:tcPr>
            <w:tcW w:w="2126" w:type="dxa"/>
          </w:tcPr>
          <w:p w:rsidR="002C058D" w:rsidRPr="00E34E6E" w:rsidRDefault="00565E36" w:rsidP="00D45E3B">
            <w:pPr>
              <w:spacing w:line="240" w:lineRule="auto"/>
              <w:rPr>
                <w:sz w:val="18"/>
                <w:szCs w:val="18"/>
              </w:rPr>
            </w:pPr>
            <w:r w:rsidRPr="00E34E6E">
              <w:rPr>
                <w:sz w:val="18"/>
                <w:szCs w:val="18"/>
              </w:rPr>
              <w:t xml:space="preserve">TASS, HFR, CISDM, </w:t>
            </w:r>
            <w:proofErr w:type="spellStart"/>
            <w:r w:rsidRPr="00E34E6E">
              <w:rPr>
                <w:sz w:val="18"/>
                <w:szCs w:val="18"/>
              </w:rPr>
              <w:t>Altvest</w:t>
            </w:r>
            <w:proofErr w:type="spellEnd"/>
            <w:r w:rsidRPr="00E34E6E">
              <w:rPr>
                <w:sz w:val="18"/>
                <w:szCs w:val="18"/>
              </w:rPr>
              <w:t>, 1994-2009</w:t>
            </w:r>
          </w:p>
        </w:tc>
        <w:tc>
          <w:tcPr>
            <w:tcW w:w="2552" w:type="dxa"/>
          </w:tcPr>
          <w:p w:rsidR="002C058D" w:rsidRPr="00E34E6E" w:rsidRDefault="00565E36" w:rsidP="00AD36D6">
            <w:pPr>
              <w:spacing w:line="240" w:lineRule="auto"/>
              <w:rPr>
                <w:sz w:val="18"/>
                <w:szCs w:val="18"/>
              </w:rPr>
            </w:pPr>
            <w:r w:rsidRPr="00E34E6E">
              <w:rPr>
                <w:sz w:val="18"/>
                <w:szCs w:val="18"/>
              </w:rPr>
              <w:t>Up-Bottom/Cross-sectional and time-series regression</w:t>
            </w:r>
            <w:r w:rsidR="00AD36D6" w:rsidRPr="00E34E6E">
              <w:rPr>
                <w:sz w:val="18"/>
                <w:szCs w:val="18"/>
              </w:rPr>
              <w:t>s</w:t>
            </w:r>
            <w:r w:rsidRPr="00E34E6E">
              <w:rPr>
                <w:sz w:val="18"/>
                <w:szCs w:val="18"/>
              </w:rPr>
              <w:t xml:space="preserve"> </w:t>
            </w:r>
          </w:p>
        </w:tc>
        <w:tc>
          <w:tcPr>
            <w:tcW w:w="8892" w:type="dxa"/>
          </w:tcPr>
          <w:p w:rsidR="002C058D" w:rsidRPr="00E34E6E" w:rsidRDefault="00545573" w:rsidP="000C00CF">
            <w:pPr>
              <w:spacing w:line="240" w:lineRule="auto"/>
              <w:rPr>
                <w:sz w:val="18"/>
                <w:szCs w:val="18"/>
              </w:rPr>
            </w:pPr>
            <w:r w:rsidRPr="00E34E6E">
              <w:rPr>
                <w:sz w:val="18"/>
                <w:szCs w:val="18"/>
              </w:rPr>
              <w:t xml:space="preserve">By combining cross-sectional and time-series information there is an improvement </w:t>
            </w:r>
            <w:r w:rsidR="0013616E" w:rsidRPr="00E34E6E">
              <w:rPr>
                <w:sz w:val="18"/>
                <w:szCs w:val="18"/>
              </w:rPr>
              <w:t>in</w:t>
            </w:r>
            <w:r w:rsidRPr="00E34E6E">
              <w:rPr>
                <w:sz w:val="18"/>
                <w:szCs w:val="18"/>
              </w:rPr>
              <w:t xml:space="preserve"> the out-of-sample accuracy of the linear factor model. The root mean squared prediction error in panel data models is significant</w:t>
            </w:r>
            <w:r w:rsidR="0013616E" w:rsidRPr="00E34E6E">
              <w:rPr>
                <w:sz w:val="18"/>
                <w:szCs w:val="18"/>
              </w:rPr>
              <w:t>ly</w:t>
            </w:r>
            <w:r w:rsidRPr="00E34E6E">
              <w:rPr>
                <w:sz w:val="18"/>
                <w:szCs w:val="18"/>
              </w:rPr>
              <w:t xml:space="preserve"> smaller (10%-15%) </w:t>
            </w:r>
            <w:r w:rsidR="0013616E" w:rsidRPr="00E34E6E">
              <w:rPr>
                <w:sz w:val="18"/>
                <w:szCs w:val="18"/>
              </w:rPr>
              <w:t>than</w:t>
            </w:r>
            <w:r w:rsidRPr="00E34E6E">
              <w:rPr>
                <w:sz w:val="18"/>
                <w:szCs w:val="18"/>
              </w:rPr>
              <w:t xml:space="preserve"> linear regressions</w:t>
            </w:r>
            <w:r w:rsidR="007370E2" w:rsidRPr="00E34E6E">
              <w:rPr>
                <w:sz w:val="18"/>
                <w:szCs w:val="18"/>
              </w:rPr>
              <w:t xml:space="preserve">. The “naïve shrinkage” beta estimates </w:t>
            </w:r>
            <w:r w:rsidR="000C00CF" w:rsidRPr="00E34E6E">
              <w:rPr>
                <w:sz w:val="18"/>
                <w:szCs w:val="18"/>
              </w:rPr>
              <w:t>correspond to</w:t>
            </w:r>
            <w:r w:rsidR="007370E2" w:rsidRPr="00E34E6E">
              <w:rPr>
                <w:sz w:val="18"/>
                <w:szCs w:val="18"/>
              </w:rPr>
              <w:t xml:space="preserve"> weighted averages of individual fund and mean strategy betas</w:t>
            </w:r>
          </w:p>
        </w:tc>
      </w:tr>
    </w:tbl>
    <w:p w:rsidR="00DB5378" w:rsidRDefault="00DB5378" w:rsidP="00AC65C3">
      <w:pPr>
        <w:spacing w:after="0"/>
        <w:jc w:val="both"/>
        <w:rPr>
          <w:b/>
        </w:rPr>
      </w:pPr>
    </w:p>
    <w:p w:rsidR="0088117F" w:rsidRDefault="0088117F" w:rsidP="00AC65C3">
      <w:pPr>
        <w:spacing w:after="0"/>
        <w:jc w:val="both"/>
        <w:rPr>
          <w:b/>
        </w:rPr>
      </w:pPr>
    </w:p>
    <w:p w:rsidR="0088117F" w:rsidRDefault="0088117F" w:rsidP="00AC65C3">
      <w:pPr>
        <w:spacing w:after="0"/>
        <w:jc w:val="both"/>
        <w:rPr>
          <w:b/>
        </w:rPr>
      </w:pPr>
    </w:p>
    <w:p w:rsidR="0088117F" w:rsidRDefault="0088117F" w:rsidP="00AC65C3">
      <w:pPr>
        <w:spacing w:after="0"/>
        <w:jc w:val="both"/>
        <w:rPr>
          <w:b/>
        </w:rPr>
      </w:pPr>
    </w:p>
    <w:p w:rsidR="0088117F" w:rsidRDefault="0088117F" w:rsidP="00AC65C3">
      <w:pPr>
        <w:spacing w:after="0"/>
        <w:jc w:val="both"/>
        <w:rPr>
          <w:b/>
        </w:rPr>
      </w:pPr>
    </w:p>
    <w:p w:rsidR="0088117F" w:rsidRDefault="0088117F" w:rsidP="00AC65C3">
      <w:pPr>
        <w:spacing w:after="0"/>
        <w:jc w:val="both"/>
        <w:rPr>
          <w:b/>
        </w:rPr>
      </w:pPr>
    </w:p>
    <w:p w:rsidR="0088117F" w:rsidRDefault="0088117F" w:rsidP="00AC65C3">
      <w:pPr>
        <w:spacing w:after="0"/>
        <w:jc w:val="both"/>
        <w:rPr>
          <w:b/>
        </w:rPr>
      </w:pPr>
    </w:p>
    <w:p w:rsidR="0088117F" w:rsidRDefault="0088117F" w:rsidP="00AC65C3">
      <w:pPr>
        <w:spacing w:after="0"/>
        <w:jc w:val="both"/>
        <w:rPr>
          <w:b/>
        </w:rPr>
      </w:pPr>
    </w:p>
    <w:p w:rsidR="0088117F" w:rsidRDefault="0088117F" w:rsidP="00AC65C3">
      <w:pPr>
        <w:spacing w:after="0"/>
        <w:jc w:val="both"/>
        <w:rPr>
          <w:b/>
        </w:rPr>
      </w:pPr>
    </w:p>
    <w:p w:rsidR="0088117F" w:rsidRDefault="0088117F" w:rsidP="00AC65C3">
      <w:pPr>
        <w:spacing w:after="0"/>
        <w:jc w:val="both"/>
        <w:rPr>
          <w:b/>
        </w:rPr>
      </w:pPr>
    </w:p>
    <w:p w:rsidR="00E719F0" w:rsidRPr="00E34E6E" w:rsidRDefault="00E719F0" w:rsidP="00AC65C3">
      <w:pPr>
        <w:spacing w:after="0"/>
        <w:jc w:val="both"/>
        <w:rPr>
          <w:b/>
        </w:rPr>
      </w:pPr>
      <w:r w:rsidRPr="00E34E6E">
        <w:rPr>
          <w:b/>
        </w:rPr>
        <w:t xml:space="preserve">Table 4. </w:t>
      </w:r>
      <w:r w:rsidR="00757C56" w:rsidRPr="00E34E6E">
        <w:rPr>
          <w:b/>
        </w:rPr>
        <w:t xml:space="preserve">Performance Attribution – </w:t>
      </w:r>
      <w:r w:rsidR="00487FC8" w:rsidRPr="00E34E6E">
        <w:rPr>
          <w:b/>
        </w:rPr>
        <w:t>Non-linear Studies</w:t>
      </w:r>
    </w:p>
    <w:p w:rsidR="00DF3348" w:rsidRPr="00A44D31" w:rsidRDefault="00E719F0" w:rsidP="00AC65C3">
      <w:pPr>
        <w:spacing w:after="0"/>
        <w:jc w:val="both"/>
        <w:rPr>
          <w:sz w:val="18"/>
          <w:szCs w:val="18"/>
        </w:rPr>
      </w:pPr>
      <w:r w:rsidRPr="00A44D31">
        <w:rPr>
          <w:sz w:val="18"/>
          <w:szCs w:val="18"/>
        </w:rPr>
        <w:t xml:space="preserve">This Table presents the main characteristics and </w:t>
      </w:r>
      <w:r w:rsidR="00F50A17" w:rsidRPr="00A44D31">
        <w:rPr>
          <w:sz w:val="18"/>
          <w:szCs w:val="18"/>
        </w:rPr>
        <w:t>findings</w:t>
      </w:r>
      <w:r w:rsidRPr="00A44D31">
        <w:rPr>
          <w:sz w:val="18"/>
          <w:szCs w:val="18"/>
        </w:rPr>
        <w:t xml:space="preserve"> of </w:t>
      </w:r>
      <w:r w:rsidR="009120CD">
        <w:rPr>
          <w:sz w:val="18"/>
          <w:szCs w:val="18"/>
        </w:rPr>
        <w:t xml:space="preserve">the </w:t>
      </w:r>
      <w:r w:rsidR="004A487E">
        <w:rPr>
          <w:sz w:val="18"/>
          <w:szCs w:val="18"/>
        </w:rPr>
        <w:t>non-linear</w:t>
      </w:r>
      <w:r w:rsidRPr="00A44D31">
        <w:rPr>
          <w:sz w:val="18"/>
          <w:szCs w:val="18"/>
        </w:rPr>
        <w:t xml:space="preserve"> studies </w:t>
      </w:r>
      <w:r w:rsidR="00AC2E33" w:rsidRPr="00A44D31">
        <w:rPr>
          <w:sz w:val="18"/>
          <w:szCs w:val="18"/>
        </w:rPr>
        <w:t xml:space="preserve">(alternative approach) </w:t>
      </w:r>
      <w:r w:rsidR="009120CD">
        <w:rPr>
          <w:sz w:val="18"/>
          <w:szCs w:val="18"/>
        </w:rPr>
        <w:t>of</w:t>
      </w:r>
      <w:r w:rsidRPr="00A44D31">
        <w:rPr>
          <w:sz w:val="18"/>
          <w:szCs w:val="18"/>
        </w:rPr>
        <w:t xml:space="preserve"> hedge fund performance </w:t>
      </w:r>
      <w:r w:rsidR="00F50A17" w:rsidRPr="00A44D31">
        <w:rPr>
          <w:sz w:val="18"/>
          <w:szCs w:val="18"/>
        </w:rPr>
        <w:t>attribution</w:t>
      </w:r>
      <w:r w:rsidRPr="00A44D31">
        <w:rPr>
          <w:sz w:val="18"/>
          <w:szCs w:val="18"/>
        </w:rPr>
        <w:t xml:space="preserve">. Abbreviations: CISDM: Centre for International and Securities Markets, </w:t>
      </w:r>
      <w:r w:rsidR="00F91FC1" w:rsidRPr="00A44D31">
        <w:rPr>
          <w:sz w:val="18"/>
          <w:szCs w:val="18"/>
        </w:rPr>
        <w:t xml:space="preserve">CSFB: Credit Suisse First Boston, </w:t>
      </w:r>
      <w:r w:rsidRPr="00A44D31">
        <w:rPr>
          <w:sz w:val="18"/>
          <w:szCs w:val="18"/>
        </w:rPr>
        <w:t>HFR: Hedge Fund Research, Lipper/TASS: Tremont Advisory Shareholders Services</w:t>
      </w:r>
      <w:r w:rsidR="00F50A17" w:rsidRPr="00A44D31">
        <w:rPr>
          <w:sz w:val="18"/>
          <w:szCs w:val="18"/>
        </w:rPr>
        <w:t>.</w:t>
      </w:r>
      <w:r w:rsidRPr="00A44D31">
        <w:rPr>
          <w:sz w:val="18"/>
          <w:szCs w:val="18"/>
        </w:rPr>
        <w:t xml:space="preserve"> </w:t>
      </w:r>
      <w:r w:rsidR="00DF3348" w:rsidRPr="00A44D31">
        <w:rPr>
          <w:sz w:val="18"/>
          <w:szCs w:val="18"/>
        </w:rPr>
        <w:t xml:space="preserve">Some databases (e.g. Lipper and TASS, MAR and CISDM) have been merged.  </w:t>
      </w:r>
    </w:p>
    <w:tbl>
      <w:tblPr>
        <w:tblStyle w:val="TableGrid"/>
        <w:tblW w:w="15124" w:type="dxa"/>
        <w:jc w:val="center"/>
        <w:tblLook w:val="04A0" w:firstRow="1" w:lastRow="0" w:firstColumn="1" w:lastColumn="0" w:noHBand="0" w:noVBand="1"/>
      </w:tblPr>
      <w:tblGrid>
        <w:gridCol w:w="2489"/>
        <w:gridCol w:w="2268"/>
        <w:gridCol w:w="2693"/>
        <w:gridCol w:w="7674"/>
      </w:tblGrid>
      <w:tr w:rsidR="004A2444" w:rsidRPr="00A44D31" w:rsidTr="003935CB">
        <w:trPr>
          <w:trHeight w:val="521"/>
          <w:jc w:val="center"/>
        </w:trPr>
        <w:tc>
          <w:tcPr>
            <w:tcW w:w="2489" w:type="dxa"/>
          </w:tcPr>
          <w:p w:rsidR="00EE0F6F" w:rsidRPr="00A44D31" w:rsidRDefault="00EE0F6F" w:rsidP="00797366">
            <w:pPr>
              <w:rPr>
                <w:b/>
                <w:szCs w:val="24"/>
              </w:rPr>
            </w:pPr>
            <w:r w:rsidRPr="00A44D31">
              <w:rPr>
                <w:b/>
                <w:szCs w:val="24"/>
              </w:rPr>
              <w:t>Study</w:t>
            </w:r>
          </w:p>
        </w:tc>
        <w:tc>
          <w:tcPr>
            <w:tcW w:w="2268" w:type="dxa"/>
          </w:tcPr>
          <w:p w:rsidR="00EE0F6F" w:rsidRPr="00A44D31" w:rsidRDefault="00EE0F6F" w:rsidP="00797366">
            <w:pPr>
              <w:rPr>
                <w:b/>
                <w:szCs w:val="24"/>
              </w:rPr>
            </w:pPr>
            <w:r w:rsidRPr="00A44D31">
              <w:rPr>
                <w:b/>
                <w:szCs w:val="24"/>
              </w:rPr>
              <w:t>Sample</w:t>
            </w:r>
          </w:p>
        </w:tc>
        <w:tc>
          <w:tcPr>
            <w:tcW w:w="2693" w:type="dxa"/>
          </w:tcPr>
          <w:p w:rsidR="00EE0F6F" w:rsidRPr="00A44D31" w:rsidRDefault="00EE0F6F" w:rsidP="00797366">
            <w:pPr>
              <w:rPr>
                <w:b/>
                <w:szCs w:val="24"/>
              </w:rPr>
            </w:pPr>
            <w:r w:rsidRPr="00A44D31">
              <w:rPr>
                <w:b/>
                <w:szCs w:val="24"/>
              </w:rPr>
              <w:t>Approach/Methodology</w:t>
            </w:r>
          </w:p>
        </w:tc>
        <w:tc>
          <w:tcPr>
            <w:tcW w:w="7674" w:type="dxa"/>
          </w:tcPr>
          <w:p w:rsidR="00EE0F6F" w:rsidRPr="00A44D31" w:rsidRDefault="00EE0F6F" w:rsidP="00797366">
            <w:pPr>
              <w:rPr>
                <w:b/>
                <w:szCs w:val="24"/>
              </w:rPr>
            </w:pPr>
            <w:r w:rsidRPr="00A44D31">
              <w:rPr>
                <w:b/>
                <w:szCs w:val="24"/>
              </w:rPr>
              <w:t>Findings</w:t>
            </w:r>
          </w:p>
        </w:tc>
      </w:tr>
      <w:tr w:rsidR="004A2444" w:rsidRPr="00A44D31" w:rsidTr="0094680E">
        <w:trPr>
          <w:trHeight w:hRule="exact" w:val="1021"/>
          <w:jc w:val="center"/>
        </w:trPr>
        <w:tc>
          <w:tcPr>
            <w:tcW w:w="2489" w:type="dxa"/>
          </w:tcPr>
          <w:p w:rsidR="00EE0F6F" w:rsidRPr="00A44D31" w:rsidRDefault="003D4414" w:rsidP="00D45E3B">
            <w:pPr>
              <w:spacing w:line="240" w:lineRule="auto"/>
              <w:rPr>
                <w:sz w:val="18"/>
                <w:szCs w:val="18"/>
              </w:rPr>
            </w:pPr>
            <w:proofErr w:type="spellStart"/>
            <w:r w:rsidRPr="00A44D31">
              <w:rPr>
                <w:sz w:val="18"/>
                <w:szCs w:val="18"/>
              </w:rPr>
              <w:t>Akay</w:t>
            </w:r>
            <w:proofErr w:type="spellEnd"/>
            <w:r w:rsidRPr="00A44D31">
              <w:rPr>
                <w:sz w:val="18"/>
                <w:szCs w:val="18"/>
              </w:rPr>
              <w:t xml:space="preserve">, </w:t>
            </w:r>
            <w:proofErr w:type="spellStart"/>
            <w:r w:rsidRPr="00A44D31">
              <w:rPr>
                <w:sz w:val="18"/>
                <w:szCs w:val="18"/>
              </w:rPr>
              <w:t>Senyuz</w:t>
            </w:r>
            <w:proofErr w:type="spellEnd"/>
            <w:r w:rsidRPr="00A44D31">
              <w:rPr>
                <w:sz w:val="18"/>
                <w:szCs w:val="18"/>
              </w:rPr>
              <w:t xml:space="preserve">, and </w:t>
            </w:r>
            <w:proofErr w:type="spellStart"/>
            <w:r w:rsidRPr="00A44D31">
              <w:rPr>
                <w:sz w:val="18"/>
                <w:szCs w:val="18"/>
              </w:rPr>
              <w:t>Yoldas</w:t>
            </w:r>
            <w:proofErr w:type="spellEnd"/>
            <w:r w:rsidRPr="00A44D31">
              <w:rPr>
                <w:sz w:val="18"/>
                <w:szCs w:val="18"/>
              </w:rPr>
              <w:t xml:space="preserve"> (2013)</w:t>
            </w:r>
          </w:p>
        </w:tc>
        <w:tc>
          <w:tcPr>
            <w:tcW w:w="2268" w:type="dxa"/>
          </w:tcPr>
          <w:p w:rsidR="00EE0F6F" w:rsidRPr="00A44D31" w:rsidRDefault="003D4414" w:rsidP="00D45E3B">
            <w:pPr>
              <w:spacing w:line="240" w:lineRule="auto"/>
              <w:rPr>
                <w:sz w:val="18"/>
                <w:szCs w:val="18"/>
              </w:rPr>
            </w:pPr>
            <w:r w:rsidRPr="00A44D31">
              <w:rPr>
                <w:sz w:val="18"/>
                <w:szCs w:val="18"/>
              </w:rPr>
              <w:t>Dow Jones Credit Suisse Hedge Fund Indices, 1994-2010</w:t>
            </w:r>
          </w:p>
        </w:tc>
        <w:tc>
          <w:tcPr>
            <w:tcW w:w="2693" w:type="dxa"/>
          </w:tcPr>
          <w:p w:rsidR="00EE0F6F" w:rsidRPr="00A44D31" w:rsidRDefault="003D4414" w:rsidP="00D45E3B">
            <w:pPr>
              <w:spacing w:line="240" w:lineRule="auto"/>
              <w:rPr>
                <w:sz w:val="18"/>
                <w:szCs w:val="18"/>
              </w:rPr>
            </w:pPr>
            <w:r w:rsidRPr="00A44D31">
              <w:rPr>
                <w:sz w:val="18"/>
                <w:szCs w:val="18"/>
              </w:rPr>
              <w:t>Alternative/Markov regime switching model</w:t>
            </w:r>
          </w:p>
        </w:tc>
        <w:tc>
          <w:tcPr>
            <w:tcW w:w="7674" w:type="dxa"/>
          </w:tcPr>
          <w:p w:rsidR="00EE0F6F" w:rsidRPr="00E34E6E" w:rsidRDefault="003D4414" w:rsidP="003935CB">
            <w:pPr>
              <w:spacing w:line="240" w:lineRule="auto"/>
              <w:rPr>
                <w:sz w:val="18"/>
                <w:szCs w:val="18"/>
              </w:rPr>
            </w:pPr>
            <w:r w:rsidRPr="00E34E6E">
              <w:rPr>
                <w:sz w:val="18"/>
                <w:szCs w:val="18"/>
              </w:rPr>
              <w:t xml:space="preserve">There are three regimes </w:t>
            </w:r>
            <w:r w:rsidR="009120CD" w:rsidRPr="00E34E6E">
              <w:rPr>
                <w:sz w:val="18"/>
                <w:szCs w:val="18"/>
              </w:rPr>
              <w:t xml:space="preserve">that </w:t>
            </w:r>
            <w:r w:rsidRPr="00E34E6E">
              <w:rPr>
                <w:sz w:val="18"/>
                <w:szCs w:val="18"/>
              </w:rPr>
              <w:t>describ</w:t>
            </w:r>
            <w:r w:rsidR="009120CD" w:rsidRPr="00E34E6E">
              <w:rPr>
                <w:sz w:val="18"/>
                <w:szCs w:val="18"/>
              </w:rPr>
              <w:t>e</w:t>
            </w:r>
            <w:r w:rsidRPr="00E34E6E">
              <w:rPr>
                <w:sz w:val="18"/>
                <w:szCs w:val="18"/>
              </w:rPr>
              <w:t xml:space="preserve"> hedge fund returns. When </w:t>
            </w:r>
            <w:r w:rsidR="00461A29" w:rsidRPr="00E34E6E">
              <w:rPr>
                <w:sz w:val="18"/>
                <w:szCs w:val="18"/>
              </w:rPr>
              <w:t>accounting</w:t>
            </w:r>
            <w:r w:rsidRPr="00E34E6E">
              <w:rPr>
                <w:sz w:val="18"/>
                <w:szCs w:val="18"/>
              </w:rPr>
              <w:t xml:space="preserve"> for common </w:t>
            </w:r>
            <w:r w:rsidR="00C6675B" w:rsidRPr="00E34E6E">
              <w:rPr>
                <w:sz w:val="18"/>
                <w:szCs w:val="18"/>
              </w:rPr>
              <w:t>risk</w:t>
            </w:r>
            <w:r w:rsidRPr="00E34E6E">
              <w:rPr>
                <w:sz w:val="18"/>
                <w:szCs w:val="18"/>
              </w:rPr>
              <w:t xml:space="preserve"> factors, there is hedge fund return co-movement </w:t>
            </w:r>
            <w:r w:rsidR="009120CD" w:rsidRPr="00E34E6E">
              <w:rPr>
                <w:sz w:val="18"/>
                <w:szCs w:val="18"/>
              </w:rPr>
              <w:t>across</w:t>
            </w:r>
            <w:r w:rsidRPr="00E34E6E">
              <w:rPr>
                <w:sz w:val="18"/>
                <w:szCs w:val="18"/>
              </w:rPr>
              <w:t xml:space="preserve"> different time periods</w:t>
            </w:r>
            <w:r w:rsidR="003C25EA" w:rsidRPr="00E34E6E">
              <w:rPr>
                <w:sz w:val="18"/>
                <w:szCs w:val="18"/>
              </w:rPr>
              <w:t>. When considering common risk factor</w:t>
            </w:r>
            <w:r w:rsidR="003935CB" w:rsidRPr="00E34E6E">
              <w:rPr>
                <w:sz w:val="18"/>
                <w:szCs w:val="18"/>
              </w:rPr>
              <w:t>s</w:t>
            </w:r>
            <w:r w:rsidR="003C25EA" w:rsidRPr="00E34E6E">
              <w:rPr>
                <w:sz w:val="18"/>
                <w:szCs w:val="18"/>
              </w:rPr>
              <w:t xml:space="preserve">, the co-movement in hedge fund returns is not limited to periods of extreme financial turmoil. </w:t>
            </w:r>
            <w:r w:rsidR="0094680E" w:rsidRPr="00E34E6E">
              <w:rPr>
                <w:sz w:val="18"/>
                <w:szCs w:val="18"/>
              </w:rPr>
              <w:t>The TED spread (margin requirement on the S&amp;P 500 contract) and the VIX index play a significant role in leading to contagion</w:t>
            </w:r>
            <w:r w:rsidR="001E3384" w:rsidRPr="00E34E6E">
              <w:rPr>
                <w:sz w:val="18"/>
                <w:szCs w:val="18"/>
              </w:rPr>
              <w:t xml:space="preserve"> in hedge fund returns</w:t>
            </w:r>
            <w:r w:rsidR="0094680E" w:rsidRPr="00E34E6E">
              <w:rPr>
                <w:sz w:val="18"/>
                <w:szCs w:val="18"/>
              </w:rPr>
              <w:t xml:space="preserve"> </w:t>
            </w:r>
            <w:r w:rsidR="003C25EA" w:rsidRPr="00E34E6E">
              <w:rPr>
                <w:sz w:val="18"/>
                <w:szCs w:val="18"/>
              </w:rPr>
              <w:t xml:space="preserve">  </w:t>
            </w:r>
          </w:p>
        </w:tc>
      </w:tr>
      <w:tr w:rsidR="004A2444" w:rsidRPr="00A44D31" w:rsidTr="00302FE3">
        <w:trPr>
          <w:trHeight w:hRule="exact" w:val="737"/>
          <w:jc w:val="center"/>
        </w:trPr>
        <w:tc>
          <w:tcPr>
            <w:tcW w:w="2489" w:type="dxa"/>
          </w:tcPr>
          <w:p w:rsidR="00EE0F6F" w:rsidRPr="00A44D31" w:rsidRDefault="00AE2566" w:rsidP="00D45E3B">
            <w:pPr>
              <w:spacing w:line="240" w:lineRule="auto"/>
              <w:rPr>
                <w:sz w:val="18"/>
                <w:szCs w:val="18"/>
              </w:rPr>
            </w:pPr>
            <w:proofErr w:type="spellStart"/>
            <w:r w:rsidRPr="00A44D31">
              <w:rPr>
                <w:sz w:val="18"/>
                <w:szCs w:val="18"/>
              </w:rPr>
              <w:t>Billio</w:t>
            </w:r>
            <w:proofErr w:type="spellEnd"/>
            <w:r w:rsidRPr="00A44D31">
              <w:rPr>
                <w:sz w:val="18"/>
                <w:szCs w:val="18"/>
              </w:rPr>
              <w:t xml:space="preserve">, </w:t>
            </w:r>
            <w:proofErr w:type="spellStart"/>
            <w:r w:rsidRPr="00A44D31">
              <w:rPr>
                <w:sz w:val="18"/>
                <w:szCs w:val="18"/>
              </w:rPr>
              <w:t>Getmansky</w:t>
            </w:r>
            <w:proofErr w:type="spellEnd"/>
            <w:r w:rsidRPr="00A44D31">
              <w:rPr>
                <w:sz w:val="18"/>
                <w:szCs w:val="18"/>
              </w:rPr>
              <w:t xml:space="preserve"> and </w:t>
            </w:r>
            <w:proofErr w:type="spellStart"/>
            <w:r w:rsidRPr="00A44D31">
              <w:rPr>
                <w:sz w:val="18"/>
                <w:szCs w:val="18"/>
              </w:rPr>
              <w:t>Pelizzon</w:t>
            </w:r>
            <w:proofErr w:type="spellEnd"/>
            <w:r w:rsidRPr="00A44D31">
              <w:rPr>
                <w:sz w:val="18"/>
                <w:szCs w:val="18"/>
              </w:rPr>
              <w:t xml:space="preserve"> (2012)</w:t>
            </w:r>
          </w:p>
        </w:tc>
        <w:tc>
          <w:tcPr>
            <w:tcW w:w="2268" w:type="dxa"/>
          </w:tcPr>
          <w:p w:rsidR="00EE0F6F" w:rsidRPr="00A44D31" w:rsidRDefault="00F91FC1" w:rsidP="00D45E3B">
            <w:pPr>
              <w:spacing w:line="240" w:lineRule="auto"/>
              <w:rPr>
                <w:sz w:val="18"/>
                <w:szCs w:val="18"/>
              </w:rPr>
            </w:pPr>
            <w:r w:rsidRPr="00A44D31">
              <w:rPr>
                <w:sz w:val="18"/>
                <w:szCs w:val="18"/>
              </w:rPr>
              <w:t>CSBF</w:t>
            </w:r>
            <w:r w:rsidR="00AE2566" w:rsidRPr="00A44D31">
              <w:rPr>
                <w:sz w:val="18"/>
                <w:szCs w:val="18"/>
              </w:rPr>
              <w:t>/Tremont, 1994-2009</w:t>
            </w:r>
          </w:p>
        </w:tc>
        <w:tc>
          <w:tcPr>
            <w:tcW w:w="2693" w:type="dxa"/>
          </w:tcPr>
          <w:p w:rsidR="00EE0F6F" w:rsidRPr="00A44D31" w:rsidRDefault="00AE2566" w:rsidP="00D45E3B">
            <w:pPr>
              <w:spacing w:line="240" w:lineRule="auto"/>
              <w:rPr>
                <w:sz w:val="18"/>
                <w:szCs w:val="18"/>
              </w:rPr>
            </w:pPr>
            <w:r w:rsidRPr="00A44D31">
              <w:rPr>
                <w:sz w:val="18"/>
                <w:szCs w:val="18"/>
              </w:rPr>
              <w:t>Alternative/Regime switching models</w:t>
            </w:r>
          </w:p>
        </w:tc>
        <w:tc>
          <w:tcPr>
            <w:tcW w:w="7674" w:type="dxa"/>
          </w:tcPr>
          <w:p w:rsidR="00EE0F6F" w:rsidRPr="00E34E6E" w:rsidRDefault="00654BFB" w:rsidP="00D45E3B">
            <w:pPr>
              <w:spacing w:line="240" w:lineRule="auto"/>
              <w:rPr>
                <w:sz w:val="18"/>
                <w:szCs w:val="18"/>
              </w:rPr>
            </w:pPr>
            <w:r w:rsidRPr="00E34E6E">
              <w:rPr>
                <w:sz w:val="18"/>
                <w:szCs w:val="18"/>
              </w:rPr>
              <w:t>Beyond market exposure</w:t>
            </w:r>
            <w:r w:rsidR="00AE4070" w:rsidRPr="00E34E6E">
              <w:rPr>
                <w:sz w:val="18"/>
                <w:szCs w:val="18"/>
              </w:rPr>
              <w:t>,</w:t>
            </w:r>
            <w:r w:rsidRPr="00E34E6E">
              <w:rPr>
                <w:sz w:val="18"/>
                <w:szCs w:val="18"/>
              </w:rPr>
              <w:t xml:space="preserve"> hedge funds have </w:t>
            </w:r>
            <w:r w:rsidR="004A487E" w:rsidRPr="00E34E6E">
              <w:rPr>
                <w:sz w:val="18"/>
                <w:szCs w:val="18"/>
              </w:rPr>
              <w:t>non-linear</w:t>
            </w:r>
            <w:r w:rsidRPr="00E34E6E">
              <w:rPr>
                <w:sz w:val="18"/>
                <w:szCs w:val="18"/>
              </w:rPr>
              <w:t xml:space="preserve"> exposures to liquidity, volatility, credit, term spread, and commodities. Hedge funds change their exposures when dealing with different regimes</w:t>
            </w:r>
            <w:r w:rsidR="00DD7004" w:rsidRPr="00E34E6E">
              <w:rPr>
                <w:sz w:val="18"/>
                <w:szCs w:val="18"/>
              </w:rPr>
              <w:t>. Hedge fund exposures depend on whether the equity market is in the up, down or tranquil regime</w:t>
            </w:r>
          </w:p>
        </w:tc>
      </w:tr>
      <w:tr w:rsidR="004A2444" w:rsidRPr="00A44D31" w:rsidTr="008160F0">
        <w:trPr>
          <w:trHeight w:hRule="exact" w:val="851"/>
          <w:jc w:val="center"/>
        </w:trPr>
        <w:tc>
          <w:tcPr>
            <w:tcW w:w="2489" w:type="dxa"/>
          </w:tcPr>
          <w:p w:rsidR="00EE0F6F" w:rsidRPr="00A44D31" w:rsidRDefault="007E783A" w:rsidP="00D45E3B">
            <w:pPr>
              <w:spacing w:line="240" w:lineRule="auto"/>
              <w:rPr>
                <w:sz w:val="18"/>
                <w:szCs w:val="18"/>
              </w:rPr>
            </w:pPr>
            <w:proofErr w:type="spellStart"/>
            <w:r w:rsidRPr="00A44D31">
              <w:rPr>
                <w:sz w:val="18"/>
                <w:szCs w:val="18"/>
              </w:rPr>
              <w:t>Bollen</w:t>
            </w:r>
            <w:proofErr w:type="spellEnd"/>
            <w:r w:rsidRPr="00A44D31">
              <w:rPr>
                <w:sz w:val="18"/>
                <w:szCs w:val="18"/>
              </w:rPr>
              <w:t>, and Whaley (2009)</w:t>
            </w:r>
          </w:p>
        </w:tc>
        <w:tc>
          <w:tcPr>
            <w:tcW w:w="2268" w:type="dxa"/>
          </w:tcPr>
          <w:p w:rsidR="00EE0F6F" w:rsidRPr="00A44D31" w:rsidRDefault="007E783A" w:rsidP="00D45E3B">
            <w:pPr>
              <w:spacing w:line="240" w:lineRule="auto"/>
              <w:rPr>
                <w:sz w:val="18"/>
                <w:szCs w:val="18"/>
              </w:rPr>
            </w:pPr>
            <w:r w:rsidRPr="00A44D31">
              <w:rPr>
                <w:sz w:val="18"/>
                <w:szCs w:val="18"/>
              </w:rPr>
              <w:t>CISDM, 1994-2005</w:t>
            </w:r>
          </w:p>
        </w:tc>
        <w:tc>
          <w:tcPr>
            <w:tcW w:w="2693" w:type="dxa"/>
          </w:tcPr>
          <w:p w:rsidR="00EE0F6F" w:rsidRPr="00A44D31" w:rsidRDefault="007E783A" w:rsidP="00D45E3B">
            <w:pPr>
              <w:spacing w:line="240" w:lineRule="auto"/>
              <w:rPr>
                <w:sz w:val="18"/>
                <w:szCs w:val="18"/>
              </w:rPr>
            </w:pPr>
            <w:r w:rsidRPr="00A44D31">
              <w:rPr>
                <w:sz w:val="18"/>
                <w:szCs w:val="18"/>
              </w:rPr>
              <w:t xml:space="preserve">Alternative/Optimal </w:t>
            </w:r>
            <w:r w:rsidR="002A68F9" w:rsidRPr="00A44D31">
              <w:rPr>
                <w:sz w:val="18"/>
                <w:szCs w:val="18"/>
              </w:rPr>
              <w:t>change-point</w:t>
            </w:r>
            <w:r w:rsidRPr="00A44D31">
              <w:rPr>
                <w:sz w:val="18"/>
                <w:szCs w:val="18"/>
              </w:rPr>
              <w:t xml:space="preserve"> regression</w:t>
            </w:r>
          </w:p>
        </w:tc>
        <w:tc>
          <w:tcPr>
            <w:tcW w:w="7674" w:type="dxa"/>
          </w:tcPr>
          <w:p w:rsidR="00EE0F6F" w:rsidRPr="00E34E6E" w:rsidRDefault="00A43DC7" w:rsidP="003935CB">
            <w:pPr>
              <w:spacing w:line="240" w:lineRule="auto"/>
              <w:rPr>
                <w:sz w:val="18"/>
                <w:szCs w:val="18"/>
              </w:rPr>
            </w:pPr>
            <w:r w:rsidRPr="00E34E6E">
              <w:rPr>
                <w:sz w:val="18"/>
                <w:szCs w:val="18"/>
              </w:rPr>
              <w:t>Through change</w:t>
            </w:r>
            <w:r w:rsidR="00276354" w:rsidRPr="00E34E6E">
              <w:rPr>
                <w:sz w:val="18"/>
                <w:szCs w:val="18"/>
              </w:rPr>
              <w:t>-</w:t>
            </w:r>
            <w:r w:rsidRPr="00E34E6E">
              <w:rPr>
                <w:sz w:val="18"/>
                <w:szCs w:val="18"/>
              </w:rPr>
              <w:t>point regression (allowing for a single shift in parameters for each fund), t</w:t>
            </w:r>
            <w:r w:rsidR="007E783A" w:rsidRPr="00E34E6E">
              <w:rPr>
                <w:sz w:val="18"/>
                <w:szCs w:val="18"/>
              </w:rPr>
              <w:t>here are significant changes in risk factor parameters in about 40% of the sample hedge funds. For live funds, switches tend to occur early in the fund's life whereas switcher funds tend to outperform non-switcher funds</w:t>
            </w:r>
          </w:p>
        </w:tc>
      </w:tr>
      <w:tr w:rsidR="004A2444" w:rsidRPr="00A44D31" w:rsidTr="005E6F35">
        <w:trPr>
          <w:trHeight w:hRule="exact" w:val="698"/>
          <w:jc w:val="center"/>
        </w:trPr>
        <w:tc>
          <w:tcPr>
            <w:tcW w:w="2489" w:type="dxa"/>
          </w:tcPr>
          <w:p w:rsidR="00EE0F6F" w:rsidRPr="00A44D31" w:rsidRDefault="00D475E4" w:rsidP="00D45E3B">
            <w:pPr>
              <w:spacing w:line="240" w:lineRule="auto"/>
              <w:rPr>
                <w:sz w:val="18"/>
                <w:szCs w:val="18"/>
              </w:rPr>
            </w:pPr>
            <w:proofErr w:type="spellStart"/>
            <w:r w:rsidRPr="00A44D31">
              <w:rPr>
                <w:sz w:val="18"/>
                <w:szCs w:val="18"/>
              </w:rPr>
              <w:t>Giannikis</w:t>
            </w:r>
            <w:proofErr w:type="spellEnd"/>
            <w:r w:rsidRPr="00A44D31">
              <w:rPr>
                <w:sz w:val="18"/>
                <w:szCs w:val="18"/>
              </w:rPr>
              <w:t xml:space="preserve"> and </w:t>
            </w:r>
            <w:proofErr w:type="spellStart"/>
            <w:r w:rsidRPr="00A44D31">
              <w:rPr>
                <w:sz w:val="18"/>
                <w:szCs w:val="18"/>
              </w:rPr>
              <w:t>Vrontos</w:t>
            </w:r>
            <w:proofErr w:type="spellEnd"/>
            <w:r w:rsidRPr="00A44D31">
              <w:rPr>
                <w:sz w:val="18"/>
                <w:szCs w:val="18"/>
              </w:rPr>
              <w:t xml:space="preserve"> (2011)</w:t>
            </w:r>
          </w:p>
        </w:tc>
        <w:tc>
          <w:tcPr>
            <w:tcW w:w="2268" w:type="dxa"/>
          </w:tcPr>
          <w:p w:rsidR="00EE0F6F" w:rsidRPr="00A44D31" w:rsidRDefault="00D475E4" w:rsidP="00D45E3B">
            <w:pPr>
              <w:spacing w:line="240" w:lineRule="auto"/>
              <w:rPr>
                <w:sz w:val="18"/>
                <w:szCs w:val="18"/>
              </w:rPr>
            </w:pPr>
            <w:r w:rsidRPr="00A44D31">
              <w:rPr>
                <w:sz w:val="18"/>
                <w:szCs w:val="18"/>
              </w:rPr>
              <w:t>HFR, 1990-2009</w:t>
            </w:r>
          </w:p>
        </w:tc>
        <w:tc>
          <w:tcPr>
            <w:tcW w:w="2693" w:type="dxa"/>
          </w:tcPr>
          <w:p w:rsidR="00EE0F6F" w:rsidRPr="00A44D31" w:rsidRDefault="00D475E4" w:rsidP="00D45E3B">
            <w:pPr>
              <w:spacing w:line="240" w:lineRule="auto"/>
              <w:rPr>
                <w:sz w:val="18"/>
                <w:szCs w:val="18"/>
              </w:rPr>
            </w:pPr>
            <w:r w:rsidRPr="00A44D31">
              <w:rPr>
                <w:sz w:val="18"/>
                <w:szCs w:val="18"/>
              </w:rPr>
              <w:t>Alternative/Threshold regression with Bayesian approach</w:t>
            </w:r>
          </w:p>
        </w:tc>
        <w:tc>
          <w:tcPr>
            <w:tcW w:w="7674" w:type="dxa"/>
          </w:tcPr>
          <w:p w:rsidR="00EE0F6F" w:rsidRPr="00E34E6E" w:rsidRDefault="00D475E4" w:rsidP="00D45E3B">
            <w:pPr>
              <w:spacing w:line="240" w:lineRule="auto"/>
              <w:rPr>
                <w:sz w:val="18"/>
                <w:szCs w:val="18"/>
              </w:rPr>
            </w:pPr>
            <w:r w:rsidRPr="00E34E6E">
              <w:rPr>
                <w:sz w:val="18"/>
                <w:szCs w:val="18"/>
              </w:rPr>
              <w:t xml:space="preserve">Different hedge fund strategies exhibit non-linear relations to different risk factors. </w:t>
            </w:r>
            <w:r w:rsidR="00AE4070" w:rsidRPr="00E34E6E">
              <w:rPr>
                <w:sz w:val="18"/>
                <w:szCs w:val="18"/>
              </w:rPr>
              <w:t>A Bayesian approach improves</w:t>
            </w:r>
            <w:r w:rsidRPr="00E34E6E">
              <w:rPr>
                <w:sz w:val="18"/>
                <w:szCs w:val="18"/>
              </w:rPr>
              <w:t xml:space="preserve"> hedge fund performance appraisal</w:t>
            </w:r>
            <w:r w:rsidR="008160F0" w:rsidRPr="00E34E6E">
              <w:rPr>
                <w:sz w:val="18"/>
                <w:szCs w:val="18"/>
              </w:rPr>
              <w:t>. Different hedge fund strategies exhibit different timing abilities</w:t>
            </w:r>
          </w:p>
        </w:tc>
      </w:tr>
      <w:tr w:rsidR="004A2444" w:rsidRPr="00A44D31" w:rsidTr="005E6F35">
        <w:trPr>
          <w:trHeight w:hRule="exact" w:val="702"/>
          <w:jc w:val="center"/>
        </w:trPr>
        <w:tc>
          <w:tcPr>
            <w:tcW w:w="2489" w:type="dxa"/>
          </w:tcPr>
          <w:p w:rsidR="00EE0F6F" w:rsidRPr="00A44D31" w:rsidRDefault="00042A00" w:rsidP="00D45E3B">
            <w:pPr>
              <w:spacing w:line="240" w:lineRule="auto"/>
              <w:rPr>
                <w:sz w:val="18"/>
                <w:szCs w:val="18"/>
              </w:rPr>
            </w:pPr>
            <w:proofErr w:type="spellStart"/>
            <w:r w:rsidRPr="00A44D31">
              <w:rPr>
                <w:sz w:val="18"/>
                <w:szCs w:val="18"/>
              </w:rPr>
              <w:t>Jawadi</w:t>
            </w:r>
            <w:proofErr w:type="spellEnd"/>
            <w:r w:rsidRPr="00A44D31">
              <w:rPr>
                <w:sz w:val="18"/>
                <w:szCs w:val="18"/>
              </w:rPr>
              <w:t xml:space="preserve"> and </w:t>
            </w:r>
            <w:proofErr w:type="spellStart"/>
            <w:r w:rsidRPr="00A44D31">
              <w:rPr>
                <w:sz w:val="18"/>
                <w:szCs w:val="18"/>
              </w:rPr>
              <w:t>Khanniche</w:t>
            </w:r>
            <w:proofErr w:type="spellEnd"/>
            <w:r w:rsidRPr="00A44D31">
              <w:rPr>
                <w:sz w:val="18"/>
                <w:szCs w:val="18"/>
              </w:rPr>
              <w:t xml:space="preserve"> (2012)</w:t>
            </w:r>
          </w:p>
        </w:tc>
        <w:tc>
          <w:tcPr>
            <w:tcW w:w="2268" w:type="dxa"/>
          </w:tcPr>
          <w:p w:rsidR="00EE0F6F" w:rsidRPr="00A44D31" w:rsidRDefault="00042A00" w:rsidP="00D45E3B">
            <w:pPr>
              <w:spacing w:line="240" w:lineRule="auto"/>
              <w:rPr>
                <w:sz w:val="18"/>
                <w:szCs w:val="18"/>
              </w:rPr>
            </w:pPr>
            <w:r w:rsidRPr="00A44D31">
              <w:rPr>
                <w:sz w:val="18"/>
                <w:szCs w:val="18"/>
              </w:rPr>
              <w:t>CSFB/Tremont, 1994-2009</w:t>
            </w:r>
          </w:p>
        </w:tc>
        <w:tc>
          <w:tcPr>
            <w:tcW w:w="2693" w:type="dxa"/>
          </w:tcPr>
          <w:p w:rsidR="00EE0F6F" w:rsidRPr="00A44D31" w:rsidRDefault="00042A00" w:rsidP="00D45E3B">
            <w:pPr>
              <w:spacing w:line="240" w:lineRule="auto"/>
              <w:rPr>
                <w:sz w:val="18"/>
                <w:szCs w:val="18"/>
              </w:rPr>
            </w:pPr>
            <w:r w:rsidRPr="00A44D31">
              <w:rPr>
                <w:sz w:val="18"/>
                <w:szCs w:val="18"/>
              </w:rPr>
              <w:t>Alternative/Smooth transition regression</w:t>
            </w:r>
          </w:p>
        </w:tc>
        <w:tc>
          <w:tcPr>
            <w:tcW w:w="7674" w:type="dxa"/>
          </w:tcPr>
          <w:p w:rsidR="00EE0F6F" w:rsidRPr="00E34E6E" w:rsidRDefault="00042A00" w:rsidP="00246B17">
            <w:pPr>
              <w:spacing w:line="240" w:lineRule="auto"/>
              <w:rPr>
                <w:sz w:val="18"/>
                <w:szCs w:val="18"/>
              </w:rPr>
            </w:pPr>
            <w:r w:rsidRPr="00E34E6E">
              <w:rPr>
                <w:sz w:val="18"/>
                <w:szCs w:val="18"/>
              </w:rPr>
              <w:t>Hedge funds returns change and differ asymmetrically during different financial conditions. Hedge fund exposures vary over time according to strategy and regime</w:t>
            </w:r>
            <w:r w:rsidR="003E0A34" w:rsidRPr="00E34E6E">
              <w:rPr>
                <w:sz w:val="18"/>
                <w:szCs w:val="18"/>
              </w:rPr>
              <w:t xml:space="preserve">. </w:t>
            </w:r>
            <w:r w:rsidR="00246B17" w:rsidRPr="00E34E6E">
              <w:rPr>
                <w:sz w:val="18"/>
                <w:szCs w:val="18"/>
              </w:rPr>
              <w:t>Also, t</w:t>
            </w:r>
            <w:r w:rsidR="003E0A34" w:rsidRPr="00E34E6E">
              <w:rPr>
                <w:sz w:val="18"/>
                <w:szCs w:val="18"/>
              </w:rPr>
              <w:t>he relationship between hedge fund returns and risk factors varies over time and depends on regimes (e.g. expansion, crisis)</w:t>
            </w:r>
          </w:p>
        </w:tc>
      </w:tr>
      <w:tr w:rsidR="004A2444" w:rsidRPr="004A2444" w:rsidTr="005E6F35">
        <w:trPr>
          <w:trHeight w:hRule="exact" w:val="698"/>
          <w:jc w:val="center"/>
        </w:trPr>
        <w:tc>
          <w:tcPr>
            <w:tcW w:w="2489" w:type="dxa"/>
          </w:tcPr>
          <w:p w:rsidR="00EE0F6F" w:rsidRPr="00A44D31" w:rsidRDefault="00AB4CAD" w:rsidP="00D45E3B">
            <w:pPr>
              <w:spacing w:line="240" w:lineRule="auto"/>
              <w:rPr>
                <w:sz w:val="18"/>
                <w:szCs w:val="18"/>
              </w:rPr>
            </w:pPr>
            <w:proofErr w:type="spellStart"/>
            <w:r w:rsidRPr="00A44D31">
              <w:rPr>
                <w:sz w:val="18"/>
                <w:szCs w:val="18"/>
              </w:rPr>
              <w:t>O’Doherty</w:t>
            </w:r>
            <w:proofErr w:type="spellEnd"/>
            <w:r w:rsidRPr="00A44D31">
              <w:rPr>
                <w:sz w:val="18"/>
                <w:szCs w:val="18"/>
              </w:rPr>
              <w:t xml:space="preserve">, </w:t>
            </w:r>
            <w:proofErr w:type="spellStart"/>
            <w:r w:rsidRPr="00A44D31">
              <w:rPr>
                <w:sz w:val="18"/>
                <w:szCs w:val="18"/>
              </w:rPr>
              <w:t>Savin</w:t>
            </w:r>
            <w:proofErr w:type="spellEnd"/>
            <w:r w:rsidRPr="00A44D31">
              <w:rPr>
                <w:sz w:val="18"/>
                <w:szCs w:val="18"/>
              </w:rPr>
              <w:t>, and Tiwari (2015)</w:t>
            </w:r>
          </w:p>
        </w:tc>
        <w:tc>
          <w:tcPr>
            <w:tcW w:w="2268" w:type="dxa"/>
          </w:tcPr>
          <w:p w:rsidR="00EE0F6F" w:rsidRPr="00A44D31" w:rsidRDefault="00AB4CAD" w:rsidP="00D45E3B">
            <w:pPr>
              <w:spacing w:line="240" w:lineRule="auto"/>
              <w:rPr>
                <w:sz w:val="18"/>
                <w:szCs w:val="18"/>
              </w:rPr>
            </w:pPr>
            <w:r w:rsidRPr="00A44D31">
              <w:rPr>
                <w:sz w:val="18"/>
                <w:szCs w:val="18"/>
              </w:rPr>
              <w:t>Lipper/TASS, 1994-2011</w:t>
            </w:r>
          </w:p>
        </w:tc>
        <w:tc>
          <w:tcPr>
            <w:tcW w:w="2693" w:type="dxa"/>
          </w:tcPr>
          <w:p w:rsidR="00EE0F6F" w:rsidRPr="00A44D31" w:rsidRDefault="00AB4CAD" w:rsidP="00D45E3B">
            <w:pPr>
              <w:spacing w:line="240" w:lineRule="auto"/>
              <w:rPr>
                <w:sz w:val="18"/>
                <w:szCs w:val="18"/>
              </w:rPr>
            </w:pPr>
            <w:r w:rsidRPr="00A44D31">
              <w:rPr>
                <w:sz w:val="18"/>
                <w:szCs w:val="18"/>
              </w:rPr>
              <w:t>Alternative/Pooled benchmark model approach, portfolio construction</w:t>
            </w:r>
          </w:p>
        </w:tc>
        <w:tc>
          <w:tcPr>
            <w:tcW w:w="7674" w:type="dxa"/>
          </w:tcPr>
          <w:p w:rsidR="00EE0F6F" w:rsidRPr="00E34E6E" w:rsidRDefault="00AB4CAD" w:rsidP="006F276D">
            <w:pPr>
              <w:spacing w:line="240" w:lineRule="auto"/>
              <w:rPr>
                <w:sz w:val="18"/>
                <w:szCs w:val="18"/>
              </w:rPr>
            </w:pPr>
            <w:r w:rsidRPr="00E34E6E">
              <w:rPr>
                <w:sz w:val="18"/>
                <w:szCs w:val="18"/>
              </w:rPr>
              <w:t>By using the pooled benchmark approach, there is a reduction in the (benchmark) error of the factor-based attribution models</w:t>
            </w:r>
            <w:r w:rsidR="006F276D" w:rsidRPr="00E34E6E">
              <w:rPr>
                <w:sz w:val="18"/>
                <w:szCs w:val="18"/>
              </w:rPr>
              <w:t>. The model pooling approach has more predictive power for failures among sample funds than other performance attribution models</w:t>
            </w:r>
          </w:p>
        </w:tc>
      </w:tr>
    </w:tbl>
    <w:p w:rsidR="00F502A4" w:rsidRDefault="00F502A4" w:rsidP="00335A9C">
      <w:pPr>
        <w:jc w:val="both"/>
      </w:pPr>
    </w:p>
    <w:p w:rsidR="00335A9C" w:rsidRDefault="00335A9C" w:rsidP="00335A9C">
      <w:pPr>
        <w:jc w:val="both"/>
      </w:pPr>
    </w:p>
    <w:p w:rsidR="00335A9C" w:rsidRDefault="00335A9C" w:rsidP="00335A9C">
      <w:pPr>
        <w:jc w:val="both"/>
      </w:pPr>
    </w:p>
    <w:p w:rsidR="00A63D01" w:rsidRDefault="00A63D01" w:rsidP="00335A9C">
      <w:pPr>
        <w:jc w:val="both"/>
      </w:pPr>
    </w:p>
    <w:p w:rsidR="004B4D0A" w:rsidRDefault="004B4D0A" w:rsidP="00335A9C">
      <w:pPr>
        <w:jc w:val="both"/>
        <w:sectPr w:rsidR="004B4D0A" w:rsidSect="0088117F">
          <w:endnotePr>
            <w:numFmt w:val="decimal"/>
          </w:endnotePr>
          <w:pgSz w:w="16838" w:h="11906" w:orient="landscape"/>
          <w:pgMar w:top="567" w:right="794" w:bottom="567" w:left="794" w:header="709" w:footer="567" w:gutter="0"/>
          <w:cols w:space="708"/>
          <w:titlePg/>
          <w:docGrid w:linePitch="360"/>
        </w:sectPr>
      </w:pPr>
    </w:p>
    <w:p w:rsidR="00335A9C" w:rsidRDefault="00335A9C" w:rsidP="00FE097C">
      <w:pPr>
        <w:jc w:val="both"/>
      </w:pPr>
    </w:p>
    <w:sectPr w:rsidR="00335A9C" w:rsidSect="00FE097C">
      <w:endnotePr>
        <w:numFmt w:val="decimal"/>
      </w:endnotePr>
      <w:pgSz w:w="11906" w:h="16838"/>
      <w:pgMar w:top="1440" w:right="1440" w:bottom="1440" w:left="1440" w:header="709"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12AF" w:rsidRDefault="004712AF" w:rsidP="00B0003D">
      <w:pPr>
        <w:spacing w:after="0" w:line="240" w:lineRule="auto"/>
      </w:pPr>
      <w:r>
        <w:separator/>
      </w:r>
    </w:p>
  </w:endnote>
  <w:endnote w:type="continuationSeparator" w:id="0">
    <w:p w:rsidR="004712AF" w:rsidRDefault="004712AF" w:rsidP="00B0003D">
      <w:pPr>
        <w:spacing w:after="0" w:line="240" w:lineRule="auto"/>
      </w:pPr>
      <w:r>
        <w:continuationSeparator/>
      </w:r>
    </w:p>
  </w:endnote>
  <w:endnote w:id="1">
    <w:p w:rsidR="00E65523" w:rsidRDefault="00E65523" w:rsidP="004267FC">
      <w:pPr>
        <w:pStyle w:val="EndnoteText"/>
        <w:jc w:val="both"/>
      </w:pPr>
      <w:r>
        <w:rPr>
          <w:rStyle w:val="EndnoteReference"/>
        </w:rPr>
        <w:endnoteRef/>
      </w:r>
      <w:r>
        <w:t xml:space="preserve"> Although some of the older papers will be well known to hedge fund researchers, it is important to include some key studies so as to analyse their influence on newer studies.  </w:t>
      </w:r>
    </w:p>
  </w:endnote>
  <w:endnote w:id="2">
    <w:p w:rsidR="00E65523" w:rsidRDefault="00E65523" w:rsidP="004267FC">
      <w:pPr>
        <w:pStyle w:val="EndnoteText"/>
        <w:jc w:val="both"/>
      </w:pPr>
      <w:r>
        <w:rPr>
          <w:rStyle w:val="EndnoteReference"/>
        </w:rPr>
        <w:endnoteRef/>
      </w:r>
      <w:r>
        <w:t xml:space="preserve"> The four named models cover all hedge fund strategies and refer to the category of relative price models.</w:t>
      </w:r>
    </w:p>
  </w:endnote>
  <w:endnote w:id="3">
    <w:p w:rsidR="00E65523" w:rsidRDefault="00E65523" w:rsidP="007D3A32">
      <w:pPr>
        <w:pStyle w:val="EndnoteText"/>
        <w:jc w:val="both"/>
      </w:pPr>
      <w:r>
        <w:rPr>
          <w:rStyle w:val="EndnoteReference"/>
        </w:rPr>
        <w:endnoteRef/>
      </w:r>
      <w:r>
        <w:t xml:space="preserve"> </w:t>
      </w:r>
      <w:r w:rsidRPr="007D3A32">
        <w:t xml:space="preserve">These include, for example, market value or equity capitalization size proposed by </w:t>
      </w:r>
      <w:proofErr w:type="spellStart"/>
      <w:r w:rsidRPr="007D3A32">
        <w:t>Banz</w:t>
      </w:r>
      <w:proofErr w:type="spellEnd"/>
      <w:r w:rsidRPr="007D3A32">
        <w:t xml:space="preserve"> (1981) and </w:t>
      </w:r>
      <w:proofErr w:type="spellStart"/>
      <w:r w:rsidRPr="007D3A32">
        <w:t>Reinganum</w:t>
      </w:r>
      <w:proofErr w:type="spellEnd"/>
      <w:r w:rsidRPr="007D3A32">
        <w:t xml:space="preserve"> (1981), and earnings-to-price ratio proposed by </w:t>
      </w:r>
      <w:proofErr w:type="spellStart"/>
      <w:r w:rsidRPr="007D3A32">
        <w:t>Basu</w:t>
      </w:r>
      <w:proofErr w:type="spellEnd"/>
      <w:r w:rsidRPr="007D3A32">
        <w:t xml:space="preserve"> (1983). Other examples are leverage, mentioned by Bhandari (1988) and stock liquidity as mentioned by </w:t>
      </w:r>
      <w:proofErr w:type="spellStart"/>
      <w:r w:rsidRPr="007D3A32">
        <w:t>Amihud</w:t>
      </w:r>
      <w:proofErr w:type="spellEnd"/>
      <w:r w:rsidRPr="007D3A32">
        <w:t xml:space="preserve"> (2002).</w:t>
      </w:r>
    </w:p>
  </w:endnote>
  <w:endnote w:id="4">
    <w:p w:rsidR="00E65523" w:rsidRPr="00E34E6E" w:rsidRDefault="00E65523" w:rsidP="00295E81">
      <w:pPr>
        <w:pStyle w:val="EndnoteText"/>
      </w:pPr>
      <w:r>
        <w:rPr>
          <w:rStyle w:val="EndnoteReference"/>
        </w:rPr>
        <w:endnoteRef/>
      </w:r>
      <w:r>
        <w:t xml:space="preserve"> </w:t>
      </w:r>
      <w:r w:rsidRPr="00E34E6E">
        <w:t>In the appendix, Table 1 provides the discussed studies to help the reader’s understanding.</w:t>
      </w:r>
    </w:p>
  </w:endnote>
  <w:endnote w:id="5">
    <w:p w:rsidR="00E65523" w:rsidRPr="00E34E6E" w:rsidRDefault="00E65523" w:rsidP="0076710E">
      <w:pPr>
        <w:pStyle w:val="EndnoteText"/>
        <w:jc w:val="both"/>
      </w:pPr>
      <w:r w:rsidRPr="00E34E6E">
        <w:rPr>
          <w:rStyle w:val="EndnoteReference"/>
        </w:rPr>
        <w:endnoteRef/>
      </w:r>
      <w:r w:rsidRPr="00E34E6E">
        <w:t xml:space="preserve"> </w:t>
      </w:r>
      <w:r w:rsidR="0021460F" w:rsidRPr="00E34E6E">
        <w:t>In general, non-linear models are used to explain hedge fund returns because, either, the observation frequency is different from trading frequency, or, the assets being held are non-linear functions of some primitive factors. Regarding the first case, one can replicate returns to option prices via dynamic trading. Replicated portfolio’s return is locally linear in the underlying factors, however if, for instance, monthly returns are used to evaluate the performance of the portfolio, the return will be non-linear in terms of returns on the underlying assets due to the fact that observation frequency is much longer than the trading frequency. Concerning the second case, when a fund follows a buy and hold strategy, the returns will be linear functions of its underlying assets regardless of whether monthly or annual observations are used. Nevertheless, the returns will be non-linear in terms of some primitive factors that underlie the assets being held. Usually, these two effects are indistinguishable. For instance, explanatory powers of Fung and Hsieh factors could be the result of dynamic trading by funds and their holdings of long and short positions in options or that we do not have daily returns on funds (we thank the anonymous referee for this comment)</w:t>
      </w:r>
    </w:p>
  </w:endnote>
  <w:endnote w:id="6">
    <w:p w:rsidR="00E65523" w:rsidRPr="00E34E6E" w:rsidRDefault="00E65523" w:rsidP="0050260E">
      <w:pPr>
        <w:pStyle w:val="EndnoteText"/>
        <w:jc w:val="both"/>
      </w:pPr>
      <w:r w:rsidRPr="00E34E6E">
        <w:rPr>
          <w:rStyle w:val="EndnoteReference"/>
        </w:rPr>
        <w:endnoteRef/>
      </w:r>
      <w:r w:rsidRPr="00E34E6E">
        <w:t xml:space="preserve"> The return of any portfolio is a linear average of the returns of its assets. However, the definition of a (non-) linear model is not an easy task because the term linear can be interpreted into different ways. First, it may be the linearity in variables, although if the independent variable appears with a power 2 then it can be interpreted as a non-linear function. Second, it may be the linearity in parameters, although it may or may not be linear in the independent variable(s), thus being a linear (in the parameters) regression model. Third, it may be the case that the linearity between the dependant and independent variables changes over time. A model with structural breaks can be regarded (as a whole) as a non-linear model. </w:t>
      </w:r>
    </w:p>
  </w:endnote>
  <w:endnote w:id="7">
    <w:p w:rsidR="00E65523" w:rsidRPr="00E34E6E" w:rsidRDefault="00E65523">
      <w:pPr>
        <w:pStyle w:val="EndnoteText"/>
      </w:pPr>
      <w:r w:rsidRPr="00E34E6E">
        <w:rPr>
          <w:rStyle w:val="EndnoteReference"/>
        </w:rPr>
        <w:endnoteRef/>
      </w:r>
      <w:r w:rsidRPr="00E34E6E">
        <w:t xml:space="preserve"> In the appendix, Table 2, 3 and 4 provide the discussed bottom-up, up-bottom, and alternative approach studies, respectively.</w:t>
      </w:r>
    </w:p>
  </w:endnote>
  <w:endnote w:id="8">
    <w:p w:rsidR="00E65523" w:rsidRDefault="00E65523" w:rsidP="000B18F7">
      <w:pPr>
        <w:pStyle w:val="EndnoteText"/>
        <w:jc w:val="both"/>
      </w:pPr>
      <w:r>
        <w:rPr>
          <w:rStyle w:val="EndnoteReference"/>
        </w:rPr>
        <w:endnoteRef/>
      </w:r>
      <w:r>
        <w:t xml:space="preserve"> </w:t>
      </w:r>
      <w:r w:rsidRPr="00E6616D">
        <w:t xml:space="preserve">A lookback straddle is an option strategy </w:t>
      </w:r>
      <w:r>
        <w:t>that</w:t>
      </w:r>
      <w:r w:rsidRPr="00E6616D">
        <w:t xml:space="preserve"> is a combination of</w:t>
      </w:r>
      <w:r>
        <w:t xml:space="preserve"> a lookback call plus a lookback put (options that are traded in Over-The-Counter markets). The first component grants the holder the right but not the obligation to buy an asset at the lowest price identified during the lifetime of the option. The second component grants the holder the right but not the obligation to sell an asset at the highest price observed during the lifetime of the option.</w:t>
      </w:r>
    </w:p>
  </w:endnote>
  <w:endnote w:id="9">
    <w:p w:rsidR="00E65523" w:rsidRDefault="00E65523" w:rsidP="000B18F7">
      <w:pPr>
        <w:pStyle w:val="EndnoteText"/>
        <w:jc w:val="both"/>
      </w:pPr>
      <w:r w:rsidRPr="005C248E">
        <w:rPr>
          <w:rStyle w:val="EndnoteReference"/>
        </w:rPr>
        <w:endnoteRef/>
      </w:r>
      <w:r w:rsidRPr="005C248E">
        <w:t xml:space="preserve"> A</w:t>
      </w:r>
      <w:r w:rsidRPr="005C248E">
        <w:rPr>
          <w:lang w:val="en-US"/>
        </w:rPr>
        <w:t xml:space="preserve"> long straddle is a combination of a long call and a long put with the same strike price.</w:t>
      </w:r>
    </w:p>
  </w:endnote>
  <w:endnote w:id="10">
    <w:p w:rsidR="00E65523" w:rsidRDefault="00E65523" w:rsidP="005C248E">
      <w:pPr>
        <w:pStyle w:val="EndnoteText"/>
        <w:jc w:val="both"/>
      </w:pPr>
      <w:r>
        <w:rPr>
          <w:rStyle w:val="EndnoteReference"/>
        </w:rPr>
        <w:endnoteRef/>
      </w:r>
      <w:r>
        <w:t xml:space="preserve"> These are: Systems/Opportunistic, Global/Macro, Value, Systems/Trend Following, and Distressed.</w:t>
      </w:r>
    </w:p>
  </w:endnote>
  <w:endnote w:id="11">
    <w:p w:rsidR="00E65523" w:rsidRPr="005C248E" w:rsidRDefault="00E65523" w:rsidP="005C248E">
      <w:pPr>
        <w:pStyle w:val="EndnoteText"/>
        <w:jc w:val="both"/>
      </w:pPr>
      <w:r>
        <w:rPr>
          <w:rStyle w:val="EndnoteReference"/>
        </w:rPr>
        <w:endnoteRef/>
      </w:r>
      <w:r>
        <w:t xml:space="preserve"> </w:t>
      </w:r>
      <w:r w:rsidRPr="005C248E">
        <w:t xml:space="preserve">There are </w:t>
      </w:r>
      <w:r>
        <w:t>more studies that are based on the same initial ABS-creation mechanism, describing</w:t>
      </w:r>
      <w:r w:rsidRPr="005C248E">
        <w:t xml:space="preserve"> </w:t>
      </w:r>
      <w:r>
        <w:t xml:space="preserve">other </w:t>
      </w:r>
      <w:r w:rsidRPr="005C248E">
        <w:t>strategies</w:t>
      </w:r>
      <w:r>
        <w:t xml:space="preserve"> (these are not discussed for space reasons)</w:t>
      </w:r>
      <w:r w:rsidRPr="005C248E">
        <w:t xml:space="preserve">. For </w:t>
      </w:r>
      <w:r>
        <w:t>example,</w:t>
      </w:r>
      <w:r w:rsidRPr="005C248E">
        <w:t xml:space="preserve"> Mitchel and </w:t>
      </w:r>
      <w:proofErr w:type="spellStart"/>
      <w:r w:rsidRPr="005C248E">
        <w:t>Pulvino</w:t>
      </w:r>
      <w:proofErr w:type="spellEnd"/>
      <w:r>
        <w:t xml:space="preserve"> (2001), Fund and Hsieh (2002b) and Fung and Hsieh (2000c) </w:t>
      </w:r>
      <w:r w:rsidRPr="005C248E">
        <w:t xml:space="preserve">developed factors for the risk arbitrage, convergence traders and long-short equity funds, </w:t>
      </w:r>
      <w:r>
        <w:t>respectively</w:t>
      </w:r>
      <w:r w:rsidRPr="005C248E">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0402448"/>
      <w:docPartObj>
        <w:docPartGallery w:val="Page Numbers (Bottom of Page)"/>
        <w:docPartUnique/>
      </w:docPartObj>
    </w:sdtPr>
    <w:sdtEndPr>
      <w:rPr>
        <w:noProof/>
      </w:rPr>
    </w:sdtEndPr>
    <w:sdtContent>
      <w:p w:rsidR="00E65523" w:rsidRDefault="00E65523">
        <w:pPr>
          <w:pStyle w:val="Footer"/>
          <w:jc w:val="right"/>
        </w:pPr>
        <w:r>
          <w:fldChar w:fldCharType="begin"/>
        </w:r>
        <w:r>
          <w:instrText xml:space="preserve"> PAGE   \* MERGEFORMAT </w:instrText>
        </w:r>
        <w:r>
          <w:fldChar w:fldCharType="separate"/>
        </w:r>
        <w:r w:rsidR="00F55A2B">
          <w:rPr>
            <w:noProof/>
          </w:rPr>
          <w:t>20</w:t>
        </w:r>
        <w:r>
          <w:rPr>
            <w:noProof/>
          </w:rPr>
          <w:fldChar w:fldCharType="end"/>
        </w:r>
      </w:p>
    </w:sdtContent>
  </w:sdt>
  <w:p w:rsidR="00E65523" w:rsidRDefault="00E65523" w:rsidP="00B0003D">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523" w:rsidRDefault="00E65523">
    <w:pPr>
      <w:pStyle w:val="Footer"/>
      <w:jc w:val="right"/>
    </w:pPr>
  </w:p>
  <w:p w:rsidR="00E65523" w:rsidRDefault="00E6552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3775021"/>
      <w:docPartObj>
        <w:docPartGallery w:val="Page Numbers (Bottom of Page)"/>
        <w:docPartUnique/>
      </w:docPartObj>
    </w:sdtPr>
    <w:sdtEndPr>
      <w:rPr>
        <w:noProof/>
      </w:rPr>
    </w:sdtEndPr>
    <w:sdtContent>
      <w:p w:rsidR="00E65523" w:rsidRDefault="00E65523">
        <w:pPr>
          <w:pStyle w:val="Footer"/>
          <w:jc w:val="right"/>
        </w:pPr>
        <w:r>
          <w:fldChar w:fldCharType="begin"/>
        </w:r>
        <w:r>
          <w:instrText xml:space="preserve"> PAGE   \* MERGEFORMAT </w:instrText>
        </w:r>
        <w:r>
          <w:fldChar w:fldCharType="separate"/>
        </w:r>
        <w:r w:rsidR="00F55A2B">
          <w:rPr>
            <w:noProof/>
          </w:rPr>
          <w:t>1</w:t>
        </w:r>
        <w:r>
          <w:rPr>
            <w:noProof/>
          </w:rPr>
          <w:fldChar w:fldCharType="end"/>
        </w:r>
      </w:p>
    </w:sdtContent>
  </w:sdt>
  <w:p w:rsidR="00E65523" w:rsidRDefault="00E655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12AF" w:rsidRDefault="004712AF" w:rsidP="00B0003D">
      <w:pPr>
        <w:spacing w:after="0" w:line="240" w:lineRule="auto"/>
      </w:pPr>
      <w:r>
        <w:separator/>
      </w:r>
    </w:p>
  </w:footnote>
  <w:footnote w:type="continuationSeparator" w:id="0">
    <w:p w:rsidR="004712AF" w:rsidRDefault="004712AF" w:rsidP="00B0003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2pt;height:12pt" o:bullet="t">
        <v:imagedata r:id="rId1" o:title="msoFEDA"/>
      </v:shape>
    </w:pict>
  </w:numPicBullet>
  <w:abstractNum w:abstractNumId="0" w15:restartNumberingAfterBreak="0">
    <w:nsid w:val="173B69E6"/>
    <w:multiLevelType w:val="hybridMultilevel"/>
    <w:tmpl w:val="B7908178"/>
    <w:lvl w:ilvl="0" w:tplc="49244EC8">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1" w15:restartNumberingAfterBreak="0">
    <w:nsid w:val="1959261A"/>
    <w:multiLevelType w:val="hybridMultilevel"/>
    <w:tmpl w:val="CB2CF5F2"/>
    <w:lvl w:ilvl="0" w:tplc="0408000D">
      <w:start w:val="1"/>
      <w:numFmt w:val="bullet"/>
      <w:lvlText w:val=""/>
      <w:lvlJc w:val="left"/>
      <w:pPr>
        <w:ind w:left="916" w:hanging="360"/>
      </w:pPr>
      <w:rPr>
        <w:rFonts w:ascii="Wingdings" w:hAnsi="Wingdings" w:hint="default"/>
      </w:rPr>
    </w:lvl>
    <w:lvl w:ilvl="1" w:tplc="04080003" w:tentative="1">
      <w:start w:val="1"/>
      <w:numFmt w:val="bullet"/>
      <w:lvlText w:val="o"/>
      <w:lvlJc w:val="left"/>
      <w:pPr>
        <w:ind w:left="1636" w:hanging="360"/>
      </w:pPr>
      <w:rPr>
        <w:rFonts w:ascii="Courier New" w:hAnsi="Courier New" w:cs="Courier New" w:hint="default"/>
      </w:rPr>
    </w:lvl>
    <w:lvl w:ilvl="2" w:tplc="04080005" w:tentative="1">
      <w:start w:val="1"/>
      <w:numFmt w:val="bullet"/>
      <w:lvlText w:val=""/>
      <w:lvlJc w:val="left"/>
      <w:pPr>
        <w:ind w:left="2356" w:hanging="360"/>
      </w:pPr>
      <w:rPr>
        <w:rFonts w:ascii="Wingdings" w:hAnsi="Wingdings" w:hint="default"/>
      </w:rPr>
    </w:lvl>
    <w:lvl w:ilvl="3" w:tplc="04080001" w:tentative="1">
      <w:start w:val="1"/>
      <w:numFmt w:val="bullet"/>
      <w:lvlText w:val=""/>
      <w:lvlJc w:val="left"/>
      <w:pPr>
        <w:ind w:left="3076" w:hanging="360"/>
      </w:pPr>
      <w:rPr>
        <w:rFonts w:ascii="Symbol" w:hAnsi="Symbol" w:hint="default"/>
      </w:rPr>
    </w:lvl>
    <w:lvl w:ilvl="4" w:tplc="04080003" w:tentative="1">
      <w:start w:val="1"/>
      <w:numFmt w:val="bullet"/>
      <w:lvlText w:val="o"/>
      <w:lvlJc w:val="left"/>
      <w:pPr>
        <w:ind w:left="3796" w:hanging="360"/>
      </w:pPr>
      <w:rPr>
        <w:rFonts w:ascii="Courier New" w:hAnsi="Courier New" w:cs="Courier New" w:hint="default"/>
      </w:rPr>
    </w:lvl>
    <w:lvl w:ilvl="5" w:tplc="04080005" w:tentative="1">
      <w:start w:val="1"/>
      <w:numFmt w:val="bullet"/>
      <w:lvlText w:val=""/>
      <w:lvlJc w:val="left"/>
      <w:pPr>
        <w:ind w:left="4516" w:hanging="360"/>
      </w:pPr>
      <w:rPr>
        <w:rFonts w:ascii="Wingdings" w:hAnsi="Wingdings" w:hint="default"/>
      </w:rPr>
    </w:lvl>
    <w:lvl w:ilvl="6" w:tplc="04080001" w:tentative="1">
      <w:start w:val="1"/>
      <w:numFmt w:val="bullet"/>
      <w:lvlText w:val=""/>
      <w:lvlJc w:val="left"/>
      <w:pPr>
        <w:ind w:left="5236" w:hanging="360"/>
      </w:pPr>
      <w:rPr>
        <w:rFonts w:ascii="Symbol" w:hAnsi="Symbol" w:hint="default"/>
      </w:rPr>
    </w:lvl>
    <w:lvl w:ilvl="7" w:tplc="04080003" w:tentative="1">
      <w:start w:val="1"/>
      <w:numFmt w:val="bullet"/>
      <w:lvlText w:val="o"/>
      <w:lvlJc w:val="left"/>
      <w:pPr>
        <w:ind w:left="5956" w:hanging="360"/>
      </w:pPr>
      <w:rPr>
        <w:rFonts w:ascii="Courier New" w:hAnsi="Courier New" w:cs="Courier New" w:hint="default"/>
      </w:rPr>
    </w:lvl>
    <w:lvl w:ilvl="8" w:tplc="04080005" w:tentative="1">
      <w:start w:val="1"/>
      <w:numFmt w:val="bullet"/>
      <w:lvlText w:val=""/>
      <w:lvlJc w:val="left"/>
      <w:pPr>
        <w:ind w:left="6676" w:hanging="360"/>
      </w:pPr>
      <w:rPr>
        <w:rFonts w:ascii="Wingdings" w:hAnsi="Wingdings" w:hint="default"/>
      </w:rPr>
    </w:lvl>
  </w:abstractNum>
  <w:abstractNum w:abstractNumId="2" w15:restartNumberingAfterBreak="0">
    <w:nsid w:val="196C0C5F"/>
    <w:multiLevelType w:val="hybridMultilevel"/>
    <w:tmpl w:val="8CCA9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E80662"/>
    <w:multiLevelType w:val="hybridMultilevel"/>
    <w:tmpl w:val="185CCCCA"/>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F244DCC"/>
    <w:multiLevelType w:val="hybridMultilevel"/>
    <w:tmpl w:val="9FB8E5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2C7E157C"/>
    <w:multiLevelType w:val="hybridMultilevel"/>
    <w:tmpl w:val="F2927F60"/>
    <w:lvl w:ilvl="0" w:tplc="346EAFD4">
      <w:start w:val="1"/>
      <w:numFmt w:val="lowerRoman"/>
      <w:lvlText w:val="(%1)"/>
      <w:lvlJc w:val="left"/>
      <w:pPr>
        <w:ind w:left="780" w:hanging="72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6" w15:restartNumberingAfterBreak="0">
    <w:nsid w:val="2DE0326A"/>
    <w:multiLevelType w:val="hybridMultilevel"/>
    <w:tmpl w:val="94669AB4"/>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C233C0A"/>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F3B7C33"/>
    <w:multiLevelType w:val="hybridMultilevel"/>
    <w:tmpl w:val="2DEC0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9C0D12"/>
    <w:multiLevelType w:val="multilevel"/>
    <w:tmpl w:val="0408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35132D5"/>
    <w:multiLevelType w:val="multilevel"/>
    <w:tmpl w:val="8918CF20"/>
    <w:styleLink w:val="Dissertationnumbering"/>
    <w:lvl w:ilvl="0">
      <w:start w:val="1"/>
      <w:numFmt w:val="decimal"/>
      <w:lvlText w:val="Chapter%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7537C92"/>
    <w:multiLevelType w:val="hybridMultilevel"/>
    <w:tmpl w:val="9E0257C8"/>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4C4253E0"/>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4EA852CB"/>
    <w:multiLevelType w:val="hybridMultilevel"/>
    <w:tmpl w:val="1FAC91BC"/>
    <w:lvl w:ilvl="0" w:tplc="04080005">
      <w:start w:val="1"/>
      <w:numFmt w:val="bullet"/>
      <w:lvlText w:val=""/>
      <w:lvlJc w:val="left"/>
      <w:pPr>
        <w:ind w:left="982" w:hanging="360"/>
      </w:pPr>
      <w:rPr>
        <w:rFonts w:ascii="Wingdings" w:hAnsi="Wingdings" w:hint="default"/>
      </w:rPr>
    </w:lvl>
    <w:lvl w:ilvl="1" w:tplc="04080003" w:tentative="1">
      <w:start w:val="1"/>
      <w:numFmt w:val="bullet"/>
      <w:lvlText w:val="o"/>
      <w:lvlJc w:val="left"/>
      <w:pPr>
        <w:ind w:left="1702" w:hanging="360"/>
      </w:pPr>
      <w:rPr>
        <w:rFonts w:ascii="Courier New" w:hAnsi="Courier New" w:cs="Courier New" w:hint="default"/>
      </w:rPr>
    </w:lvl>
    <w:lvl w:ilvl="2" w:tplc="04080005" w:tentative="1">
      <w:start w:val="1"/>
      <w:numFmt w:val="bullet"/>
      <w:lvlText w:val=""/>
      <w:lvlJc w:val="left"/>
      <w:pPr>
        <w:ind w:left="2422" w:hanging="360"/>
      </w:pPr>
      <w:rPr>
        <w:rFonts w:ascii="Wingdings" w:hAnsi="Wingdings" w:hint="default"/>
      </w:rPr>
    </w:lvl>
    <w:lvl w:ilvl="3" w:tplc="04080001" w:tentative="1">
      <w:start w:val="1"/>
      <w:numFmt w:val="bullet"/>
      <w:lvlText w:val=""/>
      <w:lvlJc w:val="left"/>
      <w:pPr>
        <w:ind w:left="3142" w:hanging="360"/>
      </w:pPr>
      <w:rPr>
        <w:rFonts w:ascii="Symbol" w:hAnsi="Symbol" w:hint="default"/>
      </w:rPr>
    </w:lvl>
    <w:lvl w:ilvl="4" w:tplc="04080003" w:tentative="1">
      <w:start w:val="1"/>
      <w:numFmt w:val="bullet"/>
      <w:lvlText w:val="o"/>
      <w:lvlJc w:val="left"/>
      <w:pPr>
        <w:ind w:left="3862" w:hanging="360"/>
      </w:pPr>
      <w:rPr>
        <w:rFonts w:ascii="Courier New" w:hAnsi="Courier New" w:cs="Courier New" w:hint="default"/>
      </w:rPr>
    </w:lvl>
    <w:lvl w:ilvl="5" w:tplc="04080005" w:tentative="1">
      <w:start w:val="1"/>
      <w:numFmt w:val="bullet"/>
      <w:lvlText w:val=""/>
      <w:lvlJc w:val="left"/>
      <w:pPr>
        <w:ind w:left="4582" w:hanging="360"/>
      </w:pPr>
      <w:rPr>
        <w:rFonts w:ascii="Wingdings" w:hAnsi="Wingdings" w:hint="default"/>
      </w:rPr>
    </w:lvl>
    <w:lvl w:ilvl="6" w:tplc="04080001" w:tentative="1">
      <w:start w:val="1"/>
      <w:numFmt w:val="bullet"/>
      <w:lvlText w:val=""/>
      <w:lvlJc w:val="left"/>
      <w:pPr>
        <w:ind w:left="5302" w:hanging="360"/>
      </w:pPr>
      <w:rPr>
        <w:rFonts w:ascii="Symbol" w:hAnsi="Symbol" w:hint="default"/>
      </w:rPr>
    </w:lvl>
    <w:lvl w:ilvl="7" w:tplc="04080003" w:tentative="1">
      <w:start w:val="1"/>
      <w:numFmt w:val="bullet"/>
      <w:lvlText w:val="o"/>
      <w:lvlJc w:val="left"/>
      <w:pPr>
        <w:ind w:left="6022" w:hanging="360"/>
      </w:pPr>
      <w:rPr>
        <w:rFonts w:ascii="Courier New" w:hAnsi="Courier New" w:cs="Courier New" w:hint="default"/>
      </w:rPr>
    </w:lvl>
    <w:lvl w:ilvl="8" w:tplc="04080005" w:tentative="1">
      <w:start w:val="1"/>
      <w:numFmt w:val="bullet"/>
      <w:lvlText w:val=""/>
      <w:lvlJc w:val="left"/>
      <w:pPr>
        <w:ind w:left="6742" w:hanging="360"/>
      </w:pPr>
      <w:rPr>
        <w:rFonts w:ascii="Wingdings" w:hAnsi="Wingdings" w:hint="default"/>
      </w:rPr>
    </w:lvl>
  </w:abstractNum>
  <w:abstractNum w:abstractNumId="14" w15:restartNumberingAfterBreak="0">
    <w:nsid w:val="532912B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76436CE"/>
    <w:multiLevelType w:val="hybridMultilevel"/>
    <w:tmpl w:val="786678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5DB1B5A"/>
    <w:multiLevelType w:val="hybridMultilevel"/>
    <w:tmpl w:val="1AF47930"/>
    <w:lvl w:ilvl="0" w:tplc="04080007">
      <w:start w:val="1"/>
      <w:numFmt w:val="bullet"/>
      <w:lvlText w:val=""/>
      <w:lvlPicBulletId w:val="0"/>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77FC3DF9"/>
    <w:multiLevelType w:val="hybridMultilevel"/>
    <w:tmpl w:val="70B8B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85079E"/>
    <w:multiLevelType w:val="hybridMultilevel"/>
    <w:tmpl w:val="D86889E2"/>
    <w:lvl w:ilvl="0" w:tplc="E320EF96">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0"/>
  </w:num>
  <w:num w:numId="2">
    <w:abstractNumId w:val="5"/>
  </w:num>
  <w:num w:numId="3">
    <w:abstractNumId w:val="0"/>
  </w:num>
  <w:num w:numId="4">
    <w:abstractNumId w:val="18"/>
  </w:num>
  <w:num w:numId="5">
    <w:abstractNumId w:val="4"/>
  </w:num>
  <w:num w:numId="6">
    <w:abstractNumId w:val="11"/>
  </w:num>
  <w:num w:numId="7">
    <w:abstractNumId w:val="1"/>
  </w:num>
  <w:num w:numId="8">
    <w:abstractNumId w:val="13"/>
  </w:num>
  <w:num w:numId="9">
    <w:abstractNumId w:val="9"/>
  </w:num>
  <w:num w:numId="10">
    <w:abstractNumId w:val="6"/>
  </w:num>
  <w:num w:numId="11">
    <w:abstractNumId w:val="16"/>
  </w:num>
  <w:num w:numId="12">
    <w:abstractNumId w:val="3"/>
  </w:num>
  <w:num w:numId="13">
    <w:abstractNumId w:val="14"/>
  </w:num>
  <w:num w:numId="14">
    <w:abstractNumId w:val="7"/>
  </w:num>
  <w:num w:numId="15">
    <w:abstractNumId w:val="12"/>
  </w:num>
  <w:num w:numId="16">
    <w:abstractNumId w:val="15"/>
  </w:num>
  <w:num w:numId="17">
    <w:abstractNumId w:val="17"/>
  </w:num>
  <w:num w:numId="18">
    <w:abstractNumId w:val="2"/>
  </w:num>
  <w:num w:numId="19">
    <w:abstractNumId w:val="8"/>
  </w:num>
  <w:num w:numId="20">
    <w:abstractNumId w:val="12"/>
  </w:num>
  <w:num w:numId="21">
    <w:abstractNumId w:val="12"/>
  </w:num>
  <w:num w:numId="22">
    <w:abstractNumId w:val="12"/>
  </w:num>
  <w:num w:numId="23">
    <w:abstractNumId w:val="1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nnotated&lt;/Style&gt;&lt;LeftDelim&gt;{&lt;/LeftDelim&gt;&lt;RightDelim&gt;}&lt;/RightDelim&gt;&lt;FontName&gt;Times New Roman&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2ssfxxw940s9stetf02pz0rqwd0www5wsszv&quot;&gt;My EndNote Library&lt;record-ids&gt;&lt;item&gt;36&lt;/item&gt;&lt;item&gt;158&lt;/item&gt;&lt;/record-ids&gt;&lt;/item&gt;&lt;/Libraries&gt;"/>
  </w:docVars>
  <w:rsids>
    <w:rsidRoot w:val="00BE2800"/>
    <w:rsid w:val="0000009C"/>
    <w:rsid w:val="000001D7"/>
    <w:rsid w:val="00000A0E"/>
    <w:rsid w:val="00000E0D"/>
    <w:rsid w:val="00000F3B"/>
    <w:rsid w:val="0000135D"/>
    <w:rsid w:val="000013DE"/>
    <w:rsid w:val="000014BB"/>
    <w:rsid w:val="00001AD7"/>
    <w:rsid w:val="00002319"/>
    <w:rsid w:val="00002AED"/>
    <w:rsid w:val="00002BC4"/>
    <w:rsid w:val="00002D3A"/>
    <w:rsid w:val="000039F5"/>
    <w:rsid w:val="00003C10"/>
    <w:rsid w:val="0000409E"/>
    <w:rsid w:val="000040F2"/>
    <w:rsid w:val="00004272"/>
    <w:rsid w:val="000049BB"/>
    <w:rsid w:val="00004BAC"/>
    <w:rsid w:val="00004FA6"/>
    <w:rsid w:val="0000582F"/>
    <w:rsid w:val="00005850"/>
    <w:rsid w:val="00005E7E"/>
    <w:rsid w:val="000061B5"/>
    <w:rsid w:val="00006296"/>
    <w:rsid w:val="00006540"/>
    <w:rsid w:val="00006551"/>
    <w:rsid w:val="000074CA"/>
    <w:rsid w:val="0000759F"/>
    <w:rsid w:val="0000771C"/>
    <w:rsid w:val="000079E1"/>
    <w:rsid w:val="000101F9"/>
    <w:rsid w:val="000106F3"/>
    <w:rsid w:val="00010A3F"/>
    <w:rsid w:val="00011221"/>
    <w:rsid w:val="0001131B"/>
    <w:rsid w:val="0001191F"/>
    <w:rsid w:val="00012033"/>
    <w:rsid w:val="000120A5"/>
    <w:rsid w:val="000120BD"/>
    <w:rsid w:val="000122F3"/>
    <w:rsid w:val="0001255E"/>
    <w:rsid w:val="000128C8"/>
    <w:rsid w:val="00012BD0"/>
    <w:rsid w:val="00012F79"/>
    <w:rsid w:val="000130BE"/>
    <w:rsid w:val="000132F8"/>
    <w:rsid w:val="00013C51"/>
    <w:rsid w:val="000144CC"/>
    <w:rsid w:val="0001479C"/>
    <w:rsid w:val="000149E2"/>
    <w:rsid w:val="00014A5A"/>
    <w:rsid w:val="00014D4F"/>
    <w:rsid w:val="00014FB3"/>
    <w:rsid w:val="00015265"/>
    <w:rsid w:val="0001544F"/>
    <w:rsid w:val="00016104"/>
    <w:rsid w:val="000166E8"/>
    <w:rsid w:val="00016804"/>
    <w:rsid w:val="00016962"/>
    <w:rsid w:val="00016E81"/>
    <w:rsid w:val="00016F18"/>
    <w:rsid w:val="00016F40"/>
    <w:rsid w:val="00020361"/>
    <w:rsid w:val="0002039A"/>
    <w:rsid w:val="000206C7"/>
    <w:rsid w:val="000208C4"/>
    <w:rsid w:val="00020A88"/>
    <w:rsid w:val="00020B39"/>
    <w:rsid w:val="00020C4F"/>
    <w:rsid w:val="00020EB4"/>
    <w:rsid w:val="00020F46"/>
    <w:rsid w:val="0002120D"/>
    <w:rsid w:val="0002124C"/>
    <w:rsid w:val="00021527"/>
    <w:rsid w:val="00021732"/>
    <w:rsid w:val="00021CE4"/>
    <w:rsid w:val="00021D55"/>
    <w:rsid w:val="00022073"/>
    <w:rsid w:val="00022308"/>
    <w:rsid w:val="00022696"/>
    <w:rsid w:val="00022959"/>
    <w:rsid w:val="00022B22"/>
    <w:rsid w:val="00022D1E"/>
    <w:rsid w:val="00023338"/>
    <w:rsid w:val="00023A88"/>
    <w:rsid w:val="00023BF5"/>
    <w:rsid w:val="00024533"/>
    <w:rsid w:val="0002565A"/>
    <w:rsid w:val="0002599D"/>
    <w:rsid w:val="00025A83"/>
    <w:rsid w:val="000261D9"/>
    <w:rsid w:val="000261DB"/>
    <w:rsid w:val="00026827"/>
    <w:rsid w:val="000269D6"/>
    <w:rsid w:val="000273D9"/>
    <w:rsid w:val="000277FF"/>
    <w:rsid w:val="000279DF"/>
    <w:rsid w:val="000279EA"/>
    <w:rsid w:val="00027A75"/>
    <w:rsid w:val="00027AB3"/>
    <w:rsid w:val="00027BB7"/>
    <w:rsid w:val="00027DC0"/>
    <w:rsid w:val="00027EB1"/>
    <w:rsid w:val="000301EA"/>
    <w:rsid w:val="0003027E"/>
    <w:rsid w:val="0003063C"/>
    <w:rsid w:val="0003089D"/>
    <w:rsid w:val="00031090"/>
    <w:rsid w:val="00031093"/>
    <w:rsid w:val="00031A2A"/>
    <w:rsid w:val="00031B1D"/>
    <w:rsid w:val="000326B2"/>
    <w:rsid w:val="0003286C"/>
    <w:rsid w:val="000330D1"/>
    <w:rsid w:val="00033251"/>
    <w:rsid w:val="00033A8C"/>
    <w:rsid w:val="00033ED0"/>
    <w:rsid w:val="0003474F"/>
    <w:rsid w:val="00034A18"/>
    <w:rsid w:val="00034E12"/>
    <w:rsid w:val="00034ED1"/>
    <w:rsid w:val="00035855"/>
    <w:rsid w:val="00035907"/>
    <w:rsid w:val="00035D37"/>
    <w:rsid w:val="00036010"/>
    <w:rsid w:val="00036404"/>
    <w:rsid w:val="00036493"/>
    <w:rsid w:val="0003672C"/>
    <w:rsid w:val="00036747"/>
    <w:rsid w:val="00036E97"/>
    <w:rsid w:val="00036EF0"/>
    <w:rsid w:val="00036F78"/>
    <w:rsid w:val="00037585"/>
    <w:rsid w:val="00037619"/>
    <w:rsid w:val="00037739"/>
    <w:rsid w:val="000378E0"/>
    <w:rsid w:val="00037E19"/>
    <w:rsid w:val="00037EC3"/>
    <w:rsid w:val="00040802"/>
    <w:rsid w:val="00040895"/>
    <w:rsid w:val="00040FBF"/>
    <w:rsid w:val="00041163"/>
    <w:rsid w:val="00041CAC"/>
    <w:rsid w:val="00041F88"/>
    <w:rsid w:val="0004213B"/>
    <w:rsid w:val="0004215B"/>
    <w:rsid w:val="00042A00"/>
    <w:rsid w:val="00042B8A"/>
    <w:rsid w:val="00042EEB"/>
    <w:rsid w:val="00043829"/>
    <w:rsid w:val="00043E86"/>
    <w:rsid w:val="00043EAF"/>
    <w:rsid w:val="00043EEF"/>
    <w:rsid w:val="00043F95"/>
    <w:rsid w:val="0004475C"/>
    <w:rsid w:val="00044B2A"/>
    <w:rsid w:val="00044C14"/>
    <w:rsid w:val="0004512F"/>
    <w:rsid w:val="00045BEB"/>
    <w:rsid w:val="00045CA7"/>
    <w:rsid w:val="00045F56"/>
    <w:rsid w:val="00046113"/>
    <w:rsid w:val="00046345"/>
    <w:rsid w:val="00046C27"/>
    <w:rsid w:val="00046E2A"/>
    <w:rsid w:val="00047197"/>
    <w:rsid w:val="000472A5"/>
    <w:rsid w:val="000476C1"/>
    <w:rsid w:val="00047AF3"/>
    <w:rsid w:val="00047EB6"/>
    <w:rsid w:val="0005049F"/>
    <w:rsid w:val="00050614"/>
    <w:rsid w:val="00051370"/>
    <w:rsid w:val="00051498"/>
    <w:rsid w:val="00051A7D"/>
    <w:rsid w:val="00051F30"/>
    <w:rsid w:val="000523F9"/>
    <w:rsid w:val="0005249F"/>
    <w:rsid w:val="00052614"/>
    <w:rsid w:val="000528BD"/>
    <w:rsid w:val="000528F0"/>
    <w:rsid w:val="0005351D"/>
    <w:rsid w:val="000535AA"/>
    <w:rsid w:val="00053832"/>
    <w:rsid w:val="00053863"/>
    <w:rsid w:val="000538A9"/>
    <w:rsid w:val="00053EB6"/>
    <w:rsid w:val="00054302"/>
    <w:rsid w:val="00054921"/>
    <w:rsid w:val="00054A25"/>
    <w:rsid w:val="00054A2B"/>
    <w:rsid w:val="00054AA7"/>
    <w:rsid w:val="00055167"/>
    <w:rsid w:val="0005563A"/>
    <w:rsid w:val="00055CA2"/>
    <w:rsid w:val="00056525"/>
    <w:rsid w:val="00056760"/>
    <w:rsid w:val="00056CBD"/>
    <w:rsid w:val="00056D5A"/>
    <w:rsid w:val="00056E41"/>
    <w:rsid w:val="000572C0"/>
    <w:rsid w:val="00057834"/>
    <w:rsid w:val="0005789F"/>
    <w:rsid w:val="0005797C"/>
    <w:rsid w:val="00057BE4"/>
    <w:rsid w:val="00057C42"/>
    <w:rsid w:val="00060338"/>
    <w:rsid w:val="000603DC"/>
    <w:rsid w:val="0006044E"/>
    <w:rsid w:val="0006049F"/>
    <w:rsid w:val="00060BE5"/>
    <w:rsid w:val="000612D5"/>
    <w:rsid w:val="00061653"/>
    <w:rsid w:val="00061AAA"/>
    <w:rsid w:val="00061D1D"/>
    <w:rsid w:val="00061E2E"/>
    <w:rsid w:val="0006296E"/>
    <w:rsid w:val="00063323"/>
    <w:rsid w:val="000633FB"/>
    <w:rsid w:val="0006345B"/>
    <w:rsid w:val="0006359E"/>
    <w:rsid w:val="00063731"/>
    <w:rsid w:val="00063AB0"/>
    <w:rsid w:val="00065244"/>
    <w:rsid w:val="0006532E"/>
    <w:rsid w:val="00065537"/>
    <w:rsid w:val="000658B0"/>
    <w:rsid w:val="00065D5E"/>
    <w:rsid w:val="00065EF4"/>
    <w:rsid w:val="00065FBD"/>
    <w:rsid w:val="000665DB"/>
    <w:rsid w:val="0006663C"/>
    <w:rsid w:val="00066790"/>
    <w:rsid w:val="00066B97"/>
    <w:rsid w:val="00066DA2"/>
    <w:rsid w:val="00067205"/>
    <w:rsid w:val="00067470"/>
    <w:rsid w:val="00067605"/>
    <w:rsid w:val="00067798"/>
    <w:rsid w:val="000679CA"/>
    <w:rsid w:val="00067ADF"/>
    <w:rsid w:val="00067F41"/>
    <w:rsid w:val="000705D1"/>
    <w:rsid w:val="000707AA"/>
    <w:rsid w:val="00070917"/>
    <w:rsid w:val="000709A1"/>
    <w:rsid w:val="000716C3"/>
    <w:rsid w:val="000717EF"/>
    <w:rsid w:val="0007185E"/>
    <w:rsid w:val="000719E0"/>
    <w:rsid w:val="00071E20"/>
    <w:rsid w:val="00071FD0"/>
    <w:rsid w:val="00072130"/>
    <w:rsid w:val="000721C3"/>
    <w:rsid w:val="000721F4"/>
    <w:rsid w:val="0007230B"/>
    <w:rsid w:val="000723BD"/>
    <w:rsid w:val="00072733"/>
    <w:rsid w:val="00072E2A"/>
    <w:rsid w:val="000736F6"/>
    <w:rsid w:val="00073B3A"/>
    <w:rsid w:val="00073E5D"/>
    <w:rsid w:val="00073F9C"/>
    <w:rsid w:val="0007409B"/>
    <w:rsid w:val="0007424B"/>
    <w:rsid w:val="000742F8"/>
    <w:rsid w:val="000746CF"/>
    <w:rsid w:val="00074BEA"/>
    <w:rsid w:val="0007566C"/>
    <w:rsid w:val="00075999"/>
    <w:rsid w:val="00075AC3"/>
    <w:rsid w:val="00075D3B"/>
    <w:rsid w:val="00075F3C"/>
    <w:rsid w:val="0007626F"/>
    <w:rsid w:val="000767E7"/>
    <w:rsid w:val="00076CDD"/>
    <w:rsid w:val="00077317"/>
    <w:rsid w:val="000776FF"/>
    <w:rsid w:val="00077A4A"/>
    <w:rsid w:val="00077B38"/>
    <w:rsid w:val="00077C7C"/>
    <w:rsid w:val="00077D46"/>
    <w:rsid w:val="00077EB6"/>
    <w:rsid w:val="0008000B"/>
    <w:rsid w:val="00080B69"/>
    <w:rsid w:val="0008113A"/>
    <w:rsid w:val="0008180B"/>
    <w:rsid w:val="00081C21"/>
    <w:rsid w:val="00081F68"/>
    <w:rsid w:val="00082D21"/>
    <w:rsid w:val="00082E2A"/>
    <w:rsid w:val="0008343B"/>
    <w:rsid w:val="00083805"/>
    <w:rsid w:val="000839E2"/>
    <w:rsid w:val="00083E90"/>
    <w:rsid w:val="00084385"/>
    <w:rsid w:val="000854CF"/>
    <w:rsid w:val="00085785"/>
    <w:rsid w:val="00085830"/>
    <w:rsid w:val="00085888"/>
    <w:rsid w:val="000858FA"/>
    <w:rsid w:val="00085B46"/>
    <w:rsid w:val="000866C0"/>
    <w:rsid w:val="00086A98"/>
    <w:rsid w:val="00086FC2"/>
    <w:rsid w:val="00087704"/>
    <w:rsid w:val="000900B8"/>
    <w:rsid w:val="000900C9"/>
    <w:rsid w:val="0009017D"/>
    <w:rsid w:val="000904BC"/>
    <w:rsid w:val="000906D2"/>
    <w:rsid w:val="0009089F"/>
    <w:rsid w:val="00090B5C"/>
    <w:rsid w:val="00091462"/>
    <w:rsid w:val="0009156A"/>
    <w:rsid w:val="000918F7"/>
    <w:rsid w:val="00091EED"/>
    <w:rsid w:val="0009252F"/>
    <w:rsid w:val="0009261B"/>
    <w:rsid w:val="000927B2"/>
    <w:rsid w:val="00093A27"/>
    <w:rsid w:val="00093A9D"/>
    <w:rsid w:val="00093EE0"/>
    <w:rsid w:val="00094462"/>
    <w:rsid w:val="000946A8"/>
    <w:rsid w:val="00094C88"/>
    <w:rsid w:val="00094CEB"/>
    <w:rsid w:val="00095081"/>
    <w:rsid w:val="0009557A"/>
    <w:rsid w:val="000958A8"/>
    <w:rsid w:val="00095B59"/>
    <w:rsid w:val="000962BF"/>
    <w:rsid w:val="0009631A"/>
    <w:rsid w:val="00096704"/>
    <w:rsid w:val="00096832"/>
    <w:rsid w:val="00096A4A"/>
    <w:rsid w:val="00096E51"/>
    <w:rsid w:val="000971EE"/>
    <w:rsid w:val="000972A7"/>
    <w:rsid w:val="000972F1"/>
    <w:rsid w:val="000A0148"/>
    <w:rsid w:val="000A016C"/>
    <w:rsid w:val="000A01E4"/>
    <w:rsid w:val="000A051A"/>
    <w:rsid w:val="000A0600"/>
    <w:rsid w:val="000A0FB9"/>
    <w:rsid w:val="000A173F"/>
    <w:rsid w:val="000A1A58"/>
    <w:rsid w:val="000A20E4"/>
    <w:rsid w:val="000A2488"/>
    <w:rsid w:val="000A2541"/>
    <w:rsid w:val="000A29B2"/>
    <w:rsid w:val="000A2B99"/>
    <w:rsid w:val="000A2BE6"/>
    <w:rsid w:val="000A2D2E"/>
    <w:rsid w:val="000A2FBC"/>
    <w:rsid w:val="000A30AC"/>
    <w:rsid w:val="000A33EB"/>
    <w:rsid w:val="000A3639"/>
    <w:rsid w:val="000A3772"/>
    <w:rsid w:val="000A37F5"/>
    <w:rsid w:val="000A3F7C"/>
    <w:rsid w:val="000A4A42"/>
    <w:rsid w:val="000A5092"/>
    <w:rsid w:val="000A571C"/>
    <w:rsid w:val="000A69E7"/>
    <w:rsid w:val="000A69FD"/>
    <w:rsid w:val="000A6C26"/>
    <w:rsid w:val="000A7103"/>
    <w:rsid w:val="000A7215"/>
    <w:rsid w:val="000A74F5"/>
    <w:rsid w:val="000A7518"/>
    <w:rsid w:val="000A772F"/>
    <w:rsid w:val="000A791A"/>
    <w:rsid w:val="000A7BAF"/>
    <w:rsid w:val="000A7C7E"/>
    <w:rsid w:val="000A7DC4"/>
    <w:rsid w:val="000B08D4"/>
    <w:rsid w:val="000B12D8"/>
    <w:rsid w:val="000B1651"/>
    <w:rsid w:val="000B172B"/>
    <w:rsid w:val="000B1836"/>
    <w:rsid w:val="000B18F4"/>
    <w:rsid w:val="000B18F7"/>
    <w:rsid w:val="000B1AB9"/>
    <w:rsid w:val="000B1B0A"/>
    <w:rsid w:val="000B1CDE"/>
    <w:rsid w:val="000B2471"/>
    <w:rsid w:val="000B253D"/>
    <w:rsid w:val="000B2A03"/>
    <w:rsid w:val="000B2AB7"/>
    <w:rsid w:val="000B2CBF"/>
    <w:rsid w:val="000B3024"/>
    <w:rsid w:val="000B336F"/>
    <w:rsid w:val="000B3373"/>
    <w:rsid w:val="000B36B6"/>
    <w:rsid w:val="000B3B7E"/>
    <w:rsid w:val="000B3E6D"/>
    <w:rsid w:val="000B4310"/>
    <w:rsid w:val="000B43C0"/>
    <w:rsid w:val="000B4809"/>
    <w:rsid w:val="000B4AA7"/>
    <w:rsid w:val="000B4B84"/>
    <w:rsid w:val="000B4D89"/>
    <w:rsid w:val="000B4F5C"/>
    <w:rsid w:val="000B5359"/>
    <w:rsid w:val="000B5D4F"/>
    <w:rsid w:val="000B5F24"/>
    <w:rsid w:val="000B65D2"/>
    <w:rsid w:val="000B6695"/>
    <w:rsid w:val="000B6B2D"/>
    <w:rsid w:val="000B7249"/>
    <w:rsid w:val="000B7827"/>
    <w:rsid w:val="000B7F29"/>
    <w:rsid w:val="000C00CF"/>
    <w:rsid w:val="000C0C93"/>
    <w:rsid w:val="000C0D4D"/>
    <w:rsid w:val="000C0EAB"/>
    <w:rsid w:val="000C14D6"/>
    <w:rsid w:val="000C14DE"/>
    <w:rsid w:val="000C21F8"/>
    <w:rsid w:val="000C34D0"/>
    <w:rsid w:val="000C360F"/>
    <w:rsid w:val="000C3B2E"/>
    <w:rsid w:val="000C3C7A"/>
    <w:rsid w:val="000C4030"/>
    <w:rsid w:val="000C41F3"/>
    <w:rsid w:val="000C46B0"/>
    <w:rsid w:val="000C47BE"/>
    <w:rsid w:val="000C4A55"/>
    <w:rsid w:val="000C4BB1"/>
    <w:rsid w:val="000C4F4A"/>
    <w:rsid w:val="000C5A27"/>
    <w:rsid w:val="000C5A89"/>
    <w:rsid w:val="000C5FA6"/>
    <w:rsid w:val="000C6B5D"/>
    <w:rsid w:val="000C73EC"/>
    <w:rsid w:val="000D0163"/>
    <w:rsid w:val="000D01E5"/>
    <w:rsid w:val="000D0228"/>
    <w:rsid w:val="000D053D"/>
    <w:rsid w:val="000D0C21"/>
    <w:rsid w:val="000D0D8E"/>
    <w:rsid w:val="000D0EE3"/>
    <w:rsid w:val="000D0F19"/>
    <w:rsid w:val="000D14C8"/>
    <w:rsid w:val="000D16F7"/>
    <w:rsid w:val="000D1868"/>
    <w:rsid w:val="000D1A69"/>
    <w:rsid w:val="000D1DA9"/>
    <w:rsid w:val="000D1FF2"/>
    <w:rsid w:val="000D278B"/>
    <w:rsid w:val="000D2E26"/>
    <w:rsid w:val="000D2E8D"/>
    <w:rsid w:val="000D33B0"/>
    <w:rsid w:val="000D40F3"/>
    <w:rsid w:val="000D4261"/>
    <w:rsid w:val="000D4BCD"/>
    <w:rsid w:val="000D4BCF"/>
    <w:rsid w:val="000D5122"/>
    <w:rsid w:val="000D53F6"/>
    <w:rsid w:val="000D5496"/>
    <w:rsid w:val="000D55CD"/>
    <w:rsid w:val="000D5919"/>
    <w:rsid w:val="000D61C6"/>
    <w:rsid w:val="000D6615"/>
    <w:rsid w:val="000D69B5"/>
    <w:rsid w:val="000D69DD"/>
    <w:rsid w:val="000D6B51"/>
    <w:rsid w:val="000D6F0D"/>
    <w:rsid w:val="000D6FB6"/>
    <w:rsid w:val="000D7036"/>
    <w:rsid w:val="000D757B"/>
    <w:rsid w:val="000D7660"/>
    <w:rsid w:val="000D76EC"/>
    <w:rsid w:val="000D78F3"/>
    <w:rsid w:val="000D7EEC"/>
    <w:rsid w:val="000E01BC"/>
    <w:rsid w:val="000E0262"/>
    <w:rsid w:val="000E034F"/>
    <w:rsid w:val="000E041C"/>
    <w:rsid w:val="000E07E3"/>
    <w:rsid w:val="000E08BB"/>
    <w:rsid w:val="000E08CC"/>
    <w:rsid w:val="000E0991"/>
    <w:rsid w:val="000E0A15"/>
    <w:rsid w:val="000E0AA6"/>
    <w:rsid w:val="000E0B0B"/>
    <w:rsid w:val="000E0BF3"/>
    <w:rsid w:val="000E0EA2"/>
    <w:rsid w:val="000E0FD0"/>
    <w:rsid w:val="000E13CD"/>
    <w:rsid w:val="000E15EF"/>
    <w:rsid w:val="000E1958"/>
    <w:rsid w:val="000E1A4B"/>
    <w:rsid w:val="000E1E5E"/>
    <w:rsid w:val="000E2662"/>
    <w:rsid w:val="000E2670"/>
    <w:rsid w:val="000E2D9B"/>
    <w:rsid w:val="000E3590"/>
    <w:rsid w:val="000E36B8"/>
    <w:rsid w:val="000E370D"/>
    <w:rsid w:val="000E3A41"/>
    <w:rsid w:val="000E3E31"/>
    <w:rsid w:val="000E40B2"/>
    <w:rsid w:val="000E4787"/>
    <w:rsid w:val="000E4CA3"/>
    <w:rsid w:val="000E55AF"/>
    <w:rsid w:val="000E5818"/>
    <w:rsid w:val="000E5EBB"/>
    <w:rsid w:val="000E6246"/>
    <w:rsid w:val="000E64A2"/>
    <w:rsid w:val="000E67C6"/>
    <w:rsid w:val="000E7068"/>
    <w:rsid w:val="000E71A5"/>
    <w:rsid w:val="000E73FC"/>
    <w:rsid w:val="000E75BE"/>
    <w:rsid w:val="000E7C91"/>
    <w:rsid w:val="000F03BE"/>
    <w:rsid w:val="000F041F"/>
    <w:rsid w:val="000F0A27"/>
    <w:rsid w:val="000F0C95"/>
    <w:rsid w:val="000F1278"/>
    <w:rsid w:val="000F15A6"/>
    <w:rsid w:val="000F19CF"/>
    <w:rsid w:val="000F27D7"/>
    <w:rsid w:val="000F2DEF"/>
    <w:rsid w:val="000F2F4D"/>
    <w:rsid w:val="000F307E"/>
    <w:rsid w:val="000F3338"/>
    <w:rsid w:val="000F35CF"/>
    <w:rsid w:val="000F3B65"/>
    <w:rsid w:val="000F3F66"/>
    <w:rsid w:val="000F4190"/>
    <w:rsid w:val="000F465C"/>
    <w:rsid w:val="000F4801"/>
    <w:rsid w:val="000F4F71"/>
    <w:rsid w:val="000F4FAD"/>
    <w:rsid w:val="000F521B"/>
    <w:rsid w:val="000F5286"/>
    <w:rsid w:val="000F52DF"/>
    <w:rsid w:val="000F53FA"/>
    <w:rsid w:val="000F5782"/>
    <w:rsid w:val="000F5DC1"/>
    <w:rsid w:val="000F6212"/>
    <w:rsid w:val="000F6379"/>
    <w:rsid w:val="000F67C5"/>
    <w:rsid w:val="000F6B32"/>
    <w:rsid w:val="000F6B5E"/>
    <w:rsid w:val="000F6B77"/>
    <w:rsid w:val="000F6E44"/>
    <w:rsid w:val="000F7417"/>
    <w:rsid w:val="000F7527"/>
    <w:rsid w:val="000F765F"/>
    <w:rsid w:val="000F7BFC"/>
    <w:rsid w:val="001005C0"/>
    <w:rsid w:val="0010077C"/>
    <w:rsid w:val="00100852"/>
    <w:rsid w:val="00100930"/>
    <w:rsid w:val="0010168C"/>
    <w:rsid w:val="00101C00"/>
    <w:rsid w:val="00102BDD"/>
    <w:rsid w:val="00102DB5"/>
    <w:rsid w:val="00103098"/>
    <w:rsid w:val="001031DE"/>
    <w:rsid w:val="001032FE"/>
    <w:rsid w:val="00103544"/>
    <w:rsid w:val="00103981"/>
    <w:rsid w:val="00103A60"/>
    <w:rsid w:val="00103CBE"/>
    <w:rsid w:val="001042E8"/>
    <w:rsid w:val="001043CC"/>
    <w:rsid w:val="0010507F"/>
    <w:rsid w:val="0010515C"/>
    <w:rsid w:val="00105167"/>
    <w:rsid w:val="0010527B"/>
    <w:rsid w:val="00105653"/>
    <w:rsid w:val="00105C0E"/>
    <w:rsid w:val="00105D18"/>
    <w:rsid w:val="00105D99"/>
    <w:rsid w:val="0010658B"/>
    <w:rsid w:val="00106774"/>
    <w:rsid w:val="001069F2"/>
    <w:rsid w:val="00106B3C"/>
    <w:rsid w:val="00106DBF"/>
    <w:rsid w:val="001100EE"/>
    <w:rsid w:val="001101F8"/>
    <w:rsid w:val="00110AA7"/>
    <w:rsid w:val="00110C67"/>
    <w:rsid w:val="001112F2"/>
    <w:rsid w:val="0011195B"/>
    <w:rsid w:val="00111EB4"/>
    <w:rsid w:val="00111F1D"/>
    <w:rsid w:val="001120C7"/>
    <w:rsid w:val="001123E5"/>
    <w:rsid w:val="0011276D"/>
    <w:rsid w:val="0011280A"/>
    <w:rsid w:val="00112F58"/>
    <w:rsid w:val="00113422"/>
    <w:rsid w:val="0011356F"/>
    <w:rsid w:val="00113587"/>
    <w:rsid w:val="00114029"/>
    <w:rsid w:val="00114056"/>
    <w:rsid w:val="001141D4"/>
    <w:rsid w:val="001152B9"/>
    <w:rsid w:val="0011553C"/>
    <w:rsid w:val="00115583"/>
    <w:rsid w:val="001164D9"/>
    <w:rsid w:val="001165F3"/>
    <w:rsid w:val="00116999"/>
    <w:rsid w:val="00116B52"/>
    <w:rsid w:val="00116B9B"/>
    <w:rsid w:val="00116D5B"/>
    <w:rsid w:val="00117271"/>
    <w:rsid w:val="00117338"/>
    <w:rsid w:val="001173D9"/>
    <w:rsid w:val="00117511"/>
    <w:rsid w:val="0011778F"/>
    <w:rsid w:val="00117AE7"/>
    <w:rsid w:val="00117BE7"/>
    <w:rsid w:val="00117E86"/>
    <w:rsid w:val="00120326"/>
    <w:rsid w:val="00120911"/>
    <w:rsid w:val="001216BC"/>
    <w:rsid w:val="0012193B"/>
    <w:rsid w:val="00121BB4"/>
    <w:rsid w:val="00122145"/>
    <w:rsid w:val="00122B8E"/>
    <w:rsid w:val="00122C92"/>
    <w:rsid w:val="00122C9E"/>
    <w:rsid w:val="00122F9D"/>
    <w:rsid w:val="00123A76"/>
    <w:rsid w:val="001241FB"/>
    <w:rsid w:val="00124237"/>
    <w:rsid w:val="001246DE"/>
    <w:rsid w:val="00124A87"/>
    <w:rsid w:val="001250C3"/>
    <w:rsid w:val="00125197"/>
    <w:rsid w:val="001259EF"/>
    <w:rsid w:val="00125CEA"/>
    <w:rsid w:val="00125F25"/>
    <w:rsid w:val="00125F34"/>
    <w:rsid w:val="00125F43"/>
    <w:rsid w:val="0012632E"/>
    <w:rsid w:val="00126786"/>
    <w:rsid w:val="00126CC0"/>
    <w:rsid w:val="00126DFD"/>
    <w:rsid w:val="00126F1D"/>
    <w:rsid w:val="00130679"/>
    <w:rsid w:val="00130AAD"/>
    <w:rsid w:val="00130ABA"/>
    <w:rsid w:val="00130B1A"/>
    <w:rsid w:val="00130E4A"/>
    <w:rsid w:val="00131013"/>
    <w:rsid w:val="00131269"/>
    <w:rsid w:val="0013134F"/>
    <w:rsid w:val="001319FE"/>
    <w:rsid w:val="00131A2B"/>
    <w:rsid w:val="00131C31"/>
    <w:rsid w:val="001324C7"/>
    <w:rsid w:val="00132566"/>
    <w:rsid w:val="00132855"/>
    <w:rsid w:val="001328B9"/>
    <w:rsid w:val="00133244"/>
    <w:rsid w:val="00133304"/>
    <w:rsid w:val="001338EC"/>
    <w:rsid w:val="001339FF"/>
    <w:rsid w:val="00133A5B"/>
    <w:rsid w:val="00133C8B"/>
    <w:rsid w:val="00133F66"/>
    <w:rsid w:val="00134B24"/>
    <w:rsid w:val="00134B95"/>
    <w:rsid w:val="00134E0D"/>
    <w:rsid w:val="00135323"/>
    <w:rsid w:val="00135770"/>
    <w:rsid w:val="0013595B"/>
    <w:rsid w:val="00135A60"/>
    <w:rsid w:val="00135DEF"/>
    <w:rsid w:val="00135EE0"/>
    <w:rsid w:val="0013616E"/>
    <w:rsid w:val="001365EA"/>
    <w:rsid w:val="001366F0"/>
    <w:rsid w:val="001367D9"/>
    <w:rsid w:val="00136933"/>
    <w:rsid w:val="00136992"/>
    <w:rsid w:val="00137884"/>
    <w:rsid w:val="00137DA4"/>
    <w:rsid w:val="00137FD4"/>
    <w:rsid w:val="001401BB"/>
    <w:rsid w:val="00141120"/>
    <w:rsid w:val="001413C1"/>
    <w:rsid w:val="00141D3C"/>
    <w:rsid w:val="00141D46"/>
    <w:rsid w:val="00141D6B"/>
    <w:rsid w:val="001424BC"/>
    <w:rsid w:val="0014284D"/>
    <w:rsid w:val="0014284E"/>
    <w:rsid w:val="00142E53"/>
    <w:rsid w:val="0014308E"/>
    <w:rsid w:val="001430DF"/>
    <w:rsid w:val="0014318B"/>
    <w:rsid w:val="001433DA"/>
    <w:rsid w:val="00143783"/>
    <w:rsid w:val="00143AFC"/>
    <w:rsid w:val="001440C4"/>
    <w:rsid w:val="0014410A"/>
    <w:rsid w:val="00144685"/>
    <w:rsid w:val="0014482E"/>
    <w:rsid w:val="00144C27"/>
    <w:rsid w:val="00145037"/>
    <w:rsid w:val="00145705"/>
    <w:rsid w:val="00145AFE"/>
    <w:rsid w:val="00145E75"/>
    <w:rsid w:val="00145EC8"/>
    <w:rsid w:val="00145F1C"/>
    <w:rsid w:val="001461A1"/>
    <w:rsid w:val="00146250"/>
    <w:rsid w:val="00146455"/>
    <w:rsid w:val="00146BC2"/>
    <w:rsid w:val="00147355"/>
    <w:rsid w:val="00147784"/>
    <w:rsid w:val="00150274"/>
    <w:rsid w:val="00150576"/>
    <w:rsid w:val="0015064E"/>
    <w:rsid w:val="00150B10"/>
    <w:rsid w:val="00150C50"/>
    <w:rsid w:val="00150C5C"/>
    <w:rsid w:val="00150C8B"/>
    <w:rsid w:val="00151120"/>
    <w:rsid w:val="00151849"/>
    <w:rsid w:val="00151B25"/>
    <w:rsid w:val="00151B44"/>
    <w:rsid w:val="00151C9E"/>
    <w:rsid w:val="00151EE2"/>
    <w:rsid w:val="0015209A"/>
    <w:rsid w:val="001523D2"/>
    <w:rsid w:val="00152845"/>
    <w:rsid w:val="00152B84"/>
    <w:rsid w:val="00152DE1"/>
    <w:rsid w:val="0015360D"/>
    <w:rsid w:val="00153613"/>
    <w:rsid w:val="001538D0"/>
    <w:rsid w:val="00153A4A"/>
    <w:rsid w:val="00153CA0"/>
    <w:rsid w:val="00153FFA"/>
    <w:rsid w:val="0015585A"/>
    <w:rsid w:val="00155875"/>
    <w:rsid w:val="0015598A"/>
    <w:rsid w:val="00155A8A"/>
    <w:rsid w:val="00156097"/>
    <w:rsid w:val="001562CC"/>
    <w:rsid w:val="00156483"/>
    <w:rsid w:val="001564E8"/>
    <w:rsid w:val="0015650C"/>
    <w:rsid w:val="001565C6"/>
    <w:rsid w:val="00156C9C"/>
    <w:rsid w:val="00156D68"/>
    <w:rsid w:val="00156E48"/>
    <w:rsid w:val="00156FB4"/>
    <w:rsid w:val="00157169"/>
    <w:rsid w:val="00157D72"/>
    <w:rsid w:val="00157D9D"/>
    <w:rsid w:val="00160185"/>
    <w:rsid w:val="00160199"/>
    <w:rsid w:val="0016025F"/>
    <w:rsid w:val="001602C1"/>
    <w:rsid w:val="00160E13"/>
    <w:rsid w:val="0016136C"/>
    <w:rsid w:val="00161684"/>
    <w:rsid w:val="00161968"/>
    <w:rsid w:val="0016197A"/>
    <w:rsid w:val="00161CD9"/>
    <w:rsid w:val="00161EAC"/>
    <w:rsid w:val="00161EB3"/>
    <w:rsid w:val="001624B3"/>
    <w:rsid w:val="0016262A"/>
    <w:rsid w:val="001629AC"/>
    <w:rsid w:val="00162BBE"/>
    <w:rsid w:val="00162D03"/>
    <w:rsid w:val="00162F07"/>
    <w:rsid w:val="001639BC"/>
    <w:rsid w:val="00163B17"/>
    <w:rsid w:val="00163F34"/>
    <w:rsid w:val="001641F9"/>
    <w:rsid w:val="00164422"/>
    <w:rsid w:val="00164628"/>
    <w:rsid w:val="00164C81"/>
    <w:rsid w:val="00164C88"/>
    <w:rsid w:val="001653C4"/>
    <w:rsid w:val="0016548D"/>
    <w:rsid w:val="001655C7"/>
    <w:rsid w:val="00165E01"/>
    <w:rsid w:val="001662A5"/>
    <w:rsid w:val="001662D4"/>
    <w:rsid w:val="00166AB9"/>
    <w:rsid w:val="00166ACA"/>
    <w:rsid w:val="00166E5D"/>
    <w:rsid w:val="0016742E"/>
    <w:rsid w:val="00167617"/>
    <w:rsid w:val="001679F9"/>
    <w:rsid w:val="00167A7D"/>
    <w:rsid w:val="00167AA3"/>
    <w:rsid w:val="00167AEB"/>
    <w:rsid w:val="001705BB"/>
    <w:rsid w:val="00170CDB"/>
    <w:rsid w:val="00171113"/>
    <w:rsid w:val="0017125E"/>
    <w:rsid w:val="00171478"/>
    <w:rsid w:val="001718E6"/>
    <w:rsid w:val="00171FAE"/>
    <w:rsid w:val="00172EBE"/>
    <w:rsid w:val="00173082"/>
    <w:rsid w:val="00173182"/>
    <w:rsid w:val="0017415C"/>
    <w:rsid w:val="0017429F"/>
    <w:rsid w:val="001743AD"/>
    <w:rsid w:val="001749FF"/>
    <w:rsid w:val="00174EB4"/>
    <w:rsid w:val="001751CF"/>
    <w:rsid w:val="001752B8"/>
    <w:rsid w:val="00175963"/>
    <w:rsid w:val="001759CC"/>
    <w:rsid w:val="001765B3"/>
    <w:rsid w:val="00176BF2"/>
    <w:rsid w:val="00176E89"/>
    <w:rsid w:val="00177486"/>
    <w:rsid w:val="0017782A"/>
    <w:rsid w:val="0017782E"/>
    <w:rsid w:val="00177ADC"/>
    <w:rsid w:val="00177BBF"/>
    <w:rsid w:val="00177C17"/>
    <w:rsid w:val="00177F63"/>
    <w:rsid w:val="00177F6D"/>
    <w:rsid w:val="00180AB2"/>
    <w:rsid w:val="00180B9D"/>
    <w:rsid w:val="00181222"/>
    <w:rsid w:val="00181274"/>
    <w:rsid w:val="00181303"/>
    <w:rsid w:val="001814C9"/>
    <w:rsid w:val="001814DB"/>
    <w:rsid w:val="001815EC"/>
    <w:rsid w:val="001818DC"/>
    <w:rsid w:val="00181F11"/>
    <w:rsid w:val="00182725"/>
    <w:rsid w:val="0018316F"/>
    <w:rsid w:val="001831F0"/>
    <w:rsid w:val="0018375E"/>
    <w:rsid w:val="00184643"/>
    <w:rsid w:val="00184975"/>
    <w:rsid w:val="00185092"/>
    <w:rsid w:val="0018536D"/>
    <w:rsid w:val="001853D7"/>
    <w:rsid w:val="001855F0"/>
    <w:rsid w:val="00185A35"/>
    <w:rsid w:val="00185EC9"/>
    <w:rsid w:val="001861A9"/>
    <w:rsid w:val="00186470"/>
    <w:rsid w:val="001865EC"/>
    <w:rsid w:val="0018692A"/>
    <w:rsid w:val="00186DA4"/>
    <w:rsid w:val="00186FD4"/>
    <w:rsid w:val="00187C6B"/>
    <w:rsid w:val="00190259"/>
    <w:rsid w:val="001903E2"/>
    <w:rsid w:val="0019083D"/>
    <w:rsid w:val="00190F52"/>
    <w:rsid w:val="001910CB"/>
    <w:rsid w:val="00191184"/>
    <w:rsid w:val="00191257"/>
    <w:rsid w:val="00191A77"/>
    <w:rsid w:val="00192278"/>
    <w:rsid w:val="0019235A"/>
    <w:rsid w:val="001929FF"/>
    <w:rsid w:val="00192F3F"/>
    <w:rsid w:val="001933CF"/>
    <w:rsid w:val="0019344E"/>
    <w:rsid w:val="00193838"/>
    <w:rsid w:val="00193982"/>
    <w:rsid w:val="00193A4F"/>
    <w:rsid w:val="00194191"/>
    <w:rsid w:val="001947BA"/>
    <w:rsid w:val="001947E8"/>
    <w:rsid w:val="00194C60"/>
    <w:rsid w:val="00194CC9"/>
    <w:rsid w:val="00194F7B"/>
    <w:rsid w:val="0019616F"/>
    <w:rsid w:val="001963AF"/>
    <w:rsid w:val="0019666D"/>
    <w:rsid w:val="00196C50"/>
    <w:rsid w:val="00196EAC"/>
    <w:rsid w:val="00196F47"/>
    <w:rsid w:val="00197142"/>
    <w:rsid w:val="001973B9"/>
    <w:rsid w:val="001973C2"/>
    <w:rsid w:val="00197758"/>
    <w:rsid w:val="0019782D"/>
    <w:rsid w:val="001A00EC"/>
    <w:rsid w:val="001A08EE"/>
    <w:rsid w:val="001A08FC"/>
    <w:rsid w:val="001A0E84"/>
    <w:rsid w:val="001A0FD4"/>
    <w:rsid w:val="001A1A3A"/>
    <w:rsid w:val="001A205E"/>
    <w:rsid w:val="001A20CD"/>
    <w:rsid w:val="001A20E3"/>
    <w:rsid w:val="001A21E0"/>
    <w:rsid w:val="001A2377"/>
    <w:rsid w:val="001A279F"/>
    <w:rsid w:val="001A298D"/>
    <w:rsid w:val="001A2D83"/>
    <w:rsid w:val="001A349E"/>
    <w:rsid w:val="001A379A"/>
    <w:rsid w:val="001A37E7"/>
    <w:rsid w:val="001A39E4"/>
    <w:rsid w:val="001A3CFF"/>
    <w:rsid w:val="001A3DB2"/>
    <w:rsid w:val="001A3F33"/>
    <w:rsid w:val="001A4591"/>
    <w:rsid w:val="001A4C48"/>
    <w:rsid w:val="001A4D2A"/>
    <w:rsid w:val="001A4F2A"/>
    <w:rsid w:val="001A5C6A"/>
    <w:rsid w:val="001A5E50"/>
    <w:rsid w:val="001A625D"/>
    <w:rsid w:val="001A63D4"/>
    <w:rsid w:val="001A656D"/>
    <w:rsid w:val="001A6F95"/>
    <w:rsid w:val="001A754D"/>
    <w:rsid w:val="001A7933"/>
    <w:rsid w:val="001A7E96"/>
    <w:rsid w:val="001A7EC8"/>
    <w:rsid w:val="001B010B"/>
    <w:rsid w:val="001B0200"/>
    <w:rsid w:val="001B02E5"/>
    <w:rsid w:val="001B0364"/>
    <w:rsid w:val="001B0371"/>
    <w:rsid w:val="001B0A05"/>
    <w:rsid w:val="001B0FE8"/>
    <w:rsid w:val="001B1610"/>
    <w:rsid w:val="001B1F60"/>
    <w:rsid w:val="001B207F"/>
    <w:rsid w:val="001B27BA"/>
    <w:rsid w:val="001B2EB9"/>
    <w:rsid w:val="001B2EF9"/>
    <w:rsid w:val="001B30DD"/>
    <w:rsid w:val="001B3162"/>
    <w:rsid w:val="001B3190"/>
    <w:rsid w:val="001B32C5"/>
    <w:rsid w:val="001B341C"/>
    <w:rsid w:val="001B34BB"/>
    <w:rsid w:val="001B37C0"/>
    <w:rsid w:val="001B382E"/>
    <w:rsid w:val="001B3EAD"/>
    <w:rsid w:val="001B400B"/>
    <w:rsid w:val="001B41C3"/>
    <w:rsid w:val="001B42D0"/>
    <w:rsid w:val="001B44A9"/>
    <w:rsid w:val="001B4D1B"/>
    <w:rsid w:val="001B4E05"/>
    <w:rsid w:val="001B5349"/>
    <w:rsid w:val="001B5367"/>
    <w:rsid w:val="001B57BD"/>
    <w:rsid w:val="001B5B6F"/>
    <w:rsid w:val="001B67B2"/>
    <w:rsid w:val="001B6D36"/>
    <w:rsid w:val="001B6D94"/>
    <w:rsid w:val="001B6DC6"/>
    <w:rsid w:val="001B6DD4"/>
    <w:rsid w:val="001B76F5"/>
    <w:rsid w:val="001B7B83"/>
    <w:rsid w:val="001C0009"/>
    <w:rsid w:val="001C0375"/>
    <w:rsid w:val="001C0486"/>
    <w:rsid w:val="001C07D9"/>
    <w:rsid w:val="001C0A79"/>
    <w:rsid w:val="001C17AD"/>
    <w:rsid w:val="001C1B06"/>
    <w:rsid w:val="001C1ED6"/>
    <w:rsid w:val="001C1F83"/>
    <w:rsid w:val="001C2233"/>
    <w:rsid w:val="001C22E2"/>
    <w:rsid w:val="001C291F"/>
    <w:rsid w:val="001C2EF1"/>
    <w:rsid w:val="001C315D"/>
    <w:rsid w:val="001C345C"/>
    <w:rsid w:val="001C3473"/>
    <w:rsid w:val="001C34ED"/>
    <w:rsid w:val="001C3553"/>
    <w:rsid w:val="001C3E58"/>
    <w:rsid w:val="001C3FF0"/>
    <w:rsid w:val="001C40C9"/>
    <w:rsid w:val="001C45E3"/>
    <w:rsid w:val="001C4805"/>
    <w:rsid w:val="001C5743"/>
    <w:rsid w:val="001C5C1A"/>
    <w:rsid w:val="001C5E7C"/>
    <w:rsid w:val="001C663B"/>
    <w:rsid w:val="001C6931"/>
    <w:rsid w:val="001C749B"/>
    <w:rsid w:val="001C7690"/>
    <w:rsid w:val="001C7712"/>
    <w:rsid w:val="001C7947"/>
    <w:rsid w:val="001C7D7D"/>
    <w:rsid w:val="001C7D9F"/>
    <w:rsid w:val="001C7E02"/>
    <w:rsid w:val="001D0179"/>
    <w:rsid w:val="001D0623"/>
    <w:rsid w:val="001D0851"/>
    <w:rsid w:val="001D0930"/>
    <w:rsid w:val="001D0933"/>
    <w:rsid w:val="001D0A76"/>
    <w:rsid w:val="001D0B6F"/>
    <w:rsid w:val="001D0D2D"/>
    <w:rsid w:val="001D0D93"/>
    <w:rsid w:val="001D0DA5"/>
    <w:rsid w:val="001D0EAF"/>
    <w:rsid w:val="001D10B4"/>
    <w:rsid w:val="001D11A2"/>
    <w:rsid w:val="001D125E"/>
    <w:rsid w:val="001D1427"/>
    <w:rsid w:val="001D1AA0"/>
    <w:rsid w:val="001D1B25"/>
    <w:rsid w:val="001D1C56"/>
    <w:rsid w:val="001D1CB3"/>
    <w:rsid w:val="001D287B"/>
    <w:rsid w:val="001D296C"/>
    <w:rsid w:val="001D2D4D"/>
    <w:rsid w:val="001D33D0"/>
    <w:rsid w:val="001D3499"/>
    <w:rsid w:val="001D3988"/>
    <w:rsid w:val="001D3B65"/>
    <w:rsid w:val="001D3E67"/>
    <w:rsid w:val="001D417F"/>
    <w:rsid w:val="001D42CC"/>
    <w:rsid w:val="001D542D"/>
    <w:rsid w:val="001D555C"/>
    <w:rsid w:val="001D58FC"/>
    <w:rsid w:val="001D5963"/>
    <w:rsid w:val="001D5B75"/>
    <w:rsid w:val="001D602D"/>
    <w:rsid w:val="001D6A51"/>
    <w:rsid w:val="001D6AEC"/>
    <w:rsid w:val="001D6BF3"/>
    <w:rsid w:val="001D6D23"/>
    <w:rsid w:val="001D6E91"/>
    <w:rsid w:val="001D6FDA"/>
    <w:rsid w:val="001D707C"/>
    <w:rsid w:val="001E0BD2"/>
    <w:rsid w:val="001E0C76"/>
    <w:rsid w:val="001E0F2D"/>
    <w:rsid w:val="001E16CE"/>
    <w:rsid w:val="001E1950"/>
    <w:rsid w:val="001E1A81"/>
    <w:rsid w:val="001E1B33"/>
    <w:rsid w:val="001E1E84"/>
    <w:rsid w:val="001E2ADD"/>
    <w:rsid w:val="001E3384"/>
    <w:rsid w:val="001E38B0"/>
    <w:rsid w:val="001E3AFA"/>
    <w:rsid w:val="001E409C"/>
    <w:rsid w:val="001E40DA"/>
    <w:rsid w:val="001E5105"/>
    <w:rsid w:val="001E51A8"/>
    <w:rsid w:val="001E590C"/>
    <w:rsid w:val="001E5A83"/>
    <w:rsid w:val="001E642A"/>
    <w:rsid w:val="001E66C5"/>
    <w:rsid w:val="001E6A39"/>
    <w:rsid w:val="001E6C4D"/>
    <w:rsid w:val="001E75C1"/>
    <w:rsid w:val="001E7E0D"/>
    <w:rsid w:val="001F033B"/>
    <w:rsid w:val="001F0936"/>
    <w:rsid w:val="001F0B06"/>
    <w:rsid w:val="001F0E45"/>
    <w:rsid w:val="001F1398"/>
    <w:rsid w:val="001F1700"/>
    <w:rsid w:val="001F1EDB"/>
    <w:rsid w:val="001F1FF3"/>
    <w:rsid w:val="001F2691"/>
    <w:rsid w:val="001F33F6"/>
    <w:rsid w:val="001F358E"/>
    <w:rsid w:val="001F35A3"/>
    <w:rsid w:val="001F3A4E"/>
    <w:rsid w:val="001F3D2F"/>
    <w:rsid w:val="001F40FA"/>
    <w:rsid w:val="001F421A"/>
    <w:rsid w:val="001F48EE"/>
    <w:rsid w:val="001F4BF5"/>
    <w:rsid w:val="001F4C05"/>
    <w:rsid w:val="001F4D3F"/>
    <w:rsid w:val="001F4DB2"/>
    <w:rsid w:val="001F4E67"/>
    <w:rsid w:val="001F575A"/>
    <w:rsid w:val="001F585C"/>
    <w:rsid w:val="001F5A4C"/>
    <w:rsid w:val="001F5ABA"/>
    <w:rsid w:val="001F5C65"/>
    <w:rsid w:val="001F6258"/>
    <w:rsid w:val="001F717C"/>
    <w:rsid w:val="001F722F"/>
    <w:rsid w:val="001F72C3"/>
    <w:rsid w:val="001F738D"/>
    <w:rsid w:val="001F7612"/>
    <w:rsid w:val="001F7835"/>
    <w:rsid w:val="001F7858"/>
    <w:rsid w:val="001F79D7"/>
    <w:rsid w:val="001F7DCB"/>
    <w:rsid w:val="001F7E90"/>
    <w:rsid w:val="001F7EC6"/>
    <w:rsid w:val="0020009A"/>
    <w:rsid w:val="00200349"/>
    <w:rsid w:val="0020038A"/>
    <w:rsid w:val="0020049A"/>
    <w:rsid w:val="00200E85"/>
    <w:rsid w:val="002012D5"/>
    <w:rsid w:val="00201CCF"/>
    <w:rsid w:val="00201D37"/>
    <w:rsid w:val="00201F9F"/>
    <w:rsid w:val="002021CA"/>
    <w:rsid w:val="002021E2"/>
    <w:rsid w:val="0020237F"/>
    <w:rsid w:val="00202958"/>
    <w:rsid w:val="00202DFE"/>
    <w:rsid w:val="00202F77"/>
    <w:rsid w:val="0020326F"/>
    <w:rsid w:val="002039B6"/>
    <w:rsid w:val="00203B35"/>
    <w:rsid w:val="00203FEE"/>
    <w:rsid w:val="00204064"/>
    <w:rsid w:val="002043E8"/>
    <w:rsid w:val="00204466"/>
    <w:rsid w:val="00204C52"/>
    <w:rsid w:val="00204F2A"/>
    <w:rsid w:val="0020538C"/>
    <w:rsid w:val="0020551E"/>
    <w:rsid w:val="00205A36"/>
    <w:rsid w:val="00205C2C"/>
    <w:rsid w:val="00205EAF"/>
    <w:rsid w:val="00206124"/>
    <w:rsid w:val="0020616F"/>
    <w:rsid w:val="002065E4"/>
    <w:rsid w:val="00206710"/>
    <w:rsid w:val="002068BD"/>
    <w:rsid w:val="0020699A"/>
    <w:rsid w:val="00206A29"/>
    <w:rsid w:val="00206B0E"/>
    <w:rsid w:val="00206FD9"/>
    <w:rsid w:val="002072FD"/>
    <w:rsid w:val="002075F8"/>
    <w:rsid w:val="00207B82"/>
    <w:rsid w:val="00210012"/>
    <w:rsid w:val="0021037F"/>
    <w:rsid w:val="002103CE"/>
    <w:rsid w:val="002105AC"/>
    <w:rsid w:val="00210AE3"/>
    <w:rsid w:val="00210D2E"/>
    <w:rsid w:val="00210FA0"/>
    <w:rsid w:val="002111CD"/>
    <w:rsid w:val="002115D8"/>
    <w:rsid w:val="0021173B"/>
    <w:rsid w:val="0021195E"/>
    <w:rsid w:val="00211B4A"/>
    <w:rsid w:val="00211CE5"/>
    <w:rsid w:val="00211F76"/>
    <w:rsid w:val="00211F91"/>
    <w:rsid w:val="002122C3"/>
    <w:rsid w:val="002122C4"/>
    <w:rsid w:val="002123C7"/>
    <w:rsid w:val="002134B0"/>
    <w:rsid w:val="002135C6"/>
    <w:rsid w:val="002139D4"/>
    <w:rsid w:val="00213E0E"/>
    <w:rsid w:val="002142B3"/>
    <w:rsid w:val="0021460F"/>
    <w:rsid w:val="00214AB3"/>
    <w:rsid w:val="00214F69"/>
    <w:rsid w:val="00215B9B"/>
    <w:rsid w:val="00216325"/>
    <w:rsid w:val="00216643"/>
    <w:rsid w:val="00216B33"/>
    <w:rsid w:val="00216F58"/>
    <w:rsid w:val="002170D3"/>
    <w:rsid w:val="00217592"/>
    <w:rsid w:val="00217637"/>
    <w:rsid w:val="00217774"/>
    <w:rsid w:val="00217B46"/>
    <w:rsid w:val="002200C6"/>
    <w:rsid w:val="002206D2"/>
    <w:rsid w:val="00220880"/>
    <w:rsid w:val="00220D5F"/>
    <w:rsid w:val="00221250"/>
    <w:rsid w:val="00221C0B"/>
    <w:rsid w:val="00221D17"/>
    <w:rsid w:val="00221FBD"/>
    <w:rsid w:val="0022271F"/>
    <w:rsid w:val="00222855"/>
    <w:rsid w:val="00222F92"/>
    <w:rsid w:val="0022350E"/>
    <w:rsid w:val="002235B9"/>
    <w:rsid w:val="00223A8A"/>
    <w:rsid w:val="00223BF8"/>
    <w:rsid w:val="0022412F"/>
    <w:rsid w:val="00224B6C"/>
    <w:rsid w:val="002251C1"/>
    <w:rsid w:val="002251D6"/>
    <w:rsid w:val="002252F8"/>
    <w:rsid w:val="0022559A"/>
    <w:rsid w:val="00225779"/>
    <w:rsid w:val="00225F47"/>
    <w:rsid w:val="002263E1"/>
    <w:rsid w:val="002265B2"/>
    <w:rsid w:val="00226A22"/>
    <w:rsid w:val="00226AA3"/>
    <w:rsid w:val="00226B3E"/>
    <w:rsid w:val="00226F95"/>
    <w:rsid w:val="00227334"/>
    <w:rsid w:val="00227558"/>
    <w:rsid w:val="002276BD"/>
    <w:rsid w:val="002305D5"/>
    <w:rsid w:val="002317FD"/>
    <w:rsid w:val="002327E6"/>
    <w:rsid w:val="00232C61"/>
    <w:rsid w:val="00232E48"/>
    <w:rsid w:val="00233006"/>
    <w:rsid w:val="0023319D"/>
    <w:rsid w:val="00233566"/>
    <w:rsid w:val="00233624"/>
    <w:rsid w:val="00233790"/>
    <w:rsid w:val="00233B43"/>
    <w:rsid w:val="00233BF1"/>
    <w:rsid w:val="00234045"/>
    <w:rsid w:val="00234312"/>
    <w:rsid w:val="0023435D"/>
    <w:rsid w:val="002345C0"/>
    <w:rsid w:val="00234871"/>
    <w:rsid w:val="00234BF0"/>
    <w:rsid w:val="00234C1D"/>
    <w:rsid w:val="00235302"/>
    <w:rsid w:val="002360DF"/>
    <w:rsid w:val="00236520"/>
    <w:rsid w:val="0023681E"/>
    <w:rsid w:val="00236B3C"/>
    <w:rsid w:val="00236F1E"/>
    <w:rsid w:val="0023706A"/>
    <w:rsid w:val="00237151"/>
    <w:rsid w:val="00237443"/>
    <w:rsid w:val="00237521"/>
    <w:rsid w:val="002376DA"/>
    <w:rsid w:val="002400DF"/>
    <w:rsid w:val="002414AC"/>
    <w:rsid w:val="0024154D"/>
    <w:rsid w:val="002417A4"/>
    <w:rsid w:val="00241A30"/>
    <w:rsid w:val="00241B2B"/>
    <w:rsid w:val="002421C5"/>
    <w:rsid w:val="0024221C"/>
    <w:rsid w:val="00242314"/>
    <w:rsid w:val="00242F43"/>
    <w:rsid w:val="002436D0"/>
    <w:rsid w:val="00243BF0"/>
    <w:rsid w:val="00243DEF"/>
    <w:rsid w:val="00243DF2"/>
    <w:rsid w:val="0024426D"/>
    <w:rsid w:val="0024436A"/>
    <w:rsid w:val="00244545"/>
    <w:rsid w:val="00244D24"/>
    <w:rsid w:val="0024525B"/>
    <w:rsid w:val="002453D8"/>
    <w:rsid w:val="00245FD7"/>
    <w:rsid w:val="0024602F"/>
    <w:rsid w:val="00246290"/>
    <w:rsid w:val="00246B17"/>
    <w:rsid w:val="00246CBB"/>
    <w:rsid w:val="002470D7"/>
    <w:rsid w:val="00247618"/>
    <w:rsid w:val="00247A6F"/>
    <w:rsid w:val="00247C4F"/>
    <w:rsid w:val="00250286"/>
    <w:rsid w:val="00250375"/>
    <w:rsid w:val="00250AE5"/>
    <w:rsid w:val="00250BFB"/>
    <w:rsid w:val="00250D75"/>
    <w:rsid w:val="00251170"/>
    <w:rsid w:val="00251756"/>
    <w:rsid w:val="00251757"/>
    <w:rsid w:val="002526A0"/>
    <w:rsid w:val="00252962"/>
    <w:rsid w:val="00252990"/>
    <w:rsid w:val="00252C9A"/>
    <w:rsid w:val="00252DD9"/>
    <w:rsid w:val="002532D0"/>
    <w:rsid w:val="002533C7"/>
    <w:rsid w:val="0025358A"/>
    <w:rsid w:val="00253672"/>
    <w:rsid w:val="002536E6"/>
    <w:rsid w:val="00253FB7"/>
    <w:rsid w:val="002542A1"/>
    <w:rsid w:val="002548C0"/>
    <w:rsid w:val="00254A2C"/>
    <w:rsid w:val="00254D3E"/>
    <w:rsid w:val="00254DF1"/>
    <w:rsid w:val="00254E39"/>
    <w:rsid w:val="00254EF6"/>
    <w:rsid w:val="00254FB6"/>
    <w:rsid w:val="00255070"/>
    <w:rsid w:val="0025524E"/>
    <w:rsid w:val="00255365"/>
    <w:rsid w:val="0025573D"/>
    <w:rsid w:val="00255DFF"/>
    <w:rsid w:val="00255E37"/>
    <w:rsid w:val="0025638B"/>
    <w:rsid w:val="002565A3"/>
    <w:rsid w:val="0025661C"/>
    <w:rsid w:val="00256712"/>
    <w:rsid w:val="00256CA7"/>
    <w:rsid w:val="00256E4C"/>
    <w:rsid w:val="00256E63"/>
    <w:rsid w:val="00257413"/>
    <w:rsid w:val="002578E4"/>
    <w:rsid w:val="0025795F"/>
    <w:rsid w:val="0026016F"/>
    <w:rsid w:val="00260804"/>
    <w:rsid w:val="0026086F"/>
    <w:rsid w:val="00260963"/>
    <w:rsid w:val="00260B70"/>
    <w:rsid w:val="00260FE1"/>
    <w:rsid w:val="002614EC"/>
    <w:rsid w:val="00261553"/>
    <w:rsid w:val="00261AA1"/>
    <w:rsid w:val="00261BCE"/>
    <w:rsid w:val="00261E57"/>
    <w:rsid w:val="00261F17"/>
    <w:rsid w:val="0026227B"/>
    <w:rsid w:val="00262573"/>
    <w:rsid w:val="00262AA8"/>
    <w:rsid w:val="00262ED6"/>
    <w:rsid w:val="00263F06"/>
    <w:rsid w:val="00264041"/>
    <w:rsid w:val="002642BF"/>
    <w:rsid w:val="00264448"/>
    <w:rsid w:val="00264518"/>
    <w:rsid w:val="0026463A"/>
    <w:rsid w:val="0026468A"/>
    <w:rsid w:val="0026493F"/>
    <w:rsid w:val="00264F7D"/>
    <w:rsid w:val="002655D8"/>
    <w:rsid w:val="0026563C"/>
    <w:rsid w:val="002657FD"/>
    <w:rsid w:val="002659E0"/>
    <w:rsid w:val="00265A2B"/>
    <w:rsid w:val="00266557"/>
    <w:rsid w:val="00266A09"/>
    <w:rsid w:val="00267A5F"/>
    <w:rsid w:val="00270019"/>
    <w:rsid w:val="00270E55"/>
    <w:rsid w:val="002713C9"/>
    <w:rsid w:val="0027154F"/>
    <w:rsid w:val="00272411"/>
    <w:rsid w:val="002724BF"/>
    <w:rsid w:val="002724C2"/>
    <w:rsid w:val="0027279F"/>
    <w:rsid w:val="002728B0"/>
    <w:rsid w:val="0027338A"/>
    <w:rsid w:val="00273575"/>
    <w:rsid w:val="00273BD0"/>
    <w:rsid w:val="00273F0C"/>
    <w:rsid w:val="00274168"/>
    <w:rsid w:val="0027461A"/>
    <w:rsid w:val="002746E4"/>
    <w:rsid w:val="00274D2C"/>
    <w:rsid w:val="00274D79"/>
    <w:rsid w:val="00274E67"/>
    <w:rsid w:val="00274F9B"/>
    <w:rsid w:val="00275D41"/>
    <w:rsid w:val="00275D74"/>
    <w:rsid w:val="002761A1"/>
    <w:rsid w:val="00276217"/>
    <w:rsid w:val="0027621B"/>
    <w:rsid w:val="00276354"/>
    <w:rsid w:val="00276553"/>
    <w:rsid w:val="002765B3"/>
    <w:rsid w:val="0027798E"/>
    <w:rsid w:val="00277DF4"/>
    <w:rsid w:val="00277E0D"/>
    <w:rsid w:val="002802FF"/>
    <w:rsid w:val="00280739"/>
    <w:rsid w:val="00280FED"/>
    <w:rsid w:val="002811C8"/>
    <w:rsid w:val="002812C8"/>
    <w:rsid w:val="0028145B"/>
    <w:rsid w:val="0028161B"/>
    <w:rsid w:val="00281794"/>
    <w:rsid w:val="00281835"/>
    <w:rsid w:val="002818FA"/>
    <w:rsid w:val="00281A4E"/>
    <w:rsid w:val="00281CA5"/>
    <w:rsid w:val="0028275D"/>
    <w:rsid w:val="00282A54"/>
    <w:rsid w:val="00282C5A"/>
    <w:rsid w:val="00282CEA"/>
    <w:rsid w:val="00282DD6"/>
    <w:rsid w:val="00283450"/>
    <w:rsid w:val="0028459F"/>
    <w:rsid w:val="00284A8F"/>
    <w:rsid w:val="00284AF0"/>
    <w:rsid w:val="00284B97"/>
    <w:rsid w:val="00284FF8"/>
    <w:rsid w:val="00285078"/>
    <w:rsid w:val="00285948"/>
    <w:rsid w:val="00285AE0"/>
    <w:rsid w:val="00285F32"/>
    <w:rsid w:val="0028614D"/>
    <w:rsid w:val="00286178"/>
    <w:rsid w:val="0028618B"/>
    <w:rsid w:val="002862CF"/>
    <w:rsid w:val="00286384"/>
    <w:rsid w:val="00286860"/>
    <w:rsid w:val="00287083"/>
    <w:rsid w:val="002872ED"/>
    <w:rsid w:val="00287390"/>
    <w:rsid w:val="002873AD"/>
    <w:rsid w:val="0028760F"/>
    <w:rsid w:val="0028774F"/>
    <w:rsid w:val="002877FE"/>
    <w:rsid w:val="00287FDA"/>
    <w:rsid w:val="002917FA"/>
    <w:rsid w:val="00291AE7"/>
    <w:rsid w:val="00291CDB"/>
    <w:rsid w:val="00291FAD"/>
    <w:rsid w:val="002920A1"/>
    <w:rsid w:val="00292312"/>
    <w:rsid w:val="0029236E"/>
    <w:rsid w:val="00292890"/>
    <w:rsid w:val="00292A83"/>
    <w:rsid w:val="00292B38"/>
    <w:rsid w:val="00292CA0"/>
    <w:rsid w:val="002933D8"/>
    <w:rsid w:val="00293E4A"/>
    <w:rsid w:val="00293E79"/>
    <w:rsid w:val="00294954"/>
    <w:rsid w:val="002949E0"/>
    <w:rsid w:val="00294CAB"/>
    <w:rsid w:val="00294FAA"/>
    <w:rsid w:val="0029531A"/>
    <w:rsid w:val="00295511"/>
    <w:rsid w:val="00295756"/>
    <w:rsid w:val="00295E81"/>
    <w:rsid w:val="0029666D"/>
    <w:rsid w:val="00296866"/>
    <w:rsid w:val="0029693D"/>
    <w:rsid w:val="00296B46"/>
    <w:rsid w:val="00296E02"/>
    <w:rsid w:val="002973E2"/>
    <w:rsid w:val="00297464"/>
    <w:rsid w:val="00297635"/>
    <w:rsid w:val="00297D7B"/>
    <w:rsid w:val="002A0058"/>
    <w:rsid w:val="002A02CB"/>
    <w:rsid w:val="002A079B"/>
    <w:rsid w:val="002A0A6C"/>
    <w:rsid w:val="002A0B28"/>
    <w:rsid w:val="002A0BF9"/>
    <w:rsid w:val="002A0E54"/>
    <w:rsid w:val="002A0F1A"/>
    <w:rsid w:val="002A10FD"/>
    <w:rsid w:val="002A1683"/>
    <w:rsid w:val="002A1AC9"/>
    <w:rsid w:val="002A1F9A"/>
    <w:rsid w:val="002A2529"/>
    <w:rsid w:val="002A313C"/>
    <w:rsid w:val="002A35E2"/>
    <w:rsid w:val="002A368B"/>
    <w:rsid w:val="002A38F4"/>
    <w:rsid w:val="002A3B45"/>
    <w:rsid w:val="002A3D9A"/>
    <w:rsid w:val="002A4B40"/>
    <w:rsid w:val="002A5A09"/>
    <w:rsid w:val="002A5E5E"/>
    <w:rsid w:val="002A6198"/>
    <w:rsid w:val="002A61A7"/>
    <w:rsid w:val="002A62A3"/>
    <w:rsid w:val="002A6418"/>
    <w:rsid w:val="002A645E"/>
    <w:rsid w:val="002A67E4"/>
    <w:rsid w:val="002A68F9"/>
    <w:rsid w:val="002A6932"/>
    <w:rsid w:val="002A6D19"/>
    <w:rsid w:val="002A6F0A"/>
    <w:rsid w:val="002A72BC"/>
    <w:rsid w:val="002A764C"/>
    <w:rsid w:val="002A7652"/>
    <w:rsid w:val="002A765E"/>
    <w:rsid w:val="002A7BAB"/>
    <w:rsid w:val="002B029E"/>
    <w:rsid w:val="002B0739"/>
    <w:rsid w:val="002B079E"/>
    <w:rsid w:val="002B0CF5"/>
    <w:rsid w:val="002B1477"/>
    <w:rsid w:val="002B1CA9"/>
    <w:rsid w:val="002B23C3"/>
    <w:rsid w:val="002B2D3B"/>
    <w:rsid w:val="002B2FB0"/>
    <w:rsid w:val="002B317B"/>
    <w:rsid w:val="002B3400"/>
    <w:rsid w:val="002B344B"/>
    <w:rsid w:val="002B35E9"/>
    <w:rsid w:val="002B379E"/>
    <w:rsid w:val="002B3C5E"/>
    <w:rsid w:val="002B3E16"/>
    <w:rsid w:val="002B4318"/>
    <w:rsid w:val="002B4628"/>
    <w:rsid w:val="002B4666"/>
    <w:rsid w:val="002B47DE"/>
    <w:rsid w:val="002B4D10"/>
    <w:rsid w:val="002B4D83"/>
    <w:rsid w:val="002B4E44"/>
    <w:rsid w:val="002B506F"/>
    <w:rsid w:val="002B5591"/>
    <w:rsid w:val="002B5896"/>
    <w:rsid w:val="002B58DE"/>
    <w:rsid w:val="002B58F5"/>
    <w:rsid w:val="002B5B1A"/>
    <w:rsid w:val="002B6542"/>
    <w:rsid w:val="002B6582"/>
    <w:rsid w:val="002B6D1C"/>
    <w:rsid w:val="002B7735"/>
    <w:rsid w:val="002B7991"/>
    <w:rsid w:val="002B7B9F"/>
    <w:rsid w:val="002B7CA5"/>
    <w:rsid w:val="002B7F0F"/>
    <w:rsid w:val="002B7FE3"/>
    <w:rsid w:val="002C0076"/>
    <w:rsid w:val="002C02F8"/>
    <w:rsid w:val="002C058D"/>
    <w:rsid w:val="002C05E3"/>
    <w:rsid w:val="002C08F7"/>
    <w:rsid w:val="002C0A24"/>
    <w:rsid w:val="002C0AC5"/>
    <w:rsid w:val="002C0E1A"/>
    <w:rsid w:val="002C15FD"/>
    <w:rsid w:val="002C1A28"/>
    <w:rsid w:val="002C207F"/>
    <w:rsid w:val="002C2616"/>
    <w:rsid w:val="002C3A1A"/>
    <w:rsid w:val="002C3E62"/>
    <w:rsid w:val="002C403F"/>
    <w:rsid w:val="002C4A7D"/>
    <w:rsid w:val="002C4D06"/>
    <w:rsid w:val="002C4E47"/>
    <w:rsid w:val="002C5000"/>
    <w:rsid w:val="002C5083"/>
    <w:rsid w:val="002C5666"/>
    <w:rsid w:val="002C579D"/>
    <w:rsid w:val="002C5A96"/>
    <w:rsid w:val="002C5BD8"/>
    <w:rsid w:val="002C5DFA"/>
    <w:rsid w:val="002C79B8"/>
    <w:rsid w:val="002C79ED"/>
    <w:rsid w:val="002C7A5C"/>
    <w:rsid w:val="002C7D4B"/>
    <w:rsid w:val="002D024E"/>
    <w:rsid w:val="002D050A"/>
    <w:rsid w:val="002D062E"/>
    <w:rsid w:val="002D06CD"/>
    <w:rsid w:val="002D0A8F"/>
    <w:rsid w:val="002D1033"/>
    <w:rsid w:val="002D1749"/>
    <w:rsid w:val="002D23FB"/>
    <w:rsid w:val="002D24FA"/>
    <w:rsid w:val="002D29BD"/>
    <w:rsid w:val="002D2F41"/>
    <w:rsid w:val="002D30D1"/>
    <w:rsid w:val="002D3465"/>
    <w:rsid w:val="002D38B6"/>
    <w:rsid w:val="002D38DE"/>
    <w:rsid w:val="002D397C"/>
    <w:rsid w:val="002D3B6A"/>
    <w:rsid w:val="002D3D9A"/>
    <w:rsid w:val="002D3DA6"/>
    <w:rsid w:val="002D4605"/>
    <w:rsid w:val="002D48BC"/>
    <w:rsid w:val="002D519C"/>
    <w:rsid w:val="002D5500"/>
    <w:rsid w:val="002D593A"/>
    <w:rsid w:val="002D5F72"/>
    <w:rsid w:val="002D6421"/>
    <w:rsid w:val="002D64D4"/>
    <w:rsid w:val="002D6D4F"/>
    <w:rsid w:val="002D6ECD"/>
    <w:rsid w:val="002D719C"/>
    <w:rsid w:val="002D7520"/>
    <w:rsid w:val="002D782A"/>
    <w:rsid w:val="002D7F90"/>
    <w:rsid w:val="002E0892"/>
    <w:rsid w:val="002E09FE"/>
    <w:rsid w:val="002E0E13"/>
    <w:rsid w:val="002E1486"/>
    <w:rsid w:val="002E1533"/>
    <w:rsid w:val="002E1F0A"/>
    <w:rsid w:val="002E207D"/>
    <w:rsid w:val="002E25C4"/>
    <w:rsid w:val="002E2BD8"/>
    <w:rsid w:val="002E2CD9"/>
    <w:rsid w:val="002E2FDC"/>
    <w:rsid w:val="002E31B2"/>
    <w:rsid w:val="002E3DC4"/>
    <w:rsid w:val="002E3E97"/>
    <w:rsid w:val="002E478C"/>
    <w:rsid w:val="002E4D95"/>
    <w:rsid w:val="002E4F95"/>
    <w:rsid w:val="002E5414"/>
    <w:rsid w:val="002E5DD9"/>
    <w:rsid w:val="002E5FC2"/>
    <w:rsid w:val="002E6403"/>
    <w:rsid w:val="002E6486"/>
    <w:rsid w:val="002E6970"/>
    <w:rsid w:val="002E6A1D"/>
    <w:rsid w:val="002E708E"/>
    <w:rsid w:val="002E76C5"/>
    <w:rsid w:val="002E7DAA"/>
    <w:rsid w:val="002E7E6B"/>
    <w:rsid w:val="002F00B8"/>
    <w:rsid w:val="002F04E4"/>
    <w:rsid w:val="002F0928"/>
    <w:rsid w:val="002F0B91"/>
    <w:rsid w:val="002F0EAB"/>
    <w:rsid w:val="002F1015"/>
    <w:rsid w:val="002F1374"/>
    <w:rsid w:val="002F19B3"/>
    <w:rsid w:val="002F1F0E"/>
    <w:rsid w:val="002F2E77"/>
    <w:rsid w:val="002F3303"/>
    <w:rsid w:val="002F3643"/>
    <w:rsid w:val="002F3CDA"/>
    <w:rsid w:val="002F42C6"/>
    <w:rsid w:val="002F4793"/>
    <w:rsid w:val="002F4D7A"/>
    <w:rsid w:val="002F4E65"/>
    <w:rsid w:val="002F515A"/>
    <w:rsid w:val="002F53A2"/>
    <w:rsid w:val="002F5E61"/>
    <w:rsid w:val="002F5F25"/>
    <w:rsid w:val="002F63C6"/>
    <w:rsid w:val="002F6931"/>
    <w:rsid w:val="002F6C53"/>
    <w:rsid w:val="002F6EC4"/>
    <w:rsid w:val="002F7084"/>
    <w:rsid w:val="002F72F6"/>
    <w:rsid w:val="002F7330"/>
    <w:rsid w:val="002F78CC"/>
    <w:rsid w:val="002F79EB"/>
    <w:rsid w:val="002F7BEA"/>
    <w:rsid w:val="0030004F"/>
    <w:rsid w:val="0030044A"/>
    <w:rsid w:val="003006F3"/>
    <w:rsid w:val="003009A5"/>
    <w:rsid w:val="003009BB"/>
    <w:rsid w:val="00300A45"/>
    <w:rsid w:val="00300B05"/>
    <w:rsid w:val="00300CC6"/>
    <w:rsid w:val="003010DC"/>
    <w:rsid w:val="00301173"/>
    <w:rsid w:val="003011A1"/>
    <w:rsid w:val="00301229"/>
    <w:rsid w:val="0030153B"/>
    <w:rsid w:val="00301F41"/>
    <w:rsid w:val="003021DE"/>
    <w:rsid w:val="00302AD6"/>
    <w:rsid w:val="00302B69"/>
    <w:rsid w:val="00302F3E"/>
    <w:rsid w:val="00302FE3"/>
    <w:rsid w:val="00303170"/>
    <w:rsid w:val="0030322E"/>
    <w:rsid w:val="0030373B"/>
    <w:rsid w:val="003038F1"/>
    <w:rsid w:val="00303AA4"/>
    <w:rsid w:val="00303C73"/>
    <w:rsid w:val="00303CA5"/>
    <w:rsid w:val="00303D80"/>
    <w:rsid w:val="0030401B"/>
    <w:rsid w:val="0030495B"/>
    <w:rsid w:val="003051BA"/>
    <w:rsid w:val="0030520E"/>
    <w:rsid w:val="00305413"/>
    <w:rsid w:val="0030575C"/>
    <w:rsid w:val="00305DC0"/>
    <w:rsid w:val="0030602B"/>
    <w:rsid w:val="00306125"/>
    <w:rsid w:val="003068B4"/>
    <w:rsid w:val="00306B06"/>
    <w:rsid w:val="00307057"/>
    <w:rsid w:val="003070B6"/>
    <w:rsid w:val="003071DB"/>
    <w:rsid w:val="003074D0"/>
    <w:rsid w:val="0030766B"/>
    <w:rsid w:val="00307892"/>
    <w:rsid w:val="0030792B"/>
    <w:rsid w:val="00307A47"/>
    <w:rsid w:val="00307BB6"/>
    <w:rsid w:val="00310734"/>
    <w:rsid w:val="003115F2"/>
    <w:rsid w:val="003116D6"/>
    <w:rsid w:val="00311F88"/>
    <w:rsid w:val="00312718"/>
    <w:rsid w:val="00312A1F"/>
    <w:rsid w:val="00312BE9"/>
    <w:rsid w:val="003130A2"/>
    <w:rsid w:val="00313580"/>
    <w:rsid w:val="00313847"/>
    <w:rsid w:val="003139C4"/>
    <w:rsid w:val="0031414E"/>
    <w:rsid w:val="003141BF"/>
    <w:rsid w:val="00314794"/>
    <w:rsid w:val="00314878"/>
    <w:rsid w:val="00315389"/>
    <w:rsid w:val="00315393"/>
    <w:rsid w:val="00315403"/>
    <w:rsid w:val="00315625"/>
    <w:rsid w:val="00315DAE"/>
    <w:rsid w:val="00315EAF"/>
    <w:rsid w:val="0031696F"/>
    <w:rsid w:val="00316FBB"/>
    <w:rsid w:val="00317299"/>
    <w:rsid w:val="003176AC"/>
    <w:rsid w:val="00317716"/>
    <w:rsid w:val="00317A55"/>
    <w:rsid w:val="00317ACB"/>
    <w:rsid w:val="00317C0E"/>
    <w:rsid w:val="00317E29"/>
    <w:rsid w:val="00320212"/>
    <w:rsid w:val="003202FB"/>
    <w:rsid w:val="0032042C"/>
    <w:rsid w:val="00320B28"/>
    <w:rsid w:val="00320F74"/>
    <w:rsid w:val="0032105D"/>
    <w:rsid w:val="0032153F"/>
    <w:rsid w:val="003215A4"/>
    <w:rsid w:val="00321896"/>
    <w:rsid w:val="00321ADB"/>
    <w:rsid w:val="00321AED"/>
    <w:rsid w:val="00321C81"/>
    <w:rsid w:val="00321D88"/>
    <w:rsid w:val="003220A2"/>
    <w:rsid w:val="0032228F"/>
    <w:rsid w:val="0032270D"/>
    <w:rsid w:val="003227A7"/>
    <w:rsid w:val="00322D64"/>
    <w:rsid w:val="0032341E"/>
    <w:rsid w:val="003237C7"/>
    <w:rsid w:val="003238F9"/>
    <w:rsid w:val="003239E6"/>
    <w:rsid w:val="00323BDA"/>
    <w:rsid w:val="00323CE7"/>
    <w:rsid w:val="003241EA"/>
    <w:rsid w:val="0032441E"/>
    <w:rsid w:val="0032479B"/>
    <w:rsid w:val="00324A5A"/>
    <w:rsid w:val="00324ACD"/>
    <w:rsid w:val="00324B89"/>
    <w:rsid w:val="00325106"/>
    <w:rsid w:val="0032512A"/>
    <w:rsid w:val="0032525C"/>
    <w:rsid w:val="00325495"/>
    <w:rsid w:val="00325AB1"/>
    <w:rsid w:val="00325D6D"/>
    <w:rsid w:val="00326515"/>
    <w:rsid w:val="00326A20"/>
    <w:rsid w:val="00326EBE"/>
    <w:rsid w:val="003274A9"/>
    <w:rsid w:val="0032763A"/>
    <w:rsid w:val="0032775C"/>
    <w:rsid w:val="003277CE"/>
    <w:rsid w:val="00327AD6"/>
    <w:rsid w:val="00327C10"/>
    <w:rsid w:val="003301D5"/>
    <w:rsid w:val="00330684"/>
    <w:rsid w:val="00330A92"/>
    <w:rsid w:val="00330B82"/>
    <w:rsid w:val="00330BB9"/>
    <w:rsid w:val="003312E9"/>
    <w:rsid w:val="00331431"/>
    <w:rsid w:val="00331812"/>
    <w:rsid w:val="00331F28"/>
    <w:rsid w:val="003320C3"/>
    <w:rsid w:val="00332541"/>
    <w:rsid w:val="00332589"/>
    <w:rsid w:val="0033259D"/>
    <w:rsid w:val="003325E7"/>
    <w:rsid w:val="003327D9"/>
    <w:rsid w:val="003328F8"/>
    <w:rsid w:val="00332B54"/>
    <w:rsid w:val="00332CA6"/>
    <w:rsid w:val="0033343B"/>
    <w:rsid w:val="00333B48"/>
    <w:rsid w:val="00333C06"/>
    <w:rsid w:val="00333C76"/>
    <w:rsid w:val="00333CBE"/>
    <w:rsid w:val="003343EB"/>
    <w:rsid w:val="0033451B"/>
    <w:rsid w:val="00334580"/>
    <w:rsid w:val="00334FF4"/>
    <w:rsid w:val="00334FFD"/>
    <w:rsid w:val="0033595F"/>
    <w:rsid w:val="00335A9C"/>
    <w:rsid w:val="00336134"/>
    <w:rsid w:val="003361F0"/>
    <w:rsid w:val="00336441"/>
    <w:rsid w:val="003364FC"/>
    <w:rsid w:val="00336586"/>
    <w:rsid w:val="0033689C"/>
    <w:rsid w:val="00336A68"/>
    <w:rsid w:val="00336F76"/>
    <w:rsid w:val="003372FA"/>
    <w:rsid w:val="0033739B"/>
    <w:rsid w:val="003375CB"/>
    <w:rsid w:val="0033781F"/>
    <w:rsid w:val="00337910"/>
    <w:rsid w:val="00337B0E"/>
    <w:rsid w:val="00337F91"/>
    <w:rsid w:val="003401B7"/>
    <w:rsid w:val="00340331"/>
    <w:rsid w:val="00340690"/>
    <w:rsid w:val="003407FC"/>
    <w:rsid w:val="00340872"/>
    <w:rsid w:val="00340F42"/>
    <w:rsid w:val="0034146B"/>
    <w:rsid w:val="0034163E"/>
    <w:rsid w:val="00341998"/>
    <w:rsid w:val="003423D2"/>
    <w:rsid w:val="00342530"/>
    <w:rsid w:val="0034290B"/>
    <w:rsid w:val="00342E63"/>
    <w:rsid w:val="00343220"/>
    <w:rsid w:val="00343722"/>
    <w:rsid w:val="00343774"/>
    <w:rsid w:val="00343A49"/>
    <w:rsid w:val="00344388"/>
    <w:rsid w:val="00344673"/>
    <w:rsid w:val="00344733"/>
    <w:rsid w:val="00344789"/>
    <w:rsid w:val="0034556D"/>
    <w:rsid w:val="00345CF8"/>
    <w:rsid w:val="00345D20"/>
    <w:rsid w:val="00345DAC"/>
    <w:rsid w:val="00345F84"/>
    <w:rsid w:val="00346E60"/>
    <w:rsid w:val="0034703D"/>
    <w:rsid w:val="0034746A"/>
    <w:rsid w:val="00347F1C"/>
    <w:rsid w:val="0035035E"/>
    <w:rsid w:val="003505CA"/>
    <w:rsid w:val="00350DEB"/>
    <w:rsid w:val="003510E5"/>
    <w:rsid w:val="003512EF"/>
    <w:rsid w:val="003516B0"/>
    <w:rsid w:val="003519C4"/>
    <w:rsid w:val="00351A73"/>
    <w:rsid w:val="00351C81"/>
    <w:rsid w:val="00351ECF"/>
    <w:rsid w:val="00352024"/>
    <w:rsid w:val="0035214E"/>
    <w:rsid w:val="00352188"/>
    <w:rsid w:val="003523E7"/>
    <w:rsid w:val="003525D1"/>
    <w:rsid w:val="00352851"/>
    <w:rsid w:val="00352B66"/>
    <w:rsid w:val="00352C81"/>
    <w:rsid w:val="00352D7B"/>
    <w:rsid w:val="00352DF0"/>
    <w:rsid w:val="00353F4D"/>
    <w:rsid w:val="003541AC"/>
    <w:rsid w:val="0035420D"/>
    <w:rsid w:val="0035450B"/>
    <w:rsid w:val="00354B48"/>
    <w:rsid w:val="00355692"/>
    <w:rsid w:val="003556C1"/>
    <w:rsid w:val="0035589C"/>
    <w:rsid w:val="00355B99"/>
    <w:rsid w:val="00355C86"/>
    <w:rsid w:val="00355D67"/>
    <w:rsid w:val="00355EED"/>
    <w:rsid w:val="003562E5"/>
    <w:rsid w:val="00356484"/>
    <w:rsid w:val="00356B11"/>
    <w:rsid w:val="00356B7E"/>
    <w:rsid w:val="00356FF1"/>
    <w:rsid w:val="00357314"/>
    <w:rsid w:val="00357724"/>
    <w:rsid w:val="00357AEB"/>
    <w:rsid w:val="00360184"/>
    <w:rsid w:val="00360329"/>
    <w:rsid w:val="00360725"/>
    <w:rsid w:val="00360786"/>
    <w:rsid w:val="00360A9E"/>
    <w:rsid w:val="00361344"/>
    <w:rsid w:val="00361799"/>
    <w:rsid w:val="003619CE"/>
    <w:rsid w:val="00361E29"/>
    <w:rsid w:val="00361E90"/>
    <w:rsid w:val="003622CA"/>
    <w:rsid w:val="00362340"/>
    <w:rsid w:val="003626E4"/>
    <w:rsid w:val="00362754"/>
    <w:rsid w:val="00362C0F"/>
    <w:rsid w:val="00362E55"/>
    <w:rsid w:val="0036316F"/>
    <w:rsid w:val="003637E4"/>
    <w:rsid w:val="00363F30"/>
    <w:rsid w:val="003642B1"/>
    <w:rsid w:val="0036431A"/>
    <w:rsid w:val="0036456D"/>
    <w:rsid w:val="003645E2"/>
    <w:rsid w:val="00364683"/>
    <w:rsid w:val="00364B1D"/>
    <w:rsid w:val="00364DEC"/>
    <w:rsid w:val="00364FA4"/>
    <w:rsid w:val="00365251"/>
    <w:rsid w:val="0036540F"/>
    <w:rsid w:val="00365551"/>
    <w:rsid w:val="00365BEB"/>
    <w:rsid w:val="00365EA5"/>
    <w:rsid w:val="0036625A"/>
    <w:rsid w:val="003662F0"/>
    <w:rsid w:val="003662F1"/>
    <w:rsid w:val="00366867"/>
    <w:rsid w:val="00366924"/>
    <w:rsid w:val="00366997"/>
    <w:rsid w:val="00366D9B"/>
    <w:rsid w:val="00367281"/>
    <w:rsid w:val="0036787B"/>
    <w:rsid w:val="00367D36"/>
    <w:rsid w:val="00367E24"/>
    <w:rsid w:val="00367F2A"/>
    <w:rsid w:val="00370404"/>
    <w:rsid w:val="00370BB6"/>
    <w:rsid w:val="00371231"/>
    <w:rsid w:val="00371732"/>
    <w:rsid w:val="00371775"/>
    <w:rsid w:val="00371F54"/>
    <w:rsid w:val="00372004"/>
    <w:rsid w:val="00372133"/>
    <w:rsid w:val="00372193"/>
    <w:rsid w:val="003722E4"/>
    <w:rsid w:val="003728DF"/>
    <w:rsid w:val="00372A41"/>
    <w:rsid w:val="00372C30"/>
    <w:rsid w:val="00372D82"/>
    <w:rsid w:val="00372ED3"/>
    <w:rsid w:val="003731AE"/>
    <w:rsid w:val="0037344D"/>
    <w:rsid w:val="003735AF"/>
    <w:rsid w:val="003735B9"/>
    <w:rsid w:val="0037371D"/>
    <w:rsid w:val="00373DDC"/>
    <w:rsid w:val="00373F63"/>
    <w:rsid w:val="00373F99"/>
    <w:rsid w:val="00373FA1"/>
    <w:rsid w:val="00374079"/>
    <w:rsid w:val="00374A23"/>
    <w:rsid w:val="00374B4D"/>
    <w:rsid w:val="003753E0"/>
    <w:rsid w:val="00375C90"/>
    <w:rsid w:val="00376894"/>
    <w:rsid w:val="00376A84"/>
    <w:rsid w:val="00377A36"/>
    <w:rsid w:val="00377C6A"/>
    <w:rsid w:val="003805F5"/>
    <w:rsid w:val="003807F5"/>
    <w:rsid w:val="00380AAB"/>
    <w:rsid w:val="00381CD7"/>
    <w:rsid w:val="00381F8D"/>
    <w:rsid w:val="003820C6"/>
    <w:rsid w:val="00382228"/>
    <w:rsid w:val="00382362"/>
    <w:rsid w:val="003823DF"/>
    <w:rsid w:val="00382834"/>
    <w:rsid w:val="0038304F"/>
    <w:rsid w:val="00383C58"/>
    <w:rsid w:val="00383C9A"/>
    <w:rsid w:val="003845D8"/>
    <w:rsid w:val="00384CA2"/>
    <w:rsid w:val="00384E80"/>
    <w:rsid w:val="003856FE"/>
    <w:rsid w:val="00385738"/>
    <w:rsid w:val="0038593D"/>
    <w:rsid w:val="0038627B"/>
    <w:rsid w:val="00386693"/>
    <w:rsid w:val="00386A9A"/>
    <w:rsid w:val="00386FAA"/>
    <w:rsid w:val="00387368"/>
    <w:rsid w:val="003874B4"/>
    <w:rsid w:val="00387B9C"/>
    <w:rsid w:val="00387CC2"/>
    <w:rsid w:val="00387D33"/>
    <w:rsid w:val="0039059F"/>
    <w:rsid w:val="00390934"/>
    <w:rsid w:val="00390DC1"/>
    <w:rsid w:val="003913D3"/>
    <w:rsid w:val="003916D6"/>
    <w:rsid w:val="0039170F"/>
    <w:rsid w:val="00391916"/>
    <w:rsid w:val="003925BF"/>
    <w:rsid w:val="00392CDE"/>
    <w:rsid w:val="00392D97"/>
    <w:rsid w:val="00392E16"/>
    <w:rsid w:val="0039310A"/>
    <w:rsid w:val="003935CB"/>
    <w:rsid w:val="0039362A"/>
    <w:rsid w:val="00393C9A"/>
    <w:rsid w:val="00393DD5"/>
    <w:rsid w:val="00393FB3"/>
    <w:rsid w:val="003940CB"/>
    <w:rsid w:val="00394689"/>
    <w:rsid w:val="003946AE"/>
    <w:rsid w:val="00394C68"/>
    <w:rsid w:val="003952E3"/>
    <w:rsid w:val="00395564"/>
    <w:rsid w:val="00395894"/>
    <w:rsid w:val="00395C0F"/>
    <w:rsid w:val="0039633A"/>
    <w:rsid w:val="0039636E"/>
    <w:rsid w:val="003972C0"/>
    <w:rsid w:val="00397A28"/>
    <w:rsid w:val="00397F9A"/>
    <w:rsid w:val="003A02C4"/>
    <w:rsid w:val="003A0531"/>
    <w:rsid w:val="003A0535"/>
    <w:rsid w:val="003A1335"/>
    <w:rsid w:val="003A19CF"/>
    <w:rsid w:val="003A1B54"/>
    <w:rsid w:val="003A207C"/>
    <w:rsid w:val="003A31CD"/>
    <w:rsid w:val="003A36BD"/>
    <w:rsid w:val="003A3972"/>
    <w:rsid w:val="003A3AAF"/>
    <w:rsid w:val="003A3B51"/>
    <w:rsid w:val="003A3E61"/>
    <w:rsid w:val="003A4A8E"/>
    <w:rsid w:val="003A4B3F"/>
    <w:rsid w:val="003A4CF8"/>
    <w:rsid w:val="003A521C"/>
    <w:rsid w:val="003A5538"/>
    <w:rsid w:val="003A55BF"/>
    <w:rsid w:val="003A599F"/>
    <w:rsid w:val="003A5A27"/>
    <w:rsid w:val="003A5FF0"/>
    <w:rsid w:val="003A618D"/>
    <w:rsid w:val="003A6428"/>
    <w:rsid w:val="003A6539"/>
    <w:rsid w:val="003A68DF"/>
    <w:rsid w:val="003A6AB4"/>
    <w:rsid w:val="003A714A"/>
    <w:rsid w:val="003A7A78"/>
    <w:rsid w:val="003B0185"/>
    <w:rsid w:val="003B0777"/>
    <w:rsid w:val="003B0905"/>
    <w:rsid w:val="003B0F14"/>
    <w:rsid w:val="003B0F60"/>
    <w:rsid w:val="003B162C"/>
    <w:rsid w:val="003B16CF"/>
    <w:rsid w:val="003B1817"/>
    <w:rsid w:val="003B1DB2"/>
    <w:rsid w:val="003B260B"/>
    <w:rsid w:val="003B268B"/>
    <w:rsid w:val="003B27E6"/>
    <w:rsid w:val="003B367C"/>
    <w:rsid w:val="003B3851"/>
    <w:rsid w:val="003B3CBB"/>
    <w:rsid w:val="003B4015"/>
    <w:rsid w:val="003B4691"/>
    <w:rsid w:val="003B4AF8"/>
    <w:rsid w:val="003B4C2B"/>
    <w:rsid w:val="003B4DDF"/>
    <w:rsid w:val="003B4E07"/>
    <w:rsid w:val="003B4ED4"/>
    <w:rsid w:val="003B5148"/>
    <w:rsid w:val="003B5446"/>
    <w:rsid w:val="003B5671"/>
    <w:rsid w:val="003B6107"/>
    <w:rsid w:val="003B6B7F"/>
    <w:rsid w:val="003B6E86"/>
    <w:rsid w:val="003B6EC2"/>
    <w:rsid w:val="003B7043"/>
    <w:rsid w:val="003B7207"/>
    <w:rsid w:val="003B7330"/>
    <w:rsid w:val="003B7D4A"/>
    <w:rsid w:val="003C03DA"/>
    <w:rsid w:val="003C085E"/>
    <w:rsid w:val="003C0BB2"/>
    <w:rsid w:val="003C0C1E"/>
    <w:rsid w:val="003C10EF"/>
    <w:rsid w:val="003C1126"/>
    <w:rsid w:val="003C1326"/>
    <w:rsid w:val="003C1527"/>
    <w:rsid w:val="003C15F3"/>
    <w:rsid w:val="003C1AE3"/>
    <w:rsid w:val="003C2034"/>
    <w:rsid w:val="003C21F6"/>
    <w:rsid w:val="003C2210"/>
    <w:rsid w:val="003C25EA"/>
    <w:rsid w:val="003C26C6"/>
    <w:rsid w:val="003C3066"/>
    <w:rsid w:val="003C3311"/>
    <w:rsid w:val="003C341B"/>
    <w:rsid w:val="003C3917"/>
    <w:rsid w:val="003C3C76"/>
    <w:rsid w:val="003C4249"/>
    <w:rsid w:val="003C44E8"/>
    <w:rsid w:val="003C4DB8"/>
    <w:rsid w:val="003C50CD"/>
    <w:rsid w:val="003C5220"/>
    <w:rsid w:val="003C53C4"/>
    <w:rsid w:val="003C58E0"/>
    <w:rsid w:val="003C5E6B"/>
    <w:rsid w:val="003C6FD0"/>
    <w:rsid w:val="003C7189"/>
    <w:rsid w:val="003C721F"/>
    <w:rsid w:val="003C7569"/>
    <w:rsid w:val="003D23FE"/>
    <w:rsid w:val="003D2BD4"/>
    <w:rsid w:val="003D2D78"/>
    <w:rsid w:val="003D37B1"/>
    <w:rsid w:val="003D38D8"/>
    <w:rsid w:val="003D3A4C"/>
    <w:rsid w:val="003D4202"/>
    <w:rsid w:val="003D4414"/>
    <w:rsid w:val="003D4F46"/>
    <w:rsid w:val="003D503D"/>
    <w:rsid w:val="003D5585"/>
    <w:rsid w:val="003D595C"/>
    <w:rsid w:val="003D5C5B"/>
    <w:rsid w:val="003D5CA9"/>
    <w:rsid w:val="003D62D9"/>
    <w:rsid w:val="003D65BB"/>
    <w:rsid w:val="003D67CA"/>
    <w:rsid w:val="003D6B9D"/>
    <w:rsid w:val="003D6FE9"/>
    <w:rsid w:val="003D7574"/>
    <w:rsid w:val="003D7B95"/>
    <w:rsid w:val="003E03C4"/>
    <w:rsid w:val="003E06F2"/>
    <w:rsid w:val="003E07EE"/>
    <w:rsid w:val="003E0A34"/>
    <w:rsid w:val="003E0B82"/>
    <w:rsid w:val="003E166C"/>
    <w:rsid w:val="003E1BBA"/>
    <w:rsid w:val="003E1DBB"/>
    <w:rsid w:val="003E1FAB"/>
    <w:rsid w:val="003E22DB"/>
    <w:rsid w:val="003E2731"/>
    <w:rsid w:val="003E2C7B"/>
    <w:rsid w:val="003E2CDA"/>
    <w:rsid w:val="003E2D3D"/>
    <w:rsid w:val="003E320A"/>
    <w:rsid w:val="003E3B2C"/>
    <w:rsid w:val="003E3B9F"/>
    <w:rsid w:val="003E3BBD"/>
    <w:rsid w:val="003E410C"/>
    <w:rsid w:val="003E45A6"/>
    <w:rsid w:val="003E4BBA"/>
    <w:rsid w:val="003E4C48"/>
    <w:rsid w:val="003E4F97"/>
    <w:rsid w:val="003E54A5"/>
    <w:rsid w:val="003E620E"/>
    <w:rsid w:val="003E65B5"/>
    <w:rsid w:val="003E65D9"/>
    <w:rsid w:val="003E6915"/>
    <w:rsid w:val="003E6E7D"/>
    <w:rsid w:val="003E6FDB"/>
    <w:rsid w:val="003E7413"/>
    <w:rsid w:val="003E754C"/>
    <w:rsid w:val="003E7A76"/>
    <w:rsid w:val="003E7C55"/>
    <w:rsid w:val="003F0078"/>
    <w:rsid w:val="003F02F1"/>
    <w:rsid w:val="003F09E0"/>
    <w:rsid w:val="003F0D6D"/>
    <w:rsid w:val="003F0EC3"/>
    <w:rsid w:val="003F0F4E"/>
    <w:rsid w:val="003F102E"/>
    <w:rsid w:val="003F12FF"/>
    <w:rsid w:val="003F1492"/>
    <w:rsid w:val="003F1551"/>
    <w:rsid w:val="003F16B6"/>
    <w:rsid w:val="003F1898"/>
    <w:rsid w:val="003F1C39"/>
    <w:rsid w:val="003F1ED4"/>
    <w:rsid w:val="003F220A"/>
    <w:rsid w:val="003F22FD"/>
    <w:rsid w:val="003F2968"/>
    <w:rsid w:val="003F298A"/>
    <w:rsid w:val="003F3157"/>
    <w:rsid w:val="003F325C"/>
    <w:rsid w:val="003F36D8"/>
    <w:rsid w:val="003F3CDE"/>
    <w:rsid w:val="003F3EA4"/>
    <w:rsid w:val="003F4527"/>
    <w:rsid w:val="003F4637"/>
    <w:rsid w:val="003F4930"/>
    <w:rsid w:val="003F49B4"/>
    <w:rsid w:val="003F4C6E"/>
    <w:rsid w:val="003F4E5C"/>
    <w:rsid w:val="003F4EBC"/>
    <w:rsid w:val="003F542B"/>
    <w:rsid w:val="003F5EED"/>
    <w:rsid w:val="003F5F71"/>
    <w:rsid w:val="003F5F85"/>
    <w:rsid w:val="003F60CE"/>
    <w:rsid w:val="003F61DA"/>
    <w:rsid w:val="003F642B"/>
    <w:rsid w:val="003F661D"/>
    <w:rsid w:val="003F6B39"/>
    <w:rsid w:val="003F760F"/>
    <w:rsid w:val="003F7742"/>
    <w:rsid w:val="003F77CC"/>
    <w:rsid w:val="003F7CB7"/>
    <w:rsid w:val="004000CB"/>
    <w:rsid w:val="00400EED"/>
    <w:rsid w:val="00401238"/>
    <w:rsid w:val="00401344"/>
    <w:rsid w:val="00401358"/>
    <w:rsid w:val="00401A80"/>
    <w:rsid w:val="00401B69"/>
    <w:rsid w:val="00402B97"/>
    <w:rsid w:val="00402E98"/>
    <w:rsid w:val="0040313A"/>
    <w:rsid w:val="00403163"/>
    <w:rsid w:val="0040329D"/>
    <w:rsid w:val="004032F0"/>
    <w:rsid w:val="00403A22"/>
    <w:rsid w:val="00403A6A"/>
    <w:rsid w:val="00403CC2"/>
    <w:rsid w:val="00404039"/>
    <w:rsid w:val="0040443A"/>
    <w:rsid w:val="004052B0"/>
    <w:rsid w:val="0040543D"/>
    <w:rsid w:val="004059EE"/>
    <w:rsid w:val="00405A89"/>
    <w:rsid w:val="00405B90"/>
    <w:rsid w:val="00405C6F"/>
    <w:rsid w:val="00405F8E"/>
    <w:rsid w:val="0040619D"/>
    <w:rsid w:val="00406438"/>
    <w:rsid w:val="0040689E"/>
    <w:rsid w:val="00406D55"/>
    <w:rsid w:val="00407E10"/>
    <w:rsid w:val="0041074C"/>
    <w:rsid w:val="00410756"/>
    <w:rsid w:val="00410788"/>
    <w:rsid w:val="00410B04"/>
    <w:rsid w:val="004111F3"/>
    <w:rsid w:val="00411905"/>
    <w:rsid w:val="00412A0B"/>
    <w:rsid w:val="00412DFA"/>
    <w:rsid w:val="0041345C"/>
    <w:rsid w:val="004136C5"/>
    <w:rsid w:val="004136DE"/>
    <w:rsid w:val="0041370E"/>
    <w:rsid w:val="004138F0"/>
    <w:rsid w:val="00413F5E"/>
    <w:rsid w:val="00414228"/>
    <w:rsid w:val="00414349"/>
    <w:rsid w:val="0041457C"/>
    <w:rsid w:val="00414B47"/>
    <w:rsid w:val="00415445"/>
    <w:rsid w:val="00415EED"/>
    <w:rsid w:val="00415FCF"/>
    <w:rsid w:val="004162D6"/>
    <w:rsid w:val="004167A3"/>
    <w:rsid w:val="00416852"/>
    <w:rsid w:val="00416F81"/>
    <w:rsid w:val="00417F64"/>
    <w:rsid w:val="00417F67"/>
    <w:rsid w:val="00420072"/>
    <w:rsid w:val="0042010C"/>
    <w:rsid w:val="0042042A"/>
    <w:rsid w:val="00420620"/>
    <w:rsid w:val="004207C1"/>
    <w:rsid w:val="00420BB5"/>
    <w:rsid w:val="004213F0"/>
    <w:rsid w:val="0042162F"/>
    <w:rsid w:val="004217B7"/>
    <w:rsid w:val="00421A39"/>
    <w:rsid w:val="0042229C"/>
    <w:rsid w:val="004226D1"/>
    <w:rsid w:val="0042274A"/>
    <w:rsid w:val="0042298D"/>
    <w:rsid w:val="00422B1A"/>
    <w:rsid w:val="00422F96"/>
    <w:rsid w:val="00423BFB"/>
    <w:rsid w:val="00423D3A"/>
    <w:rsid w:val="00424919"/>
    <w:rsid w:val="00424942"/>
    <w:rsid w:val="00424B9D"/>
    <w:rsid w:val="00424F44"/>
    <w:rsid w:val="0042538C"/>
    <w:rsid w:val="00426627"/>
    <w:rsid w:val="00426741"/>
    <w:rsid w:val="004267FC"/>
    <w:rsid w:val="00426B50"/>
    <w:rsid w:val="00427089"/>
    <w:rsid w:val="004270FB"/>
    <w:rsid w:val="00427254"/>
    <w:rsid w:val="00427CA4"/>
    <w:rsid w:val="0043030F"/>
    <w:rsid w:val="00430636"/>
    <w:rsid w:val="00430821"/>
    <w:rsid w:val="00430D23"/>
    <w:rsid w:val="00430F04"/>
    <w:rsid w:val="00430F95"/>
    <w:rsid w:val="004314B3"/>
    <w:rsid w:val="0043150C"/>
    <w:rsid w:val="004318E2"/>
    <w:rsid w:val="00431CBB"/>
    <w:rsid w:val="00431D51"/>
    <w:rsid w:val="004322BE"/>
    <w:rsid w:val="00432874"/>
    <w:rsid w:val="0043294D"/>
    <w:rsid w:val="00432A01"/>
    <w:rsid w:val="00432DD8"/>
    <w:rsid w:val="0043301E"/>
    <w:rsid w:val="0043308B"/>
    <w:rsid w:val="004338A9"/>
    <w:rsid w:val="00433AA1"/>
    <w:rsid w:val="00433B8E"/>
    <w:rsid w:val="00433C6E"/>
    <w:rsid w:val="00434097"/>
    <w:rsid w:val="00434289"/>
    <w:rsid w:val="00434603"/>
    <w:rsid w:val="00434659"/>
    <w:rsid w:val="00434A50"/>
    <w:rsid w:val="00435063"/>
    <w:rsid w:val="004355B4"/>
    <w:rsid w:val="0043671F"/>
    <w:rsid w:val="00436D67"/>
    <w:rsid w:val="00436F22"/>
    <w:rsid w:val="0043754B"/>
    <w:rsid w:val="00440757"/>
    <w:rsid w:val="00440776"/>
    <w:rsid w:val="00440A11"/>
    <w:rsid w:val="00440BEE"/>
    <w:rsid w:val="00441722"/>
    <w:rsid w:val="0044207F"/>
    <w:rsid w:val="004421AE"/>
    <w:rsid w:val="0044268F"/>
    <w:rsid w:val="004428AA"/>
    <w:rsid w:val="00442A99"/>
    <w:rsid w:val="00442B5F"/>
    <w:rsid w:val="00442F62"/>
    <w:rsid w:val="00443225"/>
    <w:rsid w:val="0044353D"/>
    <w:rsid w:val="00443605"/>
    <w:rsid w:val="004436E1"/>
    <w:rsid w:val="00443AB4"/>
    <w:rsid w:val="0044485C"/>
    <w:rsid w:val="00444E37"/>
    <w:rsid w:val="00445BED"/>
    <w:rsid w:val="00445C77"/>
    <w:rsid w:val="00445E5C"/>
    <w:rsid w:val="00445F3A"/>
    <w:rsid w:val="0044636B"/>
    <w:rsid w:val="004463AA"/>
    <w:rsid w:val="0044688B"/>
    <w:rsid w:val="004468B2"/>
    <w:rsid w:val="00446AE3"/>
    <w:rsid w:val="004471FC"/>
    <w:rsid w:val="00447712"/>
    <w:rsid w:val="004479E8"/>
    <w:rsid w:val="00447B11"/>
    <w:rsid w:val="00447C3D"/>
    <w:rsid w:val="00447FAF"/>
    <w:rsid w:val="00450038"/>
    <w:rsid w:val="00450052"/>
    <w:rsid w:val="004503F2"/>
    <w:rsid w:val="00450AA3"/>
    <w:rsid w:val="00450DA7"/>
    <w:rsid w:val="0045143A"/>
    <w:rsid w:val="004515DC"/>
    <w:rsid w:val="004516EB"/>
    <w:rsid w:val="00451714"/>
    <w:rsid w:val="004518FE"/>
    <w:rsid w:val="00451A1E"/>
    <w:rsid w:val="00451BA3"/>
    <w:rsid w:val="00452B15"/>
    <w:rsid w:val="00452C96"/>
    <w:rsid w:val="00452F81"/>
    <w:rsid w:val="00453139"/>
    <w:rsid w:val="0045317E"/>
    <w:rsid w:val="00453404"/>
    <w:rsid w:val="00453827"/>
    <w:rsid w:val="00453E4C"/>
    <w:rsid w:val="00454001"/>
    <w:rsid w:val="004540DB"/>
    <w:rsid w:val="00454254"/>
    <w:rsid w:val="0045465F"/>
    <w:rsid w:val="00454924"/>
    <w:rsid w:val="00454AA3"/>
    <w:rsid w:val="0045510D"/>
    <w:rsid w:val="004552EA"/>
    <w:rsid w:val="00455580"/>
    <w:rsid w:val="0045583E"/>
    <w:rsid w:val="0045592F"/>
    <w:rsid w:val="00455D1B"/>
    <w:rsid w:val="00456076"/>
    <w:rsid w:val="00456591"/>
    <w:rsid w:val="004565AC"/>
    <w:rsid w:val="00456734"/>
    <w:rsid w:val="00456A75"/>
    <w:rsid w:val="00456DD5"/>
    <w:rsid w:val="0045729F"/>
    <w:rsid w:val="004576A4"/>
    <w:rsid w:val="00457810"/>
    <w:rsid w:val="00457906"/>
    <w:rsid w:val="0045793F"/>
    <w:rsid w:val="00457CD7"/>
    <w:rsid w:val="00457ECF"/>
    <w:rsid w:val="00460461"/>
    <w:rsid w:val="00460961"/>
    <w:rsid w:val="00460CE4"/>
    <w:rsid w:val="00460EB1"/>
    <w:rsid w:val="0046136A"/>
    <w:rsid w:val="00461717"/>
    <w:rsid w:val="00461818"/>
    <w:rsid w:val="00461A29"/>
    <w:rsid w:val="00461FF2"/>
    <w:rsid w:val="00462411"/>
    <w:rsid w:val="00462413"/>
    <w:rsid w:val="0046250A"/>
    <w:rsid w:val="00462A95"/>
    <w:rsid w:val="00463195"/>
    <w:rsid w:val="00463A4F"/>
    <w:rsid w:val="00463AA8"/>
    <w:rsid w:val="00463E5E"/>
    <w:rsid w:val="00463EF1"/>
    <w:rsid w:val="004643B8"/>
    <w:rsid w:val="004649E8"/>
    <w:rsid w:val="00464AF2"/>
    <w:rsid w:val="00464BEE"/>
    <w:rsid w:val="00464F77"/>
    <w:rsid w:val="0046521C"/>
    <w:rsid w:val="0046579F"/>
    <w:rsid w:val="004658C1"/>
    <w:rsid w:val="00465AF5"/>
    <w:rsid w:val="00465BE9"/>
    <w:rsid w:val="00466CE0"/>
    <w:rsid w:val="00466FC9"/>
    <w:rsid w:val="0046720E"/>
    <w:rsid w:val="004674C6"/>
    <w:rsid w:val="004677D1"/>
    <w:rsid w:val="0046787C"/>
    <w:rsid w:val="00470255"/>
    <w:rsid w:val="0047029E"/>
    <w:rsid w:val="00470E28"/>
    <w:rsid w:val="00470F49"/>
    <w:rsid w:val="004712AF"/>
    <w:rsid w:val="004718DF"/>
    <w:rsid w:val="00471E2A"/>
    <w:rsid w:val="00471F5C"/>
    <w:rsid w:val="00472312"/>
    <w:rsid w:val="004723D1"/>
    <w:rsid w:val="0047242D"/>
    <w:rsid w:val="00472B65"/>
    <w:rsid w:val="00472C32"/>
    <w:rsid w:val="00472F5A"/>
    <w:rsid w:val="00473373"/>
    <w:rsid w:val="0047348E"/>
    <w:rsid w:val="00473AF5"/>
    <w:rsid w:val="00473B78"/>
    <w:rsid w:val="00473EB1"/>
    <w:rsid w:val="00474091"/>
    <w:rsid w:val="0047413F"/>
    <w:rsid w:val="004741EF"/>
    <w:rsid w:val="004743FA"/>
    <w:rsid w:val="004745FC"/>
    <w:rsid w:val="004747BD"/>
    <w:rsid w:val="004751D6"/>
    <w:rsid w:val="00475421"/>
    <w:rsid w:val="00475642"/>
    <w:rsid w:val="00475DD6"/>
    <w:rsid w:val="00476731"/>
    <w:rsid w:val="00476886"/>
    <w:rsid w:val="00476F5D"/>
    <w:rsid w:val="00477181"/>
    <w:rsid w:val="0047755B"/>
    <w:rsid w:val="004779D4"/>
    <w:rsid w:val="00477ACA"/>
    <w:rsid w:val="00477B84"/>
    <w:rsid w:val="004801E4"/>
    <w:rsid w:val="004803C0"/>
    <w:rsid w:val="00480487"/>
    <w:rsid w:val="004804DE"/>
    <w:rsid w:val="004805D2"/>
    <w:rsid w:val="00480DB1"/>
    <w:rsid w:val="00480DDE"/>
    <w:rsid w:val="00480FA7"/>
    <w:rsid w:val="004811B1"/>
    <w:rsid w:val="004813C7"/>
    <w:rsid w:val="0048141B"/>
    <w:rsid w:val="00481732"/>
    <w:rsid w:val="00481993"/>
    <w:rsid w:val="00481A5B"/>
    <w:rsid w:val="00481B25"/>
    <w:rsid w:val="004828A5"/>
    <w:rsid w:val="0048330B"/>
    <w:rsid w:val="004839EF"/>
    <w:rsid w:val="00483C53"/>
    <w:rsid w:val="00483E25"/>
    <w:rsid w:val="00484219"/>
    <w:rsid w:val="0048426A"/>
    <w:rsid w:val="004842FB"/>
    <w:rsid w:val="00484AD6"/>
    <w:rsid w:val="00484CF4"/>
    <w:rsid w:val="00484ED6"/>
    <w:rsid w:val="00485322"/>
    <w:rsid w:val="004855FB"/>
    <w:rsid w:val="00485B48"/>
    <w:rsid w:val="00485F9E"/>
    <w:rsid w:val="00485FEE"/>
    <w:rsid w:val="0048656F"/>
    <w:rsid w:val="004866B8"/>
    <w:rsid w:val="004869CF"/>
    <w:rsid w:val="00487300"/>
    <w:rsid w:val="00487574"/>
    <w:rsid w:val="004876B5"/>
    <w:rsid w:val="00487998"/>
    <w:rsid w:val="00487AD1"/>
    <w:rsid w:val="00487FC8"/>
    <w:rsid w:val="00490112"/>
    <w:rsid w:val="00490244"/>
    <w:rsid w:val="00490386"/>
    <w:rsid w:val="00490504"/>
    <w:rsid w:val="00490C1F"/>
    <w:rsid w:val="00490CCD"/>
    <w:rsid w:val="00490FFF"/>
    <w:rsid w:val="00491019"/>
    <w:rsid w:val="00491537"/>
    <w:rsid w:val="004916C7"/>
    <w:rsid w:val="00491B51"/>
    <w:rsid w:val="00491B77"/>
    <w:rsid w:val="00491D0C"/>
    <w:rsid w:val="00491F57"/>
    <w:rsid w:val="0049235D"/>
    <w:rsid w:val="00492790"/>
    <w:rsid w:val="00492CB3"/>
    <w:rsid w:val="004933D6"/>
    <w:rsid w:val="004933E8"/>
    <w:rsid w:val="00494121"/>
    <w:rsid w:val="00494161"/>
    <w:rsid w:val="0049468D"/>
    <w:rsid w:val="00494816"/>
    <w:rsid w:val="00495B1B"/>
    <w:rsid w:val="004962CD"/>
    <w:rsid w:val="004967F8"/>
    <w:rsid w:val="00496AC8"/>
    <w:rsid w:val="00496D80"/>
    <w:rsid w:val="0049715E"/>
    <w:rsid w:val="00497757"/>
    <w:rsid w:val="00497A10"/>
    <w:rsid w:val="00497B1E"/>
    <w:rsid w:val="004A03E7"/>
    <w:rsid w:val="004A062B"/>
    <w:rsid w:val="004A0799"/>
    <w:rsid w:val="004A12B0"/>
    <w:rsid w:val="004A14F1"/>
    <w:rsid w:val="004A171D"/>
    <w:rsid w:val="004A192D"/>
    <w:rsid w:val="004A1969"/>
    <w:rsid w:val="004A1D61"/>
    <w:rsid w:val="004A23CF"/>
    <w:rsid w:val="004A2444"/>
    <w:rsid w:val="004A2A40"/>
    <w:rsid w:val="004A2AB5"/>
    <w:rsid w:val="004A2B9E"/>
    <w:rsid w:val="004A2BD1"/>
    <w:rsid w:val="004A3624"/>
    <w:rsid w:val="004A37EB"/>
    <w:rsid w:val="004A3B25"/>
    <w:rsid w:val="004A3C22"/>
    <w:rsid w:val="004A3EB3"/>
    <w:rsid w:val="004A487E"/>
    <w:rsid w:val="004A5166"/>
    <w:rsid w:val="004A530A"/>
    <w:rsid w:val="004A5336"/>
    <w:rsid w:val="004A5463"/>
    <w:rsid w:val="004A54BF"/>
    <w:rsid w:val="004A56A9"/>
    <w:rsid w:val="004A5AF8"/>
    <w:rsid w:val="004A5D60"/>
    <w:rsid w:val="004A655B"/>
    <w:rsid w:val="004A7505"/>
    <w:rsid w:val="004A7B92"/>
    <w:rsid w:val="004B0390"/>
    <w:rsid w:val="004B08D4"/>
    <w:rsid w:val="004B0B48"/>
    <w:rsid w:val="004B0FCA"/>
    <w:rsid w:val="004B10EF"/>
    <w:rsid w:val="004B1713"/>
    <w:rsid w:val="004B181D"/>
    <w:rsid w:val="004B2031"/>
    <w:rsid w:val="004B209E"/>
    <w:rsid w:val="004B23F8"/>
    <w:rsid w:val="004B2AAD"/>
    <w:rsid w:val="004B2BC5"/>
    <w:rsid w:val="004B2E33"/>
    <w:rsid w:val="004B3187"/>
    <w:rsid w:val="004B3708"/>
    <w:rsid w:val="004B3A23"/>
    <w:rsid w:val="004B3A93"/>
    <w:rsid w:val="004B45D7"/>
    <w:rsid w:val="004B4B55"/>
    <w:rsid w:val="004B4D0A"/>
    <w:rsid w:val="004B4ED2"/>
    <w:rsid w:val="004B501C"/>
    <w:rsid w:val="004B5087"/>
    <w:rsid w:val="004B5260"/>
    <w:rsid w:val="004B677D"/>
    <w:rsid w:val="004B68EC"/>
    <w:rsid w:val="004B69D5"/>
    <w:rsid w:val="004B7329"/>
    <w:rsid w:val="004B7575"/>
    <w:rsid w:val="004B7836"/>
    <w:rsid w:val="004B7A3B"/>
    <w:rsid w:val="004B7F78"/>
    <w:rsid w:val="004B7F7B"/>
    <w:rsid w:val="004C0176"/>
    <w:rsid w:val="004C017F"/>
    <w:rsid w:val="004C0528"/>
    <w:rsid w:val="004C0624"/>
    <w:rsid w:val="004C199A"/>
    <w:rsid w:val="004C1D3C"/>
    <w:rsid w:val="004C22CC"/>
    <w:rsid w:val="004C2ADB"/>
    <w:rsid w:val="004C2F66"/>
    <w:rsid w:val="004C3561"/>
    <w:rsid w:val="004C37D2"/>
    <w:rsid w:val="004C3ADE"/>
    <w:rsid w:val="004C3B80"/>
    <w:rsid w:val="004C4469"/>
    <w:rsid w:val="004C4AC0"/>
    <w:rsid w:val="004C5102"/>
    <w:rsid w:val="004C526D"/>
    <w:rsid w:val="004C5803"/>
    <w:rsid w:val="004C58D1"/>
    <w:rsid w:val="004C5962"/>
    <w:rsid w:val="004C5D7B"/>
    <w:rsid w:val="004C5D83"/>
    <w:rsid w:val="004C5DFB"/>
    <w:rsid w:val="004C5E18"/>
    <w:rsid w:val="004C6B83"/>
    <w:rsid w:val="004C6E32"/>
    <w:rsid w:val="004C719A"/>
    <w:rsid w:val="004C7428"/>
    <w:rsid w:val="004C7494"/>
    <w:rsid w:val="004C7F82"/>
    <w:rsid w:val="004D00F0"/>
    <w:rsid w:val="004D013C"/>
    <w:rsid w:val="004D06CD"/>
    <w:rsid w:val="004D08BC"/>
    <w:rsid w:val="004D112F"/>
    <w:rsid w:val="004D1195"/>
    <w:rsid w:val="004D1895"/>
    <w:rsid w:val="004D1B97"/>
    <w:rsid w:val="004D1CB2"/>
    <w:rsid w:val="004D1EA5"/>
    <w:rsid w:val="004D1EF7"/>
    <w:rsid w:val="004D1FC3"/>
    <w:rsid w:val="004D2030"/>
    <w:rsid w:val="004D2183"/>
    <w:rsid w:val="004D2509"/>
    <w:rsid w:val="004D27AF"/>
    <w:rsid w:val="004D27BD"/>
    <w:rsid w:val="004D2A37"/>
    <w:rsid w:val="004D3701"/>
    <w:rsid w:val="004D48AD"/>
    <w:rsid w:val="004D4C6C"/>
    <w:rsid w:val="004D53B5"/>
    <w:rsid w:val="004D556D"/>
    <w:rsid w:val="004D5D03"/>
    <w:rsid w:val="004D6039"/>
    <w:rsid w:val="004D6764"/>
    <w:rsid w:val="004D6A19"/>
    <w:rsid w:val="004D6BE7"/>
    <w:rsid w:val="004E01F8"/>
    <w:rsid w:val="004E028C"/>
    <w:rsid w:val="004E048A"/>
    <w:rsid w:val="004E0EF9"/>
    <w:rsid w:val="004E0EFC"/>
    <w:rsid w:val="004E10AF"/>
    <w:rsid w:val="004E1620"/>
    <w:rsid w:val="004E1C1E"/>
    <w:rsid w:val="004E1DFD"/>
    <w:rsid w:val="004E212F"/>
    <w:rsid w:val="004E272E"/>
    <w:rsid w:val="004E2ECF"/>
    <w:rsid w:val="004E2EDE"/>
    <w:rsid w:val="004E3586"/>
    <w:rsid w:val="004E35D1"/>
    <w:rsid w:val="004E3921"/>
    <w:rsid w:val="004E3A57"/>
    <w:rsid w:val="004E3A77"/>
    <w:rsid w:val="004E3AF1"/>
    <w:rsid w:val="004E3B3A"/>
    <w:rsid w:val="004E3D07"/>
    <w:rsid w:val="004E42B7"/>
    <w:rsid w:val="004E4983"/>
    <w:rsid w:val="004E4C73"/>
    <w:rsid w:val="004E4FE8"/>
    <w:rsid w:val="004E5021"/>
    <w:rsid w:val="004E5AC1"/>
    <w:rsid w:val="004E5BEB"/>
    <w:rsid w:val="004E5D10"/>
    <w:rsid w:val="004E5FD9"/>
    <w:rsid w:val="004E6051"/>
    <w:rsid w:val="004E626D"/>
    <w:rsid w:val="004E650E"/>
    <w:rsid w:val="004E65BD"/>
    <w:rsid w:val="004E692E"/>
    <w:rsid w:val="004E6D9D"/>
    <w:rsid w:val="004E7129"/>
    <w:rsid w:val="004E7225"/>
    <w:rsid w:val="004E76F2"/>
    <w:rsid w:val="004E782F"/>
    <w:rsid w:val="004F062F"/>
    <w:rsid w:val="004F0BDA"/>
    <w:rsid w:val="004F0F03"/>
    <w:rsid w:val="004F157D"/>
    <w:rsid w:val="004F17E6"/>
    <w:rsid w:val="004F1C34"/>
    <w:rsid w:val="004F21CC"/>
    <w:rsid w:val="004F230C"/>
    <w:rsid w:val="004F2364"/>
    <w:rsid w:val="004F2638"/>
    <w:rsid w:val="004F2A0D"/>
    <w:rsid w:val="004F34A6"/>
    <w:rsid w:val="004F3750"/>
    <w:rsid w:val="004F387F"/>
    <w:rsid w:val="004F38CF"/>
    <w:rsid w:val="004F3A1B"/>
    <w:rsid w:val="004F3B35"/>
    <w:rsid w:val="004F3E4B"/>
    <w:rsid w:val="004F3F6C"/>
    <w:rsid w:val="004F4597"/>
    <w:rsid w:val="004F481A"/>
    <w:rsid w:val="004F485A"/>
    <w:rsid w:val="004F4896"/>
    <w:rsid w:val="004F4B8E"/>
    <w:rsid w:val="004F5211"/>
    <w:rsid w:val="004F5646"/>
    <w:rsid w:val="004F5855"/>
    <w:rsid w:val="004F5958"/>
    <w:rsid w:val="004F5F4E"/>
    <w:rsid w:val="004F5FE4"/>
    <w:rsid w:val="004F6DEC"/>
    <w:rsid w:val="004F75E9"/>
    <w:rsid w:val="004F771D"/>
    <w:rsid w:val="004F77E8"/>
    <w:rsid w:val="004F7BC9"/>
    <w:rsid w:val="004F7C12"/>
    <w:rsid w:val="004F7E0E"/>
    <w:rsid w:val="00500601"/>
    <w:rsid w:val="0050060D"/>
    <w:rsid w:val="00500716"/>
    <w:rsid w:val="00500CBD"/>
    <w:rsid w:val="00500FC8"/>
    <w:rsid w:val="00501125"/>
    <w:rsid w:val="00501893"/>
    <w:rsid w:val="0050260E"/>
    <w:rsid w:val="005026E2"/>
    <w:rsid w:val="00502E31"/>
    <w:rsid w:val="005032B8"/>
    <w:rsid w:val="00503306"/>
    <w:rsid w:val="0050338B"/>
    <w:rsid w:val="00503B20"/>
    <w:rsid w:val="00503EE5"/>
    <w:rsid w:val="00503F76"/>
    <w:rsid w:val="0050408D"/>
    <w:rsid w:val="005041C2"/>
    <w:rsid w:val="005042D8"/>
    <w:rsid w:val="00504922"/>
    <w:rsid w:val="00504F45"/>
    <w:rsid w:val="00505001"/>
    <w:rsid w:val="005054E3"/>
    <w:rsid w:val="00505A26"/>
    <w:rsid w:val="00505E88"/>
    <w:rsid w:val="00506AF8"/>
    <w:rsid w:val="00506CCD"/>
    <w:rsid w:val="005071A1"/>
    <w:rsid w:val="00507427"/>
    <w:rsid w:val="00507568"/>
    <w:rsid w:val="00507F2D"/>
    <w:rsid w:val="00510196"/>
    <w:rsid w:val="00510321"/>
    <w:rsid w:val="00510862"/>
    <w:rsid w:val="0051087E"/>
    <w:rsid w:val="005109B2"/>
    <w:rsid w:val="00510FB6"/>
    <w:rsid w:val="0051136D"/>
    <w:rsid w:val="005117C7"/>
    <w:rsid w:val="00511B80"/>
    <w:rsid w:val="0051259F"/>
    <w:rsid w:val="005127E3"/>
    <w:rsid w:val="005127F1"/>
    <w:rsid w:val="00512A2C"/>
    <w:rsid w:val="0051304A"/>
    <w:rsid w:val="00513448"/>
    <w:rsid w:val="0051363F"/>
    <w:rsid w:val="005137EF"/>
    <w:rsid w:val="005140B9"/>
    <w:rsid w:val="00514203"/>
    <w:rsid w:val="005145CB"/>
    <w:rsid w:val="00514711"/>
    <w:rsid w:val="00514884"/>
    <w:rsid w:val="005149CD"/>
    <w:rsid w:val="00514C19"/>
    <w:rsid w:val="00514FD4"/>
    <w:rsid w:val="005150E0"/>
    <w:rsid w:val="00515632"/>
    <w:rsid w:val="0051577C"/>
    <w:rsid w:val="005163CA"/>
    <w:rsid w:val="00516971"/>
    <w:rsid w:val="00516C9E"/>
    <w:rsid w:val="00517410"/>
    <w:rsid w:val="0051754D"/>
    <w:rsid w:val="00517777"/>
    <w:rsid w:val="00517A38"/>
    <w:rsid w:val="00517AAA"/>
    <w:rsid w:val="00517C73"/>
    <w:rsid w:val="0052064E"/>
    <w:rsid w:val="00520674"/>
    <w:rsid w:val="0052123D"/>
    <w:rsid w:val="005219B2"/>
    <w:rsid w:val="00521AE2"/>
    <w:rsid w:val="00521B03"/>
    <w:rsid w:val="00521C99"/>
    <w:rsid w:val="00521FED"/>
    <w:rsid w:val="005227B0"/>
    <w:rsid w:val="00522822"/>
    <w:rsid w:val="00522A73"/>
    <w:rsid w:val="00522C9E"/>
    <w:rsid w:val="00522F3C"/>
    <w:rsid w:val="005231E6"/>
    <w:rsid w:val="0052321B"/>
    <w:rsid w:val="00523474"/>
    <w:rsid w:val="00523553"/>
    <w:rsid w:val="0052371B"/>
    <w:rsid w:val="005238DC"/>
    <w:rsid w:val="00523AE0"/>
    <w:rsid w:val="00523C40"/>
    <w:rsid w:val="00523E1E"/>
    <w:rsid w:val="00524094"/>
    <w:rsid w:val="005241A9"/>
    <w:rsid w:val="0052423F"/>
    <w:rsid w:val="00524482"/>
    <w:rsid w:val="00524A96"/>
    <w:rsid w:val="00524C51"/>
    <w:rsid w:val="00524CAE"/>
    <w:rsid w:val="00524F3E"/>
    <w:rsid w:val="00524F42"/>
    <w:rsid w:val="005252B5"/>
    <w:rsid w:val="00525456"/>
    <w:rsid w:val="00525961"/>
    <w:rsid w:val="00525D99"/>
    <w:rsid w:val="00526699"/>
    <w:rsid w:val="0052683A"/>
    <w:rsid w:val="0052689A"/>
    <w:rsid w:val="00526931"/>
    <w:rsid w:val="00526952"/>
    <w:rsid w:val="00526C52"/>
    <w:rsid w:val="00526EE7"/>
    <w:rsid w:val="00527014"/>
    <w:rsid w:val="005272FF"/>
    <w:rsid w:val="005273AF"/>
    <w:rsid w:val="005276B5"/>
    <w:rsid w:val="0052776D"/>
    <w:rsid w:val="00527E6B"/>
    <w:rsid w:val="00527F3B"/>
    <w:rsid w:val="005301F2"/>
    <w:rsid w:val="00530475"/>
    <w:rsid w:val="0053060C"/>
    <w:rsid w:val="00530F15"/>
    <w:rsid w:val="00531017"/>
    <w:rsid w:val="0053129F"/>
    <w:rsid w:val="0053136C"/>
    <w:rsid w:val="00531694"/>
    <w:rsid w:val="0053174D"/>
    <w:rsid w:val="005319CC"/>
    <w:rsid w:val="00532090"/>
    <w:rsid w:val="00532120"/>
    <w:rsid w:val="00532A39"/>
    <w:rsid w:val="00533004"/>
    <w:rsid w:val="00533113"/>
    <w:rsid w:val="00533DB9"/>
    <w:rsid w:val="0053433C"/>
    <w:rsid w:val="00534556"/>
    <w:rsid w:val="005350A4"/>
    <w:rsid w:val="00535142"/>
    <w:rsid w:val="005351C7"/>
    <w:rsid w:val="00535F0B"/>
    <w:rsid w:val="00536072"/>
    <w:rsid w:val="00536124"/>
    <w:rsid w:val="005361BC"/>
    <w:rsid w:val="00536542"/>
    <w:rsid w:val="005371F5"/>
    <w:rsid w:val="0053773F"/>
    <w:rsid w:val="0054024C"/>
    <w:rsid w:val="0054075C"/>
    <w:rsid w:val="005409E1"/>
    <w:rsid w:val="00540AE3"/>
    <w:rsid w:val="00540C0E"/>
    <w:rsid w:val="00540F26"/>
    <w:rsid w:val="00541126"/>
    <w:rsid w:val="005413A7"/>
    <w:rsid w:val="005414EE"/>
    <w:rsid w:val="00541627"/>
    <w:rsid w:val="00541AA3"/>
    <w:rsid w:val="005430D4"/>
    <w:rsid w:val="00543256"/>
    <w:rsid w:val="005437C4"/>
    <w:rsid w:val="00543854"/>
    <w:rsid w:val="00543921"/>
    <w:rsid w:val="00544543"/>
    <w:rsid w:val="00544968"/>
    <w:rsid w:val="00544977"/>
    <w:rsid w:val="00544AE2"/>
    <w:rsid w:val="00544CF9"/>
    <w:rsid w:val="00544D7B"/>
    <w:rsid w:val="00544F8D"/>
    <w:rsid w:val="00545120"/>
    <w:rsid w:val="0054521A"/>
    <w:rsid w:val="00545534"/>
    <w:rsid w:val="00545573"/>
    <w:rsid w:val="0054580E"/>
    <w:rsid w:val="00545EF0"/>
    <w:rsid w:val="00545F8D"/>
    <w:rsid w:val="00546448"/>
    <w:rsid w:val="00546599"/>
    <w:rsid w:val="00546B55"/>
    <w:rsid w:val="00546C94"/>
    <w:rsid w:val="00546F99"/>
    <w:rsid w:val="0054714B"/>
    <w:rsid w:val="00547A0A"/>
    <w:rsid w:val="00550E69"/>
    <w:rsid w:val="00552395"/>
    <w:rsid w:val="00552473"/>
    <w:rsid w:val="005527DC"/>
    <w:rsid w:val="00552D4C"/>
    <w:rsid w:val="0055334D"/>
    <w:rsid w:val="00553815"/>
    <w:rsid w:val="00553832"/>
    <w:rsid w:val="00553F71"/>
    <w:rsid w:val="00554068"/>
    <w:rsid w:val="005540CB"/>
    <w:rsid w:val="005548BA"/>
    <w:rsid w:val="00555742"/>
    <w:rsid w:val="00555D75"/>
    <w:rsid w:val="00555D99"/>
    <w:rsid w:val="00555E2B"/>
    <w:rsid w:val="0055610E"/>
    <w:rsid w:val="005562FF"/>
    <w:rsid w:val="005565CE"/>
    <w:rsid w:val="005566B9"/>
    <w:rsid w:val="00556744"/>
    <w:rsid w:val="00556C32"/>
    <w:rsid w:val="005573BB"/>
    <w:rsid w:val="00557767"/>
    <w:rsid w:val="00557C52"/>
    <w:rsid w:val="00557E22"/>
    <w:rsid w:val="00557F20"/>
    <w:rsid w:val="005602A1"/>
    <w:rsid w:val="00560A67"/>
    <w:rsid w:val="00560B67"/>
    <w:rsid w:val="005610EB"/>
    <w:rsid w:val="0056113B"/>
    <w:rsid w:val="005615B2"/>
    <w:rsid w:val="00561A46"/>
    <w:rsid w:val="00561AE4"/>
    <w:rsid w:val="00561AEE"/>
    <w:rsid w:val="00561B10"/>
    <w:rsid w:val="00561C4E"/>
    <w:rsid w:val="00561D7D"/>
    <w:rsid w:val="00561E3E"/>
    <w:rsid w:val="005620F1"/>
    <w:rsid w:val="00562867"/>
    <w:rsid w:val="00562AA7"/>
    <w:rsid w:val="00562B12"/>
    <w:rsid w:val="00562E48"/>
    <w:rsid w:val="00562E98"/>
    <w:rsid w:val="00562FDA"/>
    <w:rsid w:val="0056302C"/>
    <w:rsid w:val="005635B7"/>
    <w:rsid w:val="005635F7"/>
    <w:rsid w:val="005645CD"/>
    <w:rsid w:val="00564828"/>
    <w:rsid w:val="00564AA6"/>
    <w:rsid w:val="00564F68"/>
    <w:rsid w:val="0056585F"/>
    <w:rsid w:val="00565E36"/>
    <w:rsid w:val="00565EFE"/>
    <w:rsid w:val="00565F24"/>
    <w:rsid w:val="005661AD"/>
    <w:rsid w:val="005665E0"/>
    <w:rsid w:val="00566C19"/>
    <w:rsid w:val="00566EB1"/>
    <w:rsid w:val="00567AD4"/>
    <w:rsid w:val="00567CDD"/>
    <w:rsid w:val="005701B6"/>
    <w:rsid w:val="00570497"/>
    <w:rsid w:val="00570A66"/>
    <w:rsid w:val="00570BBE"/>
    <w:rsid w:val="00571201"/>
    <w:rsid w:val="0057144B"/>
    <w:rsid w:val="0057148F"/>
    <w:rsid w:val="00571B5C"/>
    <w:rsid w:val="00572682"/>
    <w:rsid w:val="00572C74"/>
    <w:rsid w:val="00572F69"/>
    <w:rsid w:val="005736DF"/>
    <w:rsid w:val="00573A96"/>
    <w:rsid w:val="00573C8A"/>
    <w:rsid w:val="00573E0C"/>
    <w:rsid w:val="00573FDD"/>
    <w:rsid w:val="00574731"/>
    <w:rsid w:val="005747EB"/>
    <w:rsid w:val="005749BD"/>
    <w:rsid w:val="00574BC6"/>
    <w:rsid w:val="00574C20"/>
    <w:rsid w:val="00574EA6"/>
    <w:rsid w:val="0057527A"/>
    <w:rsid w:val="0057544B"/>
    <w:rsid w:val="0057605B"/>
    <w:rsid w:val="005763C7"/>
    <w:rsid w:val="005767F3"/>
    <w:rsid w:val="00576F3C"/>
    <w:rsid w:val="0057743C"/>
    <w:rsid w:val="005800E4"/>
    <w:rsid w:val="0058075C"/>
    <w:rsid w:val="0058091F"/>
    <w:rsid w:val="00580FAD"/>
    <w:rsid w:val="005816C3"/>
    <w:rsid w:val="00581A8C"/>
    <w:rsid w:val="00581D66"/>
    <w:rsid w:val="0058293B"/>
    <w:rsid w:val="00582C65"/>
    <w:rsid w:val="00582ECF"/>
    <w:rsid w:val="00582F30"/>
    <w:rsid w:val="00583166"/>
    <w:rsid w:val="005836AA"/>
    <w:rsid w:val="00583A1F"/>
    <w:rsid w:val="00583BE4"/>
    <w:rsid w:val="005841C2"/>
    <w:rsid w:val="00584550"/>
    <w:rsid w:val="00584DEE"/>
    <w:rsid w:val="00584E5B"/>
    <w:rsid w:val="00585097"/>
    <w:rsid w:val="00585228"/>
    <w:rsid w:val="005852C7"/>
    <w:rsid w:val="00585609"/>
    <w:rsid w:val="0058573C"/>
    <w:rsid w:val="00585DC4"/>
    <w:rsid w:val="00585E48"/>
    <w:rsid w:val="00586D7E"/>
    <w:rsid w:val="00586D8D"/>
    <w:rsid w:val="0058721B"/>
    <w:rsid w:val="005876AC"/>
    <w:rsid w:val="00587A49"/>
    <w:rsid w:val="005904A0"/>
    <w:rsid w:val="0059091B"/>
    <w:rsid w:val="00590E59"/>
    <w:rsid w:val="0059133B"/>
    <w:rsid w:val="005915D4"/>
    <w:rsid w:val="00591A42"/>
    <w:rsid w:val="00591B4B"/>
    <w:rsid w:val="00592242"/>
    <w:rsid w:val="005922D0"/>
    <w:rsid w:val="005927CE"/>
    <w:rsid w:val="00592929"/>
    <w:rsid w:val="00592A08"/>
    <w:rsid w:val="00592A15"/>
    <w:rsid w:val="00592E2A"/>
    <w:rsid w:val="00592EAC"/>
    <w:rsid w:val="0059364F"/>
    <w:rsid w:val="00593793"/>
    <w:rsid w:val="0059431A"/>
    <w:rsid w:val="00594CC9"/>
    <w:rsid w:val="00594F88"/>
    <w:rsid w:val="005951CE"/>
    <w:rsid w:val="0059531A"/>
    <w:rsid w:val="005957D5"/>
    <w:rsid w:val="0059581F"/>
    <w:rsid w:val="00595828"/>
    <w:rsid w:val="00595998"/>
    <w:rsid w:val="00595A6D"/>
    <w:rsid w:val="00595E46"/>
    <w:rsid w:val="00595EDE"/>
    <w:rsid w:val="005960B0"/>
    <w:rsid w:val="0059640A"/>
    <w:rsid w:val="00596A04"/>
    <w:rsid w:val="0059706E"/>
    <w:rsid w:val="00597564"/>
    <w:rsid w:val="005979D4"/>
    <w:rsid w:val="00597E25"/>
    <w:rsid w:val="00597F1E"/>
    <w:rsid w:val="005A03A5"/>
    <w:rsid w:val="005A0528"/>
    <w:rsid w:val="005A1759"/>
    <w:rsid w:val="005A199F"/>
    <w:rsid w:val="005A1A4A"/>
    <w:rsid w:val="005A1B33"/>
    <w:rsid w:val="005A1E83"/>
    <w:rsid w:val="005A1FF8"/>
    <w:rsid w:val="005A2357"/>
    <w:rsid w:val="005A24D4"/>
    <w:rsid w:val="005A283E"/>
    <w:rsid w:val="005A286B"/>
    <w:rsid w:val="005A289A"/>
    <w:rsid w:val="005A2907"/>
    <w:rsid w:val="005A2A27"/>
    <w:rsid w:val="005A2B7D"/>
    <w:rsid w:val="005A2C2F"/>
    <w:rsid w:val="005A2D6F"/>
    <w:rsid w:val="005A2E79"/>
    <w:rsid w:val="005A2EB1"/>
    <w:rsid w:val="005A2FC4"/>
    <w:rsid w:val="005A37D9"/>
    <w:rsid w:val="005A3883"/>
    <w:rsid w:val="005A39FB"/>
    <w:rsid w:val="005A3FEE"/>
    <w:rsid w:val="005A40FC"/>
    <w:rsid w:val="005A480F"/>
    <w:rsid w:val="005A5038"/>
    <w:rsid w:val="005A54BA"/>
    <w:rsid w:val="005A5585"/>
    <w:rsid w:val="005A5745"/>
    <w:rsid w:val="005A57BA"/>
    <w:rsid w:val="005A5A9C"/>
    <w:rsid w:val="005A5DA0"/>
    <w:rsid w:val="005A6181"/>
    <w:rsid w:val="005A6B6C"/>
    <w:rsid w:val="005A6BA2"/>
    <w:rsid w:val="005A6E32"/>
    <w:rsid w:val="005A702D"/>
    <w:rsid w:val="005A7216"/>
    <w:rsid w:val="005A721B"/>
    <w:rsid w:val="005A737D"/>
    <w:rsid w:val="005A773A"/>
    <w:rsid w:val="005A7AFB"/>
    <w:rsid w:val="005B0321"/>
    <w:rsid w:val="005B0B5B"/>
    <w:rsid w:val="005B0C73"/>
    <w:rsid w:val="005B166B"/>
    <w:rsid w:val="005B1697"/>
    <w:rsid w:val="005B17F8"/>
    <w:rsid w:val="005B1BC9"/>
    <w:rsid w:val="005B200A"/>
    <w:rsid w:val="005B218C"/>
    <w:rsid w:val="005B2265"/>
    <w:rsid w:val="005B245D"/>
    <w:rsid w:val="005B2F5C"/>
    <w:rsid w:val="005B34F7"/>
    <w:rsid w:val="005B3949"/>
    <w:rsid w:val="005B3C37"/>
    <w:rsid w:val="005B4643"/>
    <w:rsid w:val="005B524A"/>
    <w:rsid w:val="005B58C4"/>
    <w:rsid w:val="005B58D6"/>
    <w:rsid w:val="005B5AEC"/>
    <w:rsid w:val="005B64B6"/>
    <w:rsid w:val="005B662C"/>
    <w:rsid w:val="005B6CDB"/>
    <w:rsid w:val="005B6EA0"/>
    <w:rsid w:val="005B7009"/>
    <w:rsid w:val="005B72B3"/>
    <w:rsid w:val="005B771B"/>
    <w:rsid w:val="005B785B"/>
    <w:rsid w:val="005B7956"/>
    <w:rsid w:val="005B7C06"/>
    <w:rsid w:val="005C0489"/>
    <w:rsid w:val="005C05F7"/>
    <w:rsid w:val="005C0F7D"/>
    <w:rsid w:val="005C0FB6"/>
    <w:rsid w:val="005C1129"/>
    <w:rsid w:val="005C1290"/>
    <w:rsid w:val="005C12F0"/>
    <w:rsid w:val="005C13FB"/>
    <w:rsid w:val="005C1849"/>
    <w:rsid w:val="005C1CD1"/>
    <w:rsid w:val="005C22BD"/>
    <w:rsid w:val="005C248E"/>
    <w:rsid w:val="005C2921"/>
    <w:rsid w:val="005C2AF7"/>
    <w:rsid w:val="005C35CD"/>
    <w:rsid w:val="005C398F"/>
    <w:rsid w:val="005C39B0"/>
    <w:rsid w:val="005C3A9F"/>
    <w:rsid w:val="005C3CD2"/>
    <w:rsid w:val="005C3D66"/>
    <w:rsid w:val="005C3E8E"/>
    <w:rsid w:val="005C4B42"/>
    <w:rsid w:val="005C4B7B"/>
    <w:rsid w:val="005C4BDB"/>
    <w:rsid w:val="005C5334"/>
    <w:rsid w:val="005C5AD5"/>
    <w:rsid w:val="005C5B1E"/>
    <w:rsid w:val="005C5B25"/>
    <w:rsid w:val="005C5C4C"/>
    <w:rsid w:val="005C5F80"/>
    <w:rsid w:val="005C5FA6"/>
    <w:rsid w:val="005C6C83"/>
    <w:rsid w:val="005C72E6"/>
    <w:rsid w:val="005C75D3"/>
    <w:rsid w:val="005C764B"/>
    <w:rsid w:val="005C7CAD"/>
    <w:rsid w:val="005D00AA"/>
    <w:rsid w:val="005D049D"/>
    <w:rsid w:val="005D0703"/>
    <w:rsid w:val="005D075F"/>
    <w:rsid w:val="005D0836"/>
    <w:rsid w:val="005D0B7C"/>
    <w:rsid w:val="005D0C4B"/>
    <w:rsid w:val="005D10D7"/>
    <w:rsid w:val="005D12D4"/>
    <w:rsid w:val="005D148B"/>
    <w:rsid w:val="005D1691"/>
    <w:rsid w:val="005D19CB"/>
    <w:rsid w:val="005D1AD4"/>
    <w:rsid w:val="005D2B67"/>
    <w:rsid w:val="005D2EC0"/>
    <w:rsid w:val="005D313B"/>
    <w:rsid w:val="005D3255"/>
    <w:rsid w:val="005D3538"/>
    <w:rsid w:val="005D35DF"/>
    <w:rsid w:val="005D36FE"/>
    <w:rsid w:val="005D3877"/>
    <w:rsid w:val="005D3881"/>
    <w:rsid w:val="005D3B1F"/>
    <w:rsid w:val="005D3CB2"/>
    <w:rsid w:val="005D3D8E"/>
    <w:rsid w:val="005D4283"/>
    <w:rsid w:val="005D497A"/>
    <w:rsid w:val="005D4F3A"/>
    <w:rsid w:val="005D5070"/>
    <w:rsid w:val="005D5B07"/>
    <w:rsid w:val="005D5D12"/>
    <w:rsid w:val="005D5DA7"/>
    <w:rsid w:val="005D5E90"/>
    <w:rsid w:val="005D66ED"/>
    <w:rsid w:val="005D6879"/>
    <w:rsid w:val="005D6DF6"/>
    <w:rsid w:val="005D70AE"/>
    <w:rsid w:val="005D744F"/>
    <w:rsid w:val="005D748E"/>
    <w:rsid w:val="005D74FC"/>
    <w:rsid w:val="005D7CE0"/>
    <w:rsid w:val="005D7E67"/>
    <w:rsid w:val="005E0121"/>
    <w:rsid w:val="005E02EA"/>
    <w:rsid w:val="005E050C"/>
    <w:rsid w:val="005E062D"/>
    <w:rsid w:val="005E0A5B"/>
    <w:rsid w:val="005E1368"/>
    <w:rsid w:val="005E154B"/>
    <w:rsid w:val="005E15EE"/>
    <w:rsid w:val="005E2D1F"/>
    <w:rsid w:val="005E3024"/>
    <w:rsid w:val="005E343A"/>
    <w:rsid w:val="005E3625"/>
    <w:rsid w:val="005E3826"/>
    <w:rsid w:val="005E42A3"/>
    <w:rsid w:val="005E4E62"/>
    <w:rsid w:val="005E4E94"/>
    <w:rsid w:val="005E5B0B"/>
    <w:rsid w:val="005E5E15"/>
    <w:rsid w:val="005E5E2E"/>
    <w:rsid w:val="005E615F"/>
    <w:rsid w:val="005E6478"/>
    <w:rsid w:val="005E662A"/>
    <w:rsid w:val="005E67EC"/>
    <w:rsid w:val="005E6CC7"/>
    <w:rsid w:val="005E6EE1"/>
    <w:rsid w:val="005E6F35"/>
    <w:rsid w:val="005E6F7B"/>
    <w:rsid w:val="005E73AC"/>
    <w:rsid w:val="005E7A37"/>
    <w:rsid w:val="005E7AFA"/>
    <w:rsid w:val="005E7DFC"/>
    <w:rsid w:val="005F003D"/>
    <w:rsid w:val="005F0063"/>
    <w:rsid w:val="005F02FE"/>
    <w:rsid w:val="005F0945"/>
    <w:rsid w:val="005F0F2D"/>
    <w:rsid w:val="005F126C"/>
    <w:rsid w:val="005F1927"/>
    <w:rsid w:val="005F1A3E"/>
    <w:rsid w:val="005F1C23"/>
    <w:rsid w:val="005F1C9C"/>
    <w:rsid w:val="005F2376"/>
    <w:rsid w:val="005F2B50"/>
    <w:rsid w:val="005F2E09"/>
    <w:rsid w:val="005F2F19"/>
    <w:rsid w:val="005F3360"/>
    <w:rsid w:val="005F348A"/>
    <w:rsid w:val="005F3639"/>
    <w:rsid w:val="005F3AD7"/>
    <w:rsid w:val="005F4648"/>
    <w:rsid w:val="005F46AE"/>
    <w:rsid w:val="005F4B90"/>
    <w:rsid w:val="005F5BBA"/>
    <w:rsid w:val="005F5E76"/>
    <w:rsid w:val="005F63D4"/>
    <w:rsid w:val="005F642E"/>
    <w:rsid w:val="005F6459"/>
    <w:rsid w:val="005F67BD"/>
    <w:rsid w:val="005F68D4"/>
    <w:rsid w:val="005F6B3D"/>
    <w:rsid w:val="005F6C5E"/>
    <w:rsid w:val="006007C8"/>
    <w:rsid w:val="00600CF7"/>
    <w:rsid w:val="00600FB2"/>
    <w:rsid w:val="0060156F"/>
    <w:rsid w:val="00601E58"/>
    <w:rsid w:val="0060205F"/>
    <w:rsid w:val="0060262A"/>
    <w:rsid w:val="00602650"/>
    <w:rsid w:val="00603697"/>
    <w:rsid w:val="006037EF"/>
    <w:rsid w:val="00604076"/>
    <w:rsid w:val="00604632"/>
    <w:rsid w:val="00604AAA"/>
    <w:rsid w:val="00604D76"/>
    <w:rsid w:val="0060639E"/>
    <w:rsid w:val="00606A6F"/>
    <w:rsid w:val="00607550"/>
    <w:rsid w:val="00607858"/>
    <w:rsid w:val="00607B3B"/>
    <w:rsid w:val="00607F41"/>
    <w:rsid w:val="0061048E"/>
    <w:rsid w:val="006105C8"/>
    <w:rsid w:val="00610610"/>
    <w:rsid w:val="00610827"/>
    <w:rsid w:val="00610C0E"/>
    <w:rsid w:val="00610F19"/>
    <w:rsid w:val="00610F7E"/>
    <w:rsid w:val="0061103D"/>
    <w:rsid w:val="00611726"/>
    <w:rsid w:val="00611E22"/>
    <w:rsid w:val="006122D4"/>
    <w:rsid w:val="00612F07"/>
    <w:rsid w:val="00613364"/>
    <w:rsid w:val="00613739"/>
    <w:rsid w:val="00613C2B"/>
    <w:rsid w:val="00613DCD"/>
    <w:rsid w:val="00613E63"/>
    <w:rsid w:val="00613E6C"/>
    <w:rsid w:val="00613EB5"/>
    <w:rsid w:val="006141CB"/>
    <w:rsid w:val="00614EC6"/>
    <w:rsid w:val="0061542B"/>
    <w:rsid w:val="0061588E"/>
    <w:rsid w:val="00615CAE"/>
    <w:rsid w:val="00615F08"/>
    <w:rsid w:val="0061626B"/>
    <w:rsid w:val="006167B1"/>
    <w:rsid w:val="00616A28"/>
    <w:rsid w:val="0061760E"/>
    <w:rsid w:val="00617D2E"/>
    <w:rsid w:val="00617DE5"/>
    <w:rsid w:val="00620399"/>
    <w:rsid w:val="006203F8"/>
    <w:rsid w:val="00620609"/>
    <w:rsid w:val="0062071E"/>
    <w:rsid w:val="00620F6A"/>
    <w:rsid w:val="006215C2"/>
    <w:rsid w:val="00621730"/>
    <w:rsid w:val="00621A8A"/>
    <w:rsid w:val="00621BC9"/>
    <w:rsid w:val="0062201F"/>
    <w:rsid w:val="00622376"/>
    <w:rsid w:val="00622377"/>
    <w:rsid w:val="006224F7"/>
    <w:rsid w:val="0062255F"/>
    <w:rsid w:val="006228AD"/>
    <w:rsid w:val="00622D88"/>
    <w:rsid w:val="0062317D"/>
    <w:rsid w:val="0062365C"/>
    <w:rsid w:val="006236C2"/>
    <w:rsid w:val="00623F56"/>
    <w:rsid w:val="006240F8"/>
    <w:rsid w:val="0062464D"/>
    <w:rsid w:val="006248CA"/>
    <w:rsid w:val="00624A55"/>
    <w:rsid w:val="00624F3E"/>
    <w:rsid w:val="0062549E"/>
    <w:rsid w:val="00625CDB"/>
    <w:rsid w:val="0062616B"/>
    <w:rsid w:val="0062623F"/>
    <w:rsid w:val="006263C3"/>
    <w:rsid w:val="006263E1"/>
    <w:rsid w:val="00627345"/>
    <w:rsid w:val="00627563"/>
    <w:rsid w:val="0062767A"/>
    <w:rsid w:val="00630583"/>
    <w:rsid w:val="0063168F"/>
    <w:rsid w:val="006316B8"/>
    <w:rsid w:val="00631CA2"/>
    <w:rsid w:val="00631CD3"/>
    <w:rsid w:val="00631F58"/>
    <w:rsid w:val="00631FB7"/>
    <w:rsid w:val="00632A76"/>
    <w:rsid w:val="00632D38"/>
    <w:rsid w:val="00632EF0"/>
    <w:rsid w:val="0063356C"/>
    <w:rsid w:val="00633664"/>
    <w:rsid w:val="006339B0"/>
    <w:rsid w:val="00633DFF"/>
    <w:rsid w:val="00634241"/>
    <w:rsid w:val="00634575"/>
    <w:rsid w:val="00634C0F"/>
    <w:rsid w:val="006351BD"/>
    <w:rsid w:val="006351F5"/>
    <w:rsid w:val="00635351"/>
    <w:rsid w:val="00635561"/>
    <w:rsid w:val="00635740"/>
    <w:rsid w:val="00635A54"/>
    <w:rsid w:val="00635B6F"/>
    <w:rsid w:val="00635D2C"/>
    <w:rsid w:val="00635FE0"/>
    <w:rsid w:val="00635FF4"/>
    <w:rsid w:val="0063628A"/>
    <w:rsid w:val="00636314"/>
    <w:rsid w:val="0063643B"/>
    <w:rsid w:val="00636836"/>
    <w:rsid w:val="0063687B"/>
    <w:rsid w:val="00636958"/>
    <w:rsid w:val="00636E82"/>
    <w:rsid w:val="00636E86"/>
    <w:rsid w:val="00637118"/>
    <w:rsid w:val="0063735E"/>
    <w:rsid w:val="00637710"/>
    <w:rsid w:val="00637A09"/>
    <w:rsid w:val="006402F3"/>
    <w:rsid w:val="00640490"/>
    <w:rsid w:val="00640514"/>
    <w:rsid w:val="00640C53"/>
    <w:rsid w:val="0064157C"/>
    <w:rsid w:val="0064179C"/>
    <w:rsid w:val="00641D0A"/>
    <w:rsid w:val="00642071"/>
    <w:rsid w:val="00642229"/>
    <w:rsid w:val="0064224D"/>
    <w:rsid w:val="006438AA"/>
    <w:rsid w:val="0064482B"/>
    <w:rsid w:val="0064486A"/>
    <w:rsid w:val="00644A8F"/>
    <w:rsid w:val="00645834"/>
    <w:rsid w:val="00645998"/>
    <w:rsid w:val="006460C8"/>
    <w:rsid w:val="00646638"/>
    <w:rsid w:val="0064679E"/>
    <w:rsid w:val="006474A9"/>
    <w:rsid w:val="00647790"/>
    <w:rsid w:val="006479AB"/>
    <w:rsid w:val="0065050B"/>
    <w:rsid w:val="0065075E"/>
    <w:rsid w:val="00650AA9"/>
    <w:rsid w:val="00650BE8"/>
    <w:rsid w:val="0065181F"/>
    <w:rsid w:val="00651969"/>
    <w:rsid w:val="00652977"/>
    <w:rsid w:val="00652A24"/>
    <w:rsid w:val="00652D16"/>
    <w:rsid w:val="0065360B"/>
    <w:rsid w:val="0065398B"/>
    <w:rsid w:val="00653D47"/>
    <w:rsid w:val="00654840"/>
    <w:rsid w:val="00654BFB"/>
    <w:rsid w:val="00654EE1"/>
    <w:rsid w:val="00654F21"/>
    <w:rsid w:val="00655F5C"/>
    <w:rsid w:val="00656155"/>
    <w:rsid w:val="0065632A"/>
    <w:rsid w:val="00656424"/>
    <w:rsid w:val="00656788"/>
    <w:rsid w:val="006567DF"/>
    <w:rsid w:val="00656895"/>
    <w:rsid w:val="006569D1"/>
    <w:rsid w:val="00656BA9"/>
    <w:rsid w:val="00657C36"/>
    <w:rsid w:val="00657C75"/>
    <w:rsid w:val="0066031E"/>
    <w:rsid w:val="0066051F"/>
    <w:rsid w:val="00660B84"/>
    <w:rsid w:val="00661153"/>
    <w:rsid w:val="006611B2"/>
    <w:rsid w:val="006614F1"/>
    <w:rsid w:val="00661648"/>
    <w:rsid w:val="006619A5"/>
    <w:rsid w:val="00661A6F"/>
    <w:rsid w:val="00661E0B"/>
    <w:rsid w:val="00662B6C"/>
    <w:rsid w:val="00662E6B"/>
    <w:rsid w:val="006633ED"/>
    <w:rsid w:val="00663624"/>
    <w:rsid w:val="0066398E"/>
    <w:rsid w:val="00663E7F"/>
    <w:rsid w:val="0066417E"/>
    <w:rsid w:val="00664337"/>
    <w:rsid w:val="00664551"/>
    <w:rsid w:val="00664A14"/>
    <w:rsid w:val="00665196"/>
    <w:rsid w:val="006652B1"/>
    <w:rsid w:val="00666240"/>
    <w:rsid w:val="0066677F"/>
    <w:rsid w:val="0066696F"/>
    <w:rsid w:val="00666AC8"/>
    <w:rsid w:val="00667511"/>
    <w:rsid w:val="00667531"/>
    <w:rsid w:val="006676FB"/>
    <w:rsid w:val="006678B9"/>
    <w:rsid w:val="006710DF"/>
    <w:rsid w:val="006714EB"/>
    <w:rsid w:val="00672291"/>
    <w:rsid w:val="0067294D"/>
    <w:rsid w:val="00672989"/>
    <w:rsid w:val="00672A86"/>
    <w:rsid w:val="0067320B"/>
    <w:rsid w:val="006732CA"/>
    <w:rsid w:val="006734FB"/>
    <w:rsid w:val="00673591"/>
    <w:rsid w:val="00673AC6"/>
    <w:rsid w:val="00674759"/>
    <w:rsid w:val="00674ED6"/>
    <w:rsid w:val="006754FC"/>
    <w:rsid w:val="00675610"/>
    <w:rsid w:val="00675C66"/>
    <w:rsid w:val="00676575"/>
    <w:rsid w:val="00676FC0"/>
    <w:rsid w:val="00677024"/>
    <w:rsid w:val="006771CA"/>
    <w:rsid w:val="006772D0"/>
    <w:rsid w:val="00677310"/>
    <w:rsid w:val="0067745A"/>
    <w:rsid w:val="006778FC"/>
    <w:rsid w:val="00677B35"/>
    <w:rsid w:val="0068028D"/>
    <w:rsid w:val="00680371"/>
    <w:rsid w:val="00680684"/>
    <w:rsid w:val="0068086F"/>
    <w:rsid w:val="00681059"/>
    <w:rsid w:val="0068120E"/>
    <w:rsid w:val="00681A6A"/>
    <w:rsid w:val="00681B86"/>
    <w:rsid w:val="0068278B"/>
    <w:rsid w:val="0068353C"/>
    <w:rsid w:val="0068374D"/>
    <w:rsid w:val="00683E01"/>
    <w:rsid w:val="00684013"/>
    <w:rsid w:val="00684068"/>
    <w:rsid w:val="00684194"/>
    <w:rsid w:val="00684217"/>
    <w:rsid w:val="0068445C"/>
    <w:rsid w:val="00684ACF"/>
    <w:rsid w:val="00684E91"/>
    <w:rsid w:val="00684F1C"/>
    <w:rsid w:val="0068523B"/>
    <w:rsid w:val="00685637"/>
    <w:rsid w:val="00685F12"/>
    <w:rsid w:val="0068658F"/>
    <w:rsid w:val="00687234"/>
    <w:rsid w:val="00687AEB"/>
    <w:rsid w:val="00687AF2"/>
    <w:rsid w:val="00687F50"/>
    <w:rsid w:val="00687FE9"/>
    <w:rsid w:val="00690232"/>
    <w:rsid w:val="006902CA"/>
    <w:rsid w:val="0069039C"/>
    <w:rsid w:val="006907E4"/>
    <w:rsid w:val="00690912"/>
    <w:rsid w:val="00690D26"/>
    <w:rsid w:val="00690DB5"/>
    <w:rsid w:val="00690FF6"/>
    <w:rsid w:val="0069116B"/>
    <w:rsid w:val="0069153B"/>
    <w:rsid w:val="006915EF"/>
    <w:rsid w:val="00691657"/>
    <w:rsid w:val="00691727"/>
    <w:rsid w:val="0069197B"/>
    <w:rsid w:val="00691E5D"/>
    <w:rsid w:val="00692362"/>
    <w:rsid w:val="00692A53"/>
    <w:rsid w:val="00692BC8"/>
    <w:rsid w:val="00692C99"/>
    <w:rsid w:val="0069304A"/>
    <w:rsid w:val="0069317E"/>
    <w:rsid w:val="006934B6"/>
    <w:rsid w:val="0069356F"/>
    <w:rsid w:val="00693883"/>
    <w:rsid w:val="00693977"/>
    <w:rsid w:val="00694271"/>
    <w:rsid w:val="00694868"/>
    <w:rsid w:val="00694BF4"/>
    <w:rsid w:val="00695051"/>
    <w:rsid w:val="00695120"/>
    <w:rsid w:val="00695125"/>
    <w:rsid w:val="00695173"/>
    <w:rsid w:val="00695A34"/>
    <w:rsid w:val="00695C22"/>
    <w:rsid w:val="00695C73"/>
    <w:rsid w:val="00695FDA"/>
    <w:rsid w:val="006960E4"/>
    <w:rsid w:val="00696394"/>
    <w:rsid w:val="0069677D"/>
    <w:rsid w:val="00696788"/>
    <w:rsid w:val="00696C08"/>
    <w:rsid w:val="0069712E"/>
    <w:rsid w:val="006973D4"/>
    <w:rsid w:val="00697E86"/>
    <w:rsid w:val="006A0A7D"/>
    <w:rsid w:val="006A1353"/>
    <w:rsid w:val="006A1C6C"/>
    <w:rsid w:val="006A1D01"/>
    <w:rsid w:val="006A1D49"/>
    <w:rsid w:val="006A2877"/>
    <w:rsid w:val="006A3B95"/>
    <w:rsid w:val="006A3BBD"/>
    <w:rsid w:val="006A3C10"/>
    <w:rsid w:val="006A4030"/>
    <w:rsid w:val="006A4DFB"/>
    <w:rsid w:val="006A4EED"/>
    <w:rsid w:val="006A5422"/>
    <w:rsid w:val="006A55F5"/>
    <w:rsid w:val="006A5B6D"/>
    <w:rsid w:val="006A5C34"/>
    <w:rsid w:val="006A5CDC"/>
    <w:rsid w:val="006A5F93"/>
    <w:rsid w:val="006A6129"/>
    <w:rsid w:val="006A636F"/>
    <w:rsid w:val="006A6B20"/>
    <w:rsid w:val="006A6CFB"/>
    <w:rsid w:val="006A7131"/>
    <w:rsid w:val="006A7204"/>
    <w:rsid w:val="006A751C"/>
    <w:rsid w:val="006A775F"/>
    <w:rsid w:val="006A7C12"/>
    <w:rsid w:val="006A7CAE"/>
    <w:rsid w:val="006A7EBD"/>
    <w:rsid w:val="006B05DE"/>
    <w:rsid w:val="006B0A09"/>
    <w:rsid w:val="006B0E4E"/>
    <w:rsid w:val="006B0F72"/>
    <w:rsid w:val="006B1240"/>
    <w:rsid w:val="006B1A7D"/>
    <w:rsid w:val="006B1D05"/>
    <w:rsid w:val="006B1FBB"/>
    <w:rsid w:val="006B20FD"/>
    <w:rsid w:val="006B212D"/>
    <w:rsid w:val="006B2B04"/>
    <w:rsid w:val="006B2DE9"/>
    <w:rsid w:val="006B3488"/>
    <w:rsid w:val="006B358F"/>
    <w:rsid w:val="006B35CC"/>
    <w:rsid w:val="006B3914"/>
    <w:rsid w:val="006B392B"/>
    <w:rsid w:val="006B3A70"/>
    <w:rsid w:val="006B4159"/>
    <w:rsid w:val="006B466B"/>
    <w:rsid w:val="006B4CAE"/>
    <w:rsid w:val="006B5730"/>
    <w:rsid w:val="006B5A5B"/>
    <w:rsid w:val="006B5FBB"/>
    <w:rsid w:val="006B6190"/>
    <w:rsid w:val="006B623F"/>
    <w:rsid w:val="006B6428"/>
    <w:rsid w:val="006B66C6"/>
    <w:rsid w:val="006B673A"/>
    <w:rsid w:val="006B6844"/>
    <w:rsid w:val="006B684F"/>
    <w:rsid w:val="006B70B5"/>
    <w:rsid w:val="006B79EB"/>
    <w:rsid w:val="006B7B78"/>
    <w:rsid w:val="006B7CF3"/>
    <w:rsid w:val="006B7DCD"/>
    <w:rsid w:val="006C0262"/>
    <w:rsid w:val="006C0600"/>
    <w:rsid w:val="006C0B07"/>
    <w:rsid w:val="006C0EDC"/>
    <w:rsid w:val="006C1678"/>
    <w:rsid w:val="006C1D47"/>
    <w:rsid w:val="006C2B8B"/>
    <w:rsid w:val="006C2CA3"/>
    <w:rsid w:val="006C30A0"/>
    <w:rsid w:val="006C3150"/>
    <w:rsid w:val="006C34BC"/>
    <w:rsid w:val="006C3A80"/>
    <w:rsid w:val="006C458B"/>
    <w:rsid w:val="006C462D"/>
    <w:rsid w:val="006C4D63"/>
    <w:rsid w:val="006C50E9"/>
    <w:rsid w:val="006C523C"/>
    <w:rsid w:val="006C5660"/>
    <w:rsid w:val="006C5933"/>
    <w:rsid w:val="006C5A60"/>
    <w:rsid w:val="006C5DD4"/>
    <w:rsid w:val="006C61C0"/>
    <w:rsid w:val="006C678C"/>
    <w:rsid w:val="006C68E9"/>
    <w:rsid w:val="006C6AA8"/>
    <w:rsid w:val="006C7289"/>
    <w:rsid w:val="006C7A00"/>
    <w:rsid w:val="006C7E12"/>
    <w:rsid w:val="006D09E3"/>
    <w:rsid w:val="006D0A1D"/>
    <w:rsid w:val="006D1771"/>
    <w:rsid w:val="006D2780"/>
    <w:rsid w:val="006D2A3F"/>
    <w:rsid w:val="006D36DC"/>
    <w:rsid w:val="006D4438"/>
    <w:rsid w:val="006D4A13"/>
    <w:rsid w:val="006D4B58"/>
    <w:rsid w:val="006D4E6F"/>
    <w:rsid w:val="006D5036"/>
    <w:rsid w:val="006D5157"/>
    <w:rsid w:val="006D52FF"/>
    <w:rsid w:val="006D58D7"/>
    <w:rsid w:val="006D5D0E"/>
    <w:rsid w:val="006D63A1"/>
    <w:rsid w:val="006D64BF"/>
    <w:rsid w:val="006D6643"/>
    <w:rsid w:val="006D6707"/>
    <w:rsid w:val="006D6866"/>
    <w:rsid w:val="006D74D3"/>
    <w:rsid w:val="006D7751"/>
    <w:rsid w:val="006D784E"/>
    <w:rsid w:val="006E044A"/>
    <w:rsid w:val="006E077D"/>
    <w:rsid w:val="006E07D3"/>
    <w:rsid w:val="006E0DD7"/>
    <w:rsid w:val="006E12F8"/>
    <w:rsid w:val="006E1633"/>
    <w:rsid w:val="006E16C1"/>
    <w:rsid w:val="006E173B"/>
    <w:rsid w:val="006E186C"/>
    <w:rsid w:val="006E1AB3"/>
    <w:rsid w:val="006E1B14"/>
    <w:rsid w:val="006E20DF"/>
    <w:rsid w:val="006E235B"/>
    <w:rsid w:val="006E2408"/>
    <w:rsid w:val="006E2682"/>
    <w:rsid w:val="006E278B"/>
    <w:rsid w:val="006E28B3"/>
    <w:rsid w:val="006E2C09"/>
    <w:rsid w:val="006E3065"/>
    <w:rsid w:val="006E320B"/>
    <w:rsid w:val="006E3248"/>
    <w:rsid w:val="006E363F"/>
    <w:rsid w:val="006E3B2E"/>
    <w:rsid w:val="006E4DA8"/>
    <w:rsid w:val="006E4E74"/>
    <w:rsid w:val="006E531C"/>
    <w:rsid w:val="006E58D0"/>
    <w:rsid w:val="006E65A5"/>
    <w:rsid w:val="006E69E4"/>
    <w:rsid w:val="006E6C9B"/>
    <w:rsid w:val="006E6FD0"/>
    <w:rsid w:val="006E725C"/>
    <w:rsid w:val="006E76BA"/>
    <w:rsid w:val="006F0068"/>
    <w:rsid w:val="006F0212"/>
    <w:rsid w:val="006F0EC1"/>
    <w:rsid w:val="006F1C8B"/>
    <w:rsid w:val="006F20BD"/>
    <w:rsid w:val="006F2249"/>
    <w:rsid w:val="006F26A8"/>
    <w:rsid w:val="006F276D"/>
    <w:rsid w:val="006F2836"/>
    <w:rsid w:val="006F2AA7"/>
    <w:rsid w:val="006F3559"/>
    <w:rsid w:val="006F360E"/>
    <w:rsid w:val="006F3C8B"/>
    <w:rsid w:val="006F413C"/>
    <w:rsid w:val="006F4229"/>
    <w:rsid w:val="006F453A"/>
    <w:rsid w:val="006F4878"/>
    <w:rsid w:val="006F4AA3"/>
    <w:rsid w:val="006F4B5E"/>
    <w:rsid w:val="006F4C8A"/>
    <w:rsid w:val="006F4F24"/>
    <w:rsid w:val="006F5044"/>
    <w:rsid w:val="006F507F"/>
    <w:rsid w:val="006F5874"/>
    <w:rsid w:val="006F58D2"/>
    <w:rsid w:val="006F5987"/>
    <w:rsid w:val="006F59C7"/>
    <w:rsid w:val="006F5B85"/>
    <w:rsid w:val="006F5BE1"/>
    <w:rsid w:val="006F5D2C"/>
    <w:rsid w:val="006F6EC9"/>
    <w:rsid w:val="006F712A"/>
    <w:rsid w:val="006F7723"/>
    <w:rsid w:val="006F7AC4"/>
    <w:rsid w:val="006F7D17"/>
    <w:rsid w:val="006F7DF6"/>
    <w:rsid w:val="006F7EC1"/>
    <w:rsid w:val="0070014E"/>
    <w:rsid w:val="00700AAB"/>
    <w:rsid w:val="00700ACC"/>
    <w:rsid w:val="007014A7"/>
    <w:rsid w:val="007022AE"/>
    <w:rsid w:val="007025FE"/>
    <w:rsid w:val="00702731"/>
    <w:rsid w:val="00702838"/>
    <w:rsid w:val="00703463"/>
    <w:rsid w:val="0070351B"/>
    <w:rsid w:val="00703549"/>
    <w:rsid w:val="00703A3B"/>
    <w:rsid w:val="00703B67"/>
    <w:rsid w:val="0070443C"/>
    <w:rsid w:val="007048A5"/>
    <w:rsid w:val="00704B4C"/>
    <w:rsid w:val="00705424"/>
    <w:rsid w:val="0070549D"/>
    <w:rsid w:val="00705A1C"/>
    <w:rsid w:val="00705FA5"/>
    <w:rsid w:val="0070627C"/>
    <w:rsid w:val="00706774"/>
    <w:rsid w:val="007068A8"/>
    <w:rsid w:val="00706B0F"/>
    <w:rsid w:val="00706C5B"/>
    <w:rsid w:val="00706DD7"/>
    <w:rsid w:val="00707125"/>
    <w:rsid w:val="007076BC"/>
    <w:rsid w:val="0070798D"/>
    <w:rsid w:val="00707F5F"/>
    <w:rsid w:val="00710001"/>
    <w:rsid w:val="0071027E"/>
    <w:rsid w:val="007102DD"/>
    <w:rsid w:val="00710499"/>
    <w:rsid w:val="0071159D"/>
    <w:rsid w:val="0071167D"/>
    <w:rsid w:val="007117B2"/>
    <w:rsid w:val="00711C25"/>
    <w:rsid w:val="00711C79"/>
    <w:rsid w:val="00711EBE"/>
    <w:rsid w:val="007128A9"/>
    <w:rsid w:val="00712AC6"/>
    <w:rsid w:val="007139F0"/>
    <w:rsid w:val="00713DBE"/>
    <w:rsid w:val="0071463C"/>
    <w:rsid w:val="00714747"/>
    <w:rsid w:val="0071481F"/>
    <w:rsid w:val="007148AA"/>
    <w:rsid w:val="00714A5A"/>
    <w:rsid w:val="0071551A"/>
    <w:rsid w:val="00715C84"/>
    <w:rsid w:val="00715E25"/>
    <w:rsid w:val="00715E8C"/>
    <w:rsid w:val="00715FF5"/>
    <w:rsid w:val="00716ECA"/>
    <w:rsid w:val="00717893"/>
    <w:rsid w:val="00717C49"/>
    <w:rsid w:val="00717E94"/>
    <w:rsid w:val="00720470"/>
    <w:rsid w:val="007204E9"/>
    <w:rsid w:val="00720512"/>
    <w:rsid w:val="0072060F"/>
    <w:rsid w:val="00720FAD"/>
    <w:rsid w:val="00721396"/>
    <w:rsid w:val="007213E0"/>
    <w:rsid w:val="007213E9"/>
    <w:rsid w:val="007214A2"/>
    <w:rsid w:val="0072160A"/>
    <w:rsid w:val="00721697"/>
    <w:rsid w:val="007216ED"/>
    <w:rsid w:val="00721942"/>
    <w:rsid w:val="0072216B"/>
    <w:rsid w:val="0072262C"/>
    <w:rsid w:val="00722728"/>
    <w:rsid w:val="0072394D"/>
    <w:rsid w:val="00723CCA"/>
    <w:rsid w:val="00723D98"/>
    <w:rsid w:val="00723DC9"/>
    <w:rsid w:val="007240F9"/>
    <w:rsid w:val="007242C2"/>
    <w:rsid w:val="007246CE"/>
    <w:rsid w:val="00724912"/>
    <w:rsid w:val="0072496D"/>
    <w:rsid w:val="0072517E"/>
    <w:rsid w:val="00725847"/>
    <w:rsid w:val="00725B86"/>
    <w:rsid w:val="00725E20"/>
    <w:rsid w:val="00726B61"/>
    <w:rsid w:val="00726E73"/>
    <w:rsid w:val="00726FEB"/>
    <w:rsid w:val="0072707A"/>
    <w:rsid w:val="00727753"/>
    <w:rsid w:val="00727E23"/>
    <w:rsid w:val="007300C1"/>
    <w:rsid w:val="00730CF8"/>
    <w:rsid w:val="00730DD3"/>
    <w:rsid w:val="0073111A"/>
    <w:rsid w:val="00731BAA"/>
    <w:rsid w:val="0073208F"/>
    <w:rsid w:val="007321DD"/>
    <w:rsid w:val="0073256C"/>
    <w:rsid w:val="007330EF"/>
    <w:rsid w:val="007333A6"/>
    <w:rsid w:val="007337BC"/>
    <w:rsid w:val="007337D9"/>
    <w:rsid w:val="00733B31"/>
    <w:rsid w:val="007344BB"/>
    <w:rsid w:val="00734519"/>
    <w:rsid w:val="0073488B"/>
    <w:rsid w:val="0073499D"/>
    <w:rsid w:val="00734E11"/>
    <w:rsid w:val="00734E34"/>
    <w:rsid w:val="0073554C"/>
    <w:rsid w:val="00735616"/>
    <w:rsid w:val="007356FB"/>
    <w:rsid w:val="007358DB"/>
    <w:rsid w:val="00735B05"/>
    <w:rsid w:val="00735D5F"/>
    <w:rsid w:val="00736392"/>
    <w:rsid w:val="0073643C"/>
    <w:rsid w:val="00736B5B"/>
    <w:rsid w:val="00736F8C"/>
    <w:rsid w:val="007370E2"/>
    <w:rsid w:val="00737114"/>
    <w:rsid w:val="007372EA"/>
    <w:rsid w:val="0073737B"/>
    <w:rsid w:val="00737468"/>
    <w:rsid w:val="00737536"/>
    <w:rsid w:val="007401F5"/>
    <w:rsid w:val="00740AC5"/>
    <w:rsid w:val="00740CA2"/>
    <w:rsid w:val="007410F5"/>
    <w:rsid w:val="00741174"/>
    <w:rsid w:val="00741426"/>
    <w:rsid w:val="007415C9"/>
    <w:rsid w:val="00741987"/>
    <w:rsid w:val="007422AA"/>
    <w:rsid w:val="00742A7A"/>
    <w:rsid w:val="00742FFC"/>
    <w:rsid w:val="00743467"/>
    <w:rsid w:val="00743638"/>
    <w:rsid w:val="0074384B"/>
    <w:rsid w:val="00743B47"/>
    <w:rsid w:val="00744297"/>
    <w:rsid w:val="007446D7"/>
    <w:rsid w:val="0074479B"/>
    <w:rsid w:val="007448C5"/>
    <w:rsid w:val="00744CE2"/>
    <w:rsid w:val="00744DB0"/>
    <w:rsid w:val="0074521D"/>
    <w:rsid w:val="0074539B"/>
    <w:rsid w:val="007453A4"/>
    <w:rsid w:val="007454A1"/>
    <w:rsid w:val="00745656"/>
    <w:rsid w:val="00745CA8"/>
    <w:rsid w:val="00745F62"/>
    <w:rsid w:val="0074603E"/>
    <w:rsid w:val="007462E0"/>
    <w:rsid w:val="0074676C"/>
    <w:rsid w:val="0074693F"/>
    <w:rsid w:val="00746DBC"/>
    <w:rsid w:val="00746E43"/>
    <w:rsid w:val="00746E7F"/>
    <w:rsid w:val="00746F3B"/>
    <w:rsid w:val="00747C97"/>
    <w:rsid w:val="0075029F"/>
    <w:rsid w:val="0075043F"/>
    <w:rsid w:val="0075051A"/>
    <w:rsid w:val="00750BBE"/>
    <w:rsid w:val="00750C1A"/>
    <w:rsid w:val="00750C36"/>
    <w:rsid w:val="00750CE4"/>
    <w:rsid w:val="00750E07"/>
    <w:rsid w:val="00750F69"/>
    <w:rsid w:val="00751391"/>
    <w:rsid w:val="00751688"/>
    <w:rsid w:val="00751A20"/>
    <w:rsid w:val="00751E3B"/>
    <w:rsid w:val="00752CBB"/>
    <w:rsid w:val="00752E3C"/>
    <w:rsid w:val="00753839"/>
    <w:rsid w:val="00753CB0"/>
    <w:rsid w:val="007547F8"/>
    <w:rsid w:val="0075498F"/>
    <w:rsid w:val="00754C6A"/>
    <w:rsid w:val="00754CDA"/>
    <w:rsid w:val="00754D6C"/>
    <w:rsid w:val="00754DB7"/>
    <w:rsid w:val="007556BB"/>
    <w:rsid w:val="007558F0"/>
    <w:rsid w:val="00755CED"/>
    <w:rsid w:val="00755F6C"/>
    <w:rsid w:val="00756898"/>
    <w:rsid w:val="00756940"/>
    <w:rsid w:val="00756B92"/>
    <w:rsid w:val="0075723A"/>
    <w:rsid w:val="007579CF"/>
    <w:rsid w:val="00757C56"/>
    <w:rsid w:val="00757D9A"/>
    <w:rsid w:val="00757E33"/>
    <w:rsid w:val="00760209"/>
    <w:rsid w:val="007608F1"/>
    <w:rsid w:val="007609BB"/>
    <w:rsid w:val="00760B70"/>
    <w:rsid w:val="00760E3A"/>
    <w:rsid w:val="00761616"/>
    <w:rsid w:val="0076177A"/>
    <w:rsid w:val="007617E5"/>
    <w:rsid w:val="00761DB5"/>
    <w:rsid w:val="007622D3"/>
    <w:rsid w:val="00762556"/>
    <w:rsid w:val="0076258C"/>
    <w:rsid w:val="00762FB8"/>
    <w:rsid w:val="00763D3D"/>
    <w:rsid w:val="00763D5A"/>
    <w:rsid w:val="00763F10"/>
    <w:rsid w:val="007640EF"/>
    <w:rsid w:val="0076442A"/>
    <w:rsid w:val="0076485C"/>
    <w:rsid w:val="0076556B"/>
    <w:rsid w:val="007655B0"/>
    <w:rsid w:val="007656E1"/>
    <w:rsid w:val="00765977"/>
    <w:rsid w:val="00765EE9"/>
    <w:rsid w:val="00765F66"/>
    <w:rsid w:val="007660D2"/>
    <w:rsid w:val="0076625E"/>
    <w:rsid w:val="00766328"/>
    <w:rsid w:val="0076642C"/>
    <w:rsid w:val="00766A71"/>
    <w:rsid w:val="0076710E"/>
    <w:rsid w:val="0076714B"/>
    <w:rsid w:val="007674F8"/>
    <w:rsid w:val="00767717"/>
    <w:rsid w:val="00767CCD"/>
    <w:rsid w:val="007700D0"/>
    <w:rsid w:val="0077021B"/>
    <w:rsid w:val="007705FC"/>
    <w:rsid w:val="00770A7C"/>
    <w:rsid w:val="00770AFF"/>
    <w:rsid w:val="007712B0"/>
    <w:rsid w:val="00771788"/>
    <w:rsid w:val="00771FF6"/>
    <w:rsid w:val="00772EB6"/>
    <w:rsid w:val="00773001"/>
    <w:rsid w:val="00773396"/>
    <w:rsid w:val="0077376F"/>
    <w:rsid w:val="00774E2A"/>
    <w:rsid w:val="00775B18"/>
    <w:rsid w:val="00775BB5"/>
    <w:rsid w:val="007760AF"/>
    <w:rsid w:val="0077619E"/>
    <w:rsid w:val="0077625A"/>
    <w:rsid w:val="007762BA"/>
    <w:rsid w:val="00776624"/>
    <w:rsid w:val="007767EF"/>
    <w:rsid w:val="007768EB"/>
    <w:rsid w:val="00776F43"/>
    <w:rsid w:val="007770ED"/>
    <w:rsid w:val="007772A8"/>
    <w:rsid w:val="007774F7"/>
    <w:rsid w:val="007775AA"/>
    <w:rsid w:val="00777A80"/>
    <w:rsid w:val="00777C23"/>
    <w:rsid w:val="00777D0E"/>
    <w:rsid w:val="00777D65"/>
    <w:rsid w:val="00777F53"/>
    <w:rsid w:val="0078053E"/>
    <w:rsid w:val="00780694"/>
    <w:rsid w:val="007806BE"/>
    <w:rsid w:val="00780725"/>
    <w:rsid w:val="00780FBF"/>
    <w:rsid w:val="00782906"/>
    <w:rsid w:val="00782AC5"/>
    <w:rsid w:val="00782C35"/>
    <w:rsid w:val="00782EB8"/>
    <w:rsid w:val="00782EE0"/>
    <w:rsid w:val="00783456"/>
    <w:rsid w:val="00783A35"/>
    <w:rsid w:val="00783F5E"/>
    <w:rsid w:val="007840F6"/>
    <w:rsid w:val="00784107"/>
    <w:rsid w:val="00784FD9"/>
    <w:rsid w:val="00785265"/>
    <w:rsid w:val="007854D8"/>
    <w:rsid w:val="00785CFE"/>
    <w:rsid w:val="00786A5D"/>
    <w:rsid w:val="00786BAF"/>
    <w:rsid w:val="00786EFC"/>
    <w:rsid w:val="0078717E"/>
    <w:rsid w:val="007878CF"/>
    <w:rsid w:val="00787DD9"/>
    <w:rsid w:val="00787E6E"/>
    <w:rsid w:val="00790CB0"/>
    <w:rsid w:val="00790D15"/>
    <w:rsid w:val="00790E08"/>
    <w:rsid w:val="00791731"/>
    <w:rsid w:val="007917EB"/>
    <w:rsid w:val="00791B83"/>
    <w:rsid w:val="0079258B"/>
    <w:rsid w:val="007926AE"/>
    <w:rsid w:val="00792A63"/>
    <w:rsid w:val="00792B17"/>
    <w:rsid w:val="00793641"/>
    <w:rsid w:val="007936AE"/>
    <w:rsid w:val="007936B4"/>
    <w:rsid w:val="00793753"/>
    <w:rsid w:val="007945C5"/>
    <w:rsid w:val="007947F1"/>
    <w:rsid w:val="007948D3"/>
    <w:rsid w:val="00794945"/>
    <w:rsid w:val="00794DF0"/>
    <w:rsid w:val="00795183"/>
    <w:rsid w:val="0079534C"/>
    <w:rsid w:val="0079534F"/>
    <w:rsid w:val="00795591"/>
    <w:rsid w:val="0079586C"/>
    <w:rsid w:val="00795A57"/>
    <w:rsid w:val="007960F3"/>
    <w:rsid w:val="00796844"/>
    <w:rsid w:val="007968FC"/>
    <w:rsid w:val="00796BA2"/>
    <w:rsid w:val="00796D43"/>
    <w:rsid w:val="00797366"/>
    <w:rsid w:val="007978FB"/>
    <w:rsid w:val="007A0377"/>
    <w:rsid w:val="007A0432"/>
    <w:rsid w:val="007A0766"/>
    <w:rsid w:val="007A084F"/>
    <w:rsid w:val="007A0D90"/>
    <w:rsid w:val="007A0DA3"/>
    <w:rsid w:val="007A1027"/>
    <w:rsid w:val="007A1B09"/>
    <w:rsid w:val="007A1B1B"/>
    <w:rsid w:val="007A1B85"/>
    <w:rsid w:val="007A213C"/>
    <w:rsid w:val="007A275E"/>
    <w:rsid w:val="007A2BC6"/>
    <w:rsid w:val="007A32A2"/>
    <w:rsid w:val="007A3591"/>
    <w:rsid w:val="007A3913"/>
    <w:rsid w:val="007A3A96"/>
    <w:rsid w:val="007A3D79"/>
    <w:rsid w:val="007A3DEC"/>
    <w:rsid w:val="007A4059"/>
    <w:rsid w:val="007A4242"/>
    <w:rsid w:val="007A4FF5"/>
    <w:rsid w:val="007A5828"/>
    <w:rsid w:val="007A5874"/>
    <w:rsid w:val="007A5C56"/>
    <w:rsid w:val="007A5C6F"/>
    <w:rsid w:val="007A60F1"/>
    <w:rsid w:val="007A677F"/>
    <w:rsid w:val="007A699C"/>
    <w:rsid w:val="007A72AF"/>
    <w:rsid w:val="007A72FE"/>
    <w:rsid w:val="007A7D10"/>
    <w:rsid w:val="007A7D3E"/>
    <w:rsid w:val="007B0059"/>
    <w:rsid w:val="007B0193"/>
    <w:rsid w:val="007B08E1"/>
    <w:rsid w:val="007B0D97"/>
    <w:rsid w:val="007B1068"/>
    <w:rsid w:val="007B10AC"/>
    <w:rsid w:val="007B11BB"/>
    <w:rsid w:val="007B1258"/>
    <w:rsid w:val="007B1441"/>
    <w:rsid w:val="007B17E9"/>
    <w:rsid w:val="007B1DD8"/>
    <w:rsid w:val="007B20EE"/>
    <w:rsid w:val="007B2200"/>
    <w:rsid w:val="007B23C3"/>
    <w:rsid w:val="007B2A86"/>
    <w:rsid w:val="007B2BC2"/>
    <w:rsid w:val="007B2CA9"/>
    <w:rsid w:val="007B32D8"/>
    <w:rsid w:val="007B32EF"/>
    <w:rsid w:val="007B33F0"/>
    <w:rsid w:val="007B38E0"/>
    <w:rsid w:val="007B3C2B"/>
    <w:rsid w:val="007B4001"/>
    <w:rsid w:val="007B411D"/>
    <w:rsid w:val="007B44FC"/>
    <w:rsid w:val="007B455D"/>
    <w:rsid w:val="007B480C"/>
    <w:rsid w:val="007B49E4"/>
    <w:rsid w:val="007B56B4"/>
    <w:rsid w:val="007B6454"/>
    <w:rsid w:val="007B67C0"/>
    <w:rsid w:val="007B69D5"/>
    <w:rsid w:val="007B6E94"/>
    <w:rsid w:val="007B6F5E"/>
    <w:rsid w:val="007B7914"/>
    <w:rsid w:val="007B7A14"/>
    <w:rsid w:val="007B7BC9"/>
    <w:rsid w:val="007B7F5B"/>
    <w:rsid w:val="007B7F88"/>
    <w:rsid w:val="007C00B8"/>
    <w:rsid w:val="007C0AAF"/>
    <w:rsid w:val="007C1077"/>
    <w:rsid w:val="007C116C"/>
    <w:rsid w:val="007C12ED"/>
    <w:rsid w:val="007C15A6"/>
    <w:rsid w:val="007C17C9"/>
    <w:rsid w:val="007C1944"/>
    <w:rsid w:val="007C19A4"/>
    <w:rsid w:val="007C19D9"/>
    <w:rsid w:val="007C1CBF"/>
    <w:rsid w:val="007C2C8E"/>
    <w:rsid w:val="007C2F17"/>
    <w:rsid w:val="007C32EC"/>
    <w:rsid w:val="007C36F7"/>
    <w:rsid w:val="007C3BAD"/>
    <w:rsid w:val="007C4007"/>
    <w:rsid w:val="007C409E"/>
    <w:rsid w:val="007C4C47"/>
    <w:rsid w:val="007C4F59"/>
    <w:rsid w:val="007C4FAE"/>
    <w:rsid w:val="007C50C2"/>
    <w:rsid w:val="007C63E5"/>
    <w:rsid w:val="007C69BB"/>
    <w:rsid w:val="007C6BDD"/>
    <w:rsid w:val="007C71B4"/>
    <w:rsid w:val="007C74D7"/>
    <w:rsid w:val="007C7C24"/>
    <w:rsid w:val="007C7EEF"/>
    <w:rsid w:val="007C7F54"/>
    <w:rsid w:val="007D057E"/>
    <w:rsid w:val="007D0601"/>
    <w:rsid w:val="007D06CA"/>
    <w:rsid w:val="007D07D6"/>
    <w:rsid w:val="007D0956"/>
    <w:rsid w:val="007D09CF"/>
    <w:rsid w:val="007D0E36"/>
    <w:rsid w:val="007D16E6"/>
    <w:rsid w:val="007D19BA"/>
    <w:rsid w:val="007D24DF"/>
    <w:rsid w:val="007D2841"/>
    <w:rsid w:val="007D2B9E"/>
    <w:rsid w:val="007D2E14"/>
    <w:rsid w:val="007D32A5"/>
    <w:rsid w:val="007D3A32"/>
    <w:rsid w:val="007D3C22"/>
    <w:rsid w:val="007D47AC"/>
    <w:rsid w:val="007D4DAB"/>
    <w:rsid w:val="007D4DF6"/>
    <w:rsid w:val="007D4ECF"/>
    <w:rsid w:val="007D4F2A"/>
    <w:rsid w:val="007D5227"/>
    <w:rsid w:val="007D53DA"/>
    <w:rsid w:val="007D541F"/>
    <w:rsid w:val="007D547F"/>
    <w:rsid w:val="007D5830"/>
    <w:rsid w:val="007D5D9F"/>
    <w:rsid w:val="007D6187"/>
    <w:rsid w:val="007D61E4"/>
    <w:rsid w:val="007D689D"/>
    <w:rsid w:val="007D68D2"/>
    <w:rsid w:val="007D6996"/>
    <w:rsid w:val="007D6A27"/>
    <w:rsid w:val="007D6E39"/>
    <w:rsid w:val="007D6F21"/>
    <w:rsid w:val="007D70A8"/>
    <w:rsid w:val="007D74BB"/>
    <w:rsid w:val="007D7EF3"/>
    <w:rsid w:val="007D7F38"/>
    <w:rsid w:val="007E070E"/>
    <w:rsid w:val="007E0C9D"/>
    <w:rsid w:val="007E11D6"/>
    <w:rsid w:val="007E12D0"/>
    <w:rsid w:val="007E155C"/>
    <w:rsid w:val="007E1700"/>
    <w:rsid w:val="007E178A"/>
    <w:rsid w:val="007E1CDC"/>
    <w:rsid w:val="007E3577"/>
    <w:rsid w:val="007E357B"/>
    <w:rsid w:val="007E3AF9"/>
    <w:rsid w:val="007E41B8"/>
    <w:rsid w:val="007E4410"/>
    <w:rsid w:val="007E4A9D"/>
    <w:rsid w:val="007E4D82"/>
    <w:rsid w:val="007E5075"/>
    <w:rsid w:val="007E5189"/>
    <w:rsid w:val="007E5262"/>
    <w:rsid w:val="007E58B0"/>
    <w:rsid w:val="007E5C8D"/>
    <w:rsid w:val="007E5E45"/>
    <w:rsid w:val="007E60E1"/>
    <w:rsid w:val="007E6F78"/>
    <w:rsid w:val="007E7000"/>
    <w:rsid w:val="007E717D"/>
    <w:rsid w:val="007E7613"/>
    <w:rsid w:val="007E783A"/>
    <w:rsid w:val="007E7B76"/>
    <w:rsid w:val="007E7D6D"/>
    <w:rsid w:val="007F01D9"/>
    <w:rsid w:val="007F0604"/>
    <w:rsid w:val="007F0E8E"/>
    <w:rsid w:val="007F1288"/>
    <w:rsid w:val="007F14C6"/>
    <w:rsid w:val="007F194D"/>
    <w:rsid w:val="007F1E65"/>
    <w:rsid w:val="007F264C"/>
    <w:rsid w:val="007F3028"/>
    <w:rsid w:val="007F314D"/>
    <w:rsid w:val="007F32A4"/>
    <w:rsid w:val="007F3398"/>
    <w:rsid w:val="007F3809"/>
    <w:rsid w:val="007F3A3F"/>
    <w:rsid w:val="007F3C73"/>
    <w:rsid w:val="007F41AC"/>
    <w:rsid w:val="007F41D9"/>
    <w:rsid w:val="007F486D"/>
    <w:rsid w:val="007F48A9"/>
    <w:rsid w:val="007F4BC0"/>
    <w:rsid w:val="007F4DB9"/>
    <w:rsid w:val="007F4E49"/>
    <w:rsid w:val="007F523B"/>
    <w:rsid w:val="007F53A9"/>
    <w:rsid w:val="007F5563"/>
    <w:rsid w:val="007F5782"/>
    <w:rsid w:val="007F58EA"/>
    <w:rsid w:val="007F5B9D"/>
    <w:rsid w:val="007F5BD8"/>
    <w:rsid w:val="007F6A89"/>
    <w:rsid w:val="007F6D51"/>
    <w:rsid w:val="007F6FB4"/>
    <w:rsid w:val="007F70AD"/>
    <w:rsid w:val="007F71FA"/>
    <w:rsid w:val="007F7752"/>
    <w:rsid w:val="00800532"/>
    <w:rsid w:val="00800733"/>
    <w:rsid w:val="00800C9E"/>
    <w:rsid w:val="008012CF"/>
    <w:rsid w:val="008016EC"/>
    <w:rsid w:val="0080180B"/>
    <w:rsid w:val="00801F36"/>
    <w:rsid w:val="00801F70"/>
    <w:rsid w:val="0080216C"/>
    <w:rsid w:val="00802418"/>
    <w:rsid w:val="00802446"/>
    <w:rsid w:val="00802560"/>
    <w:rsid w:val="008028F5"/>
    <w:rsid w:val="00802D75"/>
    <w:rsid w:val="00802EF6"/>
    <w:rsid w:val="00803284"/>
    <w:rsid w:val="00803652"/>
    <w:rsid w:val="008041A7"/>
    <w:rsid w:val="008041FF"/>
    <w:rsid w:val="008043FD"/>
    <w:rsid w:val="008044D8"/>
    <w:rsid w:val="00804C82"/>
    <w:rsid w:val="0080519A"/>
    <w:rsid w:val="00805B88"/>
    <w:rsid w:val="008064B2"/>
    <w:rsid w:val="008069B8"/>
    <w:rsid w:val="00807149"/>
    <w:rsid w:val="008072C5"/>
    <w:rsid w:val="008073C1"/>
    <w:rsid w:val="00807650"/>
    <w:rsid w:val="00807755"/>
    <w:rsid w:val="00807807"/>
    <w:rsid w:val="0080782F"/>
    <w:rsid w:val="0080786F"/>
    <w:rsid w:val="008103F7"/>
    <w:rsid w:val="00810729"/>
    <w:rsid w:val="008108DC"/>
    <w:rsid w:val="00810CF3"/>
    <w:rsid w:val="00811447"/>
    <w:rsid w:val="008121DA"/>
    <w:rsid w:val="00812A56"/>
    <w:rsid w:val="00812F6C"/>
    <w:rsid w:val="00813E44"/>
    <w:rsid w:val="008140B9"/>
    <w:rsid w:val="00814819"/>
    <w:rsid w:val="00814882"/>
    <w:rsid w:val="00814EB7"/>
    <w:rsid w:val="00814F1B"/>
    <w:rsid w:val="008150FA"/>
    <w:rsid w:val="00815916"/>
    <w:rsid w:val="00816061"/>
    <w:rsid w:val="008160F0"/>
    <w:rsid w:val="0081684D"/>
    <w:rsid w:val="0081685B"/>
    <w:rsid w:val="00816923"/>
    <w:rsid w:val="00816C91"/>
    <w:rsid w:val="008174F9"/>
    <w:rsid w:val="0081764D"/>
    <w:rsid w:val="00817A1A"/>
    <w:rsid w:val="00817C76"/>
    <w:rsid w:val="00820D2B"/>
    <w:rsid w:val="00820E5F"/>
    <w:rsid w:val="008210E8"/>
    <w:rsid w:val="0082129E"/>
    <w:rsid w:val="008214FC"/>
    <w:rsid w:val="008215A5"/>
    <w:rsid w:val="0082163F"/>
    <w:rsid w:val="00822158"/>
    <w:rsid w:val="008223A6"/>
    <w:rsid w:val="008224E7"/>
    <w:rsid w:val="0082271B"/>
    <w:rsid w:val="00822EE9"/>
    <w:rsid w:val="008233DF"/>
    <w:rsid w:val="0082373D"/>
    <w:rsid w:val="00823BEF"/>
    <w:rsid w:val="008243BA"/>
    <w:rsid w:val="008245CE"/>
    <w:rsid w:val="008247C2"/>
    <w:rsid w:val="00824829"/>
    <w:rsid w:val="0082483A"/>
    <w:rsid w:val="008248F6"/>
    <w:rsid w:val="008249DA"/>
    <w:rsid w:val="00824A42"/>
    <w:rsid w:val="00824ADA"/>
    <w:rsid w:val="00824D97"/>
    <w:rsid w:val="00825195"/>
    <w:rsid w:val="008259C2"/>
    <w:rsid w:val="008259F9"/>
    <w:rsid w:val="00825E8E"/>
    <w:rsid w:val="00826070"/>
    <w:rsid w:val="00826322"/>
    <w:rsid w:val="008264A1"/>
    <w:rsid w:val="00826AB4"/>
    <w:rsid w:val="00826EF8"/>
    <w:rsid w:val="00827138"/>
    <w:rsid w:val="008275AC"/>
    <w:rsid w:val="008278FC"/>
    <w:rsid w:val="00830CD7"/>
    <w:rsid w:val="00830D53"/>
    <w:rsid w:val="0083114D"/>
    <w:rsid w:val="008311CC"/>
    <w:rsid w:val="00831678"/>
    <w:rsid w:val="00831757"/>
    <w:rsid w:val="0083196D"/>
    <w:rsid w:val="00831A6C"/>
    <w:rsid w:val="00831A74"/>
    <w:rsid w:val="00831AE2"/>
    <w:rsid w:val="00831B1D"/>
    <w:rsid w:val="00831BF1"/>
    <w:rsid w:val="00831C7E"/>
    <w:rsid w:val="00832526"/>
    <w:rsid w:val="00832A63"/>
    <w:rsid w:val="008330EB"/>
    <w:rsid w:val="008330F5"/>
    <w:rsid w:val="0083310B"/>
    <w:rsid w:val="008335DB"/>
    <w:rsid w:val="00834350"/>
    <w:rsid w:val="00834390"/>
    <w:rsid w:val="00834A59"/>
    <w:rsid w:val="00834E50"/>
    <w:rsid w:val="00835044"/>
    <w:rsid w:val="008352CB"/>
    <w:rsid w:val="0083586D"/>
    <w:rsid w:val="00835978"/>
    <w:rsid w:val="00835E6E"/>
    <w:rsid w:val="00836697"/>
    <w:rsid w:val="00836969"/>
    <w:rsid w:val="008369C5"/>
    <w:rsid w:val="00836DF9"/>
    <w:rsid w:val="00836E60"/>
    <w:rsid w:val="00837398"/>
    <w:rsid w:val="00837547"/>
    <w:rsid w:val="008378FB"/>
    <w:rsid w:val="00837A16"/>
    <w:rsid w:val="008401E9"/>
    <w:rsid w:val="00840AC2"/>
    <w:rsid w:val="00840C26"/>
    <w:rsid w:val="00840C6D"/>
    <w:rsid w:val="00840F5C"/>
    <w:rsid w:val="00841394"/>
    <w:rsid w:val="00841512"/>
    <w:rsid w:val="008415F4"/>
    <w:rsid w:val="008419F8"/>
    <w:rsid w:val="00841BA0"/>
    <w:rsid w:val="0084239E"/>
    <w:rsid w:val="008426A3"/>
    <w:rsid w:val="008426DD"/>
    <w:rsid w:val="00842971"/>
    <w:rsid w:val="00842A5C"/>
    <w:rsid w:val="00842BB4"/>
    <w:rsid w:val="00843119"/>
    <w:rsid w:val="00843150"/>
    <w:rsid w:val="00843442"/>
    <w:rsid w:val="00843614"/>
    <w:rsid w:val="008436CE"/>
    <w:rsid w:val="00843919"/>
    <w:rsid w:val="008441CB"/>
    <w:rsid w:val="008443C1"/>
    <w:rsid w:val="008445E5"/>
    <w:rsid w:val="008449A0"/>
    <w:rsid w:val="00844A07"/>
    <w:rsid w:val="00845300"/>
    <w:rsid w:val="0084558C"/>
    <w:rsid w:val="00845639"/>
    <w:rsid w:val="0084571E"/>
    <w:rsid w:val="00845846"/>
    <w:rsid w:val="00845953"/>
    <w:rsid w:val="00845A6B"/>
    <w:rsid w:val="00845B4F"/>
    <w:rsid w:val="00845B84"/>
    <w:rsid w:val="008461EE"/>
    <w:rsid w:val="00846570"/>
    <w:rsid w:val="00846BC3"/>
    <w:rsid w:val="00846C5B"/>
    <w:rsid w:val="00846DE3"/>
    <w:rsid w:val="00846FCE"/>
    <w:rsid w:val="0084762C"/>
    <w:rsid w:val="00847A60"/>
    <w:rsid w:val="00847D48"/>
    <w:rsid w:val="008505F0"/>
    <w:rsid w:val="008507B0"/>
    <w:rsid w:val="00850FB3"/>
    <w:rsid w:val="008513D3"/>
    <w:rsid w:val="008513D5"/>
    <w:rsid w:val="00851954"/>
    <w:rsid w:val="00852396"/>
    <w:rsid w:val="00852466"/>
    <w:rsid w:val="00852816"/>
    <w:rsid w:val="008528BD"/>
    <w:rsid w:val="008529B7"/>
    <w:rsid w:val="008531A8"/>
    <w:rsid w:val="008531C3"/>
    <w:rsid w:val="00853A02"/>
    <w:rsid w:val="00853B54"/>
    <w:rsid w:val="00853C26"/>
    <w:rsid w:val="00853E42"/>
    <w:rsid w:val="0085435C"/>
    <w:rsid w:val="00854405"/>
    <w:rsid w:val="0085473E"/>
    <w:rsid w:val="0085489A"/>
    <w:rsid w:val="00854AA4"/>
    <w:rsid w:val="00854DA2"/>
    <w:rsid w:val="00855081"/>
    <w:rsid w:val="008550A8"/>
    <w:rsid w:val="008553DA"/>
    <w:rsid w:val="00855AEF"/>
    <w:rsid w:val="00855D0B"/>
    <w:rsid w:val="00855E22"/>
    <w:rsid w:val="00856110"/>
    <w:rsid w:val="008562AF"/>
    <w:rsid w:val="008563CB"/>
    <w:rsid w:val="00856D7F"/>
    <w:rsid w:val="00857143"/>
    <w:rsid w:val="00857617"/>
    <w:rsid w:val="00857713"/>
    <w:rsid w:val="008577C0"/>
    <w:rsid w:val="0085797B"/>
    <w:rsid w:val="00860637"/>
    <w:rsid w:val="00860873"/>
    <w:rsid w:val="008609C2"/>
    <w:rsid w:val="008609E2"/>
    <w:rsid w:val="00860B50"/>
    <w:rsid w:val="00860B83"/>
    <w:rsid w:val="00861004"/>
    <w:rsid w:val="00861538"/>
    <w:rsid w:val="00861889"/>
    <w:rsid w:val="00861BA8"/>
    <w:rsid w:val="00861E40"/>
    <w:rsid w:val="008620D1"/>
    <w:rsid w:val="008624C2"/>
    <w:rsid w:val="00862A29"/>
    <w:rsid w:val="00863097"/>
    <w:rsid w:val="008633AC"/>
    <w:rsid w:val="00863540"/>
    <w:rsid w:val="00863F7F"/>
    <w:rsid w:val="00863FF7"/>
    <w:rsid w:val="00864105"/>
    <w:rsid w:val="0086412E"/>
    <w:rsid w:val="008645D5"/>
    <w:rsid w:val="0086481C"/>
    <w:rsid w:val="00864872"/>
    <w:rsid w:val="008648B4"/>
    <w:rsid w:val="00864D5B"/>
    <w:rsid w:val="00865584"/>
    <w:rsid w:val="008655BE"/>
    <w:rsid w:val="00865930"/>
    <w:rsid w:val="00865C2B"/>
    <w:rsid w:val="0086633D"/>
    <w:rsid w:val="00866BAF"/>
    <w:rsid w:val="00866E51"/>
    <w:rsid w:val="0086751B"/>
    <w:rsid w:val="00867ABC"/>
    <w:rsid w:val="00867CC0"/>
    <w:rsid w:val="00867CC4"/>
    <w:rsid w:val="00867E1F"/>
    <w:rsid w:val="00867E34"/>
    <w:rsid w:val="00867E4D"/>
    <w:rsid w:val="00870140"/>
    <w:rsid w:val="008705E1"/>
    <w:rsid w:val="00870DC5"/>
    <w:rsid w:val="00871046"/>
    <w:rsid w:val="00871203"/>
    <w:rsid w:val="008713E9"/>
    <w:rsid w:val="00872049"/>
    <w:rsid w:val="0087270C"/>
    <w:rsid w:val="008729C5"/>
    <w:rsid w:val="00872B45"/>
    <w:rsid w:val="00872DBC"/>
    <w:rsid w:val="00872FEB"/>
    <w:rsid w:val="0087314D"/>
    <w:rsid w:val="00873261"/>
    <w:rsid w:val="00874529"/>
    <w:rsid w:val="0087452B"/>
    <w:rsid w:val="008745D1"/>
    <w:rsid w:val="00874807"/>
    <w:rsid w:val="00874827"/>
    <w:rsid w:val="00874FE5"/>
    <w:rsid w:val="00875032"/>
    <w:rsid w:val="0087525F"/>
    <w:rsid w:val="0087528D"/>
    <w:rsid w:val="00875749"/>
    <w:rsid w:val="00875D12"/>
    <w:rsid w:val="00875ECD"/>
    <w:rsid w:val="00875ECE"/>
    <w:rsid w:val="00876275"/>
    <w:rsid w:val="00876345"/>
    <w:rsid w:val="00876426"/>
    <w:rsid w:val="008767D1"/>
    <w:rsid w:val="0087692B"/>
    <w:rsid w:val="0087697B"/>
    <w:rsid w:val="00876A57"/>
    <w:rsid w:val="00876CE0"/>
    <w:rsid w:val="00877455"/>
    <w:rsid w:val="008774B7"/>
    <w:rsid w:val="00877948"/>
    <w:rsid w:val="00877AD1"/>
    <w:rsid w:val="00877D69"/>
    <w:rsid w:val="00877E7D"/>
    <w:rsid w:val="00877FAE"/>
    <w:rsid w:val="008802CA"/>
    <w:rsid w:val="008804F9"/>
    <w:rsid w:val="0088053D"/>
    <w:rsid w:val="00880857"/>
    <w:rsid w:val="00880D6D"/>
    <w:rsid w:val="00880DC5"/>
    <w:rsid w:val="0088117F"/>
    <w:rsid w:val="00881606"/>
    <w:rsid w:val="0088188C"/>
    <w:rsid w:val="00881A3F"/>
    <w:rsid w:val="008823FF"/>
    <w:rsid w:val="00882905"/>
    <w:rsid w:val="00882A2D"/>
    <w:rsid w:val="0088311E"/>
    <w:rsid w:val="00883943"/>
    <w:rsid w:val="00883A2A"/>
    <w:rsid w:val="00883B8F"/>
    <w:rsid w:val="00883C6D"/>
    <w:rsid w:val="00883F5E"/>
    <w:rsid w:val="00883FCA"/>
    <w:rsid w:val="00884059"/>
    <w:rsid w:val="00884175"/>
    <w:rsid w:val="0088455B"/>
    <w:rsid w:val="0088464A"/>
    <w:rsid w:val="0088472B"/>
    <w:rsid w:val="00884827"/>
    <w:rsid w:val="00884BA7"/>
    <w:rsid w:val="008850EA"/>
    <w:rsid w:val="0088559A"/>
    <w:rsid w:val="0088595F"/>
    <w:rsid w:val="00885984"/>
    <w:rsid w:val="00885B96"/>
    <w:rsid w:val="008868EA"/>
    <w:rsid w:val="008871A6"/>
    <w:rsid w:val="00887319"/>
    <w:rsid w:val="00890180"/>
    <w:rsid w:val="008905C4"/>
    <w:rsid w:val="00890627"/>
    <w:rsid w:val="008906A8"/>
    <w:rsid w:val="00890983"/>
    <w:rsid w:val="00890A64"/>
    <w:rsid w:val="00891514"/>
    <w:rsid w:val="00892668"/>
    <w:rsid w:val="00892AF8"/>
    <w:rsid w:val="00893093"/>
    <w:rsid w:val="0089310B"/>
    <w:rsid w:val="008935F6"/>
    <w:rsid w:val="008936A2"/>
    <w:rsid w:val="00893DA7"/>
    <w:rsid w:val="00893DED"/>
    <w:rsid w:val="008949B6"/>
    <w:rsid w:val="00894C8D"/>
    <w:rsid w:val="00894EE3"/>
    <w:rsid w:val="0089514B"/>
    <w:rsid w:val="008952A6"/>
    <w:rsid w:val="008954A6"/>
    <w:rsid w:val="00895D2F"/>
    <w:rsid w:val="00895FA3"/>
    <w:rsid w:val="00896A85"/>
    <w:rsid w:val="00896B8F"/>
    <w:rsid w:val="00897769"/>
    <w:rsid w:val="00897864"/>
    <w:rsid w:val="00897B43"/>
    <w:rsid w:val="008A01F7"/>
    <w:rsid w:val="008A02A3"/>
    <w:rsid w:val="008A07C8"/>
    <w:rsid w:val="008A0C41"/>
    <w:rsid w:val="008A0F2A"/>
    <w:rsid w:val="008A1204"/>
    <w:rsid w:val="008A133C"/>
    <w:rsid w:val="008A18C3"/>
    <w:rsid w:val="008A1BA5"/>
    <w:rsid w:val="008A2066"/>
    <w:rsid w:val="008A2611"/>
    <w:rsid w:val="008A28C7"/>
    <w:rsid w:val="008A28DB"/>
    <w:rsid w:val="008A3006"/>
    <w:rsid w:val="008A3090"/>
    <w:rsid w:val="008A36BA"/>
    <w:rsid w:val="008A3A86"/>
    <w:rsid w:val="008A3CEB"/>
    <w:rsid w:val="008A3F39"/>
    <w:rsid w:val="008A452B"/>
    <w:rsid w:val="008A4CAB"/>
    <w:rsid w:val="008A4D6B"/>
    <w:rsid w:val="008A4E4E"/>
    <w:rsid w:val="008A5288"/>
    <w:rsid w:val="008A5BF0"/>
    <w:rsid w:val="008A62E7"/>
    <w:rsid w:val="008A6399"/>
    <w:rsid w:val="008A66DA"/>
    <w:rsid w:val="008A6759"/>
    <w:rsid w:val="008A6E68"/>
    <w:rsid w:val="008A7C73"/>
    <w:rsid w:val="008A7F78"/>
    <w:rsid w:val="008B0372"/>
    <w:rsid w:val="008B0CE1"/>
    <w:rsid w:val="008B112A"/>
    <w:rsid w:val="008B17A0"/>
    <w:rsid w:val="008B18C0"/>
    <w:rsid w:val="008B1F15"/>
    <w:rsid w:val="008B216A"/>
    <w:rsid w:val="008B253E"/>
    <w:rsid w:val="008B27E0"/>
    <w:rsid w:val="008B2A6F"/>
    <w:rsid w:val="008B3081"/>
    <w:rsid w:val="008B31C9"/>
    <w:rsid w:val="008B328F"/>
    <w:rsid w:val="008B32E6"/>
    <w:rsid w:val="008B3D59"/>
    <w:rsid w:val="008B3F59"/>
    <w:rsid w:val="008B4509"/>
    <w:rsid w:val="008B4790"/>
    <w:rsid w:val="008B49AC"/>
    <w:rsid w:val="008B4A77"/>
    <w:rsid w:val="008B4DF2"/>
    <w:rsid w:val="008B538D"/>
    <w:rsid w:val="008B55F3"/>
    <w:rsid w:val="008B56AD"/>
    <w:rsid w:val="008B5F8A"/>
    <w:rsid w:val="008B6C07"/>
    <w:rsid w:val="008B7087"/>
    <w:rsid w:val="008B74BE"/>
    <w:rsid w:val="008B7819"/>
    <w:rsid w:val="008B781A"/>
    <w:rsid w:val="008C0121"/>
    <w:rsid w:val="008C0394"/>
    <w:rsid w:val="008C0463"/>
    <w:rsid w:val="008C084E"/>
    <w:rsid w:val="008C0A4B"/>
    <w:rsid w:val="008C15F4"/>
    <w:rsid w:val="008C1A49"/>
    <w:rsid w:val="008C1E63"/>
    <w:rsid w:val="008C20EF"/>
    <w:rsid w:val="008C2379"/>
    <w:rsid w:val="008C23C4"/>
    <w:rsid w:val="008C290C"/>
    <w:rsid w:val="008C291F"/>
    <w:rsid w:val="008C2ABB"/>
    <w:rsid w:val="008C2D73"/>
    <w:rsid w:val="008C3033"/>
    <w:rsid w:val="008C317F"/>
    <w:rsid w:val="008C3310"/>
    <w:rsid w:val="008C337A"/>
    <w:rsid w:val="008C3580"/>
    <w:rsid w:val="008C35BB"/>
    <w:rsid w:val="008C3974"/>
    <w:rsid w:val="008C435C"/>
    <w:rsid w:val="008C4442"/>
    <w:rsid w:val="008C45F3"/>
    <w:rsid w:val="008C47BB"/>
    <w:rsid w:val="008C4888"/>
    <w:rsid w:val="008C50A9"/>
    <w:rsid w:val="008C51BD"/>
    <w:rsid w:val="008C549E"/>
    <w:rsid w:val="008C5989"/>
    <w:rsid w:val="008C5CBF"/>
    <w:rsid w:val="008C5E6C"/>
    <w:rsid w:val="008C6DDB"/>
    <w:rsid w:val="008C7052"/>
    <w:rsid w:val="008C73BF"/>
    <w:rsid w:val="008C74AC"/>
    <w:rsid w:val="008C7644"/>
    <w:rsid w:val="008C768D"/>
    <w:rsid w:val="008C7903"/>
    <w:rsid w:val="008C7A2B"/>
    <w:rsid w:val="008C7E63"/>
    <w:rsid w:val="008C7EC1"/>
    <w:rsid w:val="008D06DB"/>
    <w:rsid w:val="008D07E5"/>
    <w:rsid w:val="008D085B"/>
    <w:rsid w:val="008D0C19"/>
    <w:rsid w:val="008D0CEC"/>
    <w:rsid w:val="008D0E61"/>
    <w:rsid w:val="008D1062"/>
    <w:rsid w:val="008D109F"/>
    <w:rsid w:val="008D10A8"/>
    <w:rsid w:val="008D10D0"/>
    <w:rsid w:val="008D16BA"/>
    <w:rsid w:val="008D1A59"/>
    <w:rsid w:val="008D1C16"/>
    <w:rsid w:val="008D1EA7"/>
    <w:rsid w:val="008D2146"/>
    <w:rsid w:val="008D2309"/>
    <w:rsid w:val="008D2659"/>
    <w:rsid w:val="008D273F"/>
    <w:rsid w:val="008D291E"/>
    <w:rsid w:val="008D30BE"/>
    <w:rsid w:val="008D3835"/>
    <w:rsid w:val="008D3B90"/>
    <w:rsid w:val="008D3D13"/>
    <w:rsid w:val="008D434A"/>
    <w:rsid w:val="008D4615"/>
    <w:rsid w:val="008D4C5A"/>
    <w:rsid w:val="008D4C65"/>
    <w:rsid w:val="008D4DA4"/>
    <w:rsid w:val="008D51A5"/>
    <w:rsid w:val="008D55C9"/>
    <w:rsid w:val="008D56CE"/>
    <w:rsid w:val="008D58C1"/>
    <w:rsid w:val="008D597A"/>
    <w:rsid w:val="008D5A91"/>
    <w:rsid w:val="008D5B0F"/>
    <w:rsid w:val="008D5CB4"/>
    <w:rsid w:val="008D5D54"/>
    <w:rsid w:val="008D5F14"/>
    <w:rsid w:val="008D5F35"/>
    <w:rsid w:val="008D63F3"/>
    <w:rsid w:val="008D6835"/>
    <w:rsid w:val="008D68AA"/>
    <w:rsid w:val="008D74EC"/>
    <w:rsid w:val="008D755A"/>
    <w:rsid w:val="008D75CA"/>
    <w:rsid w:val="008D7D41"/>
    <w:rsid w:val="008E00B7"/>
    <w:rsid w:val="008E08C8"/>
    <w:rsid w:val="008E0ADA"/>
    <w:rsid w:val="008E0C11"/>
    <w:rsid w:val="008E0CBC"/>
    <w:rsid w:val="008E0E53"/>
    <w:rsid w:val="008E0ECA"/>
    <w:rsid w:val="008E18CB"/>
    <w:rsid w:val="008E191C"/>
    <w:rsid w:val="008E197F"/>
    <w:rsid w:val="008E23A0"/>
    <w:rsid w:val="008E2646"/>
    <w:rsid w:val="008E2D52"/>
    <w:rsid w:val="008E2EFA"/>
    <w:rsid w:val="008E327D"/>
    <w:rsid w:val="008E3957"/>
    <w:rsid w:val="008E3F56"/>
    <w:rsid w:val="008E4553"/>
    <w:rsid w:val="008E466C"/>
    <w:rsid w:val="008E4BBF"/>
    <w:rsid w:val="008E50C0"/>
    <w:rsid w:val="008E55FA"/>
    <w:rsid w:val="008E57B7"/>
    <w:rsid w:val="008E5BDD"/>
    <w:rsid w:val="008E6BD5"/>
    <w:rsid w:val="008E70B0"/>
    <w:rsid w:val="008E7C26"/>
    <w:rsid w:val="008E7E05"/>
    <w:rsid w:val="008F00BC"/>
    <w:rsid w:val="008F051B"/>
    <w:rsid w:val="008F05A1"/>
    <w:rsid w:val="008F0D24"/>
    <w:rsid w:val="008F19B0"/>
    <w:rsid w:val="008F19C5"/>
    <w:rsid w:val="008F1A99"/>
    <w:rsid w:val="008F1FEE"/>
    <w:rsid w:val="008F20D2"/>
    <w:rsid w:val="008F287E"/>
    <w:rsid w:val="008F3073"/>
    <w:rsid w:val="008F318F"/>
    <w:rsid w:val="008F31D6"/>
    <w:rsid w:val="008F3A6D"/>
    <w:rsid w:val="008F3DEB"/>
    <w:rsid w:val="008F43FB"/>
    <w:rsid w:val="008F5181"/>
    <w:rsid w:val="008F520E"/>
    <w:rsid w:val="008F53C0"/>
    <w:rsid w:val="008F59F5"/>
    <w:rsid w:val="008F60BB"/>
    <w:rsid w:val="008F68F6"/>
    <w:rsid w:val="008F73DD"/>
    <w:rsid w:val="008F7AB6"/>
    <w:rsid w:val="008F7EDC"/>
    <w:rsid w:val="0090021C"/>
    <w:rsid w:val="0090047A"/>
    <w:rsid w:val="0090067A"/>
    <w:rsid w:val="0090075A"/>
    <w:rsid w:val="009009C6"/>
    <w:rsid w:val="00900A51"/>
    <w:rsid w:val="00901327"/>
    <w:rsid w:val="009014EB"/>
    <w:rsid w:val="009017AB"/>
    <w:rsid w:val="00901D27"/>
    <w:rsid w:val="00901EB9"/>
    <w:rsid w:val="0090238B"/>
    <w:rsid w:val="009027B7"/>
    <w:rsid w:val="0090295A"/>
    <w:rsid w:val="00902BD5"/>
    <w:rsid w:val="00902C67"/>
    <w:rsid w:val="009034A0"/>
    <w:rsid w:val="00903C0E"/>
    <w:rsid w:val="00903D6B"/>
    <w:rsid w:val="00903FEC"/>
    <w:rsid w:val="00904EEE"/>
    <w:rsid w:val="00904F04"/>
    <w:rsid w:val="00905044"/>
    <w:rsid w:val="00905350"/>
    <w:rsid w:val="0090536D"/>
    <w:rsid w:val="009059A0"/>
    <w:rsid w:val="00905C22"/>
    <w:rsid w:val="00905CA5"/>
    <w:rsid w:val="00905E34"/>
    <w:rsid w:val="009065F3"/>
    <w:rsid w:val="0090660E"/>
    <w:rsid w:val="00906855"/>
    <w:rsid w:val="009069A7"/>
    <w:rsid w:val="009069CE"/>
    <w:rsid w:val="00906C6C"/>
    <w:rsid w:val="009070E9"/>
    <w:rsid w:val="009074B7"/>
    <w:rsid w:val="00907651"/>
    <w:rsid w:val="0090785C"/>
    <w:rsid w:val="00907867"/>
    <w:rsid w:val="00907AE6"/>
    <w:rsid w:val="00907D88"/>
    <w:rsid w:val="009100D8"/>
    <w:rsid w:val="0091013A"/>
    <w:rsid w:val="009103DD"/>
    <w:rsid w:val="0091066C"/>
    <w:rsid w:val="009108E2"/>
    <w:rsid w:val="0091144D"/>
    <w:rsid w:val="00911DBE"/>
    <w:rsid w:val="009120CD"/>
    <w:rsid w:val="009134C9"/>
    <w:rsid w:val="00913A99"/>
    <w:rsid w:val="00914186"/>
    <w:rsid w:val="009141A0"/>
    <w:rsid w:val="00914305"/>
    <w:rsid w:val="00914361"/>
    <w:rsid w:val="00914B77"/>
    <w:rsid w:val="00914DBE"/>
    <w:rsid w:val="00914FF7"/>
    <w:rsid w:val="00915419"/>
    <w:rsid w:val="009158B3"/>
    <w:rsid w:val="0091687A"/>
    <w:rsid w:val="009168D8"/>
    <w:rsid w:val="009168E5"/>
    <w:rsid w:val="00916B1C"/>
    <w:rsid w:val="00916D51"/>
    <w:rsid w:val="00916F5D"/>
    <w:rsid w:val="009176B9"/>
    <w:rsid w:val="00917CF6"/>
    <w:rsid w:val="009201C3"/>
    <w:rsid w:val="009203B1"/>
    <w:rsid w:val="009205F4"/>
    <w:rsid w:val="00921545"/>
    <w:rsid w:val="00921704"/>
    <w:rsid w:val="009217F8"/>
    <w:rsid w:val="00921988"/>
    <w:rsid w:val="00921A86"/>
    <w:rsid w:val="00921C05"/>
    <w:rsid w:val="00921CD3"/>
    <w:rsid w:val="00921F76"/>
    <w:rsid w:val="009231DE"/>
    <w:rsid w:val="009234FB"/>
    <w:rsid w:val="00923509"/>
    <w:rsid w:val="00923BC4"/>
    <w:rsid w:val="00923E48"/>
    <w:rsid w:val="00923F98"/>
    <w:rsid w:val="00924165"/>
    <w:rsid w:val="009242B6"/>
    <w:rsid w:val="009244FD"/>
    <w:rsid w:val="00924E06"/>
    <w:rsid w:val="00924F2A"/>
    <w:rsid w:val="009251CF"/>
    <w:rsid w:val="0092559E"/>
    <w:rsid w:val="009257B8"/>
    <w:rsid w:val="00925B23"/>
    <w:rsid w:val="00925BAE"/>
    <w:rsid w:val="00925C0B"/>
    <w:rsid w:val="00925DE6"/>
    <w:rsid w:val="00926522"/>
    <w:rsid w:val="009265CB"/>
    <w:rsid w:val="00926736"/>
    <w:rsid w:val="00926828"/>
    <w:rsid w:val="0092729D"/>
    <w:rsid w:val="00927FD1"/>
    <w:rsid w:val="0093036A"/>
    <w:rsid w:val="009318D1"/>
    <w:rsid w:val="00931D72"/>
    <w:rsid w:val="00932234"/>
    <w:rsid w:val="0093237A"/>
    <w:rsid w:val="0093267E"/>
    <w:rsid w:val="009329B1"/>
    <w:rsid w:val="009331FD"/>
    <w:rsid w:val="0093323E"/>
    <w:rsid w:val="009336B1"/>
    <w:rsid w:val="009338F8"/>
    <w:rsid w:val="00933C62"/>
    <w:rsid w:val="00933CB4"/>
    <w:rsid w:val="00933E84"/>
    <w:rsid w:val="00934AE9"/>
    <w:rsid w:val="00934AEB"/>
    <w:rsid w:val="0093518E"/>
    <w:rsid w:val="0093598C"/>
    <w:rsid w:val="00935C9F"/>
    <w:rsid w:val="00935FB5"/>
    <w:rsid w:val="00936206"/>
    <w:rsid w:val="009369AA"/>
    <w:rsid w:val="00936F85"/>
    <w:rsid w:val="00937320"/>
    <w:rsid w:val="009377A9"/>
    <w:rsid w:val="00937F04"/>
    <w:rsid w:val="00940121"/>
    <w:rsid w:val="009402FF"/>
    <w:rsid w:val="00940594"/>
    <w:rsid w:val="009405F5"/>
    <w:rsid w:val="00940AA1"/>
    <w:rsid w:val="00940FCC"/>
    <w:rsid w:val="00941045"/>
    <w:rsid w:val="00941863"/>
    <w:rsid w:val="00941902"/>
    <w:rsid w:val="00941ECC"/>
    <w:rsid w:val="009420ED"/>
    <w:rsid w:val="00942326"/>
    <w:rsid w:val="0094244A"/>
    <w:rsid w:val="00942452"/>
    <w:rsid w:val="009426A3"/>
    <w:rsid w:val="009427C6"/>
    <w:rsid w:val="00942BC5"/>
    <w:rsid w:val="009435A6"/>
    <w:rsid w:val="0094372C"/>
    <w:rsid w:val="00943BDD"/>
    <w:rsid w:val="00943C72"/>
    <w:rsid w:val="0094404B"/>
    <w:rsid w:val="00944AAC"/>
    <w:rsid w:val="00944AFA"/>
    <w:rsid w:val="00944DD1"/>
    <w:rsid w:val="0094520E"/>
    <w:rsid w:val="00945D54"/>
    <w:rsid w:val="00945FC0"/>
    <w:rsid w:val="00946366"/>
    <w:rsid w:val="00946453"/>
    <w:rsid w:val="0094671E"/>
    <w:rsid w:val="0094680E"/>
    <w:rsid w:val="00946CB0"/>
    <w:rsid w:val="00946CD9"/>
    <w:rsid w:val="00946D11"/>
    <w:rsid w:val="00946F11"/>
    <w:rsid w:val="00947822"/>
    <w:rsid w:val="009478E0"/>
    <w:rsid w:val="00947CAC"/>
    <w:rsid w:val="00947DB9"/>
    <w:rsid w:val="00950292"/>
    <w:rsid w:val="009503C9"/>
    <w:rsid w:val="00950A36"/>
    <w:rsid w:val="00950A9B"/>
    <w:rsid w:val="00950FEC"/>
    <w:rsid w:val="00951131"/>
    <w:rsid w:val="009511B1"/>
    <w:rsid w:val="009515C1"/>
    <w:rsid w:val="0095170C"/>
    <w:rsid w:val="00951B30"/>
    <w:rsid w:val="00951B7F"/>
    <w:rsid w:val="009525AC"/>
    <w:rsid w:val="00952835"/>
    <w:rsid w:val="00952977"/>
    <w:rsid w:val="00952B29"/>
    <w:rsid w:val="00952E05"/>
    <w:rsid w:val="00953241"/>
    <w:rsid w:val="00953441"/>
    <w:rsid w:val="00953994"/>
    <w:rsid w:val="00953B3B"/>
    <w:rsid w:val="00953BAB"/>
    <w:rsid w:val="00953DF4"/>
    <w:rsid w:val="00953E66"/>
    <w:rsid w:val="009541D1"/>
    <w:rsid w:val="009545EB"/>
    <w:rsid w:val="00955249"/>
    <w:rsid w:val="00955868"/>
    <w:rsid w:val="00955ADF"/>
    <w:rsid w:val="00955FDA"/>
    <w:rsid w:val="00956893"/>
    <w:rsid w:val="0095695D"/>
    <w:rsid w:val="00956A44"/>
    <w:rsid w:val="0095732C"/>
    <w:rsid w:val="009573B1"/>
    <w:rsid w:val="00957CB6"/>
    <w:rsid w:val="00957D5C"/>
    <w:rsid w:val="009609E4"/>
    <w:rsid w:val="009612D2"/>
    <w:rsid w:val="00961608"/>
    <w:rsid w:val="00961F00"/>
    <w:rsid w:val="00961F72"/>
    <w:rsid w:val="009623D1"/>
    <w:rsid w:val="00962672"/>
    <w:rsid w:val="009635C9"/>
    <w:rsid w:val="0096364C"/>
    <w:rsid w:val="0096371A"/>
    <w:rsid w:val="009641D0"/>
    <w:rsid w:val="00964302"/>
    <w:rsid w:val="00964797"/>
    <w:rsid w:val="00964A84"/>
    <w:rsid w:val="0096514C"/>
    <w:rsid w:val="009657CC"/>
    <w:rsid w:val="00965852"/>
    <w:rsid w:val="00965F90"/>
    <w:rsid w:val="00966D18"/>
    <w:rsid w:val="00966EDB"/>
    <w:rsid w:val="00966F6A"/>
    <w:rsid w:val="009670A7"/>
    <w:rsid w:val="0096776A"/>
    <w:rsid w:val="00967D1F"/>
    <w:rsid w:val="009704C4"/>
    <w:rsid w:val="009707F4"/>
    <w:rsid w:val="00970E0E"/>
    <w:rsid w:val="00970FF8"/>
    <w:rsid w:val="009719C3"/>
    <w:rsid w:val="00971D55"/>
    <w:rsid w:val="0097238D"/>
    <w:rsid w:val="0097294F"/>
    <w:rsid w:val="00972CCE"/>
    <w:rsid w:val="00972CF2"/>
    <w:rsid w:val="009732C2"/>
    <w:rsid w:val="009732FA"/>
    <w:rsid w:val="00973855"/>
    <w:rsid w:val="009740B3"/>
    <w:rsid w:val="00974280"/>
    <w:rsid w:val="0097484E"/>
    <w:rsid w:val="009748F5"/>
    <w:rsid w:val="00974C7C"/>
    <w:rsid w:val="00974C7F"/>
    <w:rsid w:val="00974EEB"/>
    <w:rsid w:val="00975367"/>
    <w:rsid w:val="0097555E"/>
    <w:rsid w:val="009755BB"/>
    <w:rsid w:val="00975A0B"/>
    <w:rsid w:val="00976708"/>
    <w:rsid w:val="00976E56"/>
    <w:rsid w:val="009776A0"/>
    <w:rsid w:val="00977B96"/>
    <w:rsid w:val="009805A9"/>
    <w:rsid w:val="00980ADE"/>
    <w:rsid w:val="00980C54"/>
    <w:rsid w:val="00980CF3"/>
    <w:rsid w:val="00980ED0"/>
    <w:rsid w:val="00981150"/>
    <w:rsid w:val="009812C0"/>
    <w:rsid w:val="009812FF"/>
    <w:rsid w:val="009813ED"/>
    <w:rsid w:val="00981514"/>
    <w:rsid w:val="00981ED0"/>
    <w:rsid w:val="009824EE"/>
    <w:rsid w:val="009825B0"/>
    <w:rsid w:val="00982AAA"/>
    <w:rsid w:val="00982C74"/>
    <w:rsid w:val="009830D6"/>
    <w:rsid w:val="0098331E"/>
    <w:rsid w:val="0098340D"/>
    <w:rsid w:val="00983758"/>
    <w:rsid w:val="0098404F"/>
    <w:rsid w:val="009843FB"/>
    <w:rsid w:val="0098490F"/>
    <w:rsid w:val="00984BCD"/>
    <w:rsid w:val="00985592"/>
    <w:rsid w:val="00985BD5"/>
    <w:rsid w:val="00985F7A"/>
    <w:rsid w:val="00986017"/>
    <w:rsid w:val="0098689A"/>
    <w:rsid w:val="00987217"/>
    <w:rsid w:val="009876CB"/>
    <w:rsid w:val="0098797D"/>
    <w:rsid w:val="0099004F"/>
    <w:rsid w:val="00990410"/>
    <w:rsid w:val="00991038"/>
    <w:rsid w:val="00991133"/>
    <w:rsid w:val="00991574"/>
    <w:rsid w:val="009915B4"/>
    <w:rsid w:val="0099173C"/>
    <w:rsid w:val="009919D0"/>
    <w:rsid w:val="00991D93"/>
    <w:rsid w:val="009920D8"/>
    <w:rsid w:val="00992743"/>
    <w:rsid w:val="00992EE9"/>
    <w:rsid w:val="009939EE"/>
    <w:rsid w:val="009940D8"/>
    <w:rsid w:val="009942AA"/>
    <w:rsid w:val="009942D1"/>
    <w:rsid w:val="0099447D"/>
    <w:rsid w:val="009945B3"/>
    <w:rsid w:val="00994CCA"/>
    <w:rsid w:val="0099506B"/>
    <w:rsid w:val="009952E8"/>
    <w:rsid w:val="00995594"/>
    <w:rsid w:val="00995BDF"/>
    <w:rsid w:val="00995F16"/>
    <w:rsid w:val="00995F9C"/>
    <w:rsid w:val="009968E8"/>
    <w:rsid w:val="009972D8"/>
    <w:rsid w:val="00997343"/>
    <w:rsid w:val="009978A8"/>
    <w:rsid w:val="00997BD1"/>
    <w:rsid w:val="009A039A"/>
    <w:rsid w:val="009A0726"/>
    <w:rsid w:val="009A095D"/>
    <w:rsid w:val="009A0C6B"/>
    <w:rsid w:val="009A0D12"/>
    <w:rsid w:val="009A12C6"/>
    <w:rsid w:val="009A19AC"/>
    <w:rsid w:val="009A1B88"/>
    <w:rsid w:val="009A1CA6"/>
    <w:rsid w:val="009A208A"/>
    <w:rsid w:val="009A25E6"/>
    <w:rsid w:val="009A2794"/>
    <w:rsid w:val="009A27A2"/>
    <w:rsid w:val="009A2B6E"/>
    <w:rsid w:val="009A2E3F"/>
    <w:rsid w:val="009A3314"/>
    <w:rsid w:val="009A3387"/>
    <w:rsid w:val="009A3AF7"/>
    <w:rsid w:val="009A3AFE"/>
    <w:rsid w:val="009A3C72"/>
    <w:rsid w:val="009A3F0E"/>
    <w:rsid w:val="009A4250"/>
    <w:rsid w:val="009A4AFA"/>
    <w:rsid w:val="009A4C3B"/>
    <w:rsid w:val="009A4C6C"/>
    <w:rsid w:val="009A5076"/>
    <w:rsid w:val="009A50E6"/>
    <w:rsid w:val="009A5632"/>
    <w:rsid w:val="009A5B2D"/>
    <w:rsid w:val="009A5D4E"/>
    <w:rsid w:val="009A5E19"/>
    <w:rsid w:val="009A6D01"/>
    <w:rsid w:val="009A6D8E"/>
    <w:rsid w:val="009A6E6C"/>
    <w:rsid w:val="009A7077"/>
    <w:rsid w:val="009A7931"/>
    <w:rsid w:val="009A7D59"/>
    <w:rsid w:val="009B0281"/>
    <w:rsid w:val="009B0768"/>
    <w:rsid w:val="009B086F"/>
    <w:rsid w:val="009B0988"/>
    <w:rsid w:val="009B0E1C"/>
    <w:rsid w:val="009B106B"/>
    <w:rsid w:val="009B10AC"/>
    <w:rsid w:val="009B225C"/>
    <w:rsid w:val="009B24F7"/>
    <w:rsid w:val="009B2868"/>
    <w:rsid w:val="009B2E4F"/>
    <w:rsid w:val="009B2E90"/>
    <w:rsid w:val="009B3096"/>
    <w:rsid w:val="009B32AD"/>
    <w:rsid w:val="009B4009"/>
    <w:rsid w:val="009B4035"/>
    <w:rsid w:val="009B4148"/>
    <w:rsid w:val="009B4534"/>
    <w:rsid w:val="009B4669"/>
    <w:rsid w:val="009B4C39"/>
    <w:rsid w:val="009B4ED7"/>
    <w:rsid w:val="009B5008"/>
    <w:rsid w:val="009B51AF"/>
    <w:rsid w:val="009B57E1"/>
    <w:rsid w:val="009B580E"/>
    <w:rsid w:val="009B58A1"/>
    <w:rsid w:val="009B5BA8"/>
    <w:rsid w:val="009B5C5E"/>
    <w:rsid w:val="009B5C7E"/>
    <w:rsid w:val="009B68FA"/>
    <w:rsid w:val="009B6A33"/>
    <w:rsid w:val="009B6CC7"/>
    <w:rsid w:val="009B70EC"/>
    <w:rsid w:val="009B7395"/>
    <w:rsid w:val="009B747E"/>
    <w:rsid w:val="009B751A"/>
    <w:rsid w:val="009B75EC"/>
    <w:rsid w:val="009B7CE6"/>
    <w:rsid w:val="009C0230"/>
    <w:rsid w:val="009C03BF"/>
    <w:rsid w:val="009C0807"/>
    <w:rsid w:val="009C0B78"/>
    <w:rsid w:val="009C0E66"/>
    <w:rsid w:val="009C1341"/>
    <w:rsid w:val="009C145B"/>
    <w:rsid w:val="009C1777"/>
    <w:rsid w:val="009C19AB"/>
    <w:rsid w:val="009C1B33"/>
    <w:rsid w:val="009C1F98"/>
    <w:rsid w:val="009C2749"/>
    <w:rsid w:val="009C2B7F"/>
    <w:rsid w:val="009C35FE"/>
    <w:rsid w:val="009C386D"/>
    <w:rsid w:val="009C3D7B"/>
    <w:rsid w:val="009C3DBA"/>
    <w:rsid w:val="009C3F33"/>
    <w:rsid w:val="009C450B"/>
    <w:rsid w:val="009C47DF"/>
    <w:rsid w:val="009C47F9"/>
    <w:rsid w:val="009C4917"/>
    <w:rsid w:val="009C4D03"/>
    <w:rsid w:val="009C54F1"/>
    <w:rsid w:val="009C5980"/>
    <w:rsid w:val="009C6030"/>
    <w:rsid w:val="009C61F3"/>
    <w:rsid w:val="009C6295"/>
    <w:rsid w:val="009C670A"/>
    <w:rsid w:val="009C67A7"/>
    <w:rsid w:val="009C6D55"/>
    <w:rsid w:val="009C6DE5"/>
    <w:rsid w:val="009C6E75"/>
    <w:rsid w:val="009C70AC"/>
    <w:rsid w:val="009C742F"/>
    <w:rsid w:val="009C7C35"/>
    <w:rsid w:val="009C7DDE"/>
    <w:rsid w:val="009D0187"/>
    <w:rsid w:val="009D020B"/>
    <w:rsid w:val="009D092F"/>
    <w:rsid w:val="009D0D2A"/>
    <w:rsid w:val="009D1115"/>
    <w:rsid w:val="009D1212"/>
    <w:rsid w:val="009D1418"/>
    <w:rsid w:val="009D16E0"/>
    <w:rsid w:val="009D1CFD"/>
    <w:rsid w:val="009D1D3C"/>
    <w:rsid w:val="009D27E1"/>
    <w:rsid w:val="009D293B"/>
    <w:rsid w:val="009D3B48"/>
    <w:rsid w:val="009D3EB7"/>
    <w:rsid w:val="009D3FE8"/>
    <w:rsid w:val="009D409E"/>
    <w:rsid w:val="009D4891"/>
    <w:rsid w:val="009D5474"/>
    <w:rsid w:val="009D57C3"/>
    <w:rsid w:val="009D5E20"/>
    <w:rsid w:val="009D6184"/>
    <w:rsid w:val="009D6872"/>
    <w:rsid w:val="009D6B13"/>
    <w:rsid w:val="009D6E6C"/>
    <w:rsid w:val="009D7138"/>
    <w:rsid w:val="009D74B8"/>
    <w:rsid w:val="009D7569"/>
    <w:rsid w:val="009D783E"/>
    <w:rsid w:val="009D796E"/>
    <w:rsid w:val="009D79A1"/>
    <w:rsid w:val="009D7C0F"/>
    <w:rsid w:val="009D7D1E"/>
    <w:rsid w:val="009D7D74"/>
    <w:rsid w:val="009D7E7F"/>
    <w:rsid w:val="009E01AA"/>
    <w:rsid w:val="009E02BE"/>
    <w:rsid w:val="009E0309"/>
    <w:rsid w:val="009E08C7"/>
    <w:rsid w:val="009E0C90"/>
    <w:rsid w:val="009E0F40"/>
    <w:rsid w:val="009E1A35"/>
    <w:rsid w:val="009E1B79"/>
    <w:rsid w:val="009E1C0F"/>
    <w:rsid w:val="009E1F44"/>
    <w:rsid w:val="009E2087"/>
    <w:rsid w:val="009E21FD"/>
    <w:rsid w:val="009E22D3"/>
    <w:rsid w:val="009E2365"/>
    <w:rsid w:val="009E2A89"/>
    <w:rsid w:val="009E2C8A"/>
    <w:rsid w:val="009E3A49"/>
    <w:rsid w:val="009E42D8"/>
    <w:rsid w:val="009E4375"/>
    <w:rsid w:val="009E52F4"/>
    <w:rsid w:val="009E54E3"/>
    <w:rsid w:val="009E5694"/>
    <w:rsid w:val="009E5812"/>
    <w:rsid w:val="009E59CD"/>
    <w:rsid w:val="009E63F9"/>
    <w:rsid w:val="009E65C2"/>
    <w:rsid w:val="009E6619"/>
    <w:rsid w:val="009E6828"/>
    <w:rsid w:val="009E72CA"/>
    <w:rsid w:val="009E7657"/>
    <w:rsid w:val="009E765B"/>
    <w:rsid w:val="009E793F"/>
    <w:rsid w:val="009E7DDE"/>
    <w:rsid w:val="009E7E40"/>
    <w:rsid w:val="009F09F4"/>
    <w:rsid w:val="009F0A9C"/>
    <w:rsid w:val="009F0E02"/>
    <w:rsid w:val="009F0F3C"/>
    <w:rsid w:val="009F1109"/>
    <w:rsid w:val="009F17C2"/>
    <w:rsid w:val="009F18D7"/>
    <w:rsid w:val="009F246E"/>
    <w:rsid w:val="009F259E"/>
    <w:rsid w:val="009F2675"/>
    <w:rsid w:val="009F2676"/>
    <w:rsid w:val="009F2896"/>
    <w:rsid w:val="009F29C9"/>
    <w:rsid w:val="009F2E0C"/>
    <w:rsid w:val="009F33F4"/>
    <w:rsid w:val="009F3A42"/>
    <w:rsid w:val="009F3AE1"/>
    <w:rsid w:val="009F3C5A"/>
    <w:rsid w:val="009F435A"/>
    <w:rsid w:val="009F444F"/>
    <w:rsid w:val="009F466A"/>
    <w:rsid w:val="009F4990"/>
    <w:rsid w:val="009F4B76"/>
    <w:rsid w:val="009F5346"/>
    <w:rsid w:val="009F5628"/>
    <w:rsid w:val="009F568D"/>
    <w:rsid w:val="009F5A43"/>
    <w:rsid w:val="009F5B5C"/>
    <w:rsid w:val="009F66F8"/>
    <w:rsid w:val="009F6AE6"/>
    <w:rsid w:val="009F73FF"/>
    <w:rsid w:val="009F74F7"/>
    <w:rsid w:val="009F7E9C"/>
    <w:rsid w:val="00A003CE"/>
    <w:rsid w:val="00A00907"/>
    <w:rsid w:val="00A00A8A"/>
    <w:rsid w:val="00A00AB0"/>
    <w:rsid w:val="00A00BE4"/>
    <w:rsid w:val="00A00F4C"/>
    <w:rsid w:val="00A0140C"/>
    <w:rsid w:val="00A0183E"/>
    <w:rsid w:val="00A018D8"/>
    <w:rsid w:val="00A01AC7"/>
    <w:rsid w:val="00A0215E"/>
    <w:rsid w:val="00A022A3"/>
    <w:rsid w:val="00A02398"/>
    <w:rsid w:val="00A02430"/>
    <w:rsid w:val="00A02637"/>
    <w:rsid w:val="00A026DD"/>
    <w:rsid w:val="00A0310E"/>
    <w:rsid w:val="00A034BC"/>
    <w:rsid w:val="00A03ACE"/>
    <w:rsid w:val="00A03D29"/>
    <w:rsid w:val="00A049E2"/>
    <w:rsid w:val="00A04BBC"/>
    <w:rsid w:val="00A04BFD"/>
    <w:rsid w:val="00A057C9"/>
    <w:rsid w:val="00A05F10"/>
    <w:rsid w:val="00A0611D"/>
    <w:rsid w:val="00A06581"/>
    <w:rsid w:val="00A06904"/>
    <w:rsid w:val="00A06B55"/>
    <w:rsid w:val="00A0737A"/>
    <w:rsid w:val="00A07756"/>
    <w:rsid w:val="00A07B39"/>
    <w:rsid w:val="00A07FD9"/>
    <w:rsid w:val="00A10327"/>
    <w:rsid w:val="00A10671"/>
    <w:rsid w:val="00A1083F"/>
    <w:rsid w:val="00A1102B"/>
    <w:rsid w:val="00A1171A"/>
    <w:rsid w:val="00A12122"/>
    <w:rsid w:val="00A1266C"/>
    <w:rsid w:val="00A12740"/>
    <w:rsid w:val="00A12744"/>
    <w:rsid w:val="00A12E6B"/>
    <w:rsid w:val="00A12FD4"/>
    <w:rsid w:val="00A13215"/>
    <w:rsid w:val="00A13325"/>
    <w:rsid w:val="00A134BA"/>
    <w:rsid w:val="00A137F9"/>
    <w:rsid w:val="00A1398C"/>
    <w:rsid w:val="00A1404F"/>
    <w:rsid w:val="00A1461F"/>
    <w:rsid w:val="00A14B98"/>
    <w:rsid w:val="00A14FA2"/>
    <w:rsid w:val="00A14FED"/>
    <w:rsid w:val="00A1510E"/>
    <w:rsid w:val="00A15562"/>
    <w:rsid w:val="00A157EF"/>
    <w:rsid w:val="00A158B0"/>
    <w:rsid w:val="00A15965"/>
    <w:rsid w:val="00A159D6"/>
    <w:rsid w:val="00A15F8D"/>
    <w:rsid w:val="00A163BA"/>
    <w:rsid w:val="00A165D0"/>
    <w:rsid w:val="00A165EB"/>
    <w:rsid w:val="00A16659"/>
    <w:rsid w:val="00A167CE"/>
    <w:rsid w:val="00A16850"/>
    <w:rsid w:val="00A16A50"/>
    <w:rsid w:val="00A16B47"/>
    <w:rsid w:val="00A16D20"/>
    <w:rsid w:val="00A1705D"/>
    <w:rsid w:val="00A170EB"/>
    <w:rsid w:val="00A17136"/>
    <w:rsid w:val="00A171BC"/>
    <w:rsid w:val="00A17D21"/>
    <w:rsid w:val="00A17D35"/>
    <w:rsid w:val="00A17EDE"/>
    <w:rsid w:val="00A2045B"/>
    <w:rsid w:val="00A20635"/>
    <w:rsid w:val="00A2077D"/>
    <w:rsid w:val="00A20A6F"/>
    <w:rsid w:val="00A20A74"/>
    <w:rsid w:val="00A20BEF"/>
    <w:rsid w:val="00A20E0B"/>
    <w:rsid w:val="00A210C6"/>
    <w:rsid w:val="00A21322"/>
    <w:rsid w:val="00A21E40"/>
    <w:rsid w:val="00A21E68"/>
    <w:rsid w:val="00A2221C"/>
    <w:rsid w:val="00A22286"/>
    <w:rsid w:val="00A22B98"/>
    <w:rsid w:val="00A22C57"/>
    <w:rsid w:val="00A22F77"/>
    <w:rsid w:val="00A23166"/>
    <w:rsid w:val="00A2326B"/>
    <w:rsid w:val="00A237DD"/>
    <w:rsid w:val="00A23E5E"/>
    <w:rsid w:val="00A24064"/>
    <w:rsid w:val="00A2408F"/>
    <w:rsid w:val="00A244BD"/>
    <w:rsid w:val="00A24552"/>
    <w:rsid w:val="00A24985"/>
    <w:rsid w:val="00A24ECE"/>
    <w:rsid w:val="00A25917"/>
    <w:rsid w:val="00A2597C"/>
    <w:rsid w:val="00A25CB8"/>
    <w:rsid w:val="00A25E94"/>
    <w:rsid w:val="00A2643B"/>
    <w:rsid w:val="00A26804"/>
    <w:rsid w:val="00A274C2"/>
    <w:rsid w:val="00A27535"/>
    <w:rsid w:val="00A27A93"/>
    <w:rsid w:val="00A27F0C"/>
    <w:rsid w:val="00A30041"/>
    <w:rsid w:val="00A3071C"/>
    <w:rsid w:val="00A308FB"/>
    <w:rsid w:val="00A30FCF"/>
    <w:rsid w:val="00A31104"/>
    <w:rsid w:val="00A312EB"/>
    <w:rsid w:val="00A31CBD"/>
    <w:rsid w:val="00A31D31"/>
    <w:rsid w:val="00A32112"/>
    <w:rsid w:val="00A323BB"/>
    <w:rsid w:val="00A326E6"/>
    <w:rsid w:val="00A32AF9"/>
    <w:rsid w:val="00A3309A"/>
    <w:rsid w:val="00A3361E"/>
    <w:rsid w:val="00A33BC9"/>
    <w:rsid w:val="00A33DF9"/>
    <w:rsid w:val="00A34173"/>
    <w:rsid w:val="00A3495A"/>
    <w:rsid w:val="00A3496E"/>
    <w:rsid w:val="00A34B65"/>
    <w:rsid w:val="00A34C68"/>
    <w:rsid w:val="00A34CD8"/>
    <w:rsid w:val="00A34E16"/>
    <w:rsid w:val="00A34F75"/>
    <w:rsid w:val="00A351DA"/>
    <w:rsid w:val="00A3522B"/>
    <w:rsid w:val="00A35392"/>
    <w:rsid w:val="00A35823"/>
    <w:rsid w:val="00A35EDD"/>
    <w:rsid w:val="00A35F45"/>
    <w:rsid w:val="00A3627F"/>
    <w:rsid w:val="00A374B1"/>
    <w:rsid w:val="00A378A0"/>
    <w:rsid w:val="00A379D9"/>
    <w:rsid w:val="00A379FA"/>
    <w:rsid w:val="00A37F75"/>
    <w:rsid w:val="00A40ADB"/>
    <w:rsid w:val="00A40B3F"/>
    <w:rsid w:val="00A40BB0"/>
    <w:rsid w:val="00A40CFA"/>
    <w:rsid w:val="00A410C6"/>
    <w:rsid w:val="00A415AE"/>
    <w:rsid w:val="00A419BB"/>
    <w:rsid w:val="00A42019"/>
    <w:rsid w:val="00A42285"/>
    <w:rsid w:val="00A429D5"/>
    <w:rsid w:val="00A42A00"/>
    <w:rsid w:val="00A42BD9"/>
    <w:rsid w:val="00A4322C"/>
    <w:rsid w:val="00A433D5"/>
    <w:rsid w:val="00A4346F"/>
    <w:rsid w:val="00A43679"/>
    <w:rsid w:val="00A437B6"/>
    <w:rsid w:val="00A4394A"/>
    <w:rsid w:val="00A43ADF"/>
    <w:rsid w:val="00A43B05"/>
    <w:rsid w:val="00A43DC7"/>
    <w:rsid w:val="00A44038"/>
    <w:rsid w:val="00A4471A"/>
    <w:rsid w:val="00A44821"/>
    <w:rsid w:val="00A44D31"/>
    <w:rsid w:val="00A44E24"/>
    <w:rsid w:val="00A450F8"/>
    <w:rsid w:val="00A45418"/>
    <w:rsid w:val="00A454DB"/>
    <w:rsid w:val="00A457AB"/>
    <w:rsid w:val="00A45A59"/>
    <w:rsid w:val="00A474E7"/>
    <w:rsid w:val="00A475C7"/>
    <w:rsid w:val="00A47CB2"/>
    <w:rsid w:val="00A47DCF"/>
    <w:rsid w:val="00A50251"/>
    <w:rsid w:val="00A5026D"/>
    <w:rsid w:val="00A502E0"/>
    <w:rsid w:val="00A50BCE"/>
    <w:rsid w:val="00A50E18"/>
    <w:rsid w:val="00A50E2C"/>
    <w:rsid w:val="00A514A1"/>
    <w:rsid w:val="00A51A12"/>
    <w:rsid w:val="00A51AE1"/>
    <w:rsid w:val="00A51E25"/>
    <w:rsid w:val="00A51E9F"/>
    <w:rsid w:val="00A51FB6"/>
    <w:rsid w:val="00A52108"/>
    <w:rsid w:val="00A527DE"/>
    <w:rsid w:val="00A52B24"/>
    <w:rsid w:val="00A52BA8"/>
    <w:rsid w:val="00A52E0B"/>
    <w:rsid w:val="00A5330E"/>
    <w:rsid w:val="00A53563"/>
    <w:rsid w:val="00A53A49"/>
    <w:rsid w:val="00A5423B"/>
    <w:rsid w:val="00A54349"/>
    <w:rsid w:val="00A54CC5"/>
    <w:rsid w:val="00A54D73"/>
    <w:rsid w:val="00A54D84"/>
    <w:rsid w:val="00A5527B"/>
    <w:rsid w:val="00A554C0"/>
    <w:rsid w:val="00A555F5"/>
    <w:rsid w:val="00A55CAC"/>
    <w:rsid w:val="00A5639A"/>
    <w:rsid w:val="00A5662D"/>
    <w:rsid w:val="00A56973"/>
    <w:rsid w:val="00A5720B"/>
    <w:rsid w:val="00A578FA"/>
    <w:rsid w:val="00A57C9A"/>
    <w:rsid w:val="00A57F20"/>
    <w:rsid w:val="00A6039C"/>
    <w:rsid w:val="00A60550"/>
    <w:rsid w:val="00A609EF"/>
    <w:rsid w:val="00A60D3E"/>
    <w:rsid w:val="00A60DFC"/>
    <w:rsid w:val="00A61021"/>
    <w:rsid w:val="00A61439"/>
    <w:rsid w:val="00A61A5F"/>
    <w:rsid w:val="00A61F2C"/>
    <w:rsid w:val="00A623E7"/>
    <w:rsid w:val="00A627FB"/>
    <w:rsid w:val="00A6290A"/>
    <w:rsid w:val="00A63220"/>
    <w:rsid w:val="00A6380E"/>
    <w:rsid w:val="00A6396C"/>
    <w:rsid w:val="00A63D01"/>
    <w:rsid w:val="00A64205"/>
    <w:rsid w:val="00A64947"/>
    <w:rsid w:val="00A65657"/>
    <w:rsid w:val="00A659C1"/>
    <w:rsid w:val="00A65BCB"/>
    <w:rsid w:val="00A65E73"/>
    <w:rsid w:val="00A660E3"/>
    <w:rsid w:val="00A66254"/>
    <w:rsid w:val="00A66465"/>
    <w:rsid w:val="00A66A70"/>
    <w:rsid w:val="00A67674"/>
    <w:rsid w:val="00A702BA"/>
    <w:rsid w:val="00A70F59"/>
    <w:rsid w:val="00A7150B"/>
    <w:rsid w:val="00A715CD"/>
    <w:rsid w:val="00A71DD5"/>
    <w:rsid w:val="00A720D1"/>
    <w:rsid w:val="00A72DA4"/>
    <w:rsid w:val="00A73080"/>
    <w:rsid w:val="00A730FE"/>
    <w:rsid w:val="00A7418C"/>
    <w:rsid w:val="00A741D2"/>
    <w:rsid w:val="00A7438E"/>
    <w:rsid w:val="00A7443C"/>
    <w:rsid w:val="00A745DD"/>
    <w:rsid w:val="00A74843"/>
    <w:rsid w:val="00A74A3E"/>
    <w:rsid w:val="00A7515A"/>
    <w:rsid w:val="00A75691"/>
    <w:rsid w:val="00A75692"/>
    <w:rsid w:val="00A756AE"/>
    <w:rsid w:val="00A75B89"/>
    <w:rsid w:val="00A75E21"/>
    <w:rsid w:val="00A7639A"/>
    <w:rsid w:val="00A763F4"/>
    <w:rsid w:val="00A767BF"/>
    <w:rsid w:val="00A76A7B"/>
    <w:rsid w:val="00A7722E"/>
    <w:rsid w:val="00A7724D"/>
    <w:rsid w:val="00A7780D"/>
    <w:rsid w:val="00A77858"/>
    <w:rsid w:val="00A77AD0"/>
    <w:rsid w:val="00A80222"/>
    <w:rsid w:val="00A80384"/>
    <w:rsid w:val="00A80B98"/>
    <w:rsid w:val="00A80BCF"/>
    <w:rsid w:val="00A80C53"/>
    <w:rsid w:val="00A80D77"/>
    <w:rsid w:val="00A80E07"/>
    <w:rsid w:val="00A8121B"/>
    <w:rsid w:val="00A818BF"/>
    <w:rsid w:val="00A8190D"/>
    <w:rsid w:val="00A82184"/>
    <w:rsid w:val="00A82C5A"/>
    <w:rsid w:val="00A8303F"/>
    <w:rsid w:val="00A83427"/>
    <w:rsid w:val="00A835FE"/>
    <w:rsid w:val="00A836AC"/>
    <w:rsid w:val="00A83D03"/>
    <w:rsid w:val="00A84422"/>
    <w:rsid w:val="00A84AD1"/>
    <w:rsid w:val="00A84F3A"/>
    <w:rsid w:val="00A85237"/>
    <w:rsid w:val="00A85980"/>
    <w:rsid w:val="00A85B03"/>
    <w:rsid w:val="00A85D83"/>
    <w:rsid w:val="00A86196"/>
    <w:rsid w:val="00A86249"/>
    <w:rsid w:val="00A862EE"/>
    <w:rsid w:val="00A863D2"/>
    <w:rsid w:val="00A8698A"/>
    <w:rsid w:val="00A870CE"/>
    <w:rsid w:val="00A87355"/>
    <w:rsid w:val="00A87BFF"/>
    <w:rsid w:val="00A87C69"/>
    <w:rsid w:val="00A9047F"/>
    <w:rsid w:val="00A90B0D"/>
    <w:rsid w:val="00A90C58"/>
    <w:rsid w:val="00A90C63"/>
    <w:rsid w:val="00A91848"/>
    <w:rsid w:val="00A91AC1"/>
    <w:rsid w:val="00A91B5B"/>
    <w:rsid w:val="00A9220D"/>
    <w:rsid w:val="00A92677"/>
    <w:rsid w:val="00A92738"/>
    <w:rsid w:val="00A92947"/>
    <w:rsid w:val="00A93284"/>
    <w:rsid w:val="00A93308"/>
    <w:rsid w:val="00A933C3"/>
    <w:rsid w:val="00A933C6"/>
    <w:rsid w:val="00A93D9B"/>
    <w:rsid w:val="00A943F7"/>
    <w:rsid w:val="00A9441F"/>
    <w:rsid w:val="00A948A4"/>
    <w:rsid w:val="00A94AC3"/>
    <w:rsid w:val="00A94CD9"/>
    <w:rsid w:val="00A94FC5"/>
    <w:rsid w:val="00A95744"/>
    <w:rsid w:val="00A95811"/>
    <w:rsid w:val="00A959B6"/>
    <w:rsid w:val="00A95A69"/>
    <w:rsid w:val="00A95B44"/>
    <w:rsid w:val="00A95CA4"/>
    <w:rsid w:val="00A95E9E"/>
    <w:rsid w:val="00A9626A"/>
    <w:rsid w:val="00A964BF"/>
    <w:rsid w:val="00A965AF"/>
    <w:rsid w:val="00A96A9B"/>
    <w:rsid w:val="00A96BE2"/>
    <w:rsid w:val="00A9709C"/>
    <w:rsid w:val="00A97EDB"/>
    <w:rsid w:val="00A97F31"/>
    <w:rsid w:val="00AA0B92"/>
    <w:rsid w:val="00AA1788"/>
    <w:rsid w:val="00AA187E"/>
    <w:rsid w:val="00AA18BF"/>
    <w:rsid w:val="00AA1F28"/>
    <w:rsid w:val="00AA222F"/>
    <w:rsid w:val="00AA22F2"/>
    <w:rsid w:val="00AA25DA"/>
    <w:rsid w:val="00AA2CB4"/>
    <w:rsid w:val="00AA2FB4"/>
    <w:rsid w:val="00AA3E9A"/>
    <w:rsid w:val="00AA4402"/>
    <w:rsid w:val="00AA4B9F"/>
    <w:rsid w:val="00AA4F28"/>
    <w:rsid w:val="00AA51AC"/>
    <w:rsid w:val="00AA5613"/>
    <w:rsid w:val="00AA57D8"/>
    <w:rsid w:val="00AA5912"/>
    <w:rsid w:val="00AA5F99"/>
    <w:rsid w:val="00AA6300"/>
    <w:rsid w:val="00AA63E1"/>
    <w:rsid w:val="00AA65AE"/>
    <w:rsid w:val="00AA66A7"/>
    <w:rsid w:val="00AA66F0"/>
    <w:rsid w:val="00AA676C"/>
    <w:rsid w:val="00AA6A62"/>
    <w:rsid w:val="00AA6CA1"/>
    <w:rsid w:val="00AA6F51"/>
    <w:rsid w:val="00AA796A"/>
    <w:rsid w:val="00AA7FFD"/>
    <w:rsid w:val="00AB063F"/>
    <w:rsid w:val="00AB0883"/>
    <w:rsid w:val="00AB092E"/>
    <w:rsid w:val="00AB0DB2"/>
    <w:rsid w:val="00AB0DD0"/>
    <w:rsid w:val="00AB1005"/>
    <w:rsid w:val="00AB12D7"/>
    <w:rsid w:val="00AB1727"/>
    <w:rsid w:val="00AB1A0E"/>
    <w:rsid w:val="00AB1B77"/>
    <w:rsid w:val="00AB2181"/>
    <w:rsid w:val="00AB2809"/>
    <w:rsid w:val="00AB2820"/>
    <w:rsid w:val="00AB297F"/>
    <w:rsid w:val="00AB3146"/>
    <w:rsid w:val="00AB3246"/>
    <w:rsid w:val="00AB3DA2"/>
    <w:rsid w:val="00AB3DD7"/>
    <w:rsid w:val="00AB3E95"/>
    <w:rsid w:val="00AB3FFB"/>
    <w:rsid w:val="00AB45CD"/>
    <w:rsid w:val="00AB48FF"/>
    <w:rsid w:val="00AB4C55"/>
    <w:rsid w:val="00AB4CAD"/>
    <w:rsid w:val="00AB4DD0"/>
    <w:rsid w:val="00AB5238"/>
    <w:rsid w:val="00AB53B5"/>
    <w:rsid w:val="00AB5896"/>
    <w:rsid w:val="00AB5D63"/>
    <w:rsid w:val="00AB6148"/>
    <w:rsid w:val="00AB625B"/>
    <w:rsid w:val="00AB649C"/>
    <w:rsid w:val="00AB65C6"/>
    <w:rsid w:val="00AB65CB"/>
    <w:rsid w:val="00AB6690"/>
    <w:rsid w:val="00AB6941"/>
    <w:rsid w:val="00AB6960"/>
    <w:rsid w:val="00AB6E0C"/>
    <w:rsid w:val="00AB6E67"/>
    <w:rsid w:val="00AB6F37"/>
    <w:rsid w:val="00AB752A"/>
    <w:rsid w:val="00AB7699"/>
    <w:rsid w:val="00AC08A5"/>
    <w:rsid w:val="00AC08FD"/>
    <w:rsid w:val="00AC13F5"/>
    <w:rsid w:val="00AC16FF"/>
    <w:rsid w:val="00AC1963"/>
    <w:rsid w:val="00AC2477"/>
    <w:rsid w:val="00AC2645"/>
    <w:rsid w:val="00AC2E33"/>
    <w:rsid w:val="00AC3085"/>
    <w:rsid w:val="00AC3332"/>
    <w:rsid w:val="00AC34FD"/>
    <w:rsid w:val="00AC3756"/>
    <w:rsid w:val="00AC393D"/>
    <w:rsid w:val="00AC3B24"/>
    <w:rsid w:val="00AC42E0"/>
    <w:rsid w:val="00AC455A"/>
    <w:rsid w:val="00AC462A"/>
    <w:rsid w:val="00AC48FD"/>
    <w:rsid w:val="00AC499C"/>
    <w:rsid w:val="00AC4ABD"/>
    <w:rsid w:val="00AC4B4B"/>
    <w:rsid w:val="00AC4E62"/>
    <w:rsid w:val="00AC5031"/>
    <w:rsid w:val="00AC57C0"/>
    <w:rsid w:val="00AC5AE8"/>
    <w:rsid w:val="00AC5CD9"/>
    <w:rsid w:val="00AC5F50"/>
    <w:rsid w:val="00AC65B2"/>
    <w:rsid w:val="00AC65C3"/>
    <w:rsid w:val="00AC6BA5"/>
    <w:rsid w:val="00AC7ABE"/>
    <w:rsid w:val="00AD003F"/>
    <w:rsid w:val="00AD0348"/>
    <w:rsid w:val="00AD0882"/>
    <w:rsid w:val="00AD0994"/>
    <w:rsid w:val="00AD0BB8"/>
    <w:rsid w:val="00AD14C5"/>
    <w:rsid w:val="00AD1781"/>
    <w:rsid w:val="00AD18EB"/>
    <w:rsid w:val="00AD1966"/>
    <w:rsid w:val="00AD1FED"/>
    <w:rsid w:val="00AD201E"/>
    <w:rsid w:val="00AD2021"/>
    <w:rsid w:val="00AD251B"/>
    <w:rsid w:val="00AD287F"/>
    <w:rsid w:val="00AD2891"/>
    <w:rsid w:val="00AD2B40"/>
    <w:rsid w:val="00AD2BD4"/>
    <w:rsid w:val="00AD31C4"/>
    <w:rsid w:val="00AD35A0"/>
    <w:rsid w:val="00AD3636"/>
    <w:rsid w:val="00AD3667"/>
    <w:rsid w:val="00AD36D6"/>
    <w:rsid w:val="00AD38E5"/>
    <w:rsid w:val="00AD39A8"/>
    <w:rsid w:val="00AD3C84"/>
    <w:rsid w:val="00AD3DC5"/>
    <w:rsid w:val="00AD3E16"/>
    <w:rsid w:val="00AD419F"/>
    <w:rsid w:val="00AD4BEE"/>
    <w:rsid w:val="00AD5259"/>
    <w:rsid w:val="00AD55F8"/>
    <w:rsid w:val="00AD56EC"/>
    <w:rsid w:val="00AD5873"/>
    <w:rsid w:val="00AD5A71"/>
    <w:rsid w:val="00AD615F"/>
    <w:rsid w:val="00AD6173"/>
    <w:rsid w:val="00AD66D2"/>
    <w:rsid w:val="00AD680E"/>
    <w:rsid w:val="00AD6AF3"/>
    <w:rsid w:val="00AD6F65"/>
    <w:rsid w:val="00AD725B"/>
    <w:rsid w:val="00AD76AF"/>
    <w:rsid w:val="00AE0076"/>
    <w:rsid w:val="00AE00EE"/>
    <w:rsid w:val="00AE02BF"/>
    <w:rsid w:val="00AE135C"/>
    <w:rsid w:val="00AE1457"/>
    <w:rsid w:val="00AE2441"/>
    <w:rsid w:val="00AE2566"/>
    <w:rsid w:val="00AE276D"/>
    <w:rsid w:val="00AE2B24"/>
    <w:rsid w:val="00AE3711"/>
    <w:rsid w:val="00AE3B08"/>
    <w:rsid w:val="00AE3F3E"/>
    <w:rsid w:val="00AE3F8E"/>
    <w:rsid w:val="00AE4070"/>
    <w:rsid w:val="00AE419D"/>
    <w:rsid w:val="00AE477A"/>
    <w:rsid w:val="00AE481B"/>
    <w:rsid w:val="00AE51CB"/>
    <w:rsid w:val="00AE6121"/>
    <w:rsid w:val="00AE6168"/>
    <w:rsid w:val="00AE6434"/>
    <w:rsid w:val="00AE6F43"/>
    <w:rsid w:val="00AE72C3"/>
    <w:rsid w:val="00AE7418"/>
    <w:rsid w:val="00AE781C"/>
    <w:rsid w:val="00AE79FF"/>
    <w:rsid w:val="00AF0707"/>
    <w:rsid w:val="00AF11BD"/>
    <w:rsid w:val="00AF123E"/>
    <w:rsid w:val="00AF1EF0"/>
    <w:rsid w:val="00AF2B52"/>
    <w:rsid w:val="00AF2BE4"/>
    <w:rsid w:val="00AF2E96"/>
    <w:rsid w:val="00AF3169"/>
    <w:rsid w:val="00AF3681"/>
    <w:rsid w:val="00AF38B6"/>
    <w:rsid w:val="00AF411B"/>
    <w:rsid w:val="00AF4279"/>
    <w:rsid w:val="00AF4557"/>
    <w:rsid w:val="00AF4596"/>
    <w:rsid w:val="00AF4617"/>
    <w:rsid w:val="00AF47EF"/>
    <w:rsid w:val="00AF482C"/>
    <w:rsid w:val="00AF4958"/>
    <w:rsid w:val="00AF5229"/>
    <w:rsid w:val="00AF56D6"/>
    <w:rsid w:val="00AF5AAD"/>
    <w:rsid w:val="00AF5D60"/>
    <w:rsid w:val="00AF5FB8"/>
    <w:rsid w:val="00AF5FD3"/>
    <w:rsid w:val="00AF6027"/>
    <w:rsid w:val="00AF6F3D"/>
    <w:rsid w:val="00AF7104"/>
    <w:rsid w:val="00AF7631"/>
    <w:rsid w:val="00AF7ACE"/>
    <w:rsid w:val="00AF7D20"/>
    <w:rsid w:val="00AF7DDC"/>
    <w:rsid w:val="00B0003D"/>
    <w:rsid w:val="00B0041C"/>
    <w:rsid w:val="00B00A75"/>
    <w:rsid w:val="00B0122B"/>
    <w:rsid w:val="00B018C7"/>
    <w:rsid w:val="00B019C7"/>
    <w:rsid w:val="00B01FCF"/>
    <w:rsid w:val="00B02292"/>
    <w:rsid w:val="00B0232E"/>
    <w:rsid w:val="00B024BF"/>
    <w:rsid w:val="00B028C2"/>
    <w:rsid w:val="00B029AB"/>
    <w:rsid w:val="00B02B45"/>
    <w:rsid w:val="00B02C2A"/>
    <w:rsid w:val="00B02E9F"/>
    <w:rsid w:val="00B02EAB"/>
    <w:rsid w:val="00B0312F"/>
    <w:rsid w:val="00B03206"/>
    <w:rsid w:val="00B03330"/>
    <w:rsid w:val="00B0382D"/>
    <w:rsid w:val="00B039C8"/>
    <w:rsid w:val="00B04138"/>
    <w:rsid w:val="00B043B6"/>
    <w:rsid w:val="00B043F1"/>
    <w:rsid w:val="00B044EC"/>
    <w:rsid w:val="00B047D4"/>
    <w:rsid w:val="00B04E2E"/>
    <w:rsid w:val="00B0517C"/>
    <w:rsid w:val="00B05216"/>
    <w:rsid w:val="00B054AF"/>
    <w:rsid w:val="00B05B2C"/>
    <w:rsid w:val="00B05CA8"/>
    <w:rsid w:val="00B05EA6"/>
    <w:rsid w:val="00B06019"/>
    <w:rsid w:val="00B063ED"/>
    <w:rsid w:val="00B06BBE"/>
    <w:rsid w:val="00B06CD2"/>
    <w:rsid w:val="00B070C2"/>
    <w:rsid w:val="00B070D8"/>
    <w:rsid w:val="00B07101"/>
    <w:rsid w:val="00B072D0"/>
    <w:rsid w:val="00B0759C"/>
    <w:rsid w:val="00B0788D"/>
    <w:rsid w:val="00B07E47"/>
    <w:rsid w:val="00B1074B"/>
    <w:rsid w:val="00B109B0"/>
    <w:rsid w:val="00B10CEC"/>
    <w:rsid w:val="00B1122C"/>
    <w:rsid w:val="00B117BC"/>
    <w:rsid w:val="00B11973"/>
    <w:rsid w:val="00B11D82"/>
    <w:rsid w:val="00B1224D"/>
    <w:rsid w:val="00B125AF"/>
    <w:rsid w:val="00B12772"/>
    <w:rsid w:val="00B12A75"/>
    <w:rsid w:val="00B12ADF"/>
    <w:rsid w:val="00B12CD3"/>
    <w:rsid w:val="00B13B1B"/>
    <w:rsid w:val="00B13B2E"/>
    <w:rsid w:val="00B13E40"/>
    <w:rsid w:val="00B14199"/>
    <w:rsid w:val="00B14207"/>
    <w:rsid w:val="00B14415"/>
    <w:rsid w:val="00B147A1"/>
    <w:rsid w:val="00B14826"/>
    <w:rsid w:val="00B14939"/>
    <w:rsid w:val="00B1541A"/>
    <w:rsid w:val="00B15EAB"/>
    <w:rsid w:val="00B15EFF"/>
    <w:rsid w:val="00B1618F"/>
    <w:rsid w:val="00B16479"/>
    <w:rsid w:val="00B16662"/>
    <w:rsid w:val="00B16C25"/>
    <w:rsid w:val="00B172A1"/>
    <w:rsid w:val="00B17B11"/>
    <w:rsid w:val="00B17B5B"/>
    <w:rsid w:val="00B17C37"/>
    <w:rsid w:val="00B17E15"/>
    <w:rsid w:val="00B17F8F"/>
    <w:rsid w:val="00B20278"/>
    <w:rsid w:val="00B203F0"/>
    <w:rsid w:val="00B204A0"/>
    <w:rsid w:val="00B20914"/>
    <w:rsid w:val="00B20CC9"/>
    <w:rsid w:val="00B20D96"/>
    <w:rsid w:val="00B20ED1"/>
    <w:rsid w:val="00B212EE"/>
    <w:rsid w:val="00B21316"/>
    <w:rsid w:val="00B21931"/>
    <w:rsid w:val="00B21AB5"/>
    <w:rsid w:val="00B21F3F"/>
    <w:rsid w:val="00B222C7"/>
    <w:rsid w:val="00B225F0"/>
    <w:rsid w:val="00B228A3"/>
    <w:rsid w:val="00B22A3E"/>
    <w:rsid w:val="00B22FDB"/>
    <w:rsid w:val="00B23298"/>
    <w:rsid w:val="00B234EB"/>
    <w:rsid w:val="00B23542"/>
    <w:rsid w:val="00B23AFE"/>
    <w:rsid w:val="00B241C2"/>
    <w:rsid w:val="00B245E2"/>
    <w:rsid w:val="00B24B45"/>
    <w:rsid w:val="00B24B75"/>
    <w:rsid w:val="00B24FBB"/>
    <w:rsid w:val="00B25280"/>
    <w:rsid w:val="00B25336"/>
    <w:rsid w:val="00B25940"/>
    <w:rsid w:val="00B259D0"/>
    <w:rsid w:val="00B26122"/>
    <w:rsid w:val="00B26327"/>
    <w:rsid w:val="00B2635F"/>
    <w:rsid w:val="00B270F5"/>
    <w:rsid w:val="00B2748C"/>
    <w:rsid w:val="00B27548"/>
    <w:rsid w:val="00B2766A"/>
    <w:rsid w:val="00B279ED"/>
    <w:rsid w:val="00B27EAC"/>
    <w:rsid w:val="00B30683"/>
    <w:rsid w:val="00B3093F"/>
    <w:rsid w:val="00B309B3"/>
    <w:rsid w:val="00B31131"/>
    <w:rsid w:val="00B31200"/>
    <w:rsid w:val="00B31360"/>
    <w:rsid w:val="00B317A0"/>
    <w:rsid w:val="00B319B6"/>
    <w:rsid w:val="00B31A99"/>
    <w:rsid w:val="00B31B9D"/>
    <w:rsid w:val="00B31E9E"/>
    <w:rsid w:val="00B31F3A"/>
    <w:rsid w:val="00B32494"/>
    <w:rsid w:val="00B325AA"/>
    <w:rsid w:val="00B32619"/>
    <w:rsid w:val="00B3261D"/>
    <w:rsid w:val="00B330EA"/>
    <w:rsid w:val="00B331CF"/>
    <w:rsid w:val="00B33675"/>
    <w:rsid w:val="00B33756"/>
    <w:rsid w:val="00B33792"/>
    <w:rsid w:val="00B33C4F"/>
    <w:rsid w:val="00B33D9B"/>
    <w:rsid w:val="00B3400F"/>
    <w:rsid w:val="00B34033"/>
    <w:rsid w:val="00B3486B"/>
    <w:rsid w:val="00B34DFC"/>
    <w:rsid w:val="00B3502F"/>
    <w:rsid w:val="00B356F0"/>
    <w:rsid w:val="00B35948"/>
    <w:rsid w:val="00B35A5C"/>
    <w:rsid w:val="00B35DBB"/>
    <w:rsid w:val="00B35F09"/>
    <w:rsid w:val="00B36039"/>
    <w:rsid w:val="00B36051"/>
    <w:rsid w:val="00B36310"/>
    <w:rsid w:val="00B3636B"/>
    <w:rsid w:val="00B3648B"/>
    <w:rsid w:val="00B364EE"/>
    <w:rsid w:val="00B365AA"/>
    <w:rsid w:val="00B36B36"/>
    <w:rsid w:val="00B36FA0"/>
    <w:rsid w:val="00B3763D"/>
    <w:rsid w:val="00B37746"/>
    <w:rsid w:val="00B37892"/>
    <w:rsid w:val="00B37DC5"/>
    <w:rsid w:val="00B37FAB"/>
    <w:rsid w:val="00B40206"/>
    <w:rsid w:val="00B4059A"/>
    <w:rsid w:val="00B405BD"/>
    <w:rsid w:val="00B40982"/>
    <w:rsid w:val="00B41B88"/>
    <w:rsid w:val="00B41DDF"/>
    <w:rsid w:val="00B42237"/>
    <w:rsid w:val="00B42337"/>
    <w:rsid w:val="00B4244C"/>
    <w:rsid w:val="00B42A93"/>
    <w:rsid w:val="00B42EF2"/>
    <w:rsid w:val="00B432CD"/>
    <w:rsid w:val="00B43709"/>
    <w:rsid w:val="00B437F0"/>
    <w:rsid w:val="00B43E52"/>
    <w:rsid w:val="00B44058"/>
    <w:rsid w:val="00B44296"/>
    <w:rsid w:val="00B446EE"/>
    <w:rsid w:val="00B45AA5"/>
    <w:rsid w:val="00B45B8E"/>
    <w:rsid w:val="00B4612C"/>
    <w:rsid w:val="00B4660D"/>
    <w:rsid w:val="00B46623"/>
    <w:rsid w:val="00B46854"/>
    <w:rsid w:val="00B46A0E"/>
    <w:rsid w:val="00B46BC8"/>
    <w:rsid w:val="00B47746"/>
    <w:rsid w:val="00B478DE"/>
    <w:rsid w:val="00B47A2D"/>
    <w:rsid w:val="00B501C9"/>
    <w:rsid w:val="00B50CF9"/>
    <w:rsid w:val="00B50F7E"/>
    <w:rsid w:val="00B510CA"/>
    <w:rsid w:val="00B51853"/>
    <w:rsid w:val="00B519CF"/>
    <w:rsid w:val="00B52355"/>
    <w:rsid w:val="00B523A3"/>
    <w:rsid w:val="00B526F4"/>
    <w:rsid w:val="00B5271A"/>
    <w:rsid w:val="00B5272D"/>
    <w:rsid w:val="00B52F2C"/>
    <w:rsid w:val="00B53191"/>
    <w:rsid w:val="00B5391E"/>
    <w:rsid w:val="00B5391F"/>
    <w:rsid w:val="00B53951"/>
    <w:rsid w:val="00B53967"/>
    <w:rsid w:val="00B53A53"/>
    <w:rsid w:val="00B53F8E"/>
    <w:rsid w:val="00B5486E"/>
    <w:rsid w:val="00B54970"/>
    <w:rsid w:val="00B54BC7"/>
    <w:rsid w:val="00B55008"/>
    <w:rsid w:val="00B55107"/>
    <w:rsid w:val="00B5557D"/>
    <w:rsid w:val="00B55795"/>
    <w:rsid w:val="00B55C8B"/>
    <w:rsid w:val="00B55DED"/>
    <w:rsid w:val="00B56448"/>
    <w:rsid w:val="00B56769"/>
    <w:rsid w:val="00B56B2E"/>
    <w:rsid w:val="00B57041"/>
    <w:rsid w:val="00B570B0"/>
    <w:rsid w:val="00B57295"/>
    <w:rsid w:val="00B572D0"/>
    <w:rsid w:val="00B57897"/>
    <w:rsid w:val="00B57C02"/>
    <w:rsid w:val="00B57E33"/>
    <w:rsid w:val="00B6023A"/>
    <w:rsid w:val="00B605CE"/>
    <w:rsid w:val="00B6078B"/>
    <w:rsid w:val="00B60E2D"/>
    <w:rsid w:val="00B60F28"/>
    <w:rsid w:val="00B61419"/>
    <w:rsid w:val="00B62211"/>
    <w:rsid w:val="00B6236E"/>
    <w:rsid w:val="00B63057"/>
    <w:rsid w:val="00B630F0"/>
    <w:rsid w:val="00B63173"/>
    <w:rsid w:val="00B633AB"/>
    <w:rsid w:val="00B6393F"/>
    <w:rsid w:val="00B63B6A"/>
    <w:rsid w:val="00B64167"/>
    <w:rsid w:val="00B64E20"/>
    <w:rsid w:val="00B64F4E"/>
    <w:rsid w:val="00B65433"/>
    <w:rsid w:val="00B6561F"/>
    <w:rsid w:val="00B65748"/>
    <w:rsid w:val="00B65E61"/>
    <w:rsid w:val="00B65FA8"/>
    <w:rsid w:val="00B662D5"/>
    <w:rsid w:val="00B66483"/>
    <w:rsid w:val="00B667F8"/>
    <w:rsid w:val="00B66942"/>
    <w:rsid w:val="00B66A3D"/>
    <w:rsid w:val="00B66C37"/>
    <w:rsid w:val="00B66EBD"/>
    <w:rsid w:val="00B67801"/>
    <w:rsid w:val="00B67972"/>
    <w:rsid w:val="00B703B5"/>
    <w:rsid w:val="00B709A5"/>
    <w:rsid w:val="00B70A27"/>
    <w:rsid w:val="00B70C53"/>
    <w:rsid w:val="00B70D0B"/>
    <w:rsid w:val="00B71120"/>
    <w:rsid w:val="00B7119B"/>
    <w:rsid w:val="00B71545"/>
    <w:rsid w:val="00B71880"/>
    <w:rsid w:val="00B719FB"/>
    <w:rsid w:val="00B72213"/>
    <w:rsid w:val="00B746DD"/>
    <w:rsid w:val="00B74982"/>
    <w:rsid w:val="00B754B1"/>
    <w:rsid w:val="00B75750"/>
    <w:rsid w:val="00B7575E"/>
    <w:rsid w:val="00B75917"/>
    <w:rsid w:val="00B75D1D"/>
    <w:rsid w:val="00B765BC"/>
    <w:rsid w:val="00B76A82"/>
    <w:rsid w:val="00B76ABB"/>
    <w:rsid w:val="00B76ABE"/>
    <w:rsid w:val="00B76B2B"/>
    <w:rsid w:val="00B76C0A"/>
    <w:rsid w:val="00B774BA"/>
    <w:rsid w:val="00B775F8"/>
    <w:rsid w:val="00B80357"/>
    <w:rsid w:val="00B80B26"/>
    <w:rsid w:val="00B80C96"/>
    <w:rsid w:val="00B80F04"/>
    <w:rsid w:val="00B81259"/>
    <w:rsid w:val="00B815F2"/>
    <w:rsid w:val="00B81B8D"/>
    <w:rsid w:val="00B81C1D"/>
    <w:rsid w:val="00B8229C"/>
    <w:rsid w:val="00B824B8"/>
    <w:rsid w:val="00B82500"/>
    <w:rsid w:val="00B825FF"/>
    <w:rsid w:val="00B8293F"/>
    <w:rsid w:val="00B82A80"/>
    <w:rsid w:val="00B82E4C"/>
    <w:rsid w:val="00B83119"/>
    <w:rsid w:val="00B831A8"/>
    <w:rsid w:val="00B83885"/>
    <w:rsid w:val="00B83C56"/>
    <w:rsid w:val="00B84126"/>
    <w:rsid w:val="00B84177"/>
    <w:rsid w:val="00B8427D"/>
    <w:rsid w:val="00B8460C"/>
    <w:rsid w:val="00B848CB"/>
    <w:rsid w:val="00B85004"/>
    <w:rsid w:val="00B8502C"/>
    <w:rsid w:val="00B850F9"/>
    <w:rsid w:val="00B8543A"/>
    <w:rsid w:val="00B856FD"/>
    <w:rsid w:val="00B85A5D"/>
    <w:rsid w:val="00B85D4C"/>
    <w:rsid w:val="00B85E63"/>
    <w:rsid w:val="00B860D9"/>
    <w:rsid w:val="00B86221"/>
    <w:rsid w:val="00B87407"/>
    <w:rsid w:val="00B874D2"/>
    <w:rsid w:val="00B878A9"/>
    <w:rsid w:val="00B87E22"/>
    <w:rsid w:val="00B90186"/>
    <w:rsid w:val="00B90190"/>
    <w:rsid w:val="00B90881"/>
    <w:rsid w:val="00B909D3"/>
    <w:rsid w:val="00B90BAD"/>
    <w:rsid w:val="00B90D21"/>
    <w:rsid w:val="00B90E88"/>
    <w:rsid w:val="00B90EA6"/>
    <w:rsid w:val="00B911D2"/>
    <w:rsid w:val="00B9143A"/>
    <w:rsid w:val="00B91554"/>
    <w:rsid w:val="00B9167A"/>
    <w:rsid w:val="00B91E4C"/>
    <w:rsid w:val="00B921E0"/>
    <w:rsid w:val="00B921FB"/>
    <w:rsid w:val="00B925A7"/>
    <w:rsid w:val="00B92643"/>
    <w:rsid w:val="00B9289E"/>
    <w:rsid w:val="00B92AB6"/>
    <w:rsid w:val="00B92EA2"/>
    <w:rsid w:val="00B930BF"/>
    <w:rsid w:val="00B930E9"/>
    <w:rsid w:val="00B931DD"/>
    <w:rsid w:val="00B9322A"/>
    <w:rsid w:val="00B93390"/>
    <w:rsid w:val="00B93647"/>
    <w:rsid w:val="00B9398F"/>
    <w:rsid w:val="00B93A07"/>
    <w:rsid w:val="00B93A9B"/>
    <w:rsid w:val="00B94305"/>
    <w:rsid w:val="00B945E0"/>
    <w:rsid w:val="00B95665"/>
    <w:rsid w:val="00B95A7E"/>
    <w:rsid w:val="00B95DEA"/>
    <w:rsid w:val="00B963F2"/>
    <w:rsid w:val="00B9694E"/>
    <w:rsid w:val="00B96968"/>
    <w:rsid w:val="00B96B41"/>
    <w:rsid w:val="00B96CCE"/>
    <w:rsid w:val="00B974BC"/>
    <w:rsid w:val="00BA034D"/>
    <w:rsid w:val="00BA04AA"/>
    <w:rsid w:val="00BA05D2"/>
    <w:rsid w:val="00BA113B"/>
    <w:rsid w:val="00BA116F"/>
    <w:rsid w:val="00BA12AB"/>
    <w:rsid w:val="00BA1414"/>
    <w:rsid w:val="00BA19DF"/>
    <w:rsid w:val="00BA1F53"/>
    <w:rsid w:val="00BA2619"/>
    <w:rsid w:val="00BA2655"/>
    <w:rsid w:val="00BA26B0"/>
    <w:rsid w:val="00BA270B"/>
    <w:rsid w:val="00BA2B93"/>
    <w:rsid w:val="00BA2EE5"/>
    <w:rsid w:val="00BA3085"/>
    <w:rsid w:val="00BA3291"/>
    <w:rsid w:val="00BA352C"/>
    <w:rsid w:val="00BA3812"/>
    <w:rsid w:val="00BA3B79"/>
    <w:rsid w:val="00BA3CAF"/>
    <w:rsid w:val="00BA41BC"/>
    <w:rsid w:val="00BA41CB"/>
    <w:rsid w:val="00BA41CC"/>
    <w:rsid w:val="00BA4259"/>
    <w:rsid w:val="00BA44D5"/>
    <w:rsid w:val="00BA4687"/>
    <w:rsid w:val="00BA516D"/>
    <w:rsid w:val="00BA53B1"/>
    <w:rsid w:val="00BA54AC"/>
    <w:rsid w:val="00BA5790"/>
    <w:rsid w:val="00BA5A60"/>
    <w:rsid w:val="00BA66DF"/>
    <w:rsid w:val="00BA6A1D"/>
    <w:rsid w:val="00BA6B06"/>
    <w:rsid w:val="00BA6DE1"/>
    <w:rsid w:val="00BB0176"/>
    <w:rsid w:val="00BB069E"/>
    <w:rsid w:val="00BB0741"/>
    <w:rsid w:val="00BB0E45"/>
    <w:rsid w:val="00BB1109"/>
    <w:rsid w:val="00BB1261"/>
    <w:rsid w:val="00BB1AC8"/>
    <w:rsid w:val="00BB1CB7"/>
    <w:rsid w:val="00BB30CC"/>
    <w:rsid w:val="00BB31B3"/>
    <w:rsid w:val="00BB34A8"/>
    <w:rsid w:val="00BB357E"/>
    <w:rsid w:val="00BB3670"/>
    <w:rsid w:val="00BB3A81"/>
    <w:rsid w:val="00BB3C6D"/>
    <w:rsid w:val="00BB44D3"/>
    <w:rsid w:val="00BB4536"/>
    <w:rsid w:val="00BB4601"/>
    <w:rsid w:val="00BB47E2"/>
    <w:rsid w:val="00BB4828"/>
    <w:rsid w:val="00BB4E35"/>
    <w:rsid w:val="00BB53F5"/>
    <w:rsid w:val="00BB551F"/>
    <w:rsid w:val="00BB5661"/>
    <w:rsid w:val="00BB56B6"/>
    <w:rsid w:val="00BB59D9"/>
    <w:rsid w:val="00BB5C2D"/>
    <w:rsid w:val="00BB5CC0"/>
    <w:rsid w:val="00BB5D48"/>
    <w:rsid w:val="00BB6723"/>
    <w:rsid w:val="00BB727E"/>
    <w:rsid w:val="00BB7386"/>
    <w:rsid w:val="00BB7639"/>
    <w:rsid w:val="00BB7DF5"/>
    <w:rsid w:val="00BC095C"/>
    <w:rsid w:val="00BC1146"/>
    <w:rsid w:val="00BC17EF"/>
    <w:rsid w:val="00BC19A7"/>
    <w:rsid w:val="00BC1B70"/>
    <w:rsid w:val="00BC1D9A"/>
    <w:rsid w:val="00BC1EC1"/>
    <w:rsid w:val="00BC1F1F"/>
    <w:rsid w:val="00BC1FD5"/>
    <w:rsid w:val="00BC2139"/>
    <w:rsid w:val="00BC262D"/>
    <w:rsid w:val="00BC26E7"/>
    <w:rsid w:val="00BC2B71"/>
    <w:rsid w:val="00BC2EBB"/>
    <w:rsid w:val="00BC3692"/>
    <w:rsid w:val="00BC3D10"/>
    <w:rsid w:val="00BC41CA"/>
    <w:rsid w:val="00BC4D0B"/>
    <w:rsid w:val="00BC5376"/>
    <w:rsid w:val="00BC56BD"/>
    <w:rsid w:val="00BC5770"/>
    <w:rsid w:val="00BC58DF"/>
    <w:rsid w:val="00BC5B39"/>
    <w:rsid w:val="00BC5BC6"/>
    <w:rsid w:val="00BC6212"/>
    <w:rsid w:val="00BC6BB9"/>
    <w:rsid w:val="00BC7445"/>
    <w:rsid w:val="00BC78FE"/>
    <w:rsid w:val="00BD0B93"/>
    <w:rsid w:val="00BD1A68"/>
    <w:rsid w:val="00BD1B7E"/>
    <w:rsid w:val="00BD1C4B"/>
    <w:rsid w:val="00BD1F8B"/>
    <w:rsid w:val="00BD2859"/>
    <w:rsid w:val="00BD2A78"/>
    <w:rsid w:val="00BD2EC9"/>
    <w:rsid w:val="00BD3102"/>
    <w:rsid w:val="00BD376B"/>
    <w:rsid w:val="00BD3A7C"/>
    <w:rsid w:val="00BD3F5E"/>
    <w:rsid w:val="00BD3FEE"/>
    <w:rsid w:val="00BD488F"/>
    <w:rsid w:val="00BD4E68"/>
    <w:rsid w:val="00BD562D"/>
    <w:rsid w:val="00BD582C"/>
    <w:rsid w:val="00BD5A87"/>
    <w:rsid w:val="00BD5EC9"/>
    <w:rsid w:val="00BD63FE"/>
    <w:rsid w:val="00BD65B4"/>
    <w:rsid w:val="00BD6E90"/>
    <w:rsid w:val="00BD6F42"/>
    <w:rsid w:val="00BD72CC"/>
    <w:rsid w:val="00BD76EC"/>
    <w:rsid w:val="00BE0457"/>
    <w:rsid w:val="00BE094C"/>
    <w:rsid w:val="00BE0D08"/>
    <w:rsid w:val="00BE0E0F"/>
    <w:rsid w:val="00BE14A7"/>
    <w:rsid w:val="00BE19B2"/>
    <w:rsid w:val="00BE1E1F"/>
    <w:rsid w:val="00BE249B"/>
    <w:rsid w:val="00BE255F"/>
    <w:rsid w:val="00BE25FE"/>
    <w:rsid w:val="00BE2800"/>
    <w:rsid w:val="00BE29B9"/>
    <w:rsid w:val="00BE30A6"/>
    <w:rsid w:val="00BE312C"/>
    <w:rsid w:val="00BE3BA1"/>
    <w:rsid w:val="00BE3DC4"/>
    <w:rsid w:val="00BE424E"/>
    <w:rsid w:val="00BE42AA"/>
    <w:rsid w:val="00BE45E1"/>
    <w:rsid w:val="00BE4766"/>
    <w:rsid w:val="00BE511D"/>
    <w:rsid w:val="00BE5251"/>
    <w:rsid w:val="00BE55A8"/>
    <w:rsid w:val="00BE5D21"/>
    <w:rsid w:val="00BE6024"/>
    <w:rsid w:val="00BE602A"/>
    <w:rsid w:val="00BE604B"/>
    <w:rsid w:val="00BE60A5"/>
    <w:rsid w:val="00BE6E33"/>
    <w:rsid w:val="00BE7006"/>
    <w:rsid w:val="00BE75DB"/>
    <w:rsid w:val="00BE770F"/>
    <w:rsid w:val="00BE7729"/>
    <w:rsid w:val="00BF007D"/>
    <w:rsid w:val="00BF02CE"/>
    <w:rsid w:val="00BF0465"/>
    <w:rsid w:val="00BF07E2"/>
    <w:rsid w:val="00BF09F9"/>
    <w:rsid w:val="00BF1211"/>
    <w:rsid w:val="00BF125D"/>
    <w:rsid w:val="00BF1764"/>
    <w:rsid w:val="00BF204E"/>
    <w:rsid w:val="00BF26C0"/>
    <w:rsid w:val="00BF29BA"/>
    <w:rsid w:val="00BF2F08"/>
    <w:rsid w:val="00BF38D5"/>
    <w:rsid w:val="00BF396C"/>
    <w:rsid w:val="00BF3C40"/>
    <w:rsid w:val="00BF4207"/>
    <w:rsid w:val="00BF44B7"/>
    <w:rsid w:val="00BF45CA"/>
    <w:rsid w:val="00BF468A"/>
    <w:rsid w:val="00BF4951"/>
    <w:rsid w:val="00BF4A44"/>
    <w:rsid w:val="00BF4DE5"/>
    <w:rsid w:val="00BF54F5"/>
    <w:rsid w:val="00BF56AE"/>
    <w:rsid w:val="00BF56DD"/>
    <w:rsid w:val="00BF61B0"/>
    <w:rsid w:val="00BF624C"/>
    <w:rsid w:val="00BF6332"/>
    <w:rsid w:val="00BF688E"/>
    <w:rsid w:val="00BF6A8B"/>
    <w:rsid w:val="00BF6B82"/>
    <w:rsid w:val="00BF6F2B"/>
    <w:rsid w:val="00BF7773"/>
    <w:rsid w:val="00BF7A27"/>
    <w:rsid w:val="00BF7CFF"/>
    <w:rsid w:val="00C00534"/>
    <w:rsid w:val="00C0092C"/>
    <w:rsid w:val="00C00A6E"/>
    <w:rsid w:val="00C00EA7"/>
    <w:rsid w:val="00C01014"/>
    <w:rsid w:val="00C0152B"/>
    <w:rsid w:val="00C016BF"/>
    <w:rsid w:val="00C018FA"/>
    <w:rsid w:val="00C019B8"/>
    <w:rsid w:val="00C01D7F"/>
    <w:rsid w:val="00C02A86"/>
    <w:rsid w:val="00C02E03"/>
    <w:rsid w:val="00C02EB2"/>
    <w:rsid w:val="00C03377"/>
    <w:rsid w:val="00C03992"/>
    <w:rsid w:val="00C03A84"/>
    <w:rsid w:val="00C03BAF"/>
    <w:rsid w:val="00C03F99"/>
    <w:rsid w:val="00C03FF2"/>
    <w:rsid w:val="00C0403C"/>
    <w:rsid w:val="00C0412B"/>
    <w:rsid w:val="00C04617"/>
    <w:rsid w:val="00C0465D"/>
    <w:rsid w:val="00C04A9B"/>
    <w:rsid w:val="00C04F41"/>
    <w:rsid w:val="00C05421"/>
    <w:rsid w:val="00C05825"/>
    <w:rsid w:val="00C05B04"/>
    <w:rsid w:val="00C06156"/>
    <w:rsid w:val="00C062E2"/>
    <w:rsid w:val="00C0647C"/>
    <w:rsid w:val="00C0665B"/>
    <w:rsid w:val="00C0744E"/>
    <w:rsid w:val="00C0799D"/>
    <w:rsid w:val="00C07E2E"/>
    <w:rsid w:val="00C10A8E"/>
    <w:rsid w:val="00C10EBD"/>
    <w:rsid w:val="00C10F6D"/>
    <w:rsid w:val="00C110C2"/>
    <w:rsid w:val="00C112A1"/>
    <w:rsid w:val="00C11A55"/>
    <w:rsid w:val="00C11B3C"/>
    <w:rsid w:val="00C11E29"/>
    <w:rsid w:val="00C1213A"/>
    <w:rsid w:val="00C12C84"/>
    <w:rsid w:val="00C12FF7"/>
    <w:rsid w:val="00C132B9"/>
    <w:rsid w:val="00C13DCF"/>
    <w:rsid w:val="00C13F33"/>
    <w:rsid w:val="00C1421F"/>
    <w:rsid w:val="00C14342"/>
    <w:rsid w:val="00C145B6"/>
    <w:rsid w:val="00C148D2"/>
    <w:rsid w:val="00C14A06"/>
    <w:rsid w:val="00C14EBF"/>
    <w:rsid w:val="00C14F9C"/>
    <w:rsid w:val="00C1561F"/>
    <w:rsid w:val="00C15E61"/>
    <w:rsid w:val="00C1639F"/>
    <w:rsid w:val="00C163A1"/>
    <w:rsid w:val="00C16725"/>
    <w:rsid w:val="00C1695F"/>
    <w:rsid w:val="00C16990"/>
    <w:rsid w:val="00C16A31"/>
    <w:rsid w:val="00C16DFD"/>
    <w:rsid w:val="00C17006"/>
    <w:rsid w:val="00C174E8"/>
    <w:rsid w:val="00C1763E"/>
    <w:rsid w:val="00C1790E"/>
    <w:rsid w:val="00C179F1"/>
    <w:rsid w:val="00C17A34"/>
    <w:rsid w:val="00C17CAB"/>
    <w:rsid w:val="00C2002D"/>
    <w:rsid w:val="00C20817"/>
    <w:rsid w:val="00C20CB5"/>
    <w:rsid w:val="00C20E62"/>
    <w:rsid w:val="00C20E68"/>
    <w:rsid w:val="00C21167"/>
    <w:rsid w:val="00C215BA"/>
    <w:rsid w:val="00C21A7E"/>
    <w:rsid w:val="00C21EA1"/>
    <w:rsid w:val="00C21F32"/>
    <w:rsid w:val="00C221B4"/>
    <w:rsid w:val="00C22BF0"/>
    <w:rsid w:val="00C22D3C"/>
    <w:rsid w:val="00C23452"/>
    <w:rsid w:val="00C234EC"/>
    <w:rsid w:val="00C235C5"/>
    <w:rsid w:val="00C23A17"/>
    <w:rsid w:val="00C23CEA"/>
    <w:rsid w:val="00C23FDC"/>
    <w:rsid w:val="00C24067"/>
    <w:rsid w:val="00C24212"/>
    <w:rsid w:val="00C246F9"/>
    <w:rsid w:val="00C2492C"/>
    <w:rsid w:val="00C251E5"/>
    <w:rsid w:val="00C25434"/>
    <w:rsid w:val="00C25552"/>
    <w:rsid w:val="00C26249"/>
    <w:rsid w:val="00C262F1"/>
    <w:rsid w:val="00C267CF"/>
    <w:rsid w:val="00C2695C"/>
    <w:rsid w:val="00C26AE1"/>
    <w:rsid w:val="00C27787"/>
    <w:rsid w:val="00C27F4E"/>
    <w:rsid w:val="00C30142"/>
    <w:rsid w:val="00C30C8A"/>
    <w:rsid w:val="00C31058"/>
    <w:rsid w:val="00C31566"/>
    <w:rsid w:val="00C31641"/>
    <w:rsid w:val="00C31720"/>
    <w:rsid w:val="00C3184A"/>
    <w:rsid w:val="00C31B0F"/>
    <w:rsid w:val="00C31E96"/>
    <w:rsid w:val="00C32394"/>
    <w:rsid w:val="00C32942"/>
    <w:rsid w:val="00C32AC5"/>
    <w:rsid w:val="00C32C0F"/>
    <w:rsid w:val="00C32D93"/>
    <w:rsid w:val="00C330D7"/>
    <w:rsid w:val="00C330E5"/>
    <w:rsid w:val="00C330E8"/>
    <w:rsid w:val="00C33441"/>
    <w:rsid w:val="00C334C3"/>
    <w:rsid w:val="00C339B6"/>
    <w:rsid w:val="00C33CBD"/>
    <w:rsid w:val="00C340C0"/>
    <w:rsid w:val="00C344E2"/>
    <w:rsid w:val="00C3473F"/>
    <w:rsid w:val="00C347C3"/>
    <w:rsid w:val="00C348F9"/>
    <w:rsid w:val="00C34D36"/>
    <w:rsid w:val="00C35061"/>
    <w:rsid w:val="00C3573D"/>
    <w:rsid w:val="00C3599B"/>
    <w:rsid w:val="00C35A73"/>
    <w:rsid w:val="00C35E02"/>
    <w:rsid w:val="00C35E40"/>
    <w:rsid w:val="00C36101"/>
    <w:rsid w:val="00C36702"/>
    <w:rsid w:val="00C36A51"/>
    <w:rsid w:val="00C36D70"/>
    <w:rsid w:val="00C37116"/>
    <w:rsid w:val="00C37FF0"/>
    <w:rsid w:val="00C400E1"/>
    <w:rsid w:val="00C4031F"/>
    <w:rsid w:val="00C40B12"/>
    <w:rsid w:val="00C40F38"/>
    <w:rsid w:val="00C41176"/>
    <w:rsid w:val="00C414E9"/>
    <w:rsid w:val="00C41578"/>
    <w:rsid w:val="00C41AED"/>
    <w:rsid w:val="00C41D8D"/>
    <w:rsid w:val="00C41E3E"/>
    <w:rsid w:val="00C41F9C"/>
    <w:rsid w:val="00C4228B"/>
    <w:rsid w:val="00C42306"/>
    <w:rsid w:val="00C42354"/>
    <w:rsid w:val="00C425B4"/>
    <w:rsid w:val="00C42BD9"/>
    <w:rsid w:val="00C4330C"/>
    <w:rsid w:val="00C433C7"/>
    <w:rsid w:val="00C43B87"/>
    <w:rsid w:val="00C43BEB"/>
    <w:rsid w:val="00C43E47"/>
    <w:rsid w:val="00C448DA"/>
    <w:rsid w:val="00C44FC2"/>
    <w:rsid w:val="00C45049"/>
    <w:rsid w:val="00C4527C"/>
    <w:rsid w:val="00C45B0D"/>
    <w:rsid w:val="00C45F50"/>
    <w:rsid w:val="00C464DB"/>
    <w:rsid w:val="00C46928"/>
    <w:rsid w:val="00C46BA3"/>
    <w:rsid w:val="00C46D8B"/>
    <w:rsid w:val="00C46E4E"/>
    <w:rsid w:val="00C47DFF"/>
    <w:rsid w:val="00C47F14"/>
    <w:rsid w:val="00C505C5"/>
    <w:rsid w:val="00C50740"/>
    <w:rsid w:val="00C50880"/>
    <w:rsid w:val="00C50CA3"/>
    <w:rsid w:val="00C511C9"/>
    <w:rsid w:val="00C511CF"/>
    <w:rsid w:val="00C5230D"/>
    <w:rsid w:val="00C52662"/>
    <w:rsid w:val="00C52772"/>
    <w:rsid w:val="00C52955"/>
    <w:rsid w:val="00C52A43"/>
    <w:rsid w:val="00C53502"/>
    <w:rsid w:val="00C53B23"/>
    <w:rsid w:val="00C540B8"/>
    <w:rsid w:val="00C543E7"/>
    <w:rsid w:val="00C547B9"/>
    <w:rsid w:val="00C548E0"/>
    <w:rsid w:val="00C549FE"/>
    <w:rsid w:val="00C5501F"/>
    <w:rsid w:val="00C55414"/>
    <w:rsid w:val="00C554AC"/>
    <w:rsid w:val="00C55566"/>
    <w:rsid w:val="00C56259"/>
    <w:rsid w:val="00C56303"/>
    <w:rsid w:val="00C5677B"/>
    <w:rsid w:val="00C56CE0"/>
    <w:rsid w:val="00C571EC"/>
    <w:rsid w:val="00C57B72"/>
    <w:rsid w:val="00C57CB7"/>
    <w:rsid w:val="00C6012E"/>
    <w:rsid w:val="00C6088F"/>
    <w:rsid w:val="00C60B06"/>
    <w:rsid w:val="00C60C2B"/>
    <w:rsid w:val="00C60E53"/>
    <w:rsid w:val="00C61BF0"/>
    <w:rsid w:val="00C61C6F"/>
    <w:rsid w:val="00C61E9D"/>
    <w:rsid w:val="00C61F2C"/>
    <w:rsid w:val="00C6270D"/>
    <w:rsid w:val="00C62812"/>
    <w:rsid w:val="00C6282E"/>
    <w:rsid w:val="00C62885"/>
    <w:rsid w:val="00C62888"/>
    <w:rsid w:val="00C62A7F"/>
    <w:rsid w:val="00C62CDA"/>
    <w:rsid w:val="00C62E0C"/>
    <w:rsid w:val="00C6315A"/>
    <w:rsid w:val="00C6359F"/>
    <w:rsid w:val="00C635B9"/>
    <w:rsid w:val="00C6368D"/>
    <w:rsid w:val="00C63749"/>
    <w:rsid w:val="00C63D72"/>
    <w:rsid w:val="00C64233"/>
    <w:rsid w:val="00C647E2"/>
    <w:rsid w:val="00C64804"/>
    <w:rsid w:val="00C64D5F"/>
    <w:rsid w:val="00C6544A"/>
    <w:rsid w:val="00C65528"/>
    <w:rsid w:val="00C657C6"/>
    <w:rsid w:val="00C65831"/>
    <w:rsid w:val="00C65A22"/>
    <w:rsid w:val="00C65B31"/>
    <w:rsid w:val="00C660D9"/>
    <w:rsid w:val="00C66117"/>
    <w:rsid w:val="00C664BB"/>
    <w:rsid w:val="00C6675B"/>
    <w:rsid w:val="00C667C4"/>
    <w:rsid w:val="00C66A29"/>
    <w:rsid w:val="00C66DD4"/>
    <w:rsid w:val="00C66E5B"/>
    <w:rsid w:val="00C66EE4"/>
    <w:rsid w:val="00C6740A"/>
    <w:rsid w:val="00C6756B"/>
    <w:rsid w:val="00C6781C"/>
    <w:rsid w:val="00C67C42"/>
    <w:rsid w:val="00C70DEE"/>
    <w:rsid w:val="00C70EF9"/>
    <w:rsid w:val="00C71667"/>
    <w:rsid w:val="00C71969"/>
    <w:rsid w:val="00C71BF6"/>
    <w:rsid w:val="00C723E4"/>
    <w:rsid w:val="00C726D6"/>
    <w:rsid w:val="00C728E7"/>
    <w:rsid w:val="00C730B9"/>
    <w:rsid w:val="00C73322"/>
    <w:rsid w:val="00C73556"/>
    <w:rsid w:val="00C738D5"/>
    <w:rsid w:val="00C73A29"/>
    <w:rsid w:val="00C743EF"/>
    <w:rsid w:val="00C74654"/>
    <w:rsid w:val="00C7470A"/>
    <w:rsid w:val="00C74DDB"/>
    <w:rsid w:val="00C7538B"/>
    <w:rsid w:val="00C753F6"/>
    <w:rsid w:val="00C755BE"/>
    <w:rsid w:val="00C757D9"/>
    <w:rsid w:val="00C75E0F"/>
    <w:rsid w:val="00C76E03"/>
    <w:rsid w:val="00C77079"/>
    <w:rsid w:val="00C770FE"/>
    <w:rsid w:val="00C774D4"/>
    <w:rsid w:val="00C77761"/>
    <w:rsid w:val="00C7779F"/>
    <w:rsid w:val="00C7787E"/>
    <w:rsid w:val="00C77B30"/>
    <w:rsid w:val="00C77EBD"/>
    <w:rsid w:val="00C80008"/>
    <w:rsid w:val="00C80CEB"/>
    <w:rsid w:val="00C81736"/>
    <w:rsid w:val="00C81D3F"/>
    <w:rsid w:val="00C825FA"/>
    <w:rsid w:val="00C828D3"/>
    <w:rsid w:val="00C82D92"/>
    <w:rsid w:val="00C82E5C"/>
    <w:rsid w:val="00C82E61"/>
    <w:rsid w:val="00C83160"/>
    <w:rsid w:val="00C83369"/>
    <w:rsid w:val="00C83A24"/>
    <w:rsid w:val="00C84104"/>
    <w:rsid w:val="00C84226"/>
    <w:rsid w:val="00C8449B"/>
    <w:rsid w:val="00C84C74"/>
    <w:rsid w:val="00C84E51"/>
    <w:rsid w:val="00C84F1B"/>
    <w:rsid w:val="00C84FE3"/>
    <w:rsid w:val="00C85093"/>
    <w:rsid w:val="00C850D9"/>
    <w:rsid w:val="00C85222"/>
    <w:rsid w:val="00C85B26"/>
    <w:rsid w:val="00C86340"/>
    <w:rsid w:val="00C863BC"/>
    <w:rsid w:val="00C863D8"/>
    <w:rsid w:val="00C8650D"/>
    <w:rsid w:val="00C86C37"/>
    <w:rsid w:val="00C86E12"/>
    <w:rsid w:val="00C86FF1"/>
    <w:rsid w:val="00C8702D"/>
    <w:rsid w:val="00C87809"/>
    <w:rsid w:val="00C87FC1"/>
    <w:rsid w:val="00C87FF6"/>
    <w:rsid w:val="00C90051"/>
    <w:rsid w:val="00C90161"/>
    <w:rsid w:val="00C9093C"/>
    <w:rsid w:val="00C9166D"/>
    <w:rsid w:val="00C917EB"/>
    <w:rsid w:val="00C91BEC"/>
    <w:rsid w:val="00C91C48"/>
    <w:rsid w:val="00C92270"/>
    <w:rsid w:val="00C9249E"/>
    <w:rsid w:val="00C92593"/>
    <w:rsid w:val="00C92E46"/>
    <w:rsid w:val="00C930BE"/>
    <w:rsid w:val="00C93800"/>
    <w:rsid w:val="00C93BA7"/>
    <w:rsid w:val="00C93CE3"/>
    <w:rsid w:val="00C93E8D"/>
    <w:rsid w:val="00C942A8"/>
    <w:rsid w:val="00C944E4"/>
    <w:rsid w:val="00C94678"/>
    <w:rsid w:val="00C94D6B"/>
    <w:rsid w:val="00C94D89"/>
    <w:rsid w:val="00C959E5"/>
    <w:rsid w:val="00C95A53"/>
    <w:rsid w:val="00C961D8"/>
    <w:rsid w:val="00C96878"/>
    <w:rsid w:val="00C96885"/>
    <w:rsid w:val="00C96CB8"/>
    <w:rsid w:val="00C96DBB"/>
    <w:rsid w:val="00C97223"/>
    <w:rsid w:val="00C97438"/>
    <w:rsid w:val="00C977FE"/>
    <w:rsid w:val="00CA0010"/>
    <w:rsid w:val="00CA015E"/>
    <w:rsid w:val="00CA0289"/>
    <w:rsid w:val="00CA0731"/>
    <w:rsid w:val="00CA110A"/>
    <w:rsid w:val="00CA110C"/>
    <w:rsid w:val="00CA17A1"/>
    <w:rsid w:val="00CA1AE3"/>
    <w:rsid w:val="00CA2009"/>
    <w:rsid w:val="00CA2BC3"/>
    <w:rsid w:val="00CA2CC2"/>
    <w:rsid w:val="00CA3127"/>
    <w:rsid w:val="00CA315E"/>
    <w:rsid w:val="00CA326C"/>
    <w:rsid w:val="00CA3794"/>
    <w:rsid w:val="00CA39BB"/>
    <w:rsid w:val="00CA409D"/>
    <w:rsid w:val="00CA42A4"/>
    <w:rsid w:val="00CA4519"/>
    <w:rsid w:val="00CA4786"/>
    <w:rsid w:val="00CA4F28"/>
    <w:rsid w:val="00CA4F48"/>
    <w:rsid w:val="00CA530C"/>
    <w:rsid w:val="00CA54D4"/>
    <w:rsid w:val="00CA58C0"/>
    <w:rsid w:val="00CA6187"/>
    <w:rsid w:val="00CA64F8"/>
    <w:rsid w:val="00CA67EA"/>
    <w:rsid w:val="00CA69D3"/>
    <w:rsid w:val="00CA6E83"/>
    <w:rsid w:val="00CA7429"/>
    <w:rsid w:val="00CA7431"/>
    <w:rsid w:val="00CA7D55"/>
    <w:rsid w:val="00CB0C02"/>
    <w:rsid w:val="00CB0D8F"/>
    <w:rsid w:val="00CB1001"/>
    <w:rsid w:val="00CB1195"/>
    <w:rsid w:val="00CB1325"/>
    <w:rsid w:val="00CB1583"/>
    <w:rsid w:val="00CB203B"/>
    <w:rsid w:val="00CB2B40"/>
    <w:rsid w:val="00CB325A"/>
    <w:rsid w:val="00CB3336"/>
    <w:rsid w:val="00CB3B88"/>
    <w:rsid w:val="00CB3C37"/>
    <w:rsid w:val="00CB411E"/>
    <w:rsid w:val="00CB4552"/>
    <w:rsid w:val="00CB4B3F"/>
    <w:rsid w:val="00CB4D5D"/>
    <w:rsid w:val="00CB51A2"/>
    <w:rsid w:val="00CB576F"/>
    <w:rsid w:val="00CB5CCC"/>
    <w:rsid w:val="00CB6117"/>
    <w:rsid w:val="00CB627C"/>
    <w:rsid w:val="00CB6459"/>
    <w:rsid w:val="00CB65D7"/>
    <w:rsid w:val="00CB68D8"/>
    <w:rsid w:val="00CB6BEB"/>
    <w:rsid w:val="00CB6CC9"/>
    <w:rsid w:val="00CB7134"/>
    <w:rsid w:val="00CB798E"/>
    <w:rsid w:val="00CB7CAC"/>
    <w:rsid w:val="00CB7CF0"/>
    <w:rsid w:val="00CC04B0"/>
    <w:rsid w:val="00CC0CCD"/>
    <w:rsid w:val="00CC176D"/>
    <w:rsid w:val="00CC1F9E"/>
    <w:rsid w:val="00CC22F7"/>
    <w:rsid w:val="00CC24C9"/>
    <w:rsid w:val="00CC2572"/>
    <w:rsid w:val="00CC2F6B"/>
    <w:rsid w:val="00CC304B"/>
    <w:rsid w:val="00CC309C"/>
    <w:rsid w:val="00CC359F"/>
    <w:rsid w:val="00CC3810"/>
    <w:rsid w:val="00CC3A45"/>
    <w:rsid w:val="00CC40F1"/>
    <w:rsid w:val="00CC43DF"/>
    <w:rsid w:val="00CC468F"/>
    <w:rsid w:val="00CC5E7C"/>
    <w:rsid w:val="00CC6229"/>
    <w:rsid w:val="00CC6238"/>
    <w:rsid w:val="00CC632E"/>
    <w:rsid w:val="00CC6407"/>
    <w:rsid w:val="00CC6482"/>
    <w:rsid w:val="00CC665C"/>
    <w:rsid w:val="00CC6BBF"/>
    <w:rsid w:val="00CC6EA6"/>
    <w:rsid w:val="00CC7104"/>
    <w:rsid w:val="00CC7375"/>
    <w:rsid w:val="00CC77E9"/>
    <w:rsid w:val="00CC7B29"/>
    <w:rsid w:val="00CD0AFE"/>
    <w:rsid w:val="00CD0B54"/>
    <w:rsid w:val="00CD0CB7"/>
    <w:rsid w:val="00CD0ED2"/>
    <w:rsid w:val="00CD16CB"/>
    <w:rsid w:val="00CD17A2"/>
    <w:rsid w:val="00CD18D9"/>
    <w:rsid w:val="00CD1E96"/>
    <w:rsid w:val="00CD1F4B"/>
    <w:rsid w:val="00CD20D3"/>
    <w:rsid w:val="00CD223E"/>
    <w:rsid w:val="00CD2A23"/>
    <w:rsid w:val="00CD2B81"/>
    <w:rsid w:val="00CD319F"/>
    <w:rsid w:val="00CD3998"/>
    <w:rsid w:val="00CD39A7"/>
    <w:rsid w:val="00CD3EA8"/>
    <w:rsid w:val="00CD452D"/>
    <w:rsid w:val="00CD55C5"/>
    <w:rsid w:val="00CD579B"/>
    <w:rsid w:val="00CD5832"/>
    <w:rsid w:val="00CD590F"/>
    <w:rsid w:val="00CD6166"/>
    <w:rsid w:val="00CD6377"/>
    <w:rsid w:val="00CD6A86"/>
    <w:rsid w:val="00CD6CCD"/>
    <w:rsid w:val="00CD739F"/>
    <w:rsid w:val="00CD7562"/>
    <w:rsid w:val="00CD75AE"/>
    <w:rsid w:val="00CD7BB3"/>
    <w:rsid w:val="00CE04E5"/>
    <w:rsid w:val="00CE0758"/>
    <w:rsid w:val="00CE08E5"/>
    <w:rsid w:val="00CE0E58"/>
    <w:rsid w:val="00CE0E8E"/>
    <w:rsid w:val="00CE0F13"/>
    <w:rsid w:val="00CE16AC"/>
    <w:rsid w:val="00CE17AF"/>
    <w:rsid w:val="00CE17BA"/>
    <w:rsid w:val="00CE196B"/>
    <w:rsid w:val="00CE29FE"/>
    <w:rsid w:val="00CE2AE9"/>
    <w:rsid w:val="00CE2BFD"/>
    <w:rsid w:val="00CE3846"/>
    <w:rsid w:val="00CE3D18"/>
    <w:rsid w:val="00CE441D"/>
    <w:rsid w:val="00CE45E6"/>
    <w:rsid w:val="00CE4957"/>
    <w:rsid w:val="00CE4F27"/>
    <w:rsid w:val="00CE54AE"/>
    <w:rsid w:val="00CE5B41"/>
    <w:rsid w:val="00CE6572"/>
    <w:rsid w:val="00CE6EF3"/>
    <w:rsid w:val="00CE6F2D"/>
    <w:rsid w:val="00CE7737"/>
    <w:rsid w:val="00CE7D7E"/>
    <w:rsid w:val="00CF0141"/>
    <w:rsid w:val="00CF02DC"/>
    <w:rsid w:val="00CF0F5B"/>
    <w:rsid w:val="00CF0F6E"/>
    <w:rsid w:val="00CF11D3"/>
    <w:rsid w:val="00CF138F"/>
    <w:rsid w:val="00CF188B"/>
    <w:rsid w:val="00CF1957"/>
    <w:rsid w:val="00CF1BAC"/>
    <w:rsid w:val="00CF1CD6"/>
    <w:rsid w:val="00CF1CE4"/>
    <w:rsid w:val="00CF22E4"/>
    <w:rsid w:val="00CF24E3"/>
    <w:rsid w:val="00CF281E"/>
    <w:rsid w:val="00CF2B4D"/>
    <w:rsid w:val="00CF2B6B"/>
    <w:rsid w:val="00CF319F"/>
    <w:rsid w:val="00CF33D7"/>
    <w:rsid w:val="00CF344E"/>
    <w:rsid w:val="00CF380B"/>
    <w:rsid w:val="00CF3949"/>
    <w:rsid w:val="00CF3B20"/>
    <w:rsid w:val="00CF3C86"/>
    <w:rsid w:val="00CF3FD7"/>
    <w:rsid w:val="00CF40DA"/>
    <w:rsid w:val="00CF4D5B"/>
    <w:rsid w:val="00CF5231"/>
    <w:rsid w:val="00CF5607"/>
    <w:rsid w:val="00CF57D2"/>
    <w:rsid w:val="00CF5A5C"/>
    <w:rsid w:val="00CF6526"/>
    <w:rsid w:val="00CF69C3"/>
    <w:rsid w:val="00CF6C17"/>
    <w:rsid w:val="00CF6D7B"/>
    <w:rsid w:val="00CF6E9A"/>
    <w:rsid w:val="00CF7754"/>
    <w:rsid w:val="00CF7A6C"/>
    <w:rsid w:val="00CF7EC7"/>
    <w:rsid w:val="00D0067E"/>
    <w:rsid w:val="00D00D53"/>
    <w:rsid w:val="00D00DB6"/>
    <w:rsid w:val="00D00F52"/>
    <w:rsid w:val="00D01094"/>
    <w:rsid w:val="00D01322"/>
    <w:rsid w:val="00D014AE"/>
    <w:rsid w:val="00D01998"/>
    <w:rsid w:val="00D01CEF"/>
    <w:rsid w:val="00D027F8"/>
    <w:rsid w:val="00D02BD9"/>
    <w:rsid w:val="00D02F60"/>
    <w:rsid w:val="00D0313E"/>
    <w:rsid w:val="00D0319B"/>
    <w:rsid w:val="00D034F7"/>
    <w:rsid w:val="00D03866"/>
    <w:rsid w:val="00D03E45"/>
    <w:rsid w:val="00D03F33"/>
    <w:rsid w:val="00D044AB"/>
    <w:rsid w:val="00D0496A"/>
    <w:rsid w:val="00D04A09"/>
    <w:rsid w:val="00D04A3C"/>
    <w:rsid w:val="00D04CC9"/>
    <w:rsid w:val="00D05765"/>
    <w:rsid w:val="00D05A4D"/>
    <w:rsid w:val="00D05AD7"/>
    <w:rsid w:val="00D05BF9"/>
    <w:rsid w:val="00D05FCD"/>
    <w:rsid w:val="00D061C0"/>
    <w:rsid w:val="00D065E2"/>
    <w:rsid w:val="00D06A81"/>
    <w:rsid w:val="00D06CEE"/>
    <w:rsid w:val="00D071B7"/>
    <w:rsid w:val="00D07275"/>
    <w:rsid w:val="00D07968"/>
    <w:rsid w:val="00D1034D"/>
    <w:rsid w:val="00D109C6"/>
    <w:rsid w:val="00D10C21"/>
    <w:rsid w:val="00D10E0A"/>
    <w:rsid w:val="00D1103D"/>
    <w:rsid w:val="00D11149"/>
    <w:rsid w:val="00D11296"/>
    <w:rsid w:val="00D11B75"/>
    <w:rsid w:val="00D11BD1"/>
    <w:rsid w:val="00D11D19"/>
    <w:rsid w:val="00D11E07"/>
    <w:rsid w:val="00D12438"/>
    <w:rsid w:val="00D12733"/>
    <w:rsid w:val="00D12861"/>
    <w:rsid w:val="00D12BAD"/>
    <w:rsid w:val="00D13005"/>
    <w:rsid w:val="00D13182"/>
    <w:rsid w:val="00D13562"/>
    <w:rsid w:val="00D137B8"/>
    <w:rsid w:val="00D13CE0"/>
    <w:rsid w:val="00D13D98"/>
    <w:rsid w:val="00D13F82"/>
    <w:rsid w:val="00D13FAD"/>
    <w:rsid w:val="00D140FE"/>
    <w:rsid w:val="00D14280"/>
    <w:rsid w:val="00D14355"/>
    <w:rsid w:val="00D1457B"/>
    <w:rsid w:val="00D149F1"/>
    <w:rsid w:val="00D15002"/>
    <w:rsid w:val="00D15FBF"/>
    <w:rsid w:val="00D1664F"/>
    <w:rsid w:val="00D17435"/>
    <w:rsid w:val="00D17550"/>
    <w:rsid w:val="00D1756B"/>
    <w:rsid w:val="00D1768F"/>
    <w:rsid w:val="00D17E00"/>
    <w:rsid w:val="00D17E17"/>
    <w:rsid w:val="00D17E94"/>
    <w:rsid w:val="00D20006"/>
    <w:rsid w:val="00D2004D"/>
    <w:rsid w:val="00D201DC"/>
    <w:rsid w:val="00D203AA"/>
    <w:rsid w:val="00D20970"/>
    <w:rsid w:val="00D209DF"/>
    <w:rsid w:val="00D211D9"/>
    <w:rsid w:val="00D211E0"/>
    <w:rsid w:val="00D217BE"/>
    <w:rsid w:val="00D21C5F"/>
    <w:rsid w:val="00D22096"/>
    <w:rsid w:val="00D22342"/>
    <w:rsid w:val="00D22CF6"/>
    <w:rsid w:val="00D22F01"/>
    <w:rsid w:val="00D23311"/>
    <w:rsid w:val="00D2336D"/>
    <w:rsid w:val="00D23482"/>
    <w:rsid w:val="00D23BF1"/>
    <w:rsid w:val="00D23D0A"/>
    <w:rsid w:val="00D23D82"/>
    <w:rsid w:val="00D23E22"/>
    <w:rsid w:val="00D247F6"/>
    <w:rsid w:val="00D24929"/>
    <w:rsid w:val="00D24F7B"/>
    <w:rsid w:val="00D25093"/>
    <w:rsid w:val="00D25177"/>
    <w:rsid w:val="00D2542C"/>
    <w:rsid w:val="00D2599D"/>
    <w:rsid w:val="00D26B76"/>
    <w:rsid w:val="00D26CE3"/>
    <w:rsid w:val="00D271EF"/>
    <w:rsid w:val="00D27323"/>
    <w:rsid w:val="00D27328"/>
    <w:rsid w:val="00D275F0"/>
    <w:rsid w:val="00D27C08"/>
    <w:rsid w:val="00D3127D"/>
    <w:rsid w:val="00D312A6"/>
    <w:rsid w:val="00D31B5A"/>
    <w:rsid w:val="00D31FEE"/>
    <w:rsid w:val="00D3202A"/>
    <w:rsid w:val="00D32099"/>
    <w:rsid w:val="00D321FC"/>
    <w:rsid w:val="00D32A5F"/>
    <w:rsid w:val="00D32BCC"/>
    <w:rsid w:val="00D32DE8"/>
    <w:rsid w:val="00D32DFE"/>
    <w:rsid w:val="00D32F3A"/>
    <w:rsid w:val="00D332CF"/>
    <w:rsid w:val="00D33487"/>
    <w:rsid w:val="00D33619"/>
    <w:rsid w:val="00D33DB5"/>
    <w:rsid w:val="00D33FA0"/>
    <w:rsid w:val="00D3482D"/>
    <w:rsid w:val="00D34BDD"/>
    <w:rsid w:val="00D34F48"/>
    <w:rsid w:val="00D34FEE"/>
    <w:rsid w:val="00D35354"/>
    <w:rsid w:val="00D35487"/>
    <w:rsid w:val="00D35573"/>
    <w:rsid w:val="00D357BA"/>
    <w:rsid w:val="00D35C2C"/>
    <w:rsid w:val="00D35E48"/>
    <w:rsid w:val="00D3600B"/>
    <w:rsid w:val="00D36093"/>
    <w:rsid w:val="00D366C8"/>
    <w:rsid w:val="00D36DCA"/>
    <w:rsid w:val="00D36F4D"/>
    <w:rsid w:val="00D36F91"/>
    <w:rsid w:val="00D3700A"/>
    <w:rsid w:val="00D37208"/>
    <w:rsid w:val="00D37325"/>
    <w:rsid w:val="00D37A47"/>
    <w:rsid w:val="00D37BE7"/>
    <w:rsid w:val="00D37DBA"/>
    <w:rsid w:val="00D400E3"/>
    <w:rsid w:val="00D405DA"/>
    <w:rsid w:val="00D40A1F"/>
    <w:rsid w:val="00D40FD1"/>
    <w:rsid w:val="00D4150A"/>
    <w:rsid w:val="00D416D0"/>
    <w:rsid w:val="00D41B1B"/>
    <w:rsid w:val="00D41C3D"/>
    <w:rsid w:val="00D41D53"/>
    <w:rsid w:val="00D422FE"/>
    <w:rsid w:val="00D425B7"/>
    <w:rsid w:val="00D42703"/>
    <w:rsid w:val="00D42AF3"/>
    <w:rsid w:val="00D42B12"/>
    <w:rsid w:val="00D42F01"/>
    <w:rsid w:val="00D4325E"/>
    <w:rsid w:val="00D435BF"/>
    <w:rsid w:val="00D436E2"/>
    <w:rsid w:val="00D43C7B"/>
    <w:rsid w:val="00D44284"/>
    <w:rsid w:val="00D44639"/>
    <w:rsid w:val="00D44E28"/>
    <w:rsid w:val="00D4503A"/>
    <w:rsid w:val="00D45C33"/>
    <w:rsid w:val="00D45E3B"/>
    <w:rsid w:val="00D45E80"/>
    <w:rsid w:val="00D462DC"/>
    <w:rsid w:val="00D47537"/>
    <w:rsid w:val="00D475E4"/>
    <w:rsid w:val="00D47991"/>
    <w:rsid w:val="00D47D25"/>
    <w:rsid w:val="00D50065"/>
    <w:rsid w:val="00D502EA"/>
    <w:rsid w:val="00D5055C"/>
    <w:rsid w:val="00D5089F"/>
    <w:rsid w:val="00D514B4"/>
    <w:rsid w:val="00D51ACB"/>
    <w:rsid w:val="00D51BEE"/>
    <w:rsid w:val="00D51FAE"/>
    <w:rsid w:val="00D521D0"/>
    <w:rsid w:val="00D5222A"/>
    <w:rsid w:val="00D52587"/>
    <w:rsid w:val="00D52738"/>
    <w:rsid w:val="00D52A02"/>
    <w:rsid w:val="00D52A2B"/>
    <w:rsid w:val="00D53188"/>
    <w:rsid w:val="00D5338D"/>
    <w:rsid w:val="00D53928"/>
    <w:rsid w:val="00D53FC4"/>
    <w:rsid w:val="00D5438C"/>
    <w:rsid w:val="00D545F9"/>
    <w:rsid w:val="00D54930"/>
    <w:rsid w:val="00D54C59"/>
    <w:rsid w:val="00D557DD"/>
    <w:rsid w:val="00D55C38"/>
    <w:rsid w:val="00D55D3C"/>
    <w:rsid w:val="00D56125"/>
    <w:rsid w:val="00D565EE"/>
    <w:rsid w:val="00D568F5"/>
    <w:rsid w:val="00D57091"/>
    <w:rsid w:val="00D570A7"/>
    <w:rsid w:val="00D57467"/>
    <w:rsid w:val="00D5783B"/>
    <w:rsid w:val="00D60159"/>
    <w:rsid w:val="00D602AC"/>
    <w:rsid w:val="00D60B23"/>
    <w:rsid w:val="00D60B7A"/>
    <w:rsid w:val="00D60F99"/>
    <w:rsid w:val="00D60FC7"/>
    <w:rsid w:val="00D612B0"/>
    <w:rsid w:val="00D612E6"/>
    <w:rsid w:val="00D615CB"/>
    <w:rsid w:val="00D61B73"/>
    <w:rsid w:val="00D61EB0"/>
    <w:rsid w:val="00D62153"/>
    <w:rsid w:val="00D623A7"/>
    <w:rsid w:val="00D62A47"/>
    <w:rsid w:val="00D62A62"/>
    <w:rsid w:val="00D62B1C"/>
    <w:rsid w:val="00D62DBA"/>
    <w:rsid w:val="00D64628"/>
    <w:rsid w:val="00D6533D"/>
    <w:rsid w:val="00D65388"/>
    <w:rsid w:val="00D6566D"/>
    <w:rsid w:val="00D65E30"/>
    <w:rsid w:val="00D66422"/>
    <w:rsid w:val="00D664B8"/>
    <w:rsid w:val="00D6677C"/>
    <w:rsid w:val="00D669D6"/>
    <w:rsid w:val="00D66F76"/>
    <w:rsid w:val="00D67601"/>
    <w:rsid w:val="00D67780"/>
    <w:rsid w:val="00D677D9"/>
    <w:rsid w:val="00D67BC6"/>
    <w:rsid w:val="00D7015A"/>
    <w:rsid w:val="00D703BB"/>
    <w:rsid w:val="00D70A1A"/>
    <w:rsid w:val="00D70C6B"/>
    <w:rsid w:val="00D71360"/>
    <w:rsid w:val="00D72153"/>
    <w:rsid w:val="00D7273F"/>
    <w:rsid w:val="00D72980"/>
    <w:rsid w:val="00D734A9"/>
    <w:rsid w:val="00D73852"/>
    <w:rsid w:val="00D73888"/>
    <w:rsid w:val="00D740B3"/>
    <w:rsid w:val="00D7466E"/>
    <w:rsid w:val="00D7470F"/>
    <w:rsid w:val="00D749FA"/>
    <w:rsid w:val="00D74BEF"/>
    <w:rsid w:val="00D74DD3"/>
    <w:rsid w:val="00D74EFC"/>
    <w:rsid w:val="00D75346"/>
    <w:rsid w:val="00D759D1"/>
    <w:rsid w:val="00D75B73"/>
    <w:rsid w:val="00D75D77"/>
    <w:rsid w:val="00D761DC"/>
    <w:rsid w:val="00D766AE"/>
    <w:rsid w:val="00D7694E"/>
    <w:rsid w:val="00D76D90"/>
    <w:rsid w:val="00D7738E"/>
    <w:rsid w:val="00D801CA"/>
    <w:rsid w:val="00D80361"/>
    <w:rsid w:val="00D8037F"/>
    <w:rsid w:val="00D8090D"/>
    <w:rsid w:val="00D80DBD"/>
    <w:rsid w:val="00D80E61"/>
    <w:rsid w:val="00D80FD0"/>
    <w:rsid w:val="00D81B10"/>
    <w:rsid w:val="00D8331B"/>
    <w:rsid w:val="00D83359"/>
    <w:rsid w:val="00D83731"/>
    <w:rsid w:val="00D84327"/>
    <w:rsid w:val="00D843C3"/>
    <w:rsid w:val="00D84816"/>
    <w:rsid w:val="00D85462"/>
    <w:rsid w:val="00D85608"/>
    <w:rsid w:val="00D8591B"/>
    <w:rsid w:val="00D859EE"/>
    <w:rsid w:val="00D861B6"/>
    <w:rsid w:val="00D86DA0"/>
    <w:rsid w:val="00D86F2B"/>
    <w:rsid w:val="00D86F4A"/>
    <w:rsid w:val="00D87186"/>
    <w:rsid w:val="00D904CF"/>
    <w:rsid w:val="00D91200"/>
    <w:rsid w:val="00D91578"/>
    <w:rsid w:val="00D91643"/>
    <w:rsid w:val="00D916AD"/>
    <w:rsid w:val="00D9198F"/>
    <w:rsid w:val="00D91993"/>
    <w:rsid w:val="00D919BB"/>
    <w:rsid w:val="00D91BA0"/>
    <w:rsid w:val="00D91CD0"/>
    <w:rsid w:val="00D920F2"/>
    <w:rsid w:val="00D9241C"/>
    <w:rsid w:val="00D92A61"/>
    <w:rsid w:val="00D92A84"/>
    <w:rsid w:val="00D92C07"/>
    <w:rsid w:val="00D92C74"/>
    <w:rsid w:val="00D92C7B"/>
    <w:rsid w:val="00D92CB0"/>
    <w:rsid w:val="00D932E9"/>
    <w:rsid w:val="00D933E5"/>
    <w:rsid w:val="00D9343F"/>
    <w:rsid w:val="00D9359A"/>
    <w:rsid w:val="00D93DB5"/>
    <w:rsid w:val="00D94354"/>
    <w:rsid w:val="00D94597"/>
    <w:rsid w:val="00D9481A"/>
    <w:rsid w:val="00D94BBD"/>
    <w:rsid w:val="00D94EB0"/>
    <w:rsid w:val="00D951B3"/>
    <w:rsid w:val="00D951F4"/>
    <w:rsid w:val="00D9552D"/>
    <w:rsid w:val="00D95882"/>
    <w:rsid w:val="00D95AEB"/>
    <w:rsid w:val="00D96231"/>
    <w:rsid w:val="00D9681A"/>
    <w:rsid w:val="00D968E4"/>
    <w:rsid w:val="00D97BFA"/>
    <w:rsid w:val="00D97FA9"/>
    <w:rsid w:val="00DA01F6"/>
    <w:rsid w:val="00DA05B7"/>
    <w:rsid w:val="00DA1293"/>
    <w:rsid w:val="00DA1380"/>
    <w:rsid w:val="00DA1889"/>
    <w:rsid w:val="00DA1A8A"/>
    <w:rsid w:val="00DA1B30"/>
    <w:rsid w:val="00DA1C65"/>
    <w:rsid w:val="00DA2034"/>
    <w:rsid w:val="00DA24C2"/>
    <w:rsid w:val="00DA2A21"/>
    <w:rsid w:val="00DA2E2C"/>
    <w:rsid w:val="00DA3582"/>
    <w:rsid w:val="00DA378B"/>
    <w:rsid w:val="00DA3866"/>
    <w:rsid w:val="00DA38BD"/>
    <w:rsid w:val="00DA45D0"/>
    <w:rsid w:val="00DA474D"/>
    <w:rsid w:val="00DA4BFE"/>
    <w:rsid w:val="00DA5149"/>
    <w:rsid w:val="00DA58C5"/>
    <w:rsid w:val="00DA59C9"/>
    <w:rsid w:val="00DA5B65"/>
    <w:rsid w:val="00DA6331"/>
    <w:rsid w:val="00DA63E8"/>
    <w:rsid w:val="00DA63F8"/>
    <w:rsid w:val="00DA65FD"/>
    <w:rsid w:val="00DA6613"/>
    <w:rsid w:val="00DA6D01"/>
    <w:rsid w:val="00DA6F54"/>
    <w:rsid w:val="00DA7162"/>
    <w:rsid w:val="00DA71C1"/>
    <w:rsid w:val="00DA723C"/>
    <w:rsid w:val="00DA78CA"/>
    <w:rsid w:val="00DA7982"/>
    <w:rsid w:val="00DA7AFC"/>
    <w:rsid w:val="00DB05FC"/>
    <w:rsid w:val="00DB069E"/>
    <w:rsid w:val="00DB09C6"/>
    <w:rsid w:val="00DB1217"/>
    <w:rsid w:val="00DB16DC"/>
    <w:rsid w:val="00DB1EAB"/>
    <w:rsid w:val="00DB2BCB"/>
    <w:rsid w:val="00DB2D39"/>
    <w:rsid w:val="00DB2FB1"/>
    <w:rsid w:val="00DB32AB"/>
    <w:rsid w:val="00DB3404"/>
    <w:rsid w:val="00DB385C"/>
    <w:rsid w:val="00DB3A25"/>
    <w:rsid w:val="00DB42C9"/>
    <w:rsid w:val="00DB491C"/>
    <w:rsid w:val="00DB4C46"/>
    <w:rsid w:val="00DB4D35"/>
    <w:rsid w:val="00DB531D"/>
    <w:rsid w:val="00DB5378"/>
    <w:rsid w:val="00DB56CA"/>
    <w:rsid w:val="00DB5883"/>
    <w:rsid w:val="00DB5CF2"/>
    <w:rsid w:val="00DB5F40"/>
    <w:rsid w:val="00DB5FD8"/>
    <w:rsid w:val="00DB6148"/>
    <w:rsid w:val="00DB70AE"/>
    <w:rsid w:val="00DB7D96"/>
    <w:rsid w:val="00DC04F8"/>
    <w:rsid w:val="00DC0799"/>
    <w:rsid w:val="00DC0DE0"/>
    <w:rsid w:val="00DC0DE9"/>
    <w:rsid w:val="00DC0FBB"/>
    <w:rsid w:val="00DC143B"/>
    <w:rsid w:val="00DC1B29"/>
    <w:rsid w:val="00DC1B3C"/>
    <w:rsid w:val="00DC24F7"/>
    <w:rsid w:val="00DC2A09"/>
    <w:rsid w:val="00DC2A11"/>
    <w:rsid w:val="00DC3B64"/>
    <w:rsid w:val="00DC3E5E"/>
    <w:rsid w:val="00DC41AD"/>
    <w:rsid w:val="00DC4631"/>
    <w:rsid w:val="00DC4698"/>
    <w:rsid w:val="00DC4736"/>
    <w:rsid w:val="00DC47CE"/>
    <w:rsid w:val="00DC4CC6"/>
    <w:rsid w:val="00DC4E67"/>
    <w:rsid w:val="00DC50A4"/>
    <w:rsid w:val="00DC59D5"/>
    <w:rsid w:val="00DC5AFF"/>
    <w:rsid w:val="00DC61F6"/>
    <w:rsid w:val="00DC62ED"/>
    <w:rsid w:val="00DC694C"/>
    <w:rsid w:val="00DC69F7"/>
    <w:rsid w:val="00DC738F"/>
    <w:rsid w:val="00DC75F6"/>
    <w:rsid w:val="00DC7677"/>
    <w:rsid w:val="00DC783D"/>
    <w:rsid w:val="00DC7EE7"/>
    <w:rsid w:val="00DC7FBE"/>
    <w:rsid w:val="00DD0146"/>
    <w:rsid w:val="00DD01F4"/>
    <w:rsid w:val="00DD0595"/>
    <w:rsid w:val="00DD05B1"/>
    <w:rsid w:val="00DD07E5"/>
    <w:rsid w:val="00DD0BCB"/>
    <w:rsid w:val="00DD1124"/>
    <w:rsid w:val="00DD13EA"/>
    <w:rsid w:val="00DD1485"/>
    <w:rsid w:val="00DD1720"/>
    <w:rsid w:val="00DD185C"/>
    <w:rsid w:val="00DD19C4"/>
    <w:rsid w:val="00DD1B05"/>
    <w:rsid w:val="00DD25F3"/>
    <w:rsid w:val="00DD28D6"/>
    <w:rsid w:val="00DD2961"/>
    <w:rsid w:val="00DD2A95"/>
    <w:rsid w:val="00DD2BB0"/>
    <w:rsid w:val="00DD2D49"/>
    <w:rsid w:val="00DD2DA8"/>
    <w:rsid w:val="00DD3176"/>
    <w:rsid w:val="00DD32B8"/>
    <w:rsid w:val="00DD3919"/>
    <w:rsid w:val="00DD39CF"/>
    <w:rsid w:val="00DD3BC4"/>
    <w:rsid w:val="00DD4393"/>
    <w:rsid w:val="00DD4461"/>
    <w:rsid w:val="00DD45B2"/>
    <w:rsid w:val="00DD47F4"/>
    <w:rsid w:val="00DD4C2D"/>
    <w:rsid w:val="00DD5190"/>
    <w:rsid w:val="00DD5A9E"/>
    <w:rsid w:val="00DD5B2C"/>
    <w:rsid w:val="00DD6F6D"/>
    <w:rsid w:val="00DD7004"/>
    <w:rsid w:val="00DD7012"/>
    <w:rsid w:val="00DD70A0"/>
    <w:rsid w:val="00DD7799"/>
    <w:rsid w:val="00DD77AB"/>
    <w:rsid w:val="00DD7A31"/>
    <w:rsid w:val="00DD7D70"/>
    <w:rsid w:val="00DD7F98"/>
    <w:rsid w:val="00DE01E3"/>
    <w:rsid w:val="00DE02E2"/>
    <w:rsid w:val="00DE03ED"/>
    <w:rsid w:val="00DE05F9"/>
    <w:rsid w:val="00DE0979"/>
    <w:rsid w:val="00DE09D0"/>
    <w:rsid w:val="00DE0ADA"/>
    <w:rsid w:val="00DE134C"/>
    <w:rsid w:val="00DE13D0"/>
    <w:rsid w:val="00DE14B8"/>
    <w:rsid w:val="00DE1DE9"/>
    <w:rsid w:val="00DE209C"/>
    <w:rsid w:val="00DE2292"/>
    <w:rsid w:val="00DE2860"/>
    <w:rsid w:val="00DE2DA5"/>
    <w:rsid w:val="00DE2DE4"/>
    <w:rsid w:val="00DE2E61"/>
    <w:rsid w:val="00DE36A1"/>
    <w:rsid w:val="00DE391D"/>
    <w:rsid w:val="00DE3947"/>
    <w:rsid w:val="00DE3E1D"/>
    <w:rsid w:val="00DE3FB1"/>
    <w:rsid w:val="00DE4489"/>
    <w:rsid w:val="00DE50E5"/>
    <w:rsid w:val="00DE53CA"/>
    <w:rsid w:val="00DE5645"/>
    <w:rsid w:val="00DE581F"/>
    <w:rsid w:val="00DE5905"/>
    <w:rsid w:val="00DE5C03"/>
    <w:rsid w:val="00DE5F51"/>
    <w:rsid w:val="00DE64B8"/>
    <w:rsid w:val="00DE64FF"/>
    <w:rsid w:val="00DE65BE"/>
    <w:rsid w:val="00DE6739"/>
    <w:rsid w:val="00DE68A5"/>
    <w:rsid w:val="00DE6A4D"/>
    <w:rsid w:val="00DE6BA6"/>
    <w:rsid w:val="00DE6C45"/>
    <w:rsid w:val="00DE6F54"/>
    <w:rsid w:val="00DE6F56"/>
    <w:rsid w:val="00DE6F86"/>
    <w:rsid w:val="00DE7027"/>
    <w:rsid w:val="00DE71B4"/>
    <w:rsid w:val="00DE7E20"/>
    <w:rsid w:val="00DF0004"/>
    <w:rsid w:val="00DF0067"/>
    <w:rsid w:val="00DF0184"/>
    <w:rsid w:val="00DF035D"/>
    <w:rsid w:val="00DF04D8"/>
    <w:rsid w:val="00DF055F"/>
    <w:rsid w:val="00DF078E"/>
    <w:rsid w:val="00DF1211"/>
    <w:rsid w:val="00DF12D2"/>
    <w:rsid w:val="00DF14C9"/>
    <w:rsid w:val="00DF2373"/>
    <w:rsid w:val="00DF23E9"/>
    <w:rsid w:val="00DF2597"/>
    <w:rsid w:val="00DF2637"/>
    <w:rsid w:val="00DF2A88"/>
    <w:rsid w:val="00DF2B6F"/>
    <w:rsid w:val="00DF2D5C"/>
    <w:rsid w:val="00DF3348"/>
    <w:rsid w:val="00DF35EC"/>
    <w:rsid w:val="00DF3665"/>
    <w:rsid w:val="00DF376D"/>
    <w:rsid w:val="00DF3965"/>
    <w:rsid w:val="00DF3DD9"/>
    <w:rsid w:val="00DF4257"/>
    <w:rsid w:val="00DF4395"/>
    <w:rsid w:val="00DF49EB"/>
    <w:rsid w:val="00DF4ABB"/>
    <w:rsid w:val="00DF4BE3"/>
    <w:rsid w:val="00DF4FD2"/>
    <w:rsid w:val="00DF5CB6"/>
    <w:rsid w:val="00DF5F40"/>
    <w:rsid w:val="00DF6A9D"/>
    <w:rsid w:val="00DF7265"/>
    <w:rsid w:val="00DF7DC1"/>
    <w:rsid w:val="00DF7FAF"/>
    <w:rsid w:val="00E00001"/>
    <w:rsid w:val="00E0016F"/>
    <w:rsid w:val="00E004B9"/>
    <w:rsid w:val="00E00706"/>
    <w:rsid w:val="00E00784"/>
    <w:rsid w:val="00E01139"/>
    <w:rsid w:val="00E01C7D"/>
    <w:rsid w:val="00E01D4B"/>
    <w:rsid w:val="00E01E19"/>
    <w:rsid w:val="00E01F45"/>
    <w:rsid w:val="00E01F48"/>
    <w:rsid w:val="00E0262D"/>
    <w:rsid w:val="00E02CA9"/>
    <w:rsid w:val="00E02D48"/>
    <w:rsid w:val="00E037B7"/>
    <w:rsid w:val="00E03860"/>
    <w:rsid w:val="00E03C7A"/>
    <w:rsid w:val="00E04145"/>
    <w:rsid w:val="00E04BEE"/>
    <w:rsid w:val="00E05475"/>
    <w:rsid w:val="00E05828"/>
    <w:rsid w:val="00E05C9D"/>
    <w:rsid w:val="00E05E26"/>
    <w:rsid w:val="00E05E56"/>
    <w:rsid w:val="00E060A6"/>
    <w:rsid w:val="00E06357"/>
    <w:rsid w:val="00E06C52"/>
    <w:rsid w:val="00E07528"/>
    <w:rsid w:val="00E078B6"/>
    <w:rsid w:val="00E07D14"/>
    <w:rsid w:val="00E07E07"/>
    <w:rsid w:val="00E07FFA"/>
    <w:rsid w:val="00E109B8"/>
    <w:rsid w:val="00E110AF"/>
    <w:rsid w:val="00E115F3"/>
    <w:rsid w:val="00E11F82"/>
    <w:rsid w:val="00E12393"/>
    <w:rsid w:val="00E13295"/>
    <w:rsid w:val="00E132A0"/>
    <w:rsid w:val="00E1344C"/>
    <w:rsid w:val="00E136E3"/>
    <w:rsid w:val="00E139A7"/>
    <w:rsid w:val="00E143FA"/>
    <w:rsid w:val="00E1477A"/>
    <w:rsid w:val="00E147C0"/>
    <w:rsid w:val="00E14857"/>
    <w:rsid w:val="00E14A04"/>
    <w:rsid w:val="00E14B34"/>
    <w:rsid w:val="00E14DB3"/>
    <w:rsid w:val="00E14DD7"/>
    <w:rsid w:val="00E15547"/>
    <w:rsid w:val="00E1573A"/>
    <w:rsid w:val="00E15D31"/>
    <w:rsid w:val="00E15FB6"/>
    <w:rsid w:val="00E16075"/>
    <w:rsid w:val="00E160B8"/>
    <w:rsid w:val="00E16527"/>
    <w:rsid w:val="00E16A88"/>
    <w:rsid w:val="00E16D23"/>
    <w:rsid w:val="00E16D31"/>
    <w:rsid w:val="00E16EA8"/>
    <w:rsid w:val="00E16F68"/>
    <w:rsid w:val="00E175D0"/>
    <w:rsid w:val="00E179A4"/>
    <w:rsid w:val="00E17D4E"/>
    <w:rsid w:val="00E17DED"/>
    <w:rsid w:val="00E17EEF"/>
    <w:rsid w:val="00E20018"/>
    <w:rsid w:val="00E210F4"/>
    <w:rsid w:val="00E21A13"/>
    <w:rsid w:val="00E223B8"/>
    <w:rsid w:val="00E22608"/>
    <w:rsid w:val="00E228F5"/>
    <w:rsid w:val="00E22F55"/>
    <w:rsid w:val="00E2347F"/>
    <w:rsid w:val="00E23B10"/>
    <w:rsid w:val="00E242F8"/>
    <w:rsid w:val="00E25399"/>
    <w:rsid w:val="00E253BD"/>
    <w:rsid w:val="00E25CB5"/>
    <w:rsid w:val="00E26068"/>
    <w:rsid w:val="00E2617D"/>
    <w:rsid w:val="00E26694"/>
    <w:rsid w:val="00E266F2"/>
    <w:rsid w:val="00E267E2"/>
    <w:rsid w:val="00E26DDF"/>
    <w:rsid w:val="00E26EA0"/>
    <w:rsid w:val="00E2732D"/>
    <w:rsid w:val="00E275D5"/>
    <w:rsid w:val="00E27E36"/>
    <w:rsid w:val="00E3104B"/>
    <w:rsid w:val="00E316CC"/>
    <w:rsid w:val="00E31805"/>
    <w:rsid w:val="00E31A69"/>
    <w:rsid w:val="00E32409"/>
    <w:rsid w:val="00E32473"/>
    <w:rsid w:val="00E32970"/>
    <w:rsid w:val="00E329C8"/>
    <w:rsid w:val="00E32A0D"/>
    <w:rsid w:val="00E32D38"/>
    <w:rsid w:val="00E334B6"/>
    <w:rsid w:val="00E338B7"/>
    <w:rsid w:val="00E33B1A"/>
    <w:rsid w:val="00E33B4B"/>
    <w:rsid w:val="00E342AA"/>
    <w:rsid w:val="00E344E7"/>
    <w:rsid w:val="00E34C0F"/>
    <w:rsid w:val="00E34E6E"/>
    <w:rsid w:val="00E35132"/>
    <w:rsid w:val="00E351B9"/>
    <w:rsid w:val="00E35246"/>
    <w:rsid w:val="00E352BC"/>
    <w:rsid w:val="00E3554F"/>
    <w:rsid w:val="00E359CB"/>
    <w:rsid w:val="00E35EB6"/>
    <w:rsid w:val="00E35F57"/>
    <w:rsid w:val="00E363EF"/>
    <w:rsid w:val="00E36891"/>
    <w:rsid w:val="00E37206"/>
    <w:rsid w:val="00E376D8"/>
    <w:rsid w:val="00E37BC3"/>
    <w:rsid w:val="00E40077"/>
    <w:rsid w:val="00E408AA"/>
    <w:rsid w:val="00E40D2A"/>
    <w:rsid w:val="00E40E6D"/>
    <w:rsid w:val="00E41ED1"/>
    <w:rsid w:val="00E42036"/>
    <w:rsid w:val="00E422EA"/>
    <w:rsid w:val="00E424EA"/>
    <w:rsid w:val="00E42568"/>
    <w:rsid w:val="00E42700"/>
    <w:rsid w:val="00E42AF8"/>
    <w:rsid w:val="00E42F25"/>
    <w:rsid w:val="00E43353"/>
    <w:rsid w:val="00E43604"/>
    <w:rsid w:val="00E4382B"/>
    <w:rsid w:val="00E439C3"/>
    <w:rsid w:val="00E43DCC"/>
    <w:rsid w:val="00E446F3"/>
    <w:rsid w:val="00E448BB"/>
    <w:rsid w:val="00E44AA6"/>
    <w:rsid w:val="00E44C8B"/>
    <w:rsid w:val="00E44DDF"/>
    <w:rsid w:val="00E44F6A"/>
    <w:rsid w:val="00E45021"/>
    <w:rsid w:val="00E45843"/>
    <w:rsid w:val="00E459A9"/>
    <w:rsid w:val="00E45C73"/>
    <w:rsid w:val="00E45D10"/>
    <w:rsid w:val="00E46010"/>
    <w:rsid w:val="00E460A9"/>
    <w:rsid w:val="00E468E7"/>
    <w:rsid w:val="00E46D17"/>
    <w:rsid w:val="00E46DB6"/>
    <w:rsid w:val="00E46F15"/>
    <w:rsid w:val="00E47CD0"/>
    <w:rsid w:val="00E50158"/>
    <w:rsid w:val="00E503D2"/>
    <w:rsid w:val="00E50514"/>
    <w:rsid w:val="00E50764"/>
    <w:rsid w:val="00E509E9"/>
    <w:rsid w:val="00E51327"/>
    <w:rsid w:val="00E516E1"/>
    <w:rsid w:val="00E51BDA"/>
    <w:rsid w:val="00E51CB6"/>
    <w:rsid w:val="00E51D65"/>
    <w:rsid w:val="00E5255D"/>
    <w:rsid w:val="00E52B7A"/>
    <w:rsid w:val="00E531A8"/>
    <w:rsid w:val="00E53699"/>
    <w:rsid w:val="00E53791"/>
    <w:rsid w:val="00E53863"/>
    <w:rsid w:val="00E53924"/>
    <w:rsid w:val="00E53D60"/>
    <w:rsid w:val="00E53F5A"/>
    <w:rsid w:val="00E54692"/>
    <w:rsid w:val="00E5496C"/>
    <w:rsid w:val="00E54A5B"/>
    <w:rsid w:val="00E54BB0"/>
    <w:rsid w:val="00E54E62"/>
    <w:rsid w:val="00E54F84"/>
    <w:rsid w:val="00E557CB"/>
    <w:rsid w:val="00E55E79"/>
    <w:rsid w:val="00E55F4E"/>
    <w:rsid w:val="00E56209"/>
    <w:rsid w:val="00E562B4"/>
    <w:rsid w:val="00E567A3"/>
    <w:rsid w:val="00E5687D"/>
    <w:rsid w:val="00E56E60"/>
    <w:rsid w:val="00E56E86"/>
    <w:rsid w:val="00E5724E"/>
    <w:rsid w:val="00E57DEC"/>
    <w:rsid w:val="00E60699"/>
    <w:rsid w:val="00E60982"/>
    <w:rsid w:val="00E60AF2"/>
    <w:rsid w:val="00E60C21"/>
    <w:rsid w:val="00E60E5F"/>
    <w:rsid w:val="00E610F9"/>
    <w:rsid w:val="00E61F80"/>
    <w:rsid w:val="00E621A9"/>
    <w:rsid w:val="00E621E2"/>
    <w:rsid w:val="00E624BF"/>
    <w:rsid w:val="00E62BCA"/>
    <w:rsid w:val="00E62FC7"/>
    <w:rsid w:val="00E631EE"/>
    <w:rsid w:val="00E63E42"/>
    <w:rsid w:val="00E63FF5"/>
    <w:rsid w:val="00E640E2"/>
    <w:rsid w:val="00E64487"/>
    <w:rsid w:val="00E64563"/>
    <w:rsid w:val="00E64644"/>
    <w:rsid w:val="00E64694"/>
    <w:rsid w:val="00E646F1"/>
    <w:rsid w:val="00E64FCC"/>
    <w:rsid w:val="00E65004"/>
    <w:rsid w:val="00E650DD"/>
    <w:rsid w:val="00E651D1"/>
    <w:rsid w:val="00E65218"/>
    <w:rsid w:val="00E6540D"/>
    <w:rsid w:val="00E65523"/>
    <w:rsid w:val="00E65B8F"/>
    <w:rsid w:val="00E660B8"/>
    <w:rsid w:val="00E6616D"/>
    <w:rsid w:val="00E66819"/>
    <w:rsid w:val="00E66D22"/>
    <w:rsid w:val="00E6712B"/>
    <w:rsid w:val="00E67479"/>
    <w:rsid w:val="00E67E19"/>
    <w:rsid w:val="00E7016A"/>
    <w:rsid w:val="00E702CF"/>
    <w:rsid w:val="00E71473"/>
    <w:rsid w:val="00E7160A"/>
    <w:rsid w:val="00E71897"/>
    <w:rsid w:val="00E719F0"/>
    <w:rsid w:val="00E71B36"/>
    <w:rsid w:val="00E71D30"/>
    <w:rsid w:val="00E71D69"/>
    <w:rsid w:val="00E71FAE"/>
    <w:rsid w:val="00E7210C"/>
    <w:rsid w:val="00E7233E"/>
    <w:rsid w:val="00E7239C"/>
    <w:rsid w:val="00E724EC"/>
    <w:rsid w:val="00E72578"/>
    <w:rsid w:val="00E73194"/>
    <w:rsid w:val="00E7320E"/>
    <w:rsid w:val="00E73244"/>
    <w:rsid w:val="00E7346D"/>
    <w:rsid w:val="00E7382A"/>
    <w:rsid w:val="00E73A0D"/>
    <w:rsid w:val="00E741D6"/>
    <w:rsid w:val="00E744DA"/>
    <w:rsid w:val="00E74971"/>
    <w:rsid w:val="00E7507D"/>
    <w:rsid w:val="00E75112"/>
    <w:rsid w:val="00E751B4"/>
    <w:rsid w:val="00E756DD"/>
    <w:rsid w:val="00E75C5F"/>
    <w:rsid w:val="00E75C77"/>
    <w:rsid w:val="00E75DA1"/>
    <w:rsid w:val="00E762E4"/>
    <w:rsid w:val="00E7632A"/>
    <w:rsid w:val="00E76507"/>
    <w:rsid w:val="00E76845"/>
    <w:rsid w:val="00E76F10"/>
    <w:rsid w:val="00E77320"/>
    <w:rsid w:val="00E803C9"/>
    <w:rsid w:val="00E8102F"/>
    <w:rsid w:val="00E81775"/>
    <w:rsid w:val="00E81E4B"/>
    <w:rsid w:val="00E82551"/>
    <w:rsid w:val="00E82681"/>
    <w:rsid w:val="00E8269A"/>
    <w:rsid w:val="00E826B6"/>
    <w:rsid w:val="00E827B0"/>
    <w:rsid w:val="00E82B66"/>
    <w:rsid w:val="00E82FC5"/>
    <w:rsid w:val="00E8377D"/>
    <w:rsid w:val="00E83C1E"/>
    <w:rsid w:val="00E83D27"/>
    <w:rsid w:val="00E83DD7"/>
    <w:rsid w:val="00E8416D"/>
    <w:rsid w:val="00E8423B"/>
    <w:rsid w:val="00E846C8"/>
    <w:rsid w:val="00E847D4"/>
    <w:rsid w:val="00E848EC"/>
    <w:rsid w:val="00E849C7"/>
    <w:rsid w:val="00E84B3F"/>
    <w:rsid w:val="00E84D48"/>
    <w:rsid w:val="00E84E73"/>
    <w:rsid w:val="00E84FFF"/>
    <w:rsid w:val="00E8518A"/>
    <w:rsid w:val="00E85BE0"/>
    <w:rsid w:val="00E85EF6"/>
    <w:rsid w:val="00E86A93"/>
    <w:rsid w:val="00E86AC3"/>
    <w:rsid w:val="00E86D8F"/>
    <w:rsid w:val="00E86E26"/>
    <w:rsid w:val="00E87006"/>
    <w:rsid w:val="00E8715C"/>
    <w:rsid w:val="00E872B5"/>
    <w:rsid w:val="00E875FD"/>
    <w:rsid w:val="00E87DCE"/>
    <w:rsid w:val="00E87FA7"/>
    <w:rsid w:val="00E902CB"/>
    <w:rsid w:val="00E9039C"/>
    <w:rsid w:val="00E903F7"/>
    <w:rsid w:val="00E90497"/>
    <w:rsid w:val="00E90D57"/>
    <w:rsid w:val="00E9115A"/>
    <w:rsid w:val="00E9158B"/>
    <w:rsid w:val="00E91DB5"/>
    <w:rsid w:val="00E91F10"/>
    <w:rsid w:val="00E91FAF"/>
    <w:rsid w:val="00E929EC"/>
    <w:rsid w:val="00E92ECE"/>
    <w:rsid w:val="00E93C96"/>
    <w:rsid w:val="00E93CBE"/>
    <w:rsid w:val="00E93E1A"/>
    <w:rsid w:val="00E94A5B"/>
    <w:rsid w:val="00E94B3D"/>
    <w:rsid w:val="00E952A1"/>
    <w:rsid w:val="00E95C49"/>
    <w:rsid w:val="00E95D2C"/>
    <w:rsid w:val="00E95F59"/>
    <w:rsid w:val="00E968BD"/>
    <w:rsid w:val="00E97533"/>
    <w:rsid w:val="00E9786B"/>
    <w:rsid w:val="00E97A64"/>
    <w:rsid w:val="00E97D32"/>
    <w:rsid w:val="00EA0C9A"/>
    <w:rsid w:val="00EA0F73"/>
    <w:rsid w:val="00EA0FE5"/>
    <w:rsid w:val="00EA14EE"/>
    <w:rsid w:val="00EA1578"/>
    <w:rsid w:val="00EA1C4A"/>
    <w:rsid w:val="00EA1EDA"/>
    <w:rsid w:val="00EA23EF"/>
    <w:rsid w:val="00EA25BC"/>
    <w:rsid w:val="00EA261B"/>
    <w:rsid w:val="00EA29F1"/>
    <w:rsid w:val="00EA2EA4"/>
    <w:rsid w:val="00EA3808"/>
    <w:rsid w:val="00EA3B0F"/>
    <w:rsid w:val="00EA4944"/>
    <w:rsid w:val="00EA4969"/>
    <w:rsid w:val="00EA49D1"/>
    <w:rsid w:val="00EA5119"/>
    <w:rsid w:val="00EA52C3"/>
    <w:rsid w:val="00EA56B6"/>
    <w:rsid w:val="00EA5767"/>
    <w:rsid w:val="00EA59EE"/>
    <w:rsid w:val="00EA5B05"/>
    <w:rsid w:val="00EA64BF"/>
    <w:rsid w:val="00EA655B"/>
    <w:rsid w:val="00EA660D"/>
    <w:rsid w:val="00EA6B31"/>
    <w:rsid w:val="00EA74E8"/>
    <w:rsid w:val="00EA775C"/>
    <w:rsid w:val="00EA78BC"/>
    <w:rsid w:val="00EB0291"/>
    <w:rsid w:val="00EB056F"/>
    <w:rsid w:val="00EB0CAC"/>
    <w:rsid w:val="00EB0EC3"/>
    <w:rsid w:val="00EB0FC0"/>
    <w:rsid w:val="00EB12B9"/>
    <w:rsid w:val="00EB14FB"/>
    <w:rsid w:val="00EB1931"/>
    <w:rsid w:val="00EB1CAF"/>
    <w:rsid w:val="00EB1CFB"/>
    <w:rsid w:val="00EB2518"/>
    <w:rsid w:val="00EB295E"/>
    <w:rsid w:val="00EB2AAE"/>
    <w:rsid w:val="00EB3021"/>
    <w:rsid w:val="00EB30C7"/>
    <w:rsid w:val="00EB310C"/>
    <w:rsid w:val="00EB369A"/>
    <w:rsid w:val="00EB459A"/>
    <w:rsid w:val="00EB4AF3"/>
    <w:rsid w:val="00EB4B9E"/>
    <w:rsid w:val="00EB4BE4"/>
    <w:rsid w:val="00EB53BD"/>
    <w:rsid w:val="00EB56CB"/>
    <w:rsid w:val="00EB5757"/>
    <w:rsid w:val="00EB5BFF"/>
    <w:rsid w:val="00EB5D66"/>
    <w:rsid w:val="00EB6123"/>
    <w:rsid w:val="00EB6322"/>
    <w:rsid w:val="00EB6EFA"/>
    <w:rsid w:val="00EB76C2"/>
    <w:rsid w:val="00EB77E5"/>
    <w:rsid w:val="00EB7C82"/>
    <w:rsid w:val="00EB7F3E"/>
    <w:rsid w:val="00EC0478"/>
    <w:rsid w:val="00EC0834"/>
    <w:rsid w:val="00EC0E14"/>
    <w:rsid w:val="00EC1283"/>
    <w:rsid w:val="00EC1C20"/>
    <w:rsid w:val="00EC1EB1"/>
    <w:rsid w:val="00EC2D2A"/>
    <w:rsid w:val="00EC2D2C"/>
    <w:rsid w:val="00EC36A3"/>
    <w:rsid w:val="00EC3936"/>
    <w:rsid w:val="00EC4276"/>
    <w:rsid w:val="00EC47C3"/>
    <w:rsid w:val="00EC4B85"/>
    <w:rsid w:val="00EC4C18"/>
    <w:rsid w:val="00EC5433"/>
    <w:rsid w:val="00EC55E8"/>
    <w:rsid w:val="00EC64CB"/>
    <w:rsid w:val="00EC6589"/>
    <w:rsid w:val="00EC6EC1"/>
    <w:rsid w:val="00EC702B"/>
    <w:rsid w:val="00EC711A"/>
    <w:rsid w:val="00EC76B2"/>
    <w:rsid w:val="00EC78AA"/>
    <w:rsid w:val="00EC7953"/>
    <w:rsid w:val="00ED0038"/>
    <w:rsid w:val="00ED012D"/>
    <w:rsid w:val="00ED03A0"/>
    <w:rsid w:val="00ED0C06"/>
    <w:rsid w:val="00ED0CBD"/>
    <w:rsid w:val="00ED15FE"/>
    <w:rsid w:val="00ED1BF6"/>
    <w:rsid w:val="00ED1CC6"/>
    <w:rsid w:val="00ED2039"/>
    <w:rsid w:val="00ED237C"/>
    <w:rsid w:val="00ED25C3"/>
    <w:rsid w:val="00ED2661"/>
    <w:rsid w:val="00ED2B95"/>
    <w:rsid w:val="00ED2DDD"/>
    <w:rsid w:val="00ED3363"/>
    <w:rsid w:val="00ED4DAF"/>
    <w:rsid w:val="00ED506E"/>
    <w:rsid w:val="00ED61AC"/>
    <w:rsid w:val="00ED6AB4"/>
    <w:rsid w:val="00ED6F32"/>
    <w:rsid w:val="00ED707C"/>
    <w:rsid w:val="00ED713F"/>
    <w:rsid w:val="00ED7B47"/>
    <w:rsid w:val="00ED7B85"/>
    <w:rsid w:val="00ED7BAF"/>
    <w:rsid w:val="00ED7CD4"/>
    <w:rsid w:val="00ED7F45"/>
    <w:rsid w:val="00EE0931"/>
    <w:rsid w:val="00EE0F6F"/>
    <w:rsid w:val="00EE1352"/>
    <w:rsid w:val="00EE1379"/>
    <w:rsid w:val="00EE13CD"/>
    <w:rsid w:val="00EE1946"/>
    <w:rsid w:val="00EE1E66"/>
    <w:rsid w:val="00EE3251"/>
    <w:rsid w:val="00EE3561"/>
    <w:rsid w:val="00EE3DBB"/>
    <w:rsid w:val="00EE4310"/>
    <w:rsid w:val="00EE4414"/>
    <w:rsid w:val="00EE4D10"/>
    <w:rsid w:val="00EE4EED"/>
    <w:rsid w:val="00EE4F32"/>
    <w:rsid w:val="00EE5B5E"/>
    <w:rsid w:val="00EE643F"/>
    <w:rsid w:val="00EE6804"/>
    <w:rsid w:val="00EE6F57"/>
    <w:rsid w:val="00EE70CD"/>
    <w:rsid w:val="00EE7760"/>
    <w:rsid w:val="00EE790E"/>
    <w:rsid w:val="00EE7A16"/>
    <w:rsid w:val="00EE7B17"/>
    <w:rsid w:val="00EE7C36"/>
    <w:rsid w:val="00EE7D7A"/>
    <w:rsid w:val="00EF012A"/>
    <w:rsid w:val="00EF015A"/>
    <w:rsid w:val="00EF0635"/>
    <w:rsid w:val="00EF0669"/>
    <w:rsid w:val="00EF067A"/>
    <w:rsid w:val="00EF08C3"/>
    <w:rsid w:val="00EF08DF"/>
    <w:rsid w:val="00EF09E8"/>
    <w:rsid w:val="00EF0DFD"/>
    <w:rsid w:val="00EF0F0C"/>
    <w:rsid w:val="00EF1111"/>
    <w:rsid w:val="00EF1157"/>
    <w:rsid w:val="00EF132F"/>
    <w:rsid w:val="00EF15F1"/>
    <w:rsid w:val="00EF1A19"/>
    <w:rsid w:val="00EF1A6B"/>
    <w:rsid w:val="00EF1EED"/>
    <w:rsid w:val="00EF24FA"/>
    <w:rsid w:val="00EF291B"/>
    <w:rsid w:val="00EF2A56"/>
    <w:rsid w:val="00EF2FB8"/>
    <w:rsid w:val="00EF2FBF"/>
    <w:rsid w:val="00EF3160"/>
    <w:rsid w:val="00EF319A"/>
    <w:rsid w:val="00EF3CA1"/>
    <w:rsid w:val="00EF4595"/>
    <w:rsid w:val="00EF5193"/>
    <w:rsid w:val="00EF51C0"/>
    <w:rsid w:val="00EF5404"/>
    <w:rsid w:val="00EF5630"/>
    <w:rsid w:val="00EF5A62"/>
    <w:rsid w:val="00EF5AD6"/>
    <w:rsid w:val="00EF5B23"/>
    <w:rsid w:val="00EF5D56"/>
    <w:rsid w:val="00EF6074"/>
    <w:rsid w:val="00EF68FE"/>
    <w:rsid w:val="00EF6CF4"/>
    <w:rsid w:val="00EF7022"/>
    <w:rsid w:val="00EF7869"/>
    <w:rsid w:val="00EF7A7B"/>
    <w:rsid w:val="00EF7FBF"/>
    <w:rsid w:val="00F00134"/>
    <w:rsid w:val="00F00300"/>
    <w:rsid w:val="00F00F12"/>
    <w:rsid w:val="00F01306"/>
    <w:rsid w:val="00F01558"/>
    <w:rsid w:val="00F016CA"/>
    <w:rsid w:val="00F0178B"/>
    <w:rsid w:val="00F017AA"/>
    <w:rsid w:val="00F01827"/>
    <w:rsid w:val="00F019A8"/>
    <w:rsid w:val="00F01AFA"/>
    <w:rsid w:val="00F01D82"/>
    <w:rsid w:val="00F01E09"/>
    <w:rsid w:val="00F01F95"/>
    <w:rsid w:val="00F02404"/>
    <w:rsid w:val="00F02440"/>
    <w:rsid w:val="00F028CB"/>
    <w:rsid w:val="00F030A6"/>
    <w:rsid w:val="00F03130"/>
    <w:rsid w:val="00F03B61"/>
    <w:rsid w:val="00F03E42"/>
    <w:rsid w:val="00F03E99"/>
    <w:rsid w:val="00F04007"/>
    <w:rsid w:val="00F0406B"/>
    <w:rsid w:val="00F04316"/>
    <w:rsid w:val="00F045B5"/>
    <w:rsid w:val="00F049A3"/>
    <w:rsid w:val="00F054D8"/>
    <w:rsid w:val="00F058A3"/>
    <w:rsid w:val="00F05AFD"/>
    <w:rsid w:val="00F05BAD"/>
    <w:rsid w:val="00F05F2C"/>
    <w:rsid w:val="00F0627C"/>
    <w:rsid w:val="00F06429"/>
    <w:rsid w:val="00F06EF1"/>
    <w:rsid w:val="00F0719A"/>
    <w:rsid w:val="00F0780B"/>
    <w:rsid w:val="00F101E4"/>
    <w:rsid w:val="00F10345"/>
    <w:rsid w:val="00F10442"/>
    <w:rsid w:val="00F1061F"/>
    <w:rsid w:val="00F10636"/>
    <w:rsid w:val="00F10812"/>
    <w:rsid w:val="00F10934"/>
    <w:rsid w:val="00F10D23"/>
    <w:rsid w:val="00F10E12"/>
    <w:rsid w:val="00F10E31"/>
    <w:rsid w:val="00F11195"/>
    <w:rsid w:val="00F1135A"/>
    <w:rsid w:val="00F118B2"/>
    <w:rsid w:val="00F11B03"/>
    <w:rsid w:val="00F11B62"/>
    <w:rsid w:val="00F123C0"/>
    <w:rsid w:val="00F128C6"/>
    <w:rsid w:val="00F12944"/>
    <w:rsid w:val="00F12E59"/>
    <w:rsid w:val="00F12E73"/>
    <w:rsid w:val="00F12EFA"/>
    <w:rsid w:val="00F132F3"/>
    <w:rsid w:val="00F1342D"/>
    <w:rsid w:val="00F13570"/>
    <w:rsid w:val="00F136A2"/>
    <w:rsid w:val="00F146C5"/>
    <w:rsid w:val="00F14FB7"/>
    <w:rsid w:val="00F15251"/>
    <w:rsid w:val="00F15631"/>
    <w:rsid w:val="00F15BB0"/>
    <w:rsid w:val="00F15C05"/>
    <w:rsid w:val="00F15C2F"/>
    <w:rsid w:val="00F164B3"/>
    <w:rsid w:val="00F16E5E"/>
    <w:rsid w:val="00F17245"/>
    <w:rsid w:val="00F17782"/>
    <w:rsid w:val="00F177AC"/>
    <w:rsid w:val="00F17EF0"/>
    <w:rsid w:val="00F20822"/>
    <w:rsid w:val="00F20FE4"/>
    <w:rsid w:val="00F21460"/>
    <w:rsid w:val="00F21ABD"/>
    <w:rsid w:val="00F22336"/>
    <w:rsid w:val="00F2240D"/>
    <w:rsid w:val="00F22948"/>
    <w:rsid w:val="00F23523"/>
    <w:rsid w:val="00F239D7"/>
    <w:rsid w:val="00F23A64"/>
    <w:rsid w:val="00F23B3A"/>
    <w:rsid w:val="00F23D43"/>
    <w:rsid w:val="00F2403E"/>
    <w:rsid w:val="00F24582"/>
    <w:rsid w:val="00F249E9"/>
    <w:rsid w:val="00F24A71"/>
    <w:rsid w:val="00F25477"/>
    <w:rsid w:val="00F257B6"/>
    <w:rsid w:val="00F25B55"/>
    <w:rsid w:val="00F262F8"/>
    <w:rsid w:val="00F26422"/>
    <w:rsid w:val="00F26B82"/>
    <w:rsid w:val="00F26EAD"/>
    <w:rsid w:val="00F27251"/>
    <w:rsid w:val="00F273F7"/>
    <w:rsid w:val="00F27920"/>
    <w:rsid w:val="00F3088B"/>
    <w:rsid w:val="00F30A2B"/>
    <w:rsid w:val="00F3299C"/>
    <w:rsid w:val="00F32A6E"/>
    <w:rsid w:val="00F32F2D"/>
    <w:rsid w:val="00F33935"/>
    <w:rsid w:val="00F34150"/>
    <w:rsid w:val="00F3420B"/>
    <w:rsid w:val="00F34340"/>
    <w:rsid w:val="00F34363"/>
    <w:rsid w:val="00F343FD"/>
    <w:rsid w:val="00F34513"/>
    <w:rsid w:val="00F349DD"/>
    <w:rsid w:val="00F34D58"/>
    <w:rsid w:val="00F34F81"/>
    <w:rsid w:val="00F351D5"/>
    <w:rsid w:val="00F35587"/>
    <w:rsid w:val="00F3581C"/>
    <w:rsid w:val="00F35B81"/>
    <w:rsid w:val="00F35D23"/>
    <w:rsid w:val="00F36686"/>
    <w:rsid w:val="00F36750"/>
    <w:rsid w:val="00F36C47"/>
    <w:rsid w:val="00F36EC7"/>
    <w:rsid w:val="00F3736E"/>
    <w:rsid w:val="00F37398"/>
    <w:rsid w:val="00F37542"/>
    <w:rsid w:val="00F40482"/>
    <w:rsid w:val="00F40609"/>
    <w:rsid w:val="00F40D13"/>
    <w:rsid w:val="00F413D7"/>
    <w:rsid w:val="00F41DD0"/>
    <w:rsid w:val="00F41F8E"/>
    <w:rsid w:val="00F420DF"/>
    <w:rsid w:val="00F4259F"/>
    <w:rsid w:val="00F426D9"/>
    <w:rsid w:val="00F4290B"/>
    <w:rsid w:val="00F42959"/>
    <w:rsid w:val="00F42ABC"/>
    <w:rsid w:val="00F42D51"/>
    <w:rsid w:val="00F42D71"/>
    <w:rsid w:val="00F42DF1"/>
    <w:rsid w:val="00F42F93"/>
    <w:rsid w:val="00F4316F"/>
    <w:rsid w:val="00F4330F"/>
    <w:rsid w:val="00F4365A"/>
    <w:rsid w:val="00F4370B"/>
    <w:rsid w:val="00F44AB6"/>
    <w:rsid w:val="00F44E2C"/>
    <w:rsid w:val="00F4537B"/>
    <w:rsid w:val="00F45C1F"/>
    <w:rsid w:val="00F46432"/>
    <w:rsid w:val="00F47277"/>
    <w:rsid w:val="00F47514"/>
    <w:rsid w:val="00F4772D"/>
    <w:rsid w:val="00F4781F"/>
    <w:rsid w:val="00F47946"/>
    <w:rsid w:val="00F47B3F"/>
    <w:rsid w:val="00F47B71"/>
    <w:rsid w:val="00F47DD7"/>
    <w:rsid w:val="00F47E31"/>
    <w:rsid w:val="00F502A4"/>
    <w:rsid w:val="00F505A4"/>
    <w:rsid w:val="00F50A17"/>
    <w:rsid w:val="00F50D08"/>
    <w:rsid w:val="00F50E05"/>
    <w:rsid w:val="00F50EFD"/>
    <w:rsid w:val="00F516EC"/>
    <w:rsid w:val="00F5172F"/>
    <w:rsid w:val="00F51C28"/>
    <w:rsid w:val="00F51DC1"/>
    <w:rsid w:val="00F51F27"/>
    <w:rsid w:val="00F524F3"/>
    <w:rsid w:val="00F52717"/>
    <w:rsid w:val="00F52A24"/>
    <w:rsid w:val="00F52A9F"/>
    <w:rsid w:val="00F52B47"/>
    <w:rsid w:val="00F52CD6"/>
    <w:rsid w:val="00F533DF"/>
    <w:rsid w:val="00F534FE"/>
    <w:rsid w:val="00F53845"/>
    <w:rsid w:val="00F53BA7"/>
    <w:rsid w:val="00F53E94"/>
    <w:rsid w:val="00F54069"/>
    <w:rsid w:val="00F5412D"/>
    <w:rsid w:val="00F54634"/>
    <w:rsid w:val="00F55070"/>
    <w:rsid w:val="00F5513E"/>
    <w:rsid w:val="00F55832"/>
    <w:rsid w:val="00F55A2B"/>
    <w:rsid w:val="00F55E6F"/>
    <w:rsid w:val="00F561B4"/>
    <w:rsid w:val="00F56342"/>
    <w:rsid w:val="00F5642C"/>
    <w:rsid w:val="00F56700"/>
    <w:rsid w:val="00F56EBB"/>
    <w:rsid w:val="00F56FBC"/>
    <w:rsid w:val="00F57219"/>
    <w:rsid w:val="00F57819"/>
    <w:rsid w:val="00F57BF7"/>
    <w:rsid w:val="00F6030D"/>
    <w:rsid w:val="00F60434"/>
    <w:rsid w:val="00F60721"/>
    <w:rsid w:val="00F60724"/>
    <w:rsid w:val="00F60CC2"/>
    <w:rsid w:val="00F60E70"/>
    <w:rsid w:val="00F60EC2"/>
    <w:rsid w:val="00F618E0"/>
    <w:rsid w:val="00F61CD8"/>
    <w:rsid w:val="00F6260E"/>
    <w:rsid w:val="00F6265C"/>
    <w:rsid w:val="00F627E4"/>
    <w:rsid w:val="00F628CF"/>
    <w:rsid w:val="00F62A39"/>
    <w:rsid w:val="00F62F03"/>
    <w:rsid w:val="00F63010"/>
    <w:rsid w:val="00F63051"/>
    <w:rsid w:val="00F63091"/>
    <w:rsid w:val="00F63A52"/>
    <w:rsid w:val="00F640B1"/>
    <w:rsid w:val="00F64123"/>
    <w:rsid w:val="00F64745"/>
    <w:rsid w:val="00F64803"/>
    <w:rsid w:val="00F6597B"/>
    <w:rsid w:val="00F659CC"/>
    <w:rsid w:val="00F65CCC"/>
    <w:rsid w:val="00F663E4"/>
    <w:rsid w:val="00F66902"/>
    <w:rsid w:val="00F66985"/>
    <w:rsid w:val="00F66B09"/>
    <w:rsid w:val="00F6768C"/>
    <w:rsid w:val="00F67C5C"/>
    <w:rsid w:val="00F67CFB"/>
    <w:rsid w:val="00F67E62"/>
    <w:rsid w:val="00F70B68"/>
    <w:rsid w:val="00F70F33"/>
    <w:rsid w:val="00F7149E"/>
    <w:rsid w:val="00F71730"/>
    <w:rsid w:val="00F7174C"/>
    <w:rsid w:val="00F72047"/>
    <w:rsid w:val="00F7214A"/>
    <w:rsid w:val="00F724CF"/>
    <w:rsid w:val="00F725B1"/>
    <w:rsid w:val="00F72A7A"/>
    <w:rsid w:val="00F72E2D"/>
    <w:rsid w:val="00F73734"/>
    <w:rsid w:val="00F73973"/>
    <w:rsid w:val="00F73995"/>
    <w:rsid w:val="00F73C56"/>
    <w:rsid w:val="00F74172"/>
    <w:rsid w:val="00F744D5"/>
    <w:rsid w:val="00F74943"/>
    <w:rsid w:val="00F74A4B"/>
    <w:rsid w:val="00F74DC0"/>
    <w:rsid w:val="00F752D9"/>
    <w:rsid w:val="00F75732"/>
    <w:rsid w:val="00F759D6"/>
    <w:rsid w:val="00F75A39"/>
    <w:rsid w:val="00F75CEB"/>
    <w:rsid w:val="00F76624"/>
    <w:rsid w:val="00F7662C"/>
    <w:rsid w:val="00F76900"/>
    <w:rsid w:val="00F76A25"/>
    <w:rsid w:val="00F76AF0"/>
    <w:rsid w:val="00F76DA6"/>
    <w:rsid w:val="00F775ED"/>
    <w:rsid w:val="00F779A3"/>
    <w:rsid w:val="00F77E9C"/>
    <w:rsid w:val="00F77EDC"/>
    <w:rsid w:val="00F801F0"/>
    <w:rsid w:val="00F8030A"/>
    <w:rsid w:val="00F8132F"/>
    <w:rsid w:val="00F816B7"/>
    <w:rsid w:val="00F81A9B"/>
    <w:rsid w:val="00F81AA8"/>
    <w:rsid w:val="00F81DF3"/>
    <w:rsid w:val="00F81EF1"/>
    <w:rsid w:val="00F82383"/>
    <w:rsid w:val="00F82A36"/>
    <w:rsid w:val="00F82A76"/>
    <w:rsid w:val="00F8307A"/>
    <w:rsid w:val="00F84635"/>
    <w:rsid w:val="00F8463A"/>
    <w:rsid w:val="00F84BEB"/>
    <w:rsid w:val="00F84DC8"/>
    <w:rsid w:val="00F85BDD"/>
    <w:rsid w:val="00F85C97"/>
    <w:rsid w:val="00F85F0E"/>
    <w:rsid w:val="00F86001"/>
    <w:rsid w:val="00F86099"/>
    <w:rsid w:val="00F866F2"/>
    <w:rsid w:val="00F86B67"/>
    <w:rsid w:val="00F86D02"/>
    <w:rsid w:val="00F8741A"/>
    <w:rsid w:val="00F874B4"/>
    <w:rsid w:val="00F875E6"/>
    <w:rsid w:val="00F87A69"/>
    <w:rsid w:val="00F87CED"/>
    <w:rsid w:val="00F90475"/>
    <w:rsid w:val="00F904D2"/>
    <w:rsid w:val="00F9090A"/>
    <w:rsid w:val="00F90C08"/>
    <w:rsid w:val="00F911B3"/>
    <w:rsid w:val="00F913D1"/>
    <w:rsid w:val="00F915CA"/>
    <w:rsid w:val="00F91ADC"/>
    <w:rsid w:val="00F91FC1"/>
    <w:rsid w:val="00F9230C"/>
    <w:rsid w:val="00F924EB"/>
    <w:rsid w:val="00F93027"/>
    <w:rsid w:val="00F930D6"/>
    <w:rsid w:val="00F9337F"/>
    <w:rsid w:val="00F933DA"/>
    <w:rsid w:val="00F939F9"/>
    <w:rsid w:val="00F93A96"/>
    <w:rsid w:val="00F93E56"/>
    <w:rsid w:val="00F94118"/>
    <w:rsid w:val="00F944D6"/>
    <w:rsid w:val="00F94973"/>
    <w:rsid w:val="00F949C0"/>
    <w:rsid w:val="00F94B07"/>
    <w:rsid w:val="00F94B18"/>
    <w:rsid w:val="00F94B80"/>
    <w:rsid w:val="00F94EFC"/>
    <w:rsid w:val="00F95019"/>
    <w:rsid w:val="00F9509D"/>
    <w:rsid w:val="00F95303"/>
    <w:rsid w:val="00F95557"/>
    <w:rsid w:val="00F955BA"/>
    <w:rsid w:val="00F95730"/>
    <w:rsid w:val="00F958B7"/>
    <w:rsid w:val="00F959F7"/>
    <w:rsid w:val="00F95F46"/>
    <w:rsid w:val="00F95FAE"/>
    <w:rsid w:val="00F96091"/>
    <w:rsid w:val="00F962B1"/>
    <w:rsid w:val="00F965A5"/>
    <w:rsid w:val="00F96682"/>
    <w:rsid w:val="00F96818"/>
    <w:rsid w:val="00F96862"/>
    <w:rsid w:val="00F971E7"/>
    <w:rsid w:val="00F97845"/>
    <w:rsid w:val="00F97DD1"/>
    <w:rsid w:val="00FA042F"/>
    <w:rsid w:val="00FA07C9"/>
    <w:rsid w:val="00FA0E64"/>
    <w:rsid w:val="00FA0F0F"/>
    <w:rsid w:val="00FA1378"/>
    <w:rsid w:val="00FA13AB"/>
    <w:rsid w:val="00FA1852"/>
    <w:rsid w:val="00FA19BE"/>
    <w:rsid w:val="00FA1A30"/>
    <w:rsid w:val="00FA1BF3"/>
    <w:rsid w:val="00FA1CCD"/>
    <w:rsid w:val="00FA1D8D"/>
    <w:rsid w:val="00FA284E"/>
    <w:rsid w:val="00FA2958"/>
    <w:rsid w:val="00FA2D09"/>
    <w:rsid w:val="00FA2D9D"/>
    <w:rsid w:val="00FA2F87"/>
    <w:rsid w:val="00FA30BB"/>
    <w:rsid w:val="00FA3841"/>
    <w:rsid w:val="00FA3AC3"/>
    <w:rsid w:val="00FA3C54"/>
    <w:rsid w:val="00FA3FB5"/>
    <w:rsid w:val="00FA41A5"/>
    <w:rsid w:val="00FA43E9"/>
    <w:rsid w:val="00FA4B34"/>
    <w:rsid w:val="00FA4BB2"/>
    <w:rsid w:val="00FA52F6"/>
    <w:rsid w:val="00FA5775"/>
    <w:rsid w:val="00FA5850"/>
    <w:rsid w:val="00FA5D9D"/>
    <w:rsid w:val="00FA5E1D"/>
    <w:rsid w:val="00FA6129"/>
    <w:rsid w:val="00FA6176"/>
    <w:rsid w:val="00FA6282"/>
    <w:rsid w:val="00FA673E"/>
    <w:rsid w:val="00FA6C2B"/>
    <w:rsid w:val="00FA6FFF"/>
    <w:rsid w:val="00FA7204"/>
    <w:rsid w:val="00FA7237"/>
    <w:rsid w:val="00FA762C"/>
    <w:rsid w:val="00FA77DB"/>
    <w:rsid w:val="00FA795D"/>
    <w:rsid w:val="00FA7A1D"/>
    <w:rsid w:val="00FB0163"/>
    <w:rsid w:val="00FB02B6"/>
    <w:rsid w:val="00FB03DD"/>
    <w:rsid w:val="00FB0901"/>
    <w:rsid w:val="00FB09DB"/>
    <w:rsid w:val="00FB0A58"/>
    <w:rsid w:val="00FB0BD4"/>
    <w:rsid w:val="00FB0DAB"/>
    <w:rsid w:val="00FB0DFB"/>
    <w:rsid w:val="00FB0FFB"/>
    <w:rsid w:val="00FB11FA"/>
    <w:rsid w:val="00FB1252"/>
    <w:rsid w:val="00FB1982"/>
    <w:rsid w:val="00FB1AD1"/>
    <w:rsid w:val="00FB1C3C"/>
    <w:rsid w:val="00FB2198"/>
    <w:rsid w:val="00FB2CEE"/>
    <w:rsid w:val="00FB2FD9"/>
    <w:rsid w:val="00FB2FE8"/>
    <w:rsid w:val="00FB3054"/>
    <w:rsid w:val="00FB3305"/>
    <w:rsid w:val="00FB37CA"/>
    <w:rsid w:val="00FB3EC8"/>
    <w:rsid w:val="00FB423C"/>
    <w:rsid w:val="00FB453B"/>
    <w:rsid w:val="00FB500D"/>
    <w:rsid w:val="00FB51DF"/>
    <w:rsid w:val="00FB51EA"/>
    <w:rsid w:val="00FB52A9"/>
    <w:rsid w:val="00FB5458"/>
    <w:rsid w:val="00FB5BE5"/>
    <w:rsid w:val="00FB5F3F"/>
    <w:rsid w:val="00FB60AF"/>
    <w:rsid w:val="00FB66A5"/>
    <w:rsid w:val="00FB67AF"/>
    <w:rsid w:val="00FB6E03"/>
    <w:rsid w:val="00FB6E2B"/>
    <w:rsid w:val="00FB6F05"/>
    <w:rsid w:val="00FB6F20"/>
    <w:rsid w:val="00FB7D15"/>
    <w:rsid w:val="00FC05D4"/>
    <w:rsid w:val="00FC078D"/>
    <w:rsid w:val="00FC089B"/>
    <w:rsid w:val="00FC0AB4"/>
    <w:rsid w:val="00FC0ACD"/>
    <w:rsid w:val="00FC0BD1"/>
    <w:rsid w:val="00FC10B2"/>
    <w:rsid w:val="00FC1188"/>
    <w:rsid w:val="00FC1956"/>
    <w:rsid w:val="00FC1A27"/>
    <w:rsid w:val="00FC1AAA"/>
    <w:rsid w:val="00FC1DE4"/>
    <w:rsid w:val="00FC2068"/>
    <w:rsid w:val="00FC224A"/>
    <w:rsid w:val="00FC2268"/>
    <w:rsid w:val="00FC2695"/>
    <w:rsid w:val="00FC2793"/>
    <w:rsid w:val="00FC27A1"/>
    <w:rsid w:val="00FC2A36"/>
    <w:rsid w:val="00FC2A6A"/>
    <w:rsid w:val="00FC2B70"/>
    <w:rsid w:val="00FC2CB7"/>
    <w:rsid w:val="00FC3762"/>
    <w:rsid w:val="00FC3CBE"/>
    <w:rsid w:val="00FC42B6"/>
    <w:rsid w:val="00FC478B"/>
    <w:rsid w:val="00FC4E89"/>
    <w:rsid w:val="00FC560C"/>
    <w:rsid w:val="00FC5718"/>
    <w:rsid w:val="00FC5A36"/>
    <w:rsid w:val="00FC5BE4"/>
    <w:rsid w:val="00FC60C7"/>
    <w:rsid w:val="00FC6343"/>
    <w:rsid w:val="00FC6B0E"/>
    <w:rsid w:val="00FC6E58"/>
    <w:rsid w:val="00FC6EC5"/>
    <w:rsid w:val="00FC6FCC"/>
    <w:rsid w:val="00FC738C"/>
    <w:rsid w:val="00FC77BA"/>
    <w:rsid w:val="00FC799B"/>
    <w:rsid w:val="00FC79CE"/>
    <w:rsid w:val="00FC7E9C"/>
    <w:rsid w:val="00FD0474"/>
    <w:rsid w:val="00FD0CEA"/>
    <w:rsid w:val="00FD0D38"/>
    <w:rsid w:val="00FD0E61"/>
    <w:rsid w:val="00FD1034"/>
    <w:rsid w:val="00FD13B7"/>
    <w:rsid w:val="00FD144B"/>
    <w:rsid w:val="00FD1504"/>
    <w:rsid w:val="00FD1787"/>
    <w:rsid w:val="00FD17E5"/>
    <w:rsid w:val="00FD2394"/>
    <w:rsid w:val="00FD24CE"/>
    <w:rsid w:val="00FD25FB"/>
    <w:rsid w:val="00FD2E45"/>
    <w:rsid w:val="00FD3050"/>
    <w:rsid w:val="00FD3187"/>
    <w:rsid w:val="00FD32BB"/>
    <w:rsid w:val="00FD3369"/>
    <w:rsid w:val="00FD33A9"/>
    <w:rsid w:val="00FD3A2B"/>
    <w:rsid w:val="00FD3A72"/>
    <w:rsid w:val="00FD3D17"/>
    <w:rsid w:val="00FD3D27"/>
    <w:rsid w:val="00FD3F29"/>
    <w:rsid w:val="00FD42B4"/>
    <w:rsid w:val="00FD4796"/>
    <w:rsid w:val="00FD4A31"/>
    <w:rsid w:val="00FD51FE"/>
    <w:rsid w:val="00FD695C"/>
    <w:rsid w:val="00FD6989"/>
    <w:rsid w:val="00FD69CD"/>
    <w:rsid w:val="00FD69F4"/>
    <w:rsid w:val="00FD6E4F"/>
    <w:rsid w:val="00FD70A3"/>
    <w:rsid w:val="00FD718A"/>
    <w:rsid w:val="00FD7448"/>
    <w:rsid w:val="00FD797F"/>
    <w:rsid w:val="00FE0393"/>
    <w:rsid w:val="00FE0722"/>
    <w:rsid w:val="00FE097C"/>
    <w:rsid w:val="00FE0BE3"/>
    <w:rsid w:val="00FE0C02"/>
    <w:rsid w:val="00FE0E0C"/>
    <w:rsid w:val="00FE1446"/>
    <w:rsid w:val="00FE145D"/>
    <w:rsid w:val="00FE16DD"/>
    <w:rsid w:val="00FE1BA7"/>
    <w:rsid w:val="00FE2073"/>
    <w:rsid w:val="00FE2146"/>
    <w:rsid w:val="00FE22CA"/>
    <w:rsid w:val="00FE2370"/>
    <w:rsid w:val="00FE23B1"/>
    <w:rsid w:val="00FE243B"/>
    <w:rsid w:val="00FE2B2F"/>
    <w:rsid w:val="00FE319A"/>
    <w:rsid w:val="00FE3385"/>
    <w:rsid w:val="00FE3D1E"/>
    <w:rsid w:val="00FE4487"/>
    <w:rsid w:val="00FE4AEA"/>
    <w:rsid w:val="00FE4DA4"/>
    <w:rsid w:val="00FE4E4C"/>
    <w:rsid w:val="00FE5772"/>
    <w:rsid w:val="00FE587C"/>
    <w:rsid w:val="00FE61D4"/>
    <w:rsid w:val="00FE6389"/>
    <w:rsid w:val="00FE6AB2"/>
    <w:rsid w:val="00FE6DE1"/>
    <w:rsid w:val="00FE6DE2"/>
    <w:rsid w:val="00FE7083"/>
    <w:rsid w:val="00FE7670"/>
    <w:rsid w:val="00FE7762"/>
    <w:rsid w:val="00FE7B0D"/>
    <w:rsid w:val="00FE7F76"/>
    <w:rsid w:val="00FF0158"/>
    <w:rsid w:val="00FF0228"/>
    <w:rsid w:val="00FF04CF"/>
    <w:rsid w:val="00FF07A3"/>
    <w:rsid w:val="00FF0A02"/>
    <w:rsid w:val="00FF0A8A"/>
    <w:rsid w:val="00FF13A5"/>
    <w:rsid w:val="00FF142C"/>
    <w:rsid w:val="00FF1840"/>
    <w:rsid w:val="00FF19E7"/>
    <w:rsid w:val="00FF1BFA"/>
    <w:rsid w:val="00FF1E53"/>
    <w:rsid w:val="00FF2647"/>
    <w:rsid w:val="00FF2D39"/>
    <w:rsid w:val="00FF2FEE"/>
    <w:rsid w:val="00FF3165"/>
    <w:rsid w:val="00FF346A"/>
    <w:rsid w:val="00FF3833"/>
    <w:rsid w:val="00FF3E04"/>
    <w:rsid w:val="00FF4653"/>
    <w:rsid w:val="00FF4847"/>
    <w:rsid w:val="00FF61E0"/>
    <w:rsid w:val="00FF733D"/>
    <w:rsid w:val="00FF7E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E378833-2583-44EA-86A2-AFDF0068D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20B"/>
    <w:pPr>
      <w:spacing w:after="360" w:line="360" w:lineRule="auto"/>
    </w:pPr>
    <w:rPr>
      <w:rFonts w:ascii="Times New Roman" w:hAnsi="Times New Roman"/>
      <w:sz w:val="24"/>
    </w:rPr>
  </w:style>
  <w:style w:type="paragraph" w:styleId="Heading1">
    <w:name w:val="heading 1"/>
    <w:basedOn w:val="Normal"/>
    <w:next w:val="Normal"/>
    <w:link w:val="Heading1Char"/>
    <w:uiPriority w:val="9"/>
    <w:qFormat/>
    <w:rsid w:val="001D0DA5"/>
    <w:pPr>
      <w:keepNext/>
      <w:keepLines/>
      <w:numPr>
        <w:numId w:val="15"/>
      </w:numPr>
      <w:spacing w:line="240" w:lineRule="auto"/>
      <w:jc w:val="center"/>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1D0DA5"/>
    <w:pPr>
      <w:keepNext/>
      <w:keepLines/>
      <w:numPr>
        <w:ilvl w:val="1"/>
        <w:numId w:val="15"/>
      </w:numPr>
      <w:spacing w:line="240" w:lineRule="auto"/>
      <w:outlineLvl w:val="1"/>
    </w:pPr>
    <w:rPr>
      <w:rFonts w:eastAsiaTheme="majorEastAsia" w:cstheme="majorBidi"/>
      <w:b/>
      <w:bCs/>
      <w:i/>
      <w:sz w:val="28"/>
      <w:szCs w:val="26"/>
    </w:rPr>
  </w:style>
  <w:style w:type="paragraph" w:styleId="Heading3">
    <w:name w:val="heading 3"/>
    <w:basedOn w:val="Normal"/>
    <w:next w:val="Normal"/>
    <w:link w:val="Heading3Char"/>
    <w:uiPriority w:val="9"/>
    <w:unhideWhenUsed/>
    <w:qFormat/>
    <w:rsid w:val="001D0DA5"/>
    <w:pPr>
      <w:keepNext/>
      <w:keepLines/>
      <w:numPr>
        <w:ilvl w:val="2"/>
        <w:numId w:val="15"/>
      </w:numPr>
      <w:spacing w:line="240"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D40A1F"/>
    <w:pPr>
      <w:keepNext/>
      <w:keepLines/>
      <w:numPr>
        <w:ilvl w:val="3"/>
        <w:numId w:val="15"/>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5C1849"/>
    <w:pPr>
      <w:keepNext/>
      <w:keepLines/>
      <w:numPr>
        <w:ilvl w:val="4"/>
        <w:numId w:val="15"/>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5C1849"/>
    <w:pPr>
      <w:keepNext/>
      <w:keepLines/>
      <w:numPr>
        <w:ilvl w:val="5"/>
        <w:numId w:val="1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C1849"/>
    <w:pPr>
      <w:keepNext/>
      <w:keepLines/>
      <w:numPr>
        <w:ilvl w:val="6"/>
        <w:numId w:val="1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C1849"/>
    <w:pPr>
      <w:keepNext/>
      <w:keepLines/>
      <w:numPr>
        <w:ilvl w:val="7"/>
        <w:numId w:val="1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C1849"/>
    <w:pPr>
      <w:keepNext/>
      <w:keepLines/>
      <w:numPr>
        <w:ilvl w:val="8"/>
        <w:numId w:val="1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7320B"/>
    <w:pPr>
      <w:tabs>
        <w:tab w:val="center" w:pos="4513"/>
        <w:tab w:val="right" w:pos="9026"/>
      </w:tabs>
      <w:spacing w:after="0" w:line="240" w:lineRule="auto"/>
      <w:jc w:val="right"/>
    </w:pPr>
    <w:rPr>
      <w:i/>
      <w:sz w:val="20"/>
    </w:rPr>
  </w:style>
  <w:style w:type="character" w:customStyle="1" w:styleId="HeaderChar">
    <w:name w:val="Header Char"/>
    <w:basedOn w:val="DefaultParagraphFont"/>
    <w:link w:val="Header"/>
    <w:uiPriority w:val="99"/>
    <w:rsid w:val="0067320B"/>
    <w:rPr>
      <w:rFonts w:ascii="Times New Roman" w:hAnsi="Times New Roman"/>
      <w:i/>
      <w:sz w:val="20"/>
    </w:rPr>
  </w:style>
  <w:style w:type="paragraph" w:styleId="Footer">
    <w:name w:val="footer"/>
    <w:basedOn w:val="Normal"/>
    <w:link w:val="FooterChar"/>
    <w:uiPriority w:val="99"/>
    <w:unhideWhenUsed/>
    <w:rsid w:val="00B000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003D"/>
  </w:style>
  <w:style w:type="character" w:customStyle="1" w:styleId="Heading1Char">
    <w:name w:val="Heading 1 Char"/>
    <w:basedOn w:val="DefaultParagraphFont"/>
    <w:link w:val="Heading1"/>
    <w:uiPriority w:val="9"/>
    <w:rsid w:val="001D0DA5"/>
    <w:rPr>
      <w:rFonts w:ascii="Times New Roman" w:eastAsiaTheme="majorEastAsia" w:hAnsi="Times New Roman" w:cstheme="majorBidi"/>
      <w:b/>
      <w:bCs/>
      <w:sz w:val="32"/>
      <w:szCs w:val="28"/>
    </w:rPr>
  </w:style>
  <w:style w:type="character" w:customStyle="1" w:styleId="Heading2Char">
    <w:name w:val="Heading 2 Char"/>
    <w:basedOn w:val="DefaultParagraphFont"/>
    <w:link w:val="Heading2"/>
    <w:uiPriority w:val="9"/>
    <w:rsid w:val="001D0DA5"/>
    <w:rPr>
      <w:rFonts w:ascii="Times New Roman" w:eastAsiaTheme="majorEastAsia" w:hAnsi="Times New Roman" w:cstheme="majorBidi"/>
      <w:b/>
      <w:bCs/>
      <w:i/>
      <w:sz w:val="28"/>
      <w:szCs w:val="26"/>
    </w:rPr>
  </w:style>
  <w:style w:type="character" w:customStyle="1" w:styleId="Heading3Char">
    <w:name w:val="Heading 3 Char"/>
    <w:basedOn w:val="DefaultParagraphFont"/>
    <w:link w:val="Heading3"/>
    <w:uiPriority w:val="9"/>
    <w:rsid w:val="001D0DA5"/>
    <w:rPr>
      <w:rFonts w:ascii="Times New Roman" w:eastAsiaTheme="majorEastAsia" w:hAnsi="Times New Roman" w:cstheme="majorBidi"/>
      <w:b/>
      <w:bCs/>
      <w:sz w:val="24"/>
    </w:rPr>
  </w:style>
  <w:style w:type="paragraph" w:customStyle="1" w:styleId="IndentedQuote">
    <w:name w:val="Indented Quote"/>
    <w:basedOn w:val="Normal"/>
    <w:qFormat/>
    <w:rsid w:val="005371F5"/>
    <w:pPr>
      <w:spacing w:line="240" w:lineRule="auto"/>
      <w:ind w:left="851" w:right="851"/>
    </w:pPr>
    <w:rPr>
      <w:sz w:val="20"/>
    </w:rPr>
  </w:style>
  <w:style w:type="numbering" w:customStyle="1" w:styleId="Dissertationnumbering">
    <w:name w:val="Dissertation numbering"/>
    <w:uiPriority w:val="99"/>
    <w:rsid w:val="004C5102"/>
    <w:pPr>
      <w:numPr>
        <w:numId w:val="1"/>
      </w:numPr>
    </w:pPr>
  </w:style>
  <w:style w:type="paragraph" w:customStyle="1" w:styleId="Labels">
    <w:name w:val="Labels"/>
    <w:basedOn w:val="Normal"/>
    <w:qFormat/>
    <w:rsid w:val="00130ABA"/>
    <w:pPr>
      <w:spacing w:after="0" w:line="240" w:lineRule="auto"/>
    </w:pPr>
    <w:rPr>
      <w:sz w:val="20"/>
    </w:rPr>
  </w:style>
  <w:style w:type="paragraph" w:styleId="ListParagraph">
    <w:name w:val="List Paragraph"/>
    <w:basedOn w:val="Normal"/>
    <w:uiPriority w:val="34"/>
    <w:qFormat/>
    <w:rsid w:val="00796D43"/>
    <w:pPr>
      <w:ind w:left="720"/>
      <w:contextualSpacing/>
    </w:pPr>
  </w:style>
  <w:style w:type="character" w:customStyle="1" w:styleId="citation">
    <w:name w:val="citation"/>
    <w:basedOn w:val="DefaultParagraphFont"/>
    <w:rsid w:val="00CB0C02"/>
  </w:style>
  <w:style w:type="character" w:styleId="Hyperlink">
    <w:name w:val="Hyperlink"/>
    <w:basedOn w:val="DefaultParagraphFont"/>
    <w:uiPriority w:val="99"/>
    <w:unhideWhenUsed/>
    <w:rsid w:val="006105C8"/>
    <w:rPr>
      <w:color w:val="0000FF" w:themeColor="hyperlink"/>
      <w:u w:val="single"/>
    </w:rPr>
  </w:style>
  <w:style w:type="paragraph" w:styleId="BalloonText">
    <w:name w:val="Balloon Text"/>
    <w:basedOn w:val="Normal"/>
    <w:link w:val="BalloonTextChar"/>
    <w:uiPriority w:val="99"/>
    <w:semiHidden/>
    <w:unhideWhenUsed/>
    <w:rsid w:val="001164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4D9"/>
    <w:rPr>
      <w:rFonts w:ascii="Tahoma" w:hAnsi="Tahoma" w:cs="Tahoma"/>
      <w:sz w:val="16"/>
      <w:szCs w:val="16"/>
    </w:rPr>
  </w:style>
  <w:style w:type="character" w:styleId="PlaceholderText">
    <w:name w:val="Placeholder Text"/>
    <w:basedOn w:val="DefaultParagraphFont"/>
    <w:uiPriority w:val="99"/>
    <w:semiHidden/>
    <w:rsid w:val="001164D9"/>
    <w:rPr>
      <w:color w:val="808080"/>
    </w:rPr>
  </w:style>
  <w:style w:type="paragraph" w:styleId="Caption">
    <w:name w:val="caption"/>
    <w:basedOn w:val="Normal"/>
    <w:next w:val="Normal"/>
    <w:uiPriority w:val="35"/>
    <w:unhideWhenUsed/>
    <w:qFormat/>
    <w:rsid w:val="00323CE7"/>
    <w:pPr>
      <w:spacing w:after="200" w:line="240" w:lineRule="auto"/>
    </w:pPr>
    <w:rPr>
      <w:b/>
      <w:bCs/>
      <w:color w:val="4F81BD" w:themeColor="accent1"/>
      <w:sz w:val="18"/>
      <w:szCs w:val="18"/>
    </w:rPr>
  </w:style>
  <w:style w:type="character" w:customStyle="1" w:styleId="Heading4Char">
    <w:name w:val="Heading 4 Char"/>
    <w:basedOn w:val="DefaultParagraphFont"/>
    <w:link w:val="Heading4"/>
    <w:uiPriority w:val="9"/>
    <w:rsid w:val="00D40A1F"/>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rsid w:val="005C1849"/>
    <w:rPr>
      <w:rFonts w:asciiTheme="majorHAnsi" w:eastAsiaTheme="majorEastAsia" w:hAnsiTheme="majorHAnsi" w:cstheme="majorBidi"/>
      <w:color w:val="243F60" w:themeColor="accent1" w:themeShade="7F"/>
      <w:sz w:val="24"/>
    </w:rPr>
  </w:style>
  <w:style w:type="paragraph" w:styleId="NoSpacing">
    <w:name w:val="No Spacing"/>
    <w:link w:val="NoSpacingChar"/>
    <w:uiPriority w:val="1"/>
    <w:qFormat/>
    <w:rsid w:val="005C1849"/>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C1849"/>
    <w:rPr>
      <w:rFonts w:eastAsiaTheme="minorEastAsia"/>
      <w:lang w:val="en-US" w:eastAsia="ja-JP"/>
    </w:rPr>
  </w:style>
  <w:style w:type="paragraph" w:styleId="TOCHeading">
    <w:name w:val="TOC Heading"/>
    <w:basedOn w:val="Heading1"/>
    <w:next w:val="Normal"/>
    <w:uiPriority w:val="39"/>
    <w:semiHidden/>
    <w:unhideWhenUsed/>
    <w:qFormat/>
    <w:rsid w:val="005C1849"/>
    <w:pPr>
      <w:numPr>
        <w:numId w:val="0"/>
      </w:numPr>
      <w:spacing w:before="480" w:after="0" w:line="276" w:lineRule="auto"/>
      <w:jc w:val="left"/>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unhideWhenUsed/>
    <w:rsid w:val="009972D8"/>
    <w:pPr>
      <w:tabs>
        <w:tab w:val="left" w:pos="480"/>
        <w:tab w:val="right" w:leader="dot" w:pos="8188"/>
      </w:tabs>
      <w:spacing w:after="0" w:line="240" w:lineRule="auto"/>
    </w:pPr>
  </w:style>
  <w:style w:type="paragraph" w:styleId="TOC2">
    <w:name w:val="toc 2"/>
    <w:basedOn w:val="Normal"/>
    <w:next w:val="Normal"/>
    <w:autoRedefine/>
    <w:uiPriority w:val="39"/>
    <w:unhideWhenUsed/>
    <w:rsid w:val="005C1849"/>
    <w:pPr>
      <w:spacing w:after="100"/>
      <w:ind w:left="240"/>
    </w:pPr>
  </w:style>
  <w:style w:type="paragraph" w:styleId="TOC3">
    <w:name w:val="toc 3"/>
    <w:basedOn w:val="Normal"/>
    <w:next w:val="Normal"/>
    <w:autoRedefine/>
    <w:uiPriority w:val="39"/>
    <w:unhideWhenUsed/>
    <w:rsid w:val="005C1849"/>
    <w:pPr>
      <w:spacing w:after="100"/>
      <w:ind w:left="480"/>
    </w:pPr>
  </w:style>
  <w:style w:type="paragraph" w:styleId="TOC4">
    <w:name w:val="toc 4"/>
    <w:basedOn w:val="Normal"/>
    <w:next w:val="Normal"/>
    <w:autoRedefine/>
    <w:uiPriority w:val="39"/>
    <w:unhideWhenUsed/>
    <w:rsid w:val="005C1849"/>
    <w:pPr>
      <w:spacing w:after="100"/>
      <w:ind w:left="720"/>
    </w:pPr>
  </w:style>
  <w:style w:type="paragraph" w:styleId="TOC5">
    <w:name w:val="toc 5"/>
    <w:basedOn w:val="Normal"/>
    <w:next w:val="Normal"/>
    <w:autoRedefine/>
    <w:uiPriority w:val="39"/>
    <w:unhideWhenUsed/>
    <w:rsid w:val="005C1849"/>
    <w:pPr>
      <w:spacing w:after="100"/>
      <w:ind w:left="960"/>
    </w:pPr>
  </w:style>
  <w:style w:type="character" w:customStyle="1" w:styleId="Heading6Char">
    <w:name w:val="Heading 6 Char"/>
    <w:basedOn w:val="DefaultParagraphFont"/>
    <w:link w:val="Heading6"/>
    <w:uiPriority w:val="9"/>
    <w:rsid w:val="005C1849"/>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5C1849"/>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5C184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C1849"/>
    <w:rPr>
      <w:rFonts w:asciiTheme="majorHAnsi" w:eastAsiaTheme="majorEastAsia" w:hAnsiTheme="majorHAnsi" w:cstheme="majorBidi"/>
      <w:i/>
      <w:iCs/>
      <w:color w:val="404040" w:themeColor="text1" w:themeTint="BF"/>
      <w:sz w:val="20"/>
      <w:szCs w:val="20"/>
    </w:rPr>
  </w:style>
  <w:style w:type="paragraph" w:styleId="FootnoteText">
    <w:name w:val="footnote text"/>
    <w:basedOn w:val="Normal"/>
    <w:link w:val="FootnoteTextChar"/>
    <w:uiPriority w:val="99"/>
    <w:unhideWhenUsed/>
    <w:rsid w:val="005C1849"/>
    <w:pPr>
      <w:spacing w:after="0" w:line="240" w:lineRule="auto"/>
    </w:pPr>
    <w:rPr>
      <w:sz w:val="20"/>
      <w:szCs w:val="20"/>
    </w:rPr>
  </w:style>
  <w:style w:type="character" w:customStyle="1" w:styleId="FootnoteTextChar">
    <w:name w:val="Footnote Text Char"/>
    <w:basedOn w:val="DefaultParagraphFont"/>
    <w:link w:val="FootnoteText"/>
    <w:uiPriority w:val="99"/>
    <w:rsid w:val="005C1849"/>
    <w:rPr>
      <w:rFonts w:ascii="Times New Roman" w:hAnsi="Times New Roman"/>
      <w:sz w:val="20"/>
      <w:szCs w:val="20"/>
    </w:rPr>
  </w:style>
  <w:style w:type="character" w:styleId="FootnoteReference">
    <w:name w:val="footnote reference"/>
    <w:basedOn w:val="DefaultParagraphFont"/>
    <w:uiPriority w:val="99"/>
    <w:semiHidden/>
    <w:unhideWhenUsed/>
    <w:rsid w:val="005C1849"/>
    <w:rPr>
      <w:vertAlign w:val="superscript"/>
    </w:rPr>
  </w:style>
  <w:style w:type="table" w:styleId="TableGrid">
    <w:name w:val="Table Grid"/>
    <w:basedOn w:val="TableNormal"/>
    <w:uiPriority w:val="59"/>
    <w:rsid w:val="00A440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0A7BA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A7BAF"/>
    <w:rPr>
      <w:rFonts w:ascii="Times New Roman" w:hAnsi="Times New Roman"/>
      <w:sz w:val="20"/>
      <w:szCs w:val="20"/>
    </w:rPr>
  </w:style>
  <w:style w:type="character" w:styleId="EndnoteReference">
    <w:name w:val="endnote reference"/>
    <w:basedOn w:val="DefaultParagraphFont"/>
    <w:uiPriority w:val="99"/>
    <w:semiHidden/>
    <w:unhideWhenUsed/>
    <w:rsid w:val="000A7BAF"/>
    <w:rPr>
      <w:vertAlign w:val="superscript"/>
    </w:rPr>
  </w:style>
  <w:style w:type="paragraph" w:styleId="BodyText">
    <w:name w:val="Body Text"/>
    <w:basedOn w:val="Normal"/>
    <w:link w:val="BodyTextChar"/>
    <w:uiPriority w:val="99"/>
    <w:rsid w:val="00F725B1"/>
    <w:pPr>
      <w:spacing w:after="120" w:line="276" w:lineRule="auto"/>
    </w:pPr>
    <w:rPr>
      <w:rFonts w:ascii="Calibri" w:eastAsia="Calibri" w:hAnsi="Calibri" w:cs="Times New Roman"/>
      <w:sz w:val="20"/>
      <w:szCs w:val="20"/>
    </w:rPr>
  </w:style>
  <w:style w:type="character" w:customStyle="1" w:styleId="BodyTextChar">
    <w:name w:val="Body Text Char"/>
    <w:basedOn w:val="DefaultParagraphFont"/>
    <w:link w:val="BodyText"/>
    <w:uiPriority w:val="99"/>
    <w:rsid w:val="00F725B1"/>
    <w:rPr>
      <w:rFonts w:ascii="Calibri" w:eastAsia="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127333">
      <w:bodyDiv w:val="1"/>
      <w:marLeft w:val="0"/>
      <w:marRight w:val="0"/>
      <w:marTop w:val="0"/>
      <w:marBottom w:val="0"/>
      <w:divBdr>
        <w:top w:val="none" w:sz="0" w:space="0" w:color="auto"/>
        <w:left w:val="none" w:sz="0" w:space="0" w:color="auto"/>
        <w:bottom w:val="none" w:sz="0" w:space="0" w:color="auto"/>
        <w:right w:val="none" w:sz="0" w:space="0" w:color="auto"/>
      </w:divBdr>
    </w:div>
    <w:div w:id="206722204">
      <w:bodyDiv w:val="1"/>
      <w:marLeft w:val="0"/>
      <w:marRight w:val="0"/>
      <w:marTop w:val="0"/>
      <w:marBottom w:val="0"/>
      <w:divBdr>
        <w:top w:val="none" w:sz="0" w:space="0" w:color="auto"/>
        <w:left w:val="none" w:sz="0" w:space="0" w:color="auto"/>
        <w:bottom w:val="none" w:sz="0" w:space="0" w:color="auto"/>
        <w:right w:val="none" w:sz="0" w:space="0" w:color="auto"/>
      </w:divBdr>
    </w:div>
    <w:div w:id="246771055">
      <w:bodyDiv w:val="1"/>
      <w:marLeft w:val="0"/>
      <w:marRight w:val="0"/>
      <w:marTop w:val="0"/>
      <w:marBottom w:val="0"/>
      <w:divBdr>
        <w:top w:val="none" w:sz="0" w:space="0" w:color="auto"/>
        <w:left w:val="none" w:sz="0" w:space="0" w:color="auto"/>
        <w:bottom w:val="none" w:sz="0" w:space="0" w:color="auto"/>
        <w:right w:val="none" w:sz="0" w:space="0" w:color="auto"/>
      </w:divBdr>
    </w:div>
    <w:div w:id="354158756">
      <w:bodyDiv w:val="1"/>
      <w:marLeft w:val="0"/>
      <w:marRight w:val="0"/>
      <w:marTop w:val="0"/>
      <w:marBottom w:val="0"/>
      <w:divBdr>
        <w:top w:val="none" w:sz="0" w:space="0" w:color="auto"/>
        <w:left w:val="none" w:sz="0" w:space="0" w:color="auto"/>
        <w:bottom w:val="none" w:sz="0" w:space="0" w:color="auto"/>
        <w:right w:val="none" w:sz="0" w:space="0" w:color="auto"/>
      </w:divBdr>
    </w:div>
    <w:div w:id="370880902">
      <w:bodyDiv w:val="1"/>
      <w:marLeft w:val="0"/>
      <w:marRight w:val="0"/>
      <w:marTop w:val="0"/>
      <w:marBottom w:val="0"/>
      <w:divBdr>
        <w:top w:val="none" w:sz="0" w:space="0" w:color="auto"/>
        <w:left w:val="none" w:sz="0" w:space="0" w:color="auto"/>
        <w:bottom w:val="none" w:sz="0" w:space="0" w:color="auto"/>
        <w:right w:val="none" w:sz="0" w:space="0" w:color="auto"/>
      </w:divBdr>
    </w:div>
    <w:div w:id="523445801">
      <w:bodyDiv w:val="1"/>
      <w:marLeft w:val="0"/>
      <w:marRight w:val="0"/>
      <w:marTop w:val="0"/>
      <w:marBottom w:val="0"/>
      <w:divBdr>
        <w:top w:val="none" w:sz="0" w:space="0" w:color="auto"/>
        <w:left w:val="none" w:sz="0" w:space="0" w:color="auto"/>
        <w:bottom w:val="none" w:sz="0" w:space="0" w:color="auto"/>
        <w:right w:val="none" w:sz="0" w:space="0" w:color="auto"/>
      </w:divBdr>
    </w:div>
    <w:div w:id="700521147">
      <w:bodyDiv w:val="1"/>
      <w:marLeft w:val="0"/>
      <w:marRight w:val="0"/>
      <w:marTop w:val="0"/>
      <w:marBottom w:val="0"/>
      <w:divBdr>
        <w:top w:val="none" w:sz="0" w:space="0" w:color="auto"/>
        <w:left w:val="none" w:sz="0" w:space="0" w:color="auto"/>
        <w:bottom w:val="none" w:sz="0" w:space="0" w:color="auto"/>
        <w:right w:val="none" w:sz="0" w:space="0" w:color="auto"/>
      </w:divBdr>
    </w:div>
    <w:div w:id="729154510">
      <w:bodyDiv w:val="1"/>
      <w:marLeft w:val="0"/>
      <w:marRight w:val="0"/>
      <w:marTop w:val="0"/>
      <w:marBottom w:val="0"/>
      <w:divBdr>
        <w:top w:val="none" w:sz="0" w:space="0" w:color="auto"/>
        <w:left w:val="none" w:sz="0" w:space="0" w:color="auto"/>
        <w:bottom w:val="none" w:sz="0" w:space="0" w:color="auto"/>
        <w:right w:val="none" w:sz="0" w:space="0" w:color="auto"/>
      </w:divBdr>
    </w:div>
    <w:div w:id="748506573">
      <w:bodyDiv w:val="1"/>
      <w:marLeft w:val="0"/>
      <w:marRight w:val="0"/>
      <w:marTop w:val="0"/>
      <w:marBottom w:val="0"/>
      <w:divBdr>
        <w:top w:val="none" w:sz="0" w:space="0" w:color="auto"/>
        <w:left w:val="none" w:sz="0" w:space="0" w:color="auto"/>
        <w:bottom w:val="none" w:sz="0" w:space="0" w:color="auto"/>
        <w:right w:val="none" w:sz="0" w:space="0" w:color="auto"/>
      </w:divBdr>
    </w:div>
    <w:div w:id="762804374">
      <w:bodyDiv w:val="1"/>
      <w:marLeft w:val="0"/>
      <w:marRight w:val="0"/>
      <w:marTop w:val="0"/>
      <w:marBottom w:val="0"/>
      <w:divBdr>
        <w:top w:val="none" w:sz="0" w:space="0" w:color="auto"/>
        <w:left w:val="none" w:sz="0" w:space="0" w:color="auto"/>
        <w:bottom w:val="none" w:sz="0" w:space="0" w:color="auto"/>
        <w:right w:val="none" w:sz="0" w:space="0" w:color="auto"/>
      </w:divBdr>
    </w:div>
    <w:div w:id="889028576">
      <w:bodyDiv w:val="1"/>
      <w:marLeft w:val="0"/>
      <w:marRight w:val="0"/>
      <w:marTop w:val="0"/>
      <w:marBottom w:val="0"/>
      <w:divBdr>
        <w:top w:val="none" w:sz="0" w:space="0" w:color="auto"/>
        <w:left w:val="none" w:sz="0" w:space="0" w:color="auto"/>
        <w:bottom w:val="none" w:sz="0" w:space="0" w:color="auto"/>
        <w:right w:val="none" w:sz="0" w:space="0" w:color="auto"/>
      </w:divBdr>
    </w:div>
    <w:div w:id="901982985">
      <w:bodyDiv w:val="1"/>
      <w:marLeft w:val="0"/>
      <w:marRight w:val="0"/>
      <w:marTop w:val="0"/>
      <w:marBottom w:val="0"/>
      <w:divBdr>
        <w:top w:val="none" w:sz="0" w:space="0" w:color="auto"/>
        <w:left w:val="none" w:sz="0" w:space="0" w:color="auto"/>
        <w:bottom w:val="none" w:sz="0" w:space="0" w:color="auto"/>
        <w:right w:val="none" w:sz="0" w:space="0" w:color="auto"/>
      </w:divBdr>
    </w:div>
    <w:div w:id="915548900">
      <w:bodyDiv w:val="1"/>
      <w:marLeft w:val="0"/>
      <w:marRight w:val="0"/>
      <w:marTop w:val="0"/>
      <w:marBottom w:val="0"/>
      <w:divBdr>
        <w:top w:val="none" w:sz="0" w:space="0" w:color="auto"/>
        <w:left w:val="none" w:sz="0" w:space="0" w:color="auto"/>
        <w:bottom w:val="none" w:sz="0" w:space="0" w:color="auto"/>
        <w:right w:val="none" w:sz="0" w:space="0" w:color="auto"/>
      </w:divBdr>
    </w:div>
    <w:div w:id="1103262383">
      <w:bodyDiv w:val="1"/>
      <w:marLeft w:val="0"/>
      <w:marRight w:val="0"/>
      <w:marTop w:val="0"/>
      <w:marBottom w:val="0"/>
      <w:divBdr>
        <w:top w:val="none" w:sz="0" w:space="0" w:color="auto"/>
        <w:left w:val="none" w:sz="0" w:space="0" w:color="auto"/>
        <w:bottom w:val="none" w:sz="0" w:space="0" w:color="auto"/>
        <w:right w:val="none" w:sz="0" w:space="0" w:color="auto"/>
      </w:divBdr>
      <w:divsChild>
        <w:div w:id="2019311538">
          <w:marLeft w:val="0"/>
          <w:marRight w:val="0"/>
          <w:marTop w:val="0"/>
          <w:marBottom w:val="0"/>
          <w:divBdr>
            <w:top w:val="none" w:sz="0" w:space="0" w:color="auto"/>
            <w:left w:val="none" w:sz="0" w:space="0" w:color="auto"/>
            <w:bottom w:val="none" w:sz="0" w:space="0" w:color="auto"/>
            <w:right w:val="none" w:sz="0" w:space="0" w:color="auto"/>
          </w:divBdr>
          <w:divsChild>
            <w:div w:id="462042669">
              <w:marLeft w:val="0"/>
              <w:marRight w:val="0"/>
              <w:marTop w:val="0"/>
              <w:marBottom w:val="0"/>
              <w:divBdr>
                <w:top w:val="none" w:sz="0" w:space="0" w:color="auto"/>
                <w:left w:val="none" w:sz="0" w:space="0" w:color="auto"/>
                <w:bottom w:val="none" w:sz="0" w:space="0" w:color="auto"/>
                <w:right w:val="none" w:sz="0" w:space="0" w:color="auto"/>
              </w:divBdr>
              <w:divsChild>
                <w:div w:id="850027711">
                  <w:marLeft w:val="0"/>
                  <w:marRight w:val="0"/>
                  <w:marTop w:val="0"/>
                  <w:marBottom w:val="0"/>
                  <w:divBdr>
                    <w:top w:val="none" w:sz="0" w:space="0" w:color="auto"/>
                    <w:left w:val="none" w:sz="0" w:space="0" w:color="auto"/>
                    <w:bottom w:val="none" w:sz="0" w:space="0" w:color="auto"/>
                    <w:right w:val="none" w:sz="0" w:space="0" w:color="auto"/>
                  </w:divBdr>
                  <w:divsChild>
                    <w:div w:id="12366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639400">
          <w:marLeft w:val="0"/>
          <w:marRight w:val="0"/>
          <w:marTop w:val="0"/>
          <w:marBottom w:val="0"/>
          <w:divBdr>
            <w:top w:val="none" w:sz="0" w:space="0" w:color="auto"/>
            <w:left w:val="none" w:sz="0" w:space="0" w:color="auto"/>
            <w:bottom w:val="none" w:sz="0" w:space="0" w:color="auto"/>
            <w:right w:val="none" w:sz="0" w:space="0" w:color="auto"/>
          </w:divBdr>
        </w:div>
        <w:div w:id="386609193">
          <w:marLeft w:val="0"/>
          <w:marRight w:val="0"/>
          <w:marTop w:val="0"/>
          <w:marBottom w:val="0"/>
          <w:divBdr>
            <w:top w:val="none" w:sz="0" w:space="0" w:color="auto"/>
            <w:left w:val="none" w:sz="0" w:space="0" w:color="auto"/>
            <w:bottom w:val="none" w:sz="0" w:space="0" w:color="auto"/>
            <w:right w:val="none" w:sz="0" w:space="0" w:color="auto"/>
          </w:divBdr>
        </w:div>
        <w:div w:id="1494292766">
          <w:marLeft w:val="0"/>
          <w:marRight w:val="0"/>
          <w:marTop w:val="0"/>
          <w:marBottom w:val="0"/>
          <w:divBdr>
            <w:top w:val="none" w:sz="0" w:space="0" w:color="auto"/>
            <w:left w:val="none" w:sz="0" w:space="0" w:color="auto"/>
            <w:bottom w:val="none" w:sz="0" w:space="0" w:color="auto"/>
            <w:right w:val="none" w:sz="0" w:space="0" w:color="auto"/>
          </w:divBdr>
          <w:divsChild>
            <w:div w:id="1986277695">
              <w:marLeft w:val="0"/>
              <w:marRight w:val="0"/>
              <w:marTop w:val="0"/>
              <w:marBottom w:val="0"/>
              <w:divBdr>
                <w:top w:val="none" w:sz="0" w:space="0" w:color="auto"/>
                <w:left w:val="none" w:sz="0" w:space="0" w:color="auto"/>
                <w:bottom w:val="none" w:sz="0" w:space="0" w:color="auto"/>
                <w:right w:val="none" w:sz="0" w:space="0" w:color="auto"/>
              </w:divBdr>
              <w:divsChild>
                <w:div w:id="138614845">
                  <w:marLeft w:val="0"/>
                  <w:marRight w:val="0"/>
                  <w:marTop w:val="0"/>
                  <w:marBottom w:val="0"/>
                  <w:divBdr>
                    <w:top w:val="none" w:sz="0" w:space="0" w:color="auto"/>
                    <w:left w:val="none" w:sz="0" w:space="0" w:color="auto"/>
                    <w:bottom w:val="none" w:sz="0" w:space="0" w:color="auto"/>
                    <w:right w:val="none" w:sz="0" w:space="0" w:color="auto"/>
                  </w:divBdr>
                  <w:divsChild>
                    <w:div w:id="1144472691">
                      <w:marLeft w:val="0"/>
                      <w:marRight w:val="0"/>
                      <w:marTop w:val="0"/>
                      <w:marBottom w:val="0"/>
                      <w:divBdr>
                        <w:top w:val="none" w:sz="0" w:space="0" w:color="auto"/>
                        <w:left w:val="none" w:sz="0" w:space="0" w:color="auto"/>
                        <w:bottom w:val="none" w:sz="0" w:space="0" w:color="auto"/>
                        <w:right w:val="none" w:sz="0" w:space="0" w:color="auto"/>
                      </w:divBdr>
                      <w:divsChild>
                        <w:div w:id="81514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000180">
      <w:bodyDiv w:val="1"/>
      <w:marLeft w:val="0"/>
      <w:marRight w:val="0"/>
      <w:marTop w:val="0"/>
      <w:marBottom w:val="0"/>
      <w:divBdr>
        <w:top w:val="none" w:sz="0" w:space="0" w:color="auto"/>
        <w:left w:val="none" w:sz="0" w:space="0" w:color="auto"/>
        <w:bottom w:val="none" w:sz="0" w:space="0" w:color="auto"/>
        <w:right w:val="none" w:sz="0" w:space="0" w:color="auto"/>
      </w:divBdr>
    </w:div>
    <w:div w:id="1258517732">
      <w:bodyDiv w:val="1"/>
      <w:marLeft w:val="0"/>
      <w:marRight w:val="0"/>
      <w:marTop w:val="0"/>
      <w:marBottom w:val="0"/>
      <w:divBdr>
        <w:top w:val="none" w:sz="0" w:space="0" w:color="auto"/>
        <w:left w:val="none" w:sz="0" w:space="0" w:color="auto"/>
        <w:bottom w:val="none" w:sz="0" w:space="0" w:color="auto"/>
        <w:right w:val="none" w:sz="0" w:space="0" w:color="auto"/>
      </w:divBdr>
    </w:div>
    <w:div w:id="1269432798">
      <w:bodyDiv w:val="1"/>
      <w:marLeft w:val="0"/>
      <w:marRight w:val="0"/>
      <w:marTop w:val="0"/>
      <w:marBottom w:val="0"/>
      <w:divBdr>
        <w:top w:val="none" w:sz="0" w:space="0" w:color="auto"/>
        <w:left w:val="none" w:sz="0" w:space="0" w:color="auto"/>
        <w:bottom w:val="none" w:sz="0" w:space="0" w:color="auto"/>
        <w:right w:val="none" w:sz="0" w:space="0" w:color="auto"/>
      </w:divBdr>
    </w:div>
    <w:div w:id="1418091114">
      <w:bodyDiv w:val="1"/>
      <w:marLeft w:val="0"/>
      <w:marRight w:val="0"/>
      <w:marTop w:val="0"/>
      <w:marBottom w:val="0"/>
      <w:divBdr>
        <w:top w:val="none" w:sz="0" w:space="0" w:color="auto"/>
        <w:left w:val="none" w:sz="0" w:space="0" w:color="auto"/>
        <w:bottom w:val="none" w:sz="0" w:space="0" w:color="auto"/>
        <w:right w:val="none" w:sz="0" w:space="0" w:color="auto"/>
      </w:divBdr>
    </w:div>
    <w:div w:id="1442454776">
      <w:bodyDiv w:val="1"/>
      <w:marLeft w:val="0"/>
      <w:marRight w:val="0"/>
      <w:marTop w:val="0"/>
      <w:marBottom w:val="0"/>
      <w:divBdr>
        <w:top w:val="none" w:sz="0" w:space="0" w:color="auto"/>
        <w:left w:val="none" w:sz="0" w:space="0" w:color="auto"/>
        <w:bottom w:val="none" w:sz="0" w:space="0" w:color="auto"/>
        <w:right w:val="none" w:sz="0" w:space="0" w:color="auto"/>
      </w:divBdr>
    </w:div>
    <w:div w:id="1570338791">
      <w:bodyDiv w:val="1"/>
      <w:marLeft w:val="0"/>
      <w:marRight w:val="0"/>
      <w:marTop w:val="0"/>
      <w:marBottom w:val="0"/>
      <w:divBdr>
        <w:top w:val="none" w:sz="0" w:space="0" w:color="auto"/>
        <w:left w:val="none" w:sz="0" w:space="0" w:color="auto"/>
        <w:bottom w:val="none" w:sz="0" w:space="0" w:color="auto"/>
        <w:right w:val="none" w:sz="0" w:space="0" w:color="auto"/>
      </w:divBdr>
    </w:div>
    <w:div w:id="1594119210">
      <w:bodyDiv w:val="1"/>
      <w:marLeft w:val="0"/>
      <w:marRight w:val="0"/>
      <w:marTop w:val="0"/>
      <w:marBottom w:val="0"/>
      <w:divBdr>
        <w:top w:val="none" w:sz="0" w:space="0" w:color="auto"/>
        <w:left w:val="none" w:sz="0" w:space="0" w:color="auto"/>
        <w:bottom w:val="none" w:sz="0" w:space="0" w:color="auto"/>
        <w:right w:val="none" w:sz="0" w:space="0" w:color="auto"/>
      </w:divBdr>
    </w:div>
    <w:div w:id="1769766863">
      <w:bodyDiv w:val="1"/>
      <w:marLeft w:val="0"/>
      <w:marRight w:val="0"/>
      <w:marTop w:val="0"/>
      <w:marBottom w:val="0"/>
      <w:divBdr>
        <w:top w:val="none" w:sz="0" w:space="0" w:color="auto"/>
        <w:left w:val="none" w:sz="0" w:space="0" w:color="auto"/>
        <w:bottom w:val="none" w:sz="0" w:space="0" w:color="auto"/>
        <w:right w:val="none" w:sz="0" w:space="0" w:color="auto"/>
      </w:divBdr>
    </w:div>
    <w:div w:id="1848522297">
      <w:bodyDiv w:val="1"/>
      <w:marLeft w:val="0"/>
      <w:marRight w:val="0"/>
      <w:marTop w:val="0"/>
      <w:marBottom w:val="0"/>
      <w:divBdr>
        <w:top w:val="none" w:sz="0" w:space="0" w:color="auto"/>
        <w:left w:val="none" w:sz="0" w:space="0" w:color="auto"/>
        <w:bottom w:val="none" w:sz="0" w:space="0" w:color="auto"/>
        <w:right w:val="none" w:sz="0" w:space="0" w:color="auto"/>
      </w:divBdr>
    </w:div>
    <w:div w:id="1914772677">
      <w:bodyDiv w:val="1"/>
      <w:marLeft w:val="0"/>
      <w:marRight w:val="0"/>
      <w:marTop w:val="0"/>
      <w:marBottom w:val="0"/>
      <w:divBdr>
        <w:top w:val="none" w:sz="0" w:space="0" w:color="auto"/>
        <w:left w:val="none" w:sz="0" w:space="0" w:color="auto"/>
        <w:bottom w:val="none" w:sz="0" w:space="0" w:color="auto"/>
        <w:right w:val="none" w:sz="0" w:space="0" w:color="auto"/>
      </w:divBdr>
    </w:div>
    <w:div w:id="2020157391">
      <w:bodyDiv w:val="1"/>
      <w:marLeft w:val="0"/>
      <w:marRight w:val="0"/>
      <w:marTop w:val="0"/>
      <w:marBottom w:val="0"/>
      <w:divBdr>
        <w:top w:val="none" w:sz="0" w:space="0" w:color="auto"/>
        <w:left w:val="none" w:sz="0" w:space="0" w:color="auto"/>
        <w:bottom w:val="none" w:sz="0" w:space="0" w:color="auto"/>
        <w:right w:val="none" w:sz="0" w:space="0" w:color="auto"/>
      </w:divBdr>
    </w:div>
    <w:div w:id="2137872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552D406-AA57-4D3E-A405-85BD442D86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53</Pages>
  <Words>15252</Words>
  <Characters>86943</Characters>
  <Application>Microsoft Office Word</Application>
  <DocSecurity>0</DocSecurity>
  <Lines>724</Lines>
  <Paragraphs>203</Paragraphs>
  <ScaleCrop>false</ScaleCrop>
  <HeadingPairs>
    <vt:vector size="2" baseType="variant">
      <vt:variant>
        <vt:lpstr>Title</vt:lpstr>
      </vt:variant>
      <vt:variant>
        <vt:i4>1</vt:i4>
      </vt:variant>
    </vt:vector>
  </HeadingPairs>
  <TitlesOfParts>
    <vt:vector size="1" baseType="lpstr">
      <vt:lpstr>Recent Advances in Explaining Hedge Funds Returns</vt:lpstr>
    </vt:vector>
  </TitlesOfParts>
  <Company>The University of York, Management School, Accounting &amp; Finance Group</Company>
  <LinksUpToDate>false</LinksUpToDate>
  <CharactersWithSpaces>101992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Recent Advances in Explaining Hedge Funds Returns</dc:title>
  <dc:subject>Chapters One, Two, and Three*</dc:subject>
  <dc:creator>Dimitrios Stafylas</dc:creator>
  <cp:lastModifiedBy>Keith Anderson</cp:lastModifiedBy>
  <cp:revision>461</cp:revision>
  <cp:lastPrinted>2016-06-02T15:31:00Z</cp:lastPrinted>
  <dcterms:created xsi:type="dcterms:W3CDTF">2016-02-24T16:09:00Z</dcterms:created>
  <dcterms:modified xsi:type="dcterms:W3CDTF">2016-08-02T17:28:00Z</dcterms:modified>
</cp:coreProperties>
</file>