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3BA22" w14:textId="20F9B576" w:rsidR="00B73AE8" w:rsidRPr="00594F85" w:rsidRDefault="00A75DB7" w:rsidP="00B73AE8">
      <w:pPr>
        <w:pStyle w:val="NoSpacing"/>
        <w:spacing w:line="360" w:lineRule="auto"/>
        <w:jc w:val="center"/>
        <w:rPr>
          <w:rFonts w:cs="Times New Roman"/>
          <w:b/>
          <w:sz w:val="20"/>
        </w:rPr>
      </w:pPr>
      <w:r>
        <w:rPr>
          <w:rFonts w:cs="Times New Roman"/>
          <w:b/>
          <w:sz w:val="20"/>
        </w:rPr>
        <w:t xml:space="preserve">How to appropriately </w:t>
      </w:r>
      <w:r w:rsidR="00755846" w:rsidRPr="00594F85">
        <w:rPr>
          <w:rFonts w:cs="Times New Roman"/>
          <w:b/>
          <w:sz w:val="20"/>
        </w:rPr>
        <w:t xml:space="preserve">extrapolate </w:t>
      </w:r>
      <w:r w:rsidR="008F35E5" w:rsidRPr="00594F85">
        <w:rPr>
          <w:rFonts w:cs="Times New Roman"/>
          <w:b/>
          <w:sz w:val="20"/>
        </w:rPr>
        <w:t>costs and utilities in cost-effectiveness analysis</w:t>
      </w:r>
      <w:r w:rsidR="00E72513" w:rsidRPr="00594F85">
        <w:rPr>
          <w:rFonts w:cs="Times New Roman"/>
          <w:b/>
          <w:sz w:val="20"/>
        </w:rPr>
        <w:t xml:space="preserve"> </w:t>
      </w:r>
    </w:p>
    <w:p w14:paraId="28A884A4" w14:textId="77777777" w:rsidR="008F35E5" w:rsidRPr="00594F85" w:rsidRDefault="008F35E5" w:rsidP="00B73AE8">
      <w:pPr>
        <w:pStyle w:val="NoSpacing"/>
        <w:spacing w:line="360" w:lineRule="auto"/>
        <w:jc w:val="center"/>
        <w:rPr>
          <w:rFonts w:cs="Times New Roman"/>
          <w:b/>
          <w:sz w:val="20"/>
        </w:rPr>
      </w:pPr>
    </w:p>
    <w:p w14:paraId="3E1E3AB5" w14:textId="77777777" w:rsidR="008309FB" w:rsidRPr="00594F85" w:rsidRDefault="008309FB" w:rsidP="00B73AE8">
      <w:pPr>
        <w:pStyle w:val="NoSpacing"/>
        <w:spacing w:line="360" w:lineRule="auto"/>
        <w:jc w:val="both"/>
        <w:rPr>
          <w:sz w:val="20"/>
        </w:rPr>
      </w:pPr>
    </w:p>
    <w:p w14:paraId="1CEAF9C7" w14:textId="77777777" w:rsidR="00687316" w:rsidRPr="00594F85" w:rsidRDefault="00687316" w:rsidP="00AE0D20">
      <w:pPr>
        <w:pStyle w:val="NoSpacing"/>
        <w:spacing w:line="360" w:lineRule="auto"/>
        <w:jc w:val="both"/>
        <w:rPr>
          <w:b/>
          <w:sz w:val="20"/>
        </w:rPr>
      </w:pPr>
      <w:r w:rsidRPr="00594F85">
        <w:rPr>
          <w:b/>
          <w:sz w:val="20"/>
        </w:rPr>
        <w:t>Abstract</w:t>
      </w:r>
    </w:p>
    <w:p w14:paraId="62B06795" w14:textId="6ABADC94" w:rsidR="00CA5F75" w:rsidRPr="00594F85" w:rsidRDefault="00055603" w:rsidP="00AE0D20">
      <w:pPr>
        <w:spacing w:after="0" w:line="360" w:lineRule="auto"/>
        <w:rPr>
          <w:sz w:val="20"/>
        </w:rPr>
      </w:pPr>
      <w:bookmarkStart w:id="0" w:name="_Toc341889188"/>
      <w:bookmarkStart w:id="1" w:name="_Toc341889341"/>
      <w:bookmarkStart w:id="2" w:name="_Toc341889488"/>
      <w:r w:rsidRPr="00594F85">
        <w:rPr>
          <w:sz w:val="20"/>
        </w:rPr>
        <w:t xml:space="preserve">Costs and </w:t>
      </w:r>
      <w:r w:rsidR="00391EAF" w:rsidRPr="00594F85">
        <w:rPr>
          <w:sz w:val="20"/>
        </w:rPr>
        <w:t>utilities</w:t>
      </w:r>
      <w:r w:rsidR="000A5570" w:rsidRPr="00594F85">
        <w:rPr>
          <w:sz w:val="20"/>
        </w:rPr>
        <w:t xml:space="preserve"> </w:t>
      </w:r>
      <w:r w:rsidRPr="00594F85">
        <w:rPr>
          <w:sz w:val="20"/>
        </w:rPr>
        <w:t xml:space="preserve">are key inputs </w:t>
      </w:r>
      <w:r w:rsidR="008309FB" w:rsidRPr="00594F85">
        <w:rPr>
          <w:sz w:val="20"/>
        </w:rPr>
        <w:t>in</w:t>
      </w:r>
      <w:r w:rsidRPr="00594F85">
        <w:rPr>
          <w:sz w:val="20"/>
        </w:rPr>
        <w:t xml:space="preserve">to any cost-effectiveness </w:t>
      </w:r>
      <w:r w:rsidR="00926230" w:rsidRPr="00594F85">
        <w:rPr>
          <w:sz w:val="20"/>
        </w:rPr>
        <w:t>analysis (CEA)</w:t>
      </w:r>
      <w:r w:rsidRPr="00594F85">
        <w:rPr>
          <w:sz w:val="20"/>
        </w:rPr>
        <w:t xml:space="preserve">. </w:t>
      </w:r>
      <w:r w:rsidR="00926230" w:rsidRPr="00594F85">
        <w:rPr>
          <w:sz w:val="20"/>
        </w:rPr>
        <w:t xml:space="preserve">Their estimates </w:t>
      </w:r>
      <w:r w:rsidRPr="00594F85">
        <w:rPr>
          <w:sz w:val="20"/>
        </w:rPr>
        <w:t xml:space="preserve">are typically derived from </w:t>
      </w:r>
      <w:r w:rsidR="00926230" w:rsidRPr="00594F85">
        <w:rPr>
          <w:sz w:val="20"/>
        </w:rPr>
        <w:t xml:space="preserve">individual </w:t>
      </w:r>
      <w:r w:rsidR="00DC639C">
        <w:rPr>
          <w:sz w:val="20"/>
        </w:rPr>
        <w:t xml:space="preserve">patient </w:t>
      </w:r>
      <w:r w:rsidR="00926230" w:rsidRPr="00594F85">
        <w:rPr>
          <w:sz w:val="20"/>
        </w:rPr>
        <w:t xml:space="preserve">level data </w:t>
      </w:r>
      <w:r w:rsidRPr="00594F85">
        <w:rPr>
          <w:sz w:val="20"/>
        </w:rPr>
        <w:t xml:space="preserve">collected as part of clinical studies </w:t>
      </w:r>
      <w:r w:rsidR="00CA5F75" w:rsidRPr="00594F85">
        <w:rPr>
          <w:sz w:val="20"/>
        </w:rPr>
        <w:t xml:space="preserve">whose follow up duration is </w:t>
      </w:r>
      <w:r w:rsidR="000A5570" w:rsidRPr="00594F85">
        <w:rPr>
          <w:sz w:val="20"/>
        </w:rPr>
        <w:t>often</w:t>
      </w:r>
      <w:r w:rsidR="00B14163" w:rsidRPr="00594F85">
        <w:rPr>
          <w:sz w:val="20"/>
        </w:rPr>
        <w:t xml:space="preserve"> </w:t>
      </w:r>
      <w:r w:rsidR="00926230" w:rsidRPr="00594F85">
        <w:rPr>
          <w:sz w:val="20"/>
        </w:rPr>
        <w:t xml:space="preserve">too short </w:t>
      </w:r>
      <w:r w:rsidRPr="00594F85">
        <w:rPr>
          <w:sz w:val="20"/>
        </w:rPr>
        <w:t xml:space="preserve">to </w:t>
      </w:r>
      <w:r w:rsidR="00CA5F75" w:rsidRPr="00594F85">
        <w:rPr>
          <w:sz w:val="20"/>
        </w:rPr>
        <w:t>allow</w:t>
      </w:r>
      <w:r w:rsidRPr="00594F85">
        <w:rPr>
          <w:sz w:val="20"/>
        </w:rPr>
        <w:t xml:space="preserve"> </w:t>
      </w:r>
      <w:r w:rsidR="00CA5F75" w:rsidRPr="00594F85">
        <w:rPr>
          <w:sz w:val="20"/>
        </w:rPr>
        <w:t xml:space="preserve">a robust quantification of </w:t>
      </w:r>
      <w:r w:rsidRPr="00594F85">
        <w:rPr>
          <w:sz w:val="20"/>
        </w:rPr>
        <w:t xml:space="preserve">the </w:t>
      </w:r>
      <w:r w:rsidR="00926230" w:rsidRPr="00594F85">
        <w:rPr>
          <w:sz w:val="20"/>
        </w:rPr>
        <w:t xml:space="preserve">likely </w:t>
      </w:r>
      <w:r w:rsidRPr="00594F85">
        <w:rPr>
          <w:sz w:val="20"/>
        </w:rPr>
        <w:t xml:space="preserve">costs and benefits a technology </w:t>
      </w:r>
      <w:r w:rsidR="000A5570" w:rsidRPr="00594F85">
        <w:rPr>
          <w:sz w:val="20"/>
        </w:rPr>
        <w:t xml:space="preserve">will </w:t>
      </w:r>
      <w:r w:rsidR="00926230" w:rsidRPr="00594F85">
        <w:rPr>
          <w:sz w:val="20"/>
        </w:rPr>
        <w:t xml:space="preserve">yield </w:t>
      </w:r>
      <w:r w:rsidRPr="00594F85">
        <w:rPr>
          <w:sz w:val="20"/>
        </w:rPr>
        <w:t>over the entire patient's lifetime</w:t>
      </w:r>
      <w:r w:rsidR="00CA5F75" w:rsidRPr="00594F85">
        <w:rPr>
          <w:sz w:val="20"/>
        </w:rPr>
        <w:t xml:space="preserve">.  </w:t>
      </w:r>
    </w:p>
    <w:p w14:paraId="43977838" w14:textId="77777777" w:rsidR="00CA5F75" w:rsidRPr="00594F85" w:rsidRDefault="00CA5F75" w:rsidP="00AE0D20">
      <w:pPr>
        <w:spacing w:after="0" w:line="360" w:lineRule="auto"/>
        <w:rPr>
          <w:sz w:val="20"/>
        </w:rPr>
      </w:pPr>
    </w:p>
    <w:p w14:paraId="4AD01B40" w14:textId="2E8316CC" w:rsidR="00055603" w:rsidRPr="00594F85" w:rsidRDefault="00CA5F75" w:rsidP="00391EAF">
      <w:pPr>
        <w:spacing w:after="0" w:line="360" w:lineRule="auto"/>
        <w:rPr>
          <w:sz w:val="20"/>
        </w:rPr>
      </w:pPr>
      <w:r w:rsidRPr="00594F85">
        <w:rPr>
          <w:sz w:val="20"/>
        </w:rPr>
        <w:t>In the absence of long-term data</w:t>
      </w:r>
      <w:r w:rsidR="00EB6456">
        <w:rPr>
          <w:sz w:val="20"/>
        </w:rPr>
        <w:t>,</w:t>
      </w:r>
      <w:r w:rsidR="008309FB" w:rsidRPr="00594F85">
        <w:rPr>
          <w:sz w:val="20"/>
        </w:rPr>
        <w:t xml:space="preserve"> </w:t>
      </w:r>
      <w:r w:rsidR="00055603" w:rsidRPr="00594F85">
        <w:rPr>
          <w:sz w:val="20"/>
        </w:rPr>
        <w:t xml:space="preserve">some form of </w:t>
      </w:r>
      <w:r w:rsidR="00391EAF" w:rsidRPr="00594F85">
        <w:rPr>
          <w:sz w:val="20"/>
        </w:rPr>
        <w:t xml:space="preserve">temporal </w:t>
      </w:r>
      <w:r w:rsidR="00055603" w:rsidRPr="00594F85">
        <w:rPr>
          <w:sz w:val="20"/>
        </w:rPr>
        <w:t xml:space="preserve">extrapolation </w:t>
      </w:r>
      <w:r w:rsidR="00391EAF" w:rsidRPr="00594F85">
        <w:rPr>
          <w:sz w:val="20"/>
        </w:rPr>
        <w:t xml:space="preserve">- </w:t>
      </w:r>
      <w:r w:rsidR="00055603" w:rsidRPr="00594F85">
        <w:rPr>
          <w:sz w:val="20"/>
        </w:rPr>
        <w:t xml:space="preserve">to project short-term evidence over a longer time horizon </w:t>
      </w:r>
      <w:r w:rsidR="00391EAF" w:rsidRPr="00594F85">
        <w:rPr>
          <w:sz w:val="20"/>
        </w:rPr>
        <w:t xml:space="preserve">- </w:t>
      </w:r>
      <w:r w:rsidR="00055603" w:rsidRPr="00594F85">
        <w:rPr>
          <w:sz w:val="20"/>
        </w:rPr>
        <w:t xml:space="preserve">will be required. </w:t>
      </w:r>
      <w:r w:rsidRPr="00594F85">
        <w:rPr>
          <w:sz w:val="20"/>
        </w:rPr>
        <w:t xml:space="preserve"> </w:t>
      </w:r>
      <w:r w:rsidR="00391EAF" w:rsidRPr="00594F85">
        <w:rPr>
          <w:sz w:val="20"/>
        </w:rPr>
        <w:t>Temporal</w:t>
      </w:r>
      <w:r w:rsidR="00055603" w:rsidRPr="00594F85">
        <w:rPr>
          <w:sz w:val="20"/>
        </w:rPr>
        <w:t xml:space="preserve"> extrapolation inevitably involve</w:t>
      </w:r>
      <w:r w:rsidR="000A5570" w:rsidRPr="00594F85">
        <w:rPr>
          <w:sz w:val="20"/>
        </w:rPr>
        <w:t>s</w:t>
      </w:r>
      <w:r w:rsidR="00055603" w:rsidRPr="00594F85">
        <w:rPr>
          <w:sz w:val="20"/>
        </w:rPr>
        <w:t xml:space="preserve"> assumptions regarding the </w:t>
      </w:r>
      <w:r w:rsidR="00492287" w:rsidRPr="00594F85">
        <w:rPr>
          <w:sz w:val="20"/>
        </w:rPr>
        <w:t>behaviour</w:t>
      </w:r>
      <w:r w:rsidR="00055603" w:rsidRPr="00594F85">
        <w:rPr>
          <w:sz w:val="20"/>
        </w:rPr>
        <w:t xml:space="preserve"> of the quantities of interest </w:t>
      </w:r>
      <w:r w:rsidR="00391EAF" w:rsidRPr="00594F85">
        <w:rPr>
          <w:sz w:val="20"/>
        </w:rPr>
        <w:t>beyond</w:t>
      </w:r>
      <w:r w:rsidRPr="00594F85">
        <w:rPr>
          <w:sz w:val="20"/>
        </w:rPr>
        <w:t xml:space="preserve"> </w:t>
      </w:r>
      <w:r w:rsidR="00055603" w:rsidRPr="00594F85">
        <w:rPr>
          <w:sz w:val="20"/>
        </w:rPr>
        <w:t xml:space="preserve">the time horizon </w:t>
      </w:r>
      <w:r w:rsidR="000A5570" w:rsidRPr="00594F85">
        <w:rPr>
          <w:sz w:val="20"/>
        </w:rPr>
        <w:t>supported by the clinical evidence</w:t>
      </w:r>
      <w:r w:rsidR="00055603" w:rsidRPr="00594F85">
        <w:rPr>
          <w:sz w:val="20"/>
        </w:rPr>
        <w:t xml:space="preserve">. </w:t>
      </w:r>
      <w:r w:rsidRPr="00594F85">
        <w:rPr>
          <w:sz w:val="20"/>
        </w:rPr>
        <w:t>Unfortunately, the</w:t>
      </w:r>
      <w:r w:rsidR="00055603" w:rsidRPr="00594F85">
        <w:rPr>
          <w:sz w:val="20"/>
        </w:rPr>
        <w:t xml:space="preserve"> implications for decisions made on the basis of </w:t>
      </w:r>
      <w:r w:rsidR="000A5570" w:rsidRPr="00594F85">
        <w:rPr>
          <w:sz w:val="20"/>
        </w:rPr>
        <w:t xml:space="preserve">evidence derived following this practice </w:t>
      </w:r>
      <w:r w:rsidR="00055603" w:rsidRPr="00594F85">
        <w:rPr>
          <w:sz w:val="20"/>
        </w:rPr>
        <w:t>and the degree of uncertainty surrounding the validity of any assumptions made</w:t>
      </w:r>
      <w:r w:rsidR="000A5570" w:rsidRPr="00594F85">
        <w:rPr>
          <w:sz w:val="20"/>
        </w:rPr>
        <w:t xml:space="preserve"> are often not fully appreciated</w:t>
      </w:r>
      <w:r w:rsidR="00055603" w:rsidRPr="00594F85">
        <w:rPr>
          <w:sz w:val="20"/>
        </w:rPr>
        <w:t>. The issue is compounded by the absence of methodological guidance concerning the extrapolation of non-time to event outcomes such as costs and utilities.</w:t>
      </w:r>
    </w:p>
    <w:p w14:paraId="2CB2360D" w14:textId="77777777" w:rsidR="00055603" w:rsidRPr="00594F85" w:rsidRDefault="00055603" w:rsidP="00AE0D20">
      <w:pPr>
        <w:spacing w:after="0" w:line="360" w:lineRule="auto"/>
        <w:rPr>
          <w:sz w:val="20"/>
        </w:rPr>
      </w:pPr>
    </w:p>
    <w:p w14:paraId="4651AF7F" w14:textId="26B32A77" w:rsidR="00AE0D20" w:rsidRPr="00594F85" w:rsidRDefault="00055603" w:rsidP="00AE0D20">
      <w:pPr>
        <w:spacing w:after="0" w:line="360" w:lineRule="auto"/>
        <w:rPr>
          <w:sz w:val="20"/>
        </w:rPr>
      </w:pPr>
      <w:r w:rsidRPr="00594F85">
        <w:rPr>
          <w:sz w:val="20"/>
        </w:rPr>
        <w:t>This paper considers current approaches to predict long-term costs and utilities, highlight</w:t>
      </w:r>
      <w:r w:rsidR="007A3A0F" w:rsidRPr="00594F85">
        <w:rPr>
          <w:sz w:val="20"/>
        </w:rPr>
        <w:t>s</w:t>
      </w:r>
      <w:r w:rsidRPr="00594F85">
        <w:rPr>
          <w:sz w:val="20"/>
        </w:rPr>
        <w:t xml:space="preserve"> some of the challenges with the existing methods, and provid</w:t>
      </w:r>
      <w:r w:rsidR="007A3A0F" w:rsidRPr="00594F85">
        <w:rPr>
          <w:sz w:val="20"/>
        </w:rPr>
        <w:t>es</w:t>
      </w:r>
      <w:r w:rsidRPr="00594F85">
        <w:rPr>
          <w:sz w:val="20"/>
        </w:rPr>
        <w:t xml:space="preserve"> recommendations for future applications. It finds that, typically, economic evaluation models employ a simplistic approach to </w:t>
      </w:r>
      <w:r w:rsidR="00391EAF" w:rsidRPr="00594F85">
        <w:rPr>
          <w:sz w:val="20"/>
        </w:rPr>
        <w:t xml:space="preserve">temporal </w:t>
      </w:r>
      <w:r w:rsidRPr="00594F85">
        <w:rPr>
          <w:sz w:val="20"/>
        </w:rPr>
        <w:t xml:space="preserve">extrapolation of costs and utilities. For instance, their parameters (e.g. mean) are typically assumed to be homogeneous with respect to both time and patients' characteristics. Furthermore, costs and utilities have often been modelled to follow the dynamics of the associated time-to-event outcomes. However, cost and utility estimates may be more nuanced, </w:t>
      </w:r>
      <w:r w:rsidR="00DD68FF" w:rsidRPr="00594F85">
        <w:rPr>
          <w:sz w:val="20"/>
        </w:rPr>
        <w:t>and it</w:t>
      </w:r>
      <w:r w:rsidRPr="00594F85">
        <w:rPr>
          <w:sz w:val="20"/>
        </w:rPr>
        <w:t xml:space="preserve"> is important to ensure extrapolation is carried out appropriately for these parameters. </w:t>
      </w:r>
    </w:p>
    <w:p w14:paraId="46518EB1" w14:textId="77777777" w:rsidR="00AE0D20" w:rsidRPr="00594F85" w:rsidRDefault="00AE0D20" w:rsidP="00055603">
      <w:pPr>
        <w:rPr>
          <w:sz w:val="20"/>
        </w:rPr>
      </w:pPr>
    </w:p>
    <w:p w14:paraId="251F7D54" w14:textId="104627BC" w:rsidR="001D1FEB" w:rsidRPr="00B7744D" w:rsidRDefault="00B7744D" w:rsidP="00055603">
      <w:pPr>
        <w:rPr>
          <w:b/>
          <w:sz w:val="20"/>
        </w:rPr>
      </w:pPr>
      <w:r w:rsidRPr="00B7744D">
        <w:rPr>
          <w:b/>
          <w:sz w:val="20"/>
        </w:rPr>
        <w:t>Key points</w:t>
      </w:r>
    </w:p>
    <w:p w14:paraId="6E6F1808" w14:textId="1C21F9A3" w:rsidR="00B7744D" w:rsidRPr="00485081" w:rsidRDefault="00485081" w:rsidP="00485081">
      <w:pPr>
        <w:pStyle w:val="ListParagraph"/>
        <w:numPr>
          <w:ilvl w:val="0"/>
          <w:numId w:val="6"/>
        </w:numPr>
        <w:rPr>
          <w:sz w:val="20"/>
        </w:rPr>
      </w:pPr>
      <w:r w:rsidRPr="00485081">
        <w:rPr>
          <w:sz w:val="20"/>
        </w:rPr>
        <w:t>Need</w:t>
      </w:r>
      <w:r w:rsidR="00B7744D" w:rsidRPr="00485081">
        <w:rPr>
          <w:sz w:val="20"/>
        </w:rPr>
        <w:t xml:space="preserve"> to consider how costs and utilities are extrapolated</w:t>
      </w:r>
      <w:r w:rsidRPr="00485081">
        <w:rPr>
          <w:sz w:val="20"/>
        </w:rPr>
        <w:t xml:space="preserve"> in a cost-effectiveness model</w:t>
      </w:r>
    </w:p>
    <w:p w14:paraId="45809855" w14:textId="7586D3B2" w:rsidR="00485081" w:rsidRPr="00485081" w:rsidRDefault="00B7744D" w:rsidP="00485081">
      <w:pPr>
        <w:pStyle w:val="ListParagraph"/>
        <w:numPr>
          <w:ilvl w:val="0"/>
          <w:numId w:val="6"/>
        </w:numPr>
        <w:rPr>
          <w:sz w:val="20"/>
        </w:rPr>
      </w:pPr>
      <w:r w:rsidRPr="00485081">
        <w:rPr>
          <w:sz w:val="20"/>
        </w:rPr>
        <w:t>There is no guidance on methods for extrapolating costs and utilities</w:t>
      </w:r>
    </w:p>
    <w:p w14:paraId="7FEB9018" w14:textId="76B0D15B" w:rsidR="00B7744D" w:rsidRDefault="00485081" w:rsidP="00485081">
      <w:pPr>
        <w:pStyle w:val="ListParagraph"/>
        <w:numPr>
          <w:ilvl w:val="0"/>
          <w:numId w:val="6"/>
        </w:numPr>
        <w:rPr>
          <w:sz w:val="20"/>
        </w:rPr>
      </w:pPr>
      <w:r w:rsidRPr="00485081">
        <w:rPr>
          <w:sz w:val="20"/>
        </w:rPr>
        <w:t>E</w:t>
      </w:r>
      <w:r w:rsidR="00B7744D" w:rsidRPr="00485081">
        <w:rPr>
          <w:sz w:val="20"/>
        </w:rPr>
        <w:t>xisting applications use various approaches with little justification</w:t>
      </w:r>
    </w:p>
    <w:p w14:paraId="3338B8DB" w14:textId="77777777" w:rsidR="00485081" w:rsidRDefault="00485081" w:rsidP="00485081">
      <w:pPr>
        <w:rPr>
          <w:b/>
          <w:sz w:val="20"/>
        </w:rPr>
      </w:pPr>
    </w:p>
    <w:p w14:paraId="5B1E09DF" w14:textId="4428672D" w:rsidR="00A75DB7" w:rsidRPr="00E10953" w:rsidRDefault="00A75DB7" w:rsidP="00485081">
      <w:pPr>
        <w:rPr>
          <w:b/>
          <w:sz w:val="20"/>
        </w:rPr>
      </w:pPr>
      <w:r w:rsidRPr="00E10953">
        <w:rPr>
          <w:rFonts w:eastAsia="Calibri"/>
          <w:b/>
        </w:rPr>
        <w:t>Compliance with Ethical Standards</w:t>
      </w:r>
    </w:p>
    <w:p w14:paraId="2BF24EA2" w14:textId="7EAC4DFC" w:rsidR="00485081" w:rsidRPr="00E10953" w:rsidRDefault="00485081" w:rsidP="00485081">
      <w:pPr>
        <w:rPr>
          <w:sz w:val="20"/>
        </w:rPr>
      </w:pPr>
      <w:r w:rsidRPr="00E10953">
        <w:rPr>
          <w:sz w:val="20"/>
        </w:rPr>
        <w:t>Sources of funding</w:t>
      </w:r>
    </w:p>
    <w:p w14:paraId="1CDBDB81" w14:textId="4270CC5B" w:rsidR="00485081" w:rsidRPr="00485081" w:rsidRDefault="00485081" w:rsidP="00485081">
      <w:pPr>
        <w:pStyle w:val="Heading1"/>
        <w:shd w:val="clear" w:color="auto" w:fill="FFFFFF"/>
        <w:spacing w:before="300" w:after="150"/>
        <w:rPr>
          <w:rFonts w:asciiTheme="minorHAnsi" w:eastAsia="Times New Roman" w:hAnsiTheme="minorHAnsi" w:cs="Times New Roman"/>
          <w:b w:val="0"/>
          <w:color w:val="auto"/>
          <w:kern w:val="36"/>
          <w:sz w:val="20"/>
          <w:szCs w:val="20"/>
          <w:lang w:eastAsia="en-GB"/>
        </w:rPr>
      </w:pPr>
      <w:r w:rsidRPr="00485081">
        <w:rPr>
          <w:rFonts w:asciiTheme="minorHAnsi" w:hAnsiTheme="minorHAnsi"/>
          <w:b w:val="0"/>
          <w:color w:val="auto"/>
          <w:sz w:val="20"/>
          <w:szCs w:val="20"/>
        </w:rPr>
        <w:t>Work contributing to this manuscript was conducted as part of a MRC grant “</w:t>
      </w:r>
      <w:r w:rsidRPr="00485081">
        <w:rPr>
          <w:rFonts w:asciiTheme="minorHAnsi" w:eastAsia="Times New Roman" w:hAnsiTheme="minorHAnsi" w:cs="Times New Roman"/>
          <w:b w:val="0"/>
          <w:color w:val="auto"/>
          <w:kern w:val="36"/>
          <w:sz w:val="20"/>
          <w:szCs w:val="20"/>
          <w:lang w:eastAsia="en-GB"/>
        </w:rPr>
        <w:t>Methods of extrapolating RCT evidence for economic evaluation</w:t>
      </w:r>
      <w:r w:rsidR="00A75DB7">
        <w:rPr>
          <w:rFonts w:asciiTheme="minorHAnsi" w:eastAsia="Times New Roman" w:hAnsiTheme="minorHAnsi" w:cs="Times New Roman"/>
          <w:b w:val="0"/>
          <w:color w:val="auto"/>
          <w:kern w:val="36"/>
          <w:sz w:val="20"/>
          <w:szCs w:val="20"/>
          <w:lang w:eastAsia="en-GB"/>
        </w:rPr>
        <w:t>”” although this manuscript was not prepared during the time of this grant.</w:t>
      </w:r>
    </w:p>
    <w:p w14:paraId="7E061CAC" w14:textId="39FACDC9" w:rsidR="00485081" w:rsidRDefault="00485081" w:rsidP="00485081">
      <w:pPr>
        <w:spacing w:after="0"/>
        <w:rPr>
          <w:sz w:val="20"/>
          <w:szCs w:val="20"/>
        </w:rPr>
      </w:pPr>
      <w:r w:rsidRPr="00485081">
        <w:rPr>
          <w:sz w:val="20"/>
          <w:szCs w:val="20"/>
        </w:rPr>
        <w:t xml:space="preserve">Laura Bojke was supported in the preparation/submission of this paper by the HEOM Theme of the National Institute for Health Research Collaboration for Leadership in Applied Health Research and Care Yorkshire and </w:t>
      </w:r>
      <w:r w:rsidRPr="00485081">
        <w:rPr>
          <w:sz w:val="20"/>
          <w:szCs w:val="20"/>
        </w:rPr>
        <w:lastRenderedPageBreak/>
        <w:t xml:space="preserve">Humber (NIHR CLAHRC YH). </w:t>
      </w:r>
      <w:hyperlink r:id="rId9" w:history="1">
        <w:r w:rsidRPr="00485081">
          <w:rPr>
            <w:color w:val="0000FF"/>
            <w:sz w:val="20"/>
            <w:szCs w:val="20"/>
            <w:u w:val="single"/>
          </w:rPr>
          <w:t>www.clahrc-yh.nir.ac.uk</w:t>
        </w:r>
      </w:hyperlink>
      <w:r w:rsidRPr="00485081">
        <w:rPr>
          <w:sz w:val="20"/>
          <w:szCs w:val="20"/>
        </w:rPr>
        <w:t>. The views and opinions expressed are those of the authors, and not necessarily those of the NHS, the NIHR or the Department of Health.</w:t>
      </w:r>
    </w:p>
    <w:p w14:paraId="3712219B" w14:textId="77777777" w:rsidR="00485081" w:rsidRDefault="00485081" w:rsidP="00485081">
      <w:pPr>
        <w:spacing w:after="0"/>
        <w:rPr>
          <w:sz w:val="20"/>
          <w:szCs w:val="20"/>
        </w:rPr>
      </w:pPr>
    </w:p>
    <w:p w14:paraId="24081414" w14:textId="77777777" w:rsidR="00485081" w:rsidRPr="00485081" w:rsidRDefault="00485081" w:rsidP="00485081">
      <w:pPr>
        <w:spacing w:after="0"/>
        <w:rPr>
          <w:b/>
          <w:sz w:val="20"/>
          <w:szCs w:val="20"/>
        </w:rPr>
      </w:pPr>
    </w:p>
    <w:p w14:paraId="0EA248CB" w14:textId="187C7DAC" w:rsidR="00485081" w:rsidRPr="00485081" w:rsidRDefault="00A75DB7" w:rsidP="00485081">
      <w:pPr>
        <w:spacing w:after="0"/>
        <w:rPr>
          <w:sz w:val="20"/>
          <w:szCs w:val="20"/>
        </w:rPr>
      </w:pPr>
      <w:r>
        <w:rPr>
          <w:sz w:val="20"/>
          <w:szCs w:val="20"/>
        </w:rPr>
        <w:t xml:space="preserve">Laura Bojke, Andrea Manca, Miqdad Asaria, Ronan Mahan, Stephen Palmer and </w:t>
      </w:r>
      <w:r w:rsidR="00DC639C">
        <w:rPr>
          <w:sz w:val="20"/>
          <w:szCs w:val="20"/>
        </w:rPr>
        <w:t>Shijie</w:t>
      </w:r>
      <w:r>
        <w:rPr>
          <w:sz w:val="20"/>
          <w:szCs w:val="20"/>
        </w:rPr>
        <w:t xml:space="preserve"> Ren all have no conflicts of interest.</w:t>
      </w:r>
    </w:p>
    <w:p w14:paraId="3C29EE92" w14:textId="77777777" w:rsidR="00485081" w:rsidRPr="00485081" w:rsidRDefault="00485081" w:rsidP="00485081">
      <w:pPr>
        <w:rPr>
          <w:lang w:eastAsia="en-GB"/>
        </w:rPr>
      </w:pPr>
    </w:p>
    <w:p w14:paraId="4417D682" w14:textId="699480BE" w:rsidR="001D1FEB" w:rsidRPr="0054001F" w:rsidRDefault="00A75DB7" w:rsidP="00055603">
      <w:pPr>
        <w:rPr>
          <w:b/>
          <w:sz w:val="20"/>
        </w:rPr>
      </w:pPr>
      <w:r w:rsidRPr="0054001F">
        <w:rPr>
          <w:b/>
          <w:sz w:val="20"/>
        </w:rPr>
        <w:t>Acknowledgements</w:t>
      </w:r>
    </w:p>
    <w:p w14:paraId="011BF257" w14:textId="37A8AC46" w:rsidR="00A75DB7" w:rsidRPr="0054001F" w:rsidRDefault="00A75DB7" w:rsidP="00055603">
      <w:pPr>
        <w:rPr>
          <w:sz w:val="20"/>
        </w:rPr>
      </w:pPr>
      <w:r w:rsidRPr="0054001F">
        <w:rPr>
          <w:sz w:val="20"/>
        </w:rPr>
        <w:t xml:space="preserve">Laura Bojke and Andrea Manca were primarily responsible for drafting the manuscript. Stephen Palmer, Miqdad Asaria, Ronan Mahon and </w:t>
      </w:r>
      <w:r w:rsidR="00DC639C">
        <w:rPr>
          <w:sz w:val="20"/>
        </w:rPr>
        <w:t>Shijie</w:t>
      </w:r>
      <w:r w:rsidRPr="0054001F">
        <w:rPr>
          <w:sz w:val="20"/>
        </w:rPr>
        <w:t xml:space="preserve"> Ren contributed towards writing and commented on various versions of the manuscript.</w:t>
      </w:r>
    </w:p>
    <w:p w14:paraId="618D0EA5" w14:textId="77777777" w:rsidR="001D1FEB" w:rsidRDefault="001D1FEB" w:rsidP="00055603">
      <w:pPr>
        <w:rPr>
          <w:rFonts w:ascii="American Typewriter" w:hAnsi="American Typewriter"/>
          <w:sz w:val="20"/>
        </w:rPr>
      </w:pPr>
    </w:p>
    <w:p w14:paraId="7B77AC79" w14:textId="77777777" w:rsidR="001D1FEB" w:rsidRDefault="001D1FEB" w:rsidP="00055603">
      <w:pPr>
        <w:rPr>
          <w:rFonts w:ascii="American Typewriter" w:hAnsi="American Typewriter"/>
          <w:sz w:val="20"/>
        </w:rPr>
      </w:pPr>
    </w:p>
    <w:p w14:paraId="77B43339" w14:textId="77777777" w:rsidR="00485081" w:rsidRDefault="00485081" w:rsidP="00055603">
      <w:pPr>
        <w:rPr>
          <w:rFonts w:ascii="American Typewriter" w:hAnsi="American Typewriter"/>
          <w:sz w:val="20"/>
        </w:rPr>
      </w:pPr>
    </w:p>
    <w:p w14:paraId="571E09AB" w14:textId="77777777" w:rsidR="00485081" w:rsidRDefault="00485081" w:rsidP="00055603">
      <w:pPr>
        <w:rPr>
          <w:rFonts w:ascii="American Typewriter" w:hAnsi="American Typewriter"/>
          <w:sz w:val="20"/>
        </w:rPr>
      </w:pPr>
    </w:p>
    <w:p w14:paraId="3665B79E" w14:textId="77777777" w:rsidR="00485081" w:rsidRDefault="00485081" w:rsidP="00055603">
      <w:pPr>
        <w:rPr>
          <w:rFonts w:ascii="American Typewriter" w:hAnsi="American Typewriter"/>
          <w:sz w:val="20"/>
        </w:rPr>
      </w:pPr>
    </w:p>
    <w:p w14:paraId="774201B6" w14:textId="77777777" w:rsidR="00485081" w:rsidRDefault="00485081" w:rsidP="00055603">
      <w:pPr>
        <w:rPr>
          <w:rFonts w:ascii="American Typewriter" w:hAnsi="American Typewriter"/>
          <w:sz w:val="20"/>
        </w:rPr>
      </w:pPr>
    </w:p>
    <w:p w14:paraId="3A4890BD" w14:textId="77777777" w:rsidR="00485081" w:rsidRDefault="00485081" w:rsidP="00055603">
      <w:pPr>
        <w:rPr>
          <w:rFonts w:ascii="American Typewriter" w:hAnsi="American Typewriter"/>
          <w:sz w:val="20"/>
        </w:rPr>
      </w:pPr>
    </w:p>
    <w:p w14:paraId="0CE5729D" w14:textId="77777777" w:rsidR="00485081" w:rsidRDefault="00485081" w:rsidP="00055603">
      <w:pPr>
        <w:rPr>
          <w:rFonts w:ascii="American Typewriter" w:hAnsi="American Typewriter"/>
          <w:sz w:val="20"/>
        </w:rPr>
      </w:pPr>
    </w:p>
    <w:p w14:paraId="596A9D3E" w14:textId="77777777" w:rsidR="00485081" w:rsidRDefault="00485081" w:rsidP="00055603">
      <w:pPr>
        <w:rPr>
          <w:rFonts w:ascii="American Typewriter" w:hAnsi="American Typewriter"/>
          <w:sz w:val="20"/>
        </w:rPr>
      </w:pPr>
    </w:p>
    <w:p w14:paraId="6A1F33CE" w14:textId="77777777" w:rsidR="00485081" w:rsidRDefault="00485081" w:rsidP="00055603">
      <w:pPr>
        <w:rPr>
          <w:rFonts w:ascii="American Typewriter" w:hAnsi="American Typewriter"/>
          <w:sz w:val="20"/>
        </w:rPr>
      </w:pPr>
    </w:p>
    <w:p w14:paraId="4A134F56" w14:textId="77777777" w:rsidR="00485081" w:rsidRDefault="00485081" w:rsidP="00055603">
      <w:pPr>
        <w:rPr>
          <w:rFonts w:ascii="American Typewriter" w:hAnsi="American Typewriter"/>
          <w:sz w:val="20"/>
        </w:rPr>
      </w:pPr>
    </w:p>
    <w:p w14:paraId="61D7667D" w14:textId="77777777" w:rsidR="00485081" w:rsidRDefault="00485081" w:rsidP="00055603">
      <w:pPr>
        <w:rPr>
          <w:rFonts w:ascii="American Typewriter" w:hAnsi="American Typewriter"/>
          <w:sz w:val="20"/>
        </w:rPr>
      </w:pPr>
    </w:p>
    <w:p w14:paraId="1F83B7DB" w14:textId="77777777" w:rsidR="00485081" w:rsidRDefault="00485081" w:rsidP="00055603">
      <w:pPr>
        <w:rPr>
          <w:rFonts w:ascii="American Typewriter" w:hAnsi="American Typewriter"/>
          <w:sz w:val="20"/>
        </w:rPr>
      </w:pPr>
    </w:p>
    <w:p w14:paraId="1B311C5C" w14:textId="77777777" w:rsidR="00485081" w:rsidRDefault="00485081" w:rsidP="00055603">
      <w:pPr>
        <w:rPr>
          <w:rFonts w:ascii="American Typewriter" w:hAnsi="American Typewriter"/>
          <w:sz w:val="20"/>
        </w:rPr>
      </w:pPr>
    </w:p>
    <w:p w14:paraId="4619BA0E" w14:textId="77777777" w:rsidR="00485081" w:rsidRDefault="00485081" w:rsidP="00055603">
      <w:pPr>
        <w:rPr>
          <w:rFonts w:ascii="American Typewriter" w:hAnsi="American Typewriter"/>
          <w:sz w:val="20"/>
        </w:rPr>
      </w:pPr>
    </w:p>
    <w:p w14:paraId="6403939C" w14:textId="77777777" w:rsidR="00485081" w:rsidRDefault="00485081" w:rsidP="00055603">
      <w:pPr>
        <w:rPr>
          <w:rFonts w:ascii="American Typewriter" w:hAnsi="American Typewriter"/>
          <w:sz w:val="20"/>
        </w:rPr>
      </w:pPr>
    </w:p>
    <w:p w14:paraId="7842B06B" w14:textId="77777777" w:rsidR="00485081" w:rsidRDefault="00485081" w:rsidP="00055603">
      <w:pPr>
        <w:rPr>
          <w:rFonts w:ascii="American Typewriter" w:hAnsi="American Typewriter"/>
          <w:sz w:val="20"/>
        </w:rPr>
      </w:pPr>
    </w:p>
    <w:p w14:paraId="3176F687" w14:textId="77777777" w:rsidR="00485081" w:rsidRDefault="00485081" w:rsidP="00055603">
      <w:pPr>
        <w:rPr>
          <w:rFonts w:ascii="American Typewriter" w:hAnsi="American Typewriter"/>
          <w:sz w:val="20"/>
        </w:rPr>
      </w:pPr>
    </w:p>
    <w:p w14:paraId="3BDC640C" w14:textId="77777777" w:rsidR="00485081" w:rsidRDefault="00485081" w:rsidP="00055603">
      <w:pPr>
        <w:rPr>
          <w:rFonts w:ascii="American Typewriter" w:hAnsi="American Typewriter"/>
          <w:sz w:val="20"/>
        </w:rPr>
      </w:pPr>
    </w:p>
    <w:p w14:paraId="5D0AF15B" w14:textId="77777777" w:rsidR="00E10953" w:rsidRDefault="00E10953" w:rsidP="00055603">
      <w:pPr>
        <w:rPr>
          <w:rFonts w:ascii="American Typewriter" w:hAnsi="American Typewriter"/>
          <w:sz w:val="20"/>
        </w:rPr>
      </w:pPr>
    </w:p>
    <w:p w14:paraId="07DA0FE5" w14:textId="77777777" w:rsidR="00E10953" w:rsidRDefault="00E10953" w:rsidP="00055603">
      <w:pPr>
        <w:rPr>
          <w:rFonts w:ascii="American Typewriter" w:hAnsi="American Typewriter"/>
          <w:sz w:val="20"/>
        </w:rPr>
      </w:pPr>
    </w:p>
    <w:p w14:paraId="10F6F362" w14:textId="77777777" w:rsidR="00485081" w:rsidRDefault="00485081" w:rsidP="00055603">
      <w:pPr>
        <w:rPr>
          <w:rFonts w:ascii="American Typewriter" w:hAnsi="American Typewriter"/>
          <w:sz w:val="20"/>
        </w:rPr>
      </w:pPr>
    </w:p>
    <w:p w14:paraId="0F29CB11" w14:textId="46C673B4" w:rsidR="00C93BB4" w:rsidRPr="00594F85" w:rsidRDefault="00C93BB4" w:rsidP="00055603">
      <w:pPr>
        <w:rPr>
          <w:b/>
          <w:sz w:val="20"/>
        </w:rPr>
      </w:pPr>
      <w:r w:rsidRPr="00594F85">
        <w:rPr>
          <w:b/>
          <w:sz w:val="20"/>
        </w:rPr>
        <w:lastRenderedPageBreak/>
        <w:t>Introduction</w:t>
      </w:r>
      <w:bookmarkEnd w:id="0"/>
      <w:bookmarkEnd w:id="1"/>
      <w:bookmarkEnd w:id="2"/>
    </w:p>
    <w:p w14:paraId="044CDC64" w14:textId="5CE5D4EA" w:rsidR="00EB6456" w:rsidRDefault="00391EAF" w:rsidP="00F23F59">
      <w:pPr>
        <w:spacing w:after="0" w:line="360" w:lineRule="auto"/>
        <w:rPr>
          <w:sz w:val="20"/>
        </w:rPr>
      </w:pPr>
      <w:r w:rsidRPr="00594F85">
        <w:rPr>
          <w:sz w:val="20"/>
        </w:rPr>
        <w:t xml:space="preserve">In many countries decisions concerning the adoption of new health technologies (e.g. drugs, diagnostics) </w:t>
      </w:r>
      <w:r w:rsidR="00B14163" w:rsidRPr="00594F85">
        <w:rPr>
          <w:sz w:val="20"/>
        </w:rPr>
        <w:t>are</w:t>
      </w:r>
      <w:r w:rsidR="008B4C8A" w:rsidRPr="00594F85">
        <w:rPr>
          <w:sz w:val="20"/>
        </w:rPr>
        <w:t xml:space="preserve"> informed by evidence </w:t>
      </w:r>
      <w:r w:rsidR="00A870AB" w:rsidRPr="00594F85">
        <w:rPr>
          <w:sz w:val="20"/>
        </w:rPr>
        <w:t xml:space="preserve">relating to </w:t>
      </w:r>
      <w:r w:rsidR="008B4C8A" w:rsidRPr="00594F85">
        <w:rPr>
          <w:sz w:val="20"/>
        </w:rPr>
        <w:t>the cost</w:t>
      </w:r>
      <w:r w:rsidR="00ED0735" w:rsidRPr="00594F85">
        <w:rPr>
          <w:sz w:val="20"/>
        </w:rPr>
        <w:t xml:space="preserve"> effectiveness </w:t>
      </w:r>
      <w:r w:rsidR="00A870AB" w:rsidRPr="00594F85">
        <w:rPr>
          <w:sz w:val="20"/>
        </w:rPr>
        <w:t>of</w:t>
      </w:r>
      <w:r w:rsidR="008B4C8A" w:rsidRPr="00594F85">
        <w:rPr>
          <w:sz w:val="20"/>
        </w:rPr>
        <w:t xml:space="preserve"> competing </w:t>
      </w:r>
      <w:r w:rsidR="00C40569">
        <w:rPr>
          <w:sz w:val="20"/>
        </w:rPr>
        <w:t>interventions</w:t>
      </w:r>
      <w:r w:rsidRPr="00594F85">
        <w:rPr>
          <w:sz w:val="20"/>
        </w:rPr>
        <w:t xml:space="preserve"> </w:t>
      </w:r>
      <w:r w:rsidR="00950FF4" w:rsidRPr="00594F85">
        <w:rPr>
          <w:sz w:val="20"/>
        </w:rPr>
        <w:fldChar w:fldCharType="begin"/>
      </w:r>
      <w:r w:rsidR="00340C00">
        <w:rPr>
          <w:sz w:val="20"/>
        </w:rPr>
        <w:instrText xml:space="preserve"> ADDIN EN.CITE &lt;EndNote&gt;&lt;Cite&gt;&lt;Author&gt;Stafinski T&lt;/Author&gt;&lt;Year&gt;2011&lt;/Year&gt;&lt;RecNum&gt;1670&lt;/RecNum&gt;&lt;DisplayText&gt;[1]&lt;/DisplayText&gt;&lt;record&gt;&lt;rec-number&gt;1670&lt;/rec-number&gt;&lt;foreign-keys&gt;&lt;key app="EN" db-id="dz99p92dtf9avne5r2bvzva0zpft9d9ptzfr" timestamp="0"&gt;1670&lt;/key&gt;&lt;/foreign-keys&gt;&lt;ref-type name="Journal Article"&gt;17&lt;/ref-type&gt;&lt;contributors&gt;&lt;authors&gt;&lt;author&gt;Stafinski T, &lt;/author&gt;&lt;author&gt;Menon D , &lt;/author&gt;&lt;author&gt;Philippon DJ, &lt;/author&gt;&lt;author&gt;McCabe C,&lt;/author&gt;&lt;/authors&gt;&lt;/contributors&gt;&lt;titles&gt;&lt;title&gt;Health Technology Funding Decision-Making Processes Around the World&lt;/title&gt;&lt;secondary-title&gt;PharmacoEconomics&lt;/secondary-title&gt;&lt;/titles&gt;&lt;periodical&gt;&lt;full-title&gt;Pharmacoeconomics&lt;/full-title&gt;&lt;/periodical&gt;&lt;pages&gt;475-495&lt;/pages&gt;&lt;volume&gt;29&lt;/volume&gt;&lt;number&gt;6&lt;/number&gt;&lt;dates&gt;&lt;year&gt;2011&lt;/year&gt;&lt;/dates&gt;&lt;urls&gt;&lt;/urls&gt;&lt;/record&gt;&lt;/Cite&gt;&lt;/EndNote&gt;</w:instrText>
      </w:r>
      <w:r w:rsidR="00950FF4" w:rsidRPr="00594F85">
        <w:rPr>
          <w:sz w:val="20"/>
        </w:rPr>
        <w:fldChar w:fldCharType="separate"/>
      </w:r>
      <w:r w:rsidR="00950FF4" w:rsidRPr="00594F85">
        <w:rPr>
          <w:noProof/>
          <w:sz w:val="20"/>
        </w:rPr>
        <w:t>[</w:t>
      </w:r>
      <w:r w:rsidR="001F624A" w:rsidRPr="00594F85">
        <w:rPr>
          <w:noProof/>
          <w:sz w:val="20"/>
        </w:rPr>
        <w:t>1</w:t>
      </w:r>
      <w:r w:rsidR="00950FF4" w:rsidRPr="00594F85">
        <w:rPr>
          <w:noProof/>
          <w:sz w:val="20"/>
        </w:rPr>
        <w:t>]</w:t>
      </w:r>
      <w:r w:rsidR="00950FF4" w:rsidRPr="00594F85">
        <w:rPr>
          <w:sz w:val="20"/>
        </w:rPr>
        <w:fldChar w:fldCharType="end"/>
      </w:r>
      <w:r w:rsidR="008B4C8A" w:rsidRPr="00594F85">
        <w:rPr>
          <w:sz w:val="20"/>
        </w:rPr>
        <w:t xml:space="preserve">. </w:t>
      </w:r>
      <w:r w:rsidR="00EB6456">
        <w:rPr>
          <w:sz w:val="20"/>
        </w:rPr>
        <w:t>The range of costs considered in the assessment of cost-effectiveness will depend on the perspective of the analysis</w:t>
      </w:r>
      <w:r w:rsidR="00EB6456">
        <w:rPr>
          <w:sz w:val="20"/>
        </w:rPr>
        <w:fldChar w:fldCharType="begin"/>
      </w:r>
      <w:r w:rsidR="00EB6456">
        <w:rPr>
          <w:sz w:val="20"/>
        </w:rPr>
        <w:instrText xml:space="preserve"> ADDIN EN.CITE &lt;EndNote&gt;&lt;Cite&gt;&lt;Author&gt;Byford S&lt;/Author&gt;&lt;Year&gt;1998&lt;/Year&gt;&lt;RecNum&gt;1705&lt;/RecNum&gt;&lt;DisplayText&gt;[2]&lt;/DisplayText&gt;&lt;record&gt;&lt;rec-number&gt;1705&lt;/rec-number&gt;&lt;foreign-keys&gt;&lt;key app="EN" db-id="dz99p92dtf9avne5r2bvzva0zpft9d9ptzfr" timestamp="1490184470"&gt;1705&lt;/key&gt;&lt;/foreign-keys&gt;&lt;ref-type name="Journal Article"&gt;17&lt;/ref-type&gt;&lt;contributors&gt;&lt;authors&gt;&lt;author&gt;Byford S,&lt;/author&gt;&lt;author&gt;Raftery J,&lt;/author&gt;&lt;/authors&gt;&lt;/contributors&gt;&lt;titles&gt;&lt;title&gt;Economics notes. Perspectives in economic evaluation&lt;/title&gt;&lt;secondary-title&gt;British Medical Journal&lt;/secondary-title&gt;&lt;/titles&gt;&lt;periodical&gt;&lt;full-title&gt;British Medical Journal&lt;/full-title&gt;&lt;/periodical&gt;&lt;pages&gt;1529–1530&lt;/pages&gt;&lt;volume&gt;316&lt;/volume&gt;&lt;number&gt;7143&lt;/number&gt;&lt;dates&gt;&lt;year&gt;1998&lt;/year&gt;&lt;/dates&gt;&lt;urls&gt;&lt;/urls&gt;&lt;/record&gt;&lt;/Cite&gt;&lt;/EndNote&gt;</w:instrText>
      </w:r>
      <w:r w:rsidR="00EB6456">
        <w:rPr>
          <w:sz w:val="20"/>
        </w:rPr>
        <w:fldChar w:fldCharType="separate"/>
      </w:r>
      <w:r w:rsidR="00EB6456">
        <w:rPr>
          <w:noProof/>
          <w:sz w:val="20"/>
        </w:rPr>
        <w:t>[2]</w:t>
      </w:r>
      <w:r w:rsidR="00EB6456">
        <w:rPr>
          <w:sz w:val="20"/>
        </w:rPr>
        <w:fldChar w:fldCharType="end"/>
      </w:r>
      <w:r w:rsidR="00EB6456">
        <w:rPr>
          <w:sz w:val="20"/>
        </w:rPr>
        <w:t>, with a health service perspective implying a more narrow range of costs than a societal perspective. In terms of relevant outcomes</w:t>
      </w:r>
      <w:r w:rsidR="00EB6456" w:rsidRPr="00594F85">
        <w:rPr>
          <w:sz w:val="20"/>
        </w:rPr>
        <w:t>(health benefits)</w:t>
      </w:r>
      <w:r w:rsidR="00EB6456">
        <w:rPr>
          <w:sz w:val="20"/>
        </w:rPr>
        <w:t xml:space="preserve">, many national and </w:t>
      </w:r>
      <w:r w:rsidR="00EB6456" w:rsidRPr="00594F85">
        <w:rPr>
          <w:sz w:val="20"/>
        </w:rPr>
        <w:t xml:space="preserve">regional decision makers require </w:t>
      </w:r>
      <w:r w:rsidR="00EB6456">
        <w:rPr>
          <w:sz w:val="20"/>
        </w:rPr>
        <w:t xml:space="preserve">that </w:t>
      </w:r>
      <w:r w:rsidR="00EB6456" w:rsidRPr="00594F85">
        <w:rPr>
          <w:sz w:val="20"/>
        </w:rPr>
        <w:t xml:space="preserve">outcomes reflect both mortality and morbidity effects, with the latter typically measured using the </w:t>
      </w:r>
      <w:r w:rsidR="00EB6456">
        <w:rPr>
          <w:sz w:val="20"/>
        </w:rPr>
        <w:t>EuroQol five dimension (</w:t>
      </w:r>
      <w:r w:rsidR="00EB6456" w:rsidRPr="00594F85">
        <w:rPr>
          <w:sz w:val="20"/>
        </w:rPr>
        <w:t>EQ-5D</w:t>
      </w:r>
      <w:r w:rsidR="00EB6456">
        <w:rPr>
          <w:sz w:val="20"/>
        </w:rPr>
        <w:t>)</w:t>
      </w:r>
      <w:r w:rsidR="00EB6456" w:rsidRPr="00594F85">
        <w:rPr>
          <w:sz w:val="20"/>
        </w:rPr>
        <w:t xml:space="preserve"> instrument </w:t>
      </w:r>
      <w:r w:rsidR="00EB6456" w:rsidRPr="00594F85">
        <w:rPr>
          <w:sz w:val="20"/>
        </w:rPr>
        <w:fldChar w:fldCharType="begin"/>
      </w:r>
      <w:r w:rsidR="00CA3542">
        <w:rPr>
          <w:sz w:val="20"/>
        </w:rPr>
        <w:instrText xml:space="preserve"> ADDIN EN.CITE &lt;EndNote&gt;&lt;Cite&gt;&lt;Author&gt;Kind P&lt;/Author&gt;&lt;Year&gt;1999&lt;/Year&gt;&lt;RecNum&gt;1690&lt;/RecNum&gt;&lt;DisplayText&gt;[3]&lt;/DisplayText&gt;&lt;record&gt;&lt;rec-number&gt;1690&lt;/rec-number&gt;&lt;foreign-keys&gt;&lt;key app="EN" db-id="dz99p92dtf9avne5r2bvzva0zpft9d9ptzfr" timestamp="1464967987"&gt;1690&lt;/key&gt;&lt;/foreign-keys&gt;&lt;ref-type name="Report"&gt;27&lt;/ref-type&gt;&lt;contributors&gt;&lt;authors&gt;&lt;author&gt;Kind P,&lt;/author&gt;&lt;author&gt;Hardman G,&lt;/author&gt;&lt;author&gt;Macran S&lt;/author&gt;&lt;/authors&gt;&lt;/contributors&gt;&lt;titles&gt;&lt;title&gt;UK Population norms for EQ-5D: Discussion paper 172&lt;/title&gt;&lt;/titles&gt;&lt;dates&gt;&lt;year&gt;1999&lt;/year&gt;&lt;/dates&gt;&lt;publisher&gt;Centre for Health Economics, University of York&lt;/publisher&gt;&lt;urls&gt;&lt;/urls&gt;&lt;/record&gt;&lt;/Cite&gt;&lt;/EndNote&gt;</w:instrText>
      </w:r>
      <w:r w:rsidR="00EB6456" w:rsidRPr="00594F85">
        <w:rPr>
          <w:sz w:val="20"/>
        </w:rPr>
        <w:fldChar w:fldCharType="separate"/>
      </w:r>
      <w:r w:rsidR="00CA3542">
        <w:rPr>
          <w:noProof/>
          <w:sz w:val="20"/>
        </w:rPr>
        <w:t>[3]</w:t>
      </w:r>
      <w:r w:rsidR="00EB6456" w:rsidRPr="00594F85">
        <w:rPr>
          <w:sz w:val="20"/>
        </w:rPr>
        <w:fldChar w:fldCharType="end"/>
      </w:r>
      <w:r w:rsidR="00EB6456" w:rsidRPr="00594F85">
        <w:rPr>
          <w:sz w:val="20"/>
        </w:rPr>
        <w:t>,  a  generic preference-based measure of health related quality of life (</w:t>
      </w:r>
      <w:r w:rsidR="00DC639C">
        <w:rPr>
          <w:sz w:val="20"/>
        </w:rPr>
        <w:t xml:space="preserve">HRQoL or </w:t>
      </w:r>
      <w:r w:rsidR="00EB6456" w:rsidRPr="00594F85">
        <w:rPr>
          <w:sz w:val="20"/>
        </w:rPr>
        <w:t xml:space="preserve">utility), which can be used to generate quality adjusted life years (QALYs).  </w:t>
      </w:r>
    </w:p>
    <w:p w14:paraId="53FBB3DE" w14:textId="77777777" w:rsidR="00EB6456" w:rsidRDefault="00EB6456" w:rsidP="00F23F59">
      <w:pPr>
        <w:spacing w:after="0" w:line="360" w:lineRule="auto"/>
        <w:rPr>
          <w:sz w:val="20"/>
        </w:rPr>
      </w:pPr>
    </w:p>
    <w:p w14:paraId="515FF5BC" w14:textId="34CCA8AE" w:rsidR="00C93BB4" w:rsidRPr="00594F85" w:rsidRDefault="00B14163" w:rsidP="00F23F59">
      <w:pPr>
        <w:spacing w:after="0" w:line="360" w:lineRule="auto"/>
        <w:rPr>
          <w:sz w:val="20"/>
        </w:rPr>
      </w:pPr>
      <w:r w:rsidRPr="00594F85">
        <w:rPr>
          <w:rFonts w:cs="Calibri"/>
          <w:sz w:val="20"/>
        </w:rPr>
        <w:t>An appropriate time horizon to determine whether a health technology is cost-</w:t>
      </w:r>
      <w:r w:rsidR="00C40569" w:rsidRPr="00594F85">
        <w:rPr>
          <w:rFonts w:cs="Calibri"/>
          <w:sz w:val="20"/>
        </w:rPr>
        <w:t>effective</w:t>
      </w:r>
      <w:r w:rsidRPr="00594F85">
        <w:rPr>
          <w:rFonts w:cs="Calibri"/>
          <w:sz w:val="20"/>
        </w:rPr>
        <w:t xml:space="preserve"> is the timeframe over which costs </w:t>
      </w:r>
      <w:r w:rsidR="007A3A0F" w:rsidRPr="00594F85">
        <w:rPr>
          <w:rFonts w:cs="Calibri"/>
          <w:sz w:val="20"/>
        </w:rPr>
        <w:t>and/</w:t>
      </w:r>
      <w:r w:rsidRPr="00594F85">
        <w:rPr>
          <w:rFonts w:cs="Calibri"/>
          <w:sz w:val="20"/>
        </w:rPr>
        <w:t xml:space="preserve">or </w:t>
      </w:r>
      <w:r w:rsidR="00391EAF" w:rsidRPr="00594F85">
        <w:rPr>
          <w:rFonts w:cs="Calibri"/>
          <w:sz w:val="20"/>
        </w:rPr>
        <w:t xml:space="preserve">health </w:t>
      </w:r>
      <w:r w:rsidRPr="00594F85">
        <w:rPr>
          <w:rFonts w:cs="Calibri"/>
          <w:sz w:val="20"/>
        </w:rPr>
        <w:t>outcomes may be expected to differ between interventions.  In many circumstances, this timeframe is the patient's lifetime, particularly where there are mortality effects.</w:t>
      </w:r>
      <w:r w:rsidR="0079667B" w:rsidRPr="00594F85">
        <w:rPr>
          <w:rFonts w:cs="Calibri"/>
          <w:sz w:val="20"/>
        </w:rPr>
        <w:t xml:space="preserve"> </w:t>
      </w:r>
      <w:r w:rsidR="00C93BB4" w:rsidRPr="00594F85">
        <w:rPr>
          <w:sz w:val="20"/>
        </w:rPr>
        <w:t>In England and Wales, for instance, the National Institute for Health and Care Excellence (NICE)</w:t>
      </w:r>
      <w:r w:rsidR="00F23F59" w:rsidRPr="00594F85">
        <w:rPr>
          <w:sz w:val="20"/>
        </w:rPr>
        <w:t xml:space="preserve">, which </w:t>
      </w:r>
      <w:r w:rsidR="00C87F7B" w:rsidRPr="00594F85">
        <w:rPr>
          <w:sz w:val="20"/>
        </w:rPr>
        <w:t xml:space="preserve">issues guidance on </w:t>
      </w:r>
      <w:r w:rsidR="007A3A0F" w:rsidRPr="00594F85">
        <w:rPr>
          <w:sz w:val="20"/>
        </w:rPr>
        <w:t xml:space="preserve">which </w:t>
      </w:r>
      <w:r w:rsidR="00C87F7B" w:rsidRPr="00594F85">
        <w:rPr>
          <w:sz w:val="20"/>
        </w:rPr>
        <w:t xml:space="preserve">treatments </w:t>
      </w:r>
      <w:r w:rsidR="007A3A0F" w:rsidRPr="00594F85">
        <w:rPr>
          <w:sz w:val="20"/>
        </w:rPr>
        <w:t xml:space="preserve">should be paid for by </w:t>
      </w:r>
      <w:r w:rsidR="008B6AF8" w:rsidRPr="00594F85">
        <w:rPr>
          <w:sz w:val="20"/>
        </w:rPr>
        <w:t>the</w:t>
      </w:r>
      <w:r w:rsidR="00C87F7B" w:rsidRPr="00594F85">
        <w:rPr>
          <w:sz w:val="20"/>
        </w:rPr>
        <w:t xml:space="preserve"> NHS</w:t>
      </w:r>
      <w:r w:rsidR="00F23F59" w:rsidRPr="00594F85">
        <w:rPr>
          <w:sz w:val="20"/>
        </w:rPr>
        <w:t xml:space="preserve">, </w:t>
      </w:r>
      <w:r w:rsidR="00C93BB4" w:rsidRPr="00594F85">
        <w:rPr>
          <w:sz w:val="20"/>
        </w:rPr>
        <w:t>stipulates that the time horizon of the cost</w:t>
      </w:r>
      <w:r w:rsidR="00DC639C">
        <w:rPr>
          <w:sz w:val="20"/>
        </w:rPr>
        <w:t>-</w:t>
      </w:r>
      <w:r w:rsidR="00C93BB4" w:rsidRPr="00594F85">
        <w:rPr>
          <w:sz w:val="20"/>
        </w:rPr>
        <w:t>effectiveness analysis (CEA) should be sufficient to reflect important cost and outcome differences between the technologies being compared</w:t>
      </w:r>
      <w:r w:rsidR="00391EAF" w:rsidRPr="00594F85">
        <w:rPr>
          <w:sz w:val="20"/>
        </w:rPr>
        <w:t xml:space="preserve"> </w:t>
      </w:r>
      <w:r w:rsidR="00C76441" w:rsidRPr="00594F85">
        <w:rPr>
          <w:sz w:val="20"/>
        </w:rPr>
        <w:fldChar w:fldCharType="begin"/>
      </w:r>
      <w:r w:rsidR="00CA3542">
        <w:rPr>
          <w:sz w:val="20"/>
        </w:rPr>
        <w:instrText xml:space="preserve"> ADDIN EN.CITE &lt;EndNote&gt;&lt;Cite&gt;&lt;Author&gt;National Institute for Health and Care Excellence&lt;/Author&gt;&lt;Year&gt;2013&lt;/Year&gt;&lt;RecNum&gt;1115&lt;/RecNum&gt;&lt;DisplayText&gt;[4]&lt;/DisplayText&gt;&lt;record&gt;&lt;rec-number&gt;1115&lt;/rec-number&gt;&lt;foreign-keys&gt;&lt;key app="EN" db-id="dz99p92dtf9avne5r2bvzva0zpft9d9ptzfr" timestamp="0"&gt;1115&lt;/key&gt;&lt;/foreign-keys&gt;&lt;ref-type name="Report"&gt;27&lt;/ref-type&gt;&lt;contributors&gt;&lt;authors&gt;&lt;author&gt;National Institute for Health and Care Excellence,&lt;/author&gt;&lt;/authors&gt;&lt;/contributors&gt;&lt;titles&gt;&lt;title&gt;Guide to the methods of technology appraisal 2013&lt;/title&gt;&lt;/titles&gt;&lt;dates&gt;&lt;year&gt;2013&lt;/year&gt;&lt;/dates&gt;&lt;pub-location&gt;London&lt;/pub-location&gt;&lt;publisher&gt;NICE&lt;/publisher&gt;&lt;urls&gt;&lt;/urls&gt;&lt;/record&gt;&lt;/Cite&gt;&lt;/EndNote&gt;</w:instrText>
      </w:r>
      <w:r w:rsidR="00C76441" w:rsidRPr="00594F85">
        <w:rPr>
          <w:sz w:val="20"/>
        </w:rPr>
        <w:fldChar w:fldCharType="separate"/>
      </w:r>
      <w:r w:rsidR="00CA3542">
        <w:rPr>
          <w:noProof/>
          <w:sz w:val="20"/>
        </w:rPr>
        <w:t>[4]</w:t>
      </w:r>
      <w:r w:rsidR="00C76441" w:rsidRPr="00594F85">
        <w:rPr>
          <w:sz w:val="20"/>
        </w:rPr>
        <w:fldChar w:fldCharType="end"/>
      </w:r>
      <w:r w:rsidR="00F23F59" w:rsidRPr="00594F85">
        <w:rPr>
          <w:sz w:val="20"/>
        </w:rPr>
        <w:t xml:space="preserve">. </w:t>
      </w:r>
      <w:r w:rsidR="001D1FEB" w:rsidRPr="00594F85">
        <w:rPr>
          <w:sz w:val="20"/>
        </w:rPr>
        <w:t xml:space="preserve">Similar guidance </w:t>
      </w:r>
      <w:r w:rsidR="00907AA2" w:rsidRPr="00594F85">
        <w:rPr>
          <w:sz w:val="20"/>
        </w:rPr>
        <w:t>exists</w:t>
      </w:r>
      <w:r w:rsidR="001D1FEB" w:rsidRPr="00594F85">
        <w:rPr>
          <w:sz w:val="20"/>
        </w:rPr>
        <w:t xml:space="preserve"> for </w:t>
      </w:r>
      <w:r w:rsidR="00907AA2" w:rsidRPr="00594F85">
        <w:rPr>
          <w:sz w:val="20"/>
        </w:rPr>
        <w:t>other countries such as TLV in Sweden</w:t>
      </w:r>
      <w:r w:rsidR="00A75DB7">
        <w:rPr>
          <w:sz w:val="20"/>
        </w:rPr>
        <w:fldChar w:fldCharType="begin"/>
      </w:r>
      <w:r w:rsidR="00CA3542">
        <w:rPr>
          <w:sz w:val="20"/>
        </w:rPr>
        <w:instrText xml:space="preserve"> ADDIN EN.CITE &lt;EndNote&gt;&lt;Cite&gt;&lt;Author&gt;Salas-Vegaa S&lt;/Author&gt;&lt;Year&gt;2016&lt;/Year&gt;&lt;RecNum&gt;1695&lt;/RecNum&gt;&lt;DisplayText&gt;[5]&lt;/DisplayText&gt;&lt;record&gt;&lt;rec-number&gt;1695&lt;/rec-number&gt;&lt;foreign-keys&gt;&lt;key app="EN" db-id="dz99p92dtf9avne5r2bvzva0zpft9d9ptzfr" timestamp="1488986441"&gt;1695&lt;/key&gt;&lt;/foreign-keys&gt;&lt;ref-type name="Journal Article"&gt;17&lt;/ref-type&gt;&lt;contributors&gt;&lt;authors&gt;&lt;author&gt;Salas-Vegaa S, Bertlinga A, Mossialosa E, &lt;/author&gt;&lt;/authors&gt;&lt;/contributors&gt;&lt;titles&gt;&lt;title&gt;A comparative study of drug listing recommendations and the decision-making process in Australia, the Netherlands, Sweden, and the UK&lt;/title&gt;&lt;secondary-title&gt;Health Policy&lt;/secondary-title&gt;&lt;/titles&gt;&lt;periodical&gt;&lt;full-title&gt;Health Policy&lt;/full-title&gt;&lt;/periodical&gt;&lt;pages&gt;1104-1114&lt;/pages&gt;&lt;volume&gt;120&lt;/volume&gt;&lt;number&gt;10&lt;/number&gt;&lt;dates&gt;&lt;year&gt;2016&lt;/year&gt;&lt;/dates&gt;&lt;urls&gt;&lt;/urls&gt;&lt;/record&gt;&lt;/Cite&gt;&lt;/EndNote&gt;</w:instrText>
      </w:r>
      <w:r w:rsidR="00A75DB7">
        <w:rPr>
          <w:sz w:val="20"/>
        </w:rPr>
        <w:fldChar w:fldCharType="separate"/>
      </w:r>
      <w:r w:rsidR="00CA3542">
        <w:rPr>
          <w:noProof/>
          <w:sz w:val="20"/>
        </w:rPr>
        <w:t>[5]</w:t>
      </w:r>
      <w:r w:rsidR="00A75DB7">
        <w:rPr>
          <w:sz w:val="20"/>
        </w:rPr>
        <w:fldChar w:fldCharType="end"/>
      </w:r>
      <w:r w:rsidR="00907AA2" w:rsidRPr="00594F85">
        <w:rPr>
          <w:sz w:val="20"/>
        </w:rPr>
        <w:t xml:space="preserve"> and IQWiG in Germany</w:t>
      </w:r>
      <w:r w:rsidR="00A75DB7">
        <w:rPr>
          <w:sz w:val="20"/>
        </w:rPr>
        <w:fldChar w:fldCharType="begin"/>
      </w:r>
      <w:r w:rsidR="00CA3542">
        <w:rPr>
          <w:sz w:val="20"/>
        </w:rPr>
        <w:instrText xml:space="preserve"> ADDIN EN.CITE &lt;EndNote&gt;&lt;Cite&gt;&lt;Author&gt;International Society for Pharmacoeconomics and Outcomes Research (ISPOR)&lt;/Author&gt;&lt;Year&gt;2006&lt;/Year&gt;&lt;RecNum&gt;1696&lt;/RecNum&gt;&lt;DisplayText&gt;[6]&lt;/DisplayText&gt;&lt;record&gt;&lt;rec-number&gt;1696&lt;/rec-number&gt;&lt;foreign-keys&gt;&lt;key app="EN" db-id="dz99p92dtf9avne5r2bvzva0zpft9d9ptzfr" timestamp="1488986828"&gt;1696&lt;/key&gt;&lt;/foreign-keys&gt;&lt;ref-type name="Journal Article"&gt;17&lt;/ref-type&gt;&lt;contributors&gt;&lt;authors&gt;&lt;author&gt;International Society for Pharmacoeconomics and Outcomes Research (ISPOR),&lt;/author&gt;&lt;/authors&gt;&lt;/contributors&gt;&lt;titles&gt;&lt;title&gt;The German IQWiG - It&amp;apos;s not NICE Benefit assessment in Germany-new sense or nuisance?&lt;/title&gt;&lt;secondary-title&gt;ISPOR Connections&lt;/secondary-title&gt;&lt;/titles&gt;&lt;periodical&gt;&lt;full-title&gt;ISPOR Connections&lt;/full-title&gt;&lt;/periodical&gt;&lt;volume&gt;12&lt;/volume&gt;&lt;number&gt;5&lt;/number&gt;&lt;dates&gt;&lt;year&gt;2006&lt;/year&gt;&lt;/dates&gt;&lt;urls&gt;&lt;related-urls&gt;&lt;url&gt;&lt;style face="underline" font="default" size="100%"&gt;https://www.ispor.org/news/articles/Oct06/german_policy.asp&lt;/style&gt;&lt;/url&gt;&lt;/related-urls&gt;&lt;/urls&gt;&lt;/record&gt;&lt;/Cite&gt;&lt;/EndNote&gt;</w:instrText>
      </w:r>
      <w:r w:rsidR="00A75DB7">
        <w:rPr>
          <w:sz w:val="20"/>
        </w:rPr>
        <w:fldChar w:fldCharType="separate"/>
      </w:r>
      <w:r w:rsidR="00CA3542">
        <w:rPr>
          <w:noProof/>
          <w:sz w:val="20"/>
        </w:rPr>
        <w:t>[6]</w:t>
      </w:r>
      <w:r w:rsidR="00A75DB7">
        <w:rPr>
          <w:sz w:val="20"/>
        </w:rPr>
        <w:fldChar w:fldCharType="end"/>
      </w:r>
      <w:r w:rsidR="00907AA2" w:rsidRPr="00594F85">
        <w:rPr>
          <w:sz w:val="20"/>
        </w:rPr>
        <w:t xml:space="preserve">. </w:t>
      </w:r>
    </w:p>
    <w:p w14:paraId="69630DBA" w14:textId="77777777" w:rsidR="00C93BB4" w:rsidRPr="00594F85" w:rsidRDefault="00C93BB4" w:rsidP="00F23F59">
      <w:pPr>
        <w:rPr>
          <w:sz w:val="20"/>
        </w:rPr>
      </w:pPr>
    </w:p>
    <w:p w14:paraId="1B2B64BC" w14:textId="4D962D50" w:rsidR="00C93BB4" w:rsidRPr="00594F85" w:rsidRDefault="00391EAF" w:rsidP="00673865">
      <w:pPr>
        <w:spacing w:after="0" w:line="360" w:lineRule="auto"/>
        <w:rPr>
          <w:rFonts w:cs="Calibri"/>
          <w:sz w:val="20"/>
        </w:rPr>
      </w:pPr>
      <w:r w:rsidRPr="00594F85">
        <w:rPr>
          <w:sz w:val="20"/>
        </w:rPr>
        <w:t xml:space="preserve">Unfortunately </w:t>
      </w:r>
      <w:r w:rsidR="00C93BB4" w:rsidRPr="00594F85">
        <w:rPr>
          <w:sz w:val="20"/>
        </w:rPr>
        <w:t xml:space="preserve">it is extremely unlikely that </w:t>
      </w:r>
      <w:r w:rsidR="00AC1C7A" w:rsidRPr="00594F85">
        <w:rPr>
          <w:sz w:val="20"/>
        </w:rPr>
        <w:t xml:space="preserve">clinical </w:t>
      </w:r>
      <w:r w:rsidR="00C93BB4" w:rsidRPr="00594F85">
        <w:rPr>
          <w:sz w:val="20"/>
        </w:rPr>
        <w:t xml:space="preserve">evidence will exist for the full period over which differences in costs and QALYs are </w:t>
      </w:r>
      <w:r w:rsidR="00AC1C7A" w:rsidRPr="00594F85">
        <w:rPr>
          <w:sz w:val="20"/>
        </w:rPr>
        <w:t xml:space="preserve">expected </w:t>
      </w:r>
      <w:r w:rsidR="00C93BB4" w:rsidRPr="00594F85">
        <w:rPr>
          <w:sz w:val="20"/>
        </w:rPr>
        <w:t>to occur</w:t>
      </w:r>
      <w:r w:rsidR="00AC1C7A" w:rsidRPr="00594F85">
        <w:rPr>
          <w:sz w:val="20"/>
        </w:rPr>
        <w:t xml:space="preserve">, </w:t>
      </w:r>
      <w:r w:rsidRPr="00594F85">
        <w:rPr>
          <w:sz w:val="20"/>
        </w:rPr>
        <w:t xml:space="preserve">and </w:t>
      </w:r>
      <w:r w:rsidR="00AC1C7A" w:rsidRPr="00594F85">
        <w:rPr>
          <w:sz w:val="20"/>
        </w:rPr>
        <w:t>it is even less likely that to be the case for resource use, costs and utilities</w:t>
      </w:r>
      <w:r w:rsidR="00497AF6" w:rsidRPr="00594F85">
        <w:rPr>
          <w:rStyle w:val="FootnoteReference"/>
          <w:sz w:val="20"/>
        </w:rPr>
        <w:footnoteReference w:id="1"/>
      </w:r>
      <w:r w:rsidR="00390A62" w:rsidRPr="00594F85">
        <w:rPr>
          <w:sz w:val="20"/>
        </w:rPr>
        <w:t>.</w:t>
      </w:r>
      <w:r w:rsidR="00497AF6" w:rsidRPr="00594F85">
        <w:rPr>
          <w:sz w:val="20"/>
        </w:rPr>
        <w:t xml:space="preserve">  </w:t>
      </w:r>
      <w:r w:rsidR="00C93BB4" w:rsidRPr="00594F85">
        <w:rPr>
          <w:sz w:val="20"/>
        </w:rPr>
        <w:t xml:space="preserve">Thus, in many circumstances, some form of modelling will be necessary to project short-term outcomes over the lifetime of the </w:t>
      </w:r>
      <w:r w:rsidR="00354682" w:rsidRPr="00594F85">
        <w:rPr>
          <w:sz w:val="20"/>
        </w:rPr>
        <w:t>patients</w:t>
      </w:r>
      <w:r w:rsidR="00497AF6" w:rsidRPr="00594F85">
        <w:rPr>
          <w:sz w:val="20"/>
        </w:rPr>
        <w:t xml:space="preserve"> </w:t>
      </w:r>
      <w:r w:rsidR="00497AF6" w:rsidRPr="00594F85">
        <w:rPr>
          <w:sz w:val="20"/>
        </w:rPr>
        <w:fldChar w:fldCharType="begin"/>
      </w:r>
      <w:r w:rsidR="00EB6456">
        <w:rPr>
          <w:sz w:val="20"/>
        </w:rPr>
        <w:instrText xml:space="preserve"> ADDIN EN.CITE &lt;EndNote&gt;&lt;Cite&gt;&lt;Author&gt;Sculpher&lt;/Author&gt;&lt;Year&gt;2006&lt;/Year&gt;&lt;RecNum&gt;512&lt;/RecNum&gt;&lt;DisplayText&gt;[7]&lt;/DisplayText&gt;&lt;record&gt;&lt;rec-number&gt;512&lt;/rec-number&gt;&lt;foreign-keys&gt;&lt;key app="EN" db-id="ffffx00e4x9z58edttj5ftdps0tv5tt9s0tw"&gt;512&lt;/key&gt;&lt;/foreign-keys&gt;&lt;ref-type name="Journal Article"&gt;17&lt;/ref-type&gt;&lt;contributors&gt;&lt;authors&gt;&lt;author&gt;Sculpher, M. J.&lt;/author&gt;&lt;author&gt;Claxton, K.&lt;/author&gt;&lt;author&gt;Drummond, M. F.&lt;/author&gt;&lt;author&gt;McCabe, C.&lt;/author&gt;&lt;/authors&gt;&lt;/contributors&gt;&lt;titles&gt;&lt;title&gt;Whither trial-based economic evaluation for health care decision making?&lt;/title&gt;&lt;secondary-title&gt;Health Economics&lt;/secondary-title&gt;&lt;/titles&gt;&lt;periodical&gt;&lt;full-title&gt;Health Economics&lt;/full-title&gt;&lt;/periodical&gt;&lt;pages&gt;677-87&lt;/pages&gt;&lt;volume&gt;15&lt;/volume&gt;&lt;number&gt;7&lt;/number&gt;&lt;dates&gt;&lt;year&gt;2006&lt;/year&gt;&lt;/dates&gt;&lt;urls&gt;&lt;/urls&gt;&lt;/record&gt;&lt;/Cite&gt;&lt;/EndNote&gt;</w:instrText>
      </w:r>
      <w:r w:rsidR="00497AF6" w:rsidRPr="00594F85">
        <w:rPr>
          <w:sz w:val="20"/>
        </w:rPr>
        <w:fldChar w:fldCharType="separate"/>
      </w:r>
      <w:r w:rsidR="00EB6456">
        <w:rPr>
          <w:noProof/>
          <w:sz w:val="20"/>
        </w:rPr>
        <w:t>[7]</w:t>
      </w:r>
      <w:r w:rsidR="00497AF6" w:rsidRPr="00594F85">
        <w:rPr>
          <w:sz w:val="20"/>
        </w:rPr>
        <w:fldChar w:fldCharType="end"/>
      </w:r>
      <w:r w:rsidR="00497AF6" w:rsidRPr="00594F85">
        <w:rPr>
          <w:sz w:val="20"/>
        </w:rPr>
        <w:t xml:space="preserve">.  </w:t>
      </w:r>
      <w:r w:rsidR="00B14163" w:rsidRPr="00594F85">
        <w:rPr>
          <w:rFonts w:cs="Calibri"/>
          <w:sz w:val="20"/>
        </w:rPr>
        <w:t xml:space="preserve">This </w:t>
      </w:r>
      <w:r w:rsidR="00497AF6" w:rsidRPr="00594F85">
        <w:rPr>
          <w:rFonts w:cs="Calibri"/>
          <w:sz w:val="20"/>
        </w:rPr>
        <w:t xml:space="preserve">practice </w:t>
      </w:r>
      <w:r w:rsidR="00B14163" w:rsidRPr="00594F85">
        <w:rPr>
          <w:rFonts w:cs="Calibri"/>
          <w:sz w:val="20"/>
        </w:rPr>
        <w:t>require</w:t>
      </w:r>
      <w:r w:rsidRPr="00594F85">
        <w:rPr>
          <w:rFonts w:cs="Calibri"/>
          <w:sz w:val="20"/>
        </w:rPr>
        <w:t>s</w:t>
      </w:r>
      <w:r w:rsidR="00B14163" w:rsidRPr="00594F85">
        <w:rPr>
          <w:rFonts w:cs="Calibri"/>
          <w:sz w:val="20"/>
        </w:rPr>
        <w:t xml:space="preserve"> </w:t>
      </w:r>
      <w:r w:rsidR="00EB6456">
        <w:rPr>
          <w:rFonts w:cs="Calibri"/>
          <w:sz w:val="20"/>
        </w:rPr>
        <w:t>appropriate</w:t>
      </w:r>
      <w:r w:rsidR="00497AF6" w:rsidRPr="00594F85">
        <w:rPr>
          <w:rFonts w:cs="Calibri"/>
          <w:sz w:val="20"/>
        </w:rPr>
        <w:t xml:space="preserve"> methodology and a set of </w:t>
      </w:r>
      <w:r w:rsidR="00B14163" w:rsidRPr="00594F85">
        <w:rPr>
          <w:rFonts w:cs="Calibri"/>
          <w:sz w:val="20"/>
        </w:rPr>
        <w:t>assumptions</w:t>
      </w:r>
      <w:r w:rsidR="00497AF6" w:rsidRPr="00594F85">
        <w:rPr>
          <w:rFonts w:cs="Calibri"/>
          <w:sz w:val="20"/>
        </w:rPr>
        <w:t>, and i</w:t>
      </w:r>
      <w:r w:rsidR="00B14163" w:rsidRPr="00594F85">
        <w:rPr>
          <w:rFonts w:cs="Calibri"/>
          <w:sz w:val="20"/>
        </w:rPr>
        <w:t xml:space="preserve">t is important that the </w:t>
      </w:r>
      <w:r w:rsidR="00497AF6" w:rsidRPr="00594F85">
        <w:rPr>
          <w:rFonts w:cs="Calibri"/>
          <w:sz w:val="20"/>
        </w:rPr>
        <w:t xml:space="preserve">additional </w:t>
      </w:r>
      <w:r w:rsidR="00B14163" w:rsidRPr="00594F85">
        <w:rPr>
          <w:rFonts w:cs="Calibri"/>
          <w:sz w:val="20"/>
        </w:rPr>
        <w:t xml:space="preserve">uncertainty </w:t>
      </w:r>
      <w:r w:rsidR="00497AF6" w:rsidRPr="00594F85">
        <w:rPr>
          <w:rFonts w:cs="Calibri"/>
          <w:sz w:val="20"/>
        </w:rPr>
        <w:t xml:space="preserve">in the results </w:t>
      </w:r>
      <w:r w:rsidR="00B14163" w:rsidRPr="00594F85">
        <w:rPr>
          <w:rFonts w:cs="Calibri"/>
          <w:sz w:val="20"/>
        </w:rPr>
        <w:t xml:space="preserve">is fully recognised when such analyses are used to inform </w:t>
      </w:r>
      <w:r w:rsidR="00907AA2" w:rsidRPr="00594F85">
        <w:rPr>
          <w:rFonts w:cs="Calibri"/>
          <w:sz w:val="20"/>
        </w:rPr>
        <w:t>reimbursement</w:t>
      </w:r>
      <w:r w:rsidR="00B14163" w:rsidRPr="00594F85">
        <w:rPr>
          <w:rFonts w:cs="Calibri"/>
          <w:sz w:val="20"/>
        </w:rPr>
        <w:t xml:space="preserve"> decisions.</w:t>
      </w:r>
    </w:p>
    <w:p w14:paraId="6270157A" w14:textId="77777777" w:rsidR="00B14163" w:rsidRPr="00594F85" w:rsidRDefault="00B14163" w:rsidP="00673865">
      <w:pPr>
        <w:spacing w:after="0" w:line="360" w:lineRule="auto"/>
        <w:rPr>
          <w:sz w:val="20"/>
        </w:rPr>
      </w:pPr>
    </w:p>
    <w:p w14:paraId="6AC44920" w14:textId="16B3FAB8" w:rsidR="00C93BB4" w:rsidRPr="00594F85" w:rsidRDefault="00B14163" w:rsidP="00673865">
      <w:pPr>
        <w:spacing w:after="0" w:line="360" w:lineRule="auto"/>
        <w:rPr>
          <w:sz w:val="20"/>
        </w:rPr>
      </w:pPr>
      <w:r w:rsidRPr="00594F85">
        <w:rPr>
          <w:sz w:val="20"/>
        </w:rPr>
        <w:t>T</w:t>
      </w:r>
      <w:r w:rsidR="00C93BB4" w:rsidRPr="00594F85">
        <w:rPr>
          <w:sz w:val="20"/>
        </w:rPr>
        <w:t xml:space="preserve">here have been efforts to produce guidance on the appropriate methods to extrapolate </w:t>
      </w:r>
      <w:r w:rsidR="003128BE" w:rsidRPr="00594F85">
        <w:rPr>
          <w:sz w:val="20"/>
        </w:rPr>
        <w:t xml:space="preserve">effectiveness data, particularly time </w:t>
      </w:r>
      <w:r w:rsidR="00C93BB4" w:rsidRPr="00594F85">
        <w:rPr>
          <w:sz w:val="20"/>
        </w:rPr>
        <w:t>to</w:t>
      </w:r>
      <w:r w:rsidR="003128BE" w:rsidRPr="00594F85">
        <w:rPr>
          <w:sz w:val="20"/>
        </w:rPr>
        <w:t xml:space="preserve"> </w:t>
      </w:r>
      <w:r w:rsidR="00C93BB4" w:rsidRPr="00594F85">
        <w:rPr>
          <w:sz w:val="20"/>
        </w:rPr>
        <w:t>event data</w:t>
      </w:r>
      <w:r w:rsidR="00391EAF" w:rsidRPr="00594F85">
        <w:rPr>
          <w:sz w:val="20"/>
        </w:rPr>
        <w:t xml:space="preserve"> </w:t>
      </w:r>
      <w:r w:rsidR="003128BE" w:rsidRPr="00594F85">
        <w:rPr>
          <w:sz w:val="20"/>
        </w:rPr>
        <w:fldChar w:fldCharType="begin"/>
      </w:r>
      <w:r w:rsidR="00EB6456">
        <w:rPr>
          <w:sz w:val="20"/>
        </w:rPr>
        <w:instrText xml:space="preserve"> ADDIN EN.CITE &lt;EndNote&gt;&lt;Cite&gt;&lt;Author&gt;Collett D&lt;/Author&gt;&lt;Year&gt;2003&lt;/Year&gt;&lt;RecNum&gt;1671&lt;/RecNum&gt;&lt;DisplayText&gt;[8, 9]&lt;/DisplayText&gt;&lt;record&gt;&lt;rec-number&gt;1671&lt;/rec-number&gt;&lt;foreign-keys&gt;&lt;key app="EN" db-id="dz99p92dtf9avne5r2bvzva0zpft9d9ptzfr" timestamp="0"&gt;1671&lt;/key&gt;&lt;/foreign-keys&gt;&lt;ref-type name="Book"&gt;6&lt;/ref-type&gt;&lt;contributors&gt;&lt;authors&gt;&lt;author&gt;Collett D,&lt;/author&gt;&lt;/authors&gt;&lt;secondary-authors&gt;&lt;author&gt;Chapman &amp;amp; Hall/CRC&lt;/author&gt;&lt;/secondary-authors&gt;&lt;/contributors&gt;&lt;titles&gt;&lt;title&gt;Modelling Survival Data in Medical Research&lt;/title&gt;&lt;/titles&gt;&lt;volume&gt;2nd ed&lt;/volume&gt;&lt;dates&gt;&lt;year&gt;2003&lt;/year&gt;&lt;/dates&gt;&lt;pub-location&gt;Boca Raton (FL)&lt;/pub-location&gt;&lt;urls&gt;&lt;/urls&gt;&lt;/record&gt;&lt;/Cite&gt;&lt;Cite&gt;&lt;Author&gt;Nicholas Latimer&lt;/Author&gt;&lt;Year&gt;June 2011(last updated March 2013)&lt;/Year&gt;&lt;RecNum&gt;1672&lt;/RecNum&gt;&lt;record&gt;&lt;rec-number&gt;1672&lt;/rec-number&gt;&lt;foreign-keys&gt;&lt;key app="EN" db-id="dz99p92dtf9avne5r2bvzva0zpft9d9ptzfr" timestamp="0"&gt;1672&lt;/key&gt;&lt;/foreign-keys&gt;&lt;ref-type name="Report"&gt;27&lt;/ref-type&gt;&lt;contributors&gt;&lt;authors&gt;&lt;author&gt;Nicholas Latimer,&lt;/author&gt;&lt;/authors&gt;&lt;/contributors&gt;&lt;titles&gt;&lt;title&gt;NICE DSU technical support document 14: Survival analysis for economic evaluations alongside clinical trials - extrapolation with patient-level data&amp;#xD;report by the decision support unit&lt;/title&gt;&lt;/titles&gt;&lt;dates&gt;&lt;year&gt;June 2011(last updated March 2013)&lt;/year&gt;&lt;/dates&gt;&lt;urls&gt;&lt;/urls&gt;&lt;/record&gt;&lt;/Cite&gt;&lt;/EndNote&gt;</w:instrText>
      </w:r>
      <w:r w:rsidR="003128BE" w:rsidRPr="00594F85">
        <w:rPr>
          <w:sz w:val="20"/>
        </w:rPr>
        <w:fldChar w:fldCharType="separate"/>
      </w:r>
      <w:r w:rsidR="00EB6456">
        <w:rPr>
          <w:noProof/>
          <w:sz w:val="20"/>
        </w:rPr>
        <w:t>[8, 9]</w:t>
      </w:r>
      <w:r w:rsidR="003128BE" w:rsidRPr="00594F85">
        <w:rPr>
          <w:sz w:val="20"/>
        </w:rPr>
        <w:fldChar w:fldCharType="end"/>
      </w:r>
      <w:r w:rsidR="00EB6456">
        <w:rPr>
          <w:sz w:val="20"/>
        </w:rPr>
        <w:t>, h</w:t>
      </w:r>
      <w:r w:rsidRPr="00594F85">
        <w:rPr>
          <w:sz w:val="20"/>
        </w:rPr>
        <w:t>owever</w:t>
      </w:r>
      <w:r w:rsidR="00256023" w:rsidRPr="00594F85">
        <w:rPr>
          <w:sz w:val="20"/>
        </w:rPr>
        <w:t>, there</w:t>
      </w:r>
      <w:r w:rsidR="00C93BB4" w:rsidRPr="00594F85">
        <w:rPr>
          <w:sz w:val="20"/>
        </w:rPr>
        <w:t xml:space="preserve"> is very little </w:t>
      </w:r>
      <w:r w:rsidR="00391EAF" w:rsidRPr="00594F85">
        <w:rPr>
          <w:sz w:val="20"/>
        </w:rPr>
        <w:t xml:space="preserve">advice </w:t>
      </w:r>
      <w:r w:rsidRPr="00594F85">
        <w:rPr>
          <w:sz w:val="20"/>
        </w:rPr>
        <w:t>available</w:t>
      </w:r>
      <w:r w:rsidR="00C93BB4" w:rsidRPr="00594F85">
        <w:rPr>
          <w:sz w:val="20"/>
        </w:rPr>
        <w:t xml:space="preserve"> concerning the extrapolation of </w:t>
      </w:r>
      <w:r w:rsidR="00354682" w:rsidRPr="00594F85">
        <w:rPr>
          <w:sz w:val="20"/>
        </w:rPr>
        <w:t xml:space="preserve">resource use, </w:t>
      </w:r>
      <w:r w:rsidR="00C93BB4" w:rsidRPr="00594F85">
        <w:rPr>
          <w:sz w:val="20"/>
        </w:rPr>
        <w:t>costs and utilities</w:t>
      </w:r>
      <w:r w:rsidR="006828FE" w:rsidRPr="00594F85">
        <w:rPr>
          <w:sz w:val="20"/>
        </w:rPr>
        <w:t xml:space="preserve">.  </w:t>
      </w:r>
      <w:r w:rsidR="00EB6456">
        <w:rPr>
          <w:sz w:val="20"/>
        </w:rPr>
        <w:t>In this paper w</w:t>
      </w:r>
      <w:r w:rsidR="006828FE" w:rsidRPr="00594F85">
        <w:rPr>
          <w:sz w:val="20"/>
        </w:rPr>
        <w:t>e argue that</w:t>
      </w:r>
      <w:r w:rsidRPr="00594F85">
        <w:rPr>
          <w:sz w:val="20"/>
        </w:rPr>
        <w:t xml:space="preserve"> </w:t>
      </w:r>
      <w:r w:rsidR="006828FE" w:rsidRPr="00594F85">
        <w:rPr>
          <w:sz w:val="20"/>
        </w:rPr>
        <w:t xml:space="preserve">it </w:t>
      </w:r>
      <w:r w:rsidR="006B0D61" w:rsidRPr="00594F85">
        <w:rPr>
          <w:sz w:val="20"/>
        </w:rPr>
        <w:t xml:space="preserve">is </w:t>
      </w:r>
      <w:r w:rsidRPr="00594F85">
        <w:rPr>
          <w:sz w:val="20"/>
        </w:rPr>
        <w:t xml:space="preserve">not appropriate, and </w:t>
      </w:r>
      <w:r w:rsidR="006828FE" w:rsidRPr="00594F85">
        <w:rPr>
          <w:sz w:val="20"/>
        </w:rPr>
        <w:t>potentially</w:t>
      </w:r>
      <w:r w:rsidRPr="00594F85">
        <w:rPr>
          <w:sz w:val="20"/>
        </w:rPr>
        <w:t xml:space="preserve"> misleading, </w:t>
      </w:r>
      <w:r w:rsidR="00C93BB4" w:rsidRPr="00594F85">
        <w:rPr>
          <w:sz w:val="20"/>
        </w:rPr>
        <w:t xml:space="preserve">to assume that these </w:t>
      </w:r>
      <w:r w:rsidR="006828FE" w:rsidRPr="00594F85">
        <w:rPr>
          <w:sz w:val="20"/>
        </w:rPr>
        <w:t xml:space="preserve">quantities </w:t>
      </w:r>
      <w:r w:rsidR="00C93BB4" w:rsidRPr="00594F85">
        <w:rPr>
          <w:sz w:val="20"/>
        </w:rPr>
        <w:t xml:space="preserve">follow the same dynamics </w:t>
      </w:r>
      <w:r w:rsidR="00673865" w:rsidRPr="00594F85">
        <w:rPr>
          <w:sz w:val="20"/>
        </w:rPr>
        <w:t xml:space="preserve">as </w:t>
      </w:r>
      <w:r w:rsidR="00C93BB4" w:rsidRPr="00594F85">
        <w:rPr>
          <w:sz w:val="20"/>
        </w:rPr>
        <w:t xml:space="preserve">the time-to-event parameters in the model.  </w:t>
      </w:r>
    </w:p>
    <w:p w14:paraId="1B2675A8" w14:textId="77777777" w:rsidR="00256023" w:rsidRPr="00594F85" w:rsidRDefault="00256023" w:rsidP="00673865">
      <w:pPr>
        <w:spacing w:after="0" w:line="360" w:lineRule="auto"/>
        <w:rPr>
          <w:sz w:val="20"/>
        </w:rPr>
      </w:pPr>
    </w:p>
    <w:p w14:paraId="5EBE17D9" w14:textId="40F73871" w:rsidR="00C93BB4" w:rsidRPr="00594F85" w:rsidRDefault="00C93BB4" w:rsidP="00907AA2">
      <w:pPr>
        <w:spacing w:after="0" w:line="360" w:lineRule="auto"/>
        <w:rPr>
          <w:sz w:val="20"/>
        </w:rPr>
      </w:pPr>
      <w:r w:rsidRPr="00594F85">
        <w:rPr>
          <w:sz w:val="20"/>
        </w:rPr>
        <w:t xml:space="preserve">Given the </w:t>
      </w:r>
      <w:r w:rsidR="006828FE" w:rsidRPr="00594F85">
        <w:rPr>
          <w:sz w:val="20"/>
        </w:rPr>
        <w:t xml:space="preserve">lack </w:t>
      </w:r>
      <w:r w:rsidRPr="00594F85">
        <w:rPr>
          <w:sz w:val="20"/>
        </w:rPr>
        <w:t xml:space="preserve">of guidance on how to extrapolate </w:t>
      </w:r>
      <w:r w:rsidR="00354682" w:rsidRPr="00594F85">
        <w:rPr>
          <w:sz w:val="20"/>
        </w:rPr>
        <w:t xml:space="preserve">resource use, </w:t>
      </w:r>
      <w:r w:rsidRPr="00594F85">
        <w:rPr>
          <w:sz w:val="20"/>
        </w:rPr>
        <w:t>costs and utilities, a priori we expect there to be some variability in approaches used in the applied literature</w:t>
      </w:r>
      <w:r w:rsidR="00DB2D63" w:rsidRPr="00594F85">
        <w:rPr>
          <w:sz w:val="20"/>
        </w:rPr>
        <w:t xml:space="preserve">. </w:t>
      </w:r>
      <w:r w:rsidR="006828FE" w:rsidRPr="00594F85">
        <w:rPr>
          <w:sz w:val="20"/>
        </w:rPr>
        <w:t xml:space="preserve"> Since the </w:t>
      </w:r>
      <w:r w:rsidR="00DB2D63" w:rsidRPr="00594F85">
        <w:rPr>
          <w:sz w:val="20"/>
        </w:rPr>
        <w:t xml:space="preserve">method chosen to extrapolate may </w:t>
      </w:r>
      <w:r w:rsidR="00DB2D63" w:rsidRPr="00594F85">
        <w:rPr>
          <w:sz w:val="20"/>
        </w:rPr>
        <w:lastRenderedPageBreak/>
        <w:t xml:space="preserve">influence </w:t>
      </w:r>
      <w:r w:rsidR="006828FE" w:rsidRPr="00594F85">
        <w:rPr>
          <w:sz w:val="20"/>
        </w:rPr>
        <w:t xml:space="preserve">the </w:t>
      </w:r>
      <w:r w:rsidRPr="00594F85">
        <w:rPr>
          <w:sz w:val="20"/>
        </w:rPr>
        <w:t xml:space="preserve">cost effectiveness </w:t>
      </w:r>
      <w:r w:rsidR="001D1DED" w:rsidRPr="00594F85">
        <w:rPr>
          <w:sz w:val="20"/>
        </w:rPr>
        <w:t>results,</w:t>
      </w:r>
      <w:r w:rsidR="006D68D0" w:rsidRPr="00594F85">
        <w:rPr>
          <w:sz w:val="20"/>
        </w:rPr>
        <w:t xml:space="preserve"> the</w:t>
      </w:r>
      <w:r w:rsidR="001D1DED" w:rsidRPr="00594F85">
        <w:rPr>
          <w:sz w:val="20"/>
        </w:rPr>
        <w:t xml:space="preserve"> estimates of </w:t>
      </w:r>
      <w:r w:rsidRPr="00594F85">
        <w:rPr>
          <w:sz w:val="20"/>
        </w:rPr>
        <w:t>decision uncertainty</w:t>
      </w:r>
      <w:r w:rsidR="001D1DED" w:rsidRPr="00594F85">
        <w:rPr>
          <w:sz w:val="20"/>
        </w:rPr>
        <w:t xml:space="preserve"> </w:t>
      </w:r>
      <w:r w:rsidRPr="00594F85">
        <w:rPr>
          <w:sz w:val="20"/>
        </w:rPr>
        <w:t xml:space="preserve">and </w:t>
      </w:r>
      <w:r w:rsidR="001D1DED" w:rsidRPr="00594F85">
        <w:rPr>
          <w:sz w:val="20"/>
        </w:rPr>
        <w:t>ultimately</w:t>
      </w:r>
      <w:r w:rsidRPr="00594F85">
        <w:rPr>
          <w:sz w:val="20"/>
        </w:rPr>
        <w:t xml:space="preserve"> adoption decisions</w:t>
      </w:r>
      <w:r w:rsidR="006828FE" w:rsidRPr="00594F85">
        <w:rPr>
          <w:sz w:val="20"/>
        </w:rPr>
        <w:t>, th</w:t>
      </w:r>
      <w:r w:rsidR="006D68D0" w:rsidRPr="00594F85">
        <w:rPr>
          <w:sz w:val="20"/>
        </w:rPr>
        <w:t>ere</w:t>
      </w:r>
      <w:r w:rsidR="006828FE" w:rsidRPr="00594F85">
        <w:rPr>
          <w:sz w:val="20"/>
        </w:rPr>
        <w:t xml:space="preserve"> is </w:t>
      </w:r>
      <w:r w:rsidR="00DC0D55">
        <w:rPr>
          <w:sz w:val="20"/>
        </w:rPr>
        <w:t xml:space="preserve">potential </w:t>
      </w:r>
      <w:r w:rsidR="006828FE" w:rsidRPr="00594F85">
        <w:rPr>
          <w:sz w:val="20"/>
        </w:rPr>
        <w:t xml:space="preserve">cause </w:t>
      </w:r>
      <w:r w:rsidR="00C40569">
        <w:rPr>
          <w:sz w:val="20"/>
        </w:rPr>
        <w:t>for</w:t>
      </w:r>
      <w:r w:rsidR="006828FE" w:rsidRPr="00594F85">
        <w:rPr>
          <w:sz w:val="20"/>
        </w:rPr>
        <w:t xml:space="preserve"> concern </w:t>
      </w:r>
      <w:r w:rsidR="000B1EA0" w:rsidRPr="00594F85">
        <w:rPr>
          <w:sz w:val="20"/>
        </w:rPr>
        <w:fldChar w:fldCharType="begin"/>
      </w:r>
      <w:r w:rsidR="00EB6456">
        <w:rPr>
          <w:sz w:val="20"/>
        </w:rPr>
        <w:instrText xml:space="preserve"> ADDIN EN.CITE &lt;EndNote&gt;&lt;Cite&gt;&lt;Author&gt;Karl Claxton&lt;/Author&gt;&lt;Year&gt;1999&lt;/Year&gt;&lt;RecNum&gt;1673&lt;/RecNum&gt;&lt;DisplayText&gt;[10]&lt;/DisplayText&gt;&lt;record&gt;&lt;rec-number&gt;1673&lt;/rec-number&gt;&lt;foreign-keys&gt;&lt;key app="EN" db-id="dz99p92dtf9avne5r2bvzva0zpft9d9ptzfr" timestamp="0"&gt;1673&lt;/key&gt;&lt;/foreign-keys&gt;&lt;ref-type name="Journal Article"&gt;17&lt;/ref-type&gt;&lt;contributors&gt;&lt;authors&gt;&lt;author&gt;Karl Claxton,&lt;/author&gt;&lt;/authors&gt;&lt;/contributors&gt;&lt;titles&gt;&lt;title&gt;The irrelevance of inference: a decision-making approach to the stochastic evaluation of health care technologies&lt;/title&gt;&lt;secondary-title&gt;Journal of Health Economics&lt;/secondary-title&gt;&lt;/titles&gt;&lt;pages&gt;341-364&lt;/pages&gt;&lt;volume&gt;18&lt;/volume&gt;&lt;number&gt;3&lt;/number&gt;&lt;dates&gt;&lt;year&gt;1999&lt;/year&gt;&lt;/dates&gt;&lt;urls&gt;&lt;/urls&gt;&lt;/record&gt;&lt;/Cite&gt;&lt;/EndNote&gt;</w:instrText>
      </w:r>
      <w:r w:rsidR="000B1EA0" w:rsidRPr="00594F85">
        <w:rPr>
          <w:sz w:val="20"/>
        </w:rPr>
        <w:fldChar w:fldCharType="separate"/>
      </w:r>
      <w:r w:rsidR="00EB6456">
        <w:rPr>
          <w:noProof/>
          <w:sz w:val="20"/>
        </w:rPr>
        <w:t>[10]</w:t>
      </w:r>
      <w:r w:rsidR="000B1EA0" w:rsidRPr="00594F85">
        <w:rPr>
          <w:sz w:val="20"/>
        </w:rPr>
        <w:fldChar w:fldCharType="end"/>
      </w:r>
      <w:r w:rsidRPr="00594F85">
        <w:rPr>
          <w:sz w:val="20"/>
        </w:rPr>
        <w:t xml:space="preserve">.  </w:t>
      </w:r>
      <w:r w:rsidR="00DC0D55" w:rsidRPr="00594F85">
        <w:rPr>
          <w:sz w:val="20"/>
        </w:rPr>
        <w:t>This paper considers how resource use, costs and utilities</w:t>
      </w:r>
      <w:r w:rsidR="00DC0D55" w:rsidRPr="00594F85" w:rsidDel="00DC0D55">
        <w:rPr>
          <w:sz w:val="20"/>
        </w:rPr>
        <w:t xml:space="preserve"> </w:t>
      </w:r>
      <w:r w:rsidR="00DC0D55">
        <w:rPr>
          <w:sz w:val="20"/>
        </w:rPr>
        <w:t xml:space="preserve">have been extrapolated </w:t>
      </w:r>
      <w:r w:rsidR="00DC0D55" w:rsidRPr="00594F85">
        <w:rPr>
          <w:sz w:val="20"/>
        </w:rPr>
        <w:t xml:space="preserve">in cost-effectiveness </w:t>
      </w:r>
      <w:r w:rsidR="00DC0D55">
        <w:rPr>
          <w:sz w:val="20"/>
        </w:rPr>
        <w:t>modelling, using examples from the literature</w:t>
      </w:r>
      <w:r w:rsidR="00DC0D55" w:rsidRPr="00594F85">
        <w:rPr>
          <w:sz w:val="20"/>
        </w:rPr>
        <w:t>.</w:t>
      </w:r>
      <w:r w:rsidR="00907AA2" w:rsidRPr="00594F85">
        <w:rPr>
          <w:sz w:val="20"/>
        </w:rPr>
        <w:t xml:space="preserve"> </w:t>
      </w:r>
      <w:r w:rsidRPr="00594F85">
        <w:rPr>
          <w:sz w:val="20"/>
        </w:rPr>
        <w:t xml:space="preserve">Methods employed are categorised and critiqued in terms of their strengths and weaknesses, discussing the implications of </w:t>
      </w:r>
      <w:r w:rsidR="00DB2D63" w:rsidRPr="00594F85">
        <w:rPr>
          <w:sz w:val="20"/>
        </w:rPr>
        <w:t>any shortcomings</w:t>
      </w:r>
      <w:r w:rsidR="00E10953">
        <w:rPr>
          <w:sz w:val="20"/>
        </w:rPr>
        <w:t>.</w:t>
      </w:r>
      <w:r w:rsidR="00354682" w:rsidRPr="00594F85">
        <w:rPr>
          <w:sz w:val="20"/>
        </w:rPr>
        <w:t xml:space="preserve"> </w:t>
      </w:r>
      <w:r w:rsidR="00DA0952" w:rsidRPr="00594F85">
        <w:rPr>
          <w:sz w:val="20"/>
        </w:rPr>
        <w:t>I</w:t>
      </w:r>
      <w:r w:rsidR="00354682" w:rsidRPr="00594F85">
        <w:rPr>
          <w:sz w:val="20"/>
        </w:rPr>
        <w:t xml:space="preserve">t is recognised that resource use and unit costs, </w:t>
      </w:r>
      <w:r w:rsidR="006828FE" w:rsidRPr="00594F85">
        <w:rPr>
          <w:sz w:val="20"/>
        </w:rPr>
        <w:t xml:space="preserve">combined to derive </w:t>
      </w:r>
      <w:r w:rsidR="00354682" w:rsidRPr="00594F85">
        <w:rPr>
          <w:sz w:val="20"/>
        </w:rPr>
        <w:t>costs, may have some differences</w:t>
      </w:r>
      <w:r w:rsidR="00DA0952" w:rsidRPr="00594F85">
        <w:rPr>
          <w:sz w:val="20"/>
        </w:rPr>
        <w:t xml:space="preserve">. </w:t>
      </w:r>
      <w:r w:rsidR="006828FE" w:rsidRPr="00594F85">
        <w:rPr>
          <w:sz w:val="20"/>
        </w:rPr>
        <w:t xml:space="preserve">While estimates </w:t>
      </w:r>
      <w:r w:rsidR="00DA0952" w:rsidRPr="00594F85">
        <w:rPr>
          <w:sz w:val="20"/>
        </w:rPr>
        <w:t xml:space="preserve">of resource use are typically obtained from </w:t>
      </w:r>
      <w:r w:rsidR="00DC0D55">
        <w:rPr>
          <w:sz w:val="20"/>
        </w:rPr>
        <w:t>experimental</w:t>
      </w:r>
      <w:r w:rsidR="00DC0D55" w:rsidRPr="00594F85">
        <w:rPr>
          <w:sz w:val="20"/>
        </w:rPr>
        <w:t xml:space="preserve"> </w:t>
      </w:r>
      <w:r w:rsidR="00DA0952" w:rsidRPr="00594F85">
        <w:rPr>
          <w:sz w:val="20"/>
        </w:rPr>
        <w:t>data</w:t>
      </w:r>
      <w:r w:rsidR="006828FE" w:rsidRPr="00594F85">
        <w:rPr>
          <w:sz w:val="20"/>
        </w:rPr>
        <w:t>,</w:t>
      </w:r>
      <w:r w:rsidR="00DA0952" w:rsidRPr="00594F85">
        <w:rPr>
          <w:sz w:val="20"/>
        </w:rPr>
        <w:t xml:space="preserve"> the unit costs </w:t>
      </w:r>
      <w:r w:rsidR="00DC0D55" w:rsidRPr="00594F85">
        <w:rPr>
          <w:sz w:val="20"/>
        </w:rPr>
        <w:t>ass</w:t>
      </w:r>
      <w:r w:rsidR="00DC0D55">
        <w:rPr>
          <w:sz w:val="20"/>
        </w:rPr>
        <w:t xml:space="preserve">igned to </w:t>
      </w:r>
      <w:r w:rsidR="00DA0952" w:rsidRPr="00594F85">
        <w:rPr>
          <w:sz w:val="20"/>
        </w:rPr>
        <w:t xml:space="preserve">each item of resource use are </w:t>
      </w:r>
      <w:r w:rsidR="00DC0D55">
        <w:rPr>
          <w:sz w:val="20"/>
        </w:rPr>
        <w:t xml:space="preserve">usually derived </w:t>
      </w:r>
      <w:r w:rsidR="00DA0952" w:rsidRPr="00594F85">
        <w:rPr>
          <w:sz w:val="20"/>
        </w:rPr>
        <w:t>from an external source such as hospital records or national statistics</w:t>
      </w:r>
      <w:r w:rsidR="006D68D0" w:rsidRPr="00594F85">
        <w:rPr>
          <w:sz w:val="20"/>
        </w:rPr>
        <w:t xml:space="preserve"> </w:t>
      </w:r>
      <w:r w:rsidR="00DA0952" w:rsidRPr="00594F85">
        <w:rPr>
          <w:sz w:val="20"/>
        </w:rPr>
        <w:fldChar w:fldCharType="begin"/>
      </w:r>
      <w:r w:rsidR="00EB6456">
        <w:rPr>
          <w:sz w:val="20"/>
        </w:rPr>
        <w:instrText xml:space="preserve"> ADDIN EN.CITE &lt;EndNote&gt;&lt;Cite&gt;&lt;Author&gt;Drummond&lt;/Author&gt;&lt;Year&gt;2005&lt;/Year&gt;&lt;RecNum&gt;582&lt;/RecNum&gt;&lt;DisplayText&gt;[11]&lt;/DisplayText&gt;&lt;record&gt;&lt;rec-number&gt;582&lt;/rec-number&gt;&lt;foreign-keys&gt;&lt;key app="EN" db-id="pzww925x9aeaszetsz4xswf6d0ffrxztvxsa" timestamp="1310980685"&gt;582&lt;/key&gt;&lt;/foreign-keys&gt;&lt;ref-type name="Book Section"&gt;5&lt;/ref-type&gt;&lt;contributors&gt;&lt;authors&gt;&lt;author&gt;Drummond, M.F.&lt;/author&gt;&lt;author&gt;Sculpher, M.J.&lt;/author&gt;&lt;author&gt;Torrance, G.W.&lt;/author&gt;&lt;author&gt;O&amp;apos;Brien, B.J.&lt;/author&gt;&lt;author&gt;Stoddart, G.&lt;/author&gt;&lt;/authors&gt;&lt;/contributors&gt;&lt;titles&gt;&lt;title&gt;Methods for the Economic Evaluation of Health Care Programmes&lt;/title&gt;&lt;/titles&gt;&lt;edition&gt;3rd&lt;/edition&gt;&lt;section&gt;9&lt;/section&gt;&lt;dates&gt;&lt;year&gt;2005&lt;/year&gt;&lt;/dates&gt;&lt;publisher&gt;Oxford University Press&lt;/publisher&gt;&lt;urls&gt;&lt;/urls&gt;&lt;/record&gt;&lt;/Cite&gt;&lt;/EndNote&gt;</w:instrText>
      </w:r>
      <w:r w:rsidR="00DA0952" w:rsidRPr="00594F85">
        <w:rPr>
          <w:sz w:val="20"/>
        </w:rPr>
        <w:fldChar w:fldCharType="separate"/>
      </w:r>
      <w:r w:rsidR="00EB6456">
        <w:rPr>
          <w:noProof/>
          <w:sz w:val="20"/>
        </w:rPr>
        <w:t>[11]</w:t>
      </w:r>
      <w:r w:rsidR="00DA0952" w:rsidRPr="00594F85">
        <w:rPr>
          <w:sz w:val="20"/>
        </w:rPr>
        <w:fldChar w:fldCharType="end"/>
      </w:r>
      <w:r w:rsidR="00DA0952" w:rsidRPr="00594F85">
        <w:rPr>
          <w:sz w:val="20"/>
        </w:rPr>
        <w:t xml:space="preserve">. In addition, the nature of long-term uncertainty over resource use and unit costs may be quite different, as is how we estimate them over the short-term. For ease of explanation, however, forthwith they are collectively referred to as costs, and any differences </w:t>
      </w:r>
      <w:r w:rsidR="006D68D0" w:rsidRPr="00594F85">
        <w:rPr>
          <w:sz w:val="20"/>
        </w:rPr>
        <w:t xml:space="preserve">in </w:t>
      </w:r>
      <w:r w:rsidR="00DA0952" w:rsidRPr="00594F85">
        <w:rPr>
          <w:sz w:val="20"/>
        </w:rPr>
        <w:t xml:space="preserve">methodologies are discussed when apparent. </w:t>
      </w:r>
    </w:p>
    <w:p w14:paraId="62ACCECC" w14:textId="77777777" w:rsidR="00DB2D63" w:rsidRPr="00391EAF" w:rsidRDefault="00DB2D63" w:rsidP="00256023">
      <w:pPr>
        <w:pStyle w:val="NoSpacing"/>
        <w:spacing w:line="360" w:lineRule="auto"/>
        <w:jc w:val="both"/>
        <w:rPr>
          <w:rFonts w:ascii="American Typewriter" w:hAnsi="American Typewriter"/>
          <w:sz w:val="20"/>
        </w:rPr>
      </w:pPr>
    </w:p>
    <w:p w14:paraId="3107DC46" w14:textId="488E3FA3" w:rsidR="006419F5" w:rsidRPr="00594F85" w:rsidRDefault="00C40569" w:rsidP="003B0B22">
      <w:pPr>
        <w:pStyle w:val="Heading3"/>
        <w:spacing w:before="0" w:line="360" w:lineRule="auto"/>
        <w:ind w:left="0" w:firstLine="0"/>
        <w:rPr>
          <w:rFonts w:asciiTheme="minorHAnsi" w:hAnsiTheme="minorHAnsi" w:cs="Times New Roman"/>
          <w:szCs w:val="24"/>
        </w:rPr>
      </w:pPr>
      <w:bookmarkStart w:id="3" w:name="_Toc341889189"/>
      <w:bookmarkStart w:id="4" w:name="_Toc341889342"/>
      <w:bookmarkStart w:id="5" w:name="_Toc341889489"/>
      <w:r>
        <w:rPr>
          <w:rFonts w:asciiTheme="minorHAnsi" w:hAnsiTheme="minorHAnsi" w:cs="Times New Roman"/>
          <w:szCs w:val="24"/>
        </w:rPr>
        <w:t>Assessing the methodologies used to extrapolate costs and utilities</w:t>
      </w:r>
    </w:p>
    <w:p w14:paraId="7091C2DB" w14:textId="4E3E2B1F" w:rsidR="00C93BB4" w:rsidRPr="00C40569" w:rsidRDefault="000910F0" w:rsidP="000B1EA0">
      <w:pPr>
        <w:spacing w:after="0" w:line="360" w:lineRule="auto"/>
        <w:rPr>
          <w:sz w:val="20"/>
        </w:rPr>
      </w:pPr>
      <w:r>
        <w:rPr>
          <w:sz w:val="20"/>
        </w:rPr>
        <w:t xml:space="preserve">In extrapolating over a longer time horizon, it is typical for </w:t>
      </w:r>
      <w:r w:rsidR="00C93BB4" w:rsidRPr="00594F85">
        <w:rPr>
          <w:sz w:val="20"/>
        </w:rPr>
        <w:t xml:space="preserve">cost-effectiveness models </w:t>
      </w:r>
      <w:r>
        <w:rPr>
          <w:sz w:val="20"/>
        </w:rPr>
        <w:t>to utilise</w:t>
      </w:r>
      <w:r w:rsidR="00C93BB4" w:rsidRPr="00594F85">
        <w:rPr>
          <w:sz w:val="20"/>
        </w:rPr>
        <w:t xml:space="preserve"> data sources external to the effectiveness evidence</w:t>
      </w:r>
      <w:r>
        <w:rPr>
          <w:sz w:val="20"/>
        </w:rPr>
        <w:t>,</w:t>
      </w:r>
      <w:r w:rsidR="00C93BB4" w:rsidRPr="00594F85">
        <w:rPr>
          <w:sz w:val="20"/>
        </w:rPr>
        <w:t xml:space="preserve"> to provide inputs for costs and utilities. These </w:t>
      </w:r>
      <w:r w:rsidR="00E6617F">
        <w:rPr>
          <w:sz w:val="20"/>
        </w:rPr>
        <w:t xml:space="preserve">external sources of evidence </w:t>
      </w:r>
      <w:r w:rsidR="00C93BB4" w:rsidRPr="00594F85">
        <w:rPr>
          <w:sz w:val="20"/>
        </w:rPr>
        <w:t>include observational studies</w:t>
      </w:r>
      <w:r w:rsidR="00D4059F" w:rsidRPr="00594F85">
        <w:rPr>
          <w:sz w:val="20"/>
        </w:rPr>
        <w:t xml:space="preserve"> such as</w:t>
      </w:r>
      <w:r w:rsidR="000A6DF4" w:rsidRPr="00594F85">
        <w:rPr>
          <w:sz w:val="20"/>
        </w:rPr>
        <w:t xml:space="preserve"> -</w:t>
      </w:r>
      <w:r w:rsidR="00D4059F" w:rsidRPr="00594F85">
        <w:rPr>
          <w:sz w:val="20"/>
        </w:rPr>
        <w:t xml:space="preserve"> </w:t>
      </w:r>
      <w:r w:rsidR="000A6DF4" w:rsidRPr="00594F85">
        <w:rPr>
          <w:sz w:val="20"/>
        </w:rPr>
        <w:t xml:space="preserve">for instance - </w:t>
      </w:r>
      <w:r w:rsidR="00AE68ED" w:rsidRPr="00594F85">
        <w:rPr>
          <w:sz w:val="20"/>
        </w:rPr>
        <w:t xml:space="preserve">that used in </w:t>
      </w:r>
      <w:r w:rsidR="00D4059F" w:rsidRPr="00594F85">
        <w:rPr>
          <w:sz w:val="20"/>
        </w:rPr>
        <w:t>Garside et al</w:t>
      </w:r>
      <w:r w:rsidR="00D4059F" w:rsidRPr="00594F85">
        <w:rPr>
          <w:sz w:val="20"/>
        </w:rPr>
        <w:fldChar w:fldCharType="begin"/>
      </w:r>
      <w:r w:rsidR="00E10953">
        <w:rPr>
          <w:sz w:val="20"/>
        </w:rPr>
        <w:instrText xml:space="preserve"> ADDIN EN.CITE &lt;EndNote&gt;&lt;Cite&gt;&lt;Author&gt;Ruth Garside&lt;/Author&gt;&lt;Year&gt;2007&lt;/Year&gt;&lt;RecNum&gt;1687&lt;/RecNum&gt;&lt;DisplayText&gt;[12]&lt;/DisplayText&gt;&lt;record&gt;&lt;rec-number&gt;1687&lt;/rec-number&gt;&lt;foreign-keys&gt;&lt;key app="EN" db-id="dz99p92dtf9avne5r2bvzva0zpft9d9ptzfr" timestamp="0"&gt;1687&lt;/key&gt;&lt;/foreign-keys&gt;&lt;ref-type name="Report"&gt;27&lt;/ref-type&gt;&lt;contributors&gt;&lt;authors&gt;&lt;author&gt;Ruth Garside, Colin Green, Martin Hoyle, et al,&lt;/author&gt;&lt;/authors&gt;&lt;/contributors&gt;&lt;titles&gt;&lt;title&gt;The effectiveness and cost effectiveness of natalizumab for multiple sclerosis: an evidence review of the submission from Biogen&lt;/title&gt;&lt;/titles&gt;&lt;dates&gt;&lt;year&gt;2007&lt;/year&gt;&lt;/dates&gt;&lt;urls&gt;&lt;/urls&gt;&lt;/record&gt;&lt;/Cite&gt;&lt;/EndNote&gt;</w:instrText>
      </w:r>
      <w:r w:rsidR="00D4059F" w:rsidRPr="00594F85">
        <w:rPr>
          <w:sz w:val="20"/>
        </w:rPr>
        <w:fldChar w:fldCharType="separate"/>
      </w:r>
      <w:r w:rsidR="00E10953">
        <w:rPr>
          <w:noProof/>
          <w:sz w:val="20"/>
        </w:rPr>
        <w:t>[12]</w:t>
      </w:r>
      <w:r w:rsidR="00D4059F" w:rsidRPr="00594F85">
        <w:rPr>
          <w:sz w:val="20"/>
        </w:rPr>
        <w:fldChar w:fldCharType="end"/>
      </w:r>
      <w:r w:rsidR="00D4059F" w:rsidRPr="00594F85">
        <w:rPr>
          <w:sz w:val="20"/>
        </w:rPr>
        <w:t>, which describe</w:t>
      </w:r>
      <w:r w:rsidR="00E6617F">
        <w:rPr>
          <w:sz w:val="20"/>
        </w:rPr>
        <w:t>s</w:t>
      </w:r>
      <w:r w:rsidR="00D4059F" w:rsidRPr="00594F85">
        <w:rPr>
          <w:sz w:val="20"/>
        </w:rPr>
        <w:t xml:space="preserve"> a quality of life study used to determine utilities </w:t>
      </w:r>
      <w:r w:rsidR="00AE68ED" w:rsidRPr="00594F85">
        <w:rPr>
          <w:sz w:val="20"/>
        </w:rPr>
        <w:t xml:space="preserve">for a Markov model specifying health states according to </w:t>
      </w:r>
      <w:r w:rsidR="00D4059F" w:rsidRPr="00594F85">
        <w:rPr>
          <w:sz w:val="20"/>
        </w:rPr>
        <w:t xml:space="preserve">disease severity. Many </w:t>
      </w:r>
      <w:r w:rsidR="00AE68ED" w:rsidRPr="00594F85">
        <w:rPr>
          <w:sz w:val="20"/>
        </w:rPr>
        <w:t xml:space="preserve">models </w:t>
      </w:r>
      <w:r w:rsidR="00D4059F" w:rsidRPr="00594F85">
        <w:rPr>
          <w:sz w:val="20"/>
        </w:rPr>
        <w:t>utilise</w:t>
      </w:r>
      <w:r w:rsidR="00C93BB4" w:rsidRPr="00594F85">
        <w:rPr>
          <w:sz w:val="20"/>
        </w:rPr>
        <w:t xml:space="preserve"> previously published estimates of costs and utilities </w:t>
      </w:r>
      <w:r w:rsidR="00D4059F" w:rsidRPr="00594F85">
        <w:rPr>
          <w:sz w:val="20"/>
        </w:rPr>
        <w:t>reported</w:t>
      </w:r>
      <w:r w:rsidR="00C93BB4" w:rsidRPr="00594F85">
        <w:rPr>
          <w:sz w:val="20"/>
        </w:rPr>
        <w:t xml:space="preserve"> in other economic models</w:t>
      </w:r>
      <w:r w:rsidR="008B0FCD" w:rsidRPr="00594F85">
        <w:rPr>
          <w:sz w:val="20"/>
        </w:rPr>
        <w:t>. T</w:t>
      </w:r>
      <w:r w:rsidR="00697D5B" w:rsidRPr="00594F85">
        <w:rPr>
          <w:sz w:val="20"/>
          <w:lang w:val="en-US"/>
        </w:rPr>
        <w:t xml:space="preserve">here are </w:t>
      </w:r>
      <w:r w:rsidR="00527ADA" w:rsidRPr="00594F85">
        <w:rPr>
          <w:sz w:val="20"/>
          <w:lang w:val="en-US"/>
        </w:rPr>
        <w:t xml:space="preserve">also </w:t>
      </w:r>
      <w:r w:rsidR="00A45721" w:rsidRPr="00594F85">
        <w:rPr>
          <w:sz w:val="20"/>
          <w:lang w:val="en-US"/>
        </w:rPr>
        <w:t xml:space="preserve">examples of </w:t>
      </w:r>
      <w:r w:rsidR="00697D5B" w:rsidRPr="00594F85">
        <w:rPr>
          <w:sz w:val="20"/>
          <w:lang w:val="en-US"/>
        </w:rPr>
        <w:t xml:space="preserve">studies which have used </w:t>
      </w:r>
      <w:r w:rsidR="00AE68ED" w:rsidRPr="00594F85">
        <w:rPr>
          <w:sz w:val="20"/>
        </w:rPr>
        <w:t>expert opinion</w:t>
      </w:r>
      <w:r w:rsidR="006D68D0" w:rsidRPr="00594F85">
        <w:rPr>
          <w:sz w:val="20"/>
        </w:rPr>
        <w:t xml:space="preserve"> </w:t>
      </w:r>
      <w:r w:rsidR="00697D5B" w:rsidRPr="00594F85">
        <w:rPr>
          <w:sz w:val="20"/>
        </w:rPr>
        <w:fldChar w:fldCharType="begin"/>
      </w:r>
      <w:r w:rsidR="00E10953">
        <w:rPr>
          <w:sz w:val="20"/>
        </w:rPr>
        <w:instrText xml:space="preserve"> ADDIN EN.CITE &lt;EndNote&gt;&lt;Cite&gt;&lt;Author&gt;Garside R&lt;/Author&gt;&lt;Year&gt;2006&lt;/Year&gt;&lt;RecNum&gt;1669&lt;/RecNum&gt;&lt;DisplayText&gt;[13, 14]&lt;/DisplayText&gt;&lt;record&gt;&lt;rec-number&gt;1669&lt;/rec-number&gt;&lt;foreign-keys&gt;&lt;key app="EN" db-id="dz99p92dtf9avne5r2bvzva0zpft9d9ptzfr" timestamp="0"&gt;1669&lt;/key&gt;&lt;/foreign-keys&gt;&lt;ref-type name="Report"&gt;27&lt;/ref-type&gt;&lt;contributors&gt;&lt;authors&gt;&lt;author&gt;Garside R, &lt;/author&gt;&lt;author&gt;Pitt M, &lt;/author&gt;&lt;author&gt;Somerville M, &lt;/author&gt;&lt;author&gt;Stein K, &lt;/author&gt;&lt;author&gt;Price A, &lt;/author&gt;&lt;author&gt;Gilbert N.&lt;/author&gt;&lt;/authors&gt;&lt;secondary-authors&gt;&lt;author&gt;Health Technology Assessment&lt;/author&gt;&lt;/secondary-authors&gt;&lt;/contributors&gt;&lt;titles&gt;&lt;title&gt;Surveillance of Barrett&amp;apos;s oesophagus: exploring the uncertainty through systematic review, expert workshop and economic modelling&lt;/title&gt;&lt;/titles&gt;&lt;volume&gt;10&lt;/volume&gt;&lt;num-vols&gt;8&lt;/num-vols&gt;&lt;dates&gt;&lt;year&gt;2006&lt;/year&gt;&lt;/dates&gt;&lt;urls&gt;&lt;/urls&gt;&lt;/record&gt;&lt;/Cite&gt;&lt;Cite&gt;&lt;Author&gt;J Wilson&lt;/Author&gt;&lt;Year&gt;2004&lt;/Year&gt;&lt;RecNum&gt;1668&lt;/RecNum&gt;&lt;record&gt;&lt;rec-number&gt;1668&lt;/rec-number&gt;&lt;foreign-keys&gt;&lt;key app="EN" db-id="dz99p92dtf9avne5r2bvzva0zpft9d9ptzfr" timestamp="0"&gt;1668&lt;/key&gt;&lt;/foreign-keys&gt;&lt;ref-type name="Report"&gt;27&lt;/ref-type&gt;&lt;contributors&gt;&lt;authors&gt;&lt;author&gt;J Wilson, M Connock, F Song, G Yao, A Fry-Smith, J Raftery and D Peake&lt;/author&gt;&lt;/authors&gt;&lt;secondary-authors&gt;&lt;author&gt;Health Technology Assessment&lt;/author&gt;&lt;/secondary-authors&gt;&lt;/contributors&gt;&lt;titles&gt;&lt;title&gt;Imatinib for the treatment of patients with unresectable and/or metastatic gastrointestinal stromal tumours: systematic review and economic evaluation&lt;/title&gt;&lt;/titles&gt;&lt;volume&gt;86&lt;/volume&gt;&lt;dates&gt;&lt;year&gt;2004&lt;/year&gt;&lt;/dates&gt;&lt;urls&gt;&lt;/urls&gt;&lt;/record&gt;&lt;/Cite&gt;&lt;/EndNote&gt;</w:instrText>
      </w:r>
      <w:r w:rsidR="00697D5B" w:rsidRPr="00594F85">
        <w:rPr>
          <w:sz w:val="20"/>
        </w:rPr>
        <w:fldChar w:fldCharType="separate"/>
      </w:r>
      <w:r w:rsidR="00E10953">
        <w:rPr>
          <w:noProof/>
          <w:sz w:val="20"/>
        </w:rPr>
        <w:t>[13, 14]</w:t>
      </w:r>
      <w:r w:rsidR="00697D5B" w:rsidRPr="00594F85">
        <w:rPr>
          <w:sz w:val="20"/>
        </w:rPr>
        <w:fldChar w:fldCharType="end"/>
      </w:r>
      <w:r w:rsidR="00697D5B" w:rsidRPr="00594F85">
        <w:rPr>
          <w:sz w:val="20"/>
        </w:rPr>
        <w:t xml:space="preserve"> or analyst</w:t>
      </w:r>
      <w:r w:rsidR="003409FE" w:rsidRPr="00594F85">
        <w:rPr>
          <w:sz w:val="20"/>
        </w:rPr>
        <w:t xml:space="preserve"> assumptio</w:t>
      </w:r>
      <w:r w:rsidR="00C93BB4" w:rsidRPr="00594F85">
        <w:rPr>
          <w:sz w:val="20"/>
        </w:rPr>
        <w:t>ns</w:t>
      </w:r>
      <w:r w:rsidR="00973137" w:rsidRPr="00594F85">
        <w:rPr>
          <w:sz w:val="20"/>
        </w:rPr>
        <w:fldChar w:fldCharType="begin"/>
      </w:r>
      <w:r w:rsidR="00B055CC">
        <w:rPr>
          <w:sz w:val="20"/>
        </w:rPr>
        <w:instrText xml:space="preserve"> ADDIN EN.CITE &lt;EndNote&gt;&lt;Cite&gt;&lt;Author&gt;Bond M&lt;/Author&gt;&lt;Year&gt;2009&lt;/Year&gt;&lt;RecNum&gt;1686&lt;/RecNum&gt;&lt;DisplayText&gt;[15, 16]&lt;/DisplayText&gt;&lt;record&gt;&lt;rec-number&gt;1686&lt;/rec-number&gt;&lt;foreign-keys&gt;&lt;key app="EN" db-id="dz99p92dtf9avne5r2bvzva0zpft9d9ptzfr" timestamp="0"&gt;1686&lt;/key&gt;&lt;/foreign-keys&gt;&lt;ref-type name="Report"&gt;27&lt;/ref-type&gt;&lt;contributors&gt;&lt;authors&gt;&lt;author&gt;Bond M, &lt;/author&gt;&lt;author&gt;Mealing S, &lt;/author&gt;&lt;author&gt;Anderson R, &lt;/author&gt;&lt;author&gt;Elston J, &lt;/author&gt;&lt;author&gt;Weiner G, &lt;/author&gt;&lt;author&gt;Taylor RS, &lt;/author&gt;&lt;author&gt;Hoyle M, &lt;/author&gt;&lt;author&gt;Liu Z, &lt;/author&gt;&lt;author&gt;Price A, &lt;/author&gt;&lt;author&gt;Stein K,&lt;/author&gt;&lt;/authors&gt;&lt;secondary-authors&gt;&lt;author&gt;Health Technol Assess&lt;/author&gt;&lt;/secondary-authors&gt;&lt;/contributors&gt;&lt;titles&gt;&lt;title&gt;The effectiveness and cost-effectiveness of cochlear implants for severe to profound deafness in children and adults: a systematic review and economic model&lt;/title&gt;&lt;/titles&gt;&lt;volume&gt;13&lt;/volume&gt;&lt;num-vols&gt;44&lt;/num-vols&gt;&lt;dates&gt;&lt;year&gt;2009&lt;/year&gt;&lt;/dates&gt;&lt;urls&gt;&lt;/urls&gt;&lt;/record&gt;&lt;/Cite&gt;&lt;Cite&gt;&lt;Author&gt;E Gospodarevskaya&lt;/Author&gt;&lt;Year&gt;2009&lt;/Year&gt;&lt;RecNum&gt;1685&lt;/RecNum&gt;&lt;record&gt;&lt;rec-number&gt;1685&lt;/rec-number&gt;&lt;foreign-keys&gt;&lt;key app="EN" db-id="dz99p92dtf9avne5r2bvzva0zpft9d9ptzfr" timestamp="0"&gt;1685&lt;/key&gt;&lt;/foreign-keys&gt;&lt;ref-type name="Report"&gt;27&lt;/ref-type&gt;&lt;contributors&gt;&lt;authors&gt;&lt;author&gt;E Gospodarevskaya, J Picot, K Cooper, E Loveman, A Takeda,&lt;/author&gt;&lt;/authors&gt;&lt;secondary-authors&gt;&lt;author&gt;Health Technology Assessment &lt;/author&gt;&lt;/secondary-authors&gt;&lt;/contributors&gt;&lt;titles&gt;&lt;title&gt;Ustekinumab for the treatment of moderate to &amp;#xD;severe psoriasis&lt;/title&gt;&lt;/titles&gt;&lt;volume&gt;13&lt;/volume&gt;&lt;num-vols&gt;3&lt;/num-vols&gt;&lt;dates&gt;&lt;year&gt;2009&lt;/year&gt;&lt;/dates&gt;&lt;urls&gt;&lt;/urls&gt;&lt;/record&gt;&lt;/Cite&gt;&lt;/EndNote&gt;</w:instrText>
      </w:r>
      <w:r w:rsidR="00973137" w:rsidRPr="00594F85">
        <w:rPr>
          <w:sz w:val="20"/>
        </w:rPr>
        <w:fldChar w:fldCharType="separate"/>
      </w:r>
      <w:r w:rsidR="00E10953">
        <w:rPr>
          <w:noProof/>
          <w:sz w:val="20"/>
        </w:rPr>
        <w:t>[15, 16]</w:t>
      </w:r>
      <w:r w:rsidR="00973137" w:rsidRPr="00594F85">
        <w:rPr>
          <w:sz w:val="20"/>
        </w:rPr>
        <w:fldChar w:fldCharType="end"/>
      </w:r>
      <w:r w:rsidR="00E10953">
        <w:rPr>
          <w:sz w:val="20"/>
        </w:rPr>
        <w:t>.</w:t>
      </w:r>
      <w:r w:rsidR="00C93BB4" w:rsidRPr="00594F85">
        <w:rPr>
          <w:sz w:val="20"/>
        </w:rPr>
        <w:t xml:space="preserve"> </w:t>
      </w:r>
      <w:r w:rsidR="0063152E" w:rsidRPr="00594F85">
        <w:rPr>
          <w:sz w:val="20"/>
        </w:rPr>
        <w:t xml:space="preserve">For </w:t>
      </w:r>
      <w:r w:rsidR="00C93BB4" w:rsidRPr="00594F85">
        <w:rPr>
          <w:sz w:val="20"/>
        </w:rPr>
        <w:t xml:space="preserve">many cost-effectiveness models there is </w:t>
      </w:r>
      <w:r w:rsidR="00256023" w:rsidRPr="00594F85">
        <w:rPr>
          <w:sz w:val="20"/>
        </w:rPr>
        <w:t>insufficient information</w:t>
      </w:r>
      <w:r w:rsidR="00C93BB4" w:rsidRPr="00594F85">
        <w:rPr>
          <w:sz w:val="20"/>
        </w:rPr>
        <w:t xml:space="preserve"> </w:t>
      </w:r>
      <w:r w:rsidR="0063152E" w:rsidRPr="00594F85">
        <w:rPr>
          <w:sz w:val="20"/>
        </w:rPr>
        <w:t xml:space="preserve">reported </w:t>
      </w:r>
      <w:r w:rsidR="00C93BB4" w:rsidRPr="00594F85">
        <w:rPr>
          <w:sz w:val="20"/>
        </w:rPr>
        <w:t>to reliably gauge the methods used to extrapolate healthcare costs and utilities for health states and clinical events</w:t>
      </w:r>
      <w:r w:rsidR="00CA3542">
        <w:rPr>
          <w:sz w:val="20"/>
        </w:rPr>
        <w:t>, including – for example – Glazener et al</w:t>
      </w:r>
      <w:r w:rsidR="00CA3542">
        <w:rPr>
          <w:sz w:val="20"/>
        </w:rPr>
        <w:fldChar w:fldCharType="begin"/>
      </w:r>
      <w:r w:rsidR="00E10953">
        <w:rPr>
          <w:sz w:val="20"/>
        </w:rPr>
        <w:instrText xml:space="preserve"> ADDIN EN.CITE &lt;EndNote&gt;&lt;Cite&gt;&lt;Author&gt;Glazener C&lt;/Author&gt;&lt;Year&gt;2016&lt;/Year&gt;&lt;RecNum&gt;1706&lt;/RecNum&gt;&lt;DisplayText&gt;[17]&lt;/DisplayText&gt;&lt;record&gt;&lt;rec-number&gt;1706&lt;/rec-number&gt;&lt;foreign-keys&gt;&lt;key app="EN" db-id="dz99p92dtf9avne5r2bvzva0zpft9d9ptzfr" timestamp="1490197934"&gt;1706&lt;/key&gt;&lt;/foreign-keys&gt;&lt;ref-type name="Report"&gt;27&lt;/ref-type&gt;&lt;contributors&gt;&lt;authors&gt;&lt;author&gt;Glazener C, &lt;/author&gt;&lt;author&gt;Breeman S, &lt;/author&gt;&lt;author&gt;Elders A, &lt;/author&gt;&lt;author&gt;Hemming C,&lt;/author&gt;&lt;author&gt;Cooper K, &lt;/author&gt;&lt;author&gt;Freeman R, &lt;/author&gt;&lt;author&gt;Smith A, &lt;/author&gt;&lt;author&gt;Hagen S,&lt;/author&gt;&lt;author&gt;Montgomery I, &lt;/author&gt;&lt;author&gt;Kilonzo M, &lt;/author&gt;&lt;author&gt;Boyers D, &lt;/author&gt;&lt;author&gt;McDonald A,&lt;/author&gt;&lt;author&gt;McPherson G, &lt;/author&gt;&lt;author&gt;MacLennan G, &lt;/author&gt;&lt;author&gt;Norrie J,&lt;/author&gt;&lt;/authors&gt;&lt;/contributors&gt;&lt;titles&gt;&lt;title&gt;Clinical effectiveness and cost-effectiveness of surgical options for the management of anterior and/or posterior vaginal wall prolapse: two randomised controlled trials within a comprehensive cohort study – results from the PROSPECT Study&lt;/title&gt;&lt;/titles&gt;&lt;volume&gt;20&lt;/volume&gt;&lt;num-vols&gt;95&lt;/num-vols&gt;&lt;dates&gt;&lt;year&gt;2016&lt;/year&gt;&lt;/dates&gt;&lt;publisher&gt;Health Technology Assessment&lt;/publisher&gt;&lt;urls&gt;&lt;/urls&gt;&lt;/record&gt;&lt;/Cite&gt;&lt;/EndNote&gt;</w:instrText>
      </w:r>
      <w:r w:rsidR="00CA3542">
        <w:rPr>
          <w:sz w:val="20"/>
        </w:rPr>
        <w:fldChar w:fldCharType="separate"/>
      </w:r>
      <w:r w:rsidR="00E10953">
        <w:rPr>
          <w:noProof/>
          <w:sz w:val="20"/>
        </w:rPr>
        <w:t>[17]</w:t>
      </w:r>
      <w:r w:rsidR="00CA3542">
        <w:rPr>
          <w:sz w:val="20"/>
        </w:rPr>
        <w:fldChar w:fldCharType="end"/>
      </w:r>
      <w:r w:rsidR="00CA3542">
        <w:rPr>
          <w:sz w:val="20"/>
        </w:rPr>
        <w:t>, where it is not clear how costs observed at 2 years within the PROSPECT study were extrapolated over the 5 and 10 year time horizons</w:t>
      </w:r>
      <w:r w:rsidR="00C93BB4" w:rsidRPr="00594F85">
        <w:rPr>
          <w:sz w:val="20"/>
        </w:rPr>
        <w:t xml:space="preserve">.. </w:t>
      </w:r>
      <w:r w:rsidR="00CA3542">
        <w:rPr>
          <w:sz w:val="20"/>
        </w:rPr>
        <w:t xml:space="preserve">In such instances </w:t>
      </w:r>
      <w:r w:rsidR="00C93BB4" w:rsidRPr="00594F85">
        <w:rPr>
          <w:sz w:val="20"/>
        </w:rPr>
        <w:t xml:space="preserve">the focus seems to be on describing extrapolation methods used for the effectiveness evidence while glossing over the assumptions and methods used to extrapolate costs and </w:t>
      </w:r>
      <w:r w:rsidR="00C93BB4" w:rsidRPr="00C40569">
        <w:rPr>
          <w:sz w:val="20"/>
        </w:rPr>
        <w:t>utilities, let alone assessing the implications of these assumptions</w:t>
      </w:r>
      <w:r w:rsidR="00C40569">
        <w:rPr>
          <w:sz w:val="20"/>
        </w:rPr>
        <w:t xml:space="preserve"> in term of any decision uncertainty</w:t>
      </w:r>
      <w:r w:rsidR="00C93BB4" w:rsidRPr="00C40569">
        <w:rPr>
          <w:sz w:val="20"/>
        </w:rPr>
        <w:t xml:space="preserve">. </w:t>
      </w:r>
    </w:p>
    <w:p w14:paraId="22ED3715" w14:textId="77777777" w:rsidR="00C93BB4" w:rsidRDefault="00C93BB4" w:rsidP="000B1EA0">
      <w:pPr>
        <w:spacing w:after="0" w:line="360" w:lineRule="auto"/>
        <w:rPr>
          <w:sz w:val="20"/>
        </w:rPr>
      </w:pPr>
    </w:p>
    <w:p w14:paraId="79053E6F" w14:textId="0D91DBF6" w:rsidR="00C40569" w:rsidRPr="00C40569" w:rsidRDefault="00C40569" w:rsidP="000B1EA0">
      <w:pPr>
        <w:spacing w:after="0" w:line="360" w:lineRule="auto"/>
        <w:rPr>
          <w:b/>
          <w:sz w:val="20"/>
        </w:rPr>
      </w:pPr>
      <w:r w:rsidRPr="00C40569">
        <w:rPr>
          <w:b/>
          <w:sz w:val="20"/>
        </w:rPr>
        <w:t>Data available to extrapolate costs and utilities</w:t>
      </w:r>
    </w:p>
    <w:p w14:paraId="0166ED49" w14:textId="24231862" w:rsidR="00C93BB4" w:rsidRDefault="00594F85" w:rsidP="000B1EA0">
      <w:pPr>
        <w:spacing w:after="0" w:line="360" w:lineRule="auto"/>
        <w:rPr>
          <w:sz w:val="20"/>
          <w:szCs w:val="20"/>
        </w:rPr>
      </w:pPr>
      <w:r w:rsidRPr="009739F8">
        <w:rPr>
          <w:sz w:val="20"/>
          <w:szCs w:val="20"/>
        </w:rPr>
        <w:t xml:space="preserve">The </w:t>
      </w:r>
      <w:r w:rsidR="00C40569" w:rsidRPr="009739F8">
        <w:rPr>
          <w:sz w:val="20"/>
          <w:szCs w:val="20"/>
        </w:rPr>
        <w:t>extent</w:t>
      </w:r>
      <w:r w:rsidRPr="009739F8">
        <w:rPr>
          <w:sz w:val="20"/>
          <w:szCs w:val="20"/>
        </w:rPr>
        <w:t xml:space="preserve"> to which the analyst will be able to quantify any time dependency in </w:t>
      </w:r>
      <w:r w:rsidR="00C40569" w:rsidRPr="009739F8">
        <w:rPr>
          <w:sz w:val="20"/>
          <w:szCs w:val="20"/>
        </w:rPr>
        <w:t xml:space="preserve">costs and </w:t>
      </w:r>
      <w:r w:rsidRPr="009739F8">
        <w:rPr>
          <w:sz w:val="20"/>
          <w:szCs w:val="20"/>
        </w:rPr>
        <w:t xml:space="preserve">utilities </w:t>
      </w:r>
      <w:r w:rsidR="00C40569" w:rsidRPr="009739F8">
        <w:rPr>
          <w:sz w:val="20"/>
          <w:szCs w:val="20"/>
        </w:rPr>
        <w:t xml:space="preserve">will </w:t>
      </w:r>
      <w:r w:rsidRPr="009739F8">
        <w:rPr>
          <w:sz w:val="20"/>
          <w:szCs w:val="20"/>
        </w:rPr>
        <w:t>depend on the data available.  Ideally, access to medium to long term individual patient level data can facilitate such an investigation</w:t>
      </w:r>
      <w:r w:rsidR="00C40569" w:rsidRPr="009739F8">
        <w:rPr>
          <w:sz w:val="20"/>
          <w:szCs w:val="20"/>
        </w:rPr>
        <w:t xml:space="preserve">, therefore in </w:t>
      </w:r>
      <w:r w:rsidR="00C93BB4" w:rsidRPr="009739F8">
        <w:rPr>
          <w:sz w:val="20"/>
          <w:szCs w:val="20"/>
        </w:rPr>
        <w:t xml:space="preserve">understanding the methodologies that have been employed, distinctions can be made where patient level data or aggregate </w:t>
      </w:r>
      <w:r w:rsidR="00D5727E" w:rsidRPr="009739F8">
        <w:rPr>
          <w:sz w:val="20"/>
          <w:szCs w:val="20"/>
        </w:rPr>
        <w:t>(or summary stud</w:t>
      </w:r>
      <w:r w:rsidR="006D68D0" w:rsidRPr="009739F8">
        <w:rPr>
          <w:sz w:val="20"/>
          <w:szCs w:val="20"/>
        </w:rPr>
        <w:t xml:space="preserve">y-level) </w:t>
      </w:r>
      <w:r w:rsidR="00C93BB4" w:rsidRPr="009739F8">
        <w:rPr>
          <w:sz w:val="20"/>
          <w:szCs w:val="20"/>
        </w:rPr>
        <w:t xml:space="preserve">data </w:t>
      </w:r>
      <w:r w:rsidR="009E50C4" w:rsidRPr="009739F8">
        <w:rPr>
          <w:sz w:val="20"/>
          <w:szCs w:val="20"/>
        </w:rPr>
        <w:t xml:space="preserve">were </w:t>
      </w:r>
      <w:r w:rsidR="000B1EA0" w:rsidRPr="009739F8">
        <w:rPr>
          <w:sz w:val="20"/>
          <w:szCs w:val="20"/>
        </w:rPr>
        <w:t>used</w:t>
      </w:r>
      <w:r w:rsidR="00C93BB4" w:rsidRPr="009739F8">
        <w:rPr>
          <w:sz w:val="20"/>
          <w:szCs w:val="20"/>
        </w:rPr>
        <w:t xml:space="preserve"> to populate a </w:t>
      </w:r>
      <w:r w:rsidR="00C40569" w:rsidRPr="009739F8">
        <w:rPr>
          <w:sz w:val="20"/>
          <w:szCs w:val="20"/>
        </w:rPr>
        <w:t>cost-effectiveness model</w:t>
      </w:r>
      <w:r w:rsidR="00C93BB4" w:rsidRPr="009739F8">
        <w:rPr>
          <w:sz w:val="20"/>
          <w:szCs w:val="20"/>
        </w:rPr>
        <w:t xml:space="preserve">. </w:t>
      </w:r>
    </w:p>
    <w:p w14:paraId="6C6E4EAE" w14:textId="77777777" w:rsidR="00340C00" w:rsidRPr="009739F8" w:rsidRDefault="00340C00" w:rsidP="000B1EA0">
      <w:pPr>
        <w:spacing w:after="0" w:line="360" w:lineRule="auto"/>
        <w:rPr>
          <w:sz w:val="20"/>
          <w:szCs w:val="20"/>
        </w:rPr>
      </w:pPr>
    </w:p>
    <w:p w14:paraId="5DB90056" w14:textId="6D4F39F3" w:rsidR="00C93BB4" w:rsidRPr="00C40569" w:rsidRDefault="00C93BB4" w:rsidP="003409FE">
      <w:pPr>
        <w:spacing w:after="0" w:line="360" w:lineRule="auto"/>
        <w:rPr>
          <w:i/>
          <w:sz w:val="20"/>
        </w:rPr>
      </w:pPr>
      <w:r w:rsidRPr="00C40569">
        <w:rPr>
          <w:i/>
          <w:sz w:val="20"/>
        </w:rPr>
        <w:t>Cost effectiveness modelling employing aggregate data</w:t>
      </w:r>
    </w:p>
    <w:p w14:paraId="24532607" w14:textId="44FA253F" w:rsidR="00340C00" w:rsidRDefault="00C93BB4" w:rsidP="0053790B">
      <w:pPr>
        <w:spacing w:after="0" w:line="360" w:lineRule="auto"/>
        <w:rPr>
          <w:sz w:val="20"/>
        </w:rPr>
      </w:pPr>
      <w:r w:rsidRPr="00C40569">
        <w:rPr>
          <w:sz w:val="20"/>
        </w:rPr>
        <w:t xml:space="preserve">The majority of cost-effectiveness </w:t>
      </w:r>
      <w:r w:rsidR="00C40569" w:rsidRPr="00C40569">
        <w:rPr>
          <w:sz w:val="20"/>
        </w:rPr>
        <w:t>models</w:t>
      </w:r>
      <w:r w:rsidRPr="00C40569">
        <w:rPr>
          <w:sz w:val="20"/>
        </w:rPr>
        <w:t xml:space="preserve"> that </w:t>
      </w:r>
      <w:r w:rsidR="009E50C4" w:rsidRPr="00C40569">
        <w:rPr>
          <w:sz w:val="20"/>
        </w:rPr>
        <w:t xml:space="preserve">make use of summary </w:t>
      </w:r>
      <w:r w:rsidR="006D68D0" w:rsidRPr="00C40569">
        <w:rPr>
          <w:sz w:val="20"/>
        </w:rPr>
        <w:t>study-level</w:t>
      </w:r>
      <w:r w:rsidR="009E50C4" w:rsidRPr="00C40569">
        <w:rPr>
          <w:sz w:val="20"/>
        </w:rPr>
        <w:t xml:space="preserve"> or </w:t>
      </w:r>
      <w:r w:rsidRPr="00C40569">
        <w:rPr>
          <w:sz w:val="20"/>
        </w:rPr>
        <w:t xml:space="preserve">aggregate data </w:t>
      </w:r>
      <w:r w:rsidR="009E50C4" w:rsidRPr="00C40569">
        <w:rPr>
          <w:sz w:val="20"/>
        </w:rPr>
        <w:t xml:space="preserve">estimates to quantify </w:t>
      </w:r>
      <w:r w:rsidRPr="00C40569">
        <w:rPr>
          <w:sz w:val="20"/>
        </w:rPr>
        <w:t>costs and utilities</w:t>
      </w:r>
      <w:r w:rsidR="00C40569" w:rsidRPr="00C40569">
        <w:rPr>
          <w:sz w:val="20"/>
        </w:rPr>
        <w:t xml:space="preserve">, </w:t>
      </w:r>
      <w:r w:rsidR="009E50C4" w:rsidRPr="00C40569">
        <w:rPr>
          <w:sz w:val="20"/>
        </w:rPr>
        <w:t xml:space="preserve">appear to make the assumption that these </w:t>
      </w:r>
      <w:r w:rsidRPr="00C40569">
        <w:rPr>
          <w:sz w:val="20"/>
        </w:rPr>
        <w:t xml:space="preserve">parameters </w:t>
      </w:r>
      <w:r w:rsidR="009E50C4" w:rsidRPr="00C40569">
        <w:rPr>
          <w:sz w:val="20"/>
        </w:rPr>
        <w:t xml:space="preserve">are </w:t>
      </w:r>
      <w:r w:rsidRPr="00C40569">
        <w:rPr>
          <w:sz w:val="20"/>
        </w:rPr>
        <w:t>homogeneous (with respect to time and patients characteristics)</w:t>
      </w:r>
      <w:r w:rsidR="009E50C4" w:rsidRPr="00C40569">
        <w:rPr>
          <w:sz w:val="20"/>
        </w:rPr>
        <w:t>,</w:t>
      </w:r>
      <w:r w:rsidRPr="00C40569">
        <w:rPr>
          <w:sz w:val="20"/>
        </w:rPr>
        <w:t xml:space="preserve"> </w:t>
      </w:r>
      <w:r w:rsidR="00256023" w:rsidRPr="00C40569">
        <w:rPr>
          <w:sz w:val="20"/>
        </w:rPr>
        <w:t>extrapolat</w:t>
      </w:r>
      <w:r w:rsidR="009E50C4" w:rsidRPr="00C40569">
        <w:rPr>
          <w:sz w:val="20"/>
        </w:rPr>
        <w:t>ing</w:t>
      </w:r>
      <w:r w:rsidRPr="00C40569">
        <w:rPr>
          <w:sz w:val="20"/>
        </w:rPr>
        <w:t xml:space="preserve"> their values using simple assumptions</w:t>
      </w:r>
      <w:r w:rsidR="00736A74" w:rsidRPr="00C40569">
        <w:rPr>
          <w:sz w:val="20"/>
        </w:rPr>
        <w:t xml:space="preserve">. These </w:t>
      </w:r>
      <w:r w:rsidR="009E50C4" w:rsidRPr="00C40569">
        <w:rPr>
          <w:sz w:val="20"/>
        </w:rPr>
        <w:lastRenderedPageBreak/>
        <w:t xml:space="preserve">quantities </w:t>
      </w:r>
      <w:r w:rsidR="00736A74" w:rsidRPr="00C40569">
        <w:rPr>
          <w:sz w:val="20"/>
        </w:rPr>
        <w:t xml:space="preserve">are often </w:t>
      </w:r>
      <w:r w:rsidR="009E50C4" w:rsidRPr="00C40569">
        <w:rPr>
          <w:sz w:val="20"/>
        </w:rPr>
        <w:t xml:space="preserve">posited </w:t>
      </w:r>
      <w:r w:rsidR="00736A74" w:rsidRPr="00C40569">
        <w:rPr>
          <w:sz w:val="20"/>
        </w:rPr>
        <w:t xml:space="preserve">to follow the health states or </w:t>
      </w:r>
      <w:r w:rsidR="009E50C4" w:rsidRPr="00C40569">
        <w:rPr>
          <w:sz w:val="20"/>
        </w:rPr>
        <w:t xml:space="preserve">clinical </w:t>
      </w:r>
      <w:r w:rsidR="00736A74" w:rsidRPr="00C40569">
        <w:rPr>
          <w:sz w:val="20"/>
        </w:rPr>
        <w:t xml:space="preserve">events specified by the effectiveness evidence, which means that estimates of long-term costs and utilities are (implicitly) dictated by how </w:t>
      </w:r>
      <w:r w:rsidR="009E50C4" w:rsidRPr="00C40569">
        <w:rPr>
          <w:sz w:val="20"/>
        </w:rPr>
        <w:t xml:space="preserve">patients’ </w:t>
      </w:r>
      <w:r w:rsidR="00736A74" w:rsidRPr="00C40569">
        <w:rPr>
          <w:sz w:val="20"/>
        </w:rPr>
        <w:t>transitions between health states and event rates are estimate</w:t>
      </w:r>
      <w:r w:rsidR="009E50C4" w:rsidRPr="00C40569">
        <w:rPr>
          <w:sz w:val="20"/>
        </w:rPr>
        <w:t>d</w:t>
      </w:r>
      <w:r w:rsidR="00736A74" w:rsidRPr="00C40569">
        <w:rPr>
          <w:sz w:val="20"/>
        </w:rPr>
        <w:t xml:space="preserve"> and modelled, both, over the short-term (observed period) and long-term (unobserved period)</w:t>
      </w:r>
      <w:r w:rsidR="00340C00">
        <w:rPr>
          <w:sz w:val="20"/>
        </w:rPr>
        <w:fldChar w:fldCharType="begin"/>
      </w:r>
      <w:r w:rsidR="00E10953">
        <w:rPr>
          <w:sz w:val="20"/>
        </w:rPr>
        <w:instrText xml:space="preserve"> ADDIN EN.CITE &lt;EndNote&gt;&lt;Cite&gt;&lt;Author&gt;Madan&lt;/Author&gt;&lt;Year&gt;2015&lt;/Year&gt;&lt;RecNum&gt;1700&lt;/RecNum&gt;&lt;DisplayText&gt;[18]&lt;/DisplayText&gt;&lt;record&gt;&lt;rec-number&gt;1700&lt;/rec-number&gt;&lt;foreign-keys&gt;&lt;key app="EN" db-id="dz99p92dtf9avne5r2bvzva0zpft9d9ptzfr" timestamp="1489491433"&gt;1700&lt;/key&gt;&lt;/foreign-keys&gt;&lt;ref-type name="Journal Article"&gt;17&lt;/ref-type&gt;&lt;contributors&gt;&lt;authors&gt;&lt;author&gt;Madan, J&lt;/author&gt;&lt;author&gt;Ades, T&lt;/author&gt;&lt;author&gt;Barton, P&lt;/author&gt;&lt;author&gt;Bojke, L&lt;/author&gt;&lt;author&gt;Choy, E&lt;/author&gt;&lt;author&gt;Helliwell, P&lt;/author&gt;&lt;author&gt;Jobanputra, P&lt;/author&gt;&lt;author&gt;Stein, K&lt;/author&gt;&lt;author&gt;Stevens, A&lt;/author&gt;&lt;author&gt;Tosh, J&lt;/author&gt;&lt;author&gt;Verstappen, S&lt;/author&gt;&lt;author&gt;Wailoo, A&lt;/author&gt;&lt;/authors&gt;&lt;/contributors&gt;&lt;titles&gt;&lt;title&gt;Consensus decision models for biologics in rheumatoid and psoriatic arthritis: recommendations of a multidisciplinary working party&lt;/title&gt;&lt;secondary-title&gt;Rheumatology and Therapy&lt;/secondary-title&gt;&lt;/titles&gt;&lt;periodical&gt;&lt;full-title&gt;Rheumatology and Therapy&lt;/full-title&gt;&lt;/periodical&gt;&lt;pages&gt;113-125&lt;/pages&gt;&lt;volume&gt;2&lt;/volume&gt;&lt;dates&gt;&lt;year&gt;2015&lt;/year&gt;&lt;/dates&gt;&lt;urls&gt;&lt;/urls&gt;&lt;/record&gt;&lt;/Cite&gt;&lt;/EndNote&gt;</w:instrText>
      </w:r>
      <w:r w:rsidR="00340C00">
        <w:rPr>
          <w:sz w:val="20"/>
        </w:rPr>
        <w:fldChar w:fldCharType="separate"/>
      </w:r>
      <w:r w:rsidR="00E10953">
        <w:rPr>
          <w:noProof/>
          <w:sz w:val="20"/>
        </w:rPr>
        <w:t>[18]</w:t>
      </w:r>
      <w:r w:rsidR="00340C00">
        <w:rPr>
          <w:sz w:val="20"/>
        </w:rPr>
        <w:fldChar w:fldCharType="end"/>
      </w:r>
      <w:r w:rsidR="00340C00" w:rsidRPr="00C40569">
        <w:rPr>
          <w:sz w:val="20"/>
        </w:rPr>
        <w:t xml:space="preserve">. </w:t>
      </w:r>
    </w:p>
    <w:p w14:paraId="41218B18" w14:textId="77777777" w:rsidR="00340C00" w:rsidRDefault="00340C00" w:rsidP="0053790B">
      <w:pPr>
        <w:spacing w:after="0" w:line="360" w:lineRule="auto"/>
        <w:rPr>
          <w:sz w:val="20"/>
        </w:rPr>
      </w:pPr>
    </w:p>
    <w:p w14:paraId="1512D1E2" w14:textId="3E648BE3" w:rsidR="00C93BB4" w:rsidRPr="00EB6456" w:rsidRDefault="002D06F5" w:rsidP="0053790B">
      <w:pPr>
        <w:spacing w:after="0" w:line="360" w:lineRule="auto"/>
        <w:rPr>
          <w:sz w:val="20"/>
          <w:szCs w:val="20"/>
        </w:rPr>
      </w:pPr>
      <w:r>
        <w:rPr>
          <w:sz w:val="20"/>
        </w:rPr>
        <w:t>Such a</w:t>
      </w:r>
      <w:r w:rsidR="00340C00">
        <w:rPr>
          <w:sz w:val="20"/>
        </w:rPr>
        <w:t xml:space="preserve">ggregate data </w:t>
      </w:r>
      <w:r w:rsidR="00C40569">
        <w:rPr>
          <w:sz w:val="20"/>
        </w:rPr>
        <w:t>is</w:t>
      </w:r>
      <w:r w:rsidR="009E50C4" w:rsidRPr="00C40569">
        <w:rPr>
          <w:sz w:val="20"/>
        </w:rPr>
        <w:t xml:space="preserve"> </w:t>
      </w:r>
      <w:r w:rsidR="00C93BB4" w:rsidRPr="00C40569">
        <w:rPr>
          <w:sz w:val="20"/>
        </w:rPr>
        <w:t xml:space="preserve">typically </w:t>
      </w:r>
      <w:r w:rsidR="00340C00">
        <w:rPr>
          <w:sz w:val="20"/>
        </w:rPr>
        <w:t>used</w:t>
      </w:r>
      <w:r w:rsidR="00340C00" w:rsidRPr="00C40569">
        <w:rPr>
          <w:sz w:val="20"/>
        </w:rPr>
        <w:t xml:space="preserve"> </w:t>
      </w:r>
      <w:r w:rsidR="00C93BB4" w:rsidRPr="00C40569">
        <w:rPr>
          <w:sz w:val="20"/>
        </w:rPr>
        <w:t xml:space="preserve">within </w:t>
      </w:r>
      <w:r w:rsidR="00C96192" w:rsidRPr="00C40569">
        <w:rPr>
          <w:sz w:val="20"/>
        </w:rPr>
        <w:t xml:space="preserve">a </w:t>
      </w:r>
      <w:r w:rsidR="00C93BB4" w:rsidRPr="00C40569">
        <w:rPr>
          <w:sz w:val="20"/>
        </w:rPr>
        <w:t xml:space="preserve">state-transition </w:t>
      </w:r>
      <w:r w:rsidR="009E50C4" w:rsidRPr="00C40569">
        <w:rPr>
          <w:sz w:val="20"/>
        </w:rPr>
        <w:t xml:space="preserve">model </w:t>
      </w:r>
      <w:r w:rsidR="005A4B88" w:rsidRPr="00C40569">
        <w:rPr>
          <w:sz w:val="20"/>
        </w:rPr>
        <w:t>structure</w:t>
      </w:r>
      <w:r w:rsidR="00C96192" w:rsidRPr="00C40569">
        <w:rPr>
          <w:sz w:val="20"/>
        </w:rPr>
        <w:t xml:space="preserve"> </w:t>
      </w:r>
      <w:r w:rsidR="00C96192" w:rsidRPr="00C40569">
        <w:rPr>
          <w:sz w:val="20"/>
        </w:rPr>
        <w:fldChar w:fldCharType="begin"/>
      </w:r>
      <w:r w:rsidR="00E10953">
        <w:rPr>
          <w:sz w:val="20"/>
        </w:rPr>
        <w:instrText xml:space="preserve"> ADDIN EN.CITE &lt;EndNote&gt;&lt;Cite&gt;&lt;Author&gt;Briggs A&lt;/Author&gt;&lt;Year&gt;1998&lt;/Year&gt;&lt;RecNum&gt;1676&lt;/RecNum&gt;&lt;DisplayText&gt;[19]&lt;/DisplayText&gt;&lt;record&gt;&lt;rec-number&gt;1676&lt;/rec-number&gt;&lt;foreign-keys&gt;&lt;key app="EN" db-id="dz99p92dtf9avne5r2bvzva0zpft9d9ptzfr" timestamp="0"&gt;1676&lt;/key&gt;&lt;/foreign-keys&gt;&lt;ref-type name="Journal Article"&gt;17&lt;/ref-type&gt;&lt;contributors&gt;&lt;authors&gt;&lt;author&gt;Briggs A, &lt;/author&gt;&lt;author&gt;Sculpher M,&lt;/author&gt;&lt;/authors&gt;&lt;/contributors&gt;&lt;titles&gt;&lt;title&gt;An introduction to Markov modelling for economic evaluation&lt;/title&gt;&lt;secondary-title&gt;Pharmacoeconomics&lt;/secondary-title&gt;&lt;/titles&gt;&lt;periodical&gt;&lt;full-title&gt;Pharmacoeconomics&lt;/full-title&gt;&lt;/periodical&gt;&lt;pages&gt;39-409&lt;/pages&gt;&lt;volume&gt;13&lt;/volume&gt;&lt;number&gt;4&lt;/number&gt;&lt;dates&gt;&lt;year&gt;1998&lt;/year&gt;&lt;/dates&gt;&lt;urls&gt;&lt;/urls&gt;&lt;/record&gt;&lt;/Cite&gt;&lt;/EndNote&gt;</w:instrText>
      </w:r>
      <w:r w:rsidR="00C96192" w:rsidRPr="00C40569">
        <w:rPr>
          <w:sz w:val="20"/>
        </w:rPr>
        <w:fldChar w:fldCharType="separate"/>
      </w:r>
      <w:r w:rsidR="00E10953">
        <w:rPr>
          <w:noProof/>
          <w:sz w:val="20"/>
        </w:rPr>
        <w:t>[19]</w:t>
      </w:r>
      <w:r w:rsidR="00C96192" w:rsidRPr="00C40569">
        <w:rPr>
          <w:sz w:val="20"/>
        </w:rPr>
        <w:fldChar w:fldCharType="end"/>
      </w:r>
      <w:r w:rsidR="00261755">
        <w:rPr>
          <w:sz w:val="20"/>
        </w:rPr>
        <w:t>,</w:t>
      </w:r>
      <w:r w:rsidR="00C96192" w:rsidRPr="00C40569">
        <w:rPr>
          <w:sz w:val="20"/>
        </w:rPr>
        <w:t xml:space="preserve"> </w:t>
      </w:r>
      <w:r w:rsidR="009E50C4" w:rsidRPr="00C40569">
        <w:rPr>
          <w:sz w:val="20"/>
        </w:rPr>
        <w:t xml:space="preserve">although examples can be found also </w:t>
      </w:r>
      <w:r w:rsidR="00C96192" w:rsidRPr="00C40569">
        <w:rPr>
          <w:sz w:val="20"/>
        </w:rPr>
        <w:t xml:space="preserve">within discrete event </w:t>
      </w:r>
      <w:r w:rsidR="009E50C4" w:rsidRPr="00C40569">
        <w:rPr>
          <w:sz w:val="20"/>
        </w:rPr>
        <w:t xml:space="preserve">cost-effectiveness models </w:t>
      </w:r>
      <w:r w:rsidR="00BA7451" w:rsidRPr="00C40569">
        <w:rPr>
          <w:sz w:val="20"/>
        </w:rPr>
        <w:fldChar w:fldCharType="begin"/>
      </w:r>
      <w:r w:rsidR="00E10953">
        <w:rPr>
          <w:sz w:val="20"/>
        </w:rPr>
        <w:instrText xml:space="preserve"> ADDIN EN.CITE &lt;EndNote&gt;&lt;Cite&gt;&lt;Author&gt;Davis S&lt;/Author&gt;&lt;Year&gt;April 2014 &lt;/Year&gt;&lt;RecNum&gt;1680&lt;/RecNum&gt;&lt;DisplayText&gt;[20]&lt;/DisplayText&gt;&lt;record&gt;&lt;rec-number&gt;1680&lt;/rec-number&gt;&lt;foreign-keys&gt;&lt;key app="EN" db-id="dz99p92dtf9avne5r2bvzva0zpft9d9ptzfr" timestamp="0"&gt;1680&lt;/key&gt;&lt;/foreign-keys&gt;&lt;ref-type name="Report"&gt;27&lt;/ref-type&gt;&lt;contributors&gt;&lt;authors&gt;&lt;author&gt;Davis S, Stevenson M, Tappenden P, Wailoo A,&lt;/author&gt;&lt;/authors&gt;&lt;/contributors&gt;&lt;titles&gt;&lt;title&gt;NICE DSU Technical support document 15:  Cost-effectiveness modelling using pateint-level simulated. Report by the Decision Support Unit&lt;/title&gt;&lt;/titles&gt;&lt;dates&gt;&lt;year&gt;April 2014 &lt;/year&gt;&lt;/dates&gt;&lt;pub-location&gt;School of Health and Related Research, University of Sheffield &lt;/pub-location&gt;&lt;urls&gt;&lt;/urls&gt;&lt;/record&gt;&lt;/Cite&gt;&lt;/EndNote&gt;</w:instrText>
      </w:r>
      <w:r w:rsidR="00BA7451" w:rsidRPr="00C40569">
        <w:rPr>
          <w:sz w:val="20"/>
        </w:rPr>
        <w:fldChar w:fldCharType="separate"/>
      </w:r>
      <w:r w:rsidR="00E10953">
        <w:rPr>
          <w:noProof/>
          <w:sz w:val="20"/>
        </w:rPr>
        <w:t>[20]</w:t>
      </w:r>
      <w:r w:rsidR="00BA7451" w:rsidRPr="00C40569">
        <w:rPr>
          <w:sz w:val="20"/>
        </w:rPr>
        <w:fldChar w:fldCharType="end"/>
      </w:r>
      <w:r w:rsidR="00C96192" w:rsidRPr="00C40569">
        <w:rPr>
          <w:sz w:val="20"/>
        </w:rPr>
        <w:t xml:space="preserve">. The impetus for this approach is often </w:t>
      </w:r>
      <w:r w:rsidR="00C93BB4" w:rsidRPr="00C40569">
        <w:rPr>
          <w:sz w:val="20"/>
        </w:rPr>
        <w:t xml:space="preserve">dictated by the fact that (a) costs and utilities are only available as a single summary study-level data point, or (b) even when multiple study-level observations are available they cannot be adequately </w:t>
      </w:r>
      <w:r w:rsidR="00C93BB4" w:rsidRPr="00340C00">
        <w:rPr>
          <w:sz w:val="20"/>
          <w:szCs w:val="20"/>
        </w:rPr>
        <w:t>synthesised</w:t>
      </w:r>
      <w:r w:rsidR="006D68D0" w:rsidRPr="00340C00">
        <w:rPr>
          <w:sz w:val="20"/>
          <w:szCs w:val="20"/>
        </w:rPr>
        <w:t xml:space="preserve"> </w:t>
      </w:r>
      <w:r w:rsidR="0011311C" w:rsidRPr="006A283F">
        <w:rPr>
          <w:sz w:val="20"/>
          <w:szCs w:val="20"/>
        </w:rPr>
        <w:fldChar w:fldCharType="begin"/>
      </w:r>
      <w:r w:rsidR="00E10953">
        <w:rPr>
          <w:sz w:val="20"/>
          <w:szCs w:val="20"/>
        </w:rPr>
        <w:instrText xml:space="preserve"> ADDIN EN.CITE &lt;EndNote&gt;&lt;Cite&gt;&lt;Author&gt;Peasgood T&lt;/Author&gt;&lt;Year&gt;2015&lt;/Year&gt;&lt;RecNum&gt;1683&lt;/RecNum&gt;&lt;DisplayText&gt;[21]&lt;/DisplayText&gt;&lt;record&gt;&lt;rec-number&gt;1683&lt;/rec-number&gt;&lt;foreign-keys&gt;&lt;key app="EN" db-id="dz99p92dtf9avne5r2bvzva0zpft9d9ptzfr" timestamp="0"&gt;1683&lt;/key&gt;&lt;/foreign-keys&gt;&lt;ref-type name="Journal Article"&gt;17&lt;/ref-type&gt;&lt;contributors&gt;&lt;authors&gt;&lt;author&gt;Peasgood T, &lt;/author&gt;&lt;author&gt;Brazier J,&lt;/author&gt;&lt;/authors&gt;&lt;/contributors&gt;&lt;titles&gt;&lt;title&gt;Is Meta-Analysis for Utility Values Appropriate Given the Potential Impact Different Elicitation Methods Have on Values?&lt;/title&gt;&lt;secondary-title&gt;Pharmacoeconomics&lt;/secondary-title&gt;&lt;/titles&gt;&lt;periodical&gt;&lt;full-title&gt;Pharmacoeconomics&lt;/full-title&gt;&lt;/periodical&gt;&lt;pages&gt;1101-1105&lt;/pages&gt;&lt;volume&gt;33&lt;/volume&gt;&lt;number&gt;11&lt;/number&gt;&lt;dates&gt;&lt;year&gt;2015&lt;/year&gt;&lt;/dates&gt;&lt;urls&gt;&lt;/urls&gt;&lt;/record&gt;&lt;/Cite&gt;&lt;/EndNote&gt;</w:instrText>
      </w:r>
      <w:r w:rsidR="0011311C" w:rsidRPr="006A283F">
        <w:rPr>
          <w:sz w:val="20"/>
          <w:szCs w:val="20"/>
        </w:rPr>
        <w:fldChar w:fldCharType="separate"/>
      </w:r>
      <w:r w:rsidR="00E10953">
        <w:rPr>
          <w:noProof/>
          <w:sz w:val="20"/>
          <w:szCs w:val="20"/>
        </w:rPr>
        <w:t>[21]</w:t>
      </w:r>
      <w:r w:rsidR="0011311C" w:rsidRPr="006A283F">
        <w:rPr>
          <w:sz w:val="20"/>
          <w:szCs w:val="20"/>
        </w:rPr>
        <w:fldChar w:fldCharType="end"/>
      </w:r>
      <w:r w:rsidR="00C93BB4" w:rsidRPr="006A283F">
        <w:rPr>
          <w:sz w:val="20"/>
          <w:szCs w:val="20"/>
        </w:rPr>
        <w:t xml:space="preserve">. </w:t>
      </w:r>
      <w:r w:rsidR="00CA2EC1" w:rsidRPr="006A283F">
        <w:rPr>
          <w:sz w:val="20"/>
          <w:szCs w:val="20"/>
        </w:rPr>
        <w:t>There are, however some n</w:t>
      </w:r>
      <w:r w:rsidR="00C93BB4" w:rsidRPr="006A283F">
        <w:rPr>
          <w:sz w:val="20"/>
          <w:szCs w:val="20"/>
        </w:rPr>
        <w:t>otable exceptions, which include recent work on the impact of osteoporosis fractures</w:t>
      </w:r>
      <w:r w:rsidR="006D68D0" w:rsidRPr="00E35002">
        <w:rPr>
          <w:sz w:val="20"/>
          <w:szCs w:val="20"/>
        </w:rPr>
        <w:t xml:space="preserve"> </w:t>
      </w:r>
      <w:r w:rsidR="0011311C" w:rsidRPr="00EB6456">
        <w:rPr>
          <w:sz w:val="20"/>
          <w:szCs w:val="20"/>
        </w:rPr>
        <w:fldChar w:fldCharType="begin"/>
      </w:r>
      <w:r w:rsidR="00E10953">
        <w:rPr>
          <w:sz w:val="20"/>
          <w:szCs w:val="20"/>
        </w:rPr>
        <w:instrText xml:space="preserve"> ADDIN EN.CITE &lt;EndNote&gt;&lt;Cite&gt;&lt;Author&gt;Peasgood T1&lt;/Author&gt;&lt;Year&gt;2009&lt;/Year&gt;&lt;RecNum&gt;1681&lt;/RecNum&gt;&lt;DisplayText&gt;[22]&lt;/DisplayText&gt;&lt;record&gt;&lt;rec-number&gt;1681&lt;/rec-number&gt;&lt;foreign-keys&gt;&lt;key app="EN" db-id="dz99p92dtf9avne5r2bvzva0zpft9d9ptzfr" timestamp="0"&gt;1681&lt;/key&gt;&lt;/foreign-keys&gt;&lt;ref-type name="Journal Article"&gt;17&lt;/ref-type&gt;&lt;contributors&gt;&lt;authors&gt;&lt;author&gt;Peasgood T1, Herrmann K, Kanis JA, Brazier JE,&lt;/author&gt;&lt;/authors&gt;&lt;/contributors&gt;&lt;titles&gt;&lt;title&gt;An updated systematic review of Health State Utility Values for osteoporosis related conditions&lt;/title&gt;&lt;secondary-title&gt;Osteoporos Int&lt;/secondary-title&gt;&lt;/titles&gt;&lt;pages&gt;853-68&lt;/pages&gt;&lt;volume&gt;20&lt;/volume&gt;&lt;number&gt;6&lt;/number&gt;&lt;dates&gt;&lt;year&gt;2009&lt;/year&gt;&lt;/dates&gt;&lt;urls&gt;&lt;/urls&gt;&lt;/record&gt;&lt;/Cite&gt;&lt;/EndNote&gt;</w:instrText>
      </w:r>
      <w:r w:rsidR="0011311C" w:rsidRPr="00EB6456">
        <w:rPr>
          <w:sz w:val="20"/>
          <w:szCs w:val="20"/>
        </w:rPr>
        <w:fldChar w:fldCharType="separate"/>
      </w:r>
      <w:r w:rsidR="00E10953">
        <w:rPr>
          <w:noProof/>
          <w:sz w:val="20"/>
          <w:szCs w:val="20"/>
        </w:rPr>
        <w:t>[22]</w:t>
      </w:r>
      <w:r w:rsidR="0011311C" w:rsidRPr="00EB6456">
        <w:rPr>
          <w:sz w:val="20"/>
          <w:szCs w:val="20"/>
        </w:rPr>
        <w:fldChar w:fldCharType="end"/>
      </w:r>
      <w:r w:rsidR="006D68D0" w:rsidRPr="00EB6456">
        <w:rPr>
          <w:sz w:val="20"/>
          <w:szCs w:val="20"/>
        </w:rPr>
        <w:t xml:space="preserve"> </w:t>
      </w:r>
      <w:r w:rsidR="00C93BB4" w:rsidRPr="00EB6456">
        <w:rPr>
          <w:sz w:val="20"/>
          <w:szCs w:val="20"/>
        </w:rPr>
        <w:t>and chronic kidney disease</w:t>
      </w:r>
      <w:r w:rsidR="006D68D0" w:rsidRPr="00EB6456">
        <w:rPr>
          <w:sz w:val="20"/>
          <w:szCs w:val="20"/>
        </w:rPr>
        <w:t xml:space="preserve"> </w:t>
      </w:r>
      <w:r w:rsidR="0011311C" w:rsidRPr="00EB6456">
        <w:rPr>
          <w:sz w:val="20"/>
          <w:szCs w:val="20"/>
        </w:rPr>
        <w:fldChar w:fldCharType="begin"/>
      </w:r>
      <w:r w:rsidR="00E10953">
        <w:rPr>
          <w:sz w:val="20"/>
          <w:szCs w:val="20"/>
        </w:rPr>
        <w:instrText xml:space="preserve"> ADDIN EN.CITE &lt;EndNote&gt;&lt;Cite&gt;&lt;Author&gt;Wyld M&lt;/Author&gt;&lt;Year&gt;2012&lt;/Year&gt;&lt;RecNum&gt;1682&lt;/RecNum&gt;&lt;DisplayText&gt;[23]&lt;/DisplayText&gt;&lt;record&gt;&lt;rec-number&gt;1682&lt;/rec-number&gt;&lt;foreign-keys&gt;&lt;key app="EN" db-id="dz99p92dtf9avne5r2bvzva0zpft9d9ptzfr" timestamp="0"&gt;1682&lt;/key&gt;&lt;/foreign-keys&gt;&lt;ref-type name="Journal Article"&gt;17&lt;/ref-type&gt;&lt;contributors&gt;&lt;authors&gt;&lt;author&gt;Wyld M, Morton RL, Hayen A, Howard K, Webster AC,&lt;/author&gt;&lt;/authors&gt;&lt;/contributors&gt;&lt;titles&gt;&lt;title&gt;A Systematic Review and Meta-Analysis of Utility-Based Quality of Life in Chronic Kidney Disease Treatments&lt;/title&gt;&lt;secondary-title&gt;PLoS Med &lt;/secondary-title&gt;&lt;/titles&gt;&lt;pages&gt;e1001307&lt;/pages&gt;&lt;volume&gt;9&lt;/volume&gt;&lt;number&gt;9&lt;/number&gt;&lt;dates&gt;&lt;year&gt;2012&lt;/year&gt;&lt;/dates&gt;&lt;urls&gt;&lt;/urls&gt;&lt;/record&gt;&lt;/Cite&gt;&lt;/EndNote&gt;</w:instrText>
      </w:r>
      <w:r w:rsidR="0011311C" w:rsidRPr="00EB6456">
        <w:rPr>
          <w:sz w:val="20"/>
          <w:szCs w:val="20"/>
        </w:rPr>
        <w:fldChar w:fldCharType="separate"/>
      </w:r>
      <w:r w:rsidR="00E10953">
        <w:rPr>
          <w:noProof/>
          <w:sz w:val="20"/>
          <w:szCs w:val="20"/>
        </w:rPr>
        <w:t>[23]</w:t>
      </w:r>
      <w:r w:rsidR="0011311C" w:rsidRPr="00EB6456">
        <w:rPr>
          <w:sz w:val="20"/>
          <w:szCs w:val="20"/>
        </w:rPr>
        <w:fldChar w:fldCharType="end"/>
      </w:r>
      <w:r w:rsidR="00C93BB4" w:rsidRPr="00EB6456">
        <w:rPr>
          <w:sz w:val="20"/>
          <w:szCs w:val="20"/>
        </w:rPr>
        <w:t xml:space="preserve">. </w:t>
      </w:r>
      <w:r w:rsidR="00340C00" w:rsidRPr="00EB6456">
        <w:rPr>
          <w:sz w:val="20"/>
          <w:szCs w:val="20"/>
        </w:rPr>
        <w:t>In the absence of patient level data, time can still be used as a predictor of outcomes (costs, utilities), for example using regression covariates for age or time-dependent covariates</w:t>
      </w:r>
      <w:r w:rsidR="00340C00" w:rsidRPr="00EB6456">
        <w:rPr>
          <w:sz w:val="20"/>
          <w:szCs w:val="20"/>
          <w:lang w:val="en-US"/>
        </w:rPr>
        <w:fldChar w:fldCharType="begin">
          <w:fldData xml:space="preserve">PEVuZE5vdGU+PENpdGU+PEF1dGhvcj5CcmF2byBWZXJnZWw8L0F1dGhvcj48WWVhcj4yMDA3PC9Z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</w:fldData>
        </w:fldChar>
      </w:r>
      <w:r w:rsidR="00E10953">
        <w:rPr>
          <w:sz w:val="20"/>
          <w:szCs w:val="20"/>
          <w:lang w:val="en-US"/>
        </w:rPr>
        <w:instrText xml:space="preserve"> ADDIN EN.CITE </w:instrText>
      </w:r>
      <w:r w:rsidR="00E10953">
        <w:rPr>
          <w:sz w:val="20"/>
          <w:szCs w:val="20"/>
          <w:lang w:val="en-US"/>
        </w:rPr>
        <w:fldChar w:fldCharType="begin">
          <w:fldData xml:space="preserve">PEVuZE5vdGU+PENpdGU+PEF1dGhvcj5CcmF2byBWZXJnZWw8L0F1dGhvcj48WWVhcj4yMDA3PC9Z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</w:fldData>
        </w:fldChar>
      </w:r>
      <w:r w:rsidR="00E10953">
        <w:rPr>
          <w:sz w:val="20"/>
          <w:szCs w:val="20"/>
          <w:lang w:val="en-US"/>
        </w:rPr>
        <w:instrText xml:space="preserve"> ADDIN EN.CITE.DATA </w:instrText>
      </w:r>
      <w:r w:rsidR="00E10953">
        <w:rPr>
          <w:sz w:val="20"/>
          <w:szCs w:val="20"/>
          <w:lang w:val="en-US"/>
        </w:rPr>
      </w:r>
      <w:r w:rsidR="00E10953">
        <w:rPr>
          <w:sz w:val="20"/>
          <w:szCs w:val="20"/>
          <w:lang w:val="en-US"/>
        </w:rPr>
        <w:fldChar w:fldCharType="end"/>
      </w:r>
      <w:r w:rsidR="00340C00" w:rsidRPr="00EB6456">
        <w:rPr>
          <w:sz w:val="20"/>
          <w:szCs w:val="20"/>
          <w:lang w:val="en-US"/>
        </w:rPr>
      </w:r>
      <w:r w:rsidR="00340C00" w:rsidRPr="00EB6456">
        <w:rPr>
          <w:sz w:val="20"/>
          <w:szCs w:val="20"/>
          <w:lang w:val="en-US"/>
        </w:rPr>
        <w:fldChar w:fldCharType="separate"/>
      </w:r>
      <w:r w:rsidR="00E10953">
        <w:rPr>
          <w:noProof/>
          <w:sz w:val="20"/>
          <w:szCs w:val="20"/>
          <w:lang w:val="en-US"/>
        </w:rPr>
        <w:t>[24-28]</w:t>
      </w:r>
      <w:r w:rsidR="00340C00" w:rsidRPr="00EB6456">
        <w:rPr>
          <w:sz w:val="20"/>
          <w:szCs w:val="20"/>
          <w:lang w:val="en-US"/>
        </w:rPr>
        <w:fldChar w:fldCharType="end"/>
      </w:r>
      <w:r w:rsidR="00340C00" w:rsidRPr="00EB6456">
        <w:rPr>
          <w:sz w:val="20"/>
          <w:szCs w:val="20"/>
          <w:lang w:val="en-US"/>
        </w:rPr>
        <w:t xml:space="preserve">, </w:t>
      </w:r>
      <w:r w:rsidR="00340C00" w:rsidRPr="00EB6456">
        <w:rPr>
          <w:sz w:val="20"/>
          <w:szCs w:val="20"/>
        </w:rPr>
        <w:t>where these are available.</w:t>
      </w:r>
    </w:p>
    <w:p w14:paraId="4261F40D" w14:textId="6F7625EC" w:rsidR="00C93BB4" w:rsidRPr="00DC0D55" w:rsidRDefault="00C93BB4">
      <w:pPr>
        <w:spacing w:after="0" w:line="360" w:lineRule="auto"/>
        <w:rPr>
          <w:sz w:val="20"/>
          <w:szCs w:val="20"/>
        </w:rPr>
      </w:pPr>
    </w:p>
    <w:p w14:paraId="70B10DF9" w14:textId="26081D7A" w:rsidR="00594F85" w:rsidRDefault="00340C00">
      <w:pPr>
        <w:spacing w:after="240" w:line="360" w:lineRule="auto"/>
        <w:rPr>
          <w:sz w:val="20"/>
        </w:rPr>
      </w:pPr>
      <w:r w:rsidRPr="00B055CC">
        <w:rPr>
          <w:sz w:val="20"/>
          <w:szCs w:val="20"/>
        </w:rPr>
        <w:t>Where models chose to mimic the disease process by means of changes in clinical status, which is often measured in terms of condition specific clinical (or patient reported) outcomes, the assumption behind this practice is that these outcomes are more accurate in representing (and more sensitive to) changes in disease status</w:t>
      </w:r>
      <w:r w:rsidRPr="00B055CC">
        <w:rPr>
          <w:sz w:val="20"/>
          <w:szCs w:val="20"/>
        </w:rPr>
        <w:fldChar w:fldCharType="begin"/>
      </w:r>
      <w:r w:rsidR="00E10953" w:rsidRPr="00B055CC">
        <w:rPr>
          <w:sz w:val="20"/>
          <w:szCs w:val="20"/>
        </w:rPr>
        <w:instrText xml:space="preserve"> ADDIN EN.CITE &lt;EndNote&gt;&lt;Cite&gt;&lt;Author&gt;Rodgers M&lt;/Author&gt;&lt;Year&gt;2011&lt;/Year&gt;&lt;RecNum&gt;1652&lt;/RecNum&gt;&lt;DisplayText&gt;[18, 29]&lt;/DisplayText&gt;&lt;record&gt;&lt;rec-number&gt;1652&lt;/rec-number&gt;&lt;foreign-keys&gt;&lt;key app="EN" db-id="dz99p92dtf9avne5r2bvzva0zpft9d9ptzfr" timestamp="0"&gt;1652&lt;/key&gt;&lt;/foreign-keys&gt;&lt;ref-type name="Report"&gt;27&lt;/ref-type&gt;&lt;contributors&gt;&lt;authors&gt;&lt;author&gt;Rodgers M, Epstein D, Bojke L, Yang H, Craig D, Fonseca T, Myers L, Bruce I, Chalmers R, Bujkiewicz S, Lai M, Cooper N, Abrams K, Spiegelhalter D, Sutton A, Sculpher M, Woolacott N,&lt;/author&gt;&lt;/authors&gt;&lt;/contributors&gt;&lt;titles&gt;&lt;title&gt;Etanercept, infliximab and adalimumab for the treatment of psoriatic arthritis: a systematic review and economic evaluation . Health Technology Assessment&lt;/title&gt;&lt;/titles&gt;&lt;pages&gt;1-329&lt;/pages&gt;&lt;volume&gt;5&lt;/volume&gt;&lt;number&gt;10&lt;/number&gt;&lt;dates&gt;&lt;year&gt;2011&lt;/year&gt;&lt;/dates&gt;&lt;urls&gt;&lt;/urls&gt;&lt;/record&gt;&lt;/Cite&gt;&lt;Cite&gt;&lt;Author&gt;Madan&lt;/Author&gt;&lt;Year&gt;2015&lt;/Year&gt;&lt;RecNum&gt;1700&lt;/RecNum&gt;&lt;record&gt;&lt;rec-number&gt;1700&lt;/rec-number&gt;&lt;foreign-keys&gt;&lt;key app="EN" db-id="dz99p92dtf9avne5r2bvzva0zpft9d9ptzfr" timestamp="1489491433"&gt;1700&lt;/key&gt;&lt;/foreign-keys&gt;&lt;ref-type name="Journal Article"&gt;17&lt;/ref-type&gt;&lt;contributors&gt;&lt;authors&gt;&lt;author&gt;Madan, J&lt;/author&gt;&lt;author&gt;Ades, T&lt;/author&gt;&lt;author&gt;Barton, P&lt;/author&gt;&lt;author&gt;Bojke, L&lt;/author&gt;&lt;author&gt;Choy, E&lt;/author&gt;&lt;author&gt;Helliwell, P&lt;/author&gt;&lt;author&gt;Jobanputra, P&lt;/author&gt;&lt;author&gt;Stein, K&lt;/author&gt;&lt;author&gt;Stevens, A&lt;/author&gt;&lt;author&gt;Tosh, J&lt;/author&gt;&lt;author&gt;Verstappen, S&lt;/author&gt;&lt;author&gt;Wailoo, A&lt;/author&gt;&lt;/authors&gt;&lt;/contributors&gt;&lt;titles&gt;&lt;title&gt;Consensus decision models for biologics in rheumatoid and psoriatic arthritis: recommendations of a multidisciplinary working party&lt;/title&gt;&lt;secondary-title&gt;Rheumatology and Therapy&lt;/secondary-title&gt;&lt;/titles&gt;&lt;periodical&gt;&lt;full-title&gt;Rheumatology and Therapy&lt;/full-title&gt;&lt;/periodical&gt;&lt;pages&gt;113-125&lt;/pages&gt;&lt;volume&gt;2&lt;/volume&gt;&lt;dates&gt;&lt;year&gt;2015&lt;/year&gt;&lt;/dates&gt;&lt;urls&gt;&lt;/urls&gt;&lt;/record&gt;&lt;/Cite&gt;&lt;/EndNote&gt;</w:instrText>
      </w:r>
      <w:r w:rsidRPr="00B055CC">
        <w:rPr>
          <w:sz w:val="20"/>
          <w:szCs w:val="20"/>
        </w:rPr>
        <w:fldChar w:fldCharType="separate"/>
      </w:r>
      <w:r w:rsidR="00E10953" w:rsidRPr="00B055CC">
        <w:rPr>
          <w:noProof/>
          <w:sz w:val="20"/>
          <w:szCs w:val="20"/>
        </w:rPr>
        <w:t>[18, 29]</w:t>
      </w:r>
      <w:r w:rsidRPr="00B055CC">
        <w:rPr>
          <w:sz w:val="20"/>
          <w:szCs w:val="20"/>
        </w:rPr>
        <w:fldChar w:fldCharType="end"/>
      </w:r>
      <w:r w:rsidRPr="00E10953">
        <w:rPr>
          <w:sz w:val="20"/>
          <w:szCs w:val="20"/>
        </w:rPr>
        <w:t xml:space="preserve">. </w:t>
      </w:r>
      <w:r w:rsidR="00C93BB4" w:rsidRPr="00261755">
        <w:rPr>
          <w:sz w:val="20"/>
          <w:szCs w:val="20"/>
        </w:rPr>
        <w:t xml:space="preserve">In </w:t>
      </w:r>
      <w:r w:rsidR="00C93BB4" w:rsidRPr="00340C00">
        <w:rPr>
          <w:sz w:val="20"/>
          <w:szCs w:val="20"/>
        </w:rPr>
        <w:t xml:space="preserve">cases where costs and utilities are a function of the health states defined within the model, to assess the appropriateness of the methods used to extrapolate </w:t>
      </w:r>
      <w:r w:rsidR="00D5727E" w:rsidRPr="00340C00">
        <w:rPr>
          <w:sz w:val="20"/>
          <w:szCs w:val="20"/>
        </w:rPr>
        <w:t>these quantities</w:t>
      </w:r>
      <w:r w:rsidR="00C93BB4" w:rsidRPr="00340C00">
        <w:rPr>
          <w:sz w:val="20"/>
          <w:szCs w:val="20"/>
        </w:rPr>
        <w:t xml:space="preserve"> </w:t>
      </w:r>
      <w:r w:rsidR="00D5727E" w:rsidRPr="006A283F">
        <w:rPr>
          <w:sz w:val="20"/>
          <w:szCs w:val="20"/>
        </w:rPr>
        <w:t>one must</w:t>
      </w:r>
      <w:r w:rsidR="00C93BB4" w:rsidRPr="006A283F">
        <w:rPr>
          <w:sz w:val="20"/>
          <w:szCs w:val="20"/>
        </w:rPr>
        <w:t xml:space="preserve"> understand </w:t>
      </w:r>
      <w:r w:rsidR="00D5727E" w:rsidRPr="006A283F">
        <w:rPr>
          <w:sz w:val="20"/>
          <w:szCs w:val="20"/>
        </w:rPr>
        <w:t xml:space="preserve">how </w:t>
      </w:r>
      <w:r w:rsidRPr="00E35002">
        <w:rPr>
          <w:sz w:val="20"/>
          <w:szCs w:val="20"/>
        </w:rPr>
        <w:t>appropriate these</w:t>
      </w:r>
      <w:r w:rsidRPr="00183AED">
        <w:rPr>
          <w:sz w:val="20"/>
          <w:szCs w:val="20"/>
        </w:rPr>
        <w:t xml:space="preserve"> </w:t>
      </w:r>
      <w:r w:rsidR="00C93BB4" w:rsidRPr="00EB6456">
        <w:rPr>
          <w:sz w:val="20"/>
          <w:szCs w:val="20"/>
        </w:rPr>
        <w:t>condition</w:t>
      </w:r>
      <w:r w:rsidR="00D5727E" w:rsidRPr="00EB6456">
        <w:rPr>
          <w:sz w:val="20"/>
          <w:szCs w:val="20"/>
        </w:rPr>
        <w:t>-</w:t>
      </w:r>
      <w:r w:rsidR="00C93BB4" w:rsidRPr="00EB6456">
        <w:rPr>
          <w:sz w:val="20"/>
          <w:szCs w:val="20"/>
        </w:rPr>
        <w:t xml:space="preserve">specific outcomes </w:t>
      </w:r>
      <w:r w:rsidRPr="00DC0D55">
        <w:rPr>
          <w:sz w:val="20"/>
          <w:szCs w:val="20"/>
        </w:rPr>
        <w:t>are in the first instance. For example there has been much discussion on the use of functional capability scores such as the Health Assessment Questi</w:t>
      </w:r>
      <w:r w:rsidRPr="000910F0">
        <w:rPr>
          <w:sz w:val="20"/>
          <w:szCs w:val="20"/>
        </w:rPr>
        <w:t>onnaire</w:t>
      </w:r>
      <w:r w:rsidRPr="003241AE">
        <w:rPr>
          <w:sz w:val="20"/>
          <w:szCs w:val="20"/>
        </w:rPr>
        <w:t xml:space="preserve"> (HAQ) and its use in modelling the cost-effectiveness of inflammatory musculoskeletal </w:t>
      </w:r>
      <w:r w:rsidRPr="00E6617F">
        <w:rPr>
          <w:sz w:val="20"/>
          <w:szCs w:val="20"/>
        </w:rPr>
        <w:t>conditions</w:t>
      </w:r>
      <w:r w:rsidR="002D06F5" w:rsidRPr="00B055CC">
        <w:rPr>
          <w:sz w:val="20"/>
          <w:szCs w:val="20"/>
        </w:rPr>
        <w:fldChar w:fldCharType="begin"/>
      </w:r>
      <w:r w:rsidR="002D06F5">
        <w:rPr>
          <w:sz w:val="20"/>
          <w:szCs w:val="20"/>
        </w:rPr>
        <w:instrText xml:space="preserve"> ADDIN EN.CITE &lt;EndNote&gt;&lt;Cite&gt;&lt;Author&gt;Rodgers M&lt;/Author&gt;&lt;Year&gt;2011&lt;/Year&gt;&lt;RecNum&gt;1652&lt;/RecNum&gt;&lt;DisplayText&gt;[18, 29]&lt;/DisplayText&gt;&lt;record&gt;&lt;rec-number&gt;1652&lt;/rec-number&gt;&lt;foreign-keys&gt;&lt;key app="EN" db-id="dz99p92dtf9avne5r2bvzva0zpft9d9ptzfr" timestamp="0"&gt;1652&lt;/key&gt;&lt;/foreign-keys&gt;&lt;ref-type name="Report"&gt;27&lt;/ref-type&gt;&lt;contributors&gt;&lt;authors&gt;&lt;author&gt;Rodgers M, Epstein D, Bojke L, Yang H, Craig D, Fonseca T, Myers L, Bruce I, Chalmers R, Bujkiewicz S, Lai M, Cooper N, Abrams K, Spiegelhalter D, Sutton A, Sculpher M, Woolacott N,&lt;/author&gt;&lt;/authors&gt;&lt;/contributors&gt;&lt;titles&gt;&lt;title&gt;Etanercept, infliximab and adalimumab for the treatment of psoriatic arthritis: a systematic review and economic evaluation . Health Technology Assessment&lt;/title&gt;&lt;/titles&gt;&lt;pages&gt;1-329&lt;/pages&gt;&lt;volume&gt;5&lt;/volume&gt;&lt;number&gt;10&lt;/number&gt;&lt;dates&gt;&lt;year&gt;2011&lt;/year&gt;&lt;/dates&gt;&lt;urls&gt;&lt;/urls&gt;&lt;/record&gt;&lt;/Cite&gt;&lt;Cite&gt;&lt;Author&gt;Madan&lt;/Author&gt;&lt;Year&gt;2015&lt;/Year&gt;&lt;RecNum&gt;1700&lt;/RecNum&gt;&lt;record&gt;&lt;rec-number&gt;1700&lt;/rec-number&gt;&lt;foreign-keys&gt;&lt;key app="EN" db-id="dz99p92dtf9avne5r2bvzva0zpft9d9ptzfr" timestamp="1489491433"&gt;1700&lt;/key&gt;&lt;/foreign-keys&gt;&lt;ref-type name="Journal Article"&gt;17&lt;/ref-type&gt;&lt;contributors&gt;&lt;authors&gt;&lt;author&gt;Madan, J&lt;/author&gt;&lt;author&gt;Ades, T&lt;/author&gt;&lt;author&gt;Barton, P&lt;/author&gt;&lt;author&gt;Bojke, L&lt;/author&gt;&lt;author&gt;Choy, E&lt;/author&gt;&lt;author&gt;Helliwell, P&lt;/author&gt;&lt;author&gt;Jobanputra, P&lt;/author&gt;&lt;author&gt;Stein, K&lt;/author&gt;&lt;author&gt;Stevens, A&lt;/author&gt;&lt;author&gt;Tosh, J&lt;/author&gt;&lt;author&gt;Verstappen, S&lt;/author&gt;&lt;author&gt;Wailoo, A&lt;/author&gt;&lt;/authors&gt;&lt;/contributors&gt;&lt;titles&gt;&lt;title&gt;Consensus decision models for biologics in rheumatoid and psoriatic arthritis: recommendations of a multidisciplinary working party&lt;/title&gt;&lt;secondary-title&gt;Rheumatology and Therapy&lt;/secondary-title&gt;&lt;/titles&gt;&lt;periodical&gt;&lt;full-title&gt;Rheumatology and Therapy&lt;/full-title&gt;&lt;/periodical&gt;&lt;pages&gt;113-125&lt;/pages&gt;&lt;volume&gt;2&lt;/volume&gt;&lt;dates&gt;&lt;year&gt;2015&lt;/year&gt;&lt;/dates&gt;&lt;urls&gt;&lt;/urls&gt;&lt;/record&gt;&lt;/Cite&gt;&lt;/EndNote&gt;</w:instrText>
      </w:r>
      <w:r w:rsidR="002D06F5" w:rsidRPr="00B055CC">
        <w:rPr>
          <w:sz w:val="20"/>
          <w:szCs w:val="20"/>
        </w:rPr>
        <w:fldChar w:fldCharType="separate"/>
      </w:r>
      <w:r w:rsidR="002D06F5">
        <w:rPr>
          <w:noProof/>
          <w:sz w:val="20"/>
          <w:szCs w:val="20"/>
        </w:rPr>
        <w:t>[18]</w:t>
      </w:r>
      <w:r w:rsidR="002D06F5" w:rsidRPr="00B055CC">
        <w:rPr>
          <w:sz w:val="20"/>
          <w:szCs w:val="20"/>
        </w:rPr>
        <w:fldChar w:fldCharType="end"/>
      </w:r>
      <w:r w:rsidR="002D06F5" w:rsidRPr="00E10953">
        <w:rPr>
          <w:sz w:val="20"/>
          <w:szCs w:val="20"/>
        </w:rPr>
        <w:t xml:space="preserve">. </w:t>
      </w:r>
      <w:r w:rsidR="00594F85" w:rsidRPr="00C40569">
        <w:rPr>
          <w:sz w:val="20"/>
        </w:rPr>
        <w:t xml:space="preserve"> </w:t>
      </w:r>
    </w:p>
    <w:p w14:paraId="397C4B98" w14:textId="3D5985B1" w:rsidR="00C93BB4" w:rsidRPr="00C40569" w:rsidRDefault="00C93BB4" w:rsidP="00C93BB4">
      <w:pPr>
        <w:rPr>
          <w:i/>
          <w:sz w:val="20"/>
        </w:rPr>
      </w:pPr>
      <w:r w:rsidRPr="00C40569">
        <w:rPr>
          <w:i/>
          <w:sz w:val="20"/>
        </w:rPr>
        <w:t xml:space="preserve">Cost effectiveness modelling employing </w:t>
      </w:r>
      <w:r w:rsidR="009359F1" w:rsidRPr="00C40569">
        <w:rPr>
          <w:i/>
          <w:sz w:val="20"/>
        </w:rPr>
        <w:t xml:space="preserve">individual </w:t>
      </w:r>
      <w:r w:rsidRPr="00C40569">
        <w:rPr>
          <w:i/>
          <w:sz w:val="20"/>
        </w:rPr>
        <w:t>patient data</w:t>
      </w:r>
      <w:r w:rsidR="00DC639C">
        <w:rPr>
          <w:i/>
          <w:sz w:val="20"/>
        </w:rPr>
        <w:t xml:space="preserve"> (IPD)</w:t>
      </w:r>
    </w:p>
    <w:p w14:paraId="0A2219A1" w14:textId="074E989D" w:rsidR="00294BF0" w:rsidRDefault="00294BF0" w:rsidP="00294BF0">
      <w:pPr>
        <w:pStyle w:val="svarticle"/>
        <w:shd w:val="clear" w:color="auto" w:fill="FFFFFF"/>
        <w:spacing w:before="0" w:beforeAutospacing="0" w:after="0" w:afterAutospacing="0" w:line="360" w:lineRule="auto"/>
        <w:textAlignment w:val="baseline"/>
        <w:rPr>
          <w:rFonts w:ascii="Open Sans" w:hAnsi="Open Sans"/>
          <w:color w:val="333333"/>
          <w:sz w:val="27"/>
          <w:szCs w:val="27"/>
          <w:shd w:val="clear" w:color="auto" w:fill="FFFFFF"/>
        </w:rPr>
      </w:pPr>
      <w:r w:rsidRPr="0041323B">
        <w:rPr>
          <w:rFonts w:asciiTheme="minorHAnsi" w:hAnsiTheme="minorHAnsi"/>
          <w:sz w:val="20"/>
        </w:rPr>
        <w:t xml:space="preserve">In theory, IPD datasets </w:t>
      </w:r>
      <w:r w:rsidR="002D06F5">
        <w:rPr>
          <w:rFonts w:asciiTheme="minorHAnsi" w:hAnsiTheme="minorHAnsi"/>
          <w:sz w:val="20"/>
        </w:rPr>
        <w:t>are</w:t>
      </w:r>
      <w:r w:rsidRPr="0041323B">
        <w:rPr>
          <w:rFonts w:asciiTheme="minorHAnsi" w:hAnsiTheme="minorHAnsi"/>
          <w:sz w:val="20"/>
        </w:rPr>
        <w:t xml:space="preserve"> useful inputs into cost-effectiveness models and provide more accurate data on changes in cost and utilities over time. </w:t>
      </w:r>
      <w:r>
        <w:rPr>
          <w:rFonts w:asciiTheme="minorHAnsi" w:hAnsiTheme="minorHAnsi"/>
          <w:sz w:val="20"/>
        </w:rPr>
        <w:t>Hatswell, et al</w:t>
      </w:r>
      <w:r>
        <w:rPr>
          <w:rFonts w:asciiTheme="minorHAnsi" w:hAnsiTheme="minorHAnsi"/>
          <w:sz w:val="20"/>
        </w:rPr>
        <w:fldChar w:fldCharType="begin"/>
      </w:r>
      <w:r w:rsidR="00E10953">
        <w:rPr>
          <w:rFonts w:asciiTheme="minorHAnsi" w:hAnsiTheme="minorHAnsi"/>
          <w:sz w:val="20"/>
        </w:rPr>
        <w:instrText xml:space="preserve"> ADDIN EN.CITE &lt;EndNote&gt;&lt;Cite&gt;&lt;Author&gt;Hatswell AJ&lt;/Author&gt;&lt;Year&gt;2014&lt;/Year&gt;&lt;RecNum&gt;1699&lt;/RecNum&gt;&lt;DisplayText&gt;[30]&lt;/DisplayText&gt;&lt;record&gt;&lt;rec-number&gt;1699&lt;/rec-number&gt;&lt;foreign-keys&gt;&lt;key app="EN" db-id="dz99p92dtf9avne5r2bvzva0zpft9d9ptzfr" timestamp="1489491102"&gt;1699&lt;/key&gt;&lt;/foreign-keys&gt;&lt;ref-type name="Journal Article"&gt;17&lt;/ref-type&gt;&lt;contributors&gt;&lt;authors&gt;&lt;author&gt;Hatswell AJ,&lt;/author&gt;&lt;author&gt;Pennington B, &lt;/author&gt;&lt;author&gt;Pericleous L, &lt;/author&gt;&lt;author&gt;Rowen D, &lt;/author&gt;&lt;author&gt;Lebmeier M,  &lt;/author&gt;&lt;author&gt;Lee D,&lt;/author&gt;&lt;/authors&gt;&lt;/contributors&gt;&lt;titles&gt;&lt;title&gt;Patient-reported utilities in advanced or metastatic melanoma, including analysis of utilities by time to death&lt;/title&gt;&lt;secondary-title&gt;Health and Quality of Life Outcomes&lt;/secondary-title&gt;&lt;/titles&gt;&lt;periodical&gt;&lt;full-title&gt;Health and Quality of Life Outcomes&lt;/full-title&gt;&lt;/periodical&gt;&lt;volume&gt;12&lt;/volume&gt;&lt;number&gt;140&lt;/number&gt;&lt;dates&gt;&lt;year&gt;2014&lt;/year&gt;&lt;/dates&gt;&lt;urls&gt;&lt;/urls&gt;&lt;/record&gt;&lt;/Cite&gt;&lt;/EndNote&gt;</w:instrText>
      </w:r>
      <w:r>
        <w:rPr>
          <w:rFonts w:asciiTheme="minorHAnsi" w:hAnsiTheme="minorHAnsi"/>
          <w:sz w:val="20"/>
        </w:rPr>
        <w:fldChar w:fldCharType="separate"/>
      </w:r>
      <w:r w:rsidR="00E10953">
        <w:rPr>
          <w:rFonts w:asciiTheme="minorHAnsi" w:hAnsiTheme="minorHAnsi"/>
          <w:noProof/>
          <w:sz w:val="20"/>
        </w:rPr>
        <w:t>[30]</w:t>
      </w:r>
      <w:r>
        <w:rPr>
          <w:rFonts w:asciiTheme="minorHAnsi" w:hAnsiTheme="minorHAnsi"/>
          <w:sz w:val="20"/>
        </w:rPr>
        <w:fldChar w:fldCharType="end"/>
      </w:r>
      <w:r>
        <w:rPr>
          <w:rFonts w:asciiTheme="minorHAnsi" w:hAnsiTheme="minorHAnsi"/>
          <w:sz w:val="20"/>
        </w:rPr>
        <w:t xml:space="preserve"> showed that an analysis of patient level data is essential prior to populating an economic model. In many oncology models, progression status is used to define health states in the model and utilities/costs are assigned to these states.  In the example of metastatic melanoma</w:t>
      </w:r>
      <w:r w:rsidR="002D06F5">
        <w:rPr>
          <w:rFonts w:asciiTheme="minorHAnsi" w:hAnsiTheme="minorHAnsi"/>
          <w:sz w:val="20"/>
        </w:rPr>
        <w:t>,</w:t>
      </w:r>
      <w:r>
        <w:rPr>
          <w:rFonts w:asciiTheme="minorHAnsi" w:hAnsiTheme="minorHAnsi"/>
          <w:sz w:val="20"/>
        </w:rPr>
        <w:t xml:space="preserve"> Hatswell, et al</w:t>
      </w:r>
      <w:r>
        <w:rPr>
          <w:rFonts w:asciiTheme="minorHAnsi" w:hAnsiTheme="minorHAnsi"/>
          <w:sz w:val="20"/>
        </w:rPr>
        <w:fldChar w:fldCharType="begin"/>
      </w:r>
      <w:r w:rsidR="00E10953">
        <w:rPr>
          <w:rFonts w:asciiTheme="minorHAnsi" w:hAnsiTheme="minorHAnsi"/>
          <w:sz w:val="20"/>
        </w:rPr>
        <w:instrText xml:space="preserve"> ADDIN EN.CITE &lt;EndNote&gt;&lt;Cite&gt;&lt;Author&gt;Hatswell AJ&lt;/Author&gt;&lt;Year&gt;2014&lt;/Year&gt;&lt;RecNum&gt;1699&lt;/RecNum&gt;&lt;DisplayText&gt;[30]&lt;/DisplayText&gt;&lt;record&gt;&lt;rec-number&gt;1699&lt;/rec-number&gt;&lt;foreign-keys&gt;&lt;key app="EN" db-id="dz99p92dtf9avne5r2bvzva0zpft9d9ptzfr" timestamp="1489491102"&gt;1699&lt;/key&gt;&lt;/foreign-keys&gt;&lt;ref-type name="Journal Article"&gt;17&lt;/ref-type&gt;&lt;contributors&gt;&lt;authors&gt;&lt;author&gt;Hatswell AJ,&lt;/author&gt;&lt;author&gt;Pennington B, &lt;/author&gt;&lt;author&gt;Pericleous L, &lt;/author&gt;&lt;author&gt;Rowen D, &lt;/author&gt;&lt;author&gt;Lebmeier M,  &lt;/author&gt;&lt;author&gt;Lee D,&lt;/author&gt;&lt;/authors&gt;&lt;/contributors&gt;&lt;titles&gt;&lt;title&gt;Patient-reported utilities in advanced or metastatic melanoma, including analysis of utilities by time to death&lt;/title&gt;&lt;secondary-title&gt;Health and Quality of Life Outcomes&lt;/secondary-title&gt;&lt;/titles&gt;&lt;periodical&gt;&lt;full-title&gt;Health and Quality of Life Outcomes&lt;/full-title&gt;&lt;/periodical&gt;&lt;volume&gt;12&lt;/volume&gt;&lt;number&gt;140&lt;/number&gt;&lt;dates&gt;&lt;year&gt;2014&lt;/year&gt;&lt;/dates&gt;&lt;urls&gt;&lt;/urls&gt;&lt;/record&gt;&lt;/Cite&gt;&lt;/EndNote&gt;</w:instrText>
      </w:r>
      <w:r>
        <w:rPr>
          <w:rFonts w:asciiTheme="minorHAnsi" w:hAnsiTheme="minorHAnsi"/>
          <w:sz w:val="20"/>
        </w:rPr>
        <w:fldChar w:fldCharType="separate"/>
      </w:r>
      <w:r w:rsidR="00E10953">
        <w:rPr>
          <w:rFonts w:asciiTheme="minorHAnsi" w:hAnsiTheme="minorHAnsi"/>
          <w:noProof/>
          <w:sz w:val="20"/>
        </w:rPr>
        <w:t>[30]</w:t>
      </w:r>
      <w:r>
        <w:rPr>
          <w:rFonts w:asciiTheme="minorHAnsi" w:hAnsiTheme="minorHAnsi"/>
          <w:sz w:val="20"/>
        </w:rPr>
        <w:fldChar w:fldCharType="end"/>
      </w:r>
      <w:r>
        <w:rPr>
          <w:rFonts w:asciiTheme="minorHAnsi" w:hAnsiTheme="minorHAnsi"/>
          <w:sz w:val="20"/>
        </w:rPr>
        <w:t xml:space="preserve"> determined </w:t>
      </w:r>
      <w:r w:rsidRPr="0041323B">
        <w:rPr>
          <w:rFonts w:asciiTheme="minorHAnsi" w:hAnsiTheme="minorHAnsi"/>
          <w:sz w:val="20"/>
          <w:szCs w:val="20"/>
        </w:rPr>
        <w:t>utilities according to progression status and time to death and showed that t</w:t>
      </w:r>
      <w:r w:rsidRPr="0041323B">
        <w:rPr>
          <w:rFonts w:asciiTheme="minorHAnsi" w:hAnsiTheme="minorHAnsi"/>
          <w:color w:val="333333"/>
          <w:sz w:val="20"/>
          <w:szCs w:val="20"/>
          <w:shd w:val="clear" w:color="auto" w:fill="FFFFFF"/>
        </w:rPr>
        <w:t>he use of time to death gave similar or better estimates of the original data when used to predict patient utility in the IPD dataset.</w:t>
      </w:r>
      <w:r>
        <w:rPr>
          <w:rFonts w:ascii="Open Sans" w:hAnsi="Open Sans"/>
          <w:color w:val="333333"/>
          <w:sz w:val="27"/>
          <w:szCs w:val="27"/>
          <w:shd w:val="clear" w:color="auto" w:fill="FFFFFF"/>
        </w:rPr>
        <w:t xml:space="preserve"> </w:t>
      </w:r>
    </w:p>
    <w:p w14:paraId="593DF986" w14:textId="77777777" w:rsidR="00294BF0" w:rsidRDefault="00294BF0" w:rsidP="00294BF0">
      <w:pPr>
        <w:pStyle w:val="svarticle"/>
        <w:shd w:val="clear" w:color="auto" w:fill="FFFFFF"/>
        <w:spacing w:before="0" w:beforeAutospacing="0" w:after="0" w:afterAutospacing="0" w:line="360" w:lineRule="auto"/>
        <w:textAlignment w:val="baseline"/>
        <w:rPr>
          <w:sz w:val="20"/>
        </w:rPr>
      </w:pPr>
    </w:p>
    <w:p w14:paraId="4BE85FDE" w14:textId="79B60B3F" w:rsidR="00340C00" w:rsidRDefault="006337D1" w:rsidP="00E10953">
      <w:pPr>
        <w:pStyle w:val="svarticle"/>
        <w:shd w:val="clear" w:color="auto" w:fill="FFFFFF"/>
        <w:spacing w:before="0" w:beforeAutospacing="0" w:after="0" w:afterAutospacing="0" w:line="360" w:lineRule="auto"/>
        <w:textAlignment w:val="baseline"/>
        <w:rPr>
          <w:sz w:val="20"/>
        </w:rPr>
      </w:pPr>
      <w:r>
        <w:rPr>
          <w:rFonts w:asciiTheme="minorHAnsi" w:hAnsiTheme="minorHAnsi"/>
          <w:sz w:val="20"/>
          <w:szCs w:val="20"/>
        </w:rPr>
        <w:t xml:space="preserve">Previous studies have shown that </w:t>
      </w:r>
      <w:r w:rsidRPr="00E46E87">
        <w:rPr>
          <w:rFonts w:asciiTheme="minorHAnsi" w:hAnsiTheme="minorHAnsi"/>
          <w:sz w:val="20"/>
          <w:szCs w:val="20"/>
        </w:rPr>
        <w:t>age</w:t>
      </w:r>
      <w:r>
        <w:rPr>
          <w:rFonts w:asciiTheme="minorHAnsi" w:hAnsiTheme="minorHAnsi"/>
          <w:sz w:val="20"/>
          <w:szCs w:val="20"/>
        </w:rPr>
        <w:t xml:space="preserve"> is a </w:t>
      </w:r>
      <w:r w:rsidRPr="00E46E87">
        <w:rPr>
          <w:rFonts w:asciiTheme="minorHAnsi" w:hAnsiTheme="minorHAnsi"/>
          <w:sz w:val="20"/>
          <w:szCs w:val="20"/>
        </w:rPr>
        <w:t>predictor of increased mean costs</w:t>
      </w:r>
      <w:r>
        <w:rPr>
          <w:rFonts w:asciiTheme="minorHAnsi" w:hAnsiTheme="minorHAnsi"/>
          <w:sz w:val="20"/>
          <w:szCs w:val="20"/>
        </w:rPr>
        <w:fldChar w:fldCharType="begin"/>
      </w:r>
      <w:r w:rsidR="00E10953">
        <w:rPr>
          <w:rFonts w:asciiTheme="minorHAnsi" w:hAnsiTheme="minorHAnsi"/>
          <w:sz w:val="20"/>
          <w:szCs w:val="20"/>
        </w:rPr>
        <w:instrText xml:space="preserve"> ADDIN EN.CITE &lt;EndNote&gt;&lt;Cite&gt;&lt;Author&gt;Kelly E&lt;/Author&gt;&lt;Year&gt;2016&lt;/Year&gt;&lt;RecNum&gt;1712&lt;/RecNum&gt;&lt;DisplayText&gt;[31, 32]&lt;/DisplayText&gt;&lt;record&gt;&lt;rec-number&gt;1712&lt;/rec-number&gt;&lt;foreign-keys&gt;&lt;key app="EN" db-id="dz99p92dtf9avne5r2bvzva0zpft9d9ptzfr" timestamp="1491401881"&gt;1712&lt;/key&gt;&lt;/foreign-keys&gt;&lt;ref-type name="Journal Article"&gt;17&lt;/ref-type&gt;&lt;contributors&gt;&lt;authors&gt;&lt;author&gt;Kelly E,&lt;/author&gt;&lt;author&gt;Stoye G,&lt;/author&gt;&lt;author&gt;Vera-Hernandez M,&lt;/author&gt;&lt;/authors&gt;&lt;/contributors&gt;&lt;titles&gt;&lt;title&gt;Public Hospital Spending in England: Evidence from National Health Service Administrative Records&lt;/title&gt;&lt;secondary-title&gt;Fiscal Studies&lt;/secondary-title&gt;&lt;/titles&gt;&lt;periodical&gt;&lt;full-title&gt;Fiscal Studies&lt;/full-title&gt;&lt;/periodical&gt;&lt;pages&gt;433-459&lt;/pages&gt;&lt;volume&gt;37&lt;/volume&gt;&lt;number&gt;3-4&lt;/number&gt;&lt;dates&gt;&lt;year&gt;2016&lt;/year&gt;&lt;/dates&gt;&lt;urls&gt;&lt;/urls&gt;&lt;/record&gt;&lt;/Cite&gt;&lt;Cite&gt;&lt;Author&gt;Asaria M&lt;/Author&gt;&lt;Year&gt;2016&lt;/Year&gt;&lt;RecNum&gt;1713&lt;/RecNum&gt;&lt;record&gt;&lt;rec-number&gt;1713&lt;/rec-number&gt;&lt;foreign-keys&gt;&lt;key app="EN" db-id="dz99p92dtf9avne5r2bvzva0zpft9d9ptzfr" timestamp="1491402101"&gt;1713&lt;/key&gt;&lt;/foreign-keys&gt;&lt;ref-type name="Journal Article"&gt;17&lt;/ref-type&gt;&lt;contributors&gt;&lt;authors&gt;&lt;author&gt;Asaria M,&lt;/author&gt;&lt;author&gt;Doran T,&lt;/author&gt;&lt;author&gt;Cookson R,&lt;/author&gt;&lt;/authors&gt;&lt;/contributors&gt;&lt;titles&gt;&lt;title&gt;The costs of inequality: whole-population modelling study of lifetime inpatient hospital costs in the English National Health Service by level of neighbourhood deprivation&lt;/title&gt;&lt;secondary-title&gt;Journal of Epidemiology and Community Health&lt;/secondary-title&gt;&lt;/titles&gt;&lt;periodical&gt;&lt;full-title&gt;Journal of Epidemiology and Community Health&lt;/full-title&gt;&lt;/periodical&gt;&lt;dates&gt;&lt;year&gt;2016&lt;/year&gt;&lt;/dates&gt;&lt;urls&gt;&lt;/urls&gt;&lt;/record&gt;&lt;/Cite&gt;&lt;/EndNote&gt;</w:instrText>
      </w:r>
      <w:r>
        <w:rPr>
          <w:rFonts w:asciiTheme="minorHAnsi" w:hAnsiTheme="minorHAnsi"/>
          <w:sz w:val="20"/>
          <w:szCs w:val="20"/>
        </w:rPr>
        <w:fldChar w:fldCharType="separate"/>
      </w:r>
      <w:r w:rsidR="00E10953">
        <w:rPr>
          <w:rFonts w:asciiTheme="minorHAnsi" w:hAnsiTheme="minorHAnsi"/>
          <w:noProof/>
          <w:sz w:val="20"/>
          <w:szCs w:val="20"/>
        </w:rPr>
        <w:t>[31, 32]</w:t>
      </w:r>
      <w:r>
        <w:rPr>
          <w:rFonts w:asciiTheme="minorHAnsi" w:hAnsiTheme="minorHAnsi"/>
          <w:sz w:val="20"/>
          <w:szCs w:val="20"/>
        </w:rPr>
        <w:fldChar w:fldCharType="end"/>
      </w:r>
      <w:r>
        <w:rPr>
          <w:rFonts w:asciiTheme="minorHAnsi" w:hAnsiTheme="minorHAnsi"/>
          <w:sz w:val="20"/>
          <w:szCs w:val="20"/>
        </w:rPr>
        <w:t>.</w:t>
      </w:r>
      <w:r w:rsidRPr="006337D1">
        <w:rPr>
          <w:rFonts w:asciiTheme="minorHAnsi" w:hAnsiTheme="minorHAnsi"/>
          <w:sz w:val="20"/>
          <w:szCs w:val="20"/>
        </w:rPr>
        <w:t xml:space="preserve"> </w:t>
      </w:r>
      <w:r w:rsidR="00C93BB4" w:rsidRPr="00E10953">
        <w:rPr>
          <w:rFonts w:asciiTheme="minorHAnsi" w:hAnsiTheme="minorHAnsi"/>
          <w:sz w:val="20"/>
          <w:szCs w:val="20"/>
        </w:rPr>
        <w:t xml:space="preserve">Analysis of individual patient level data (IPD) has </w:t>
      </w:r>
      <w:r>
        <w:rPr>
          <w:rFonts w:asciiTheme="minorHAnsi" w:hAnsiTheme="minorHAnsi"/>
          <w:sz w:val="20"/>
          <w:szCs w:val="20"/>
        </w:rPr>
        <w:t>explored this relationship</w:t>
      </w:r>
      <w:r w:rsidR="00C93BB4" w:rsidRPr="00E10953">
        <w:rPr>
          <w:rFonts w:asciiTheme="minorHAnsi" w:hAnsiTheme="minorHAnsi"/>
          <w:sz w:val="20"/>
          <w:szCs w:val="20"/>
        </w:rPr>
        <w:t xml:space="preserve">.  </w:t>
      </w:r>
      <w:r w:rsidR="0053790B" w:rsidRPr="00E10953">
        <w:rPr>
          <w:rFonts w:asciiTheme="minorHAnsi" w:hAnsiTheme="minorHAnsi"/>
          <w:sz w:val="20"/>
          <w:szCs w:val="20"/>
        </w:rPr>
        <w:t xml:space="preserve">An example is the </w:t>
      </w:r>
      <w:r w:rsidR="0053790B" w:rsidRPr="00E10953">
        <w:rPr>
          <w:rFonts w:asciiTheme="minorHAnsi" w:hAnsiTheme="minorHAnsi" w:cs="Arial"/>
          <w:color w:val="2E2E2E"/>
          <w:sz w:val="20"/>
          <w:szCs w:val="20"/>
          <w:shd w:val="clear" w:color="auto" w:fill="FFFFFF"/>
        </w:rPr>
        <w:t>Randomised Intervention Treatment of unstable Angina</w:t>
      </w:r>
      <w:r w:rsidR="00B055CC" w:rsidRPr="00E10953">
        <w:rPr>
          <w:rStyle w:val="apple-converted-space"/>
          <w:rFonts w:asciiTheme="minorHAnsi" w:eastAsiaTheme="majorEastAsia" w:hAnsiTheme="minorHAnsi" w:cs="Arial"/>
          <w:color w:val="2E2E2E"/>
          <w:sz w:val="20"/>
          <w:szCs w:val="20"/>
          <w:shd w:val="clear" w:color="auto" w:fill="FFFFFF"/>
        </w:rPr>
        <w:t> </w:t>
      </w:r>
      <w:r w:rsidR="00B055CC" w:rsidRPr="00E10953">
        <w:rPr>
          <w:rFonts w:asciiTheme="minorHAnsi" w:hAnsiTheme="minorHAnsi"/>
          <w:sz w:val="20"/>
          <w:szCs w:val="20"/>
        </w:rPr>
        <w:t>(</w:t>
      </w:r>
      <w:r w:rsidR="0053790B" w:rsidRPr="00E10953">
        <w:rPr>
          <w:rFonts w:asciiTheme="minorHAnsi" w:hAnsiTheme="minorHAnsi"/>
          <w:sz w:val="20"/>
          <w:szCs w:val="20"/>
        </w:rPr>
        <w:t xml:space="preserve">RITA-3) trial[ </w:t>
      </w:r>
      <w:r w:rsidR="0053790B" w:rsidRPr="00E10953">
        <w:rPr>
          <w:rFonts w:asciiTheme="minorHAnsi" w:hAnsiTheme="minorHAnsi"/>
          <w:noProof/>
          <w:sz w:val="20"/>
          <w:szCs w:val="20"/>
        </w:rPr>
        <w:t>27] , which</w:t>
      </w:r>
      <w:r w:rsidR="0053790B" w:rsidRPr="00E10953">
        <w:rPr>
          <w:rFonts w:asciiTheme="minorHAnsi" w:hAnsiTheme="minorHAnsi" w:cs="Arial"/>
          <w:color w:val="2E2E2E"/>
          <w:sz w:val="20"/>
          <w:szCs w:val="20"/>
        </w:rPr>
        <w:t xml:space="preserve"> compared </w:t>
      </w:r>
      <w:r w:rsidR="0053790B" w:rsidRPr="0053790B">
        <w:rPr>
          <w:rFonts w:asciiTheme="minorHAnsi" w:hAnsiTheme="minorHAnsi" w:cs="Arial"/>
          <w:color w:val="2E2E2E"/>
          <w:sz w:val="20"/>
          <w:szCs w:val="20"/>
        </w:rPr>
        <w:t>an early interventional strategy (coronary arteriography and myocardial revascularisation as clinically appropriate) or a conservative management strategy</w:t>
      </w:r>
      <w:r w:rsidR="0053790B" w:rsidRPr="00E10953">
        <w:rPr>
          <w:rFonts w:asciiTheme="minorHAnsi" w:hAnsiTheme="minorHAnsi" w:cs="Arial"/>
          <w:color w:val="2E2E2E"/>
          <w:sz w:val="20"/>
          <w:szCs w:val="20"/>
        </w:rPr>
        <w:t xml:space="preserve"> in patients admitted with an episode of cardiac chest pain associated with documented evidence of coronary heart disease.  Resource use data</w:t>
      </w:r>
      <w:r w:rsidR="0053790B">
        <w:rPr>
          <w:rFonts w:asciiTheme="minorHAnsi" w:hAnsiTheme="minorHAnsi" w:cs="Arial"/>
          <w:color w:val="2E2E2E"/>
          <w:sz w:val="20"/>
          <w:szCs w:val="20"/>
        </w:rPr>
        <w:t xml:space="preserve">, hospital visits, procedures and medications, were </w:t>
      </w:r>
      <w:r w:rsidR="0053790B" w:rsidRPr="00E10953">
        <w:rPr>
          <w:rFonts w:asciiTheme="minorHAnsi" w:hAnsiTheme="minorHAnsi" w:cs="Arial"/>
          <w:color w:val="2E2E2E"/>
          <w:sz w:val="20"/>
          <w:szCs w:val="20"/>
        </w:rPr>
        <w:t xml:space="preserve">collected over a </w:t>
      </w:r>
      <w:r w:rsidR="0053790B" w:rsidRPr="00E10953">
        <w:rPr>
          <w:rFonts w:asciiTheme="minorHAnsi" w:hAnsiTheme="minorHAnsi" w:cs="Arial"/>
          <w:color w:val="2E2E2E"/>
          <w:sz w:val="20"/>
          <w:szCs w:val="20"/>
        </w:rPr>
        <w:lastRenderedPageBreak/>
        <w:t>5 year follow up and m</w:t>
      </w:r>
      <w:r w:rsidR="00C93BB4" w:rsidRPr="00E10953">
        <w:rPr>
          <w:rFonts w:asciiTheme="minorHAnsi" w:hAnsiTheme="minorHAnsi"/>
          <w:sz w:val="20"/>
        </w:rPr>
        <w:t>ultiple regression analysis of the 5 year follow up data from the RITA-3 trial</w:t>
      </w:r>
      <w:r w:rsidR="000B1EA0" w:rsidRPr="00E10953">
        <w:rPr>
          <w:rFonts w:asciiTheme="minorHAnsi" w:hAnsiTheme="minorHAnsi"/>
          <w:sz w:val="20"/>
        </w:rPr>
        <w:fldChar w:fldCharType="begin"/>
      </w:r>
      <w:r w:rsidR="00B055CC">
        <w:rPr>
          <w:rFonts w:asciiTheme="minorHAnsi" w:hAnsiTheme="minorHAnsi"/>
          <w:sz w:val="20"/>
        </w:rPr>
        <w:instrText xml:space="preserve"> ADDIN EN.CITE &lt;EndNote&gt;&lt;Cite&gt;&lt;Author&gt;Epstein DM&lt;/Author&gt;&lt;Year&gt;2008&lt;/Year&gt;&lt;RecNum&gt;1675&lt;/RecNum&gt;&lt;DisplayText&gt;[33]&lt;/DisplayText&gt;&lt;record&gt;&lt;rec-number&gt;1675&lt;/rec-number&gt;&lt;foreign-keys&gt;&lt;key app="EN" db-id="dz99p92dtf9avne5r2bvzva0zpft9d9ptzfr" timestamp="0"&gt;1675&lt;/key&gt;&lt;/foreign-keys&gt;&lt;ref-type name="Journal Article"&gt;17&lt;/ref-type&gt;&lt;contributors&gt;&lt;authors&gt;&lt;author&gt;Epstein DM, &lt;/author&gt;&lt;author&gt;Sculpher MJ, &lt;/author&gt;&lt;author&gt;Clayton TC, &lt;/author&gt;&lt;author&gt;Henderson RA, &lt;/author&gt;&lt;author&gt;Pocock SJ, &lt;/author&gt;&lt;author&gt;Buxton MJ, &lt;/author&gt;&lt;author&gt;Fox KAA,&lt;/author&gt;&lt;/authors&gt;&lt;/contributors&gt;&lt;titles&gt;&lt;title&gt;Costs of an early intervention versus a conservative strategy in acute coronary syndrome &lt;/title&gt;&lt;secondary-title&gt;International Journal of Cardiology&lt;/secondary-title&gt;&lt;/titles&gt;&lt;volume&gt;Volume 127, Issue 2, 4 July , Pages 240-246&lt;/volume&gt;&lt;dates&gt;&lt;year&gt;2008&lt;/year&gt;&lt;/dates&gt;&lt;urls&gt;&lt;/urls&gt;&lt;/record&gt;&lt;/Cite&gt;&lt;/EndNote&gt;</w:instrText>
      </w:r>
      <w:r w:rsidR="000B1EA0" w:rsidRPr="00E10953">
        <w:rPr>
          <w:rFonts w:asciiTheme="minorHAnsi" w:hAnsiTheme="minorHAnsi"/>
          <w:sz w:val="20"/>
        </w:rPr>
        <w:fldChar w:fldCharType="separate"/>
      </w:r>
      <w:r w:rsidR="00E10953">
        <w:rPr>
          <w:rFonts w:asciiTheme="minorHAnsi" w:hAnsiTheme="minorHAnsi"/>
          <w:noProof/>
          <w:sz w:val="20"/>
        </w:rPr>
        <w:t>[33]</w:t>
      </w:r>
      <w:r w:rsidR="000B1EA0" w:rsidRPr="00E10953">
        <w:rPr>
          <w:rFonts w:asciiTheme="minorHAnsi" w:hAnsiTheme="minorHAnsi"/>
          <w:sz w:val="20"/>
        </w:rPr>
        <w:fldChar w:fldCharType="end"/>
      </w:r>
      <w:r w:rsidR="00C93BB4" w:rsidRPr="00E10953">
        <w:rPr>
          <w:rFonts w:asciiTheme="minorHAnsi" w:hAnsiTheme="minorHAnsi"/>
          <w:sz w:val="20"/>
        </w:rPr>
        <w:t xml:space="preserve"> showed that, on average, costs increased by £737, for every 10 years over age 60.   </w:t>
      </w:r>
    </w:p>
    <w:p w14:paraId="5CFDFDAA" w14:textId="77777777" w:rsidR="00340C00" w:rsidRDefault="00340C00" w:rsidP="00E10953">
      <w:pPr>
        <w:pStyle w:val="svarticle"/>
        <w:shd w:val="clear" w:color="auto" w:fill="FFFFFF"/>
        <w:spacing w:before="0" w:beforeAutospacing="0" w:after="0" w:afterAutospacing="0" w:line="360" w:lineRule="auto"/>
        <w:textAlignment w:val="baseline"/>
        <w:rPr>
          <w:sz w:val="20"/>
        </w:rPr>
      </w:pPr>
    </w:p>
    <w:p w14:paraId="751AFFA9" w14:textId="60F0B611" w:rsidR="003E1FFD" w:rsidRPr="00340C00" w:rsidRDefault="00C93BB4" w:rsidP="00E10953">
      <w:pPr>
        <w:pStyle w:val="svarticle"/>
        <w:shd w:val="clear" w:color="auto" w:fill="FFFFFF"/>
        <w:spacing w:before="0" w:beforeAutospacing="0" w:after="0" w:afterAutospacing="0" w:line="360" w:lineRule="auto"/>
        <w:textAlignment w:val="baseline"/>
        <w:rPr>
          <w:sz w:val="20"/>
        </w:rPr>
      </w:pPr>
      <w:r w:rsidRPr="00E10953">
        <w:rPr>
          <w:rFonts w:asciiTheme="minorHAnsi" w:hAnsiTheme="minorHAnsi"/>
          <w:sz w:val="20"/>
        </w:rPr>
        <w:t xml:space="preserve">When using IPD on costs and utilities directly from </w:t>
      </w:r>
      <w:r w:rsidR="009F7543" w:rsidRPr="00E10953">
        <w:rPr>
          <w:rFonts w:asciiTheme="minorHAnsi" w:hAnsiTheme="minorHAnsi"/>
          <w:sz w:val="20"/>
        </w:rPr>
        <w:t xml:space="preserve">a </w:t>
      </w:r>
      <w:r w:rsidRPr="00E10953">
        <w:rPr>
          <w:rFonts w:asciiTheme="minorHAnsi" w:hAnsiTheme="minorHAnsi"/>
          <w:sz w:val="20"/>
        </w:rPr>
        <w:t xml:space="preserve">trial that </w:t>
      </w:r>
      <w:r w:rsidR="002D06F5">
        <w:rPr>
          <w:rFonts w:asciiTheme="minorHAnsi" w:hAnsiTheme="minorHAnsi"/>
          <w:sz w:val="20"/>
        </w:rPr>
        <w:t xml:space="preserve">has </w:t>
      </w:r>
      <w:r w:rsidR="009F7543" w:rsidRPr="00E10953">
        <w:rPr>
          <w:rFonts w:asciiTheme="minorHAnsi" w:hAnsiTheme="minorHAnsi"/>
          <w:sz w:val="20"/>
        </w:rPr>
        <w:t xml:space="preserve">also </w:t>
      </w:r>
      <w:r w:rsidRPr="00E10953">
        <w:rPr>
          <w:rFonts w:asciiTheme="minorHAnsi" w:hAnsiTheme="minorHAnsi"/>
          <w:sz w:val="20"/>
        </w:rPr>
        <w:t xml:space="preserve">provided effectiveness data to model the disease prognosis, the distinction between those analyses that do not account for time (e.g. cross sectional analyses at a fixed time point) </w:t>
      </w:r>
      <w:r w:rsidR="009F7543" w:rsidRPr="00E10953">
        <w:rPr>
          <w:rFonts w:asciiTheme="minorHAnsi" w:hAnsiTheme="minorHAnsi"/>
          <w:sz w:val="20"/>
        </w:rPr>
        <w:t xml:space="preserve">and </w:t>
      </w:r>
      <w:r w:rsidRPr="00E10953">
        <w:rPr>
          <w:rFonts w:asciiTheme="minorHAnsi" w:hAnsiTheme="minorHAnsi"/>
          <w:sz w:val="20"/>
        </w:rPr>
        <w:t>those analyses that explicitly model time, such as longitudinal and time-to-event studies</w:t>
      </w:r>
      <w:r w:rsidR="00EA6DD3" w:rsidRPr="00E10953">
        <w:rPr>
          <w:rFonts w:asciiTheme="minorHAnsi" w:hAnsiTheme="minorHAnsi"/>
          <w:sz w:val="20"/>
        </w:rPr>
        <w:t xml:space="preserve">, </w:t>
      </w:r>
      <w:r w:rsidR="009F7543" w:rsidRPr="00E10953">
        <w:rPr>
          <w:rFonts w:asciiTheme="minorHAnsi" w:hAnsiTheme="minorHAnsi"/>
          <w:sz w:val="20"/>
        </w:rPr>
        <w:t>is</w:t>
      </w:r>
      <w:r w:rsidRPr="00E10953">
        <w:rPr>
          <w:rFonts w:asciiTheme="minorHAnsi" w:hAnsiTheme="minorHAnsi"/>
          <w:sz w:val="20"/>
        </w:rPr>
        <w:t xml:space="preserve"> </w:t>
      </w:r>
      <w:r w:rsidR="00B678CA" w:rsidRPr="00E10953">
        <w:rPr>
          <w:rFonts w:asciiTheme="minorHAnsi" w:hAnsiTheme="minorHAnsi"/>
          <w:sz w:val="20"/>
        </w:rPr>
        <w:t>c</w:t>
      </w:r>
      <w:r w:rsidR="009F7543" w:rsidRPr="00E10953">
        <w:rPr>
          <w:rFonts w:asciiTheme="minorHAnsi" w:hAnsiTheme="minorHAnsi"/>
          <w:sz w:val="20"/>
        </w:rPr>
        <w:t xml:space="preserve">rucial. </w:t>
      </w:r>
      <w:r w:rsidR="00831FCA" w:rsidRPr="00E10953">
        <w:rPr>
          <w:rFonts w:asciiTheme="minorHAnsi" w:hAnsiTheme="minorHAnsi"/>
          <w:sz w:val="20"/>
        </w:rPr>
        <w:t xml:space="preserve">Many models use cross-sectional data to estimate the relationship between an outcome (e.g. cost or utility) and its predictor (e.g. a clinical measure of disease severity). </w:t>
      </w:r>
      <w:r w:rsidR="009F7543" w:rsidRPr="00E10953">
        <w:rPr>
          <w:rFonts w:asciiTheme="minorHAnsi" w:hAnsiTheme="minorHAnsi"/>
          <w:sz w:val="20"/>
        </w:rPr>
        <w:t>I</w:t>
      </w:r>
      <w:r w:rsidRPr="00E10953">
        <w:rPr>
          <w:rFonts w:asciiTheme="minorHAnsi" w:hAnsiTheme="minorHAnsi"/>
          <w:sz w:val="20"/>
        </w:rPr>
        <w:t>t could be argued that if one is interested in analysing IPD to derive input parameters to model long term cost</w:t>
      </w:r>
      <w:r w:rsidR="00DC639C">
        <w:rPr>
          <w:rFonts w:asciiTheme="minorHAnsi" w:hAnsiTheme="minorHAnsi"/>
          <w:sz w:val="20"/>
        </w:rPr>
        <w:t>s</w:t>
      </w:r>
      <w:r w:rsidRPr="00E10953">
        <w:rPr>
          <w:rFonts w:asciiTheme="minorHAnsi" w:hAnsiTheme="minorHAnsi"/>
          <w:sz w:val="20"/>
        </w:rPr>
        <w:t xml:space="preserve"> and utilities, access to longitudinal outcome dataset is </w:t>
      </w:r>
      <w:r w:rsidR="00B678CA" w:rsidRPr="00E10953">
        <w:rPr>
          <w:rFonts w:asciiTheme="minorHAnsi" w:hAnsiTheme="minorHAnsi"/>
          <w:sz w:val="20"/>
        </w:rPr>
        <w:t>preferred</w:t>
      </w:r>
      <w:r w:rsidR="006C5F54" w:rsidRPr="00E10953">
        <w:rPr>
          <w:rFonts w:asciiTheme="minorHAnsi" w:hAnsiTheme="minorHAnsi"/>
          <w:sz w:val="20"/>
        </w:rPr>
        <w:t>, however i</w:t>
      </w:r>
      <w:r w:rsidR="00ED3401" w:rsidRPr="00E10953">
        <w:rPr>
          <w:rFonts w:asciiTheme="minorHAnsi" w:hAnsiTheme="minorHAnsi"/>
          <w:sz w:val="20"/>
        </w:rPr>
        <w:t xml:space="preserve">n some instances longitudinal data </w:t>
      </w:r>
      <w:r w:rsidR="00B678CA" w:rsidRPr="00E10953">
        <w:rPr>
          <w:rFonts w:asciiTheme="minorHAnsi" w:hAnsiTheme="minorHAnsi"/>
          <w:sz w:val="20"/>
        </w:rPr>
        <w:t xml:space="preserve">does not ensure </w:t>
      </w:r>
      <w:r w:rsidR="00625E37" w:rsidRPr="00E10953">
        <w:rPr>
          <w:rFonts w:asciiTheme="minorHAnsi" w:hAnsiTheme="minorHAnsi"/>
          <w:sz w:val="20"/>
        </w:rPr>
        <w:t xml:space="preserve">that </w:t>
      </w:r>
      <w:r w:rsidR="006C5F54" w:rsidRPr="00E10953">
        <w:rPr>
          <w:rFonts w:asciiTheme="minorHAnsi" w:hAnsiTheme="minorHAnsi"/>
          <w:sz w:val="20"/>
        </w:rPr>
        <w:t>any differences over time are captured</w:t>
      </w:r>
      <w:r w:rsidR="00831FCA" w:rsidRPr="00E10953">
        <w:rPr>
          <w:rFonts w:asciiTheme="minorHAnsi" w:hAnsiTheme="minorHAnsi" w:cs="Calibri"/>
          <w:sz w:val="20"/>
        </w:rPr>
        <w:t>, depending on the length of follow up</w:t>
      </w:r>
      <w:r w:rsidR="00E60B8B" w:rsidRPr="00E10953">
        <w:rPr>
          <w:rFonts w:asciiTheme="minorHAnsi" w:hAnsiTheme="minorHAnsi" w:cs="Calibri"/>
          <w:sz w:val="20"/>
        </w:rPr>
        <w:fldChar w:fldCharType="begin"/>
      </w:r>
      <w:r w:rsidR="00E10953">
        <w:rPr>
          <w:rFonts w:asciiTheme="minorHAnsi" w:hAnsiTheme="minorHAnsi" w:cs="Calibri"/>
          <w:sz w:val="20"/>
        </w:rPr>
        <w:instrText xml:space="preserve"> ADDIN EN.CITE &lt;EndNote&gt;&lt;Cite&gt;&lt;Author&gt;Alva M&lt;/Author&gt;&lt;Year&gt;2014&lt;/Year&gt;&lt;RecNum&gt;1692&lt;/RecNum&gt;&lt;DisplayText&gt;[34]&lt;/DisplayText&gt;&lt;record&gt;&lt;rec-number&gt;1692&lt;/rec-number&gt;&lt;foreign-keys&gt;&lt;key app="EN" db-id="dz99p92dtf9avne5r2bvzva0zpft9d9ptzfr" timestamp="1470412873"&gt;1692&lt;/key&gt;&lt;/foreign-keys&gt;&lt;ref-type name="Journal Article"&gt;17&lt;/ref-type&gt;&lt;contributors&gt;&lt;authors&gt;&lt;author&gt;Alva M, Gray A, Mihaylova B, Clarke P,&lt;/author&gt;&lt;/authors&gt;&lt;/contributors&gt;&lt;titles&gt;&lt;title&gt;The effect of diabetes complications on health-related quality of life: the importance of longitudinal data to address patient heterogeneity&lt;/title&gt;&lt;secondary-title&gt;Health Econ&lt;/secondary-title&gt;&lt;/titles&gt;&lt;periodical&gt;&lt;full-title&gt;Health Econ&lt;/full-title&gt;&lt;/periodical&gt;&lt;pages&gt;487-500&lt;/pages&gt;&lt;volume&gt;23 &lt;/volume&gt;&lt;number&gt;4&lt;/number&gt;&lt;dates&gt;&lt;year&gt;2014&lt;/year&gt;&lt;/dates&gt;&lt;urls&gt;&lt;/urls&gt;&lt;/record&gt;&lt;/Cite&gt;&lt;/EndNote&gt;</w:instrText>
      </w:r>
      <w:r w:rsidR="00E60B8B" w:rsidRPr="00E10953">
        <w:rPr>
          <w:rFonts w:asciiTheme="minorHAnsi" w:hAnsiTheme="minorHAnsi" w:cs="Calibri"/>
          <w:sz w:val="20"/>
        </w:rPr>
        <w:fldChar w:fldCharType="separate"/>
      </w:r>
      <w:r w:rsidR="00E10953">
        <w:rPr>
          <w:rFonts w:asciiTheme="minorHAnsi" w:hAnsiTheme="minorHAnsi" w:cs="Calibri"/>
          <w:noProof/>
          <w:sz w:val="20"/>
        </w:rPr>
        <w:t>[34]</w:t>
      </w:r>
      <w:r w:rsidR="00E60B8B" w:rsidRPr="00E10953">
        <w:rPr>
          <w:rFonts w:asciiTheme="minorHAnsi" w:hAnsiTheme="minorHAnsi" w:cs="Calibri"/>
          <w:sz w:val="20"/>
        </w:rPr>
        <w:fldChar w:fldCharType="end"/>
      </w:r>
      <w:r w:rsidR="002D06F5">
        <w:rPr>
          <w:rFonts w:asciiTheme="minorHAnsi" w:hAnsiTheme="minorHAnsi" w:cs="Calibri"/>
          <w:sz w:val="20"/>
        </w:rPr>
        <w:t>.</w:t>
      </w:r>
      <w:r w:rsidRPr="00E10953">
        <w:rPr>
          <w:rFonts w:asciiTheme="minorHAnsi" w:hAnsiTheme="minorHAnsi"/>
          <w:sz w:val="20"/>
        </w:rPr>
        <w:t xml:space="preserve"> </w:t>
      </w:r>
      <w:r w:rsidR="00B678CA" w:rsidRPr="00E10953">
        <w:rPr>
          <w:rFonts w:asciiTheme="minorHAnsi" w:hAnsiTheme="minorHAnsi"/>
          <w:sz w:val="20"/>
        </w:rPr>
        <w:t xml:space="preserve"> </w:t>
      </w:r>
    </w:p>
    <w:p w14:paraId="2855364B" w14:textId="77777777" w:rsidR="00340C00" w:rsidRPr="0053790B" w:rsidRDefault="00340C00" w:rsidP="0053790B">
      <w:pPr>
        <w:spacing w:after="0" w:line="360" w:lineRule="auto"/>
        <w:rPr>
          <w:sz w:val="20"/>
        </w:rPr>
      </w:pPr>
    </w:p>
    <w:p w14:paraId="7A32136A" w14:textId="2C3B5B7D" w:rsidR="00C40569" w:rsidRDefault="00C40569" w:rsidP="00C40569">
      <w:pPr>
        <w:spacing w:after="0" w:line="360" w:lineRule="auto"/>
        <w:rPr>
          <w:rFonts w:cs="Calibri"/>
          <w:sz w:val="20"/>
        </w:rPr>
      </w:pPr>
      <w:r w:rsidRPr="001625AB">
        <w:rPr>
          <w:sz w:val="20"/>
        </w:rPr>
        <w:t>Cro</w:t>
      </w:r>
      <w:r w:rsidRPr="001625AB">
        <w:rPr>
          <w:rFonts w:cs="Calibri"/>
          <w:sz w:val="20"/>
        </w:rPr>
        <w:t>ss-sectional data can provide information about differences in costs and utilities for patients as a function of age as well as disease stage/health state, provided that the sample includes sufficient patients across the range of age</w:t>
      </w:r>
      <w:r w:rsidR="0053790B" w:rsidRPr="00E10953">
        <w:rPr>
          <w:rFonts w:cs="Calibri"/>
          <w:sz w:val="20"/>
        </w:rPr>
        <w:t>s</w:t>
      </w:r>
      <w:r w:rsidRPr="001625AB">
        <w:rPr>
          <w:rFonts w:cs="Calibri"/>
          <w:sz w:val="20"/>
        </w:rPr>
        <w:t xml:space="preserve"> and disease stages relevant </w:t>
      </w:r>
      <w:r w:rsidR="0053790B" w:rsidRPr="00E10953">
        <w:rPr>
          <w:rFonts w:cs="Calibri"/>
          <w:sz w:val="20"/>
        </w:rPr>
        <w:t xml:space="preserve">to inform </w:t>
      </w:r>
      <w:r w:rsidRPr="001625AB">
        <w:rPr>
          <w:rFonts w:cs="Calibri"/>
          <w:sz w:val="20"/>
        </w:rPr>
        <w:t xml:space="preserve">the economic model. In addition analysts should perform analyses which account for trends over time and apply the data appropriately in the economic model. The cross sectional data must also reflect a patient’s </w:t>
      </w:r>
      <w:r w:rsidR="0053790B" w:rsidRPr="00E10953">
        <w:rPr>
          <w:rFonts w:cs="Calibri"/>
          <w:sz w:val="20"/>
        </w:rPr>
        <w:t>characteristics</w:t>
      </w:r>
      <w:r w:rsidRPr="001625AB">
        <w:rPr>
          <w:rFonts w:cs="Calibri"/>
          <w:sz w:val="20"/>
        </w:rPr>
        <w:t>, where it is likely to influence costs and utilities, for example health states defined using weight categories, where an individual’s previous weight is likely to have an impact on their future risk of events, including diabetes.</w:t>
      </w:r>
      <w:r w:rsidRPr="00C40569">
        <w:rPr>
          <w:rFonts w:cs="Calibri"/>
          <w:sz w:val="20"/>
        </w:rPr>
        <w:t xml:space="preserve"> </w:t>
      </w:r>
    </w:p>
    <w:p w14:paraId="1E13B74B" w14:textId="77777777" w:rsidR="00C40569" w:rsidRDefault="00C40569" w:rsidP="00C40569">
      <w:pPr>
        <w:spacing w:after="0" w:line="360" w:lineRule="auto"/>
        <w:rPr>
          <w:sz w:val="20"/>
        </w:rPr>
      </w:pPr>
    </w:p>
    <w:p w14:paraId="58E475A8" w14:textId="30B2EF6C" w:rsidR="00C40569" w:rsidRPr="00C40569" w:rsidRDefault="00C40569" w:rsidP="00C40569">
      <w:pPr>
        <w:spacing w:after="0" w:line="360" w:lineRule="auto"/>
        <w:rPr>
          <w:sz w:val="20"/>
          <w:lang w:val="en-US"/>
        </w:rPr>
      </w:pPr>
      <w:r w:rsidRPr="00C40569">
        <w:rPr>
          <w:sz w:val="20"/>
        </w:rPr>
        <w:t xml:space="preserve">Predominately, </w:t>
      </w:r>
      <w:r>
        <w:rPr>
          <w:sz w:val="20"/>
        </w:rPr>
        <w:t xml:space="preserve">IPD has been utilised to extrapolate costs and utilities, </w:t>
      </w:r>
      <w:r w:rsidRPr="00C40569">
        <w:rPr>
          <w:sz w:val="20"/>
        </w:rPr>
        <w:t xml:space="preserve">where outcome data are available at multiple follow up points, e.g. HAQ for rheumatoid arthritis and psoriatic arthritis </w:t>
      </w:r>
      <w:r w:rsidRPr="00C40569">
        <w:rPr>
          <w:sz w:val="20"/>
          <w:lang w:val="en-US"/>
        </w:rPr>
        <w:fldChar w:fldCharType="begin">
          <w:fldData xml:space="preserve">PEVuZE5vdGU+PENpdGU+PEF1dGhvcj5CcmF2byBWZXJnZWw8L0F1dGhvcj48WWVhcj4yMDA3PC9Z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</w:fldData>
        </w:fldChar>
      </w:r>
      <w:r w:rsidR="00E10953">
        <w:rPr>
          <w:sz w:val="20"/>
          <w:lang w:val="en-US"/>
        </w:rPr>
        <w:instrText xml:space="preserve"> ADDIN EN.CITE </w:instrText>
      </w:r>
      <w:r w:rsidR="00E10953">
        <w:rPr>
          <w:sz w:val="20"/>
          <w:lang w:val="en-US"/>
        </w:rPr>
        <w:fldChar w:fldCharType="begin">
          <w:fldData xml:space="preserve">PEVuZE5vdGU+PENpdGU+PEF1dGhvcj5CcmF2byBWZXJnZWw8L0F1dGhvcj48WWVhcj4yMDA3PC9Z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</w:fldData>
        </w:fldChar>
      </w:r>
      <w:r w:rsidR="00E10953">
        <w:rPr>
          <w:sz w:val="20"/>
          <w:lang w:val="en-US"/>
        </w:rPr>
        <w:instrText xml:space="preserve"> ADDIN EN.CITE.DATA </w:instrText>
      </w:r>
      <w:r w:rsidR="00E10953">
        <w:rPr>
          <w:sz w:val="20"/>
          <w:lang w:val="en-US"/>
        </w:rPr>
      </w:r>
      <w:r w:rsidR="00E10953">
        <w:rPr>
          <w:sz w:val="20"/>
          <w:lang w:val="en-US"/>
        </w:rPr>
        <w:fldChar w:fldCharType="end"/>
      </w:r>
      <w:r w:rsidRPr="00C40569">
        <w:rPr>
          <w:sz w:val="20"/>
          <w:lang w:val="en-US"/>
        </w:rPr>
      </w:r>
      <w:r w:rsidRPr="00C40569">
        <w:rPr>
          <w:sz w:val="20"/>
          <w:lang w:val="en-US"/>
        </w:rPr>
        <w:fldChar w:fldCharType="separate"/>
      </w:r>
      <w:r w:rsidR="00E10953">
        <w:rPr>
          <w:noProof/>
          <w:sz w:val="20"/>
          <w:lang w:val="en-US"/>
        </w:rPr>
        <w:t>[24-28, 35]</w:t>
      </w:r>
      <w:r w:rsidRPr="00C40569">
        <w:rPr>
          <w:sz w:val="20"/>
          <w:lang w:val="en-US"/>
        </w:rPr>
        <w:fldChar w:fldCharType="end"/>
      </w:r>
      <w:r w:rsidRPr="00C40569">
        <w:rPr>
          <w:sz w:val="20"/>
        </w:rPr>
        <w:t xml:space="preserve">.  </w:t>
      </w:r>
      <w:r w:rsidR="002D06F5">
        <w:rPr>
          <w:sz w:val="20"/>
        </w:rPr>
        <w:t xml:space="preserve">In these examples </w:t>
      </w:r>
      <w:r w:rsidRPr="00C40569">
        <w:rPr>
          <w:sz w:val="20"/>
        </w:rPr>
        <w:t xml:space="preserve">condition specific outcomes are extrapolated using appropriate methodology and the resulting costs and utilities derived using mapping algorithms. </w:t>
      </w:r>
      <w:r>
        <w:rPr>
          <w:sz w:val="20"/>
        </w:rPr>
        <w:t>R</w:t>
      </w:r>
      <w:r w:rsidRPr="00C40569">
        <w:rPr>
          <w:sz w:val="20"/>
        </w:rPr>
        <w:t xml:space="preserve">egression models using data from a single </w:t>
      </w:r>
      <w:r w:rsidR="00DC639C">
        <w:rPr>
          <w:sz w:val="20"/>
        </w:rPr>
        <w:t>randomised controlled trial</w:t>
      </w:r>
      <w:r w:rsidRPr="00C40569">
        <w:rPr>
          <w:sz w:val="20"/>
        </w:rPr>
        <w:t xml:space="preserve">collecting HAQ and/or </w:t>
      </w:r>
      <w:r w:rsidR="00707FF2">
        <w:rPr>
          <w:sz w:val="20"/>
        </w:rPr>
        <w:t>Psoriasis</w:t>
      </w:r>
      <w:r w:rsidR="00340C00">
        <w:rPr>
          <w:sz w:val="20"/>
        </w:rPr>
        <w:t xml:space="preserve"> Area Severity Index (</w:t>
      </w:r>
      <w:r w:rsidRPr="00C40569">
        <w:rPr>
          <w:sz w:val="20"/>
        </w:rPr>
        <w:t>PASI</w:t>
      </w:r>
      <w:r w:rsidR="00340C00">
        <w:rPr>
          <w:sz w:val="20"/>
        </w:rPr>
        <w:t>)</w:t>
      </w:r>
      <w:r w:rsidRPr="00C40569">
        <w:rPr>
          <w:sz w:val="20"/>
        </w:rPr>
        <w:t xml:space="preserve"> and EQ-5D or costs (relating to HAQ or PASI) have been used to represent the association between HAQ/HAQ+PASI score, for instance, and EQ-5D or costs</w:t>
      </w:r>
      <w:r w:rsidRPr="00C40569">
        <w:rPr>
          <w:sz w:val="20"/>
          <w:lang w:val="en-US"/>
        </w:rPr>
        <w:fldChar w:fldCharType="begin">
          <w:fldData xml:space="preserve">PEVuZE5vdGU+PENpdGU+PEF1dGhvcj5CcmF2byBWZXJnZWw8L0F1dGhvcj48WWVhcj4yMDA3PC9Z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</w:fldData>
        </w:fldChar>
      </w:r>
      <w:r w:rsidR="00E10953">
        <w:rPr>
          <w:sz w:val="20"/>
          <w:lang w:val="en-US"/>
        </w:rPr>
        <w:instrText xml:space="preserve"> ADDIN EN.CITE </w:instrText>
      </w:r>
      <w:r w:rsidR="00E10953">
        <w:rPr>
          <w:sz w:val="20"/>
          <w:lang w:val="en-US"/>
        </w:rPr>
        <w:fldChar w:fldCharType="begin">
          <w:fldData xml:space="preserve">PEVuZE5vdGU+PENpdGU+PEF1dGhvcj5CcmF2byBWZXJnZWw8L0F1dGhvcj48WWVhcj4yMDA3PC9Z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</w:fldData>
        </w:fldChar>
      </w:r>
      <w:r w:rsidR="00E10953">
        <w:rPr>
          <w:sz w:val="20"/>
          <w:lang w:val="en-US"/>
        </w:rPr>
        <w:instrText xml:space="preserve"> ADDIN EN.CITE.DATA </w:instrText>
      </w:r>
      <w:r w:rsidR="00E10953">
        <w:rPr>
          <w:sz w:val="20"/>
          <w:lang w:val="en-US"/>
        </w:rPr>
      </w:r>
      <w:r w:rsidR="00E10953">
        <w:rPr>
          <w:sz w:val="20"/>
          <w:lang w:val="en-US"/>
        </w:rPr>
        <w:fldChar w:fldCharType="end"/>
      </w:r>
      <w:r w:rsidRPr="00C40569">
        <w:rPr>
          <w:sz w:val="20"/>
          <w:lang w:val="en-US"/>
        </w:rPr>
      </w:r>
      <w:r w:rsidRPr="00C40569">
        <w:rPr>
          <w:sz w:val="20"/>
          <w:lang w:val="en-US"/>
        </w:rPr>
        <w:fldChar w:fldCharType="separate"/>
      </w:r>
      <w:r w:rsidR="00E10953">
        <w:rPr>
          <w:noProof/>
          <w:sz w:val="20"/>
          <w:lang w:val="en-US"/>
        </w:rPr>
        <w:t>[24-28, 35]</w:t>
      </w:r>
      <w:r w:rsidRPr="00C40569">
        <w:rPr>
          <w:sz w:val="20"/>
          <w:lang w:val="en-US"/>
        </w:rPr>
        <w:fldChar w:fldCharType="end"/>
      </w:r>
      <w:r w:rsidR="002D06F5">
        <w:rPr>
          <w:sz w:val="20"/>
          <w:lang w:val="en-US"/>
        </w:rPr>
        <w:t>.</w:t>
      </w:r>
      <w:r w:rsidRPr="00C40569">
        <w:rPr>
          <w:sz w:val="20"/>
        </w:rPr>
        <w:t xml:space="preserve"> Time dependency in the EQ-5D is then modelled indirectly as function of the change in longitudinal outcomes over time.  Unfortunately none of these models have also controlled for the covariate age, which would have facilitated the incorporation of the population ageing process.  It is possible that some of this will be implicitly captured by the declining HAQ score over time for instance, i.e. those with worse HAQ scores are likely to be older (however the relationship is unlikely to be exact). Similar approaches have been used for other degenerative conditions, such as advanced macular degeneration (AMD</w:t>
      </w:r>
      <w:r w:rsidRPr="00C40569">
        <w:rPr>
          <w:sz w:val="20"/>
          <w:lang w:val="en-US"/>
        </w:rPr>
        <w:t>)</w:t>
      </w:r>
      <w:r w:rsidRPr="00C40569">
        <w:rPr>
          <w:sz w:val="20"/>
          <w:lang w:val="en-US"/>
        </w:rPr>
        <w:fldChar w:fldCharType="begin"/>
      </w:r>
      <w:r w:rsidR="00E10953">
        <w:rPr>
          <w:sz w:val="20"/>
          <w:lang w:val="en-US"/>
        </w:rPr>
        <w:instrText xml:space="preserve"> ADDIN EN.CITE &lt;EndNote&gt;&lt;Cite&gt;&lt;Author&gt;Karnon J&lt;/Author&gt;&lt;Year&gt;2008&lt;/Year&gt;&lt;RecNum&gt;1667&lt;/RecNum&gt;&lt;DisplayText&gt;[36]&lt;/DisplayText&gt;&lt;record&gt;&lt;rec-number&gt;1667&lt;/rec-number&gt;&lt;foreign-keys&gt;&lt;key app="EN" db-id="dz99p92dtf9avne5r2bvzva0zpft9d9ptzfr" timestamp="0"&gt;1667&lt;/key&gt;&lt;/foreign-keys&gt;&lt;ref-type name="Report"&gt;27&lt;/ref-type&gt;&lt;contributors&gt;&lt;authors&gt;&lt;author&gt;Karnon J, &lt;/author&gt;&lt;author&gt;Czoski-Murray C, &lt;/author&gt;&lt;author&gt;Smith K, &lt;/author&gt;&lt;author&gt;Brand C, &lt;/author&gt;&lt;author&gt;Chakravarthy U, &lt;/author&gt;&lt;author&gt;Davis S, &lt;/author&gt;&lt;author&gt;Bansback N, &lt;/author&gt;&lt;author&gt;Beverley C, &lt;/author&gt;&lt;author&gt;Bird A, &lt;/author&gt;&lt;author&gt;Harding S,&lt;/author&gt;&lt;author&gt;Chisholm I, &lt;/author&gt;&lt;author&gt;Yang YC,&lt;/author&gt;&lt;/authors&gt;&lt;/contributors&gt;&lt;titles&gt;&lt;title&gt;Screening programme for early age-related macular degeneration&amp;#x9;&lt;/title&gt;&lt;/titles&gt;&lt;volume&gt;27&lt;/volume&gt;&lt;num-vols&gt;12&lt;/num-vols&gt;&lt;dates&gt;&lt;year&gt;2008&lt;/year&gt;&lt;/dates&gt;&lt;publisher&gt;Health Technolgy Assessment&lt;/publisher&gt;&lt;urls&gt;&lt;/urls&gt;&lt;/record&gt;&lt;/Cite&gt;&lt;/EndNote&gt;</w:instrText>
      </w:r>
      <w:r w:rsidRPr="00C40569">
        <w:rPr>
          <w:sz w:val="20"/>
          <w:lang w:val="en-US"/>
        </w:rPr>
        <w:fldChar w:fldCharType="separate"/>
      </w:r>
      <w:r w:rsidR="00E10953">
        <w:rPr>
          <w:noProof/>
          <w:sz w:val="20"/>
          <w:lang w:val="en-US"/>
        </w:rPr>
        <w:t>[36]</w:t>
      </w:r>
      <w:r w:rsidRPr="00C40569">
        <w:rPr>
          <w:sz w:val="20"/>
          <w:lang w:val="en-US"/>
        </w:rPr>
        <w:fldChar w:fldCharType="end"/>
      </w:r>
      <w:r w:rsidRPr="00C40569">
        <w:rPr>
          <w:sz w:val="20"/>
          <w:lang w:val="en-US"/>
        </w:rPr>
        <w:t xml:space="preserve">, where regression analysis </w:t>
      </w:r>
      <w:r w:rsidRPr="00C40569">
        <w:rPr>
          <w:sz w:val="20"/>
        </w:rPr>
        <w:t xml:space="preserve">has been employed to relate responses to the </w:t>
      </w:r>
      <w:r w:rsidR="00340C00">
        <w:rPr>
          <w:sz w:val="20"/>
        </w:rPr>
        <w:t>Health Utilities Index (</w:t>
      </w:r>
      <w:r w:rsidRPr="00C40569">
        <w:rPr>
          <w:sz w:val="20"/>
        </w:rPr>
        <w:t>HUI</w:t>
      </w:r>
      <w:r w:rsidR="00340C00">
        <w:rPr>
          <w:sz w:val="20"/>
        </w:rPr>
        <w:t>)</w:t>
      </w:r>
      <w:r w:rsidRPr="00C40569">
        <w:rPr>
          <w:sz w:val="20"/>
        </w:rPr>
        <w:t>3 questionnaire for 209 individuals with AMD to both their visual acuity (VA) status and age. Results from this linear regression model were then used in a cost-effectiveness model to predict utility values (accounting for sampling uncertainty in the estimated parameters) for specific health states</w:t>
      </w:r>
      <w:r w:rsidRPr="00C40569">
        <w:rPr>
          <w:sz w:val="20"/>
          <w:lang w:val="en-US"/>
        </w:rPr>
        <w:t xml:space="preserve"> in the decision model. A separate scenario using another non-age adjusted utility algorithm was also used in a sensitivity analysis.</w:t>
      </w:r>
    </w:p>
    <w:p w14:paraId="3B2EB373" w14:textId="77777777" w:rsidR="003E1FFD" w:rsidRPr="00C40569" w:rsidRDefault="003E1FFD" w:rsidP="00256023">
      <w:pPr>
        <w:spacing w:after="0" w:line="360" w:lineRule="auto"/>
        <w:rPr>
          <w:sz w:val="20"/>
        </w:rPr>
      </w:pPr>
    </w:p>
    <w:bookmarkEnd w:id="3"/>
    <w:bookmarkEnd w:id="4"/>
    <w:bookmarkEnd w:id="5"/>
    <w:p w14:paraId="66CCE79E" w14:textId="3C5F5849" w:rsidR="00C40569" w:rsidRPr="00C40569" w:rsidRDefault="00C40569" w:rsidP="00C40569">
      <w:pPr>
        <w:spacing w:after="0" w:line="360" w:lineRule="auto"/>
        <w:rPr>
          <w:sz w:val="20"/>
        </w:rPr>
      </w:pPr>
      <w:r w:rsidRPr="00C40569">
        <w:rPr>
          <w:sz w:val="20"/>
        </w:rPr>
        <w:lastRenderedPageBreak/>
        <w:t xml:space="preserve">Regardless of whether data is available from a cross sectional or longitudinal study, in situations where utilities and costs come from patient level data outside the trial, it is imperative to </w:t>
      </w:r>
      <w:r w:rsidRPr="00C40569">
        <w:rPr>
          <w:rFonts w:cs="Calibri"/>
          <w:sz w:val="20"/>
        </w:rPr>
        <w:t>explore whether (and, if possible adjust for) any differences in patient characteristics between the external data set and trial population.</w:t>
      </w:r>
      <w:r>
        <w:rPr>
          <w:rFonts w:cs="Calibri"/>
          <w:sz w:val="20"/>
        </w:rPr>
        <w:t xml:space="preserve"> Explicit consideration of any differences is not typically undertaken, and more often than not simple sensitivity analysis will instead be employed, for example increasing costs to a specified amount to reflect a more severe case mix modelled in the analysis.</w:t>
      </w:r>
      <w:r w:rsidR="00033FE1">
        <w:rPr>
          <w:rFonts w:cs="Calibri"/>
          <w:sz w:val="20"/>
        </w:rPr>
        <w:t xml:space="preserve"> For example in a recent model developed as part of a NICE appraisal for psoriatic arthritis, health state costs for patients experiencing more extensive psoriasis were increased, under the expectation that they would utilise more expensive treatments</w:t>
      </w:r>
      <w:r w:rsidR="00033FE1">
        <w:rPr>
          <w:rFonts w:cs="Calibri"/>
          <w:sz w:val="20"/>
        </w:rPr>
        <w:fldChar w:fldCharType="begin"/>
      </w:r>
      <w:r w:rsidR="00E10953">
        <w:rPr>
          <w:rFonts w:cs="Calibri"/>
          <w:sz w:val="20"/>
        </w:rPr>
        <w:instrText xml:space="preserve"> ADDIN EN.CITE &lt;EndNote&gt;&lt;Cite&gt;&lt;Author&gt;Corbett M&lt;/Author&gt;&lt;Year&gt;2017&lt;/Year&gt;&lt;RecNum&gt;1707&lt;/RecNum&gt;&lt;DisplayText&gt;[37]&lt;/DisplayText&gt;&lt;record&gt;&lt;rec-number&gt;1707&lt;/rec-number&gt;&lt;foreign-keys&gt;&lt;key app="EN" db-id="dz99p92dtf9avne5r2bvzva0zpft9d9ptzfr" timestamp="1490198772"&gt;1707&lt;/key&gt;&lt;/foreign-keys&gt;&lt;ref-type name="Report"&gt;27&lt;/ref-type&gt;&lt;contributors&gt;&lt;authors&gt;&lt;author&gt;Corbett M,&lt;/author&gt;&lt;author&gt;Chehadah F,&lt;/author&gt;&lt;author&gt;Biswas M,&lt;/author&gt;&lt;author&gt;Moe-Byre T,&lt;/author&gt;&lt;author&gt;Palmer S,&lt;/author&gt;&lt;author&gt;Soares M,&lt;/author&gt;&lt;author&gt;Walton M,&lt;/author&gt;&lt;author&gt;Harden M,&lt;/author&gt;&lt;author&gt;Ho P,&lt;/author&gt;&lt;author&gt;Woolacott N,&lt;/author&gt;&lt;author&gt;Bojke L,&lt;/author&gt;&lt;/authors&gt;&lt;secondary-authors&gt;&lt;author&gt;Health Technology Assessment&lt;/author&gt;&lt;/secondary-authors&gt;&lt;/contributors&gt;&lt;titles&gt;&lt;title&gt;Certolizumab pegol and secukinumab for treating active psoriatic arthritis following inadequate response to disease modifying anti-rheumatic drugs: a systematic review and economic evaluation&lt;/title&gt;&lt;/titles&gt;&lt;volume&gt; forthcoming&lt;/volume&gt;&lt;dates&gt;&lt;year&gt;2017&lt;/year&gt;&lt;/dates&gt;&lt;urls&gt;&lt;/urls&gt;&lt;/record&gt;&lt;/Cite&gt;&lt;/EndNote&gt;</w:instrText>
      </w:r>
      <w:r w:rsidR="00033FE1">
        <w:rPr>
          <w:rFonts w:cs="Calibri"/>
          <w:sz w:val="20"/>
        </w:rPr>
        <w:fldChar w:fldCharType="separate"/>
      </w:r>
      <w:r w:rsidR="00E10953">
        <w:rPr>
          <w:rFonts w:cs="Calibri"/>
          <w:noProof/>
          <w:sz w:val="20"/>
        </w:rPr>
        <w:t>[37]</w:t>
      </w:r>
      <w:r w:rsidR="00033FE1">
        <w:rPr>
          <w:rFonts w:cs="Calibri"/>
          <w:sz w:val="20"/>
        </w:rPr>
        <w:fldChar w:fldCharType="end"/>
      </w:r>
      <w:r w:rsidR="00033FE1">
        <w:rPr>
          <w:rFonts w:cs="Calibri"/>
          <w:sz w:val="20"/>
        </w:rPr>
        <w:t>.</w:t>
      </w:r>
    </w:p>
    <w:p w14:paraId="5F1786C0" w14:textId="77777777" w:rsidR="0011311C" w:rsidRPr="00C40569" w:rsidRDefault="0011311C" w:rsidP="000B1EA0">
      <w:pPr>
        <w:spacing w:after="0" w:line="360" w:lineRule="auto"/>
        <w:rPr>
          <w:sz w:val="20"/>
          <w:lang w:val="en-US"/>
        </w:rPr>
      </w:pPr>
    </w:p>
    <w:p w14:paraId="43BFA117" w14:textId="09DE5118" w:rsidR="00C93BB4" w:rsidRPr="00C40569" w:rsidRDefault="00C93BB4" w:rsidP="00256023">
      <w:pPr>
        <w:spacing w:after="120" w:line="360" w:lineRule="auto"/>
        <w:rPr>
          <w:b/>
          <w:sz w:val="20"/>
        </w:rPr>
      </w:pPr>
      <w:r w:rsidRPr="00C40569">
        <w:rPr>
          <w:b/>
          <w:sz w:val="20"/>
        </w:rPr>
        <w:t>Categorisation of methods to extrapolate costs and utilities</w:t>
      </w:r>
    </w:p>
    <w:p w14:paraId="6CE54BD8" w14:textId="111DF40F" w:rsidR="006A283F" w:rsidRPr="00E10953" w:rsidRDefault="00C93BB4" w:rsidP="00256023">
      <w:pPr>
        <w:spacing w:after="120" w:line="360" w:lineRule="auto"/>
        <w:rPr>
          <w:rFonts w:cs="Arial"/>
          <w:color w:val="333333"/>
          <w:sz w:val="20"/>
          <w:szCs w:val="20"/>
          <w:shd w:val="clear" w:color="auto" w:fill="FFFFFF"/>
        </w:rPr>
      </w:pPr>
      <w:r w:rsidRPr="00C40569">
        <w:rPr>
          <w:sz w:val="20"/>
        </w:rPr>
        <w:t xml:space="preserve">In working towards an understanding of the approaches that have been used to extrapolate costs and utilities, these can be categorised as two types. First, it is possible to </w:t>
      </w:r>
      <w:r w:rsidRPr="00033FE1">
        <w:rPr>
          <w:sz w:val="20"/>
          <w:szCs w:val="20"/>
        </w:rPr>
        <w:t>extrapolate these outcomes directly from the trial, without the need to use either a decision model or external data</w:t>
      </w:r>
      <w:r w:rsidR="006A283F" w:rsidRPr="002D092A">
        <w:rPr>
          <w:sz w:val="20"/>
          <w:szCs w:val="20"/>
        </w:rPr>
        <w:t xml:space="preserve">. The </w:t>
      </w:r>
      <w:r w:rsidRPr="002D092A">
        <w:rPr>
          <w:sz w:val="20"/>
          <w:szCs w:val="20"/>
        </w:rPr>
        <w:t>study published by the US National Emphysema Treatment Trial Research Group</w:t>
      </w:r>
      <w:r w:rsidR="0097676E" w:rsidRPr="002D092A">
        <w:rPr>
          <w:sz w:val="20"/>
          <w:szCs w:val="20"/>
        </w:rPr>
        <w:fldChar w:fldCharType="begin"/>
      </w:r>
      <w:r w:rsidR="00E10953">
        <w:rPr>
          <w:sz w:val="20"/>
          <w:szCs w:val="20"/>
        </w:rPr>
        <w:instrText xml:space="preserve"> ADDIN EN.CITE &lt;EndNote&gt;&lt;Cite&gt;&lt;Author&gt;National Emphysema Treatment Trial Research Group&lt;/Author&gt;&lt;Year&gt;2003&lt;/Year&gt;&lt;RecNum&gt;5657&lt;/RecNum&gt;&lt;DisplayText&gt;[38]&lt;/DisplayText&gt;&lt;record&gt;&lt;rec-number&gt;5657&lt;/rec-number&gt;&lt;foreign-keys&gt;&lt;key app="EN" db-id="ffffx00e4x9z58edttj5ftdps0tv5tt9s0tw"&gt;5657&lt;/key&gt;&lt;/foreign-keys&gt;&lt;ref-type name="Journal Article"&gt;17&lt;/ref-type&gt;&lt;contributors&gt;&lt;authors&gt;&lt;author&gt;National Emphysema Treatment Trial Research Group,&lt;/author&gt;&lt;/authors&gt;&lt;/contributors&gt;&lt;titles&gt;&lt;title&gt;Cost Effectiveness of Lung-Volume–Reduction Surgery for Patients with Severe Emphysema&lt;/title&gt;&lt;secondary-title&gt;New England Journal of Medicine&lt;/secondary-title&gt;&lt;/titles&gt;&lt;periodical&gt;&lt;full-title&gt;New England Journal of Medicine&lt;/full-title&gt;&lt;/periodical&gt;&lt;pages&gt;2092-2102&lt;/pages&gt;&lt;volume&gt;348&lt;/volume&gt;&lt;dates&gt;&lt;year&gt;2003&lt;/year&gt;&lt;/dates&gt;&lt;urls&gt;&lt;/urls&gt;&lt;/record&gt;&lt;/Cite&gt;&lt;/EndNote&gt;</w:instrText>
      </w:r>
      <w:r w:rsidR="0097676E" w:rsidRPr="002D092A">
        <w:rPr>
          <w:sz w:val="20"/>
          <w:szCs w:val="20"/>
        </w:rPr>
        <w:fldChar w:fldCharType="separate"/>
      </w:r>
      <w:r w:rsidR="00E10953">
        <w:rPr>
          <w:noProof/>
          <w:sz w:val="20"/>
          <w:szCs w:val="20"/>
        </w:rPr>
        <w:t>[38]</w:t>
      </w:r>
      <w:r w:rsidR="0097676E" w:rsidRPr="002D092A">
        <w:rPr>
          <w:sz w:val="20"/>
          <w:szCs w:val="20"/>
        </w:rPr>
        <w:fldChar w:fldCharType="end"/>
      </w:r>
      <w:r w:rsidR="006A283F" w:rsidRPr="002D092A">
        <w:rPr>
          <w:sz w:val="20"/>
          <w:szCs w:val="20"/>
        </w:rPr>
        <w:t xml:space="preserve"> is one such example</w:t>
      </w:r>
      <w:r w:rsidR="0097676E" w:rsidRPr="002D092A">
        <w:rPr>
          <w:sz w:val="20"/>
          <w:szCs w:val="20"/>
        </w:rPr>
        <w:t>.</w:t>
      </w:r>
      <w:r w:rsidRPr="002D092A">
        <w:rPr>
          <w:sz w:val="20"/>
          <w:szCs w:val="20"/>
        </w:rPr>
        <w:t xml:space="preserve"> </w:t>
      </w:r>
      <w:r w:rsidR="006A283F" w:rsidRPr="002D092A">
        <w:rPr>
          <w:sz w:val="20"/>
          <w:szCs w:val="20"/>
        </w:rPr>
        <w:t xml:space="preserve">To estimate long-term </w:t>
      </w:r>
      <w:r w:rsidR="006A283F" w:rsidRPr="005A435B">
        <w:rPr>
          <w:sz w:val="20"/>
          <w:szCs w:val="20"/>
        </w:rPr>
        <w:t xml:space="preserve">cost-effectiveness, </w:t>
      </w:r>
      <w:r w:rsidR="006A283F" w:rsidRPr="00E10953">
        <w:rPr>
          <w:rFonts w:cs="Arial"/>
          <w:color w:val="333333"/>
          <w:sz w:val="20"/>
          <w:szCs w:val="20"/>
          <w:shd w:val="clear" w:color="auto" w:fill="FFFFFF"/>
        </w:rPr>
        <w:t xml:space="preserve">trend lines were fitted to monthly </w:t>
      </w:r>
      <w:r w:rsidR="006A283F" w:rsidRPr="002D092A">
        <w:rPr>
          <w:sz w:val="20"/>
          <w:szCs w:val="20"/>
        </w:rPr>
        <w:t>costs and Q</w:t>
      </w:r>
      <w:r w:rsidR="006A283F" w:rsidRPr="00E10953">
        <w:rPr>
          <w:rFonts w:cs="Arial"/>
          <w:color w:val="333333"/>
          <w:sz w:val="20"/>
          <w:szCs w:val="20"/>
          <w:shd w:val="clear" w:color="auto" w:fill="FFFFFF"/>
        </w:rPr>
        <w:t>uality of Well-Being scores observed during the third year of follow-up. These trends were then projected over the lifetime of the model</w:t>
      </w:r>
      <w:r w:rsidR="006A283F" w:rsidRPr="002D092A">
        <w:rPr>
          <w:sz w:val="20"/>
          <w:szCs w:val="20"/>
        </w:rPr>
        <w:fldChar w:fldCharType="begin"/>
      </w:r>
      <w:r w:rsidR="00E10953">
        <w:rPr>
          <w:sz w:val="20"/>
          <w:szCs w:val="20"/>
        </w:rPr>
        <w:instrText xml:space="preserve"> ADDIN EN.CITE &lt;EndNote&gt;&lt;Cite&gt;&lt;Author&gt;National Emphysema Treatment Trial Research Group&lt;/Author&gt;&lt;Year&gt;2003&lt;/Year&gt;&lt;RecNum&gt;5657&lt;/RecNum&gt;&lt;DisplayText&gt;[38]&lt;/DisplayText&gt;&lt;record&gt;&lt;rec-number&gt;5657&lt;/rec-number&gt;&lt;foreign-keys&gt;&lt;key app="EN" db-id="ffffx00e4x9z58edttj5ftdps0tv5tt9s0tw"&gt;5657&lt;/key&gt;&lt;/foreign-keys&gt;&lt;ref-type name="Journal Article"&gt;17&lt;/ref-type&gt;&lt;contributors&gt;&lt;authors&gt;&lt;author&gt;National Emphysema Treatment Trial Research Group,&lt;/author&gt;&lt;/authors&gt;&lt;/contributors&gt;&lt;titles&gt;&lt;title&gt;Cost Effectiveness of Lung-Volume–Reduction Surgery for Patients with Severe Emphysema&lt;/title&gt;&lt;secondary-title&gt;New England Journal of Medicine&lt;/secondary-title&gt;&lt;/titles&gt;&lt;periodical&gt;&lt;full-title&gt;New England Journal of Medicine&lt;/full-title&gt;&lt;/periodical&gt;&lt;pages&gt;2092-2102&lt;/pages&gt;&lt;volume&gt;348&lt;/volume&gt;&lt;dates&gt;&lt;year&gt;2003&lt;/year&gt;&lt;/dates&gt;&lt;urls&gt;&lt;/urls&gt;&lt;/record&gt;&lt;/Cite&gt;&lt;/EndNote&gt;</w:instrText>
      </w:r>
      <w:r w:rsidR="006A283F" w:rsidRPr="002D092A">
        <w:rPr>
          <w:sz w:val="20"/>
          <w:szCs w:val="20"/>
        </w:rPr>
        <w:fldChar w:fldCharType="separate"/>
      </w:r>
      <w:r w:rsidR="00E10953">
        <w:rPr>
          <w:noProof/>
          <w:sz w:val="20"/>
          <w:szCs w:val="20"/>
        </w:rPr>
        <w:t>[38]</w:t>
      </w:r>
      <w:r w:rsidR="006A283F" w:rsidRPr="002D092A">
        <w:rPr>
          <w:sz w:val="20"/>
          <w:szCs w:val="20"/>
        </w:rPr>
        <w:fldChar w:fldCharType="end"/>
      </w:r>
      <w:r w:rsidR="006A283F" w:rsidRPr="00E10953">
        <w:rPr>
          <w:rFonts w:cs="Arial"/>
          <w:color w:val="333333"/>
          <w:sz w:val="20"/>
          <w:szCs w:val="20"/>
          <w:shd w:val="clear" w:color="auto" w:fill="FFFFFF"/>
        </w:rPr>
        <w:t xml:space="preserve">. </w:t>
      </w:r>
    </w:p>
    <w:p w14:paraId="7F3B17BD" w14:textId="74983E09" w:rsidR="00340C00" w:rsidRPr="00E10953" w:rsidRDefault="009359F1" w:rsidP="00B055CC">
      <w:pPr>
        <w:spacing w:after="0" w:line="360" w:lineRule="auto"/>
        <w:rPr>
          <w:color w:val="3C77ED"/>
          <w:sz w:val="20"/>
          <w:szCs w:val="20"/>
        </w:rPr>
      </w:pPr>
      <w:r w:rsidRPr="002D092A">
        <w:rPr>
          <w:sz w:val="20"/>
          <w:szCs w:val="20"/>
        </w:rPr>
        <w:t>Th</w:t>
      </w:r>
      <w:r w:rsidR="00C93BB4" w:rsidRPr="002D092A">
        <w:rPr>
          <w:sz w:val="20"/>
          <w:szCs w:val="20"/>
        </w:rPr>
        <w:t xml:space="preserve">is </w:t>
      </w:r>
      <w:r w:rsidR="006A283F" w:rsidRPr="002D092A">
        <w:rPr>
          <w:sz w:val="20"/>
          <w:szCs w:val="20"/>
        </w:rPr>
        <w:t xml:space="preserve">method </w:t>
      </w:r>
      <w:r w:rsidR="00C93BB4" w:rsidRPr="002D092A">
        <w:rPr>
          <w:sz w:val="20"/>
          <w:szCs w:val="20"/>
        </w:rPr>
        <w:t>is distinct from the use of IPD to populate a cost-effectiveness model, and this</w:t>
      </w:r>
      <w:r w:rsidR="00340C00" w:rsidRPr="005A435B">
        <w:rPr>
          <w:sz w:val="20"/>
          <w:szCs w:val="20"/>
        </w:rPr>
        <w:t xml:space="preserve"> direct extrapolation from a trial </w:t>
      </w:r>
      <w:r w:rsidR="00C93BB4" w:rsidRPr="005A435B">
        <w:rPr>
          <w:sz w:val="20"/>
          <w:szCs w:val="20"/>
        </w:rPr>
        <w:t>could employ the use of either aggregate or patient level data. This approach is more commonly used for extrapolating costs, rather than utilities. This is often because there is no specific process to drive long term costs that could be modelled</w:t>
      </w:r>
      <w:r w:rsidR="00340C00" w:rsidRPr="005A435B">
        <w:rPr>
          <w:sz w:val="20"/>
          <w:szCs w:val="20"/>
        </w:rPr>
        <w:t xml:space="preserve"> and </w:t>
      </w:r>
      <w:r w:rsidR="0053790B" w:rsidRPr="00B055CC">
        <w:rPr>
          <w:sz w:val="20"/>
          <w:szCs w:val="20"/>
        </w:rPr>
        <w:t xml:space="preserve">datasets </w:t>
      </w:r>
      <w:r w:rsidR="00340C00" w:rsidRPr="00B055CC">
        <w:rPr>
          <w:sz w:val="20"/>
          <w:szCs w:val="20"/>
        </w:rPr>
        <w:t xml:space="preserve">used to determine clinical effectiveness </w:t>
      </w:r>
      <w:r w:rsidR="0053790B" w:rsidRPr="00B055CC">
        <w:rPr>
          <w:sz w:val="20"/>
          <w:szCs w:val="20"/>
        </w:rPr>
        <w:t xml:space="preserve">typically contain few repeated measurements over time for each patient (e.g. between two and five assessments), which make </w:t>
      </w:r>
      <w:r w:rsidR="002D092A" w:rsidRPr="00B055CC">
        <w:rPr>
          <w:sz w:val="20"/>
          <w:szCs w:val="20"/>
        </w:rPr>
        <w:t xml:space="preserve">it </w:t>
      </w:r>
      <w:r w:rsidR="0053790B" w:rsidRPr="00B055CC">
        <w:rPr>
          <w:sz w:val="20"/>
          <w:szCs w:val="20"/>
        </w:rPr>
        <w:t xml:space="preserve">difficult to fit complex longitudinal event history models. </w:t>
      </w:r>
    </w:p>
    <w:p w14:paraId="470AE812" w14:textId="77777777" w:rsidR="00340C00" w:rsidRDefault="00340C00" w:rsidP="00B055CC">
      <w:pPr>
        <w:spacing w:after="0" w:line="360" w:lineRule="auto"/>
        <w:rPr>
          <w:color w:val="3C77ED"/>
        </w:rPr>
      </w:pPr>
    </w:p>
    <w:p w14:paraId="2993D1BD" w14:textId="46DE6C25" w:rsidR="00C93BB4" w:rsidRPr="00C40569" w:rsidRDefault="00C93BB4" w:rsidP="00B055CC">
      <w:pPr>
        <w:spacing w:after="0" w:line="360" w:lineRule="auto"/>
        <w:rPr>
          <w:sz w:val="20"/>
        </w:rPr>
      </w:pPr>
      <w:r w:rsidRPr="00C40569">
        <w:rPr>
          <w:sz w:val="20"/>
        </w:rPr>
        <w:t xml:space="preserve">In the second type, models are used to estimate the events/processes which </w:t>
      </w:r>
      <w:r w:rsidR="00EF4B67" w:rsidRPr="00C40569">
        <w:rPr>
          <w:sz w:val="20"/>
        </w:rPr>
        <w:t>are</w:t>
      </w:r>
      <w:r w:rsidRPr="00C40569">
        <w:rPr>
          <w:sz w:val="20"/>
        </w:rPr>
        <w:t xml:space="preserve"> then used to determine costs</w:t>
      </w:r>
      <w:r w:rsidR="00EF4B67" w:rsidRPr="00C40569">
        <w:rPr>
          <w:sz w:val="20"/>
        </w:rPr>
        <w:t>/utilities</w:t>
      </w:r>
      <w:r w:rsidRPr="00C40569">
        <w:rPr>
          <w:sz w:val="20"/>
        </w:rPr>
        <w:t xml:space="preserve">, either because these data were not collected in the trial or because the </w:t>
      </w:r>
      <w:r w:rsidR="004C1466" w:rsidRPr="00C40569">
        <w:rPr>
          <w:sz w:val="20"/>
        </w:rPr>
        <w:t>analysts</w:t>
      </w:r>
      <w:r w:rsidRPr="00C40569">
        <w:rPr>
          <w:sz w:val="20"/>
        </w:rPr>
        <w:t xml:space="preserve"> were seeking to be more explicit about what drives these costs</w:t>
      </w:r>
      <w:r w:rsidR="00EF4B67" w:rsidRPr="00C40569">
        <w:rPr>
          <w:sz w:val="20"/>
        </w:rPr>
        <w:t>/utilities</w:t>
      </w:r>
      <w:r w:rsidRPr="00C40569">
        <w:rPr>
          <w:sz w:val="20"/>
        </w:rPr>
        <w:t xml:space="preserve"> in the long term. The methods used in the modelling approaches are categorised in </w:t>
      </w:r>
      <w:r w:rsidR="00136AD5" w:rsidRPr="00C40569">
        <w:rPr>
          <w:sz w:val="20"/>
        </w:rPr>
        <w:t>Table 1</w:t>
      </w:r>
      <w:r w:rsidRPr="00C40569">
        <w:rPr>
          <w:sz w:val="20"/>
        </w:rPr>
        <w:t xml:space="preserve"> and summarised in the sections below</w:t>
      </w:r>
      <w:r w:rsidR="0054001F">
        <w:rPr>
          <w:sz w:val="20"/>
        </w:rPr>
        <w:t xml:space="preserve"> along with selected examples for each of the approaches</w:t>
      </w:r>
      <w:r w:rsidRPr="00C40569">
        <w:rPr>
          <w:sz w:val="20"/>
        </w:rPr>
        <w:t>.</w:t>
      </w:r>
    </w:p>
    <w:p w14:paraId="26E20618" w14:textId="77777777" w:rsidR="00C93BB4" w:rsidRDefault="00C93BB4" w:rsidP="00256023">
      <w:pPr>
        <w:rPr>
          <w:sz w:val="20"/>
        </w:rPr>
      </w:pPr>
    </w:p>
    <w:p w14:paraId="179F14D1" w14:textId="77777777" w:rsidR="00B055CC" w:rsidRDefault="00B055CC" w:rsidP="00256023">
      <w:pPr>
        <w:rPr>
          <w:sz w:val="20"/>
        </w:rPr>
      </w:pPr>
    </w:p>
    <w:p w14:paraId="4CEE56D0" w14:textId="77777777" w:rsidR="00B055CC" w:rsidRDefault="00B055CC" w:rsidP="00256023">
      <w:pPr>
        <w:rPr>
          <w:sz w:val="20"/>
        </w:rPr>
      </w:pPr>
    </w:p>
    <w:p w14:paraId="6E854EF0" w14:textId="77777777" w:rsidR="00B055CC" w:rsidRDefault="00B055CC" w:rsidP="00256023">
      <w:pPr>
        <w:rPr>
          <w:sz w:val="20"/>
        </w:rPr>
      </w:pPr>
    </w:p>
    <w:p w14:paraId="0B32442D" w14:textId="77777777" w:rsidR="00B055CC" w:rsidRDefault="00B055CC" w:rsidP="00256023">
      <w:pPr>
        <w:rPr>
          <w:sz w:val="20"/>
        </w:rPr>
      </w:pPr>
    </w:p>
    <w:p w14:paraId="226E36E9" w14:textId="77777777" w:rsidR="00B055CC" w:rsidRDefault="00B055CC" w:rsidP="00256023">
      <w:pPr>
        <w:rPr>
          <w:sz w:val="20"/>
        </w:rPr>
      </w:pPr>
    </w:p>
    <w:p w14:paraId="793D43D6" w14:textId="77777777" w:rsidR="00B055CC" w:rsidRPr="00C40569" w:rsidRDefault="00B055CC" w:rsidP="00256023">
      <w:pPr>
        <w:rPr>
          <w:sz w:val="20"/>
        </w:rPr>
      </w:pPr>
    </w:p>
    <w:p w14:paraId="481096AB" w14:textId="37777D38" w:rsidR="00C93BB4" w:rsidRPr="00C40569" w:rsidRDefault="00136AD5" w:rsidP="00C93BB4">
      <w:pPr>
        <w:rPr>
          <w:b/>
          <w:sz w:val="20"/>
        </w:rPr>
      </w:pPr>
      <w:r w:rsidRPr="00C40569">
        <w:rPr>
          <w:b/>
          <w:sz w:val="20"/>
        </w:rPr>
        <w:lastRenderedPageBreak/>
        <w:t xml:space="preserve">Table </w:t>
      </w:r>
      <w:r w:rsidR="00C0747D" w:rsidRPr="00C40569">
        <w:rPr>
          <w:b/>
          <w:sz w:val="20"/>
        </w:rPr>
        <w:t xml:space="preserve">1: </w:t>
      </w:r>
      <w:r w:rsidR="005C45B6" w:rsidRPr="00C40569">
        <w:rPr>
          <w:b/>
          <w:sz w:val="20"/>
        </w:rPr>
        <w:t>Methods used to extrapolate costs and utilities in cost-effectiveness models</w:t>
      </w:r>
    </w:p>
    <w:tbl>
      <w:tblPr>
        <w:tblStyle w:val="TableGrid"/>
        <w:tblW w:w="0" w:type="auto"/>
        <w:tblLook w:val="04A0" w:firstRow="1" w:lastRow="0" w:firstColumn="1" w:lastColumn="0" w:noHBand="0" w:noVBand="1"/>
      </w:tblPr>
      <w:tblGrid>
        <w:gridCol w:w="2107"/>
        <w:gridCol w:w="1884"/>
        <w:gridCol w:w="1837"/>
        <w:gridCol w:w="1920"/>
        <w:gridCol w:w="1494"/>
      </w:tblGrid>
      <w:tr w:rsidR="00A75DB7" w:rsidRPr="00C40569" w14:paraId="49E0091A" w14:textId="0EE18F66" w:rsidTr="002D510D">
        <w:tc>
          <w:tcPr>
            <w:tcW w:w="2107" w:type="dxa"/>
            <w:vAlign w:val="center"/>
          </w:tcPr>
          <w:p w14:paraId="3DEA082C" w14:textId="1929303D" w:rsidR="00A75DB7" w:rsidRPr="00C40569" w:rsidRDefault="00A75DB7" w:rsidP="00EB18A9">
            <w:pPr>
              <w:keepNext/>
              <w:keepLines/>
              <w:spacing w:after="240"/>
              <w:jc w:val="center"/>
              <w:outlineLvl w:val="5"/>
              <w:rPr>
                <w:b/>
                <w:sz w:val="20"/>
              </w:rPr>
            </w:pPr>
            <w:r w:rsidRPr="00C40569">
              <w:rPr>
                <w:b/>
                <w:sz w:val="20"/>
              </w:rPr>
              <w:t>Method</w:t>
            </w:r>
          </w:p>
        </w:tc>
        <w:tc>
          <w:tcPr>
            <w:tcW w:w="1884" w:type="dxa"/>
            <w:vAlign w:val="center"/>
          </w:tcPr>
          <w:p w14:paraId="56485554" w14:textId="0376D1CA" w:rsidR="00A75DB7" w:rsidRPr="00C40569" w:rsidRDefault="00A75DB7" w:rsidP="00EB18A9">
            <w:pPr>
              <w:keepNext/>
              <w:keepLines/>
              <w:spacing w:after="240"/>
              <w:jc w:val="center"/>
              <w:outlineLvl w:val="5"/>
              <w:rPr>
                <w:b/>
                <w:sz w:val="20"/>
              </w:rPr>
            </w:pPr>
            <w:r w:rsidRPr="00C40569">
              <w:rPr>
                <w:b/>
                <w:sz w:val="20"/>
              </w:rPr>
              <w:t>Principles</w:t>
            </w:r>
          </w:p>
        </w:tc>
        <w:tc>
          <w:tcPr>
            <w:tcW w:w="1837" w:type="dxa"/>
            <w:vAlign w:val="center"/>
          </w:tcPr>
          <w:p w14:paraId="2FFE4D16" w14:textId="275EF944" w:rsidR="00A75DB7" w:rsidRPr="00C40569" w:rsidRDefault="00A75DB7" w:rsidP="00EB18A9">
            <w:pPr>
              <w:keepNext/>
              <w:keepLines/>
              <w:spacing w:after="240"/>
              <w:jc w:val="center"/>
              <w:outlineLvl w:val="5"/>
              <w:rPr>
                <w:b/>
                <w:sz w:val="20"/>
              </w:rPr>
            </w:pPr>
            <w:r w:rsidRPr="00C40569">
              <w:rPr>
                <w:b/>
                <w:sz w:val="20"/>
              </w:rPr>
              <w:t>Advantages</w:t>
            </w:r>
          </w:p>
        </w:tc>
        <w:tc>
          <w:tcPr>
            <w:tcW w:w="1920" w:type="dxa"/>
            <w:vAlign w:val="center"/>
          </w:tcPr>
          <w:p w14:paraId="12E7DE0B" w14:textId="1A51810C" w:rsidR="00A75DB7" w:rsidRPr="00C40569" w:rsidRDefault="00A75DB7" w:rsidP="00EB18A9">
            <w:pPr>
              <w:keepNext/>
              <w:keepLines/>
              <w:spacing w:after="240"/>
              <w:jc w:val="center"/>
              <w:outlineLvl w:val="5"/>
              <w:rPr>
                <w:b/>
                <w:sz w:val="20"/>
              </w:rPr>
            </w:pPr>
            <w:r w:rsidRPr="00C40569">
              <w:rPr>
                <w:b/>
                <w:sz w:val="20"/>
              </w:rPr>
              <w:t>Disadvantages</w:t>
            </w:r>
          </w:p>
        </w:tc>
        <w:tc>
          <w:tcPr>
            <w:tcW w:w="1494" w:type="dxa"/>
          </w:tcPr>
          <w:p w14:paraId="7E4702B5" w14:textId="0F90E851" w:rsidR="00A75DB7" w:rsidRPr="00C40569" w:rsidRDefault="00EA5F0B" w:rsidP="00EA5F0B">
            <w:pPr>
              <w:keepNext/>
              <w:keepLines/>
              <w:spacing w:after="240"/>
              <w:jc w:val="center"/>
              <w:outlineLvl w:val="5"/>
              <w:rPr>
                <w:b/>
                <w:sz w:val="20"/>
              </w:rPr>
            </w:pPr>
            <w:r>
              <w:rPr>
                <w:b/>
                <w:sz w:val="20"/>
              </w:rPr>
              <w:t>Selected e</w:t>
            </w:r>
            <w:r w:rsidR="00A75DB7">
              <w:rPr>
                <w:b/>
                <w:sz w:val="20"/>
              </w:rPr>
              <w:t>xamples</w:t>
            </w:r>
          </w:p>
        </w:tc>
      </w:tr>
      <w:tr w:rsidR="00A75DB7" w:rsidRPr="00C40569" w14:paraId="57A13495" w14:textId="053FE4F9" w:rsidTr="002D510D">
        <w:tc>
          <w:tcPr>
            <w:tcW w:w="2107" w:type="dxa"/>
            <w:vAlign w:val="center"/>
          </w:tcPr>
          <w:p w14:paraId="32CA088E" w14:textId="2FCB60C6" w:rsidR="00A75DB7" w:rsidRPr="00C40569" w:rsidRDefault="00A75DB7" w:rsidP="00EB18A9">
            <w:pPr>
              <w:keepNext/>
              <w:keepLines/>
              <w:spacing w:after="240"/>
              <w:jc w:val="center"/>
              <w:outlineLvl w:val="5"/>
              <w:rPr>
                <w:sz w:val="20"/>
              </w:rPr>
            </w:pPr>
            <w:r w:rsidRPr="00C40569">
              <w:rPr>
                <w:sz w:val="20"/>
              </w:rPr>
              <w:t>Profiles</w:t>
            </w:r>
          </w:p>
        </w:tc>
        <w:tc>
          <w:tcPr>
            <w:tcW w:w="1884" w:type="dxa"/>
            <w:vAlign w:val="center"/>
          </w:tcPr>
          <w:p w14:paraId="0BB70ED3" w14:textId="1B8C39A9" w:rsidR="00A75DB7" w:rsidRPr="00C40569" w:rsidRDefault="00A75DB7" w:rsidP="00EB18A9">
            <w:pPr>
              <w:keepNext/>
              <w:keepLines/>
              <w:spacing w:after="240"/>
              <w:jc w:val="center"/>
              <w:outlineLvl w:val="5"/>
              <w:rPr>
                <w:sz w:val="20"/>
              </w:rPr>
            </w:pPr>
            <w:r w:rsidRPr="00C40569">
              <w:rPr>
                <w:sz w:val="20"/>
              </w:rPr>
              <w:t>Fixed estimate (profile) of costs or utilities attached to short term events</w:t>
            </w:r>
          </w:p>
        </w:tc>
        <w:tc>
          <w:tcPr>
            <w:tcW w:w="1837" w:type="dxa"/>
            <w:vAlign w:val="center"/>
          </w:tcPr>
          <w:p w14:paraId="08C062F6" w14:textId="1C0D41C1" w:rsidR="00A75DB7" w:rsidRPr="00C40569" w:rsidRDefault="00A75DB7" w:rsidP="00EB18A9">
            <w:pPr>
              <w:keepNext/>
              <w:keepLines/>
              <w:spacing w:after="240"/>
              <w:jc w:val="center"/>
              <w:outlineLvl w:val="5"/>
              <w:rPr>
                <w:sz w:val="20"/>
              </w:rPr>
            </w:pPr>
            <w:r w:rsidRPr="00C40569">
              <w:rPr>
                <w:sz w:val="20"/>
              </w:rPr>
              <w:t>Easy to implement</w:t>
            </w:r>
          </w:p>
        </w:tc>
        <w:tc>
          <w:tcPr>
            <w:tcW w:w="1920" w:type="dxa"/>
            <w:vAlign w:val="center"/>
          </w:tcPr>
          <w:p w14:paraId="4C0CFF96" w14:textId="77777777" w:rsidR="00A75DB7" w:rsidRPr="00C40569" w:rsidRDefault="00A75DB7" w:rsidP="00EB18A9">
            <w:pPr>
              <w:keepNext/>
              <w:keepLines/>
              <w:spacing w:after="240"/>
              <w:jc w:val="center"/>
              <w:outlineLvl w:val="5"/>
              <w:rPr>
                <w:sz w:val="20"/>
              </w:rPr>
            </w:pPr>
            <w:r w:rsidRPr="00C40569">
              <w:rPr>
                <w:sz w:val="20"/>
              </w:rPr>
              <w:t>Does not directly specify the process by which these were achieved</w:t>
            </w:r>
          </w:p>
          <w:p w14:paraId="393C799B" w14:textId="0B5027B8" w:rsidR="00A75DB7" w:rsidRPr="00C40569" w:rsidRDefault="00A75DB7" w:rsidP="00EB18A9">
            <w:pPr>
              <w:keepNext/>
              <w:keepLines/>
              <w:spacing w:after="240"/>
              <w:jc w:val="center"/>
              <w:outlineLvl w:val="5"/>
              <w:rPr>
                <w:sz w:val="20"/>
              </w:rPr>
            </w:pPr>
            <w:r w:rsidRPr="00C40569">
              <w:rPr>
                <w:sz w:val="20"/>
              </w:rPr>
              <w:t>Difficult to disentangle if there are any changes over time incorporated</w:t>
            </w:r>
          </w:p>
        </w:tc>
        <w:tc>
          <w:tcPr>
            <w:tcW w:w="1494" w:type="dxa"/>
          </w:tcPr>
          <w:p w14:paraId="078513F1" w14:textId="4FE55D8C" w:rsidR="00A75DB7" w:rsidRDefault="00294BF0" w:rsidP="005A435B">
            <w:pPr>
              <w:keepNext/>
              <w:keepLines/>
              <w:spacing w:after="240"/>
              <w:jc w:val="center"/>
              <w:outlineLvl w:val="5"/>
              <w:rPr>
                <w:sz w:val="20"/>
              </w:rPr>
            </w:pPr>
            <w:r>
              <w:rPr>
                <w:sz w:val="20"/>
              </w:rPr>
              <w:t xml:space="preserve">Grant, et al </w:t>
            </w:r>
            <w:r w:rsidR="005A435B" w:rsidRPr="00C40569">
              <w:rPr>
                <w:sz w:val="20"/>
              </w:rPr>
              <w:t xml:space="preserve"> </w:t>
            </w:r>
            <w:r w:rsidR="005A435B" w:rsidRPr="00C40569">
              <w:rPr>
                <w:sz w:val="20"/>
              </w:rPr>
              <w:fldChar w:fldCharType="begin"/>
            </w:r>
            <w:r w:rsidR="00E10953">
              <w:rPr>
                <w:sz w:val="20"/>
              </w:rPr>
              <w:instrText xml:space="preserve"> ADDIN EN.CITE &lt;EndNote&gt;&lt;Cite&gt;&lt;Author&gt;A Grant&lt;/Author&gt;&lt;Year&gt;2008&lt;/Year&gt;&lt;RecNum&gt;1658&lt;/RecNum&gt;&lt;DisplayText&gt;[39]&lt;/DisplayText&gt;&lt;record&gt;&lt;rec-number&gt;1658&lt;/rec-number&gt;&lt;foreign-keys&gt;&lt;key app="EN" db-id="dz99p92dtf9avne5r2bvzva0zpft9d9ptzfr" timestamp="0"&gt;1658&lt;/key&gt;&lt;/foreign-keys&gt;&lt;ref-type name="Report"&gt;27&lt;/ref-type&gt;&lt;contributors&gt;&lt;authors&gt;&lt;author&gt;A Grant, &lt;/author&gt;&lt;author&gt;S Wileman, &lt;/author&gt;&lt;author&gt;C Ramsay, &lt;/author&gt;&lt;author&gt;L Bojke, &lt;/author&gt;&lt;author&gt;D Epstein,&lt;/author&gt;&lt;author&gt;M Sculpher, &lt;/author&gt;&lt;author&gt;S Macran, &lt;/author&gt;&lt;author&gt;M Kilonzo, &lt;/author&gt;&lt;author&gt;L Vale, &lt;/author&gt;&lt;author&gt;J Francis,&lt;/author&gt;&lt;author&gt;A Mowat, &lt;/author&gt;&lt;author&gt;Z Krukowski, &lt;/author&gt;&lt;author&gt;R Heading, &lt;/author&gt;&lt;author&gt;M Thursz,&lt;/author&gt;&lt;author&gt;I Russell,&lt;/author&gt;&lt;author&gt;on behalf of the reflux trial group,&lt;/author&gt;&lt;/authors&gt;&lt;/contributors&gt;&lt;titles&gt;&lt;title&gt;The effectiveness and cost-effectiveness of minimal access surgery amongst people with gastro-oesophageal reflux disease - a UK collaborative study. The REFLUX Trial. Health Technology Assessment; Vol 12: No 31&lt;/title&gt;&lt;/titles&gt;&lt;dates&gt;&lt;year&gt;2008&lt;/year&gt;&lt;/dates&gt;&lt;urls&gt;&lt;/urls&gt;&lt;/record&gt;&lt;/Cite&gt;&lt;/EndNote&gt;</w:instrText>
            </w:r>
            <w:r w:rsidR="005A435B" w:rsidRPr="00C40569">
              <w:rPr>
                <w:sz w:val="20"/>
              </w:rPr>
              <w:fldChar w:fldCharType="separate"/>
            </w:r>
            <w:r w:rsidR="00E10953">
              <w:rPr>
                <w:noProof/>
                <w:sz w:val="20"/>
              </w:rPr>
              <w:t>[39]</w:t>
            </w:r>
            <w:r w:rsidR="005A435B" w:rsidRPr="00C40569">
              <w:rPr>
                <w:sz w:val="20"/>
              </w:rPr>
              <w:fldChar w:fldCharType="end"/>
            </w:r>
          </w:p>
          <w:p w14:paraId="7F3FEAA9" w14:textId="23E18F95" w:rsidR="005A435B" w:rsidRPr="00C40569" w:rsidRDefault="005A435B" w:rsidP="00E10953">
            <w:pPr>
              <w:keepNext/>
              <w:keepLines/>
              <w:spacing w:after="240"/>
              <w:jc w:val="center"/>
              <w:outlineLvl w:val="5"/>
              <w:rPr>
                <w:sz w:val="20"/>
              </w:rPr>
            </w:pPr>
            <w:r w:rsidRPr="00C40569">
              <w:rPr>
                <w:sz w:val="20"/>
              </w:rPr>
              <w:t xml:space="preserve">McKenna et al </w:t>
            </w:r>
            <w:r w:rsidRPr="00C40569">
              <w:rPr>
                <w:sz w:val="20"/>
              </w:rPr>
              <w:fldChar w:fldCharType="begin"/>
            </w:r>
            <w:r w:rsidR="00E10953">
              <w:rPr>
                <w:sz w:val="20"/>
              </w:rPr>
              <w:instrText xml:space="preserve"> ADDIN EN.CITE &lt;EndNote&gt;&lt;Cite&gt;&lt;Author&gt;McKenna&lt;/Author&gt;&lt;Year&gt;2009&lt;/Year&gt;&lt;RecNum&gt;5656&lt;/RecNum&gt;&lt;DisplayText&gt;[40]&lt;/DisplayText&gt;&lt;record&gt;&lt;rec-number&gt;5656&lt;/rec-number&gt;&lt;foreign-keys&gt;&lt;key app="EN" db-id="ffffx00e4x9z58edttj5ftdps0tv5tt9s0tw"&gt;5656&lt;/key&gt;&lt;/foreign-keys&gt;&lt;ref-type name="Journal Article"&gt;17&lt;/ref-type&gt;&lt;contributors&gt;&lt;authors&gt;&lt;author&gt;McKenna, C.&lt;/author&gt;&lt;author&gt;McDaid, C. &lt;/author&gt;&lt;author&gt;Suekarran, S. &lt;/author&gt;&lt;author&gt;et al.&lt;/author&gt;&lt;/authors&gt;&lt;/contributors&gt;&lt;titles&gt;&lt;title&gt;Enhanced external counterpulsation (EECP) for the treatment of stable angina and heart failure: a systematic review and economic analysis&lt;/title&gt;&lt;secondary-title&gt;Health Technology Assessment&lt;/secondary-title&gt;&lt;/titles&gt;&lt;periodical&gt;&lt;full-title&gt;Health Technology Assessment&lt;/full-title&gt;&lt;/periodical&gt;&lt;pages&gt;1-128&lt;/pages&gt;&lt;volume&gt;13&lt;/volume&gt;&lt;number&gt;24&lt;/number&gt;&lt;dates&gt;&lt;year&gt;2009&lt;/year&gt;&lt;/dates&gt;&lt;urls&gt;&lt;/urls&gt;&lt;/record&gt;&lt;/Cite&gt;&lt;/EndNote&gt;</w:instrText>
            </w:r>
            <w:r w:rsidRPr="00C40569">
              <w:rPr>
                <w:sz w:val="20"/>
              </w:rPr>
              <w:fldChar w:fldCharType="separate"/>
            </w:r>
            <w:r w:rsidR="00E10953">
              <w:rPr>
                <w:noProof/>
                <w:sz w:val="20"/>
              </w:rPr>
              <w:t>[40]</w:t>
            </w:r>
            <w:r w:rsidRPr="00C40569">
              <w:rPr>
                <w:sz w:val="20"/>
              </w:rPr>
              <w:fldChar w:fldCharType="end"/>
            </w:r>
          </w:p>
        </w:tc>
      </w:tr>
      <w:tr w:rsidR="00A75DB7" w:rsidRPr="00C40569" w14:paraId="67D28F02" w14:textId="521A5D2A" w:rsidTr="002D510D">
        <w:tc>
          <w:tcPr>
            <w:tcW w:w="2107" w:type="dxa"/>
            <w:vAlign w:val="center"/>
          </w:tcPr>
          <w:p w14:paraId="5E6B2154" w14:textId="080F0809" w:rsidR="00A75DB7" w:rsidRPr="00C40569" w:rsidRDefault="00A75DB7" w:rsidP="00EB18A9">
            <w:pPr>
              <w:keepNext/>
              <w:keepLines/>
              <w:spacing w:after="240"/>
              <w:jc w:val="center"/>
              <w:outlineLvl w:val="5"/>
              <w:rPr>
                <w:sz w:val="20"/>
              </w:rPr>
            </w:pPr>
            <w:r w:rsidRPr="00C40569">
              <w:rPr>
                <w:sz w:val="20"/>
              </w:rPr>
              <w:t>Constant values</w:t>
            </w:r>
          </w:p>
        </w:tc>
        <w:tc>
          <w:tcPr>
            <w:tcW w:w="1884" w:type="dxa"/>
            <w:vAlign w:val="center"/>
          </w:tcPr>
          <w:p w14:paraId="4EEA6E41" w14:textId="6D8CB81F" w:rsidR="00A75DB7" w:rsidRPr="00C40569" w:rsidRDefault="00A75DB7" w:rsidP="00EB18A9">
            <w:pPr>
              <w:keepNext/>
              <w:keepLines/>
              <w:spacing w:after="240"/>
              <w:jc w:val="center"/>
              <w:outlineLvl w:val="5"/>
              <w:rPr>
                <w:sz w:val="20"/>
              </w:rPr>
            </w:pPr>
            <w:r w:rsidRPr="00C40569">
              <w:rPr>
                <w:sz w:val="20"/>
              </w:rPr>
              <w:t>Fixed cost or utility value applied to a specific health state. Often the same value is used for each of the comparators.</w:t>
            </w:r>
          </w:p>
        </w:tc>
        <w:tc>
          <w:tcPr>
            <w:tcW w:w="1837" w:type="dxa"/>
            <w:vAlign w:val="center"/>
          </w:tcPr>
          <w:p w14:paraId="12948C2E" w14:textId="14D3B200" w:rsidR="00A75DB7" w:rsidRPr="00C40569" w:rsidRDefault="00A75DB7" w:rsidP="00EB18A9">
            <w:pPr>
              <w:keepNext/>
              <w:keepLines/>
              <w:spacing w:after="240"/>
              <w:jc w:val="center"/>
              <w:outlineLvl w:val="5"/>
              <w:rPr>
                <w:sz w:val="20"/>
              </w:rPr>
            </w:pPr>
            <w:r w:rsidRPr="00C40569">
              <w:rPr>
                <w:sz w:val="20"/>
              </w:rPr>
              <w:t>Easy to implement and find data to populate</w:t>
            </w:r>
          </w:p>
        </w:tc>
        <w:tc>
          <w:tcPr>
            <w:tcW w:w="1920" w:type="dxa"/>
            <w:vAlign w:val="center"/>
          </w:tcPr>
          <w:p w14:paraId="2C859E92" w14:textId="4A807226" w:rsidR="00A75DB7" w:rsidRPr="00C40569" w:rsidRDefault="00A75DB7" w:rsidP="00EB18A9">
            <w:pPr>
              <w:keepNext/>
              <w:keepLines/>
              <w:spacing w:after="240"/>
              <w:jc w:val="center"/>
              <w:outlineLvl w:val="5"/>
              <w:rPr>
                <w:sz w:val="20"/>
              </w:rPr>
            </w:pPr>
            <w:r w:rsidRPr="00C40569">
              <w:rPr>
                <w:sz w:val="20"/>
              </w:rPr>
              <w:t>Does not typically account for the impact of an ageing population</w:t>
            </w:r>
          </w:p>
          <w:p w14:paraId="2BD98C4D" w14:textId="1884E9B9" w:rsidR="00A75DB7" w:rsidRPr="00C40569" w:rsidRDefault="00A75DB7" w:rsidP="00EB18A9">
            <w:pPr>
              <w:keepNext/>
              <w:keepLines/>
              <w:spacing w:after="240"/>
              <w:jc w:val="center"/>
              <w:outlineLvl w:val="5"/>
              <w:rPr>
                <w:sz w:val="20"/>
              </w:rPr>
            </w:pPr>
            <w:r w:rsidRPr="00C40569">
              <w:rPr>
                <w:sz w:val="20"/>
              </w:rPr>
              <w:t>Assumes the treatment effect is homogeneous with respect to time.</w:t>
            </w:r>
          </w:p>
        </w:tc>
        <w:tc>
          <w:tcPr>
            <w:tcW w:w="1494" w:type="dxa"/>
          </w:tcPr>
          <w:p w14:paraId="63882FCD" w14:textId="253B729F" w:rsidR="00A75DB7" w:rsidRDefault="00294BF0" w:rsidP="00294BF0">
            <w:pPr>
              <w:keepNext/>
              <w:keepLines/>
              <w:spacing w:after="240"/>
              <w:jc w:val="center"/>
              <w:outlineLvl w:val="5"/>
              <w:rPr>
                <w:sz w:val="20"/>
              </w:rPr>
            </w:pPr>
            <w:r>
              <w:rPr>
                <w:sz w:val="20"/>
              </w:rPr>
              <w:t>d</w:t>
            </w:r>
            <w:r w:rsidR="00340C00">
              <w:rPr>
                <w:sz w:val="20"/>
              </w:rPr>
              <w:t>e Vries</w:t>
            </w:r>
            <w:r w:rsidR="00340C00">
              <w:rPr>
                <w:sz w:val="20"/>
              </w:rPr>
              <w:fldChar w:fldCharType="begin"/>
            </w:r>
            <w:r w:rsidR="00E10953">
              <w:rPr>
                <w:sz w:val="20"/>
              </w:rPr>
              <w:instrText xml:space="preserve"> ADDIN EN.CITE &lt;EndNote&gt;&lt;Cite&gt;&lt;Author&gt;de Vries EF&lt;/Author&gt;&lt;Year&gt;2016&lt;/Year&gt;&lt;RecNum&gt;1698&lt;/RecNum&gt;&lt;DisplayText&gt;[41]&lt;/DisplayText&gt;&lt;record&gt;&lt;rec-number&gt;1698&lt;/rec-number&gt;&lt;foreign-keys&gt;&lt;key app="EN" db-id="dz99p92dtf9avne5r2bvzva0zpft9d9ptzfr" timestamp="1489489113"&gt;1698&lt;/key&gt;&lt;/foreign-keys&gt;&lt;ref-type name="Journal Article"&gt;17&lt;/ref-type&gt;&lt;contributors&gt;&lt;authors&gt;&lt;author&gt;de Vries EF,&lt;/author&gt;&lt;author&gt;Rabelink TJ,&lt;/author&gt;&lt;author&gt;van den Hout WB, &lt;/author&gt;&lt;/authors&gt;&lt;/contributors&gt;&lt;titles&gt;&lt;title&gt;Modelling the Cost-Effectiveness of Delaying End-Stage Renal Disease&lt;/title&gt;&lt;secondary-title&gt;Nephron &lt;/secondary-title&gt;&lt;/titles&gt;&lt;periodical&gt;&lt;full-title&gt;Nephron&lt;/full-title&gt;&lt;/periodical&gt;&lt;pages&gt;89-97&lt;/pages&gt;&lt;volume&gt;133&lt;/volume&gt;&lt;dates&gt;&lt;year&gt;2016&lt;/year&gt;&lt;/dates&gt;&lt;urls&gt;&lt;/urls&gt;&lt;/record&gt;&lt;/Cite&gt;&lt;/EndNote&gt;</w:instrText>
            </w:r>
            <w:r w:rsidR="00340C00">
              <w:rPr>
                <w:sz w:val="20"/>
              </w:rPr>
              <w:fldChar w:fldCharType="separate"/>
            </w:r>
            <w:r w:rsidR="00E10953">
              <w:rPr>
                <w:noProof/>
                <w:sz w:val="20"/>
              </w:rPr>
              <w:t>[41]</w:t>
            </w:r>
            <w:r w:rsidR="00340C00">
              <w:rPr>
                <w:sz w:val="20"/>
              </w:rPr>
              <w:fldChar w:fldCharType="end"/>
            </w:r>
            <w:r w:rsidR="00340C00">
              <w:rPr>
                <w:sz w:val="20"/>
              </w:rPr>
              <w:t xml:space="preserve"> </w:t>
            </w:r>
          </w:p>
          <w:p w14:paraId="5874F331" w14:textId="7394925D" w:rsidR="00D41E69" w:rsidRPr="00C40569" w:rsidRDefault="00D41E69" w:rsidP="00E10953">
            <w:pPr>
              <w:keepNext/>
              <w:keepLines/>
              <w:spacing w:after="240"/>
              <w:jc w:val="center"/>
              <w:outlineLvl w:val="5"/>
              <w:rPr>
                <w:sz w:val="20"/>
              </w:rPr>
            </w:pPr>
            <w:r>
              <w:rPr>
                <w:sz w:val="20"/>
              </w:rPr>
              <w:t>Keating, et al</w:t>
            </w:r>
            <w:r>
              <w:rPr>
                <w:sz w:val="20"/>
              </w:rPr>
              <w:fldChar w:fldCharType="begin"/>
            </w:r>
            <w:r w:rsidR="00E10953">
              <w:rPr>
                <w:sz w:val="20"/>
              </w:rPr>
              <w:instrText xml:space="preserve"> ADDIN EN.CITE &lt;EndNote&gt;&lt;Cite&gt;&lt;Author&gt;Keating CL&lt;/Author&gt;&lt;Year&gt;2009&lt;/Year&gt;&lt;RecNum&gt;1711&lt;/RecNum&gt;&lt;DisplayText&gt;[42]&lt;/DisplayText&gt;&lt;record&gt;&lt;rec-number&gt;1711&lt;/rec-number&gt;&lt;foreign-keys&gt;&lt;key app="EN" db-id="dz99p92dtf9avne5r2bvzva0zpft9d9ptzfr" timestamp="1491384556"&gt;1711&lt;/key&gt;&lt;/foreign-keys&gt;&lt;ref-type name="Journal Article"&gt;17&lt;/ref-type&gt;&lt;contributors&gt;&lt;authors&gt;&lt;author&gt;Keating CL, &lt;/author&gt;&lt;author&gt;Dixon JB, &lt;/author&gt;&lt;author&gt;Marjory L. Moodie ML, DRPH2, &lt;/author&gt;&lt;author&gt;Peeters A, &lt;/author&gt;&lt;author&gt;Bulfone L,&lt;/author&gt;&lt;author&gt;Maglianno DJ, &lt;/author&gt;&lt;author&gt;O&amp;apos;Brien PE,&lt;/author&gt;&lt;/authors&gt;&lt;/contributors&gt;&lt;titles&gt;&lt;title&gt;Cost-Effectiveness of Surgically Induced Weight Loss for the Management of Type 2 Diabetes: Modeled Lifetime Analysis&lt;/title&gt;&lt;secondary-title&gt;Diabetes Care&lt;/secondary-title&gt;&lt;/titles&gt;&lt;periodical&gt;&lt;full-title&gt;Diabetes Care&lt;/full-title&gt;&lt;/periodical&gt;&lt;pages&gt;567-574&lt;/pages&gt;&lt;volume&gt;32&lt;/volume&gt;&lt;number&gt;4&lt;/number&gt;&lt;dates&gt;&lt;year&gt;2009&lt;/year&gt;&lt;/dates&gt;&lt;urls&gt;&lt;/urls&gt;&lt;/record&gt;&lt;/Cite&gt;&lt;/EndNote&gt;</w:instrText>
            </w:r>
            <w:r>
              <w:rPr>
                <w:sz w:val="20"/>
              </w:rPr>
              <w:fldChar w:fldCharType="separate"/>
            </w:r>
            <w:r w:rsidR="00E10953">
              <w:rPr>
                <w:noProof/>
                <w:sz w:val="20"/>
              </w:rPr>
              <w:t>[42]</w:t>
            </w:r>
            <w:r>
              <w:rPr>
                <w:sz w:val="20"/>
              </w:rPr>
              <w:fldChar w:fldCharType="end"/>
            </w:r>
          </w:p>
        </w:tc>
      </w:tr>
      <w:tr w:rsidR="00A75DB7" w:rsidRPr="00C40569" w14:paraId="72D1A7FC" w14:textId="19A27DF6" w:rsidTr="002D510D">
        <w:trPr>
          <w:trHeight w:val="552"/>
        </w:trPr>
        <w:tc>
          <w:tcPr>
            <w:tcW w:w="2107" w:type="dxa"/>
            <w:vAlign w:val="center"/>
          </w:tcPr>
          <w:p w14:paraId="13C538D0" w14:textId="0AF3180B" w:rsidR="00A75DB7" w:rsidRPr="00C40569" w:rsidRDefault="00A75DB7" w:rsidP="00EB18A9">
            <w:pPr>
              <w:spacing w:after="240"/>
              <w:jc w:val="center"/>
              <w:rPr>
                <w:sz w:val="20"/>
              </w:rPr>
            </w:pPr>
            <w:r w:rsidRPr="00C40569">
              <w:rPr>
                <w:sz w:val="20"/>
              </w:rPr>
              <w:t>Constant marginal change to moving baseline</w:t>
            </w:r>
          </w:p>
        </w:tc>
        <w:tc>
          <w:tcPr>
            <w:tcW w:w="1884" w:type="dxa"/>
            <w:vAlign w:val="center"/>
          </w:tcPr>
          <w:p w14:paraId="10214B6C" w14:textId="3CA8036E" w:rsidR="00A75DB7" w:rsidRPr="00C40569" w:rsidRDefault="00A75DB7" w:rsidP="00EB18A9">
            <w:pPr>
              <w:keepNext/>
              <w:keepLines/>
              <w:spacing w:after="240"/>
              <w:jc w:val="center"/>
              <w:outlineLvl w:val="5"/>
              <w:rPr>
                <w:sz w:val="20"/>
              </w:rPr>
            </w:pPr>
            <w:r w:rsidRPr="00C40569">
              <w:rPr>
                <w:sz w:val="20"/>
              </w:rPr>
              <w:t>Constant change in cost or utility is applied to an ageing population baseline value.  Uses additive or multiplicative approach, the latter reflecting changes in costs or utilities over time.</w:t>
            </w:r>
          </w:p>
        </w:tc>
        <w:tc>
          <w:tcPr>
            <w:tcW w:w="1837" w:type="dxa"/>
            <w:vAlign w:val="center"/>
          </w:tcPr>
          <w:p w14:paraId="68572920" w14:textId="6B4D76A4" w:rsidR="00A75DB7" w:rsidRPr="00C40569" w:rsidRDefault="00A75DB7" w:rsidP="00EB18A9">
            <w:pPr>
              <w:keepNext/>
              <w:keepLines/>
              <w:spacing w:after="240"/>
              <w:jc w:val="center"/>
              <w:outlineLvl w:val="5"/>
              <w:rPr>
                <w:sz w:val="20"/>
              </w:rPr>
            </w:pPr>
            <w:r w:rsidRPr="00C40569">
              <w:rPr>
                <w:sz w:val="20"/>
              </w:rPr>
              <w:t>Reflects, for example, an ageing population, or any other parameters thought to change over time such as treatment effect.</w:t>
            </w:r>
          </w:p>
        </w:tc>
        <w:tc>
          <w:tcPr>
            <w:tcW w:w="1920" w:type="dxa"/>
            <w:vAlign w:val="center"/>
          </w:tcPr>
          <w:p w14:paraId="7A2ACD66" w14:textId="29FE00A0" w:rsidR="00A75DB7" w:rsidRPr="00C40569" w:rsidRDefault="00A75DB7" w:rsidP="00EB18A9">
            <w:pPr>
              <w:spacing w:after="240"/>
              <w:jc w:val="center"/>
              <w:rPr>
                <w:sz w:val="20"/>
              </w:rPr>
            </w:pPr>
            <w:r w:rsidRPr="00C40569">
              <w:rPr>
                <w:sz w:val="20"/>
              </w:rPr>
              <w:t>Additive approach assumes homogenous change in costs and utilities over time. Data may not be available to employ a multiplicative approach</w:t>
            </w:r>
          </w:p>
          <w:p w14:paraId="0E6C512E" w14:textId="77777777" w:rsidR="00A75DB7" w:rsidRPr="00C40569" w:rsidRDefault="00A75DB7" w:rsidP="00EB18A9">
            <w:pPr>
              <w:spacing w:after="240"/>
              <w:jc w:val="center"/>
              <w:rPr>
                <w:sz w:val="20"/>
              </w:rPr>
            </w:pPr>
          </w:p>
        </w:tc>
        <w:tc>
          <w:tcPr>
            <w:tcW w:w="1494" w:type="dxa"/>
          </w:tcPr>
          <w:p w14:paraId="370EAE1C" w14:textId="2F1586CC" w:rsidR="00A75DB7" w:rsidRDefault="005A435B" w:rsidP="005A435B">
            <w:pPr>
              <w:spacing w:after="240"/>
              <w:jc w:val="center"/>
              <w:rPr>
                <w:sz w:val="20"/>
              </w:rPr>
            </w:pPr>
            <w:r>
              <w:rPr>
                <w:sz w:val="20"/>
              </w:rPr>
              <w:t>Harrison, et al</w:t>
            </w:r>
            <w:r>
              <w:rPr>
                <w:sz w:val="20"/>
              </w:rPr>
              <w:fldChar w:fldCharType="begin"/>
            </w:r>
            <w:r w:rsidR="00E10953">
              <w:rPr>
                <w:sz w:val="20"/>
              </w:rPr>
              <w:instrText xml:space="preserve"> ADDIN EN.CITE &lt;EndNote&gt;&lt;Cite&gt;&lt;Author&gt;Harrison DA&lt;/Author&gt;&lt;Year&gt;2013&lt;/Year&gt;&lt;RecNum&gt;1708&lt;/RecNum&gt;&lt;DisplayText&gt;[43]&lt;/DisplayText&gt;&lt;record&gt;&lt;rec-number&gt;1708&lt;/rec-number&gt;&lt;foreign-keys&gt;&lt;key app="EN" db-id="dz99p92dtf9avne5r2bvzva0zpft9d9ptzfr" timestamp="1490200048"&gt;1708&lt;/key&gt;&lt;/foreign-keys&gt;&lt;ref-type name="Report"&gt;27&lt;/ref-type&gt;&lt;contributors&gt;&lt;authors&gt;&lt;author&gt;Harrison DA, &lt;/author&gt;&lt;author&gt;Prabhu G, &lt;/author&gt;&lt;author&gt;Grieve R, &lt;/author&gt;&lt;author&gt;et al,&lt;/author&gt;&lt;/authors&gt;&lt;/contributors&gt;&lt;titles&gt;&lt;title&gt;Risk Adjustment In Neurocritical care (RAIN) – prospective validation of risk prediction models for adult patients with acute traumatic brain injury to use to evaluate the optimum location and comparative costs of neurocritical care: a cohort study&lt;/title&gt;&lt;/titles&gt;&lt;volume&gt;17&lt;/volume&gt;&lt;num-vols&gt;23&lt;/num-vols&gt;&lt;dates&gt;&lt;year&gt;2013&lt;/year&gt;&lt;/dates&gt;&lt;publisher&gt;Health Technology Assessment&lt;/publisher&gt;&lt;urls&gt;&lt;/urls&gt;&lt;/record&gt;&lt;/Cite&gt;&lt;/EndNote&gt;</w:instrText>
            </w:r>
            <w:r>
              <w:rPr>
                <w:sz w:val="20"/>
              </w:rPr>
              <w:fldChar w:fldCharType="separate"/>
            </w:r>
            <w:r w:rsidR="00E10953">
              <w:rPr>
                <w:noProof/>
                <w:sz w:val="20"/>
              </w:rPr>
              <w:t>[43]</w:t>
            </w:r>
            <w:r>
              <w:rPr>
                <w:sz w:val="20"/>
              </w:rPr>
              <w:fldChar w:fldCharType="end"/>
            </w:r>
          </w:p>
          <w:p w14:paraId="09C71412" w14:textId="713861FF" w:rsidR="005A435B" w:rsidRPr="00C40569" w:rsidRDefault="005A435B" w:rsidP="00E10953">
            <w:pPr>
              <w:spacing w:after="240"/>
              <w:jc w:val="center"/>
              <w:rPr>
                <w:sz w:val="20"/>
              </w:rPr>
            </w:pPr>
            <w:r w:rsidRPr="00C40569">
              <w:rPr>
                <w:sz w:val="20"/>
              </w:rPr>
              <w:t xml:space="preserve">Stevenson et al </w:t>
            </w:r>
            <w:r w:rsidRPr="00C40569">
              <w:rPr>
                <w:sz w:val="20"/>
              </w:rPr>
              <w:fldChar w:fldCharType="begin"/>
            </w:r>
            <w:r w:rsidR="00E10953">
              <w:rPr>
                <w:sz w:val="20"/>
              </w:rPr>
              <w:instrText xml:space="preserve"> ADDIN EN.CITE &lt;EndNote&gt;&lt;Cite&gt;&lt;Author&gt;M Stevenson&lt;/Author&gt;&lt;Year&gt;2009&lt;/Year&gt;&lt;RecNum&gt;1661&lt;/RecNum&gt;&lt;DisplayText&gt;[44]&lt;/DisplayText&gt;&lt;record&gt;&lt;rec-number&gt;1661&lt;/rec-number&gt;&lt;foreign-keys&gt;&lt;key app="EN" db-id="dz99p92dtf9avne5r2bvzva0zpft9d9ptzfr" timestamp="0"&gt;1661&lt;/key&gt;&lt;/foreign-keys&gt;&lt;ref-type name="Report"&gt;27&lt;/ref-type&gt;&lt;contributors&gt;&lt;authors&gt;&lt;author&gt;M Stevenson, &lt;/author&gt;&lt;author&gt;M Lloyd-Jones, &lt;/author&gt;&lt;author&gt;D Papaioannou,&lt;/author&gt;&lt;/authors&gt;&lt;/contributors&gt;&lt;titles&gt;&lt;title&gt;Vitamin K to prevent fractures in older women: a systematic review and economic evaluation. Health Technology assessment; Vol 13: No 45&lt;/title&gt;&lt;/titles&gt;&lt;dates&gt;&lt;year&gt;2009&lt;/year&gt;&lt;/dates&gt;&lt;urls&gt;&lt;/urls&gt;&lt;/record&gt;&lt;/Cite&gt;&lt;/EndNote&gt;</w:instrText>
            </w:r>
            <w:r w:rsidRPr="00C40569">
              <w:rPr>
                <w:sz w:val="20"/>
              </w:rPr>
              <w:fldChar w:fldCharType="separate"/>
            </w:r>
            <w:r w:rsidR="00E10953">
              <w:rPr>
                <w:noProof/>
                <w:sz w:val="20"/>
              </w:rPr>
              <w:t>[44]</w:t>
            </w:r>
            <w:r w:rsidRPr="00C40569">
              <w:rPr>
                <w:sz w:val="20"/>
              </w:rPr>
              <w:fldChar w:fldCharType="end"/>
            </w:r>
          </w:p>
        </w:tc>
      </w:tr>
      <w:tr w:rsidR="00A75DB7" w:rsidRPr="00C40569" w14:paraId="5BEABBC9" w14:textId="3559B7E1" w:rsidTr="002D510D">
        <w:tc>
          <w:tcPr>
            <w:tcW w:w="2107" w:type="dxa"/>
            <w:vAlign w:val="center"/>
          </w:tcPr>
          <w:p w14:paraId="66EB95C0" w14:textId="5C16DB17" w:rsidR="00A75DB7" w:rsidRPr="00C40569" w:rsidRDefault="00A75DB7" w:rsidP="00EB18A9">
            <w:pPr>
              <w:keepNext/>
              <w:keepLines/>
              <w:spacing w:after="240"/>
              <w:jc w:val="center"/>
              <w:outlineLvl w:val="5"/>
              <w:rPr>
                <w:sz w:val="20"/>
              </w:rPr>
            </w:pPr>
            <w:r w:rsidRPr="00C40569">
              <w:rPr>
                <w:sz w:val="20"/>
              </w:rPr>
              <w:t>Regression approach</w:t>
            </w:r>
          </w:p>
        </w:tc>
        <w:tc>
          <w:tcPr>
            <w:tcW w:w="1884" w:type="dxa"/>
            <w:vAlign w:val="center"/>
          </w:tcPr>
          <w:p w14:paraId="76DCE021" w14:textId="149874D2" w:rsidR="00A75DB7" w:rsidRPr="00C40569" w:rsidRDefault="00A75DB7" w:rsidP="00EB18A9">
            <w:pPr>
              <w:keepNext/>
              <w:keepLines/>
              <w:spacing w:after="240"/>
              <w:jc w:val="center"/>
              <w:outlineLvl w:val="5"/>
              <w:rPr>
                <w:sz w:val="20"/>
              </w:rPr>
            </w:pPr>
            <w:r w:rsidRPr="00C40569">
              <w:rPr>
                <w:sz w:val="20"/>
              </w:rPr>
              <w:t>This uses external data to generate an algorithm linking disease specific measures to costs or utilities.</w:t>
            </w:r>
          </w:p>
        </w:tc>
        <w:tc>
          <w:tcPr>
            <w:tcW w:w="1837" w:type="dxa"/>
            <w:vAlign w:val="center"/>
          </w:tcPr>
          <w:p w14:paraId="128F5C16" w14:textId="61362239" w:rsidR="00A75DB7" w:rsidRPr="00C40569" w:rsidRDefault="00A75DB7" w:rsidP="00EB18A9">
            <w:pPr>
              <w:keepNext/>
              <w:keepLines/>
              <w:spacing w:after="240"/>
              <w:jc w:val="center"/>
              <w:outlineLvl w:val="5"/>
              <w:rPr>
                <w:sz w:val="20"/>
              </w:rPr>
            </w:pPr>
            <w:r w:rsidRPr="00C40569">
              <w:rPr>
                <w:sz w:val="20"/>
              </w:rPr>
              <w:t>Can incorporate time explicitly using age as covariates for example.</w:t>
            </w:r>
          </w:p>
        </w:tc>
        <w:tc>
          <w:tcPr>
            <w:tcW w:w="1920" w:type="dxa"/>
            <w:vAlign w:val="center"/>
          </w:tcPr>
          <w:p w14:paraId="6F9BEA6B" w14:textId="77777777" w:rsidR="00A75DB7" w:rsidRPr="00C40569" w:rsidRDefault="00A75DB7" w:rsidP="00EB18A9">
            <w:pPr>
              <w:keepNext/>
              <w:keepLines/>
              <w:spacing w:after="240"/>
              <w:jc w:val="center"/>
              <w:outlineLvl w:val="5"/>
              <w:rPr>
                <w:sz w:val="20"/>
              </w:rPr>
            </w:pPr>
            <w:r w:rsidRPr="00C40569">
              <w:rPr>
                <w:sz w:val="20"/>
              </w:rPr>
              <w:t>Requires patient level data for estimation.</w:t>
            </w:r>
          </w:p>
          <w:p w14:paraId="20CC627B" w14:textId="15CD61F9" w:rsidR="00A75DB7" w:rsidRPr="00C40569" w:rsidRDefault="00A75DB7" w:rsidP="00EB18A9">
            <w:pPr>
              <w:keepNext/>
              <w:keepLines/>
              <w:spacing w:after="240"/>
              <w:jc w:val="center"/>
              <w:outlineLvl w:val="5"/>
              <w:rPr>
                <w:sz w:val="20"/>
              </w:rPr>
            </w:pPr>
            <w:r w:rsidRPr="00C40569">
              <w:rPr>
                <w:sz w:val="20"/>
              </w:rPr>
              <w:t>Uncertainty in the prediction of costs/utilities should be reflected.</w:t>
            </w:r>
          </w:p>
        </w:tc>
        <w:tc>
          <w:tcPr>
            <w:tcW w:w="1494" w:type="dxa"/>
          </w:tcPr>
          <w:p w14:paraId="6D18E0FD" w14:textId="3116EC71" w:rsidR="00A75DB7" w:rsidRDefault="005A435B" w:rsidP="00EB18A9">
            <w:pPr>
              <w:keepNext/>
              <w:keepLines/>
              <w:spacing w:after="240"/>
              <w:jc w:val="center"/>
              <w:outlineLvl w:val="5"/>
              <w:rPr>
                <w:sz w:val="20"/>
              </w:rPr>
            </w:pPr>
            <w:r w:rsidRPr="00C40569">
              <w:rPr>
                <w:sz w:val="20"/>
              </w:rPr>
              <w:t xml:space="preserve">Loveman et al </w:t>
            </w:r>
            <w:r w:rsidRPr="00C40569">
              <w:rPr>
                <w:sz w:val="20"/>
              </w:rPr>
              <w:fldChar w:fldCharType="begin"/>
            </w:r>
            <w:r w:rsidR="00E10953">
              <w:rPr>
                <w:sz w:val="20"/>
              </w:rPr>
              <w:instrText xml:space="preserve"> ADDIN EN.CITE &lt;EndNote&gt;&lt;Cite&gt;&lt;Author&gt;Loveman E&lt;/Author&gt;&lt;Year&gt;2010&lt;/Year&gt;&lt;RecNum&gt;1659&lt;/RecNum&gt;&lt;DisplayText&gt;[25]&lt;/DisplayText&gt;&lt;record&gt;&lt;rec-number&gt;1659&lt;/rec-number&gt;&lt;foreign-keys&gt;&lt;key app="EN" db-id="dz99p92dtf9avne5r2bvzva0zpft9d9ptzfr" timestamp="0"&gt;1659&lt;/key&gt;&lt;/foreign-keys&gt;&lt;ref-type name="Report"&gt;27&lt;/ref-type&gt;&lt;contributors&gt;&lt;authors&gt;&lt;author&gt;Loveman E, &lt;/author&gt;&lt;author&gt;Jones J, &lt;/author&gt;&lt;author&gt;Hartwell D, &lt;/author&gt;&lt;author&gt;Bird A, &lt;/author&gt;&lt;author&gt;Harris P, &lt;/author&gt;&lt;author&gt;Welch K, &lt;/author&gt;&lt;author&gt;Clegg A,&lt;/author&gt;&lt;/authors&gt;&lt;/contributors&gt;&lt;titles&gt;&lt;title&gt;The clinical effectiveness and cost-effectiveness of topotecan for small cell lung cancer: a systematic review and economic evaluation. Health Technology assessment; Vol 14: No 19&lt;/title&gt;&lt;/titles&gt;&lt;dates&gt;&lt;year&gt;2010&lt;/year&gt;&lt;/dates&gt;&lt;urls&gt;&lt;/urls&gt;&lt;/record&gt;&lt;/Cite&gt;&lt;/EndNote&gt;</w:instrText>
            </w:r>
            <w:r w:rsidRPr="00C40569">
              <w:rPr>
                <w:sz w:val="20"/>
              </w:rPr>
              <w:fldChar w:fldCharType="separate"/>
            </w:r>
            <w:r w:rsidR="00E10953">
              <w:rPr>
                <w:noProof/>
                <w:sz w:val="20"/>
              </w:rPr>
              <w:t>[25]</w:t>
            </w:r>
            <w:r w:rsidRPr="00C40569">
              <w:rPr>
                <w:sz w:val="20"/>
              </w:rPr>
              <w:fldChar w:fldCharType="end"/>
            </w:r>
          </w:p>
          <w:p w14:paraId="4DEFF533" w14:textId="3597BF45" w:rsidR="00EA5F0B" w:rsidRPr="00C40569" w:rsidRDefault="00EA5F0B" w:rsidP="00E10953">
            <w:pPr>
              <w:keepNext/>
              <w:keepLines/>
              <w:spacing w:after="240"/>
              <w:jc w:val="center"/>
              <w:outlineLvl w:val="5"/>
              <w:rPr>
                <w:sz w:val="20"/>
              </w:rPr>
            </w:pPr>
            <w:r>
              <w:rPr>
                <w:sz w:val="20"/>
              </w:rPr>
              <w:t>Henrikkson, et al</w:t>
            </w:r>
            <w:r>
              <w:rPr>
                <w:sz w:val="20"/>
              </w:rPr>
              <w:fldChar w:fldCharType="begin"/>
            </w:r>
            <w:r w:rsidR="00E10953">
              <w:rPr>
                <w:sz w:val="20"/>
              </w:rPr>
              <w:instrText xml:space="preserve"> ADDIN EN.CITE &lt;EndNote&gt;&lt;Cite&gt;&lt;Author&gt;Henriksson M&lt;/Author&gt;&lt;Year&gt;2008&lt;/Year&gt;&lt;RecNum&gt;1710&lt;/RecNum&gt;&lt;DisplayText&gt;[45]&lt;/DisplayText&gt;&lt;record&gt;&lt;rec-number&gt;1710&lt;/rec-number&gt;&lt;foreign-keys&gt;&lt;key app="EN" db-id="dz99p92dtf9avne5r2bvzva0zpft9d9ptzfr" timestamp="1491383864"&gt;1710&lt;/key&gt;&lt;/foreign-keys&gt;&lt;ref-type name="Journal Article"&gt;17&lt;/ref-type&gt;&lt;contributors&gt;&lt;authors&gt;&lt;author&gt;Henriksson M, &lt;/author&gt;&lt;author&gt;Epstein DM, &lt;/author&gt;&lt;author&gt;Palmer SJ, &lt;/author&gt;&lt;author&gt;Sculpher MJ, &lt;/author&gt;&lt;author&gt;Clayton TC, &lt;/author&gt;&lt;author&gt;Pocock SJ, &lt;/author&gt;&lt;author&gt;Henderson RA, &lt;/author&gt;&lt;author&gt;Buxton MJ, &lt;/author&gt;&lt;author&gt;Fox KA,&lt;/author&gt;&lt;/authors&gt;&lt;/contributors&gt;&lt;titles&gt;&lt;title&gt;The cost-effectiveness of an early interventional strategy in non-ST-elevation acute coronary syndrome based on the RITA 3 trial&lt;/title&gt;&lt;secondary-title&gt;Heart&lt;/secondary-title&gt;&lt;/titles&gt;&lt;periodical&gt;&lt;full-title&gt;Heart&lt;/full-title&gt;&lt;/periodical&gt;&lt;pages&gt;717-23&lt;/pages&gt;&lt;volume&gt;94&lt;/volume&gt;&lt;number&gt;6&lt;/number&gt;&lt;dates&gt;&lt;year&gt;2008&lt;/year&gt;&lt;/dates&gt;&lt;urls&gt;&lt;/urls&gt;&lt;/record&gt;&lt;/Cite&gt;&lt;/EndNote&gt;</w:instrText>
            </w:r>
            <w:r>
              <w:rPr>
                <w:sz w:val="20"/>
              </w:rPr>
              <w:fldChar w:fldCharType="separate"/>
            </w:r>
            <w:r w:rsidR="00E10953">
              <w:rPr>
                <w:noProof/>
                <w:sz w:val="20"/>
              </w:rPr>
              <w:t>[45]</w:t>
            </w:r>
            <w:r>
              <w:rPr>
                <w:sz w:val="20"/>
              </w:rPr>
              <w:fldChar w:fldCharType="end"/>
            </w:r>
          </w:p>
        </w:tc>
      </w:tr>
    </w:tbl>
    <w:p w14:paraId="24BDAFEE" w14:textId="4B7D0EBF" w:rsidR="00EF4B67" w:rsidRPr="00C40569" w:rsidRDefault="00EF4B67" w:rsidP="00256023">
      <w:pPr>
        <w:rPr>
          <w:sz w:val="20"/>
        </w:rPr>
      </w:pPr>
      <w:bookmarkStart w:id="6" w:name="_Toc341889191"/>
      <w:bookmarkStart w:id="7" w:name="_Toc341889344"/>
      <w:bookmarkStart w:id="8" w:name="_Toc341889491"/>
    </w:p>
    <w:p w14:paraId="6BA8B085" w14:textId="77777777" w:rsidR="002D510D" w:rsidRDefault="002D510D" w:rsidP="00256023">
      <w:pPr>
        <w:rPr>
          <w:i/>
          <w:sz w:val="20"/>
        </w:rPr>
      </w:pPr>
    </w:p>
    <w:p w14:paraId="4188C1AC" w14:textId="77777777" w:rsidR="002D510D" w:rsidRDefault="002D510D" w:rsidP="00256023">
      <w:pPr>
        <w:rPr>
          <w:i/>
          <w:sz w:val="20"/>
        </w:rPr>
      </w:pPr>
    </w:p>
    <w:p w14:paraId="367AB7C8" w14:textId="77777777" w:rsidR="002D510D" w:rsidRDefault="002D510D" w:rsidP="00256023">
      <w:pPr>
        <w:rPr>
          <w:i/>
          <w:sz w:val="20"/>
        </w:rPr>
      </w:pPr>
    </w:p>
    <w:p w14:paraId="1CE93466" w14:textId="77777777" w:rsidR="002D510D" w:rsidRDefault="002D510D" w:rsidP="00256023">
      <w:pPr>
        <w:rPr>
          <w:i/>
          <w:sz w:val="20"/>
        </w:rPr>
      </w:pPr>
    </w:p>
    <w:p w14:paraId="3ACE7C22" w14:textId="5D5FC602" w:rsidR="00C93BB4" w:rsidRPr="00C40569" w:rsidRDefault="00C93BB4" w:rsidP="00256023">
      <w:pPr>
        <w:rPr>
          <w:i/>
          <w:sz w:val="20"/>
        </w:rPr>
      </w:pPr>
      <w:r w:rsidRPr="00C40569">
        <w:rPr>
          <w:i/>
          <w:sz w:val="20"/>
        </w:rPr>
        <w:lastRenderedPageBreak/>
        <w:t>Profiles of costs or utilities</w:t>
      </w:r>
    </w:p>
    <w:bookmarkEnd w:id="6"/>
    <w:bookmarkEnd w:id="7"/>
    <w:bookmarkEnd w:id="8"/>
    <w:p w14:paraId="1E7CE5D7" w14:textId="5B97C418" w:rsidR="00C93BB4" w:rsidRPr="00C40569" w:rsidRDefault="00C93BB4" w:rsidP="008A7AA9">
      <w:pPr>
        <w:spacing w:after="0" w:line="360" w:lineRule="auto"/>
        <w:rPr>
          <w:sz w:val="20"/>
        </w:rPr>
      </w:pPr>
      <w:r w:rsidRPr="00C40569">
        <w:rPr>
          <w:sz w:val="20"/>
        </w:rPr>
        <w:t>In some instances, rather than specifying a formal model with health states assigned costs and utility values, authors have applied a fixed estimate (profile) to short term events without directly specifying the process by which these were achieved. In the REFLUX model</w:t>
      </w:r>
      <w:r w:rsidR="0097676E" w:rsidRPr="00C40569">
        <w:rPr>
          <w:sz w:val="20"/>
        </w:rPr>
        <w:fldChar w:fldCharType="begin"/>
      </w:r>
      <w:r w:rsidR="00E10953">
        <w:rPr>
          <w:sz w:val="20"/>
        </w:rPr>
        <w:instrText xml:space="preserve"> ADDIN EN.CITE &lt;EndNote&gt;&lt;Cite&gt;&lt;Author&gt;A Grant&lt;/Author&gt;&lt;Year&gt;2008&lt;/Year&gt;&lt;RecNum&gt;1658&lt;/RecNum&gt;&lt;DisplayText&gt;[39]&lt;/DisplayText&gt;&lt;record&gt;&lt;rec-number&gt;1658&lt;/rec-number&gt;&lt;foreign-keys&gt;&lt;key app="EN" db-id="dz99p92dtf9avne5r2bvzva0zpft9d9ptzfr" timestamp="0"&gt;1658&lt;/key&gt;&lt;/foreign-keys&gt;&lt;ref-type name="Report"&gt;27&lt;/ref-type&gt;&lt;contributors&gt;&lt;authors&gt;&lt;author&gt;A Grant, &lt;/author&gt;&lt;author&gt;S Wileman, &lt;/author&gt;&lt;author&gt;C Ramsay, &lt;/author&gt;&lt;author&gt;L Bojke, &lt;/author&gt;&lt;author&gt;D Epstein,&lt;/author&gt;&lt;author&gt;M Sculpher, &lt;/author&gt;&lt;author&gt;S Macran, &lt;/author&gt;&lt;author&gt;M Kilonzo, &lt;/author&gt;&lt;author&gt;L Vale, &lt;/author&gt;&lt;author&gt;J Francis,&lt;/author&gt;&lt;author&gt;A Mowat, &lt;/author&gt;&lt;author&gt;Z Krukowski, &lt;/author&gt;&lt;author&gt;R Heading, &lt;/author&gt;&lt;author&gt;M Thursz,&lt;/author&gt;&lt;author&gt;I Russell,&lt;/author&gt;&lt;author&gt;on behalf of the reflux trial group,&lt;/author&gt;&lt;/authors&gt;&lt;/contributors&gt;&lt;titles&gt;&lt;title&gt;The effectiveness and cost-effectiveness of minimal access surgery amongst people with gastro-oesophageal reflux disease - a UK collaborative study. The REFLUX Trial. Health Technology Assessment; Vol 12: No 31&lt;/title&gt;&lt;/titles&gt;&lt;dates&gt;&lt;year&gt;2008&lt;/year&gt;&lt;/dates&gt;&lt;urls&gt;&lt;/urls&gt;&lt;/record&gt;&lt;/Cite&gt;&lt;/EndNote&gt;</w:instrText>
      </w:r>
      <w:r w:rsidR="0097676E" w:rsidRPr="00C40569">
        <w:rPr>
          <w:sz w:val="20"/>
        </w:rPr>
        <w:fldChar w:fldCharType="separate"/>
      </w:r>
      <w:r w:rsidR="00E10953">
        <w:rPr>
          <w:noProof/>
          <w:sz w:val="20"/>
        </w:rPr>
        <w:t>[39]</w:t>
      </w:r>
      <w:r w:rsidR="0097676E" w:rsidRPr="00C40569">
        <w:rPr>
          <w:sz w:val="20"/>
        </w:rPr>
        <w:fldChar w:fldCharType="end"/>
      </w:r>
      <w:r w:rsidR="00B164D4" w:rsidRPr="00C40569">
        <w:rPr>
          <w:sz w:val="20"/>
        </w:rPr>
        <w:t>,</w:t>
      </w:r>
      <w:r w:rsidR="0097676E" w:rsidRPr="00C40569">
        <w:rPr>
          <w:sz w:val="20"/>
        </w:rPr>
        <w:t xml:space="preserve"> initially a state based model was specified which attached a utility score </w:t>
      </w:r>
      <w:r w:rsidR="0097676E" w:rsidRPr="00C40569">
        <w:rPr>
          <w:rFonts w:cs="Humanist521BT-Roman"/>
          <w:sz w:val="20"/>
        </w:rPr>
        <w:t xml:space="preserve">following </w:t>
      </w:r>
      <w:r w:rsidRPr="00C40569">
        <w:rPr>
          <w:sz w:val="20"/>
        </w:rPr>
        <w:t>(a) medical management, (b) successful laparoscopic surgery and (c) unsuccessful laparoscopic surgery (on medication). This meant that the probabilities of being in these states had to be specified. In a later version of the model this restriction changed so that the trends in costs and utilities observed at the end of the REFLUX trial were simply extrapolated to longer time horizons, without the need to attach these to specific health states</w:t>
      </w:r>
      <w:r w:rsidR="00B164D4" w:rsidRPr="00C40569">
        <w:rPr>
          <w:sz w:val="20"/>
        </w:rPr>
        <w:fldChar w:fldCharType="begin"/>
      </w:r>
      <w:r w:rsidR="00E10953">
        <w:rPr>
          <w:sz w:val="20"/>
        </w:rPr>
        <w:instrText xml:space="preserve"> ADDIN EN.CITE &lt;EndNote&gt;&lt;Cite&gt;&lt;Author&gt;A Grant&lt;/Author&gt;&lt;Year&gt;2008&lt;/Year&gt;&lt;RecNum&gt;1658&lt;/RecNum&gt;&lt;DisplayText&gt;[39]&lt;/DisplayText&gt;&lt;record&gt;&lt;rec-number&gt;1658&lt;/rec-number&gt;&lt;foreign-keys&gt;&lt;key app="EN" db-id="dz99p92dtf9avne5r2bvzva0zpft9d9ptzfr" timestamp="0"&gt;1658&lt;/key&gt;&lt;/foreign-keys&gt;&lt;ref-type name="Report"&gt;27&lt;/ref-type&gt;&lt;contributors&gt;&lt;authors&gt;&lt;author&gt;A Grant, &lt;/author&gt;&lt;author&gt;S Wileman, &lt;/author&gt;&lt;author&gt;C Ramsay, &lt;/author&gt;&lt;author&gt;L Bojke, &lt;/author&gt;&lt;author&gt;D Epstein,&lt;/author&gt;&lt;author&gt;M Sculpher, &lt;/author&gt;&lt;author&gt;S Macran, &lt;/author&gt;&lt;author&gt;M Kilonzo, &lt;/author&gt;&lt;author&gt;L Vale, &lt;/author&gt;&lt;author&gt;J Francis,&lt;/author&gt;&lt;author&gt;A Mowat, &lt;/author&gt;&lt;author&gt;Z Krukowski, &lt;/author&gt;&lt;author&gt;R Heading, &lt;/author&gt;&lt;author&gt;M Thursz,&lt;/author&gt;&lt;author&gt;I Russell,&lt;/author&gt;&lt;author&gt;on behalf of the reflux trial group,&lt;/author&gt;&lt;/authors&gt;&lt;/contributors&gt;&lt;titles&gt;&lt;title&gt;The effectiveness and cost-effectiveness of minimal access surgery amongst people with gastro-oesophageal reflux disease - a UK collaborative study. The REFLUX Trial. Health Technology Assessment; Vol 12: No 31&lt;/title&gt;&lt;/titles&gt;&lt;dates&gt;&lt;year&gt;2008&lt;/year&gt;&lt;/dates&gt;&lt;urls&gt;&lt;/urls&gt;&lt;/record&gt;&lt;/Cite&gt;&lt;/EndNote&gt;</w:instrText>
      </w:r>
      <w:r w:rsidR="00B164D4" w:rsidRPr="00C40569">
        <w:rPr>
          <w:sz w:val="20"/>
        </w:rPr>
        <w:fldChar w:fldCharType="separate"/>
      </w:r>
      <w:r w:rsidR="00E10953">
        <w:rPr>
          <w:noProof/>
          <w:sz w:val="20"/>
        </w:rPr>
        <w:t>[39]</w:t>
      </w:r>
      <w:r w:rsidR="00B164D4" w:rsidRPr="00C40569">
        <w:rPr>
          <w:sz w:val="20"/>
        </w:rPr>
        <w:fldChar w:fldCharType="end"/>
      </w:r>
      <w:r w:rsidR="0097676E" w:rsidRPr="00C40569">
        <w:rPr>
          <w:sz w:val="20"/>
        </w:rPr>
        <w:t>.</w:t>
      </w:r>
      <w:r w:rsidRPr="00C40569">
        <w:rPr>
          <w:sz w:val="20"/>
        </w:rPr>
        <w:t xml:space="preserve"> Sensitivity analysis was conducted to explore alternative assumptions regarding these profiles over the model time horizon.</w:t>
      </w:r>
    </w:p>
    <w:p w14:paraId="388A3981" w14:textId="77777777" w:rsidR="00C93BB4" w:rsidRPr="00C40569" w:rsidRDefault="00C93BB4" w:rsidP="008A7AA9">
      <w:pPr>
        <w:spacing w:after="0" w:line="360" w:lineRule="auto"/>
        <w:rPr>
          <w:sz w:val="20"/>
        </w:rPr>
      </w:pPr>
    </w:p>
    <w:p w14:paraId="29CCDFE2" w14:textId="727BBA67" w:rsidR="00C93BB4" w:rsidRPr="00C40569" w:rsidRDefault="00C93BB4" w:rsidP="008A7AA9">
      <w:pPr>
        <w:spacing w:after="0" w:line="360" w:lineRule="auto"/>
        <w:rPr>
          <w:sz w:val="20"/>
        </w:rPr>
      </w:pPr>
      <w:r w:rsidRPr="00C40569">
        <w:rPr>
          <w:sz w:val="20"/>
        </w:rPr>
        <w:t>McKenna et al</w:t>
      </w:r>
      <w:r w:rsidR="00E77410" w:rsidRPr="00C40569">
        <w:rPr>
          <w:sz w:val="20"/>
        </w:rPr>
        <w:t xml:space="preserve"> </w:t>
      </w:r>
      <w:r w:rsidR="005C45B6" w:rsidRPr="00C40569">
        <w:rPr>
          <w:sz w:val="20"/>
        </w:rPr>
        <w:fldChar w:fldCharType="begin"/>
      </w:r>
      <w:r w:rsidR="00E10953">
        <w:rPr>
          <w:sz w:val="20"/>
        </w:rPr>
        <w:instrText xml:space="preserve"> ADDIN EN.CITE &lt;EndNote&gt;&lt;Cite&gt;&lt;Author&gt;McKenna&lt;/Author&gt;&lt;Year&gt;2009&lt;/Year&gt;&lt;RecNum&gt;5656&lt;/RecNum&gt;&lt;DisplayText&gt;[40]&lt;/DisplayText&gt;&lt;record&gt;&lt;rec-number&gt;5656&lt;/rec-number&gt;&lt;foreign-keys&gt;&lt;key app="EN" db-id="ffffx00e4x9z58edttj5ftdps0tv5tt9s0tw"&gt;5656&lt;/key&gt;&lt;/foreign-keys&gt;&lt;ref-type name="Journal Article"&gt;17&lt;/ref-type&gt;&lt;contributors&gt;&lt;authors&gt;&lt;author&gt;McKenna, C.&lt;/author&gt;&lt;author&gt;McDaid, C. &lt;/author&gt;&lt;author&gt;Suekarran, S. &lt;/author&gt;&lt;author&gt;et al.&lt;/author&gt;&lt;/authors&gt;&lt;/contributors&gt;&lt;titles&gt;&lt;title&gt;Enhanced external counterpulsation (EECP) for the treatment of stable angina and heart failure: a systematic review and economic analysis&lt;/title&gt;&lt;secondary-title&gt;Health Technology Assessment&lt;/secondary-title&gt;&lt;/titles&gt;&lt;periodical&gt;&lt;full-title&gt;Health Technology Assessment&lt;/full-title&gt;&lt;/periodical&gt;&lt;pages&gt;1-128&lt;/pages&gt;&lt;volume&gt;13&lt;/volume&gt;&lt;number&gt;24&lt;/number&gt;&lt;dates&gt;&lt;year&gt;2009&lt;/year&gt;&lt;/dates&gt;&lt;urls&gt;&lt;/urls&gt;&lt;/record&gt;&lt;/Cite&gt;&lt;/EndNote&gt;</w:instrText>
      </w:r>
      <w:r w:rsidR="005C45B6" w:rsidRPr="00C40569">
        <w:rPr>
          <w:sz w:val="20"/>
        </w:rPr>
        <w:fldChar w:fldCharType="separate"/>
      </w:r>
      <w:r w:rsidR="00E10953">
        <w:rPr>
          <w:noProof/>
          <w:sz w:val="20"/>
        </w:rPr>
        <w:t>[40]</w:t>
      </w:r>
      <w:r w:rsidR="005C45B6" w:rsidRPr="00C40569">
        <w:rPr>
          <w:sz w:val="20"/>
        </w:rPr>
        <w:fldChar w:fldCharType="end"/>
      </w:r>
      <w:r w:rsidR="005C45B6" w:rsidRPr="00C40569">
        <w:rPr>
          <w:sz w:val="20"/>
        </w:rPr>
        <w:t xml:space="preserve"> </w:t>
      </w:r>
      <w:r w:rsidRPr="00C40569">
        <w:rPr>
          <w:sz w:val="20"/>
        </w:rPr>
        <w:t>used alternative approaches to inform the duration of quality of life benefits over time in the model, in the absence of suitable trial estimates for the duration of treatment benefits. Formal elicitation techniques were used to determine the sustained duration of utility improvements seen after 1 year in the EECP trial. Elicitation of clinical experts</w:t>
      </w:r>
      <w:r w:rsidR="009359F1" w:rsidRPr="00C40569">
        <w:rPr>
          <w:sz w:val="20"/>
        </w:rPr>
        <w:t>’</w:t>
      </w:r>
      <w:r w:rsidRPr="00C40569">
        <w:rPr>
          <w:sz w:val="20"/>
        </w:rPr>
        <w:t xml:space="preserve"> opinions was used to estimate the probability of patients experiencing a sustained health benefit beyond the trial period. Therefore the utility difference isn't attributed to a set of discrete events/states in the model and instead the direct utility differences are used within the extrapolation. </w:t>
      </w:r>
    </w:p>
    <w:p w14:paraId="68A181D1" w14:textId="77777777" w:rsidR="00E77410" w:rsidRPr="00E77410" w:rsidRDefault="00E77410" w:rsidP="008A7AA9">
      <w:pPr>
        <w:spacing w:after="0" w:line="360" w:lineRule="auto"/>
        <w:rPr>
          <w:rFonts w:ascii="American Typewriter" w:hAnsi="American Typewriter"/>
          <w:sz w:val="20"/>
        </w:rPr>
      </w:pPr>
    </w:p>
    <w:p w14:paraId="5B1420C7" w14:textId="37B7F07C" w:rsidR="00C93BB4" w:rsidRPr="00C40569" w:rsidRDefault="00C93BB4" w:rsidP="008A7AA9">
      <w:pPr>
        <w:spacing w:after="0" w:line="360" w:lineRule="auto"/>
        <w:rPr>
          <w:i/>
          <w:sz w:val="20"/>
        </w:rPr>
      </w:pPr>
      <w:r w:rsidRPr="00C40569">
        <w:rPr>
          <w:i/>
          <w:sz w:val="20"/>
        </w:rPr>
        <w:t>Constant costs or utilities applied to health states or events</w:t>
      </w:r>
    </w:p>
    <w:p w14:paraId="0EACB8D6" w14:textId="3F6D4117" w:rsidR="00C93BB4" w:rsidRPr="00C40569" w:rsidRDefault="00C93BB4" w:rsidP="00340C00">
      <w:pPr>
        <w:spacing w:after="0" w:line="360" w:lineRule="auto"/>
        <w:rPr>
          <w:rFonts w:cs="Calibri"/>
          <w:color w:val="FF0000"/>
          <w:sz w:val="20"/>
        </w:rPr>
      </w:pPr>
      <w:r w:rsidRPr="00C40569">
        <w:rPr>
          <w:sz w:val="20"/>
        </w:rPr>
        <w:t>For models that attach a cost and utility to a specific health state or event within a model, the majority do this by applying a constant cost and utility.  Often this is undertaken by implementing a Markov model and as such the same approach was used for both baseline (i.e. control group) and treatment effect. Any treatment effect is derived from the modelled differential event rates. Patients in a given health state (or experiencing an event) require a fixed amount healthcare resources (to generate fixed costs) and experience a given utility value (dis-utility in the case of a clinical event) for the entire cycle length. This method does not typically account for the impact of an ageing population on the baseline cost and utility and assumes the treatment effect to be ho</w:t>
      </w:r>
      <w:r w:rsidR="00A26ED0">
        <w:rPr>
          <w:sz w:val="20"/>
        </w:rPr>
        <w:t xml:space="preserve">mogeneous with respect to </w:t>
      </w:r>
      <w:r w:rsidR="00CB469D">
        <w:rPr>
          <w:sz w:val="20"/>
        </w:rPr>
        <w:t>time;</w:t>
      </w:r>
      <w:r w:rsidR="00A26ED0">
        <w:rPr>
          <w:sz w:val="20"/>
        </w:rPr>
        <w:t xml:space="preserve"> however i</w:t>
      </w:r>
      <w:r w:rsidR="00412E37" w:rsidRPr="00C40569">
        <w:rPr>
          <w:sz w:val="20"/>
        </w:rPr>
        <w:t>t is important to consider if the cost or utility applied to a particular health state is representative over the entire model. For example, several cancer studies estimate a single utility value for progression, which estimated from patients at the point at which they progress or are close to progressing</w:t>
      </w:r>
      <w:r w:rsidR="00E77410" w:rsidRPr="00C40569">
        <w:rPr>
          <w:sz w:val="20"/>
        </w:rPr>
        <w:t xml:space="preserve"> </w:t>
      </w:r>
      <w:r w:rsidR="00412E37" w:rsidRPr="00C40569">
        <w:rPr>
          <w:sz w:val="20"/>
        </w:rPr>
        <w:fldChar w:fldCharType="begin"/>
      </w:r>
      <w:r w:rsidR="00E10953">
        <w:rPr>
          <w:sz w:val="20"/>
        </w:rPr>
        <w:instrText xml:space="preserve"> ADDIN EN.CITE &lt;EndNote&gt;&lt;Cite&gt;&lt;Author&gt;Main C1&lt;/Author&gt;&lt;Year&gt;2006&lt;/Year&gt;&lt;RecNum&gt;1684&lt;/RecNum&gt;&lt;DisplayText&gt;[46]&lt;/DisplayText&gt;&lt;record&gt;&lt;rec-number&gt;1684&lt;/rec-number&gt;&lt;foreign-keys&gt;&lt;key app="EN" db-id="dz99p92dtf9avne5r2bvzva0zpft9d9ptzfr" timestamp="0"&gt;1684&lt;/key&gt;&lt;/foreign-keys&gt;&lt;ref-type name="Journal Article"&gt;17&lt;/ref-type&gt;&lt;contributors&gt;&lt;authors&gt;&lt;author&gt;Main C1, Bojke L, Griffin S, Norman G, Barbieri M, Mather L, Stark D, Palmer S, Riemsma R,&lt;/author&gt;&lt;/authors&gt;&lt;/contributors&gt;&lt;titles&gt;&lt;title&gt;Topotecan, pegylated liposomal doxorubicin hydrochloride and paclitaxel for second-line or subsequent treatment of advanced ovarian cancer: a systematic review and economic evaluation&lt;/title&gt;&lt;secondary-title&gt;Health Technol Assess&lt;/secondary-title&gt;&lt;/titles&gt;&lt;pages&gt;1-132&lt;/pages&gt;&lt;volume&gt;10&lt;/volume&gt;&lt;number&gt;9&lt;/number&gt;&lt;dates&gt;&lt;year&gt;2006&lt;/year&gt;&lt;/dates&gt;&lt;urls&gt;&lt;/urls&gt;&lt;/record&gt;&lt;/Cite&gt;&lt;/EndNote&gt;</w:instrText>
      </w:r>
      <w:r w:rsidR="00412E37" w:rsidRPr="00C40569">
        <w:rPr>
          <w:sz w:val="20"/>
        </w:rPr>
        <w:fldChar w:fldCharType="separate"/>
      </w:r>
      <w:r w:rsidR="00E10953">
        <w:rPr>
          <w:noProof/>
          <w:sz w:val="20"/>
        </w:rPr>
        <w:t>[46]</w:t>
      </w:r>
      <w:r w:rsidR="00412E37" w:rsidRPr="00C40569">
        <w:rPr>
          <w:sz w:val="20"/>
        </w:rPr>
        <w:fldChar w:fldCharType="end"/>
      </w:r>
      <w:r w:rsidR="00412E37" w:rsidRPr="00C40569">
        <w:rPr>
          <w:sz w:val="20"/>
        </w:rPr>
        <w:t>. However, this assumes that the utility is homogeneous with respect to time</w:t>
      </w:r>
      <w:r w:rsidR="00412E37" w:rsidRPr="00C40569">
        <w:rPr>
          <w:rFonts w:cs="Calibri"/>
          <w:color w:val="FF0000"/>
          <w:sz w:val="20"/>
        </w:rPr>
        <w:t xml:space="preserve"> </w:t>
      </w:r>
      <w:r w:rsidR="00412E37" w:rsidRPr="00C40569">
        <w:rPr>
          <w:rFonts w:cs="Calibri"/>
          <w:sz w:val="20"/>
        </w:rPr>
        <w:t>and in many cases, there may be a non-linear relationship between time post-progression or time from death and utility</w:t>
      </w:r>
      <w:r w:rsidR="00E77410" w:rsidRPr="00C40569">
        <w:rPr>
          <w:rFonts w:cs="Calibri"/>
          <w:sz w:val="20"/>
        </w:rPr>
        <w:t xml:space="preserve"> </w:t>
      </w:r>
      <w:r w:rsidR="00256023" w:rsidRPr="00C40569">
        <w:rPr>
          <w:rFonts w:cs="Calibri"/>
          <w:sz w:val="20"/>
        </w:rPr>
        <w:fldChar w:fldCharType="begin"/>
      </w:r>
      <w:r w:rsidR="00E10953">
        <w:rPr>
          <w:rFonts w:cs="Calibri"/>
          <w:sz w:val="20"/>
        </w:rPr>
        <w:instrText xml:space="preserve"> ADDIN EN.CITE &lt;EndNote&gt;&lt;Cite&gt;&lt;Author&gt;Batty A&lt;/Author&gt;&lt;Year&gt;01 October 2012&lt;/Year&gt;&lt;RecNum&gt;1691&lt;/RecNum&gt;&lt;DisplayText&gt;[47]&lt;/DisplayText&gt;&lt;record&gt;&lt;rec-number&gt;1691&lt;/rec-number&gt;&lt;foreign-keys&gt;&lt;key app="EN" db-id="dz99p92dtf9avne5r2bvzva0zpft9d9ptzfr" timestamp="1464968382"&gt;1691&lt;/key&gt;&lt;/foreign-keys&gt;&lt;ref-type name="Conference Proceedings"&gt;10&lt;/ref-type&gt;&lt;contributors&gt;&lt;authors&gt;&lt;author&gt;Batty A, Winn B, Pericleous L, Rowen D, Lee D, Nikoglou T, &lt;/author&gt;&lt;/authors&gt;&lt;/contributors&gt;&lt;titles&gt;&lt;title&gt;A comparison of general population and patient utility values for advanced melanoma&lt;/title&gt;&lt;secondary-title&gt;European Society for medical oncology&lt;/secondary-title&gt;&lt;/titles&gt;&lt;dates&gt;&lt;year&gt;01 October 2012&lt;/year&gt;&lt;/dates&gt;&lt;urls&gt;&lt;/urls&gt;&lt;/record&gt;&lt;/Cite&gt;&lt;/EndNote&gt;</w:instrText>
      </w:r>
      <w:r w:rsidR="00256023" w:rsidRPr="00C40569">
        <w:rPr>
          <w:rFonts w:cs="Calibri"/>
          <w:sz w:val="20"/>
        </w:rPr>
        <w:fldChar w:fldCharType="separate"/>
      </w:r>
      <w:r w:rsidR="00E10953">
        <w:rPr>
          <w:rFonts w:cs="Calibri"/>
          <w:noProof/>
          <w:sz w:val="20"/>
        </w:rPr>
        <w:t>[47]</w:t>
      </w:r>
      <w:r w:rsidR="00256023" w:rsidRPr="00C40569">
        <w:rPr>
          <w:rFonts w:cs="Calibri"/>
          <w:sz w:val="20"/>
        </w:rPr>
        <w:fldChar w:fldCharType="end"/>
      </w:r>
      <w:r w:rsidR="00412E37" w:rsidRPr="00C40569">
        <w:rPr>
          <w:rFonts w:cs="Calibri"/>
          <w:sz w:val="20"/>
        </w:rPr>
        <w:t>.</w:t>
      </w:r>
    </w:p>
    <w:p w14:paraId="6F74C610" w14:textId="77777777" w:rsidR="00340C00" w:rsidRPr="00E10953" w:rsidRDefault="00340C00" w:rsidP="00E10953">
      <w:pPr>
        <w:pStyle w:val="NormalWeb"/>
        <w:shd w:val="clear" w:color="auto" w:fill="FFFFFF"/>
        <w:spacing w:before="0" w:beforeAutospacing="0" w:after="150" w:afterAutospacing="0" w:line="360" w:lineRule="auto"/>
        <w:rPr>
          <w:rFonts w:asciiTheme="minorHAnsi" w:hAnsiTheme="minorHAnsi"/>
          <w:sz w:val="20"/>
        </w:rPr>
      </w:pPr>
    </w:p>
    <w:p w14:paraId="2C87C257" w14:textId="323789A7" w:rsidR="00340C00" w:rsidRPr="00E10953" w:rsidRDefault="00340C00" w:rsidP="00E10953">
      <w:pPr>
        <w:pStyle w:val="NormalWeb"/>
        <w:shd w:val="clear" w:color="auto" w:fill="FFFFFF"/>
        <w:spacing w:before="0" w:beforeAutospacing="0" w:after="150" w:afterAutospacing="0" w:line="360" w:lineRule="auto"/>
        <w:rPr>
          <w:rFonts w:asciiTheme="minorHAnsi" w:hAnsiTheme="minorHAnsi"/>
          <w:sz w:val="20"/>
        </w:rPr>
      </w:pPr>
      <w:r w:rsidRPr="00E10953">
        <w:rPr>
          <w:rFonts w:asciiTheme="minorHAnsi" w:hAnsiTheme="minorHAnsi"/>
          <w:sz w:val="20"/>
        </w:rPr>
        <w:t>In de Vries, 2016</w:t>
      </w:r>
      <w:r w:rsidRPr="00E10953">
        <w:rPr>
          <w:rFonts w:asciiTheme="minorHAnsi" w:hAnsiTheme="minorHAnsi"/>
          <w:sz w:val="20"/>
        </w:rPr>
        <w:fldChar w:fldCharType="begin"/>
      </w:r>
      <w:r w:rsidR="00E10953">
        <w:rPr>
          <w:rFonts w:asciiTheme="minorHAnsi" w:hAnsiTheme="minorHAnsi"/>
          <w:sz w:val="20"/>
        </w:rPr>
        <w:instrText xml:space="preserve"> ADDIN EN.CITE &lt;EndNote&gt;&lt;Cite&gt;&lt;Author&gt;de Vries EF&lt;/Author&gt;&lt;Year&gt;2016&lt;/Year&gt;&lt;RecNum&gt;1698&lt;/RecNum&gt;&lt;DisplayText&gt;[41]&lt;/DisplayText&gt;&lt;record&gt;&lt;rec-number&gt;1698&lt;/rec-number&gt;&lt;foreign-keys&gt;&lt;key app="EN" db-id="dz99p92dtf9avne5r2bvzva0zpft9d9ptzfr" timestamp="1489489113"&gt;1698&lt;/key&gt;&lt;/foreign-keys&gt;&lt;ref-type name="Journal Article"&gt;17&lt;/ref-type&gt;&lt;contributors&gt;&lt;authors&gt;&lt;author&gt;de Vries EF,&lt;/author&gt;&lt;author&gt;Rabelink TJ,&lt;/author&gt;&lt;author&gt;van den Hout WB, &lt;/author&gt;&lt;/authors&gt;&lt;/contributors&gt;&lt;titles&gt;&lt;title&gt;Modelling the Cost-Effectiveness of Delaying End-Stage Renal Disease&lt;/title&gt;&lt;secondary-title&gt;Nephron &lt;/secondary-title&gt;&lt;/titles&gt;&lt;periodical&gt;&lt;full-title&gt;Nephron&lt;/full-title&gt;&lt;/periodical&gt;&lt;pages&gt;89-97&lt;/pages&gt;&lt;volume&gt;133&lt;/volume&gt;&lt;dates&gt;&lt;year&gt;2016&lt;/year&gt;&lt;/dates&gt;&lt;urls&gt;&lt;/urls&gt;&lt;/record&gt;&lt;/Cite&gt;&lt;/EndNote&gt;</w:instrText>
      </w:r>
      <w:r w:rsidRPr="00E10953">
        <w:rPr>
          <w:rFonts w:asciiTheme="minorHAnsi" w:hAnsiTheme="minorHAnsi"/>
          <w:sz w:val="20"/>
        </w:rPr>
        <w:fldChar w:fldCharType="separate"/>
      </w:r>
      <w:r w:rsidR="00E10953">
        <w:rPr>
          <w:rFonts w:asciiTheme="minorHAnsi" w:hAnsiTheme="minorHAnsi"/>
          <w:noProof/>
          <w:sz w:val="20"/>
        </w:rPr>
        <w:t>[41]</w:t>
      </w:r>
      <w:r w:rsidRPr="00E10953">
        <w:rPr>
          <w:rFonts w:asciiTheme="minorHAnsi" w:hAnsiTheme="minorHAnsi"/>
          <w:sz w:val="20"/>
        </w:rPr>
        <w:fldChar w:fldCharType="end"/>
      </w:r>
      <w:r w:rsidRPr="00E10953">
        <w:rPr>
          <w:rFonts w:asciiTheme="minorHAnsi" w:hAnsiTheme="minorHAnsi"/>
          <w:sz w:val="20"/>
        </w:rPr>
        <w:t xml:space="preserve"> a model was developed to assess the cost-effectiveness of delaying end stage renal disease.  To generate survival estimates, </w:t>
      </w:r>
      <w:r w:rsidRPr="00E10953">
        <w:rPr>
          <w:rFonts w:asciiTheme="minorHAnsi" w:hAnsiTheme="minorHAnsi"/>
          <w:color w:val="000000"/>
          <w:spacing w:val="5"/>
          <w:sz w:val="20"/>
          <w:szCs w:val="20"/>
        </w:rPr>
        <w:t>data from the Dutch Renal Registry was utilised to estimate the age distribution and survival for renal replacement therapy (RRT)</w:t>
      </w:r>
      <w:r w:rsidRPr="00E10953">
        <w:rPr>
          <w:rFonts w:asciiTheme="minorHAnsi" w:hAnsiTheme="minorHAnsi"/>
          <w:color w:val="000000"/>
          <w:spacing w:val="5"/>
          <w:sz w:val="20"/>
          <w:szCs w:val="20"/>
        </w:rPr>
        <w:fldChar w:fldCharType="begin"/>
      </w:r>
      <w:r w:rsidR="00E10953">
        <w:rPr>
          <w:rFonts w:asciiTheme="minorHAnsi" w:hAnsiTheme="minorHAnsi"/>
          <w:color w:val="000000"/>
          <w:spacing w:val="5"/>
          <w:sz w:val="20"/>
          <w:szCs w:val="20"/>
        </w:rPr>
        <w:instrText xml:space="preserve"> ADDIN EN.CITE &lt;EndNote&gt;&lt;Cite&gt;&lt;Author&gt;de Vries EF&lt;/Author&gt;&lt;Year&gt;2016&lt;/Year&gt;&lt;RecNum&gt;1698&lt;/RecNum&gt;&lt;DisplayText&gt;[41]&lt;/DisplayText&gt;&lt;record&gt;&lt;rec-number&gt;1698&lt;/rec-number&gt;&lt;foreign-keys&gt;&lt;key app="EN" db-id="dz99p92dtf9avne5r2bvzva0zpft9d9ptzfr" timestamp="1489489113"&gt;1698&lt;/key&gt;&lt;/foreign-keys&gt;&lt;ref-type name="Journal Article"&gt;17&lt;/ref-type&gt;&lt;contributors&gt;&lt;authors&gt;&lt;author&gt;de Vries EF,&lt;/author&gt;&lt;author&gt;Rabelink TJ,&lt;/author&gt;&lt;author&gt;van den Hout WB, &lt;/author&gt;&lt;/authors&gt;&lt;/contributors&gt;&lt;titles&gt;&lt;title&gt;Modelling the Cost-Effectiveness of Delaying End-Stage Renal Disease&lt;/title&gt;&lt;secondary-title&gt;Nephron &lt;/secondary-title&gt;&lt;/titles&gt;&lt;periodical&gt;&lt;full-title&gt;Nephron&lt;/full-title&gt;&lt;/periodical&gt;&lt;pages&gt;89-97&lt;/pages&gt;&lt;volume&gt;133&lt;/volume&gt;&lt;dates&gt;&lt;year&gt;2016&lt;/year&gt;&lt;/dates&gt;&lt;urls&gt;&lt;/urls&gt;&lt;/record&gt;&lt;/Cite&gt;&lt;/EndNote&gt;</w:instrText>
      </w:r>
      <w:r w:rsidRPr="00E10953">
        <w:rPr>
          <w:rFonts w:asciiTheme="minorHAnsi" w:hAnsiTheme="minorHAnsi"/>
          <w:color w:val="000000"/>
          <w:spacing w:val="5"/>
          <w:sz w:val="20"/>
          <w:szCs w:val="20"/>
        </w:rPr>
        <w:fldChar w:fldCharType="separate"/>
      </w:r>
      <w:r w:rsidR="00E10953">
        <w:rPr>
          <w:rFonts w:asciiTheme="minorHAnsi" w:hAnsiTheme="minorHAnsi"/>
          <w:noProof/>
          <w:color w:val="000000"/>
          <w:spacing w:val="5"/>
          <w:sz w:val="20"/>
          <w:szCs w:val="20"/>
        </w:rPr>
        <w:t>[41]</w:t>
      </w:r>
      <w:r w:rsidRPr="00E10953">
        <w:rPr>
          <w:rFonts w:asciiTheme="minorHAnsi" w:hAnsiTheme="minorHAnsi"/>
          <w:color w:val="000000"/>
          <w:spacing w:val="5"/>
          <w:sz w:val="20"/>
          <w:szCs w:val="20"/>
        </w:rPr>
        <w:fldChar w:fldCharType="end"/>
      </w:r>
      <w:r w:rsidRPr="00E10953">
        <w:rPr>
          <w:rFonts w:asciiTheme="minorHAnsi" w:hAnsiTheme="minorHAnsi"/>
          <w:color w:val="000000"/>
          <w:spacing w:val="5"/>
          <w:sz w:val="20"/>
          <w:szCs w:val="20"/>
        </w:rPr>
        <w:t xml:space="preserve"> and thus generate age-dependant remaining life expectancy after RRT. Although age specific survival estimates were generated, costs and </w:t>
      </w:r>
      <w:r w:rsidRPr="00E10953">
        <w:rPr>
          <w:rFonts w:asciiTheme="minorHAnsi" w:hAnsiTheme="minorHAnsi"/>
          <w:color w:val="000000"/>
          <w:spacing w:val="5"/>
          <w:sz w:val="20"/>
          <w:szCs w:val="20"/>
        </w:rPr>
        <w:lastRenderedPageBreak/>
        <w:t xml:space="preserve">utilities were assumed constant post RRT. </w:t>
      </w:r>
      <w:r w:rsidR="0054001F">
        <w:rPr>
          <w:rFonts w:asciiTheme="minorHAnsi" w:hAnsiTheme="minorHAnsi"/>
          <w:color w:val="000000"/>
          <w:spacing w:val="5"/>
          <w:sz w:val="20"/>
          <w:szCs w:val="20"/>
        </w:rPr>
        <w:t>Similarly in Keating, et al</w:t>
      </w:r>
      <w:r w:rsidR="0054001F">
        <w:rPr>
          <w:rFonts w:asciiTheme="minorHAnsi" w:hAnsiTheme="minorHAnsi"/>
          <w:color w:val="000000"/>
          <w:spacing w:val="5"/>
          <w:sz w:val="20"/>
          <w:szCs w:val="20"/>
        </w:rPr>
        <w:fldChar w:fldCharType="begin"/>
      </w:r>
      <w:r w:rsidR="00E10953">
        <w:rPr>
          <w:rFonts w:asciiTheme="minorHAnsi" w:hAnsiTheme="minorHAnsi"/>
          <w:color w:val="000000"/>
          <w:spacing w:val="5"/>
          <w:sz w:val="20"/>
          <w:szCs w:val="20"/>
        </w:rPr>
        <w:instrText xml:space="preserve"> ADDIN EN.CITE &lt;EndNote&gt;&lt;Cite&gt;&lt;Author&gt;Keating CL&lt;/Author&gt;&lt;Year&gt;2009&lt;/Year&gt;&lt;RecNum&gt;1711&lt;/RecNum&gt;&lt;DisplayText&gt;[42]&lt;/DisplayText&gt;&lt;record&gt;&lt;rec-number&gt;1711&lt;/rec-number&gt;&lt;foreign-keys&gt;&lt;key app="EN" db-id="dz99p92dtf9avne5r2bvzva0zpft9d9ptzfr" timestamp="1491384556"&gt;1711&lt;/key&gt;&lt;/foreign-keys&gt;&lt;ref-type name="Journal Article"&gt;17&lt;/ref-type&gt;&lt;contributors&gt;&lt;authors&gt;&lt;author&gt;Keating CL, &lt;/author&gt;&lt;author&gt;Dixon JB, &lt;/author&gt;&lt;author&gt;Marjory L. Moodie ML, DRPH2, &lt;/author&gt;&lt;author&gt;Peeters A, &lt;/author&gt;&lt;author&gt;Bulfone L,&lt;/author&gt;&lt;author&gt;Maglianno DJ, &lt;/author&gt;&lt;author&gt;O&amp;apos;Brien PE,&lt;/author&gt;&lt;/authors&gt;&lt;/contributors&gt;&lt;titles&gt;&lt;title&gt;Cost-Effectiveness of Surgically Induced Weight Loss for the Management of Type 2 Diabetes: Modeled Lifetime Analysis&lt;/title&gt;&lt;secondary-title&gt;Diabetes Care&lt;/secondary-title&gt;&lt;/titles&gt;&lt;periodical&gt;&lt;full-title&gt;Diabetes Care&lt;/full-title&gt;&lt;/periodical&gt;&lt;pages&gt;567-574&lt;/pages&gt;&lt;volume&gt;32&lt;/volume&gt;&lt;number&gt;4&lt;/number&gt;&lt;dates&gt;&lt;year&gt;2009&lt;/year&gt;&lt;/dates&gt;&lt;urls&gt;&lt;/urls&gt;&lt;/record&gt;&lt;/Cite&gt;&lt;/EndNote&gt;</w:instrText>
      </w:r>
      <w:r w:rsidR="0054001F">
        <w:rPr>
          <w:rFonts w:asciiTheme="minorHAnsi" w:hAnsiTheme="minorHAnsi"/>
          <w:color w:val="000000"/>
          <w:spacing w:val="5"/>
          <w:sz w:val="20"/>
          <w:szCs w:val="20"/>
        </w:rPr>
        <w:fldChar w:fldCharType="separate"/>
      </w:r>
      <w:r w:rsidR="00E10953">
        <w:rPr>
          <w:rFonts w:asciiTheme="minorHAnsi" w:hAnsiTheme="minorHAnsi"/>
          <w:noProof/>
          <w:color w:val="000000"/>
          <w:spacing w:val="5"/>
          <w:sz w:val="20"/>
          <w:szCs w:val="20"/>
        </w:rPr>
        <w:t>[42]</w:t>
      </w:r>
      <w:r w:rsidR="0054001F">
        <w:rPr>
          <w:rFonts w:asciiTheme="minorHAnsi" w:hAnsiTheme="minorHAnsi"/>
          <w:color w:val="000000"/>
          <w:spacing w:val="5"/>
          <w:sz w:val="20"/>
          <w:szCs w:val="20"/>
        </w:rPr>
        <w:fldChar w:fldCharType="end"/>
      </w:r>
      <w:r w:rsidR="0054001F">
        <w:rPr>
          <w:rFonts w:asciiTheme="minorHAnsi" w:hAnsiTheme="minorHAnsi"/>
          <w:color w:val="000000"/>
          <w:spacing w:val="5"/>
          <w:sz w:val="20"/>
          <w:szCs w:val="20"/>
        </w:rPr>
        <w:t>, which assessed the cost-effectiveness of surgically induced weight loss for management of type 2 diabetes, a constant maintenance cost was applied for each year that the patients remained alive.</w:t>
      </w:r>
    </w:p>
    <w:p w14:paraId="2E1900FC" w14:textId="77777777" w:rsidR="00412E37" w:rsidRDefault="00412E37" w:rsidP="008A7AA9">
      <w:pPr>
        <w:spacing w:after="0" w:line="360" w:lineRule="auto"/>
        <w:rPr>
          <w:sz w:val="20"/>
        </w:rPr>
      </w:pPr>
    </w:p>
    <w:p w14:paraId="732440F7" w14:textId="77777777" w:rsidR="0054001F" w:rsidRDefault="0054001F" w:rsidP="008A7AA9">
      <w:pPr>
        <w:spacing w:after="0" w:line="360" w:lineRule="auto"/>
        <w:rPr>
          <w:sz w:val="20"/>
        </w:rPr>
      </w:pPr>
    </w:p>
    <w:p w14:paraId="71393CF2" w14:textId="711820A3" w:rsidR="00C93BB4" w:rsidRPr="00C40569" w:rsidRDefault="00C93BB4" w:rsidP="008A7AA9">
      <w:pPr>
        <w:spacing w:after="0" w:line="360" w:lineRule="auto"/>
        <w:rPr>
          <w:i/>
          <w:sz w:val="20"/>
        </w:rPr>
      </w:pPr>
      <w:r w:rsidRPr="00C40569">
        <w:rPr>
          <w:i/>
          <w:sz w:val="20"/>
        </w:rPr>
        <w:t xml:space="preserve">Constant increment/decrement applied to changing baseline cost or utility </w:t>
      </w:r>
    </w:p>
    <w:p w14:paraId="5A950645" w14:textId="77777777" w:rsidR="00CB469D" w:rsidRDefault="00C93BB4" w:rsidP="00CB469D">
      <w:pPr>
        <w:spacing w:after="0" w:line="360" w:lineRule="auto"/>
        <w:rPr>
          <w:sz w:val="20"/>
          <w:szCs w:val="20"/>
        </w:rPr>
      </w:pPr>
      <w:r w:rsidRPr="00C40569">
        <w:rPr>
          <w:sz w:val="20"/>
        </w:rPr>
        <w:t xml:space="preserve">In this approach a constant decrement or increment in cost or utility is applied to an ageing population baseline value (an additive approach). </w:t>
      </w:r>
      <w:r w:rsidR="00CB469D" w:rsidRPr="00E6617F">
        <w:rPr>
          <w:sz w:val="20"/>
          <w:szCs w:val="20"/>
        </w:rPr>
        <w:t>The decline occurs because of increased co-</w:t>
      </w:r>
      <w:r w:rsidR="00CB469D" w:rsidRPr="0055738A">
        <w:rPr>
          <w:sz w:val="20"/>
          <w:szCs w:val="20"/>
        </w:rPr>
        <w:t>morbidities affecting these outcomes in later life.   Failure to capture this decline/increase in costs or utilities may produce incorrect estimates of cost and QALYs. For those interventions with a mortality effect, this will</w:t>
      </w:r>
      <w:r w:rsidR="00CB469D" w:rsidRPr="00CA3542">
        <w:rPr>
          <w:sz w:val="20"/>
          <w:szCs w:val="20"/>
        </w:rPr>
        <w:t xml:space="preserve"> also bias the comparisons between modelled strategies, as those patients surviving till later in the extrapolation period will be </w:t>
      </w:r>
      <w:r w:rsidR="00CB469D" w:rsidRPr="00033FE1">
        <w:rPr>
          <w:sz w:val="20"/>
          <w:szCs w:val="20"/>
        </w:rPr>
        <w:t>assigned a higher utility then can be expected according to their age</w:t>
      </w:r>
      <w:r w:rsidR="00CB469D" w:rsidRPr="002D092A">
        <w:rPr>
          <w:sz w:val="20"/>
          <w:szCs w:val="20"/>
        </w:rPr>
        <w:t>. In this instance</w:t>
      </w:r>
      <w:r w:rsidR="00CB469D">
        <w:rPr>
          <w:sz w:val="20"/>
          <w:szCs w:val="20"/>
        </w:rPr>
        <w:t xml:space="preserve"> </w:t>
      </w:r>
      <w:r w:rsidR="00CB469D" w:rsidRPr="006A283F">
        <w:rPr>
          <w:sz w:val="20"/>
          <w:szCs w:val="20"/>
        </w:rPr>
        <w:t xml:space="preserve">treatments reducing mortality, for example those reducing myocardial infarction related deaths, which are primarily in those 65+, are likely to overestimate QALYs. </w:t>
      </w:r>
    </w:p>
    <w:p w14:paraId="221E772F" w14:textId="77777777" w:rsidR="00CB469D" w:rsidRPr="006A283F" w:rsidRDefault="00CB469D" w:rsidP="00CB469D">
      <w:pPr>
        <w:spacing w:after="0" w:line="360" w:lineRule="auto"/>
        <w:rPr>
          <w:sz w:val="20"/>
          <w:szCs w:val="20"/>
        </w:rPr>
      </w:pPr>
    </w:p>
    <w:p w14:paraId="3BE3F418" w14:textId="21ACEC94" w:rsidR="00C93BB4" w:rsidRDefault="00C93BB4" w:rsidP="008A7AA9">
      <w:pPr>
        <w:spacing w:after="0" w:line="360" w:lineRule="auto"/>
        <w:rPr>
          <w:sz w:val="20"/>
        </w:rPr>
      </w:pPr>
      <w:r w:rsidRPr="00C40569">
        <w:rPr>
          <w:sz w:val="20"/>
        </w:rPr>
        <w:t>In the case of utility values, this is usually done using the UK population norms from the EQ-5D index values</w:t>
      </w:r>
      <w:r w:rsidR="00E77410" w:rsidRPr="00C40569">
        <w:rPr>
          <w:sz w:val="20"/>
        </w:rPr>
        <w:t xml:space="preserve"> </w:t>
      </w:r>
      <w:r w:rsidR="00B75E8C" w:rsidRPr="00C40569">
        <w:rPr>
          <w:sz w:val="20"/>
        </w:rPr>
        <w:fldChar w:fldCharType="begin"/>
      </w:r>
      <w:r w:rsidR="00E10953">
        <w:rPr>
          <w:sz w:val="20"/>
        </w:rPr>
        <w:instrText xml:space="preserve"> ADDIN EN.CITE &lt;EndNote&gt;&lt;Cite&gt;&lt;Author&gt;P. Kind&lt;/Author&gt;&lt;Year&gt;1999 Nov&lt;/Year&gt;&lt;RecNum&gt;3&lt;/RecNum&gt;&lt;DisplayText&gt;[48]&lt;/DisplayText&gt;&lt;record&gt;&lt;rec-number&gt;3&lt;/rec-number&gt;&lt;foreign-keys&gt;&lt;key app="EN" db-id="dz99p92dtf9avne5r2bvzva0zpft9d9ptzfr" timestamp="0"&gt;3&lt;/key&gt;&lt;/foreign-keys&gt;&lt;ref-type name="Report"&gt;27&lt;/ref-type&gt;&lt;contributors&gt;&lt;authors&gt;&lt;author&gt;P. Kind, &lt;/author&gt;&lt;author&gt;G. Hardman,&lt;/author&gt;&lt;author&gt;S. Macran, &lt;/author&gt;&lt;/authors&gt;&lt;/contributors&gt;&lt;titles&gt;&lt;title&gt;UK Population norms for EQ-5D York Centre for Health Economics Discussion Paper pp.172&lt;/title&gt;&lt;/titles&gt;&lt;dates&gt;&lt;year&gt;1999 Nov&lt;/year&gt;&lt;/dates&gt;&lt;pub-location&gt;York&lt;/pub-location&gt;&lt;publisher&gt;University of York&lt;/publisher&gt;&lt;urls&gt;&lt;/urls&gt;&lt;/record&gt;&lt;/Cite&gt;&lt;/EndNote&gt;</w:instrText>
      </w:r>
      <w:r w:rsidR="00B75E8C" w:rsidRPr="00C40569">
        <w:rPr>
          <w:sz w:val="20"/>
        </w:rPr>
        <w:fldChar w:fldCharType="separate"/>
      </w:r>
      <w:r w:rsidR="00E10953">
        <w:rPr>
          <w:noProof/>
          <w:sz w:val="20"/>
        </w:rPr>
        <w:t>[48]</w:t>
      </w:r>
      <w:r w:rsidR="00B75E8C" w:rsidRPr="00C40569">
        <w:rPr>
          <w:sz w:val="20"/>
        </w:rPr>
        <w:fldChar w:fldCharType="end"/>
      </w:r>
      <w:r w:rsidR="0097676E" w:rsidRPr="00C40569">
        <w:rPr>
          <w:sz w:val="20"/>
        </w:rPr>
        <w:t>.</w:t>
      </w:r>
      <w:r w:rsidR="009359F1" w:rsidRPr="00C40569">
        <w:rPr>
          <w:sz w:val="20"/>
        </w:rPr>
        <w:t xml:space="preserve"> </w:t>
      </w:r>
      <w:r w:rsidRPr="00C40569">
        <w:rPr>
          <w:sz w:val="20"/>
        </w:rPr>
        <w:t xml:space="preserve"> As population mean utility values decline over time, the utility associated with the membership of a particular health state will also decrease over time.  Similarly</w:t>
      </w:r>
      <w:r w:rsidR="006033CB" w:rsidRPr="00C40569">
        <w:rPr>
          <w:sz w:val="20"/>
        </w:rPr>
        <w:t xml:space="preserve"> for costs</w:t>
      </w:r>
      <w:r w:rsidRPr="00C40569">
        <w:rPr>
          <w:sz w:val="20"/>
        </w:rPr>
        <w:t>, a constant incremental cost for the intervention (or control) may be applied to an increasing baseline</w:t>
      </w:r>
      <w:r w:rsidR="006033CB" w:rsidRPr="00C40569">
        <w:rPr>
          <w:sz w:val="20"/>
        </w:rPr>
        <w:t xml:space="preserve"> cost</w:t>
      </w:r>
      <w:r w:rsidRPr="00C40569">
        <w:rPr>
          <w:sz w:val="20"/>
        </w:rPr>
        <w:t xml:space="preserve">, reflecting the fact that healthcare costs can rise as the population ages. Many cost-effectiveness models employ this approach for utilities but few utilise this methods for costs, instead assuming a constant cost over time. </w:t>
      </w:r>
    </w:p>
    <w:p w14:paraId="60C59949" w14:textId="77777777" w:rsidR="00CB469D" w:rsidRDefault="00CB469D" w:rsidP="008A7AA9">
      <w:pPr>
        <w:spacing w:after="0" w:line="360" w:lineRule="auto"/>
        <w:rPr>
          <w:sz w:val="20"/>
        </w:rPr>
      </w:pPr>
    </w:p>
    <w:p w14:paraId="3D518731" w14:textId="6014D938" w:rsidR="00C93BB4" w:rsidRDefault="00C93BB4" w:rsidP="008A7AA9">
      <w:pPr>
        <w:spacing w:after="0" w:line="360" w:lineRule="auto"/>
        <w:rPr>
          <w:sz w:val="20"/>
        </w:rPr>
      </w:pPr>
      <w:r w:rsidRPr="00C40569">
        <w:rPr>
          <w:sz w:val="20"/>
        </w:rPr>
        <w:t xml:space="preserve">Alternatively a multiplier can be applied differentially throughout the model in an attempt to reflect changes in costs or utilities over time. </w:t>
      </w:r>
      <w:r w:rsidR="00B75E8C" w:rsidRPr="00C40569">
        <w:rPr>
          <w:sz w:val="20"/>
          <w:lang w:val="en-US"/>
        </w:rPr>
        <w:t>St</w:t>
      </w:r>
      <w:r w:rsidR="00B75E8C" w:rsidRPr="00C40569">
        <w:rPr>
          <w:sz w:val="20"/>
        </w:rPr>
        <w:t xml:space="preserve">evenson et al </w:t>
      </w:r>
      <w:r w:rsidR="00B75E8C" w:rsidRPr="00C40569">
        <w:rPr>
          <w:sz w:val="20"/>
          <w:lang w:val="en-US"/>
        </w:rPr>
        <w:fldChar w:fldCharType="begin"/>
      </w:r>
      <w:r w:rsidR="00E10953">
        <w:rPr>
          <w:sz w:val="20"/>
          <w:lang w:val="en-US"/>
        </w:rPr>
        <w:instrText xml:space="preserve"> ADDIN EN.CITE &lt;EndNote&gt;&lt;Cite&gt;&lt;Author&gt;M Stevenson&lt;/Author&gt;&lt;Year&gt;2009&lt;/Year&gt;&lt;RecNum&gt;1661&lt;/RecNum&gt;&lt;DisplayText&gt;[44]&lt;/DisplayText&gt;&lt;record&gt;&lt;rec-number&gt;1661&lt;/rec-number&gt;&lt;foreign-keys&gt;&lt;key app="EN" db-id="dz99p92dtf9avne5r2bvzva0zpft9d9ptzfr" timestamp="0"&gt;1661&lt;/key&gt;&lt;/foreign-keys&gt;&lt;ref-type name="Report"&gt;27&lt;/ref-type&gt;&lt;contributors&gt;&lt;authors&gt;&lt;author&gt;M Stevenson, &lt;/author&gt;&lt;author&gt;M Lloyd-Jones, &lt;/author&gt;&lt;author&gt;D Papaioannou,&lt;/author&gt;&lt;/authors&gt;&lt;/contributors&gt;&lt;titles&gt;&lt;title&gt;Vitamin K to prevent fractures in older women: a systematic review and economic evaluation. Health Technology assessment; Vol 13: No 45&lt;/title&gt;&lt;/titles&gt;&lt;dates&gt;&lt;year&gt;2009&lt;/year&gt;&lt;/dates&gt;&lt;urls&gt;&lt;/urls&gt;&lt;/record&gt;&lt;/Cite&gt;&lt;/EndNote&gt;</w:instrText>
      </w:r>
      <w:r w:rsidR="00B75E8C" w:rsidRPr="00C40569">
        <w:rPr>
          <w:sz w:val="20"/>
          <w:lang w:val="en-US"/>
        </w:rPr>
        <w:fldChar w:fldCharType="separate"/>
      </w:r>
      <w:r w:rsidR="00E10953">
        <w:rPr>
          <w:noProof/>
          <w:sz w:val="20"/>
          <w:lang w:val="en-US"/>
        </w:rPr>
        <w:t>[44]</w:t>
      </w:r>
      <w:r w:rsidR="00B75E8C" w:rsidRPr="00C40569">
        <w:rPr>
          <w:sz w:val="20"/>
          <w:lang w:val="en-US"/>
        </w:rPr>
        <w:fldChar w:fldCharType="end"/>
      </w:r>
      <w:r w:rsidRPr="00C40569">
        <w:rPr>
          <w:sz w:val="20"/>
        </w:rPr>
        <w:t xml:space="preserve"> apply a different multiplier within the first year and a separate multiplier that applie</w:t>
      </w:r>
      <w:r w:rsidR="00E1463C" w:rsidRPr="00C40569">
        <w:rPr>
          <w:sz w:val="20"/>
        </w:rPr>
        <w:t>s</w:t>
      </w:r>
      <w:r w:rsidRPr="00C40569">
        <w:rPr>
          <w:sz w:val="20"/>
        </w:rPr>
        <w:t xml:space="preserve"> for the remaining years of the simulation. A utility multiplier is combined multiplicatively with the general population utility to provide an estimate of the utility for patients in that state, and results in the absolute dis-utility becoming less as a person ages and their underlying utility lower. </w:t>
      </w:r>
    </w:p>
    <w:p w14:paraId="562B3B52" w14:textId="77777777" w:rsidR="005A435B" w:rsidRPr="00294BF0" w:rsidRDefault="005A435B" w:rsidP="008A7AA9">
      <w:pPr>
        <w:spacing w:after="0" w:line="360" w:lineRule="auto"/>
        <w:rPr>
          <w:sz w:val="20"/>
          <w:szCs w:val="20"/>
        </w:rPr>
      </w:pPr>
    </w:p>
    <w:p w14:paraId="0CDAF6A4" w14:textId="16B301C8" w:rsidR="005A435B" w:rsidRDefault="005A435B" w:rsidP="008A7AA9">
      <w:pPr>
        <w:spacing w:after="0" w:line="360" w:lineRule="auto"/>
        <w:rPr>
          <w:color w:val="000000"/>
          <w:sz w:val="20"/>
          <w:szCs w:val="20"/>
          <w:shd w:val="clear" w:color="auto" w:fill="FFFFFF"/>
        </w:rPr>
      </w:pPr>
      <w:r w:rsidRPr="00E10953">
        <w:rPr>
          <w:color w:val="000000"/>
          <w:sz w:val="20"/>
          <w:szCs w:val="20"/>
          <w:shd w:val="clear" w:color="auto" w:fill="FFFFFF"/>
        </w:rPr>
        <w:t>In Harrison, et al</w:t>
      </w:r>
      <w:r w:rsidRPr="00E10953">
        <w:rPr>
          <w:color w:val="000000"/>
          <w:sz w:val="20"/>
          <w:szCs w:val="20"/>
          <w:shd w:val="clear" w:color="auto" w:fill="FFFFFF"/>
        </w:rPr>
        <w:fldChar w:fldCharType="begin"/>
      </w:r>
      <w:r w:rsidR="00E10953">
        <w:rPr>
          <w:color w:val="000000"/>
          <w:sz w:val="20"/>
          <w:szCs w:val="20"/>
          <w:shd w:val="clear" w:color="auto" w:fill="FFFFFF"/>
        </w:rPr>
        <w:instrText xml:space="preserve"> ADDIN EN.CITE &lt;EndNote&gt;&lt;Cite&gt;&lt;Author&gt;Harrison DA&lt;/Author&gt;&lt;Year&gt;2013&lt;/Year&gt;&lt;RecNum&gt;1708&lt;/RecNum&gt;&lt;DisplayText&gt;[43]&lt;/DisplayText&gt;&lt;record&gt;&lt;rec-number&gt;1708&lt;/rec-number&gt;&lt;foreign-keys&gt;&lt;key app="EN" db-id="dz99p92dtf9avne5r2bvzva0zpft9d9ptzfr" timestamp="1490200048"&gt;1708&lt;/key&gt;&lt;/foreign-keys&gt;&lt;ref-type name="Report"&gt;27&lt;/ref-type&gt;&lt;contributors&gt;&lt;authors&gt;&lt;author&gt;Harrison DA, &lt;/author&gt;&lt;author&gt;Prabhu G, &lt;/author&gt;&lt;author&gt;Grieve R, &lt;/author&gt;&lt;author&gt;et al,&lt;/author&gt;&lt;/authors&gt;&lt;/contributors&gt;&lt;titles&gt;&lt;title&gt;Risk Adjustment In Neurocritical care (RAIN) – prospective validation of risk prediction models for adult patients with acute traumatic brain injury to use to evaluate the optimum location and comparative costs of neurocritical care: a cohort study&lt;/title&gt;&lt;/titles&gt;&lt;volume&gt;17&lt;/volume&gt;&lt;num-vols&gt;23&lt;/num-vols&gt;&lt;dates&gt;&lt;year&gt;2013&lt;/year&gt;&lt;/dates&gt;&lt;publisher&gt;Health Technology Assessment&lt;/publisher&gt;&lt;urls&gt;&lt;/urls&gt;&lt;/record&gt;&lt;/Cite&gt;&lt;/EndNote&gt;</w:instrText>
      </w:r>
      <w:r w:rsidRPr="00E10953">
        <w:rPr>
          <w:color w:val="000000"/>
          <w:sz w:val="20"/>
          <w:szCs w:val="20"/>
          <w:shd w:val="clear" w:color="auto" w:fill="FFFFFF"/>
        </w:rPr>
        <w:fldChar w:fldCharType="separate"/>
      </w:r>
      <w:r w:rsidR="00E10953">
        <w:rPr>
          <w:noProof/>
          <w:color w:val="000000"/>
          <w:sz w:val="20"/>
          <w:szCs w:val="20"/>
          <w:shd w:val="clear" w:color="auto" w:fill="FFFFFF"/>
        </w:rPr>
        <w:t>[43]</w:t>
      </w:r>
      <w:r w:rsidRPr="00E10953">
        <w:rPr>
          <w:color w:val="000000"/>
          <w:sz w:val="20"/>
          <w:szCs w:val="20"/>
          <w:shd w:val="clear" w:color="auto" w:fill="FFFFFF"/>
        </w:rPr>
        <w:fldChar w:fldCharType="end"/>
      </w:r>
      <w:r w:rsidRPr="00E10953">
        <w:rPr>
          <w:color w:val="000000"/>
          <w:sz w:val="20"/>
          <w:szCs w:val="20"/>
          <w:shd w:val="clear" w:color="auto" w:fill="FFFFFF"/>
        </w:rPr>
        <w:t xml:space="preserve"> long term utilities were based on differences between the comparators observed at 6-months, however</w:t>
      </w:r>
      <w:r w:rsidR="002D06F5">
        <w:rPr>
          <w:color w:val="000000"/>
          <w:sz w:val="20"/>
          <w:szCs w:val="20"/>
          <w:shd w:val="clear" w:color="auto" w:fill="FFFFFF"/>
        </w:rPr>
        <w:t>,</w:t>
      </w:r>
      <w:r w:rsidRPr="00E10953">
        <w:rPr>
          <w:color w:val="000000"/>
          <w:sz w:val="20"/>
          <w:szCs w:val="20"/>
          <w:shd w:val="clear" w:color="auto" w:fill="FFFFFF"/>
        </w:rPr>
        <w:t xml:space="preserve"> rather than assuming that the differences wer</w:t>
      </w:r>
      <w:r w:rsidR="0013721B" w:rsidRPr="00E10953">
        <w:rPr>
          <w:color w:val="000000"/>
          <w:sz w:val="20"/>
          <w:szCs w:val="20"/>
          <w:shd w:val="clear" w:color="auto" w:fill="FFFFFF"/>
        </w:rPr>
        <w:t>e maintained over the lifetime</w:t>
      </w:r>
      <w:r w:rsidR="002D06F5">
        <w:rPr>
          <w:color w:val="000000"/>
          <w:sz w:val="20"/>
          <w:szCs w:val="20"/>
          <w:shd w:val="clear" w:color="auto" w:fill="FFFFFF"/>
        </w:rPr>
        <w:t>,</w:t>
      </w:r>
      <w:r w:rsidR="0013721B" w:rsidRPr="00E10953">
        <w:rPr>
          <w:color w:val="000000"/>
          <w:sz w:val="20"/>
          <w:szCs w:val="20"/>
          <w:shd w:val="clear" w:color="auto" w:fill="FFFFFF"/>
        </w:rPr>
        <w:t xml:space="preserve"> it was assumed that </w:t>
      </w:r>
      <w:r w:rsidRPr="00E10953">
        <w:rPr>
          <w:color w:val="000000"/>
          <w:sz w:val="20"/>
          <w:szCs w:val="20"/>
          <w:shd w:val="clear" w:color="auto" w:fill="FFFFFF"/>
        </w:rPr>
        <w:t xml:space="preserve">these differences </w:t>
      </w:r>
      <w:r w:rsidR="0013721B" w:rsidRPr="00E10953">
        <w:rPr>
          <w:color w:val="000000"/>
          <w:sz w:val="20"/>
          <w:szCs w:val="20"/>
          <w:shd w:val="clear" w:color="auto" w:fill="FFFFFF"/>
        </w:rPr>
        <w:t xml:space="preserve">diminished </w:t>
      </w:r>
      <w:r w:rsidRPr="00E10953">
        <w:rPr>
          <w:color w:val="000000"/>
          <w:sz w:val="20"/>
          <w:szCs w:val="20"/>
          <w:shd w:val="clear" w:color="auto" w:fill="FFFFFF"/>
        </w:rPr>
        <w:t>over time</w:t>
      </w:r>
      <w:r w:rsidR="00294BF0" w:rsidRPr="00E10953">
        <w:rPr>
          <w:color w:val="000000"/>
          <w:sz w:val="20"/>
          <w:szCs w:val="20"/>
          <w:shd w:val="clear" w:color="auto" w:fill="FFFFFF"/>
        </w:rPr>
        <w:t xml:space="preserve">, using linear interpolation.  </w:t>
      </w:r>
    </w:p>
    <w:p w14:paraId="785E24E0" w14:textId="77777777" w:rsidR="00707FF2" w:rsidRPr="00E10953" w:rsidRDefault="00707FF2" w:rsidP="008A7AA9">
      <w:pPr>
        <w:spacing w:after="0" w:line="360" w:lineRule="auto"/>
        <w:rPr>
          <w:color w:val="000000"/>
          <w:sz w:val="20"/>
          <w:szCs w:val="20"/>
          <w:shd w:val="clear" w:color="auto" w:fill="FFFFFF"/>
        </w:rPr>
      </w:pPr>
    </w:p>
    <w:p w14:paraId="0BA70810" w14:textId="77777777" w:rsidR="005C45B6" w:rsidRPr="00C40569" w:rsidRDefault="00C93BB4" w:rsidP="006033CB">
      <w:pPr>
        <w:spacing w:after="0" w:line="360" w:lineRule="auto"/>
        <w:rPr>
          <w:i/>
          <w:sz w:val="20"/>
        </w:rPr>
      </w:pPr>
      <w:r w:rsidRPr="00C40569">
        <w:rPr>
          <w:i/>
          <w:sz w:val="20"/>
        </w:rPr>
        <w:t>Regression approach</w:t>
      </w:r>
    </w:p>
    <w:p w14:paraId="3DFDC90A" w14:textId="74FFA27B" w:rsidR="00340C00" w:rsidRDefault="0097676E" w:rsidP="008A7AA9">
      <w:pPr>
        <w:spacing w:after="0" w:line="360" w:lineRule="auto"/>
        <w:rPr>
          <w:sz w:val="20"/>
        </w:rPr>
      </w:pPr>
      <w:r w:rsidRPr="00C40569">
        <w:rPr>
          <w:sz w:val="20"/>
        </w:rPr>
        <w:t>A regression type approach can be adopted</w:t>
      </w:r>
      <w:r w:rsidR="00E77410" w:rsidRPr="00C40569">
        <w:rPr>
          <w:sz w:val="20"/>
        </w:rPr>
        <w:t xml:space="preserve"> </w:t>
      </w:r>
      <w:r w:rsidRPr="00C40569">
        <w:rPr>
          <w:sz w:val="20"/>
        </w:rPr>
        <w:fldChar w:fldCharType="begin"/>
      </w:r>
      <w:r w:rsidR="00E10953">
        <w:rPr>
          <w:sz w:val="20"/>
        </w:rPr>
        <w:instrText xml:space="preserve"> ADDIN EN.CITE &lt;EndNote&gt;&lt;Cite&gt;&lt;Author&gt;Loveman E&lt;/Author&gt;&lt;Year&gt;2010&lt;/Year&gt;&lt;RecNum&gt;1659&lt;/RecNum&gt;&lt;DisplayText&gt;[25]&lt;/DisplayText&gt;&lt;record&gt;&lt;rec-number&gt;1659&lt;/rec-number&gt;&lt;foreign-keys&gt;&lt;key app="EN" db-id="dz99p92dtf9avne5r2bvzva0zpft9d9ptzfr" timestamp="0"&gt;1659&lt;/key&gt;&lt;/foreign-keys&gt;&lt;ref-type name="Report"&gt;27&lt;/ref-type&gt;&lt;contributors&gt;&lt;authors&gt;&lt;author&gt;Loveman E, &lt;/author&gt;&lt;author&gt;Jones J, &lt;/author&gt;&lt;author&gt;Hartwell D, &lt;/author&gt;&lt;author&gt;Bird A, &lt;/author&gt;&lt;author&gt;Harris P, &lt;/author&gt;&lt;author&gt;Welch K, &lt;/author&gt;&lt;author&gt;Clegg A,&lt;/author&gt;&lt;/authors&gt;&lt;/contributors&gt;&lt;titles&gt;&lt;title&gt;The clinical effectiveness and cost-effectiveness of topotecan for small cell lung cancer: a systematic review and economic evaluation. Health Technology assessment; Vol 14: No 19&lt;/title&gt;&lt;/titles&gt;&lt;dates&gt;&lt;year&gt;2010&lt;/year&gt;&lt;/dates&gt;&lt;urls&gt;&lt;/urls&gt;&lt;/record&gt;&lt;/Cite&gt;&lt;/EndNote&gt;</w:instrText>
      </w:r>
      <w:r w:rsidRPr="00C40569">
        <w:rPr>
          <w:sz w:val="20"/>
        </w:rPr>
        <w:fldChar w:fldCharType="separate"/>
      </w:r>
      <w:r w:rsidR="00E10953">
        <w:rPr>
          <w:noProof/>
          <w:sz w:val="20"/>
        </w:rPr>
        <w:t>[25]</w:t>
      </w:r>
      <w:r w:rsidRPr="00C40569">
        <w:rPr>
          <w:sz w:val="20"/>
        </w:rPr>
        <w:fldChar w:fldCharType="end"/>
      </w:r>
      <w:r w:rsidRPr="00C40569">
        <w:rPr>
          <w:sz w:val="20"/>
        </w:rPr>
        <w:t xml:space="preserve"> </w:t>
      </w:r>
      <w:r w:rsidR="00E77410" w:rsidRPr="00C40569">
        <w:rPr>
          <w:sz w:val="20"/>
        </w:rPr>
        <w:t xml:space="preserve">to derive </w:t>
      </w:r>
      <w:r w:rsidR="00C0747D" w:rsidRPr="00C40569">
        <w:rPr>
          <w:sz w:val="20"/>
        </w:rPr>
        <w:t xml:space="preserve">costs or </w:t>
      </w:r>
      <w:r w:rsidRPr="00C40569">
        <w:rPr>
          <w:sz w:val="20"/>
        </w:rPr>
        <w:t>utilities for health state</w:t>
      </w:r>
      <w:r w:rsidR="00E77410" w:rsidRPr="00C40569">
        <w:rPr>
          <w:sz w:val="20"/>
        </w:rPr>
        <w:t xml:space="preserve"> estimates </w:t>
      </w:r>
      <w:r w:rsidRPr="00C40569">
        <w:rPr>
          <w:sz w:val="20"/>
        </w:rPr>
        <w:t xml:space="preserve">from external data sources. In </w:t>
      </w:r>
      <w:r w:rsidR="00C0747D" w:rsidRPr="00C40569">
        <w:rPr>
          <w:sz w:val="20"/>
        </w:rPr>
        <w:t xml:space="preserve">Loveman et al </w:t>
      </w:r>
      <w:r w:rsidRPr="00C40569">
        <w:rPr>
          <w:sz w:val="20"/>
        </w:rPr>
        <w:fldChar w:fldCharType="begin"/>
      </w:r>
      <w:r w:rsidR="00E10953">
        <w:rPr>
          <w:sz w:val="20"/>
        </w:rPr>
        <w:instrText xml:space="preserve"> ADDIN EN.CITE &lt;EndNote&gt;&lt;Cite&gt;&lt;Author&gt;Loveman E&lt;/Author&gt;&lt;Year&gt;2010&lt;/Year&gt;&lt;RecNum&gt;1659&lt;/RecNum&gt;&lt;DisplayText&gt;[25]&lt;/DisplayText&gt;&lt;record&gt;&lt;rec-number&gt;1659&lt;/rec-number&gt;&lt;foreign-keys&gt;&lt;key app="EN" db-id="dz99p92dtf9avne5r2bvzva0zpft9d9ptzfr" timestamp="0"&gt;1659&lt;/key&gt;&lt;/foreign-keys&gt;&lt;ref-type name="Report"&gt;27&lt;/ref-type&gt;&lt;contributors&gt;&lt;authors&gt;&lt;author&gt;Loveman E, &lt;/author&gt;&lt;author&gt;Jones J, &lt;/author&gt;&lt;author&gt;Hartwell D, &lt;/author&gt;&lt;author&gt;Bird A, &lt;/author&gt;&lt;author&gt;Harris P, &lt;/author&gt;&lt;author&gt;Welch K, &lt;/author&gt;&lt;author&gt;Clegg A,&lt;/author&gt;&lt;/authors&gt;&lt;/contributors&gt;&lt;titles&gt;&lt;title&gt;The clinical effectiveness and cost-effectiveness of topotecan for small cell lung cancer: a systematic review and economic evaluation. Health Technology assessment; Vol 14: No 19&lt;/title&gt;&lt;/titles&gt;&lt;dates&gt;&lt;year&gt;2010&lt;/year&gt;&lt;/dates&gt;&lt;urls&gt;&lt;/urls&gt;&lt;/record&gt;&lt;/Cite&gt;&lt;/EndNote&gt;</w:instrText>
      </w:r>
      <w:r w:rsidRPr="00C40569">
        <w:rPr>
          <w:sz w:val="20"/>
        </w:rPr>
        <w:fldChar w:fldCharType="separate"/>
      </w:r>
      <w:r w:rsidR="00E10953">
        <w:rPr>
          <w:noProof/>
          <w:sz w:val="20"/>
        </w:rPr>
        <w:t>[25]</w:t>
      </w:r>
      <w:r w:rsidRPr="00C40569">
        <w:rPr>
          <w:sz w:val="20"/>
        </w:rPr>
        <w:fldChar w:fldCharType="end"/>
      </w:r>
      <w:r w:rsidR="00C93BB4" w:rsidRPr="00C40569">
        <w:rPr>
          <w:sz w:val="20"/>
        </w:rPr>
        <w:t xml:space="preserve"> a regression analysis was used to infer the reduction of utility over time and to model utility beyond the last observation of the trial</w:t>
      </w:r>
      <w:r w:rsidR="0011311C" w:rsidRPr="00C40569">
        <w:rPr>
          <w:rFonts w:eastAsia="NewBaskervilleITCbyBT-Roman"/>
          <w:sz w:val="20"/>
        </w:rPr>
        <w:t>.</w:t>
      </w:r>
      <w:r w:rsidR="00C93BB4" w:rsidRPr="00C40569">
        <w:rPr>
          <w:sz w:val="20"/>
        </w:rPr>
        <w:t xml:space="preserve"> Baseline utility was taken as the midpoint between the two arms of the trials. To estimate the utility at a given number of days from baseline, a regression model was specified that incorporated a utility decrement multiplied by the number of days from </w:t>
      </w:r>
      <w:r w:rsidR="00C93BB4" w:rsidRPr="00C40569">
        <w:rPr>
          <w:sz w:val="20"/>
        </w:rPr>
        <w:lastRenderedPageBreak/>
        <w:t>baseline (the time element). It is not clear if any uncertainty in the estimated coefficients was incorporated into the model or if other functional forms were tested</w:t>
      </w:r>
      <w:r w:rsidR="006A283F">
        <w:rPr>
          <w:sz w:val="20"/>
        </w:rPr>
        <w:t>.</w:t>
      </w:r>
    </w:p>
    <w:p w14:paraId="31AA0D61" w14:textId="77777777" w:rsidR="00340C00" w:rsidRDefault="00340C00" w:rsidP="008A7AA9">
      <w:pPr>
        <w:spacing w:after="0" w:line="360" w:lineRule="auto"/>
        <w:rPr>
          <w:sz w:val="20"/>
        </w:rPr>
      </w:pPr>
    </w:p>
    <w:p w14:paraId="4064D0F1" w14:textId="0D81FAB2" w:rsidR="00C93BB4" w:rsidRPr="00B055CC" w:rsidRDefault="00766F9B" w:rsidP="006033CB">
      <w:pPr>
        <w:spacing w:after="0" w:line="360" w:lineRule="auto"/>
        <w:rPr>
          <w:b/>
          <w:sz w:val="20"/>
        </w:rPr>
      </w:pPr>
      <w:r w:rsidRPr="00B055CC">
        <w:rPr>
          <w:b/>
          <w:sz w:val="20"/>
        </w:rPr>
        <w:t>Appropriateness of methods used to extrapolate</w:t>
      </w:r>
      <w:r w:rsidR="006033CB" w:rsidRPr="00B055CC">
        <w:rPr>
          <w:b/>
          <w:sz w:val="20"/>
        </w:rPr>
        <w:t xml:space="preserve"> cost and utilities</w:t>
      </w:r>
    </w:p>
    <w:p w14:paraId="4E7B2C4B" w14:textId="2D9C423A" w:rsidR="00766F9B" w:rsidRDefault="00766F9B" w:rsidP="006033CB">
      <w:pPr>
        <w:spacing w:after="0" w:line="360" w:lineRule="auto"/>
        <w:rPr>
          <w:sz w:val="20"/>
        </w:rPr>
      </w:pPr>
      <w:r w:rsidRPr="00C40569">
        <w:rPr>
          <w:sz w:val="20"/>
        </w:rPr>
        <w:t xml:space="preserve">The more simplistic methods of assigning costs and utilities within a cost-effectiveness model, </w:t>
      </w:r>
      <w:r w:rsidR="0059374D" w:rsidRPr="00C40569">
        <w:rPr>
          <w:sz w:val="20"/>
        </w:rPr>
        <w:t xml:space="preserve">such as profiles or constant values, </w:t>
      </w:r>
      <w:r w:rsidRPr="00C40569">
        <w:rPr>
          <w:sz w:val="20"/>
        </w:rPr>
        <w:t xml:space="preserve">appeal on the basis that they are simple to implement and do not rely heavily on </w:t>
      </w:r>
      <w:r w:rsidR="0059374D" w:rsidRPr="00C40569">
        <w:rPr>
          <w:sz w:val="20"/>
        </w:rPr>
        <w:t xml:space="preserve">data that is often difficult to come by. </w:t>
      </w:r>
      <w:r w:rsidR="00532D16" w:rsidRPr="00C40569">
        <w:rPr>
          <w:sz w:val="20"/>
        </w:rPr>
        <w:t xml:space="preserve">They do however impose a number of limitations. Such methods often assume that costs and utilities are homogeneous with respect to time, with time relating to </w:t>
      </w:r>
      <w:r w:rsidR="00340C00">
        <w:rPr>
          <w:sz w:val="20"/>
        </w:rPr>
        <w:t xml:space="preserve">an </w:t>
      </w:r>
      <w:r w:rsidR="00340C00" w:rsidRPr="00C40569">
        <w:rPr>
          <w:sz w:val="20"/>
        </w:rPr>
        <w:t>individual’s</w:t>
      </w:r>
      <w:r w:rsidR="00532D16" w:rsidRPr="00C40569">
        <w:rPr>
          <w:sz w:val="20"/>
        </w:rPr>
        <w:t xml:space="preserve"> age within a model</w:t>
      </w:r>
      <w:r w:rsidR="00D46CC4" w:rsidRPr="00C40569">
        <w:rPr>
          <w:sz w:val="20"/>
        </w:rPr>
        <w:t xml:space="preserve"> but also the time horizon for effectiveness of any treatments. As discussed, there are reasons to believe that costs and utilities may change as the population of the model ages and there is also reason to believe that the effectiveness of any treatments may diminish over time, or in the very least we are less certain about effectiveness over the longer term. </w:t>
      </w:r>
    </w:p>
    <w:p w14:paraId="5BAECC33" w14:textId="77777777" w:rsidR="00A26ED0" w:rsidRPr="00C40569" w:rsidRDefault="00A26ED0" w:rsidP="006033CB">
      <w:pPr>
        <w:spacing w:after="0" w:line="360" w:lineRule="auto"/>
        <w:rPr>
          <w:sz w:val="20"/>
        </w:rPr>
      </w:pPr>
    </w:p>
    <w:p w14:paraId="76B081B1" w14:textId="04D329CA" w:rsidR="00C93BB4" w:rsidRPr="00C40569" w:rsidRDefault="00C93BB4" w:rsidP="006033CB">
      <w:pPr>
        <w:spacing w:after="0" w:line="360" w:lineRule="auto"/>
        <w:rPr>
          <w:sz w:val="20"/>
        </w:rPr>
      </w:pPr>
      <w:r w:rsidRPr="00C40569">
        <w:rPr>
          <w:sz w:val="20"/>
        </w:rPr>
        <w:t xml:space="preserve">Whichever sources of data are available, and whichever method is used to extrapolate costs and utilities, it is important to consider how accurate the estimates are likely to be and employ measures to test for validity and characterise any uncertainty. Regression approaches can include an estimate of parameter uncertainty and may also be used to explore different functional forms for the </w:t>
      </w:r>
      <w:r w:rsidR="009359F1" w:rsidRPr="00C40569">
        <w:rPr>
          <w:sz w:val="20"/>
        </w:rPr>
        <w:t>statistical model that links covariates to outcomes</w:t>
      </w:r>
      <w:r w:rsidR="00743BF7" w:rsidRPr="00C40569">
        <w:rPr>
          <w:sz w:val="20"/>
        </w:rPr>
        <w:t xml:space="preserve">. It is also advantageous to </w:t>
      </w:r>
      <w:r w:rsidR="00743BF7" w:rsidRPr="00C40569">
        <w:rPr>
          <w:sz w:val="20"/>
          <w:lang w:val="en-US"/>
        </w:rPr>
        <w:t>calibrate these regressions to external data to assess validity</w:t>
      </w:r>
      <w:r w:rsidR="00E77410" w:rsidRPr="00C40569">
        <w:rPr>
          <w:sz w:val="20"/>
          <w:lang w:val="en-US"/>
        </w:rPr>
        <w:t xml:space="preserve"> </w:t>
      </w:r>
      <w:r w:rsidR="00743BF7" w:rsidRPr="00C40569">
        <w:rPr>
          <w:sz w:val="20"/>
          <w:lang w:val="en-US"/>
        </w:rPr>
        <w:fldChar w:fldCharType="begin"/>
      </w:r>
      <w:r w:rsidR="00E10953">
        <w:rPr>
          <w:sz w:val="20"/>
          <w:lang w:val="en-US"/>
        </w:rPr>
        <w:instrText xml:space="preserve"> ADDIN EN.CITE &lt;EndNote&gt;&lt;Cite&gt;&lt;Author&gt;Peek G&lt;/Author&gt;&lt;Year&gt;2010&lt;/Year&gt;&lt;RecNum&gt;1665&lt;/RecNum&gt;&lt;DisplayText&gt;[49]&lt;/DisplayText&gt;&lt;record&gt;&lt;rec-number&gt;1665&lt;/rec-number&gt;&lt;foreign-keys&gt;&lt;key app="EN" db-id="dz99p92dtf9avne5r2bvzva0zpft9d9ptzfr" timestamp="0"&gt;1665&lt;/key&gt;&lt;/foreign-keys&gt;&lt;ref-type name="Journal Article"&gt;17&lt;/ref-type&gt;&lt;contributors&gt;&lt;authors&gt;&lt;author&gt;Peek G, Elbourne D, Mugford M, Tiruvoipati R, Wilson A, et al,&lt;/author&gt;&lt;/authors&gt;&lt;/contributors&gt;&lt;titles&gt;&lt;title&gt;Conventional ventilatory support versus extracorporeal membrane oxygenation for severe adult respiratory failure. Heaalth technology assessment&lt;/title&gt;&lt;/titles&gt;&lt;dates&gt;&lt;year&gt;2010&lt;/year&gt;&lt;/dates&gt;&lt;urls&gt;&lt;/urls&gt;&lt;/record&gt;&lt;/Cite&gt;&lt;/EndNote&gt;</w:instrText>
      </w:r>
      <w:r w:rsidR="00743BF7" w:rsidRPr="00C40569">
        <w:rPr>
          <w:sz w:val="20"/>
          <w:lang w:val="en-US"/>
        </w:rPr>
        <w:fldChar w:fldCharType="separate"/>
      </w:r>
      <w:r w:rsidR="00E10953">
        <w:rPr>
          <w:noProof/>
          <w:sz w:val="20"/>
          <w:lang w:val="en-US"/>
        </w:rPr>
        <w:t>[49]</w:t>
      </w:r>
      <w:r w:rsidR="00743BF7" w:rsidRPr="00C40569">
        <w:rPr>
          <w:sz w:val="20"/>
          <w:lang w:val="en-US"/>
        </w:rPr>
        <w:fldChar w:fldCharType="end"/>
      </w:r>
      <w:r w:rsidR="00C0747D" w:rsidRPr="00C40569">
        <w:rPr>
          <w:sz w:val="20"/>
          <w:lang w:val="en-US"/>
        </w:rPr>
        <w:t>.</w:t>
      </w:r>
      <w:r w:rsidRPr="00C40569">
        <w:rPr>
          <w:sz w:val="20"/>
        </w:rPr>
        <w:t xml:space="preserve"> Supplementing an extrapolation with external evidence can improve the </w:t>
      </w:r>
      <w:r w:rsidR="00E77410" w:rsidRPr="00C40569">
        <w:rPr>
          <w:sz w:val="20"/>
        </w:rPr>
        <w:t xml:space="preserve">external </w:t>
      </w:r>
      <w:r w:rsidRPr="00C40569">
        <w:rPr>
          <w:sz w:val="20"/>
        </w:rPr>
        <w:t xml:space="preserve">validity of the </w:t>
      </w:r>
      <w:r w:rsidR="00E77410" w:rsidRPr="00C40569">
        <w:rPr>
          <w:sz w:val="20"/>
        </w:rPr>
        <w:t>predictions</w:t>
      </w:r>
      <w:r w:rsidRPr="00C40569">
        <w:rPr>
          <w:sz w:val="20"/>
        </w:rPr>
        <w:t xml:space="preserve">. Where multiple scenarios are available for extrapolation it may be useful to explore combining alternative scenarios, through </w:t>
      </w:r>
      <w:r w:rsidR="00743BF7" w:rsidRPr="00C40569">
        <w:rPr>
          <w:sz w:val="20"/>
          <w:lang w:val="en-US"/>
        </w:rPr>
        <w:t>Bayesian model averaging</w:t>
      </w:r>
      <w:r w:rsidR="00E77410" w:rsidRPr="00C40569">
        <w:rPr>
          <w:sz w:val="20"/>
          <w:lang w:val="en-US"/>
        </w:rPr>
        <w:t xml:space="preserve"> </w:t>
      </w:r>
      <w:r w:rsidR="00F35F04" w:rsidRPr="00C40569">
        <w:rPr>
          <w:sz w:val="20"/>
          <w:lang w:val="en-US"/>
        </w:rPr>
        <w:fldChar w:fldCharType="begin"/>
      </w:r>
      <w:r w:rsidR="00E10953">
        <w:rPr>
          <w:sz w:val="20"/>
          <w:lang w:val="en-US"/>
        </w:rPr>
        <w:instrText xml:space="preserve"> ADDIN EN.CITE &lt;EndNote&gt;&lt;Cite&gt;&lt;Author&gt;Christopher H Jackson&lt;/Author&gt;&lt;Year&gt;2009&lt;/Year&gt;&lt;RecNum&gt;1677&lt;/RecNum&gt;&lt;DisplayText&gt;[50]&lt;/DisplayText&gt;&lt;record&gt;&lt;rec-number&gt;1677&lt;/rec-number&gt;&lt;foreign-keys&gt;&lt;key app="EN" db-id="dz99p92dtf9avne5r2bvzva0zpft9d9ptzfr" timestamp="0"&gt;1677&lt;/key&gt;&lt;/foreign-keys&gt;&lt;ref-type name="Journal Article"&gt;17&lt;/ref-type&gt;&lt;contributors&gt;&lt;authors&gt;&lt;author&gt;Christopher H Jackson, Simon G Thompson, Linda D Sharples,&lt;/author&gt;&lt;/authors&gt;&lt;/contributors&gt;&lt;titles&gt;&lt;title&gt;Accounting for uncertainty in health economic decision models by using model averaging&amp;#xD;&lt;/title&gt;&lt;secondary-title&gt;J R Stat Soc Ser A Stat Soc&lt;/secondary-title&gt;&lt;/titles&gt;&lt;pages&gt;383-404&lt;/pages&gt;&lt;volume&gt;172&lt;/volume&gt;&lt;number&gt;2&lt;/number&gt;&lt;dates&gt;&lt;year&gt;2009&lt;/year&gt;&lt;/dates&gt;&lt;urls&gt;&lt;/urls&gt;&lt;/record&gt;&lt;/Cite&gt;&lt;/EndNote&gt;</w:instrText>
      </w:r>
      <w:r w:rsidR="00F35F04" w:rsidRPr="00C40569">
        <w:rPr>
          <w:sz w:val="20"/>
          <w:lang w:val="en-US"/>
        </w:rPr>
        <w:fldChar w:fldCharType="separate"/>
      </w:r>
      <w:r w:rsidR="00E10953">
        <w:rPr>
          <w:noProof/>
          <w:sz w:val="20"/>
          <w:lang w:val="en-US"/>
        </w:rPr>
        <w:t>[50]</w:t>
      </w:r>
      <w:r w:rsidR="00F35F04" w:rsidRPr="00C40569">
        <w:rPr>
          <w:sz w:val="20"/>
          <w:lang w:val="en-US"/>
        </w:rPr>
        <w:fldChar w:fldCharType="end"/>
      </w:r>
      <w:r w:rsidR="00743BF7" w:rsidRPr="00C40569">
        <w:rPr>
          <w:sz w:val="20"/>
          <w:lang w:val="en-US"/>
        </w:rPr>
        <w:t>.</w:t>
      </w:r>
      <w:r w:rsidRPr="00C40569">
        <w:rPr>
          <w:sz w:val="20"/>
        </w:rPr>
        <w:t xml:space="preserve"> Of course, these scenarios only reflect uncertainty in the short term (observed) data, rather than the extrapolated (unobserved) period</w:t>
      </w:r>
      <w:r w:rsidR="00E77410" w:rsidRPr="00C40569">
        <w:rPr>
          <w:sz w:val="20"/>
        </w:rPr>
        <w:t xml:space="preserve"> but similar methods can be used to average predictions under different extrapolation model assumptions and weigh</w:t>
      </w:r>
      <w:r w:rsidR="001D1FEB" w:rsidRPr="00C40569">
        <w:rPr>
          <w:sz w:val="20"/>
        </w:rPr>
        <w:t>t</w:t>
      </w:r>
      <w:r w:rsidR="00E77410" w:rsidRPr="00C40569">
        <w:rPr>
          <w:sz w:val="20"/>
        </w:rPr>
        <w:t xml:space="preserve"> these using expert judg</w:t>
      </w:r>
      <w:r w:rsidR="001D1FEB" w:rsidRPr="00C40569">
        <w:rPr>
          <w:sz w:val="20"/>
        </w:rPr>
        <w:t>e</w:t>
      </w:r>
      <w:r w:rsidR="00E77410" w:rsidRPr="00C40569">
        <w:rPr>
          <w:sz w:val="20"/>
        </w:rPr>
        <w:t>ment</w:t>
      </w:r>
      <w:r w:rsidR="001D1FEB" w:rsidRPr="00C40569">
        <w:rPr>
          <w:sz w:val="20"/>
        </w:rPr>
        <w:t>s</w:t>
      </w:r>
      <w:r w:rsidR="00E77410" w:rsidRPr="00C40569">
        <w:rPr>
          <w:sz w:val="20"/>
        </w:rPr>
        <w:t>.</w:t>
      </w:r>
    </w:p>
    <w:p w14:paraId="6C6C62D4" w14:textId="77777777" w:rsidR="00C93BB4" w:rsidRPr="00C40569" w:rsidRDefault="00C93BB4" w:rsidP="00BA7451">
      <w:pPr>
        <w:rPr>
          <w:sz w:val="20"/>
        </w:rPr>
      </w:pPr>
    </w:p>
    <w:p w14:paraId="15183EB4" w14:textId="658AB2B3" w:rsidR="00C93BB4" w:rsidRPr="00C40569" w:rsidRDefault="000E48A9" w:rsidP="005C45B6">
      <w:pPr>
        <w:spacing w:after="0" w:line="360" w:lineRule="auto"/>
        <w:rPr>
          <w:sz w:val="20"/>
        </w:rPr>
      </w:pPr>
      <w:r w:rsidRPr="00C40569">
        <w:rPr>
          <w:sz w:val="20"/>
        </w:rPr>
        <w:t>A recent report by the NICE decision support unit</w:t>
      </w:r>
      <w:r w:rsidR="00E77410" w:rsidRPr="00C40569">
        <w:rPr>
          <w:sz w:val="20"/>
        </w:rPr>
        <w:t xml:space="preserve"> </w:t>
      </w:r>
      <w:r w:rsidRPr="00C40569">
        <w:rPr>
          <w:sz w:val="20"/>
        </w:rPr>
        <w:fldChar w:fldCharType="begin"/>
      </w:r>
      <w:r w:rsidR="00E10953">
        <w:rPr>
          <w:sz w:val="20"/>
        </w:rPr>
        <w:instrText xml:space="preserve"> ADDIN EN.CITE &lt;EndNote&gt;&lt;Cite&gt;&lt;Author&gt;Ara R&lt;/Author&gt;&lt;Year&gt;2011&lt;/Year&gt;&lt;RecNum&gt;1&lt;/RecNum&gt;&lt;DisplayText&gt;[51]&lt;/DisplayText&gt;&lt;record&gt;&lt;rec-number&gt;1&lt;/rec-number&gt;&lt;foreign-keys&gt;&lt;key app="EN" db-id="dz99p92dtf9avne5r2bvzva0zpft9d9ptzfr" timestamp="0"&gt;1&lt;/key&gt;&lt;/foreign-keys&gt;&lt;ref-type name="Report"&gt;27&lt;/ref-type&gt;&lt;contributors&gt;&lt;authors&gt;&lt;author&gt;Ara R,&lt;/author&gt;&lt;author&gt;Wailoo A,&amp;#x9;&lt;/author&gt;&lt;/authors&gt;&lt;secondary-authors&gt;&lt;author&gt;School of Health and Related Research&lt;/author&gt;&lt;/secondary-authors&gt;&lt;/contributors&gt;&lt;titles&gt;&lt;title&gt;NICE DSU technical support document 12: The use of health state utility values in decision models&lt;/title&gt;&lt;/titles&gt;&lt;dates&gt;&lt;year&gt;2011&lt;/year&gt;&lt;/dates&gt;&lt;pub-location&gt;Sheffield&lt;/pub-location&gt;&lt;publisher&gt;University of Sheffield&lt;/publisher&gt;&lt;urls&gt;&lt;/urls&gt;&lt;/record&gt;&lt;/Cite&gt;&lt;/EndNote&gt;</w:instrText>
      </w:r>
      <w:r w:rsidRPr="00C40569">
        <w:rPr>
          <w:sz w:val="20"/>
        </w:rPr>
        <w:fldChar w:fldCharType="separate"/>
      </w:r>
      <w:r w:rsidR="00E10953">
        <w:rPr>
          <w:noProof/>
          <w:sz w:val="20"/>
        </w:rPr>
        <w:t>[51]</w:t>
      </w:r>
      <w:r w:rsidRPr="00C40569">
        <w:rPr>
          <w:sz w:val="20"/>
        </w:rPr>
        <w:fldChar w:fldCharType="end"/>
      </w:r>
      <w:r w:rsidR="00C93BB4" w:rsidRPr="00C40569">
        <w:rPr>
          <w:sz w:val="20"/>
        </w:rPr>
        <w:t xml:space="preserve"> considered the use of utilities in decision models and although the issue of extrapolation was not its primary focus, the uncertainties arising when using lifetime horizons to accrue QALYs was discussed. This report recommended that when extrapolating beyond an observation period (in which utilities have been captured) efforts should be made to supplement the utilities with external evidence to allow for changes over time in patients quality of life, such as ageing and increased co-morbidities</w:t>
      </w:r>
      <w:r w:rsidR="00EA5F0B">
        <w:rPr>
          <w:sz w:val="20"/>
        </w:rPr>
        <w:fldChar w:fldCharType="begin"/>
      </w:r>
      <w:r w:rsidR="00B055CC">
        <w:rPr>
          <w:sz w:val="20"/>
        </w:rPr>
        <w:instrText xml:space="preserve"> ADDIN EN.CITE &lt;EndNote&gt;&lt;Cite&gt;&lt;Author&gt;MJM&lt;/Author&gt;&lt;Year&gt;2016&lt;/Year&gt;&lt;RecNum&gt;1709&lt;/RecNum&gt;&lt;DisplayText&gt;[52]&lt;/DisplayText&gt;&lt;record&gt;&lt;rec-number&gt;1709&lt;/rec-number&gt;&lt;foreign-keys&gt;&lt;key app="EN" db-id="dz99p92dtf9avne5r2bvzva0zpft9d9ptzfr" timestamp="1491383000"&gt;1709&lt;/key&gt;&lt;/foreign-keys&gt;&lt;ref-type name="Journal Article"&gt;17&lt;/ref-type&gt;&lt;contributors&gt;&lt;authors&gt;&lt;author&gt;MJM Van Duin, &lt;/author&gt;&lt;author&gt;R Conde, &lt;/author&gt;&lt;author&gt;B Wijnen, &lt;/author&gt;&lt;author&gt;SMAA Evers, &lt;/author&gt;&lt;author&gt;JL Gonzalez-Rodriguez, &lt;/author&gt;&lt;author&gt;MJG Govers, &lt;/author&gt;&lt;author&gt;M Hiligsmann,&lt;/author&gt;&lt;/authors&gt;&lt;/contributors&gt;&lt;titles&gt;&lt;title&gt;The impact of comorbidities on costs, utilities and health-related quality of life among HIV patients in a clinical setting in Bogotá&lt;/title&gt;&lt;secondary-title&gt;Expert Review of Pharmacoeconomics &amp;amp; Outcomes Research&lt;/secondary-title&gt;&lt;/titles&gt;&lt;periodical&gt;&lt;full-title&gt;Expert Review of Pharmacoeconomics &amp;amp; Outcomes Research&lt;/full-title&gt;&lt;/periodical&gt;&lt;pages&gt; 1-8&lt;/pages&gt;&lt;volume&gt;0&lt;/volume&gt;&lt;number&gt;0,0&lt;/number&gt;&lt;dates&gt;&lt;year&gt;2016&lt;/year&gt;&lt;/dates&gt;&lt;urls&gt;&lt;/urls&gt;&lt;/record&gt;&lt;/Cite&gt;&lt;/EndNote&gt;</w:instrText>
      </w:r>
      <w:r w:rsidR="00EA5F0B">
        <w:rPr>
          <w:sz w:val="20"/>
        </w:rPr>
        <w:fldChar w:fldCharType="separate"/>
      </w:r>
      <w:r w:rsidR="00E10953">
        <w:rPr>
          <w:noProof/>
          <w:sz w:val="20"/>
        </w:rPr>
        <w:t>[52]</w:t>
      </w:r>
      <w:r w:rsidR="00EA5F0B">
        <w:rPr>
          <w:sz w:val="20"/>
        </w:rPr>
        <w:fldChar w:fldCharType="end"/>
      </w:r>
      <w:r w:rsidR="00C93BB4" w:rsidRPr="00C40569">
        <w:rPr>
          <w:sz w:val="20"/>
        </w:rPr>
        <w:t>. The document also indicate</w:t>
      </w:r>
      <w:r w:rsidR="005C45B6" w:rsidRPr="00C40569">
        <w:rPr>
          <w:sz w:val="20"/>
        </w:rPr>
        <w:t>s</w:t>
      </w:r>
      <w:r w:rsidR="00C93BB4" w:rsidRPr="00C40569">
        <w:rPr>
          <w:sz w:val="20"/>
        </w:rPr>
        <w:t xml:space="preserve"> that it would be appropriate to supplement the evidence on utilities with baseline data from the general public. This approach matches the approach described above, which applies a constant utility decrement to a declining baseline utility score.  In utilising external utility data, a full description of the patient population and any assumptions made should be given.  There is some evidence to suggest that in certain circumstances the use of general population data as baseline utilities might not be </w:t>
      </w:r>
      <w:r w:rsidR="005C45B6" w:rsidRPr="00C40569">
        <w:rPr>
          <w:sz w:val="20"/>
        </w:rPr>
        <w:t>appropriate</w:t>
      </w:r>
      <w:r w:rsidR="00E77410" w:rsidRPr="00C40569">
        <w:rPr>
          <w:sz w:val="20"/>
        </w:rPr>
        <w:t xml:space="preserve"> </w:t>
      </w:r>
      <w:r w:rsidRPr="00C40569">
        <w:rPr>
          <w:sz w:val="20"/>
        </w:rPr>
        <w:fldChar w:fldCharType="begin"/>
      </w:r>
      <w:r w:rsidR="00E10953">
        <w:rPr>
          <w:sz w:val="20"/>
        </w:rPr>
        <w:instrText xml:space="preserve"> ADDIN EN.CITE &lt;EndNote&gt;&lt;Cite&gt;&lt;Author&gt;Ara R&lt;/Author&gt;&lt;Year&gt;2011&lt;/Year&gt;&lt;RecNum&gt;1&lt;/RecNum&gt;&lt;DisplayText&gt;[51]&lt;/DisplayText&gt;&lt;record&gt;&lt;rec-number&gt;1&lt;/rec-number&gt;&lt;foreign-keys&gt;&lt;key app="EN" db-id="dz99p92dtf9avne5r2bvzva0zpft9d9ptzfr" timestamp="0"&gt;1&lt;/key&gt;&lt;/foreign-keys&gt;&lt;ref-type name="Report"&gt;27&lt;/ref-type&gt;&lt;contributors&gt;&lt;authors&gt;&lt;author&gt;Ara R,&lt;/author&gt;&lt;author&gt;Wailoo A,&amp;#x9;&lt;/author&gt;&lt;/authors&gt;&lt;secondary-authors&gt;&lt;author&gt;School of Health and Related Research&lt;/author&gt;&lt;/secondary-authors&gt;&lt;/contributors&gt;&lt;titles&gt;&lt;title&gt;NICE DSU technical support document 12: The use of health state utility values in decision models&lt;/title&gt;&lt;/titles&gt;&lt;dates&gt;&lt;year&gt;2011&lt;/year&gt;&lt;/dates&gt;&lt;pub-location&gt;Sheffield&lt;/pub-location&gt;&lt;publisher&gt;University of Sheffield&lt;/publisher&gt;&lt;urls&gt;&lt;/urls&gt;&lt;/record&gt;&lt;/Cite&gt;&lt;/EndNote&gt;</w:instrText>
      </w:r>
      <w:r w:rsidRPr="00C40569">
        <w:rPr>
          <w:sz w:val="20"/>
        </w:rPr>
        <w:fldChar w:fldCharType="separate"/>
      </w:r>
      <w:r w:rsidR="00E10953">
        <w:rPr>
          <w:noProof/>
          <w:sz w:val="20"/>
        </w:rPr>
        <w:t>[51]</w:t>
      </w:r>
      <w:r w:rsidRPr="00C40569">
        <w:rPr>
          <w:sz w:val="20"/>
        </w:rPr>
        <w:fldChar w:fldCharType="end"/>
      </w:r>
      <w:r w:rsidRPr="00C40569">
        <w:rPr>
          <w:sz w:val="20"/>
        </w:rPr>
        <w:t>.</w:t>
      </w:r>
      <w:r w:rsidR="005C45B6" w:rsidRPr="00C40569">
        <w:rPr>
          <w:sz w:val="20"/>
        </w:rPr>
        <w:t xml:space="preserve"> </w:t>
      </w:r>
      <w:r w:rsidR="00C93BB4" w:rsidRPr="00C40569">
        <w:rPr>
          <w:sz w:val="20"/>
        </w:rPr>
        <w:t xml:space="preserve"> This is a particular issue for conditions with a high prevalence in the general population. The baseline utilities (usually below 1) are therefore likely to already include the utility decrement associated with this condition.</w:t>
      </w:r>
    </w:p>
    <w:p w14:paraId="5D3D2C79" w14:textId="4459DA71" w:rsidR="00A75DB7" w:rsidRPr="00E10953" w:rsidRDefault="00A75DB7" w:rsidP="00B055CC">
      <w:pPr>
        <w:spacing w:after="0" w:line="360" w:lineRule="auto"/>
        <w:rPr>
          <w:b/>
          <w:sz w:val="20"/>
        </w:rPr>
      </w:pPr>
      <w:r w:rsidRPr="00E10953">
        <w:rPr>
          <w:b/>
          <w:sz w:val="20"/>
        </w:rPr>
        <w:lastRenderedPageBreak/>
        <w:t>Discussion</w:t>
      </w:r>
    </w:p>
    <w:p w14:paraId="13053D07" w14:textId="77777777" w:rsidR="00A26ED0" w:rsidRDefault="00A26ED0" w:rsidP="00A26ED0">
      <w:pPr>
        <w:spacing w:after="0" w:line="360" w:lineRule="auto"/>
        <w:rPr>
          <w:sz w:val="20"/>
        </w:rPr>
      </w:pPr>
      <w:r>
        <w:rPr>
          <w:sz w:val="20"/>
        </w:rPr>
        <w:t xml:space="preserve">Often </w:t>
      </w:r>
      <w:r w:rsidRPr="00C40569">
        <w:rPr>
          <w:sz w:val="20"/>
        </w:rPr>
        <w:t>a rather simplistic approach to extrapolation of costs and utilities is employed in the cost-effectiveness literature</w:t>
      </w:r>
      <w:r>
        <w:rPr>
          <w:sz w:val="20"/>
        </w:rPr>
        <w:t xml:space="preserve">, with many cost-effectiveness models assuming </w:t>
      </w:r>
      <w:r w:rsidRPr="00C40569">
        <w:rPr>
          <w:sz w:val="20"/>
        </w:rPr>
        <w:t xml:space="preserve">a constant utility/utility decrement over the extrapolation period, although they may incorporate time variations for effectiveness parameters.  </w:t>
      </w:r>
    </w:p>
    <w:p w14:paraId="4B02E040" w14:textId="77777777" w:rsidR="00A26ED0" w:rsidRDefault="00A26ED0" w:rsidP="00A26ED0">
      <w:pPr>
        <w:spacing w:after="0" w:line="360" w:lineRule="auto"/>
        <w:rPr>
          <w:sz w:val="20"/>
        </w:rPr>
      </w:pPr>
      <w:r w:rsidRPr="00C40569">
        <w:rPr>
          <w:sz w:val="20"/>
        </w:rPr>
        <w:t>Long-term predictions of these outcomes are primarily driven by the methods used to extrapolate clinical outcomes or health states with little consideration given to the appropriateness of assumptions for costs and utilities. Yet there is evidence to suggest that any differences in costs and utilities are not constant over time. Models assessing the cost effectiveness of competing alternatives fail to reflect this fact in choosing an appropriate extrapolation technique. This is likely to be driven by a lack of literature on the extrapolation of costs and utilities and a lack of knowledge of the appropriate methods to use.</w:t>
      </w:r>
    </w:p>
    <w:p w14:paraId="4861E59F" w14:textId="77777777" w:rsidR="00A26ED0" w:rsidRDefault="00A26ED0" w:rsidP="00A26ED0">
      <w:pPr>
        <w:spacing w:after="0" w:line="360" w:lineRule="auto"/>
        <w:rPr>
          <w:sz w:val="20"/>
        </w:rPr>
      </w:pPr>
    </w:p>
    <w:p w14:paraId="580D1009" w14:textId="77777777" w:rsidR="00340C00" w:rsidRDefault="00C93BB4" w:rsidP="00B055CC">
      <w:pPr>
        <w:spacing w:after="0" w:line="360" w:lineRule="auto"/>
        <w:rPr>
          <w:sz w:val="20"/>
        </w:rPr>
      </w:pPr>
      <w:r w:rsidRPr="00C40569">
        <w:rPr>
          <w:sz w:val="20"/>
        </w:rPr>
        <w:t>From a practical point of view, the extent to which the analyst will be able to quantify any time (or covariate) dependency in utilities and costs will primarily depend on the data available.  Ideally, access to medium</w:t>
      </w:r>
      <w:r w:rsidR="00E77410" w:rsidRPr="00C40569">
        <w:rPr>
          <w:sz w:val="20"/>
        </w:rPr>
        <w:t>-</w:t>
      </w:r>
      <w:r w:rsidRPr="00C40569">
        <w:rPr>
          <w:sz w:val="20"/>
        </w:rPr>
        <w:t>to</w:t>
      </w:r>
      <w:r w:rsidR="00E77410" w:rsidRPr="00C40569">
        <w:rPr>
          <w:sz w:val="20"/>
        </w:rPr>
        <w:t>-</w:t>
      </w:r>
      <w:r w:rsidRPr="00C40569">
        <w:rPr>
          <w:sz w:val="20"/>
        </w:rPr>
        <w:t xml:space="preserve">long term </w:t>
      </w:r>
      <w:r w:rsidR="004C1466" w:rsidRPr="00C40569">
        <w:rPr>
          <w:sz w:val="20"/>
        </w:rPr>
        <w:t>IPD</w:t>
      </w:r>
      <w:r w:rsidRPr="00C40569">
        <w:rPr>
          <w:sz w:val="20"/>
        </w:rPr>
        <w:t xml:space="preserve"> can facilitate such an investigation</w:t>
      </w:r>
      <w:r w:rsidR="00340C00">
        <w:rPr>
          <w:sz w:val="20"/>
        </w:rPr>
        <w:t xml:space="preserve">, </w:t>
      </w:r>
      <w:r w:rsidR="00340C00" w:rsidRPr="00C40569">
        <w:rPr>
          <w:sz w:val="20"/>
        </w:rPr>
        <w:t>however good (repeated) cross sectional data sets can suffice if these cover a significant population of patients and methods are employed to sample across relevant characteristics</w:t>
      </w:r>
      <w:r w:rsidRPr="00C40569">
        <w:rPr>
          <w:sz w:val="20"/>
        </w:rPr>
        <w:t xml:space="preserve">. </w:t>
      </w:r>
    </w:p>
    <w:p w14:paraId="0A4A32DF" w14:textId="77777777" w:rsidR="00B055CC" w:rsidRDefault="00B055CC" w:rsidP="00B055CC">
      <w:pPr>
        <w:spacing w:after="0" w:line="360" w:lineRule="auto"/>
        <w:rPr>
          <w:sz w:val="20"/>
        </w:rPr>
      </w:pPr>
    </w:p>
    <w:p w14:paraId="2B4877A5" w14:textId="5B8E4FAE" w:rsidR="00340C00" w:rsidRPr="00E10953" w:rsidRDefault="00C93BB4" w:rsidP="00A26ED0">
      <w:pPr>
        <w:spacing w:after="0" w:line="360" w:lineRule="auto"/>
        <w:rPr>
          <w:color w:val="3C77ED"/>
          <w:sz w:val="20"/>
          <w:szCs w:val="20"/>
        </w:rPr>
      </w:pPr>
      <w:r w:rsidRPr="00C40569">
        <w:rPr>
          <w:sz w:val="20"/>
        </w:rPr>
        <w:t xml:space="preserve">When using </w:t>
      </w:r>
      <w:r w:rsidR="00F714FD" w:rsidRPr="00C40569">
        <w:rPr>
          <w:sz w:val="20"/>
        </w:rPr>
        <w:t>IPD</w:t>
      </w:r>
      <w:r w:rsidRPr="00C40569">
        <w:rPr>
          <w:sz w:val="20"/>
        </w:rPr>
        <w:t xml:space="preserve"> on </w:t>
      </w:r>
      <w:r w:rsidR="00DC639C">
        <w:rPr>
          <w:sz w:val="20"/>
        </w:rPr>
        <w:t>costs</w:t>
      </w:r>
      <w:r w:rsidRPr="00C40569">
        <w:rPr>
          <w:sz w:val="20"/>
        </w:rPr>
        <w:t xml:space="preserve"> and utilities derived directly from the trial that provided effectiveness data to model the disease prognosis, it is important to distinguish between those analyses that do not account for time (e.g. cross sectional analyses at a fixed time point) from those analyses that explicitly model time, such as longitudinal and time-to-event studies (i.e. effect of health state and time). It could be argued that if one is interested in analysing IPD to derive input parameters to model long term cost</w:t>
      </w:r>
      <w:r w:rsidR="00E1463C" w:rsidRPr="00C40569">
        <w:rPr>
          <w:sz w:val="20"/>
        </w:rPr>
        <w:t>s</w:t>
      </w:r>
      <w:r w:rsidRPr="00C40569">
        <w:rPr>
          <w:sz w:val="20"/>
        </w:rPr>
        <w:t xml:space="preserve"> and utilities, access to </w:t>
      </w:r>
      <w:r w:rsidRPr="00340C00">
        <w:rPr>
          <w:sz w:val="20"/>
          <w:szCs w:val="20"/>
        </w:rPr>
        <w:t>longitudinal outcome dataset is essential</w:t>
      </w:r>
      <w:r w:rsidR="00340C00" w:rsidRPr="00340C00">
        <w:rPr>
          <w:sz w:val="20"/>
          <w:szCs w:val="20"/>
        </w:rPr>
        <w:t xml:space="preserve">. Unfortunately </w:t>
      </w:r>
      <w:r w:rsidR="00E35002" w:rsidRPr="00B055CC">
        <w:rPr>
          <w:sz w:val="20"/>
          <w:szCs w:val="20"/>
        </w:rPr>
        <w:t>c</w:t>
      </w:r>
      <w:r w:rsidR="00340C00" w:rsidRPr="00B055CC">
        <w:rPr>
          <w:sz w:val="20"/>
          <w:szCs w:val="20"/>
        </w:rPr>
        <w:t>osts and utilities are almost invariably collected at fixed time points during the study follow up period. When modelling longitudinal cost/utility data it would be desirable to analyse these alongside some time-to-event variable (e.g. occurrence of clinical events with concurrent measure mean of cost/utility) to estimate the impact that these events have on costs and/or utilities/HRQoL. One recent example by Briggs, et al, 2016</w:t>
      </w:r>
      <w:r w:rsidR="00340C00" w:rsidRPr="00B055CC">
        <w:rPr>
          <w:sz w:val="20"/>
          <w:szCs w:val="20"/>
        </w:rPr>
        <w:fldChar w:fldCharType="begin"/>
      </w:r>
      <w:r w:rsidR="00E10953" w:rsidRPr="00B055CC">
        <w:rPr>
          <w:sz w:val="20"/>
          <w:szCs w:val="20"/>
        </w:rPr>
        <w:instrText xml:space="preserve"> ADDIN EN.CITE &lt;EndNote&gt;&lt;Cite&gt;&lt;Author&gt;Briggs AH&lt;/Author&gt;&lt;Year&gt;2016&lt;/Year&gt;&lt;RecNum&gt;1703&lt;/RecNum&gt;&lt;DisplayText&gt;[53]&lt;/DisplayText&gt;&lt;record&gt;&lt;rec-number&gt;1703&lt;/rec-number&gt;&lt;foreign-keys&gt;&lt;key app="EN" db-id="dz99p92dtf9avne5r2bvzva0zpft9d9ptzfr" timestamp="1489494274"&gt;1703&lt;/key&gt;&lt;/foreign-keys&gt;&lt;ref-type name="Journal Article"&gt;17&lt;/ref-type&gt;&lt;contributors&gt;&lt;authors&gt;&lt;author&gt;Briggs AH, &lt;/author&gt;&lt;author&gt;Parfrey PS, &lt;/author&gt;&lt;author&gt;Khan N, &lt;/author&gt;&lt;author&gt;Tseng S, &lt;/author&gt;&lt;author&gt;Dehmel B, &lt;/author&gt;&lt;author&gt;Kubo Y, &lt;/author&gt;&lt;author&gt;Chertow GM, &lt;/author&gt;&lt;author&gt;Belozeroff V,&lt;/author&gt;&lt;/authors&gt;&lt;/contributors&gt;&lt;titles&gt;&lt;title&gt;Analyzing Health-Related Quality of Life in the EVOLVE Trial: The Joint Impact of Treatment and Clinical Events&lt;/title&gt;&lt;secondary-title&gt;Med Decis Making&lt;/secondary-title&gt;&lt;/titles&gt;&lt;periodical&gt;&lt;full-title&gt;Med Decis Making&lt;/full-title&gt;&lt;/periodical&gt;&lt;pages&gt;965-72&lt;/pages&gt;&lt;volume&gt;36&lt;/volume&gt;&lt;number&gt;8&lt;/number&gt;&lt;dates&gt;&lt;year&gt;2016&lt;/year&gt;&lt;/dates&gt;&lt;urls&gt;&lt;/urls&gt;&lt;/record&gt;&lt;/Cite&gt;&lt;/EndNote&gt;</w:instrText>
      </w:r>
      <w:r w:rsidR="00340C00" w:rsidRPr="00B055CC">
        <w:rPr>
          <w:sz w:val="20"/>
          <w:szCs w:val="20"/>
        </w:rPr>
        <w:fldChar w:fldCharType="separate"/>
      </w:r>
      <w:r w:rsidR="00E10953" w:rsidRPr="00B055CC">
        <w:rPr>
          <w:noProof/>
          <w:sz w:val="20"/>
          <w:szCs w:val="20"/>
        </w:rPr>
        <w:t>[53]</w:t>
      </w:r>
      <w:r w:rsidR="00340C00" w:rsidRPr="00B055CC">
        <w:rPr>
          <w:sz w:val="20"/>
          <w:szCs w:val="20"/>
        </w:rPr>
        <w:fldChar w:fldCharType="end"/>
      </w:r>
      <w:r w:rsidR="00340C00" w:rsidRPr="00B055CC">
        <w:rPr>
          <w:sz w:val="20"/>
          <w:szCs w:val="20"/>
        </w:rPr>
        <w:t xml:space="preserve"> showed that there were large utility decrements after clinical events in patients with secondary hyperparathyroidism.  The absence of joint information makes difficult to explicitly model specific event history processes that affect costs and HRQoL.</w:t>
      </w:r>
    </w:p>
    <w:p w14:paraId="13EB282F" w14:textId="77777777" w:rsidR="00E35002" w:rsidRDefault="00E35002" w:rsidP="00A26ED0">
      <w:pPr>
        <w:spacing w:after="0" w:line="360" w:lineRule="auto"/>
        <w:rPr>
          <w:sz w:val="20"/>
          <w:szCs w:val="20"/>
        </w:rPr>
      </w:pPr>
    </w:p>
    <w:p w14:paraId="127B3001" w14:textId="21D1E1D2" w:rsidR="00E35002" w:rsidRDefault="00532D16" w:rsidP="00A26ED0">
      <w:pPr>
        <w:spacing w:after="0" w:line="360" w:lineRule="auto"/>
        <w:rPr>
          <w:sz w:val="20"/>
        </w:rPr>
      </w:pPr>
      <w:r w:rsidRPr="00340C00">
        <w:rPr>
          <w:sz w:val="20"/>
          <w:szCs w:val="20"/>
        </w:rPr>
        <w:t xml:space="preserve">It should be noted that the </w:t>
      </w:r>
      <w:r w:rsidR="0059374D" w:rsidRPr="00340C00">
        <w:rPr>
          <w:sz w:val="20"/>
          <w:szCs w:val="20"/>
        </w:rPr>
        <w:t xml:space="preserve">collection of cost and utility data prospectively within studies is often difficult. </w:t>
      </w:r>
      <w:r w:rsidR="00412E37" w:rsidRPr="006A283F">
        <w:rPr>
          <w:sz w:val="20"/>
          <w:szCs w:val="20"/>
        </w:rPr>
        <w:t xml:space="preserve">Unfortunately </w:t>
      </w:r>
      <w:r w:rsidR="00DC639C">
        <w:rPr>
          <w:sz w:val="20"/>
          <w:szCs w:val="20"/>
        </w:rPr>
        <w:t>cost</w:t>
      </w:r>
      <w:r w:rsidR="00412E37" w:rsidRPr="006A283F">
        <w:rPr>
          <w:sz w:val="20"/>
          <w:szCs w:val="20"/>
        </w:rPr>
        <w:t xml:space="preserve"> and utility data available from randomised trials and observational data, is often besieged with missing data. </w:t>
      </w:r>
      <w:r w:rsidR="00C40569" w:rsidRPr="006A283F">
        <w:rPr>
          <w:sz w:val="20"/>
          <w:szCs w:val="20"/>
        </w:rPr>
        <w:t>Such</w:t>
      </w:r>
      <w:r w:rsidR="00F714FD" w:rsidRPr="006A283F">
        <w:rPr>
          <w:sz w:val="20"/>
          <w:szCs w:val="20"/>
        </w:rPr>
        <w:t xml:space="preserve"> d</w:t>
      </w:r>
      <w:r w:rsidR="0059374D" w:rsidRPr="006A283F">
        <w:rPr>
          <w:sz w:val="20"/>
          <w:szCs w:val="20"/>
        </w:rPr>
        <w:t xml:space="preserve">ata </w:t>
      </w:r>
      <w:r w:rsidR="00412E37" w:rsidRPr="006A283F">
        <w:rPr>
          <w:sz w:val="20"/>
          <w:szCs w:val="20"/>
        </w:rPr>
        <w:t xml:space="preserve">is unlikely to be missing </w:t>
      </w:r>
      <w:r w:rsidR="00F714FD" w:rsidRPr="006A283F">
        <w:rPr>
          <w:sz w:val="20"/>
          <w:szCs w:val="20"/>
        </w:rPr>
        <w:t xml:space="preserve">completely </w:t>
      </w:r>
      <w:r w:rsidR="00412E37" w:rsidRPr="006A283F">
        <w:rPr>
          <w:sz w:val="20"/>
          <w:szCs w:val="20"/>
        </w:rPr>
        <w:t xml:space="preserve">at random and </w:t>
      </w:r>
      <w:r w:rsidR="0059374D" w:rsidRPr="006A283F">
        <w:rPr>
          <w:sz w:val="20"/>
          <w:szCs w:val="20"/>
        </w:rPr>
        <w:t>it is i</w:t>
      </w:r>
      <w:r w:rsidR="00412E37" w:rsidRPr="006A283F">
        <w:rPr>
          <w:sz w:val="20"/>
          <w:szCs w:val="20"/>
        </w:rPr>
        <w:t xml:space="preserve">mportant to consider how missing data may bias summary estimates of </w:t>
      </w:r>
      <w:r w:rsidR="00DC639C">
        <w:rPr>
          <w:sz w:val="20"/>
          <w:szCs w:val="20"/>
        </w:rPr>
        <w:t>costs</w:t>
      </w:r>
      <w:r w:rsidR="00412E37" w:rsidRPr="006A283F">
        <w:rPr>
          <w:sz w:val="20"/>
          <w:szCs w:val="20"/>
        </w:rPr>
        <w:t xml:space="preserve"> and utility from these studies.  </w:t>
      </w:r>
      <w:r w:rsidR="00340C00" w:rsidRPr="006A283F">
        <w:rPr>
          <w:sz w:val="20"/>
          <w:szCs w:val="20"/>
        </w:rPr>
        <w:t>There are examples of studies</w:t>
      </w:r>
      <w:r w:rsidR="00340C00">
        <w:rPr>
          <w:sz w:val="20"/>
        </w:rPr>
        <w:t xml:space="preserve"> where the methods used to impute for missing data has had a large impact on the costs generated</w:t>
      </w:r>
      <w:r w:rsidR="00340C00">
        <w:rPr>
          <w:sz w:val="20"/>
        </w:rPr>
        <w:fldChar w:fldCharType="begin"/>
      </w:r>
      <w:r w:rsidR="00E10953">
        <w:rPr>
          <w:sz w:val="20"/>
        </w:rPr>
        <w:instrText xml:space="preserve"> ADDIN EN.CITE &lt;EndNote&gt;&lt;Cite&gt;&lt;Author&gt;Oostenbrink JB&lt;/Author&gt;&lt;Year&gt;2003&lt;/Year&gt;&lt;RecNum&gt;1697&lt;/RecNum&gt;&lt;DisplayText&gt;[54]&lt;/DisplayText&gt;&lt;record&gt;&lt;rec-number&gt;1697&lt;/rec-number&gt;&lt;foreign-keys&gt;&lt;key app="EN" db-id="dz99p92dtf9avne5r2bvzva0zpft9d9ptzfr" timestamp="1489485732"&gt;1697&lt;/key&gt;&lt;/foreign-keys&gt;&lt;ref-type name="Journal Article"&gt;17&lt;/ref-type&gt;&lt;contributors&gt;&lt;authors&gt;&lt;author&gt;Oostenbrink JB,&lt;/author&gt;&lt;author&gt;Al MJ, &lt;/author&gt;&lt;author&gt;Rutten-van Mölken MP.&lt;/author&gt;&lt;/authors&gt;&lt;/contributors&gt;&lt;titles&gt;&lt;title&gt;Methods to analyse cost data of patients who withdraw in a clinical trial setting&lt;/title&gt;&lt;secondary-title&gt;Pharmacoeconomics&lt;/secondary-title&gt;&lt;/titles&gt;&lt;periodical&gt;&lt;full-title&gt;Pharmacoeconomics&lt;/full-title&gt;&lt;/periodical&gt;&lt;pages&gt;1103-12&lt;/pages&gt;&lt;volume&gt;21&lt;/volume&gt;&lt;number&gt;15&lt;/number&gt;&lt;dates&gt;&lt;year&gt;2003&lt;/year&gt;&lt;/dates&gt;&lt;urls&gt;&lt;/urls&gt;&lt;/record&gt;&lt;/Cite&gt;&lt;/EndNote&gt;</w:instrText>
      </w:r>
      <w:r w:rsidR="00340C00">
        <w:rPr>
          <w:sz w:val="20"/>
        </w:rPr>
        <w:fldChar w:fldCharType="separate"/>
      </w:r>
      <w:r w:rsidR="00E10953">
        <w:rPr>
          <w:noProof/>
          <w:sz w:val="20"/>
        </w:rPr>
        <w:t>[54]</w:t>
      </w:r>
      <w:r w:rsidR="00340C00">
        <w:rPr>
          <w:sz w:val="20"/>
        </w:rPr>
        <w:fldChar w:fldCharType="end"/>
      </w:r>
      <w:r w:rsidR="00340C00">
        <w:rPr>
          <w:sz w:val="20"/>
        </w:rPr>
        <w:t xml:space="preserve">. </w:t>
      </w:r>
      <w:r w:rsidR="00E35002">
        <w:rPr>
          <w:sz w:val="20"/>
        </w:rPr>
        <w:t xml:space="preserve">There are, however, implications for improving the collection of data to facilitate cost-effectiveness modelling in studies. It is not clear how this should be done most efficiently and if the benefits out way the risks, such as patient withdrawal or failure to recruit sufficient numbers. </w:t>
      </w:r>
    </w:p>
    <w:p w14:paraId="68D3DC86" w14:textId="3FE11885" w:rsidR="00C93BB4" w:rsidRPr="00C40569" w:rsidRDefault="00E35002" w:rsidP="00B055CC">
      <w:pPr>
        <w:spacing w:after="0" w:line="360" w:lineRule="auto"/>
        <w:rPr>
          <w:sz w:val="20"/>
        </w:rPr>
      </w:pPr>
      <w:r w:rsidRPr="00B055CC">
        <w:rPr>
          <w:sz w:val="20"/>
        </w:rPr>
        <w:lastRenderedPageBreak/>
        <w:t xml:space="preserve">The challenge </w:t>
      </w:r>
      <w:r w:rsidR="00C93BB4" w:rsidRPr="00B055CC">
        <w:rPr>
          <w:sz w:val="20"/>
        </w:rPr>
        <w:t xml:space="preserve">of </w:t>
      </w:r>
      <w:r w:rsidR="00C93BB4" w:rsidRPr="00C40569">
        <w:rPr>
          <w:sz w:val="20"/>
        </w:rPr>
        <w:t xml:space="preserve">capturing changes in costs over time also relates to the inclusion of future costs within cost-effectiveness models. These are costs that may be related or unrelated to a specific </w:t>
      </w:r>
      <w:r w:rsidR="00136AD5" w:rsidRPr="00C40569">
        <w:rPr>
          <w:sz w:val="20"/>
        </w:rPr>
        <w:t>condition</w:t>
      </w:r>
      <w:r w:rsidR="00C93BB4" w:rsidRPr="00C40569">
        <w:rPr>
          <w:sz w:val="20"/>
        </w:rPr>
        <w:t xml:space="preserve">.  Under current NICE guidance, all related costs should be included in the analysis using an appropriate time horizon (where there a mortality effect </w:t>
      </w:r>
      <w:r w:rsidR="00C93BB4" w:rsidRPr="002D06F5">
        <w:rPr>
          <w:sz w:val="20"/>
        </w:rPr>
        <w:t xml:space="preserve">this </w:t>
      </w:r>
      <w:r w:rsidR="00C93BB4" w:rsidRPr="002D06F5">
        <w:rPr>
          <w:rFonts w:cs="Arial"/>
          <w:sz w:val="20"/>
        </w:rPr>
        <w:t xml:space="preserve">should </w:t>
      </w:r>
      <w:r w:rsidR="00C93BB4" w:rsidRPr="002D06F5">
        <w:rPr>
          <w:rFonts w:cs="Arial"/>
          <w:sz w:val="20"/>
          <w:szCs w:val="20"/>
        </w:rPr>
        <w:t>be a lifetime</w:t>
      </w:r>
      <w:r w:rsidR="00C93BB4" w:rsidRPr="00F221EE">
        <w:rPr>
          <w:rFonts w:cs="Arial"/>
          <w:sz w:val="20"/>
          <w:szCs w:val="20"/>
        </w:rPr>
        <w:t>)</w:t>
      </w:r>
      <w:r w:rsidR="00F221EE" w:rsidRPr="00F221EE">
        <w:rPr>
          <w:rFonts w:cs="Arial"/>
          <w:sz w:val="20"/>
          <w:szCs w:val="20"/>
        </w:rPr>
        <w:t>. NICE guidance on technology appraisals</w:t>
      </w:r>
      <w:r w:rsidR="006337D1">
        <w:rPr>
          <w:rFonts w:cs="Arial"/>
          <w:sz w:val="20"/>
          <w:szCs w:val="20"/>
        </w:rPr>
        <w:fldChar w:fldCharType="begin"/>
      </w:r>
      <w:r w:rsidR="006337D1">
        <w:rPr>
          <w:rFonts w:cs="Arial"/>
          <w:sz w:val="20"/>
          <w:szCs w:val="20"/>
        </w:rPr>
        <w:instrText xml:space="preserve"> ADDIN EN.CITE &lt;EndNote&gt;&lt;Cite&gt;&lt;Author&gt;National Institute for Health and Care Excellence&lt;/Author&gt;&lt;Year&gt;2013&lt;/Year&gt;&lt;RecNum&gt;1115&lt;/RecNum&gt;&lt;DisplayText&gt;[4]&lt;/DisplayText&gt;&lt;record&gt;&lt;rec-number&gt;1115&lt;/rec-number&gt;&lt;foreign-keys&gt;&lt;key app="EN" db-id="dz99p92dtf9avne5r2bvzva0zpft9d9ptzfr" timestamp="0"&gt;1115&lt;/key&gt;&lt;/foreign-keys&gt;&lt;ref-type name="Report"&gt;27&lt;/ref-type&gt;&lt;contributors&gt;&lt;authors&gt;&lt;author&gt;National Institute for Health and Care Excellence,&lt;/author&gt;&lt;/authors&gt;&lt;/contributors&gt;&lt;titles&gt;&lt;title&gt;Guide to the methods of technology appraisal 2013&lt;/title&gt;&lt;/titles&gt;&lt;dates&gt;&lt;year&gt;2013&lt;/year&gt;&lt;/dates&gt;&lt;pub-location&gt;London&lt;/pub-location&gt;&lt;publisher&gt;NICE&lt;/publisher&gt;&lt;urls&gt;&lt;/urls&gt;&lt;/record&gt;&lt;/Cite&gt;&lt;/EndNote&gt;</w:instrText>
      </w:r>
      <w:r w:rsidR="006337D1">
        <w:rPr>
          <w:rFonts w:cs="Arial"/>
          <w:sz w:val="20"/>
          <w:szCs w:val="20"/>
        </w:rPr>
        <w:fldChar w:fldCharType="separate"/>
      </w:r>
      <w:r w:rsidR="006337D1">
        <w:rPr>
          <w:rFonts w:cs="Arial"/>
          <w:noProof/>
          <w:sz w:val="20"/>
          <w:szCs w:val="20"/>
        </w:rPr>
        <w:t>[4]</w:t>
      </w:r>
      <w:r w:rsidR="006337D1">
        <w:rPr>
          <w:rFonts w:cs="Arial"/>
          <w:sz w:val="20"/>
          <w:szCs w:val="20"/>
        </w:rPr>
        <w:fldChar w:fldCharType="end"/>
      </w:r>
      <w:r w:rsidR="00F221EE" w:rsidRPr="00F221EE">
        <w:rPr>
          <w:rFonts w:cs="Arial"/>
          <w:sz w:val="20"/>
          <w:szCs w:val="20"/>
        </w:rPr>
        <w:t xml:space="preserve"> states that </w:t>
      </w:r>
      <w:r w:rsidR="00F221EE">
        <w:rPr>
          <w:rFonts w:cs="Arial"/>
          <w:sz w:val="20"/>
          <w:szCs w:val="20"/>
        </w:rPr>
        <w:t>“</w:t>
      </w:r>
      <w:r w:rsidR="00F221EE" w:rsidRPr="00E10953">
        <w:rPr>
          <w:rFonts w:cs="Arial"/>
          <w:color w:val="222222"/>
          <w:sz w:val="20"/>
          <w:szCs w:val="20"/>
          <w:shd w:val="clear" w:color="auto" w:fill="FFFFFF"/>
        </w:rPr>
        <w:t>costs related to the condition of interest and incurred in additional years of life gained as a result of treatment should be included in the reference-case analysis. Costs that are considered to be unrelated to the condition or technology of interest should be excluded</w:t>
      </w:r>
      <w:r w:rsidR="00F221EE">
        <w:rPr>
          <w:rFonts w:cs="Arial"/>
          <w:color w:val="222222"/>
          <w:sz w:val="20"/>
          <w:szCs w:val="20"/>
          <w:shd w:val="clear" w:color="auto" w:fill="FFFFFF"/>
        </w:rPr>
        <w:t>”</w:t>
      </w:r>
      <w:r w:rsidR="006337D1">
        <w:rPr>
          <w:rFonts w:cs="Arial"/>
          <w:color w:val="222222"/>
          <w:sz w:val="20"/>
          <w:szCs w:val="20"/>
          <w:shd w:val="clear" w:color="auto" w:fill="FFFFFF"/>
        </w:rPr>
        <w:t xml:space="preserve">. </w:t>
      </w:r>
      <w:r w:rsidR="00C93BB4" w:rsidRPr="00C40569">
        <w:rPr>
          <w:sz w:val="20"/>
        </w:rPr>
        <w:t xml:space="preserve"> By extending the remit of costs to include </w:t>
      </w:r>
      <w:r w:rsidR="00136AD5" w:rsidRPr="00C40569">
        <w:rPr>
          <w:sz w:val="20"/>
        </w:rPr>
        <w:t xml:space="preserve">unrelated </w:t>
      </w:r>
      <w:r w:rsidR="00C93BB4" w:rsidRPr="00C40569">
        <w:rPr>
          <w:sz w:val="20"/>
        </w:rPr>
        <w:t>costs, which many authors have argued is appropriate to do</w:t>
      </w:r>
      <w:r w:rsidR="00F714FD" w:rsidRPr="00C40569">
        <w:rPr>
          <w:sz w:val="20"/>
        </w:rPr>
        <w:t xml:space="preserve"> </w:t>
      </w:r>
      <w:r w:rsidR="00F35F04" w:rsidRPr="00C40569">
        <w:rPr>
          <w:sz w:val="20"/>
        </w:rPr>
        <w:fldChar w:fldCharType="begin">
          <w:fldData xml:space="preserve">PEVuZE5vdGU+PENpdGU+PEF1dGhvcj5SYXBwYW5nZSBEUjwvQXV0aG9yPjxZZWFyPjIwMDg8L1ll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</w:fldData>
        </w:fldChar>
      </w:r>
      <w:r w:rsidR="00E10953">
        <w:rPr>
          <w:sz w:val="20"/>
        </w:rPr>
        <w:instrText xml:space="preserve"> ADDIN EN.CITE </w:instrText>
      </w:r>
      <w:r w:rsidR="00E10953">
        <w:rPr>
          <w:sz w:val="20"/>
        </w:rPr>
        <w:fldChar w:fldCharType="begin">
          <w:fldData xml:space="preserve">PEVuZE5vdGU+PENpdGU+PEF1dGhvcj5SYXBwYW5nZSBEUjwvQXV0aG9yPjxZZWFyPjIwMDg8L1ll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</w:fldData>
        </w:fldChar>
      </w:r>
      <w:r w:rsidR="00E10953">
        <w:rPr>
          <w:sz w:val="20"/>
        </w:rPr>
        <w:instrText xml:space="preserve"> ADDIN EN.CITE.DATA </w:instrText>
      </w:r>
      <w:r w:rsidR="00E10953">
        <w:rPr>
          <w:sz w:val="20"/>
        </w:rPr>
      </w:r>
      <w:r w:rsidR="00E10953">
        <w:rPr>
          <w:sz w:val="20"/>
        </w:rPr>
        <w:fldChar w:fldCharType="end"/>
      </w:r>
      <w:r w:rsidR="00F35F04" w:rsidRPr="00C40569">
        <w:rPr>
          <w:sz w:val="20"/>
        </w:rPr>
      </w:r>
      <w:r w:rsidR="00F35F04" w:rsidRPr="00C40569">
        <w:rPr>
          <w:sz w:val="20"/>
        </w:rPr>
        <w:fldChar w:fldCharType="separate"/>
      </w:r>
      <w:r w:rsidR="00E10953">
        <w:rPr>
          <w:noProof/>
          <w:sz w:val="20"/>
        </w:rPr>
        <w:t>[55-57]</w:t>
      </w:r>
      <w:r w:rsidR="00F35F04" w:rsidRPr="00C40569">
        <w:rPr>
          <w:sz w:val="20"/>
        </w:rPr>
        <w:fldChar w:fldCharType="end"/>
      </w:r>
      <w:r w:rsidR="00340C00">
        <w:rPr>
          <w:sz w:val="20"/>
        </w:rPr>
        <w:t>, the practical challenge of appropriately estimating any changes in costs over time is magnified, by the simple fact of having more relevant costs to include</w:t>
      </w:r>
      <w:r w:rsidR="006A283F">
        <w:rPr>
          <w:sz w:val="20"/>
        </w:rPr>
        <w:t xml:space="preserve"> in the calculation of total costs</w:t>
      </w:r>
      <w:r w:rsidR="00DE3B69" w:rsidRPr="00C40569">
        <w:rPr>
          <w:sz w:val="20"/>
        </w:rPr>
        <w:t>.</w:t>
      </w:r>
      <w:r w:rsidR="00C93BB4" w:rsidRPr="00C40569">
        <w:rPr>
          <w:sz w:val="20"/>
        </w:rPr>
        <w:t xml:space="preserve"> </w:t>
      </w:r>
    </w:p>
    <w:p w14:paraId="696243FC" w14:textId="77777777" w:rsidR="002378CC" w:rsidRPr="00C40569" w:rsidRDefault="002378CC" w:rsidP="002378CC">
      <w:pPr>
        <w:spacing w:after="0" w:line="360" w:lineRule="auto"/>
        <w:rPr>
          <w:sz w:val="20"/>
        </w:rPr>
      </w:pPr>
    </w:p>
    <w:p w14:paraId="599C49AE" w14:textId="168D9422" w:rsidR="00E35002" w:rsidRDefault="00E35002" w:rsidP="002378CC">
      <w:pPr>
        <w:spacing w:after="0" w:line="360" w:lineRule="auto"/>
        <w:rPr>
          <w:sz w:val="20"/>
        </w:rPr>
      </w:pPr>
      <w:r>
        <w:rPr>
          <w:sz w:val="20"/>
        </w:rPr>
        <w:t>Key is the exploration of a</w:t>
      </w:r>
      <w:r w:rsidR="002378CC" w:rsidRPr="00C40569">
        <w:rPr>
          <w:sz w:val="20"/>
        </w:rPr>
        <w:t>ny uncertainty in extrapolating costs and utilities</w:t>
      </w:r>
      <w:r>
        <w:rPr>
          <w:sz w:val="20"/>
        </w:rPr>
        <w:t xml:space="preserve">. Reflecting such uncertainties in any assessment of cost-effectiveness is paramount to understanding the extent to which trends in costs and utilities evolve drive adoption decisions. This helps to inform the extent to which efforts are made in improving data collection for costs and utilities. However uncertainty regarding costs and utilities may, in some circumstances, </w:t>
      </w:r>
      <w:r w:rsidR="002378CC" w:rsidRPr="00C40569">
        <w:rPr>
          <w:sz w:val="20"/>
        </w:rPr>
        <w:t>be distinct from other forms of uncertainty in a cost-effectiveness model. Uncertainty is something that we would hope to resolve with further research, if it is plausible to conduct. For costs in particular, however, there is a degree of uncertainty relating to prices that may not be resolved by further events, for example drugs going off patent</w:t>
      </w:r>
      <w:r w:rsidR="00F714FD" w:rsidRPr="00C40569">
        <w:rPr>
          <w:sz w:val="20"/>
        </w:rPr>
        <w:t xml:space="preserve"> </w:t>
      </w:r>
      <w:r w:rsidR="002378CC" w:rsidRPr="00C40569">
        <w:rPr>
          <w:sz w:val="20"/>
        </w:rPr>
        <w:fldChar w:fldCharType="begin"/>
      </w:r>
      <w:r w:rsidR="00E10953">
        <w:rPr>
          <w:sz w:val="20"/>
        </w:rPr>
        <w:instrText xml:space="preserve"> ADDIN EN.CITE &lt;EndNote&gt;&lt;Cite&gt;&lt;Author&gt;Claxton K&lt;/Author&gt;&lt;Year&gt;2011&lt;/Year&gt;&lt;RecNum&gt;1653&lt;/RecNum&gt;&lt;DisplayText&gt;[58]&lt;/DisplayText&gt;&lt;record&gt;&lt;rec-number&gt;1653&lt;/rec-number&gt;&lt;foreign-keys&gt;&lt;key app="EN" db-id="dz99p92dtf9avne5r2bvzva0zpft9d9ptzfr" timestamp="0"&gt;1653&lt;/key&gt;&lt;/foreign-keys&gt;&lt;ref-type name="Report"&gt;27&lt;/ref-type&gt;&lt;contributors&gt;&lt;authors&gt;&lt;author&gt;Claxton K, &lt;/author&gt;&lt;author&gt;Palmer S, &lt;/author&gt;&lt;author&gt;Longworth L, &lt;/author&gt;&lt;author&gt;Laura Bojke L, &lt;/author&gt;&lt;author&gt;Susan Griffin S, &lt;/author&gt;&lt;author&gt;Claire McKenna C, &lt;/author&gt;&lt;author&gt;Marta Soares M, &lt;/author&gt;&lt;author&gt;Eldon Spackman E, &lt;/author&gt;&lt;author&gt;Jihee Youn J, &lt;/author&gt;&lt;/authors&gt;&lt;/contributors&gt;&lt;titles&gt;&lt;title&gt;Uncertainty, evidence and irrecoverable costs: Informing approval, pricing and research decisions for health technologies. CHE discussion paper 69&lt;/title&gt;&lt;/titles&gt;&lt;dates&gt;&lt;year&gt;2011&lt;/year&gt;&lt;/dates&gt;&lt;urls&gt;&lt;/urls&gt;&lt;/record&gt;&lt;/Cite&gt;&lt;/EndNote&gt;</w:instrText>
      </w:r>
      <w:r w:rsidR="002378CC" w:rsidRPr="00C40569">
        <w:rPr>
          <w:sz w:val="20"/>
        </w:rPr>
        <w:fldChar w:fldCharType="separate"/>
      </w:r>
      <w:r w:rsidR="00E10953">
        <w:rPr>
          <w:noProof/>
          <w:sz w:val="20"/>
        </w:rPr>
        <w:t>[58]</w:t>
      </w:r>
      <w:r w:rsidR="002378CC" w:rsidRPr="00C40569">
        <w:rPr>
          <w:sz w:val="20"/>
        </w:rPr>
        <w:fldChar w:fldCharType="end"/>
      </w:r>
      <w:r w:rsidR="002378CC" w:rsidRPr="00C40569">
        <w:rPr>
          <w:sz w:val="20"/>
        </w:rPr>
        <w:t>.</w:t>
      </w:r>
      <w:r>
        <w:rPr>
          <w:sz w:val="20"/>
        </w:rPr>
        <w:t xml:space="preserve"> Over time, </w:t>
      </w:r>
      <w:r w:rsidRPr="003C5CE1">
        <w:rPr>
          <w:rFonts w:eastAsia="Times New Roman"/>
          <w:color w:val="222222"/>
        </w:rPr>
        <w:t>societal valuation of utilities</w:t>
      </w:r>
      <w:r>
        <w:rPr>
          <w:sz w:val="20"/>
        </w:rPr>
        <w:t xml:space="preserve"> may also change and it is difficult to reflect these uncertainties using conventional methods such as probabilistic sensitivity analysis</w:t>
      </w:r>
      <w:r>
        <w:rPr>
          <w:sz w:val="20"/>
        </w:rPr>
        <w:fldChar w:fldCharType="begin"/>
      </w:r>
      <w:r w:rsidR="00E10953">
        <w:rPr>
          <w:sz w:val="20"/>
        </w:rPr>
        <w:instrText xml:space="preserve"> ADDIN EN.CITE &lt;EndNote&gt;&lt;Cite&gt;&lt;Author&gt;Griffin S&lt;/Author&gt;&lt;Year&gt;2011&lt;/Year&gt;&lt;RecNum&gt;7&lt;/RecNum&gt;&lt;DisplayText&gt;[59]&lt;/DisplayText&gt;&lt;record&gt;&lt;rec-number&gt;7&lt;/rec-number&gt;&lt;foreign-keys&gt;&lt;key app="EN" db-id="wwwtrrt5p5v2ateftrj5pdp40za5dsz50dxa" timestamp="0"&gt;7&lt;/key&gt;&lt;/foreign-keys&gt;&lt;ref-type name="Journal Article"&gt;17&lt;/ref-type&gt;&lt;contributors&gt;&lt;authors&gt;&lt;author&gt;Griffin S,&lt;/author&gt;&lt;author&gt;Claxton K,&lt;/author&gt;&lt;author&gt;Palmer SJ,&lt;/author&gt;&lt;author&gt;Sculpher MJ,&lt;/author&gt;&lt;/authors&gt;&lt;/contributors&gt;&lt;titles&gt;&lt;title&gt;Dangerous omissions: the consequences of ignoring decision uncertainty&lt;/title&gt;&lt;secondary-title&gt;Health Economics,&lt;/secondary-title&gt;&lt;/titles&gt;&lt;pages&gt;212-24&lt;/pages&gt;&lt;volume&gt;20&lt;/volume&gt;&lt;number&gt;2&lt;/number&gt;&lt;dates&gt;&lt;year&gt;2011&lt;/year&gt;&lt;/dates&gt;&lt;urls&gt;&lt;/urls&gt;&lt;/record&gt;&lt;/Cite&gt;&lt;/EndNote&gt;</w:instrText>
      </w:r>
      <w:r>
        <w:rPr>
          <w:sz w:val="20"/>
        </w:rPr>
        <w:fldChar w:fldCharType="separate"/>
      </w:r>
      <w:r w:rsidR="00E10953">
        <w:rPr>
          <w:noProof/>
          <w:sz w:val="20"/>
        </w:rPr>
        <w:t>[59]</w:t>
      </w:r>
      <w:r>
        <w:rPr>
          <w:sz w:val="20"/>
        </w:rPr>
        <w:fldChar w:fldCharType="end"/>
      </w:r>
      <w:r>
        <w:rPr>
          <w:sz w:val="20"/>
        </w:rPr>
        <w:t>. Others have used scenarios to explore the extent to which possible changes in the evidence base may influence adoption decision and the value of further research</w:t>
      </w:r>
      <w:r>
        <w:rPr>
          <w:sz w:val="20"/>
        </w:rPr>
        <w:fldChar w:fldCharType="begin"/>
      </w:r>
      <w:r w:rsidR="00E10953">
        <w:rPr>
          <w:sz w:val="20"/>
        </w:rPr>
        <w:instrText xml:space="preserve"> ADDIN EN.CITE &lt;EndNote&gt;&lt;Cite&gt;&lt;Author&gt;Claxton K&lt;/Author&gt;&lt;Year&gt;2011&lt;/Year&gt;&lt;RecNum&gt;1653&lt;/RecNum&gt;&lt;DisplayText&gt;[58]&lt;/DisplayText&gt;&lt;record&gt;&lt;rec-number&gt;1653&lt;/rec-number&gt;&lt;foreign-keys&gt;&lt;key app="EN" db-id="dz99p92dtf9avne5r2bvzva0zpft9d9ptzfr" timestamp="0"&gt;1653&lt;/key&gt;&lt;/foreign-keys&gt;&lt;ref-type name="Report"&gt;27&lt;/ref-type&gt;&lt;contributors&gt;&lt;authors&gt;&lt;author&gt;Claxton K, &lt;/author&gt;&lt;author&gt;Palmer S, &lt;/author&gt;&lt;author&gt;Longworth L, &lt;/author&gt;&lt;author&gt;Laura Bojke L, &lt;/author&gt;&lt;author&gt;Susan Griffin S, &lt;/author&gt;&lt;author&gt;Claire McKenna C, &lt;/author&gt;&lt;author&gt;Marta Soares M, &lt;/author&gt;&lt;author&gt;Eldon Spackman E, &lt;/author&gt;&lt;author&gt;Jihee Youn J, &lt;/author&gt;&lt;/authors&gt;&lt;/contributors&gt;&lt;titles&gt;&lt;title&gt;Uncertainty, evidence and irrecoverable costs: Informing approval, pricing and research decisions for health technologies. CHE discussion paper 69&lt;/title&gt;&lt;/titles&gt;&lt;dates&gt;&lt;year&gt;2011&lt;/year&gt;&lt;/dates&gt;&lt;urls&gt;&lt;/urls&gt;&lt;/record&gt;&lt;/Cite&gt;&lt;/EndNote&gt;</w:instrText>
      </w:r>
      <w:r>
        <w:rPr>
          <w:sz w:val="20"/>
        </w:rPr>
        <w:fldChar w:fldCharType="separate"/>
      </w:r>
      <w:r w:rsidR="00E10953">
        <w:rPr>
          <w:noProof/>
          <w:sz w:val="20"/>
        </w:rPr>
        <w:t>[58]</w:t>
      </w:r>
      <w:r>
        <w:rPr>
          <w:sz w:val="20"/>
        </w:rPr>
        <w:fldChar w:fldCharType="end"/>
      </w:r>
      <w:r>
        <w:rPr>
          <w:sz w:val="20"/>
        </w:rPr>
        <w:t>, although this still requires plausible ranges for any future changes.</w:t>
      </w:r>
    </w:p>
    <w:p w14:paraId="4D613514" w14:textId="77777777" w:rsidR="00E35002" w:rsidRPr="00A26ED0" w:rsidRDefault="00E35002" w:rsidP="005C45B6">
      <w:pPr>
        <w:spacing w:after="0" w:line="360" w:lineRule="auto"/>
        <w:rPr>
          <w:i/>
          <w:sz w:val="20"/>
        </w:rPr>
      </w:pPr>
    </w:p>
    <w:p w14:paraId="5842EA3B" w14:textId="461DF352" w:rsidR="00CF2FFF" w:rsidRPr="00A26ED0" w:rsidRDefault="00A75DB7" w:rsidP="005C45B6">
      <w:pPr>
        <w:spacing w:after="0" w:line="360" w:lineRule="auto"/>
        <w:rPr>
          <w:i/>
          <w:sz w:val="20"/>
        </w:rPr>
      </w:pPr>
      <w:r w:rsidRPr="00A26ED0">
        <w:rPr>
          <w:i/>
          <w:sz w:val="20"/>
        </w:rPr>
        <w:t>Limitations</w:t>
      </w:r>
    </w:p>
    <w:p w14:paraId="1D97CA0C" w14:textId="6C0E5292" w:rsidR="006033CB" w:rsidRPr="00C40569" w:rsidRDefault="006A283F" w:rsidP="005C45B6">
      <w:pPr>
        <w:spacing w:after="0" w:line="360" w:lineRule="auto"/>
        <w:rPr>
          <w:sz w:val="20"/>
        </w:rPr>
      </w:pPr>
      <w:r>
        <w:rPr>
          <w:sz w:val="20"/>
        </w:rPr>
        <w:t>Th</w:t>
      </w:r>
      <w:r w:rsidR="00A26ED0">
        <w:rPr>
          <w:sz w:val="20"/>
        </w:rPr>
        <w:t xml:space="preserve">is paper </w:t>
      </w:r>
      <w:r>
        <w:rPr>
          <w:sz w:val="20"/>
        </w:rPr>
        <w:t>illustrates the heterogeneity in methodology used to extrapolate costs and utilities in cost-effectiveness models and gives examples of the approaches used. It can be postulated that different methodologies will generate different estimates of total costs and utilities for competing interventions, and thus estimates of cost-effectiveness. Without empirical evidence to support this, however, it is difficult to gauge the importance of the methods used to extrapolate costs and utilities in determining adoption decisions and estimates of decision uncertainty. An area of further research is thus to provide applied examples of the competing methodologies, where data, sources allow, and to explore the implications of different assumptions explicitly.</w:t>
      </w:r>
    </w:p>
    <w:p w14:paraId="4FF76424" w14:textId="77777777" w:rsidR="00A26ED0" w:rsidRDefault="00A26ED0" w:rsidP="00A26ED0">
      <w:pPr>
        <w:spacing w:after="0" w:line="360" w:lineRule="auto"/>
        <w:rPr>
          <w:b/>
          <w:sz w:val="20"/>
        </w:rPr>
      </w:pPr>
    </w:p>
    <w:p w14:paraId="4F9A8F4D" w14:textId="77777777" w:rsidR="00A26ED0" w:rsidRDefault="00A26ED0" w:rsidP="00A26ED0">
      <w:pPr>
        <w:spacing w:after="0" w:line="360" w:lineRule="auto"/>
        <w:rPr>
          <w:sz w:val="20"/>
        </w:rPr>
      </w:pPr>
    </w:p>
    <w:p w14:paraId="47F6A502" w14:textId="77777777" w:rsidR="00A26ED0" w:rsidRPr="00C40569" w:rsidRDefault="00A26ED0" w:rsidP="00A26ED0">
      <w:pPr>
        <w:spacing w:after="0" w:line="360" w:lineRule="auto"/>
        <w:rPr>
          <w:b/>
          <w:sz w:val="20"/>
        </w:rPr>
      </w:pPr>
      <w:r w:rsidRPr="00C40569">
        <w:rPr>
          <w:b/>
          <w:sz w:val="20"/>
        </w:rPr>
        <w:t>Conclusions</w:t>
      </w:r>
    </w:p>
    <w:p w14:paraId="6ED0AB04" w14:textId="77777777" w:rsidR="00A26ED0" w:rsidRDefault="00A26ED0" w:rsidP="00A26ED0">
      <w:pPr>
        <w:spacing w:after="0" w:line="360" w:lineRule="auto"/>
        <w:rPr>
          <w:sz w:val="20"/>
          <w:szCs w:val="20"/>
        </w:rPr>
      </w:pPr>
      <w:r>
        <w:rPr>
          <w:sz w:val="20"/>
        </w:rPr>
        <w:t>T</w:t>
      </w:r>
      <w:r w:rsidRPr="00594F85">
        <w:rPr>
          <w:sz w:val="20"/>
        </w:rPr>
        <w:t xml:space="preserve">ypically, economic evaluation models employ a simplistic approach to temporal extrapolation of costs and utilities. For instance, their parameters (e.g. mean) are typically assumed to be homogeneous with respect to </w:t>
      </w:r>
      <w:r w:rsidRPr="00594F85">
        <w:rPr>
          <w:sz w:val="20"/>
        </w:rPr>
        <w:lastRenderedPageBreak/>
        <w:t xml:space="preserve">both time and patients' characteristics. Furthermore, costs and utilities have often been modelled to follow the dynamics of the associated time-to-event outcomes. </w:t>
      </w:r>
      <w:r>
        <w:rPr>
          <w:sz w:val="20"/>
        </w:rPr>
        <w:t xml:space="preserve"> </w:t>
      </w:r>
      <w:r w:rsidRPr="00B055CC">
        <w:rPr>
          <w:sz w:val="20"/>
          <w:szCs w:val="20"/>
        </w:rPr>
        <w:t xml:space="preserve">Clinical events may affect costs and utilities, but there are many other long term processes that are pertinent to the evolution of costs and utilities that are not linked to clinical events.  Examples include, relative changes in unit costs that may affect the resource use mix used to treat a patient, individual’s age, prior clinical history, patient adaptation to particular health states and changes in clinical practice over time affecting best current practice. The course of associated costs and utilities over time may also vary between individuals. </w:t>
      </w:r>
    </w:p>
    <w:p w14:paraId="1691B16C" w14:textId="77777777" w:rsidR="00A26ED0" w:rsidRDefault="00A26ED0" w:rsidP="00A26ED0">
      <w:pPr>
        <w:spacing w:after="0" w:line="360" w:lineRule="auto"/>
        <w:rPr>
          <w:sz w:val="20"/>
          <w:szCs w:val="20"/>
        </w:rPr>
      </w:pPr>
    </w:p>
    <w:p w14:paraId="64F95D82" w14:textId="20A270CA" w:rsidR="00EB18A9" w:rsidRDefault="00EB18A9">
      <w:pPr>
        <w:rPr>
          <w:rFonts w:ascii="American Typewriter" w:hAnsi="American Typewriter"/>
          <w:sz w:val="20"/>
        </w:rPr>
      </w:pPr>
      <w:bookmarkStart w:id="9" w:name="_GoBack"/>
      <w:bookmarkEnd w:id="9"/>
      <w:r w:rsidRPr="00C40569">
        <w:rPr>
          <w:sz w:val="20"/>
        </w:rPr>
        <w:br w:type="page"/>
      </w:r>
    </w:p>
    <w:p w14:paraId="60E87AF5" w14:textId="2C8E0627" w:rsidR="006033CB" w:rsidRPr="002D06F5" w:rsidRDefault="006033CB" w:rsidP="00E22C72">
      <w:pPr>
        <w:spacing w:after="0" w:line="360" w:lineRule="auto"/>
        <w:rPr>
          <w:sz w:val="20"/>
          <w:szCs w:val="20"/>
        </w:rPr>
      </w:pPr>
      <w:r w:rsidRPr="00C40569">
        <w:rPr>
          <w:b/>
          <w:sz w:val="20"/>
        </w:rPr>
        <w:lastRenderedPageBreak/>
        <w:t>References</w:t>
      </w:r>
    </w:p>
    <w:p w14:paraId="291A59DD" w14:textId="77777777" w:rsidR="002D06F5" w:rsidRPr="002D06F5" w:rsidRDefault="00CF2FFF" w:rsidP="002D06F5">
      <w:pPr>
        <w:pStyle w:val="EndNoteBibliography"/>
        <w:ind w:left="720" w:hanging="720"/>
        <w:rPr>
          <w:rFonts w:asciiTheme="minorHAnsi" w:hAnsiTheme="minorHAnsi"/>
          <w:sz w:val="20"/>
          <w:szCs w:val="20"/>
        </w:rPr>
      </w:pPr>
      <w:r w:rsidRPr="002D06F5">
        <w:rPr>
          <w:rFonts w:asciiTheme="minorHAnsi" w:hAnsiTheme="minorHAnsi"/>
          <w:sz w:val="20"/>
          <w:szCs w:val="20"/>
        </w:rPr>
        <w:fldChar w:fldCharType="begin"/>
      </w:r>
      <w:r w:rsidRPr="002D06F5">
        <w:rPr>
          <w:rFonts w:asciiTheme="minorHAnsi" w:hAnsiTheme="minorHAnsi"/>
          <w:sz w:val="20"/>
          <w:szCs w:val="20"/>
        </w:rPr>
        <w:instrText xml:space="preserve"> ADDIN EN.REFLIST </w:instrText>
      </w:r>
      <w:r w:rsidRPr="002D06F5">
        <w:rPr>
          <w:rFonts w:asciiTheme="minorHAnsi" w:hAnsiTheme="minorHAnsi"/>
          <w:sz w:val="20"/>
          <w:szCs w:val="20"/>
        </w:rPr>
        <w:fldChar w:fldCharType="separate"/>
      </w:r>
      <w:r w:rsidR="002D06F5" w:rsidRPr="002D06F5">
        <w:rPr>
          <w:rFonts w:asciiTheme="minorHAnsi" w:hAnsiTheme="minorHAnsi"/>
          <w:sz w:val="20"/>
          <w:szCs w:val="20"/>
        </w:rPr>
        <w:t>1.</w:t>
      </w:r>
      <w:r w:rsidR="002D06F5" w:rsidRPr="002D06F5">
        <w:rPr>
          <w:rFonts w:asciiTheme="minorHAnsi" w:hAnsiTheme="minorHAnsi"/>
          <w:sz w:val="20"/>
          <w:szCs w:val="20"/>
        </w:rPr>
        <w:tab/>
        <w:t xml:space="preserve">Stafinski T, et al., </w:t>
      </w:r>
      <w:r w:rsidR="002D06F5" w:rsidRPr="002D06F5">
        <w:rPr>
          <w:rFonts w:asciiTheme="minorHAnsi" w:hAnsiTheme="minorHAnsi"/>
          <w:i/>
          <w:sz w:val="20"/>
          <w:szCs w:val="20"/>
        </w:rPr>
        <w:t>Health Technology Funding Decision-Making Processes Around the World.</w:t>
      </w:r>
      <w:r w:rsidR="002D06F5" w:rsidRPr="002D06F5">
        <w:rPr>
          <w:rFonts w:asciiTheme="minorHAnsi" w:hAnsiTheme="minorHAnsi"/>
          <w:sz w:val="20"/>
          <w:szCs w:val="20"/>
        </w:rPr>
        <w:t xml:space="preserve"> PharmacoEconomics, 2011. </w:t>
      </w:r>
      <w:r w:rsidR="002D06F5" w:rsidRPr="002D06F5">
        <w:rPr>
          <w:rFonts w:asciiTheme="minorHAnsi" w:hAnsiTheme="minorHAnsi"/>
          <w:b/>
          <w:sz w:val="20"/>
          <w:szCs w:val="20"/>
        </w:rPr>
        <w:t>29</w:t>
      </w:r>
      <w:r w:rsidR="002D06F5" w:rsidRPr="002D06F5">
        <w:rPr>
          <w:rFonts w:asciiTheme="minorHAnsi" w:hAnsiTheme="minorHAnsi"/>
          <w:sz w:val="20"/>
          <w:szCs w:val="20"/>
        </w:rPr>
        <w:t>(6): p. 475-495.</w:t>
      </w:r>
    </w:p>
    <w:p w14:paraId="0B542610"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2.</w:t>
      </w:r>
      <w:r w:rsidRPr="002D06F5">
        <w:rPr>
          <w:rFonts w:asciiTheme="minorHAnsi" w:hAnsiTheme="minorHAnsi"/>
          <w:sz w:val="20"/>
          <w:szCs w:val="20"/>
        </w:rPr>
        <w:tab/>
        <w:t xml:space="preserve">Byford S and Raftery J, </w:t>
      </w:r>
      <w:r w:rsidRPr="002D06F5">
        <w:rPr>
          <w:rFonts w:asciiTheme="minorHAnsi" w:hAnsiTheme="minorHAnsi"/>
          <w:i/>
          <w:sz w:val="20"/>
          <w:szCs w:val="20"/>
        </w:rPr>
        <w:t>Economics notes. Perspectives in economic evaluation.</w:t>
      </w:r>
      <w:r w:rsidRPr="002D06F5">
        <w:rPr>
          <w:rFonts w:asciiTheme="minorHAnsi" w:hAnsiTheme="minorHAnsi"/>
          <w:sz w:val="20"/>
          <w:szCs w:val="20"/>
        </w:rPr>
        <w:t xml:space="preserve"> British Medical Journal, 1998. </w:t>
      </w:r>
      <w:r w:rsidRPr="002D06F5">
        <w:rPr>
          <w:rFonts w:asciiTheme="minorHAnsi" w:hAnsiTheme="minorHAnsi"/>
          <w:b/>
          <w:sz w:val="20"/>
          <w:szCs w:val="20"/>
        </w:rPr>
        <w:t>316</w:t>
      </w:r>
      <w:r w:rsidRPr="002D06F5">
        <w:rPr>
          <w:rFonts w:asciiTheme="minorHAnsi" w:hAnsiTheme="minorHAnsi"/>
          <w:sz w:val="20"/>
          <w:szCs w:val="20"/>
        </w:rPr>
        <w:t>(7143): p. 1529–1530.</w:t>
      </w:r>
    </w:p>
    <w:p w14:paraId="0EDC775D"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3.</w:t>
      </w:r>
      <w:r w:rsidRPr="002D06F5">
        <w:rPr>
          <w:rFonts w:asciiTheme="minorHAnsi" w:hAnsiTheme="minorHAnsi"/>
          <w:sz w:val="20"/>
          <w:szCs w:val="20"/>
        </w:rPr>
        <w:tab/>
        <w:t xml:space="preserve">Kind P, Hardman G, and M. S, </w:t>
      </w:r>
      <w:r w:rsidRPr="002D06F5">
        <w:rPr>
          <w:rFonts w:asciiTheme="minorHAnsi" w:hAnsiTheme="minorHAnsi"/>
          <w:i/>
          <w:sz w:val="20"/>
          <w:szCs w:val="20"/>
        </w:rPr>
        <w:t>UK Population norms for EQ-5D: Discussion paper 172</w:t>
      </w:r>
      <w:r w:rsidRPr="002D06F5">
        <w:rPr>
          <w:rFonts w:asciiTheme="minorHAnsi" w:hAnsiTheme="minorHAnsi"/>
          <w:sz w:val="20"/>
          <w:szCs w:val="20"/>
        </w:rPr>
        <w:t>. 1999, Centre for Health Economics, University of York.</w:t>
      </w:r>
    </w:p>
    <w:p w14:paraId="4ADB4E8D"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4.</w:t>
      </w:r>
      <w:r w:rsidRPr="002D06F5">
        <w:rPr>
          <w:rFonts w:asciiTheme="minorHAnsi" w:hAnsiTheme="minorHAnsi"/>
          <w:sz w:val="20"/>
          <w:szCs w:val="20"/>
        </w:rPr>
        <w:tab/>
        <w:t xml:space="preserve">National Institute for Health and Care Excellence, </w:t>
      </w:r>
      <w:r w:rsidRPr="002D06F5">
        <w:rPr>
          <w:rFonts w:asciiTheme="minorHAnsi" w:hAnsiTheme="minorHAnsi"/>
          <w:i/>
          <w:sz w:val="20"/>
          <w:szCs w:val="20"/>
        </w:rPr>
        <w:t>Guide to the methods of technology appraisal 2013</w:t>
      </w:r>
      <w:r w:rsidRPr="002D06F5">
        <w:rPr>
          <w:rFonts w:asciiTheme="minorHAnsi" w:hAnsiTheme="minorHAnsi"/>
          <w:sz w:val="20"/>
          <w:szCs w:val="20"/>
        </w:rPr>
        <w:t>. 2013, NICE: London.</w:t>
      </w:r>
    </w:p>
    <w:p w14:paraId="65976024"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5.</w:t>
      </w:r>
      <w:r w:rsidRPr="002D06F5">
        <w:rPr>
          <w:rFonts w:asciiTheme="minorHAnsi" w:hAnsiTheme="minorHAnsi"/>
          <w:sz w:val="20"/>
          <w:szCs w:val="20"/>
        </w:rPr>
        <w:tab/>
        <w:t xml:space="preserve">Salas-Vegaa S, B.A., Mossialosa E, , </w:t>
      </w:r>
      <w:r w:rsidRPr="002D06F5">
        <w:rPr>
          <w:rFonts w:asciiTheme="minorHAnsi" w:hAnsiTheme="minorHAnsi"/>
          <w:i/>
          <w:sz w:val="20"/>
          <w:szCs w:val="20"/>
        </w:rPr>
        <w:t>A comparative study of drug listing recommendations and the decision-making process in Australia, the Netherlands, Sweden, and the UK.</w:t>
      </w:r>
      <w:r w:rsidRPr="002D06F5">
        <w:rPr>
          <w:rFonts w:asciiTheme="minorHAnsi" w:hAnsiTheme="minorHAnsi"/>
          <w:sz w:val="20"/>
          <w:szCs w:val="20"/>
        </w:rPr>
        <w:t xml:space="preserve"> Health Policy, 2016. </w:t>
      </w:r>
      <w:r w:rsidRPr="002D06F5">
        <w:rPr>
          <w:rFonts w:asciiTheme="minorHAnsi" w:hAnsiTheme="minorHAnsi"/>
          <w:b/>
          <w:sz w:val="20"/>
          <w:szCs w:val="20"/>
        </w:rPr>
        <w:t>120</w:t>
      </w:r>
      <w:r w:rsidRPr="002D06F5">
        <w:rPr>
          <w:rFonts w:asciiTheme="minorHAnsi" w:hAnsiTheme="minorHAnsi"/>
          <w:sz w:val="20"/>
          <w:szCs w:val="20"/>
        </w:rPr>
        <w:t>(10): p. 1104-1114.</w:t>
      </w:r>
    </w:p>
    <w:p w14:paraId="01F15387"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6.</w:t>
      </w:r>
      <w:r w:rsidRPr="002D06F5">
        <w:rPr>
          <w:rFonts w:asciiTheme="minorHAnsi" w:hAnsiTheme="minorHAnsi"/>
          <w:sz w:val="20"/>
          <w:szCs w:val="20"/>
        </w:rPr>
        <w:tab/>
        <w:t xml:space="preserve">International Society for Pharmacoeconomics and Outcomes Research (ISPOR), </w:t>
      </w:r>
      <w:r w:rsidRPr="002D06F5">
        <w:rPr>
          <w:rFonts w:asciiTheme="minorHAnsi" w:hAnsiTheme="minorHAnsi"/>
          <w:i/>
          <w:sz w:val="20"/>
          <w:szCs w:val="20"/>
        </w:rPr>
        <w:t>The German IQWiG - It's not NICE Benefit assessment in Germany-new sense or nuisance?</w:t>
      </w:r>
      <w:r w:rsidRPr="002D06F5">
        <w:rPr>
          <w:rFonts w:asciiTheme="minorHAnsi" w:hAnsiTheme="minorHAnsi"/>
          <w:sz w:val="20"/>
          <w:szCs w:val="20"/>
        </w:rPr>
        <w:t xml:space="preserve"> ISPOR Connections, 2006. </w:t>
      </w:r>
      <w:r w:rsidRPr="002D06F5">
        <w:rPr>
          <w:rFonts w:asciiTheme="minorHAnsi" w:hAnsiTheme="minorHAnsi"/>
          <w:b/>
          <w:sz w:val="20"/>
          <w:szCs w:val="20"/>
        </w:rPr>
        <w:t>12</w:t>
      </w:r>
      <w:r w:rsidRPr="002D06F5">
        <w:rPr>
          <w:rFonts w:asciiTheme="minorHAnsi" w:hAnsiTheme="minorHAnsi"/>
          <w:sz w:val="20"/>
          <w:szCs w:val="20"/>
        </w:rPr>
        <w:t>(5).</w:t>
      </w:r>
    </w:p>
    <w:p w14:paraId="4B70FA51"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7.</w:t>
      </w:r>
      <w:r w:rsidRPr="002D06F5">
        <w:rPr>
          <w:rFonts w:asciiTheme="minorHAnsi" w:hAnsiTheme="minorHAnsi"/>
          <w:sz w:val="20"/>
          <w:szCs w:val="20"/>
        </w:rPr>
        <w:tab/>
        <w:t xml:space="preserve">Sculpher, M.J., et al., </w:t>
      </w:r>
      <w:r w:rsidRPr="002D06F5">
        <w:rPr>
          <w:rFonts w:asciiTheme="minorHAnsi" w:hAnsiTheme="minorHAnsi"/>
          <w:i/>
          <w:sz w:val="20"/>
          <w:szCs w:val="20"/>
        </w:rPr>
        <w:t>Whither trial-based economic evaluation for health care decision making?</w:t>
      </w:r>
      <w:r w:rsidRPr="002D06F5">
        <w:rPr>
          <w:rFonts w:asciiTheme="minorHAnsi" w:hAnsiTheme="minorHAnsi"/>
          <w:sz w:val="20"/>
          <w:szCs w:val="20"/>
        </w:rPr>
        <w:t xml:space="preserve"> Health Economics, 2006. </w:t>
      </w:r>
      <w:r w:rsidRPr="002D06F5">
        <w:rPr>
          <w:rFonts w:asciiTheme="minorHAnsi" w:hAnsiTheme="minorHAnsi"/>
          <w:b/>
          <w:sz w:val="20"/>
          <w:szCs w:val="20"/>
        </w:rPr>
        <w:t>15</w:t>
      </w:r>
      <w:r w:rsidRPr="002D06F5">
        <w:rPr>
          <w:rFonts w:asciiTheme="minorHAnsi" w:hAnsiTheme="minorHAnsi"/>
          <w:sz w:val="20"/>
          <w:szCs w:val="20"/>
        </w:rPr>
        <w:t>(7): p. 677-87.</w:t>
      </w:r>
    </w:p>
    <w:p w14:paraId="5291FA4A"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8.</w:t>
      </w:r>
      <w:r w:rsidRPr="002D06F5">
        <w:rPr>
          <w:rFonts w:asciiTheme="minorHAnsi" w:hAnsiTheme="minorHAnsi"/>
          <w:sz w:val="20"/>
          <w:szCs w:val="20"/>
        </w:rPr>
        <w:tab/>
        <w:t xml:space="preserve">Collett D, </w:t>
      </w:r>
      <w:r w:rsidRPr="002D06F5">
        <w:rPr>
          <w:rFonts w:asciiTheme="minorHAnsi" w:hAnsiTheme="minorHAnsi"/>
          <w:i/>
          <w:sz w:val="20"/>
          <w:szCs w:val="20"/>
        </w:rPr>
        <w:t>Modelling Survival Data in Medical Research</w:t>
      </w:r>
      <w:r w:rsidRPr="002D06F5">
        <w:rPr>
          <w:rFonts w:asciiTheme="minorHAnsi" w:hAnsiTheme="minorHAnsi"/>
          <w:sz w:val="20"/>
          <w:szCs w:val="20"/>
        </w:rPr>
        <w:t>, ed. C. Hall/CRC. Vol. 2nd ed. 2003, Boca Raton (FL).</w:t>
      </w:r>
    </w:p>
    <w:p w14:paraId="3770E931" w14:textId="77777777" w:rsidR="002D06F5" w:rsidRPr="002D06F5" w:rsidRDefault="002D06F5" w:rsidP="002D06F5">
      <w:pPr>
        <w:pStyle w:val="EndNoteBibliography"/>
        <w:ind w:left="720" w:hanging="720"/>
        <w:rPr>
          <w:rFonts w:asciiTheme="minorHAnsi" w:hAnsiTheme="minorHAnsi"/>
          <w:i/>
          <w:sz w:val="20"/>
          <w:szCs w:val="20"/>
        </w:rPr>
      </w:pPr>
      <w:r w:rsidRPr="002D06F5">
        <w:rPr>
          <w:rFonts w:asciiTheme="minorHAnsi" w:hAnsiTheme="minorHAnsi"/>
          <w:sz w:val="20"/>
          <w:szCs w:val="20"/>
        </w:rPr>
        <w:t>9.</w:t>
      </w:r>
      <w:r w:rsidRPr="002D06F5">
        <w:rPr>
          <w:rFonts w:asciiTheme="minorHAnsi" w:hAnsiTheme="minorHAnsi"/>
          <w:sz w:val="20"/>
          <w:szCs w:val="20"/>
        </w:rPr>
        <w:tab/>
        <w:t xml:space="preserve">Nicholas Latimer, </w:t>
      </w:r>
      <w:r w:rsidRPr="002D06F5">
        <w:rPr>
          <w:rFonts w:asciiTheme="minorHAnsi" w:hAnsiTheme="minorHAnsi"/>
          <w:i/>
          <w:sz w:val="20"/>
          <w:szCs w:val="20"/>
        </w:rPr>
        <w:t>NICE DSU technical support document 14: Survival analysis for economic evaluations alongside clinical trials - extrapolation with patient-level data</w:t>
      </w:r>
    </w:p>
    <w:p w14:paraId="2BB50005"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i/>
          <w:sz w:val="20"/>
          <w:szCs w:val="20"/>
        </w:rPr>
        <w:t>report by the decision support unit</w:t>
      </w:r>
      <w:r w:rsidRPr="002D06F5">
        <w:rPr>
          <w:rFonts w:asciiTheme="minorHAnsi" w:hAnsiTheme="minorHAnsi"/>
          <w:sz w:val="20"/>
          <w:szCs w:val="20"/>
        </w:rPr>
        <w:t>. June 2011(last updated March 2013).</w:t>
      </w:r>
    </w:p>
    <w:p w14:paraId="0815071D"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10.</w:t>
      </w:r>
      <w:r w:rsidRPr="002D06F5">
        <w:rPr>
          <w:rFonts w:asciiTheme="minorHAnsi" w:hAnsiTheme="minorHAnsi"/>
          <w:sz w:val="20"/>
          <w:szCs w:val="20"/>
        </w:rPr>
        <w:tab/>
        <w:t xml:space="preserve">Karl Claxton, </w:t>
      </w:r>
      <w:r w:rsidRPr="002D06F5">
        <w:rPr>
          <w:rFonts w:asciiTheme="minorHAnsi" w:hAnsiTheme="minorHAnsi"/>
          <w:i/>
          <w:sz w:val="20"/>
          <w:szCs w:val="20"/>
        </w:rPr>
        <w:t>The irrelevance of inference: a decision-making approach to the stochastic evaluation of health care technologies.</w:t>
      </w:r>
      <w:r w:rsidRPr="002D06F5">
        <w:rPr>
          <w:rFonts w:asciiTheme="minorHAnsi" w:hAnsiTheme="minorHAnsi"/>
          <w:sz w:val="20"/>
          <w:szCs w:val="20"/>
        </w:rPr>
        <w:t xml:space="preserve"> Journal of Health Economics, 1999. </w:t>
      </w:r>
      <w:r w:rsidRPr="002D06F5">
        <w:rPr>
          <w:rFonts w:asciiTheme="minorHAnsi" w:hAnsiTheme="minorHAnsi"/>
          <w:b/>
          <w:sz w:val="20"/>
          <w:szCs w:val="20"/>
        </w:rPr>
        <w:t>18</w:t>
      </w:r>
      <w:r w:rsidRPr="002D06F5">
        <w:rPr>
          <w:rFonts w:asciiTheme="minorHAnsi" w:hAnsiTheme="minorHAnsi"/>
          <w:sz w:val="20"/>
          <w:szCs w:val="20"/>
        </w:rPr>
        <w:t>(3): p. 341-364.</w:t>
      </w:r>
    </w:p>
    <w:p w14:paraId="110A3060"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11.</w:t>
      </w:r>
      <w:r w:rsidRPr="002D06F5">
        <w:rPr>
          <w:rFonts w:asciiTheme="minorHAnsi" w:hAnsiTheme="minorHAnsi"/>
          <w:sz w:val="20"/>
          <w:szCs w:val="20"/>
        </w:rPr>
        <w:tab/>
        <w:t xml:space="preserve">Drummond, M.F., et al., </w:t>
      </w:r>
      <w:r w:rsidRPr="002D06F5">
        <w:rPr>
          <w:rFonts w:asciiTheme="minorHAnsi" w:hAnsiTheme="minorHAnsi"/>
          <w:i/>
          <w:sz w:val="20"/>
          <w:szCs w:val="20"/>
        </w:rPr>
        <w:t>Methods for the Economic Evaluation of Health Care Programmes</w:t>
      </w:r>
      <w:r w:rsidRPr="002D06F5">
        <w:rPr>
          <w:rFonts w:asciiTheme="minorHAnsi" w:hAnsiTheme="minorHAnsi"/>
          <w:sz w:val="20"/>
          <w:szCs w:val="20"/>
        </w:rPr>
        <w:t>. 2005, Oxford University Press.</w:t>
      </w:r>
    </w:p>
    <w:p w14:paraId="2253EA0F"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12.</w:t>
      </w:r>
      <w:r w:rsidRPr="002D06F5">
        <w:rPr>
          <w:rFonts w:asciiTheme="minorHAnsi" w:hAnsiTheme="minorHAnsi"/>
          <w:sz w:val="20"/>
          <w:szCs w:val="20"/>
        </w:rPr>
        <w:tab/>
        <w:t xml:space="preserve">Ruth Garside, C.G., Martin Hoyle, et al,, </w:t>
      </w:r>
      <w:r w:rsidRPr="002D06F5">
        <w:rPr>
          <w:rFonts w:asciiTheme="minorHAnsi" w:hAnsiTheme="minorHAnsi"/>
          <w:i/>
          <w:sz w:val="20"/>
          <w:szCs w:val="20"/>
        </w:rPr>
        <w:t>The effectiveness and cost effectiveness of natalizumab for multiple sclerosis: an evidence review of the submission from Biogen</w:t>
      </w:r>
      <w:r w:rsidRPr="002D06F5">
        <w:rPr>
          <w:rFonts w:asciiTheme="minorHAnsi" w:hAnsiTheme="minorHAnsi"/>
          <w:sz w:val="20"/>
          <w:szCs w:val="20"/>
        </w:rPr>
        <w:t>. 2007.</w:t>
      </w:r>
    </w:p>
    <w:p w14:paraId="77F5DF80"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13.</w:t>
      </w:r>
      <w:r w:rsidRPr="002D06F5">
        <w:rPr>
          <w:rFonts w:asciiTheme="minorHAnsi" w:hAnsiTheme="minorHAnsi"/>
          <w:sz w:val="20"/>
          <w:szCs w:val="20"/>
        </w:rPr>
        <w:tab/>
        <w:t xml:space="preserve">Garside R, et al., </w:t>
      </w:r>
      <w:r w:rsidRPr="002D06F5">
        <w:rPr>
          <w:rFonts w:asciiTheme="minorHAnsi" w:hAnsiTheme="minorHAnsi"/>
          <w:i/>
          <w:sz w:val="20"/>
          <w:szCs w:val="20"/>
        </w:rPr>
        <w:t>Surveillance of Barrett's oesophagus: exploring the uncertainty through systematic review, expert workshop and economic modelling</w:t>
      </w:r>
      <w:r w:rsidRPr="002D06F5">
        <w:rPr>
          <w:rFonts w:asciiTheme="minorHAnsi" w:hAnsiTheme="minorHAnsi"/>
          <w:sz w:val="20"/>
          <w:szCs w:val="20"/>
        </w:rPr>
        <w:t>, H.T. Assessment, Editor. 2006.</w:t>
      </w:r>
    </w:p>
    <w:p w14:paraId="6CCD73CC"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14.</w:t>
      </w:r>
      <w:r w:rsidRPr="002D06F5">
        <w:rPr>
          <w:rFonts w:asciiTheme="minorHAnsi" w:hAnsiTheme="minorHAnsi"/>
          <w:sz w:val="20"/>
          <w:szCs w:val="20"/>
        </w:rPr>
        <w:tab/>
        <w:t xml:space="preserve">J Wilson, M.C., F Song, G Yao, A Fry-Smith, J Raftery and D Peake, </w:t>
      </w:r>
      <w:r w:rsidRPr="002D06F5">
        <w:rPr>
          <w:rFonts w:asciiTheme="minorHAnsi" w:hAnsiTheme="minorHAnsi"/>
          <w:i/>
          <w:sz w:val="20"/>
          <w:szCs w:val="20"/>
        </w:rPr>
        <w:t>Imatinib for the treatment of patients with unresectable and/or metastatic gastrointestinal stromal tumours: systematic review and economic evaluation</w:t>
      </w:r>
      <w:r w:rsidRPr="002D06F5">
        <w:rPr>
          <w:rFonts w:asciiTheme="minorHAnsi" w:hAnsiTheme="minorHAnsi"/>
          <w:sz w:val="20"/>
          <w:szCs w:val="20"/>
        </w:rPr>
        <w:t>, H.T. Assessment, Editor. 2004.</w:t>
      </w:r>
    </w:p>
    <w:p w14:paraId="10FEC68C"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15.</w:t>
      </w:r>
      <w:r w:rsidRPr="002D06F5">
        <w:rPr>
          <w:rFonts w:asciiTheme="minorHAnsi" w:hAnsiTheme="minorHAnsi"/>
          <w:sz w:val="20"/>
          <w:szCs w:val="20"/>
        </w:rPr>
        <w:tab/>
        <w:t xml:space="preserve">Bond M, et al., </w:t>
      </w:r>
      <w:r w:rsidRPr="002D06F5">
        <w:rPr>
          <w:rFonts w:asciiTheme="minorHAnsi" w:hAnsiTheme="minorHAnsi"/>
          <w:i/>
          <w:sz w:val="20"/>
          <w:szCs w:val="20"/>
        </w:rPr>
        <w:t>The effectiveness and cost-effectiveness of cochlear implants for severe to profound deafness in children and adults: a systematic review and economic model</w:t>
      </w:r>
      <w:r w:rsidRPr="002D06F5">
        <w:rPr>
          <w:rFonts w:asciiTheme="minorHAnsi" w:hAnsiTheme="minorHAnsi"/>
          <w:sz w:val="20"/>
          <w:szCs w:val="20"/>
        </w:rPr>
        <w:t>, H.T. Assess, Editor. 2009.</w:t>
      </w:r>
    </w:p>
    <w:p w14:paraId="1F75AB85" w14:textId="77777777" w:rsidR="002D06F5" w:rsidRPr="002D06F5" w:rsidRDefault="002D06F5" w:rsidP="002D06F5">
      <w:pPr>
        <w:pStyle w:val="EndNoteBibliography"/>
        <w:ind w:left="720" w:hanging="720"/>
        <w:rPr>
          <w:rFonts w:asciiTheme="minorHAnsi" w:hAnsiTheme="minorHAnsi"/>
          <w:i/>
          <w:sz w:val="20"/>
          <w:szCs w:val="20"/>
        </w:rPr>
      </w:pPr>
      <w:r w:rsidRPr="002D06F5">
        <w:rPr>
          <w:rFonts w:asciiTheme="minorHAnsi" w:hAnsiTheme="minorHAnsi"/>
          <w:sz w:val="20"/>
          <w:szCs w:val="20"/>
        </w:rPr>
        <w:t>16.</w:t>
      </w:r>
      <w:r w:rsidRPr="002D06F5">
        <w:rPr>
          <w:rFonts w:asciiTheme="minorHAnsi" w:hAnsiTheme="minorHAnsi"/>
          <w:sz w:val="20"/>
          <w:szCs w:val="20"/>
        </w:rPr>
        <w:tab/>
        <w:t xml:space="preserve">E Gospodarevskaya, J.P., K Cooper, E Loveman, A Takeda,, </w:t>
      </w:r>
      <w:r w:rsidRPr="002D06F5">
        <w:rPr>
          <w:rFonts w:asciiTheme="minorHAnsi" w:hAnsiTheme="minorHAnsi"/>
          <w:i/>
          <w:sz w:val="20"/>
          <w:szCs w:val="20"/>
        </w:rPr>
        <w:t xml:space="preserve">Ustekinumab for the treatment of moderate to </w:t>
      </w:r>
    </w:p>
    <w:p w14:paraId="7A22C8A6"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i/>
          <w:sz w:val="20"/>
          <w:szCs w:val="20"/>
        </w:rPr>
        <w:t>severe psoriasis</w:t>
      </w:r>
      <w:r w:rsidRPr="002D06F5">
        <w:rPr>
          <w:rFonts w:asciiTheme="minorHAnsi" w:hAnsiTheme="minorHAnsi"/>
          <w:sz w:val="20"/>
          <w:szCs w:val="20"/>
        </w:rPr>
        <w:t>, H.T. Assessment, Editor. 2009.</w:t>
      </w:r>
    </w:p>
    <w:p w14:paraId="63F0A747"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17.</w:t>
      </w:r>
      <w:r w:rsidRPr="002D06F5">
        <w:rPr>
          <w:rFonts w:asciiTheme="minorHAnsi" w:hAnsiTheme="minorHAnsi"/>
          <w:sz w:val="20"/>
          <w:szCs w:val="20"/>
        </w:rPr>
        <w:tab/>
        <w:t xml:space="preserve">Glazener C, et al., </w:t>
      </w:r>
      <w:r w:rsidRPr="002D06F5">
        <w:rPr>
          <w:rFonts w:asciiTheme="minorHAnsi" w:hAnsiTheme="minorHAnsi"/>
          <w:i/>
          <w:sz w:val="20"/>
          <w:szCs w:val="20"/>
        </w:rPr>
        <w:t>Clinical effectiveness and cost-effectiveness of surgical options for the management of anterior and/or posterior vaginal wall prolapse: two randomised controlled trials within a comprehensive cohort study – results from the PROSPECT Study</w:t>
      </w:r>
      <w:r w:rsidRPr="002D06F5">
        <w:rPr>
          <w:rFonts w:asciiTheme="minorHAnsi" w:hAnsiTheme="minorHAnsi"/>
          <w:sz w:val="20"/>
          <w:szCs w:val="20"/>
        </w:rPr>
        <w:t>. 2016, Health Technology Assessment.</w:t>
      </w:r>
    </w:p>
    <w:p w14:paraId="254FEB2A"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18.</w:t>
      </w:r>
      <w:r w:rsidRPr="002D06F5">
        <w:rPr>
          <w:rFonts w:asciiTheme="minorHAnsi" w:hAnsiTheme="minorHAnsi"/>
          <w:sz w:val="20"/>
          <w:szCs w:val="20"/>
        </w:rPr>
        <w:tab/>
        <w:t xml:space="preserve">Madan, J., et al., </w:t>
      </w:r>
      <w:r w:rsidRPr="002D06F5">
        <w:rPr>
          <w:rFonts w:asciiTheme="minorHAnsi" w:hAnsiTheme="minorHAnsi"/>
          <w:i/>
          <w:sz w:val="20"/>
          <w:szCs w:val="20"/>
        </w:rPr>
        <w:t>Consensus decision models for biologics in rheumatoid and psoriatic arthritis: recommendations of a multidisciplinary working party.</w:t>
      </w:r>
      <w:r w:rsidRPr="002D06F5">
        <w:rPr>
          <w:rFonts w:asciiTheme="minorHAnsi" w:hAnsiTheme="minorHAnsi"/>
          <w:sz w:val="20"/>
          <w:szCs w:val="20"/>
        </w:rPr>
        <w:t xml:space="preserve"> Rheumatology and Therapy, 2015. </w:t>
      </w:r>
      <w:r w:rsidRPr="002D06F5">
        <w:rPr>
          <w:rFonts w:asciiTheme="minorHAnsi" w:hAnsiTheme="minorHAnsi"/>
          <w:b/>
          <w:sz w:val="20"/>
          <w:szCs w:val="20"/>
        </w:rPr>
        <w:t>2</w:t>
      </w:r>
      <w:r w:rsidRPr="002D06F5">
        <w:rPr>
          <w:rFonts w:asciiTheme="minorHAnsi" w:hAnsiTheme="minorHAnsi"/>
          <w:sz w:val="20"/>
          <w:szCs w:val="20"/>
        </w:rPr>
        <w:t>: p. 113-125.</w:t>
      </w:r>
    </w:p>
    <w:p w14:paraId="71ABEDEA"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19.</w:t>
      </w:r>
      <w:r w:rsidRPr="002D06F5">
        <w:rPr>
          <w:rFonts w:asciiTheme="minorHAnsi" w:hAnsiTheme="minorHAnsi"/>
          <w:sz w:val="20"/>
          <w:szCs w:val="20"/>
        </w:rPr>
        <w:tab/>
        <w:t xml:space="preserve">Briggs A and Sculpher M, </w:t>
      </w:r>
      <w:r w:rsidRPr="002D06F5">
        <w:rPr>
          <w:rFonts w:asciiTheme="minorHAnsi" w:hAnsiTheme="minorHAnsi"/>
          <w:i/>
          <w:sz w:val="20"/>
          <w:szCs w:val="20"/>
        </w:rPr>
        <w:t>An introduction to Markov modelling for economic evaluation.</w:t>
      </w:r>
      <w:r w:rsidRPr="002D06F5">
        <w:rPr>
          <w:rFonts w:asciiTheme="minorHAnsi" w:hAnsiTheme="minorHAnsi"/>
          <w:sz w:val="20"/>
          <w:szCs w:val="20"/>
        </w:rPr>
        <w:t xml:space="preserve"> Pharmacoeconomics, 1998. </w:t>
      </w:r>
      <w:r w:rsidRPr="002D06F5">
        <w:rPr>
          <w:rFonts w:asciiTheme="minorHAnsi" w:hAnsiTheme="minorHAnsi"/>
          <w:b/>
          <w:sz w:val="20"/>
          <w:szCs w:val="20"/>
        </w:rPr>
        <w:t>13</w:t>
      </w:r>
      <w:r w:rsidRPr="002D06F5">
        <w:rPr>
          <w:rFonts w:asciiTheme="minorHAnsi" w:hAnsiTheme="minorHAnsi"/>
          <w:sz w:val="20"/>
          <w:szCs w:val="20"/>
        </w:rPr>
        <w:t>(4): p. 39-409.</w:t>
      </w:r>
    </w:p>
    <w:p w14:paraId="3E2EE846"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20.</w:t>
      </w:r>
      <w:r w:rsidRPr="002D06F5">
        <w:rPr>
          <w:rFonts w:asciiTheme="minorHAnsi" w:hAnsiTheme="minorHAnsi"/>
          <w:sz w:val="20"/>
          <w:szCs w:val="20"/>
        </w:rPr>
        <w:tab/>
        <w:t xml:space="preserve">Davis S, S.M., Tappenden P, Wailoo A,, </w:t>
      </w:r>
      <w:r w:rsidRPr="002D06F5">
        <w:rPr>
          <w:rFonts w:asciiTheme="minorHAnsi" w:hAnsiTheme="minorHAnsi"/>
          <w:i/>
          <w:sz w:val="20"/>
          <w:szCs w:val="20"/>
        </w:rPr>
        <w:t>NICE DSU Technical support document 15:  Cost-effectiveness modelling using pateint-level simulated. Report by the Decision Support Unit</w:t>
      </w:r>
      <w:r w:rsidRPr="002D06F5">
        <w:rPr>
          <w:rFonts w:asciiTheme="minorHAnsi" w:hAnsiTheme="minorHAnsi"/>
          <w:sz w:val="20"/>
          <w:szCs w:val="20"/>
        </w:rPr>
        <w:t xml:space="preserve">. April 2014 School of Health and Related Research, University of Sheffield </w:t>
      </w:r>
    </w:p>
    <w:p w14:paraId="152A132B"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21.</w:t>
      </w:r>
      <w:r w:rsidRPr="002D06F5">
        <w:rPr>
          <w:rFonts w:asciiTheme="minorHAnsi" w:hAnsiTheme="minorHAnsi"/>
          <w:sz w:val="20"/>
          <w:szCs w:val="20"/>
        </w:rPr>
        <w:tab/>
        <w:t xml:space="preserve">Peasgood T and Brazier J, </w:t>
      </w:r>
      <w:r w:rsidRPr="002D06F5">
        <w:rPr>
          <w:rFonts w:asciiTheme="minorHAnsi" w:hAnsiTheme="minorHAnsi"/>
          <w:i/>
          <w:sz w:val="20"/>
          <w:szCs w:val="20"/>
        </w:rPr>
        <w:t>Is Meta-Analysis for Utility Values Appropriate Given the Potential Impact Different Elicitation Methods Have on Values?</w:t>
      </w:r>
      <w:r w:rsidRPr="002D06F5">
        <w:rPr>
          <w:rFonts w:asciiTheme="minorHAnsi" w:hAnsiTheme="minorHAnsi"/>
          <w:sz w:val="20"/>
          <w:szCs w:val="20"/>
        </w:rPr>
        <w:t xml:space="preserve"> Pharmacoeconomics, 2015. </w:t>
      </w:r>
      <w:r w:rsidRPr="002D06F5">
        <w:rPr>
          <w:rFonts w:asciiTheme="minorHAnsi" w:hAnsiTheme="minorHAnsi"/>
          <w:b/>
          <w:sz w:val="20"/>
          <w:szCs w:val="20"/>
        </w:rPr>
        <w:t>33</w:t>
      </w:r>
      <w:r w:rsidRPr="002D06F5">
        <w:rPr>
          <w:rFonts w:asciiTheme="minorHAnsi" w:hAnsiTheme="minorHAnsi"/>
          <w:sz w:val="20"/>
          <w:szCs w:val="20"/>
        </w:rPr>
        <w:t>(11): p. 1101-1105.</w:t>
      </w:r>
    </w:p>
    <w:p w14:paraId="2336F0E5"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22.</w:t>
      </w:r>
      <w:r w:rsidRPr="002D06F5">
        <w:rPr>
          <w:rFonts w:asciiTheme="minorHAnsi" w:hAnsiTheme="minorHAnsi"/>
          <w:sz w:val="20"/>
          <w:szCs w:val="20"/>
        </w:rPr>
        <w:tab/>
        <w:t xml:space="preserve">Peasgood T1, H.K., Kanis JA, Brazier JE,, </w:t>
      </w:r>
      <w:r w:rsidRPr="002D06F5">
        <w:rPr>
          <w:rFonts w:asciiTheme="minorHAnsi" w:hAnsiTheme="minorHAnsi"/>
          <w:i/>
          <w:sz w:val="20"/>
          <w:szCs w:val="20"/>
        </w:rPr>
        <w:t>An updated systematic review of Health State Utility Values for osteoporosis related conditions.</w:t>
      </w:r>
      <w:r w:rsidRPr="002D06F5">
        <w:rPr>
          <w:rFonts w:asciiTheme="minorHAnsi" w:hAnsiTheme="minorHAnsi"/>
          <w:sz w:val="20"/>
          <w:szCs w:val="20"/>
        </w:rPr>
        <w:t xml:space="preserve"> Osteoporos Int, 2009. </w:t>
      </w:r>
      <w:r w:rsidRPr="002D06F5">
        <w:rPr>
          <w:rFonts w:asciiTheme="minorHAnsi" w:hAnsiTheme="minorHAnsi"/>
          <w:b/>
          <w:sz w:val="20"/>
          <w:szCs w:val="20"/>
        </w:rPr>
        <w:t>20</w:t>
      </w:r>
      <w:r w:rsidRPr="002D06F5">
        <w:rPr>
          <w:rFonts w:asciiTheme="minorHAnsi" w:hAnsiTheme="minorHAnsi"/>
          <w:sz w:val="20"/>
          <w:szCs w:val="20"/>
        </w:rPr>
        <w:t>(6): p. 853-68.</w:t>
      </w:r>
    </w:p>
    <w:p w14:paraId="0A4F524E"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23.</w:t>
      </w:r>
      <w:r w:rsidRPr="002D06F5">
        <w:rPr>
          <w:rFonts w:asciiTheme="minorHAnsi" w:hAnsiTheme="minorHAnsi"/>
          <w:sz w:val="20"/>
          <w:szCs w:val="20"/>
        </w:rPr>
        <w:tab/>
        <w:t xml:space="preserve">Wyld M, M.R., Hayen A, Howard K, Webster AC,, </w:t>
      </w:r>
      <w:r w:rsidRPr="002D06F5">
        <w:rPr>
          <w:rFonts w:asciiTheme="minorHAnsi" w:hAnsiTheme="minorHAnsi"/>
          <w:i/>
          <w:sz w:val="20"/>
          <w:szCs w:val="20"/>
        </w:rPr>
        <w:t>A Systematic Review and Meta-Analysis of Utility-Based Quality of Life in Chronic Kidney Disease Treatments.</w:t>
      </w:r>
      <w:r w:rsidRPr="002D06F5">
        <w:rPr>
          <w:rFonts w:asciiTheme="minorHAnsi" w:hAnsiTheme="minorHAnsi"/>
          <w:sz w:val="20"/>
          <w:szCs w:val="20"/>
        </w:rPr>
        <w:t xml:space="preserve"> PLoS Med 2012. </w:t>
      </w:r>
      <w:r w:rsidRPr="002D06F5">
        <w:rPr>
          <w:rFonts w:asciiTheme="minorHAnsi" w:hAnsiTheme="minorHAnsi"/>
          <w:b/>
          <w:sz w:val="20"/>
          <w:szCs w:val="20"/>
        </w:rPr>
        <w:t>9</w:t>
      </w:r>
      <w:r w:rsidRPr="002D06F5">
        <w:rPr>
          <w:rFonts w:asciiTheme="minorHAnsi" w:hAnsiTheme="minorHAnsi"/>
          <w:sz w:val="20"/>
          <w:szCs w:val="20"/>
        </w:rPr>
        <w:t>(9): p. e1001307.</w:t>
      </w:r>
    </w:p>
    <w:p w14:paraId="668B81BE"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24.</w:t>
      </w:r>
      <w:r w:rsidRPr="002D06F5">
        <w:rPr>
          <w:rFonts w:asciiTheme="minorHAnsi" w:hAnsiTheme="minorHAnsi"/>
          <w:sz w:val="20"/>
          <w:szCs w:val="20"/>
        </w:rPr>
        <w:tab/>
        <w:t xml:space="preserve">Bravo Vergel, Y., et al., </w:t>
      </w:r>
      <w:r w:rsidRPr="002D06F5">
        <w:rPr>
          <w:rFonts w:asciiTheme="minorHAnsi" w:hAnsiTheme="minorHAnsi"/>
          <w:i/>
          <w:sz w:val="20"/>
          <w:szCs w:val="20"/>
        </w:rPr>
        <w:t>Adalimumab for the treatment of moderate to severe psoriatic arthritis</w:t>
      </w:r>
      <w:r w:rsidRPr="002D06F5">
        <w:rPr>
          <w:rFonts w:asciiTheme="minorHAnsi" w:hAnsiTheme="minorHAnsi"/>
          <w:sz w:val="20"/>
          <w:szCs w:val="20"/>
        </w:rPr>
        <w:t>. 2007.</w:t>
      </w:r>
    </w:p>
    <w:p w14:paraId="2B2285AC"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lastRenderedPageBreak/>
        <w:t>25.</w:t>
      </w:r>
      <w:r w:rsidRPr="002D06F5">
        <w:rPr>
          <w:rFonts w:asciiTheme="minorHAnsi" w:hAnsiTheme="minorHAnsi"/>
          <w:sz w:val="20"/>
          <w:szCs w:val="20"/>
        </w:rPr>
        <w:tab/>
        <w:t xml:space="preserve">Loveman E, et al., </w:t>
      </w:r>
      <w:r w:rsidRPr="002D06F5">
        <w:rPr>
          <w:rFonts w:asciiTheme="minorHAnsi" w:hAnsiTheme="minorHAnsi"/>
          <w:i/>
          <w:sz w:val="20"/>
          <w:szCs w:val="20"/>
        </w:rPr>
        <w:t>The clinical effectiveness and cost-effectiveness of topotecan for small cell lung cancer: a systematic review and economic evaluation. Health Technology assessment; Vol 14: No 19</w:t>
      </w:r>
      <w:r w:rsidRPr="002D06F5">
        <w:rPr>
          <w:rFonts w:asciiTheme="minorHAnsi" w:hAnsiTheme="minorHAnsi"/>
          <w:sz w:val="20"/>
          <w:szCs w:val="20"/>
        </w:rPr>
        <w:t>. 2010.</w:t>
      </w:r>
    </w:p>
    <w:p w14:paraId="245D0150" w14:textId="77777777" w:rsidR="002D06F5" w:rsidRPr="002D06F5" w:rsidRDefault="002D06F5" w:rsidP="002D06F5">
      <w:pPr>
        <w:pStyle w:val="EndNoteBibliography"/>
        <w:ind w:left="720" w:hanging="720"/>
        <w:rPr>
          <w:rFonts w:asciiTheme="minorHAnsi" w:hAnsiTheme="minorHAnsi"/>
          <w:i/>
          <w:sz w:val="20"/>
          <w:szCs w:val="20"/>
        </w:rPr>
      </w:pPr>
      <w:r w:rsidRPr="002D06F5">
        <w:rPr>
          <w:rFonts w:asciiTheme="minorHAnsi" w:hAnsiTheme="minorHAnsi"/>
          <w:sz w:val="20"/>
          <w:szCs w:val="20"/>
        </w:rPr>
        <w:t>26.</w:t>
      </w:r>
      <w:r w:rsidRPr="002D06F5">
        <w:rPr>
          <w:rFonts w:asciiTheme="minorHAnsi" w:hAnsiTheme="minorHAnsi"/>
          <w:sz w:val="20"/>
          <w:szCs w:val="20"/>
        </w:rPr>
        <w:tab/>
        <w:t xml:space="preserve">Turner D, et al., </w:t>
      </w:r>
      <w:r w:rsidRPr="002D06F5">
        <w:rPr>
          <w:rFonts w:asciiTheme="minorHAnsi" w:hAnsiTheme="minorHAnsi"/>
          <w:i/>
          <w:sz w:val="20"/>
          <w:szCs w:val="20"/>
        </w:rPr>
        <w:t>Adalimumab for the treatment of psoriasis. Health Technol Assess 2009;13(Suppl. 2):49-54</w:t>
      </w:r>
    </w:p>
    <w:p w14:paraId="182F1CEE"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2009.</w:t>
      </w:r>
    </w:p>
    <w:p w14:paraId="53AC5D2D"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27.</w:t>
      </w:r>
      <w:r w:rsidRPr="002D06F5">
        <w:rPr>
          <w:rFonts w:asciiTheme="minorHAnsi" w:hAnsiTheme="minorHAnsi"/>
          <w:sz w:val="20"/>
          <w:szCs w:val="20"/>
        </w:rPr>
        <w:tab/>
        <w:t xml:space="preserve">Mike Paulden, et al., </w:t>
      </w:r>
      <w:r w:rsidRPr="002D06F5">
        <w:rPr>
          <w:rFonts w:asciiTheme="minorHAnsi" w:hAnsiTheme="minorHAnsi"/>
          <w:i/>
          <w:sz w:val="20"/>
          <w:szCs w:val="20"/>
        </w:rPr>
        <w:t>Alitretinoin for the treatment of severe chronic hand eczema. Health Technology assessment.</w:t>
      </w:r>
      <w:r w:rsidRPr="002D06F5">
        <w:rPr>
          <w:rFonts w:asciiTheme="minorHAnsi" w:hAnsiTheme="minorHAnsi"/>
          <w:sz w:val="20"/>
          <w:szCs w:val="20"/>
        </w:rPr>
        <w:t xml:space="preserve"> 2009.</w:t>
      </w:r>
    </w:p>
    <w:p w14:paraId="59D6023C"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28.</w:t>
      </w:r>
      <w:r w:rsidRPr="002D06F5">
        <w:rPr>
          <w:rFonts w:asciiTheme="minorHAnsi" w:hAnsiTheme="minorHAnsi"/>
          <w:sz w:val="20"/>
          <w:szCs w:val="20"/>
        </w:rPr>
        <w:tab/>
        <w:t xml:space="preserve">McKenna C, M.E., Sarowar M, Fox D, Stevenson M, Pepper C, Palmer S, Woolacott N, </w:t>
      </w:r>
      <w:r w:rsidRPr="002D06F5">
        <w:rPr>
          <w:rFonts w:asciiTheme="minorHAnsi" w:hAnsiTheme="minorHAnsi"/>
          <w:i/>
          <w:sz w:val="20"/>
          <w:szCs w:val="20"/>
        </w:rPr>
        <w:t>Dronedarone within its licensed indication for the treatment of atrial fibrillation and atrial flutter. Health technology assessment</w:t>
      </w:r>
      <w:r w:rsidRPr="002D06F5">
        <w:rPr>
          <w:rFonts w:asciiTheme="minorHAnsi" w:hAnsiTheme="minorHAnsi"/>
          <w:sz w:val="20"/>
          <w:szCs w:val="20"/>
        </w:rPr>
        <w:t>. 2010.</w:t>
      </w:r>
    </w:p>
    <w:p w14:paraId="6E0BB12C"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29.</w:t>
      </w:r>
      <w:r w:rsidRPr="002D06F5">
        <w:rPr>
          <w:rFonts w:asciiTheme="minorHAnsi" w:hAnsiTheme="minorHAnsi"/>
          <w:sz w:val="20"/>
          <w:szCs w:val="20"/>
        </w:rPr>
        <w:tab/>
        <w:t xml:space="preserve">Rodgers M, E.D., Bojke L, Yang H, Craig D, Fonseca T, Myers L, Bruce I, Chalmers R, Bujkiewicz S, Lai M, Cooper N, Abrams K, Spiegelhalter D, Sutton A, Sculpher M, Woolacott N,, </w:t>
      </w:r>
      <w:r w:rsidRPr="002D06F5">
        <w:rPr>
          <w:rFonts w:asciiTheme="minorHAnsi" w:hAnsiTheme="minorHAnsi"/>
          <w:i/>
          <w:sz w:val="20"/>
          <w:szCs w:val="20"/>
        </w:rPr>
        <w:t>Etanercept, infliximab and adalimumab for the treatment of psoriatic arthritis: a systematic review and economic evaluation . Health Technology Assessment</w:t>
      </w:r>
      <w:r w:rsidRPr="002D06F5">
        <w:rPr>
          <w:rFonts w:asciiTheme="minorHAnsi" w:hAnsiTheme="minorHAnsi"/>
          <w:sz w:val="20"/>
          <w:szCs w:val="20"/>
        </w:rPr>
        <w:t>. 2011. p. 1-329.</w:t>
      </w:r>
    </w:p>
    <w:p w14:paraId="469B645F"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30.</w:t>
      </w:r>
      <w:r w:rsidRPr="002D06F5">
        <w:rPr>
          <w:rFonts w:asciiTheme="minorHAnsi" w:hAnsiTheme="minorHAnsi"/>
          <w:sz w:val="20"/>
          <w:szCs w:val="20"/>
        </w:rPr>
        <w:tab/>
        <w:t xml:space="preserve">Hatswell AJ, et al., </w:t>
      </w:r>
      <w:r w:rsidRPr="002D06F5">
        <w:rPr>
          <w:rFonts w:asciiTheme="minorHAnsi" w:hAnsiTheme="minorHAnsi"/>
          <w:i/>
          <w:sz w:val="20"/>
          <w:szCs w:val="20"/>
        </w:rPr>
        <w:t>Patient-reported utilities in advanced or metastatic melanoma, including analysis of utilities by time to death.</w:t>
      </w:r>
      <w:r w:rsidRPr="002D06F5">
        <w:rPr>
          <w:rFonts w:asciiTheme="minorHAnsi" w:hAnsiTheme="minorHAnsi"/>
          <w:sz w:val="20"/>
          <w:szCs w:val="20"/>
        </w:rPr>
        <w:t xml:space="preserve"> Health and Quality of Life Outcomes, 2014. </w:t>
      </w:r>
      <w:r w:rsidRPr="002D06F5">
        <w:rPr>
          <w:rFonts w:asciiTheme="minorHAnsi" w:hAnsiTheme="minorHAnsi"/>
          <w:b/>
          <w:sz w:val="20"/>
          <w:szCs w:val="20"/>
        </w:rPr>
        <w:t>12</w:t>
      </w:r>
      <w:r w:rsidRPr="002D06F5">
        <w:rPr>
          <w:rFonts w:asciiTheme="minorHAnsi" w:hAnsiTheme="minorHAnsi"/>
          <w:sz w:val="20"/>
          <w:szCs w:val="20"/>
        </w:rPr>
        <w:t>(140).</w:t>
      </w:r>
    </w:p>
    <w:p w14:paraId="18A78B32"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31.</w:t>
      </w:r>
      <w:r w:rsidRPr="002D06F5">
        <w:rPr>
          <w:rFonts w:asciiTheme="minorHAnsi" w:hAnsiTheme="minorHAnsi"/>
          <w:sz w:val="20"/>
          <w:szCs w:val="20"/>
        </w:rPr>
        <w:tab/>
        <w:t xml:space="preserve">Kelly E, Stoye G, and Vera-Hernandez M, </w:t>
      </w:r>
      <w:r w:rsidRPr="002D06F5">
        <w:rPr>
          <w:rFonts w:asciiTheme="minorHAnsi" w:hAnsiTheme="minorHAnsi"/>
          <w:i/>
          <w:sz w:val="20"/>
          <w:szCs w:val="20"/>
        </w:rPr>
        <w:t>Public Hospital Spending in England: Evidence from National Health Service Administrative Records.</w:t>
      </w:r>
      <w:r w:rsidRPr="002D06F5">
        <w:rPr>
          <w:rFonts w:asciiTheme="minorHAnsi" w:hAnsiTheme="minorHAnsi"/>
          <w:sz w:val="20"/>
          <w:szCs w:val="20"/>
        </w:rPr>
        <w:t xml:space="preserve"> Fiscal Studies, 2016. </w:t>
      </w:r>
      <w:r w:rsidRPr="002D06F5">
        <w:rPr>
          <w:rFonts w:asciiTheme="minorHAnsi" w:hAnsiTheme="minorHAnsi"/>
          <w:b/>
          <w:sz w:val="20"/>
          <w:szCs w:val="20"/>
        </w:rPr>
        <w:t>37</w:t>
      </w:r>
      <w:r w:rsidRPr="002D06F5">
        <w:rPr>
          <w:rFonts w:asciiTheme="minorHAnsi" w:hAnsiTheme="minorHAnsi"/>
          <w:sz w:val="20"/>
          <w:szCs w:val="20"/>
        </w:rPr>
        <w:t>(3-4): p. 433-459.</w:t>
      </w:r>
    </w:p>
    <w:p w14:paraId="337C36F3"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32.</w:t>
      </w:r>
      <w:r w:rsidRPr="002D06F5">
        <w:rPr>
          <w:rFonts w:asciiTheme="minorHAnsi" w:hAnsiTheme="minorHAnsi"/>
          <w:sz w:val="20"/>
          <w:szCs w:val="20"/>
        </w:rPr>
        <w:tab/>
        <w:t xml:space="preserve">Asaria M, Doran T, and Cookson R, </w:t>
      </w:r>
      <w:r w:rsidRPr="002D06F5">
        <w:rPr>
          <w:rFonts w:asciiTheme="minorHAnsi" w:hAnsiTheme="minorHAnsi"/>
          <w:i/>
          <w:sz w:val="20"/>
          <w:szCs w:val="20"/>
        </w:rPr>
        <w:t>The costs of inequality: whole-population modelling study of lifetime inpatient hospital costs in the English National Health Service by level of neighbourhood deprivation.</w:t>
      </w:r>
      <w:r w:rsidRPr="002D06F5">
        <w:rPr>
          <w:rFonts w:asciiTheme="minorHAnsi" w:hAnsiTheme="minorHAnsi"/>
          <w:sz w:val="20"/>
          <w:szCs w:val="20"/>
        </w:rPr>
        <w:t xml:space="preserve"> Journal of Epidemiology and Community Health, 2016.</w:t>
      </w:r>
    </w:p>
    <w:p w14:paraId="635F1161"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33.</w:t>
      </w:r>
      <w:r w:rsidRPr="002D06F5">
        <w:rPr>
          <w:rFonts w:asciiTheme="minorHAnsi" w:hAnsiTheme="minorHAnsi"/>
          <w:sz w:val="20"/>
          <w:szCs w:val="20"/>
        </w:rPr>
        <w:tab/>
        <w:t xml:space="preserve">Epstein DM, et al., </w:t>
      </w:r>
      <w:r w:rsidRPr="002D06F5">
        <w:rPr>
          <w:rFonts w:asciiTheme="minorHAnsi" w:hAnsiTheme="minorHAnsi"/>
          <w:i/>
          <w:sz w:val="20"/>
          <w:szCs w:val="20"/>
        </w:rPr>
        <w:t xml:space="preserve">Costs of an early intervention versus a conservative strategy in acute coronary syndrome </w:t>
      </w:r>
      <w:r w:rsidRPr="002D06F5">
        <w:rPr>
          <w:rFonts w:asciiTheme="minorHAnsi" w:hAnsiTheme="minorHAnsi"/>
          <w:sz w:val="20"/>
          <w:szCs w:val="20"/>
        </w:rPr>
        <w:t xml:space="preserve">International Journal of Cardiology, 2008. </w:t>
      </w:r>
      <w:r w:rsidRPr="002D06F5">
        <w:rPr>
          <w:rFonts w:asciiTheme="minorHAnsi" w:hAnsiTheme="minorHAnsi"/>
          <w:b/>
          <w:sz w:val="20"/>
          <w:szCs w:val="20"/>
        </w:rPr>
        <w:t>Volume 127, Issue 2, 4 July , Pages 240-246</w:t>
      </w:r>
      <w:r w:rsidRPr="002D06F5">
        <w:rPr>
          <w:rFonts w:asciiTheme="minorHAnsi" w:hAnsiTheme="minorHAnsi"/>
          <w:sz w:val="20"/>
          <w:szCs w:val="20"/>
        </w:rPr>
        <w:t>.</w:t>
      </w:r>
    </w:p>
    <w:p w14:paraId="009A444F"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34.</w:t>
      </w:r>
      <w:r w:rsidRPr="002D06F5">
        <w:rPr>
          <w:rFonts w:asciiTheme="minorHAnsi" w:hAnsiTheme="minorHAnsi"/>
          <w:sz w:val="20"/>
          <w:szCs w:val="20"/>
        </w:rPr>
        <w:tab/>
        <w:t xml:space="preserve">Alva M, G.A., Mihaylova B, Clarke P,, </w:t>
      </w:r>
      <w:r w:rsidRPr="002D06F5">
        <w:rPr>
          <w:rFonts w:asciiTheme="minorHAnsi" w:hAnsiTheme="minorHAnsi"/>
          <w:i/>
          <w:sz w:val="20"/>
          <w:szCs w:val="20"/>
        </w:rPr>
        <w:t>The effect of diabetes complications on health-related quality of life: the importance of longitudinal data to address patient heterogeneity.</w:t>
      </w:r>
      <w:r w:rsidRPr="002D06F5">
        <w:rPr>
          <w:rFonts w:asciiTheme="minorHAnsi" w:hAnsiTheme="minorHAnsi"/>
          <w:sz w:val="20"/>
          <w:szCs w:val="20"/>
        </w:rPr>
        <w:t xml:space="preserve"> Health Econ, 2014. </w:t>
      </w:r>
      <w:r w:rsidRPr="002D06F5">
        <w:rPr>
          <w:rFonts w:asciiTheme="minorHAnsi" w:hAnsiTheme="minorHAnsi"/>
          <w:b/>
          <w:sz w:val="20"/>
          <w:szCs w:val="20"/>
        </w:rPr>
        <w:t xml:space="preserve">23 </w:t>
      </w:r>
      <w:r w:rsidRPr="002D06F5">
        <w:rPr>
          <w:rFonts w:asciiTheme="minorHAnsi" w:hAnsiTheme="minorHAnsi"/>
          <w:sz w:val="20"/>
          <w:szCs w:val="20"/>
        </w:rPr>
        <w:t>(4): p. 487-500.</w:t>
      </w:r>
    </w:p>
    <w:p w14:paraId="30099ED1"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35.</w:t>
      </w:r>
      <w:r w:rsidRPr="002D06F5">
        <w:rPr>
          <w:rFonts w:asciiTheme="minorHAnsi" w:hAnsiTheme="minorHAnsi"/>
          <w:sz w:val="20"/>
          <w:szCs w:val="20"/>
        </w:rPr>
        <w:tab/>
        <w:t xml:space="preserve">Woolacott, N., et al., </w:t>
      </w:r>
      <w:r w:rsidRPr="002D06F5">
        <w:rPr>
          <w:rFonts w:asciiTheme="minorHAnsi" w:hAnsiTheme="minorHAnsi"/>
          <w:i/>
          <w:sz w:val="20"/>
          <w:szCs w:val="20"/>
        </w:rPr>
        <w:t>Etanercept and infliximab for the treatment of psoriatic arthritis: a systematic review and economic evaluation.</w:t>
      </w:r>
      <w:r w:rsidRPr="002D06F5">
        <w:rPr>
          <w:rFonts w:asciiTheme="minorHAnsi" w:hAnsiTheme="minorHAnsi"/>
          <w:sz w:val="20"/>
          <w:szCs w:val="20"/>
        </w:rPr>
        <w:t xml:space="preserve"> Health Technology Assessment, 2006. </w:t>
      </w:r>
      <w:r w:rsidRPr="002D06F5">
        <w:rPr>
          <w:rFonts w:asciiTheme="minorHAnsi" w:hAnsiTheme="minorHAnsi"/>
          <w:b/>
          <w:sz w:val="20"/>
          <w:szCs w:val="20"/>
        </w:rPr>
        <w:t>10(31)</w:t>
      </w:r>
      <w:r w:rsidRPr="002D06F5">
        <w:rPr>
          <w:rFonts w:asciiTheme="minorHAnsi" w:hAnsiTheme="minorHAnsi"/>
          <w:sz w:val="20"/>
          <w:szCs w:val="20"/>
        </w:rPr>
        <w:t>.</w:t>
      </w:r>
    </w:p>
    <w:p w14:paraId="693240B0"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36.</w:t>
      </w:r>
      <w:r w:rsidRPr="002D06F5">
        <w:rPr>
          <w:rFonts w:asciiTheme="minorHAnsi" w:hAnsiTheme="minorHAnsi"/>
          <w:sz w:val="20"/>
          <w:szCs w:val="20"/>
        </w:rPr>
        <w:tab/>
        <w:t xml:space="preserve">Karnon J, et al., </w:t>
      </w:r>
      <w:r w:rsidRPr="002D06F5">
        <w:rPr>
          <w:rFonts w:asciiTheme="minorHAnsi" w:hAnsiTheme="minorHAnsi"/>
          <w:i/>
          <w:sz w:val="20"/>
          <w:szCs w:val="20"/>
        </w:rPr>
        <w:t>Screening programme for early age-related macular degeneration</w:t>
      </w:r>
      <w:r w:rsidRPr="002D06F5">
        <w:rPr>
          <w:rFonts w:asciiTheme="minorHAnsi" w:hAnsiTheme="minorHAnsi"/>
          <w:i/>
          <w:sz w:val="20"/>
          <w:szCs w:val="20"/>
        </w:rPr>
        <w:tab/>
      </w:r>
      <w:r w:rsidRPr="002D06F5">
        <w:rPr>
          <w:rFonts w:asciiTheme="minorHAnsi" w:hAnsiTheme="minorHAnsi"/>
          <w:sz w:val="20"/>
          <w:szCs w:val="20"/>
        </w:rPr>
        <w:t>2008, Health Technolgy Assessment.</w:t>
      </w:r>
    </w:p>
    <w:p w14:paraId="77BC8836"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37.</w:t>
      </w:r>
      <w:r w:rsidRPr="002D06F5">
        <w:rPr>
          <w:rFonts w:asciiTheme="minorHAnsi" w:hAnsiTheme="minorHAnsi"/>
          <w:sz w:val="20"/>
          <w:szCs w:val="20"/>
        </w:rPr>
        <w:tab/>
        <w:t xml:space="preserve">Corbett M, et al., </w:t>
      </w:r>
      <w:r w:rsidRPr="002D06F5">
        <w:rPr>
          <w:rFonts w:asciiTheme="minorHAnsi" w:hAnsiTheme="minorHAnsi"/>
          <w:i/>
          <w:sz w:val="20"/>
          <w:szCs w:val="20"/>
        </w:rPr>
        <w:t>Certolizumab pegol and secukinumab for treating active psoriatic arthritis following inadequate response to disease modifying anti-rheumatic drugs: a systematic review and economic evaluation</w:t>
      </w:r>
      <w:r w:rsidRPr="002D06F5">
        <w:rPr>
          <w:rFonts w:asciiTheme="minorHAnsi" w:hAnsiTheme="minorHAnsi"/>
          <w:sz w:val="20"/>
          <w:szCs w:val="20"/>
        </w:rPr>
        <w:t>, H.T. Assessment, Editor. 2017.</w:t>
      </w:r>
    </w:p>
    <w:p w14:paraId="48A5D4F8"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38.</w:t>
      </w:r>
      <w:r w:rsidRPr="002D06F5">
        <w:rPr>
          <w:rFonts w:asciiTheme="minorHAnsi" w:hAnsiTheme="minorHAnsi"/>
          <w:sz w:val="20"/>
          <w:szCs w:val="20"/>
        </w:rPr>
        <w:tab/>
        <w:t xml:space="preserve">National Emphysema Treatment Trial Research Group, </w:t>
      </w:r>
      <w:r w:rsidRPr="002D06F5">
        <w:rPr>
          <w:rFonts w:asciiTheme="minorHAnsi" w:hAnsiTheme="minorHAnsi"/>
          <w:i/>
          <w:sz w:val="20"/>
          <w:szCs w:val="20"/>
        </w:rPr>
        <w:t>Cost Effectiveness of Lung-Volume–Reduction Surgery for Patients with Severe Emphysema.</w:t>
      </w:r>
      <w:r w:rsidRPr="002D06F5">
        <w:rPr>
          <w:rFonts w:asciiTheme="minorHAnsi" w:hAnsiTheme="minorHAnsi"/>
          <w:sz w:val="20"/>
          <w:szCs w:val="20"/>
        </w:rPr>
        <w:t xml:space="preserve"> New England Journal of Medicine, 2003. </w:t>
      </w:r>
      <w:r w:rsidRPr="002D06F5">
        <w:rPr>
          <w:rFonts w:asciiTheme="minorHAnsi" w:hAnsiTheme="minorHAnsi"/>
          <w:b/>
          <w:sz w:val="20"/>
          <w:szCs w:val="20"/>
        </w:rPr>
        <w:t>348</w:t>
      </w:r>
      <w:r w:rsidRPr="002D06F5">
        <w:rPr>
          <w:rFonts w:asciiTheme="minorHAnsi" w:hAnsiTheme="minorHAnsi"/>
          <w:sz w:val="20"/>
          <w:szCs w:val="20"/>
        </w:rPr>
        <w:t>: p. 2092-2102.</w:t>
      </w:r>
    </w:p>
    <w:p w14:paraId="177C3138"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39.</w:t>
      </w:r>
      <w:r w:rsidRPr="002D06F5">
        <w:rPr>
          <w:rFonts w:asciiTheme="minorHAnsi" w:hAnsiTheme="minorHAnsi"/>
          <w:sz w:val="20"/>
          <w:szCs w:val="20"/>
        </w:rPr>
        <w:tab/>
        <w:t xml:space="preserve">A Grant, et al., </w:t>
      </w:r>
      <w:r w:rsidRPr="002D06F5">
        <w:rPr>
          <w:rFonts w:asciiTheme="minorHAnsi" w:hAnsiTheme="minorHAnsi"/>
          <w:i/>
          <w:sz w:val="20"/>
          <w:szCs w:val="20"/>
        </w:rPr>
        <w:t>The effectiveness and cost-effectiveness of minimal access surgery amongst people with gastro-oesophageal reflux disease - a UK collaborative study. The REFLUX Trial. Health Technology Assessment; Vol 12: No 31</w:t>
      </w:r>
      <w:r w:rsidRPr="002D06F5">
        <w:rPr>
          <w:rFonts w:asciiTheme="minorHAnsi" w:hAnsiTheme="minorHAnsi"/>
          <w:sz w:val="20"/>
          <w:szCs w:val="20"/>
        </w:rPr>
        <w:t>. 2008.</w:t>
      </w:r>
    </w:p>
    <w:p w14:paraId="41DE0A3F"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40.</w:t>
      </w:r>
      <w:r w:rsidRPr="002D06F5">
        <w:rPr>
          <w:rFonts w:asciiTheme="minorHAnsi" w:hAnsiTheme="minorHAnsi"/>
          <w:sz w:val="20"/>
          <w:szCs w:val="20"/>
        </w:rPr>
        <w:tab/>
        <w:t xml:space="preserve">McKenna, C., et al., </w:t>
      </w:r>
      <w:r w:rsidRPr="002D06F5">
        <w:rPr>
          <w:rFonts w:asciiTheme="minorHAnsi" w:hAnsiTheme="minorHAnsi"/>
          <w:i/>
          <w:sz w:val="20"/>
          <w:szCs w:val="20"/>
        </w:rPr>
        <w:t>Enhanced external counterpulsation (EECP) for the treatment of stable angina and heart failure: a systematic review and economic analysis.</w:t>
      </w:r>
      <w:r w:rsidRPr="002D06F5">
        <w:rPr>
          <w:rFonts w:asciiTheme="minorHAnsi" w:hAnsiTheme="minorHAnsi"/>
          <w:sz w:val="20"/>
          <w:szCs w:val="20"/>
        </w:rPr>
        <w:t xml:space="preserve"> Health Technology Assessment, 2009. </w:t>
      </w:r>
      <w:r w:rsidRPr="002D06F5">
        <w:rPr>
          <w:rFonts w:asciiTheme="minorHAnsi" w:hAnsiTheme="minorHAnsi"/>
          <w:b/>
          <w:sz w:val="20"/>
          <w:szCs w:val="20"/>
        </w:rPr>
        <w:t>13</w:t>
      </w:r>
      <w:r w:rsidRPr="002D06F5">
        <w:rPr>
          <w:rFonts w:asciiTheme="minorHAnsi" w:hAnsiTheme="minorHAnsi"/>
          <w:sz w:val="20"/>
          <w:szCs w:val="20"/>
        </w:rPr>
        <w:t>(24): p. 1-128.</w:t>
      </w:r>
    </w:p>
    <w:p w14:paraId="16A7B02B"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41.</w:t>
      </w:r>
      <w:r w:rsidRPr="002D06F5">
        <w:rPr>
          <w:rFonts w:asciiTheme="minorHAnsi" w:hAnsiTheme="minorHAnsi"/>
          <w:sz w:val="20"/>
          <w:szCs w:val="20"/>
        </w:rPr>
        <w:tab/>
        <w:t xml:space="preserve">de Vries EF, Rabelink TJ, and van den Hout WB, </w:t>
      </w:r>
      <w:r w:rsidRPr="002D06F5">
        <w:rPr>
          <w:rFonts w:asciiTheme="minorHAnsi" w:hAnsiTheme="minorHAnsi"/>
          <w:i/>
          <w:sz w:val="20"/>
          <w:szCs w:val="20"/>
        </w:rPr>
        <w:t>Modelling the Cost-Effectiveness of Delaying End-Stage Renal Disease.</w:t>
      </w:r>
      <w:r w:rsidRPr="002D06F5">
        <w:rPr>
          <w:rFonts w:asciiTheme="minorHAnsi" w:hAnsiTheme="minorHAnsi"/>
          <w:sz w:val="20"/>
          <w:szCs w:val="20"/>
        </w:rPr>
        <w:t xml:space="preserve"> Nephron 2016. </w:t>
      </w:r>
      <w:r w:rsidRPr="002D06F5">
        <w:rPr>
          <w:rFonts w:asciiTheme="minorHAnsi" w:hAnsiTheme="minorHAnsi"/>
          <w:b/>
          <w:sz w:val="20"/>
          <w:szCs w:val="20"/>
        </w:rPr>
        <w:t>133</w:t>
      </w:r>
      <w:r w:rsidRPr="002D06F5">
        <w:rPr>
          <w:rFonts w:asciiTheme="minorHAnsi" w:hAnsiTheme="minorHAnsi"/>
          <w:sz w:val="20"/>
          <w:szCs w:val="20"/>
        </w:rPr>
        <w:t>: p. 89-97.</w:t>
      </w:r>
    </w:p>
    <w:p w14:paraId="5FF2E524"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42.</w:t>
      </w:r>
      <w:r w:rsidRPr="002D06F5">
        <w:rPr>
          <w:rFonts w:asciiTheme="minorHAnsi" w:hAnsiTheme="minorHAnsi"/>
          <w:sz w:val="20"/>
          <w:szCs w:val="20"/>
        </w:rPr>
        <w:tab/>
        <w:t xml:space="preserve">Keating CL, et al., </w:t>
      </w:r>
      <w:r w:rsidRPr="002D06F5">
        <w:rPr>
          <w:rFonts w:asciiTheme="minorHAnsi" w:hAnsiTheme="minorHAnsi"/>
          <w:i/>
          <w:sz w:val="20"/>
          <w:szCs w:val="20"/>
        </w:rPr>
        <w:t>Cost-Effectiveness of Surgically Induced Weight Loss for the Management of Type 2 Diabetes: Modeled Lifetime Analysis.</w:t>
      </w:r>
      <w:r w:rsidRPr="002D06F5">
        <w:rPr>
          <w:rFonts w:asciiTheme="minorHAnsi" w:hAnsiTheme="minorHAnsi"/>
          <w:sz w:val="20"/>
          <w:szCs w:val="20"/>
        </w:rPr>
        <w:t xml:space="preserve"> Diabetes Care, 2009. </w:t>
      </w:r>
      <w:r w:rsidRPr="002D06F5">
        <w:rPr>
          <w:rFonts w:asciiTheme="minorHAnsi" w:hAnsiTheme="minorHAnsi"/>
          <w:b/>
          <w:sz w:val="20"/>
          <w:szCs w:val="20"/>
        </w:rPr>
        <w:t>32</w:t>
      </w:r>
      <w:r w:rsidRPr="002D06F5">
        <w:rPr>
          <w:rFonts w:asciiTheme="minorHAnsi" w:hAnsiTheme="minorHAnsi"/>
          <w:sz w:val="20"/>
          <w:szCs w:val="20"/>
        </w:rPr>
        <w:t>(4): p. 567-574.</w:t>
      </w:r>
    </w:p>
    <w:p w14:paraId="1B23338B"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43.</w:t>
      </w:r>
      <w:r w:rsidRPr="002D06F5">
        <w:rPr>
          <w:rFonts w:asciiTheme="minorHAnsi" w:hAnsiTheme="minorHAnsi"/>
          <w:sz w:val="20"/>
          <w:szCs w:val="20"/>
        </w:rPr>
        <w:tab/>
        <w:t xml:space="preserve">Harrison DA, et al., </w:t>
      </w:r>
      <w:r w:rsidRPr="002D06F5">
        <w:rPr>
          <w:rFonts w:asciiTheme="minorHAnsi" w:hAnsiTheme="minorHAnsi"/>
          <w:i/>
          <w:sz w:val="20"/>
          <w:szCs w:val="20"/>
        </w:rPr>
        <w:t>Risk Adjustment In Neurocritical care (RAIN) – prospective validation of risk prediction models for adult patients with acute traumatic brain injury to use to evaluate the optimum location and comparative costs of neurocritical care: a cohort study</w:t>
      </w:r>
      <w:r w:rsidRPr="002D06F5">
        <w:rPr>
          <w:rFonts w:asciiTheme="minorHAnsi" w:hAnsiTheme="minorHAnsi"/>
          <w:sz w:val="20"/>
          <w:szCs w:val="20"/>
        </w:rPr>
        <w:t>. 2013, Health Technology Assessment.</w:t>
      </w:r>
    </w:p>
    <w:p w14:paraId="34C9371F"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44.</w:t>
      </w:r>
      <w:r w:rsidRPr="002D06F5">
        <w:rPr>
          <w:rFonts w:asciiTheme="minorHAnsi" w:hAnsiTheme="minorHAnsi"/>
          <w:sz w:val="20"/>
          <w:szCs w:val="20"/>
        </w:rPr>
        <w:tab/>
        <w:t xml:space="preserve">M Stevenson, M Lloyd-Jones, and D Papaioannou, </w:t>
      </w:r>
      <w:r w:rsidRPr="002D06F5">
        <w:rPr>
          <w:rFonts w:asciiTheme="minorHAnsi" w:hAnsiTheme="minorHAnsi"/>
          <w:i/>
          <w:sz w:val="20"/>
          <w:szCs w:val="20"/>
        </w:rPr>
        <w:t>Vitamin K to prevent fractures in older women: a systematic review and economic evaluation. Health Technology assessment; Vol 13: No 45</w:t>
      </w:r>
      <w:r w:rsidRPr="002D06F5">
        <w:rPr>
          <w:rFonts w:asciiTheme="minorHAnsi" w:hAnsiTheme="minorHAnsi"/>
          <w:sz w:val="20"/>
          <w:szCs w:val="20"/>
        </w:rPr>
        <w:t>. 2009.</w:t>
      </w:r>
    </w:p>
    <w:p w14:paraId="0E00359C"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45.</w:t>
      </w:r>
      <w:r w:rsidRPr="002D06F5">
        <w:rPr>
          <w:rFonts w:asciiTheme="minorHAnsi" w:hAnsiTheme="minorHAnsi"/>
          <w:sz w:val="20"/>
          <w:szCs w:val="20"/>
        </w:rPr>
        <w:tab/>
        <w:t xml:space="preserve">Henriksson M, et al., </w:t>
      </w:r>
      <w:r w:rsidRPr="002D06F5">
        <w:rPr>
          <w:rFonts w:asciiTheme="minorHAnsi" w:hAnsiTheme="minorHAnsi"/>
          <w:i/>
          <w:sz w:val="20"/>
          <w:szCs w:val="20"/>
        </w:rPr>
        <w:t>The cost-effectiveness of an early interventional strategy in non-ST-elevation acute coronary syndrome based on the RITA 3 trial.</w:t>
      </w:r>
      <w:r w:rsidRPr="002D06F5">
        <w:rPr>
          <w:rFonts w:asciiTheme="minorHAnsi" w:hAnsiTheme="minorHAnsi"/>
          <w:sz w:val="20"/>
          <w:szCs w:val="20"/>
        </w:rPr>
        <w:t xml:space="preserve"> Heart, 2008. </w:t>
      </w:r>
      <w:r w:rsidRPr="002D06F5">
        <w:rPr>
          <w:rFonts w:asciiTheme="minorHAnsi" w:hAnsiTheme="minorHAnsi"/>
          <w:b/>
          <w:sz w:val="20"/>
          <w:szCs w:val="20"/>
        </w:rPr>
        <w:t>94</w:t>
      </w:r>
      <w:r w:rsidRPr="002D06F5">
        <w:rPr>
          <w:rFonts w:asciiTheme="minorHAnsi" w:hAnsiTheme="minorHAnsi"/>
          <w:sz w:val="20"/>
          <w:szCs w:val="20"/>
        </w:rPr>
        <w:t>(6): p. 717-23.</w:t>
      </w:r>
    </w:p>
    <w:p w14:paraId="317E2F43"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46.</w:t>
      </w:r>
      <w:r w:rsidRPr="002D06F5">
        <w:rPr>
          <w:rFonts w:asciiTheme="minorHAnsi" w:hAnsiTheme="minorHAnsi"/>
          <w:sz w:val="20"/>
          <w:szCs w:val="20"/>
        </w:rPr>
        <w:tab/>
        <w:t xml:space="preserve">Main C1, B.L., Griffin S, Norman G, Barbieri M, Mather L, Stark D, Palmer S, Riemsma R,, </w:t>
      </w:r>
      <w:r w:rsidRPr="002D06F5">
        <w:rPr>
          <w:rFonts w:asciiTheme="minorHAnsi" w:hAnsiTheme="minorHAnsi"/>
          <w:i/>
          <w:sz w:val="20"/>
          <w:szCs w:val="20"/>
        </w:rPr>
        <w:t xml:space="preserve">Topotecan, pegylated liposomal doxorubicin hydrochloride and paclitaxel for second-line or subsequent treatment </w:t>
      </w:r>
      <w:r w:rsidRPr="002D06F5">
        <w:rPr>
          <w:rFonts w:asciiTheme="minorHAnsi" w:hAnsiTheme="minorHAnsi"/>
          <w:i/>
          <w:sz w:val="20"/>
          <w:szCs w:val="20"/>
        </w:rPr>
        <w:lastRenderedPageBreak/>
        <w:t>of advanced ovarian cancer: a systematic review and economic evaluation.</w:t>
      </w:r>
      <w:r w:rsidRPr="002D06F5">
        <w:rPr>
          <w:rFonts w:asciiTheme="minorHAnsi" w:hAnsiTheme="minorHAnsi"/>
          <w:sz w:val="20"/>
          <w:szCs w:val="20"/>
        </w:rPr>
        <w:t xml:space="preserve"> Health Technol Assess, 2006. </w:t>
      </w:r>
      <w:r w:rsidRPr="002D06F5">
        <w:rPr>
          <w:rFonts w:asciiTheme="minorHAnsi" w:hAnsiTheme="minorHAnsi"/>
          <w:b/>
          <w:sz w:val="20"/>
          <w:szCs w:val="20"/>
        </w:rPr>
        <w:t>10</w:t>
      </w:r>
      <w:r w:rsidRPr="002D06F5">
        <w:rPr>
          <w:rFonts w:asciiTheme="minorHAnsi" w:hAnsiTheme="minorHAnsi"/>
          <w:sz w:val="20"/>
          <w:szCs w:val="20"/>
        </w:rPr>
        <w:t>(9): p. 1-132.</w:t>
      </w:r>
    </w:p>
    <w:p w14:paraId="6DEE5249"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47.</w:t>
      </w:r>
      <w:r w:rsidRPr="002D06F5">
        <w:rPr>
          <w:rFonts w:asciiTheme="minorHAnsi" w:hAnsiTheme="minorHAnsi"/>
          <w:sz w:val="20"/>
          <w:szCs w:val="20"/>
        </w:rPr>
        <w:tab/>
        <w:t xml:space="preserve">Batty A, W.B., Pericleous L, Rowen D, Lee D, Nikoglou T, . </w:t>
      </w:r>
      <w:r w:rsidRPr="002D06F5">
        <w:rPr>
          <w:rFonts w:asciiTheme="minorHAnsi" w:hAnsiTheme="minorHAnsi"/>
          <w:i/>
          <w:sz w:val="20"/>
          <w:szCs w:val="20"/>
        </w:rPr>
        <w:t>A comparison of general population and patient utility values for advanced melanoma</w:t>
      </w:r>
      <w:r w:rsidRPr="002D06F5">
        <w:rPr>
          <w:rFonts w:asciiTheme="minorHAnsi" w:hAnsiTheme="minorHAnsi"/>
          <w:sz w:val="20"/>
          <w:szCs w:val="20"/>
        </w:rPr>
        <w:t xml:space="preserve">. in </w:t>
      </w:r>
      <w:r w:rsidRPr="002D06F5">
        <w:rPr>
          <w:rFonts w:asciiTheme="minorHAnsi" w:hAnsiTheme="minorHAnsi"/>
          <w:i/>
          <w:sz w:val="20"/>
          <w:szCs w:val="20"/>
        </w:rPr>
        <w:t>European Society for medical oncology</w:t>
      </w:r>
      <w:r w:rsidRPr="002D06F5">
        <w:rPr>
          <w:rFonts w:asciiTheme="minorHAnsi" w:hAnsiTheme="minorHAnsi"/>
          <w:sz w:val="20"/>
          <w:szCs w:val="20"/>
        </w:rPr>
        <w:t>. 01 October 2012.</w:t>
      </w:r>
    </w:p>
    <w:p w14:paraId="2082B9BF"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48.</w:t>
      </w:r>
      <w:r w:rsidRPr="002D06F5">
        <w:rPr>
          <w:rFonts w:asciiTheme="minorHAnsi" w:hAnsiTheme="minorHAnsi"/>
          <w:sz w:val="20"/>
          <w:szCs w:val="20"/>
        </w:rPr>
        <w:tab/>
        <w:t xml:space="preserve">P. Kind, G. Hardman, and S. Macran, </w:t>
      </w:r>
      <w:r w:rsidRPr="002D06F5">
        <w:rPr>
          <w:rFonts w:asciiTheme="minorHAnsi" w:hAnsiTheme="minorHAnsi"/>
          <w:i/>
          <w:sz w:val="20"/>
          <w:szCs w:val="20"/>
        </w:rPr>
        <w:t>UK Population norms for EQ-5D York Centre for Health Economics Discussion Paper pp.172</w:t>
      </w:r>
      <w:r w:rsidRPr="002D06F5">
        <w:rPr>
          <w:rFonts w:asciiTheme="minorHAnsi" w:hAnsiTheme="minorHAnsi"/>
          <w:sz w:val="20"/>
          <w:szCs w:val="20"/>
        </w:rPr>
        <w:t>. 1999 Nov, University of York: York.</w:t>
      </w:r>
    </w:p>
    <w:p w14:paraId="6B63A5CF"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49.</w:t>
      </w:r>
      <w:r w:rsidRPr="002D06F5">
        <w:rPr>
          <w:rFonts w:asciiTheme="minorHAnsi" w:hAnsiTheme="minorHAnsi"/>
          <w:sz w:val="20"/>
          <w:szCs w:val="20"/>
        </w:rPr>
        <w:tab/>
        <w:t xml:space="preserve">Peek G, E.D., Mugford M, Tiruvoipati R, Wilson A, et al,, </w:t>
      </w:r>
      <w:r w:rsidRPr="002D06F5">
        <w:rPr>
          <w:rFonts w:asciiTheme="minorHAnsi" w:hAnsiTheme="minorHAnsi"/>
          <w:i/>
          <w:sz w:val="20"/>
          <w:szCs w:val="20"/>
        </w:rPr>
        <w:t>Conventional ventilatory support versus extracorporeal membrane oxygenation for severe adult respiratory failure. Heaalth technology assessment.</w:t>
      </w:r>
      <w:r w:rsidRPr="002D06F5">
        <w:rPr>
          <w:rFonts w:asciiTheme="minorHAnsi" w:hAnsiTheme="minorHAnsi"/>
          <w:sz w:val="20"/>
          <w:szCs w:val="20"/>
        </w:rPr>
        <w:t xml:space="preserve"> 2010.</w:t>
      </w:r>
    </w:p>
    <w:p w14:paraId="11CBEABA" w14:textId="77777777" w:rsidR="002D06F5" w:rsidRPr="002D06F5" w:rsidRDefault="002D06F5" w:rsidP="002D06F5">
      <w:pPr>
        <w:pStyle w:val="EndNoteBibliography"/>
        <w:ind w:left="720" w:hanging="720"/>
        <w:rPr>
          <w:rFonts w:asciiTheme="minorHAnsi" w:hAnsiTheme="minorHAnsi"/>
          <w:i/>
          <w:sz w:val="20"/>
          <w:szCs w:val="20"/>
        </w:rPr>
      </w:pPr>
      <w:r w:rsidRPr="002D06F5">
        <w:rPr>
          <w:rFonts w:asciiTheme="minorHAnsi" w:hAnsiTheme="minorHAnsi"/>
          <w:sz w:val="20"/>
          <w:szCs w:val="20"/>
        </w:rPr>
        <w:t>50.</w:t>
      </w:r>
      <w:r w:rsidRPr="002D06F5">
        <w:rPr>
          <w:rFonts w:asciiTheme="minorHAnsi" w:hAnsiTheme="minorHAnsi"/>
          <w:sz w:val="20"/>
          <w:szCs w:val="20"/>
        </w:rPr>
        <w:tab/>
        <w:t xml:space="preserve">Christopher H Jackson, S.G.T., Linda D Sharples,, </w:t>
      </w:r>
      <w:r w:rsidRPr="002D06F5">
        <w:rPr>
          <w:rFonts w:asciiTheme="minorHAnsi" w:hAnsiTheme="minorHAnsi"/>
          <w:i/>
          <w:sz w:val="20"/>
          <w:szCs w:val="20"/>
        </w:rPr>
        <w:t>Accounting for uncertainty in health economic decision models by using model averaging</w:t>
      </w:r>
    </w:p>
    <w:p w14:paraId="17F3D09F"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 xml:space="preserve">J R Stat Soc Ser A Stat Soc, 2009. </w:t>
      </w:r>
      <w:r w:rsidRPr="002D06F5">
        <w:rPr>
          <w:rFonts w:asciiTheme="minorHAnsi" w:hAnsiTheme="minorHAnsi"/>
          <w:b/>
          <w:sz w:val="20"/>
          <w:szCs w:val="20"/>
        </w:rPr>
        <w:t>172</w:t>
      </w:r>
      <w:r w:rsidRPr="002D06F5">
        <w:rPr>
          <w:rFonts w:asciiTheme="minorHAnsi" w:hAnsiTheme="minorHAnsi"/>
          <w:sz w:val="20"/>
          <w:szCs w:val="20"/>
        </w:rPr>
        <w:t>(2): p. 383-404.</w:t>
      </w:r>
    </w:p>
    <w:p w14:paraId="65D2E942"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51.</w:t>
      </w:r>
      <w:r w:rsidRPr="002D06F5">
        <w:rPr>
          <w:rFonts w:asciiTheme="minorHAnsi" w:hAnsiTheme="minorHAnsi"/>
          <w:sz w:val="20"/>
          <w:szCs w:val="20"/>
        </w:rPr>
        <w:tab/>
        <w:t xml:space="preserve">Ara R and Wailoo A, </w:t>
      </w:r>
      <w:r w:rsidRPr="002D06F5">
        <w:rPr>
          <w:rFonts w:asciiTheme="minorHAnsi" w:hAnsiTheme="minorHAnsi"/>
          <w:i/>
          <w:sz w:val="20"/>
          <w:szCs w:val="20"/>
        </w:rPr>
        <w:t>NICE DSU technical support document 12: The use of health state utility values in decision models</w:t>
      </w:r>
      <w:r w:rsidRPr="002D06F5">
        <w:rPr>
          <w:rFonts w:asciiTheme="minorHAnsi" w:hAnsiTheme="minorHAnsi"/>
          <w:sz w:val="20"/>
          <w:szCs w:val="20"/>
        </w:rPr>
        <w:t>, S.o.H.a.R. Research, Editor. 2011, University of Sheffield: Sheffield.</w:t>
      </w:r>
    </w:p>
    <w:p w14:paraId="3F694169"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52.</w:t>
      </w:r>
      <w:r w:rsidRPr="002D06F5">
        <w:rPr>
          <w:rFonts w:asciiTheme="minorHAnsi" w:hAnsiTheme="minorHAnsi"/>
          <w:sz w:val="20"/>
          <w:szCs w:val="20"/>
        </w:rPr>
        <w:tab/>
        <w:t xml:space="preserve">MJM Van Duin, et al., </w:t>
      </w:r>
      <w:r w:rsidRPr="002D06F5">
        <w:rPr>
          <w:rFonts w:asciiTheme="minorHAnsi" w:hAnsiTheme="minorHAnsi"/>
          <w:i/>
          <w:sz w:val="20"/>
          <w:szCs w:val="20"/>
        </w:rPr>
        <w:t>The impact of comorbidities on costs, utilities and health-related quality of life among HIV patients in a clinical setting in Bogotá.</w:t>
      </w:r>
      <w:r w:rsidRPr="002D06F5">
        <w:rPr>
          <w:rFonts w:asciiTheme="minorHAnsi" w:hAnsiTheme="minorHAnsi"/>
          <w:sz w:val="20"/>
          <w:szCs w:val="20"/>
        </w:rPr>
        <w:t xml:space="preserve"> Expert Review of Pharmacoeconomics &amp; Outcomes Research, 2016. </w:t>
      </w:r>
      <w:r w:rsidRPr="002D06F5">
        <w:rPr>
          <w:rFonts w:asciiTheme="minorHAnsi" w:hAnsiTheme="minorHAnsi"/>
          <w:b/>
          <w:sz w:val="20"/>
          <w:szCs w:val="20"/>
        </w:rPr>
        <w:t>0</w:t>
      </w:r>
      <w:r w:rsidRPr="002D06F5">
        <w:rPr>
          <w:rFonts w:asciiTheme="minorHAnsi" w:hAnsiTheme="minorHAnsi"/>
          <w:sz w:val="20"/>
          <w:szCs w:val="20"/>
        </w:rPr>
        <w:t>(0,0): p. 1-8.</w:t>
      </w:r>
    </w:p>
    <w:p w14:paraId="0DBD9AE2"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53.</w:t>
      </w:r>
      <w:r w:rsidRPr="002D06F5">
        <w:rPr>
          <w:rFonts w:asciiTheme="minorHAnsi" w:hAnsiTheme="minorHAnsi"/>
          <w:sz w:val="20"/>
          <w:szCs w:val="20"/>
        </w:rPr>
        <w:tab/>
        <w:t xml:space="preserve">Briggs AH, et al., </w:t>
      </w:r>
      <w:r w:rsidRPr="002D06F5">
        <w:rPr>
          <w:rFonts w:asciiTheme="minorHAnsi" w:hAnsiTheme="minorHAnsi"/>
          <w:i/>
          <w:sz w:val="20"/>
          <w:szCs w:val="20"/>
        </w:rPr>
        <w:t>Analyzing Health-Related Quality of Life in the EVOLVE Trial: The Joint Impact of Treatment and Clinical Events.</w:t>
      </w:r>
      <w:r w:rsidRPr="002D06F5">
        <w:rPr>
          <w:rFonts w:asciiTheme="minorHAnsi" w:hAnsiTheme="minorHAnsi"/>
          <w:sz w:val="20"/>
          <w:szCs w:val="20"/>
        </w:rPr>
        <w:t xml:space="preserve"> Med Decis Making, 2016. </w:t>
      </w:r>
      <w:r w:rsidRPr="002D06F5">
        <w:rPr>
          <w:rFonts w:asciiTheme="minorHAnsi" w:hAnsiTheme="minorHAnsi"/>
          <w:b/>
          <w:sz w:val="20"/>
          <w:szCs w:val="20"/>
        </w:rPr>
        <w:t>36</w:t>
      </w:r>
      <w:r w:rsidRPr="002D06F5">
        <w:rPr>
          <w:rFonts w:asciiTheme="minorHAnsi" w:hAnsiTheme="minorHAnsi"/>
          <w:sz w:val="20"/>
          <w:szCs w:val="20"/>
        </w:rPr>
        <w:t>(8): p. 965-72.</w:t>
      </w:r>
    </w:p>
    <w:p w14:paraId="5F431DBC"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54.</w:t>
      </w:r>
      <w:r w:rsidRPr="002D06F5">
        <w:rPr>
          <w:rFonts w:asciiTheme="minorHAnsi" w:hAnsiTheme="minorHAnsi"/>
          <w:sz w:val="20"/>
          <w:szCs w:val="20"/>
        </w:rPr>
        <w:tab/>
        <w:t xml:space="preserve">Oostenbrink JB, Al MJ, and R.-v.M. MP., </w:t>
      </w:r>
      <w:r w:rsidRPr="002D06F5">
        <w:rPr>
          <w:rFonts w:asciiTheme="minorHAnsi" w:hAnsiTheme="minorHAnsi"/>
          <w:i/>
          <w:sz w:val="20"/>
          <w:szCs w:val="20"/>
        </w:rPr>
        <w:t>Methods to analyse cost data of patients who withdraw in a clinical trial setting.</w:t>
      </w:r>
      <w:r w:rsidRPr="002D06F5">
        <w:rPr>
          <w:rFonts w:asciiTheme="minorHAnsi" w:hAnsiTheme="minorHAnsi"/>
          <w:sz w:val="20"/>
          <w:szCs w:val="20"/>
        </w:rPr>
        <w:t xml:space="preserve"> Pharmacoeconomics, 2003. </w:t>
      </w:r>
      <w:r w:rsidRPr="002D06F5">
        <w:rPr>
          <w:rFonts w:asciiTheme="minorHAnsi" w:hAnsiTheme="minorHAnsi"/>
          <w:b/>
          <w:sz w:val="20"/>
          <w:szCs w:val="20"/>
        </w:rPr>
        <w:t>21</w:t>
      </w:r>
      <w:r w:rsidRPr="002D06F5">
        <w:rPr>
          <w:rFonts w:asciiTheme="minorHAnsi" w:hAnsiTheme="minorHAnsi"/>
          <w:sz w:val="20"/>
          <w:szCs w:val="20"/>
        </w:rPr>
        <w:t>(15): p. 1103-12.</w:t>
      </w:r>
    </w:p>
    <w:p w14:paraId="0EC89D99"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55.</w:t>
      </w:r>
      <w:r w:rsidRPr="002D06F5">
        <w:rPr>
          <w:rFonts w:asciiTheme="minorHAnsi" w:hAnsiTheme="minorHAnsi"/>
          <w:sz w:val="20"/>
          <w:szCs w:val="20"/>
        </w:rPr>
        <w:tab/>
        <w:t xml:space="preserve">Rappange DR, v.B.P., van Exel NJ, Feenstra TL, Rutten FF, Brouwer WB,, </w:t>
      </w:r>
      <w:r w:rsidRPr="002D06F5">
        <w:rPr>
          <w:rFonts w:asciiTheme="minorHAnsi" w:hAnsiTheme="minorHAnsi"/>
          <w:i/>
          <w:sz w:val="20"/>
          <w:szCs w:val="20"/>
        </w:rPr>
        <w:t>Unrelated medical costs in life-years gained: should they be included in economic evaluations of healthcare interventions?</w:t>
      </w:r>
      <w:r w:rsidRPr="002D06F5">
        <w:rPr>
          <w:rFonts w:asciiTheme="minorHAnsi" w:hAnsiTheme="minorHAnsi"/>
          <w:sz w:val="20"/>
          <w:szCs w:val="20"/>
        </w:rPr>
        <w:t xml:space="preserve"> Pharmacoeconomics, 2008. </w:t>
      </w:r>
      <w:r w:rsidRPr="002D06F5">
        <w:rPr>
          <w:rFonts w:asciiTheme="minorHAnsi" w:hAnsiTheme="minorHAnsi"/>
          <w:b/>
          <w:sz w:val="20"/>
          <w:szCs w:val="20"/>
        </w:rPr>
        <w:t>26</w:t>
      </w:r>
      <w:r w:rsidRPr="002D06F5">
        <w:rPr>
          <w:rFonts w:asciiTheme="minorHAnsi" w:hAnsiTheme="minorHAnsi"/>
          <w:sz w:val="20"/>
          <w:szCs w:val="20"/>
        </w:rPr>
        <w:t>: p. 10815-30.</w:t>
      </w:r>
    </w:p>
    <w:p w14:paraId="1B69D217"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56.</w:t>
      </w:r>
      <w:r w:rsidRPr="002D06F5">
        <w:rPr>
          <w:rFonts w:asciiTheme="minorHAnsi" w:hAnsiTheme="minorHAnsi"/>
          <w:sz w:val="20"/>
          <w:szCs w:val="20"/>
        </w:rPr>
        <w:tab/>
        <w:t xml:space="preserve">Morton A, et al., </w:t>
      </w:r>
      <w:r w:rsidRPr="002D06F5">
        <w:rPr>
          <w:rFonts w:asciiTheme="minorHAnsi" w:hAnsiTheme="minorHAnsi"/>
          <w:i/>
          <w:sz w:val="20"/>
          <w:szCs w:val="20"/>
        </w:rPr>
        <w:t>Unrelated Future Costs and Unrelated Future Benefits: Reflections on NICE Guide to the Methods of Technology Appraisal.</w:t>
      </w:r>
      <w:r w:rsidRPr="002D06F5">
        <w:rPr>
          <w:rFonts w:asciiTheme="minorHAnsi" w:hAnsiTheme="minorHAnsi"/>
          <w:sz w:val="20"/>
          <w:szCs w:val="20"/>
        </w:rPr>
        <w:t xml:space="preserve"> Health Economics, 2016. </w:t>
      </w:r>
      <w:r w:rsidRPr="002D06F5">
        <w:rPr>
          <w:rFonts w:asciiTheme="minorHAnsi" w:hAnsiTheme="minorHAnsi"/>
          <w:b/>
          <w:sz w:val="20"/>
          <w:szCs w:val="20"/>
        </w:rPr>
        <w:t>25</w:t>
      </w:r>
      <w:r w:rsidRPr="002D06F5">
        <w:rPr>
          <w:rFonts w:asciiTheme="minorHAnsi" w:hAnsiTheme="minorHAnsi"/>
          <w:sz w:val="20"/>
          <w:szCs w:val="20"/>
        </w:rPr>
        <w:t>(8): p. 933–938.</w:t>
      </w:r>
    </w:p>
    <w:p w14:paraId="1DA3E8E6"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57.</w:t>
      </w:r>
      <w:r w:rsidRPr="002D06F5">
        <w:rPr>
          <w:rFonts w:asciiTheme="minorHAnsi" w:hAnsiTheme="minorHAnsi"/>
          <w:sz w:val="20"/>
          <w:szCs w:val="20"/>
        </w:rPr>
        <w:tab/>
        <w:t xml:space="preserve">van Baal P, Meltzer D, and Brouwer W, </w:t>
      </w:r>
      <w:r w:rsidRPr="002D06F5">
        <w:rPr>
          <w:rFonts w:asciiTheme="minorHAnsi" w:hAnsiTheme="minorHAnsi"/>
          <w:i/>
          <w:sz w:val="20"/>
          <w:szCs w:val="20"/>
        </w:rPr>
        <w:t>Future Costs, Fixed Healthcare Budgets, and the Decision Rules of Cost-Effectiveness Analysis.</w:t>
      </w:r>
      <w:r w:rsidRPr="002D06F5">
        <w:rPr>
          <w:rFonts w:asciiTheme="minorHAnsi" w:hAnsiTheme="minorHAnsi"/>
          <w:sz w:val="20"/>
          <w:szCs w:val="20"/>
        </w:rPr>
        <w:t xml:space="preserve"> Health Economics, 2016. </w:t>
      </w:r>
      <w:r w:rsidRPr="002D06F5">
        <w:rPr>
          <w:rFonts w:asciiTheme="minorHAnsi" w:hAnsiTheme="minorHAnsi"/>
          <w:b/>
          <w:sz w:val="20"/>
          <w:szCs w:val="20"/>
        </w:rPr>
        <w:t>25</w:t>
      </w:r>
      <w:r w:rsidRPr="002D06F5">
        <w:rPr>
          <w:rFonts w:asciiTheme="minorHAnsi" w:hAnsiTheme="minorHAnsi"/>
          <w:sz w:val="20"/>
          <w:szCs w:val="20"/>
        </w:rPr>
        <w:t>(2): p. 237-48.</w:t>
      </w:r>
    </w:p>
    <w:p w14:paraId="7F302905"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58.</w:t>
      </w:r>
      <w:r w:rsidRPr="002D06F5">
        <w:rPr>
          <w:rFonts w:asciiTheme="minorHAnsi" w:hAnsiTheme="minorHAnsi"/>
          <w:sz w:val="20"/>
          <w:szCs w:val="20"/>
        </w:rPr>
        <w:tab/>
        <w:t xml:space="preserve">Claxton K, et al., </w:t>
      </w:r>
      <w:r w:rsidRPr="002D06F5">
        <w:rPr>
          <w:rFonts w:asciiTheme="minorHAnsi" w:hAnsiTheme="minorHAnsi"/>
          <w:i/>
          <w:sz w:val="20"/>
          <w:szCs w:val="20"/>
        </w:rPr>
        <w:t>Uncertainty, evidence and irrecoverable costs: Informing approval, pricing and research decisions for health technologies. CHE discussion paper 69</w:t>
      </w:r>
      <w:r w:rsidRPr="002D06F5">
        <w:rPr>
          <w:rFonts w:asciiTheme="minorHAnsi" w:hAnsiTheme="minorHAnsi"/>
          <w:sz w:val="20"/>
          <w:szCs w:val="20"/>
        </w:rPr>
        <w:t>. 2011.</w:t>
      </w:r>
    </w:p>
    <w:p w14:paraId="7837A9E0" w14:textId="77777777" w:rsidR="002D06F5" w:rsidRPr="002D06F5" w:rsidRDefault="002D06F5" w:rsidP="002D06F5">
      <w:pPr>
        <w:pStyle w:val="EndNoteBibliography"/>
        <w:ind w:left="720" w:hanging="720"/>
        <w:rPr>
          <w:rFonts w:asciiTheme="minorHAnsi" w:hAnsiTheme="minorHAnsi"/>
          <w:sz w:val="20"/>
          <w:szCs w:val="20"/>
        </w:rPr>
      </w:pPr>
      <w:r w:rsidRPr="002D06F5">
        <w:rPr>
          <w:rFonts w:asciiTheme="minorHAnsi" w:hAnsiTheme="minorHAnsi"/>
          <w:sz w:val="20"/>
          <w:szCs w:val="20"/>
        </w:rPr>
        <w:t>59.</w:t>
      </w:r>
      <w:r w:rsidRPr="002D06F5">
        <w:rPr>
          <w:rFonts w:asciiTheme="minorHAnsi" w:hAnsiTheme="minorHAnsi"/>
          <w:sz w:val="20"/>
          <w:szCs w:val="20"/>
        </w:rPr>
        <w:tab/>
        <w:t xml:space="preserve">Griffin S, et al., </w:t>
      </w:r>
      <w:r w:rsidRPr="002D06F5">
        <w:rPr>
          <w:rFonts w:asciiTheme="minorHAnsi" w:hAnsiTheme="minorHAnsi"/>
          <w:i/>
          <w:sz w:val="20"/>
          <w:szCs w:val="20"/>
        </w:rPr>
        <w:t>Dangerous omissions: the consequences of ignoring decision uncertainty.</w:t>
      </w:r>
      <w:r w:rsidRPr="002D06F5">
        <w:rPr>
          <w:rFonts w:asciiTheme="minorHAnsi" w:hAnsiTheme="minorHAnsi"/>
          <w:sz w:val="20"/>
          <w:szCs w:val="20"/>
        </w:rPr>
        <w:t xml:space="preserve"> Health Economics,, 2011. </w:t>
      </w:r>
      <w:r w:rsidRPr="002D06F5">
        <w:rPr>
          <w:rFonts w:asciiTheme="minorHAnsi" w:hAnsiTheme="minorHAnsi"/>
          <w:b/>
          <w:sz w:val="20"/>
          <w:szCs w:val="20"/>
        </w:rPr>
        <w:t>20</w:t>
      </w:r>
      <w:r w:rsidRPr="002D06F5">
        <w:rPr>
          <w:rFonts w:asciiTheme="minorHAnsi" w:hAnsiTheme="minorHAnsi"/>
          <w:sz w:val="20"/>
          <w:szCs w:val="20"/>
        </w:rPr>
        <w:t>(2): p. 212-24.</w:t>
      </w:r>
    </w:p>
    <w:p w14:paraId="3AB2527D" w14:textId="75A28E3D" w:rsidR="00B27EFC" w:rsidRPr="00C40569" w:rsidRDefault="00CF2FFF" w:rsidP="00E22C72">
      <w:pPr>
        <w:spacing w:after="0" w:line="360" w:lineRule="auto"/>
        <w:rPr>
          <w:sz w:val="20"/>
        </w:rPr>
      </w:pPr>
      <w:r w:rsidRPr="002D06F5">
        <w:rPr>
          <w:sz w:val="20"/>
          <w:szCs w:val="20"/>
        </w:rPr>
        <w:fldChar w:fldCharType="end"/>
      </w:r>
    </w:p>
    <w:sectPr w:rsidR="00B27EFC" w:rsidRPr="00C40569">
      <w:footerReference w:type="even" r:id="rId10"/>
      <w:footerReference w:type="default" r:id="rId11"/>
      <w:footnotePr>
        <w:numFmt w:val="lowerLetter"/>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9A5DD" w14:textId="77777777" w:rsidR="00A26ED0" w:rsidRDefault="00A26ED0" w:rsidP="00497AF6">
      <w:pPr>
        <w:spacing w:after="0" w:line="240" w:lineRule="auto"/>
      </w:pPr>
      <w:r>
        <w:separator/>
      </w:r>
    </w:p>
  </w:endnote>
  <w:endnote w:type="continuationSeparator" w:id="0">
    <w:p w14:paraId="2C058B43" w14:textId="77777777" w:rsidR="00A26ED0" w:rsidRDefault="00A26ED0" w:rsidP="0049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merican Typewriter">
    <w:altName w:val="Arial"/>
    <w:charset w:val="00"/>
    <w:family w:val="auto"/>
    <w:pitch w:val="variable"/>
    <w:sig w:usb0="00000001" w:usb1="00000019" w:usb2="00000000" w:usb3="00000000" w:csb0="00000111"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umanist521BT-Roman">
    <w:panose1 w:val="00000000000000000000"/>
    <w:charset w:val="00"/>
    <w:family w:val="swiss"/>
    <w:notTrueType/>
    <w:pitch w:val="default"/>
    <w:sig w:usb0="00000003" w:usb1="00000000" w:usb2="00000000" w:usb3="00000000" w:csb0="00000001" w:csb1="00000000"/>
  </w:font>
  <w:font w:name="NewBaskervilleITCbyBT-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A9361" w14:textId="77777777" w:rsidR="00A26ED0" w:rsidRDefault="00A26ED0" w:rsidP="006430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A79AC" w14:textId="77777777" w:rsidR="00A26ED0" w:rsidRDefault="00A26ED0" w:rsidP="00E109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3D8F4" w14:textId="77777777" w:rsidR="00A26ED0" w:rsidRDefault="00A26ED0" w:rsidP="006430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469D">
      <w:rPr>
        <w:rStyle w:val="PageNumber"/>
        <w:noProof/>
      </w:rPr>
      <w:t>15</w:t>
    </w:r>
    <w:r>
      <w:rPr>
        <w:rStyle w:val="PageNumber"/>
      </w:rPr>
      <w:fldChar w:fldCharType="end"/>
    </w:r>
  </w:p>
  <w:p w14:paraId="38B850E3" w14:textId="77777777" w:rsidR="00A26ED0" w:rsidRDefault="00A26ED0" w:rsidP="008622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E5519" w14:textId="77777777" w:rsidR="00A26ED0" w:rsidRDefault="00A26ED0" w:rsidP="00497AF6">
      <w:pPr>
        <w:spacing w:after="0" w:line="240" w:lineRule="auto"/>
      </w:pPr>
      <w:r>
        <w:separator/>
      </w:r>
    </w:p>
  </w:footnote>
  <w:footnote w:type="continuationSeparator" w:id="0">
    <w:p w14:paraId="1DF3CE35" w14:textId="77777777" w:rsidR="00A26ED0" w:rsidRDefault="00A26ED0" w:rsidP="00497AF6">
      <w:pPr>
        <w:spacing w:after="0" w:line="240" w:lineRule="auto"/>
      </w:pPr>
      <w:r>
        <w:continuationSeparator/>
      </w:r>
    </w:p>
  </w:footnote>
  <w:footnote w:id="1">
    <w:p w14:paraId="7AE9DC3C" w14:textId="49E6058C" w:rsidR="00A26ED0" w:rsidRPr="00E77410" w:rsidRDefault="00A26ED0">
      <w:pPr>
        <w:pStyle w:val="FootnoteText"/>
        <w:rPr>
          <w:sz w:val="20"/>
          <w:lang w:val="en-US"/>
        </w:rPr>
      </w:pPr>
      <w:r>
        <w:rPr>
          <w:rStyle w:val="FootnoteReference"/>
        </w:rPr>
        <w:footnoteRef/>
      </w:r>
      <w:r>
        <w:t xml:space="preserve"> </w:t>
      </w:r>
      <w:r w:rsidRPr="00E77410">
        <w:rPr>
          <w:sz w:val="20"/>
        </w:rPr>
        <w:t>This is because many clinical studies are – first and foremost - designed to satisfy the requirements of licensing authorities (e.g. FDA, EMA)</w:t>
      </w:r>
      <w:r>
        <w:rPr>
          <w:sz w:val="20"/>
        </w:rPr>
        <w:t xml:space="preserve"> and these do not consider the collection of information relevant to reimbursement authorities.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C76"/>
    <w:multiLevelType w:val="hybridMultilevel"/>
    <w:tmpl w:val="F1C6FDF0"/>
    <w:lvl w:ilvl="0" w:tplc="FD122F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910D13"/>
    <w:multiLevelType w:val="hybridMultilevel"/>
    <w:tmpl w:val="9DEE26A0"/>
    <w:styleLink w:val="Style11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2969FD"/>
    <w:multiLevelType w:val="hybridMultilevel"/>
    <w:tmpl w:val="DF5C7994"/>
    <w:styleLink w:val="Style1143"/>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7F210A"/>
    <w:multiLevelType w:val="multilevel"/>
    <w:tmpl w:val="43C6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716F51"/>
    <w:multiLevelType w:val="hybridMultilevel"/>
    <w:tmpl w:val="28E64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A44670"/>
    <w:multiLevelType w:val="hybridMultilevel"/>
    <w:tmpl w:val="E140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99p92dtf9avne5r2bvzva0zpft9d9ptzfr&quot;&gt;extrap&lt;record-ids&gt;&lt;item&gt;1&lt;/item&gt;&lt;item&gt;3&lt;/item&gt;&lt;item&gt;1115&lt;/item&gt;&lt;item&gt;1495&lt;/item&gt;&lt;item&gt;1623&lt;/item&gt;&lt;item&gt;1652&lt;/item&gt;&lt;item&gt;1653&lt;/item&gt;&lt;item&gt;1658&lt;/item&gt;&lt;item&gt;1659&lt;/item&gt;&lt;item&gt;1660&lt;/item&gt;&lt;item&gt;1661&lt;/item&gt;&lt;item&gt;1662&lt;/item&gt;&lt;item&gt;1663&lt;/item&gt;&lt;item&gt;1665&lt;/item&gt;&lt;item&gt;1667&lt;/item&gt;&lt;item&gt;1668&lt;/item&gt;&lt;item&gt;1669&lt;/item&gt;&lt;item&gt;1670&lt;/item&gt;&lt;item&gt;1671&lt;/item&gt;&lt;item&gt;1672&lt;/item&gt;&lt;item&gt;1673&lt;/item&gt;&lt;item&gt;1675&lt;/item&gt;&lt;item&gt;1676&lt;/item&gt;&lt;item&gt;1677&lt;/item&gt;&lt;item&gt;1678&lt;/item&gt;&lt;item&gt;1680&lt;/item&gt;&lt;item&gt;1681&lt;/item&gt;&lt;item&gt;1682&lt;/item&gt;&lt;item&gt;1683&lt;/item&gt;&lt;item&gt;1684&lt;/item&gt;&lt;item&gt;1685&lt;/item&gt;&lt;item&gt;1686&lt;/item&gt;&lt;item&gt;1687&lt;/item&gt;&lt;item&gt;1690&lt;/item&gt;&lt;item&gt;1691&lt;/item&gt;&lt;item&gt;1692&lt;/item&gt;&lt;item&gt;1695&lt;/item&gt;&lt;item&gt;1696&lt;/item&gt;&lt;item&gt;1697&lt;/item&gt;&lt;item&gt;1698&lt;/item&gt;&lt;item&gt;1699&lt;/item&gt;&lt;item&gt;1700&lt;/item&gt;&lt;item&gt;1701&lt;/item&gt;&lt;item&gt;1702&lt;/item&gt;&lt;item&gt;1703&lt;/item&gt;&lt;item&gt;1705&lt;/item&gt;&lt;item&gt;1706&lt;/item&gt;&lt;item&gt;1707&lt;/item&gt;&lt;item&gt;1708&lt;/item&gt;&lt;item&gt;1709&lt;/item&gt;&lt;item&gt;1710&lt;/item&gt;&lt;item&gt;1711&lt;/item&gt;&lt;item&gt;1712&lt;/item&gt;&lt;item&gt;1713&lt;/item&gt;&lt;/record-ids&gt;&lt;/item&gt;&lt;item db-id=&quot;wwwtrrt5p5v2ateftrj5pdp40za5dsz50dxa&quot;&gt;refs for elicit chapter&lt;record-ids&gt;&lt;item&gt;7&lt;/item&gt;&lt;/record-ids&gt;&lt;/item&gt;&lt;/Libraries&gt;"/>
  </w:docVars>
  <w:rsids>
    <w:rsidRoot w:val="00C93BB4"/>
    <w:rsid w:val="00033FE1"/>
    <w:rsid w:val="00035244"/>
    <w:rsid w:val="00041874"/>
    <w:rsid w:val="0004610C"/>
    <w:rsid w:val="0005528A"/>
    <w:rsid w:val="00055603"/>
    <w:rsid w:val="00063508"/>
    <w:rsid w:val="00065B41"/>
    <w:rsid w:val="000679D1"/>
    <w:rsid w:val="00075BA5"/>
    <w:rsid w:val="00090BA7"/>
    <w:rsid w:val="000910F0"/>
    <w:rsid w:val="00096B6B"/>
    <w:rsid w:val="000A5570"/>
    <w:rsid w:val="000A6DF4"/>
    <w:rsid w:val="000B1EA0"/>
    <w:rsid w:val="000B6DEF"/>
    <w:rsid w:val="000C7910"/>
    <w:rsid w:val="000D0818"/>
    <w:rsid w:val="000D286F"/>
    <w:rsid w:val="000D31F2"/>
    <w:rsid w:val="000D6129"/>
    <w:rsid w:val="000E48A9"/>
    <w:rsid w:val="000E6C0C"/>
    <w:rsid w:val="000E7D08"/>
    <w:rsid w:val="000F3800"/>
    <w:rsid w:val="001008F1"/>
    <w:rsid w:val="001058AA"/>
    <w:rsid w:val="0011311C"/>
    <w:rsid w:val="00115F79"/>
    <w:rsid w:val="00117B8A"/>
    <w:rsid w:val="00123454"/>
    <w:rsid w:val="00131191"/>
    <w:rsid w:val="00131953"/>
    <w:rsid w:val="00134A75"/>
    <w:rsid w:val="00136AD5"/>
    <w:rsid w:val="0013721B"/>
    <w:rsid w:val="0014149D"/>
    <w:rsid w:val="0014257E"/>
    <w:rsid w:val="001472F4"/>
    <w:rsid w:val="00156DC9"/>
    <w:rsid w:val="001625AB"/>
    <w:rsid w:val="00170060"/>
    <w:rsid w:val="00183AED"/>
    <w:rsid w:val="00184BB2"/>
    <w:rsid w:val="001A1ED8"/>
    <w:rsid w:val="001A528C"/>
    <w:rsid w:val="001B3AEB"/>
    <w:rsid w:val="001B41C7"/>
    <w:rsid w:val="001C3CE7"/>
    <w:rsid w:val="001D1DED"/>
    <w:rsid w:val="001D1FEB"/>
    <w:rsid w:val="001D4B89"/>
    <w:rsid w:val="001D5F96"/>
    <w:rsid w:val="001F624A"/>
    <w:rsid w:val="001F77EE"/>
    <w:rsid w:val="00200AB6"/>
    <w:rsid w:val="00201696"/>
    <w:rsid w:val="002045A4"/>
    <w:rsid w:val="002116D1"/>
    <w:rsid w:val="00215597"/>
    <w:rsid w:val="002228B7"/>
    <w:rsid w:val="002378CC"/>
    <w:rsid w:val="002378DD"/>
    <w:rsid w:val="00256023"/>
    <w:rsid w:val="00261755"/>
    <w:rsid w:val="00262D84"/>
    <w:rsid w:val="002832CA"/>
    <w:rsid w:val="00284024"/>
    <w:rsid w:val="0028570A"/>
    <w:rsid w:val="00285B9C"/>
    <w:rsid w:val="00294BF0"/>
    <w:rsid w:val="002B0FBE"/>
    <w:rsid w:val="002D06F5"/>
    <w:rsid w:val="002D092A"/>
    <w:rsid w:val="002D510D"/>
    <w:rsid w:val="002F4AD6"/>
    <w:rsid w:val="002F7674"/>
    <w:rsid w:val="003128BE"/>
    <w:rsid w:val="00320536"/>
    <w:rsid w:val="003241AE"/>
    <w:rsid w:val="0033404D"/>
    <w:rsid w:val="00334959"/>
    <w:rsid w:val="00335D96"/>
    <w:rsid w:val="003409FE"/>
    <w:rsid w:val="00340C00"/>
    <w:rsid w:val="00346AEB"/>
    <w:rsid w:val="003474D2"/>
    <w:rsid w:val="00354682"/>
    <w:rsid w:val="00357C31"/>
    <w:rsid w:val="00370F91"/>
    <w:rsid w:val="00372D9B"/>
    <w:rsid w:val="00387A6A"/>
    <w:rsid w:val="00390A62"/>
    <w:rsid w:val="00391EAF"/>
    <w:rsid w:val="00392D58"/>
    <w:rsid w:val="003932F2"/>
    <w:rsid w:val="003A6FFB"/>
    <w:rsid w:val="003A71A0"/>
    <w:rsid w:val="003B0B22"/>
    <w:rsid w:val="003B464E"/>
    <w:rsid w:val="003D410F"/>
    <w:rsid w:val="003D52CB"/>
    <w:rsid w:val="003E1FFD"/>
    <w:rsid w:val="00412E37"/>
    <w:rsid w:val="00420FC5"/>
    <w:rsid w:val="004234A4"/>
    <w:rsid w:val="00432E5F"/>
    <w:rsid w:val="004360EB"/>
    <w:rsid w:val="004508C0"/>
    <w:rsid w:val="00452889"/>
    <w:rsid w:val="00485081"/>
    <w:rsid w:val="00492287"/>
    <w:rsid w:val="00493747"/>
    <w:rsid w:val="00497AF6"/>
    <w:rsid w:val="004C1466"/>
    <w:rsid w:val="004C2CE0"/>
    <w:rsid w:val="004C4DAD"/>
    <w:rsid w:val="004F7E66"/>
    <w:rsid w:val="005007A0"/>
    <w:rsid w:val="00527ADA"/>
    <w:rsid w:val="00527EBF"/>
    <w:rsid w:val="00532D16"/>
    <w:rsid w:val="0053689E"/>
    <w:rsid w:val="0053790B"/>
    <w:rsid w:val="0054001F"/>
    <w:rsid w:val="00551413"/>
    <w:rsid w:val="0055738A"/>
    <w:rsid w:val="0059374D"/>
    <w:rsid w:val="00594F85"/>
    <w:rsid w:val="005A0987"/>
    <w:rsid w:val="005A3592"/>
    <w:rsid w:val="005A435B"/>
    <w:rsid w:val="005A4B88"/>
    <w:rsid w:val="005B1EC2"/>
    <w:rsid w:val="005C45B6"/>
    <w:rsid w:val="005E17D3"/>
    <w:rsid w:val="005E59B3"/>
    <w:rsid w:val="005F056B"/>
    <w:rsid w:val="00600C6F"/>
    <w:rsid w:val="006033CB"/>
    <w:rsid w:val="00616480"/>
    <w:rsid w:val="0062567E"/>
    <w:rsid w:val="00625E37"/>
    <w:rsid w:val="0063152E"/>
    <w:rsid w:val="006337D1"/>
    <w:rsid w:val="00637B40"/>
    <w:rsid w:val="006419F5"/>
    <w:rsid w:val="0064306E"/>
    <w:rsid w:val="0065087D"/>
    <w:rsid w:val="0065696D"/>
    <w:rsid w:val="00657456"/>
    <w:rsid w:val="00673865"/>
    <w:rsid w:val="00674757"/>
    <w:rsid w:val="006828FE"/>
    <w:rsid w:val="00687316"/>
    <w:rsid w:val="00693717"/>
    <w:rsid w:val="00697D5B"/>
    <w:rsid w:val="006A283F"/>
    <w:rsid w:val="006B0D61"/>
    <w:rsid w:val="006C1C3B"/>
    <w:rsid w:val="006C5F54"/>
    <w:rsid w:val="006D624A"/>
    <w:rsid w:val="006D68D0"/>
    <w:rsid w:val="006F7441"/>
    <w:rsid w:val="006F7DB4"/>
    <w:rsid w:val="00702243"/>
    <w:rsid w:val="00707FF2"/>
    <w:rsid w:val="00713D89"/>
    <w:rsid w:val="007145F0"/>
    <w:rsid w:val="007314B5"/>
    <w:rsid w:val="007366FD"/>
    <w:rsid w:val="00736A74"/>
    <w:rsid w:val="00743BF7"/>
    <w:rsid w:val="00751D73"/>
    <w:rsid w:val="00754DC6"/>
    <w:rsid w:val="00755846"/>
    <w:rsid w:val="00760AE0"/>
    <w:rsid w:val="00762102"/>
    <w:rsid w:val="00764758"/>
    <w:rsid w:val="00766F9B"/>
    <w:rsid w:val="00772C19"/>
    <w:rsid w:val="00784641"/>
    <w:rsid w:val="0078629A"/>
    <w:rsid w:val="007935C0"/>
    <w:rsid w:val="00794232"/>
    <w:rsid w:val="0079667B"/>
    <w:rsid w:val="007A3A0F"/>
    <w:rsid w:val="007C0E49"/>
    <w:rsid w:val="007C1FC6"/>
    <w:rsid w:val="007E61F0"/>
    <w:rsid w:val="008125DC"/>
    <w:rsid w:val="008309FB"/>
    <w:rsid w:val="00831FCA"/>
    <w:rsid w:val="00833E12"/>
    <w:rsid w:val="0083681A"/>
    <w:rsid w:val="00855B9C"/>
    <w:rsid w:val="008622A5"/>
    <w:rsid w:val="008700B1"/>
    <w:rsid w:val="00873C17"/>
    <w:rsid w:val="00885E22"/>
    <w:rsid w:val="008915F9"/>
    <w:rsid w:val="008A7AA9"/>
    <w:rsid w:val="008B0FCD"/>
    <w:rsid w:val="008B497E"/>
    <w:rsid w:val="008B4C8A"/>
    <w:rsid w:val="008B6AF8"/>
    <w:rsid w:val="008D5658"/>
    <w:rsid w:val="008D7DDC"/>
    <w:rsid w:val="008E45C9"/>
    <w:rsid w:val="008F35E5"/>
    <w:rsid w:val="00907AA2"/>
    <w:rsid w:val="00912473"/>
    <w:rsid w:val="009142B7"/>
    <w:rsid w:val="00915841"/>
    <w:rsid w:val="00926230"/>
    <w:rsid w:val="009321FB"/>
    <w:rsid w:val="00933D76"/>
    <w:rsid w:val="0093448D"/>
    <w:rsid w:val="00935313"/>
    <w:rsid w:val="009359F1"/>
    <w:rsid w:val="00950FF4"/>
    <w:rsid w:val="009543B7"/>
    <w:rsid w:val="00965723"/>
    <w:rsid w:val="00973137"/>
    <w:rsid w:val="009739F8"/>
    <w:rsid w:val="0097676E"/>
    <w:rsid w:val="009833FA"/>
    <w:rsid w:val="009A49EA"/>
    <w:rsid w:val="009B002B"/>
    <w:rsid w:val="009B18E1"/>
    <w:rsid w:val="009C6305"/>
    <w:rsid w:val="009D5857"/>
    <w:rsid w:val="009E4136"/>
    <w:rsid w:val="009E50C4"/>
    <w:rsid w:val="009F7543"/>
    <w:rsid w:val="00A03250"/>
    <w:rsid w:val="00A07CFE"/>
    <w:rsid w:val="00A17031"/>
    <w:rsid w:val="00A23C35"/>
    <w:rsid w:val="00A24C7C"/>
    <w:rsid w:val="00A263C6"/>
    <w:rsid w:val="00A26ED0"/>
    <w:rsid w:val="00A45721"/>
    <w:rsid w:val="00A73BEA"/>
    <w:rsid w:val="00A75DB7"/>
    <w:rsid w:val="00A870AB"/>
    <w:rsid w:val="00A87F2C"/>
    <w:rsid w:val="00A91640"/>
    <w:rsid w:val="00AB4D84"/>
    <w:rsid w:val="00AC1C7A"/>
    <w:rsid w:val="00AC33F4"/>
    <w:rsid w:val="00AE0D20"/>
    <w:rsid w:val="00AE68ED"/>
    <w:rsid w:val="00AF05B0"/>
    <w:rsid w:val="00B02892"/>
    <w:rsid w:val="00B055CC"/>
    <w:rsid w:val="00B14163"/>
    <w:rsid w:val="00B164D4"/>
    <w:rsid w:val="00B170F1"/>
    <w:rsid w:val="00B27EFC"/>
    <w:rsid w:val="00B325F5"/>
    <w:rsid w:val="00B33F54"/>
    <w:rsid w:val="00B42B98"/>
    <w:rsid w:val="00B479FA"/>
    <w:rsid w:val="00B5536A"/>
    <w:rsid w:val="00B678CA"/>
    <w:rsid w:val="00B73AE8"/>
    <w:rsid w:val="00B75E8C"/>
    <w:rsid w:val="00B7744D"/>
    <w:rsid w:val="00B91E97"/>
    <w:rsid w:val="00B97205"/>
    <w:rsid w:val="00BA35F6"/>
    <w:rsid w:val="00BA7451"/>
    <w:rsid w:val="00BB6B37"/>
    <w:rsid w:val="00BD1AF3"/>
    <w:rsid w:val="00BD50C1"/>
    <w:rsid w:val="00BD523E"/>
    <w:rsid w:val="00BD58ED"/>
    <w:rsid w:val="00BE44F7"/>
    <w:rsid w:val="00BE7871"/>
    <w:rsid w:val="00C0747D"/>
    <w:rsid w:val="00C12CED"/>
    <w:rsid w:val="00C214A2"/>
    <w:rsid w:val="00C37753"/>
    <w:rsid w:val="00C40569"/>
    <w:rsid w:val="00C533C7"/>
    <w:rsid w:val="00C62AB5"/>
    <w:rsid w:val="00C76441"/>
    <w:rsid w:val="00C87F7B"/>
    <w:rsid w:val="00C93BB4"/>
    <w:rsid w:val="00C96192"/>
    <w:rsid w:val="00CA2EC1"/>
    <w:rsid w:val="00CA3542"/>
    <w:rsid w:val="00CA53BE"/>
    <w:rsid w:val="00CA5F75"/>
    <w:rsid w:val="00CA6CE8"/>
    <w:rsid w:val="00CB37F3"/>
    <w:rsid w:val="00CB469D"/>
    <w:rsid w:val="00CC38E4"/>
    <w:rsid w:val="00CC6E9B"/>
    <w:rsid w:val="00CC719D"/>
    <w:rsid w:val="00CD1C79"/>
    <w:rsid w:val="00CD20D9"/>
    <w:rsid w:val="00CE379D"/>
    <w:rsid w:val="00CF13D2"/>
    <w:rsid w:val="00CF2FFF"/>
    <w:rsid w:val="00CF59EF"/>
    <w:rsid w:val="00D11D7E"/>
    <w:rsid w:val="00D21A8A"/>
    <w:rsid w:val="00D2581A"/>
    <w:rsid w:val="00D27FC0"/>
    <w:rsid w:val="00D377B1"/>
    <w:rsid w:val="00D4059F"/>
    <w:rsid w:val="00D41E69"/>
    <w:rsid w:val="00D46A1E"/>
    <w:rsid w:val="00D46CC4"/>
    <w:rsid w:val="00D530C2"/>
    <w:rsid w:val="00D5727E"/>
    <w:rsid w:val="00DA0952"/>
    <w:rsid w:val="00DA1610"/>
    <w:rsid w:val="00DA3DC9"/>
    <w:rsid w:val="00DB2D63"/>
    <w:rsid w:val="00DC0D55"/>
    <w:rsid w:val="00DC639C"/>
    <w:rsid w:val="00DD68FF"/>
    <w:rsid w:val="00DE3B69"/>
    <w:rsid w:val="00E0310B"/>
    <w:rsid w:val="00E0746E"/>
    <w:rsid w:val="00E10953"/>
    <w:rsid w:val="00E1463C"/>
    <w:rsid w:val="00E211A4"/>
    <w:rsid w:val="00E21D4E"/>
    <w:rsid w:val="00E22C72"/>
    <w:rsid w:val="00E35002"/>
    <w:rsid w:val="00E44FCB"/>
    <w:rsid w:val="00E45B1E"/>
    <w:rsid w:val="00E50D66"/>
    <w:rsid w:val="00E54FB7"/>
    <w:rsid w:val="00E60B8B"/>
    <w:rsid w:val="00E6617F"/>
    <w:rsid w:val="00E72513"/>
    <w:rsid w:val="00E77410"/>
    <w:rsid w:val="00E87CD6"/>
    <w:rsid w:val="00EA1DAC"/>
    <w:rsid w:val="00EA38B4"/>
    <w:rsid w:val="00EA5F0B"/>
    <w:rsid w:val="00EA6DD3"/>
    <w:rsid w:val="00EB18A9"/>
    <w:rsid w:val="00EB6456"/>
    <w:rsid w:val="00ED0735"/>
    <w:rsid w:val="00ED2DD8"/>
    <w:rsid w:val="00ED3401"/>
    <w:rsid w:val="00EE2AB6"/>
    <w:rsid w:val="00EE736D"/>
    <w:rsid w:val="00EF4B67"/>
    <w:rsid w:val="00F02266"/>
    <w:rsid w:val="00F04083"/>
    <w:rsid w:val="00F221EE"/>
    <w:rsid w:val="00F23F59"/>
    <w:rsid w:val="00F25E1E"/>
    <w:rsid w:val="00F272A5"/>
    <w:rsid w:val="00F35F04"/>
    <w:rsid w:val="00F368D9"/>
    <w:rsid w:val="00F45E88"/>
    <w:rsid w:val="00F47EFB"/>
    <w:rsid w:val="00F51BF0"/>
    <w:rsid w:val="00F714FD"/>
    <w:rsid w:val="00F85C8A"/>
    <w:rsid w:val="00F87486"/>
    <w:rsid w:val="00F96495"/>
    <w:rsid w:val="00FA0442"/>
    <w:rsid w:val="00FA08C0"/>
    <w:rsid w:val="00FA26D2"/>
    <w:rsid w:val="00FC77BA"/>
    <w:rsid w:val="00FD7055"/>
    <w:rsid w:val="00FE63AF"/>
    <w:rsid w:val="00FF0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46"/>
  </w:style>
  <w:style w:type="paragraph" w:styleId="Heading1">
    <w:name w:val="heading 1"/>
    <w:basedOn w:val="Normal"/>
    <w:next w:val="Normal"/>
    <w:link w:val="Heading1Char"/>
    <w:uiPriority w:val="9"/>
    <w:qFormat/>
    <w:rsid w:val="00755846"/>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eastAsia="zh-HK"/>
    </w:rPr>
  </w:style>
  <w:style w:type="paragraph" w:styleId="Heading2">
    <w:name w:val="heading 2"/>
    <w:basedOn w:val="Normal"/>
    <w:next w:val="Normal"/>
    <w:link w:val="Heading2Char"/>
    <w:uiPriority w:val="9"/>
    <w:semiHidden/>
    <w:unhideWhenUsed/>
    <w:qFormat/>
    <w:rsid w:val="00755846"/>
    <w:pPr>
      <w:keepNext/>
      <w:keepLines/>
      <w:spacing w:before="200" w:after="0"/>
      <w:jc w:val="both"/>
      <w:outlineLvl w:val="1"/>
    </w:pPr>
    <w:rPr>
      <w:rFonts w:asciiTheme="majorHAnsi" w:eastAsiaTheme="majorEastAsia" w:hAnsiTheme="majorHAnsi" w:cstheme="majorBidi"/>
      <w:b/>
      <w:bCs/>
      <w:color w:val="4F81BD" w:themeColor="accent1"/>
      <w:sz w:val="26"/>
      <w:szCs w:val="26"/>
      <w:lang w:eastAsia="zh-HK"/>
    </w:rPr>
  </w:style>
  <w:style w:type="paragraph" w:styleId="Heading3">
    <w:name w:val="heading 3"/>
    <w:basedOn w:val="Normal"/>
    <w:next w:val="Normal"/>
    <w:link w:val="Heading3Char"/>
    <w:unhideWhenUsed/>
    <w:qFormat/>
    <w:rsid w:val="00755846"/>
    <w:pPr>
      <w:tabs>
        <w:tab w:val="num" w:pos="1224"/>
      </w:tabs>
      <w:spacing w:before="200" w:after="0" w:line="271" w:lineRule="auto"/>
      <w:ind w:left="1224" w:hanging="504"/>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nhideWhenUsed/>
    <w:qFormat/>
    <w:rsid w:val="00755846"/>
    <w:pPr>
      <w:tabs>
        <w:tab w:val="num" w:pos="1358"/>
      </w:tabs>
      <w:spacing w:before="200" w:after="0"/>
      <w:ind w:left="1358" w:hanging="648"/>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nhideWhenUsed/>
    <w:qFormat/>
    <w:rsid w:val="00755846"/>
    <w:pPr>
      <w:spacing w:before="200" w:after="0"/>
      <w:outlineLvl w:val="4"/>
    </w:pPr>
    <w:rPr>
      <w:rFonts w:asciiTheme="majorHAnsi" w:eastAsiaTheme="majorEastAsia" w:hAnsiTheme="majorHAnsi" w:cstheme="majorBidi"/>
      <w:b/>
      <w:bCs/>
      <w:color w:val="7F7F7F" w:themeColor="text1" w:themeTint="8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846"/>
    <w:rPr>
      <w:rFonts w:asciiTheme="majorHAnsi" w:eastAsiaTheme="majorEastAsia" w:hAnsiTheme="majorHAnsi" w:cstheme="majorBidi"/>
      <w:b/>
      <w:bCs/>
      <w:color w:val="365F91" w:themeColor="accent1" w:themeShade="BF"/>
      <w:sz w:val="28"/>
      <w:szCs w:val="28"/>
      <w:lang w:eastAsia="zh-HK"/>
    </w:rPr>
  </w:style>
  <w:style w:type="character" w:customStyle="1" w:styleId="Heading2Char">
    <w:name w:val="Heading 2 Char"/>
    <w:basedOn w:val="DefaultParagraphFont"/>
    <w:link w:val="Heading2"/>
    <w:uiPriority w:val="9"/>
    <w:semiHidden/>
    <w:rsid w:val="00755846"/>
    <w:rPr>
      <w:rFonts w:asciiTheme="majorHAnsi" w:eastAsiaTheme="majorEastAsia" w:hAnsiTheme="majorHAnsi" w:cstheme="majorBidi"/>
      <w:b/>
      <w:bCs/>
      <w:color w:val="4F81BD" w:themeColor="accent1"/>
      <w:sz w:val="26"/>
      <w:szCs w:val="26"/>
      <w:lang w:eastAsia="zh-HK"/>
    </w:rPr>
  </w:style>
  <w:style w:type="character" w:customStyle="1" w:styleId="Heading3Char">
    <w:name w:val="Heading 3 Char"/>
    <w:basedOn w:val="DefaultParagraphFont"/>
    <w:link w:val="Heading3"/>
    <w:uiPriority w:val="9"/>
    <w:rsid w:val="00755846"/>
    <w:rPr>
      <w:rFonts w:asciiTheme="majorHAnsi" w:eastAsiaTheme="majorEastAsia" w:hAnsiTheme="majorHAnsi" w:cstheme="majorBidi"/>
      <w:b/>
      <w:bCs/>
      <w:lang w:bidi="en-US"/>
    </w:rPr>
  </w:style>
  <w:style w:type="character" w:customStyle="1" w:styleId="Heading4Char">
    <w:name w:val="Heading 4 Char"/>
    <w:basedOn w:val="DefaultParagraphFont"/>
    <w:link w:val="Heading4"/>
    <w:rsid w:val="00755846"/>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rsid w:val="00755846"/>
    <w:rPr>
      <w:rFonts w:asciiTheme="majorHAnsi" w:eastAsiaTheme="majorEastAsia" w:hAnsiTheme="majorHAnsi" w:cstheme="majorBidi"/>
      <w:b/>
      <w:bCs/>
      <w:color w:val="7F7F7F" w:themeColor="text1" w:themeTint="80"/>
      <w:lang w:bidi="en-US"/>
    </w:rPr>
  </w:style>
  <w:style w:type="paragraph" w:styleId="NoSpacing">
    <w:name w:val="No Spacing"/>
    <w:link w:val="NoSpacingChar"/>
    <w:uiPriority w:val="99"/>
    <w:qFormat/>
    <w:rsid w:val="00755846"/>
    <w:pPr>
      <w:spacing w:after="0" w:line="240" w:lineRule="auto"/>
    </w:pPr>
  </w:style>
  <w:style w:type="character" w:customStyle="1" w:styleId="NoSpacingChar">
    <w:name w:val="No Spacing Char"/>
    <w:basedOn w:val="DefaultParagraphFont"/>
    <w:link w:val="NoSpacing"/>
    <w:uiPriority w:val="99"/>
    <w:rsid w:val="00755846"/>
  </w:style>
  <w:style w:type="character" w:styleId="CommentReference">
    <w:name w:val="annotation reference"/>
    <w:basedOn w:val="DefaultParagraphFont"/>
    <w:uiPriority w:val="99"/>
    <w:unhideWhenUsed/>
    <w:rsid w:val="00755846"/>
    <w:rPr>
      <w:sz w:val="16"/>
      <w:szCs w:val="16"/>
    </w:rPr>
  </w:style>
  <w:style w:type="paragraph" w:styleId="CommentText">
    <w:name w:val="annotation text"/>
    <w:basedOn w:val="Normal"/>
    <w:link w:val="CommentTextChar"/>
    <w:uiPriority w:val="99"/>
    <w:unhideWhenUsed/>
    <w:rsid w:val="00755846"/>
    <w:pPr>
      <w:spacing w:line="240" w:lineRule="auto"/>
    </w:pPr>
    <w:rPr>
      <w:sz w:val="20"/>
      <w:szCs w:val="20"/>
    </w:rPr>
  </w:style>
  <w:style w:type="character" w:customStyle="1" w:styleId="CommentTextChar">
    <w:name w:val="Comment Text Char"/>
    <w:basedOn w:val="DefaultParagraphFont"/>
    <w:link w:val="CommentText"/>
    <w:uiPriority w:val="99"/>
    <w:rsid w:val="00755846"/>
    <w:rPr>
      <w:sz w:val="20"/>
      <w:szCs w:val="20"/>
    </w:rPr>
  </w:style>
  <w:style w:type="paragraph" w:styleId="BalloonText">
    <w:name w:val="Balloon Text"/>
    <w:basedOn w:val="Normal"/>
    <w:link w:val="BalloonTextChar"/>
    <w:uiPriority w:val="99"/>
    <w:semiHidden/>
    <w:unhideWhenUsed/>
    <w:rsid w:val="00755846"/>
    <w:pPr>
      <w:spacing w:after="0" w:line="240" w:lineRule="auto"/>
      <w:jc w:val="both"/>
    </w:pPr>
    <w:rPr>
      <w:rFonts w:ascii="Tahoma" w:eastAsiaTheme="minorEastAsia" w:hAnsi="Tahoma" w:cs="Tahoma"/>
      <w:sz w:val="16"/>
      <w:szCs w:val="16"/>
      <w:lang w:eastAsia="zh-HK"/>
    </w:rPr>
  </w:style>
  <w:style w:type="character" w:customStyle="1" w:styleId="BalloonTextChar">
    <w:name w:val="Balloon Text Char"/>
    <w:basedOn w:val="DefaultParagraphFont"/>
    <w:link w:val="BalloonText"/>
    <w:uiPriority w:val="99"/>
    <w:semiHidden/>
    <w:rsid w:val="00755846"/>
    <w:rPr>
      <w:rFonts w:ascii="Tahoma" w:eastAsiaTheme="minorEastAsia" w:hAnsi="Tahoma" w:cs="Tahoma"/>
      <w:sz w:val="16"/>
      <w:szCs w:val="16"/>
      <w:lang w:eastAsia="zh-HK"/>
    </w:rPr>
  </w:style>
  <w:style w:type="paragraph" w:styleId="ListParagraph">
    <w:name w:val="List Paragraph"/>
    <w:basedOn w:val="Normal"/>
    <w:uiPriority w:val="34"/>
    <w:qFormat/>
    <w:rsid w:val="00755846"/>
    <w:pPr>
      <w:ind w:left="720"/>
      <w:contextualSpacing/>
    </w:pPr>
  </w:style>
  <w:style w:type="table" w:styleId="TableGrid">
    <w:name w:val="Table Grid"/>
    <w:basedOn w:val="TableNormal"/>
    <w:uiPriority w:val="59"/>
    <w:rsid w:val="00755846"/>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1">
    <w:name w:val="Style1111"/>
    <w:uiPriority w:val="99"/>
    <w:rsid w:val="00755846"/>
    <w:pPr>
      <w:numPr>
        <w:numId w:val="2"/>
      </w:numPr>
    </w:pPr>
  </w:style>
  <w:style w:type="numbering" w:customStyle="1" w:styleId="Style1143">
    <w:name w:val="Style1143"/>
    <w:uiPriority w:val="99"/>
    <w:rsid w:val="00755846"/>
    <w:pPr>
      <w:numPr>
        <w:numId w:val="1"/>
      </w:numPr>
    </w:pPr>
  </w:style>
  <w:style w:type="character" w:styleId="Hyperlink">
    <w:name w:val="Hyperlink"/>
    <w:basedOn w:val="DefaultParagraphFont"/>
    <w:uiPriority w:val="99"/>
    <w:unhideWhenUsed/>
    <w:rsid w:val="0075584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55846"/>
    <w:pPr>
      <w:spacing w:after="0"/>
      <w:jc w:val="both"/>
    </w:pPr>
    <w:rPr>
      <w:rFonts w:ascii="Times New Roman" w:eastAsiaTheme="minorEastAsia" w:hAnsi="Times New Roman" w:cs="Times New Roman"/>
      <w:b/>
      <w:bCs/>
      <w:lang w:eastAsia="zh-HK"/>
    </w:rPr>
  </w:style>
  <w:style w:type="character" w:customStyle="1" w:styleId="CommentSubjectChar">
    <w:name w:val="Comment Subject Char"/>
    <w:basedOn w:val="CommentTextChar"/>
    <w:link w:val="CommentSubject"/>
    <w:uiPriority w:val="99"/>
    <w:semiHidden/>
    <w:rsid w:val="00755846"/>
    <w:rPr>
      <w:rFonts w:ascii="Times New Roman" w:eastAsiaTheme="minorEastAsia" w:hAnsi="Times New Roman" w:cs="Times New Roman"/>
      <w:b/>
      <w:bCs/>
      <w:sz w:val="20"/>
      <w:szCs w:val="20"/>
      <w:lang w:eastAsia="zh-HK"/>
    </w:rPr>
  </w:style>
  <w:style w:type="paragraph" w:styleId="Revision">
    <w:name w:val="Revision"/>
    <w:hidden/>
    <w:uiPriority w:val="99"/>
    <w:semiHidden/>
    <w:rsid w:val="00755846"/>
    <w:pPr>
      <w:spacing w:after="0" w:line="240" w:lineRule="auto"/>
    </w:pPr>
    <w:rPr>
      <w:rFonts w:ascii="Times New Roman" w:eastAsiaTheme="minorEastAsia" w:hAnsi="Times New Roman" w:cs="Times New Roman"/>
      <w:lang w:eastAsia="zh-HK"/>
    </w:rPr>
  </w:style>
  <w:style w:type="paragraph" w:customStyle="1" w:styleId="EndNoteBibliographyTitle">
    <w:name w:val="EndNote Bibliography Title"/>
    <w:basedOn w:val="Normal"/>
    <w:link w:val="EndNoteBibliographyTitleChar"/>
    <w:rsid w:val="00755846"/>
    <w:pPr>
      <w:spacing w:after="0"/>
      <w:jc w:val="center"/>
    </w:pPr>
    <w:rPr>
      <w:rFonts w:ascii="Times New Roman" w:eastAsiaTheme="minorEastAsia" w:hAnsi="Times New Roman" w:cs="Times New Roman"/>
      <w:noProof/>
      <w:lang w:eastAsia="zh-HK"/>
    </w:rPr>
  </w:style>
  <w:style w:type="character" w:customStyle="1" w:styleId="EndNoteBibliographyTitleChar">
    <w:name w:val="EndNote Bibliography Title Char"/>
    <w:basedOn w:val="NoSpacingChar"/>
    <w:link w:val="EndNoteBibliographyTitle"/>
    <w:rsid w:val="00755846"/>
    <w:rPr>
      <w:rFonts w:ascii="Times New Roman" w:eastAsiaTheme="minorEastAsia" w:hAnsi="Times New Roman" w:cs="Times New Roman"/>
      <w:noProof/>
      <w:lang w:eastAsia="zh-HK"/>
    </w:rPr>
  </w:style>
  <w:style w:type="paragraph" w:customStyle="1" w:styleId="EndNoteBibliography">
    <w:name w:val="EndNote Bibliography"/>
    <w:basedOn w:val="Normal"/>
    <w:link w:val="EndNoteBibliographyChar"/>
    <w:rsid w:val="00755846"/>
    <w:pPr>
      <w:spacing w:after="0" w:line="240" w:lineRule="auto"/>
      <w:jc w:val="both"/>
    </w:pPr>
    <w:rPr>
      <w:rFonts w:ascii="Times New Roman" w:eastAsiaTheme="minorEastAsia" w:hAnsi="Times New Roman" w:cs="Times New Roman"/>
      <w:noProof/>
      <w:lang w:eastAsia="zh-HK"/>
    </w:rPr>
  </w:style>
  <w:style w:type="character" w:customStyle="1" w:styleId="EndNoteBibliographyChar">
    <w:name w:val="EndNote Bibliography Char"/>
    <w:basedOn w:val="NoSpacingChar"/>
    <w:link w:val="EndNoteBibliography"/>
    <w:rsid w:val="00755846"/>
    <w:rPr>
      <w:rFonts w:ascii="Times New Roman" w:eastAsiaTheme="minorEastAsia" w:hAnsi="Times New Roman" w:cs="Times New Roman"/>
      <w:noProof/>
      <w:lang w:eastAsia="zh-HK"/>
    </w:rPr>
  </w:style>
  <w:style w:type="character" w:styleId="FollowedHyperlink">
    <w:name w:val="FollowedHyperlink"/>
    <w:basedOn w:val="DefaultParagraphFont"/>
    <w:uiPriority w:val="99"/>
    <w:semiHidden/>
    <w:unhideWhenUsed/>
    <w:rsid w:val="00755846"/>
    <w:rPr>
      <w:color w:val="800080" w:themeColor="followedHyperlink"/>
      <w:u w:val="single"/>
    </w:rPr>
  </w:style>
  <w:style w:type="paragraph" w:styleId="NormalWeb">
    <w:name w:val="Normal (Web)"/>
    <w:basedOn w:val="Normal"/>
    <w:uiPriority w:val="99"/>
    <w:semiHidden/>
    <w:unhideWhenUsed/>
    <w:rsid w:val="00755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497AF6"/>
    <w:pPr>
      <w:spacing w:after="0" w:line="240" w:lineRule="auto"/>
    </w:pPr>
    <w:rPr>
      <w:sz w:val="24"/>
      <w:szCs w:val="24"/>
    </w:rPr>
  </w:style>
  <w:style w:type="character" w:customStyle="1" w:styleId="FootnoteTextChar">
    <w:name w:val="Footnote Text Char"/>
    <w:basedOn w:val="DefaultParagraphFont"/>
    <w:link w:val="FootnoteText"/>
    <w:uiPriority w:val="99"/>
    <w:rsid w:val="00497AF6"/>
    <w:rPr>
      <w:sz w:val="24"/>
      <w:szCs w:val="24"/>
    </w:rPr>
  </w:style>
  <w:style w:type="character" w:styleId="FootnoteReference">
    <w:name w:val="footnote reference"/>
    <w:basedOn w:val="DefaultParagraphFont"/>
    <w:uiPriority w:val="99"/>
    <w:unhideWhenUsed/>
    <w:rsid w:val="00497AF6"/>
    <w:rPr>
      <w:vertAlign w:val="superscript"/>
    </w:rPr>
  </w:style>
  <w:style w:type="paragraph" w:styleId="Footer">
    <w:name w:val="footer"/>
    <w:basedOn w:val="Normal"/>
    <w:link w:val="FooterChar"/>
    <w:uiPriority w:val="99"/>
    <w:unhideWhenUsed/>
    <w:rsid w:val="006430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306E"/>
  </w:style>
  <w:style w:type="character" w:styleId="PageNumber">
    <w:name w:val="page number"/>
    <w:basedOn w:val="DefaultParagraphFont"/>
    <w:uiPriority w:val="99"/>
    <w:semiHidden/>
    <w:unhideWhenUsed/>
    <w:rsid w:val="0064306E"/>
  </w:style>
  <w:style w:type="paragraph" w:styleId="Header">
    <w:name w:val="header"/>
    <w:basedOn w:val="Normal"/>
    <w:link w:val="HeaderChar"/>
    <w:uiPriority w:val="99"/>
    <w:unhideWhenUsed/>
    <w:rsid w:val="001D5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F96"/>
  </w:style>
  <w:style w:type="character" w:customStyle="1" w:styleId="apple-converted-space">
    <w:name w:val="apple-converted-space"/>
    <w:basedOn w:val="DefaultParagraphFont"/>
    <w:rsid w:val="0053790B"/>
  </w:style>
  <w:style w:type="paragraph" w:customStyle="1" w:styleId="svarticle">
    <w:name w:val="svarticle"/>
    <w:basedOn w:val="Normal"/>
    <w:rsid w:val="005379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46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46"/>
  </w:style>
  <w:style w:type="paragraph" w:styleId="Heading1">
    <w:name w:val="heading 1"/>
    <w:basedOn w:val="Normal"/>
    <w:next w:val="Normal"/>
    <w:link w:val="Heading1Char"/>
    <w:uiPriority w:val="9"/>
    <w:qFormat/>
    <w:rsid w:val="00755846"/>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eastAsia="zh-HK"/>
    </w:rPr>
  </w:style>
  <w:style w:type="paragraph" w:styleId="Heading2">
    <w:name w:val="heading 2"/>
    <w:basedOn w:val="Normal"/>
    <w:next w:val="Normal"/>
    <w:link w:val="Heading2Char"/>
    <w:uiPriority w:val="9"/>
    <w:semiHidden/>
    <w:unhideWhenUsed/>
    <w:qFormat/>
    <w:rsid w:val="00755846"/>
    <w:pPr>
      <w:keepNext/>
      <w:keepLines/>
      <w:spacing w:before="200" w:after="0"/>
      <w:jc w:val="both"/>
      <w:outlineLvl w:val="1"/>
    </w:pPr>
    <w:rPr>
      <w:rFonts w:asciiTheme="majorHAnsi" w:eastAsiaTheme="majorEastAsia" w:hAnsiTheme="majorHAnsi" w:cstheme="majorBidi"/>
      <w:b/>
      <w:bCs/>
      <w:color w:val="4F81BD" w:themeColor="accent1"/>
      <w:sz w:val="26"/>
      <w:szCs w:val="26"/>
      <w:lang w:eastAsia="zh-HK"/>
    </w:rPr>
  </w:style>
  <w:style w:type="paragraph" w:styleId="Heading3">
    <w:name w:val="heading 3"/>
    <w:basedOn w:val="Normal"/>
    <w:next w:val="Normal"/>
    <w:link w:val="Heading3Char"/>
    <w:unhideWhenUsed/>
    <w:qFormat/>
    <w:rsid w:val="00755846"/>
    <w:pPr>
      <w:tabs>
        <w:tab w:val="num" w:pos="1224"/>
      </w:tabs>
      <w:spacing w:before="200" w:after="0" w:line="271" w:lineRule="auto"/>
      <w:ind w:left="1224" w:hanging="504"/>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nhideWhenUsed/>
    <w:qFormat/>
    <w:rsid w:val="00755846"/>
    <w:pPr>
      <w:tabs>
        <w:tab w:val="num" w:pos="1358"/>
      </w:tabs>
      <w:spacing w:before="200" w:after="0"/>
      <w:ind w:left="1358" w:hanging="648"/>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nhideWhenUsed/>
    <w:qFormat/>
    <w:rsid w:val="00755846"/>
    <w:pPr>
      <w:spacing w:before="200" w:after="0"/>
      <w:outlineLvl w:val="4"/>
    </w:pPr>
    <w:rPr>
      <w:rFonts w:asciiTheme="majorHAnsi" w:eastAsiaTheme="majorEastAsia" w:hAnsiTheme="majorHAnsi" w:cstheme="majorBidi"/>
      <w:b/>
      <w:bCs/>
      <w:color w:val="7F7F7F" w:themeColor="text1" w:themeTint="8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846"/>
    <w:rPr>
      <w:rFonts w:asciiTheme="majorHAnsi" w:eastAsiaTheme="majorEastAsia" w:hAnsiTheme="majorHAnsi" w:cstheme="majorBidi"/>
      <w:b/>
      <w:bCs/>
      <w:color w:val="365F91" w:themeColor="accent1" w:themeShade="BF"/>
      <w:sz w:val="28"/>
      <w:szCs w:val="28"/>
      <w:lang w:eastAsia="zh-HK"/>
    </w:rPr>
  </w:style>
  <w:style w:type="character" w:customStyle="1" w:styleId="Heading2Char">
    <w:name w:val="Heading 2 Char"/>
    <w:basedOn w:val="DefaultParagraphFont"/>
    <w:link w:val="Heading2"/>
    <w:uiPriority w:val="9"/>
    <w:semiHidden/>
    <w:rsid w:val="00755846"/>
    <w:rPr>
      <w:rFonts w:asciiTheme="majorHAnsi" w:eastAsiaTheme="majorEastAsia" w:hAnsiTheme="majorHAnsi" w:cstheme="majorBidi"/>
      <w:b/>
      <w:bCs/>
      <w:color w:val="4F81BD" w:themeColor="accent1"/>
      <w:sz w:val="26"/>
      <w:szCs w:val="26"/>
      <w:lang w:eastAsia="zh-HK"/>
    </w:rPr>
  </w:style>
  <w:style w:type="character" w:customStyle="1" w:styleId="Heading3Char">
    <w:name w:val="Heading 3 Char"/>
    <w:basedOn w:val="DefaultParagraphFont"/>
    <w:link w:val="Heading3"/>
    <w:uiPriority w:val="9"/>
    <w:rsid w:val="00755846"/>
    <w:rPr>
      <w:rFonts w:asciiTheme="majorHAnsi" w:eastAsiaTheme="majorEastAsia" w:hAnsiTheme="majorHAnsi" w:cstheme="majorBidi"/>
      <w:b/>
      <w:bCs/>
      <w:lang w:bidi="en-US"/>
    </w:rPr>
  </w:style>
  <w:style w:type="character" w:customStyle="1" w:styleId="Heading4Char">
    <w:name w:val="Heading 4 Char"/>
    <w:basedOn w:val="DefaultParagraphFont"/>
    <w:link w:val="Heading4"/>
    <w:rsid w:val="00755846"/>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rsid w:val="00755846"/>
    <w:rPr>
      <w:rFonts w:asciiTheme="majorHAnsi" w:eastAsiaTheme="majorEastAsia" w:hAnsiTheme="majorHAnsi" w:cstheme="majorBidi"/>
      <w:b/>
      <w:bCs/>
      <w:color w:val="7F7F7F" w:themeColor="text1" w:themeTint="80"/>
      <w:lang w:bidi="en-US"/>
    </w:rPr>
  </w:style>
  <w:style w:type="paragraph" w:styleId="NoSpacing">
    <w:name w:val="No Spacing"/>
    <w:link w:val="NoSpacingChar"/>
    <w:uiPriority w:val="99"/>
    <w:qFormat/>
    <w:rsid w:val="00755846"/>
    <w:pPr>
      <w:spacing w:after="0" w:line="240" w:lineRule="auto"/>
    </w:pPr>
  </w:style>
  <w:style w:type="character" w:customStyle="1" w:styleId="NoSpacingChar">
    <w:name w:val="No Spacing Char"/>
    <w:basedOn w:val="DefaultParagraphFont"/>
    <w:link w:val="NoSpacing"/>
    <w:uiPriority w:val="99"/>
    <w:rsid w:val="00755846"/>
  </w:style>
  <w:style w:type="character" w:styleId="CommentReference">
    <w:name w:val="annotation reference"/>
    <w:basedOn w:val="DefaultParagraphFont"/>
    <w:uiPriority w:val="99"/>
    <w:unhideWhenUsed/>
    <w:rsid w:val="00755846"/>
    <w:rPr>
      <w:sz w:val="16"/>
      <w:szCs w:val="16"/>
    </w:rPr>
  </w:style>
  <w:style w:type="paragraph" w:styleId="CommentText">
    <w:name w:val="annotation text"/>
    <w:basedOn w:val="Normal"/>
    <w:link w:val="CommentTextChar"/>
    <w:uiPriority w:val="99"/>
    <w:unhideWhenUsed/>
    <w:rsid w:val="00755846"/>
    <w:pPr>
      <w:spacing w:line="240" w:lineRule="auto"/>
    </w:pPr>
    <w:rPr>
      <w:sz w:val="20"/>
      <w:szCs w:val="20"/>
    </w:rPr>
  </w:style>
  <w:style w:type="character" w:customStyle="1" w:styleId="CommentTextChar">
    <w:name w:val="Comment Text Char"/>
    <w:basedOn w:val="DefaultParagraphFont"/>
    <w:link w:val="CommentText"/>
    <w:uiPriority w:val="99"/>
    <w:rsid w:val="00755846"/>
    <w:rPr>
      <w:sz w:val="20"/>
      <w:szCs w:val="20"/>
    </w:rPr>
  </w:style>
  <w:style w:type="paragraph" w:styleId="BalloonText">
    <w:name w:val="Balloon Text"/>
    <w:basedOn w:val="Normal"/>
    <w:link w:val="BalloonTextChar"/>
    <w:uiPriority w:val="99"/>
    <w:semiHidden/>
    <w:unhideWhenUsed/>
    <w:rsid w:val="00755846"/>
    <w:pPr>
      <w:spacing w:after="0" w:line="240" w:lineRule="auto"/>
      <w:jc w:val="both"/>
    </w:pPr>
    <w:rPr>
      <w:rFonts w:ascii="Tahoma" w:eastAsiaTheme="minorEastAsia" w:hAnsi="Tahoma" w:cs="Tahoma"/>
      <w:sz w:val="16"/>
      <w:szCs w:val="16"/>
      <w:lang w:eastAsia="zh-HK"/>
    </w:rPr>
  </w:style>
  <w:style w:type="character" w:customStyle="1" w:styleId="BalloonTextChar">
    <w:name w:val="Balloon Text Char"/>
    <w:basedOn w:val="DefaultParagraphFont"/>
    <w:link w:val="BalloonText"/>
    <w:uiPriority w:val="99"/>
    <w:semiHidden/>
    <w:rsid w:val="00755846"/>
    <w:rPr>
      <w:rFonts w:ascii="Tahoma" w:eastAsiaTheme="minorEastAsia" w:hAnsi="Tahoma" w:cs="Tahoma"/>
      <w:sz w:val="16"/>
      <w:szCs w:val="16"/>
      <w:lang w:eastAsia="zh-HK"/>
    </w:rPr>
  </w:style>
  <w:style w:type="paragraph" w:styleId="ListParagraph">
    <w:name w:val="List Paragraph"/>
    <w:basedOn w:val="Normal"/>
    <w:uiPriority w:val="34"/>
    <w:qFormat/>
    <w:rsid w:val="00755846"/>
    <w:pPr>
      <w:ind w:left="720"/>
      <w:contextualSpacing/>
    </w:pPr>
  </w:style>
  <w:style w:type="table" w:styleId="TableGrid">
    <w:name w:val="Table Grid"/>
    <w:basedOn w:val="TableNormal"/>
    <w:uiPriority w:val="59"/>
    <w:rsid w:val="00755846"/>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11">
    <w:name w:val="Style1111"/>
    <w:uiPriority w:val="99"/>
    <w:rsid w:val="00755846"/>
    <w:pPr>
      <w:numPr>
        <w:numId w:val="2"/>
      </w:numPr>
    </w:pPr>
  </w:style>
  <w:style w:type="numbering" w:customStyle="1" w:styleId="Style1143">
    <w:name w:val="Style1143"/>
    <w:uiPriority w:val="99"/>
    <w:rsid w:val="00755846"/>
    <w:pPr>
      <w:numPr>
        <w:numId w:val="1"/>
      </w:numPr>
    </w:pPr>
  </w:style>
  <w:style w:type="character" w:styleId="Hyperlink">
    <w:name w:val="Hyperlink"/>
    <w:basedOn w:val="DefaultParagraphFont"/>
    <w:uiPriority w:val="99"/>
    <w:unhideWhenUsed/>
    <w:rsid w:val="00755846"/>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755846"/>
    <w:pPr>
      <w:spacing w:after="0"/>
      <w:jc w:val="both"/>
    </w:pPr>
    <w:rPr>
      <w:rFonts w:ascii="Times New Roman" w:eastAsiaTheme="minorEastAsia" w:hAnsi="Times New Roman" w:cs="Times New Roman"/>
      <w:b/>
      <w:bCs/>
      <w:lang w:eastAsia="zh-HK"/>
    </w:rPr>
  </w:style>
  <w:style w:type="character" w:customStyle="1" w:styleId="CommentSubjectChar">
    <w:name w:val="Comment Subject Char"/>
    <w:basedOn w:val="CommentTextChar"/>
    <w:link w:val="CommentSubject"/>
    <w:uiPriority w:val="99"/>
    <w:semiHidden/>
    <w:rsid w:val="00755846"/>
    <w:rPr>
      <w:rFonts w:ascii="Times New Roman" w:eastAsiaTheme="minorEastAsia" w:hAnsi="Times New Roman" w:cs="Times New Roman"/>
      <w:b/>
      <w:bCs/>
      <w:sz w:val="20"/>
      <w:szCs w:val="20"/>
      <w:lang w:eastAsia="zh-HK"/>
    </w:rPr>
  </w:style>
  <w:style w:type="paragraph" w:styleId="Revision">
    <w:name w:val="Revision"/>
    <w:hidden/>
    <w:uiPriority w:val="99"/>
    <w:semiHidden/>
    <w:rsid w:val="00755846"/>
    <w:pPr>
      <w:spacing w:after="0" w:line="240" w:lineRule="auto"/>
    </w:pPr>
    <w:rPr>
      <w:rFonts w:ascii="Times New Roman" w:eastAsiaTheme="minorEastAsia" w:hAnsi="Times New Roman" w:cs="Times New Roman"/>
      <w:lang w:eastAsia="zh-HK"/>
    </w:rPr>
  </w:style>
  <w:style w:type="paragraph" w:customStyle="1" w:styleId="EndNoteBibliographyTitle">
    <w:name w:val="EndNote Bibliography Title"/>
    <w:basedOn w:val="Normal"/>
    <w:link w:val="EndNoteBibliographyTitleChar"/>
    <w:rsid w:val="00755846"/>
    <w:pPr>
      <w:spacing w:after="0"/>
      <w:jc w:val="center"/>
    </w:pPr>
    <w:rPr>
      <w:rFonts w:ascii="Times New Roman" w:eastAsiaTheme="minorEastAsia" w:hAnsi="Times New Roman" w:cs="Times New Roman"/>
      <w:noProof/>
      <w:lang w:eastAsia="zh-HK"/>
    </w:rPr>
  </w:style>
  <w:style w:type="character" w:customStyle="1" w:styleId="EndNoteBibliographyTitleChar">
    <w:name w:val="EndNote Bibliography Title Char"/>
    <w:basedOn w:val="NoSpacingChar"/>
    <w:link w:val="EndNoteBibliographyTitle"/>
    <w:rsid w:val="00755846"/>
    <w:rPr>
      <w:rFonts w:ascii="Times New Roman" w:eastAsiaTheme="minorEastAsia" w:hAnsi="Times New Roman" w:cs="Times New Roman"/>
      <w:noProof/>
      <w:lang w:eastAsia="zh-HK"/>
    </w:rPr>
  </w:style>
  <w:style w:type="paragraph" w:customStyle="1" w:styleId="EndNoteBibliography">
    <w:name w:val="EndNote Bibliography"/>
    <w:basedOn w:val="Normal"/>
    <w:link w:val="EndNoteBibliographyChar"/>
    <w:rsid w:val="00755846"/>
    <w:pPr>
      <w:spacing w:after="0" w:line="240" w:lineRule="auto"/>
      <w:jc w:val="both"/>
    </w:pPr>
    <w:rPr>
      <w:rFonts w:ascii="Times New Roman" w:eastAsiaTheme="minorEastAsia" w:hAnsi="Times New Roman" w:cs="Times New Roman"/>
      <w:noProof/>
      <w:lang w:eastAsia="zh-HK"/>
    </w:rPr>
  </w:style>
  <w:style w:type="character" w:customStyle="1" w:styleId="EndNoteBibliographyChar">
    <w:name w:val="EndNote Bibliography Char"/>
    <w:basedOn w:val="NoSpacingChar"/>
    <w:link w:val="EndNoteBibliography"/>
    <w:rsid w:val="00755846"/>
    <w:rPr>
      <w:rFonts w:ascii="Times New Roman" w:eastAsiaTheme="minorEastAsia" w:hAnsi="Times New Roman" w:cs="Times New Roman"/>
      <w:noProof/>
      <w:lang w:eastAsia="zh-HK"/>
    </w:rPr>
  </w:style>
  <w:style w:type="character" w:styleId="FollowedHyperlink">
    <w:name w:val="FollowedHyperlink"/>
    <w:basedOn w:val="DefaultParagraphFont"/>
    <w:uiPriority w:val="99"/>
    <w:semiHidden/>
    <w:unhideWhenUsed/>
    <w:rsid w:val="00755846"/>
    <w:rPr>
      <w:color w:val="800080" w:themeColor="followedHyperlink"/>
      <w:u w:val="single"/>
    </w:rPr>
  </w:style>
  <w:style w:type="paragraph" w:styleId="NormalWeb">
    <w:name w:val="Normal (Web)"/>
    <w:basedOn w:val="Normal"/>
    <w:uiPriority w:val="99"/>
    <w:semiHidden/>
    <w:unhideWhenUsed/>
    <w:rsid w:val="00755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497AF6"/>
    <w:pPr>
      <w:spacing w:after="0" w:line="240" w:lineRule="auto"/>
    </w:pPr>
    <w:rPr>
      <w:sz w:val="24"/>
      <w:szCs w:val="24"/>
    </w:rPr>
  </w:style>
  <w:style w:type="character" w:customStyle="1" w:styleId="FootnoteTextChar">
    <w:name w:val="Footnote Text Char"/>
    <w:basedOn w:val="DefaultParagraphFont"/>
    <w:link w:val="FootnoteText"/>
    <w:uiPriority w:val="99"/>
    <w:rsid w:val="00497AF6"/>
    <w:rPr>
      <w:sz w:val="24"/>
      <w:szCs w:val="24"/>
    </w:rPr>
  </w:style>
  <w:style w:type="character" w:styleId="FootnoteReference">
    <w:name w:val="footnote reference"/>
    <w:basedOn w:val="DefaultParagraphFont"/>
    <w:uiPriority w:val="99"/>
    <w:unhideWhenUsed/>
    <w:rsid w:val="00497AF6"/>
    <w:rPr>
      <w:vertAlign w:val="superscript"/>
    </w:rPr>
  </w:style>
  <w:style w:type="paragraph" w:styleId="Footer">
    <w:name w:val="footer"/>
    <w:basedOn w:val="Normal"/>
    <w:link w:val="FooterChar"/>
    <w:uiPriority w:val="99"/>
    <w:unhideWhenUsed/>
    <w:rsid w:val="006430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306E"/>
  </w:style>
  <w:style w:type="character" w:styleId="PageNumber">
    <w:name w:val="page number"/>
    <w:basedOn w:val="DefaultParagraphFont"/>
    <w:uiPriority w:val="99"/>
    <w:semiHidden/>
    <w:unhideWhenUsed/>
    <w:rsid w:val="0064306E"/>
  </w:style>
  <w:style w:type="paragraph" w:styleId="Header">
    <w:name w:val="header"/>
    <w:basedOn w:val="Normal"/>
    <w:link w:val="HeaderChar"/>
    <w:uiPriority w:val="99"/>
    <w:unhideWhenUsed/>
    <w:rsid w:val="001D5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F96"/>
  </w:style>
  <w:style w:type="character" w:customStyle="1" w:styleId="apple-converted-space">
    <w:name w:val="apple-converted-space"/>
    <w:basedOn w:val="DefaultParagraphFont"/>
    <w:rsid w:val="0053790B"/>
  </w:style>
  <w:style w:type="paragraph" w:customStyle="1" w:styleId="svarticle">
    <w:name w:val="svarticle"/>
    <w:basedOn w:val="Normal"/>
    <w:rsid w:val="005379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4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3271">
      <w:bodyDiv w:val="1"/>
      <w:marLeft w:val="0"/>
      <w:marRight w:val="0"/>
      <w:marTop w:val="0"/>
      <w:marBottom w:val="0"/>
      <w:divBdr>
        <w:top w:val="none" w:sz="0" w:space="0" w:color="auto"/>
        <w:left w:val="none" w:sz="0" w:space="0" w:color="auto"/>
        <w:bottom w:val="none" w:sz="0" w:space="0" w:color="auto"/>
        <w:right w:val="none" w:sz="0" w:space="0" w:color="auto"/>
      </w:divBdr>
    </w:div>
    <w:div w:id="497576892">
      <w:bodyDiv w:val="1"/>
      <w:marLeft w:val="0"/>
      <w:marRight w:val="0"/>
      <w:marTop w:val="0"/>
      <w:marBottom w:val="0"/>
      <w:divBdr>
        <w:top w:val="none" w:sz="0" w:space="0" w:color="auto"/>
        <w:left w:val="none" w:sz="0" w:space="0" w:color="auto"/>
        <w:bottom w:val="none" w:sz="0" w:space="0" w:color="auto"/>
        <w:right w:val="none" w:sz="0" w:space="0" w:color="auto"/>
      </w:divBdr>
    </w:div>
    <w:div w:id="891427655">
      <w:bodyDiv w:val="1"/>
      <w:marLeft w:val="0"/>
      <w:marRight w:val="0"/>
      <w:marTop w:val="0"/>
      <w:marBottom w:val="0"/>
      <w:divBdr>
        <w:top w:val="none" w:sz="0" w:space="0" w:color="auto"/>
        <w:left w:val="none" w:sz="0" w:space="0" w:color="auto"/>
        <w:bottom w:val="none" w:sz="0" w:space="0" w:color="auto"/>
        <w:right w:val="none" w:sz="0" w:space="0" w:color="auto"/>
      </w:divBdr>
    </w:div>
    <w:div w:id="1062563541">
      <w:bodyDiv w:val="1"/>
      <w:marLeft w:val="0"/>
      <w:marRight w:val="0"/>
      <w:marTop w:val="0"/>
      <w:marBottom w:val="0"/>
      <w:divBdr>
        <w:top w:val="none" w:sz="0" w:space="0" w:color="auto"/>
        <w:left w:val="none" w:sz="0" w:space="0" w:color="auto"/>
        <w:bottom w:val="none" w:sz="0" w:space="0" w:color="auto"/>
        <w:right w:val="none" w:sz="0" w:space="0" w:color="auto"/>
      </w:divBdr>
    </w:div>
    <w:div w:id="1229652504">
      <w:bodyDiv w:val="1"/>
      <w:marLeft w:val="0"/>
      <w:marRight w:val="0"/>
      <w:marTop w:val="0"/>
      <w:marBottom w:val="0"/>
      <w:divBdr>
        <w:top w:val="none" w:sz="0" w:space="0" w:color="auto"/>
        <w:left w:val="none" w:sz="0" w:space="0" w:color="auto"/>
        <w:bottom w:val="none" w:sz="0" w:space="0" w:color="auto"/>
        <w:right w:val="none" w:sz="0" w:space="0" w:color="auto"/>
      </w:divBdr>
      <w:divsChild>
        <w:div w:id="175731218">
          <w:marLeft w:val="0"/>
          <w:marRight w:val="0"/>
          <w:marTop w:val="0"/>
          <w:marBottom w:val="0"/>
          <w:divBdr>
            <w:top w:val="none" w:sz="0" w:space="0" w:color="auto"/>
            <w:left w:val="none" w:sz="0" w:space="0" w:color="auto"/>
            <w:bottom w:val="none" w:sz="0" w:space="0" w:color="auto"/>
            <w:right w:val="none" w:sz="0" w:space="0" w:color="auto"/>
          </w:divBdr>
          <w:divsChild>
            <w:div w:id="1735928251">
              <w:marLeft w:val="0"/>
              <w:marRight w:val="0"/>
              <w:marTop w:val="0"/>
              <w:marBottom w:val="0"/>
              <w:divBdr>
                <w:top w:val="none" w:sz="0" w:space="0" w:color="auto"/>
                <w:left w:val="none" w:sz="0" w:space="0" w:color="auto"/>
                <w:bottom w:val="none" w:sz="0" w:space="0" w:color="auto"/>
                <w:right w:val="none" w:sz="0" w:space="0" w:color="auto"/>
              </w:divBdr>
              <w:divsChild>
                <w:div w:id="1098018633">
                  <w:marLeft w:val="0"/>
                  <w:marRight w:val="0"/>
                  <w:marTop w:val="0"/>
                  <w:marBottom w:val="0"/>
                  <w:divBdr>
                    <w:top w:val="none" w:sz="0" w:space="0" w:color="auto"/>
                    <w:left w:val="none" w:sz="0" w:space="0" w:color="auto"/>
                    <w:bottom w:val="none" w:sz="0" w:space="0" w:color="auto"/>
                    <w:right w:val="none" w:sz="0" w:space="0" w:color="auto"/>
                  </w:divBdr>
                  <w:divsChild>
                    <w:div w:id="698507282">
                      <w:marLeft w:val="0"/>
                      <w:marRight w:val="0"/>
                      <w:marTop w:val="0"/>
                      <w:marBottom w:val="0"/>
                      <w:divBdr>
                        <w:top w:val="none" w:sz="0" w:space="0" w:color="auto"/>
                        <w:left w:val="none" w:sz="0" w:space="0" w:color="auto"/>
                        <w:bottom w:val="none" w:sz="0" w:space="0" w:color="auto"/>
                        <w:right w:val="none" w:sz="0" w:space="0" w:color="auto"/>
                      </w:divBdr>
                      <w:divsChild>
                        <w:div w:id="1577082994">
                          <w:marLeft w:val="0"/>
                          <w:marRight w:val="0"/>
                          <w:marTop w:val="0"/>
                          <w:marBottom w:val="0"/>
                          <w:divBdr>
                            <w:top w:val="none" w:sz="0" w:space="0" w:color="auto"/>
                            <w:left w:val="none" w:sz="0" w:space="0" w:color="auto"/>
                            <w:bottom w:val="none" w:sz="0" w:space="0" w:color="auto"/>
                            <w:right w:val="none" w:sz="0" w:space="0" w:color="auto"/>
                          </w:divBdr>
                          <w:divsChild>
                            <w:div w:id="1332179735">
                              <w:marLeft w:val="0"/>
                              <w:marRight w:val="0"/>
                              <w:marTop w:val="0"/>
                              <w:marBottom w:val="0"/>
                              <w:divBdr>
                                <w:top w:val="none" w:sz="0" w:space="0" w:color="auto"/>
                                <w:left w:val="none" w:sz="0" w:space="0" w:color="auto"/>
                                <w:bottom w:val="none" w:sz="0" w:space="0" w:color="auto"/>
                                <w:right w:val="none" w:sz="0" w:space="0" w:color="auto"/>
                              </w:divBdr>
                            </w:div>
                            <w:div w:id="1815558803">
                              <w:marLeft w:val="0"/>
                              <w:marRight w:val="0"/>
                              <w:marTop w:val="0"/>
                              <w:marBottom w:val="0"/>
                              <w:divBdr>
                                <w:top w:val="none" w:sz="0" w:space="0" w:color="auto"/>
                                <w:left w:val="none" w:sz="0" w:space="0" w:color="auto"/>
                                <w:bottom w:val="none" w:sz="0" w:space="0" w:color="auto"/>
                                <w:right w:val="none" w:sz="0" w:space="0" w:color="auto"/>
                              </w:divBdr>
                              <w:divsChild>
                                <w:div w:id="2081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4413">
                      <w:marLeft w:val="0"/>
                      <w:marRight w:val="0"/>
                      <w:marTop w:val="0"/>
                      <w:marBottom w:val="0"/>
                      <w:divBdr>
                        <w:top w:val="none" w:sz="0" w:space="0" w:color="auto"/>
                        <w:left w:val="none" w:sz="0" w:space="0" w:color="auto"/>
                        <w:bottom w:val="none" w:sz="0" w:space="0" w:color="auto"/>
                        <w:right w:val="none" w:sz="0" w:space="0" w:color="auto"/>
                      </w:divBdr>
                      <w:divsChild>
                        <w:div w:id="733550836">
                          <w:marLeft w:val="0"/>
                          <w:marRight w:val="0"/>
                          <w:marTop w:val="0"/>
                          <w:marBottom w:val="0"/>
                          <w:divBdr>
                            <w:top w:val="none" w:sz="0" w:space="0" w:color="auto"/>
                            <w:left w:val="none" w:sz="0" w:space="0" w:color="auto"/>
                            <w:bottom w:val="none" w:sz="0" w:space="0" w:color="auto"/>
                            <w:right w:val="none" w:sz="0" w:space="0" w:color="auto"/>
                          </w:divBdr>
                          <w:divsChild>
                            <w:div w:id="1679500892">
                              <w:marLeft w:val="0"/>
                              <w:marRight w:val="0"/>
                              <w:marTop w:val="0"/>
                              <w:marBottom w:val="0"/>
                              <w:divBdr>
                                <w:top w:val="none" w:sz="0" w:space="0" w:color="auto"/>
                                <w:left w:val="none" w:sz="0" w:space="0" w:color="auto"/>
                                <w:bottom w:val="none" w:sz="0" w:space="0" w:color="auto"/>
                                <w:right w:val="none" w:sz="0" w:space="0" w:color="auto"/>
                              </w:divBdr>
                              <w:divsChild>
                                <w:div w:id="14627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21465">
      <w:bodyDiv w:val="1"/>
      <w:marLeft w:val="0"/>
      <w:marRight w:val="0"/>
      <w:marTop w:val="0"/>
      <w:marBottom w:val="0"/>
      <w:divBdr>
        <w:top w:val="none" w:sz="0" w:space="0" w:color="auto"/>
        <w:left w:val="none" w:sz="0" w:space="0" w:color="auto"/>
        <w:bottom w:val="none" w:sz="0" w:space="0" w:color="auto"/>
        <w:right w:val="none" w:sz="0" w:space="0" w:color="auto"/>
      </w:divBdr>
    </w:div>
    <w:div w:id="1795906811">
      <w:bodyDiv w:val="1"/>
      <w:marLeft w:val="0"/>
      <w:marRight w:val="0"/>
      <w:marTop w:val="0"/>
      <w:marBottom w:val="0"/>
      <w:divBdr>
        <w:top w:val="none" w:sz="0" w:space="0" w:color="auto"/>
        <w:left w:val="none" w:sz="0" w:space="0" w:color="auto"/>
        <w:bottom w:val="none" w:sz="0" w:space="0" w:color="auto"/>
        <w:right w:val="none" w:sz="0" w:space="0" w:color="auto"/>
      </w:divBdr>
    </w:div>
    <w:div w:id="2132049238">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lahrc-yh.n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CD67B-6706-44FE-A1F8-384F8A8D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CDD6BA70.dotm</Template>
  <TotalTime>0</TotalTime>
  <Pages>17</Pages>
  <Words>16348</Words>
  <Characters>93189</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109319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Manca</dc:creator>
  <cp:lastModifiedBy>Laura Bojke</cp:lastModifiedBy>
  <cp:revision>2</cp:revision>
  <dcterms:created xsi:type="dcterms:W3CDTF">2017-04-12T13:51:00Z</dcterms:created>
  <dcterms:modified xsi:type="dcterms:W3CDTF">2017-04-12T13:51:00Z</dcterms:modified>
</cp:coreProperties>
</file>