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13233" w14:textId="77777777" w:rsidR="00690C50" w:rsidRDefault="00CB55F1" w:rsidP="00690C50">
      <w:pPr>
        <w:spacing w:after="0" w:line="480" w:lineRule="auto"/>
        <w:ind w:right="95"/>
        <w:rPr>
          <w:rFonts w:ascii="Arial" w:hAnsi="Arial" w:cs="Arial"/>
          <w:b/>
          <w:sz w:val="36"/>
          <w:szCs w:val="36"/>
        </w:rPr>
      </w:pPr>
      <w:r>
        <w:rPr>
          <w:rFonts w:ascii="Arial" w:hAnsi="Arial" w:cs="Arial"/>
          <w:b/>
          <w:sz w:val="36"/>
          <w:szCs w:val="36"/>
        </w:rPr>
        <w:t xml:space="preserve">2 </w:t>
      </w:r>
      <w:r w:rsidR="00690C50">
        <w:rPr>
          <w:rFonts w:ascii="Arial" w:hAnsi="Arial" w:cs="Arial"/>
          <w:b/>
          <w:sz w:val="36"/>
          <w:szCs w:val="36"/>
        </w:rPr>
        <w:t xml:space="preserve">                  </w:t>
      </w:r>
      <w:r w:rsidR="00C437F4" w:rsidRPr="00C437F4">
        <w:rPr>
          <w:rFonts w:ascii="Arial" w:hAnsi="Arial" w:cs="Arial"/>
          <w:b/>
          <w:sz w:val="36"/>
          <w:szCs w:val="36"/>
        </w:rPr>
        <w:t xml:space="preserve">History, </w:t>
      </w:r>
      <w:r w:rsidR="00690C50">
        <w:rPr>
          <w:rFonts w:ascii="Arial" w:hAnsi="Arial" w:cs="Arial"/>
          <w:b/>
          <w:sz w:val="36"/>
          <w:szCs w:val="36"/>
        </w:rPr>
        <w:t>N</w:t>
      </w:r>
      <w:r w:rsidR="00C437F4" w:rsidRPr="00C437F4">
        <w:rPr>
          <w:rFonts w:ascii="Arial" w:hAnsi="Arial" w:cs="Arial"/>
          <w:b/>
          <w:sz w:val="36"/>
          <w:szCs w:val="36"/>
        </w:rPr>
        <w:t xml:space="preserve">arrative and </w:t>
      </w:r>
      <w:r w:rsidR="00690C50">
        <w:rPr>
          <w:rFonts w:ascii="Arial" w:hAnsi="Arial" w:cs="Arial"/>
          <w:b/>
          <w:sz w:val="36"/>
          <w:szCs w:val="36"/>
        </w:rPr>
        <w:t xml:space="preserve">Attacking   </w:t>
      </w:r>
    </w:p>
    <w:p w14:paraId="22AD2F82" w14:textId="70DFF08D" w:rsidR="00690C50" w:rsidRDefault="00690C50" w:rsidP="00690C50">
      <w:pPr>
        <w:spacing w:after="0" w:line="480" w:lineRule="auto"/>
        <w:ind w:right="95"/>
        <w:rPr>
          <w:rFonts w:ascii="Arial" w:hAnsi="Arial" w:cs="Arial"/>
          <w:b/>
          <w:sz w:val="36"/>
          <w:szCs w:val="36"/>
        </w:rPr>
      </w:pPr>
      <w:r>
        <w:rPr>
          <w:rFonts w:ascii="Arial" w:hAnsi="Arial" w:cs="Arial"/>
          <w:b/>
          <w:sz w:val="36"/>
          <w:szCs w:val="36"/>
        </w:rPr>
        <w:t xml:space="preserve">         C</w:t>
      </w:r>
      <w:r w:rsidR="00C437F4" w:rsidRPr="00C437F4">
        <w:rPr>
          <w:rFonts w:ascii="Arial" w:hAnsi="Arial" w:cs="Arial"/>
          <w:b/>
          <w:sz w:val="36"/>
          <w:szCs w:val="36"/>
        </w:rPr>
        <w:t xml:space="preserve">hronocentricism in </w:t>
      </w:r>
      <w:r>
        <w:rPr>
          <w:rFonts w:ascii="Arial" w:hAnsi="Arial" w:cs="Arial"/>
          <w:b/>
          <w:sz w:val="36"/>
          <w:szCs w:val="36"/>
        </w:rPr>
        <w:t>U</w:t>
      </w:r>
      <w:r w:rsidR="00C437F4" w:rsidRPr="00C437F4">
        <w:rPr>
          <w:rFonts w:ascii="Arial" w:hAnsi="Arial" w:cs="Arial"/>
          <w:b/>
          <w:sz w:val="36"/>
          <w:szCs w:val="36"/>
        </w:rPr>
        <w:t xml:space="preserve">nderstanding </w:t>
      </w:r>
      <w:r>
        <w:rPr>
          <w:rFonts w:ascii="Arial" w:hAnsi="Arial" w:cs="Arial"/>
          <w:b/>
          <w:sz w:val="36"/>
          <w:szCs w:val="36"/>
        </w:rPr>
        <w:t>F</w:t>
      </w:r>
      <w:r w:rsidR="00C437F4" w:rsidRPr="00C437F4">
        <w:rPr>
          <w:rFonts w:ascii="Arial" w:hAnsi="Arial" w:cs="Arial"/>
          <w:b/>
          <w:sz w:val="36"/>
          <w:szCs w:val="36"/>
        </w:rPr>
        <w:t>inancial</w:t>
      </w:r>
      <w:r>
        <w:rPr>
          <w:rFonts w:ascii="Arial" w:hAnsi="Arial" w:cs="Arial"/>
          <w:b/>
          <w:sz w:val="36"/>
          <w:szCs w:val="36"/>
        </w:rPr>
        <w:t xml:space="preserve">                   </w:t>
      </w:r>
    </w:p>
    <w:p w14:paraId="6C0A44CF" w14:textId="6E124DE8" w:rsidR="00CB55F1" w:rsidRPr="001F4EE1" w:rsidRDefault="00690C50" w:rsidP="00690C50">
      <w:pPr>
        <w:spacing w:after="0" w:line="480" w:lineRule="auto"/>
        <w:ind w:right="95"/>
        <w:rPr>
          <w:rFonts w:ascii="Arial" w:hAnsi="Arial" w:cs="Arial"/>
          <w:b/>
          <w:sz w:val="36"/>
          <w:szCs w:val="36"/>
        </w:rPr>
      </w:pPr>
      <w:r>
        <w:rPr>
          <w:rFonts w:ascii="Arial" w:hAnsi="Arial" w:cs="Arial"/>
          <w:b/>
          <w:sz w:val="36"/>
          <w:szCs w:val="36"/>
        </w:rPr>
        <w:t xml:space="preserve">            C</w:t>
      </w:r>
      <w:r w:rsidR="00C437F4" w:rsidRPr="00C437F4">
        <w:rPr>
          <w:rFonts w:ascii="Arial" w:hAnsi="Arial" w:cs="Arial"/>
          <w:b/>
          <w:sz w:val="36"/>
          <w:szCs w:val="36"/>
        </w:rPr>
        <w:t xml:space="preserve">rime: </w:t>
      </w:r>
      <w:r>
        <w:rPr>
          <w:rFonts w:ascii="Arial" w:hAnsi="Arial" w:cs="Arial"/>
          <w:b/>
          <w:sz w:val="36"/>
          <w:szCs w:val="36"/>
        </w:rPr>
        <w:t>T</w:t>
      </w:r>
      <w:r w:rsidR="00C437F4" w:rsidRPr="00C437F4">
        <w:rPr>
          <w:rFonts w:ascii="Arial" w:hAnsi="Arial" w:cs="Arial"/>
          <w:b/>
          <w:sz w:val="36"/>
          <w:szCs w:val="36"/>
        </w:rPr>
        <w:t xml:space="preserve">he </w:t>
      </w:r>
      <w:r>
        <w:rPr>
          <w:rFonts w:ascii="Arial" w:hAnsi="Arial" w:cs="Arial"/>
          <w:b/>
          <w:sz w:val="36"/>
          <w:szCs w:val="36"/>
        </w:rPr>
        <w:t>S</w:t>
      </w:r>
      <w:r w:rsidR="00C437F4" w:rsidRPr="00C437F4">
        <w:rPr>
          <w:rFonts w:ascii="Arial" w:hAnsi="Arial" w:cs="Arial"/>
          <w:b/>
          <w:sz w:val="36"/>
          <w:szCs w:val="36"/>
        </w:rPr>
        <w:t xml:space="preserve">ignificance of </w:t>
      </w:r>
      <w:r>
        <w:rPr>
          <w:rFonts w:ascii="Arial" w:hAnsi="Arial" w:cs="Arial"/>
          <w:b/>
          <w:sz w:val="36"/>
          <w:szCs w:val="36"/>
        </w:rPr>
        <w:t>M</w:t>
      </w:r>
      <w:r w:rsidR="00C437F4" w:rsidRPr="00C437F4">
        <w:rPr>
          <w:rFonts w:ascii="Arial" w:hAnsi="Arial" w:cs="Arial"/>
          <w:b/>
          <w:sz w:val="36"/>
          <w:szCs w:val="36"/>
        </w:rPr>
        <w:t>icro</w:t>
      </w:r>
      <w:r>
        <w:rPr>
          <w:rFonts w:ascii="Arial" w:hAnsi="Arial" w:cs="Arial"/>
          <w:b/>
          <w:sz w:val="36"/>
          <w:szCs w:val="36"/>
        </w:rPr>
        <w:t>-history</w:t>
      </w:r>
      <w:r w:rsidR="00CB55F1">
        <w:rPr>
          <w:rFonts w:ascii="Arial" w:hAnsi="Arial" w:cs="Arial"/>
          <w:b/>
          <w:sz w:val="36"/>
          <w:szCs w:val="36"/>
        </w:rPr>
        <w:t>.</w:t>
      </w:r>
    </w:p>
    <w:p w14:paraId="60FEB0C8" w14:textId="77777777" w:rsidR="00CB55F1" w:rsidRPr="001F4EE1" w:rsidRDefault="00CB55F1" w:rsidP="00CB55F1">
      <w:pPr>
        <w:pBdr>
          <w:bottom w:val="single" w:sz="12" w:space="1" w:color="auto"/>
        </w:pBdr>
        <w:spacing w:after="0" w:line="480" w:lineRule="auto"/>
        <w:ind w:right="-46"/>
        <w:jc w:val="center"/>
        <w:rPr>
          <w:rFonts w:ascii="Arial" w:hAnsi="Arial" w:cs="Arial"/>
          <w:sz w:val="28"/>
          <w:szCs w:val="28"/>
        </w:rPr>
      </w:pPr>
      <w:r>
        <w:rPr>
          <w:rFonts w:ascii="Arial" w:hAnsi="Arial" w:cs="Arial"/>
          <w:sz w:val="28"/>
          <w:szCs w:val="28"/>
        </w:rPr>
        <w:t>Sarah Wilson</w:t>
      </w:r>
    </w:p>
    <w:p w14:paraId="25D0E4F7" w14:textId="77777777" w:rsidR="00CB55F1" w:rsidRPr="00103D4C" w:rsidRDefault="00CB55F1" w:rsidP="00CB55F1">
      <w:pPr>
        <w:spacing w:after="0" w:line="480" w:lineRule="auto"/>
        <w:ind w:right="-46"/>
        <w:jc w:val="both"/>
        <w:rPr>
          <w:rFonts w:ascii="Arial" w:hAnsi="Arial" w:cs="Arial"/>
        </w:rPr>
      </w:pPr>
    </w:p>
    <w:p w14:paraId="59EC9851" w14:textId="77777777" w:rsidR="00CB55F1" w:rsidRPr="001F4EE1" w:rsidRDefault="00CB55F1" w:rsidP="00CB55F1">
      <w:pPr>
        <w:spacing w:after="0" w:line="480" w:lineRule="auto"/>
        <w:ind w:right="-46"/>
        <w:jc w:val="center"/>
        <w:rPr>
          <w:rFonts w:ascii="Arial" w:hAnsi="Arial" w:cs="Arial"/>
          <w:sz w:val="28"/>
          <w:szCs w:val="28"/>
        </w:rPr>
      </w:pPr>
      <w:r w:rsidRPr="001F4EE1">
        <w:rPr>
          <w:rFonts w:ascii="Arial" w:hAnsi="Arial" w:cs="Arial"/>
          <w:sz w:val="28"/>
          <w:szCs w:val="28"/>
        </w:rPr>
        <w:t>I</w:t>
      </w:r>
    </w:p>
    <w:p w14:paraId="649C4B4B" w14:textId="77777777" w:rsidR="00CB55F1" w:rsidRPr="00CB55F1" w:rsidRDefault="00FB63B4" w:rsidP="00CB55F1">
      <w:pPr>
        <w:spacing w:after="0" w:line="480" w:lineRule="auto"/>
        <w:jc w:val="both"/>
        <w:rPr>
          <w:rFonts w:ascii="Arial" w:hAnsi="Arial" w:cs="Arial"/>
          <w:sz w:val="24"/>
          <w:szCs w:val="24"/>
        </w:rPr>
      </w:pPr>
      <w:r w:rsidRPr="00CB55F1">
        <w:rPr>
          <w:rFonts w:ascii="Arial" w:hAnsi="Arial" w:cs="Arial"/>
          <w:sz w:val="24"/>
          <w:szCs w:val="24"/>
        </w:rPr>
        <w:t>There are numerous factors making the study of financial crime fascinating</w:t>
      </w:r>
      <w:r w:rsidR="009B38BA" w:rsidRPr="00CB55F1">
        <w:rPr>
          <w:rFonts w:ascii="Arial" w:hAnsi="Arial" w:cs="Arial"/>
          <w:sz w:val="24"/>
          <w:szCs w:val="24"/>
        </w:rPr>
        <w:t xml:space="preserve"> for historians</w:t>
      </w:r>
      <w:r w:rsidRPr="00CB55F1">
        <w:rPr>
          <w:rFonts w:ascii="Arial" w:hAnsi="Arial" w:cs="Arial"/>
          <w:sz w:val="24"/>
          <w:szCs w:val="24"/>
        </w:rPr>
        <w:t>. Some of these are properly regarded as part of the current structural architecture of the historiography of modern Britain, while others lie be</w:t>
      </w:r>
      <w:r w:rsidR="0059755D" w:rsidRPr="00CB55F1">
        <w:rPr>
          <w:rFonts w:ascii="Arial" w:hAnsi="Arial" w:cs="Arial"/>
          <w:sz w:val="24"/>
          <w:szCs w:val="24"/>
        </w:rPr>
        <w:t>yond this, with</w:t>
      </w:r>
      <w:r w:rsidRPr="00CB55F1">
        <w:rPr>
          <w:rFonts w:ascii="Arial" w:hAnsi="Arial" w:cs="Arial"/>
          <w:sz w:val="24"/>
          <w:szCs w:val="24"/>
        </w:rPr>
        <w:t xml:space="preserve"> points at which these internal and external influences </w:t>
      </w:r>
      <w:r w:rsidR="00600CF2" w:rsidRPr="00CB55F1">
        <w:rPr>
          <w:rFonts w:ascii="Arial" w:hAnsi="Arial" w:cs="Arial"/>
          <w:sz w:val="24"/>
          <w:szCs w:val="24"/>
        </w:rPr>
        <w:t xml:space="preserve">also </w:t>
      </w:r>
      <w:r w:rsidRPr="00CB55F1">
        <w:rPr>
          <w:rFonts w:ascii="Arial" w:hAnsi="Arial" w:cs="Arial"/>
          <w:sz w:val="24"/>
          <w:szCs w:val="24"/>
        </w:rPr>
        <w:t xml:space="preserve">come together. Firstly, lying within the </w:t>
      </w:r>
      <w:r w:rsidR="002E4C1E" w:rsidRPr="00CB55F1">
        <w:rPr>
          <w:rFonts w:ascii="Arial" w:hAnsi="Arial" w:cs="Arial"/>
          <w:sz w:val="24"/>
          <w:szCs w:val="24"/>
        </w:rPr>
        <w:t xml:space="preserve">framework </w:t>
      </w:r>
      <w:r w:rsidRPr="00CB55F1">
        <w:rPr>
          <w:rFonts w:ascii="Arial" w:hAnsi="Arial" w:cs="Arial"/>
          <w:sz w:val="24"/>
          <w:szCs w:val="24"/>
        </w:rPr>
        <w:t xml:space="preserve">of historical study </w:t>
      </w:r>
      <w:r w:rsidR="00336964" w:rsidRPr="00CB55F1">
        <w:rPr>
          <w:rFonts w:ascii="Arial" w:hAnsi="Arial" w:cs="Arial"/>
          <w:sz w:val="24"/>
          <w:szCs w:val="24"/>
        </w:rPr>
        <w:t xml:space="preserve">there </w:t>
      </w:r>
      <w:r w:rsidRPr="00CB55F1">
        <w:rPr>
          <w:rFonts w:ascii="Arial" w:hAnsi="Arial" w:cs="Arial"/>
          <w:sz w:val="24"/>
          <w:szCs w:val="24"/>
        </w:rPr>
        <w:t>is the importance of ‘micro</w:t>
      </w:r>
      <w:r w:rsidR="003025AC">
        <w:rPr>
          <w:rFonts w:ascii="Arial" w:hAnsi="Arial" w:cs="Arial"/>
          <w:sz w:val="24"/>
          <w:szCs w:val="24"/>
        </w:rPr>
        <w:t>-</w:t>
      </w:r>
      <w:r w:rsidRPr="00CB55F1">
        <w:rPr>
          <w:rFonts w:ascii="Arial" w:hAnsi="Arial" w:cs="Arial"/>
          <w:sz w:val="24"/>
          <w:szCs w:val="24"/>
        </w:rPr>
        <w:t xml:space="preserve">history’ as a vital thread for the historiography of ‘crime and society’, and also </w:t>
      </w:r>
      <w:r w:rsidR="00336964" w:rsidRPr="00CB55F1">
        <w:rPr>
          <w:rFonts w:ascii="Arial" w:hAnsi="Arial" w:cs="Arial"/>
          <w:sz w:val="24"/>
          <w:szCs w:val="24"/>
        </w:rPr>
        <w:t xml:space="preserve">the tradition of silence within crime history itself concerning modern </w:t>
      </w:r>
      <w:r w:rsidRPr="00CB55F1">
        <w:rPr>
          <w:rFonts w:ascii="Arial" w:hAnsi="Arial" w:cs="Arial"/>
          <w:sz w:val="24"/>
          <w:szCs w:val="24"/>
        </w:rPr>
        <w:t>Britain’s encounters with ‘a whole new world and vocabulary of ingenious crime, which could only be perpetrated by business men…’</w:t>
      </w:r>
      <w:r w:rsidR="00CB55F1" w:rsidRPr="00CB55F1">
        <w:rPr>
          <w:rStyle w:val="EndnoteReference"/>
          <w:rFonts w:ascii="Arial" w:hAnsi="Arial" w:cs="Arial"/>
          <w:sz w:val="24"/>
          <w:szCs w:val="24"/>
        </w:rPr>
        <w:endnoteReference w:id="1"/>
      </w:r>
      <w:r w:rsidR="00CB55F1" w:rsidRPr="00CB55F1">
        <w:rPr>
          <w:rFonts w:ascii="Arial" w:hAnsi="Arial" w:cs="Arial"/>
          <w:sz w:val="24"/>
          <w:szCs w:val="24"/>
        </w:rPr>
        <w:t xml:space="preserve"> In looking at external influences, this contribution also explores how these silences in the historiography of crime and society might coexist with, and indeed even reflect, trends in criminological scholarship where criticism is made that criminologists continue to focus disproportionately on the ‘conventional forms of crime and delinquency’ which dominate academic scholarship.</w:t>
      </w:r>
      <w:r w:rsidR="00CB55F1" w:rsidRPr="00CB55F1">
        <w:rPr>
          <w:rFonts w:ascii="Arial" w:hAnsi="Arial" w:cs="Arial"/>
          <w:sz w:val="24"/>
          <w:szCs w:val="24"/>
          <w:vertAlign w:val="superscript"/>
        </w:rPr>
        <w:endnoteReference w:id="2"/>
      </w:r>
      <w:r w:rsidR="00CB55F1" w:rsidRPr="00CB55F1">
        <w:rPr>
          <w:rFonts w:ascii="Arial" w:hAnsi="Arial" w:cs="Arial"/>
          <w:sz w:val="24"/>
          <w:szCs w:val="24"/>
        </w:rPr>
        <w:t xml:space="preserve"> This contribution engages with intellectual spheres of history and criminology, and also looks to respond to calls from within both disciplines to communicate much more comprehensively with one another.</w:t>
      </w:r>
      <w:r w:rsidR="00CB55F1" w:rsidRPr="00CB55F1">
        <w:rPr>
          <w:rStyle w:val="EndnoteReference"/>
          <w:rFonts w:ascii="Arial" w:hAnsi="Arial" w:cs="Arial"/>
          <w:sz w:val="24"/>
          <w:szCs w:val="24"/>
        </w:rPr>
        <w:endnoteReference w:id="3"/>
      </w:r>
      <w:r w:rsidR="00CB55F1" w:rsidRPr="00CB55F1">
        <w:rPr>
          <w:rFonts w:ascii="Arial" w:hAnsi="Arial" w:cs="Arial"/>
          <w:sz w:val="24"/>
          <w:szCs w:val="24"/>
        </w:rPr>
        <w:t xml:space="preserve"> </w:t>
      </w:r>
    </w:p>
    <w:p w14:paraId="5B015D5A" w14:textId="77777777" w:rsidR="00CB55F1" w:rsidRPr="00CB55F1" w:rsidRDefault="00CB55F1" w:rsidP="00CB55F1">
      <w:pPr>
        <w:spacing w:after="0" w:line="480" w:lineRule="auto"/>
        <w:jc w:val="both"/>
        <w:rPr>
          <w:rFonts w:ascii="Arial" w:hAnsi="Arial" w:cs="Arial"/>
          <w:sz w:val="24"/>
          <w:szCs w:val="24"/>
        </w:rPr>
      </w:pPr>
    </w:p>
    <w:p w14:paraId="5E672F1E" w14:textId="22E3D549"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lastRenderedPageBreak/>
        <w:t xml:space="preserve">The history of financial crime is an excellent reference point for encouraging greater discourse between history and criminology. It illustrates the importance of criminology for crime historians, and it shows saliently how criminologists </w:t>
      </w:r>
      <w:r w:rsidRPr="00CB55F1">
        <w:rPr>
          <w:rFonts w:ascii="Arial" w:hAnsi="Arial" w:cs="Arial"/>
          <w:i/>
          <w:sz w:val="24"/>
          <w:szCs w:val="24"/>
        </w:rPr>
        <w:t>can</w:t>
      </w:r>
      <w:r w:rsidRPr="00CB55F1">
        <w:rPr>
          <w:rFonts w:ascii="Arial" w:hAnsi="Arial" w:cs="Arial"/>
          <w:sz w:val="24"/>
          <w:szCs w:val="24"/>
        </w:rPr>
        <w:t xml:space="preserve"> glean historical enrichment for key intellectual problematics underpinning their interest in ‘law breaking’, and that they </w:t>
      </w:r>
      <w:r w:rsidRPr="00CB55F1">
        <w:rPr>
          <w:rFonts w:ascii="Arial" w:hAnsi="Arial" w:cs="Arial"/>
          <w:i/>
          <w:sz w:val="24"/>
          <w:szCs w:val="24"/>
        </w:rPr>
        <w:t>should</w:t>
      </w:r>
      <w:r w:rsidRPr="00CB55F1">
        <w:rPr>
          <w:rFonts w:ascii="Arial" w:hAnsi="Arial" w:cs="Arial"/>
          <w:sz w:val="24"/>
          <w:szCs w:val="24"/>
        </w:rPr>
        <w:t xml:space="preserve"> consider whether these problematics are themselves historically rooted. More will be said on criminologists’ interest in financial crime throughout, with this being situated closely alongside its treatment from historians, and </w:t>
      </w:r>
      <w:r w:rsidR="003025AC">
        <w:rPr>
          <w:rFonts w:ascii="Arial" w:hAnsi="Arial" w:cs="Arial"/>
          <w:sz w:val="24"/>
          <w:szCs w:val="24"/>
        </w:rPr>
        <w:t xml:space="preserve">more </w:t>
      </w:r>
      <w:r w:rsidRPr="00CB55F1">
        <w:rPr>
          <w:rFonts w:ascii="Arial" w:hAnsi="Arial" w:cs="Arial"/>
          <w:sz w:val="24"/>
          <w:szCs w:val="24"/>
        </w:rPr>
        <w:t>particularly</w:t>
      </w:r>
      <w:r w:rsidR="003025AC">
        <w:rPr>
          <w:rFonts w:ascii="Arial" w:hAnsi="Arial" w:cs="Arial"/>
          <w:sz w:val="24"/>
          <w:szCs w:val="24"/>
        </w:rPr>
        <w:t>,</w:t>
      </w:r>
      <w:r w:rsidRPr="00CB55F1">
        <w:rPr>
          <w:rFonts w:ascii="Arial" w:hAnsi="Arial" w:cs="Arial"/>
          <w:sz w:val="24"/>
          <w:szCs w:val="24"/>
        </w:rPr>
        <w:t xml:space="preserve"> historians</w:t>
      </w:r>
      <w:r w:rsidR="003025AC">
        <w:rPr>
          <w:rFonts w:ascii="Arial" w:hAnsi="Arial" w:cs="Arial"/>
          <w:sz w:val="24"/>
          <w:szCs w:val="24"/>
        </w:rPr>
        <w:t xml:space="preserve"> of crime</w:t>
      </w:r>
      <w:r w:rsidRPr="00CB55F1">
        <w:rPr>
          <w:rFonts w:ascii="Arial" w:hAnsi="Arial" w:cs="Arial"/>
          <w:sz w:val="24"/>
          <w:szCs w:val="24"/>
        </w:rPr>
        <w:t>. Moreover challenging criminologists to engage with crime history provides an invitation, and indeed actually a mandate, to engage with current debate</w:t>
      </w:r>
      <w:r w:rsidR="003025AC">
        <w:rPr>
          <w:rFonts w:ascii="Arial" w:hAnsi="Arial" w:cs="Arial"/>
          <w:sz w:val="24"/>
          <w:szCs w:val="24"/>
        </w:rPr>
        <w:t>s</w:t>
      </w:r>
      <w:r w:rsidRPr="00CB55F1">
        <w:rPr>
          <w:rFonts w:ascii="Arial" w:hAnsi="Arial" w:cs="Arial"/>
          <w:sz w:val="24"/>
          <w:szCs w:val="24"/>
        </w:rPr>
        <w:t xml:space="preserve"> on the meanings of history and the role of history within arts</w:t>
      </w:r>
      <w:r w:rsidR="003025AC">
        <w:rPr>
          <w:rFonts w:ascii="Arial" w:hAnsi="Arial" w:cs="Arial"/>
          <w:sz w:val="24"/>
          <w:szCs w:val="24"/>
        </w:rPr>
        <w:t>,</w:t>
      </w:r>
      <w:r w:rsidRPr="00CB55F1">
        <w:rPr>
          <w:rFonts w:ascii="Arial" w:hAnsi="Arial" w:cs="Arial"/>
          <w:sz w:val="24"/>
          <w:szCs w:val="24"/>
        </w:rPr>
        <w:t xml:space="preserve"> humanities and social science scholarship. At points it becomes difficult to isolate how examining financial crime is influenced from traditions and patterns within historical scholarship </w:t>
      </w:r>
      <w:r w:rsidR="003025AC">
        <w:rPr>
          <w:rFonts w:ascii="Arial" w:hAnsi="Arial" w:cs="Arial"/>
          <w:sz w:val="24"/>
          <w:szCs w:val="24"/>
        </w:rPr>
        <w:t>rather than by</w:t>
      </w:r>
      <w:r w:rsidR="003025AC" w:rsidRPr="00CB55F1">
        <w:rPr>
          <w:rFonts w:ascii="Arial" w:hAnsi="Arial" w:cs="Arial"/>
          <w:sz w:val="24"/>
          <w:szCs w:val="24"/>
        </w:rPr>
        <w:t xml:space="preserve"> </w:t>
      </w:r>
      <w:r w:rsidRPr="00CB55F1">
        <w:rPr>
          <w:rFonts w:ascii="Arial" w:hAnsi="Arial" w:cs="Arial"/>
          <w:sz w:val="24"/>
          <w:szCs w:val="24"/>
        </w:rPr>
        <w:t>external factors</w:t>
      </w:r>
      <w:r w:rsidR="003025AC">
        <w:rPr>
          <w:rFonts w:ascii="Arial" w:hAnsi="Arial" w:cs="Arial"/>
          <w:sz w:val="24"/>
          <w:szCs w:val="24"/>
        </w:rPr>
        <w:t>. I</w:t>
      </w:r>
      <w:r w:rsidRPr="00CB55F1">
        <w:rPr>
          <w:rFonts w:ascii="Arial" w:hAnsi="Arial" w:cs="Arial"/>
          <w:sz w:val="24"/>
          <w:szCs w:val="24"/>
        </w:rPr>
        <w:t>t is also the case that the global financial crisis is also a powerful influencing force for understanding both the challenges presented by financial crime in the twenty-first century, and also the perceived importance of history for moving forward from a ‘once-in-a-lifetime’</w:t>
      </w:r>
      <w:r w:rsidRPr="00CB55F1">
        <w:rPr>
          <w:rStyle w:val="EndnoteReference"/>
          <w:rFonts w:ascii="Arial" w:hAnsi="Arial" w:cs="Arial"/>
          <w:sz w:val="24"/>
          <w:szCs w:val="24"/>
        </w:rPr>
        <w:endnoteReference w:id="4"/>
      </w:r>
      <w:r w:rsidRPr="00CB55F1">
        <w:rPr>
          <w:rFonts w:ascii="Arial" w:hAnsi="Arial" w:cs="Arial"/>
          <w:sz w:val="24"/>
          <w:szCs w:val="24"/>
        </w:rPr>
        <w:t xml:space="preserve"> period of immense significance.  </w:t>
      </w:r>
    </w:p>
    <w:p w14:paraId="3787818B" w14:textId="77777777" w:rsidR="00CB55F1" w:rsidRPr="00CB55F1" w:rsidRDefault="00CB55F1" w:rsidP="00CB55F1">
      <w:pPr>
        <w:spacing w:after="0" w:line="480" w:lineRule="auto"/>
        <w:jc w:val="both"/>
        <w:rPr>
          <w:rFonts w:ascii="Arial" w:hAnsi="Arial" w:cs="Arial"/>
          <w:sz w:val="24"/>
          <w:szCs w:val="24"/>
        </w:rPr>
      </w:pPr>
    </w:p>
    <w:p w14:paraId="64817DB2" w14:textId="77777777"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Focusing on financial crime itself, there is increasing acknowledgement amongst scholars and also beyond the academic community of an analytical ‘conscious coupling’ of financial crime with the financial crisis.</w:t>
      </w:r>
      <w:r w:rsidRPr="00CB55F1">
        <w:rPr>
          <w:rStyle w:val="EndnoteReference"/>
          <w:rFonts w:ascii="Arial" w:hAnsi="Arial" w:cs="Arial"/>
          <w:sz w:val="24"/>
          <w:szCs w:val="24"/>
        </w:rPr>
        <w:endnoteReference w:id="5"/>
      </w:r>
      <w:r w:rsidRPr="00CB55F1">
        <w:rPr>
          <w:rFonts w:ascii="Arial" w:hAnsi="Arial" w:cs="Arial"/>
          <w:sz w:val="24"/>
          <w:szCs w:val="24"/>
        </w:rPr>
        <w:t xml:space="preserve"> Here the global financial crisis is being identified as a turning point for financial crime enforcement,</w:t>
      </w:r>
      <w:r w:rsidRPr="00CB55F1">
        <w:rPr>
          <w:rStyle w:val="EndnoteReference"/>
          <w:rFonts w:ascii="Arial" w:hAnsi="Arial" w:cs="Arial"/>
          <w:sz w:val="24"/>
          <w:szCs w:val="24"/>
        </w:rPr>
        <w:endnoteReference w:id="6"/>
      </w:r>
      <w:r w:rsidRPr="00CB55F1">
        <w:rPr>
          <w:rFonts w:ascii="Arial" w:hAnsi="Arial" w:cs="Arial"/>
          <w:sz w:val="24"/>
          <w:szCs w:val="24"/>
        </w:rPr>
        <w:t xml:space="preserve"> itself associated with a new aggressive era of response, characterised by new tough and intrusive institutions and policies.</w:t>
      </w:r>
      <w:r w:rsidRPr="00CB55F1">
        <w:rPr>
          <w:rStyle w:val="EndnoteReference"/>
          <w:rFonts w:ascii="Arial" w:hAnsi="Arial" w:cs="Arial"/>
          <w:sz w:val="24"/>
          <w:szCs w:val="24"/>
        </w:rPr>
        <w:endnoteReference w:id="7"/>
      </w:r>
      <w:r w:rsidRPr="00CB55F1">
        <w:rPr>
          <w:rFonts w:ascii="Arial" w:hAnsi="Arial" w:cs="Arial"/>
          <w:sz w:val="24"/>
          <w:szCs w:val="24"/>
        </w:rPr>
        <w:t xml:space="preserve"> More normatively, it is being hailed as a ‘transformative’</w:t>
      </w:r>
      <w:r w:rsidRPr="00CB55F1">
        <w:rPr>
          <w:rStyle w:val="EndnoteReference"/>
          <w:rFonts w:ascii="Arial" w:hAnsi="Arial" w:cs="Arial"/>
          <w:sz w:val="24"/>
          <w:szCs w:val="24"/>
        </w:rPr>
        <w:endnoteReference w:id="8"/>
      </w:r>
      <w:r w:rsidRPr="00CB55F1">
        <w:rPr>
          <w:rFonts w:ascii="Arial" w:hAnsi="Arial" w:cs="Arial"/>
          <w:sz w:val="24"/>
          <w:szCs w:val="24"/>
        </w:rPr>
        <w:t xml:space="preserve"> point for financial crimes and their perpetrators to receive opprobrium properly </w:t>
      </w:r>
      <w:r w:rsidRPr="00CB55F1">
        <w:rPr>
          <w:rFonts w:ascii="Arial" w:hAnsi="Arial" w:cs="Arial"/>
          <w:sz w:val="24"/>
          <w:szCs w:val="24"/>
        </w:rPr>
        <w:lastRenderedPageBreak/>
        <w:t>reflecting these activities’ hugely damaging capabilities.</w:t>
      </w:r>
      <w:r w:rsidRPr="00CB55F1">
        <w:rPr>
          <w:rStyle w:val="EndnoteReference"/>
          <w:rFonts w:ascii="Arial" w:hAnsi="Arial" w:cs="Arial"/>
          <w:sz w:val="24"/>
          <w:szCs w:val="24"/>
        </w:rPr>
        <w:endnoteReference w:id="9"/>
      </w:r>
      <w:r w:rsidRPr="00CB55F1">
        <w:rPr>
          <w:rFonts w:ascii="Arial" w:hAnsi="Arial" w:cs="Arial"/>
          <w:sz w:val="24"/>
          <w:szCs w:val="24"/>
        </w:rPr>
        <w:t xml:space="preserve"> At the same time, this strong future-oriented view of financial crime is also occurring alongside UK regulators’ increasing interest in how the events of the past could and indeed </w:t>
      </w:r>
      <w:r w:rsidRPr="00CB55F1">
        <w:rPr>
          <w:rFonts w:ascii="Arial" w:hAnsi="Arial" w:cs="Arial"/>
          <w:i/>
          <w:sz w:val="24"/>
          <w:szCs w:val="24"/>
        </w:rPr>
        <w:t>should</w:t>
      </w:r>
      <w:r w:rsidRPr="00CB55F1">
        <w:rPr>
          <w:rFonts w:ascii="Arial" w:hAnsi="Arial" w:cs="Arial"/>
          <w:sz w:val="24"/>
          <w:szCs w:val="24"/>
        </w:rPr>
        <w:t xml:space="preserve"> guide the search for new post-crisis approaches to regulating the financial sphere, including calibrating new and ‘transformative’ responses to financial crime.</w:t>
      </w:r>
      <w:r w:rsidRPr="00CB55F1">
        <w:rPr>
          <w:rStyle w:val="EndnoteReference"/>
          <w:rFonts w:ascii="Arial" w:hAnsi="Arial" w:cs="Arial"/>
          <w:sz w:val="24"/>
          <w:szCs w:val="24"/>
        </w:rPr>
        <w:endnoteReference w:id="10"/>
      </w:r>
      <w:r w:rsidRPr="00CB55F1">
        <w:rPr>
          <w:rFonts w:ascii="Arial" w:hAnsi="Arial" w:cs="Arial"/>
          <w:sz w:val="24"/>
          <w:szCs w:val="24"/>
        </w:rPr>
        <w:t xml:space="preserve"> </w:t>
      </w:r>
    </w:p>
    <w:p w14:paraId="56C00B73" w14:textId="77777777" w:rsidR="00CB55F1" w:rsidRPr="00CB55F1" w:rsidRDefault="00CB55F1" w:rsidP="00CB55F1">
      <w:pPr>
        <w:spacing w:after="0" w:line="480" w:lineRule="auto"/>
        <w:jc w:val="both"/>
        <w:rPr>
          <w:rFonts w:ascii="Arial" w:hAnsi="Arial" w:cs="Arial"/>
          <w:b/>
          <w:sz w:val="24"/>
          <w:szCs w:val="24"/>
        </w:rPr>
      </w:pPr>
    </w:p>
    <w:p w14:paraId="09311F61" w14:textId="048E69D9" w:rsidR="00CB55F1" w:rsidRPr="003025AC" w:rsidRDefault="003025AC" w:rsidP="003025AC">
      <w:pPr>
        <w:spacing w:after="0" w:line="480" w:lineRule="auto"/>
        <w:jc w:val="center"/>
        <w:rPr>
          <w:rFonts w:ascii="Arial" w:hAnsi="Arial" w:cs="Arial"/>
          <w:sz w:val="28"/>
          <w:szCs w:val="28"/>
        </w:rPr>
      </w:pPr>
      <w:r w:rsidRPr="003025AC">
        <w:rPr>
          <w:rFonts w:ascii="Arial" w:hAnsi="Arial" w:cs="Arial"/>
          <w:sz w:val="28"/>
          <w:szCs w:val="28"/>
        </w:rPr>
        <w:t>II</w:t>
      </w:r>
    </w:p>
    <w:p w14:paraId="3C8D8CC1" w14:textId="26741562"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From the above</w:t>
      </w:r>
      <w:r w:rsidR="003025AC">
        <w:rPr>
          <w:rFonts w:ascii="Arial" w:hAnsi="Arial" w:cs="Arial"/>
          <w:sz w:val="24"/>
          <w:szCs w:val="24"/>
        </w:rPr>
        <w:t>,</w:t>
      </w:r>
      <w:r w:rsidRPr="00CB55F1">
        <w:rPr>
          <w:rFonts w:ascii="Arial" w:hAnsi="Arial" w:cs="Arial"/>
          <w:sz w:val="24"/>
          <w:szCs w:val="24"/>
        </w:rPr>
        <w:t xml:space="preserve"> it should now be apparent that presenting a historical case study of financial crime is a complex exercise. It must embrace the current ‘spotlight’ on financial crime itself in the post-crisis regulatory environment, as well as matters which might arise more obviously from historical writing. It must also be concerned with how historians have traditionally responded to its presence in the emergence of modern Britain; and with how this might well tap into established criminology, where the study of ‘white-collar crime’ is an established and respected distinctive sphere of considerable volume, and yet illustrates criminology’s ‘chronocentric’ tradition and its disproportionate concern with ‘traditional’ crime. Taking the latter, criticism of criminologists’ characteristic adherence to ‘presentism’, embodied in configuring ‘new times’ as ones requiring ‘new approaches’ - and evident in a small but burgeoning body of ‘historical criminology’-</w:t>
      </w:r>
      <w:r w:rsidRPr="00CB55F1">
        <w:rPr>
          <w:rFonts w:ascii="Arial" w:hAnsi="Arial" w:cs="Arial"/>
          <w:i/>
          <w:sz w:val="24"/>
          <w:szCs w:val="24"/>
        </w:rPr>
        <w:t xml:space="preserve"> is</w:t>
      </w:r>
      <w:r w:rsidRPr="00CB55F1">
        <w:rPr>
          <w:rFonts w:ascii="Arial" w:hAnsi="Arial" w:cs="Arial"/>
          <w:sz w:val="24"/>
          <w:szCs w:val="24"/>
        </w:rPr>
        <w:t xml:space="preserve"> highly pertinent for this crime history case study of financial crime. This is so on account </w:t>
      </w:r>
      <w:r w:rsidR="003025AC">
        <w:rPr>
          <w:rFonts w:ascii="Arial" w:hAnsi="Arial" w:cs="Arial"/>
          <w:sz w:val="24"/>
          <w:szCs w:val="24"/>
        </w:rPr>
        <w:t>the</w:t>
      </w:r>
      <w:r w:rsidRPr="00CB55F1">
        <w:rPr>
          <w:rFonts w:ascii="Arial" w:hAnsi="Arial" w:cs="Arial"/>
          <w:sz w:val="24"/>
          <w:szCs w:val="24"/>
        </w:rPr>
        <w:t xml:space="preserve"> perceived benefits of adopting extended timeframes for study and utilising historical methodology amongst criminologists</w:t>
      </w:r>
      <w:r w:rsidR="003025AC">
        <w:rPr>
          <w:rFonts w:ascii="Arial" w:hAnsi="Arial" w:cs="Arial"/>
          <w:sz w:val="24"/>
          <w:szCs w:val="24"/>
        </w:rPr>
        <w:t>.</w:t>
      </w:r>
      <w:r w:rsidRPr="00CB55F1">
        <w:rPr>
          <w:rStyle w:val="EndnoteReference"/>
          <w:rFonts w:ascii="Arial" w:hAnsi="Arial" w:cs="Arial"/>
          <w:sz w:val="24"/>
          <w:szCs w:val="24"/>
        </w:rPr>
        <w:endnoteReference w:id="11"/>
      </w:r>
      <w:r w:rsidRPr="00CB55F1">
        <w:rPr>
          <w:rFonts w:ascii="Arial" w:hAnsi="Arial" w:cs="Arial"/>
          <w:sz w:val="24"/>
          <w:szCs w:val="24"/>
        </w:rPr>
        <w:t xml:space="preserve"> </w:t>
      </w:r>
      <w:r w:rsidR="003025AC">
        <w:rPr>
          <w:rFonts w:ascii="Arial" w:hAnsi="Arial" w:cs="Arial"/>
          <w:sz w:val="24"/>
          <w:szCs w:val="24"/>
        </w:rPr>
        <w:t>However,</w:t>
      </w:r>
      <w:r w:rsidR="003025AC" w:rsidRPr="00CB55F1">
        <w:rPr>
          <w:rFonts w:ascii="Arial" w:hAnsi="Arial" w:cs="Arial"/>
          <w:sz w:val="24"/>
          <w:szCs w:val="24"/>
        </w:rPr>
        <w:t xml:space="preserve"> </w:t>
      </w:r>
      <w:r w:rsidRPr="00CB55F1">
        <w:rPr>
          <w:rFonts w:ascii="Arial" w:hAnsi="Arial" w:cs="Arial"/>
          <w:sz w:val="24"/>
          <w:szCs w:val="24"/>
        </w:rPr>
        <w:t>there is little scope for exploring this methodologically herein. In contrast</w:t>
      </w:r>
      <w:r w:rsidR="003025AC">
        <w:rPr>
          <w:rFonts w:ascii="Arial" w:hAnsi="Arial" w:cs="Arial"/>
          <w:sz w:val="24"/>
          <w:szCs w:val="24"/>
        </w:rPr>
        <w:t>,</w:t>
      </w:r>
      <w:r w:rsidRPr="00CB55F1">
        <w:rPr>
          <w:rFonts w:ascii="Arial" w:hAnsi="Arial" w:cs="Arial"/>
          <w:sz w:val="24"/>
          <w:szCs w:val="24"/>
        </w:rPr>
        <w:t xml:space="preserve"> more is said about criminologists’ interest in white-collar and more traditional deviance, with most attention being paid to the acknowledged importance of micro</w:t>
      </w:r>
      <w:r w:rsidR="003025AC">
        <w:rPr>
          <w:rFonts w:ascii="Arial" w:hAnsi="Arial" w:cs="Arial"/>
          <w:sz w:val="24"/>
          <w:szCs w:val="24"/>
        </w:rPr>
        <w:t>-</w:t>
      </w:r>
      <w:r w:rsidRPr="00CB55F1">
        <w:rPr>
          <w:rFonts w:ascii="Arial" w:hAnsi="Arial" w:cs="Arial"/>
          <w:sz w:val="24"/>
          <w:szCs w:val="24"/>
        </w:rPr>
        <w:t xml:space="preserve">history within crime historiography; the comparative absence of financial crime from established </w:t>
      </w:r>
      <w:r w:rsidRPr="00CB55F1">
        <w:rPr>
          <w:rFonts w:ascii="Arial" w:hAnsi="Arial" w:cs="Arial"/>
          <w:sz w:val="24"/>
          <w:szCs w:val="24"/>
        </w:rPr>
        <w:lastRenderedPageBreak/>
        <w:t xml:space="preserve">historical studies of crime and society, and actually to what might be meant by ‘financial crime’ for these purposes. </w:t>
      </w:r>
    </w:p>
    <w:p w14:paraId="1D5D8AA7" w14:textId="77777777" w:rsidR="00CB55F1" w:rsidRPr="00CB55F1" w:rsidRDefault="00CB55F1" w:rsidP="00CB55F1">
      <w:pPr>
        <w:spacing w:after="0" w:line="480" w:lineRule="auto"/>
        <w:jc w:val="both"/>
        <w:rPr>
          <w:rFonts w:ascii="Arial" w:hAnsi="Arial" w:cs="Arial"/>
          <w:sz w:val="24"/>
          <w:szCs w:val="24"/>
        </w:rPr>
      </w:pPr>
    </w:p>
    <w:p w14:paraId="289CE789" w14:textId="088CBA2A" w:rsidR="00CB55F1" w:rsidRPr="00CB55F1" w:rsidRDefault="00C437F4" w:rsidP="00CB55F1">
      <w:pPr>
        <w:spacing w:after="0" w:line="480" w:lineRule="auto"/>
        <w:jc w:val="both"/>
        <w:rPr>
          <w:rFonts w:ascii="Arial" w:hAnsi="Arial" w:cs="Arial"/>
          <w:sz w:val="24"/>
          <w:szCs w:val="24"/>
        </w:rPr>
      </w:pPr>
      <w:r>
        <w:rPr>
          <w:rFonts w:ascii="Arial" w:hAnsi="Arial" w:cs="Arial"/>
          <w:sz w:val="24"/>
          <w:szCs w:val="24"/>
        </w:rPr>
        <w:t xml:space="preserve">The scope of this chapter is very strongly influenced by how, for historians of crime, the importance of undertaking research in financial crime remains to be demonstrated </w:t>
      </w:r>
      <w:r w:rsidR="00065227">
        <w:rPr>
          <w:rFonts w:ascii="Arial" w:hAnsi="Arial" w:cs="Arial"/>
          <w:sz w:val="24"/>
          <w:szCs w:val="24"/>
        </w:rPr>
        <w:t xml:space="preserve">to a very significant degree. </w:t>
      </w:r>
      <w:r>
        <w:rPr>
          <w:rFonts w:ascii="Arial" w:hAnsi="Arial" w:cs="Arial"/>
          <w:sz w:val="24"/>
          <w:szCs w:val="24"/>
        </w:rPr>
        <w:t xml:space="preserve">From this, showcasing individual case studies has to sit alongside actually making the case for why crime history should </w:t>
      </w:r>
      <w:r w:rsidR="00860D17">
        <w:rPr>
          <w:rFonts w:ascii="Arial" w:hAnsi="Arial" w:cs="Arial"/>
          <w:sz w:val="24"/>
          <w:szCs w:val="24"/>
        </w:rPr>
        <w:t xml:space="preserve">indeed </w:t>
      </w:r>
      <w:r>
        <w:rPr>
          <w:rFonts w:ascii="Arial" w:hAnsi="Arial" w:cs="Arial"/>
          <w:sz w:val="24"/>
          <w:szCs w:val="24"/>
        </w:rPr>
        <w:t xml:space="preserve">embrace the history of financial crime. The </w:t>
      </w:r>
      <w:r w:rsidR="00860D17">
        <w:rPr>
          <w:rFonts w:ascii="Arial" w:hAnsi="Arial" w:cs="Arial"/>
          <w:sz w:val="24"/>
          <w:szCs w:val="24"/>
        </w:rPr>
        <w:t xml:space="preserve">selected </w:t>
      </w:r>
      <w:r>
        <w:rPr>
          <w:rFonts w:ascii="Arial" w:hAnsi="Arial" w:cs="Arial"/>
          <w:sz w:val="24"/>
          <w:szCs w:val="24"/>
        </w:rPr>
        <w:t xml:space="preserve">case studies are </w:t>
      </w:r>
      <w:r w:rsidR="00CB55F1" w:rsidRPr="00CB55F1">
        <w:rPr>
          <w:rFonts w:ascii="Arial" w:hAnsi="Arial" w:cs="Arial"/>
          <w:sz w:val="24"/>
          <w:szCs w:val="24"/>
        </w:rPr>
        <w:t xml:space="preserve">drawn from extensive </w:t>
      </w:r>
      <w:r>
        <w:rPr>
          <w:rFonts w:ascii="Arial" w:hAnsi="Arial" w:cs="Arial"/>
          <w:sz w:val="24"/>
          <w:szCs w:val="24"/>
        </w:rPr>
        <w:t xml:space="preserve">study </w:t>
      </w:r>
      <w:r w:rsidR="00860D17">
        <w:rPr>
          <w:rFonts w:ascii="Arial" w:hAnsi="Arial" w:cs="Arial"/>
          <w:sz w:val="24"/>
          <w:szCs w:val="24"/>
        </w:rPr>
        <w:t>which asserts</w:t>
      </w:r>
      <w:r w:rsidR="00860D17" w:rsidRPr="00CB55F1">
        <w:rPr>
          <w:rFonts w:ascii="Arial" w:hAnsi="Arial" w:cs="Arial"/>
          <w:sz w:val="24"/>
          <w:szCs w:val="24"/>
        </w:rPr>
        <w:t xml:space="preserve"> </w:t>
      </w:r>
      <w:r w:rsidR="00CB55F1" w:rsidRPr="00CB55F1">
        <w:rPr>
          <w:rFonts w:ascii="Arial" w:hAnsi="Arial" w:cs="Arial"/>
          <w:sz w:val="24"/>
          <w:szCs w:val="24"/>
        </w:rPr>
        <w:t>that it was during the nineteenth century that social attitudes and legal responses to ‘financial crime’ started to take shape. As it was during this time when linkages between ‘impropriety’ and ‘business people’ and ‘business environs’ started to crystallise in British legal and wider societal consciousness in ways which are recognisable today,</w:t>
      </w:r>
      <w:r w:rsidR="00CB55F1" w:rsidRPr="00CB55F1">
        <w:rPr>
          <w:rStyle w:val="EndnoteReference"/>
          <w:rFonts w:ascii="Arial" w:hAnsi="Arial" w:cs="Arial"/>
          <w:sz w:val="24"/>
          <w:szCs w:val="24"/>
        </w:rPr>
        <w:endnoteReference w:id="12"/>
      </w:r>
      <w:r w:rsidR="00CB55F1" w:rsidRPr="00CB55F1">
        <w:rPr>
          <w:rFonts w:ascii="Arial" w:hAnsi="Arial" w:cs="Arial"/>
          <w:sz w:val="24"/>
          <w:szCs w:val="24"/>
        </w:rPr>
        <w:t xml:space="preserve"> these cases and their contextualisation attest to the </w:t>
      </w:r>
      <w:r w:rsidR="003025AC">
        <w:rPr>
          <w:rFonts w:ascii="Arial" w:hAnsi="Arial" w:cs="Arial"/>
          <w:sz w:val="24"/>
          <w:szCs w:val="24"/>
        </w:rPr>
        <w:t>need for</w:t>
      </w:r>
      <w:r w:rsidR="00CB55F1" w:rsidRPr="00CB55F1">
        <w:rPr>
          <w:rFonts w:ascii="Arial" w:hAnsi="Arial" w:cs="Arial"/>
          <w:sz w:val="24"/>
          <w:szCs w:val="24"/>
        </w:rPr>
        <w:t xml:space="preserve"> crime history </w:t>
      </w:r>
      <w:r w:rsidR="003025AC">
        <w:rPr>
          <w:rFonts w:ascii="Arial" w:hAnsi="Arial" w:cs="Arial"/>
          <w:sz w:val="24"/>
          <w:szCs w:val="24"/>
        </w:rPr>
        <w:t>to embrace</w:t>
      </w:r>
      <w:r w:rsidR="003025AC" w:rsidRPr="00CB55F1">
        <w:rPr>
          <w:rFonts w:ascii="Arial" w:hAnsi="Arial" w:cs="Arial"/>
          <w:sz w:val="24"/>
          <w:szCs w:val="24"/>
        </w:rPr>
        <w:t xml:space="preserve"> </w:t>
      </w:r>
      <w:r w:rsidR="00CB55F1" w:rsidRPr="00CB55F1">
        <w:rPr>
          <w:rFonts w:ascii="Arial" w:hAnsi="Arial" w:cs="Arial"/>
          <w:sz w:val="24"/>
          <w:szCs w:val="24"/>
        </w:rPr>
        <w:t>the history of financial crime. Suggestion that this occurred through revelations of extensive perpetration of ‘ingenious crime’ accessible only by prominent businessmen from the 1840s</w:t>
      </w:r>
      <w:r w:rsidR="003025AC">
        <w:rPr>
          <w:rFonts w:ascii="Arial" w:hAnsi="Arial" w:cs="Arial"/>
          <w:sz w:val="24"/>
          <w:szCs w:val="24"/>
        </w:rPr>
        <w:t>,</w:t>
      </w:r>
      <w:r w:rsidR="00CB55F1" w:rsidRPr="00CB55F1">
        <w:rPr>
          <w:rFonts w:ascii="Arial" w:hAnsi="Arial" w:cs="Arial"/>
          <w:sz w:val="24"/>
          <w:szCs w:val="24"/>
        </w:rPr>
        <w:t xml:space="preserve"> runs contrary both to the presentist approach of white-collar crime criminology and also the dominant narrative of crime historiography. For criminology, its chronocentrism is readily apparent in how ‘financial crimes’ are presented and analysed as artefacts of ‘</w:t>
      </w:r>
      <w:r w:rsidR="000B79BD">
        <w:rPr>
          <w:rFonts w:ascii="Arial" w:hAnsi="Arial" w:cs="Arial"/>
          <w:sz w:val="24"/>
          <w:szCs w:val="24"/>
        </w:rPr>
        <w:t>Twentieth</w:t>
      </w:r>
      <w:r w:rsidR="000B79BD" w:rsidRPr="00CB55F1">
        <w:rPr>
          <w:rFonts w:ascii="Arial" w:hAnsi="Arial" w:cs="Arial"/>
          <w:sz w:val="24"/>
          <w:szCs w:val="24"/>
        </w:rPr>
        <w:t xml:space="preserve"> </w:t>
      </w:r>
      <w:r w:rsidR="00CB55F1" w:rsidRPr="00CB55F1">
        <w:rPr>
          <w:rFonts w:ascii="Arial" w:hAnsi="Arial" w:cs="Arial"/>
          <w:sz w:val="24"/>
          <w:szCs w:val="24"/>
        </w:rPr>
        <w:t>Century Crisis’</w:t>
      </w:r>
      <w:r w:rsidR="00CB55F1" w:rsidRPr="00CB55F1">
        <w:rPr>
          <w:rStyle w:val="EndnoteReference"/>
          <w:rFonts w:ascii="Arial" w:hAnsi="Arial" w:cs="Arial"/>
          <w:sz w:val="24"/>
          <w:szCs w:val="24"/>
        </w:rPr>
        <w:endnoteReference w:id="13"/>
      </w:r>
      <w:r w:rsidR="00CB55F1" w:rsidRPr="00CB55F1">
        <w:rPr>
          <w:rFonts w:ascii="Arial" w:hAnsi="Arial" w:cs="Arial"/>
          <w:sz w:val="24"/>
          <w:szCs w:val="24"/>
        </w:rPr>
        <w:t xml:space="preserve"> and even as ‘modern crime </w:t>
      </w:r>
      <w:r w:rsidR="00CB55F1" w:rsidRPr="00CB55F1">
        <w:rPr>
          <w:rFonts w:ascii="Arial" w:hAnsi="Arial" w:cs="Arial"/>
          <w:i/>
          <w:sz w:val="24"/>
          <w:szCs w:val="24"/>
        </w:rPr>
        <w:t>par excellence’</w:t>
      </w:r>
      <w:r w:rsidR="00CB55F1" w:rsidRPr="00CB55F1">
        <w:rPr>
          <w:rFonts w:ascii="Arial" w:hAnsi="Arial" w:cs="Arial"/>
          <w:sz w:val="24"/>
          <w:szCs w:val="24"/>
        </w:rPr>
        <w:t>,</w:t>
      </w:r>
      <w:r w:rsidR="00CB55F1" w:rsidRPr="00CB55F1">
        <w:rPr>
          <w:rStyle w:val="EndnoteReference"/>
          <w:rFonts w:ascii="Arial" w:hAnsi="Arial" w:cs="Arial"/>
          <w:sz w:val="24"/>
          <w:szCs w:val="24"/>
        </w:rPr>
        <w:endnoteReference w:id="14"/>
      </w:r>
      <w:r w:rsidR="00CB55F1" w:rsidRPr="00CB55F1">
        <w:rPr>
          <w:rFonts w:ascii="Arial" w:hAnsi="Arial" w:cs="Arial"/>
          <w:sz w:val="24"/>
          <w:szCs w:val="24"/>
        </w:rPr>
        <w:t xml:space="preserve"> with this manifested in different ways. Whilst some studies show no engagement whatsoever with times predating the twentieth century, most will suggest that misconduct worthy of the labels of ‘</w:t>
      </w:r>
      <w:r w:rsidR="000B79BD">
        <w:rPr>
          <w:rFonts w:ascii="Arial" w:hAnsi="Arial" w:cs="Arial"/>
          <w:sz w:val="24"/>
          <w:szCs w:val="24"/>
        </w:rPr>
        <w:t>Twentieth</w:t>
      </w:r>
      <w:r w:rsidR="000B79BD" w:rsidRPr="00CB55F1">
        <w:rPr>
          <w:rFonts w:ascii="Arial" w:hAnsi="Arial" w:cs="Arial"/>
          <w:sz w:val="24"/>
          <w:szCs w:val="24"/>
        </w:rPr>
        <w:t xml:space="preserve"> </w:t>
      </w:r>
      <w:r w:rsidR="00CB55F1" w:rsidRPr="00CB55F1">
        <w:rPr>
          <w:rFonts w:ascii="Arial" w:hAnsi="Arial" w:cs="Arial"/>
          <w:sz w:val="24"/>
          <w:szCs w:val="24"/>
        </w:rPr>
        <w:t xml:space="preserve">Century Crisis’ and ‘modern crime </w:t>
      </w:r>
      <w:r w:rsidR="00CB55F1" w:rsidRPr="00CB55F1">
        <w:rPr>
          <w:rFonts w:ascii="Arial" w:hAnsi="Arial" w:cs="Arial"/>
          <w:i/>
          <w:sz w:val="24"/>
          <w:szCs w:val="24"/>
        </w:rPr>
        <w:t>par excellence’</w:t>
      </w:r>
      <w:r w:rsidR="00CB55F1" w:rsidRPr="00CB55F1">
        <w:rPr>
          <w:rFonts w:ascii="Arial" w:hAnsi="Arial" w:cs="Arial"/>
          <w:sz w:val="24"/>
          <w:szCs w:val="24"/>
        </w:rPr>
        <w:t xml:space="preserve"> is not actually ‘new’</w:t>
      </w:r>
      <w:r w:rsidR="00CB55F1" w:rsidRPr="00CB55F1">
        <w:rPr>
          <w:rStyle w:val="EndnoteReference"/>
          <w:rFonts w:ascii="Arial" w:hAnsi="Arial" w:cs="Arial"/>
          <w:sz w:val="24"/>
          <w:szCs w:val="24"/>
        </w:rPr>
        <w:endnoteReference w:id="15"/>
      </w:r>
      <w:r w:rsidR="00CB55F1" w:rsidRPr="00CB55F1">
        <w:rPr>
          <w:rFonts w:ascii="Arial" w:hAnsi="Arial" w:cs="Arial"/>
          <w:sz w:val="24"/>
          <w:szCs w:val="24"/>
        </w:rPr>
        <w:t xml:space="preserve"> and is in many respects as ‘old as Ancient Egypt’.</w:t>
      </w:r>
      <w:r w:rsidR="00CB55F1" w:rsidRPr="00CB55F1">
        <w:rPr>
          <w:rStyle w:val="EndnoteReference"/>
          <w:rFonts w:ascii="Arial" w:hAnsi="Arial" w:cs="Arial"/>
          <w:sz w:val="24"/>
          <w:szCs w:val="24"/>
        </w:rPr>
        <w:endnoteReference w:id="16"/>
      </w:r>
      <w:r w:rsidR="00CB55F1" w:rsidRPr="00CB55F1">
        <w:rPr>
          <w:rFonts w:ascii="Arial" w:hAnsi="Arial" w:cs="Arial"/>
          <w:sz w:val="24"/>
          <w:szCs w:val="24"/>
        </w:rPr>
        <w:t xml:space="preserve"> Both positions are grounded in the technologising influences of the twentieth century</w:t>
      </w:r>
      <w:r w:rsidR="00CB55F1" w:rsidRPr="00CB55F1">
        <w:rPr>
          <w:rStyle w:val="EndnoteReference"/>
          <w:rFonts w:ascii="Arial" w:hAnsi="Arial" w:cs="Arial"/>
          <w:sz w:val="24"/>
          <w:szCs w:val="24"/>
        </w:rPr>
        <w:endnoteReference w:id="17"/>
      </w:r>
      <w:r w:rsidR="00CB55F1" w:rsidRPr="00CB55F1">
        <w:rPr>
          <w:rFonts w:ascii="Arial" w:hAnsi="Arial" w:cs="Arial"/>
          <w:sz w:val="24"/>
          <w:szCs w:val="24"/>
        </w:rPr>
        <w:t xml:space="preserve"> with the latter showing how presentism and </w:t>
      </w:r>
      <w:r w:rsidR="00CB55F1" w:rsidRPr="00CB55F1">
        <w:rPr>
          <w:rFonts w:ascii="Arial" w:hAnsi="Arial" w:cs="Arial"/>
          <w:sz w:val="24"/>
          <w:szCs w:val="24"/>
        </w:rPr>
        <w:lastRenderedPageBreak/>
        <w:t xml:space="preserve">chronocentrism can be associated with the distinctiveness of the present in the vein of ‘new times requiring new approaches’, rather than with complete denial that issues associated with ‘law breaking’ have a history. </w:t>
      </w:r>
    </w:p>
    <w:p w14:paraId="266B3575" w14:textId="77777777" w:rsidR="00CB55F1" w:rsidRPr="00CB55F1" w:rsidRDefault="00CB55F1" w:rsidP="00CB55F1">
      <w:pPr>
        <w:spacing w:after="0" w:line="480" w:lineRule="auto"/>
        <w:jc w:val="both"/>
        <w:rPr>
          <w:rFonts w:ascii="Arial" w:hAnsi="Arial" w:cs="Arial"/>
          <w:sz w:val="24"/>
          <w:szCs w:val="24"/>
        </w:rPr>
      </w:pPr>
    </w:p>
    <w:p w14:paraId="79EE964D" w14:textId="77777777"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In terms of what this body of work regards as ‘financial crime’, this can commonly be found referenced closely alongside the terminology of ‘fraud’ to denote some type of non-violent means of ‘obtaining some economic advantage or causing some economic loss.</w:t>
      </w:r>
      <w:r w:rsidRPr="00CB55F1">
        <w:rPr>
          <w:rStyle w:val="EndnoteReference"/>
          <w:rFonts w:ascii="Arial" w:hAnsi="Arial" w:cs="Arial"/>
          <w:sz w:val="24"/>
          <w:szCs w:val="24"/>
        </w:rPr>
        <w:endnoteReference w:id="18"/>
      </w:r>
      <w:r w:rsidRPr="00CB55F1">
        <w:rPr>
          <w:rFonts w:ascii="Arial" w:hAnsi="Arial" w:cs="Arial"/>
          <w:sz w:val="24"/>
          <w:szCs w:val="24"/>
        </w:rPr>
        <w:t xml:space="preserve"> </w:t>
      </w:r>
      <w:r w:rsidRPr="00CB55F1">
        <w:rPr>
          <w:rFonts w:ascii="Arial" w:hAnsi="Arial" w:cs="Arial"/>
          <w:color w:val="000000"/>
          <w:sz w:val="24"/>
          <w:szCs w:val="24"/>
        </w:rPr>
        <w:t xml:space="preserve">The location of academic studies of financial crime within ‘white-collar crime’ scholarship reflects how the ground-breaking work of Edwin Sutherland gave rise to this distinctive strand of criminology during the 1930s and 1940s. Whilst Sutherland’s seminal definition of a white-collar crime as one </w:t>
      </w:r>
      <w:r w:rsidRPr="00CB55F1">
        <w:rPr>
          <w:rFonts w:ascii="Arial" w:hAnsi="Arial" w:cs="Arial"/>
          <w:sz w:val="24"/>
          <w:szCs w:val="24"/>
        </w:rPr>
        <w:t>which is ‘committed by a person of respectability and high social status in the course of his occupation’</w:t>
      </w:r>
      <w:r w:rsidRPr="00CB55F1">
        <w:rPr>
          <w:rStyle w:val="EndnoteReference"/>
          <w:rFonts w:ascii="Arial" w:hAnsi="Arial" w:cs="Arial"/>
          <w:sz w:val="24"/>
          <w:szCs w:val="24"/>
        </w:rPr>
        <w:endnoteReference w:id="19"/>
      </w:r>
      <w:r w:rsidRPr="00CB55F1">
        <w:rPr>
          <w:rFonts w:ascii="Arial" w:hAnsi="Arial" w:cs="Arial"/>
          <w:sz w:val="24"/>
          <w:szCs w:val="24"/>
        </w:rPr>
        <w:t xml:space="preserve"> </w:t>
      </w:r>
      <w:r w:rsidRPr="00CB55F1">
        <w:rPr>
          <w:rFonts w:ascii="Arial" w:hAnsi="Arial" w:cs="Arial"/>
          <w:i/>
          <w:sz w:val="24"/>
          <w:szCs w:val="24"/>
        </w:rPr>
        <w:t xml:space="preserve">is </w:t>
      </w:r>
      <w:r w:rsidRPr="00CB55F1">
        <w:rPr>
          <w:rFonts w:ascii="Arial" w:hAnsi="Arial" w:cs="Arial"/>
          <w:sz w:val="24"/>
          <w:szCs w:val="24"/>
        </w:rPr>
        <w:t>highly salient for this case study of financial crime, of greater significance for illuminating scholars’ use of the terminology of ‘financial crime’ is Sutherland’s classification of two types of ‘business crime’. Alongside duplicity and the manipulation of power (crimes of corruption) Sutherland located infractions involving misrepresentations of asset values, which ‘approximated with fraud or swindling’.</w:t>
      </w:r>
      <w:r w:rsidRPr="00CB55F1">
        <w:rPr>
          <w:rStyle w:val="EndnoteReference"/>
          <w:rFonts w:ascii="Arial" w:hAnsi="Arial" w:cs="Arial"/>
          <w:sz w:val="24"/>
          <w:szCs w:val="24"/>
        </w:rPr>
        <w:endnoteReference w:id="20"/>
      </w:r>
      <w:r w:rsidRPr="00CB55F1">
        <w:rPr>
          <w:rFonts w:ascii="Arial" w:hAnsi="Arial" w:cs="Arial"/>
          <w:sz w:val="24"/>
          <w:szCs w:val="24"/>
        </w:rPr>
        <w:t xml:space="preserve"> For the latter, although an extensive social and economic spectrum of financial crime offending is recognised – with such activities being committed by the blue collar community and ‘elite insider dealers’ alike,</w:t>
      </w:r>
      <w:r w:rsidRPr="00CB55F1">
        <w:rPr>
          <w:rStyle w:val="EndnoteReference"/>
          <w:rFonts w:ascii="Arial" w:hAnsi="Arial" w:cs="Arial"/>
          <w:sz w:val="24"/>
          <w:szCs w:val="24"/>
        </w:rPr>
        <w:endnoteReference w:id="21"/>
      </w:r>
      <w:r w:rsidRPr="00CB55F1">
        <w:rPr>
          <w:rFonts w:ascii="Arial" w:hAnsi="Arial" w:cs="Arial"/>
          <w:sz w:val="24"/>
          <w:szCs w:val="24"/>
        </w:rPr>
        <w:t xml:space="preserve"> and for some scholars even includes social security/welfare offenders- this is a study of  ‘crime in the commercial sphere’.</w:t>
      </w:r>
      <w:r w:rsidRPr="00CB55F1">
        <w:rPr>
          <w:rStyle w:val="EndnoteReference"/>
          <w:rFonts w:ascii="Arial" w:hAnsi="Arial" w:cs="Arial"/>
          <w:sz w:val="24"/>
          <w:szCs w:val="24"/>
        </w:rPr>
        <w:endnoteReference w:id="22"/>
      </w:r>
    </w:p>
    <w:p w14:paraId="51090F24" w14:textId="77777777" w:rsidR="00CB55F1" w:rsidRPr="00CB55F1" w:rsidRDefault="00CB55F1" w:rsidP="00CB55F1">
      <w:pPr>
        <w:spacing w:after="0" w:line="480" w:lineRule="auto"/>
        <w:jc w:val="both"/>
        <w:rPr>
          <w:rFonts w:ascii="Arial" w:hAnsi="Arial" w:cs="Arial"/>
          <w:sz w:val="24"/>
          <w:szCs w:val="24"/>
        </w:rPr>
      </w:pPr>
    </w:p>
    <w:p w14:paraId="6396CBFE" w14:textId="3E457BB8" w:rsidR="00CB55F1" w:rsidRPr="000B79BD" w:rsidRDefault="000B79BD" w:rsidP="000B79BD">
      <w:pPr>
        <w:spacing w:after="0" w:line="480" w:lineRule="auto"/>
        <w:jc w:val="center"/>
        <w:rPr>
          <w:rFonts w:ascii="Arial" w:hAnsi="Arial" w:cs="Arial"/>
          <w:sz w:val="28"/>
          <w:szCs w:val="28"/>
        </w:rPr>
      </w:pPr>
      <w:r w:rsidRPr="000B79BD">
        <w:rPr>
          <w:rFonts w:ascii="Arial" w:hAnsi="Arial" w:cs="Arial"/>
          <w:sz w:val="28"/>
          <w:szCs w:val="28"/>
        </w:rPr>
        <w:t>III</w:t>
      </w:r>
    </w:p>
    <w:p w14:paraId="058DAF57" w14:textId="19CE8C8A"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 xml:space="preserve">What interested </w:t>
      </w:r>
      <w:r w:rsidR="000B79BD">
        <w:rPr>
          <w:rFonts w:ascii="Arial" w:hAnsi="Arial" w:cs="Arial"/>
          <w:sz w:val="24"/>
          <w:szCs w:val="24"/>
        </w:rPr>
        <w:t xml:space="preserve">American sociologist Edwin </w:t>
      </w:r>
      <w:r w:rsidRPr="00CB55F1">
        <w:rPr>
          <w:rFonts w:ascii="Arial" w:hAnsi="Arial" w:cs="Arial"/>
          <w:sz w:val="24"/>
          <w:szCs w:val="24"/>
        </w:rPr>
        <w:t>Sutherland about white-collar crimes in the early twentieth century continues to shape today’s criminology</w:t>
      </w:r>
      <w:r w:rsidR="000B79BD" w:rsidRPr="000B79BD">
        <w:rPr>
          <w:rFonts w:ascii="Arial" w:hAnsi="Arial" w:cs="Arial"/>
          <w:sz w:val="24"/>
          <w:szCs w:val="24"/>
        </w:rPr>
        <w:t xml:space="preserve"> </w:t>
      </w:r>
      <w:r w:rsidR="000B79BD" w:rsidRPr="00CB55F1">
        <w:rPr>
          <w:rFonts w:ascii="Arial" w:hAnsi="Arial" w:cs="Arial"/>
          <w:sz w:val="24"/>
          <w:szCs w:val="24"/>
        </w:rPr>
        <w:t>very strongly</w:t>
      </w:r>
      <w:r w:rsidRPr="00CB55F1">
        <w:rPr>
          <w:rFonts w:ascii="Arial" w:hAnsi="Arial" w:cs="Arial"/>
          <w:sz w:val="24"/>
          <w:szCs w:val="24"/>
        </w:rPr>
        <w:t xml:space="preserve">. For </w:t>
      </w:r>
      <w:r w:rsidRPr="00CB55F1">
        <w:rPr>
          <w:rFonts w:ascii="Arial" w:hAnsi="Arial" w:cs="Arial"/>
          <w:sz w:val="24"/>
          <w:szCs w:val="24"/>
        </w:rPr>
        <w:lastRenderedPageBreak/>
        <w:t>Sutherland</w:t>
      </w:r>
      <w:r w:rsidR="000B79BD">
        <w:rPr>
          <w:rFonts w:ascii="Arial" w:hAnsi="Arial" w:cs="Arial"/>
          <w:sz w:val="24"/>
          <w:szCs w:val="24"/>
        </w:rPr>
        <w:t>,</w:t>
      </w:r>
      <w:r w:rsidRPr="00CB55F1">
        <w:rPr>
          <w:rFonts w:ascii="Arial" w:hAnsi="Arial" w:cs="Arial"/>
          <w:sz w:val="24"/>
          <w:szCs w:val="24"/>
        </w:rPr>
        <w:t xml:space="preserve"> as it remains for a number of his followers, law enforcement priorities ensured that the criminal courts dealt primarily with those who committed ‘traditional’ or ‘ordinary crimes’</w:t>
      </w:r>
      <w:r w:rsidRPr="00CB55F1">
        <w:rPr>
          <w:rStyle w:val="EndnoteReference"/>
          <w:rFonts w:ascii="Arial" w:hAnsi="Arial" w:cs="Arial"/>
          <w:sz w:val="24"/>
          <w:szCs w:val="24"/>
        </w:rPr>
        <w:endnoteReference w:id="23"/>
      </w:r>
      <w:r w:rsidRPr="00CB55F1">
        <w:rPr>
          <w:rFonts w:ascii="Arial" w:hAnsi="Arial" w:cs="Arial"/>
          <w:sz w:val="24"/>
          <w:szCs w:val="24"/>
        </w:rPr>
        <w:t xml:space="preserve"> whilst other offending remained unenforced and unpunished on account of a matrix of factors clustering around lack of effective law making and unorganised societal opprobrium.</w:t>
      </w:r>
      <w:r w:rsidRPr="00CB55F1">
        <w:rPr>
          <w:rStyle w:val="EndnoteReference"/>
          <w:rFonts w:ascii="Arial" w:hAnsi="Arial" w:cs="Arial"/>
          <w:sz w:val="24"/>
          <w:szCs w:val="24"/>
        </w:rPr>
        <w:endnoteReference w:id="24"/>
      </w:r>
      <w:r w:rsidRPr="00CB55F1">
        <w:rPr>
          <w:rFonts w:ascii="Arial" w:hAnsi="Arial" w:cs="Arial"/>
          <w:sz w:val="24"/>
          <w:szCs w:val="24"/>
        </w:rPr>
        <w:t xml:space="preserve"> For Sutherland and his followers this arose from how many highly-profiled, extensive, and high-value infractions in</w:t>
      </w:r>
      <w:r w:rsidRPr="00CB55F1">
        <w:rPr>
          <w:rFonts w:ascii="Arial" w:hAnsi="Arial" w:cs="Arial"/>
          <w:color w:val="000000"/>
          <w:sz w:val="24"/>
          <w:szCs w:val="24"/>
        </w:rPr>
        <w:t>volve some of the most powerful individuals or corporations in society.</w:t>
      </w:r>
      <w:r w:rsidRPr="00CB55F1">
        <w:rPr>
          <w:rStyle w:val="EndnoteReference"/>
          <w:rFonts w:ascii="Arial" w:hAnsi="Arial" w:cs="Arial"/>
          <w:sz w:val="24"/>
          <w:szCs w:val="24"/>
        </w:rPr>
        <w:endnoteReference w:id="25"/>
      </w:r>
      <w:r w:rsidRPr="00CB55F1">
        <w:rPr>
          <w:rFonts w:ascii="Arial" w:hAnsi="Arial" w:cs="Arial"/>
          <w:color w:val="000000"/>
          <w:sz w:val="24"/>
          <w:szCs w:val="24"/>
        </w:rPr>
        <w:t xml:space="preserve"> However the scholarship is also deeply divided, with the alleged legal system bias in favour of respectable business people being forcefully challenged in some quarters,</w:t>
      </w:r>
      <w:r w:rsidRPr="00CB55F1">
        <w:rPr>
          <w:rStyle w:val="EndnoteReference"/>
          <w:rFonts w:ascii="Arial" w:hAnsi="Arial" w:cs="Arial"/>
          <w:color w:val="000000"/>
          <w:sz w:val="24"/>
          <w:szCs w:val="24"/>
        </w:rPr>
        <w:endnoteReference w:id="26"/>
      </w:r>
      <w:r w:rsidRPr="00CB55F1">
        <w:rPr>
          <w:rFonts w:ascii="Arial" w:hAnsi="Arial" w:cs="Arial"/>
          <w:color w:val="000000"/>
          <w:sz w:val="24"/>
          <w:szCs w:val="24"/>
        </w:rPr>
        <w:t xml:space="preserve"> and where views are also expressed that such activities are properly regarded as legal violations of a more technical </w:t>
      </w:r>
      <w:r w:rsidRPr="00CB55F1">
        <w:rPr>
          <w:rFonts w:ascii="Arial" w:hAnsi="Arial" w:cs="Arial"/>
          <w:i/>
          <w:color w:val="000000"/>
          <w:sz w:val="24"/>
          <w:szCs w:val="24"/>
        </w:rPr>
        <w:t>mala prohibita</w:t>
      </w:r>
      <w:r w:rsidRPr="00CB55F1">
        <w:rPr>
          <w:rFonts w:ascii="Arial" w:hAnsi="Arial" w:cs="Arial"/>
          <w:color w:val="000000"/>
          <w:sz w:val="24"/>
          <w:szCs w:val="24"/>
        </w:rPr>
        <w:t xml:space="preserve"> nature than ‘serious crime’.</w:t>
      </w:r>
      <w:r w:rsidRPr="00CB55F1">
        <w:rPr>
          <w:rStyle w:val="EndnoteReference"/>
          <w:rFonts w:ascii="Arial" w:hAnsi="Arial" w:cs="Arial"/>
          <w:color w:val="000000"/>
          <w:sz w:val="24"/>
          <w:szCs w:val="24"/>
        </w:rPr>
        <w:endnoteReference w:id="27"/>
      </w:r>
      <w:r w:rsidRPr="00CB55F1">
        <w:rPr>
          <w:rFonts w:ascii="Arial" w:hAnsi="Arial" w:cs="Arial"/>
          <w:color w:val="000000"/>
          <w:sz w:val="24"/>
          <w:szCs w:val="24"/>
        </w:rPr>
        <w:t xml:space="preserve"> Moreover from the observation that the terminology of ‘white-collar’ crime has migrated from academic study into popular discourse</w:t>
      </w:r>
      <w:r w:rsidR="000B79BD">
        <w:rPr>
          <w:rFonts w:ascii="Arial" w:hAnsi="Arial" w:cs="Arial"/>
          <w:color w:val="000000"/>
          <w:sz w:val="24"/>
          <w:szCs w:val="24"/>
        </w:rPr>
        <w:t>,</w:t>
      </w:r>
      <w:r w:rsidRPr="00CB55F1">
        <w:rPr>
          <w:rStyle w:val="EndnoteReference"/>
          <w:rFonts w:ascii="Arial" w:hAnsi="Arial" w:cs="Arial"/>
          <w:color w:val="000000"/>
          <w:sz w:val="24"/>
          <w:szCs w:val="24"/>
        </w:rPr>
        <w:endnoteReference w:id="28"/>
      </w:r>
      <w:r w:rsidRPr="00CB55F1">
        <w:rPr>
          <w:rFonts w:ascii="Arial" w:hAnsi="Arial" w:cs="Arial"/>
          <w:color w:val="000000"/>
          <w:sz w:val="24"/>
          <w:szCs w:val="24"/>
        </w:rPr>
        <w:t xml:space="preserve"> popular opinions on activities regarded as such appear to mirror these deep divisions within the academic community.</w:t>
      </w:r>
      <w:r w:rsidRPr="00CB55F1">
        <w:rPr>
          <w:rStyle w:val="EndnoteReference"/>
          <w:rFonts w:ascii="Arial" w:hAnsi="Arial" w:cs="Arial"/>
          <w:color w:val="000000"/>
          <w:sz w:val="24"/>
          <w:szCs w:val="24"/>
        </w:rPr>
        <w:endnoteReference w:id="29"/>
      </w:r>
      <w:r w:rsidRPr="00CB55F1">
        <w:rPr>
          <w:rFonts w:ascii="Arial" w:hAnsi="Arial" w:cs="Arial"/>
          <w:color w:val="000000"/>
          <w:sz w:val="24"/>
          <w:szCs w:val="24"/>
        </w:rPr>
        <w:t xml:space="preserve"> This seductive notion of white-collar crime as a ‘public lexicon’ as well as scholarly construct</w:t>
      </w:r>
      <w:r w:rsidRPr="00CB55F1">
        <w:rPr>
          <w:rStyle w:val="EndnoteReference"/>
          <w:rFonts w:ascii="Arial" w:hAnsi="Arial" w:cs="Arial"/>
          <w:color w:val="000000"/>
          <w:sz w:val="24"/>
          <w:szCs w:val="24"/>
        </w:rPr>
        <w:endnoteReference w:id="30"/>
      </w:r>
      <w:r w:rsidRPr="00CB55F1">
        <w:rPr>
          <w:rFonts w:ascii="Arial" w:hAnsi="Arial" w:cs="Arial"/>
          <w:color w:val="000000"/>
          <w:sz w:val="24"/>
          <w:szCs w:val="24"/>
        </w:rPr>
        <w:t xml:space="preserve"> is clearly a powerful draw for criminologists especially in the context of controversy and divisions in viewpoints concerning whether activities are ‘less criminal’/not real crime or ‘more criminal’ than crime as more ordinarily understood and encountered.</w:t>
      </w:r>
      <w:r w:rsidRPr="00CB55F1">
        <w:rPr>
          <w:rStyle w:val="EndnoteReference"/>
          <w:rFonts w:ascii="Arial" w:hAnsi="Arial" w:cs="Arial"/>
          <w:color w:val="000000"/>
          <w:sz w:val="24"/>
          <w:szCs w:val="24"/>
        </w:rPr>
        <w:endnoteReference w:id="31"/>
      </w:r>
      <w:r w:rsidRPr="00CB55F1">
        <w:rPr>
          <w:rFonts w:ascii="Arial" w:hAnsi="Arial" w:cs="Arial"/>
          <w:color w:val="000000"/>
          <w:sz w:val="24"/>
          <w:szCs w:val="24"/>
        </w:rPr>
        <w:t xml:space="preserve"> In a setting where such</w:t>
      </w:r>
      <w:r w:rsidRPr="00CB55F1">
        <w:rPr>
          <w:rFonts w:ascii="Arial" w:hAnsi="Arial" w:cs="Arial"/>
          <w:sz w:val="24"/>
          <w:szCs w:val="24"/>
        </w:rPr>
        <w:t xml:space="preserve"> perceptions of ‘financial crimes’ have been effectively captured in the trope (for white-collar crime more broadly) of ‘crime of ambiguity’,</w:t>
      </w:r>
      <w:r w:rsidRPr="00CB55F1">
        <w:rPr>
          <w:rStyle w:val="EndnoteReference"/>
          <w:rFonts w:ascii="Arial" w:hAnsi="Arial" w:cs="Arial"/>
          <w:sz w:val="24"/>
          <w:szCs w:val="24"/>
        </w:rPr>
        <w:endnoteReference w:id="32"/>
      </w:r>
      <w:r w:rsidRPr="00CB55F1">
        <w:rPr>
          <w:rFonts w:ascii="Arial" w:hAnsi="Arial" w:cs="Arial"/>
          <w:sz w:val="24"/>
          <w:szCs w:val="24"/>
        </w:rPr>
        <w:t xml:space="preserve"> these activities are regarded as ‘among the most difficult crimes for the legal system to deal with, let alone control’.</w:t>
      </w:r>
      <w:r w:rsidRPr="00CB55F1">
        <w:rPr>
          <w:rStyle w:val="EndnoteReference"/>
          <w:rFonts w:ascii="Arial" w:hAnsi="Arial" w:cs="Arial"/>
          <w:sz w:val="24"/>
          <w:szCs w:val="24"/>
        </w:rPr>
        <w:endnoteReference w:id="33"/>
      </w:r>
    </w:p>
    <w:p w14:paraId="278C53C1" w14:textId="77777777" w:rsidR="00CB55F1" w:rsidRPr="00CB55F1" w:rsidRDefault="00CB55F1" w:rsidP="00CB55F1">
      <w:pPr>
        <w:spacing w:after="0" w:line="480" w:lineRule="auto"/>
        <w:jc w:val="both"/>
        <w:rPr>
          <w:rFonts w:ascii="Arial" w:hAnsi="Arial" w:cs="Arial"/>
          <w:sz w:val="24"/>
          <w:szCs w:val="24"/>
        </w:rPr>
      </w:pPr>
    </w:p>
    <w:p w14:paraId="4D75E0F7" w14:textId="4523FCE0"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 xml:space="preserve">The attraction of analysing financial crime as white-collar crime for criminologists is clearly manifest, and the reasons set out above go a long way to explaining why this </w:t>
      </w:r>
      <w:r w:rsidRPr="00CB55F1">
        <w:rPr>
          <w:rFonts w:ascii="Arial" w:hAnsi="Arial" w:cs="Arial"/>
          <w:sz w:val="24"/>
          <w:szCs w:val="24"/>
        </w:rPr>
        <w:lastRenderedPageBreak/>
        <w:t xml:space="preserve">might be the case. This raises the question of why historians have not been more interested in financial crime in uncovering the emergence of modern Britain. Not only did Victorian contemporaries document the appearance of ‘ingenious crime’ by business men, but accompanying the observation of ‘high art’ crime as a novelty of the 1840s, was consciousness that financial crimes were deeply embedded in British society. This is evident in </w:t>
      </w:r>
      <w:r w:rsidRPr="00CB55F1">
        <w:rPr>
          <w:rFonts w:ascii="Arial" w:hAnsi="Arial" w:cs="Arial"/>
          <w:i/>
          <w:sz w:val="24"/>
          <w:szCs w:val="24"/>
        </w:rPr>
        <w:t>The Times’</w:t>
      </w:r>
      <w:r w:rsidRPr="00CB55F1">
        <w:rPr>
          <w:rFonts w:ascii="Arial" w:hAnsi="Arial" w:cs="Arial"/>
          <w:sz w:val="24"/>
          <w:szCs w:val="24"/>
        </w:rPr>
        <w:t xml:space="preserve"> financial commentator David Morier Evans’ direct reference to forgery and embezzlement, and allusion to the South Sea Bubble 1719/20 in his recording of the 1840s and 1850s as a particularly ‘dark page’ in the ‘commercial history of this country</w:t>
      </w:r>
      <w:r w:rsidR="000B79BD">
        <w:rPr>
          <w:rFonts w:ascii="Arial" w:hAnsi="Arial" w:cs="Arial"/>
          <w:sz w:val="24"/>
          <w:szCs w:val="24"/>
        </w:rPr>
        <w:t>.</w:t>
      </w:r>
      <w:r w:rsidRPr="00CB55F1">
        <w:rPr>
          <w:rFonts w:ascii="Arial" w:hAnsi="Arial" w:cs="Arial"/>
          <w:sz w:val="24"/>
          <w:szCs w:val="24"/>
        </w:rPr>
        <w:t>’</w:t>
      </w:r>
      <w:r w:rsidRPr="00CB55F1">
        <w:rPr>
          <w:rFonts w:ascii="Arial" w:hAnsi="Arial" w:cs="Arial"/>
          <w:sz w:val="24"/>
          <w:szCs w:val="24"/>
          <w:vertAlign w:val="superscript"/>
        </w:rPr>
        <w:endnoteReference w:id="34"/>
      </w:r>
      <w:r w:rsidRPr="00CB55F1">
        <w:rPr>
          <w:rFonts w:ascii="Arial" w:hAnsi="Arial" w:cs="Arial"/>
          <w:sz w:val="24"/>
          <w:szCs w:val="24"/>
        </w:rPr>
        <w:t xml:space="preserve"> </w:t>
      </w:r>
      <w:r w:rsidR="000B79BD">
        <w:rPr>
          <w:rFonts w:ascii="Arial" w:hAnsi="Arial" w:cs="Arial"/>
          <w:sz w:val="24"/>
          <w:szCs w:val="24"/>
        </w:rPr>
        <w:t xml:space="preserve">In addition, </w:t>
      </w:r>
      <w:r w:rsidRPr="00CB55F1">
        <w:rPr>
          <w:rFonts w:ascii="Arial" w:hAnsi="Arial" w:cs="Arial"/>
          <w:sz w:val="24"/>
          <w:szCs w:val="24"/>
        </w:rPr>
        <w:t xml:space="preserve">commentary in 1841 also </w:t>
      </w:r>
      <w:r w:rsidR="000B79BD" w:rsidRPr="00CB55F1">
        <w:rPr>
          <w:rFonts w:ascii="Arial" w:hAnsi="Arial" w:cs="Arial"/>
          <w:sz w:val="24"/>
          <w:szCs w:val="24"/>
        </w:rPr>
        <w:t>document</w:t>
      </w:r>
      <w:r w:rsidR="000B79BD">
        <w:rPr>
          <w:rFonts w:ascii="Arial" w:hAnsi="Arial" w:cs="Arial"/>
          <w:sz w:val="24"/>
          <w:szCs w:val="24"/>
        </w:rPr>
        <w:t>ed the British</w:t>
      </w:r>
      <w:r w:rsidR="000B79BD" w:rsidRPr="00CB55F1">
        <w:rPr>
          <w:rFonts w:ascii="Arial" w:hAnsi="Arial" w:cs="Arial"/>
          <w:sz w:val="24"/>
          <w:szCs w:val="24"/>
        </w:rPr>
        <w:t xml:space="preserve"> </w:t>
      </w:r>
      <w:r w:rsidRPr="00CB55F1">
        <w:rPr>
          <w:rFonts w:ascii="Arial" w:hAnsi="Arial" w:cs="Arial"/>
          <w:sz w:val="24"/>
          <w:szCs w:val="24"/>
        </w:rPr>
        <w:t>nineteenth-century consciousness of the seventeenth-century Dutch Tulipmania.</w:t>
      </w:r>
      <w:r w:rsidRPr="00CB55F1">
        <w:rPr>
          <w:rStyle w:val="EndnoteReference"/>
          <w:rFonts w:ascii="Arial" w:hAnsi="Arial" w:cs="Arial"/>
          <w:sz w:val="24"/>
          <w:szCs w:val="24"/>
        </w:rPr>
        <w:endnoteReference w:id="35"/>
      </w:r>
      <w:r w:rsidRPr="00CB55F1">
        <w:rPr>
          <w:rFonts w:ascii="Arial" w:hAnsi="Arial" w:cs="Arial"/>
          <w:sz w:val="24"/>
          <w:szCs w:val="24"/>
        </w:rPr>
        <w:t xml:space="preserve"> Perkin’s </w:t>
      </w:r>
      <w:r w:rsidR="00901B21">
        <w:rPr>
          <w:rFonts w:ascii="Arial" w:hAnsi="Arial" w:cs="Arial"/>
          <w:sz w:val="24"/>
          <w:szCs w:val="24"/>
        </w:rPr>
        <w:t>conceptualisation of ‘ingenious crime’</w:t>
      </w:r>
      <w:r w:rsidR="00FF3BCA">
        <w:rPr>
          <w:rStyle w:val="EndnoteReference"/>
          <w:rFonts w:ascii="Arial" w:hAnsi="Arial" w:cs="Arial"/>
          <w:sz w:val="24"/>
          <w:szCs w:val="24"/>
        </w:rPr>
        <w:endnoteReference w:id="36"/>
      </w:r>
      <w:r w:rsidR="00901B21">
        <w:rPr>
          <w:rFonts w:ascii="Arial" w:hAnsi="Arial" w:cs="Arial"/>
          <w:sz w:val="24"/>
          <w:szCs w:val="24"/>
        </w:rPr>
        <w:t xml:space="preserve"> </w:t>
      </w:r>
      <w:r w:rsidRPr="00CB55F1">
        <w:rPr>
          <w:rFonts w:ascii="Arial" w:hAnsi="Arial" w:cs="Arial"/>
          <w:sz w:val="24"/>
          <w:szCs w:val="24"/>
        </w:rPr>
        <w:t xml:space="preserve">illustrates how historians have not ignored nineteenth-century encounters with financial crime, but brief references from </w:t>
      </w:r>
      <w:r w:rsidR="00D5745D">
        <w:rPr>
          <w:rFonts w:ascii="Arial" w:hAnsi="Arial" w:cs="Arial"/>
          <w:sz w:val="24"/>
          <w:szCs w:val="24"/>
        </w:rPr>
        <w:t xml:space="preserve">David </w:t>
      </w:r>
      <w:r w:rsidRPr="00CB55F1">
        <w:rPr>
          <w:rFonts w:ascii="Arial" w:hAnsi="Arial" w:cs="Arial"/>
          <w:sz w:val="24"/>
          <w:szCs w:val="24"/>
        </w:rPr>
        <w:t xml:space="preserve">Jones and </w:t>
      </w:r>
      <w:r w:rsidR="00D5745D">
        <w:rPr>
          <w:rFonts w:ascii="Arial" w:hAnsi="Arial" w:cs="Arial"/>
          <w:sz w:val="24"/>
          <w:szCs w:val="24"/>
        </w:rPr>
        <w:t xml:space="preserve">Clive </w:t>
      </w:r>
      <w:r w:rsidRPr="00CB55F1">
        <w:rPr>
          <w:rFonts w:ascii="Arial" w:hAnsi="Arial" w:cs="Arial"/>
          <w:sz w:val="24"/>
          <w:szCs w:val="24"/>
        </w:rPr>
        <w:t>Emsley excepted,</w:t>
      </w:r>
      <w:r w:rsidR="000B79BD" w:rsidRPr="00CB55F1">
        <w:rPr>
          <w:rStyle w:val="EndnoteReference"/>
          <w:rFonts w:ascii="Arial" w:hAnsi="Arial" w:cs="Arial"/>
          <w:sz w:val="24"/>
          <w:szCs w:val="24"/>
        </w:rPr>
        <w:endnoteReference w:id="37"/>
      </w:r>
      <w:r w:rsidRPr="00CB55F1">
        <w:rPr>
          <w:rFonts w:ascii="Arial" w:hAnsi="Arial" w:cs="Arial"/>
          <w:sz w:val="24"/>
          <w:szCs w:val="24"/>
        </w:rPr>
        <w:t xml:space="preserve"> historians’ interest in this has come largely from those within the business and economic tradition rather than from crime history</w:t>
      </w:r>
      <w:r w:rsidR="00D5745D">
        <w:rPr>
          <w:rFonts w:ascii="Arial" w:hAnsi="Arial" w:cs="Arial"/>
          <w:sz w:val="24"/>
          <w:szCs w:val="24"/>
        </w:rPr>
        <w:t xml:space="preserve"> </w:t>
      </w:r>
      <w:r w:rsidR="00D5745D" w:rsidRPr="00D5745D">
        <w:rPr>
          <w:rFonts w:ascii="Arial" w:hAnsi="Arial" w:cs="Arial"/>
          <w:i/>
          <w:sz w:val="24"/>
          <w:szCs w:val="24"/>
        </w:rPr>
        <w:t>per se</w:t>
      </w:r>
      <w:r w:rsidRPr="00CB55F1">
        <w:rPr>
          <w:rFonts w:ascii="Arial" w:hAnsi="Arial" w:cs="Arial"/>
          <w:sz w:val="24"/>
          <w:szCs w:val="24"/>
        </w:rPr>
        <w:t xml:space="preserve">. This </w:t>
      </w:r>
      <w:r w:rsidRPr="00CB55F1">
        <w:rPr>
          <w:rFonts w:ascii="Arial" w:hAnsi="Arial" w:cs="Arial"/>
          <w:i/>
          <w:sz w:val="24"/>
          <w:szCs w:val="24"/>
        </w:rPr>
        <w:t>has</w:t>
      </w:r>
      <w:r w:rsidRPr="00CB55F1">
        <w:rPr>
          <w:rFonts w:ascii="Arial" w:hAnsi="Arial" w:cs="Arial"/>
          <w:sz w:val="24"/>
          <w:szCs w:val="24"/>
        </w:rPr>
        <w:t xml:space="preserve"> started to change.</w:t>
      </w:r>
      <w:r w:rsidRPr="00CB55F1">
        <w:rPr>
          <w:rStyle w:val="EndnoteReference"/>
          <w:rFonts w:ascii="Arial" w:hAnsi="Arial" w:cs="Arial"/>
          <w:sz w:val="24"/>
          <w:szCs w:val="24"/>
        </w:rPr>
        <w:endnoteReference w:id="38"/>
      </w:r>
      <w:r w:rsidRPr="00CB55F1">
        <w:rPr>
          <w:rFonts w:ascii="Arial" w:hAnsi="Arial" w:cs="Arial"/>
          <w:sz w:val="24"/>
          <w:szCs w:val="24"/>
        </w:rPr>
        <w:t xml:space="preserve"> </w:t>
      </w:r>
      <w:r w:rsidR="00D5745D">
        <w:rPr>
          <w:rFonts w:ascii="Arial" w:hAnsi="Arial" w:cs="Arial"/>
          <w:sz w:val="24"/>
          <w:szCs w:val="24"/>
        </w:rPr>
        <w:t>Moreover,</w:t>
      </w:r>
      <w:r w:rsidR="00D5745D" w:rsidRPr="00CB55F1">
        <w:rPr>
          <w:rFonts w:ascii="Arial" w:hAnsi="Arial" w:cs="Arial"/>
          <w:sz w:val="24"/>
          <w:szCs w:val="24"/>
        </w:rPr>
        <w:t xml:space="preserve"> </w:t>
      </w:r>
      <w:r w:rsidRPr="00CB55F1">
        <w:rPr>
          <w:rFonts w:ascii="Arial" w:hAnsi="Arial" w:cs="Arial"/>
          <w:sz w:val="24"/>
          <w:szCs w:val="24"/>
        </w:rPr>
        <w:t>in arguing that the history of financial crime belongs properly to crime history as much as to business history if not more so,</w:t>
      </w:r>
      <w:r w:rsidRPr="00CB55F1">
        <w:rPr>
          <w:rStyle w:val="EndnoteReference"/>
          <w:rFonts w:ascii="Arial" w:hAnsi="Arial" w:cs="Arial"/>
          <w:sz w:val="24"/>
          <w:szCs w:val="24"/>
        </w:rPr>
        <w:endnoteReference w:id="39"/>
      </w:r>
      <w:r w:rsidRPr="00CB55F1">
        <w:rPr>
          <w:rFonts w:ascii="Arial" w:hAnsi="Arial" w:cs="Arial"/>
          <w:sz w:val="24"/>
          <w:szCs w:val="24"/>
        </w:rPr>
        <w:t xml:space="preserve"> it has been suggested that effecting this requires crime historians to appreciate criminologists’ approaches to the very complex relationships appearing to subsist between financial crime and society in Britain.</w:t>
      </w:r>
      <w:r w:rsidRPr="00CB55F1">
        <w:rPr>
          <w:rStyle w:val="EndnoteReference"/>
          <w:rFonts w:ascii="Arial" w:hAnsi="Arial" w:cs="Arial"/>
          <w:sz w:val="24"/>
          <w:szCs w:val="24"/>
        </w:rPr>
        <w:endnoteReference w:id="40"/>
      </w:r>
    </w:p>
    <w:p w14:paraId="3E443301" w14:textId="77777777" w:rsidR="00CB55F1" w:rsidRPr="00CB55F1" w:rsidRDefault="00CB55F1" w:rsidP="00CB55F1">
      <w:pPr>
        <w:spacing w:after="0" w:line="480" w:lineRule="auto"/>
        <w:jc w:val="both"/>
        <w:rPr>
          <w:rFonts w:ascii="Arial" w:hAnsi="Arial" w:cs="Arial"/>
          <w:sz w:val="24"/>
          <w:szCs w:val="24"/>
        </w:rPr>
      </w:pPr>
    </w:p>
    <w:p w14:paraId="59658DF2" w14:textId="10A8F9C4"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 xml:space="preserve">Although it is the case that many of the most recent historical studies of financial crime continue to come from business history, these </w:t>
      </w:r>
      <w:r w:rsidRPr="00CB55F1">
        <w:rPr>
          <w:rFonts w:ascii="Arial" w:hAnsi="Arial" w:cs="Arial"/>
          <w:i/>
          <w:sz w:val="24"/>
          <w:szCs w:val="24"/>
        </w:rPr>
        <w:t>are</w:t>
      </w:r>
      <w:r w:rsidRPr="00CB55F1">
        <w:rPr>
          <w:rFonts w:ascii="Arial" w:hAnsi="Arial" w:cs="Arial"/>
          <w:sz w:val="24"/>
          <w:szCs w:val="24"/>
        </w:rPr>
        <w:t xml:space="preserve"> embracing both crime history and criminology.</w:t>
      </w:r>
      <w:r w:rsidRPr="00CB55F1">
        <w:rPr>
          <w:rStyle w:val="EndnoteReference"/>
          <w:rFonts w:ascii="Arial" w:hAnsi="Arial" w:cs="Arial"/>
          <w:sz w:val="24"/>
          <w:szCs w:val="24"/>
        </w:rPr>
        <w:endnoteReference w:id="41"/>
      </w:r>
      <w:r w:rsidRPr="00CB55F1">
        <w:rPr>
          <w:rFonts w:ascii="Arial" w:hAnsi="Arial" w:cs="Arial"/>
          <w:sz w:val="24"/>
          <w:szCs w:val="24"/>
        </w:rPr>
        <w:t xml:space="preserve"> The challenge remains to encourage crime historians to follow suit. For this, these case studies are very significant, and they do of course also speak to what historians of crime have chosen to embrace rather than elude. The central remit for </w:t>
      </w:r>
      <w:r w:rsidRPr="00CB55F1">
        <w:rPr>
          <w:rFonts w:ascii="Arial" w:hAnsi="Arial" w:cs="Arial"/>
          <w:sz w:val="24"/>
          <w:szCs w:val="24"/>
        </w:rPr>
        <w:lastRenderedPageBreak/>
        <w:t xml:space="preserve">crime history – to uncover and understand relationships subsisting between crime and society through studies of continuity and change in the occurrence of crime and responses to it </w:t>
      </w:r>
      <w:r w:rsidR="00D5745D">
        <w:rPr>
          <w:rFonts w:ascii="Arial" w:hAnsi="Arial" w:cs="Arial"/>
          <w:sz w:val="24"/>
          <w:szCs w:val="24"/>
        </w:rPr>
        <w:t xml:space="preserve">– has </w:t>
      </w:r>
      <w:r w:rsidRPr="00CB55F1">
        <w:rPr>
          <w:rFonts w:ascii="Arial" w:hAnsi="Arial" w:cs="Arial"/>
          <w:sz w:val="24"/>
          <w:szCs w:val="24"/>
        </w:rPr>
        <w:t>given much importance to micro</w:t>
      </w:r>
      <w:r w:rsidR="00D5745D">
        <w:rPr>
          <w:rFonts w:ascii="Arial" w:hAnsi="Arial" w:cs="Arial"/>
          <w:sz w:val="24"/>
          <w:szCs w:val="24"/>
        </w:rPr>
        <w:t>-</w:t>
      </w:r>
      <w:r w:rsidRPr="00CB55F1">
        <w:rPr>
          <w:rFonts w:ascii="Arial" w:hAnsi="Arial" w:cs="Arial"/>
          <w:sz w:val="24"/>
          <w:szCs w:val="24"/>
        </w:rPr>
        <w:t>history. The burgeoning literature on crime and society, policing, punishment and law is of course the history of macro investigations. Here nineteenth-century developments in the criminal law and its administration during what contemporaries themselves recognised as the ‘Century of Law Reform’</w:t>
      </w:r>
      <w:r w:rsidRPr="00CB55F1">
        <w:rPr>
          <w:rStyle w:val="EndnoteReference"/>
          <w:rFonts w:ascii="Arial" w:hAnsi="Arial" w:cs="Arial"/>
          <w:sz w:val="24"/>
          <w:szCs w:val="24"/>
        </w:rPr>
        <w:endnoteReference w:id="42"/>
      </w:r>
      <w:r w:rsidRPr="00CB55F1">
        <w:rPr>
          <w:rFonts w:ascii="Arial" w:hAnsi="Arial" w:cs="Arial"/>
          <w:sz w:val="24"/>
          <w:szCs w:val="24"/>
        </w:rPr>
        <w:t xml:space="preserve"> documented extensively in Parliamentary </w:t>
      </w:r>
      <w:r w:rsidR="00D5745D">
        <w:rPr>
          <w:rFonts w:ascii="Arial" w:hAnsi="Arial" w:cs="Arial"/>
          <w:sz w:val="24"/>
          <w:szCs w:val="24"/>
        </w:rPr>
        <w:t xml:space="preserve">Papers, debates </w:t>
      </w:r>
      <w:r w:rsidRPr="00CB55F1">
        <w:rPr>
          <w:rFonts w:ascii="Arial" w:hAnsi="Arial" w:cs="Arial"/>
          <w:sz w:val="24"/>
          <w:szCs w:val="24"/>
        </w:rPr>
        <w:t xml:space="preserve">and other official reports </w:t>
      </w:r>
      <w:r w:rsidRPr="00CB55F1">
        <w:rPr>
          <w:rFonts w:ascii="Arial" w:hAnsi="Arial" w:cs="Arial"/>
          <w:i/>
          <w:sz w:val="24"/>
          <w:szCs w:val="24"/>
        </w:rPr>
        <w:t xml:space="preserve">have </w:t>
      </w:r>
      <w:r w:rsidRPr="00CB55F1">
        <w:rPr>
          <w:rFonts w:ascii="Arial" w:hAnsi="Arial" w:cs="Arial"/>
          <w:sz w:val="24"/>
          <w:szCs w:val="24"/>
        </w:rPr>
        <w:t>been painstakingly and dutifully examined by historians.</w:t>
      </w:r>
      <w:r w:rsidRPr="00CB55F1">
        <w:rPr>
          <w:rStyle w:val="EndnoteReference"/>
          <w:rFonts w:ascii="Arial" w:hAnsi="Arial" w:cs="Arial"/>
          <w:sz w:val="24"/>
          <w:szCs w:val="24"/>
        </w:rPr>
        <w:endnoteReference w:id="43"/>
      </w:r>
      <w:r w:rsidRPr="00CB55F1">
        <w:rPr>
          <w:rFonts w:ascii="Arial" w:hAnsi="Arial" w:cs="Arial"/>
          <w:sz w:val="24"/>
          <w:szCs w:val="24"/>
        </w:rPr>
        <w:t xml:space="preserve"> Contemporary appetite for improvement, standardisation and centralisation across a wide sweep of ‘social life’</w:t>
      </w:r>
      <w:r w:rsidRPr="00CB55F1">
        <w:rPr>
          <w:rStyle w:val="EndnoteReference"/>
          <w:rFonts w:ascii="Arial" w:hAnsi="Arial" w:cs="Arial"/>
          <w:sz w:val="24"/>
          <w:szCs w:val="24"/>
        </w:rPr>
        <w:endnoteReference w:id="44"/>
      </w:r>
      <w:r w:rsidRPr="00CB55F1">
        <w:rPr>
          <w:rFonts w:ascii="Arial" w:hAnsi="Arial" w:cs="Arial"/>
          <w:sz w:val="24"/>
          <w:szCs w:val="24"/>
        </w:rPr>
        <w:t xml:space="preserve"> ensured that law making and law reform were key preoccupations for Victorian society.</w:t>
      </w:r>
      <w:r w:rsidRPr="00CB55F1">
        <w:rPr>
          <w:rStyle w:val="EndnoteReference"/>
          <w:rFonts w:ascii="Arial" w:hAnsi="Arial" w:cs="Arial"/>
          <w:sz w:val="24"/>
          <w:szCs w:val="24"/>
        </w:rPr>
        <w:endnoteReference w:id="45"/>
      </w:r>
      <w:r w:rsidRPr="00CB55F1">
        <w:rPr>
          <w:rFonts w:ascii="Arial" w:hAnsi="Arial" w:cs="Arial"/>
          <w:sz w:val="24"/>
          <w:szCs w:val="24"/>
        </w:rPr>
        <w:t>Thus, it is right and proper that the ‘great historical questions’</w:t>
      </w:r>
      <w:r w:rsidRPr="00CB55F1">
        <w:rPr>
          <w:rStyle w:val="EndnoteReference"/>
          <w:rFonts w:ascii="Arial" w:hAnsi="Arial" w:cs="Arial"/>
          <w:sz w:val="24"/>
          <w:szCs w:val="24"/>
        </w:rPr>
        <w:endnoteReference w:id="46"/>
      </w:r>
      <w:r w:rsidRPr="00CB55F1">
        <w:rPr>
          <w:rFonts w:ascii="Arial" w:hAnsi="Arial" w:cs="Arial"/>
          <w:sz w:val="24"/>
          <w:szCs w:val="24"/>
        </w:rPr>
        <w:t xml:space="preserve"> arising from the sphere of crime and society </w:t>
      </w:r>
      <w:r w:rsidRPr="00CB55F1">
        <w:rPr>
          <w:rFonts w:ascii="Arial" w:hAnsi="Arial" w:cs="Arial"/>
          <w:i/>
          <w:sz w:val="24"/>
          <w:szCs w:val="24"/>
        </w:rPr>
        <w:t xml:space="preserve">have </w:t>
      </w:r>
      <w:r w:rsidRPr="00CB55F1">
        <w:rPr>
          <w:rFonts w:ascii="Arial" w:hAnsi="Arial" w:cs="Arial"/>
          <w:sz w:val="24"/>
          <w:szCs w:val="24"/>
        </w:rPr>
        <w:t xml:space="preserve">been the subject of investigations of ‘nations, states, or social groupings’ using the historian’s </w:t>
      </w:r>
      <w:r w:rsidRPr="00CB55F1">
        <w:rPr>
          <w:rFonts w:ascii="Arial" w:hAnsi="Arial" w:cs="Arial"/>
          <w:i/>
          <w:sz w:val="24"/>
          <w:szCs w:val="24"/>
        </w:rPr>
        <w:t>telescope</w:t>
      </w:r>
      <w:r w:rsidRPr="00CB55F1">
        <w:rPr>
          <w:rFonts w:ascii="Arial" w:hAnsi="Arial" w:cs="Arial"/>
          <w:sz w:val="24"/>
          <w:szCs w:val="24"/>
        </w:rPr>
        <w:t>.</w:t>
      </w:r>
      <w:r w:rsidRPr="00CB55F1">
        <w:rPr>
          <w:rStyle w:val="EndnoteReference"/>
          <w:rFonts w:ascii="Arial" w:hAnsi="Arial" w:cs="Arial"/>
          <w:sz w:val="24"/>
          <w:szCs w:val="24"/>
        </w:rPr>
        <w:endnoteReference w:id="47"/>
      </w:r>
      <w:r w:rsidRPr="00CB55F1">
        <w:rPr>
          <w:rFonts w:ascii="Arial" w:hAnsi="Arial" w:cs="Arial"/>
          <w:sz w:val="24"/>
          <w:szCs w:val="24"/>
        </w:rPr>
        <w:t xml:space="preserve"> Crime history also demonstrates how use of the historian’s </w:t>
      </w:r>
      <w:r w:rsidRPr="00CB55F1">
        <w:rPr>
          <w:rFonts w:ascii="Arial" w:hAnsi="Arial" w:cs="Arial"/>
          <w:i/>
          <w:sz w:val="24"/>
          <w:szCs w:val="24"/>
        </w:rPr>
        <w:t>microscope</w:t>
      </w:r>
      <w:r w:rsidRPr="00CB55F1">
        <w:rPr>
          <w:rStyle w:val="EndnoteReference"/>
          <w:rFonts w:ascii="Arial" w:hAnsi="Arial" w:cs="Arial"/>
          <w:sz w:val="24"/>
          <w:szCs w:val="24"/>
        </w:rPr>
        <w:endnoteReference w:id="48"/>
      </w:r>
      <w:r w:rsidRPr="00CB55F1">
        <w:rPr>
          <w:rFonts w:ascii="Arial" w:hAnsi="Arial" w:cs="Arial"/>
          <w:sz w:val="24"/>
          <w:szCs w:val="24"/>
        </w:rPr>
        <w:t xml:space="preserve"> can provide new fresh perspectives on eponymous ‘great historical questions’, which are themselves associated with ‘grand narratives’.</w:t>
      </w:r>
      <w:r w:rsidRPr="00CB55F1">
        <w:rPr>
          <w:rStyle w:val="EndnoteReference"/>
          <w:rFonts w:ascii="Arial" w:hAnsi="Arial" w:cs="Arial"/>
          <w:sz w:val="24"/>
          <w:szCs w:val="24"/>
        </w:rPr>
        <w:endnoteReference w:id="49"/>
      </w:r>
      <w:r w:rsidRPr="00CB55F1">
        <w:rPr>
          <w:rFonts w:ascii="Arial" w:hAnsi="Arial" w:cs="Arial"/>
          <w:sz w:val="24"/>
          <w:szCs w:val="24"/>
        </w:rPr>
        <w:t xml:space="preserve"> </w:t>
      </w:r>
    </w:p>
    <w:p w14:paraId="28035BED" w14:textId="77777777" w:rsidR="00CB55F1" w:rsidRPr="00CB55F1" w:rsidRDefault="00CB55F1" w:rsidP="00CB55F1">
      <w:pPr>
        <w:spacing w:after="0" w:line="480" w:lineRule="auto"/>
        <w:jc w:val="both"/>
        <w:rPr>
          <w:rFonts w:ascii="Arial" w:hAnsi="Arial" w:cs="Arial"/>
          <w:sz w:val="24"/>
          <w:szCs w:val="24"/>
        </w:rPr>
      </w:pPr>
    </w:p>
    <w:p w14:paraId="23EA52DD" w14:textId="1C1D02F3" w:rsidR="00CB55F1" w:rsidRPr="00D5745D" w:rsidRDefault="00D5745D" w:rsidP="00D5745D">
      <w:pPr>
        <w:spacing w:after="0" w:line="480" w:lineRule="auto"/>
        <w:jc w:val="center"/>
        <w:rPr>
          <w:rFonts w:ascii="Arial" w:hAnsi="Arial" w:cs="Arial"/>
          <w:sz w:val="28"/>
          <w:szCs w:val="28"/>
        </w:rPr>
      </w:pPr>
      <w:r w:rsidRPr="00D5745D">
        <w:rPr>
          <w:rFonts w:ascii="Arial" w:hAnsi="Arial" w:cs="Arial"/>
          <w:sz w:val="28"/>
          <w:szCs w:val="28"/>
        </w:rPr>
        <w:t>IV</w:t>
      </w:r>
    </w:p>
    <w:p w14:paraId="6F79B1DD" w14:textId="77777777"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From this, the attractiveness of micro</w:t>
      </w:r>
      <w:r w:rsidR="00D5745D">
        <w:rPr>
          <w:rFonts w:ascii="Arial" w:hAnsi="Arial" w:cs="Arial"/>
          <w:sz w:val="24"/>
          <w:szCs w:val="24"/>
        </w:rPr>
        <w:t>-</w:t>
      </w:r>
      <w:r w:rsidRPr="00CB55F1">
        <w:rPr>
          <w:rFonts w:ascii="Arial" w:hAnsi="Arial" w:cs="Arial"/>
          <w:sz w:val="24"/>
          <w:szCs w:val="24"/>
        </w:rPr>
        <w:t xml:space="preserve">history for crime history follows the broad trajectory of </w:t>
      </w:r>
      <w:r w:rsidR="00D5745D">
        <w:rPr>
          <w:rFonts w:ascii="Arial" w:hAnsi="Arial" w:cs="Arial"/>
          <w:sz w:val="24"/>
          <w:szCs w:val="24"/>
        </w:rPr>
        <w:t xml:space="preserve">the </w:t>
      </w:r>
      <w:r w:rsidRPr="00CB55F1">
        <w:rPr>
          <w:rFonts w:ascii="Arial" w:hAnsi="Arial" w:cs="Arial"/>
          <w:sz w:val="24"/>
          <w:szCs w:val="24"/>
        </w:rPr>
        <w:t>attraction of micro</w:t>
      </w:r>
      <w:r w:rsidR="00D5745D">
        <w:rPr>
          <w:rFonts w:ascii="Arial" w:hAnsi="Arial" w:cs="Arial"/>
          <w:sz w:val="24"/>
          <w:szCs w:val="24"/>
        </w:rPr>
        <w:t>-</w:t>
      </w:r>
      <w:r w:rsidRPr="00CB55F1">
        <w:rPr>
          <w:rFonts w:ascii="Arial" w:hAnsi="Arial" w:cs="Arial"/>
          <w:sz w:val="24"/>
          <w:szCs w:val="24"/>
        </w:rPr>
        <w:t>history for historians generally. Its purveyors celebrate its potential and have carved out an ambitious agenda for its future.</w:t>
      </w:r>
      <w:r w:rsidRPr="00CB55F1">
        <w:rPr>
          <w:rStyle w:val="EndnoteReference"/>
          <w:rFonts w:ascii="Arial" w:hAnsi="Arial" w:cs="Arial"/>
          <w:sz w:val="24"/>
          <w:szCs w:val="24"/>
        </w:rPr>
        <w:endnoteReference w:id="50"/>
      </w:r>
      <w:r w:rsidRPr="00CB55F1">
        <w:rPr>
          <w:rFonts w:ascii="Arial" w:hAnsi="Arial" w:cs="Arial"/>
          <w:sz w:val="24"/>
          <w:szCs w:val="24"/>
        </w:rPr>
        <w:t xml:space="preserve"> In building on a veritable tradition, it is said to have a bright future, in being capable of bringing social and cultural history together as an approach which can both supply explanations of social history and grasp the meanings of cultural history.</w:t>
      </w:r>
      <w:r w:rsidRPr="00CB55F1">
        <w:rPr>
          <w:rStyle w:val="EndnoteReference"/>
          <w:rFonts w:ascii="Arial" w:hAnsi="Arial" w:cs="Arial"/>
          <w:sz w:val="24"/>
          <w:szCs w:val="24"/>
        </w:rPr>
        <w:endnoteReference w:id="51"/>
      </w:r>
      <w:r w:rsidRPr="00CB55F1">
        <w:rPr>
          <w:rFonts w:ascii="Arial" w:hAnsi="Arial" w:cs="Arial"/>
          <w:sz w:val="24"/>
          <w:szCs w:val="24"/>
        </w:rPr>
        <w:t xml:space="preserve"> Micro</w:t>
      </w:r>
      <w:r w:rsidR="00D5745D">
        <w:rPr>
          <w:rFonts w:ascii="Arial" w:hAnsi="Arial" w:cs="Arial"/>
          <w:sz w:val="24"/>
          <w:szCs w:val="24"/>
        </w:rPr>
        <w:t>-</w:t>
      </w:r>
      <w:r w:rsidRPr="00CB55F1">
        <w:rPr>
          <w:rFonts w:ascii="Arial" w:hAnsi="Arial" w:cs="Arial"/>
          <w:sz w:val="24"/>
          <w:szCs w:val="24"/>
        </w:rPr>
        <w:t xml:space="preserve">history has its critics, most notably pointing to an inherent limitation in ‘trying to </w:t>
      </w:r>
      <w:r w:rsidRPr="00CB55F1">
        <w:rPr>
          <w:rFonts w:ascii="Arial" w:hAnsi="Arial" w:cs="Arial"/>
          <w:sz w:val="24"/>
          <w:szCs w:val="24"/>
        </w:rPr>
        <w:lastRenderedPageBreak/>
        <w:t>discover big things with microscopes’</w:t>
      </w:r>
      <w:r w:rsidRPr="00CB55F1">
        <w:rPr>
          <w:rStyle w:val="EndnoteReference"/>
          <w:rFonts w:ascii="Arial" w:hAnsi="Arial" w:cs="Arial"/>
          <w:sz w:val="24"/>
          <w:szCs w:val="24"/>
        </w:rPr>
        <w:endnoteReference w:id="52"/>
      </w:r>
      <w:r w:rsidRPr="00CB55F1">
        <w:rPr>
          <w:rFonts w:ascii="Arial" w:hAnsi="Arial" w:cs="Arial"/>
          <w:sz w:val="24"/>
          <w:szCs w:val="24"/>
        </w:rPr>
        <w:t xml:space="preserve"> and questioning the individual as a historical phenomenon.</w:t>
      </w:r>
      <w:r w:rsidRPr="00CB55F1">
        <w:rPr>
          <w:rStyle w:val="EndnoteReference"/>
          <w:rFonts w:ascii="Arial" w:hAnsi="Arial" w:cs="Arial"/>
          <w:sz w:val="24"/>
          <w:szCs w:val="24"/>
        </w:rPr>
        <w:endnoteReference w:id="53"/>
      </w:r>
      <w:r w:rsidRPr="00CB55F1">
        <w:rPr>
          <w:rFonts w:ascii="Arial" w:hAnsi="Arial" w:cs="Arial"/>
          <w:sz w:val="24"/>
          <w:szCs w:val="24"/>
        </w:rPr>
        <w:t xml:space="preserve"> It is also said that micro</w:t>
      </w:r>
      <w:r w:rsidR="00D5745D">
        <w:rPr>
          <w:rFonts w:ascii="Arial" w:hAnsi="Arial" w:cs="Arial"/>
          <w:sz w:val="24"/>
          <w:szCs w:val="24"/>
        </w:rPr>
        <w:t>-</w:t>
      </w:r>
      <w:r w:rsidRPr="00CB55F1">
        <w:rPr>
          <w:rFonts w:ascii="Arial" w:hAnsi="Arial" w:cs="Arial"/>
          <w:sz w:val="24"/>
          <w:szCs w:val="24"/>
        </w:rPr>
        <w:t>history cannot alone serve the needs of the past as it cannot be assumed that materials used will have wider application; and indeed that if historical transformations are embedded in individual actions, it is almost impossible to infer anything about large-scale phenomena.</w:t>
      </w:r>
      <w:r w:rsidRPr="00CB55F1">
        <w:rPr>
          <w:rStyle w:val="EndnoteReference"/>
          <w:rFonts w:ascii="Arial" w:hAnsi="Arial" w:cs="Arial"/>
          <w:sz w:val="24"/>
          <w:szCs w:val="24"/>
        </w:rPr>
        <w:endnoteReference w:id="54"/>
      </w:r>
      <w:r w:rsidRPr="00CB55F1">
        <w:rPr>
          <w:rFonts w:ascii="Arial" w:hAnsi="Arial" w:cs="Arial"/>
          <w:sz w:val="24"/>
          <w:szCs w:val="24"/>
        </w:rPr>
        <w:t xml:space="preserve"> From this micro</w:t>
      </w:r>
      <w:r w:rsidR="00D5745D">
        <w:rPr>
          <w:rFonts w:ascii="Arial" w:hAnsi="Arial" w:cs="Arial"/>
          <w:sz w:val="24"/>
          <w:szCs w:val="24"/>
        </w:rPr>
        <w:t>-</w:t>
      </w:r>
      <w:r w:rsidRPr="00CB55F1">
        <w:rPr>
          <w:rFonts w:ascii="Arial" w:hAnsi="Arial" w:cs="Arial"/>
          <w:sz w:val="24"/>
          <w:szCs w:val="24"/>
        </w:rPr>
        <w:t>history has gained a reputation in some quarters for being interesting but lacking in depth, and its studies are more readily dismissed as lacking meaning and significance in comparison with other historical scholarship.</w:t>
      </w:r>
      <w:r w:rsidRPr="00CB55F1">
        <w:rPr>
          <w:rStyle w:val="EndnoteReference"/>
          <w:rFonts w:ascii="Arial" w:hAnsi="Arial" w:cs="Arial"/>
          <w:sz w:val="24"/>
          <w:szCs w:val="24"/>
        </w:rPr>
        <w:endnoteReference w:id="55"/>
      </w:r>
      <w:r w:rsidRPr="00CB55F1">
        <w:rPr>
          <w:rFonts w:ascii="Arial" w:hAnsi="Arial" w:cs="Arial"/>
          <w:sz w:val="24"/>
          <w:szCs w:val="24"/>
        </w:rPr>
        <w:t xml:space="preserve"> </w:t>
      </w:r>
    </w:p>
    <w:p w14:paraId="2AA9535D" w14:textId="77777777" w:rsidR="00CB55F1" w:rsidRPr="00CB55F1" w:rsidRDefault="00CB55F1" w:rsidP="00CB55F1">
      <w:pPr>
        <w:spacing w:after="0" w:line="480" w:lineRule="auto"/>
        <w:jc w:val="both"/>
        <w:rPr>
          <w:rFonts w:ascii="Arial" w:hAnsi="Arial" w:cs="Arial"/>
          <w:sz w:val="24"/>
          <w:szCs w:val="24"/>
        </w:rPr>
      </w:pPr>
    </w:p>
    <w:p w14:paraId="3CEFD5CD" w14:textId="7114AE91"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Notwithstanding, much crime history attests to the effectiveness of micro</w:t>
      </w:r>
      <w:r w:rsidR="00D5745D">
        <w:rPr>
          <w:rFonts w:ascii="Arial" w:hAnsi="Arial" w:cs="Arial"/>
          <w:sz w:val="24"/>
          <w:szCs w:val="24"/>
        </w:rPr>
        <w:t>-</w:t>
      </w:r>
      <w:r w:rsidRPr="00CB55F1">
        <w:rPr>
          <w:rFonts w:ascii="Arial" w:hAnsi="Arial" w:cs="Arial"/>
          <w:sz w:val="24"/>
          <w:szCs w:val="24"/>
        </w:rPr>
        <w:t>history’s focus on small incidents, insignificant in themselves, from which larger structures can be revealed. It also supports views that concentrations on local or individual experiences are highly effective when conducted by those who do not lose sight of broader historical and political contexts, and even that such concentration on localised experiences enables generalisations to be tested.</w:t>
      </w:r>
      <w:r w:rsidRPr="00CB55F1">
        <w:rPr>
          <w:rStyle w:val="EndnoteReference"/>
          <w:rFonts w:ascii="Arial" w:hAnsi="Arial" w:cs="Arial"/>
          <w:sz w:val="24"/>
          <w:szCs w:val="24"/>
        </w:rPr>
        <w:endnoteReference w:id="56"/>
      </w:r>
      <w:r w:rsidRPr="00CB55F1">
        <w:rPr>
          <w:rFonts w:ascii="Arial" w:hAnsi="Arial" w:cs="Arial"/>
          <w:sz w:val="24"/>
          <w:szCs w:val="24"/>
        </w:rPr>
        <w:t xml:space="preserve"> </w:t>
      </w:r>
      <w:r w:rsidR="00D5745D">
        <w:rPr>
          <w:rFonts w:ascii="Arial" w:hAnsi="Arial" w:cs="Arial"/>
          <w:sz w:val="24"/>
          <w:szCs w:val="24"/>
        </w:rPr>
        <w:t>In addition,</w:t>
      </w:r>
      <w:r w:rsidR="00D5745D" w:rsidRPr="00CB55F1">
        <w:rPr>
          <w:rFonts w:ascii="Arial" w:hAnsi="Arial" w:cs="Arial"/>
          <w:sz w:val="24"/>
          <w:szCs w:val="24"/>
        </w:rPr>
        <w:t xml:space="preserve"> </w:t>
      </w:r>
      <w:r w:rsidRPr="00CB55F1">
        <w:rPr>
          <w:rFonts w:ascii="Arial" w:hAnsi="Arial" w:cs="Arial"/>
          <w:sz w:val="24"/>
          <w:szCs w:val="24"/>
        </w:rPr>
        <w:t>the view that the micro</w:t>
      </w:r>
      <w:r w:rsidR="00D5745D">
        <w:rPr>
          <w:rFonts w:ascii="Arial" w:hAnsi="Arial" w:cs="Arial"/>
          <w:sz w:val="24"/>
          <w:szCs w:val="24"/>
        </w:rPr>
        <w:t>-</w:t>
      </w:r>
      <w:r w:rsidRPr="00CB55F1">
        <w:rPr>
          <w:rFonts w:ascii="Arial" w:hAnsi="Arial" w:cs="Arial"/>
          <w:sz w:val="24"/>
          <w:szCs w:val="24"/>
        </w:rPr>
        <w:t>historical method cannot by itself serve the needs of delivering ambitious research into the past</w:t>
      </w:r>
      <w:r w:rsidRPr="00CB55F1">
        <w:rPr>
          <w:rStyle w:val="EndnoteReference"/>
          <w:rFonts w:ascii="Arial" w:hAnsi="Arial" w:cs="Arial"/>
          <w:sz w:val="24"/>
          <w:szCs w:val="24"/>
        </w:rPr>
        <w:endnoteReference w:id="57"/>
      </w:r>
      <w:r w:rsidRPr="00CB55F1">
        <w:rPr>
          <w:rFonts w:ascii="Arial" w:hAnsi="Arial" w:cs="Arial"/>
          <w:sz w:val="24"/>
          <w:szCs w:val="24"/>
        </w:rPr>
        <w:t xml:space="preserve"> is consistent with understanding that </w:t>
      </w:r>
      <w:r w:rsidRPr="00CB55F1">
        <w:rPr>
          <w:rFonts w:ascii="Arial" w:hAnsi="Arial" w:cs="Arial"/>
          <w:i/>
          <w:sz w:val="24"/>
          <w:szCs w:val="24"/>
        </w:rPr>
        <w:t>any</w:t>
      </w:r>
      <w:r w:rsidRPr="00CB55F1">
        <w:rPr>
          <w:rFonts w:ascii="Arial" w:hAnsi="Arial" w:cs="Arial"/>
          <w:sz w:val="24"/>
          <w:szCs w:val="24"/>
        </w:rPr>
        <w:t xml:space="preserve"> historical research can always only ever be a piece of the puzzle. For its supporters</w:t>
      </w:r>
      <w:r w:rsidR="00D5745D">
        <w:rPr>
          <w:rFonts w:ascii="Arial" w:hAnsi="Arial" w:cs="Arial"/>
          <w:sz w:val="24"/>
          <w:szCs w:val="24"/>
        </w:rPr>
        <w:t>,</w:t>
      </w:r>
      <w:r w:rsidRPr="00CB55F1">
        <w:rPr>
          <w:rFonts w:ascii="Arial" w:hAnsi="Arial" w:cs="Arial"/>
          <w:sz w:val="24"/>
          <w:szCs w:val="24"/>
        </w:rPr>
        <w:t xml:space="preserve"> micro</w:t>
      </w:r>
      <w:r w:rsidR="00D5745D">
        <w:rPr>
          <w:rFonts w:ascii="Arial" w:hAnsi="Arial" w:cs="Arial"/>
          <w:sz w:val="24"/>
          <w:szCs w:val="24"/>
        </w:rPr>
        <w:t>-</w:t>
      </w:r>
      <w:r w:rsidRPr="00CB55F1">
        <w:rPr>
          <w:rFonts w:ascii="Arial" w:hAnsi="Arial" w:cs="Arial"/>
          <w:sz w:val="24"/>
          <w:szCs w:val="24"/>
        </w:rPr>
        <w:t>history is capable of enabling the investigation of narrowly defined subjects without the risk of over-simplifying the past, and even that it is only on this level that there is no risk of ‘losing the complexity of the relationships that connect any individual to a given society’.</w:t>
      </w:r>
      <w:r w:rsidRPr="00CB55F1">
        <w:rPr>
          <w:rStyle w:val="EndnoteReference"/>
          <w:rFonts w:ascii="Arial" w:hAnsi="Arial" w:cs="Arial"/>
          <w:sz w:val="24"/>
          <w:szCs w:val="24"/>
        </w:rPr>
        <w:endnoteReference w:id="58"/>
      </w:r>
      <w:r w:rsidRPr="00CB55F1">
        <w:rPr>
          <w:rFonts w:ascii="Arial" w:hAnsi="Arial" w:cs="Arial"/>
          <w:sz w:val="24"/>
          <w:szCs w:val="24"/>
        </w:rPr>
        <w:t xml:space="preserve"> In its emphasis of the individual, micro</w:t>
      </w:r>
      <w:r w:rsidR="00D5745D">
        <w:rPr>
          <w:rFonts w:ascii="Arial" w:hAnsi="Arial" w:cs="Arial"/>
          <w:sz w:val="24"/>
          <w:szCs w:val="24"/>
        </w:rPr>
        <w:t>-</w:t>
      </w:r>
      <w:r w:rsidRPr="00CB55F1">
        <w:rPr>
          <w:rFonts w:ascii="Arial" w:hAnsi="Arial" w:cs="Arial"/>
          <w:sz w:val="24"/>
          <w:szCs w:val="24"/>
        </w:rPr>
        <w:t xml:space="preserve">history is seeking to recognise high levels of individual freedom of actions within the broader social framework, </w:t>
      </w:r>
      <w:r w:rsidR="00D5745D">
        <w:rPr>
          <w:rFonts w:ascii="Arial" w:hAnsi="Arial" w:cs="Arial"/>
          <w:sz w:val="24"/>
          <w:szCs w:val="24"/>
        </w:rPr>
        <w:t>by</w:t>
      </w:r>
      <w:r w:rsidR="00D5745D" w:rsidRPr="00CB55F1">
        <w:rPr>
          <w:rFonts w:ascii="Arial" w:hAnsi="Arial" w:cs="Arial"/>
          <w:sz w:val="24"/>
          <w:szCs w:val="24"/>
        </w:rPr>
        <w:t xml:space="preserve"> </w:t>
      </w:r>
      <w:r w:rsidRPr="00CB55F1">
        <w:rPr>
          <w:rFonts w:ascii="Arial" w:hAnsi="Arial" w:cs="Arial"/>
          <w:sz w:val="24"/>
          <w:szCs w:val="24"/>
        </w:rPr>
        <w:t xml:space="preserve">regarding people as conscious historical actors making decisions which help to produce social forms observed by historians. Although this is open to criticism, the </w:t>
      </w:r>
      <w:r w:rsidRPr="00CB55F1">
        <w:rPr>
          <w:rFonts w:ascii="Arial" w:hAnsi="Arial" w:cs="Arial"/>
          <w:sz w:val="24"/>
          <w:szCs w:val="24"/>
        </w:rPr>
        <w:lastRenderedPageBreak/>
        <w:t>proposition that finding’ individuals in different social contexts can encourage exposures of the complexities of everyday life</w:t>
      </w:r>
      <w:r w:rsidR="00D5745D">
        <w:rPr>
          <w:rFonts w:ascii="Arial" w:hAnsi="Arial" w:cs="Arial"/>
          <w:sz w:val="24"/>
          <w:szCs w:val="24"/>
        </w:rPr>
        <w:t>,</w:t>
      </w:r>
      <w:r w:rsidRPr="00CB55F1">
        <w:rPr>
          <w:rFonts w:ascii="Arial" w:hAnsi="Arial" w:cs="Arial"/>
          <w:sz w:val="24"/>
          <w:szCs w:val="24"/>
        </w:rPr>
        <w:t xml:space="preserve"> is clearly an exciting one.</w:t>
      </w:r>
      <w:r w:rsidRPr="00CB55F1">
        <w:rPr>
          <w:rStyle w:val="EndnoteReference"/>
          <w:rFonts w:ascii="Arial" w:hAnsi="Arial" w:cs="Arial"/>
          <w:sz w:val="24"/>
          <w:szCs w:val="24"/>
        </w:rPr>
        <w:endnoteReference w:id="59"/>
      </w:r>
      <w:r w:rsidRPr="00CB55F1">
        <w:rPr>
          <w:rFonts w:ascii="Arial" w:hAnsi="Arial" w:cs="Arial"/>
          <w:sz w:val="24"/>
          <w:szCs w:val="24"/>
        </w:rPr>
        <w:t xml:space="preserve"> </w:t>
      </w:r>
    </w:p>
    <w:p w14:paraId="57E9EA18" w14:textId="77777777" w:rsidR="00CB55F1" w:rsidRPr="00CB55F1" w:rsidRDefault="00CB55F1" w:rsidP="00CB55F1">
      <w:pPr>
        <w:spacing w:after="0" w:line="480" w:lineRule="auto"/>
        <w:jc w:val="both"/>
        <w:rPr>
          <w:rFonts w:ascii="Arial" w:hAnsi="Arial" w:cs="Arial"/>
          <w:sz w:val="24"/>
          <w:szCs w:val="24"/>
        </w:rPr>
      </w:pPr>
    </w:p>
    <w:p w14:paraId="43C685A4" w14:textId="4179DE25"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At the heart of micro</w:t>
      </w:r>
      <w:r w:rsidR="00D5745D">
        <w:rPr>
          <w:rFonts w:ascii="Arial" w:hAnsi="Arial" w:cs="Arial"/>
          <w:sz w:val="24"/>
          <w:szCs w:val="24"/>
        </w:rPr>
        <w:t>-</w:t>
      </w:r>
      <w:r w:rsidRPr="00CB55F1">
        <w:rPr>
          <w:rFonts w:ascii="Arial" w:hAnsi="Arial" w:cs="Arial"/>
          <w:sz w:val="24"/>
          <w:szCs w:val="24"/>
        </w:rPr>
        <w:t>history is the idea that a small unit of study (an individual or small community) can reflect a larger whole, highlighting the importance of these small units and demonstrating their importance for historical debate.</w:t>
      </w:r>
      <w:r w:rsidRPr="00CB55F1">
        <w:rPr>
          <w:rStyle w:val="EndnoteReference"/>
          <w:rFonts w:ascii="Arial" w:hAnsi="Arial" w:cs="Arial"/>
          <w:sz w:val="24"/>
          <w:szCs w:val="24"/>
        </w:rPr>
        <w:endnoteReference w:id="60"/>
      </w:r>
      <w:r w:rsidRPr="00CB55F1">
        <w:rPr>
          <w:rFonts w:ascii="Arial" w:hAnsi="Arial" w:cs="Arial"/>
          <w:sz w:val="24"/>
          <w:szCs w:val="24"/>
        </w:rPr>
        <w:t xml:space="preserve"> In taking on board criticisms </w:t>
      </w:r>
      <w:r w:rsidR="00D5745D">
        <w:rPr>
          <w:rFonts w:ascii="Arial" w:hAnsi="Arial" w:cs="Arial"/>
          <w:sz w:val="24"/>
          <w:szCs w:val="24"/>
        </w:rPr>
        <w:t>levelled</w:t>
      </w:r>
      <w:r w:rsidR="00D5745D" w:rsidRPr="00CB55F1">
        <w:rPr>
          <w:rFonts w:ascii="Arial" w:hAnsi="Arial" w:cs="Arial"/>
          <w:sz w:val="24"/>
          <w:szCs w:val="24"/>
        </w:rPr>
        <w:t xml:space="preserve"> </w:t>
      </w:r>
      <w:r w:rsidRPr="00CB55F1">
        <w:rPr>
          <w:rFonts w:ascii="Arial" w:hAnsi="Arial" w:cs="Arial"/>
          <w:sz w:val="24"/>
          <w:szCs w:val="24"/>
        </w:rPr>
        <w:t>at micro</w:t>
      </w:r>
      <w:r w:rsidR="00D5745D">
        <w:rPr>
          <w:rFonts w:ascii="Arial" w:hAnsi="Arial" w:cs="Arial"/>
          <w:sz w:val="24"/>
          <w:szCs w:val="24"/>
        </w:rPr>
        <w:t>-</w:t>
      </w:r>
      <w:r w:rsidRPr="00CB55F1">
        <w:rPr>
          <w:rFonts w:ascii="Arial" w:hAnsi="Arial" w:cs="Arial"/>
          <w:sz w:val="24"/>
          <w:szCs w:val="24"/>
        </w:rPr>
        <w:t>history alongside the views of its supporters, these case studies of nineteenth-century financial crime are consistent with the position that the purpose of micro</w:t>
      </w:r>
      <w:r w:rsidR="00D5745D">
        <w:rPr>
          <w:rFonts w:ascii="Arial" w:hAnsi="Arial" w:cs="Arial"/>
          <w:sz w:val="24"/>
          <w:szCs w:val="24"/>
        </w:rPr>
        <w:t>-</w:t>
      </w:r>
      <w:r w:rsidRPr="00CB55F1">
        <w:rPr>
          <w:rFonts w:ascii="Arial" w:hAnsi="Arial" w:cs="Arial"/>
          <w:sz w:val="24"/>
          <w:szCs w:val="24"/>
        </w:rPr>
        <w:t>history is not to eschew answering ‘great historical questions’ but to elucidate historical causation at the level of small groups where most of life takes place.</w:t>
      </w:r>
      <w:r w:rsidRPr="00CB55F1">
        <w:rPr>
          <w:rStyle w:val="EndnoteReference"/>
          <w:rFonts w:ascii="Arial" w:hAnsi="Arial" w:cs="Arial"/>
          <w:sz w:val="24"/>
          <w:szCs w:val="24"/>
        </w:rPr>
        <w:endnoteReference w:id="61"/>
      </w:r>
      <w:r w:rsidRPr="00CB55F1">
        <w:rPr>
          <w:rFonts w:ascii="Arial" w:hAnsi="Arial" w:cs="Arial"/>
          <w:sz w:val="24"/>
          <w:szCs w:val="24"/>
        </w:rPr>
        <w:t xml:space="preserve"> It embraces the view that ‘changing the scale’ of observation and investigation can glean fresh insight from different organising principles for broader interpersonal and systemic interaction, whereby changing the scale seeks to assist in the identification of [systems of] context and social interaction.</w:t>
      </w:r>
      <w:r w:rsidRPr="00CB55F1">
        <w:rPr>
          <w:rStyle w:val="EndnoteReference"/>
          <w:rFonts w:ascii="Arial" w:hAnsi="Arial" w:cs="Arial"/>
          <w:sz w:val="24"/>
          <w:szCs w:val="24"/>
        </w:rPr>
        <w:endnoteReference w:id="62"/>
      </w:r>
      <w:r w:rsidRPr="00CB55F1">
        <w:rPr>
          <w:rFonts w:ascii="Arial" w:hAnsi="Arial" w:cs="Arial"/>
          <w:sz w:val="24"/>
          <w:szCs w:val="24"/>
        </w:rPr>
        <w:t xml:space="preserve"> In focusing on a different type of causal connectedness from macro study, changing scales for enquiry ‘reflects that social actors appear in different contexts, micro- and macro-, at the same time’.</w:t>
      </w:r>
      <w:r w:rsidRPr="00CB55F1">
        <w:rPr>
          <w:rStyle w:val="EndnoteReference"/>
          <w:rFonts w:ascii="Arial" w:hAnsi="Arial" w:cs="Arial"/>
          <w:sz w:val="24"/>
          <w:szCs w:val="24"/>
        </w:rPr>
        <w:endnoteReference w:id="63"/>
      </w:r>
      <w:r w:rsidRPr="00CB55F1">
        <w:rPr>
          <w:rFonts w:ascii="Arial" w:hAnsi="Arial" w:cs="Arial"/>
          <w:sz w:val="24"/>
          <w:szCs w:val="24"/>
        </w:rPr>
        <w:t xml:space="preserve"> From this a dynamic cartography can arise: a variety of maps ‘each of which corresponds to a social terrain’, and one where there is no hierarchy, where ‘macro and micro no more or less real than one another.’</w:t>
      </w:r>
      <w:r w:rsidRPr="00CB55F1">
        <w:rPr>
          <w:rStyle w:val="EndnoteReference"/>
          <w:rFonts w:ascii="Arial" w:hAnsi="Arial" w:cs="Arial"/>
          <w:sz w:val="24"/>
          <w:szCs w:val="24"/>
        </w:rPr>
        <w:endnoteReference w:id="64"/>
      </w:r>
    </w:p>
    <w:p w14:paraId="3201C623" w14:textId="77777777" w:rsidR="00CB55F1" w:rsidRPr="00CB55F1" w:rsidRDefault="00CB55F1" w:rsidP="00CB55F1">
      <w:pPr>
        <w:spacing w:after="0" w:line="480" w:lineRule="auto"/>
        <w:jc w:val="both"/>
        <w:rPr>
          <w:rFonts w:ascii="Arial" w:hAnsi="Arial" w:cs="Arial"/>
          <w:sz w:val="24"/>
          <w:szCs w:val="24"/>
        </w:rPr>
      </w:pPr>
    </w:p>
    <w:p w14:paraId="091AF33A" w14:textId="2F9B96AD"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Financial crime case studies make meaningful contributions to crime history firstly by embodying that any historical research can only be a ‘piece of the puzzle’, and that history is always subject to individual interpretations and properly regarded as an ‘inventory’ of plausible readings of the past.</w:t>
      </w:r>
      <w:r w:rsidRPr="00CB55F1">
        <w:rPr>
          <w:rStyle w:val="EndnoteReference"/>
          <w:rFonts w:ascii="Arial" w:hAnsi="Arial" w:cs="Arial"/>
          <w:sz w:val="24"/>
          <w:szCs w:val="24"/>
        </w:rPr>
        <w:endnoteReference w:id="65"/>
      </w:r>
      <w:r w:rsidRPr="00CB55F1">
        <w:rPr>
          <w:rFonts w:ascii="Arial" w:hAnsi="Arial" w:cs="Arial"/>
          <w:sz w:val="24"/>
          <w:szCs w:val="24"/>
        </w:rPr>
        <w:t xml:space="preserve"> They also uphold the importance of contextualisation – that is placing the small unit of study in a broader context</w:t>
      </w:r>
      <w:r w:rsidR="00D5745D">
        <w:rPr>
          <w:rFonts w:ascii="Arial" w:hAnsi="Arial" w:cs="Arial"/>
          <w:sz w:val="24"/>
          <w:szCs w:val="24"/>
        </w:rPr>
        <w:t>. W</w:t>
      </w:r>
      <w:r w:rsidRPr="00CB55F1">
        <w:rPr>
          <w:rFonts w:ascii="Arial" w:hAnsi="Arial" w:cs="Arial"/>
          <w:sz w:val="24"/>
          <w:szCs w:val="24"/>
        </w:rPr>
        <w:t xml:space="preserve">ithout </w:t>
      </w:r>
      <w:r w:rsidR="00D5745D">
        <w:rPr>
          <w:rFonts w:ascii="Arial" w:hAnsi="Arial" w:cs="Arial"/>
          <w:sz w:val="24"/>
          <w:szCs w:val="24"/>
        </w:rPr>
        <w:lastRenderedPageBreak/>
        <w:t>this,</w:t>
      </w:r>
      <w:r w:rsidR="00D5745D" w:rsidRPr="00CB55F1">
        <w:rPr>
          <w:rFonts w:ascii="Arial" w:hAnsi="Arial" w:cs="Arial"/>
          <w:sz w:val="24"/>
          <w:szCs w:val="24"/>
        </w:rPr>
        <w:t xml:space="preserve"> </w:t>
      </w:r>
      <w:r w:rsidRPr="00CB55F1">
        <w:rPr>
          <w:rFonts w:ascii="Arial" w:hAnsi="Arial" w:cs="Arial"/>
          <w:sz w:val="24"/>
          <w:szCs w:val="24"/>
        </w:rPr>
        <w:t>such studies are commonly regarded as lacking meaning,</w:t>
      </w:r>
      <w:r w:rsidRPr="00CB55F1">
        <w:rPr>
          <w:rStyle w:val="EndnoteReference"/>
          <w:rFonts w:ascii="Arial" w:hAnsi="Arial" w:cs="Arial"/>
          <w:sz w:val="24"/>
          <w:szCs w:val="24"/>
        </w:rPr>
        <w:endnoteReference w:id="66"/>
      </w:r>
      <w:r w:rsidRPr="00CB55F1">
        <w:rPr>
          <w:rFonts w:ascii="Arial" w:hAnsi="Arial" w:cs="Arial"/>
          <w:sz w:val="24"/>
          <w:szCs w:val="24"/>
        </w:rPr>
        <w:t xml:space="preserve"> thereby acknowledging historical context as an irreducible given for any historical enquiry.</w:t>
      </w:r>
      <w:r w:rsidRPr="00CB55F1">
        <w:rPr>
          <w:rStyle w:val="EndnoteReference"/>
          <w:rFonts w:ascii="Arial" w:hAnsi="Arial" w:cs="Arial"/>
          <w:sz w:val="24"/>
          <w:szCs w:val="24"/>
        </w:rPr>
        <w:endnoteReference w:id="67"/>
      </w:r>
      <w:r w:rsidRPr="00CB55F1">
        <w:rPr>
          <w:rFonts w:ascii="Arial" w:hAnsi="Arial" w:cs="Arial"/>
          <w:sz w:val="24"/>
          <w:szCs w:val="24"/>
        </w:rPr>
        <w:t xml:space="preserve"> Arguably the nineteenth-century recalibration of the ‘economy of deterrence’ not only provides ‘great historical questions’ but actually some of the most significant ones for historians arising in the shaping of modern Britain. This construct can be used to explain</w:t>
      </w:r>
      <w:r w:rsidR="00860D17">
        <w:rPr>
          <w:rFonts w:ascii="Arial" w:hAnsi="Arial" w:cs="Arial"/>
          <w:sz w:val="24"/>
          <w:szCs w:val="24"/>
        </w:rPr>
        <w:t xml:space="preserve"> the</w:t>
      </w:r>
      <w:r w:rsidRPr="00CB55F1">
        <w:rPr>
          <w:rFonts w:ascii="Arial" w:hAnsi="Arial" w:cs="Arial"/>
          <w:sz w:val="24"/>
          <w:szCs w:val="24"/>
        </w:rPr>
        <w:t xml:space="preserve"> relations subsisting between crime and society</w:t>
      </w:r>
      <w:r w:rsidR="00860D17">
        <w:rPr>
          <w:rFonts w:ascii="Arial" w:hAnsi="Arial" w:cs="Arial"/>
          <w:sz w:val="24"/>
          <w:szCs w:val="24"/>
        </w:rPr>
        <w:t xml:space="preserve"> </w:t>
      </w:r>
      <w:r w:rsidRPr="00CB55F1">
        <w:rPr>
          <w:rFonts w:ascii="Arial" w:hAnsi="Arial" w:cs="Arial"/>
          <w:sz w:val="24"/>
          <w:szCs w:val="24"/>
        </w:rPr>
        <w:t>which would change dramatically in the early years of the nineteenth century,</w:t>
      </w:r>
      <w:r w:rsidRPr="00CB55F1">
        <w:rPr>
          <w:rStyle w:val="EndnoteReference"/>
          <w:rFonts w:ascii="Arial" w:hAnsi="Arial" w:cs="Arial"/>
          <w:sz w:val="24"/>
          <w:szCs w:val="24"/>
        </w:rPr>
        <w:endnoteReference w:id="68"/>
      </w:r>
      <w:r w:rsidRPr="00CB55F1">
        <w:rPr>
          <w:rFonts w:ascii="Arial" w:hAnsi="Arial" w:cs="Arial"/>
          <w:sz w:val="24"/>
          <w:szCs w:val="24"/>
        </w:rPr>
        <w:t xml:space="preserve"> putting in place a new framework of criminal law, and precipitate ‘revolutions’ in policing and penal policy. </w:t>
      </w:r>
    </w:p>
    <w:p w14:paraId="69F1A89F" w14:textId="77777777" w:rsidR="00CB55F1" w:rsidRPr="00CB55F1" w:rsidRDefault="00CB55F1" w:rsidP="00CB55F1">
      <w:pPr>
        <w:spacing w:after="0" w:line="480" w:lineRule="auto"/>
        <w:jc w:val="both"/>
        <w:rPr>
          <w:rFonts w:ascii="Arial" w:hAnsi="Arial" w:cs="Arial"/>
          <w:sz w:val="24"/>
          <w:szCs w:val="24"/>
        </w:rPr>
      </w:pPr>
    </w:p>
    <w:p w14:paraId="76DED092" w14:textId="0A2D3694"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 xml:space="preserve">Crime history has diligently documented the forces for change as </w:t>
      </w:r>
      <w:r w:rsidRPr="00CB55F1">
        <w:rPr>
          <w:rFonts w:ascii="Arial" w:hAnsi="Arial" w:cs="Arial"/>
          <w:i/>
          <w:sz w:val="24"/>
          <w:szCs w:val="24"/>
        </w:rPr>
        <w:t>pragmatic</w:t>
      </w:r>
      <w:r w:rsidRPr="00CB55F1">
        <w:rPr>
          <w:rFonts w:ascii="Arial" w:hAnsi="Arial" w:cs="Arial"/>
          <w:sz w:val="24"/>
          <w:szCs w:val="24"/>
        </w:rPr>
        <w:t xml:space="preserve"> ones relating to </w:t>
      </w:r>
      <w:r w:rsidR="00D5745D">
        <w:rPr>
          <w:rFonts w:ascii="Arial" w:hAnsi="Arial" w:cs="Arial"/>
          <w:sz w:val="24"/>
          <w:szCs w:val="24"/>
        </w:rPr>
        <w:t xml:space="preserve">a </w:t>
      </w:r>
      <w:r w:rsidRPr="00CB55F1">
        <w:rPr>
          <w:rFonts w:ascii="Arial" w:hAnsi="Arial" w:cs="Arial"/>
          <w:sz w:val="24"/>
          <w:szCs w:val="24"/>
        </w:rPr>
        <w:t>declining belief in the efficacy of the Bloody Code, combined with population increase and changing demography</w:t>
      </w:r>
      <w:r w:rsidR="00D5745D">
        <w:rPr>
          <w:rFonts w:ascii="Arial" w:hAnsi="Arial" w:cs="Arial"/>
          <w:sz w:val="24"/>
          <w:szCs w:val="24"/>
        </w:rPr>
        <w:t xml:space="preserve">. These were </w:t>
      </w:r>
      <w:r w:rsidRPr="00CB55F1">
        <w:rPr>
          <w:rFonts w:ascii="Arial" w:hAnsi="Arial" w:cs="Arial"/>
          <w:sz w:val="24"/>
          <w:szCs w:val="24"/>
        </w:rPr>
        <w:t>brought about by increasing urbanisation on account of industrialisation</w:t>
      </w:r>
      <w:r w:rsidR="00D5745D">
        <w:rPr>
          <w:rFonts w:ascii="Arial" w:hAnsi="Arial" w:cs="Arial"/>
          <w:sz w:val="24"/>
          <w:szCs w:val="24"/>
        </w:rPr>
        <w:t xml:space="preserve">, </w:t>
      </w:r>
      <w:r w:rsidRPr="00CB55F1">
        <w:rPr>
          <w:rFonts w:ascii="Arial" w:hAnsi="Arial" w:cs="Arial"/>
          <w:sz w:val="24"/>
          <w:szCs w:val="24"/>
        </w:rPr>
        <w:t>the influence of mass demobilisation following the end of the Napoleonic Wars</w:t>
      </w:r>
      <w:r w:rsidR="00D5745D">
        <w:rPr>
          <w:rFonts w:ascii="Arial" w:hAnsi="Arial" w:cs="Arial"/>
          <w:sz w:val="24"/>
          <w:szCs w:val="24"/>
        </w:rPr>
        <w:t xml:space="preserve"> </w:t>
      </w:r>
      <w:r w:rsidRPr="00CB55F1">
        <w:rPr>
          <w:rFonts w:ascii="Arial" w:hAnsi="Arial" w:cs="Arial"/>
          <w:sz w:val="24"/>
          <w:szCs w:val="24"/>
        </w:rPr>
        <w:t>and</w:t>
      </w:r>
      <w:r w:rsidR="00D5745D">
        <w:rPr>
          <w:rFonts w:ascii="Arial" w:hAnsi="Arial" w:cs="Arial"/>
          <w:sz w:val="24"/>
          <w:szCs w:val="24"/>
        </w:rPr>
        <w:t xml:space="preserve"> an</w:t>
      </w:r>
      <w:r w:rsidRPr="00CB55F1">
        <w:rPr>
          <w:rFonts w:ascii="Arial" w:hAnsi="Arial" w:cs="Arial"/>
          <w:sz w:val="24"/>
          <w:szCs w:val="24"/>
        </w:rPr>
        <w:t xml:space="preserve"> </w:t>
      </w:r>
      <w:r w:rsidRPr="00CB55F1">
        <w:rPr>
          <w:rFonts w:ascii="Arial" w:hAnsi="Arial" w:cs="Arial"/>
          <w:i/>
          <w:sz w:val="24"/>
          <w:szCs w:val="24"/>
        </w:rPr>
        <w:t xml:space="preserve">ideological </w:t>
      </w:r>
      <w:r w:rsidRPr="00CB55F1">
        <w:rPr>
          <w:rFonts w:ascii="Arial" w:hAnsi="Arial" w:cs="Arial"/>
          <w:sz w:val="24"/>
          <w:szCs w:val="24"/>
        </w:rPr>
        <w:t>retreat from punishment of the body to reform</w:t>
      </w:r>
      <w:r w:rsidR="00D5745D">
        <w:rPr>
          <w:rFonts w:ascii="Arial" w:hAnsi="Arial" w:cs="Arial"/>
          <w:sz w:val="24"/>
          <w:szCs w:val="24"/>
        </w:rPr>
        <w:t>ation</w:t>
      </w:r>
      <w:r w:rsidRPr="00CB55F1">
        <w:rPr>
          <w:rFonts w:ascii="Arial" w:hAnsi="Arial" w:cs="Arial"/>
          <w:sz w:val="24"/>
          <w:szCs w:val="24"/>
        </w:rPr>
        <w:t xml:space="preserve"> of the mind rooted in Enlightenment philosophy. Assisted by strong meta-narratives of ‘pressure for change’</w:t>
      </w:r>
      <w:r w:rsidRPr="00CB55F1">
        <w:rPr>
          <w:rStyle w:val="EndnoteReference"/>
          <w:rFonts w:ascii="Arial" w:hAnsi="Arial" w:cs="Arial"/>
          <w:sz w:val="24"/>
          <w:szCs w:val="24"/>
        </w:rPr>
        <w:endnoteReference w:id="69"/>
      </w:r>
      <w:r w:rsidRPr="00CB55F1">
        <w:rPr>
          <w:rFonts w:ascii="Arial" w:hAnsi="Arial" w:cs="Arial"/>
          <w:sz w:val="24"/>
          <w:szCs w:val="24"/>
        </w:rPr>
        <w:t xml:space="preserve"> and an increasingly scientific approach towards managing progress and the externalities of progress borne from a pervasive confidence and exuberance and appetite for innovation</w:t>
      </w:r>
      <w:r w:rsidR="00D5745D">
        <w:rPr>
          <w:rFonts w:ascii="Arial" w:hAnsi="Arial" w:cs="Arial"/>
          <w:sz w:val="24"/>
          <w:szCs w:val="24"/>
        </w:rPr>
        <w:t>,</w:t>
      </w:r>
      <w:r w:rsidRPr="00CB55F1">
        <w:rPr>
          <w:rStyle w:val="EndnoteReference"/>
          <w:rFonts w:ascii="Arial" w:hAnsi="Arial" w:cs="Arial"/>
          <w:sz w:val="24"/>
          <w:szCs w:val="24"/>
        </w:rPr>
        <w:endnoteReference w:id="70"/>
      </w:r>
      <w:r w:rsidRPr="00CB55F1">
        <w:rPr>
          <w:rFonts w:ascii="Arial" w:hAnsi="Arial" w:cs="Arial"/>
          <w:sz w:val="24"/>
          <w:szCs w:val="24"/>
        </w:rPr>
        <w:t xml:space="preserve"> putting in place this new suite of responses to crime was one of the most ambitious projects for a society convinced that the ‘common law combined with an extensive legislative programme would provide the basis for meeting the social, economic and political dynamics’.</w:t>
      </w:r>
      <w:r w:rsidRPr="00CB55F1">
        <w:rPr>
          <w:rStyle w:val="EndnoteReference"/>
          <w:rFonts w:ascii="Arial" w:hAnsi="Arial" w:cs="Arial"/>
          <w:sz w:val="24"/>
          <w:szCs w:val="24"/>
        </w:rPr>
        <w:endnoteReference w:id="71"/>
      </w:r>
      <w:r w:rsidRPr="00CB55F1">
        <w:rPr>
          <w:rFonts w:ascii="Arial" w:hAnsi="Arial" w:cs="Arial"/>
          <w:sz w:val="24"/>
          <w:szCs w:val="24"/>
        </w:rPr>
        <w:t xml:space="preserve"> It is thus unsurprising that historians have taken such an extensive and longstanding interest in this and have been very conspicuous in their use of micro</w:t>
      </w:r>
      <w:r w:rsidR="00D5745D">
        <w:rPr>
          <w:rFonts w:ascii="Arial" w:hAnsi="Arial" w:cs="Arial"/>
          <w:sz w:val="24"/>
          <w:szCs w:val="24"/>
        </w:rPr>
        <w:t>-</w:t>
      </w:r>
      <w:r w:rsidRPr="00CB55F1">
        <w:rPr>
          <w:rFonts w:ascii="Arial" w:hAnsi="Arial" w:cs="Arial"/>
          <w:sz w:val="24"/>
          <w:szCs w:val="24"/>
        </w:rPr>
        <w:t xml:space="preserve">historical case studies, with many persuasive illustrations of how ‘controlled multiplication of the scales of observation is likely to produce additional </w:t>
      </w:r>
      <w:r w:rsidRPr="00CB55F1">
        <w:rPr>
          <w:rFonts w:ascii="Arial" w:hAnsi="Arial" w:cs="Arial"/>
          <w:sz w:val="24"/>
          <w:szCs w:val="24"/>
        </w:rPr>
        <w:lastRenderedPageBreak/>
        <w:t>knowledge’</w:t>
      </w:r>
      <w:r w:rsidRPr="00CB55F1">
        <w:rPr>
          <w:rStyle w:val="EndnoteReference"/>
          <w:rFonts w:ascii="Arial" w:hAnsi="Arial" w:cs="Arial"/>
          <w:sz w:val="24"/>
          <w:szCs w:val="24"/>
        </w:rPr>
        <w:endnoteReference w:id="72"/>
      </w:r>
      <w:r w:rsidRPr="00CB55F1">
        <w:rPr>
          <w:rFonts w:ascii="Arial" w:hAnsi="Arial" w:cs="Arial"/>
          <w:sz w:val="24"/>
          <w:szCs w:val="24"/>
        </w:rPr>
        <w:t xml:space="preserve"> to be found within crime history itself. </w:t>
      </w:r>
      <w:r w:rsidR="00D5745D">
        <w:rPr>
          <w:rFonts w:ascii="Arial" w:hAnsi="Arial" w:cs="Arial"/>
          <w:sz w:val="24"/>
          <w:szCs w:val="24"/>
        </w:rPr>
        <w:t>D</w:t>
      </w:r>
      <w:r w:rsidRPr="00CB55F1">
        <w:rPr>
          <w:rFonts w:ascii="Arial" w:hAnsi="Arial" w:cs="Arial"/>
          <w:sz w:val="24"/>
          <w:szCs w:val="24"/>
        </w:rPr>
        <w:t>espite the silences on financial crime in crime history</w:t>
      </w:r>
      <w:r w:rsidR="00D5745D">
        <w:rPr>
          <w:rFonts w:ascii="Arial" w:hAnsi="Arial" w:cs="Arial"/>
          <w:sz w:val="24"/>
          <w:szCs w:val="24"/>
        </w:rPr>
        <w:t>,</w:t>
      </w:r>
      <w:r w:rsidRPr="00CB55F1">
        <w:rPr>
          <w:rFonts w:ascii="Arial" w:hAnsi="Arial" w:cs="Arial"/>
          <w:sz w:val="24"/>
          <w:szCs w:val="24"/>
        </w:rPr>
        <w:t xml:space="preserve"> the same meta-narratives which have served crime historians well for several decades also underpin the history of financial crime. </w:t>
      </w:r>
    </w:p>
    <w:p w14:paraId="5CF4780F" w14:textId="77777777" w:rsidR="00CB55F1" w:rsidRPr="00CB55F1" w:rsidRDefault="00CB55F1" w:rsidP="00CB55F1">
      <w:pPr>
        <w:spacing w:after="0" w:line="480" w:lineRule="auto"/>
        <w:jc w:val="both"/>
        <w:rPr>
          <w:rFonts w:ascii="Arial" w:hAnsi="Arial" w:cs="Arial"/>
          <w:sz w:val="24"/>
          <w:szCs w:val="24"/>
        </w:rPr>
      </w:pPr>
    </w:p>
    <w:p w14:paraId="29AEBD94" w14:textId="1C517985"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 xml:space="preserve">It is suggested that the case studies of John </w:t>
      </w:r>
      <w:r w:rsidR="005F6686">
        <w:rPr>
          <w:rFonts w:ascii="Arial" w:hAnsi="Arial" w:cs="Arial"/>
          <w:sz w:val="24"/>
          <w:szCs w:val="24"/>
        </w:rPr>
        <w:t>Sadleir</w:t>
      </w:r>
      <w:r w:rsidRPr="00CB55F1">
        <w:rPr>
          <w:rFonts w:ascii="Arial" w:hAnsi="Arial" w:cs="Arial"/>
          <w:sz w:val="24"/>
          <w:szCs w:val="24"/>
        </w:rPr>
        <w:t xml:space="preserve"> M</w:t>
      </w:r>
      <w:bookmarkStart w:id="0" w:name="_GoBack"/>
      <w:bookmarkEnd w:id="0"/>
      <w:r w:rsidRPr="00CB55F1">
        <w:rPr>
          <w:rFonts w:ascii="Arial" w:hAnsi="Arial" w:cs="Arial"/>
          <w:sz w:val="24"/>
          <w:szCs w:val="24"/>
        </w:rPr>
        <w:t>P, bankers Strahan</w:t>
      </w:r>
      <w:r w:rsidR="00D5745D">
        <w:rPr>
          <w:rFonts w:ascii="Arial" w:hAnsi="Arial" w:cs="Arial"/>
          <w:sz w:val="24"/>
          <w:szCs w:val="24"/>
        </w:rPr>
        <w:t>,</w:t>
      </w:r>
      <w:r w:rsidRPr="00CB55F1">
        <w:rPr>
          <w:rFonts w:ascii="Arial" w:hAnsi="Arial" w:cs="Arial"/>
          <w:sz w:val="24"/>
          <w:szCs w:val="24"/>
        </w:rPr>
        <w:t xml:space="preserve"> </w:t>
      </w:r>
      <w:r w:rsidR="00543083">
        <w:rPr>
          <w:rFonts w:ascii="Arial" w:hAnsi="Arial" w:cs="Arial"/>
          <w:sz w:val="24"/>
          <w:szCs w:val="24"/>
        </w:rPr>
        <w:t xml:space="preserve">Paul and </w:t>
      </w:r>
      <w:r w:rsidRPr="00CB55F1">
        <w:rPr>
          <w:rFonts w:ascii="Arial" w:hAnsi="Arial" w:cs="Arial"/>
          <w:sz w:val="24"/>
          <w:szCs w:val="24"/>
        </w:rPr>
        <w:t>Bates</w:t>
      </w:r>
      <w:r w:rsidR="00543083">
        <w:rPr>
          <w:rFonts w:ascii="Arial" w:hAnsi="Arial" w:cs="Arial"/>
          <w:sz w:val="24"/>
          <w:szCs w:val="24"/>
        </w:rPr>
        <w:t>,</w:t>
      </w:r>
      <w:r w:rsidRPr="00CB55F1">
        <w:rPr>
          <w:rFonts w:ascii="Arial" w:hAnsi="Arial" w:cs="Arial"/>
          <w:sz w:val="24"/>
          <w:szCs w:val="24"/>
        </w:rPr>
        <w:t xml:space="preserve"> and City merchant Joseph Windle Cole, when combined with criminological study</w:t>
      </w:r>
      <w:r w:rsidR="00D5745D">
        <w:rPr>
          <w:rFonts w:ascii="Arial" w:hAnsi="Arial" w:cs="Arial"/>
          <w:sz w:val="24"/>
          <w:szCs w:val="24"/>
        </w:rPr>
        <w:t>,</w:t>
      </w:r>
      <w:r w:rsidRPr="00CB55F1">
        <w:rPr>
          <w:rFonts w:ascii="Arial" w:hAnsi="Arial" w:cs="Arial"/>
          <w:sz w:val="24"/>
          <w:szCs w:val="24"/>
        </w:rPr>
        <w:t xml:space="preserve"> can help to explain what is missing from crime history itself, and what history might have to offer for current and future-oriented reflections on the ‘problem’ of financial crime. These cases are likely to be highly persuasive for crime historians even if they might compound the puzzle of why there has been so little intellectual engagement with financial crime from them. The manifest imbalances between crime history and business history in engaging with financial crime may be attributable in part to ‘barriers’ in familiarity and even perceived expertise in matters of business and economy on the part of crime historians</w:t>
      </w:r>
      <w:r w:rsidR="00D5745D">
        <w:rPr>
          <w:rFonts w:ascii="Arial" w:hAnsi="Arial" w:cs="Arial"/>
          <w:sz w:val="24"/>
          <w:szCs w:val="24"/>
        </w:rPr>
        <w:t>.</w:t>
      </w:r>
      <w:r w:rsidRPr="00CB55F1">
        <w:rPr>
          <w:rStyle w:val="EndnoteReference"/>
          <w:rFonts w:ascii="Arial" w:hAnsi="Arial" w:cs="Arial"/>
          <w:sz w:val="24"/>
          <w:szCs w:val="24"/>
        </w:rPr>
        <w:endnoteReference w:id="73"/>
      </w:r>
      <w:r w:rsidRPr="00CB55F1">
        <w:rPr>
          <w:rFonts w:ascii="Arial" w:hAnsi="Arial" w:cs="Arial"/>
          <w:sz w:val="24"/>
          <w:szCs w:val="24"/>
        </w:rPr>
        <w:t xml:space="preserve"> </w:t>
      </w:r>
      <w:r w:rsidR="00D5745D">
        <w:rPr>
          <w:rFonts w:ascii="Arial" w:hAnsi="Arial" w:cs="Arial"/>
          <w:sz w:val="24"/>
          <w:szCs w:val="24"/>
        </w:rPr>
        <w:t>However,</w:t>
      </w:r>
      <w:r w:rsidR="00D5745D" w:rsidRPr="00CB55F1">
        <w:rPr>
          <w:rFonts w:ascii="Arial" w:hAnsi="Arial" w:cs="Arial"/>
          <w:sz w:val="24"/>
          <w:szCs w:val="24"/>
        </w:rPr>
        <w:t xml:space="preserve"> </w:t>
      </w:r>
      <w:r w:rsidRPr="00CB55F1">
        <w:rPr>
          <w:rFonts w:ascii="Arial" w:hAnsi="Arial" w:cs="Arial"/>
          <w:sz w:val="24"/>
          <w:szCs w:val="24"/>
        </w:rPr>
        <w:t>there are other powerful influences at work. From little more than a glance at crime history a clear overarching thread emerges. This is from works of first and second generation crime history, as historians’ interest has been captured firstly with configuring crime alongside class struggle</w:t>
      </w:r>
      <w:r w:rsidRPr="00CB55F1">
        <w:rPr>
          <w:rStyle w:val="EndnoteReference"/>
          <w:rFonts w:ascii="Arial" w:hAnsi="Arial" w:cs="Arial"/>
          <w:sz w:val="24"/>
          <w:szCs w:val="24"/>
        </w:rPr>
        <w:endnoteReference w:id="74"/>
      </w:r>
      <w:r w:rsidRPr="00CB55F1">
        <w:rPr>
          <w:rFonts w:ascii="Arial" w:hAnsi="Arial" w:cs="Arial"/>
          <w:sz w:val="24"/>
          <w:szCs w:val="24"/>
        </w:rPr>
        <w:t xml:space="preserve"> and thereafter channelling a ‘crime and society’ approach for analysing the embedding of ‘new’ approaches pursued through reforms to the criminal law and revolutions in policing and punishment.</w:t>
      </w:r>
      <w:r w:rsidRPr="00CB55F1">
        <w:rPr>
          <w:rStyle w:val="EndnoteReference"/>
          <w:rFonts w:ascii="Arial" w:hAnsi="Arial" w:cs="Arial"/>
          <w:sz w:val="24"/>
          <w:szCs w:val="24"/>
        </w:rPr>
        <w:endnoteReference w:id="75"/>
      </w:r>
      <w:r w:rsidRPr="00CB55F1">
        <w:rPr>
          <w:rFonts w:ascii="Arial" w:hAnsi="Arial" w:cs="Arial"/>
          <w:sz w:val="24"/>
          <w:szCs w:val="24"/>
        </w:rPr>
        <w:t xml:space="preserve"> </w:t>
      </w:r>
    </w:p>
    <w:p w14:paraId="2FABA059" w14:textId="77777777" w:rsidR="00CB55F1" w:rsidRPr="00CB55F1" w:rsidRDefault="00CB55F1" w:rsidP="00CB55F1">
      <w:pPr>
        <w:spacing w:after="0" w:line="480" w:lineRule="auto"/>
        <w:jc w:val="both"/>
        <w:rPr>
          <w:rFonts w:ascii="Arial" w:hAnsi="Arial" w:cs="Arial"/>
          <w:sz w:val="24"/>
          <w:szCs w:val="24"/>
        </w:rPr>
      </w:pPr>
    </w:p>
    <w:p w14:paraId="6633380B" w14:textId="3E6E57A5"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Here modern crime history’s manifest interest in crimes of violence and street crime, and anti-social behaviour</w:t>
      </w:r>
      <w:r w:rsidR="007233DB">
        <w:rPr>
          <w:rFonts w:ascii="Arial" w:hAnsi="Arial" w:cs="Arial"/>
          <w:sz w:val="24"/>
          <w:szCs w:val="24"/>
        </w:rPr>
        <w:t>,</w:t>
      </w:r>
      <w:r w:rsidRPr="00CB55F1">
        <w:rPr>
          <w:rFonts w:ascii="Arial" w:hAnsi="Arial" w:cs="Arial"/>
          <w:sz w:val="24"/>
          <w:szCs w:val="24"/>
        </w:rPr>
        <w:t xml:space="preserve"> can be seen to track closely the very orientation of the nineteenth-century reforms themselves. Here contemporary emphasis on the threats presented by ‘one great criminal profession’ to which ‘Thieves, prostitutes, &amp;c, seem </w:t>
      </w:r>
      <w:r w:rsidRPr="00CB55F1">
        <w:rPr>
          <w:rFonts w:ascii="Arial" w:hAnsi="Arial" w:cs="Arial"/>
          <w:sz w:val="24"/>
          <w:szCs w:val="24"/>
        </w:rPr>
        <w:lastRenderedPageBreak/>
        <w:t>to belong’</w:t>
      </w:r>
      <w:r w:rsidRPr="00CB55F1">
        <w:rPr>
          <w:rFonts w:ascii="Arial" w:hAnsi="Arial" w:cs="Arial"/>
          <w:sz w:val="24"/>
          <w:szCs w:val="24"/>
          <w:vertAlign w:val="superscript"/>
        </w:rPr>
        <w:endnoteReference w:id="76"/>
      </w:r>
      <w:r w:rsidRPr="00CB55F1">
        <w:rPr>
          <w:rFonts w:ascii="Arial" w:hAnsi="Arial" w:cs="Arial"/>
          <w:sz w:val="24"/>
          <w:szCs w:val="24"/>
        </w:rPr>
        <w:t xml:space="preserve"> </w:t>
      </w:r>
      <w:r w:rsidR="007233DB">
        <w:rPr>
          <w:rFonts w:ascii="Arial" w:hAnsi="Arial" w:cs="Arial"/>
          <w:sz w:val="24"/>
          <w:szCs w:val="24"/>
        </w:rPr>
        <w:t xml:space="preserve">which </w:t>
      </w:r>
      <w:r w:rsidR="007233DB" w:rsidRPr="00CB55F1">
        <w:rPr>
          <w:rFonts w:ascii="Arial" w:hAnsi="Arial" w:cs="Arial"/>
          <w:sz w:val="24"/>
          <w:szCs w:val="24"/>
        </w:rPr>
        <w:t>dominat</w:t>
      </w:r>
      <w:r w:rsidR="007233DB">
        <w:rPr>
          <w:rFonts w:ascii="Arial" w:hAnsi="Arial" w:cs="Arial"/>
          <w:sz w:val="24"/>
          <w:szCs w:val="24"/>
        </w:rPr>
        <w:t>ed</w:t>
      </w:r>
      <w:r w:rsidR="007233DB" w:rsidRPr="00CB55F1">
        <w:rPr>
          <w:rFonts w:ascii="Arial" w:hAnsi="Arial" w:cs="Arial"/>
          <w:sz w:val="24"/>
          <w:szCs w:val="24"/>
        </w:rPr>
        <w:t xml:space="preserve"> </w:t>
      </w:r>
      <w:r w:rsidRPr="00CB55F1">
        <w:rPr>
          <w:rFonts w:ascii="Arial" w:hAnsi="Arial" w:cs="Arial"/>
          <w:sz w:val="24"/>
          <w:szCs w:val="24"/>
        </w:rPr>
        <w:t>the reform agenda</w:t>
      </w:r>
      <w:r w:rsidR="007233DB">
        <w:rPr>
          <w:rFonts w:ascii="Arial" w:hAnsi="Arial" w:cs="Arial"/>
          <w:sz w:val="24"/>
          <w:szCs w:val="24"/>
        </w:rPr>
        <w:t xml:space="preserve">, </w:t>
      </w:r>
      <w:r w:rsidRPr="00CB55F1">
        <w:rPr>
          <w:rFonts w:ascii="Arial" w:hAnsi="Arial" w:cs="Arial"/>
          <w:sz w:val="24"/>
          <w:szCs w:val="24"/>
        </w:rPr>
        <w:t>ground an orthodoxy amongst crime historians of a politicisation of crime and deviance. In this politicisation process</w:t>
      </w:r>
      <w:r w:rsidR="007233DB">
        <w:rPr>
          <w:rFonts w:ascii="Arial" w:hAnsi="Arial" w:cs="Arial"/>
          <w:sz w:val="24"/>
          <w:szCs w:val="24"/>
        </w:rPr>
        <w:t>,</w:t>
      </w:r>
      <w:r w:rsidRPr="00CB55F1">
        <w:rPr>
          <w:rFonts w:ascii="Arial" w:hAnsi="Arial" w:cs="Arial"/>
          <w:sz w:val="24"/>
          <w:szCs w:val="24"/>
        </w:rPr>
        <w:t xml:space="preserve"> the threat was not simply presented by crime </w:t>
      </w:r>
      <w:r w:rsidRPr="007233DB">
        <w:rPr>
          <w:rFonts w:ascii="Arial" w:hAnsi="Arial" w:cs="Arial"/>
          <w:i/>
          <w:sz w:val="24"/>
          <w:szCs w:val="24"/>
        </w:rPr>
        <w:t>per se</w:t>
      </w:r>
      <w:r w:rsidRPr="00CB55F1">
        <w:rPr>
          <w:rFonts w:ascii="Arial" w:hAnsi="Arial" w:cs="Arial"/>
          <w:sz w:val="24"/>
          <w:szCs w:val="24"/>
        </w:rPr>
        <w:t>, but arose from particular types of crime; types of crime increasingly associated with the conceptualisation of a ‘criminal class’, those considered ‘antithetic of every respectable community’.</w:t>
      </w:r>
      <w:r w:rsidRPr="00CB55F1">
        <w:rPr>
          <w:rFonts w:ascii="Arial" w:hAnsi="Arial" w:cs="Arial"/>
          <w:sz w:val="24"/>
          <w:szCs w:val="24"/>
          <w:vertAlign w:val="superscript"/>
        </w:rPr>
        <w:endnoteReference w:id="77"/>
      </w:r>
      <w:r w:rsidRPr="00CB55F1">
        <w:rPr>
          <w:rFonts w:ascii="Arial" w:hAnsi="Arial" w:cs="Arial"/>
          <w:sz w:val="24"/>
          <w:szCs w:val="24"/>
        </w:rPr>
        <w:t xml:space="preserve"> This has been analysed as having ensured that the new ideological orientation and structures put in place would principally </w:t>
      </w:r>
      <w:r w:rsidR="007233DB" w:rsidRPr="00CB55F1">
        <w:rPr>
          <w:rFonts w:ascii="Arial" w:hAnsi="Arial" w:cs="Arial"/>
          <w:sz w:val="24"/>
          <w:szCs w:val="24"/>
        </w:rPr>
        <w:t xml:space="preserve">target </w:t>
      </w:r>
      <w:r w:rsidRPr="00CB55F1">
        <w:rPr>
          <w:rFonts w:ascii="Arial" w:hAnsi="Arial" w:cs="Arial"/>
          <w:sz w:val="24"/>
          <w:szCs w:val="24"/>
        </w:rPr>
        <w:t>‘fundamentally unsophisticated … sheep stealers and poachers … and … thieves’,</w:t>
      </w:r>
      <w:r w:rsidRPr="00CB55F1">
        <w:rPr>
          <w:rFonts w:ascii="Arial" w:hAnsi="Arial" w:cs="Arial"/>
          <w:sz w:val="24"/>
          <w:szCs w:val="24"/>
          <w:vertAlign w:val="superscript"/>
        </w:rPr>
        <w:endnoteReference w:id="78"/>
      </w:r>
      <w:r w:rsidRPr="00CB55F1">
        <w:rPr>
          <w:rFonts w:ascii="Arial" w:hAnsi="Arial" w:cs="Arial"/>
          <w:sz w:val="24"/>
          <w:szCs w:val="24"/>
        </w:rPr>
        <w:t xml:space="preserve"> in turn helping to foster perceptions that </w:t>
      </w:r>
      <w:r w:rsidR="007233DB">
        <w:rPr>
          <w:rFonts w:ascii="Arial" w:hAnsi="Arial" w:cs="Arial"/>
          <w:sz w:val="24"/>
          <w:szCs w:val="24"/>
        </w:rPr>
        <w:t xml:space="preserve">the </w:t>
      </w:r>
      <w:r w:rsidRPr="00CB55F1">
        <w:rPr>
          <w:rFonts w:ascii="Arial" w:hAnsi="Arial" w:cs="Arial"/>
          <w:sz w:val="24"/>
          <w:szCs w:val="24"/>
        </w:rPr>
        <w:t>emergence of the modern criminal law and its administration sought to preserve ‘the illusion that socially dangerous and unacceptable activity was predominantly the province of the lower orders’.</w:t>
      </w:r>
      <w:r w:rsidRPr="00CB55F1">
        <w:rPr>
          <w:rStyle w:val="EndnoteReference"/>
          <w:rFonts w:ascii="Arial" w:hAnsi="Arial" w:cs="Arial"/>
          <w:sz w:val="24"/>
          <w:szCs w:val="24"/>
        </w:rPr>
        <w:endnoteReference w:id="79"/>
      </w:r>
      <w:r w:rsidRPr="00CB55F1">
        <w:rPr>
          <w:rFonts w:ascii="Arial" w:hAnsi="Arial" w:cs="Arial"/>
          <w:sz w:val="24"/>
          <w:szCs w:val="24"/>
        </w:rPr>
        <w:t>In view of this</w:t>
      </w:r>
      <w:r w:rsidR="007233DB">
        <w:rPr>
          <w:rFonts w:ascii="Arial" w:hAnsi="Arial" w:cs="Arial"/>
          <w:sz w:val="24"/>
          <w:szCs w:val="24"/>
        </w:rPr>
        <w:t>,</w:t>
      </w:r>
      <w:r w:rsidRPr="00CB55F1">
        <w:rPr>
          <w:rFonts w:ascii="Arial" w:hAnsi="Arial" w:cs="Arial"/>
          <w:sz w:val="24"/>
          <w:szCs w:val="24"/>
        </w:rPr>
        <w:t xml:space="preserve"> it is not surprising perhaps that crime historians’ interest has been so strongly shaped by certain types of crime in preference to others, with this also being crime which criminologists now term ‘ordinary’ crime, ‘common’ crime or ‘traditional’ crime.</w:t>
      </w:r>
      <w:r w:rsidRPr="00CB55F1">
        <w:rPr>
          <w:rStyle w:val="EndnoteReference"/>
          <w:rFonts w:ascii="Arial" w:hAnsi="Arial" w:cs="Arial"/>
          <w:sz w:val="24"/>
          <w:szCs w:val="24"/>
        </w:rPr>
        <w:endnoteReference w:id="80"/>
      </w:r>
      <w:r w:rsidRPr="00CB55F1">
        <w:rPr>
          <w:rFonts w:ascii="Arial" w:hAnsi="Arial" w:cs="Arial"/>
          <w:sz w:val="24"/>
          <w:szCs w:val="24"/>
        </w:rPr>
        <w:t xml:space="preserve"> </w:t>
      </w:r>
    </w:p>
    <w:p w14:paraId="55F9E34C" w14:textId="77777777" w:rsidR="00CB55F1" w:rsidRPr="00CB55F1" w:rsidRDefault="00CB55F1" w:rsidP="00CB55F1">
      <w:pPr>
        <w:spacing w:after="0" w:line="480" w:lineRule="auto"/>
        <w:jc w:val="both"/>
        <w:rPr>
          <w:rFonts w:ascii="Arial" w:hAnsi="Arial" w:cs="Arial"/>
          <w:sz w:val="24"/>
          <w:szCs w:val="24"/>
        </w:rPr>
      </w:pPr>
    </w:p>
    <w:p w14:paraId="6E91CAA0" w14:textId="41E8F4C7" w:rsidR="00CB55F1" w:rsidRPr="007233DB" w:rsidRDefault="007233DB" w:rsidP="007233DB">
      <w:pPr>
        <w:spacing w:after="0" w:line="480" w:lineRule="auto"/>
        <w:jc w:val="center"/>
        <w:rPr>
          <w:rFonts w:ascii="Arial" w:hAnsi="Arial" w:cs="Arial"/>
          <w:sz w:val="28"/>
          <w:szCs w:val="28"/>
        </w:rPr>
      </w:pPr>
      <w:r w:rsidRPr="007233DB">
        <w:rPr>
          <w:rFonts w:ascii="Arial" w:hAnsi="Arial" w:cs="Arial"/>
          <w:sz w:val="28"/>
          <w:szCs w:val="28"/>
        </w:rPr>
        <w:t>V</w:t>
      </w:r>
    </w:p>
    <w:p w14:paraId="1AAB91F5" w14:textId="5173552B"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In this regard</w:t>
      </w:r>
      <w:r w:rsidR="007233DB">
        <w:rPr>
          <w:rFonts w:ascii="Arial" w:hAnsi="Arial" w:cs="Arial"/>
          <w:sz w:val="24"/>
          <w:szCs w:val="24"/>
        </w:rPr>
        <w:t>,</w:t>
      </w:r>
      <w:r w:rsidRPr="00CB55F1">
        <w:rPr>
          <w:rFonts w:ascii="Arial" w:hAnsi="Arial" w:cs="Arial"/>
          <w:sz w:val="24"/>
          <w:szCs w:val="24"/>
        </w:rPr>
        <w:t xml:space="preserve"> criminology does usefully provide ‘labels’ to attach to what has interested crime historians and what has not. However, in suggesting that crime historians have not placed much emphasis on deviance not fitting the conventional crime paradigm, it is also significant that criminology is itself criticised for being far too concerned with crimes associated with persons from lower social orders. Moreover, this criticism has come from within criminology </w:t>
      </w:r>
      <w:r w:rsidRPr="00CB55F1">
        <w:rPr>
          <w:rFonts w:ascii="Arial" w:hAnsi="Arial" w:cs="Arial"/>
          <w:i/>
          <w:sz w:val="24"/>
          <w:szCs w:val="24"/>
        </w:rPr>
        <w:t>itself</w:t>
      </w:r>
      <w:r w:rsidRPr="00CB55F1">
        <w:rPr>
          <w:rFonts w:ascii="Arial" w:hAnsi="Arial" w:cs="Arial"/>
          <w:sz w:val="24"/>
          <w:szCs w:val="24"/>
        </w:rPr>
        <w:t xml:space="preserve">, and subsists notwithstanding that there </w:t>
      </w:r>
      <w:r w:rsidRPr="00CB55F1">
        <w:rPr>
          <w:rFonts w:ascii="Arial" w:hAnsi="Arial" w:cs="Arial"/>
          <w:i/>
          <w:sz w:val="24"/>
          <w:szCs w:val="24"/>
        </w:rPr>
        <w:t xml:space="preserve">is </w:t>
      </w:r>
      <w:r w:rsidRPr="00CB55F1">
        <w:rPr>
          <w:rFonts w:ascii="Arial" w:hAnsi="Arial" w:cs="Arial"/>
          <w:sz w:val="24"/>
          <w:szCs w:val="24"/>
        </w:rPr>
        <w:t xml:space="preserve">a sizeable criminology of white-collar crime. It has been suggested that criminologists’ (continuing) disproportionate concern with ordinary deviance runs contrary to the comparatively low costs to society arising from such activities, and </w:t>
      </w:r>
      <w:r w:rsidRPr="00CB55F1">
        <w:rPr>
          <w:rFonts w:ascii="Arial" w:hAnsi="Arial" w:cs="Arial"/>
          <w:sz w:val="24"/>
          <w:szCs w:val="24"/>
        </w:rPr>
        <w:lastRenderedPageBreak/>
        <w:t>helps to reinforce an embedded reluctance to recognise the very significant social harm arising from crimes emanating from business sectors.</w:t>
      </w:r>
      <w:r w:rsidRPr="00CB55F1">
        <w:rPr>
          <w:rStyle w:val="EndnoteReference"/>
          <w:rFonts w:ascii="Arial" w:hAnsi="Arial" w:cs="Arial"/>
          <w:sz w:val="24"/>
          <w:szCs w:val="24"/>
        </w:rPr>
        <w:endnoteReference w:id="81"/>
      </w:r>
      <w:r w:rsidRPr="00CB55F1">
        <w:rPr>
          <w:rFonts w:ascii="Arial" w:hAnsi="Arial" w:cs="Arial"/>
          <w:sz w:val="24"/>
          <w:szCs w:val="24"/>
        </w:rPr>
        <w:t xml:space="preserve"> Whilst it is the case thus that even criminologists are said to require encouragement to focus more extensively on financial crime, it is also </w:t>
      </w:r>
      <w:r w:rsidR="007233DB">
        <w:rPr>
          <w:rFonts w:ascii="Arial" w:hAnsi="Arial" w:cs="Arial"/>
          <w:sz w:val="24"/>
          <w:szCs w:val="24"/>
        </w:rPr>
        <w:t>true</w:t>
      </w:r>
      <w:r w:rsidRPr="00CB55F1">
        <w:rPr>
          <w:rFonts w:ascii="Arial" w:hAnsi="Arial" w:cs="Arial"/>
          <w:sz w:val="24"/>
          <w:szCs w:val="24"/>
        </w:rPr>
        <w:t xml:space="preserve"> that the criminology of white-collar crime is invaluable for opening up channels for crime historians. This can be illustrated through case studies arising from the ‘inauguration, development, and rapid progress’ of ‘High art’ crime.</w:t>
      </w:r>
      <w:r w:rsidRPr="00CB55F1">
        <w:rPr>
          <w:rFonts w:ascii="Arial" w:hAnsi="Arial" w:cs="Arial"/>
          <w:sz w:val="24"/>
          <w:szCs w:val="24"/>
          <w:vertAlign w:val="superscript"/>
        </w:rPr>
        <w:endnoteReference w:id="82"/>
      </w:r>
    </w:p>
    <w:p w14:paraId="430B159B" w14:textId="77777777" w:rsidR="00CB55F1" w:rsidRPr="00CB55F1" w:rsidRDefault="00CB55F1" w:rsidP="00CB55F1">
      <w:pPr>
        <w:spacing w:after="0" w:line="480" w:lineRule="auto"/>
        <w:jc w:val="both"/>
        <w:rPr>
          <w:rFonts w:ascii="Arial" w:hAnsi="Arial" w:cs="Arial"/>
          <w:sz w:val="24"/>
          <w:szCs w:val="24"/>
        </w:rPr>
      </w:pPr>
    </w:p>
    <w:p w14:paraId="1B48BE97" w14:textId="0E5FD779" w:rsidR="00CB55F1" w:rsidRPr="00CB55F1" w:rsidRDefault="00CB55F1" w:rsidP="00CB55F1">
      <w:pPr>
        <w:spacing w:after="0" w:line="480" w:lineRule="auto"/>
        <w:jc w:val="both"/>
        <w:rPr>
          <w:rFonts w:ascii="Arial" w:hAnsi="Arial" w:cs="Arial"/>
          <w:bCs/>
          <w:sz w:val="24"/>
          <w:szCs w:val="24"/>
        </w:rPr>
      </w:pPr>
      <w:r w:rsidRPr="00CB55F1">
        <w:rPr>
          <w:rFonts w:ascii="Arial" w:hAnsi="Arial" w:cs="Arial"/>
          <w:sz w:val="24"/>
          <w:szCs w:val="24"/>
        </w:rPr>
        <w:t>Whilst many works within white-collar criminology do acknowledge that it predates the twentieth century, the</w:t>
      </w:r>
      <w:r w:rsidRPr="00CB55F1">
        <w:rPr>
          <w:rFonts w:ascii="Arial" w:hAnsi="Arial" w:cs="Arial"/>
          <w:i/>
          <w:sz w:val="24"/>
          <w:szCs w:val="24"/>
        </w:rPr>
        <w:t xml:space="preserve"> phenomena</w:t>
      </w:r>
      <w:r w:rsidRPr="00CB55F1">
        <w:rPr>
          <w:rFonts w:ascii="Arial" w:hAnsi="Arial" w:cs="Arial"/>
          <w:sz w:val="24"/>
          <w:szCs w:val="24"/>
        </w:rPr>
        <w:t xml:space="preserve"> of white-collar crime is strongly associated with this point in time. As well as </w:t>
      </w:r>
      <w:r w:rsidR="007233DB">
        <w:rPr>
          <w:rFonts w:ascii="Arial" w:hAnsi="Arial" w:cs="Arial"/>
          <w:sz w:val="24"/>
          <w:szCs w:val="24"/>
        </w:rPr>
        <w:t xml:space="preserve">this </w:t>
      </w:r>
      <w:r w:rsidRPr="00CB55F1">
        <w:rPr>
          <w:rFonts w:ascii="Arial" w:hAnsi="Arial" w:cs="Arial"/>
          <w:sz w:val="24"/>
          <w:szCs w:val="24"/>
        </w:rPr>
        <w:t xml:space="preserve">being on account of criminology’s strongly chronocentric and presentist tendencies, </w:t>
      </w:r>
      <w:r w:rsidR="007233DB">
        <w:rPr>
          <w:rFonts w:ascii="Arial" w:hAnsi="Arial" w:cs="Arial"/>
          <w:sz w:val="24"/>
          <w:szCs w:val="24"/>
        </w:rPr>
        <w:t>it</w:t>
      </w:r>
      <w:r w:rsidR="007233DB" w:rsidRPr="00CB55F1">
        <w:rPr>
          <w:rFonts w:ascii="Arial" w:hAnsi="Arial" w:cs="Arial"/>
          <w:sz w:val="24"/>
          <w:szCs w:val="24"/>
        </w:rPr>
        <w:t xml:space="preserve"> </w:t>
      </w:r>
      <w:r w:rsidRPr="00CB55F1">
        <w:rPr>
          <w:rFonts w:ascii="Arial" w:hAnsi="Arial" w:cs="Arial"/>
          <w:sz w:val="24"/>
          <w:szCs w:val="24"/>
        </w:rPr>
        <w:t xml:space="preserve">is also linked with Edwin Sutherland’s ground-breaking work. This arose from Sutherland’s contention that neither Marxist nor traditional criminology- attributing crime respectively to class conflict and poverty and social dysfunction- could account satisfactorily for unlawful acts committed by respectable persons in the pursuit of their occupations, which </w:t>
      </w:r>
      <w:r w:rsidR="007233DB" w:rsidRPr="00CB55F1">
        <w:rPr>
          <w:rFonts w:ascii="Arial" w:hAnsi="Arial" w:cs="Arial"/>
          <w:i/>
          <w:sz w:val="24"/>
          <w:szCs w:val="24"/>
        </w:rPr>
        <w:t>were</w:t>
      </w:r>
      <w:r w:rsidR="007233DB" w:rsidRPr="00CB55F1">
        <w:rPr>
          <w:rFonts w:ascii="Arial" w:hAnsi="Arial" w:cs="Arial"/>
          <w:sz w:val="24"/>
          <w:szCs w:val="24"/>
        </w:rPr>
        <w:t xml:space="preserve"> </w:t>
      </w:r>
      <w:r w:rsidRPr="00CB55F1">
        <w:rPr>
          <w:rFonts w:ascii="Arial" w:hAnsi="Arial" w:cs="Arial"/>
          <w:sz w:val="24"/>
          <w:szCs w:val="24"/>
        </w:rPr>
        <w:t xml:space="preserve">either criminal activities or </w:t>
      </w:r>
      <w:r w:rsidRPr="00CB55F1">
        <w:rPr>
          <w:rFonts w:ascii="Arial" w:hAnsi="Arial" w:cs="Arial"/>
          <w:i/>
          <w:sz w:val="24"/>
          <w:szCs w:val="24"/>
        </w:rPr>
        <w:t xml:space="preserve">should </w:t>
      </w:r>
      <w:r w:rsidRPr="00CB55F1">
        <w:rPr>
          <w:rFonts w:ascii="Arial" w:hAnsi="Arial" w:cs="Arial"/>
          <w:sz w:val="24"/>
          <w:szCs w:val="24"/>
        </w:rPr>
        <w:t>be. For Sutherland</w:t>
      </w:r>
      <w:r w:rsidR="007233DB">
        <w:rPr>
          <w:rFonts w:ascii="Arial" w:hAnsi="Arial" w:cs="Arial"/>
          <w:sz w:val="24"/>
          <w:szCs w:val="24"/>
        </w:rPr>
        <w:t>,</w:t>
      </w:r>
      <w:r w:rsidRPr="00CB55F1">
        <w:rPr>
          <w:rFonts w:ascii="Arial" w:hAnsi="Arial" w:cs="Arial"/>
          <w:sz w:val="24"/>
          <w:szCs w:val="24"/>
        </w:rPr>
        <w:t xml:space="preserve"> equality before the law required this type of deviance to be analysed and enforced alongside other more usual types within a ‘unified criminological theory’</w:t>
      </w:r>
      <w:r w:rsidR="007233DB">
        <w:rPr>
          <w:rFonts w:ascii="Arial" w:hAnsi="Arial" w:cs="Arial"/>
          <w:sz w:val="24"/>
          <w:szCs w:val="24"/>
        </w:rPr>
        <w:t>.</w:t>
      </w:r>
      <w:r w:rsidRPr="00CB55F1">
        <w:rPr>
          <w:rStyle w:val="EndnoteReference"/>
          <w:rFonts w:ascii="Arial" w:hAnsi="Arial" w:cs="Arial"/>
          <w:sz w:val="24"/>
          <w:szCs w:val="24"/>
        </w:rPr>
        <w:endnoteReference w:id="83"/>
      </w:r>
      <w:r w:rsidRPr="00CB55F1">
        <w:rPr>
          <w:rFonts w:ascii="Arial" w:hAnsi="Arial" w:cs="Arial"/>
          <w:sz w:val="24"/>
          <w:szCs w:val="24"/>
        </w:rPr>
        <w:t xml:space="preserve"> </w:t>
      </w:r>
      <w:r w:rsidR="007233DB">
        <w:rPr>
          <w:rFonts w:ascii="Arial" w:hAnsi="Arial" w:cs="Arial"/>
          <w:sz w:val="24"/>
          <w:szCs w:val="24"/>
        </w:rPr>
        <w:t>Yet at the same time,</w:t>
      </w:r>
      <w:r w:rsidR="007233DB" w:rsidRPr="00CB55F1">
        <w:rPr>
          <w:rFonts w:ascii="Arial" w:hAnsi="Arial" w:cs="Arial"/>
          <w:sz w:val="24"/>
          <w:szCs w:val="24"/>
        </w:rPr>
        <w:t xml:space="preserve"> </w:t>
      </w:r>
      <w:r w:rsidRPr="00CB55F1">
        <w:rPr>
          <w:rFonts w:ascii="Arial" w:hAnsi="Arial" w:cs="Arial"/>
          <w:sz w:val="24"/>
          <w:szCs w:val="24"/>
        </w:rPr>
        <w:t>he appreciated that obstacles to this were considerable. For as long as business people did not ‘</w:t>
      </w:r>
      <w:r w:rsidRPr="00CB55F1">
        <w:rPr>
          <w:rFonts w:ascii="Arial" w:hAnsi="Arial" w:cs="Arial"/>
          <w:bCs/>
          <w:sz w:val="24"/>
          <w:szCs w:val="24"/>
        </w:rPr>
        <w:t>conform to the popular stereotype of “the criminal”’,</w:t>
      </w:r>
      <w:r w:rsidRPr="00CB55F1">
        <w:rPr>
          <w:rFonts w:ascii="Arial" w:hAnsi="Arial" w:cs="Arial"/>
          <w:bCs/>
          <w:sz w:val="24"/>
          <w:szCs w:val="24"/>
          <w:vertAlign w:val="superscript"/>
        </w:rPr>
        <w:endnoteReference w:id="84"/>
      </w:r>
      <w:r w:rsidRPr="00CB55F1">
        <w:rPr>
          <w:rFonts w:ascii="Arial" w:hAnsi="Arial" w:cs="Arial"/>
          <w:bCs/>
          <w:sz w:val="24"/>
          <w:szCs w:val="24"/>
        </w:rPr>
        <w:t xml:space="preserve"> generating effective criminal responses to their deviance would remain problematic, on account of circular relationships subsisting between law enforcement and social mores.</w:t>
      </w:r>
      <w:r w:rsidRPr="00CB55F1">
        <w:rPr>
          <w:rStyle w:val="EndnoteReference"/>
          <w:rFonts w:ascii="Arial" w:hAnsi="Arial" w:cs="Arial"/>
          <w:bCs/>
          <w:sz w:val="24"/>
          <w:szCs w:val="24"/>
        </w:rPr>
        <w:endnoteReference w:id="85"/>
      </w:r>
      <w:r w:rsidRPr="00CB55F1">
        <w:rPr>
          <w:rFonts w:ascii="Arial" w:hAnsi="Arial" w:cs="Arial"/>
          <w:bCs/>
          <w:sz w:val="24"/>
          <w:szCs w:val="24"/>
        </w:rPr>
        <w:t xml:space="preserve"> </w:t>
      </w:r>
    </w:p>
    <w:p w14:paraId="50C4742E" w14:textId="77777777" w:rsidR="00CB55F1" w:rsidRPr="00CB55F1" w:rsidRDefault="00CB55F1" w:rsidP="00CB55F1">
      <w:pPr>
        <w:spacing w:after="0" w:line="480" w:lineRule="auto"/>
        <w:jc w:val="both"/>
        <w:rPr>
          <w:rFonts w:ascii="Arial" w:hAnsi="Arial" w:cs="Arial"/>
          <w:bCs/>
          <w:sz w:val="24"/>
          <w:szCs w:val="24"/>
        </w:rPr>
      </w:pPr>
    </w:p>
    <w:p w14:paraId="1BA9F3F0" w14:textId="0DDA00D8" w:rsidR="00CB55F1" w:rsidRPr="00CB55F1" w:rsidRDefault="00CB55F1" w:rsidP="00CB55F1">
      <w:pPr>
        <w:spacing w:after="0" w:line="480" w:lineRule="auto"/>
        <w:jc w:val="both"/>
        <w:rPr>
          <w:rFonts w:ascii="Arial" w:hAnsi="Arial" w:cs="Arial"/>
          <w:sz w:val="24"/>
          <w:szCs w:val="24"/>
        </w:rPr>
      </w:pPr>
      <w:r w:rsidRPr="00CB55F1">
        <w:rPr>
          <w:rFonts w:ascii="Arial" w:hAnsi="Arial" w:cs="Arial"/>
          <w:bCs/>
          <w:sz w:val="24"/>
          <w:szCs w:val="24"/>
        </w:rPr>
        <w:lastRenderedPageBreak/>
        <w:t xml:space="preserve">Seventy five years later, Sutherland’s work continues to inspire criminologists and also divide them, with this very effectively captured in the seminal construct of ‘crime of ambiguity’, and acceptance that </w:t>
      </w:r>
      <w:r w:rsidRPr="00CB55F1">
        <w:rPr>
          <w:rFonts w:ascii="Arial" w:hAnsi="Arial" w:cs="Arial"/>
          <w:sz w:val="24"/>
          <w:szCs w:val="24"/>
        </w:rPr>
        <w:t>‘distinctiveness’ surrounds how white-collar crimes are perceived and perhaps especially ‘enforced’</w:t>
      </w:r>
      <w:r w:rsidR="007233DB">
        <w:rPr>
          <w:rFonts w:ascii="Arial" w:hAnsi="Arial" w:cs="Arial"/>
          <w:sz w:val="24"/>
          <w:szCs w:val="24"/>
        </w:rPr>
        <w:t>,</w:t>
      </w:r>
      <w:r w:rsidRPr="00CB55F1">
        <w:rPr>
          <w:rFonts w:ascii="Arial" w:hAnsi="Arial" w:cs="Arial"/>
          <w:sz w:val="24"/>
          <w:szCs w:val="24"/>
        </w:rPr>
        <w:t xml:space="preserve"> continues to prevail amongst scholars, legal system actors and policymakers. What is contentious is whether this</w:t>
      </w:r>
      <w:r w:rsidRPr="00CB55F1">
        <w:rPr>
          <w:rFonts w:ascii="Arial" w:hAnsi="Arial" w:cs="Arial"/>
          <w:i/>
          <w:sz w:val="24"/>
          <w:szCs w:val="24"/>
        </w:rPr>
        <w:t xml:space="preserve"> should</w:t>
      </w:r>
      <w:r w:rsidRPr="00CB55F1">
        <w:rPr>
          <w:rFonts w:ascii="Arial" w:hAnsi="Arial" w:cs="Arial"/>
          <w:sz w:val="24"/>
          <w:szCs w:val="24"/>
        </w:rPr>
        <w:t xml:space="preserve"> happen with wide disagreement evident on whether financial crimes are </w:t>
      </w:r>
      <w:r w:rsidRPr="00CB55F1">
        <w:rPr>
          <w:rFonts w:ascii="Arial" w:hAnsi="Arial" w:cs="Arial"/>
          <w:i/>
          <w:sz w:val="24"/>
          <w:szCs w:val="24"/>
        </w:rPr>
        <w:t>qualitatively</w:t>
      </w:r>
      <w:r w:rsidRPr="00CB55F1">
        <w:rPr>
          <w:rFonts w:ascii="Arial" w:hAnsi="Arial" w:cs="Arial"/>
          <w:sz w:val="24"/>
          <w:szCs w:val="24"/>
        </w:rPr>
        <w:t xml:space="preserve"> different from other types, or whether alleged distinctiveness is instead socially constructed and reinforces </w:t>
      </w:r>
      <w:r w:rsidRPr="00CB55F1">
        <w:rPr>
          <w:rFonts w:ascii="Arial" w:hAnsi="Arial" w:cs="Arial"/>
          <w:i/>
          <w:sz w:val="24"/>
          <w:szCs w:val="24"/>
        </w:rPr>
        <w:t>perceptual</w:t>
      </w:r>
      <w:r w:rsidRPr="00CB55F1">
        <w:rPr>
          <w:rFonts w:ascii="Arial" w:hAnsi="Arial" w:cs="Arial"/>
          <w:sz w:val="24"/>
          <w:szCs w:val="24"/>
        </w:rPr>
        <w:t xml:space="preserve"> differences.</w:t>
      </w:r>
      <w:r w:rsidRPr="00CB55F1">
        <w:rPr>
          <w:rFonts w:ascii="Arial" w:hAnsi="Arial" w:cs="Arial"/>
          <w:sz w:val="24"/>
          <w:szCs w:val="24"/>
          <w:vertAlign w:val="superscript"/>
        </w:rPr>
        <w:endnoteReference w:id="86"/>
      </w:r>
      <w:r w:rsidRPr="00CB55F1">
        <w:rPr>
          <w:rFonts w:ascii="Arial" w:hAnsi="Arial" w:cs="Arial"/>
          <w:sz w:val="24"/>
          <w:szCs w:val="24"/>
        </w:rPr>
        <w:t xml:space="preserve"> In seeking to explore the complexities surrounding views that financial crimes are seen to lack </w:t>
      </w:r>
      <w:r w:rsidRPr="00CB55F1">
        <w:rPr>
          <w:rFonts w:ascii="Arial" w:hAnsi="Arial" w:cs="Arial"/>
          <w:bCs/>
          <w:sz w:val="24"/>
          <w:szCs w:val="24"/>
        </w:rPr>
        <w:t>‘immediate moral outrage’ associated with many crimes,</w:t>
      </w:r>
      <w:r w:rsidRPr="00CB55F1">
        <w:rPr>
          <w:rFonts w:ascii="Arial" w:hAnsi="Arial" w:cs="Arial"/>
          <w:bCs/>
          <w:sz w:val="24"/>
          <w:szCs w:val="24"/>
          <w:vertAlign w:val="superscript"/>
        </w:rPr>
        <w:endnoteReference w:id="87"/>
      </w:r>
      <w:r w:rsidRPr="00CB55F1">
        <w:rPr>
          <w:rFonts w:ascii="Arial" w:hAnsi="Arial" w:cs="Arial"/>
          <w:bCs/>
          <w:sz w:val="24"/>
          <w:szCs w:val="24"/>
        </w:rPr>
        <w:t xml:space="preserve"> case studies are able to show that </w:t>
      </w:r>
      <w:r w:rsidR="007233DB">
        <w:rPr>
          <w:rFonts w:ascii="Arial" w:hAnsi="Arial" w:cs="Arial"/>
          <w:bCs/>
          <w:sz w:val="24"/>
          <w:szCs w:val="24"/>
        </w:rPr>
        <w:t>even</w:t>
      </w:r>
      <w:r w:rsidRPr="00CB55F1">
        <w:rPr>
          <w:rFonts w:ascii="Arial" w:hAnsi="Arial" w:cs="Arial"/>
          <w:bCs/>
          <w:sz w:val="24"/>
          <w:szCs w:val="24"/>
        </w:rPr>
        <w:t xml:space="preserve"> seventy five years earlier than Sutherland,</w:t>
      </w:r>
      <w:r w:rsidRPr="00CB55F1">
        <w:rPr>
          <w:rFonts w:ascii="Arial" w:hAnsi="Arial" w:cs="Arial"/>
          <w:sz w:val="24"/>
          <w:szCs w:val="24"/>
        </w:rPr>
        <w:t xml:space="preserve"> connections immortalised by him between status and class, business and criminality were becoming embedded into British psyche through revelations of ‘ingenious crime’ which could ‘only be perpetrated by business men’.</w:t>
      </w:r>
      <w:r w:rsidR="00901B21">
        <w:rPr>
          <w:rStyle w:val="EndnoteReference"/>
          <w:rFonts w:ascii="Arial" w:hAnsi="Arial" w:cs="Arial"/>
          <w:sz w:val="24"/>
          <w:szCs w:val="24"/>
        </w:rPr>
        <w:endnoteReference w:id="88"/>
      </w:r>
    </w:p>
    <w:p w14:paraId="61FFEEE4" w14:textId="77777777" w:rsidR="00CB55F1" w:rsidRPr="00CB55F1" w:rsidRDefault="00CB55F1" w:rsidP="00CB55F1">
      <w:pPr>
        <w:spacing w:after="0" w:line="480" w:lineRule="auto"/>
        <w:jc w:val="both"/>
        <w:rPr>
          <w:rFonts w:ascii="Arial" w:hAnsi="Arial" w:cs="Arial"/>
          <w:sz w:val="24"/>
          <w:szCs w:val="24"/>
        </w:rPr>
      </w:pPr>
    </w:p>
    <w:p w14:paraId="327C7D37" w14:textId="77F68021"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Much contemporary comment suggests that for those bearing witness to activities termed ‘’High Art’ crime’ and also ‘commercial crime’ and even ‘financial crime’</w:t>
      </w:r>
      <w:r w:rsidR="007233DB">
        <w:rPr>
          <w:rFonts w:ascii="Arial" w:hAnsi="Arial" w:cs="Arial"/>
          <w:sz w:val="24"/>
          <w:szCs w:val="24"/>
        </w:rPr>
        <w:t>,</w:t>
      </w:r>
      <w:r w:rsidRPr="00CB55F1">
        <w:rPr>
          <w:rStyle w:val="EndnoteReference"/>
          <w:rFonts w:ascii="Arial" w:hAnsi="Arial" w:cs="Arial"/>
          <w:sz w:val="24"/>
          <w:szCs w:val="24"/>
        </w:rPr>
        <w:endnoteReference w:id="89"/>
      </w:r>
      <w:r w:rsidRPr="00CB55F1">
        <w:rPr>
          <w:rFonts w:ascii="Arial" w:hAnsi="Arial" w:cs="Arial"/>
          <w:sz w:val="24"/>
          <w:szCs w:val="24"/>
        </w:rPr>
        <w:t xml:space="preserve"> this amounted to an entirely new alliance forged between dishonesty and financial sophistication whereby ‘without any great violence, all the incentives to commercial crime may be brought under the one common rubric – the desire to make money easily and in a hurry’.</w:t>
      </w:r>
      <w:r w:rsidRPr="00CB55F1">
        <w:rPr>
          <w:rStyle w:val="EndnoteReference"/>
          <w:rFonts w:ascii="Arial" w:hAnsi="Arial" w:cs="Arial"/>
          <w:sz w:val="24"/>
          <w:szCs w:val="24"/>
        </w:rPr>
        <w:endnoteReference w:id="90"/>
      </w:r>
      <w:r w:rsidRPr="00CB55F1">
        <w:rPr>
          <w:rFonts w:ascii="Arial" w:hAnsi="Arial" w:cs="Arial"/>
          <w:sz w:val="24"/>
          <w:szCs w:val="24"/>
        </w:rPr>
        <w:t xml:space="preserve"> This unified the unlawfulness of the apprentice robbing a few shillings from his employer or master, and also the gigantic forger and swindlers of the age, as well as the ‘reckless speculator’ who ‘would risk everything in the hope of sudden gain, rather than toil safely and laboriously for a distant reward’ but who whilst naturally eschewing wrong-doing would move ever closer to this in the face of adverse fortune.</w:t>
      </w:r>
      <w:r w:rsidRPr="00CB55F1">
        <w:rPr>
          <w:rStyle w:val="EndnoteReference"/>
          <w:rFonts w:ascii="Arial" w:hAnsi="Arial" w:cs="Arial"/>
          <w:sz w:val="24"/>
          <w:szCs w:val="24"/>
        </w:rPr>
        <w:endnoteReference w:id="91"/>
      </w:r>
      <w:r w:rsidRPr="00CB55F1">
        <w:rPr>
          <w:rFonts w:ascii="Arial" w:hAnsi="Arial" w:cs="Arial"/>
          <w:sz w:val="24"/>
          <w:szCs w:val="24"/>
        </w:rPr>
        <w:t xml:space="preserve"> </w:t>
      </w:r>
      <w:r w:rsidRPr="00CB55F1">
        <w:rPr>
          <w:rFonts w:ascii="Arial" w:hAnsi="Arial" w:cs="Arial"/>
          <w:sz w:val="24"/>
          <w:szCs w:val="24"/>
        </w:rPr>
        <w:lastRenderedPageBreak/>
        <w:t xml:space="preserve">In acknowledging </w:t>
      </w:r>
      <w:r w:rsidR="007233DB">
        <w:rPr>
          <w:rFonts w:ascii="Arial" w:hAnsi="Arial" w:cs="Arial"/>
          <w:sz w:val="24"/>
          <w:szCs w:val="24"/>
        </w:rPr>
        <w:t xml:space="preserve">the </w:t>
      </w:r>
      <w:r w:rsidRPr="00CB55F1">
        <w:rPr>
          <w:rFonts w:ascii="Arial" w:hAnsi="Arial" w:cs="Arial"/>
          <w:sz w:val="24"/>
          <w:szCs w:val="24"/>
        </w:rPr>
        <w:t>contemporary suggestion that the ‘modern age’ of speculation marked by the 1840s railway boom had concretised the seriousness of impropriety in financial dealings,</w:t>
      </w:r>
      <w:r w:rsidRPr="00CB55F1">
        <w:rPr>
          <w:rStyle w:val="EndnoteReference"/>
          <w:rFonts w:ascii="Arial" w:hAnsi="Arial" w:cs="Arial"/>
          <w:sz w:val="24"/>
          <w:szCs w:val="24"/>
        </w:rPr>
        <w:endnoteReference w:id="92"/>
      </w:r>
      <w:r w:rsidRPr="00CB55F1">
        <w:rPr>
          <w:rFonts w:ascii="Arial" w:hAnsi="Arial" w:cs="Arial"/>
          <w:sz w:val="24"/>
          <w:szCs w:val="24"/>
        </w:rPr>
        <w:t xml:space="preserve"> Victorian reactions to impropriety can be seen as swift and determined</w:t>
      </w:r>
      <w:r w:rsidR="00065227">
        <w:rPr>
          <w:rFonts w:ascii="Arial" w:hAnsi="Arial" w:cs="Arial"/>
          <w:sz w:val="24"/>
          <w:szCs w:val="24"/>
        </w:rPr>
        <w:t xml:space="preserve">, notwithstanding </w:t>
      </w:r>
      <w:r w:rsidR="00BF142F">
        <w:rPr>
          <w:rFonts w:ascii="Arial" w:hAnsi="Arial" w:cs="Arial"/>
          <w:sz w:val="24"/>
          <w:szCs w:val="24"/>
        </w:rPr>
        <w:t xml:space="preserve">a </w:t>
      </w:r>
      <w:r w:rsidR="00065227">
        <w:rPr>
          <w:rFonts w:ascii="Arial" w:hAnsi="Arial" w:cs="Arial"/>
          <w:sz w:val="24"/>
          <w:szCs w:val="24"/>
        </w:rPr>
        <w:t>dominant tr</w:t>
      </w:r>
      <w:r w:rsidR="00BF142F">
        <w:rPr>
          <w:rFonts w:ascii="Arial" w:hAnsi="Arial" w:cs="Arial"/>
          <w:sz w:val="24"/>
          <w:szCs w:val="24"/>
        </w:rPr>
        <w:t xml:space="preserve">end within the sparse historiography regarding </w:t>
      </w:r>
      <w:r w:rsidR="00065227">
        <w:rPr>
          <w:rFonts w:ascii="Arial" w:hAnsi="Arial" w:cs="Arial"/>
          <w:sz w:val="24"/>
          <w:szCs w:val="24"/>
        </w:rPr>
        <w:t>Victorian Britain as a ‘haven’ for white-collar criminals</w:t>
      </w:r>
      <w:r w:rsidRPr="00CB55F1">
        <w:rPr>
          <w:rFonts w:ascii="Arial" w:hAnsi="Arial" w:cs="Arial"/>
          <w:sz w:val="24"/>
          <w:szCs w:val="24"/>
        </w:rPr>
        <w:t>.</w:t>
      </w:r>
      <w:r w:rsidR="00065227">
        <w:rPr>
          <w:rStyle w:val="EndnoteReference"/>
          <w:rFonts w:ascii="Arial" w:hAnsi="Arial" w:cs="Arial"/>
          <w:sz w:val="24"/>
          <w:szCs w:val="24"/>
        </w:rPr>
        <w:endnoteReference w:id="93"/>
      </w:r>
      <w:r w:rsidRPr="00CB55F1">
        <w:rPr>
          <w:rFonts w:ascii="Arial" w:hAnsi="Arial" w:cs="Arial"/>
          <w:sz w:val="24"/>
          <w:szCs w:val="24"/>
        </w:rPr>
        <w:t xml:space="preserve"> In the very early aftermath of the boom</w:t>
      </w:r>
      <w:r w:rsidR="007233DB">
        <w:rPr>
          <w:rFonts w:ascii="Arial" w:hAnsi="Arial" w:cs="Arial"/>
          <w:sz w:val="24"/>
          <w:szCs w:val="24"/>
        </w:rPr>
        <w:t>,</w:t>
      </w:r>
      <w:r w:rsidRPr="00CB55F1">
        <w:rPr>
          <w:rFonts w:ascii="Arial" w:hAnsi="Arial" w:cs="Arial"/>
          <w:sz w:val="24"/>
          <w:szCs w:val="24"/>
        </w:rPr>
        <w:t xml:space="preserve"> many company directors found their conduct being investigated with a view to bringing criminal charges as early as 1846.</w:t>
      </w:r>
      <w:r w:rsidRPr="00CB55F1">
        <w:rPr>
          <w:rFonts w:ascii="Arial" w:hAnsi="Arial" w:cs="Arial"/>
          <w:sz w:val="24"/>
          <w:szCs w:val="24"/>
          <w:vertAlign w:val="superscript"/>
        </w:rPr>
        <w:endnoteReference w:id="94"/>
      </w:r>
      <w:r w:rsidRPr="00CB55F1">
        <w:rPr>
          <w:rFonts w:ascii="Arial" w:hAnsi="Arial" w:cs="Arial"/>
          <w:sz w:val="24"/>
          <w:szCs w:val="24"/>
        </w:rPr>
        <w:t xml:space="preserve"> By the early 1850s, the move from ‘from toleration to criminalisation’</w:t>
      </w:r>
      <w:r w:rsidRPr="00CB55F1">
        <w:rPr>
          <w:rStyle w:val="EndnoteReference"/>
          <w:rFonts w:ascii="Arial" w:hAnsi="Arial" w:cs="Arial"/>
          <w:sz w:val="24"/>
          <w:szCs w:val="24"/>
        </w:rPr>
        <w:endnoteReference w:id="95"/>
      </w:r>
      <w:r w:rsidRPr="00CB55F1">
        <w:rPr>
          <w:rFonts w:ascii="Arial" w:hAnsi="Arial" w:cs="Arial"/>
          <w:sz w:val="24"/>
          <w:szCs w:val="24"/>
        </w:rPr>
        <w:t>was firmly in place</w:t>
      </w:r>
      <w:r w:rsidR="007233DB">
        <w:rPr>
          <w:rFonts w:ascii="Arial" w:hAnsi="Arial" w:cs="Arial"/>
          <w:sz w:val="24"/>
          <w:szCs w:val="24"/>
        </w:rPr>
        <w:t>. This was</w:t>
      </w:r>
      <w:r w:rsidRPr="00CB55F1">
        <w:rPr>
          <w:rFonts w:ascii="Arial" w:hAnsi="Arial" w:cs="Arial"/>
          <w:sz w:val="24"/>
          <w:szCs w:val="24"/>
        </w:rPr>
        <w:t xml:space="preserve"> readily apparent in legislation, with the Punishment of Frauds Act 1857 seeking to classify a ‘broad spectrum ... of actions’ exhibiting ‘varying degrees of intent ... and wrongfulness’.</w:t>
      </w:r>
      <w:r w:rsidRPr="00CB55F1">
        <w:rPr>
          <w:rFonts w:ascii="Arial" w:hAnsi="Arial" w:cs="Arial"/>
          <w:sz w:val="24"/>
          <w:szCs w:val="24"/>
          <w:vertAlign w:val="superscript"/>
        </w:rPr>
        <w:endnoteReference w:id="96"/>
      </w:r>
      <w:r w:rsidRPr="00CB55F1">
        <w:rPr>
          <w:rFonts w:ascii="Arial" w:hAnsi="Arial" w:cs="Arial"/>
          <w:sz w:val="24"/>
          <w:szCs w:val="24"/>
        </w:rPr>
        <w:t xml:space="preserve"> Earlier still than this</w:t>
      </w:r>
      <w:r w:rsidR="007233DB">
        <w:rPr>
          <w:rFonts w:ascii="Arial" w:hAnsi="Arial" w:cs="Arial"/>
          <w:sz w:val="24"/>
          <w:szCs w:val="24"/>
        </w:rPr>
        <w:t>,</w:t>
      </w:r>
      <w:r w:rsidRPr="00CB55F1">
        <w:rPr>
          <w:rFonts w:ascii="Arial" w:hAnsi="Arial" w:cs="Arial"/>
          <w:sz w:val="24"/>
          <w:szCs w:val="24"/>
        </w:rPr>
        <w:t xml:space="preserve"> willingness to respond to the ‘bad, moral atmosphere’</w:t>
      </w:r>
      <w:r w:rsidRPr="00CB55F1">
        <w:rPr>
          <w:rFonts w:ascii="Arial" w:hAnsi="Arial" w:cs="Arial"/>
          <w:sz w:val="24"/>
          <w:szCs w:val="24"/>
          <w:vertAlign w:val="superscript"/>
        </w:rPr>
        <w:endnoteReference w:id="97"/>
      </w:r>
      <w:r w:rsidRPr="00CB55F1">
        <w:rPr>
          <w:rFonts w:ascii="Arial" w:hAnsi="Arial" w:cs="Arial"/>
          <w:sz w:val="24"/>
          <w:szCs w:val="24"/>
        </w:rPr>
        <w:t xml:space="preserve"> manifested in wrong-doing in business with </w:t>
      </w:r>
      <w:r w:rsidRPr="00CB55F1">
        <w:rPr>
          <w:rFonts w:ascii="Arial" w:hAnsi="Arial" w:cs="Arial"/>
          <w:i/>
          <w:sz w:val="24"/>
          <w:szCs w:val="24"/>
        </w:rPr>
        <w:t>criminal</w:t>
      </w:r>
      <w:r w:rsidRPr="00CB55F1">
        <w:rPr>
          <w:rFonts w:ascii="Arial" w:hAnsi="Arial" w:cs="Arial"/>
          <w:sz w:val="24"/>
          <w:szCs w:val="24"/>
        </w:rPr>
        <w:t xml:space="preserve"> enforcement was apparent in the appearance of the criminal </w:t>
      </w:r>
      <w:r w:rsidRPr="00CB55F1">
        <w:rPr>
          <w:rFonts w:ascii="Arial" w:hAnsi="Arial" w:cs="Arial"/>
          <w:i/>
          <w:iCs/>
          <w:sz w:val="24"/>
          <w:szCs w:val="24"/>
        </w:rPr>
        <w:t>cause</w:t>
      </w:r>
      <w:r w:rsidRPr="00CB55F1">
        <w:rPr>
          <w:rFonts w:ascii="Arial" w:hAnsi="Arial" w:cs="Arial"/>
          <w:sz w:val="24"/>
          <w:szCs w:val="24"/>
        </w:rPr>
        <w:t xml:space="preserve"> </w:t>
      </w:r>
      <w:r w:rsidRPr="00CB55F1">
        <w:rPr>
          <w:rFonts w:ascii="Arial" w:hAnsi="Arial" w:cs="Arial"/>
          <w:i/>
          <w:iCs/>
          <w:sz w:val="24"/>
          <w:szCs w:val="24"/>
        </w:rPr>
        <w:t xml:space="preserve">célèbre </w:t>
      </w:r>
      <w:r w:rsidRPr="00CB55F1">
        <w:rPr>
          <w:rFonts w:ascii="Arial" w:hAnsi="Arial" w:cs="Arial"/>
          <w:sz w:val="24"/>
          <w:szCs w:val="24"/>
        </w:rPr>
        <w:t xml:space="preserve">trial. During the ‘early phase’ of these criminal trials </w:t>
      </w:r>
      <w:r w:rsidR="007233DB">
        <w:rPr>
          <w:rFonts w:ascii="Arial" w:hAnsi="Arial" w:cs="Arial"/>
          <w:sz w:val="24"/>
          <w:szCs w:val="24"/>
        </w:rPr>
        <w:t>from the</w:t>
      </w:r>
      <w:r w:rsidR="007233DB" w:rsidRPr="00CB55F1">
        <w:rPr>
          <w:rFonts w:ascii="Arial" w:hAnsi="Arial" w:cs="Arial"/>
          <w:sz w:val="24"/>
          <w:szCs w:val="24"/>
        </w:rPr>
        <w:t xml:space="preserve"> </w:t>
      </w:r>
      <w:r w:rsidRPr="00CB55F1">
        <w:rPr>
          <w:rFonts w:ascii="Arial" w:hAnsi="Arial" w:cs="Arial"/>
          <w:sz w:val="24"/>
          <w:szCs w:val="24"/>
        </w:rPr>
        <w:t>1850s</w:t>
      </w:r>
      <w:r w:rsidR="007233DB">
        <w:rPr>
          <w:rFonts w:ascii="Arial" w:hAnsi="Arial" w:cs="Arial"/>
          <w:sz w:val="24"/>
          <w:szCs w:val="24"/>
        </w:rPr>
        <w:t xml:space="preserve"> to the </w:t>
      </w:r>
      <w:r w:rsidRPr="00CB55F1">
        <w:rPr>
          <w:rFonts w:ascii="Arial" w:hAnsi="Arial" w:cs="Arial"/>
          <w:sz w:val="24"/>
          <w:szCs w:val="24"/>
        </w:rPr>
        <w:t>1880s</w:t>
      </w:r>
      <w:r w:rsidR="007233DB">
        <w:rPr>
          <w:rFonts w:ascii="Arial" w:hAnsi="Arial" w:cs="Arial"/>
          <w:sz w:val="24"/>
          <w:szCs w:val="24"/>
        </w:rPr>
        <w:t>,</w:t>
      </w:r>
      <w:r w:rsidRPr="00CB55F1">
        <w:rPr>
          <w:rStyle w:val="EndnoteReference"/>
          <w:rFonts w:ascii="Arial" w:hAnsi="Arial" w:cs="Arial"/>
          <w:sz w:val="24"/>
          <w:szCs w:val="24"/>
        </w:rPr>
        <w:endnoteReference w:id="98"/>
      </w:r>
      <w:r w:rsidRPr="00CB55F1">
        <w:rPr>
          <w:rFonts w:ascii="Arial" w:hAnsi="Arial" w:cs="Arial"/>
          <w:sz w:val="24"/>
          <w:szCs w:val="24"/>
        </w:rPr>
        <w:t xml:space="preserve"> numerous prominent Victorian businessmen were called upon to answer criminal changes resulting from their professional affairs in these first very public demonstrations that the very worst occurrences on the ‘spectrum’ of misconduct in </w:t>
      </w:r>
      <w:r w:rsidRPr="00CB55F1">
        <w:rPr>
          <w:rFonts w:ascii="Arial" w:hAnsi="Arial" w:cs="Arial"/>
          <w:i/>
          <w:sz w:val="24"/>
          <w:szCs w:val="24"/>
        </w:rPr>
        <w:t xml:space="preserve">business </w:t>
      </w:r>
      <w:r w:rsidRPr="00CB55F1">
        <w:rPr>
          <w:rFonts w:ascii="Arial" w:hAnsi="Arial" w:cs="Arial"/>
          <w:sz w:val="24"/>
          <w:szCs w:val="24"/>
        </w:rPr>
        <w:t xml:space="preserve">amounted to conduct injurious to </w:t>
      </w:r>
      <w:r w:rsidRPr="00CB55F1">
        <w:rPr>
          <w:rFonts w:ascii="Arial" w:hAnsi="Arial" w:cs="Arial"/>
          <w:i/>
          <w:sz w:val="24"/>
          <w:szCs w:val="24"/>
        </w:rPr>
        <w:t>social</w:t>
      </w:r>
      <w:r w:rsidRPr="00CB55F1">
        <w:rPr>
          <w:rFonts w:ascii="Arial" w:hAnsi="Arial" w:cs="Arial"/>
          <w:sz w:val="24"/>
          <w:szCs w:val="24"/>
        </w:rPr>
        <w:t xml:space="preserve"> interests. </w:t>
      </w:r>
      <w:r w:rsidRPr="00CB55F1">
        <w:rPr>
          <w:rStyle w:val="EndnoteReference"/>
          <w:rFonts w:ascii="Arial" w:hAnsi="Arial" w:cs="Arial"/>
          <w:sz w:val="24"/>
          <w:szCs w:val="24"/>
        </w:rPr>
        <w:endnoteReference w:id="99"/>
      </w:r>
    </w:p>
    <w:p w14:paraId="6CDC7F65" w14:textId="77777777" w:rsidR="00CB55F1" w:rsidRPr="00CB55F1" w:rsidRDefault="00CB55F1" w:rsidP="00CB55F1">
      <w:pPr>
        <w:spacing w:after="0" w:line="480" w:lineRule="auto"/>
        <w:jc w:val="both"/>
        <w:rPr>
          <w:rFonts w:ascii="Arial" w:hAnsi="Arial" w:cs="Arial"/>
          <w:sz w:val="24"/>
          <w:szCs w:val="24"/>
        </w:rPr>
      </w:pPr>
    </w:p>
    <w:p w14:paraId="62102C6B" w14:textId="040E9E83"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Like Sutherland sometime later, those involved in the earliest criminal trials for ‘financial crime’ appreciated that respectable people can and did commit crimes which were more ordinarily recognisable as ‘crime’.</w:t>
      </w:r>
      <w:r w:rsidRPr="00CB55F1">
        <w:rPr>
          <w:rStyle w:val="EndnoteReference"/>
          <w:rFonts w:ascii="Arial" w:hAnsi="Arial" w:cs="Arial"/>
          <w:sz w:val="24"/>
          <w:szCs w:val="24"/>
        </w:rPr>
        <w:endnoteReference w:id="100"/>
      </w:r>
      <w:r w:rsidRPr="00CB55F1">
        <w:rPr>
          <w:rFonts w:ascii="Arial" w:hAnsi="Arial" w:cs="Arial"/>
          <w:sz w:val="24"/>
          <w:szCs w:val="24"/>
        </w:rPr>
        <w:t xml:space="preserve"> And indeed, the discoveries of ‘new’ types of misconduct during the nineteenth century which implicated the respectable in criminality on an unprecedented scale included poisoning and blackmail alongside ‘financial’ crime.</w:t>
      </w:r>
      <w:r w:rsidRPr="00CB55F1">
        <w:rPr>
          <w:rStyle w:val="EndnoteReference"/>
          <w:rFonts w:ascii="Arial" w:hAnsi="Arial" w:cs="Arial"/>
          <w:sz w:val="24"/>
          <w:szCs w:val="24"/>
        </w:rPr>
        <w:endnoteReference w:id="101"/>
      </w:r>
      <w:r w:rsidRPr="00CB55F1">
        <w:rPr>
          <w:rFonts w:ascii="Arial" w:hAnsi="Arial" w:cs="Arial"/>
          <w:sz w:val="24"/>
          <w:szCs w:val="24"/>
        </w:rPr>
        <w:t xml:space="preserve"> Whilst John </w:t>
      </w:r>
      <w:r w:rsidR="005F6686">
        <w:rPr>
          <w:rFonts w:ascii="Arial" w:hAnsi="Arial" w:cs="Arial"/>
          <w:sz w:val="24"/>
          <w:szCs w:val="24"/>
        </w:rPr>
        <w:t>Sadleir</w:t>
      </w:r>
      <w:r w:rsidRPr="00CB55F1">
        <w:rPr>
          <w:rFonts w:ascii="Arial" w:hAnsi="Arial" w:cs="Arial"/>
          <w:sz w:val="24"/>
          <w:szCs w:val="24"/>
        </w:rPr>
        <w:t xml:space="preserve"> MP and bankers Strahan</w:t>
      </w:r>
      <w:r w:rsidR="007233DB">
        <w:rPr>
          <w:rFonts w:ascii="Arial" w:hAnsi="Arial" w:cs="Arial"/>
          <w:sz w:val="24"/>
          <w:szCs w:val="24"/>
        </w:rPr>
        <w:t>,</w:t>
      </w:r>
      <w:r w:rsidRPr="00CB55F1">
        <w:rPr>
          <w:rFonts w:ascii="Arial" w:hAnsi="Arial" w:cs="Arial"/>
          <w:sz w:val="24"/>
          <w:szCs w:val="24"/>
        </w:rPr>
        <w:t xml:space="preserve"> Paul and Bates </w:t>
      </w:r>
      <w:r w:rsidRPr="00CB55F1">
        <w:rPr>
          <w:rFonts w:ascii="Arial" w:hAnsi="Arial" w:cs="Arial"/>
          <w:sz w:val="24"/>
          <w:szCs w:val="24"/>
        </w:rPr>
        <w:lastRenderedPageBreak/>
        <w:t xml:space="preserve">occupied similar spheres to one another within Victorian Britain’s highly stratified but also evolving social structure, </w:t>
      </w:r>
      <w:r w:rsidR="007233DB">
        <w:rPr>
          <w:rFonts w:ascii="Arial" w:hAnsi="Arial" w:cs="Arial"/>
          <w:sz w:val="24"/>
          <w:szCs w:val="24"/>
        </w:rPr>
        <w:t>which were</w:t>
      </w:r>
      <w:r w:rsidR="007233DB" w:rsidRPr="00CB55F1">
        <w:rPr>
          <w:rFonts w:ascii="Arial" w:hAnsi="Arial" w:cs="Arial"/>
          <w:sz w:val="24"/>
          <w:szCs w:val="24"/>
        </w:rPr>
        <w:t xml:space="preserve"> </w:t>
      </w:r>
      <w:r w:rsidRPr="00CB55F1">
        <w:rPr>
          <w:rFonts w:ascii="Arial" w:hAnsi="Arial" w:cs="Arial"/>
          <w:sz w:val="24"/>
          <w:szCs w:val="24"/>
        </w:rPr>
        <w:t xml:space="preserve">different </w:t>
      </w:r>
      <w:r w:rsidR="00DA5CA3">
        <w:rPr>
          <w:rFonts w:ascii="Arial" w:hAnsi="Arial" w:cs="Arial"/>
          <w:sz w:val="24"/>
          <w:szCs w:val="24"/>
        </w:rPr>
        <w:t xml:space="preserve">from </w:t>
      </w:r>
      <w:r w:rsidR="007233DB">
        <w:rPr>
          <w:rFonts w:ascii="Arial" w:hAnsi="Arial" w:cs="Arial"/>
          <w:sz w:val="24"/>
          <w:szCs w:val="24"/>
        </w:rPr>
        <w:t>that of</w:t>
      </w:r>
      <w:r w:rsidRPr="00CB55F1">
        <w:rPr>
          <w:rFonts w:ascii="Arial" w:hAnsi="Arial" w:cs="Arial"/>
          <w:sz w:val="24"/>
          <w:szCs w:val="24"/>
        </w:rPr>
        <w:t xml:space="preserve"> Joseph Windle Cole, all their stories illustrate contemporary awareness of novel interactions between social status and occupation, and criminality. From this</w:t>
      </w:r>
      <w:r w:rsidR="007233DB">
        <w:rPr>
          <w:rFonts w:ascii="Arial" w:hAnsi="Arial" w:cs="Arial"/>
          <w:sz w:val="24"/>
          <w:szCs w:val="24"/>
        </w:rPr>
        <w:t>,</w:t>
      </w:r>
      <w:r w:rsidRPr="00CB55F1">
        <w:rPr>
          <w:rFonts w:ascii="Arial" w:hAnsi="Arial" w:cs="Arial"/>
          <w:sz w:val="24"/>
          <w:szCs w:val="24"/>
        </w:rPr>
        <w:t xml:space="preserve"> they also help to explain the discomforts generated for those bearing witness to it, with this appearing to be in ways recognisably associated with the ‘problem’ of financial crime today over 150 years later. </w:t>
      </w:r>
    </w:p>
    <w:p w14:paraId="2184DFE9" w14:textId="77777777" w:rsidR="00CB55F1" w:rsidRPr="00CB55F1" w:rsidRDefault="00CB55F1" w:rsidP="00CB55F1">
      <w:pPr>
        <w:spacing w:after="0" w:line="480" w:lineRule="auto"/>
        <w:jc w:val="both"/>
        <w:rPr>
          <w:rFonts w:ascii="Arial" w:hAnsi="Arial" w:cs="Arial"/>
          <w:sz w:val="24"/>
          <w:szCs w:val="24"/>
        </w:rPr>
      </w:pPr>
    </w:p>
    <w:p w14:paraId="018EBBB9" w14:textId="152B5E4F" w:rsidR="00CB55F1" w:rsidRPr="007233DB" w:rsidRDefault="007233DB" w:rsidP="007233DB">
      <w:pPr>
        <w:spacing w:after="0" w:line="480" w:lineRule="auto"/>
        <w:jc w:val="center"/>
        <w:rPr>
          <w:rFonts w:ascii="Arial" w:hAnsi="Arial" w:cs="Arial"/>
          <w:sz w:val="28"/>
          <w:szCs w:val="28"/>
        </w:rPr>
      </w:pPr>
      <w:r w:rsidRPr="007233DB">
        <w:rPr>
          <w:rFonts w:ascii="Arial" w:hAnsi="Arial" w:cs="Arial"/>
          <w:sz w:val="28"/>
          <w:szCs w:val="28"/>
        </w:rPr>
        <w:t>VI</w:t>
      </w:r>
    </w:p>
    <w:p w14:paraId="5BC46606" w14:textId="3075B587"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 xml:space="preserve">Boyd Hilton’s seminal account of acute anxiety about investment and speculation in commerce during the ‘Age of Atonement’ and its aftermath identified John </w:t>
      </w:r>
      <w:r w:rsidR="005F6686">
        <w:rPr>
          <w:rFonts w:ascii="Arial" w:hAnsi="Arial" w:cs="Arial"/>
          <w:sz w:val="24"/>
          <w:szCs w:val="24"/>
        </w:rPr>
        <w:t>Sadleir</w:t>
      </w:r>
      <w:r w:rsidRPr="00CB55F1">
        <w:rPr>
          <w:rFonts w:ascii="Arial" w:hAnsi="Arial" w:cs="Arial"/>
          <w:sz w:val="24"/>
          <w:szCs w:val="24"/>
        </w:rPr>
        <w:t xml:space="preserve"> MP alongside fellow parliamentarian George Hudson with ‘fraudulent roguishness’</w:t>
      </w:r>
      <w:r w:rsidR="00BF142F">
        <w:rPr>
          <w:rStyle w:val="EndnoteReference"/>
          <w:rFonts w:ascii="Arial" w:hAnsi="Arial" w:cs="Arial"/>
          <w:sz w:val="24"/>
          <w:szCs w:val="24"/>
        </w:rPr>
        <w:endnoteReference w:id="102"/>
      </w:r>
      <w:r w:rsidRPr="00CB55F1">
        <w:rPr>
          <w:rFonts w:ascii="Arial" w:hAnsi="Arial" w:cs="Arial"/>
          <w:sz w:val="24"/>
          <w:szCs w:val="24"/>
        </w:rPr>
        <w:t xml:space="preserve"> feeding contemporary discomfort in times of economic and social upheaval.</w:t>
      </w:r>
      <w:r w:rsidRPr="00CB55F1">
        <w:rPr>
          <w:rStyle w:val="EndnoteReference"/>
          <w:rFonts w:ascii="Arial" w:hAnsi="Arial" w:cs="Arial"/>
          <w:sz w:val="24"/>
          <w:szCs w:val="24"/>
        </w:rPr>
        <w:endnoteReference w:id="103"/>
      </w:r>
      <w:r w:rsidRPr="00CB55F1">
        <w:rPr>
          <w:rFonts w:ascii="Arial" w:hAnsi="Arial" w:cs="Arial"/>
          <w:sz w:val="24"/>
          <w:szCs w:val="24"/>
        </w:rPr>
        <w:t xml:space="preserve"> Interestingly, and without reference to modern criminology’s understandings of the ‘ambiguities’ associated with financial crime, Hilton’s account is one of how ‘rogues’ such as Hudson and </w:t>
      </w:r>
      <w:r w:rsidR="005F6686">
        <w:rPr>
          <w:rFonts w:ascii="Arial" w:hAnsi="Arial" w:cs="Arial"/>
          <w:sz w:val="24"/>
          <w:szCs w:val="24"/>
        </w:rPr>
        <w:t>Sadleir</w:t>
      </w:r>
      <w:r w:rsidRPr="00CB55F1">
        <w:rPr>
          <w:rFonts w:ascii="Arial" w:hAnsi="Arial" w:cs="Arial"/>
          <w:sz w:val="24"/>
          <w:szCs w:val="24"/>
        </w:rPr>
        <w:t xml:space="preserve"> were regarded in a ‘romantic and almost an heroic’ light.</w:t>
      </w:r>
      <w:r w:rsidRPr="00CB55F1">
        <w:rPr>
          <w:rStyle w:val="EndnoteReference"/>
          <w:rFonts w:ascii="Arial" w:hAnsi="Arial" w:cs="Arial"/>
          <w:sz w:val="24"/>
          <w:szCs w:val="24"/>
        </w:rPr>
        <w:endnoteReference w:id="104"/>
      </w:r>
      <w:r w:rsidR="007233DB">
        <w:rPr>
          <w:rFonts w:ascii="Arial" w:hAnsi="Arial" w:cs="Arial"/>
          <w:sz w:val="24"/>
          <w:szCs w:val="24"/>
        </w:rPr>
        <w:t xml:space="preserve"> </w:t>
      </w:r>
      <w:r w:rsidR="00BF142F">
        <w:rPr>
          <w:rFonts w:ascii="Arial" w:hAnsi="Arial" w:cs="Arial"/>
          <w:sz w:val="24"/>
          <w:szCs w:val="24"/>
        </w:rPr>
        <w:t xml:space="preserve">Hilton’s hypothesis is </w:t>
      </w:r>
      <w:r w:rsidRPr="00CB55F1">
        <w:rPr>
          <w:rFonts w:ascii="Arial" w:hAnsi="Arial" w:cs="Arial"/>
          <w:sz w:val="24"/>
          <w:szCs w:val="24"/>
        </w:rPr>
        <w:t xml:space="preserve">identifiable within the seminal </w:t>
      </w:r>
      <w:r w:rsidRPr="00CB55F1">
        <w:rPr>
          <w:rFonts w:ascii="Arial" w:hAnsi="Arial" w:cs="Arial"/>
          <w:i/>
          <w:sz w:val="24"/>
          <w:szCs w:val="24"/>
        </w:rPr>
        <w:t xml:space="preserve">criminological </w:t>
      </w:r>
      <w:r w:rsidRPr="00CB55F1">
        <w:rPr>
          <w:rFonts w:ascii="Arial" w:hAnsi="Arial" w:cs="Arial"/>
          <w:sz w:val="24"/>
          <w:szCs w:val="24"/>
        </w:rPr>
        <w:t xml:space="preserve">construct of the ‘paradox of lenience and severity’ </w:t>
      </w:r>
      <w:r w:rsidR="007233DB">
        <w:rPr>
          <w:rFonts w:ascii="Arial" w:hAnsi="Arial" w:cs="Arial"/>
          <w:sz w:val="24"/>
          <w:szCs w:val="24"/>
        </w:rPr>
        <w:t>which highlight</w:t>
      </w:r>
      <w:r w:rsidR="00C94B32">
        <w:rPr>
          <w:rFonts w:ascii="Arial" w:hAnsi="Arial" w:cs="Arial"/>
          <w:sz w:val="24"/>
          <w:szCs w:val="24"/>
        </w:rPr>
        <w:t>s</w:t>
      </w:r>
      <w:r w:rsidRPr="00CB55F1">
        <w:rPr>
          <w:rFonts w:ascii="Arial" w:hAnsi="Arial" w:cs="Arial"/>
          <w:sz w:val="24"/>
          <w:szCs w:val="24"/>
        </w:rPr>
        <w:t xml:space="preserve"> tensions underpinning sentencing decisions on offending by those who have commonly led exemplary lives as community ‘pillars’ but with this</w:t>
      </w:r>
      <w:r w:rsidR="00AA202B">
        <w:rPr>
          <w:rFonts w:ascii="Arial" w:hAnsi="Arial" w:cs="Arial"/>
          <w:sz w:val="24"/>
          <w:szCs w:val="24"/>
        </w:rPr>
        <w:t>,</w:t>
      </w:r>
      <w:r w:rsidRPr="00CB55F1">
        <w:rPr>
          <w:rFonts w:ascii="Arial" w:hAnsi="Arial" w:cs="Arial"/>
          <w:sz w:val="24"/>
          <w:szCs w:val="24"/>
        </w:rPr>
        <w:t xml:space="preserve"> making violations of reposed trust particularly heinous</w:t>
      </w:r>
      <w:r w:rsidR="00AA202B">
        <w:rPr>
          <w:rFonts w:ascii="Arial" w:hAnsi="Arial" w:cs="Arial"/>
          <w:sz w:val="24"/>
          <w:szCs w:val="24"/>
        </w:rPr>
        <w:t>.</w:t>
      </w:r>
      <w:r w:rsidRPr="00CB55F1">
        <w:rPr>
          <w:rStyle w:val="EndnoteReference"/>
          <w:rFonts w:ascii="Arial" w:hAnsi="Arial" w:cs="Arial"/>
          <w:sz w:val="24"/>
          <w:szCs w:val="24"/>
        </w:rPr>
        <w:endnoteReference w:id="105"/>
      </w:r>
      <w:r w:rsidRPr="00CB55F1">
        <w:rPr>
          <w:rFonts w:ascii="Arial" w:hAnsi="Arial" w:cs="Arial"/>
          <w:sz w:val="24"/>
          <w:szCs w:val="24"/>
        </w:rPr>
        <w:t xml:space="preserve"> </w:t>
      </w:r>
      <w:r w:rsidR="00AA202B">
        <w:rPr>
          <w:rFonts w:ascii="Arial" w:hAnsi="Arial" w:cs="Arial"/>
          <w:sz w:val="24"/>
          <w:szCs w:val="24"/>
        </w:rPr>
        <w:t>S</w:t>
      </w:r>
      <w:r w:rsidRPr="00CB55F1">
        <w:rPr>
          <w:rFonts w:ascii="Arial" w:hAnsi="Arial" w:cs="Arial"/>
          <w:sz w:val="24"/>
          <w:szCs w:val="24"/>
        </w:rPr>
        <w:t>entiments captured in Hilton’s classic</w:t>
      </w:r>
      <w:r w:rsidRPr="00CB55F1">
        <w:rPr>
          <w:rFonts w:ascii="Arial" w:hAnsi="Arial" w:cs="Arial"/>
          <w:i/>
          <w:sz w:val="24"/>
          <w:szCs w:val="24"/>
        </w:rPr>
        <w:t xml:space="preserve"> historical</w:t>
      </w:r>
      <w:r w:rsidRPr="00CB55F1">
        <w:rPr>
          <w:rFonts w:ascii="Arial" w:hAnsi="Arial" w:cs="Arial"/>
          <w:sz w:val="24"/>
          <w:szCs w:val="24"/>
        </w:rPr>
        <w:t xml:space="preserve"> study can also be found in </w:t>
      </w:r>
      <w:r w:rsidRPr="00DA5CA3">
        <w:rPr>
          <w:rFonts w:ascii="Arial" w:hAnsi="Arial" w:cs="Arial"/>
          <w:i/>
          <w:sz w:val="24"/>
          <w:szCs w:val="24"/>
        </w:rPr>
        <w:t>contemporary</w:t>
      </w:r>
      <w:r w:rsidRPr="00CB55F1">
        <w:rPr>
          <w:rFonts w:ascii="Arial" w:hAnsi="Arial" w:cs="Arial"/>
          <w:sz w:val="24"/>
          <w:szCs w:val="24"/>
        </w:rPr>
        <w:t xml:space="preserve"> reflection on those engaging in ‘High Art’ crime. Views that such persons exhibit ‘an amount of individual courage which, turned in any other direction, would almost constitute heroism’</w:t>
      </w:r>
      <w:r w:rsidRPr="00CB55F1">
        <w:rPr>
          <w:rStyle w:val="EndnoteReference"/>
          <w:rFonts w:ascii="Arial" w:hAnsi="Arial" w:cs="Arial"/>
          <w:sz w:val="24"/>
          <w:szCs w:val="24"/>
        </w:rPr>
        <w:endnoteReference w:id="106"/>
      </w:r>
      <w:r w:rsidRPr="00CB55F1">
        <w:rPr>
          <w:rFonts w:ascii="Arial" w:hAnsi="Arial" w:cs="Arial"/>
          <w:sz w:val="24"/>
          <w:szCs w:val="24"/>
        </w:rPr>
        <w:t xml:space="preserve"> might seem particularly poignant as </w:t>
      </w:r>
      <w:r w:rsidR="005F6686">
        <w:rPr>
          <w:rFonts w:ascii="Arial" w:hAnsi="Arial" w:cs="Arial"/>
          <w:sz w:val="24"/>
          <w:szCs w:val="24"/>
        </w:rPr>
        <w:t>Sadleir</w:t>
      </w:r>
      <w:r w:rsidRPr="00CB55F1">
        <w:rPr>
          <w:rFonts w:ascii="Arial" w:hAnsi="Arial" w:cs="Arial"/>
          <w:sz w:val="24"/>
          <w:szCs w:val="24"/>
        </w:rPr>
        <w:t xml:space="preserve">’s story ends in his death, at his own hand, but he was also considered ‘one of the greatest, if </w:t>
      </w:r>
      <w:r w:rsidRPr="00CB55F1">
        <w:rPr>
          <w:rFonts w:ascii="Arial" w:hAnsi="Arial" w:cs="Arial"/>
          <w:sz w:val="24"/>
          <w:szCs w:val="24"/>
        </w:rPr>
        <w:lastRenderedPageBreak/>
        <w:t>not the greatest, and at the same time the most successful, swindler that this or any other country has produced’.</w:t>
      </w:r>
      <w:r w:rsidRPr="00CB55F1">
        <w:rPr>
          <w:rFonts w:ascii="Arial" w:hAnsi="Arial" w:cs="Arial"/>
          <w:sz w:val="24"/>
          <w:szCs w:val="24"/>
          <w:vertAlign w:val="superscript"/>
        </w:rPr>
        <w:endnoteReference w:id="107"/>
      </w:r>
    </w:p>
    <w:p w14:paraId="188AC867" w14:textId="77777777" w:rsidR="00CB55F1" w:rsidRPr="00CB55F1" w:rsidRDefault="00CB55F1" w:rsidP="00CB55F1">
      <w:pPr>
        <w:spacing w:after="0" w:line="480" w:lineRule="auto"/>
        <w:jc w:val="both"/>
        <w:rPr>
          <w:rFonts w:ascii="Arial" w:hAnsi="Arial" w:cs="Arial"/>
          <w:sz w:val="24"/>
          <w:szCs w:val="24"/>
        </w:rPr>
      </w:pPr>
    </w:p>
    <w:p w14:paraId="48BD1C93" w14:textId="435146A7" w:rsidR="00B71DD7" w:rsidRDefault="005F6686" w:rsidP="00CB55F1">
      <w:pPr>
        <w:spacing w:after="0" w:line="480" w:lineRule="auto"/>
        <w:jc w:val="both"/>
        <w:rPr>
          <w:rFonts w:ascii="Arial" w:hAnsi="Arial" w:cs="Arial"/>
          <w:sz w:val="24"/>
          <w:szCs w:val="24"/>
        </w:rPr>
      </w:pPr>
      <w:r>
        <w:rPr>
          <w:rFonts w:ascii="Arial" w:hAnsi="Arial" w:cs="Arial"/>
          <w:sz w:val="24"/>
          <w:szCs w:val="24"/>
        </w:rPr>
        <w:t>Sadleir</w:t>
      </w:r>
      <w:r w:rsidR="00CB55F1" w:rsidRPr="00CB55F1">
        <w:rPr>
          <w:rFonts w:ascii="Arial" w:hAnsi="Arial" w:cs="Arial"/>
          <w:sz w:val="24"/>
          <w:szCs w:val="24"/>
        </w:rPr>
        <w:t xml:space="preserve">’s downfall was inextricably part of the 1856 scandal involving the Tipperary Bank, established by his grandfather, but was also attributable to his occupation of elite commercial and political circles. </w:t>
      </w:r>
      <w:r>
        <w:rPr>
          <w:rFonts w:ascii="Arial" w:hAnsi="Arial" w:cs="Arial"/>
          <w:sz w:val="24"/>
          <w:szCs w:val="24"/>
        </w:rPr>
        <w:t>Sadleir</w:t>
      </w:r>
      <w:r w:rsidR="00C8486B">
        <w:rPr>
          <w:rFonts w:ascii="Arial" w:hAnsi="Arial" w:cs="Arial"/>
          <w:sz w:val="24"/>
          <w:szCs w:val="24"/>
        </w:rPr>
        <w:t xml:space="preserve"> entered Parliament at the general election of 1847, and it was at this point that his prominence in English consciousness started to take hold. </w:t>
      </w:r>
      <w:r w:rsidR="00CB55F1" w:rsidRPr="00CB55F1">
        <w:rPr>
          <w:rFonts w:ascii="Arial" w:hAnsi="Arial" w:cs="Arial"/>
          <w:sz w:val="24"/>
          <w:szCs w:val="24"/>
        </w:rPr>
        <w:t xml:space="preserve">Prior to </w:t>
      </w:r>
      <w:r w:rsidR="00C8486B">
        <w:rPr>
          <w:rFonts w:ascii="Arial" w:hAnsi="Arial" w:cs="Arial"/>
          <w:sz w:val="24"/>
          <w:szCs w:val="24"/>
        </w:rPr>
        <w:t xml:space="preserve">this, this </w:t>
      </w:r>
      <w:r w:rsidR="00CB55F1" w:rsidRPr="00CB55F1">
        <w:rPr>
          <w:rFonts w:ascii="Arial" w:hAnsi="Arial" w:cs="Arial"/>
          <w:sz w:val="24"/>
          <w:szCs w:val="24"/>
        </w:rPr>
        <w:t xml:space="preserve">Irish Catholic solicitor from a legal and banking family </w:t>
      </w:r>
      <w:r w:rsidR="00C8486B">
        <w:rPr>
          <w:rFonts w:ascii="Arial" w:hAnsi="Arial" w:cs="Arial"/>
          <w:sz w:val="24"/>
          <w:szCs w:val="24"/>
        </w:rPr>
        <w:t xml:space="preserve">was known in his homeland, largely on account of enjoying </w:t>
      </w:r>
      <w:r w:rsidR="00CB55F1" w:rsidRPr="00CB55F1">
        <w:rPr>
          <w:rFonts w:ascii="Arial" w:hAnsi="Arial" w:cs="Arial"/>
          <w:sz w:val="24"/>
          <w:szCs w:val="24"/>
        </w:rPr>
        <w:t>a ‘respectable and lucrative legal practice’ through a family business</w:t>
      </w:r>
      <w:r w:rsidR="00C8486B">
        <w:rPr>
          <w:rFonts w:ascii="Arial" w:hAnsi="Arial" w:cs="Arial"/>
          <w:sz w:val="24"/>
          <w:szCs w:val="24"/>
        </w:rPr>
        <w:t>.</w:t>
      </w:r>
      <w:r w:rsidR="00C8486B" w:rsidRPr="00CB55F1">
        <w:rPr>
          <w:rStyle w:val="EndnoteReference"/>
          <w:rFonts w:ascii="Arial" w:hAnsi="Arial" w:cs="Arial"/>
          <w:sz w:val="24"/>
          <w:szCs w:val="24"/>
        </w:rPr>
        <w:endnoteReference w:id="108"/>
      </w:r>
      <w:r w:rsidR="00C8486B" w:rsidRPr="00CB55F1">
        <w:rPr>
          <w:rFonts w:ascii="Arial" w:hAnsi="Arial" w:cs="Arial"/>
          <w:sz w:val="24"/>
          <w:szCs w:val="24"/>
        </w:rPr>
        <w:t xml:space="preserve"> </w:t>
      </w:r>
      <w:r w:rsidR="00B71DD7">
        <w:rPr>
          <w:rFonts w:ascii="Arial" w:hAnsi="Arial" w:cs="Arial"/>
          <w:sz w:val="24"/>
          <w:szCs w:val="24"/>
        </w:rPr>
        <w:t xml:space="preserve">This was how his reputation in matters of business </w:t>
      </w:r>
      <w:r w:rsidR="00EE7708">
        <w:rPr>
          <w:rFonts w:ascii="Arial" w:hAnsi="Arial" w:cs="Arial"/>
          <w:sz w:val="24"/>
          <w:szCs w:val="24"/>
        </w:rPr>
        <w:t>came to be</w:t>
      </w:r>
      <w:r w:rsidR="00B71DD7">
        <w:rPr>
          <w:rFonts w:ascii="Arial" w:hAnsi="Arial" w:cs="Arial"/>
          <w:sz w:val="24"/>
          <w:szCs w:val="24"/>
        </w:rPr>
        <w:t xml:space="preserve"> forged, particularly through his work on Irish encumbered estates, where the latter also proved to be particularly lucrative.</w:t>
      </w:r>
      <w:r w:rsidR="00CB55F1" w:rsidRPr="00CB55F1">
        <w:rPr>
          <w:rStyle w:val="EndnoteReference"/>
          <w:rFonts w:ascii="Arial" w:hAnsi="Arial" w:cs="Arial"/>
          <w:sz w:val="24"/>
          <w:szCs w:val="24"/>
        </w:rPr>
        <w:endnoteReference w:id="109"/>
      </w:r>
      <w:r w:rsidR="00C8486B">
        <w:rPr>
          <w:rFonts w:ascii="Arial" w:hAnsi="Arial" w:cs="Arial"/>
          <w:sz w:val="24"/>
          <w:szCs w:val="24"/>
        </w:rPr>
        <w:t xml:space="preserve"> </w:t>
      </w:r>
      <w:r w:rsidR="00B71DD7">
        <w:rPr>
          <w:rFonts w:ascii="Arial" w:hAnsi="Arial" w:cs="Arial"/>
          <w:sz w:val="24"/>
          <w:szCs w:val="24"/>
        </w:rPr>
        <w:t xml:space="preserve">Notwithstanding, this line of work and </w:t>
      </w:r>
      <w:r>
        <w:rPr>
          <w:rFonts w:ascii="Arial" w:hAnsi="Arial" w:cs="Arial"/>
          <w:sz w:val="24"/>
          <w:szCs w:val="24"/>
        </w:rPr>
        <w:t>Sadleir</w:t>
      </w:r>
      <w:r w:rsidR="00B71DD7">
        <w:rPr>
          <w:rFonts w:ascii="Arial" w:hAnsi="Arial" w:cs="Arial"/>
          <w:sz w:val="24"/>
          <w:szCs w:val="24"/>
        </w:rPr>
        <w:t xml:space="preserve">’s ‘ordinary middle-class’ family background were </w:t>
      </w:r>
      <w:r w:rsidR="00BF142F">
        <w:rPr>
          <w:rFonts w:ascii="Arial" w:hAnsi="Arial" w:cs="Arial"/>
          <w:sz w:val="24"/>
          <w:szCs w:val="24"/>
        </w:rPr>
        <w:t xml:space="preserve">considered </w:t>
      </w:r>
      <w:r w:rsidR="00B71DD7">
        <w:rPr>
          <w:rFonts w:ascii="Arial" w:hAnsi="Arial" w:cs="Arial"/>
          <w:sz w:val="24"/>
          <w:szCs w:val="24"/>
        </w:rPr>
        <w:t xml:space="preserve">likely to do little more than enable </w:t>
      </w:r>
      <w:r>
        <w:rPr>
          <w:rFonts w:ascii="Arial" w:hAnsi="Arial" w:cs="Arial"/>
          <w:sz w:val="24"/>
          <w:szCs w:val="24"/>
        </w:rPr>
        <w:t>Sadleir</w:t>
      </w:r>
      <w:r w:rsidR="00B71DD7">
        <w:rPr>
          <w:rFonts w:ascii="Arial" w:hAnsi="Arial" w:cs="Arial"/>
          <w:sz w:val="24"/>
          <w:szCs w:val="24"/>
        </w:rPr>
        <w:t xml:space="preserve"> ‘with industry and perseverance’ to ‘earn his own living, and maintain his station as a professional man’.</w:t>
      </w:r>
      <w:r w:rsidR="00BF142F">
        <w:rPr>
          <w:rStyle w:val="EndnoteReference"/>
          <w:rFonts w:ascii="Arial" w:hAnsi="Arial" w:cs="Arial"/>
          <w:sz w:val="24"/>
          <w:szCs w:val="24"/>
        </w:rPr>
        <w:endnoteReference w:id="110"/>
      </w:r>
      <w:r w:rsidR="00B71DD7">
        <w:rPr>
          <w:rFonts w:ascii="Arial" w:hAnsi="Arial" w:cs="Arial"/>
          <w:sz w:val="24"/>
          <w:szCs w:val="24"/>
        </w:rPr>
        <w:t xml:space="preserve"> But </w:t>
      </w:r>
      <w:r>
        <w:rPr>
          <w:rFonts w:ascii="Arial" w:hAnsi="Arial" w:cs="Arial"/>
          <w:sz w:val="24"/>
          <w:szCs w:val="24"/>
        </w:rPr>
        <w:t>Sadleir</w:t>
      </w:r>
      <w:r w:rsidR="00B71DD7">
        <w:rPr>
          <w:rFonts w:ascii="Arial" w:hAnsi="Arial" w:cs="Arial"/>
          <w:sz w:val="24"/>
          <w:szCs w:val="24"/>
        </w:rPr>
        <w:t xml:space="preserve">’s ambitions outstripped these rather modest aims, and it was </w:t>
      </w:r>
      <w:r w:rsidR="00BF142F">
        <w:rPr>
          <w:rFonts w:ascii="Arial" w:hAnsi="Arial" w:cs="Arial"/>
          <w:sz w:val="24"/>
          <w:szCs w:val="24"/>
        </w:rPr>
        <w:t xml:space="preserve">actually </w:t>
      </w:r>
      <w:r w:rsidR="00B71DD7">
        <w:rPr>
          <w:rFonts w:ascii="Arial" w:hAnsi="Arial" w:cs="Arial"/>
          <w:sz w:val="24"/>
          <w:szCs w:val="24"/>
        </w:rPr>
        <w:t>the 1840s ‘railway mania</w:t>
      </w:r>
      <w:r w:rsidR="00BF142F">
        <w:rPr>
          <w:rFonts w:ascii="Arial" w:hAnsi="Arial" w:cs="Arial"/>
          <w:sz w:val="24"/>
          <w:szCs w:val="24"/>
        </w:rPr>
        <w:t xml:space="preserve">’ which brought him to England. By </w:t>
      </w:r>
      <w:r w:rsidR="00B71DD7">
        <w:rPr>
          <w:rFonts w:ascii="Arial" w:hAnsi="Arial" w:cs="Arial"/>
          <w:sz w:val="24"/>
          <w:szCs w:val="24"/>
        </w:rPr>
        <w:t>its height in 1846</w:t>
      </w:r>
      <w:r w:rsidR="00EE7708">
        <w:rPr>
          <w:rFonts w:ascii="Arial" w:hAnsi="Arial" w:cs="Arial"/>
          <w:sz w:val="24"/>
          <w:szCs w:val="24"/>
        </w:rPr>
        <w:t>,</w:t>
      </w:r>
      <w:r w:rsidR="00B71DD7">
        <w:rPr>
          <w:rFonts w:ascii="Arial" w:hAnsi="Arial" w:cs="Arial"/>
          <w:sz w:val="24"/>
          <w:szCs w:val="24"/>
        </w:rPr>
        <w:t xml:space="preserve"> his repu</w:t>
      </w:r>
      <w:r w:rsidR="00BF142F">
        <w:rPr>
          <w:rFonts w:ascii="Arial" w:hAnsi="Arial" w:cs="Arial"/>
          <w:sz w:val="24"/>
          <w:szCs w:val="24"/>
        </w:rPr>
        <w:t>tation as a Parliamentary agent</w:t>
      </w:r>
      <w:r w:rsidR="00B71DD7">
        <w:rPr>
          <w:rFonts w:ascii="Arial" w:hAnsi="Arial" w:cs="Arial"/>
          <w:sz w:val="24"/>
          <w:szCs w:val="24"/>
        </w:rPr>
        <w:t xml:space="preserve"> </w:t>
      </w:r>
      <w:r w:rsidR="00BF142F">
        <w:rPr>
          <w:rFonts w:ascii="Arial" w:hAnsi="Arial" w:cs="Arial"/>
          <w:sz w:val="24"/>
          <w:szCs w:val="24"/>
        </w:rPr>
        <w:t xml:space="preserve">– and for </w:t>
      </w:r>
      <w:r w:rsidR="00B71DD7">
        <w:rPr>
          <w:rFonts w:ascii="Arial" w:hAnsi="Arial" w:cs="Arial"/>
          <w:sz w:val="24"/>
          <w:szCs w:val="24"/>
        </w:rPr>
        <w:t>providing protection for numerous Irish schemes and antagonism for rival ones</w:t>
      </w:r>
      <w:r w:rsidR="00EE7708">
        <w:rPr>
          <w:rFonts w:ascii="Arial" w:hAnsi="Arial" w:cs="Arial"/>
          <w:sz w:val="24"/>
          <w:szCs w:val="24"/>
        </w:rPr>
        <w:t xml:space="preserve"> – was </w:t>
      </w:r>
      <w:r w:rsidR="00B71DD7">
        <w:rPr>
          <w:rFonts w:ascii="Arial" w:hAnsi="Arial" w:cs="Arial"/>
          <w:sz w:val="24"/>
          <w:szCs w:val="24"/>
        </w:rPr>
        <w:t>well established,</w:t>
      </w:r>
      <w:r w:rsidR="00B71DD7">
        <w:rPr>
          <w:rStyle w:val="EndnoteReference"/>
          <w:rFonts w:ascii="Arial" w:hAnsi="Arial" w:cs="Arial"/>
          <w:sz w:val="24"/>
          <w:szCs w:val="24"/>
        </w:rPr>
        <w:endnoteReference w:id="111"/>
      </w:r>
      <w:r w:rsidR="00B71DD7">
        <w:rPr>
          <w:rFonts w:ascii="Arial" w:hAnsi="Arial" w:cs="Arial"/>
          <w:sz w:val="24"/>
          <w:szCs w:val="24"/>
        </w:rPr>
        <w:t xml:space="preserve"> and paved the way for his election to Parliament the following year. </w:t>
      </w:r>
    </w:p>
    <w:p w14:paraId="4545B30E" w14:textId="77777777" w:rsidR="00B71DD7" w:rsidRDefault="00B71DD7" w:rsidP="00CB55F1">
      <w:pPr>
        <w:spacing w:after="0" w:line="480" w:lineRule="auto"/>
        <w:jc w:val="both"/>
        <w:rPr>
          <w:rFonts w:ascii="Arial" w:hAnsi="Arial" w:cs="Arial"/>
          <w:sz w:val="24"/>
          <w:szCs w:val="24"/>
        </w:rPr>
      </w:pPr>
    </w:p>
    <w:p w14:paraId="6CEFA7B6" w14:textId="2AAF5946" w:rsidR="00A2559A" w:rsidRDefault="00B71DD7" w:rsidP="00CB55F1">
      <w:pPr>
        <w:spacing w:after="0" w:line="480" w:lineRule="auto"/>
        <w:jc w:val="both"/>
        <w:rPr>
          <w:rFonts w:ascii="Arial" w:hAnsi="Arial" w:cs="Arial"/>
          <w:sz w:val="24"/>
          <w:szCs w:val="24"/>
        </w:rPr>
      </w:pPr>
      <w:r>
        <w:rPr>
          <w:rFonts w:ascii="Arial" w:hAnsi="Arial" w:cs="Arial"/>
          <w:sz w:val="24"/>
          <w:szCs w:val="24"/>
        </w:rPr>
        <w:t xml:space="preserve">This </w:t>
      </w:r>
      <w:r w:rsidR="00CB55F1" w:rsidRPr="00CB55F1">
        <w:rPr>
          <w:rFonts w:ascii="Arial" w:hAnsi="Arial" w:cs="Arial"/>
          <w:sz w:val="24"/>
          <w:szCs w:val="24"/>
        </w:rPr>
        <w:t>perseverance, ambition and high levels of self-belief</w:t>
      </w:r>
      <w:r>
        <w:rPr>
          <w:rFonts w:ascii="Arial" w:hAnsi="Arial" w:cs="Arial"/>
          <w:sz w:val="24"/>
          <w:szCs w:val="24"/>
        </w:rPr>
        <w:t xml:space="preserve"> enabl</w:t>
      </w:r>
      <w:r w:rsidR="00EE7708">
        <w:rPr>
          <w:rFonts w:ascii="Arial" w:hAnsi="Arial" w:cs="Arial"/>
          <w:sz w:val="24"/>
          <w:szCs w:val="24"/>
        </w:rPr>
        <w:t>ed</w:t>
      </w:r>
      <w:r>
        <w:rPr>
          <w:rFonts w:ascii="Arial" w:hAnsi="Arial" w:cs="Arial"/>
          <w:sz w:val="24"/>
          <w:szCs w:val="24"/>
        </w:rPr>
        <w:t xml:space="preserve"> </w:t>
      </w:r>
      <w:r w:rsidR="005F6686">
        <w:rPr>
          <w:rFonts w:ascii="Arial" w:hAnsi="Arial" w:cs="Arial"/>
          <w:sz w:val="24"/>
          <w:szCs w:val="24"/>
        </w:rPr>
        <w:t>Sadleir</w:t>
      </w:r>
      <w:r w:rsidR="00BF142F">
        <w:rPr>
          <w:rFonts w:ascii="Arial" w:hAnsi="Arial" w:cs="Arial"/>
          <w:sz w:val="24"/>
          <w:szCs w:val="24"/>
        </w:rPr>
        <w:t xml:space="preserve"> to </w:t>
      </w:r>
      <w:r w:rsidR="00CB55F1" w:rsidRPr="00CB55F1">
        <w:rPr>
          <w:rFonts w:ascii="Arial" w:hAnsi="Arial" w:cs="Arial"/>
          <w:sz w:val="24"/>
          <w:szCs w:val="24"/>
        </w:rPr>
        <w:t>transcend his ordinary middle-class respectability</w:t>
      </w:r>
      <w:r w:rsidR="00CB55F1" w:rsidRPr="00CB55F1">
        <w:rPr>
          <w:rStyle w:val="EndnoteReference"/>
          <w:rFonts w:ascii="Arial" w:hAnsi="Arial" w:cs="Arial"/>
          <w:sz w:val="24"/>
          <w:szCs w:val="24"/>
        </w:rPr>
        <w:endnoteReference w:id="112"/>
      </w:r>
      <w:r w:rsidR="00CB55F1" w:rsidRPr="00CB55F1">
        <w:rPr>
          <w:rFonts w:ascii="Arial" w:hAnsi="Arial" w:cs="Arial"/>
          <w:sz w:val="24"/>
          <w:szCs w:val="24"/>
        </w:rPr>
        <w:t xml:space="preserve"> and penetrate Parliamentary circles</w:t>
      </w:r>
      <w:r>
        <w:rPr>
          <w:rFonts w:ascii="Arial" w:hAnsi="Arial" w:cs="Arial"/>
          <w:sz w:val="24"/>
          <w:szCs w:val="24"/>
        </w:rPr>
        <w:t xml:space="preserve"> -</w:t>
      </w:r>
      <w:r w:rsidR="00CB55F1" w:rsidRPr="00CB55F1">
        <w:rPr>
          <w:rFonts w:ascii="Arial" w:hAnsi="Arial" w:cs="Arial"/>
          <w:sz w:val="24"/>
          <w:szCs w:val="24"/>
        </w:rPr>
        <w:t xml:space="preserve"> </w:t>
      </w:r>
      <w:r>
        <w:rPr>
          <w:rFonts w:ascii="Arial" w:hAnsi="Arial" w:cs="Arial"/>
          <w:sz w:val="24"/>
          <w:szCs w:val="24"/>
        </w:rPr>
        <w:t xml:space="preserve">firstly as an agent and then as a Member </w:t>
      </w:r>
      <w:r w:rsidR="00EE7708">
        <w:rPr>
          <w:rFonts w:ascii="Arial" w:hAnsi="Arial" w:cs="Arial"/>
          <w:sz w:val="24"/>
          <w:szCs w:val="24"/>
        </w:rPr>
        <w:t>–</w:t>
      </w:r>
      <w:r>
        <w:rPr>
          <w:rFonts w:ascii="Arial" w:hAnsi="Arial" w:cs="Arial"/>
          <w:sz w:val="24"/>
          <w:szCs w:val="24"/>
        </w:rPr>
        <w:t xml:space="preserve"> </w:t>
      </w:r>
      <w:r w:rsidR="00EE7708">
        <w:rPr>
          <w:rFonts w:ascii="Arial" w:hAnsi="Arial" w:cs="Arial"/>
          <w:sz w:val="24"/>
          <w:szCs w:val="24"/>
        </w:rPr>
        <w:t xml:space="preserve">and it </w:t>
      </w:r>
      <w:r w:rsidR="00CB55F1" w:rsidRPr="00CB55F1">
        <w:rPr>
          <w:rFonts w:ascii="Arial" w:hAnsi="Arial" w:cs="Arial"/>
          <w:sz w:val="24"/>
          <w:szCs w:val="24"/>
        </w:rPr>
        <w:t>w</w:t>
      </w:r>
      <w:r>
        <w:rPr>
          <w:rFonts w:ascii="Arial" w:hAnsi="Arial" w:cs="Arial"/>
          <w:sz w:val="24"/>
          <w:szCs w:val="24"/>
        </w:rPr>
        <w:t xml:space="preserve">ould also </w:t>
      </w:r>
      <w:r w:rsidR="00CB55F1" w:rsidRPr="00CB55F1">
        <w:rPr>
          <w:rFonts w:ascii="Arial" w:hAnsi="Arial" w:cs="Arial"/>
          <w:sz w:val="24"/>
          <w:szCs w:val="24"/>
        </w:rPr>
        <w:t xml:space="preserve">consolidate his reputation in business. Like many contemporary parliamentarians, numerous ‘directorships and </w:t>
      </w:r>
      <w:r w:rsidR="00CB55F1" w:rsidRPr="00CB55F1">
        <w:rPr>
          <w:rFonts w:ascii="Arial" w:hAnsi="Arial" w:cs="Arial"/>
          <w:sz w:val="24"/>
          <w:szCs w:val="24"/>
        </w:rPr>
        <w:lastRenderedPageBreak/>
        <w:t>chairmanships…were pressed upon him’,</w:t>
      </w:r>
      <w:r w:rsidR="00D61FAA">
        <w:rPr>
          <w:rFonts w:ascii="Arial" w:hAnsi="Arial" w:cs="Arial"/>
          <w:sz w:val="24"/>
          <w:szCs w:val="24"/>
        </w:rPr>
        <w:t xml:space="preserve"> but aided by extensive testaments </w:t>
      </w:r>
      <w:r w:rsidR="00BF142F">
        <w:rPr>
          <w:rFonts w:ascii="Arial" w:hAnsi="Arial" w:cs="Arial"/>
          <w:sz w:val="24"/>
          <w:szCs w:val="24"/>
        </w:rPr>
        <w:t>to his ‘great financial ability</w:t>
      </w:r>
      <w:r w:rsidR="00D61FAA">
        <w:rPr>
          <w:rFonts w:ascii="Arial" w:hAnsi="Arial" w:cs="Arial"/>
          <w:sz w:val="24"/>
          <w:szCs w:val="24"/>
        </w:rPr>
        <w:t xml:space="preserve">…special business aptitude…and administrative capacity’ </w:t>
      </w:r>
      <w:r w:rsidR="005F6686">
        <w:rPr>
          <w:rFonts w:ascii="Arial" w:hAnsi="Arial" w:cs="Arial"/>
          <w:sz w:val="24"/>
          <w:szCs w:val="24"/>
        </w:rPr>
        <w:t>Sadleir</w:t>
      </w:r>
      <w:r w:rsidR="00D61FAA">
        <w:rPr>
          <w:rFonts w:ascii="Arial" w:hAnsi="Arial" w:cs="Arial"/>
          <w:sz w:val="24"/>
          <w:szCs w:val="24"/>
        </w:rPr>
        <w:t xml:space="preserve"> forged ‘a high reputation in the financial and commercial world almost before he took oaths at the table of the House of Commons’.</w:t>
      </w:r>
      <w:r w:rsidR="00CB55F1" w:rsidRPr="00CB55F1">
        <w:rPr>
          <w:rStyle w:val="EndnoteReference"/>
          <w:rFonts w:ascii="Arial" w:hAnsi="Arial" w:cs="Arial"/>
          <w:sz w:val="24"/>
          <w:szCs w:val="24"/>
        </w:rPr>
        <w:endnoteReference w:id="113"/>
      </w:r>
      <w:r w:rsidR="00CB55F1" w:rsidRPr="00CB55F1">
        <w:rPr>
          <w:rFonts w:ascii="Arial" w:hAnsi="Arial" w:cs="Arial"/>
          <w:sz w:val="24"/>
          <w:szCs w:val="24"/>
        </w:rPr>
        <w:t xml:space="preserve"> </w:t>
      </w:r>
      <w:r w:rsidR="00D61FAA">
        <w:rPr>
          <w:rFonts w:ascii="Arial" w:hAnsi="Arial" w:cs="Arial"/>
          <w:sz w:val="24"/>
          <w:szCs w:val="24"/>
        </w:rPr>
        <w:t>In financial and commercial circles his name at the head of a board was widely reputed to be ‘</w:t>
      </w:r>
      <w:r w:rsidR="00EE7708">
        <w:rPr>
          <w:rFonts w:ascii="Arial" w:hAnsi="Arial" w:cs="Arial"/>
          <w:sz w:val="24"/>
          <w:szCs w:val="24"/>
        </w:rPr>
        <w:t>…</w:t>
      </w:r>
      <w:r w:rsidR="00A2559A">
        <w:rPr>
          <w:rFonts w:ascii="Arial" w:hAnsi="Arial" w:cs="Arial"/>
          <w:sz w:val="24"/>
          <w:szCs w:val="24"/>
        </w:rPr>
        <w:t>equivalent</w:t>
      </w:r>
      <w:r w:rsidR="00D61FAA">
        <w:rPr>
          <w:rFonts w:ascii="Arial" w:hAnsi="Arial" w:cs="Arial"/>
          <w:sz w:val="24"/>
          <w:szCs w:val="24"/>
        </w:rPr>
        <w:t xml:space="preserve"> to a rise of at least one per cent</w:t>
      </w:r>
      <w:r w:rsidR="00EE7708">
        <w:rPr>
          <w:rFonts w:ascii="Arial" w:hAnsi="Arial" w:cs="Arial"/>
          <w:sz w:val="24"/>
          <w:szCs w:val="24"/>
        </w:rPr>
        <w:t xml:space="preserve"> in</w:t>
      </w:r>
      <w:r w:rsidR="00D61FAA">
        <w:rPr>
          <w:rFonts w:ascii="Arial" w:hAnsi="Arial" w:cs="Arial"/>
          <w:sz w:val="24"/>
          <w:szCs w:val="24"/>
        </w:rPr>
        <w:t xml:space="preserve"> the market value of</w:t>
      </w:r>
      <w:r w:rsidR="00A2559A">
        <w:rPr>
          <w:rFonts w:ascii="Arial" w:hAnsi="Arial" w:cs="Arial"/>
          <w:sz w:val="24"/>
          <w:szCs w:val="24"/>
        </w:rPr>
        <w:t xml:space="preserve"> shares’.</w:t>
      </w:r>
      <w:r w:rsidR="00A2559A">
        <w:rPr>
          <w:rStyle w:val="EndnoteReference"/>
          <w:rFonts w:ascii="Arial" w:hAnsi="Arial" w:cs="Arial"/>
          <w:sz w:val="24"/>
          <w:szCs w:val="24"/>
        </w:rPr>
        <w:endnoteReference w:id="114"/>
      </w:r>
      <w:r w:rsidR="00A2559A">
        <w:rPr>
          <w:rFonts w:ascii="Arial" w:hAnsi="Arial" w:cs="Arial"/>
          <w:sz w:val="24"/>
          <w:szCs w:val="24"/>
        </w:rPr>
        <w:t xml:space="preserve"> His appointment as Chairman of the London and County Bank </w:t>
      </w:r>
      <w:r w:rsidR="00996E3B">
        <w:rPr>
          <w:rFonts w:ascii="Arial" w:hAnsi="Arial" w:cs="Arial"/>
          <w:sz w:val="24"/>
          <w:szCs w:val="24"/>
        </w:rPr>
        <w:t xml:space="preserve">in 1848 </w:t>
      </w:r>
      <w:r w:rsidR="00A2559A">
        <w:rPr>
          <w:rFonts w:ascii="Arial" w:hAnsi="Arial" w:cs="Arial"/>
          <w:sz w:val="24"/>
          <w:szCs w:val="24"/>
        </w:rPr>
        <w:t xml:space="preserve">was considered a reflection of his talents and zeal, and </w:t>
      </w:r>
      <w:r w:rsidR="00EE7708">
        <w:rPr>
          <w:rFonts w:ascii="Arial" w:hAnsi="Arial" w:cs="Arial"/>
          <w:sz w:val="24"/>
          <w:szCs w:val="24"/>
        </w:rPr>
        <w:t xml:space="preserve">was </w:t>
      </w:r>
      <w:r w:rsidR="00A2559A">
        <w:rPr>
          <w:rFonts w:ascii="Arial" w:hAnsi="Arial" w:cs="Arial"/>
          <w:sz w:val="24"/>
          <w:szCs w:val="24"/>
        </w:rPr>
        <w:t xml:space="preserve">also </w:t>
      </w:r>
      <w:r w:rsidR="00EE7708">
        <w:rPr>
          <w:rFonts w:ascii="Arial" w:hAnsi="Arial" w:cs="Arial"/>
          <w:sz w:val="24"/>
          <w:szCs w:val="24"/>
        </w:rPr>
        <w:t>a role</w:t>
      </w:r>
      <w:r w:rsidR="00A2559A">
        <w:rPr>
          <w:rFonts w:ascii="Arial" w:hAnsi="Arial" w:cs="Arial"/>
          <w:sz w:val="24"/>
          <w:szCs w:val="24"/>
        </w:rPr>
        <w:t xml:space="preserve"> which ‘gave him status as a financial authority’.</w:t>
      </w:r>
      <w:r w:rsidR="00A2559A">
        <w:rPr>
          <w:rStyle w:val="EndnoteReference"/>
          <w:rFonts w:ascii="Arial" w:hAnsi="Arial" w:cs="Arial"/>
          <w:sz w:val="24"/>
          <w:szCs w:val="24"/>
        </w:rPr>
        <w:endnoteReference w:id="115"/>
      </w:r>
      <w:r w:rsidR="00A2559A">
        <w:rPr>
          <w:rFonts w:ascii="Arial" w:hAnsi="Arial" w:cs="Arial"/>
          <w:sz w:val="24"/>
          <w:szCs w:val="24"/>
        </w:rPr>
        <w:t xml:space="preserve"> It was from the latter that his </w:t>
      </w:r>
      <w:r w:rsidR="00EE7708">
        <w:rPr>
          <w:rFonts w:ascii="Arial" w:hAnsi="Arial" w:cs="Arial"/>
          <w:sz w:val="24"/>
          <w:szCs w:val="24"/>
        </w:rPr>
        <w:t>burgeoning</w:t>
      </w:r>
      <w:r w:rsidR="00A2559A">
        <w:rPr>
          <w:rFonts w:ascii="Arial" w:hAnsi="Arial" w:cs="Arial"/>
          <w:sz w:val="24"/>
          <w:szCs w:val="24"/>
        </w:rPr>
        <w:t xml:space="preserve"> reputation in political as well as commercial circles could grow, and that he started to acquire the eye and indeed ear of Ministers.</w:t>
      </w:r>
    </w:p>
    <w:p w14:paraId="01EA1018" w14:textId="77777777" w:rsidR="00A2559A" w:rsidRDefault="00A2559A" w:rsidP="00CB55F1">
      <w:pPr>
        <w:spacing w:after="0" w:line="480" w:lineRule="auto"/>
        <w:jc w:val="both"/>
        <w:rPr>
          <w:rFonts w:ascii="Arial" w:hAnsi="Arial" w:cs="Arial"/>
          <w:sz w:val="24"/>
          <w:szCs w:val="24"/>
        </w:rPr>
      </w:pPr>
    </w:p>
    <w:p w14:paraId="1F36DCA7" w14:textId="4668210F" w:rsidR="00CB55F1" w:rsidRPr="00CB55F1" w:rsidRDefault="00A2559A" w:rsidP="00CB55F1">
      <w:pPr>
        <w:spacing w:after="0" w:line="480" w:lineRule="auto"/>
        <w:jc w:val="both"/>
        <w:rPr>
          <w:rFonts w:ascii="Arial" w:hAnsi="Arial" w:cs="Arial"/>
          <w:sz w:val="24"/>
          <w:szCs w:val="24"/>
        </w:rPr>
      </w:pPr>
      <w:r>
        <w:rPr>
          <w:rFonts w:ascii="Arial" w:hAnsi="Arial" w:cs="Arial"/>
          <w:sz w:val="24"/>
          <w:szCs w:val="24"/>
        </w:rPr>
        <w:t>As talk grew of him as ‘</w:t>
      </w:r>
      <w:r w:rsidR="00EE7708">
        <w:rPr>
          <w:rFonts w:ascii="Arial" w:hAnsi="Arial" w:cs="Arial"/>
          <w:sz w:val="24"/>
          <w:szCs w:val="24"/>
        </w:rPr>
        <w:t>…</w:t>
      </w:r>
      <w:r>
        <w:rPr>
          <w:rFonts w:ascii="Arial" w:hAnsi="Arial" w:cs="Arial"/>
          <w:sz w:val="24"/>
          <w:szCs w:val="24"/>
        </w:rPr>
        <w:t xml:space="preserve">one who might </w:t>
      </w:r>
      <w:r w:rsidR="00EE7708">
        <w:rPr>
          <w:rFonts w:ascii="Arial" w:hAnsi="Arial" w:cs="Arial"/>
          <w:sz w:val="24"/>
          <w:szCs w:val="24"/>
        </w:rPr>
        <w:t>someday</w:t>
      </w:r>
      <w:r>
        <w:rPr>
          <w:rFonts w:ascii="Arial" w:hAnsi="Arial" w:cs="Arial"/>
          <w:sz w:val="24"/>
          <w:szCs w:val="24"/>
        </w:rPr>
        <w:t xml:space="preserve"> fill the office of Chancellor of the Exchequer</w:t>
      </w:r>
      <w:r w:rsidR="00414A4A">
        <w:rPr>
          <w:rStyle w:val="EndnoteReference"/>
          <w:rFonts w:ascii="Arial" w:hAnsi="Arial" w:cs="Arial"/>
          <w:sz w:val="24"/>
          <w:szCs w:val="24"/>
        </w:rPr>
        <w:endnoteReference w:id="116"/>
      </w:r>
      <w:r>
        <w:rPr>
          <w:rFonts w:ascii="Arial" w:hAnsi="Arial" w:cs="Arial"/>
          <w:sz w:val="24"/>
          <w:szCs w:val="24"/>
        </w:rPr>
        <w:t xml:space="preserve">, </w:t>
      </w:r>
      <w:r w:rsidR="00414A4A">
        <w:rPr>
          <w:rFonts w:ascii="Arial" w:hAnsi="Arial" w:cs="Arial"/>
          <w:sz w:val="24"/>
          <w:szCs w:val="24"/>
        </w:rPr>
        <w:t xml:space="preserve">he </w:t>
      </w:r>
      <w:r w:rsidR="00CB55F1" w:rsidRPr="00CB55F1">
        <w:rPr>
          <w:rFonts w:ascii="Arial" w:hAnsi="Arial" w:cs="Arial"/>
          <w:sz w:val="24"/>
          <w:szCs w:val="24"/>
        </w:rPr>
        <w:t>was appointed as a junior Lord of the Treasury by Lord Aberdeen in 1853.</w:t>
      </w:r>
      <w:r w:rsidR="00CB55F1" w:rsidRPr="00CB55F1">
        <w:rPr>
          <w:rStyle w:val="EndnoteReference"/>
          <w:rFonts w:ascii="Arial" w:hAnsi="Arial" w:cs="Arial"/>
          <w:sz w:val="24"/>
          <w:szCs w:val="24"/>
        </w:rPr>
        <w:endnoteReference w:id="117"/>
      </w:r>
      <w:r w:rsidR="00CB55F1" w:rsidRPr="00CB55F1">
        <w:rPr>
          <w:rFonts w:ascii="Arial" w:hAnsi="Arial" w:cs="Arial"/>
          <w:sz w:val="24"/>
          <w:szCs w:val="24"/>
        </w:rPr>
        <w:t xml:space="preserve"> </w:t>
      </w:r>
      <w:r w:rsidR="00414A4A">
        <w:rPr>
          <w:rFonts w:ascii="Arial" w:hAnsi="Arial" w:cs="Arial"/>
          <w:sz w:val="24"/>
          <w:szCs w:val="24"/>
        </w:rPr>
        <w:t>This came at a cost, as his ‘desertion from the standard of ultra-Romanism’ necessary to take up this position</w:t>
      </w:r>
      <w:r w:rsidR="00EE7708">
        <w:rPr>
          <w:rFonts w:ascii="Arial" w:hAnsi="Arial" w:cs="Arial"/>
          <w:sz w:val="24"/>
          <w:szCs w:val="24"/>
        </w:rPr>
        <w:t>,</w:t>
      </w:r>
      <w:r w:rsidR="00414A4A">
        <w:rPr>
          <w:rFonts w:ascii="Arial" w:hAnsi="Arial" w:cs="Arial"/>
          <w:sz w:val="24"/>
          <w:szCs w:val="24"/>
        </w:rPr>
        <w:t xml:space="preserve"> led to the loss of his Parliamentary seat,</w:t>
      </w:r>
      <w:r w:rsidR="00F51ECB">
        <w:rPr>
          <w:rStyle w:val="EndnoteReference"/>
          <w:rFonts w:ascii="Arial" w:hAnsi="Arial" w:cs="Arial"/>
          <w:sz w:val="24"/>
          <w:szCs w:val="24"/>
        </w:rPr>
        <w:endnoteReference w:id="118"/>
      </w:r>
      <w:r w:rsidR="00414A4A">
        <w:rPr>
          <w:rFonts w:ascii="Arial" w:hAnsi="Arial" w:cs="Arial"/>
          <w:sz w:val="24"/>
          <w:szCs w:val="24"/>
        </w:rPr>
        <w:t xml:space="preserve"> but he was apparently un-phased by finding himself as a ‘politician whom no political party would trust’, which for many would be a position too ‘hazardous’ </w:t>
      </w:r>
      <w:r w:rsidR="00EE7708">
        <w:rPr>
          <w:rFonts w:ascii="Arial" w:hAnsi="Arial" w:cs="Arial"/>
          <w:sz w:val="24"/>
          <w:szCs w:val="24"/>
        </w:rPr>
        <w:t>to contemplate</w:t>
      </w:r>
      <w:r w:rsidR="00414A4A">
        <w:rPr>
          <w:rFonts w:ascii="Arial" w:hAnsi="Arial" w:cs="Arial"/>
          <w:sz w:val="24"/>
          <w:szCs w:val="24"/>
        </w:rPr>
        <w:t>.</w:t>
      </w:r>
      <w:r w:rsidR="00414A4A">
        <w:rPr>
          <w:rStyle w:val="EndnoteReference"/>
          <w:rFonts w:ascii="Arial" w:hAnsi="Arial" w:cs="Arial"/>
          <w:sz w:val="24"/>
          <w:szCs w:val="24"/>
        </w:rPr>
        <w:endnoteReference w:id="119"/>
      </w:r>
      <w:r w:rsidR="00414A4A">
        <w:rPr>
          <w:rFonts w:ascii="Arial" w:hAnsi="Arial" w:cs="Arial"/>
          <w:sz w:val="24"/>
          <w:szCs w:val="24"/>
        </w:rPr>
        <w:t xml:space="preserve">  However</w:t>
      </w:r>
      <w:r w:rsidR="00FF20FD">
        <w:rPr>
          <w:rFonts w:ascii="Arial" w:hAnsi="Arial" w:cs="Arial"/>
          <w:sz w:val="24"/>
          <w:szCs w:val="24"/>
        </w:rPr>
        <w:t xml:space="preserve">, </w:t>
      </w:r>
      <w:r w:rsidR="00EE7708">
        <w:rPr>
          <w:rFonts w:ascii="Arial" w:hAnsi="Arial" w:cs="Arial"/>
          <w:sz w:val="24"/>
          <w:szCs w:val="24"/>
        </w:rPr>
        <w:t xml:space="preserve">by 1856, </w:t>
      </w:r>
      <w:r w:rsidR="00FF20FD">
        <w:rPr>
          <w:rFonts w:ascii="Arial" w:hAnsi="Arial" w:cs="Arial"/>
          <w:sz w:val="24"/>
          <w:szCs w:val="24"/>
        </w:rPr>
        <w:t>this ‘flattering appointment’</w:t>
      </w:r>
      <w:r w:rsidR="00EE7708">
        <w:rPr>
          <w:rFonts w:ascii="Arial" w:hAnsi="Arial" w:cs="Arial"/>
          <w:sz w:val="24"/>
          <w:szCs w:val="24"/>
        </w:rPr>
        <w:t>,</w:t>
      </w:r>
      <w:r w:rsidR="00FF20FD">
        <w:rPr>
          <w:rFonts w:ascii="Arial" w:hAnsi="Arial" w:cs="Arial"/>
          <w:sz w:val="24"/>
          <w:szCs w:val="24"/>
        </w:rPr>
        <w:t xml:space="preserve"> which could have led to </w:t>
      </w:r>
      <w:r w:rsidR="004432E4">
        <w:rPr>
          <w:rFonts w:ascii="Arial" w:hAnsi="Arial" w:cs="Arial"/>
          <w:sz w:val="24"/>
          <w:szCs w:val="24"/>
        </w:rPr>
        <w:t>the prize of the Exchequer post</w:t>
      </w:r>
      <w:r w:rsidR="00EE7708">
        <w:rPr>
          <w:rFonts w:ascii="Arial" w:hAnsi="Arial" w:cs="Arial"/>
          <w:sz w:val="24"/>
          <w:szCs w:val="24"/>
        </w:rPr>
        <w:t>,</w:t>
      </w:r>
      <w:r w:rsidR="004432E4">
        <w:rPr>
          <w:rFonts w:ascii="Arial" w:hAnsi="Arial" w:cs="Arial"/>
          <w:sz w:val="24"/>
          <w:szCs w:val="24"/>
        </w:rPr>
        <w:t xml:space="preserve"> was beset with </w:t>
      </w:r>
      <w:r w:rsidR="00CB55F1" w:rsidRPr="00CB55F1">
        <w:rPr>
          <w:rFonts w:ascii="Arial" w:hAnsi="Arial" w:cs="Arial"/>
          <w:sz w:val="24"/>
          <w:szCs w:val="24"/>
        </w:rPr>
        <w:t xml:space="preserve">disquiet about </w:t>
      </w:r>
      <w:r w:rsidR="005F6686">
        <w:rPr>
          <w:rFonts w:ascii="Arial" w:hAnsi="Arial" w:cs="Arial"/>
          <w:sz w:val="24"/>
          <w:szCs w:val="24"/>
        </w:rPr>
        <w:t>Sadleir</w:t>
      </w:r>
      <w:r w:rsidR="00CB55F1" w:rsidRPr="00CB55F1">
        <w:rPr>
          <w:rFonts w:ascii="Arial" w:hAnsi="Arial" w:cs="Arial"/>
          <w:sz w:val="24"/>
          <w:szCs w:val="24"/>
        </w:rPr>
        <w:t>’s commercial dealings</w:t>
      </w:r>
      <w:r w:rsidR="004432E4">
        <w:rPr>
          <w:rFonts w:ascii="Arial" w:hAnsi="Arial" w:cs="Arial"/>
          <w:sz w:val="24"/>
          <w:szCs w:val="24"/>
        </w:rPr>
        <w:t xml:space="preserve">. These </w:t>
      </w:r>
      <w:r w:rsidR="00CB55F1" w:rsidRPr="00CB55F1">
        <w:rPr>
          <w:rFonts w:ascii="Arial" w:hAnsi="Arial" w:cs="Arial"/>
          <w:sz w:val="24"/>
          <w:szCs w:val="24"/>
        </w:rPr>
        <w:t>were not thought to be consistent with ‘the honour of a high government official’ especially one involved in Treasury business</w:t>
      </w:r>
      <w:r w:rsidR="00F51ECB">
        <w:rPr>
          <w:rFonts w:ascii="Arial" w:hAnsi="Arial" w:cs="Arial"/>
          <w:sz w:val="24"/>
          <w:szCs w:val="24"/>
        </w:rPr>
        <w:t>,</w:t>
      </w:r>
      <w:r w:rsidR="00CB55F1" w:rsidRPr="00CB55F1">
        <w:rPr>
          <w:rStyle w:val="EndnoteReference"/>
          <w:rFonts w:ascii="Arial" w:hAnsi="Arial" w:cs="Arial"/>
          <w:sz w:val="24"/>
          <w:szCs w:val="24"/>
        </w:rPr>
        <w:endnoteReference w:id="120"/>
      </w:r>
      <w:r w:rsidR="00CB55F1" w:rsidRPr="00CB55F1">
        <w:rPr>
          <w:rFonts w:ascii="Arial" w:hAnsi="Arial" w:cs="Arial"/>
          <w:sz w:val="24"/>
          <w:szCs w:val="24"/>
        </w:rPr>
        <w:t xml:space="preserve"> </w:t>
      </w:r>
      <w:r w:rsidR="00F51ECB">
        <w:rPr>
          <w:rFonts w:ascii="Arial" w:hAnsi="Arial" w:cs="Arial"/>
          <w:sz w:val="24"/>
          <w:szCs w:val="24"/>
        </w:rPr>
        <w:t xml:space="preserve">and </w:t>
      </w:r>
      <w:r w:rsidR="00CB55F1" w:rsidRPr="00CB55F1">
        <w:rPr>
          <w:rFonts w:ascii="Arial" w:hAnsi="Arial" w:cs="Arial"/>
          <w:sz w:val="24"/>
          <w:szCs w:val="24"/>
        </w:rPr>
        <w:t>led to his resignation from the Cabinet, and to City-wide questioning of his finances.</w:t>
      </w:r>
      <w:r w:rsidR="00CB55F1" w:rsidRPr="00CB55F1">
        <w:rPr>
          <w:rStyle w:val="EndnoteReference"/>
          <w:rFonts w:ascii="Arial" w:hAnsi="Arial" w:cs="Arial"/>
          <w:sz w:val="24"/>
          <w:szCs w:val="24"/>
        </w:rPr>
        <w:endnoteReference w:id="121"/>
      </w:r>
      <w:r w:rsidR="00CB55F1" w:rsidRPr="00CB55F1">
        <w:rPr>
          <w:rFonts w:ascii="Arial" w:hAnsi="Arial" w:cs="Arial"/>
          <w:sz w:val="24"/>
          <w:szCs w:val="24"/>
        </w:rPr>
        <w:t xml:space="preserve"> These were underpinned by </w:t>
      </w:r>
      <w:r w:rsidR="00EE7708">
        <w:rPr>
          <w:rFonts w:ascii="Arial" w:hAnsi="Arial" w:cs="Arial"/>
          <w:sz w:val="24"/>
          <w:szCs w:val="24"/>
        </w:rPr>
        <w:t xml:space="preserve">contemporaneous </w:t>
      </w:r>
      <w:r w:rsidR="00CB55F1" w:rsidRPr="00CB55F1">
        <w:rPr>
          <w:rFonts w:ascii="Arial" w:hAnsi="Arial" w:cs="Arial"/>
          <w:sz w:val="24"/>
          <w:szCs w:val="24"/>
        </w:rPr>
        <w:t xml:space="preserve">forgeries and frauds </w:t>
      </w:r>
      <w:r w:rsidR="00EE7708">
        <w:rPr>
          <w:rFonts w:ascii="Arial" w:hAnsi="Arial" w:cs="Arial"/>
          <w:sz w:val="24"/>
          <w:szCs w:val="24"/>
        </w:rPr>
        <w:t>such as</w:t>
      </w:r>
      <w:r w:rsidR="00EE7708" w:rsidRPr="00CB55F1">
        <w:rPr>
          <w:rFonts w:ascii="Arial" w:hAnsi="Arial" w:cs="Arial"/>
          <w:sz w:val="24"/>
          <w:szCs w:val="24"/>
        </w:rPr>
        <w:t xml:space="preserve"> </w:t>
      </w:r>
      <w:r w:rsidR="00CB55F1" w:rsidRPr="00CB55F1">
        <w:rPr>
          <w:rFonts w:ascii="Arial" w:hAnsi="Arial" w:cs="Arial"/>
          <w:sz w:val="24"/>
          <w:szCs w:val="24"/>
        </w:rPr>
        <w:t xml:space="preserve">the dishonouring of the Tipperary </w:t>
      </w:r>
      <w:r w:rsidR="004432E4">
        <w:rPr>
          <w:rFonts w:ascii="Arial" w:hAnsi="Arial" w:cs="Arial"/>
          <w:sz w:val="24"/>
          <w:szCs w:val="24"/>
        </w:rPr>
        <w:t xml:space="preserve">Joint Stock </w:t>
      </w:r>
      <w:r w:rsidR="00CB55F1" w:rsidRPr="00CB55F1">
        <w:rPr>
          <w:rFonts w:ascii="Arial" w:hAnsi="Arial" w:cs="Arial"/>
          <w:sz w:val="24"/>
          <w:szCs w:val="24"/>
        </w:rPr>
        <w:t>Bank’s drafts in the City in February 1856</w:t>
      </w:r>
      <w:r w:rsidR="00AA202B">
        <w:rPr>
          <w:rFonts w:ascii="Arial" w:hAnsi="Arial" w:cs="Arial"/>
          <w:sz w:val="24"/>
          <w:szCs w:val="24"/>
        </w:rPr>
        <w:t>,</w:t>
      </w:r>
      <w:r w:rsidR="00CB55F1" w:rsidRPr="00CB55F1">
        <w:rPr>
          <w:rFonts w:ascii="Arial" w:hAnsi="Arial" w:cs="Arial"/>
          <w:sz w:val="24"/>
          <w:szCs w:val="24"/>
        </w:rPr>
        <w:t xml:space="preserve"> </w:t>
      </w:r>
      <w:r w:rsidR="00AA202B">
        <w:rPr>
          <w:rFonts w:ascii="Arial" w:hAnsi="Arial" w:cs="Arial"/>
          <w:sz w:val="24"/>
          <w:szCs w:val="24"/>
        </w:rPr>
        <w:t>which ensured</w:t>
      </w:r>
      <w:r w:rsidR="00AA202B" w:rsidRPr="00CB55F1">
        <w:rPr>
          <w:rFonts w:ascii="Arial" w:hAnsi="Arial" w:cs="Arial"/>
          <w:sz w:val="24"/>
          <w:szCs w:val="24"/>
        </w:rPr>
        <w:t xml:space="preserve"> </w:t>
      </w:r>
      <w:r w:rsidR="00CB55F1" w:rsidRPr="00CB55F1">
        <w:rPr>
          <w:rFonts w:ascii="Arial" w:hAnsi="Arial" w:cs="Arial"/>
          <w:sz w:val="24"/>
          <w:szCs w:val="24"/>
        </w:rPr>
        <w:t xml:space="preserve">that discovery of </w:t>
      </w:r>
      <w:r w:rsidR="005F6686">
        <w:rPr>
          <w:rFonts w:ascii="Arial" w:hAnsi="Arial" w:cs="Arial"/>
          <w:sz w:val="24"/>
          <w:szCs w:val="24"/>
        </w:rPr>
        <w:t>Sadleir</w:t>
      </w:r>
      <w:r w:rsidR="00EE7708">
        <w:rPr>
          <w:rFonts w:ascii="Arial" w:hAnsi="Arial" w:cs="Arial"/>
          <w:sz w:val="24"/>
          <w:szCs w:val="24"/>
        </w:rPr>
        <w:t>’s</w:t>
      </w:r>
      <w:r w:rsidR="00EE7708" w:rsidRPr="00CB55F1">
        <w:rPr>
          <w:rFonts w:ascii="Arial" w:hAnsi="Arial" w:cs="Arial"/>
          <w:sz w:val="24"/>
          <w:szCs w:val="24"/>
        </w:rPr>
        <w:t xml:space="preserve"> </w:t>
      </w:r>
      <w:r w:rsidR="00CB55F1" w:rsidRPr="00CB55F1">
        <w:rPr>
          <w:rFonts w:ascii="Arial" w:hAnsi="Arial" w:cs="Arial"/>
          <w:sz w:val="24"/>
          <w:szCs w:val="24"/>
        </w:rPr>
        <w:t>misdeeds was</w:t>
      </w:r>
      <w:r w:rsidR="00EE7708">
        <w:rPr>
          <w:rFonts w:ascii="Arial" w:hAnsi="Arial" w:cs="Arial"/>
          <w:sz w:val="24"/>
          <w:szCs w:val="24"/>
        </w:rPr>
        <w:t xml:space="preserve"> somewhat</w:t>
      </w:r>
      <w:r w:rsidR="00CB55F1" w:rsidRPr="00CB55F1">
        <w:rPr>
          <w:rFonts w:ascii="Arial" w:hAnsi="Arial" w:cs="Arial"/>
          <w:sz w:val="24"/>
          <w:szCs w:val="24"/>
        </w:rPr>
        <w:t xml:space="preserve"> inevitable.</w:t>
      </w:r>
      <w:r w:rsidR="00CB55F1" w:rsidRPr="00CB55F1">
        <w:rPr>
          <w:rStyle w:val="EndnoteReference"/>
          <w:rFonts w:ascii="Arial" w:hAnsi="Arial" w:cs="Arial"/>
          <w:sz w:val="24"/>
          <w:szCs w:val="24"/>
        </w:rPr>
        <w:endnoteReference w:id="122"/>
      </w:r>
    </w:p>
    <w:p w14:paraId="16BBC637" w14:textId="77777777" w:rsidR="00CB55F1" w:rsidRPr="00CB55F1" w:rsidRDefault="00CB55F1" w:rsidP="00CB55F1">
      <w:pPr>
        <w:spacing w:after="0" w:line="480" w:lineRule="auto"/>
        <w:jc w:val="both"/>
        <w:rPr>
          <w:rFonts w:ascii="Arial" w:hAnsi="Arial" w:cs="Arial"/>
          <w:sz w:val="24"/>
          <w:szCs w:val="24"/>
        </w:rPr>
      </w:pPr>
    </w:p>
    <w:p w14:paraId="108A90B2" w14:textId="41B87838" w:rsidR="00513523" w:rsidRDefault="00CB55F1" w:rsidP="00CB55F1">
      <w:pPr>
        <w:spacing w:after="0" w:line="480" w:lineRule="auto"/>
        <w:jc w:val="both"/>
        <w:rPr>
          <w:rFonts w:ascii="Arial" w:hAnsi="Arial" w:cs="Arial"/>
          <w:sz w:val="24"/>
          <w:szCs w:val="24"/>
        </w:rPr>
      </w:pPr>
      <w:r w:rsidRPr="00CB55F1">
        <w:rPr>
          <w:rFonts w:ascii="Arial" w:hAnsi="Arial" w:cs="Arial"/>
          <w:sz w:val="24"/>
          <w:szCs w:val="24"/>
        </w:rPr>
        <w:t xml:space="preserve">Although the </w:t>
      </w:r>
      <w:r w:rsidR="004432E4">
        <w:rPr>
          <w:rFonts w:ascii="Arial" w:hAnsi="Arial" w:cs="Arial"/>
          <w:sz w:val="24"/>
          <w:szCs w:val="24"/>
        </w:rPr>
        <w:t>‘</w:t>
      </w:r>
      <w:r w:rsidRPr="00CB55F1">
        <w:rPr>
          <w:rFonts w:ascii="Arial" w:hAnsi="Arial" w:cs="Arial"/>
          <w:sz w:val="24"/>
          <w:szCs w:val="24"/>
        </w:rPr>
        <w:t>Tipperary</w:t>
      </w:r>
      <w:r w:rsidR="004432E4">
        <w:rPr>
          <w:rFonts w:ascii="Arial" w:hAnsi="Arial" w:cs="Arial"/>
          <w:sz w:val="24"/>
          <w:szCs w:val="24"/>
        </w:rPr>
        <w:t xml:space="preserve"> scandal’ </w:t>
      </w:r>
      <w:r w:rsidRPr="00CB55F1">
        <w:rPr>
          <w:rFonts w:ascii="Arial" w:hAnsi="Arial" w:cs="Arial"/>
          <w:sz w:val="24"/>
          <w:szCs w:val="24"/>
        </w:rPr>
        <w:t xml:space="preserve">precipitated </w:t>
      </w:r>
      <w:r w:rsidR="005F6686">
        <w:rPr>
          <w:rFonts w:ascii="Arial" w:hAnsi="Arial" w:cs="Arial"/>
          <w:sz w:val="24"/>
          <w:szCs w:val="24"/>
        </w:rPr>
        <w:t>Sadleir</w:t>
      </w:r>
      <w:r w:rsidRPr="00CB55F1">
        <w:rPr>
          <w:rFonts w:ascii="Arial" w:hAnsi="Arial" w:cs="Arial"/>
          <w:sz w:val="24"/>
          <w:szCs w:val="24"/>
        </w:rPr>
        <w:t xml:space="preserve">’s suicide, it was a much less shocking occurrence for contemporaries than </w:t>
      </w:r>
      <w:r w:rsidR="00EE7708">
        <w:rPr>
          <w:rFonts w:ascii="Arial" w:hAnsi="Arial" w:cs="Arial"/>
          <w:sz w:val="24"/>
          <w:szCs w:val="24"/>
        </w:rPr>
        <w:t xml:space="preserve">many </w:t>
      </w:r>
      <w:r w:rsidRPr="00CB55F1">
        <w:rPr>
          <w:rFonts w:ascii="Arial" w:hAnsi="Arial" w:cs="Arial"/>
          <w:sz w:val="24"/>
          <w:szCs w:val="24"/>
        </w:rPr>
        <w:t>other</w:t>
      </w:r>
      <w:r w:rsidR="00EE7708">
        <w:rPr>
          <w:rFonts w:ascii="Arial" w:hAnsi="Arial" w:cs="Arial"/>
          <w:sz w:val="24"/>
          <w:szCs w:val="24"/>
        </w:rPr>
        <w:t xml:space="preserve"> notable episodes</w:t>
      </w:r>
      <w:r w:rsidRPr="00CB55F1">
        <w:rPr>
          <w:rFonts w:ascii="Arial" w:hAnsi="Arial" w:cs="Arial"/>
          <w:sz w:val="24"/>
          <w:szCs w:val="24"/>
        </w:rPr>
        <w:t xml:space="preserve"> of the 1850s. </w:t>
      </w:r>
      <w:r w:rsidR="004432E4">
        <w:rPr>
          <w:rFonts w:ascii="Arial" w:hAnsi="Arial" w:cs="Arial"/>
          <w:sz w:val="24"/>
          <w:szCs w:val="24"/>
        </w:rPr>
        <w:t>The bank whose drafts were ultimately dishonoured in the City amid rumour of fraud and forgery</w:t>
      </w:r>
      <w:r w:rsidR="00633A26">
        <w:rPr>
          <w:rFonts w:ascii="Arial" w:hAnsi="Arial" w:cs="Arial"/>
          <w:sz w:val="24"/>
          <w:szCs w:val="24"/>
        </w:rPr>
        <w:t>,</w:t>
      </w:r>
      <w:r w:rsidR="004432E4">
        <w:rPr>
          <w:rFonts w:ascii="Arial" w:hAnsi="Arial" w:cs="Arial"/>
          <w:sz w:val="24"/>
          <w:szCs w:val="24"/>
        </w:rPr>
        <w:t xml:space="preserve"> </w:t>
      </w:r>
      <w:r w:rsidR="00633A26">
        <w:rPr>
          <w:rFonts w:ascii="Arial" w:hAnsi="Arial" w:cs="Arial"/>
          <w:sz w:val="24"/>
          <w:szCs w:val="24"/>
        </w:rPr>
        <w:t>was</w:t>
      </w:r>
      <w:r w:rsidR="004432E4">
        <w:rPr>
          <w:rFonts w:ascii="Arial" w:hAnsi="Arial" w:cs="Arial"/>
          <w:sz w:val="24"/>
          <w:szCs w:val="24"/>
        </w:rPr>
        <w:t xml:space="preserve"> </w:t>
      </w:r>
      <w:r w:rsidR="005F6686">
        <w:rPr>
          <w:rFonts w:ascii="Arial" w:hAnsi="Arial" w:cs="Arial"/>
          <w:sz w:val="24"/>
          <w:szCs w:val="24"/>
        </w:rPr>
        <w:t>Sadleir</w:t>
      </w:r>
      <w:r w:rsidR="004432E4">
        <w:rPr>
          <w:rFonts w:ascii="Arial" w:hAnsi="Arial" w:cs="Arial"/>
          <w:sz w:val="24"/>
          <w:szCs w:val="24"/>
        </w:rPr>
        <w:t xml:space="preserve">’s ‘creation’, </w:t>
      </w:r>
      <w:r w:rsidR="00633A26">
        <w:rPr>
          <w:rFonts w:ascii="Arial" w:hAnsi="Arial" w:cs="Arial"/>
          <w:sz w:val="24"/>
          <w:szCs w:val="24"/>
        </w:rPr>
        <w:t>as</w:t>
      </w:r>
      <w:r w:rsidR="004432E4">
        <w:rPr>
          <w:rFonts w:ascii="Arial" w:hAnsi="Arial" w:cs="Arial"/>
          <w:sz w:val="24"/>
          <w:szCs w:val="24"/>
        </w:rPr>
        <w:t xml:space="preserve"> he was instrumental in increasing the profile of the small bank established by his grandfather, which had </w:t>
      </w:r>
      <w:r w:rsidR="00F51ECB">
        <w:rPr>
          <w:rFonts w:ascii="Arial" w:hAnsi="Arial" w:cs="Arial"/>
          <w:sz w:val="24"/>
          <w:szCs w:val="24"/>
        </w:rPr>
        <w:t xml:space="preserve">traditionally </w:t>
      </w:r>
      <w:r w:rsidR="004432E4">
        <w:rPr>
          <w:rFonts w:ascii="Arial" w:hAnsi="Arial" w:cs="Arial"/>
          <w:sz w:val="24"/>
          <w:szCs w:val="24"/>
        </w:rPr>
        <w:t xml:space="preserve">enjoyed </w:t>
      </w:r>
      <w:r w:rsidRPr="00CB55F1">
        <w:rPr>
          <w:rFonts w:ascii="Arial" w:hAnsi="Arial" w:cs="Arial"/>
          <w:sz w:val="24"/>
          <w:szCs w:val="24"/>
        </w:rPr>
        <w:t xml:space="preserve">a sound reputation and </w:t>
      </w:r>
      <w:r w:rsidR="00F51ECB">
        <w:rPr>
          <w:rFonts w:ascii="Arial" w:hAnsi="Arial" w:cs="Arial"/>
          <w:sz w:val="24"/>
          <w:szCs w:val="24"/>
        </w:rPr>
        <w:t>conducted</w:t>
      </w:r>
      <w:r w:rsidR="004432E4">
        <w:rPr>
          <w:rFonts w:ascii="Arial" w:hAnsi="Arial" w:cs="Arial"/>
          <w:sz w:val="24"/>
          <w:szCs w:val="24"/>
        </w:rPr>
        <w:t xml:space="preserve"> its business </w:t>
      </w:r>
      <w:r w:rsidRPr="00CB55F1">
        <w:rPr>
          <w:rFonts w:ascii="Arial" w:hAnsi="Arial" w:cs="Arial"/>
          <w:sz w:val="24"/>
          <w:szCs w:val="24"/>
        </w:rPr>
        <w:t>on a ‘very limited’ scale</w:t>
      </w:r>
      <w:r w:rsidR="004432E4">
        <w:rPr>
          <w:rFonts w:ascii="Arial" w:hAnsi="Arial" w:cs="Arial"/>
          <w:sz w:val="24"/>
          <w:szCs w:val="24"/>
        </w:rPr>
        <w:t>.</w:t>
      </w:r>
      <w:r w:rsidRPr="00CB55F1">
        <w:rPr>
          <w:rStyle w:val="EndnoteReference"/>
          <w:rFonts w:ascii="Arial" w:hAnsi="Arial" w:cs="Arial"/>
          <w:sz w:val="24"/>
          <w:szCs w:val="24"/>
        </w:rPr>
        <w:endnoteReference w:id="123"/>
      </w:r>
      <w:r w:rsidRPr="00CB55F1">
        <w:rPr>
          <w:rFonts w:ascii="Arial" w:hAnsi="Arial" w:cs="Arial"/>
          <w:sz w:val="24"/>
          <w:szCs w:val="24"/>
        </w:rPr>
        <w:t xml:space="preserve"> </w:t>
      </w:r>
      <w:r w:rsidR="004432E4">
        <w:rPr>
          <w:rFonts w:ascii="Arial" w:hAnsi="Arial" w:cs="Arial"/>
          <w:sz w:val="24"/>
          <w:szCs w:val="24"/>
        </w:rPr>
        <w:t xml:space="preserve">Clearly it was not, as represented by report and balance-sheet </w:t>
      </w:r>
      <w:r w:rsidR="00F51ECB">
        <w:rPr>
          <w:rFonts w:ascii="Arial" w:hAnsi="Arial" w:cs="Arial"/>
          <w:sz w:val="24"/>
          <w:szCs w:val="24"/>
        </w:rPr>
        <w:t xml:space="preserve">published in 1856, </w:t>
      </w:r>
      <w:r w:rsidR="004432E4">
        <w:rPr>
          <w:rFonts w:ascii="Arial" w:hAnsi="Arial" w:cs="Arial"/>
          <w:sz w:val="24"/>
          <w:szCs w:val="24"/>
        </w:rPr>
        <w:t xml:space="preserve">‘in the most flourishing condition’ and the amount of misery caused by </w:t>
      </w:r>
      <w:r w:rsidR="005F6686">
        <w:rPr>
          <w:rFonts w:ascii="Arial" w:hAnsi="Arial" w:cs="Arial"/>
          <w:sz w:val="24"/>
          <w:szCs w:val="24"/>
        </w:rPr>
        <w:t>Sadleir</w:t>
      </w:r>
      <w:r w:rsidR="004432E4">
        <w:rPr>
          <w:rFonts w:ascii="Arial" w:hAnsi="Arial" w:cs="Arial"/>
          <w:sz w:val="24"/>
          <w:szCs w:val="24"/>
        </w:rPr>
        <w:t xml:space="preserve">’s dishonesty </w:t>
      </w:r>
      <w:r w:rsidR="00F51ECB">
        <w:rPr>
          <w:rFonts w:ascii="Arial" w:hAnsi="Arial" w:cs="Arial"/>
          <w:sz w:val="24"/>
          <w:szCs w:val="24"/>
        </w:rPr>
        <w:t xml:space="preserve">was </w:t>
      </w:r>
      <w:r w:rsidR="004432E4">
        <w:rPr>
          <w:rFonts w:ascii="Arial" w:hAnsi="Arial" w:cs="Arial"/>
          <w:sz w:val="24"/>
          <w:szCs w:val="24"/>
        </w:rPr>
        <w:t>said to be ‘incalculable’</w:t>
      </w:r>
      <w:r w:rsidR="00F51ECB">
        <w:rPr>
          <w:rFonts w:ascii="Arial" w:hAnsi="Arial" w:cs="Arial"/>
          <w:sz w:val="24"/>
          <w:szCs w:val="24"/>
        </w:rPr>
        <w:t>.</w:t>
      </w:r>
      <w:r w:rsidR="00513523">
        <w:rPr>
          <w:rStyle w:val="EndnoteReference"/>
          <w:rFonts w:ascii="Arial" w:hAnsi="Arial" w:cs="Arial"/>
          <w:sz w:val="24"/>
          <w:szCs w:val="24"/>
        </w:rPr>
        <w:endnoteReference w:id="124"/>
      </w:r>
      <w:r w:rsidR="00F51ECB">
        <w:rPr>
          <w:rFonts w:ascii="Arial" w:hAnsi="Arial" w:cs="Arial"/>
          <w:sz w:val="24"/>
          <w:szCs w:val="24"/>
        </w:rPr>
        <w:t xml:space="preserve"> But the bank </w:t>
      </w:r>
      <w:r w:rsidRPr="00CB55F1">
        <w:rPr>
          <w:rFonts w:ascii="Arial" w:hAnsi="Arial" w:cs="Arial"/>
          <w:sz w:val="24"/>
          <w:szCs w:val="24"/>
        </w:rPr>
        <w:t xml:space="preserve">lacked the wide customer base of private and commercial clients </w:t>
      </w:r>
      <w:r w:rsidR="00513523">
        <w:rPr>
          <w:rFonts w:ascii="Arial" w:hAnsi="Arial" w:cs="Arial"/>
          <w:sz w:val="24"/>
          <w:szCs w:val="24"/>
        </w:rPr>
        <w:t xml:space="preserve">found elsewhere. It was the latter </w:t>
      </w:r>
      <w:r w:rsidRPr="00CB55F1">
        <w:rPr>
          <w:rFonts w:ascii="Arial" w:hAnsi="Arial" w:cs="Arial"/>
          <w:sz w:val="24"/>
          <w:szCs w:val="24"/>
        </w:rPr>
        <w:t xml:space="preserve">which ensured that when the ‘barely contemplated’ event of ‘suspension of a metropolitan joint-stock bank’ </w:t>
      </w:r>
      <w:r w:rsidRPr="00CB55F1">
        <w:rPr>
          <w:rFonts w:ascii="Arial" w:hAnsi="Arial" w:cs="Arial"/>
          <w:i/>
          <w:sz w:val="24"/>
          <w:szCs w:val="24"/>
        </w:rPr>
        <w:t xml:space="preserve">did </w:t>
      </w:r>
      <w:r w:rsidRPr="00CB55F1">
        <w:rPr>
          <w:rFonts w:ascii="Arial" w:hAnsi="Arial" w:cs="Arial"/>
          <w:sz w:val="24"/>
          <w:szCs w:val="24"/>
        </w:rPr>
        <w:t xml:space="preserve">transpire in the collapse of the Royal British Bank </w:t>
      </w:r>
      <w:r w:rsidR="00633A26">
        <w:rPr>
          <w:rFonts w:ascii="Arial" w:hAnsi="Arial" w:cs="Arial"/>
          <w:sz w:val="24"/>
          <w:szCs w:val="24"/>
        </w:rPr>
        <w:t>(</w:t>
      </w:r>
      <w:r w:rsidRPr="00CB55F1">
        <w:rPr>
          <w:rFonts w:ascii="Arial" w:hAnsi="Arial" w:cs="Arial"/>
          <w:sz w:val="24"/>
          <w:szCs w:val="24"/>
        </w:rPr>
        <w:t>also in 1856</w:t>
      </w:r>
      <w:r w:rsidR="00633A26">
        <w:rPr>
          <w:rFonts w:ascii="Arial" w:hAnsi="Arial" w:cs="Arial"/>
          <w:sz w:val="24"/>
          <w:szCs w:val="24"/>
        </w:rPr>
        <w:t>)</w:t>
      </w:r>
      <w:r w:rsidR="00AA202B">
        <w:rPr>
          <w:rFonts w:ascii="Arial" w:hAnsi="Arial" w:cs="Arial"/>
          <w:sz w:val="24"/>
          <w:szCs w:val="24"/>
        </w:rPr>
        <w:t>,</w:t>
      </w:r>
      <w:r w:rsidRPr="00CB55F1">
        <w:rPr>
          <w:rFonts w:ascii="Arial" w:hAnsi="Arial" w:cs="Arial"/>
          <w:sz w:val="24"/>
          <w:szCs w:val="24"/>
        </w:rPr>
        <w:t xml:space="preserve"> </w:t>
      </w:r>
      <w:r w:rsidR="00AA202B">
        <w:rPr>
          <w:rFonts w:ascii="Arial" w:hAnsi="Arial" w:cs="Arial"/>
          <w:sz w:val="24"/>
          <w:szCs w:val="24"/>
        </w:rPr>
        <w:t>then</w:t>
      </w:r>
      <w:r w:rsidR="00AA202B" w:rsidRPr="00CB55F1">
        <w:rPr>
          <w:rFonts w:ascii="Arial" w:hAnsi="Arial" w:cs="Arial"/>
          <w:sz w:val="24"/>
          <w:szCs w:val="24"/>
        </w:rPr>
        <w:t xml:space="preserve"> </w:t>
      </w:r>
      <w:r w:rsidRPr="00CB55F1">
        <w:rPr>
          <w:rFonts w:ascii="Arial" w:hAnsi="Arial" w:cs="Arial"/>
          <w:sz w:val="24"/>
          <w:szCs w:val="24"/>
        </w:rPr>
        <w:t>the consequences were catastrophic.</w:t>
      </w:r>
      <w:r w:rsidRPr="00CB55F1">
        <w:rPr>
          <w:rStyle w:val="EndnoteReference"/>
          <w:rFonts w:ascii="Arial" w:hAnsi="Arial" w:cs="Arial"/>
          <w:sz w:val="24"/>
          <w:szCs w:val="24"/>
        </w:rPr>
        <w:endnoteReference w:id="125"/>
      </w:r>
      <w:r w:rsidRPr="00CB55F1">
        <w:rPr>
          <w:rFonts w:ascii="Arial" w:hAnsi="Arial" w:cs="Arial"/>
          <w:sz w:val="24"/>
          <w:szCs w:val="24"/>
        </w:rPr>
        <w:t xml:space="preserve"> </w:t>
      </w:r>
    </w:p>
    <w:p w14:paraId="09426C2F" w14:textId="77777777" w:rsidR="00513523" w:rsidRDefault="00513523" w:rsidP="00CB55F1">
      <w:pPr>
        <w:spacing w:after="0" w:line="480" w:lineRule="auto"/>
        <w:jc w:val="both"/>
        <w:rPr>
          <w:rFonts w:ascii="Arial" w:hAnsi="Arial" w:cs="Arial"/>
          <w:sz w:val="24"/>
          <w:szCs w:val="24"/>
        </w:rPr>
      </w:pPr>
    </w:p>
    <w:p w14:paraId="4B74A10C" w14:textId="10E85FFF" w:rsidR="00BB3ADC" w:rsidRDefault="00CB55F1" w:rsidP="00C437F4">
      <w:pPr>
        <w:spacing w:line="480" w:lineRule="auto"/>
        <w:jc w:val="both"/>
        <w:rPr>
          <w:rFonts w:ascii="Arial" w:hAnsi="Arial" w:cs="Arial"/>
          <w:sz w:val="24"/>
          <w:szCs w:val="24"/>
        </w:rPr>
      </w:pPr>
      <w:r w:rsidRPr="00CB55F1">
        <w:rPr>
          <w:rFonts w:ascii="Arial" w:hAnsi="Arial" w:cs="Arial"/>
          <w:sz w:val="24"/>
          <w:szCs w:val="24"/>
        </w:rPr>
        <w:t>Th</w:t>
      </w:r>
      <w:r w:rsidR="00C437F4">
        <w:rPr>
          <w:rFonts w:ascii="Arial" w:hAnsi="Arial" w:cs="Arial"/>
          <w:sz w:val="24"/>
          <w:szCs w:val="24"/>
        </w:rPr>
        <w:t xml:space="preserve">e shock generated by the collapse of the Royal British Bank arose from how its management, which had </w:t>
      </w:r>
      <w:r w:rsidR="00C437F4" w:rsidRPr="00C437F4">
        <w:rPr>
          <w:rFonts w:ascii="Arial" w:hAnsi="Arial" w:cs="Arial"/>
          <w:sz w:val="24"/>
          <w:szCs w:val="24"/>
        </w:rPr>
        <w:t>‘most widely digressed from the prudent path of banking business</w:t>
      </w:r>
      <w:r w:rsidR="00C437F4">
        <w:rPr>
          <w:rFonts w:ascii="Arial" w:hAnsi="Arial" w:cs="Arial"/>
          <w:sz w:val="24"/>
          <w:szCs w:val="24"/>
        </w:rPr>
        <w:t>’ and even ‘honesty and honour’</w:t>
      </w:r>
      <w:r w:rsidR="00C437F4">
        <w:rPr>
          <w:rStyle w:val="EndnoteReference"/>
          <w:rFonts w:ascii="Arial" w:hAnsi="Arial" w:cs="Arial"/>
          <w:sz w:val="24"/>
          <w:szCs w:val="24"/>
        </w:rPr>
        <w:endnoteReference w:id="126"/>
      </w:r>
      <w:r w:rsidR="00C437F4" w:rsidRPr="00C437F4">
        <w:rPr>
          <w:rFonts w:ascii="Arial" w:hAnsi="Arial" w:cs="Arial"/>
          <w:sz w:val="24"/>
          <w:szCs w:val="24"/>
        </w:rPr>
        <w:t xml:space="preserve"> </w:t>
      </w:r>
      <w:r w:rsidR="00C437F4">
        <w:rPr>
          <w:rFonts w:ascii="Arial" w:hAnsi="Arial" w:cs="Arial"/>
          <w:sz w:val="24"/>
          <w:szCs w:val="24"/>
        </w:rPr>
        <w:t xml:space="preserve">was widely publicised as inflicting </w:t>
      </w:r>
      <w:r w:rsidR="00C437F4" w:rsidRPr="00C437F4">
        <w:rPr>
          <w:rFonts w:ascii="Arial" w:hAnsi="Arial" w:cs="Arial"/>
          <w:sz w:val="24"/>
          <w:szCs w:val="24"/>
        </w:rPr>
        <w:t>‘serious loss upon a very considerable body of customers’</w:t>
      </w:r>
      <w:r w:rsidR="00C437F4">
        <w:rPr>
          <w:rFonts w:ascii="Arial" w:hAnsi="Arial" w:cs="Arial"/>
          <w:sz w:val="24"/>
          <w:szCs w:val="24"/>
        </w:rPr>
        <w:t xml:space="preserve">, many of whom were considered </w:t>
      </w:r>
      <w:r w:rsidR="00C437F4" w:rsidRPr="00C437F4">
        <w:rPr>
          <w:rFonts w:ascii="Arial" w:hAnsi="Arial" w:cs="Arial"/>
          <w:sz w:val="24"/>
          <w:szCs w:val="24"/>
        </w:rPr>
        <w:t xml:space="preserve">‘least able’ to bear a loss, </w:t>
      </w:r>
      <w:r w:rsidR="00C437F4">
        <w:rPr>
          <w:rFonts w:ascii="Arial" w:hAnsi="Arial" w:cs="Arial"/>
          <w:sz w:val="24"/>
          <w:szCs w:val="24"/>
        </w:rPr>
        <w:t>by virtue of being ‘</w:t>
      </w:r>
      <w:r w:rsidR="00C437F4" w:rsidRPr="00C437F4">
        <w:rPr>
          <w:rFonts w:ascii="Arial" w:hAnsi="Arial" w:cs="Arial"/>
          <w:sz w:val="24"/>
          <w:szCs w:val="24"/>
        </w:rPr>
        <w:t>small traders and private individuals of limited means’.</w:t>
      </w:r>
      <w:r w:rsidR="00C437F4">
        <w:rPr>
          <w:rStyle w:val="EndnoteReference"/>
          <w:rFonts w:ascii="Arial" w:hAnsi="Arial" w:cs="Arial"/>
          <w:sz w:val="24"/>
          <w:szCs w:val="24"/>
        </w:rPr>
        <w:endnoteReference w:id="127"/>
      </w:r>
      <w:r w:rsidR="00C437F4">
        <w:rPr>
          <w:rFonts w:ascii="Arial" w:hAnsi="Arial" w:cs="Arial"/>
          <w:sz w:val="24"/>
          <w:szCs w:val="24"/>
        </w:rPr>
        <w:t xml:space="preserve"> There were clearly parallels between how the Royal British Bank board were – amongst other alleged wrongdoing – helping themselves </w:t>
      </w:r>
      <w:r w:rsidR="00C437F4" w:rsidRPr="00C437F4">
        <w:rPr>
          <w:rFonts w:ascii="Arial" w:hAnsi="Arial" w:cs="Arial"/>
          <w:sz w:val="24"/>
          <w:szCs w:val="24"/>
        </w:rPr>
        <w:t>to ‘the contents of the till as it suited them’</w:t>
      </w:r>
      <w:r w:rsidR="00C437F4">
        <w:rPr>
          <w:rStyle w:val="EndnoteReference"/>
          <w:rFonts w:ascii="Arial" w:hAnsi="Arial" w:cs="Arial"/>
          <w:sz w:val="24"/>
          <w:szCs w:val="24"/>
        </w:rPr>
        <w:endnoteReference w:id="128"/>
      </w:r>
      <w:r w:rsidR="00C437F4" w:rsidRPr="00C437F4">
        <w:rPr>
          <w:rFonts w:ascii="Arial" w:hAnsi="Arial" w:cs="Arial"/>
          <w:sz w:val="24"/>
          <w:szCs w:val="24"/>
        </w:rPr>
        <w:t xml:space="preserve"> and </w:t>
      </w:r>
      <w:r w:rsidR="00C437F4">
        <w:rPr>
          <w:rFonts w:ascii="Arial" w:hAnsi="Arial" w:cs="Arial"/>
          <w:sz w:val="24"/>
          <w:szCs w:val="24"/>
        </w:rPr>
        <w:t xml:space="preserve">how private bankers Strahan, Paul and Bates had used customer deposits to cross-subsidise other enterprises they were involved in. </w:t>
      </w:r>
      <w:r w:rsidR="00C72301">
        <w:rPr>
          <w:rFonts w:ascii="Arial" w:hAnsi="Arial" w:cs="Arial"/>
          <w:sz w:val="24"/>
          <w:szCs w:val="24"/>
        </w:rPr>
        <w:t>Clearly</w:t>
      </w:r>
      <w:r w:rsidR="00BB3ADC">
        <w:rPr>
          <w:rFonts w:ascii="Arial" w:hAnsi="Arial" w:cs="Arial"/>
          <w:sz w:val="24"/>
          <w:szCs w:val="24"/>
        </w:rPr>
        <w:t xml:space="preserve"> ‘The Delinquencies of Messers. Strahan, Paul, and Bates’</w:t>
      </w:r>
      <w:r w:rsidR="00BB3ADC">
        <w:rPr>
          <w:rStyle w:val="EndnoteReference"/>
          <w:rFonts w:ascii="Arial" w:hAnsi="Arial" w:cs="Arial"/>
          <w:sz w:val="24"/>
          <w:szCs w:val="24"/>
        </w:rPr>
        <w:endnoteReference w:id="129"/>
      </w:r>
      <w:r w:rsidR="00BB3ADC">
        <w:rPr>
          <w:rFonts w:ascii="Arial" w:hAnsi="Arial" w:cs="Arial"/>
          <w:sz w:val="24"/>
          <w:szCs w:val="24"/>
        </w:rPr>
        <w:t xml:space="preserve"> </w:t>
      </w:r>
      <w:r w:rsidR="00BB3ADC" w:rsidRPr="00C72301">
        <w:rPr>
          <w:rFonts w:ascii="Arial" w:hAnsi="Arial" w:cs="Arial"/>
          <w:i/>
          <w:sz w:val="24"/>
          <w:szCs w:val="24"/>
        </w:rPr>
        <w:t xml:space="preserve">was </w:t>
      </w:r>
      <w:r w:rsidR="00BB3ADC">
        <w:rPr>
          <w:rFonts w:ascii="Arial" w:hAnsi="Arial" w:cs="Arial"/>
          <w:sz w:val="24"/>
          <w:szCs w:val="24"/>
        </w:rPr>
        <w:t xml:space="preserve">deeply </w:t>
      </w:r>
      <w:r w:rsidR="00BB3ADC">
        <w:rPr>
          <w:rFonts w:ascii="Arial" w:hAnsi="Arial" w:cs="Arial"/>
          <w:sz w:val="24"/>
          <w:szCs w:val="24"/>
        </w:rPr>
        <w:lastRenderedPageBreak/>
        <w:t>shocking for London society</w:t>
      </w:r>
      <w:r w:rsidR="00463F6E">
        <w:rPr>
          <w:rFonts w:ascii="Arial" w:hAnsi="Arial" w:cs="Arial"/>
          <w:sz w:val="24"/>
          <w:szCs w:val="24"/>
        </w:rPr>
        <w:t>, and those more accustomed to being beside them in ‘high office’, including the presiding judge for their criminal trial</w:t>
      </w:r>
      <w:r w:rsidR="00C72301">
        <w:rPr>
          <w:rFonts w:ascii="Arial" w:hAnsi="Arial" w:cs="Arial"/>
          <w:sz w:val="24"/>
          <w:szCs w:val="24"/>
        </w:rPr>
        <w:t>.</w:t>
      </w:r>
      <w:r w:rsidR="00463F6E">
        <w:rPr>
          <w:rStyle w:val="EndnoteReference"/>
          <w:rFonts w:ascii="Arial" w:hAnsi="Arial" w:cs="Arial"/>
          <w:sz w:val="24"/>
          <w:szCs w:val="24"/>
        </w:rPr>
        <w:endnoteReference w:id="130"/>
      </w:r>
      <w:r w:rsidR="00C72301">
        <w:rPr>
          <w:rFonts w:ascii="Arial" w:hAnsi="Arial" w:cs="Arial"/>
          <w:sz w:val="24"/>
          <w:szCs w:val="24"/>
        </w:rPr>
        <w:t xml:space="preserve"> </w:t>
      </w:r>
      <w:r w:rsidR="00463F6E">
        <w:rPr>
          <w:rFonts w:ascii="Arial" w:hAnsi="Arial" w:cs="Arial"/>
          <w:sz w:val="24"/>
          <w:szCs w:val="24"/>
        </w:rPr>
        <w:t>The</w:t>
      </w:r>
      <w:r w:rsidR="00F51ECB">
        <w:rPr>
          <w:rFonts w:ascii="Arial" w:hAnsi="Arial" w:cs="Arial"/>
          <w:sz w:val="24"/>
          <w:szCs w:val="24"/>
        </w:rPr>
        <w:t>se</w:t>
      </w:r>
      <w:r w:rsidR="00463F6E">
        <w:rPr>
          <w:rFonts w:ascii="Arial" w:hAnsi="Arial" w:cs="Arial"/>
          <w:sz w:val="24"/>
          <w:szCs w:val="24"/>
        </w:rPr>
        <w:t xml:space="preserve"> bankers lacked any antecedent ‘reputation for extravagance’ and were instead associated with ‘elegances of life’ and ‘a liberality of expenditure’ which appropriately reflected the ‘station of society in which they moved’</w:t>
      </w:r>
      <w:r w:rsidR="00633A26">
        <w:rPr>
          <w:rFonts w:ascii="Arial" w:hAnsi="Arial" w:cs="Arial"/>
          <w:sz w:val="24"/>
          <w:szCs w:val="24"/>
        </w:rPr>
        <w:t>.</w:t>
      </w:r>
      <w:r w:rsidR="00463F6E">
        <w:rPr>
          <w:rStyle w:val="EndnoteReference"/>
          <w:rFonts w:ascii="Arial" w:hAnsi="Arial" w:cs="Arial"/>
          <w:sz w:val="24"/>
          <w:szCs w:val="24"/>
        </w:rPr>
        <w:endnoteReference w:id="131"/>
      </w:r>
      <w:r w:rsidR="00463F6E">
        <w:rPr>
          <w:rFonts w:ascii="Arial" w:hAnsi="Arial" w:cs="Arial"/>
          <w:sz w:val="24"/>
          <w:szCs w:val="24"/>
        </w:rPr>
        <w:t xml:space="preserve"> </w:t>
      </w:r>
      <w:r w:rsidR="00633A26">
        <w:rPr>
          <w:rFonts w:ascii="Arial" w:hAnsi="Arial" w:cs="Arial"/>
          <w:sz w:val="24"/>
          <w:szCs w:val="24"/>
        </w:rPr>
        <w:t>This</w:t>
      </w:r>
      <w:r w:rsidR="00F51ECB">
        <w:rPr>
          <w:rFonts w:ascii="Arial" w:hAnsi="Arial" w:cs="Arial"/>
          <w:sz w:val="24"/>
          <w:szCs w:val="24"/>
        </w:rPr>
        <w:t xml:space="preserve"> was </w:t>
      </w:r>
      <w:r w:rsidR="00463F6E">
        <w:rPr>
          <w:rFonts w:ascii="Arial" w:hAnsi="Arial" w:cs="Arial"/>
          <w:sz w:val="24"/>
          <w:szCs w:val="24"/>
        </w:rPr>
        <w:t xml:space="preserve">certainly the case for </w:t>
      </w:r>
      <w:r w:rsidR="00F51ECB">
        <w:rPr>
          <w:rFonts w:ascii="Arial" w:hAnsi="Arial" w:cs="Arial"/>
          <w:sz w:val="24"/>
          <w:szCs w:val="24"/>
        </w:rPr>
        <w:t xml:space="preserve">Strahan and Sir John Dean Paul. Bates alone amongst the partners </w:t>
      </w:r>
      <w:r w:rsidR="00463F6E">
        <w:rPr>
          <w:rFonts w:ascii="Arial" w:hAnsi="Arial" w:cs="Arial"/>
          <w:sz w:val="24"/>
          <w:szCs w:val="24"/>
        </w:rPr>
        <w:t xml:space="preserve">could not ‘boast of private means’, </w:t>
      </w:r>
      <w:r w:rsidR="00F51ECB">
        <w:rPr>
          <w:rFonts w:ascii="Arial" w:hAnsi="Arial" w:cs="Arial"/>
          <w:sz w:val="24"/>
          <w:szCs w:val="24"/>
        </w:rPr>
        <w:t xml:space="preserve">but </w:t>
      </w:r>
      <w:r w:rsidR="00463F6E">
        <w:rPr>
          <w:rFonts w:ascii="Arial" w:hAnsi="Arial" w:cs="Arial"/>
          <w:sz w:val="24"/>
          <w:szCs w:val="24"/>
        </w:rPr>
        <w:t>his service within the bank was longstanding and he was well-acquainted with and highly trusted by customers, many of whom were drawn from the social spheres occupied particularly by Strahan and Paul</w:t>
      </w:r>
      <w:r w:rsidR="00633A26">
        <w:rPr>
          <w:rFonts w:ascii="Arial" w:hAnsi="Arial" w:cs="Arial"/>
          <w:sz w:val="24"/>
          <w:szCs w:val="24"/>
        </w:rPr>
        <w:t>;</w:t>
      </w:r>
      <w:r w:rsidR="00463F6E">
        <w:rPr>
          <w:rFonts w:ascii="Arial" w:hAnsi="Arial" w:cs="Arial"/>
          <w:sz w:val="24"/>
          <w:szCs w:val="24"/>
        </w:rPr>
        <w:t xml:space="preserve"> ‘chiefly members of the aristocracy, and wealthy commoners</w:t>
      </w:r>
      <w:r w:rsidR="00463F6E">
        <w:rPr>
          <w:rStyle w:val="EndnoteReference"/>
          <w:rFonts w:ascii="Arial" w:hAnsi="Arial" w:cs="Arial"/>
          <w:sz w:val="24"/>
          <w:szCs w:val="24"/>
        </w:rPr>
        <w:endnoteReference w:id="132"/>
      </w:r>
      <w:r w:rsidR="00463F6E">
        <w:rPr>
          <w:rFonts w:ascii="Arial" w:hAnsi="Arial" w:cs="Arial"/>
          <w:sz w:val="24"/>
          <w:szCs w:val="24"/>
        </w:rPr>
        <w:t>. This</w:t>
      </w:r>
      <w:r w:rsidR="00633A26">
        <w:rPr>
          <w:rFonts w:ascii="Arial" w:hAnsi="Arial" w:cs="Arial"/>
          <w:sz w:val="24"/>
          <w:szCs w:val="24"/>
        </w:rPr>
        <w:t>,</w:t>
      </w:r>
      <w:r w:rsidR="00463F6E">
        <w:rPr>
          <w:rFonts w:ascii="Arial" w:hAnsi="Arial" w:cs="Arial"/>
          <w:sz w:val="24"/>
          <w:szCs w:val="24"/>
        </w:rPr>
        <w:t xml:space="preserve"> combined with how all partners were ‘men of business’</w:t>
      </w:r>
      <w:r w:rsidR="00633A26">
        <w:rPr>
          <w:rFonts w:ascii="Arial" w:hAnsi="Arial" w:cs="Arial"/>
          <w:sz w:val="24"/>
          <w:szCs w:val="24"/>
        </w:rPr>
        <w:t>,</w:t>
      </w:r>
      <w:r w:rsidR="00463F6E">
        <w:rPr>
          <w:rStyle w:val="EndnoteReference"/>
          <w:rFonts w:ascii="Arial" w:hAnsi="Arial" w:cs="Arial"/>
          <w:sz w:val="24"/>
          <w:szCs w:val="24"/>
        </w:rPr>
        <w:endnoteReference w:id="133"/>
      </w:r>
      <w:r w:rsidR="00463F6E">
        <w:rPr>
          <w:rFonts w:ascii="Arial" w:hAnsi="Arial" w:cs="Arial"/>
          <w:sz w:val="24"/>
          <w:szCs w:val="24"/>
        </w:rPr>
        <w:t xml:space="preserve"> ensured that it was ‘almost impossible to imagine an establishment pressing in </w:t>
      </w:r>
      <w:r w:rsidR="00633A26">
        <w:rPr>
          <w:rFonts w:ascii="Arial" w:hAnsi="Arial" w:cs="Arial"/>
          <w:sz w:val="24"/>
          <w:szCs w:val="24"/>
        </w:rPr>
        <w:t xml:space="preserve">the main elements of success to </w:t>
      </w:r>
      <w:r w:rsidR="00463F6E">
        <w:rPr>
          <w:rFonts w:ascii="Arial" w:hAnsi="Arial" w:cs="Arial"/>
          <w:sz w:val="24"/>
          <w:szCs w:val="24"/>
        </w:rPr>
        <w:t>a more marked degree’.</w:t>
      </w:r>
      <w:r w:rsidR="00463F6E">
        <w:rPr>
          <w:rStyle w:val="EndnoteReference"/>
          <w:rFonts w:ascii="Arial" w:hAnsi="Arial" w:cs="Arial"/>
          <w:sz w:val="24"/>
          <w:szCs w:val="24"/>
        </w:rPr>
        <w:endnoteReference w:id="134"/>
      </w:r>
    </w:p>
    <w:p w14:paraId="629C1A1E" w14:textId="2AB60B86" w:rsidR="00056B0E" w:rsidRDefault="00056B0E" w:rsidP="00C437F4">
      <w:pPr>
        <w:spacing w:line="480" w:lineRule="auto"/>
        <w:jc w:val="both"/>
        <w:rPr>
          <w:rFonts w:ascii="Arial" w:hAnsi="Arial" w:cs="Arial"/>
          <w:sz w:val="24"/>
          <w:szCs w:val="24"/>
        </w:rPr>
      </w:pPr>
      <w:r>
        <w:rPr>
          <w:rFonts w:ascii="Arial" w:hAnsi="Arial" w:cs="Arial"/>
          <w:sz w:val="24"/>
          <w:szCs w:val="24"/>
        </w:rPr>
        <w:t>It was their involvement with other enterprises and commercial ventures which meant that notwithstanding all outward appearances to the contrary, the ‘reprehensible practice of borrowing from the bank-till for their own personal wants’ transpired to be ‘followed by all partners in this bank’.</w:t>
      </w:r>
      <w:r>
        <w:rPr>
          <w:rStyle w:val="EndnoteReference"/>
          <w:rFonts w:ascii="Arial" w:hAnsi="Arial" w:cs="Arial"/>
          <w:sz w:val="24"/>
          <w:szCs w:val="24"/>
        </w:rPr>
        <w:endnoteReference w:id="135"/>
      </w:r>
      <w:r>
        <w:rPr>
          <w:rFonts w:ascii="Arial" w:hAnsi="Arial" w:cs="Arial"/>
          <w:sz w:val="24"/>
          <w:szCs w:val="24"/>
        </w:rPr>
        <w:t xml:space="preserve"> This led</w:t>
      </w:r>
      <w:r w:rsidR="00633A26">
        <w:rPr>
          <w:rFonts w:ascii="Arial" w:hAnsi="Arial" w:cs="Arial"/>
          <w:sz w:val="24"/>
          <w:szCs w:val="24"/>
        </w:rPr>
        <w:t>,</w:t>
      </w:r>
      <w:r>
        <w:rPr>
          <w:rFonts w:ascii="Arial" w:hAnsi="Arial" w:cs="Arial"/>
          <w:sz w:val="24"/>
          <w:szCs w:val="24"/>
        </w:rPr>
        <w:t xml:space="preserve"> in 1855</w:t>
      </w:r>
      <w:r w:rsidR="00633A26">
        <w:rPr>
          <w:rFonts w:ascii="Arial" w:hAnsi="Arial" w:cs="Arial"/>
          <w:sz w:val="24"/>
          <w:szCs w:val="24"/>
        </w:rPr>
        <w:t>,</w:t>
      </w:r>
      <w:r>
        <w:rPr>
          <w:rFonts w:ascii="Arial" w:hAnsi="Arial" w:cs="Arial"/>
          <w:sz w:val="24"/>
          <w:szCs w:val="24"/>
        </w:rPr>
        <w:t xml:space="preserve"> to a sentence of fourteen yea</w:t>
      </w:r>
      <w:r w:rsidR="00C437F4">
        <w:rPr>
          <w:rFonts w:ascii="Arial" w:hAnsi="Arial" w:cs="Arial"/>
          <w:sz w:val="24"/>
          <w:szCs w:val="24"/>
        </w:rPr>
        <w:t>rs’ transportation</w:t>
      </w:r>
      <w:r>
        <w:rPr>
          <w:rFonts w:ascii="Arial" w:hAnsi="Arial" w:cs="Arial"/>
          <w:sz w:val="24"/>
          <w:szCs w:val="24"/>
        </w:rPr>
        <w:t xml:space="preserve">, a sentence which in turn was considered a year later to have been </w:t>
      </w:r>
      <w:r w:rsidRPr="00C437F4">
        <w:rPr>
          <w:rFonts w:ascii="Arial" w:hAnsi="Arial" w:cs="Arial"/>
          <w:sz w:val="24"/>
          <w:szCs w:val="24"/>
        </w:rPr>
        <w:t>‘justly and wisely’</w:t>
      </w:r>
      <w:r>
        <w:rPr>
          <w:rFonts w:ascii="Arial" w:hAnsi="Arial" w:cs="Arial"/>
          <w:sz w:val="24"/>
          <w:szCs w:val="24"/>
        </w:rPr>
        <w:t xml:space="preserve"> handed down.</w:t>
      </w:r>
      <w:r>
        <w:rPr>
          <w:rStyle w:val="EndnoteReference"/>
          <w:rFonts w:ascii="Arial" w:hAnsi="Arial" w:cs="Arial"/>
          <w:sz w:val="24"/>
          <w:szCs w:val="24"/>
        </w:rPr>
        <w:endnoteReference w:id="136"/>
      </w:r>
      <w:r>
        <w:rPr>
          <w:rFonts w:ascii="Arial" w:hAnsi="Arial" w:cs="Arial"/>
          <w:sz w:val="24"/>
          <w:szCs w:val="24"/>
        </w:rPr>
        <w:t xml:space="preserve"> These reflections on the sentence passed for Strahan </w:t>
      </w:r>
      <w:r w:rsidRPr="00633A26">
        <w:rPr>
          <w:rFonts w:ascii="Arial" w:hAnsi="Arial" w:cs="Arial"/>
          <w:i/>
          <w:sz w:val="24"/>
          <w:szCs w:val="24"/>
        </w:rPr>
        <w:t>et al</w:t>
      </w:r>
      <w:r>
        <w:rPr>
          <w:rFonts w:ascii="Arial" w:hAnsi="Arial" w:cs="Arial"/>
          <w:sz w:val="24"/>
          <w:szCs w:val="24"/>
        </w:rPr>
        <w:t xml:space="preserve"> are interesting, particularly as they were made during a </w:t>
      </w:r>
      <w:r w:rsidR="00C437F4" w:rsidRPr="00C437F4">
        <w:rPr>
          <w:rFonts w:ascii="Arial" w:hAnsi="Arial" w:cs="Arial"/>
          <w:sz w:val="24"/>
          <w:szCs w:val="24"/>
        </w:rPr>
        <w:t>House of C</w:t>
      </w:r>
      <w:r w:rsidR="00C437F4">
        <w:rPr>
          <w:rFonts w:ascii="Arial" w:hAnsi="Arial" w:cs="Arial"/>
          <w:sz w:val="24"/>
          <w:szCs w:val="24"/>
        </w:rPr>
        <w:t xml:space="preserve">ommons debate on </w:t>
      </w:r>
      <w:r w:rsidR="00633A26">
        <w:rPr>
          <w:rFonts w:ascii="Arial" w:hAnsi="Arial" w:cs="Arial"/>
          <w:sz w:val="24"/>
          <w:szCs w:val="24"/>
        </w:rPr>
        <w:t>t</w:t>
      </w:r>
      <w:r w:rsidR="00C437F4">
        <w:rPr>
          <w:rFonts w:ascii="Arial" w:hAnsi="Arial" w:cs="Arial"/>
          <w:sz w:val="24"/>
          <w:szCs w:val="24"/>
        </w:rPr>
        <w:t>r</w:t>
      </w:r>
      <w:r>
        <w:rPr>
          <w:rFonts w:ascii="Arial" w:hAnsi="Arial" w:cs="Arial"/>
          <w:sz w:val="24"/>
          <w:szCs w:val="24"/>
        </w:rPr>
        <w:t xml:space="preserve">ansportation, and </w:t>
      </w:r>
      <w:r w:rsidR="00633A26">
        <w:rPr>
          <w:rFonts w:ascii="Arial" w:hAnsi="Arial" w:cs="Arial"/>
          <w:sz w:val="24"/>
          <w:szCs w:val="24"/>
        </w:rPr>
        <w:t>thus</w:t>
      </w:r>
      <w:r>
        <w:rPr>
          <w:rFonts w:ascii="Arial" w:hAnsi="Arial" w:cs="Arial"/>
          <w:sz w:val="24"/>
          <w:szCs w:val="24"/>
        </w:rPr>
        <w:t xml:space="preserve"> at a time when </w:t>
      </w:r>
      <w:r w:rsidR="00C437F4">
        <w:rPr>
          <w:rFonts w:ascii="Arial" w:hAnsi="Arial" w:cs="Arial"/>
          <w:sz w:val="24"/>
          <w:szCs w:val="24"/>
        </w:rPr>
        <w:t>transportation itself was falling out of favour</w:t>
      </w:r>
      <w:r>
        <w:rPr>
          <w:rFonts w:ascii="Arial" w:hAnsi="Arial" w:cs="Arial"/>
          <w:sz w:val="24"/>
          <w:szCs w:val="24"/>
        </w:rPr>
        <w:t>, as this debate makes clear</w:t>
      </w:r>
      <w:r w:rsidR="00C437F4">
        <w:rPr>
          <w:rFonts w:ascii="Arial" w:hAnsi="Arial" w:cs="Arial"/>
          <w:sz w:val="24"/>
          <w:szCs w:val="24"/>
        </w:rPr>
        <w:t>.</w:t>
      </w:r>
      <w:r>
        <w:rPr>
          <w:rFonts w:ascii="Arial" w:hAnsi="Arial" w:cs="Arial"/>
          <w:sz w:val="24"/>
          <w:szCs w:val="24"/>
        </w:rPr>
        <w:t xml:space="preserve"> This </w:t>
      </w:r>
      <w:r w:rsidR="00633A26">
        <w:rPr>
          <w:rFonts w:ascii="Arial" w:hAnsi="Arial" w:cs="Arial"/>
          <w:sz w:val="24"/>
          <w:szCs w:val="24"/>
        </w:rPr>
        <w:t>commentary, located</w:t>
      </w:r>
      <w:r>
        <w:rPr>
          <w:rFonts w:ascii="Arial" w:hAnsi="Arial" w:cs="Arial"/>
          <w:sz w:val="24"/>
          <w:szCs w:val="24"/>
        </w:rPr>
        <w:t xml:space="preserve"> within a </w:t>
      </w:r>
      <w:r w:rsidR="00C437F4">
        <w:rPr>
          <w:rFonts w:ascii="Arial" w:hAnsi="Arial" w:cs="Arial"/>
          <w:sz w:val="24"/>
          <w:szCs w:val="24"/>
        </w:rPr>
        <w:t xml:space="preserve">debate on transportation stands out amongst many others </w:t>
      </w:r>
      <w:r w:rsidR="00F51ECB">
        <w:rPr>
          <w:rFonts w:ascii="Arial" w:hAnsi="Arial" w:cs="Arial"/>
          <w:sz w:val="24"/>
          <w:szCs w:val="24"/>
        </w:rPr>
        <w:t xml:space="preserve">which occurred </w:t>
      </w:r>
      <w:r w:rsidR="0066442B">
        <w:rPr>
          <w:rFonts w:ascii="Arial" w:hAnsi="Arial" w:cs="Arial"/>
          <w:sz w:val="24"/>
          <w:szCs w:val="24"/>
        </w:rPr>
        <w:t xml:space="preserve">in </w:t>
      </w:r>
      <w:r>
        <w:rPr>
          <w:rFonts w:ascii="Arial" w:hAnsi="Arial" w:cs="Arial"/>
          <w:sz w:val="24"/>
          <w:szCs w:val="24"/>
        </w:rPr>
        <w:t xml:space="preserve">Parliament </w:t>
      </w:r>
      <w:r w:rsidR="0066442B">
        <w:rPr>
          <w:rFonts w:ascii="Arial" w:hAnsi="Arial" w:cs="Arial"/>
          <w:sz w:val="24"/>
          <w:szCs w:val="24"/>
        </w:rPr>
        <w:t>referencing t</w:t>
      </w:r>
      <w:r>
        <w:rPr>
          <w:rFonts w:ascii="Arial" w:hAnsi="Arial" w:cs="Arial"/>
          <w:sz w:val="24"/>
          <w:szCs w:val="24"/>
        </w:rPr>
        <w:t xml:space="preserve">he delinquent bankers. Their affairs were more </w:t>
      </w:r>
      <w:r w:rsidR="00633A26">
        <w:rPr>
          <w:rFonts w:ascii="Arial" w:hAnsi="Arial" w:cs="Arial"/>
          <w:sz w:val="24"/>
          <w:szCs w:val="24"/>
        </w:rPr>
        <w:t>typically</w:t>
      </w:r>
      <w:r w:rsidR="00C437F4">
        <w:rPr>
          <w:rFonts w:ascii="Arial" w:hAnsi="Arial" w:cs="Arial"/>
          <w:sz w:val="24"/>
          <w:szCs w:val="24"/>
        </w:rPr>
        <w:t xml:space="preserve"> discussed i</w:t>
      </w:r>
      <w:r>
        <w:rPr>
          <w:rFonts w:ascii="Arial" w:hAnsi="Arial" w:cs="Arial"/>
          <w:sz w:val="24"/>
          <w:szCs w:val="24"/>
        </w:rPr>
        <w:t>n the context of banking itself,</w:t>
      </w:r>
      <w:r w:rsidR="0066442B">
        <w:rPr>
          <w:rFonts w:ascii="Arial" w:hAnsi="Arial" w:cs="Arial"/>
          <w:sz w:val="24"/>
          <w:szCs w:val="24"/>
        </w:rPr>
        <w:t xml:space="preserve"> both contemporaneously and also for a decade or more thereafter.</w:t>
      </w:r>
      <w:r w:rsidR="0027060B">
        <w:rPr>
          <w:rStyle w:val="EndnoteReference"/>
          <w:rFonts w:ascii="Arial" w:hAnsi="Arial" w:cs="Arial"/>
          <w:sz w:val="24"/>
          <w:szCs w:val="24"/>
        </w:rPr>
        <w:endnoteReference w:id="137"/>
      </w:r>
      <w:r>
        <w:rPr>
          <w:rFonts w:ascii="Arial" w:hAnsi="Arial" w:cs="Arial"/>
          <w:sz w:val="24"/>
          <w:szCs w:val="24"/>
        </w:rPr>
        <w:t xml:space="preserve"> </w:t>
      </w:r>
      <w:r w:rsidR="0066442B">
        <w:rPr>
          <w:rFonts w:ascii="Arial" w:hAnsi="Arial" w:cs="Arial"/>
          <w:sz w:val="24"/>
          <w:szCs w:val="24"/>
        </w:rPr>
        <w:t xml:space="preserve">Furthermore, it is </w:t>
      </w:r>
      <w:r>
        <w:rPr>
          <w:rFonts w:ascii="Arial" w:hAnsi="Arial" w:cs="Arial"/>
          <w:sz w:val="24"/>
          <w:szCs w:val="24"/>
        </w:rPr>
        <w:t xml:space="preserve">readily apparent that </w:t>
      </w:r>
      <w:r w:rsidR="00C437F4">
        <w:rPr>
          <w:rFonts w:ascii="Arial" w:hAnsi="Arial" w:cs="Arial"/>
          <w:sz w:val="24"/>
          <w:szCs w:val="24"/>
        </w:rPr>
        <w:t xml:space="preserve">what became a </w:t>
      </w:r>
      <w:r w:rsidR="00C437F4" w:rsidRPr="00CB55F1">
        <w:rPr>
          <w:rFonts w:ascii="Arial" w:hAnsi="Arial" w:cs="Arial"/>
          <w:sz w:val="24"/>
          <w:szCs w:val="24"/>
        </w:rPr>
        <w:lastRenderedPageBreak/>
        <w:t>mid-century trend towards bank incorporations</w:t>
      </w:r>
      <w:r>
        <w:rPr>
          <w:rFonts w:ascii="Arial" w:hAnsi="Arial" w:cs="Arial"/>
          <w:sz w:val="24"/>
          <w:szCs w:val="24"/>
        </w:rPr>
        <w:t xml:space="preserve"> was strongly influenced by th</w:t>
      </w:r>
      <w:r w:rsidR="0066442B">
        <w:rPr>
          <w:rFonts w:ascii="Arial" w:hAnsi="Arial" w:cs="Arial"/>
          <w:sz w:val="24"/>
          <w:szCs w:val="24"/>
        </w:rPr>
        <w:t xml:space="preserve">eir misconduct, </w:t>
      </w:r>
      <w:r w:rsidR="00C8538E">
        <w:rPr>
          <w:rFonts w:ascii="Arial" w:hAnsi="Arial" w:cs="Arial"/>
          <w:sz w:val="24"/>
          <w:szCs w:val="24"/>
        </w:rPr>
        <w:t>and their nefarious activities did</w:t>
      </w:r>
      <w:r w:rsidR="0066442B">
        <w:rPr>
          <w:rFonts w:ascii="Arial" w:hAnsi="Arial" w:cs="Arial"/>
          <w:sz w:val="24"/>
          <w:szCs w:val="24"/>
        </w:rPr>
        <w:t xml:space="preserve"> </w:t>
      </w:r>
      <w:r>
        <w:rPr>
          <w:rFonts w:ascii="Arial" w:hAnsi="Arial" w:cs="Arial"/>
          <w:sz w:val="24"/>
          <w:szCs w:val="24"/>
        </w:rPr>
        <w:t xml:space="preserve">much to highlight </w:t>
      </w:r>
      <w:r w:rsidR="00C437F4">
        <w:rPr>
          <w:rFonts w:ascii="Arial" w:hAnsi="Arial" w:cs="Arial"/>
          <w:sz w:val="24"/>
          <w:szCs w:val="24"/>
        </w:rPr>
        <w:t xml:space="preserve">the perceived core strengths of </w:t>
      </w:r>
      <w:r w:rsidR="00C437F4" w:rsidRPr="00CB55F1">
        <w:rPr>
          <w:rFonts w:ascii="Arial" w:hAnsi="Arial" w:cs="Arial"/>
          <w:sz w:val="24"/>
          <w:szCs w:val="24"/>
        </w:rPr>
        <w:t>joint-stock principles</w:t>
      </w:r>
      <w:r w:rsidR="00C437F4">
        <w:rPr>
          <w:rFonts w:ascii="Arial" w:hAnsi="Arial" w:cs="Arial"/>
          <w:sz w:val="24"/>
          <w:szCs w:val="24"/>
        </w:rPr>
        <w:t xml:space="preserve"> for undertaking business</w:t>
      </w:r>
      <w:r w:rsidR="00C8538E">
        <w:rPr>
          <w:rFonts w:ascii="Arial" w:hAnsi="Arial" w:cs="Arial"/>
          <w:sz w:val="24"/>
          <w:szCs w:val="24"/>
        </w:rPr>
        <w:t xml:space="preserve"> ventures</w:t>
      </w:r>
      <w:r w:rsidR="00C437F4">
        <w:rPr>
          <w:rFonts w:ascii="Arial" w:hAnsi="Arial" w:cs="Arial"/>
          <w:sz w:val="24"/>
          <w:szCs w:val="24"/>
        </w:rPr>
        <w:t xml:space="preserve">. </w:t>
      </w:r>
    </w:p>
    <w:p w14:paraId="3CAFF3C3" w14:textId="7C3EABE7" w:rsidR="00CB55F1" w:rsidRPr="00CB55F1" w:rsidRDefault="00C437F4" w:rsidP="00BF142F">
      <w:pPr>
        <w:spacing w:line="480" w:lineRule="auto"/>
        <w:jc w:val="both"/>
        <w:rPr>
          <w:rFonts w:ascii="Arial" w:hAnsi="Arial" w:cs="Arial"/>
          <w:sz w:val="24"/>
          <w:szCs w:val="24"/>
        </w:rPr>
      </w:pPr>
      <w:r>
        <w:rPr>
          <w:rFonts w:ascii="Arial" w:hAnsi="Arial" w:cs="Arial"/>
          <w:sz w:val="24"/>
          <w:szCs w:val="24"/>
        </w:rPr>
        <w:t xml:space="preserve">Increasingly generalised benefits </w:t>
      </w:r>
      <w:r w:rsidR="0066442B">
        <w:rPr>
          <w:rFonts w:ascii="Arial" w:hAnsi="Arial" w:cs="Arial"/>
          <w:sz w:val="24"/>
          <w:szCs w:val="24"/>
        </w:rPr>
        <w:t xml:space="preserve">pointing to </w:t>
      </w:r>
      <w:r>
        <w:rPr>
          <w:rFonts w:ascii="Arial" w:hAnsi="Arial" w:cs="Arial"/>
          <w:sz w:val="24"/>
          <w:szCs w:val="24"/>
        </w:rPr>
        <w:t xml:space="preserve">greater capitalisation </w:t>
      </w:r>
      <w:r w:rsidR="0066442B">
        <w:rPr>
          <w:rFonts w:ascii="Arial" w:hAnsi="Arial" w:cs="Arial"/>
          <w:sz w:val="24"/>
          <w:szCs w:val="24"/>
        </w:rPr>
        <w:t>capabilitie</w:t>
      </w:r>
      <w:r>
        <w:rPr>
          <w:rFonts w:ascii="Arial" w:hAnsi="Arial" w:cs="Arial"/>
          <w:sz w:val="24"/>
          <w:szCs w:val="24"/>
        </w:rPr>
        <w:t xml:space="preserve">s, </w:t>
      </w:r>
      <w:r w:rsidRPr="00CB55F1">
        <w:rPr>
          <w:rFonts w:ascii="Arial" w:hAnsi="Arial" w:cs="Arial"/>
          <w:sz w:val="24"/>
          <w:szCs w:val="24"/>
        </w:rPr>
        <w:t>scrutiny of management decision-making and auditing, and</w:t>
      </w:r>
      <w:r>
        <w:rPr>
          <w:rFonts w:ascii="Arial" w:hAnsi="Arial" w:cs="Arial"/>
          <w:sz w:val="24"/>
          <w:szCs w:val="24"/>
        </w:rPr>
        <w:t xml:space="preserve"> public disclosure requirements</w:t>
      </w:r>
      <w:r w:rsidR="0066442B">
        <w:rPr>
          <w:rFonts w:ascii="Arial" w:hAnsi="Arial" w:cs="Arial"/>
          <w:sz w:val="24"/>
          <w:szCs w:val="24"/>
        </w:rPr>
        <w:t xml:space="preserve"> associated with joint-stock business</w:t>
      </w:r>
      <w:r>
        <w:rPr>
          <w:rFonts w:ascii="Arial" w:hAnsi="Arial" w:cs="Arial"/>
          <w:sz w:val="24"/>
          <w:szCs w:val="24"/>
        </w:rPr>
        <w:t>, became applied to banking specifically</w:t>
      </w:r>
      <w:r w:rsidR="00C8538E">
        <w:rPr>
          <w:rFonts w:ascii="Arial" w:hAnsi="Arial" w:cs="Arial"/>
          <w:sz w:val="24"/>
          <w:szCs w:val="24"/>
        </w:rPr>
        <w:t xml:space="preserve"> in the aftermath of the incidents described above</w:t>
      </w:r>
      <w:r>
        <w:rPr>
          <w:rFonts w:ascii="Arial" w:hAnsi="Arial" w:cs="Arial"/>
          <w:sz w:val="24"/>
          <w:szCs w:val="24"/>
        </w:rPr>
        <w:t>. And it would be the collapse of the Royal British Bank</w:t>
      </w:r>
      <w:r w:rsidR="00C8538E">
        <w:rPr>
          <w:rFonts w:ascii="Arial" w:hAnsi="Arial" w:cs="Arial"/>
          <w:sz w:val="24"/>
          <w:szCs w:val="24"/>
        </w:rPr>
        <w:t>,</w:t>
      </w:r>
      <w:r>
        <w:rPr>
          <w:rFonts w:ascii="Arial" w:hAnsi="Arial" w:cs="Arial"/>
          <w:sz w:val="24"/>
          <w:szCs w:val="24"/>
        </w:rPr>
        <w:t xml:space="preserve"> rather than </w:t>
      </w:r>
      <w:r w:rsidR="005F6686">
        <w:rPr>
          <w:rFonts w:ascii="Arial" w:hAnsi="Arial" w:cs="Arial"/>
          <w:sz w:val="24"/>
          <w:szCs w:val="24"/>
        </w:rPr>
        <w:t>Sadleir</w:t>
      </w:r>
      <w:r>
        <w:rPr>
          <w:rFonts w:ascii="Arial" w:hAnsi="Arial" w:cs="Arial"/>
          <w:sz w:val="24"/>
          <w:szCs w:val="24"/>
        </w:rPr>
        <w:t>’s Tipperary Bank</w:t>
      </w:r>
      <w:r w:rsidR="00C8538E">
        <w:rPr>
          <w:rFonts w:ascii="Arial" w:hAnsi="Arial" w:cs="Arial"/>
          <w:sz w:val="24"/>
          <w:szCs w:val="24"/>
        </w:rPr>
        <w:t>,</w:t>
      </w:r>
      <w:r>
        <w:rPr>
          <w:rFonts w:ascii="Arial" w:hAnsi="Arial" w:cs="Arial"/>
          <w:sz w:val="24"/>
          <w:szCs w:val="24"/>
        </w:rPr>
        <w:t xml:space="preserve"> which cast doubt on the superiority of joint-stock business alongside </w:t>
      </w:r>
      <w:r w:rsidRPr="00CB55F1">
        <w:rPr>
          <w:rFonts w:ascii="Arial" w:hAnsi="Arial" w:cs="Arial"/>
          <w:sz w:val="24"/>
          <w:szCs w:val="24"/>
        </w:rPr>
        <w:t>the alternativ</w:t>
      </w:r>
      <w:r>
        <w:rPr>
          <w:rFonts w:ascii="Arial" w:hAnsi="Arial" w:cs="Arial"/>
          <w:sz w:val="24"/>
          <w:szCs w:val="24"/>
        </w:rPr>
        <w:t>e traditional partnership model.</w:t>
      </w:r>
      <w:r w:rsidR="00056B0E">
        <w:rPr>
          <w:rFonts w:ascii="Arial" w:hAnsi="Arial" w:cs="Arial"/>
          <w:sz w:val="24"/>
          <w:szCs w:val="24"/>
        </w:rPr>
        <w:t xml:space="preserve"> In ways befitting how </w:t>
      </w:r>
      <w:r>
        <w:rPr>
          <w:rFonts w:ascii="Arial" w:hAnsi="Arial" w:cs="Arial"/>
          <w:sz w:val="24"/>
          <w:szCs w:val="24"/>
        </w:rPr>
        <w:t>the alleged mismanagement of the</w:t>
      </w:r>
      <w:r w:rsidR="00760C6B">
        <w:rPr>
          <w:rFonts w:ascii="Arial" w:hAnsi="Arial" w:cs="Arial"/>
          <w:sz w:val="24"/>
          <w:szCs w:val="24"/>
        </w:rPr>
        <w:t xml:space="preserve"> Royal British Bank amounted to a particularly </w:t>
      </w:r>
      <w:r w:rsidR="00760C6B" w:rsidRPr="009E1893">
        <w:rPr>
          <w:rFonts w:ascii="Arial" w:hAnsi="Arial" w:cs="Arial"/>
          <w:sz w:val="24"/>
          <w:szCs w:val="24"/>
        </w:rPr>
        <w:t xml:space="preserve">‘gross </w:t>
      </w:r>
      <w:r w:rsidR="00760C6B">
        <w:rPr>
          <w:rFonts w:ascii="Arial" w:hAnsi="Arial" w:cs="Arial"/>
          <w:sz w:val="24"/>
          <w:szCs w:val="24"/>
        </w:rPr>
        <w:t>and most distressing exhibition</w:t>
      </w:r>
      <w:r w:rsidR="00760C6B" w:rsidRPr="009E1893">
        <w:rPr>
          <w:rFonts w:ascii="Arial" w:hAnsi="Arial" w:cs="Arial"/>
          <w:sz w:val="24"/>
          <w:szCs w:val="24"/>
        </w:rPr>
        <w:t>’ of misconduct which had become apparent ‘to the opprobrium of the country’</w:t>
      </w:r>
      <w:r w:rsidR="00760C6B">
        <w:rPr>
          <w:rFonts w:ascii="Arial" w:hAnsi="Arial" w:cs="Arial"/>
          <w:sz w:val="24"/>
          <w:szCs w:val="24"/>
        </w:rPr>
        <w:t>,</w:t>
      </w:r>
      <w:r w:rsidR="00760C6B">
        <w:rPr>
          <w:rStyle w:val="EndnoteReference"/>
          <w:rFonts w:ascii="Arial" w:hAnsi="Arial" w:cs="Arial"/>
          <w:sz w:val="24"/>
          <w:szCs w:val="24"/>
        </w:rPr>
        <w:endnoteReference w:id="138"/>
      </w:r>
      <w:r w:rsidR="00760C6B">
        <w:rPr>
          <w:rFonts w:ascii="Arial" w:hAnsi="Arial" w:cs="Arial"/>
          <w:sz w:val="24"/>
          <w:szCs w:val="24"/>
        </w:rPr>
        <w:t xml:space="preserve"> and </w:t>
      </w:r>
      <w:r w:rsidR="0066442B">
        <w:rPr>
          <w:rFonts w:ascii="Arial" w:hAnsi="Arial" w:cs="Arial"/>
          <w:sz w:val="24"/>
          <w:szCs w:val="24"/>
        </w:rPr>
        <w:t xml:space="preserve">promoted </w:t>
      </w:r>
      <w:r w:rsidR="00760C6B">
        <w:rPr>
          <w:rFonts w:ascii="Arial" w:hAnsi="Arial" w:cs="Arial"/>
          <w:sz w:val="24"/>
          <w:szCs w:val="24"/>
        </w:rPr>
        <w:t xml:space="preserve">public outrage and demands for responses, this scandal generated very considerable Parliamentary discussion. This included </w:t>
      </w:r>
      <w:r w:rsidR="0066442B">
        <w:rPr>
          <w:rFonts w:ascii="Arial" w:hAnsi="Arial" w:cs="Arial"/>
          <w:sz w:val="24"/>
          <w:szCs w:val="24"/>
        </w:rPr>
        <w:t xml:space="preserve">placing </w:t>
      </w:r>
      <w:r w:rsidR="00760C6B">
        <w:rPr>
          <w:rFonts w:ascii="Arial" w:hAnsi="Arial" w:cs="Arial"/>
          <w:sz w:val="24"/>
          <w:szCs w:val="24"/>
        </w:rPr>
        <w:t xml:space="preserve">great pressure </w:t>
      </w:r>
      <w:r w:rsidR="0066442B">
        <w:rPr>
          <w:rFonts w:ascii="Arial" w:hAnsi="Arial" w:cs="Arial"/>
          <w:sz w:val="24"/>
          <w:szCs w:val="24"/>
        </w:rPr>
        <w:t xml:space="preserve">upon </w:t>
      </w:r>
      <w:r w:rsidR="00760C6B">
        <w:rPr>
          <w:rFonts w:ascii="Arial" w:hAnsi="Arial" w:cs="Arial"/>
          <w:sz w:val="24"/>
          <w:szCs w:val="24"/>
        </w:rPr>
        <w:t>the Government to take responsibility for bringing a criminal prosecution</w:t>
      </w:r>
      <w:r w:rsidR="00C8538E">
        <w:rPr>
          <w:rFonts w:ascii="Arial" w:hAnsi="Arial" w:cs="Arial"/>
          <w:sz w:val="24"/>
          <w:szCs w:val="24"/>
        </w:rPr>
        <w:t>,</w:t>
      </w:r>
      <w:r w:rsidR="00760C6B">
        <w:rPr>
          <w:rStyle w:val="EndnoteReference"/>
          <w:rFonts w:ascii="Arial" w:hAnsi="Arial" w:cs="Arial"/>
          <w:sz w:val="24"/>
          <w:szCs w:val="24"/>
        </w:rPr>
        <w:endnoteReference w:id="139"/>
      </w:r>
      <w:r w:rsidR="00760C6B">
        <w:rPr>
          <w:rFonts w:ascii="Arial" w:hAnsi="Arial" w:cs="Arial"/>
          <w:sz w:val="24"/>
          <w:szCs w:val="24"/>
        </w:rPr>
        <w:t xml:space="preserve"> at a time where the culture of private prosecution still predominated.</w:t>
      </w:r>
      <w:r w:rsidR="00760C6B">
        <w:rPr>
          <w:rStyle w:val="EndnoteReference"/>
          <w:rFonts w:ascii="Arial" w:hAnsi="Arial" w:cs="Arial"/>
          <w:sz w:val="24"/>
          <w:szCs w:val="24"/>
        </w:rPr>
        <w:endnoteReference w:id="140"/>
      </w:r>
      <w:r w:rsidR="00056B0E">
        <w:rPr>
          <w:rFonts w:ascii="Arial" w:hAnsi="Arial" w:cs="Arial"/>
          <w:sz w:val="24"/>
          <w:szCs w:val="24"/>
        </w:rPr>
        <w:t xml:space="preserve"> However, notwithstanding the differences in the origins and perceived shock value of the alleged criminality of the Royal British Bank directors</w:t>
      </w:r>
      <w:r w:rsidR="00C8538E">
        <w:rPr>
          <w:rFonts w:ascii="Arial" w:hAnsi="Arial" w:cs="Arial"/>
          <w:sz w:val="24"/>
          <w:szCs w:val="24"/>
        </w:rPr>
        <w:t>,</w:t>
      </w:r>
      <w:r w:rsidR="00056B0E">
        <w:rPr>
          <w:rFonts w:ascii="Arial" w:hAnsi="Arial" w:cs="Arial"/>
          <w:sz w:val="24"/>
          <w:szCs w:val="24"/>
        </w:rPr>
        <w:t xml:space="preserve"> Strahan </w:t>
      </w:r>
      <w:r w:rsidR="00056B0E" w:rsidRPr="00C8538E">
        <w:rPr>
          <w:rFonts w:ascii="Arial" w:hAnsi="Arial" w:cs="Arial"/>
          <w:i/>
          <w:sz w:val="24"/>
          <w:szCs w:val="24"/>
        </w:rPr>
        <w:t>et al</w:t>
      </w:r>
      <w:r w:rsidR="00056B0E">
        <w:rPr>
          <w:rFonts w:ascii="Arial" w:hAnsi="Arial" w:cs="Arial"/>
          <w:sz w:val="24"/>
          <w:szCs w:val="24"/>
        </w:rPr>
        <w:t xml:space="preserve">, together with John </w:t>
      </w:r>
      <w:r w:rsidR="005F6686">
        <w:rPr>
          <w:rFonts w:ascii="Arial" w:hAnsi="Arial" w:cs="Arial"/>
          <w:sz w:val="24"/>
          <w:szCs w:val="24"/>
        </w:rPr>
        <w:t>Sadleir</w:t>
      </w:r>
      <w:r w:rsidR="00056B0E">
        <w:rPr>
          <w:rFonts w:ascii="Arial" w:hAnsi="Arial" w:cs="Arial"/>
          <w:sz w:val="24"/>
          <w:szCs w:val="24"/>
        </w:rPr>
        <w:t xml:space="preserve">, all are stories of </w:t>
      </w:r>
      <w:r w:rsidR="00CB55F1" w:rsidRPr="00CB55F1">
        <w:rPr>
          <w:rFonts w:ascii="Arial" w:hAnsi="Arial" w:cs="Arial"/>
          <w:sz w:val="24"/>
          <w:szCs w:val="24"/>
        </w:rPr>
        <w:t>how ‘it requires the labour of a whole life to build up a character of honour and virtue, which in one fatal and unguarded moment may be entirely destroyed’.</w:t>
      </w:r>
      <w:r w:rsidR="00CB55F1" w:rsidRPr="00CB55F1">
        <w:rPr>
          <w:rFonts w:ascii="Arial" w:hAnsi="Arial" w:cs="Arial"/>
          <w:sz w:val="24"/>
          <w:szCs w:val="24"/>
          <w:vertAlign w:val="superscript"/>
        </w:rPr>
        <w:endnoteReference w:id="141"/>
      </w:r>
      <w:r w:rsidR="00CB55F1" w:rsidRPr="00CB55F1">
        <w:rPr>
          <w:rFonts w:ascii="Arial" w:hAnsi="Arial" w:cs="Arial"/>
          <w:sz w:val="24"/>
          <w:szCs w:val="24"/>
        </w:rPr>
        <w:t xml:space="preserve"> Clearly for </w:t>
      </w:r>
      <w:r w:rsidR="005F6686">
        <w:rPr>
          <w:rFonts w:ascii="Arial" w:hAnsi="Arial" w:cs="Arial"/>
          <w:sz w:val="24"/>
          <w:szCs w:val="24"/>
        </w:rPr>
        <w:t>Sadleir</w:t>
      </w:r>
      <w:r w:rsidR="00CB55F1" w:rsidRPr="00CB55F1">
        <w:rPr>
          <w:rFonts w:ascii="Arial" w:hAnsi="Arial" w:cs="Arial"/>
          <w:sz w:val="24"/>
          <w:szCs w:val="24"/>
        </w:rPr>
        <w:t xml:space="preserve"> at least his ‘swindling’ appeared to reflect multiple unguarded moments rather than ‘a moment of temptation’</w:t>
      </w:r>
      <w:r w:rsidR="00AA202B">
        <w:rPr>
          <w:rFonts w:ascii="Arial" w:hAnsi="Arial" w:cs="Arial"/>
          <w:sz w:val="24"/>
          <w:szCs w:val="24"/>
        </w:rPr>
        <w:t>.</w:t>
      </w:r>
      <w:r w:rsidR="00CB55F1" w:rsidRPr="00CB55F1">
        <w:rPr>
          <w:rFonts w:ascii="Arial" w:hAnsi="Arial" w:cs="Arial"/>
          <w:sz w:val="24"/>
          <w:szCs w:val="24"/>
          <w:vertAlign w:val="superscript"/>
        </w:rPr>
        <w:endnoteReference w:id="142"/>
      </w:r>
      <w:r w:rsidR="00CB55F1" w:rsidRPr="00CB55F1">
        <w:rPr>
          <w:rFonts w:ascii="Arial" w:hAnsi="Arial" w:cs="Arial"/>
          <w:sz w:val="24"/>
          <w:szCs w:val="24"/>
        </w:rPr>
        <w:t xml:space="preserve"> </w:t>
      </w:r>
      <w:r w:rsidR="00AA202B">
        <w:rPr>
          <w:rFonts w:ascii="Arial" w:hAnsi="Arial" w:cs="Arial"/>
          <w:sz w:val="24"/>
          <w:szCs w:val="24"/>
        </w:rPr>
        <w:t>However,</w:t>
      </w:r>
      <w:r w:rsidR="00AA202B" w:rsidRPr="00CB55F1">
        <w:rPr>
          <w:rFonts w:ascii="Arial" w:hAnsi="Arial" w:cs="Arial"/>
          <w:sz w:val="24"/>
          <w:szCs w:val="24"/>
        </w:rPr>
        <w:t xml:space="preserve"> </w:t>
      </w:r>
      <w:r w:rsidR="00CB55F1" w:rsidRPr="00CB55F1">
        <w:rPr>
          <w:rFonts w:ascii="Arial" w:hAnsi="Arial" w:cs="Arial"/>
          <w:sz w:val="24"/>
          <w:szCs w:val="24"/>
        </w:rPr>
        <w:t xml:space="preserve">all are narratives of a fall from grace experienced by </w:t>
      </w:r>
      <w:r w:rsidR="006878C3">
        <w:rPr>
          <w:rFonts w:ascii="Arial" w:hAnsi="Arial" w:cs="Arial"/>
          <w:sz w:val="24"/>
          <w:szCs w:val="24"/>
        </w:rPr>
        <w:t xml:space="preserve">those who were </w:t>
      </w:r>
      <w:r w:rsidR="00CB55F1" w:rsidRPr="00CB55F1">
        <w:rPr>
          <w:rFonts w:ascii="Arial" w:hAnsi="Arial" w:cs="Arial"/>
          <w:sz w:val="24"/>
          <w:szCs w:val="24"/>
        </w:rPr>
        <w:t xml:space="preserve">‘well educated’ and </w:t>
      </w:r>
      <w:r w:rsidR="006A2193">
        <w:rPr>
          <w:rFonts w:ascii="Arial" w:hAnsi="Arial" w:cs="Arial"/>
          <w:sz w:val="24"/>
          <w:szCs w:val="24"/>
        </w:rPr>
        <w:t xml:space="preserve">‘moving in positions’ </w:t>
      </w:r>
      <w:r w:rsidR="006878C3">
        <w:rPr>
          <w:rFonts w:ascii="Arial" w:hAnsi="Arial" w:cs="Arial"/>
          <w:sz w:val="24"/>
          <w:szCs w:val="24"/>
        </w:rPr>
        <w:t>within society</w:t>
      </w:r>
      <w:r w:rsidR="00CB55F1" w:rsidRPr="00CB55F1">
        <w:rPr>
          <w:rFonts w:ascii="Arial" w:hAnsi="Arial" w:cs="Arial"/>
          <w:sz w:val="24"/>
          <w:szCs w:val="24"/>
        </w:rPr>
        <w:t>,</w:t>
      </w:r>
      <w:r w:rsidR="00CB55F1" w:rsidRPr="00CB55F1">
        <w:rPr>
          <w:rFonts w:ascii="Arial" w:hAnsi="Arial" w:cs="Arial"/>
          <w:sz w:val="24"/>
          <w:szCs w:val="24"/>
          <w:vertAlign w:val="superscript"/>
        </w:rPr>
        <w:endnoteReference w:id="143"/>
      </w:r>
      <w:r w:rsidR="00CB55F1" w:rsidRPr="00CB55F1">
        <w:rPr>
          <w:rFonts w:ascii="Arial" w:hAnsi="Arial" w:cs="Arial"/>
          <w:sz w:val="24"/>
          <w:szCs w:val="24"/>
        </w:rPr>
        <w:t xml:space="preserve"> and </w:t>
      </w:r>
      <w:r w:rsidR="006878C3">
        <w:rPr>
          <w:rFonts w:ascii="Arial" w:hAnsi="Arial" w:cs="Arial"/>
          <w:sz w:val="24"/>
          <w:szCs w:val="24"/>
        </w:rPr>
        <w:t xml:space="preserve">who were persons </w:t>
      </w:r>
      <w:r w:rsidR="00CB55F1" w:rsidRPr="00CB55F1">
        <w:rPr>
          <w:rFonts w:ascii="Arial" w:hAnsi="Arial" w:cs="Arial"/>
          <w:sz w:val="24"/>
          <w:szCs w:val="24"/>
        </w:rPr>
        <w:t>of ‘unquestioned integrity and honour’.</w:t>
      </w:r>
      <w:r w:rsidR="00CB55F1" w:rsidRPr="00CB55F1">
        <w:rPr>
          <w:rFonts w:ascii="Arial" w:hAnsi="Arial" w:cs="Arial"/>
          <w:sz w:val="24"/>
          <w:szCs w:val="24"/>
          <w:vertAlign w:val="superscript"/>
        </w:rPr>
        <w:endnoteReference w:id="144"/>
      </w:r>
      <w:r w:rsidR="00CB55F1" w:rsidRPr="00CB55F1">
        <w:rPr>
          <w:rFonts w:ascii="Arial" w:hAnsi="Arial" w:cs="Arial"/>
          <w:sz w:val="24"/>
          <w:szCs w:val="24"/>
        </w:rPr>
        <w:t xml:space="preserve"> </w:t>
      </w:r>
    </w:p>
    <w:p w14:paraId="45275A21" w14:textId="77777777" w:rsidR="00CB55F1" w:rsidRPr="00CB55F1" w:rsidRDefault="00CB55F1" w:rsidP="00CB55F1">
      <w:pPr>
        <w:spacing w:after="0" w:line="480" w:lineRule="auto"/>
        <w:jc w:val="both"/>
        <w:rPr>
          <w:rFonts w:ascii="Arial" w:hAnsi="Arial" w:cs="Arial"/>
          <w:sz w:val="24"/>
          <w:szCs w:val="24"/>
        </w:rPr>
      </w:pPr>
    </w:p>
    <w:p w14:paraId="11B9791C" w14:textId="53D107F7" w:rsidR="00CB55F1" w:rsidRPr="00AA202B" w:rsidRDefault="00AA202B" w:rsidP="00AA202B">
      <w:pPr>
        <w:spacing w:after="0" w:line="480" w:lineRule="auto"/>
        <w:jc w:val="center"/>
        <w:rPr>
          <w:rFonts w:ascii="Arial" w:hAnsi="Arial" w:cs="Arial"/>
          <w:sz w:val="28"/>
          <w:szCs w:val="28"/>
        </w:rPr>
      </w:pPr>
      <w:r w:rsidRPr="00AA202B">
        <w:rPr>
          <w:rFonts w:ascii="Arial" w:hAnsi="Arial" w:cs="Arial"/>
          <w:sz w:val="28"/>
          <w:szCs w:val="28"/>
        </w:rPr>
        <w:t>VII</w:t>
      </w:r>
    </w:p>
    <w:p w14:paraId="1367E7D7" w14:textId="736D5E32"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The same ‘rogues’ gallery’</w:t>
      </w:r>
      <w:r w:rsidRPr="00CB55F1">
        <w:rPr>
          <w:rStyle w:val="EndnoteReference"/>
          <w:rFonts w:ascii="Arial" w:hAnsi="Arial" w:cs="Arial"/>
          <w:sz w:val="24"/>
          <w:szCs w:val="24"/>
        </w:rPr>
        <w:endnoteReference w:id="145"/>
      </w:r>
      <w:r w:rsidRPr="00CB55F1">
        <w:rPr>
          <w:rFonts w:ascii="Arial" w:hAnsi="Arial" w:cs="Arial"/>
          <w:sz w:val="24"/>
          <w:szCs w:val="24"/>
        </w:rPr>
        <w:t xml:space="preserve"> of nineteenth-century financial infractions recounting John </w:t>
      </w:r>
      <w:r w:rsidR="005F6686">
        <w:rPr>
          <w:rFonts w:ascii="Arial" w:hAnsi="Arial" w:cs="Arial"/>
          <w:sz w:val="24"/>
          <w:szCs w:val="24"/>
        </w:rPr>
        <w:t>Sadleir</w:t>
      </w:r>
      <w:r w:rsidRPr="00CB55F1">
        <w:rPr>
          <w:rFonts w:ascii="Arial" w:hAnsi="Arial" w:cs="Arial"/>
          <w:sz w:val="24"/>
          <w:szCs w:val="24"/>
        </w:rPr>
        <w:t>’s epic swindling and spoke at length on the ‘delinquencies of Strahan</w:t>
      </w:r>
      <w:r w:rsidR="00AA202B">
        <w:rPr>
          <w:rFonts w:ascii="Arial" w:hAnsi="Arial" w:cs="Arial"/>
          <w:sz w:val="24"/>
          <w:szCs w:val="24"/>
        </w:rPr>
        <w:t>,</w:t>
      </w:r>
      <w:r w:rsidRPr="00CB55F1">
        <w:rPr>
          <w:rFonts w:ascii="Arial" w:hAnsi="Arial" w:cs="Arial"/>
          <w:sz w:val="24"/>
          <w:szCs w:val="24"/>
        </w:rPr>
        <w:t xml:space="preserve"> Paul and Bates’ included Joseph Windle Cole’s audacious dock warrant fraud scheme and security frauds underpinning multiple accusations of criminality during the 1850s. Cole differed from </w:t>
      </w:r>
      <w:r w:rsidR="005F6686">
        <w:rPr>
          <w:rFonts w:ascii="Arial" w:hAnsi="Arial" w:cs="Arial"/>
          <w:sz w:val="24"/>
          <w:szCs w:val="24"/>
        </w:rPr>
        <w:t>Sadleir</w:t>
      </w:r>
      <w:r w:rsidRPr="00CB55F1">
        <w:rPr>
          <w:rFonts w:ascii="Arial" w:hAnsi="Arial" w:cs="Arial"/>
          <w:sz w:val="24"/>
          <w:szCs w:val="24"/>
        </w:rPr>
        <w:t xml:space="preserve"> in that had the latter stood trial</w:t>
      </w:r>
      <w:r w:rsidR="006A2193">
        <w:rPr>
          <w:rFonts w:ascii="Arial" w:hAnsi="Arial" w:cs="Arial"/>
          <w:sz w:val="24"/>
          <w:szCs w:val="24"/>
        </w:rPr>
        <w:t xml:space="preserve">, </w:t>
      </w:r>
      <w:r w:rsidRPr="00CB55F1">
        <w:rPr>
          <w:rFonts w:ascii="Arial" w:hAnsi="Arial" w:cs="Arial"/>
          <w:sz w:val="24"/>
          <w:szCs w:val="24"/>
        </w:rPr>
        <w:t>his would almost certainly have attracted courtroom observation of being ‘well educated’ and moving in ‘a position of society’. This was said about Strahan</w:t>
      </w:r>
      <w:r w:rsidR="00AA202B">
        <w:rPr>
          <w:rFonts w:ascii="Arial" w:hAnsi="Arial" w:cs="Arial"/>
          <w:sz w:val="24"/>
          <w:szCs w:val="24"/>
        </w:rPr>
        <w:t>,</w:t>
      </w:r>
      <w:r w:rsidRPr="00CB55F1">
        <w:rPr>
          <w:rFonts w:ascii="Arial" w:hAnsi="Arial" w:cs="Arial"/>
          <w:sz w:val="24"/>
          <w:szCs w:val="24"/>
        </w:rPr>
        <w:t xml:space="preserve"> Paul and Bates in their trial in 1855, with such sentiments being expressed across courtroom agendas, thereby being central to prosecutorial cases, addresses being made by defence counsel, and ones from presiding judges. The trial of Strahan</w:t>
      </w:r>
      <w:r w:rsidR="00AA202B">
        <w:rPr>
          <w:rFonts w:ascii="Arial" w:hAnsi="Arial" w:cs="Arial"/>
          <w:sz w:val="24"/>
          <w:szCs w:val="24"/>
        </w:rPr>
        <w:t>,</w:t>
      </w:r>
      <w:r w:rsidRPr="00CB55F1">
        <w:rPr>
          <w:rFonts w:ascii="Arial" w:hAnsi="Arial" w:cs="Arial"/>
          <w:sz w:val="24"/>
          <w:szCs w:val="24"/>
        </w:rPr>
        <w:t xml:space="preserve"> Paul and Bates illustrates saliently how for those responsible for prosecutions and defence, references to respectability and social standing sought respectively to accentuate the gravity of criminal accusations for such persons, or to distance those on trial from being tainted with criminality</w:t>
      </w:r>
      <w:r w:rsidR="00AA202B">
        <w:rPr>
          <w:rFonts w:ascii="Arial" w:hAnsi="Arial" w:cs="Arial"/>
          <w:sz w:val="24"/>
          <w:szCs w:val="24"/>
        </w:rPr>
        <w:t>,</w:t>
      </w:r>
      <w:r w:rsidRPr="00CB55F1">
        <w:rPr>
          <w:rFonts w:ascii="Arial" w:hAnsi="Arial" w:cs="Arial"/>
          <w:sz w:val="24"/>
          <w:szCs w:val="24"/>
        </w:rPr>
        <w:t xml:space="preserve"> by insisting that respectable people did not and would not commit crime. For judges</w:t>
      </w:r>
      <w:r w:rsidR="00AA202B">
        <w:rPr>
          <w:rFonts w:ascii="Arial" w:hAnsi="Arial" w:cs="Arial"/>
          <w:sz w:val="24"/>
          <w:szCs w:val="24"/>
        </w:rPr>
        <w:t>,</w:t>
      </w:r>
      <w:r w:rsidRPr="00CB55F1">
        <w:rPr>
          <w:rFonts w:ascii="Arial" w:hAnsi="Arial" w:cs="Arial"/>
          <w:sz w:val="24"/>
          <w:szCs w:val="24"/>
        </w:rPr>
        <w:t xml:space="preserve"> such statements sought to capture the realities of persons in ‘high office’ being convicted as criminals.</w:t>
      </w:r>
      <w:r w:rsidRPr="00CB55F1">
        <w:rPr>
          <w:rStyle w:val="EndnoteReference"/>
          <w:rFonts w:ascii="Arial" w:hAnsi="Arial" w:cs="Arial"/>
          <w:sz w:val="24"/>
          <w:szCs w:val="24"/>
        </w:rPr>
        <w:endnoteReference w:id="146"/>
      </w:r>
      <w:r w:rsidRPr="00CB55F1">
        <w:rPr>
          <w:rFonts w:ascii="Arial" w:hAnsi="Arial" w:cs="Arial"/>
          <w:sz w:val="24"/>
          <w:szCs w:val="24"/>
        </w:rPr>
        <w:t xml:space="preserve"> All articulations of ‘respectability’ and ‘criminality’ embodied a strong normative disjunction between them where those on trial were drawn from the Victorian elite.</w:t>
      </w:r>
      <w:r w:rsidRPr="00CB55F1">
        <w:rPr>
          <w:rStyle w:val="EndnoteReference"/>
          <w:rFonts w:ascii="Arial" w:hAnsi="Arial" w:cs="Arial"/>
          <w:sz w:val="24"/>
          <w:szCs w:val="24"/>
        </w:rPr>
        <w:t xml:space="preserve"> </w:t>
      </w:r>
      <w:r w:rsidRPr="00CB55F1">
        <w:rPr>
          <w:rStyle w:val="EndnoteReference"/>
          <w:rFonts w:ascii="Arial" w:hAnsi="Arial" w:cs="Arial"/>
          <w:sz w:val="24"/>
          <w:szCs w:val="24"/>
        </w:rPr>
        <w:endnoteReference w:id="147"/>
      </w:r>
    </w:p>
    <w:p w14:paraId="1435CD38" w14:textId="77777777" w:rsidR="00CB55F1" w:rsidRPr="00CB55F1" w:rsidRDefault="00CB55F1" w:rsidP="00CB55F1">
      <w:pPr>
        <w:spacing w:after="0" w:line="480" w:lineRule="auto"/>
        <w:jc w:val="both"/>
        <w:rPr>
          <w:rFonts w:ascii="Arial" w:hAnsi="Arial" w:cs="Arial"/>
          <w:sz w:val="24"/>
          <w:szCs w:val="24"/>
        </w:rPr>
      </w:pPr>
    </w:p>
    <w:p w14:paraId="6F0E93F7" w14:textId="6C80DD4B"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Joseph Windle Cole had not moved in such circles by virtue of being a ‘general merchant’</w:t>
      </w:r>
      <w:r w:rsidR="00AA202B">
        <w:rPr>
          <w:rFonts w:ascii="Arial" w:hAnsi="Arial" w:cs="Arial"/>
          <w:sz w:val="24"/>
          <w:szCs w:val="24"/>
        </w:rPr>
        <w:t>.</w:t>
      </w:r>
      <w:r w:rsidRPr="00CB55F1">
        <w:rPr>
          <w:rFonts w:ascii="Arial" w:hAnsi="Arial" w:cs="Arial"/>
          <w:sz w:val="24"/>
          <w:szCs w:val="24"/>
          <w:vertAlign w:val="superscript"/>
        </w:rPr>
        <w:endnoteReference w:id="148"/>
      </w:r>
      <w:r w:rsidRPr="00CB55F1">
        <w:rPr>
          <w:rFonts w:ascii="Arial" w:hAnsi="Arial" w:cs="Arial"/>
          <w:sz w:val="24"/>
          <w:szCs w:val="24"/>
        </w:rPr>
        <w:t xml:space="preserve"> </w:t>
      </w:r>
      <w:r w:rsidR="0027060B">
        <w:rPr>
          <w:rFonts w:ascii="Arial" w:hAnsi="Arial" w:cs="Arial"/>
          <w:sz w:val="24"/>
          <w:szCs w:val="24"/>
        </w:rPr>
        <w:t xml:space="preserve">He was </w:t>
      </w:r>
      <w:r w:rsidRPr="00CB55F1">
        <w:rPr>
          <w:rFonts w:ascii="Arial" w:hAnsi="Arial" w:cs="Arial"/>
          <w:sz w:val="24"/>
          <w:szCs w:val="24"/>
        </w:rPr>
        <w:t>widely regarded as having ‘great business capacity’</w:t>
      </w:r>
      <w:r w:rsidR="00AA202B">
        <w:rPr>
          <w:rFonts w:ascii="Arial" w:hAnsi="Arial" w:cs="Arial"/>
          <w:sz w:val="24"/>
          <w:szCs w:val="24"/>
        </w:rPr>
        <w:t>,</w:t>
      </w:r>
      <w:r w:rsidRPr="00CB55F1">
        <w:rPr>
          <w:rFonts w:ascii="Arial" w:hAnsi="Arial" w:cs="Arial"/>
          <w:sz w:val="24"/>
          <w:szCs w:val="24"/>
          <w:vertAlign w:val="superscript"/>
        </w:rPr>
        <w:endnoteReference w:id="149"/>
      </w:r>
      <w:r w:rsidRPr="00CB55F1">
        <w:rPr>
          <w:rFonts w:ascii="Arial" w:hAnsi="Arial" w:cs="Arial"/>
          <w:sz w:val="24"/>
          <w:szCs w:val="24"/>
        </w:rPr>
        <w:t xml:space="preserve"> </w:t>
      </w:r>
      <w:r w:rsidR="00C8538E">
        <w:rPr>
          <w:rFonts w:ascii="Arial" w:hAnsi="Arial" w:cs="Arial"/>
          <w:sz w:val="24"/>
          <w:szCs w:val="24"/>
        </w:rPr>
        <w:t>despite the fact</w:t>
      </w:r>
      <w:r w:rsidR="0027060B">
        <w:rPr>
          <w:rFonts w:ascii="Arial" w:hAnsi="Arial" w:cs="Arial"/>
          <w:sz w:val="24"/>
          <w:szCs w:val="24"/>
        </w:rPr>
        <w:t xml:space="preserve"> that a business with which he was previously associated had failed</w:t>
      </w:r>
      <w:r w:rsidR="00C8538E">
        <w:rPr>
          <w:rFonts w:ascii="Arial" w:hAnsi="Arial" w:cs="Arial"/>
          <w:sz w:val="24"/>
          <w:szCs w:val="24"/>
        </w:rPr>
        <w:t>,</w:t>
      </w:r>
      <w:r w:rsidR="0027060B">
        <w:rPr>
          <w:rFonts w:ascii="Arial" w:hAnsi="Arial" w:cs="Arial"/>
          <w:sz w:val="24"/>
          <w:szCs w:val="24"/>
        </w:rPr>
        <w:t xml:space="preserve"> leaving a ‘doubtful reputation’ as well as ‘indifferent assets’</w:t>
      </w:r>
      <w:r w:rsidR="0027060B">
        <w:rPr>
          <w:rStyle w:val="EndnoteReference"/>
          <w:rFonts w:ascii="Arial" w:hAnsi="Arial" w:cs="Arial"/>
          <w:sz w:val="24"/>
          <w:szCs w:val="24"/>
        </w:rPr>
        <w:endnoteReference w:id="150"/>
      </w:r>
      <w:r w:rsidR="0027060B">
        <w:rPr>
          <w:rFonts w:ascii="Arial" w:hAnsi="Arial" w:cs="Arial"/>
          <w:sz w:val="24"/>
          <w:szCs w:val="24"/>
        </w:rPr>
        <w:t xml:space="preserve"> Although his ‘limited means’ and </w:t>
      </w:r>
      <w:r w:rsidR="0027060B">
        <w:rPr>
          <w:rFonts w:ascii="Arial" w:hAnsi="Arial" w:cs="Arial"/>
          <w:sz w:val="24"/>
          <w:szCs w:val="24"/>
        </w:rPr>
        <w:lastRenderedPageBreak/>
        <w:t>‘the degree to which he thought it important to be able to avail himself of increasing and obvious advantages’</w:t>
      </w:r>
      <w:r w:rsidR="0027060B">
        <w:rPr>
          <w:rStyle w:val="EndnoteReference"/>
          <w:rFonts w:ascii="Arial" w:hAnsi="Arial" w:cs="Arial"/>
          <w:sz w:val="24"/>
          <w:szCs w:val="24"/>
        </w:rPr>
        <w:endnoteReference w:id="151"/>
      </w:r>
      <w:r w:rsidR="0027060B">
        <w:rPr>
          <w:rFonts w:ascii="Arial" w:hAnsi="Arial" w:cs="Arial"/>
          <w:sz w:val="24"/>
          <w:szCs w:val="24"/>
        </w:rPr>
        <w:t xml:space="preserve"> could be identified with a nascent Victorian ‘</w:t>
      </w:r>
      <w:r w:rsidR="00BF142F">
        <w:rPr>
          <w:rFonts w:ascii="Arial" w:hAnsi="Arial" w:cs="Arial"/>
          <w:sz w:val="24"/>
          <w:szCs w:val="24"/>
        </w:rPr>
        <w:t>entrepreneurial</w:t>
      </w:r>
      <w:r w:rsidR="0027060B">
        <w:rPr>
          <w:rFonts w:ascii="Arial" w:hAnsi="Arial" w:cs="Arial"/>
          <w:sz w:val="24"/>
          <w:szCs w:val="24"/>
        </w:rPr>
        <w:t xml:space="preserve"> spirit’,</w:t>
      </w:r>
      <w:r w:rsidR="0027060B">
        <w:rPr>
          <w:rStyle w:val="EndnoteReference"/>
          <w:rFonts w:ascii="Arial" w:hAnsi="Arial" w:cs="Arial"/>
          <w:sz w:val="24"/>
          <w:szCs w:val="24"/>
        </w:rPr>
        <w:endnoteReference w:id="152"/>
      </w:r>
      <w:r w:rsidR="0027060B">
        <w:rPr>
          <w:rFonts w:ascii="Arial" w:hAnsi="Arial" w:cs="Arial"/>
          <w:sz w:val="24"/>
          <w:szCs w:val="24"/>
        </w:rPr>
        <w:t xml:space="preserve"> Cole’s </w:t>
      </w:r>
      <w:r w:rsidRPr="00CB55F1">
        <w:rPr>
          <w:rFonts w:ascii="Arial" w:hAnsi="Arial" w:cs="Arial"/>
          <w:sz w:val="24"/>
          <w:szCs w:val="24"/>
        </w:rPr>
        <w:t>background as a clerk in the City meant that he lacked key trappings of the social elite and even a growing and rapidly changing commercial ‘elite’. In the course of one of his trials it was remarked that he experienced a longstanding precarious financial existence,</w:t>
      </w:r>
      <w:r w:rsidRPr="00CB55F1">
        <w:rPr>
          <w:rFonts w:ascii="Arial" w:hAnsi="Arial" w:cs="Arial"/>
          <w:sz w:val="24"/>
          <w:szCs w:val="24"/>
          <w:vertAlign w:val="superscript"/>
        </w:rPr>
        <w:endnoteReference w:id="153"/>
      </w:r>
      <w:r w:rsidRPr="00CB55F1">
        <w:rPr>
          <w:rFonts w:ascii="Arial" w:hAnsi="Arial" w:cs="Arial"/>
          <w:sz w:val="24"/>
          <w:szCs w:val="24"/>
        </w:rPr>
        <w:t xml:space="preserve"> but it was also suggested that his frauds were motivated by enthusiasm for opportunities and affirmation attendant to being embedded in the City as much</w:t>
      </w:r>
      <w:r w:rsidR="00AA202B">
        <w:rPr>
          <w:rFonts w:ascii="Arial" w:hAnsi="Arial" w:cs="Arial"/>
          <w:sz w:val="24"/>
          <w:szCs w:val="24"/>
        </w:rPr>
        <w:t>,</w:t>
      </w:r>
      <w:r w:rsidRPr="00CB55F1">
        <w:rPr>
          <w:rFonts w:ascii="Arial" w:hAnsi="Arial" w:cs="Arial"/>
          <w:sz w:val="24"/>
          <w:szCs w:val="24"/>
        </w:rPr>
        <w:t xml:space="preserve"> if not more so</w:t>
      </w:r>
      <w:r w:rsidR="00AA202B">
        <w:rPr>
          <w:rFonts w:ascii="Arial" w:hAnsi="Arial" w:cs="Arial"/>
          <w:sz w:val="24"/>
          <w:szCs w:val="24"/>
        </w:rPr>
        <w:t>,</w:t>
      </w:r>
      <w:r w:rsidRPr="00CB55F1">
        <w:rPr>
          <w:rFonts w:ascii="Arial" w:hAnsi="Arial" w:cs="Arial"/>
          <w:sz w:val="24"/>
          <w:szCs w:val="24"/>
        </w:rPr>
        <w:t xml:space="preserve"> than by financial reward.</w:t>
      </w:r>
      <w:r w:rsidRPr="00CB55F1">
        <w:rPr>
          <w:rFonts w:ascii="Arial" w:hAnsi="Arial" w:cs="Arial"/>
          <w:sz w:val="24"/>
          <w:szCs w:val="24"/>
          <w:vertAlign w:val="superscript"/>
        </w:rPr>
        <w:endnoteReference w:id="154"/>
      </w:r>
      <w:r w:rsidRPr="00CB55F1">
        <w:rPr>
          <w:rFonts w:ascii="Arial" w:hAnsi="Arial" w:cs="Arial"/>
          <w:sz w:val="24"/>
          <w:szCs w:val="24"/>
        </w:rPr>
        <w:t xml:space="preserve"> Cole’s ability to execute frauds over a lengthy timeframe was thought to be closely connected with his reputation as a ‘first-class man of business’ garnered from being highly successful in his enterprises.</w:t>
      </w:r>
      <w:r w:rsidRPr="00CB55F1">
        <w:rPr>
          <w:rFonts w:ascii="Arial" w:hAnsi="Arial" w:cs="Arial"/>
          <w:sz w:val="24"/>
          <w:szCs w:val="24"/>
          <w:vertAlign w:val="superscript"/>
        </w:rPr>
        <w:endnoteReference w:id="155"/>
      </w:r>
      <w:r w:rsidRPr="00CB55F1">
        <w:rPr>
          <w:rFonts w:ascii="Arial" w:hAnsi="Arial" w:cs="Arial"/>
          <w:sz w:val="24"/>
          <w:szCs w:val="24"/>
        </w:rPr>
        <w:t xml:space="preserve">  He also appeared to have a personal </w:t>
      </w:r>
      <w:r w:rsidRPr="00CB55F1">
        <w:rPr>
          <w:rFonts w:ascii="Arial" w:hAnsi="Arial" w:cs="Arial"/>
          <w:i/>
          <w:sz w:val="24"/>
          <w:szCs w:val="24"/>
        </w:rPr>
        <w:t>reputation</w:t>
      </w:r>
      <w:r w:rsidRPr="00CB55F1">
        <w:rPr>
          <w:rFonts w:ascii="Arial" w:hAnsi="Arial" w:cs="Arial"/>
          <w:sz w:val="24"/>
          <w:szCs w:val="24"/>
        </w:rPr>
        <w:t xml:space="preserve"> and even </w:t>
      </w:r>
      <w:r w:rsidRPr="00CB55F1">
        <w:rPr>
          <w:rFonts w:ascii="Arial" w:hAnsi="Arial" w:cs="Arial"/>
          <w:i/>
          <w:sz w:val="24"/>
          <w:szCs w:val="24"/>
        </w:rPr>
        <w:t>respectability</w:t>
      </w:r>
      <w:r w:rsidRPr="00CB55F1">
        <w:rPr>
          <w:rFonts w:ascii="Arial" w:hAnsi="Arial" w:cs="Arial"/>
          <w:sz w:val="24"/>
          <w:szCs w:val="24"/>
        </w:rPr>
        <w:t xml:space="preserve"> by virtue of being considered ‘generally honourable in his dealings’,</w:t>
      </w:r>
      <w:r w:rsidRPr="00CB55F1">
        <w:rPr>
          <w:rFonts w:ascii="Arial" w:hAnsi="Arial" w:cs="Arial"/>
          <w:sz w:val="24"/>
          <w:szCs w:val="24"/>
          <w:vertAlign w:val="superscript"/>
        </w:rPr>
        <w:endnoteReference w:id="156"/>
      </w:r>
      <w:r w:rsidRPr="00CB55F1">
        <w:rPr>
          <w:rFonts w:ascii="Arial" w:hAnsi="Arial" w:cs="Arial"/>
          <w:sz w:val="24"/>
          <w:szCs w:val="24"/>
        </w:rPr>
        <w:t xml:space="preserve"> but his narrative suggests this was respectability acquired from his business dealings rather than arising from his background. There is also strong intimation that this arose from connections made with City Houses through his dealings, rather than from his more immediate business associates (centrally his 1864 co-defendants Davidson and Gordon), where associations with prominent City stalwarts like Overend</w:t>
      </w:r>
      <w:r w:rsidR="00056B0E">
        <w:rPr>
          <w:rFonts w:ascii="Arial" w:hAnsi="Arial" w:cs="Arial"/>
          <w:sz w:val="24"/>
          <w:szCs w:val="24"/>
        </w:rPr>
        <w:t>,</w:t>
      </w:r>
      <w:r w:rsidRPr="00CB55F1">
        <w:rPr>
          <w:rFonts w:ascii="Arial" w:hAnsi="Arial" w:cs="Arial"/>
          <w:sz w:val="24"/>
          <w:szCs w:val="24"/>
        </w:rPr>
        <w:t xml:space="preserve"> Gurney </w:t>
      </w:r>
      <w:r w:rsidR="00056B0E">
        <w:rPr>
          <w:rFonts w:ascii="Arial" w:hAnsi="Arial" w:cs="Arial"/>
          <w:sz w:val="24"/>
          <w:szCs w:val="24"/>
        </w:rPr>
        <w:t xml:space="preserve">and Co </w:t>
      </w:r>
      <w:r w:rsidRPr="00CB55F1">
        <w:rPr>
          <w:rFonts w:ascii="Arial" w:hAnsi="Arial" w:cs="Arial"/>
          <w:sz w:val="24"/>
          <w:szCs w:val="24"/>
        </w:rPr>
        <w:t>facilitated him in carrying on business ‘successfully, in good reputation’ as well as ‘with fair credit’.</w:t>
      </w:r>
      <w:r w:rsidRPr="00CB55F1">
        <w:rPr>
          <w:rFonts w:ascii="Arial" w:hAnsi="Arial" w:cs="Arial"/>
          <w:sz w:val="24"/>
          <w:szCs w:val="24"/>
          <w:vertAlign w:val="superscript"/>
        </w:rPr>
        <w:endnoteReference w:id="157"/>
      </w:r>
      <w:r w:rsidRPr="00CB55F1">
        <w:rPr>
          <w:rFonts w:ascii="Arial" w:hAnsi="Arial" w:cs="Arial"/>
          <w:sz w:val="24"/>
          <w:szCs w:val="24"/>
        </w:rPr>
        <w:t xml:space="preserve"> </w:t>
      </w:r>
    </w:p>
    <w:p w14:paraId="1D4F5488" w14:textId="77777777" w:rsidR="00CB55F1" w:rsidRPr="00CB55F1" w:rsidRDefault="00CB55F1" w:rsidP="00CB55F1">
      <w:pPr>
        <w:spacing w:after="0" w:line="480" w:lineRule="auto"/>
        <w:jc w:val="both"/>
        <w:rPr>
          <w:rFonts w:ascii="Arial" w:hAnsi="Arial" w:cs="Arial"/>
          <w:sz w:val="24"/>
          <w:szCs w:val="24"/>
        </w:rPr>
      </w:pPr>
    </w:p>
    <w:p w14:paraId="076AAB2B" w14:textId="45C3978E"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 xml:space="preserve">Cole’s ‘respectability by association’ appears to have been a different type from that arising from more conventional paths of social background and access to elite commercial and professional circles, as was so with </w:t>
      </w:r>
      <w:r w:rsidR="005F6686">
        <w:rPr>
          <w:rFonts w:ascii="Arial" w:hAnsi="Arial" w:cs="Arial"/>
          <w:sz w:val="24"/>
          <w:szCs w:val="24"/>
        </w:rPr>
        <w:t>Sadleir</w:t>
      </w:r>
      <w:r w:rsidRPr="00CB55F1">
        <w:rPr>
          <w:rFonts w:ascii="Arial" w:hAnsi="Arial" w:cs="Arial"/>
          <w:sz w:val="24"/>
          <w:szCs w:val="24"/>
        </w:rPr>
        <w:t xml:space="preserve"> and many others whose respectability became a public focal point. Although it was arguably a more diluted and less stable species of respectability, Cole’s </w:t>
      </w:r>
      <w:r w:rsidR="00AA202B">
        <w:rPr>
          <w:rFonts w:ascii="Arial" w:hAnsi="Arial" w:cs="Arial"/>
          <w:sz w:val="24"/>
          <w:szCs w:val="24"/>
        </w:rPr>
        <w:t>reputation</w:t>
      </w:r>
      <w:r w:rsidR="00AA202B" w:rsidRPr="00CB55F1">
        <w:rPr>
          <w:rFonts w:ascii="Arial" w:hAnsi="Arial" w:cs="Arial"/>
          <w:sz w:val="24"/>
          <w:szCs w:val="24"/>
        </w:rPr>
        <w:t xml:space="preserve"> </w:t>
      </w:r>
      <w:r w:rsidRPr="00CB55F1">
        <w:rPr>
          <w:rFonts w:ascii="Arial" w:hAnsi="Arial" w:cs="Arial"/>
          <w:sz w:val="24"/>
          <w:szCs w:val="24"/>
        </w:rPr>
        <w:t xml:space="preserve">was a feature of the criminal </w:t>
      </w:r>
      <w:r w:rsidRPr="00CB55F1">
        <w:rPr>
          <w:rFonts w:ascii="Arial" w:hAnsi="Arial" w:cs="Arial"/>
          <w:sz w:val="24"/>
          <w:szCs w:val="24"/>
        </w:rPr>
        <w:lastRenderedPageBreak/>
        <w:t>proceedings brought against him. Furthermore</w:t>
      </w:r>
      <w:r w:rsidR="00AA202B">
        <w:rPr>
          <w:rFonts w:ascii="Arial" w:hAnsi="Arial" w:cs="Arial"/>
          <w:sz w:val="24"/>
          <w:szCs w:val="24"/>
        </w:rPr>
        <w:t>,</w:t>
      </w:r>
      <w:r w:rsidRPr="00CB55F1">
        <w:rPr>
          <w:rFonts w:ascii="Arial" w:hAnsi="Arial" w:cs="Arial"/>
          <w:sz w:val="24"/>
          <w:szCs w:val="24"/>
        </w:rPr>
        <w:t xml:space="preserve"> it appears that his </w:t>
      </w:r>
      <w:r w:rsidR="00FF3BCA">
        <w:rPr>
          <w:rFonts w:ascii="Arial" w:hAnsi="Arial" w:cs="Arial"/>
          <w:sz w:val="24"/>
          <w:szCs w:val="24"/>
        </w:rPr>
        <w:t xml:space="preserve">respectability </w:t>
      </w:r>
      <w:r w:rsidRPr="00CB55F1">
        <w:rPr>
          <w:rFonts w:ascii="Arial" w:hAnsi="Arial" w:cs="Arial"/>
          <w:sz w:val="24"/>
          <w:szCs w:val="24"/>
        </w:rPr>
        <w:t xml:space="preserve">acquired </w:t>
      </w:r>
      <w:r w:rsidR="00FF3BCA">
        <w:rPr>
          <w:rFonts w:ascii="Arial" w:hAnsi="Arial" w:cs="Arial"/>
          <w:sz w:val="24"/>
          <w:szCs w:val="24"/>
        </w:rPr>
        <w:t xml:space="preserve">through his reputation and particularly his associations </w:t>
      </w:r>
      <w:r w:rsidRPr="00CB55F1">
        <w:rPr>
          <w:rFonts w:ascii="Arial" w:hAnsi="Arial" w:cs="Arial"/>
          <w:sz w:val="24"/>
          <w:szCs w:val="24"/>
        </w:rPr>
        <w:t xml:space="preserve">assisted him in operationalising his criminal activities </w:t>
      </w:r>
      <w:r w:rsidR="00AA202B">
        <w:rPr>
          <w:rFonts w:ascii="Arial" w:hAnsi="Arial" w:cs="Arial"/>
          <w:sz w:val="24"/>
          <w:szCs w:val="24"/>
        </w:rPr>
        <w:t>as it helped</w:t>
      </w:r>
      <w:r w:rsidRPr="00CB55F1">
        <w:rPr>
          <w:rFonts w:ascii="Arial" w:hAnsi="Arial" w:cs="Arial"/>
          <w:sz w:val="24"/>
          <w:szCs w:val="24"/>
        </w:rPr>
        <w:t xml:space="preserve"> him to conceal the unlawful aspects of his dealing. Here it is interesting that the proposition of criminality being concealed by occupational legitimacy is a mainstay within white-collar crime criminology, with this commonly captured in the juxta-positioning of crimes within ‘suites’ rather than the ‘streets’</w:t>
      </w:r>
      <w:r w:rsidR="00AA202B">
        <w:rPr>
          <w:rFonts w:ascii="Arial" w:hAnsi="Arial" w:cs="Arial"/>
          <w:sz w:val="24"/>
          <w:szCs w:val="24"/>
        </w:rPr>
        <w:t>.</w:t>
      </w:r>
      <w:r w:rsidRPr="00CB55F1">
        <w:rPr>
          <w:rStyle w:val="EndnoteReference"/>
          <w:rFonts w:ascii="Arial" w:hAnsi="Arial" w:cs="Arial"/>
          <w:sz w:val="24"/>
          <w:szCs w:val="24"/>
        </w:rPr>
        <w:endnoteReference w:id="158"/>
      </w:r>
      <w:r w:rsidRPr="00CB55F1">
        <w:rPr>
          <w:rFonts w:ascii="Arial" w:hAnsi="Arial" w:cs="Arial"/>
          <w:sz w:val="24"/>
          <w:szCs w:val="24"/>
        </w:rPr>
        <w:t xml:space="preserve"> </w:t>
      </w:r>
      <w:r w:rsidR="00AA202B">
        <w:rPr>
          <w:rFonts w:ascii="Arial" w:hAnsi="Arial" w:cs="Arial"/>
          <w:sz w:val="24"/>
          <w:szCs w:val="24"/>
        </w:rPr>
        <w:t>However we must bear in mind</w:t>
      </w:r>
      <w:r w:rsidR="00AA202B" w:rsidRPr="00CB55F1">
        <w:rPr>
          <w:rFonts w:ascii="Arial" w:hAnsi="Arial" w:cs="Arial"/>
          <w:sz w:val="24"/>
          <w:szCs w:val="24"/>
        </w:rPr>
        <w:t xml:space="preserve"> </w:t>
      </w:r>
      <w:r w:rsidRPr="00CB55F1">
        <w:rPr>
          <w:rFonts w:ascii="Arial" w:hAnsi="Arial" w:cs="Arial"/>
          <w:sz w:val="24"/>
          <w:szCs w:val="24"/>
        </w:rPr>
        <w:t>that once again scholars are divided on whether occupational environs are more effective or less so than conventional ‘crime scenes’ for ensuring that criminality remains uncovered.</w:t>
      </w:r>
      <w:r w:rsidRPr="00CB55F1">
        <w:rPr>
          <w:rStyle w:val="EndnoteReference"/>
          <w:rFonts w:ascii="Arial" w:hAnsi="Arial" w:cs="Arial"/>
          <w:sz w:val="24"/>
          <w:szCs w:val="24"/>
        </w:rPr>
        <w:endnoteReference w:id="159"/>
      </w:r>
      <w:r w:rsidRPr="00CB55F1">
        <w:rPr>
          <w:rFonts w:ascii="Arial" w:hAnsi="Arial" w:cs="Arial"/>
          <w:sz w:val="24"/>
          <w:szCs w:val="24"/>
        </w:rPr>
        <w:t xml:space="preserve"> What is less contentious is the perception that occupational environments help to convey and actually confer legitimacy to many ‘[financial] crime scenes’, and where this is also commonly attributed to respectability attaching to these environments themselves</w:t>
      </w:r>
      <w:r w:rsidR="00AA202B">
        <w:rPr>
          <w:rFonts w:ascii="Arial" w:hAnsi="Arial" w:cs="Arial"/>
          <w:sz w:val="24"/>
          <w:szCs w:val="24"/>
        </w:rPr>
        <w:t>,</w:t>
      </w:r>
      <w:r w:rsidRPr="00CB55F1">
        <w:rPr>
          <w:rFonts w:ascii="Arial" w:hAnsi="Arial" w:cs="Arial"/>
          <w:sz w:val="24"/>
          <w:szCs w:val="24"/>
        </w:rPr>
        <w:t xml:space="preserve"> as well as </w:t>
      </w:r>
      <w:r w:rsidR="00AA202B">
        <w:rPr>
          <w:rFonts w:ascii="Arial" w:hAnsi="Arial" w:cs="Arial"/>
          <w:sz w:val="24"/>
          <w:szCs w:val="24"/>
        </w:rPr>
        <w:t xml:space="preserve">to </w:t>
      </w:r>
      <w:r w:rsidRPr="00CB55F1">
        <w:rPr>
          <w:rFonts w:ascii="Arial" w:hAnsi="Arial" w:cs="Arial"/>
          <w:sz w:val="24"/>
          <w:szCs w:val="24"/>
        </w:rPr>
        <w:t>the persons occupying them.</w:t>
      </w:r>
      <w:r w:rsidRPr="00CB55F1">
        <w:rPr>
          <w:rStyle w:val="EndnoteReference"/>
          <w:rFonts w:ascii="Arial" w:hAnsi="Arial" w:cs="Arial"/>
          <w:sz w:val="24"/>
          <w:szCs w:val="24"/>
        </w:rPr>
        <w:endnoteReference w:id="160"/>
      </w:r>
    </w:p>
    <w:p w14:paraId="22354838" w14:textId="77777777" w:rsidR="00CB55F1" w:rsidRPr="00CB55F1" w:rsidRDefault="00CB55F1" w:rsidP="00CB55F1">
      <w:pPr>
        <w:spacing w:after="0" w:line="480" w:lineRule="auto"/>
        <w:jc w:val="both"/>
        <w:rPr>
          <w:rFonts w:ascii="Arial" w:hAnsi="Arial" w:cs="Arial"/>
          <w:sz w:val="24"/>
          <w:szCs w:val="24"/>
        </w:rPr>
      </w:pPr>
    </w:p>
    <w:p w14:paraId="71205DA3" w14:textId="617485E6"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 xml:space="preserve">This reference to </w:t>
      </w:r>
      <w:r w:rsidRPr="00CB55F1">
        <w:rPr>
          <w:rFonts w:ascii="Arial" w:hAnsi="Arial" w:cs="Arial"/>
          <w:i/>
          <w:sz w:val="24"/>
          <w:szCs w:val="24"/>
        </w:rPr>
        <w:t>persons</w:t>
      </w:r>
      <w:r w:rsidRPr="00CB55F1">
        <w:rPr>
          <w:rFonts w:ascii="Arial" w:hAnsi="Arial" w:cs="Arial"/>
          <w:sz w:val="24"/>
          <w:szCs w:val="24"/>
        </w:rPr>
        <w:t xml:space="preserve"> who commit financial crimes is central to understanding how Sutherland’s work has been criticised since its bold introduction. Many who are divided over being broadly supportive of his key propositions or dismissing his postulations on under-enforcement where unlawful acts and their perpetrators do not conform to popular conceptions of ‘crime’ and ‘the criminal’, are unified in </w:t>
      </w:r>
      <w:r w:rsidR="00AA202B">
        <w:rPr>
          <w:rFonts w:ascii="Arial" w:hAnsi="Arial" w:cs="Arial"/>
          <w:sz w:val="24"/>
          <w:szCs w:val="24"/>
        </w:rPr>
        <w:t xml:space="preserve">the </w:t>
      </w:r>
      <w:r w:rsidRPr="00CB55F1">
        <w:rPr>
          <w:rFonts w:ascii="Arial" w:hAnsi="Arial" w:cs="Arial"/>
          <w:sz w:val="24"/>
          <w:szCs w:val="24"/>
        </w:rPr>
        <w:t xml:space="preserve">belief that Sutherland’s preoccupation with </w:t>
      </w:r>
      <w:r w:rsidRPr="00CB55F1">
        <w:rPr>
          <w:rFonts w:ascii="Arial" w:hAnsi="Arial" w:cs="Arial"/>
          <w:i/>
          <w:sz w:val="24"/>
          <w:szCs w:val="24"/>
        </w:rPr>
        <w:t>persons</w:t>
      </w:r>
      <w:r w:rsidRPr="00CB55F1">
        <w:rPr>
          <w:rFonts w:ascii="Arial" w:hAnsi="Arial" w:cs="Arial"/>
          <w:sz w:val="24"/>
          <w:szCs w:val="24"/>
        </w:rPr>
        <w:t xml:space="preserve"> ‘of respectability and high social status’ has ensured that far too little attention has been paid to the activities themselves.</w:t>
      </w:r>
      <w:r w:rsidRPr="00CB55F1">
        <w:rPr>
          <w:rStyle w:val="EndnoteReference"/>
          <w:rFonts w:ascii="Arial" w:hAnsi="Arial" w:cs="Arial"/>
          <w:sz w:val="24"/>
          <w:szCs w:val="24"/>
        </w:rPr>
        <w:endnoteReference w:id="161"/>
      </w:r>
      <w:r w:rsidRPr="00CB55F1">
        <w:rPr>
          <w:rFonts w:ascii="Arial" w:hAnsi="Arial" w:cs="Arial"/>
          <w:sz w:val="24"/>
          <w:szCs w:val="24"/>
        </w:rPr>
        <w:t xml:space="preserve"> Within this, for some</w:t>
      </w:r>
      <w:r w:rsidR="00AA202B">
        <w:rPr>
          <w:rFonts w:ascii="Arial" w:hAnsi="Arial" w:cs="Arial"/>
          <w:sz w:val="24"/>
          <w:szCs w:val="24"/>
        </w:rPr>
        <w:t>,</w:t>
      </w:r>
      <w:r w:rsidRPr="00CB55F1">
        <w:rPr>
          <w:rFonts w:ascii="Arial" w:hAnsi="Arial" w:cs="Arial"/>
          <w:sz w:val="24"/>
          <w:szCs w:val="24"/>
        </w:rPr>
        <w:t xml:space="preserve"> Sutherland put too great an emphasis on respectability and high social status, thereby taking too little account of </w:t>
      </w:r>
      <w:r w:rsidR="00AA202B">
        <w:rPr>
          <w:rFonts w:ascii="Arial" w:hAnsi="Arial" w:cs="Arial"/>
          <w:sz w:val="24"/>
          <w:szCs w:val="24"/>
        </w:rPr>
        <w:t xml:space="preserve">the </w:t>
      </w:r>
      <w:r w:rsidRPr="00CB55F1">
        <w:rPr>
          <w:rFonts w:ascii="Arial" w:hAnsi="Arial" w:cs="Arial"/>
          <w:sz w:val="24"/>
          <w:szCs w:val="24"/>
        </w:rPr>
        <w:t>actor (as well as activity) spectrum of offending.</w:t>
      </w:r>
      <w:r w:rsidRPr="00CB55F1">
        <w:rPr>
          <w:rStyle w:val="EndnoteReference"/>
          <w:rFonts w:ascii="Arial" w:hAnsi="Arial" w:cs="Arial"/>
          <w:sz w:val="24"/>
          <w:szCs w:val="24"/>
        </w:rPr>
        <w:endnoteReference w:id="162"/>
      </w:r>
      <w:r w:rsidRPr="00CB55F1">
        <w:rPr>
          <w:rFonts w:ascii="Arial" w:hAnsi="Arial" w:cs="Arial"/>
          <w:sz w:val="24"/>
          <w:szCs w:val="24"/>
        </w:rPr>
        <w:t xml:space="preserve"> Whether findings of significance attached to offenders’ respectability in nineteenth-century Britain will provide a ‘corrective’ for applying Sutherland’s work to </w:t>
      </w:r>
      <w:r w:rsidRPr="00CB55F1">
        <w:rPr>
          <w:rFonts w:ascii="Arial" w:hAnsi="Arial" w:cs="Arial"/>
          <w:sz w:val="24"/>
          <w:szCs w:val="24"/>
        </w:rPr>
        <w:lastRenderedPageBreak/>
        <w:t>twenty-first century Britain is likely to be a further point of contention and division amongst scholars</w:t>
      </w:r>
      <w:r w:rsidR="00AA202B">
        <w:rPr>
          <w:rFonts w:ascii="Arial" w:hAnsi="Arial" w:cs="Arial"/>
          <w:sz w:val="24"/>
          <w:szCs w:val="24"/>
        </w:rPr>
        <w:t>. Indeed</w:t>
      </w:r>
      <w:r w:rsidRPr="00CB55F1">
        <w:rPr>
          <w:rFonts w:ascii="Arial" w:hAnsi="Arial" w:cs="Arial"/>
          <w:sz w:val="24"/>
          <w:szCs w:val="24"/>
        </w:rPr>
        <w:t xml:space="preserve"> it might properly be argued that whatever its significance for nineteenth-century contemporaries</w:t>
      </w:r>
      <w:r w:rsidR="00AA202B">
        <w:rPr>
          <w:rFonts w:ascii="Arial" w:hAnsi="Arial" w:cs="Arial"/>
          <w:sz w:val="24"/>
          <w:szCs w:val="24"/>
        </w:rPr>
        <w:t>,</w:t>
      </w:r>
      <w:r w:rsidRPr="00CB55F1">
        <w:rPr>
          <w:rFonts w:ascii="Arial" w:hAnsi="Arial" w:cs="Arial"/>
          <w:sz w:val="24"/>
          <w:szCs w:val="24"/>
        </w:rPr>
        <w:t xml:space="preserve"> ‘respectability’ and ‘standing’ have little currency and import in the relatively flat social structure of twenty-first century Britain. </w:t>
      </w:r>
    </w:p>
    <w:p w14:paraId="01B5397E" w14:textId="77777777" w:rsidR="00CB55F1" w:rsidRPr="00CB55F1" w:rsidRDefault="00CB55F1" w:rsidP="00CB55F1">
      <w:pPr>
        <w:spacing w:after="0" w:line="480" w:lineRule="auto"/>
        <w:jc w:val="both"/>
        <w:rPr>
          <w:rFonts w:ascii="Arial" w:hAnsi="Arial" w:cs="Arial"/>
          <w:sz w:val="24"/>
          <w:szCs w:val="24"/>
        </w:rPr>
      </w:pPr>
    </w:p>
    <w:p w14:paraId="206B533E" w14:textId="46D1C757" w:rsidR="00CB55F1" w:rsidRPr="00AA202B" w:rsidRDefault="00AA202B" w:rsidP="00AA202B">
      <w:pPr>
        <w:spacing w:after="0" w:line="480" w:lineRule="auto"/>
        <w:jc w:val="center"/>
        <w:rPr>
          <w:rFonts w:ascii="Arial" w:hAnsi="Arial" w:cs="Arial"/>
          <w:sz w:val="28"/>
          <w:szCs w:val="28"/>
        </w:rPr>
      </w:pPr>
      <w:r w:rsidRPr="00AA202B">
        <w:rPr>
          <w:rFonts w:ascii="Arial" w:hAnsi="Arial" w:cs="Arial"/>
          <w:sz w:val="28"/>
          <w:szCs w:val="28"/>
        </w:rPr>
        <w:t>VIII</w:t>
      </w:r>
    </w:p>
    <w:p w14:paraId="50653B68" w14:textId="120FC1B3" w:rsidR="00CB55F1" w:rsidRDefault="00CB55F1" w:rsidP="00CB55F1">
      <w:pPr>
        <w:spacing w:after="0" w:line="480" w:lineRule="auto"/>
        <w:jc w:val="both"/>
        <w:rPr>
          <w:rFonts w:ascii="Arial" w:hAnsi="Arial" w:cs="Arial"/>
          <w:sz w:val="24"/>
          <w:szCs w:val="24"/>
          <w:lang w:val="en"/>
        </w:rPr>
      </w:pPr>
      <w:r w:rsidRPr="00CB55F1">
        <w:rPr>
          <w:rFonts w:ascii="Arial" w:hAnsi="Arial" w:cs="Arial"/>
          <w:sz w:val="24"/>
          <w:szCs w:val="24"/>
        </w:rPr>
        <w:t xml:space="preserve">What is interesting in the light of such views is how important </w:t>
      </w:r>
      <w:r w:rsidR="00FF3BCA">
        <w:rPr>
          <w:rFonts w:ascii="Arial" w:hAnsi="Arial" w:cs="Arial"/>
          <w:sz w:val="24"/>
          <w:szCs w:val="24"/>
        </w:rPr>
        <w:t xml:space="preserve">standing and reputation and </w:t>
      </w:r>
      <w:r w:rsidR="00DA5CA3">
        <w:rPr>
          <w:rFonts w:ascii="Arial" w:hAnsi="Arial" w:cs="Arial"/>
          <w:sz w:val="24"/>
          <w:szCs w:val="24"/>
        </w:rPr>
        <w:t xml:space="preserve">even </w:t>
      </w:r>
      <w:r w:rsidRPr="00CB55F1">
        <w:rPr>
          <w:rFonts w:ascii="Arial" w:hAnsi="Arial" w:cs="Arial"/>
          <w:sz w:val="24"/>
          <w:szCs w:val="24"/>
        </w:rPr>
        <w:t>‘respectability’ continues to be in twenty-first century discourses on financial crime. Certainly it is associated with interferences with the proper course of criminal justice where those standing accused of activities which do not necessarily attract ‘moral outrage’ are not perceived as being ‘real criminals’ or even criminals at all, by</w:t>
      </w:r>
      <w:r w:rsidR="00C8538E">
        <w:rPr>
          <w:rFonts w:ascii="Arial" w:hAnsi="Arial" w:cs="Arial"/>
          <w:sz w:val="24"/>
          <w:szCs w:val="24"/>
        </w:rPr>
        <w:t xml:space="preserve"> sitting</w:t>
      </w:r>
      <w:r w:rsidRPr="00CB55F1">
        <w:rPr>
          <w:rFonts w:ascii="Arial" w:hAnsi="Arial" w:cs="Arial"/>
          <w:sz w:val="24"/>
          <w:szCs w:val="24"/>
        </w:rPr>
        <w:t xml:space="preserve"> juries or even criminal justice process actors themselves.</w:t>
      </w:r>
      <w:r w:rsidRPr="00CB55F1">
        <w:rPr>
          <w:rStyle w:val="EndnoteReference"/>
          <w:rFonts w:ascii="Arial" w:hAnsi="Arial" w:cs="Arial"/>
          <w:sz w:val="24"/>
          <w:szCs w:val="24"/>
        </w:rPr>
        <w:endnoteReference w:id="163"/>
      </w:r>
      <w:r w:rsidRPr="00CB55F1">
        <w:rPr>
          <w:rFonts w:ascii="Arial" w:hAnsi="Arial" w:cs="Arial"/>
          <w:sz w:val="24"/>
          <w:szCs w:val="24"/>
        </w:rPr>
        <w:t xml:space="preserve"> </w:t>
      </w:r>
      <w:r w:rsidR="00DA5CA3">
        <w:rPr>
          <w:rFonts w:ascii="Arial" w:hAnsi="Arial" w:cs="Arial"/>
          <w:sz w:val="24"/>
          <w:szCs w:val="24"/>
        </w:rPr>
        <w:t xml:space="preserve">It </w:t>
      </w:r>
      <w:r w:rsidRPr="00CB55F1">
        <w:rPr>
          <w:rFonts w:ascii="Arial" w:hAnsi="Arial" w:cs="Arial"/>
          <w:sz w:val="24"/>
          <w:szCs w:val="24"/>
        </w:rPr>
        <w:t>is also noteworthy that those accused of financial crimes are said to lack criminal self-image</w:t>
      </w:r>
      <w:r w:rsidR="00C8538E">
        <w:rPr>
          <w:rFonts w:ascii="Arial" w:hAnsi="Arial" w:cs="Arial"/>
          <w:sz w:val="24"/>
          <w:szCs w:val="24"/>
        </w:rPr>
        <w:t>,</w:t>
      </w:r>
      <w:r w:rsidRPr="00CB55F1">
        <w:rPr>
          <w:rStyle w:val="EndnoteReference"/>
          <w:rFonts w:ascii="Arial" w:hAnsi="Arial" w:cs="Arial"/>
          <w:sz w:val="24"/>
          <w:szCs w:val="24"/>
        </w:rPr>
        <w:endnoteReference w:id="164"/>
      </w:r>
      <w:r w:rsidRPr="00CB55F1">
        <w:rPr>
          <w:rFonts w:ascii="Arial" w:hAnsi="Arial" w:cs="Arial"/>
          <w:sz w:val="24"/>
          <w:szCs w:val="24"/>
        </w:rPr>
        <w:t xml:space="preserve"> </w:t>
      </w:r>
      <w:r w:rsidR="00C8538E">
        <w:rPr>
          <w:rFonts w:ascii="Arial" w:hAnsi="Arial" w:cs="Arial"/>
          <w:sz w:val="24"/>
          <w:szCs w:val="24"/>
        </w:rPr>
        <w:t>n</w:t>
      </w:r>
      <w:r w:rsidRPr="00CB55F1">
        <w:rPr>
          <w:rFonts w:ascii="Arial" w:hAnsi="Arial" w:cs="Arial"/>
          <w:sz w:val="24"/>
          <w:szCs w:val="24"/>
        </w:rPr>
        <w:t>ot simply because their activities are not ‘really wrong’ but on account of having middle-class (or higher) status.</w:t>
      </w:r>
      <w:r w:rsidRPr="00CB55F1">
        <w:rPr>
          <w:rStyle w:val="EndnoteReference"/>
          <w:rFonts w:ascii="Arial" w:hAnsi="Arial" w:cs="Arial"/>
          <w:sz w:val="24"/>
          <w:szCs w:val="24"/>
        </w:rPr>
        <w:endnoteReference w:id="165"/>
      </w:r>
      <w:r w:rsidRPr="00CB55F1">
        <w:rPr>
          <w:rFonts w:ascii="Arial" w:hAnsi="Arial" w:cs="Arial"/>
          <w:sz w:val="24"/>
          <w:szCs w:val="24"/>
        </w:rPr>
        <w:t xml:space="preserve"> That respectability clearly </w:t>
      </w:r>
      <w:r w:rsidRPr="00CB55F1">
        <w:rPr>
          <w:rFonts w:ascii="Arial" w:hAnsi="Arial" w:cs="Arial"/>
          <w:i/>
          <w:sz w:val="24"/>
          <w:szCs w:val="24"/>
        </w:rPr>
        <w:t xml:space="preserve">does </w:t>
      </w:r>
      <w:r w:rsidRPr="00CB55F1">
        <w:rPr>
          <w:rFonts w:ascii="Arial" w:hAnsi="Arial" w:cs="Arial"/>
          <w:sz w:val="24"/>
          <w:szCs w:val="24"/>
        </w:rPr>
        <w:t xml:space="preserve">still matter for those who lack ‘criminal self-image’ is evident in the case of Ernest Saunders who was convicted of fraud and false accounting in 1990 as part of the highly-profiled trial of the ‘Guinness Four’. Saunders attributed his ‘nightmare’ fall from grace </w:t>
      </w:r>
      <w:r w:rsidR="00AA202B">
        <w:rPr>
          <w:rFonts w:ascii="Arial" w:hAnsi="Arial" w:cs="Arial"/>
          <w:sz w:val="24"/>
          <w:szCs w:val="24"/>
        </w:rPr>
        <w:t xml:space="preserve">– occurring </w:t>
      </w:r>
      <w:r w:rsidRPr="00CB55F1">
        <w:rPr>
          <w:rFonts w:ascii="Arial" w:hAnsi="Arial" w:cs="Arial"/>
          <w:sz w:val="24"/>
          <w:szCs w:val="24"/>
        </w:rPr>
        <w:t>even prior to his conviction and imprisonment</w:t>
      </w:r>
      <w:r w:rsidRPr="00CB55F1">
        <w:rPr>
          <w:rStyle w:val="EndnoteReference"/>
          <w:rFonts w:ascii="Arial" w:hAnsi="Arial" w:cs="Arial"/>
          <w:sz w:val="24"/>
          <w:szCs w:val="24"/>
        </w:rPr>
        <w:endnoteReference w:id="166"/>
      </w:r>
      <w:r w:rsidRPr="00CB55F1">
        <w:rPr>
          <w:rFonts w:ascii="Arial" w:hAnsi="Arial" w:cs="Arial"/>
          <w:sz w:val="24"/>
          <w:szCs w:val="24"/>
        </w:rPr>
        <w:t xml:space="preserve"> and continuing long after </w:t>
      </w:r>
      <w:r w:rsidR="00AA202B">
        <w:rPr>
          <w:rFonts w:ascii="Arial" w:hAnsi="Arial" w:cs="Arial"/>
          <w:sz w:val="24"/>
          <w:szCs w:val="24"/>
        </w:rPr>
        <w:t xml:space="preserve">– to </w:t>
      </w:r>
      <w:r w:rsidRPr="00CB55F1">
        <w:rPr>
          <w:rFonts w:ascii="Arial" w:hAnsi="Arial" w:cs="Arial"/>
          <w:sz w:val="24"/>
          <w:szCs w:val="24"/>
        </w:rPr>
        <w:t>not being part of ‘the Establishment’ by virtue of background as well as religion. Clearly</w:t>
      </w:r>
      <w:r w:rsidR="00AA202B">
        <w:rPr>
          <w:rFonts w:ascii="Arial" w:hAnsi="Arial" w:cs="Arial"/>
          <w:sz w:val="24"/>
          <w:szCs w:val="24"/>
        </w:rPr>
        <w:t>,</w:t>
      </w:r>
      <w:r w:rsidRPr="00CB55F1">
        <w:rPr>
          <w:rFonts w:ascii="Arial" w:hAnsi="Arial" w:cs="Arial"/>
          <w:sz w:val="24"/>
          <w:szCs w:val="24"/>
        </w:rPr>
        <w:t xml:space="preserve"> this one-time respected and successful Cambridge-educated businessman has not experienced the ‘rehabilitation’ and reintegration into upper echelons enjoyed by fellow ‘Guinness Four’ convict Gerald Ronson, which was considered to be complete within weeks of his release from serving a six month prison sentence. At the time</w:t>
      </w:r>
      <w:r w:rsidR="00AA202B">
        <w:rPr>
          <w:rFonts w:ascii="Arial" w:hAnsi="Arial" w:cs="Arial"/>
          <w:sz w:val="24"/>
          <w:szCs w:val="24"/>
        </w:rPr>
        <w:t>,</w:t>
      </w:r>
      <w:r w:rsidRPr="00CB55F1">
        <w:rPr>
          <w:rFonts w:ascii="Arial" w:hAnsi="Arial" w:cs="Arial"/>
          <w:sz w:val="24"/>
          <w:szCs w:val="24"/>
        </w:rPr>
        <w:t xml:space="preserve"> this was famously sealed with a handshake from the Queen Mother,</w:t>
      </w:r>
      <w:r w:rsidRPr="00CB55F1">
        <w:rPr>
          <w:rStyle w:val="EndnoteReference"/>
          <w:rFonts w:ascii="Arial" w:hAnsi="Arial" w:cs="Arial"/>
          <w:sz w:val="24"/>
          <w:szCs w:val="24"/>
        </w:rPr>
        <w:endnoteReference w:id="167"/>
      </w:r>
      <w:r w:rsidRPr="00CB55F1">
        <w:rPr>
          <w:rFonts w:ascii="Arial" w:hAnsi="Arial" w:cs="Arial"/>
          <w:sz w:val="24"/>
          <w:szCs w:val="24"/>
        </w:rPr>
        <w:t xml:space="preserve"> and twenty-two years later this </w:t>
      </w:r>
      <w:r w:rsidRPr="00CB55F1">
        <w:rPr>
          <w:rFonts w:ascii="Arial" w:hAnsi="Arial" w:cs="Arial"/>
          <w:sz w:val="24"/>
          <w:szCs w:val="24"/>
        </w:rPr>
        <w:lastRenderedPageBreak/>
        <w:t>‘</w:t>
      </w:r>
      <w:r w:rsidRPr="00CB55F1">
        <w:rPr>
          <w:rFonts w:ascii="Arial" w:hAnsi="Arial" w:cs="Arial"/>
          <w:sz w:val="24"/>
          <w:szCs w:val="24"/>
          <w:lang w:val="en"/>
        </w:rPr>
        <w:t xml:space="preserve">great survivor of the Guinness share-trading scandal’ </w:t>
      </w:r>
      <w:r w:rsidRPr="00CB55F1">
        <w:rPr>
          <w:rFonts w:ascii="Arial" w:hAnsi="Arial" w:cs="Arial"/>
          <w:sz w:val="24"/>
          <w:szCs w:val="24"/>
        </w:rPr>
        <w:t xml:space="preserve">received a CBE for services to charity in the 2012 </w:t>
      </w:r>
      <w:r w:rsidRPr="00CB55F1">
        <w:rPr>
          <w:rFonts w:ascii="Arial" w:hAnsi="Arial" w:cs="Arial"/>
          <w:sz w:val="24"/>
          <w:szCs w:val="24"/>
          <w:lang w:val="en"/>
        </w:rPr>
        <w:t>New Year Honours list.</w:t>
      </w:r>
      <w:r w:rsidRPr="00CB55F1">
        <w:rPr>
          <w:rStyle w:val="EndnoteReference"/>
          <w:rFonts w:ascii="Arial" w:hAnsi="Arial" w:cs="Arial"/>
          <w:sz w:val="24"/>
          <w:szCs w:val="24"/>
          <w:lang w:val="en"/>
        </w:rPr>
        <w:endnoteReference w:id="168"/>
      </w:r>
    </w:p>
    <w:p w14:paraId="56A4D301" w14:textId="77777777" w:rsidR="00AA202B" w:rsidRPr="00CB55F1" w:rsidRDefault="00AA202B" w:rsidP="00CB55F1">
      <w:pPr>
        <w:spacing w:after="0" w:line="480" w:lineRule="auto"/>
        <w:jc w:val="both"/>
        <w:rPr>
          <w:rFonts w:ascii="Arial" w:hAnsi="Arial" w:cs="Arial"/>
          <w:sz w:val="24"/>
          <w:szCs w:val="24"/>
          <w:lang w:val="en"/>
        </w:rPr>
      </w:pPr>
    </w:p>
    <w:p w14:paraId="0C3FBF7C" w14:textId="7B99F1EF"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lang w:val="en"/>
        </w:rPr>
        <w:t>Ernest Saunders has attributed his rather different fortunes to his ‘outsider’ background as the son of a Jewish immigrant</w:t>
      </w:r>
      <w:r w:rsidR="00AA202B">
        <w:rPr>
          <w:rFonts w:ascii="Arial" w:hAnsi="Arial" w:cs="Arial"/>
          <w:sz w:val="24"/>
          <w:szCs w:val="24"/>
          <w:lang w:val="en"/>
        </w:rPr>
        <w:t>. W</w:t>
      </w:r>
      <w:r w:rsidRPr="00CB55F1">
        <w:rPr>
          <w:rFonts w:ascii="Arial" w:hAnsi="Arial" w:cs="Arial"/>
          <w:sz w:val="24"/>
          <w:szCs w:val="24"/>
          <w:lang w:val="en"/>
        </w:rPr>
        <w:t xml:space="preserve">hilst other accounts attach this to skepticism surrounding his (apparently) </w:t>
      </w:r>
      <w:r w:rsidRPr="00CB55F1">
        <w:rPr>
          <w:rFonts w:ascii="Arial" w:hAnsi="Arial" w:cs="Arial"/>
          <w:sz w:val="24"/>
          <w:szCs w:val="24"/>
        </w:rPr>
        <w:t>miraculous recovery from dementia.</w:t>
      </w:r>
      <w:r w:rsidRPr="00CB55F1">
        <w:rPr>
          <w:rStyle w:val="EndnoteReference"/>
          <w:rFonts w:ascii="Arial" w:hAnsi="Arial" w:cs="Arial"/>
          <w:sz w:val="24"/>
          <w:szCs w:val="24"/>
        </w:rPr>
        <w:endnoteReference w:id="169"/>
      </w:r>
      <w:r w:rsidRPr="00CB55F1">
        <w:rPr>
          <w:rFonts w:ascii="Arial" w:hAnsi="Arial" w:cs="Arial"/>
          <w:sz w:val="24"/>
          <w:szCs w:val="24"/>
        </w:rPr>
        <w:t xml:space="preserve"> But his self-image is that of ‘outsider’ and had he lived</w:t>
      </w:r>
      <w:r w:rsidR="00C61897">
        <w:rPr>
          <w:rFonts w:ascii="Arial" w:hAnsi="Arial" w:cs="Arial"/>
          <w:sz w:val="24"/>
          <w:szCs w:val="24"/>
        </w:rPr>
        <w:t>,</w:t>
      </w:r>
      <w:r w:rsidRPr="00CB55F1">
        <w:rPr>
          <w:rFonts w:ascii="Arial" w:hAnsi="Arial" w:cs="Arial"/>
          <w:sz w:val="24"/>
          <w:szCs w:val="24"/>
        </w:rPr>
        <w:t xml:space="preserve"> perhaps John </w:t>
      </w:r>
      <w:r w:rsidR="005F6686">
        <w:rPr>
          <w:rFonts w:ascii="Arial" w:hAnsi="Arial" w:cs="Arial"/>
          <w:sz w:val="24"/>
          <w:szCs w:val="24"/>
        </w:rPr>
        <w:t>Sadleir</w:t>
      </w:r>
      <w:r w:rsidRPr="00CB55F1">
        <w:rPr>
          <w:rFonts w:ascii="Arial" w:hAnsi="Arial" w:cs="Arial"/>
          <w:sz w:val="24"/>
          <w:szCs w:val="24"/>
        </w:rPr>
        <w:t xml:space="preserve"> too might have spoken of his ‘nightmare’ and how scrutiny of his affairs reflected his lack of belonging to the elite (incorporating also his Catholicism). The </w:t>
      </w:r>
      <w:r w:rsidRPr="00CB55F1">
        <w:rPr>
          <w:rFonts w:ascii="Arial" w:hAnsi="Arial" w:cs="Arial"/>
          <w:sz w:val="24"/>
          <w:szCs w:val="24"/>
          <w:lang w:val="en"/>
        </w:rPr>
        <w:t>Guinness story of ‘cross-class alliance of the respectable poor with the elite’</w:t>
      </w:r>
      <w:r w:rsidRPr="00CB55F1">
        <w:rPr>
          <w:rStyle w:val="EndnoteReference"/>
          <w:rFonts w:ascii="Arial" w:hAnsi="Arial" w:cs="Arial"/>
          <w:sz w:val="24"/>
          <w:szCs w:val="24"/>
          <w:lang w:val="en"/>
        </w:rPr>
        <w:endnoteReference w:id="170"/>
      </w:r>
      <w:r w:rsidRPr="00CB55F1">
        <w:rPr>
          <w:rFonts w:ascii="Arial" w:hAnsi="Arial" w:cs="Arial"/>
          <w:sz w:val="24"/>
          <w:szCs w:val="24"/>
        </w:rPr>
        <w:t xml:space="preserve"> is complex given that whilst Saunders lacked the pedigree of fellow Guinness defendant Sir Jack Lyons, he was not like Ronson and Anthony Parnes who were ‘classic self-made entrepreneurs’.</w:t>
      </w:r>
      <w:r w:rsidRPr="00CB55F1">
        <w:rPr>
          <w:rStyle w:val="EndnoteReference"/>
          <w:rFonts w:ascii="Arial" w:hAnsi="Arial" w:cs="Arial"/>
          <w:sz w:val="24"/>
          <w:szCs w:val="24"/>
        </w:rPr>
        <w:endnoteReference w:id="171"/>
      </w:r>
      <w:r w:rsidRPr="00CB55F1">
        <w:rPr>
          <w:rFonts w:ascii="Arial" w:hAnsi="Arial" w:cs="Arial"/>
          <w:sz w:val="24"/>
          <w:szCs w:val="24"/>
        </w:rPr>
        <w:t xml:space="preserve"> In this regard, the very recent tale of former JP Morgan banker Ian Hannam might be instructive. Following a successful non-criminal insider dealing enforcement against him, Hannam retained his licence to trade amidst findings that he had acted honestly and with integrity, with his financial penalty of £450,000 reflecting a serious error of professional judgement.</w:t>
      </w:r>
      <w:r w:rsidRPr="00CB55F1">
        <w:rPr>
          <w:rStyle w:val="EndnoteReference"/>
          <w:rFonts w:ascii="Arial" w:hAnsi="Arial" w:cs="Arial"/>
          <w:sz w:val="24"/>
          <w:szCs w:val="24"/>
        </w:rPr>
        <w:endnoteReference w:id="172"/>
      </w:r>
      <w:r w:rsidRPr="00CB55F1">
        <w:rPr>
          <w:rFonts w:ascii="Arial" w:hAnsi="Arial" w:cs="Arial"/>
          <w:sz w:val="24"/>
          <w:szCs w:val="24"/>
        </w:rPr>
        <w:t xml:space="preserve"> But Hannam</w:t>
      </w:r>
      <w:r w:rsidR="00C61897">
        <w:rPr>
          <w:rFonts w:ascii="Arial" w:hAnsi="Arial" w:cs="Arial"/>
          <w:sz w:val="24"/>
          <w:szCs w:val="24"/>
        </w:rPr>
        <w:t>,</w:t>
      </w:r>
      <w:r w:rsidRPr="00CB55F1">
        <w:rPr>
          <w:rFonts w:ascii="Arial" w:hAnsi="Arial" w:cs="Arial"/>
          <w:sz w:val="24"/>
          <w:szCs w:val="24"/>
        </w:rPr>
        <w:t xml:space="preserve"> like Saunders</w:t>
      </w:r>
      <w:r w:rsidR="00C61897">
        <w:rPr>
          <w:rFonts w:ascii="Arial" w:hAnsi="Arial" w:cs="Arial"/>
          <w:sz w:val="24"/>
          <w:szCs w:val="24"/>
        </w:rPr>
        <w:t>,</w:t>
      </w:r>
      <w:r w:rsidRPr="00CB55F1">
        <w:rPr>
          <w:rFonts w:ascii="Arial" w:hAnsi="Arial" w:cs="Arial"/>
          <w:sz w:val="24"/>
          <w:szCs w:val="24"/>
        </w:rPr>
        <w:t xml:space="preserve"> speaks of continuing social and occupational ostracisation, attributing this to being an ‘outsider’ and not ‘in the club’, by virtue of growing up on a council estate and not being ‘officer class’ during his military career. </w:t>
      </w:r>
    </w:p>
    <w:p w14:paraId="04A19DAA" w14:textId="77777777" w:rsidR="00C61897" w:rsidRDefault="00C61897" w:rsidP="00CB55F1">
      <w:pPr>
        <w:spacing w:after="0" w:line="480" w:lineRule="auto"/>
        <w:jc w:val="both"/>
        <w:rPr>
          <w:rFonts w:ascii="Arial" w:hAnsi="Arial" w:cs="Arial"/>
          <w:sz w:val="24"/>
          <w:szCs w:val="24"/>
        </w:rPr>
      </w:pPr>
    </w:p>
    <w:p w14:paraId="472A3D47" w14:textId="19F15355" w:rsidR="00CB55F1" w:rsidRPr="00CB55F1" w:rsidRDefault="00CB55F1" w:rsidP="00CB55F1">
      <w:pPr>
        <w:spacing w:after="0" w:line="480" w:lineRule="auto"/>
        <w:jc w:val="both"/>
        <w:rPr>
          <w:rFonts w:ascii="Arial" w:hAnsi="Arial" w:cs="Arial"/>
          <w:sz w:val="24"/>
          <w:szCs w:val="24"/>
        </w:rPr>
      </w:pPr>
      <w:r w:rsidRPr="00CB55F1">
        <w:rPr>
          <w:rFonts w:ascii="Arial" w:hAnsi="Arial" w:cs="Arial"/>
          <w:sz w:val="24"/>
          <w:szCs w:val="24"/>
        </w:rPr>
        <w:t xml:space="preserve">Both cases suggest that responding to misconduct in business is highly complex, and that research into the ‘problem’ of financial crime for society in Britain </w:t>
      </w:r>
      <w:r w:rsidR="00FF3BCA">
        <w:rPr>
          <w:rFonts w:ascii="Arial" w:hAnsi="Arial" w:cs="Arial"/>
          <w:sz w:val="24"/>
          <w:szCs w:val="24"/>
        </w:rPr>
        <w:t xml:space="preserve">needs to </w:t>
      </w:r>
      <w:r w:rsidR="00FF3BCA" w:rsidRPr="00CB55F1">
        <w:rPr>
          <w:rFonts w:ascii="Arial" w:hAnsi="Arial" w:cs="Arial"/>
          <w:sz w:val="24"/>
          <w:szCs w:val="24"/>
        </w:rPr>
        <w:t>continue</w:t>
      </w:r>
      <w:r w:rsidRPr="00CB55F1">
        <w:rPr>
          <w:rFonts w:ascii="Arial" w:hAnsi="Arial" w:cs="Arial"/>
          <w:sz w:val="24"/>
          <w:szCs w:val="24"/>
        </w:rPr>
        <w:t xml:space="preserve">. That this should include historical research can be illustrated by UK regulators’ current enthusiasm for the importance of the past for configuring current </w:t>
      </w:r>
      <w:r w:rsidRPr="00CB55F1">
        <w:rPr>
          <w:rFonts w:ascii="Arial" w:hAnsi="Arial" w:cs="Arial"/>
          <w:sz w:val="24"/>
          <w:szCs w:val="24"/>
        </w:rPr>
        <w:lastRenderedPageBreak/>
        <w:t>challenges for law making and law enforcement in the ‘commercial sphere’</w:t>
      </w:r>
      <w:r w:rsidR="00C61897">
        <w:rPr>
          <w:rFonts w:ascii="Arial" w:hAnsi="Arial" w:cs="Arial"/>
          <w:sz w:val="24"/>
          <w:szCs w:val="24"/>
        </w:rPr>
        <w:t>.</w:t>
      </w:r>
      <w:r w:rsidRPr="00CB55F1">
        <w:rPr>
          <w:rStyle w:val="EndnoteReference"/>
          <w:rFonts w:ascii="Arial" w:hAnsi="Arial" w:cs="Arial"/>
          <w:sz w:val="24"/>
          <w:szCs w:val="24"/>
        </w:rPr>
        <w:endnoteReference w:id="173"/>
      </w:r>
      <w:r w:rsidRPr="00CB55F1">
        <w:rPr>
          <w:rFonts w:ascii="Arial" w:hAnsi="Arial" w:cs="Arial"/>
          <w:sz w:val="24"/>
          <w:szCs w:val="24"/>
        </w:rPr>
        <w:t xml:space="preserve"> In turn</w:t>
      </w:r>
      <w:r w:rsidR="00C61897">
        <w:rPr>
          <w:rFonts w:ascii="Arial" w:hAnsi="Arial" w:cs="Arial"/>
          <w:sz w:val="24"/>
          <w:szCs w:val="24"/>
        </w:rPr>
        <w:t>,</w:t>
      </w:r>
      <w:r w:rsidRPr="00CB55F1">
        <w:rPr>
          <w:rFonts w:ascii="Arial" w:hAnsi="Arial" w:cs="Arial"/>
          <w:sz w:val="24"/>
          <w:szCs w:val="24"/>
        </w:rPr>
        <w:t xml:space="preserve"> this very highly-profiled attention being paid to history’s value is a very significant development given views that notwithstanding historians’ expertise in understanding temporalities of social change, history has barely hitherto featured in social science debate.</w:t>
      </w:r>
      <w:r w:rsidRPr="00CB55F1">
        <w:rPr>
          <w:rFonts w:ascii="Arial" w:hAnsi="Arial" w:cs="Arial"/>
          <w:sz w:val="24"/>
          <w:szCs w:val="24"/>
          <w:vertAlign w:val="superscript"/>
        </w:rPr>
        <w:endnoteReference w:id="174"/>
      </w:r>
      <w:r w:rsidRPr="00CB55F1">
        <w:rPr>
          <w:rFonts w:ascii="Arial" w:hAnsi="Arial" w:cs="Arial"/>
          <w:sz w:val="24"/>
          <w:szCs w:val="24"/>
        </w:rPr>
        <w:t xml:space="preserve"> This is of course an embodiment of the hypothesis of a social journey linking past and present and indeed future,</w:t>
      </w:r>
      <w:r w:rsidRPr="00CB55F1">
        <w:rPr>
          <w:rStyle w:val="EndnoteReference"/>
          <w:rFonts w:ascii="Arial" w:hAnsi="Arial" w:cs="Arial"/>
          <w:sz w:val="24"/>
          <w:szCs w:val="24"/>
        </w:rPr>
        <w:endnoteReference w:id="175"/>
      </w:r>
      <w:r w:rsidRPr="00CB55F1">
        <w:rPr>
          <w:rFonts w:ascii="Arial" w:hAnsi="Arial" w:cs="Arial"/>
          <w:sz w:val="24"/>
          <w:szCs w:val="24"/>
        </w:rPr>
        <w:t xml:space="preserve"> and this must be borne in mind </w:t>
      </w:r>
      <w:r w:rsidR="00C61897">
        <w:rPr>
          <w:rFonts w:ascii="Arial" w:hAnsi="Arial" w:cs="Arial"/>
          <w:sz w:val="24"/>
          <w:szCs w:val="24"/>
        </w:rPr>
        <w:t>when</w:t>
      </w:r>
      <w:r w:rsidR="00C61897" w:rsidRPr="00CB55F1">
        <w:rPr>
          <w:rFonts w:ascii="Arial" w:hAnsi="Arial" w:cs="Arial"/>
          <w:sz w:val="24"/>
          <w:szCs w:val="24"/>
        </w:rPr>
        <w:t xml:space="preserve"> </w:t>
      </w:r>
      <w:r w:rsidRPr="00CB55F1">
        <w:rPr>
          <w:rFonts w:ascii="Arial" w:hAnsi="Arial" w:cs="Arial"/>
          <w:sz w:val="24"/>
          <w:szCs w:val="24"/>
        </w:rPr>
        <w:t>suggesting that the continuing significance of respectability within financial crime discourse can be traced to Victorian responses to ‘High Art’ crime.</w:t>
      </w:r>
      <w:r w:rsidRPr="00CB55F1">
        <w:rPr>
          <w:rStyle w:val="EndnoteReference"/>
          <w:rFonts w:ascii="Arial" w:hAnsi="Arial" w:cs="Arial"/>
          <w:sz w:val="24"/>
          <w:szCs w:val="24"/>
        </w:rPr>
        <w:endnoteReference w:id="176"/>
      </w:r>
      <w:r w:rsidRPr="00CB55F1">
        <w:rPr>
          <w:rFonts w:ascii="Arial" w:hAnsi="Arial" w:cs="Arial"/>
          <w:sz w:val="24"/>
          <w:szCs w:val="24"/>
        </w:rPr>
        <w:t xml:space="preserve"> This ensures that we will not mistakenly blame Victorian pioneers for the difficulties experienced today in ensuring that ‘individuals who commit financial crime should be treated like the criminals they are’,</w:t>
      </w:r>
      <w:r w:rsidRPr="00CB55F1">
        <w:rPr>
          <w:rStyle w:val="EndnoteReference"/>
          <w:rFonts w:ascii="Arial" w:hAnsi="Arial" w:cs="Arial"/>
          <w:sz w:val="24"/>
          <w:szCs w:val="24"/>
        </w:rPr>
        <w:endnoteReference w:id="177"/>
      </w:r>
      <w:r w:rsidRPr="00CB55F1">
        <w:rPr>
          <w:rFonts w:ascii="Arial" w:hAnsi="Arial" w:cs="Arial"/>
          <w:sz w:val="24"/>
          <w:szCs w:val="24"/>
        </w:rPr>
        <w:t xml:space="preserve"> and the perceived importance of avoiding ‘soft options’ enabling ‘chaps’ to receive ‘punishment over lunch’.</w:t>
      </w:r>
      <w:r w:rsidRPr="00CB55F1">
        <w:rPr>
          <w:rStyle w:val="EndnoteReference"/>
          <w:rFonts w:ascii="Arial" w:hAnsi="Arial" w:cs="Arial"/>
          <w:sz w:val="24"/>
          <w:szCs w:val="24"/>
        </w:rPr>
        <w:endnoteReference w:id="178"/>
      </w:r>
      <w:r w:rsidRPr="00CB55F1">
        <w:rPr>
          <w:rFonts w:ascii="Arial" w:hAnsi="Arial" w:cs="Arial"/>
          <w:sz w:val="24"/>
          <w:szCs w:val="24"/>
        </w:rPr>
        <w:t xml:space="preserve"> These case studies show that during the nineteenth century</w:t>
      </w:r>
      <w:r w:rsidR="00C61897">
        <w:rPr>
          <w:rFonts w:ascii="Arial" w:hAnsi="Arial" w:cs="Arial"/>
          <w:sz w:val="24"/>
          <w:szCs w:val="24"/>
        </w:rPr>
        <w:t>,</w:t>
      </w:r>
      <w:r w:rsidRPr="00CB55F1">
        <w:rPr>
          <w:rFonts w:ascii="Arial" w:hAnsi="Arial" w:cs="Arial"/>
          <w:sz w:val="24"/>
          <w:szCs w:val="24"/>
        </w:rPr>
        <w:t xml:space="preserve"> notions of respectability were articulated to highlight the gravity </w:t>
      </w:r>
      <w:r w:rsidR="00C61897">
        <w:rPr>
          <w:rFonts w:ascii="Arial" w:hAnsi="Arial" w:cs="Arial"/>
          <w:sz w:val="24"/>
          <w:szCs w:val="24"/>
        </w:rPr>
        <w:t xml:space="preserve">of </w:t>
      </w:r>
      <w:r w:rsidRPr="00CB55F1">
        <w:rPr>
          <w:rFonts w:ascii="Arial" w:hAnsi="Arial" w:cs="Arial"/>
          <w:sz w:val="24"/>
          <w:szCs w:val="24"/>
        </w:rPr>
        <w:t>being considered ‘the criminal’ for respectable persons</w:t>
      </w:r>
      <w:r w:rsidR="00C61897">
        <w:rPr>
          <w:rFonts w:ascii="Arial" w:hAnsi="Arial" w:cs="Arial"/>
          <w:sz w:val="24"/>
          <w:szCs w:val="24"/>
        </w:rPr>
        <w:t>. In other words</w:t>
      </w:r>
      <w:r w:rsidRPr="00CB55F1">
        <w:rPr>
          <w:rFonts w:ascii="Arial" w:hAnsi="Arial" w:cs="Arial"/>
          <w:sz w:val="24"/>
          <w:szCs w:val="24"/>
        </w:rPr>
        <w:t xml:space="preserve"> to highlight the repugnance of those drawn from the elite falling to the position of ‘common felons’ as was said of Strahan </w:t>
      </w:r>
      <w:r w:rsidRPr="00C61897">
        <w:rPr>
          <w:rFonts w:ascii="Arial" w:hAnsi="Arial" w:cs="Arial"/>
          <w:i/>
          <w:sz w:val="24"/>
          <w:szCs w:val="24"/>
        </w:rPr>
        <w:t>et al</w:t>
      </w:r>
      <w:r w:rsidRPr="00CB55F1">
        <w:rPr>
          <w:rFonts w:ascii="Arial" w:hAnsi="Arial" w:cs="Arial"/>
          <w:sz w:val="24"/>
          <w:szCs w:val="24"/>
        </w:rPr>
        <w:t>,</w:t>
      </w:r>
      <w:r w:rsidRPr="00CB55F1">
        <w:rPr>
          <w:rStyle w:val="EndnoteReference"/>
          <w:rFonts w:ascii="Arial" w:hAnsi="Arial" w:cs="Arial"/>
          <w:sz w:val="24"/>
          <w:szCs w:val="24"/>
        </w:rPr>
        <w:endnoteReference w:id="179"/>
      </w:r>
      <w:r w:rsidRPr="00CB55F1">
        <w:rPr>
          <w:rFonts w:ascii="Arial" w:hAnsi="Arial" w:cs="Arial"/>
          <w:sz w:val="24"/>
          <w:szCs w:val="24"/>
        </w:rPr>
        <w:t xml:space="preserve"> and to serve as stern warnings to those who lacked extenuating forces of ‘poverty, want, bad education, and worse example’ that commission of crime by them would be visited with utmost severity</w:t>
      </w:r>
      <w:r w:rsidR="00DA5CA3">
        <w:rPr>
          <w:rFonts w:ascii="Arial" w:hAnsi="Arial" w:cs="Arial"/>
          <w:sz w:val="24"/>
          <w:szCs w:val="24"/>
        </w:rPr>
        <w:t>,</w:t>
      </w:r>
      <w:r w:rsidR="00C61897">
        <w:rPr>
          <w:rFonts w:ascii="Arial" w:hAnsi="Arial" w:cs="Arial"/>
          <w:sz w:val="24"/>
          <w:szCs w:val="24"/>
        </w:rPr>
        <w:t xml:space="preserve"> as</w:t>
      </w:r>
      <w:r w:rsidRPr="00CB55F1">
        <w:rPr>
          <w:rFonts w:ascii="Arial" w:hAnsi="Arial" w:cs="Arial"/>
          <w:sz w:val="24"/>
          <w:szCs w:val="24"/>
        </w:rPr>
        <w:t xml:space="preserve"> channelled through the trial of Joseph Windle Cole.</w:t>
      </w:r>
      <w:r w:rsidRPr="00CB55F1">
        <w:rPr>
          <w:rFonts w:ascii="Arial" w:hAnsi="Arial" w:cs="Arial"/>
          <w:iCs/>
          <w:sz w:val="24"/>
          <w:szCs w:val="24"/>
          <w:vertAlign w:val="superscript"/>
        </w:rPr>
        <w:endnoteReference w:id="180"/>
      </w:r>
      <w:r w:rsidRPr="00CB55F1">
        <w:rPr>
          <w:rFonts w:ascii="Arial" w:hAnsi="Arial" w:cs="Arial"/>
          <w:sz w:val="24"/>
          <w:szCs w:val="24"/>
        </w:rPr>
        <w:t xml:space="preserve"> </w:t>
      </w:r>
    </w:p>
    <w:p w14:paraId="3A7DA150" w14:textId="77777777" w:rsidR="00C61897" w:rsidRDefault="00C61897" w:rsidP="00CB55F1">
      <w:pPr>
        <w:spacing w:after="0" w:line="480" w:lineRule="auto"/>
        <w:jc w:val="both"/>
        <w:rPr>
          <w:rFonts w:ascii="Arial" w:hAnsi="Arial" w:cs="Arial"/>
          <w:sz w:val="24"/>
          <w:szCs w:val="24"/>
        </w:rPr>
      </w:pPr>
    </w:p>
    <w:p w14:paraId="00A24FB6" w14:textId="346689DE" w:rsidR="00FB63B4" w:rsidRPr="00CB55F1" w:rsidRDefault="00C61897" w:rsidP="00CB55F1">
      <w:pPr>
        <w:spacing w:after="0" w:line="480" w:lineRule="auto"/>
        <w:jc w:val="both"/>
        <w:rPr>
          <w:rFonts w:ascii="Arial" w:hAnsi="Arial" w:cs="Arial"/>
          <w:sz w:val="24"/>
          <w:szCs w:val="24"/>
        </w:rPr>
      </w:pPr>
      <w:r>
        <w:rPr>
          <w:rFonts w:ascii="Arial" w:hAnsi="Arial" w:cs="Arial"/>
          <w:sz w:val="24"/>
          <w:szCs w:val="24"/>
        </w:rPr>
        <w:t>Thus,</w:t>
      </w:r>
      <w:r w:rsidRPr="00CB55F1">
        <w:rPr>
          <w:rFonts w:ascii="Arial" w:hAnsi="Arial" w:cs="Arial"/>
          <w:sz w:val="24"/>
          <w:szCs w:val="24"/>
        </w:rPr>
        <w:t xml:space="preserve"> </w:t>
      </w:r>
      <w:r w:rsidR="00CB55F1" w:rsidRPr="00CB55F1">
        <w:rPr>
          <w:rFonts w:ascii="Arial" w:hAnsi="Arial" w:cs="Arial"/>
          <w:sz w:val="24"/>
          <w:szCs w:val="24"/>
        </w:rPr>
        <w:t>in situating micro</w:t>
      </w:r>
      <w:r>
        <w:rPr>
          <w:rFonts w:ascii="Arial" w:hAnsi="Arial" w:cs="Arial"/>
          <w:sz w:val="24"/>
          <w:szCs w:val="24"/>
        </w:rPr>
        <w:t>-</w:t>
      </w:r>
      <w:r w:rsidR="00CB55F1" w:rsidRPr="00CB55F1">
        <w:rPr>
          <w:rFonts w:ascii="Arial" w:hAnsi="Arial" w:cs="Arial"/>
          <w:sz w:val="24"/>
          <w:szCs w:val="24"/>
        </w:rPr>
        <w:t>history methodologically, the history of financial crime illustrates its usefulness in exploring the history of class and social structure alongside other neglected studies of minority groups, race, ethnicity and gender.</w:t>
      </w:r>
      <w:r w:rsidR="00CB55F1" w:rsidRPr="00CB55F1">
        <w:rPr>
          <w:rStyle w:val="EndnoteReference"/>
          <w:rFonts w:ascii="Arial" w:hAnsi="Arial" w:cs="Arial"/>
          <w:sz w:val="24"/>
          <w:szCs w:val="24"/>
        </w:rPr>
        <w:endnoteReference w:id="181"/>
      </w:r>
      <w:r w:rsidR="00CB55F1" w:rsidRPr="00CB55F1">
        <w:rPr>
          <w:rFonts w:ascii="Arial" w:hAnsi="Arial" w:cs="Arial"/>
          <w:sz w:val="24"/>
          <w:szCs w:val="24"/>
        </w:rPr>
        <w:t xml:space="preserve"> Crime history is concerned with social structure, and it is manifestly important for it to acknowledge that Victorian society was prepared </w:t>
      </w:r>
      <w:r>
        <w:rPr>
          <w:rFonts w:ascii="Arial" w:hAnsi="Arial" w:cs="Arial"/>
          <w:sz w:val="24"/>
          <w:szCs w:val="24"/>
        </w:rPr>
        <w:t xml:space="preserve">to </w:t>
      </w:r>
      <w:r w:rsidR="00CB55F1" w:rsidRPr="00CB55F1">
        <w:rPr>
          <w:rFonts w:ascii="Arial" w:hAnsi="Arial" w:cs="Arial"/>
          <w:sz w:val="24"/>
          <w:szCs w:val="24"/>
        </w:rPr>
        <w:t xml:space="preserve">channel accusations of violating highly prized </w:t>
      </w:r>
      <w:r w:rsidR="00CB55F1" w:rsidRPr="00CB55F1">
        <w:rPr>
          <w:rFonts w:ascii="Arial" w:hAnsi="Arial" w:cs="Arial"/>
          <w:sz w:val="24"/>
          <w:szCs w:val="24"/>
        </w:rPr>
        <w:lastRenderedPageBreak/>
        <w:t>norms of reputation and reposed trust against its most esteemed through criminal enforcement, and to support this with sentences of imprisonment and even transportation.</w:t>
      </w:r>
      <w:r w:rsidR="00CB55F1" w:rsidRPr="00CB55F1">
        <w:rPr>
          <w:rStyle w:val="EndnoteReference"/>
          <w:rFonts w:ascii="Arial" w:hAnsi="Arial" w:cs="Arial"/>
          <w:sz w:val="24"/>
          <w:szCs w:val="24"/>
        </w:rPr>
        <w:endnoteReference w:id="182"/>
      </w:r>
      <w:r w:rsidR="00CB55F1" w:rsidRPr="00CB55F1">
        <w:rPr>
          <w:rFonts w:ascii="Arial" w:hAnsi="Arial" w:cs="Arial"/>
          <w:sz w:val="24"/>
          <w:szCs w:val="24"/>
        </w:rPr>
        <w:t xml:space="preserve"> As history should be a central part of social science debate, perceptions that perpetrators of financial crime are not being treated as the ‘criminals they are’ should concern crime historians as much as it does criminologists. Crime historians are uniquely placed to explain that something has clearly happened through our societal journey</w:t>
      </w:r>
      <w:r w:rsidR="00CB55F1" w:rsidRPr="00CB55F1">
        <w:rPr>
          <w:rStyle w:val="EndnoteReference"/>
          <w:rFonts w:ascii="Arial" w:hAnsi="Arial" w:cs="Arial"/>
          <w:sz w:val="24"/>
          <w:szCs w:val="24"/>
        </w:rPr>
        <w:endnoteReference w:id="183"/>
      </w:r>
      <w:r w:rsidR="00CB55F1" w:rsidRPr="00CB55F1">
        <w:rPr>
          <w:rFonts w:ascii="Arial" w:hAnsi="Arial" w:cs="Arial"/>
          <w:sz w:val="24"/>
          <w:szCs w:val="24"/>
        </w:rPr>
        <w:t xml:space="preserve"> </w:t>
      </w:r>
      <w:r w:rsidR="00FB63B4" w:rsidRPr="00CB55F1">
        <w:rPr>
          <w:rFonts w:ascii="Arial" w:hAnsi="Arial" w:cs="Arial"/>
          <w:sz w:val="24"/>
          <w:szCs w:val="24"/>
        </w:rPr>
        <w:t>from the mid</w:t>
      </w:r>
      <w:r w:rsidR="003241F2" w:rsidRPr="00CB55F1">
        <w:rPr>
          <w:rFonts w:ascii="Arial" w:hAnsi="Arial" w:cs="Arial"/>
          <w:sz w:val="24"/>
          <w:szCs w:val="24"/>
        </w:rPr>
        <w:t>-</w:t>
      </w:r>
      <w:r w:rsidR="00FB63B4" w:rsidRPr="00CB55F1">
        <w:rPr>
          <w:rFonts w:ascii="Arial" w:hAnsi="Arial" w:cs="Arial"/>
          <w:sz w:val="24"/>
          <w:szCs w:val="24"/>
        </w:rPr>
        <w:t xml:space="preserve">nineteenth century to the present. </w:t>
      </w:r>
      <w:r>
        <w:rPr>
          <w:rFonts w:ascii="Arial" w:hAnsi="Arial" w:cs="Arial"/>
          <w:sz w:val="24"/>
          <w:szCs w:val="24"/>
        </w:rPr>
        <w:t>Moreover,</w:t>
      </w:r>
      <w:r w:rsidRPr="00CB55F1">
        <w:rPr>
          <w:rFonts w:ascii="Arial" w:hAnsi="Arial" w:cs="Arial"/>
          <w:sz w:val="24"/>
          <w:szCs w:val="24"/>
        </w:rPr>
        <w:t xml:space="preserve"> </w:t>
      </w:r>
      <w:r w:rsidR="00AC4707" w:rsidRPr="00CB55F1">
        <w:rPr>
          <w:rFonts w:ascii="Arial" w:hAnsi="Arial" w:cs="Arial"/>
          <w:sz w:val="24"/>
          <w:szCs w:val="24"/>
        </w:rPr>
        <w:t xml:space="preserve">for helping to explain what has happened and why, </w:t>
      </w:r>
      <w:r w:rsidR="00FB63B4" w:rsidRPr="00CB55F1">
        <w:rPr>
          <w:rFonts w:ascii="Arial" w:hAnsi="Arial" w:cs="Arial"/>
          <w:sz w:val="24"/>
          <w:szCs w:val="24"/>
        </w:rPr>
        <w:t>micro</w:t>
      </w:r>
      <w:r>
        <w:rPr>
          <w:rFonts w:ascii="Arial" w:hAnsi="Arial" w:cs="Arial"/>
          <w:sz w:val="24"/>
          <w:szCs w:val="24"/>
        </w:rPr>
        <w:t>-</w:t>
      </w:r>
      <w:r w:rsidR="00FB63B4" w:rsidRPr="00CB55F1">
        <w:rPr>
          <w:rFonts w:ascii="Arial" w:hAnsi="Arial" w:cs="Arial"/>
          <w:sz w:val="24"/>
          <w:szCs w:val="24"/>
        </w:rPr>
        <w:t xml:space="preserve">history </w:t>
      </w:r>
      <w:r w:rsidR="00AC4707" w:rsidRPr="00CB55F1">
        <w:rPr>
          <w:rFonts w:ascii="Arial" w:hAnsi="Arial" w:cs="Arial"/>
          <w:sz w:val="24"/>
          <w:szCs w:val="24"/>
        </w:rPr>
        <w:t xml:space="preserve">case studies provide </w:t>
      </w:r>
      <w:r w:rsidR="00FB63B4" w:rsidRPr="00CB55F1">
        <w:rPr>
          <w:rFonts w:ascii="Arial" w:hAnsi="Arial" w:cs="Arial"/>
          <w:sz w:val="24"/>
          <w:szCs w:val="24"/>
        </w:rPr>
        <w:t xml:space="preserve">an important piece of this fascinating puzzle. </w:t>
      </w:r>
    </w:p>
    <w:p w14:paraId="6DD89DD4" w14:textId="77777777" w:rsidR="00030AB0" w:rsidRPr="00CB55F1" w:rsidRDefault="00030AB0" w:rsidP="00CB55F1">
      <w:pPr>
        <w:spacing w:after="0" w:line="480" w:lineRule="auto"/>
        <w:jc w:val="both"/>
        <w:rPr>
          <w:rFonts w:ascii="Arial" w:hAnsi="Arial" w:cs="Arial"/>
          <w:sz w:val="24"/>
          <w:szCs w:val="24"/>
        </w:rPr>
      </w:pPr>
    </w:p>
    <w:sectPr w:rsidR="00030AB0" w:rsidRPr="00CB55F1">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B5726" w14:textId="77777777" w:rsidR="00A1140F" w:rsidRDefault="00A1140F" w:rsidP="00FB63B4">
      <w:pPr>
        <w:spacing w:after="0" w:line="240" w:lineRule="auto"/>
      </w:pPr>
      <w:r>
        <w:separator/>
      </w:r>
    </w:p>
  </w:endnote>
  <w:endnote w:type="continuationSeparator" w:id="0">
    <w:p w14:paraId="4580E057" w14:textId="77777777" w:rsidR="00A1140F" w:rsidRDefault="00A1140F" w:rsidP="00FB63B4">
      <w:pPr>
        <w:spacing w:after="0" w:line="240" w:lineRule="auto"/>
      </w:pPr>
      <w:r>
        <w:continuationSeparator/>
      </w:r>
    </w:p>
  </w:endnote>
  <w:endnote w:id="1">
    <w:p w14:paraId="600AA568" w14:textId="77777777" w:rsidR="00EE7708" w:rsidRPr="00C61897" w:rsidRDefault="00EE7708" w:rsidP="00C61897">
      <w:pPr>
        <w:pStyle w:val="EndnoteText"/>
        <w:spacing w:line="480" w:lineRule="auto"/>
        <w:jc w:val="both"/>
        <w:rPr>
          <w:rFonts w:ascii="Arial" w:hAnsi="Arial" w:cs="Arial"/>
          <w:bCs/>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H</w:t>
      </w:r>
      <w:r>
        <w:rPr>
          <w:rFonts w:ascii="Arial" w:hAnsi="Arial" w:cs="Arial"/>
          <w:sz w:val="24"/>
          <w:szCs w:val="24"/>
        </w:rPr>
        <w:t>.</w:t>
      </w:r>
      <w:r w:rsidRPr="00C61897">
        <w:rPr>
          <w:rFonts w:ascii="Arial" w:hAnsi="Arial" w:cs="Arial"/>
          <w:sz w:val="24"/>
          <w:szCs w:val="24"/>
        </w:rPr>
        <w:t xml:space="preserve"> Perkin</w:t>
      </w:r>
      <w:r>
        <w:rPr>
          <w:rFonts w:ascii="Arial" w:hAnsi="Arial" w:cs="Arial"/>
          <w:sz w:val="24"/>
          <w:szCs w:val="24"/>
        </w:rPr>
        <w:t xml:space="preserve"> (1969)</w:t>
      </w:r>
      <w:r w:rsidRPr="00C61897">
        <w:rPr>
          <w:rFonts w:ascii="Arial" w:hAnsi="Arial" w:cs="Arial"/>
          <w:sz w:val="24"/>
          <w:szCs w:val="24"/>
        </w:rPr>
        <w:t xml:space="preserve"> </w:t>
      </w:r>
      <w:r w:rsidRPr="00C61897">
        <w:rPr>
          <w:rFonts w:ascii="Arial" w:hAnsi="Arial" w:cs="Arial"/>
          <w:i/>
          <w:iCs/>
          <w:sz w:val="24"/>
          <w:szCs w:val="24"/>
        </w:rPr>
        <w:t>Origins of Modern English Society, 1780-1880</w:t>
      </w:r>
      <w:r w:rsidRPr="00C61897">
        <w:rPr>
          <w:rFonts w:ascii="Arial" w:hAnsi="Arial" w:cs="Arial"/>
          <w:sz w:val="24"/>
          <w:szCs w:val="24"/>
        </w:rPr>
        <w:t xml:space="preserve"> (London: Routledge and Kegan Paul), </w:t>
      </w:r>
      <w:r>
        <w:rPr>
          <w:rFonts w:ascii="Arial" w:hAnsi="Arial" w:cs="Arial"/>
          <w:sz w:val="24"/>
          <w:szCs w:val="24"/>
        </w:rPr>
        <w:t xml:space="preserve">p. </w:t>
      </w:r>
      <w:r w:rsidRPr="00C61897">
        <w:rPr>
          <w:rFonts w:ascii="Arial" w:hAnsi="Arial" w:cs="Arial"/>
          <w:sz w:val="24"/>
          <w:szCs w:val="24"/>
        </w:rPr>
        <w:t xml:space="preserve">442. On </w:t>
      </w:r>
      <w:r>
        <w:rPr>
          <w:rFonts w:ascii="Arial" w:hAnsi="Arial" w:cs="Arial"/>
          <w:sz w:val="24"/>
          <w:szCs w:val="24"/>
        </w:rPr>
        <w:t>the silence of crime history regarding</w:t>
      </w:r>
      <w:r w:rsidRPr="00C61897">
        <w:rPr>
          <w:rFonts w:ascii="Arial" w:hAnsi="Arial" w:cs="Arial"/>
          <w:sz w:val="24"/>
          <w:szCs w:val="24"/>
        </w:rPr>
        <w:t xml:space="preserve"> financial crime</w:t>
      </w:r>
      <w:r>
        <w:rPr>
          <w:rFonts w:ascii="Arial" w:hAnsi="Arial" w:cs="Arial"/>
          <w:sz w:val="24"/>
          <w:szCs w:val="24"/>
        </w:rPr>
        <w:t>,</w:t>
      </w:r>
      <w:r w:rsidRPr="00C61897">
        <w:rPr>
          <w:rFonts w:ascii="Arial" w:hAnsi="Arial" w:cs="Arial"/>
          <w:sz w:val="24"/>
          <w:szCs w:val="24"/>
        </w:rPr>
        <w:t xml:space="preserve"> see S</w:t>
      </w:r>
      <w:r>
        <w:rPr>
          <w:rFonts w:ascii="Arial" w:hAnsi="Arial" w:cs="Arial"/>
          <w:sz w:val="24"/>
          <w:szCs w:val="24"/>
        </w:rPr>
        <w:t>.</w:t>
      </w:r>
      <w:r w:rsidRPr="00C61897">
        <w:rPr>
          <w:rFonts w:ascii="Arial" w:hAnsi="Arial" w:cs="Arial"/>
          <w:sz w:val="24"/>
          <w:szCs w:val="24"/>
        </w:rPr>
        <w:t xml:space="preserve"> Wilson</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bCs/>
          <w:i/>
          <w:sz w:val="24"/>
          <w:szCs w:val="24"/>
        </w:rPr>
        <w:t xml:space="preserve">The Origins of Modern Financial Crime: Historical foundations and </w:t>
      </w:r>
      <w:r>
        <w:rPr>
          <w:rFonts w:ascii="Arial" w:hAnsi="Arial" w:cs="Arial"/>
          <w:bCs/>
          <w:i/>
          <w:sz w:val="24"/>
          <w:szCs w:val="24"/>
        </w:rPr>
        <w:t>C</w:t>
      </w:r>
      <w:r w:rsidRPr="00C61897">
        <w:rPr>
          <w:rFonts w:ascii="Arial" w:hAnsi="Arial" w:cs="Arial"/>
          <w:bCs/>
          <w:i/>
          <w:sz w:val="24"/>
          <w:szCs w:val="24"/>
        </w:rPr>
        <w:t xml:space="preserve">urrent </w:t>
      </w:r>
      <w:r>
        <w:rPr>
          <w:rFonts w:ascii="Arial" w:hAnsi="Arial" w:cs="Arial"/>
          <w:bCs/>
          <w:i/>
          <w:sz w:val="24"/>
          <w:szCs w:val="24"/>
        </w:rPr>
        <w:t>P</w:t>
      </w:r>
      <w:r w:rsidRPr="00C61897">
        <w:rPr>
          <w:rFonts w:ascii="Arial" w:hAnsi="Arial" w:cs="Arial"/>
          <w:bCs/>
          <w:i/>
          <w:sz w:val="24"/>
          <w:szCs w:val="24"/>
        </w:rPr>
        <w:t xml:space="preserve">roblems in Britain </w:t>
      </w:r>
      <w:r w:rsidRPr="00C61897">
        <w:rPr>
          <w:rFonts w:ascii="Arial" w:hAnsi="Arial" w:cs="Arial"/>
          <w:bCs/>
          <w:sz w:val="24"/>
          <w:szCs w:val="24"/>
        </w:rPr>
        <w:t>(</w:t>
      </w:r>
      <w:r>
        <w:rPr>
          <w:rFonts w:ascii="Arial" w:hAnsi="Arial" w:cs="Arial"/>
          <w:bCs/>
          <w:sz w:val="24"/>
          <w:szCs w:val="24"/>
        </w:rPr>
        <w:t xml:space="preserve">London: </w:t>
      </w:r>
      <w:r w:rsidRPr="00C61897">
        <w:rPr>
          <w:rFonts w:ascii="Arial" w:hAnsi="Arial" w:cs="Arial"/>
          <w:bCs/>
          <w:sz w:val="24"/>
          <w:szCs w:val="24"/>
        </w:rPr>
        <w:t>Routledge).</w:t>
      </w:r>
    </w:p>
  </w:endnote>
  <w:endnote w:id="2">
    <w:p w14:paraId="1378820B" w14:textId="577D258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D</w:t>
      </w:r>
      <w:r>
        <w:rPr>
          <w:rFonts w:ascii="Arial" w:hAnsi="Arial" w:cs="Arial"/>
          <w:sz w:val="24"/>
          <w:szCs w:val="24"/>
        </w:rPr>
        <w:t>.</w:t>
      </w:r>
      <w:r w:rsidRPr="00C61897">
        <w:rPr>
          <w:rFonts w:ascii="Arial" w:hAnsi="Arial" w:cs="Arial"/>
          <w:sz w:val="24"/>
          <w:szCs w:val="24"/>
        </w:rPr>
        <w:t>O</w:t>
      </w:r>
      <w:r>
        <w:rPr>
          <w:rFonts w:ascii="Arial" w:hAnsi="Arial" w:cs="Arial"/>
          <w:sz w:val="24"/>
          <w:szCs w:val="24"/>
        </w:rPr>
        <w:t>.</w:t>
      </w:r>
      <w:r w:rsidRPr="00C61897">
        <w:rPr>
          <w:rFonts w:ascii="Arial" w:hAnsi="Arial" w:cs="Arial"/>
          <w:sz w:val="24"/>
          <w:szCs w:val="24"/>
        </w:rPr>
        <w:t xml:space="preserve"> Friedrichs</w:t>
      </w:r>
      <w:r>
        <w:rPr>
          <w:rFonts w:ascii="Arial" w:hAnsi="Arial" w:cs="Arial"/>
          <w:sz w:val="24"/>
          <w:szCs w:val="24"/>
        </w:rPr>
        <w:t xml:space="preserve"> (2012)</w:t>
      </w:r>
      <w:r w:rsidRPr="00C61897">
        <w:rPr>
          <w:rFonts w:ascii="Arial" w:hAnsi="Arial" w:cs="Arial"/>
          <w:sz w:val="24"/>
          <w:szCs w:val="24"/>
        </w:rPr>
        <w:t xml:space="preserve"> ‘Wall Street: Crime Never Sleeps’ in S</w:t>
      </w:r>
      <w:r>
        <w:rPr>
          <w:rFonts w:ascii="Arial" w:hAnsi="Arial" w:cs="Arial"/>
          <w:sz w:val="24"/>
          <w:szCs w:val="24"/>
        </w:rPr>
        <w:t>.</w:t>
      </w:r>
      <w:r w:rsidRPr="00C61897">
        <w:rPr>
          <w:rFonts w:ascii="Arial" w:hAnsi="Arial" w:cs="Arial"/>
          <w:sz w:val="24"/>
          <w:szCs w:val="24"/>
        </w:rPr>
        <w:t xml:space="preserve"> Will</w:t>
      </w:r>
      <w:r>
        <w:rPr>
          <w:rFonts w:ascii="Arial" w:hAnsi="Arial" w:cs="Arial"/>
          <w:sz w:val="24"/>
          <w:szCs w:val="24"/>
        </w:rPr>
        <w:t>, S. Handelman and D.C. Brotherton</w:t>
      </w:r>
      <w:r w:rsidRPr="00C61897">
        <w:rPr>
          <w:rFonts w:ascii="Arial" w:hAnsi="Arial" w:cs="Arial"/>
          <w:sz w:val="24"/>
          <w:szCs w:val="24"/>
        </w:rPr>
        <w:t xml:space="preserve"> (eds) </w:t>
      </w:r>
      <w:r w:rsidRPr="00C61897">
        <w:rPr>
          <w:rFonts w:ascii="Arial" w:hAnsi="Arial" w:cs="Arial"/>
          <w:i/>
          <w:sz w:val="24"/>
          <w:szCs w:val="24"/>
        </w:rPr>
        <w:t>How They Got Away With It: White Collar Criminals and the Financial Meltdown</w:t>
      </w:r>
      <w:r w:rsidRPr="00C61897">
        <w:rPr>
          <w:rFonts w:ascii="Arial" w:hAnsi="Arial" w:cs="Arial"/>
          <w:sz w:val="24"/>
          <w:szCs w:val="24"/>
        </w:rPr>
        <w:t xml:space="preserve"> (New York: Columbia University Press), </w:t>
      </w:r>
      <w:r>
        <w:rPr>
          <w:rFonts w:ascii="Arial" w:hAnsi="Arial" w:cs="Arial"/>
          <w:sz w:val="24"/>
          <w:szCs w:val="24"/>
        </w:rPr>
        <w:t xml:space="preserve">pp. 3-25 at pp. </w:t>
      </w:r>
      <w:r w:rsidRPr="00C61897">
        <w:rPr>
          <w:rFonts w:ascii="Arial" w:hAnsi="Arial" w:cs="Arial"/>
          <w:sz w:val="24"/>
          <w:szCs w:val="24"/>
        </w:rPr>
        <w:t>4-5.</w:t>
      </w:r>
    </w:p>
  </w:endnote>
  <w:endnote w:id="3">
    <w:p w14:paraId="11218BC2" w14:textId="4F6615A9"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For the former see P</w:t>
      </w:r>
      <w:r>
        <w:rPr>
          <w:rFonts w:ascii="Arial" w:hAnsi="Arial" w:cs="Arial"/>
          <w:sz w:val="24"/>
          <w:szCs w:val="24"/>
        </w:rPr>
        <w:t>.</w:t>
      </w:r>
      <w:r w:rsidRPr="00C61897">
        <w:rPr>
          <w:rFonts w:ascii="Arial" w:hAnsi="Arial" w:cs="Arial"/>
          <w:sz w:val="24"/>
          <w:szCs w:val="24"/>
        </w:rPr>
        <w:t xml:space="preserve"> King </w:t>
      </w:r>
      <w:r>
        <w:rPr>
          <w:rFonts w:ascii="Arial" w:hAnsi="Arial" w:cs="Arial"/>
          <w:sz w:val="24"/>
          <w:szCs w:val="24"/>
        </w:rPr>
        <w:t xml:space="preserve">(1999) </w:t>
      </w:r>
      <w:r w:rsidRPr="00C61897">
        <w:rPr>
          <w:rFonts w:ascii="Arial" w:hAnsi="Arial" w:cs="Arial"/>
          <w:sz w:val="24"/>
          <w:szCs w:val="24"/>
        </w:rPr>
        <w:t>‘Locating Histories of Crime: A Bibliographical Study’</w:t>
      </w:r>
      <w:r>
        <w:rPr>
          <w:rFonts w:ascii="Arial" w:hAnsi="Arial" w:cs="Arial"/>
          <w:sz w:val="24"/>
          <w:szCs w:val="24"/>
        </w:rPr>
        <w:t xml:space="preserve">, </w:t>
      </w:r>
      <w:r w:rsidRPr="00C61897">
        <w:rPr>
          <w:rFonts w:ascii="Arial" w:hAnsi="Arial" w:cs="Arial"/>
          <w:i/>
          <w:sz w:val="24"/>
          <w:szCs w:val="24"/>
        </w:rPr>
        <w:t>British Journal of Criminology</w:t>
      </w:r>
      <w:r w:rsidRPr="00C61897">
        <w:rPr>
          <w:rFonts w:ascii="Arial" w:hAnsi="Arial" w:cs="Arial"/>
          <w:sz w:val="24"/>
          <w:szCs w:val="24"/>
        </w:rPr>
        <w:t xml:space="preserve">, </w:t>
      </w:r>
      <w:r>
        <w:rPr>
          <w:rFonts w:ascii="Arial" w:hAnsi="Arial" w:cs="Arial"/>
          <w:sz w:val="24"/>
          <w:szCs w:val="24"/>
        </w:rPr>
        <w:t xml:space="preserve">Vol. </w:t>
      </w:r>
      <w:r w:rsidRPr="00C61897">
        <w:rPr>
          <w:rFonts w:ascii="Arial" w:hAnsi="Arial" w:cs="Arial"/>
          <w:sz w:val="24"/>
          <w:szCs w:val="24"/>
        </w:rPr>
        <w:t>39</w:t>
      </w:r>
      <w:r>
        <w:rPr>
          <w:rFonts w:ascii="Arial" w:hAnsi="Arial" w:cs="Arial"/>
          <w:sz w:val="24"/>
          <w:szCs w:val="24"/>
        </w:rPr>
        <w:t xml:space="preserve">, No. </w:t>
      </w:r>
      <w:r w:rsidRPr="00C61897">
        <w:rPr>
          <w:rFonts w:ascii="Arial" w:hAnsi="Arial" w:cs="Arial"/>
          <w:sz w:val="24"/>
          <w:szCs w:val="24"/>
        </w:rPr>
        <w:t xml:space="preserve">1, </w:t>
      </w:r>
      <w:r>
        <w:rPr>
          <w:rFonts w:ascii="Arial" w:hAnsi="Arial" w:cs="Arial"/>
          <w:sz w:val="24"/>
          <w:szCs w:val="24"/>
        </w:rPr>
        <w:t xml:space="preserve">pp.161-74 at p. </w:t>
      </w:r>
      <w:r w:rsidRPr="00C61897">
        <w:rPr>
          <w:rFonts w:ascii="Arial" w:hAnsi="Arial" w:cs="Arial"/>
          <w:sz w:val="24"/>
          <w:szCs w:val="24"/>
        </w:rPr>
        <w:t>161 and the latter J</w:t>
      </w:r>
      <w:r>
        <w:rPr>
          <w:rFonts w:ascii="Arial" w:hAnsi="Arial" w:cs="Arial"/>
          <w:sz w:val="24"/>
          <w:szCs w:val="24"/>
        </w:rPr>
        <w:t>.</w:t>
      </w:r>
      <w:r w:rsidRPr="00C61897">
        <w:rPr>
          <w:rFonts w:ascii="Arial" w:hAnsi="Arial" w:cs="Arial"/>
          <w:sz w:val="24"/>
          <w:szCs w:val="24"/>
        </w:rPr>
        <w:t>P</w:t>
      </w:r>
      <w:r>
        <w:rPr>
          <w:rFonts w:ascii="Arial" w:hAnsi="Arial" w:cs="Arial"/>
          <w:sz w:val="24"/>
          <w:szCs w:val="24"/>
        </w:rPr>
        <w:t>.</w:t>
      </w:r>
      <w:r w:rsidRPr="00C61897">
        <w:rPr>
          <w:rFonts w:ascii="Arial" w:hAnsi="Arial" w:cs="Arial"/>
          <w:sz w:val="24"/>
          <w:szCs w:val="24"/>
        </w:rPr>
        <w:t xml:space="preserve"> Locker and B</w:t>
      </w:r>
      <w:r>
        <w:rPr>
          <w:rFonts w:ascii="Arial" w:hAnsi="Arial" w:cs="Arial"/>
          <w:sz w:val="24"/>
          <w:szCs w:val="24"/>
        </w:rPr>
        <w:t>.</w:t>
      </w:r>
      <w:r w:rsidRPr="00C61897">
        <w:rPr>
          <w:rFonts w:ascii="Arial" w:hAnsi="Arial" w:cs="Arial"/>
          <w:sz w:val="24"/>
          <w:szCs w:val="24"/>
        </w:rPr>
        <w:t xml:space="preserve"> Godfrey</w:t>
      </w:r>
      <w:r>
        <w:rPr>
          <w:rFonts w:ascii="Arial" w:hAnsi="Arial" w:cs="Arial"/>
          <w:sz w:val="24"/>
          <w:szCs w:val="24"/>
        </w:rPr>
        <w:t xml:space="preserve"> (2006)</w:t>
      </w:r>
      <w:r w:rsidRPr="00C61897">
        <w:rPr>
          <w:rFonts w:ascii="Arial" w:hAnsi="Arial" w:cs="Arial"/>
          <w:sz w:val="24"/>
          <w:szCs w:val="24"/>
        </w:rPr>
        <w:t xml:space="preserve"> ‘Ontological Boundaries and Temporal Watersheds in the Development of White-Collar Crime’, </w:t>
      </w:r>
      <w:r w:rsidRPr="00C61897">
        <w:rPr>
          <w:rFonts w:ascii="Arial" w:hAnsi="Arial" w:cs="Arial"/>
          <w:i/>
          <w:sz w:val="24"/>
          <w:szCs w:val="24"/>
        </w:rPr>
        <w:t>British Journal of Criminology</w:t>
      </w:r>
      <w:r w:rsidRPr="00C61897">
        <w:rPr>
          <w:rFonts w:ascii="Arial" w:hAnsi="Arial" w:cs="Arial"/>
          <w:sz w:val="24"/>
          <w:szCs w:val="24"/>
        </w:rPr>
        <w:t xml:space="preserve">, </w:t>
      </w:r>
      <w:r>
        <w:rPr>
          <w:rFonts w:ascii="Arial" w:hAnsi="Arial" w:cs="Arial"/>
          <w:sz w:val="24"/>
          <w:szCs w:val="24"/>
        </w:rPr>
        <w:t xml:space="preserve">Vol. </w:t>
      </w:r>
      <w:r w:rsidRPr="00C61897">
        <w:rPr>
          <w:rFonts w:ascii="Arial" w:hAnsi="Arial" w:cs="Arial"/>
          <w:sz w:val="24"/>
          <w:szCs w:val="24"/>
        </w:rPr>
        <w:t>46</w:t>
      </w:r>
      <w:r>
        <w:rPr>
          <w:rFonts w:ascii="Arial" w:hAnsi="Arial" w:cs="Arial"/>
          <w:sz w:val="24"/>
          <w:szCs w:val="24"/>
        </w:rPr>
        <w:t xml:space="preserve">, No. </w:t>
      </w:r>
      <w:r w:rsidRPr="00C61897">
        <w:rPr>
          <w:rFonts w:ascii="Arial" w:hAnsi="Arial" w:cs="Arial"/>
          <w:sz w:val="24"/>
          <w:szCs w:val="24"/>
        </w:rPr>
        <w:t xml:space="preserve">6, </w:t>
      </w:r>
      <w:r>
        <w:rPr>
          <w:rFonts w:ascii="Arial" w:hAnsi="Arial" w:cs="Arial"/>
          <w:sz w:val="24"/>
          <w:szCs w:val="24"/>
        </w:rPr>
        <w:t xml:space="preserve">pp. 976-92 at p. </w:t>
      </w:r>
      <w:r w:rsidRPr="00C61897">
        <w:rPr>
          <w:rFonts w:ascii="Arial" w:hAnsi="Arial" w:cs="Arial"/>
          <w:sz w:val="24"/>
          <w:szCs w:val="24"/>
        </w:rPr>
        <w:t>976.</w:t>
      </w:r>
    </w:p>
  </w:endnote>
  <w:endnote w:id="4">
    <w:p w14:paraId="4EFB47F3" w14:textId="04A82A2F"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A</w:t>
      </w:r>
      <w:r>
        <w:rPr>
          <w:rFonts w:ascii="Arial" w:hAnsi="Arial" w:cs="Arial"/>
          <w:sz w:val="24"/>
          <w:szCs w:val="24"/>
        </w:rPr>
        <w:t>.</w:t>
      </w:r>
      <w:r w:rsidRPr="00C61897">
        <w:rPr>
          <w:rFonts w:ascii="Arial" w:hAnsi="Arial" w:cs="Arial"/>
          <w:sz w:val="24"/>
          <w:szCs w:val="24"/>
        </w:rPr>
        <w:t xml:space="preserve"> Haldane and V</w:t>
      </w:r>
      <w:r>
        <w:rPr>
          <w:rFonts w:ascii="Arial" w:hAnsi="Arial" w:cs="Arial"/>
          <w:sz w:val="24"/>
          <w:szCs w:val="24"/>
        </w:rPr>
        <w:t>.</w:t>
      </w:r>
      <w:r w:rsidRPr="00C61897">
        <w:rPr>
          <w:rFonts w:ascii="Arial" w:hAnsi="Arial" w:cs="Arial"/>
          <w:sz w:val="24"/>
          <w:szCs w:val="24"/>
        </w:rPr>
        <w:t xml:space="preserve"> Madouros ‘The Dog and the Frisbee’ (Federal Bank of Kansas Economic Policy Symposium, Jackson Hole, Wyoming, 31</w:t>
      </w:r>
      <w:r w:rsidRPr="004E08B4">
        <w:rPr>
          <w:rFonts w:ascii="Arial" w:hAnsi="Arial" w:cs="Arial"/>
          <w:sz w:val="24"/>
          <w:szCs w:val="24"/>
          <w:vertAlign w:val="superscript"/>
        </w:rPr>
        <w:t>st</w:t>
      </w:r>
      <w:r>
        <w:rPr>
          <w:rFonts w:ascii="Arial" w:hAnsi="Arial" w:cs="Arial"/>
          <w:sz w:val="24"/>
          <w:szCs w:val="24"/>
        </w:rPr>
        <w:t xml:space="preserve"> of</w:t>
      </w:r>
      <w:r w:rsidRPr="00C61897">
        <w:rPr>
          <w:rFonts w:ascii="Arial" w:hAnsi="Arial" w:cs="Arial"/>
          <w:sz w:val="24"/>
          <w:szCs w:val="24"/>
        </w:rPr>
        <w:t xml:space="preserve"> August 2012), </w:t>
      </w:r>
      <w:r>
        <w:rPr>
          <w:rFonts w:ascii="Arial" w:hAnsi="Arial" w:cs="Arial"/>
          <w:sz w:val="24"/>
          <w:szCs w:val="24"/>
        </w:rPr>
        <w:t xml:space="preserve">pp. </w:t>
      </w:r>
      <w:r w:rsidRPr="00C61897">
        <w:rPr>
          <w:rFonts w:ascii="Arial" w:hAnsi="Arial" w:cs="Arial"/>
          <w:sz w:val="24"/>
          <w:szCs w:val="24"/>
        </w:rPr>
        <w:t>22-3</w:t>
      </w:r>
      <w:r>
        <w:rPr>
          <w:rFonts w:ascii="Arial" w:hAnsi="Arial" w:cs="Arial"/>
          <w:sz w:val="24"/>
          <w:szCs w:val="24"/>
        </w:rPr>
        <w:t xml:space="preserve">, available </w:t>
      </w:r>
      <w:r w:rsidRPr="00C8538E">
        <w:rPr>
          <w:rFonts w:ascii="Arial" w:hAnsi="Arial" w:cs="Arial"/>
          <w:sz w:val="24"/>
          <w:szCs w:val="24"/>
        </w:rPr>
        <w:t xml:space="preserve">at </w:t>
      </w:r>
      <w:r w:rsidR="00951021" w:rsidRPr="00951021">
        <w:rPr>
          <w:rFonts w:ascii="Arial" w:hAnsi="Arial" w:cs="Arial"/>
          <w:sz w:val="24"/>
          <w:szCs w:val="24"/>
        </w:rPr>
        <w:t>http://www.bankofengland.co.uk/publications/Pages/speeches/2012/</w:t>
      </w:r>
      <w:r w:rsidR="00C8538E">
        <w:rPr>
          <w:rFonts w:ascii="Arial" w:hAnsi="Arial" w:cs="Arial"/>
          <w:sz w:val="24"/>
          <w:szCs w:val="24"/>
        </w:rPr>
        <w:t xml:space="preserve"> </w:t>
      </w:r>
      <w:r w:rsidRPr="00C8538E">
        <w:rPr>
          <w:rFonts w:ascii="Arial" w:hAnsi="Arial" w:cs="Arial"/>
          <w:sz w:val="24"/>
          <w:szCs w:val="24"/>
        </w:rPr>
        <w:t>596.aspx.</w:t>
      </w:r>
    </w:p>
  </w:endnote>
  <w:endnote w:id="5">
    <w:p w14:paraId="19041124" w14:textId="51DE231A"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S</w:t>
      </w:r>
      <w:r>
        <w:rPr>
          <w:rFonts w:ascii="Arial" w:hAnsi="Arial" w:cs="Arial"/>
          <w:sz w:val="24"/>
          <w:szCs w:val="24"/>
        </w:rPr>
        <w:t>.</w:t>
      </w:r>
      <w:r w:rsidRPr="00C61897">
        <w:rPr>
          <w:rFonts w:ascii="Arial" w:hAnsi="Arial" w:cs="Arial"/>
          <w:sz w:val="24"/>
          <w:szCs w:val="24"/>
        </w:rPr>
        <w:t xml:space="preserve"> Wilson</w:t>
      </w:r>
      <w:r>
        <w:rPr>
          <w:rFonts w:ascii="Arial" w:hAnsi="Arial" w:cs="Arial"/>
          <w:sz w:val="24"/>
          <w:szCs w:val="24"/>
        </w:rPr>
        <w:t xml:space="preserve"> (2016)</w:t>
      </w:r>
      <w:r w:rsidRPr="00C61897">
        <w:rPr>
          <w:rFonts w:ascii="Arial" w:hAnsi="Arial" w:cs="Arial"/>
          <w:sz w:val="24"/>
          <w:szCs w:val="24"/>
        </w:rPr>
        <w:t xml:space="preserve"> ‘Financial Crises and Financial Crime “Transformative </w:t>
      </w:r>
      <w:r>
        <w:rPr>
          <w:rFonts w:ascii="Arial" w:hAnsi="Arial" w:cs="Arial"/>
          <w:sz w:val="24"/>
          <w:szCs w:val="24"/>
        </w:rPr>
        <w:t>U</w:t>
      </w:r>
      <w:r w:rsidRPr="00C61897">
        <w:rPr>
          <w:rFonts w:ascii="Arial" w:hAnsi="Arial" w:cs="Arial"/>
          <w:sz w:val="24"/>
          <w:szCs w:val="24"/>
        </w:rPr>
        <w:t xml:space="preserve">nderstandings” of </w:t>
      </w:r>
      <w:r>
        <w:rPr>
          <w:rFonts w:ascii="Arial" w:hAnsi="Arial" w:cs="Arial"/>
          <w:sz w:val="24"/>
          <w:szCs w:val="24"/>
        </w:rPr>
        <w:t>C</w:t>
      </w:r>
      <w:r w:rsidRPr="00C61897">
        <w:rPr>
          <w:rFonts w:ascii="Arial" w:hAnsi="Arial" w:cs="Arial"/>
          <w:sz w:val="24"/>
          <w:szCs w:val="24"/>
        </w:rPr>
        <w:t>rime</w:t>
      </w:r>
      <w:r>
        <w:rPr>
          <w:rFonts w:ascii="Arial" w:hAnsi="Arial" w:cs="Arial"/>
          <w:sz w:val="24"/>
          <w:szCs w:val="24"/>
        </w:rPr>
        <w:t xml:space="preserve"> -</w:t>
      </w:r>
      <w:r w:rsidRPr="00C61897">
        <w:rPr>
          <w:rFonts w:ascii="Arial" w:hAnsi="Arial" w:cs="Arial"/>
          <w:sz w:val="24"/>
          <w:szCs w:val="24"/>
        </w:rPr>
        <w:t xml:space="preserve"> </w:t>
      </w:r>
      <w:r>
        <w:rPr>
          <w:rFonts w:ascii="Arial" w:hAnsi="Arial" w:cs="Arial"/>
          <w:sz w:val="24"/>
          <w:szCs w:val="24"/>
        </w:rPr>
        <w:t>P</w:t>
      </w:r>
      <w:r w:rsidRPr="00C61897">
        <w:rPr>
          <w:rFonts w:ascii="Arial" w:hAnsi="Arial" w:cs="Arial"/>
          <w:sz w:val="24"/>
          <w:szCs w:val="24"/>
        </w:rPr>
        <w:t xml:space="preserve">ast </w:t>
      </w:r>
      <w:r>
        <w:rPr>
          <w:rFonts w:ascii="Arial" w:hAnsi="Arial" w:cs="Arial"/>
          <w:sz w:val="24"/>
          <w:szCs w:val="24"/>
        </w:rPr>
        <w:t>P</w:t>
      </w:r>
      <w:r w:rsidRPr="00C61897">
        <w:rPr>
          <w:rFonts w:ascii="Arial" w:hAnsi="Arial" w:cs="Arial"/>
          <w:sz w:val="24"/>
          <w:szCs w:val="24"/>
        </w:rPr>
        <w:t xml:space="preserve">resent and </w:t>
      </w:r>
      <w:r>
        <w:rPr>
          <w:rFonts w:ascii="Arial" w:hAnsi="Arial" w:cs="Arial"/>
          <w:sz w:val="24"/>
          <w:szCs w:val="24"/>
        </w:rPr>
        <w:t>F</w:t>
      </w:r>
      <w:r w:rsidRPr="00C61897">
        <w:rPr>
          <w:rFonts w:ascii="Arial" w:hAnsi="Arial" w:cs="Arial"/>
          <w:sz w:val="24"/>
          <w:szCs w:val="24"/>
        </w:rPr>
        <w:t>uture’ in N</w:t>
      </w:r>
      <w:r>
        <w:rPr>
          <w:rFonts w:ascii="Arial" w:hAnsi="Arial" w:cs="Arial"/>
          <w:sz w:val="24"/>
          <w:szCs w:val="24"/>
        </w:rPr>
        <w:t>.</w:t>
      </w:r>
      <w:r w:rsidRPr="00C61897">
        <w:rPr>
          <w:rFonts w:ascii="Arial" w:hAnsi="Arial" w:cs="Arial"/>
          <w:sz w:val="24"/>
          <w:szCs w:val="24"/>
        </w:rPr>
        <w:t xml:space="preserve"> Ryder</w:t>
      </w:r>
      <w:r>
        <w:rPr>
          <w:rFonts w:ascii="Arial" w:hAnsi="Arial" w:cs="Arial"/>
          <w:sz w:val="24"/>
          <w:szCs w:val="24"/>
        </w:rPr>
        <w:t xml:space="preserve">, U. Turksen and J. Tucker (eds) </w:t>
      </w:r>
      <w:r w:rsidRPr="00C61897">
        <w:rPr>
          <w:rFonts w:ascii="Arial" w:hAnsi="Arial" w:cs="Arial"/>
          <w:i/>
          <w:sz w:val="24"/>
          <w:szCs w:val="24"/>
        </w:rPr>
        <w:t>The Financial Crisis and White Collar Crime - Legislative and Policy Responses</w:t>
      </w:r>
      <w:r w:rsidRPr="00C61897">
        <w:rPr>
          <w:rFonts w:ascii="Arial" w:hAnsi="Arial" w:cs="Arial"/>
          <w:sz w:val="24"/>
          <w:szCs w:val="24"/>
        </w:rPr>
        <w:t xml:space="preserve"> (Abingdon: Routledge)</w:t>
      </w:r>
      <w:r w:rsidRPr="00951021">
        <w:rPr>
          <w:rFonts w:ascii="Arial" w:hAnsi="Arial" w:cs="Arial"/>
          <w:sz w:val="24"/>
          <w:szCs w:val="24"/>
          <w:highlight w:val="yellow"/>
        </w:rPr>
        <w:t>, pp. ??-??.</w:t>
      </w:r>
    </w:p>
  </w:endnote>
  <w:endnote w:id="6">
    <w:p w14:paraId="4C126014" w14:textId="51F57F80"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R</w:t>
      </w:r>
      <w:r>
        <w:rPr>
          <w:rFonts w:ascii="Arial" w:hAnsi="Arial" w:cs="Arial"/>
          <w:sz w:val="24"/>
          <w:szCs w:val="24"/>
        </w:rPr>
        <w:t>.</w:t>
      </w:r>
      <w:r w:rsidRPr="00C61897">
        <w:rPr>
          <w:rFonts w:ascii="Arial" w:hAnsi="Arial" w:cs="Arial"/>
          <w:sz w:val="24"/>
          <w:szCs w:val="24"/>
        </w:rPr>
        <w:t xml:space="preserve"> Tomasic</w:t>
      </w:r>
      <w:r>
        <w:rPr>
          <w:rFonts w:ascii="Arial" w:hAnsi="Arial" w:cs="Arial"/>
          <w:sz w:val="24"/>
          <w:szCs w:val="24"/>
        </w:rPr>
        <w:t xml:space="preserve"> (2011)</w:t>
      </w:r>
      <w:r w:rsidRPr="00C61897">
        <w:rPr>
          <w:rFonts w:ascii="Arial" w:hAnsi="Arial" w:cs="Arial"/>
          <w:sz w:val="24"/>
          <w:szCs w:val="24"/>
        </w:rPr>
        <w:t xml:space="preserve"> ‘The </w:t>
      </w:r>
      <w:r>
        <w:rPr>
          <w:rFonts w:ascii="Arial" w:hAnsi="Arial" w:cs="Arial"/>
          <w:sz w:val="24"/>
          <w:szCs w:val="24"/>
        </w:rPr>
        <w:t>F</w:t>
      </w:r>
      <w:r w:rsidRPr="00C61897">
        <w:rPr>
          <w:rFonts w:ascii="Arial" w:hAnsi="Arial" w:cs="Arial"/>
          <w:sz w:val="24"/>
          <w:szCs w:val="24"/>
        </w:rPr>
        <w:t xml:space="preserve">inancial </w:t>
      </w:r>
      <w:r>
        <w:rPr>
          <w:rFonts w:ascii="Arial" w:hAnsi="Arial" w:cs="Arial"/>
          <w:sz w:val="24"/>
          <w:szCs w:val="24"/>
        </w:rPr>
        <w:t>C</w:t>
      </w:r>
      <w:r w:rsidRPr="00C61897">
        <w:rPr>
          <w:rFonts w:ascii="Arial" w:hAnsi="Arial" w:cs="Arial"/>
          <w:sz w:val="24"/>
          <w:szCs w:val="24"/>
        </w:rPr>
        <w:t xml:space="preserve">risis and the </w:t>
      </w:r>
      <w:r>
        <w:rPr>
          <w:rFonts w:ascii="Arial" w:hAnsi="Arial" w:cs="Arial"/>
          <w:sz w:val="24"/>
          <w:szCs w:val="24"/>
        </w:rPr>
        <w:t>H</w:t>
      </w:r>
      <w:r w:rsidRPr="00C61897">
        <w:rPr>
          <w:rFonts w:ascii="Arial" w:hAnsi="Arial" w:cs="Arial"/>
          <w:sz w:val="24"/>
          <w:szCs w:val="24"/>
        </w:rPr>
        <w:t xml:space="preserve">aphazard </w:t>
      </w:r>
      <w:r>
        <w:rPr>
          <w:rFonts w:ascii="Arial" w:hAnsi="Arial" w:cs="Arial"/>
          <w:sz w:val="24"/>
          <w:szCs w:val="24"/>
        </w:rPr>
        <w:t>P</w:t>
      </w:r>
      <w:r w:rsidRPr="00C61897">
        <w:rPr>
          <w:rFonts w:ascii="Arial" w:hAnsi="Arial" w:cs="Arial"/>
          <w:sz w:val="24"/>
          <w:szCs w:val="24"/>
        </w:rPr>
        <w:t xml:space="preserve">ursuit of </w:t>
      </w:r>
      <w:r>
        <w:rPr>
          <w:rFonts w:ascii="Arial" w:hAnsi="Arial" w:cs="Arial"/>
          <w:sz w:val="24"/>
          <w:szCs w:val="24"/>
        </w:rPr>
        <w:t>F</w:t>
      </w:r>
      <w:r w:rsidRPr="00C61897">
        <w:rPr>
          <w:rFonts w:ascii="Arial" w:hAnsi="Arial" w:cs="Arial"/>
          <w:sz w:val="24"/>
          <w:szCs w:val="24"/>
        </w:rPr>
        <w:t xml:space="preserve">inancial </w:t>
      </w:r>
      <w:r>
        <w:rPr>
          <w:rFonts w:ascii="Arial" w:hAnsi="Arial" w:cs="Arial"/>
          <w:sz w:val="24"/>
          <w:szCs w:val="24"/>
        </w:rPr>
        <w:t>C</w:t>
      </w:r>
      <w:r w:rsidRPr="00C61897">
        <w:rPr>
          <w:rFonts w:ascii="Arial" w:hAnsi="Arial" w:cs="Arial"/>
          <w:sz w:val="24"/>
          <w:szCs w:val="24"/>
        </w:rPr>
        <w:t>rime’</w:t>
      </w:r>
      <w:r>
        <w:rPr>
          <w:rFonts w:ascii="Arial" w:hAnsi="Arial" w:cs="Arial"/>
          <w:sz w:val="24"/>
          <w:szCs w:val="24"/>
        </w:rPr>
        <w:t>,</w:t>
      </w:r>
      <w:r w:rsidRPr="00C61897">
        <w:rPr>
          <w:rFonts w:ascii="Arial" w:hAnsi="Arial" w:cs="Arial"/>
          <w:sz w:val="24"/>
          <w:szCs w:val="24"/>
        </w:rPr>
        <w:t xml:space="preserve"> </w:t>
      </w:r>
      <w:r w:rsidRPr="004E08B4">
        <w:rPr>
          <w:rFonts w:ascii="Arial" w:hAnsi="Arial" w:cs="Arial"/>
          <w:i/>
          <w:sz w:val="24"/>
          <w:szCs w:val="24"/>
        </w:rPr>
        <w:t>Journal of Financial Crime</w:t>
      </w:r>
      <w:r w:rsidRPr="00C61897">
        <w:rPr>
          <w:rFonts w:ascii="Arial" w:hAnsi="Arial" w:cs="Arial"/>
          <w:sz w:val="24"/>
          <w:szCs w:val="24"/>
        </w:rPr>
        <w:t xml:space="preserve">, </w:t>
      </w:r>
      <w:r>
        <w:rPr>
          <w:rFonts w:ascii="Arial" w:hAnsi="Arial" w:cs="Arial"/>
          <w:sz w:val="24"/>
          <w:szCs w:val="24"/>
        </w:rPr>
        <w:t xml:space="preserve">Vol. </w:t>
      </w:r>
      <w:r w:rsidRPr="00C61897">
        <w:rPr>
          <w:rFonts w:ascii="Arial" w:hAnsi="Arial" w:cs="Arial"/>
          <w:sz w:val="24"/>
          <w:szCs w:val="24"/>
        </w:rPr>
        <w:t>18</w:t>
      </w:r>
      <w:r>
        <w:rPr>
          <w:rFonts w:ascii="Arial" w:hAnsi="Arial" w:cs="Arial"/>
          <w:sz w:val="24"/>
          <w:szCs w:val="24"/>
        </w:rPr>
        <w:t xml:space="preserve">, No. </w:t>
      </w:r>
      <w:r w:rsidRPr="00C61897">
        <w:rPr>
          <w:rFonts w:ascii="Arial" w:hAnsi="Arial" w:cs="Arial"/>
          <w:sz w:val="24"/>
          <w:szCs w:val="24"/>
        </w:rPr>
        <w:t>1</w:t>
      </w:r>
      <w:r>
        <w:rPr>
          <w:rFonts w:ascii="Arial" w:hAnsi="Arial" w:cs="Arial"/>
          <w:sz w:val="24"/>
          <w:szCs w:val="24"/>
        </w:rPr>
        <w:t>, pp. 7-31 at p.</w:t>
      </w:r>
      <w:r w:rsidRPr="00C61897">
        <w:rPr>
          <w:rFonts w:ascii="Arial" w:hAnsi="Arial" w:cs="Arial"/>
          <w:sz w:val="24"/>
          <w:szCs w:val="24"/>
        </w:rPr>
        <w:t xml:space="preserve"> 7, and N</w:t>
      </w:r>
      <w:r>
        <w:rPr>
          <w:rFonts w:ascii="Arial" w:hAnsi="Arial" w:cs="Arial"/>
          <w:sz w:val="24"/>
          <w:szCs w:val="24"/>
        </w:rPr>
        <w:t>.</w:t>
      </w:r>
      <w:r w:rsidRPr="00C61897">
        <w:rPr>
          <w:rFonts w:ascii="Arial" w:hAnsi="Arial" w:cs="Arial"/>
          <w:sz w:val="24"/>
          <w:szCs w:val="24"/>
        </w:rPr>
        <w:t xml:space="preserve"> Ryder</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i/>
          <w:sz w:val="24"/>
          <w:szCs w:val="24"/>
        </w:rPr>
        <w:t>The Financial Crisis and White Collar Crime</w:t>
      </w:r>
      <w:r>
        <w:rPr>
          <w:rFonts w:ascii="Arial" w:hAnsi="Arial" w:cs="Arial"/>
          <w:i/>
          <w:sz w:val="24"/>
          <w:szCs w:val="24"/>
        </w:rPr>
        <w:t xml:space="preserve"> </w:t>
      </w:r>
      <w:r w:rsidRPr="00C61897">
        <w:rPr>
          <w:rFonts w:ascii="Arial" w:hAnsi="Arial" w:cs="Arial"/>
          <w:i/>
          <w:sz w:val="24"/>
          <w:szCs w:val="24"/>
        </w:rPr>
        <w:t>- The Perfect Storm?</w:t>
      </w:r>
      <w:r w:rsidRPr="00C61897">
        <w:rPr>
          <w:rFonts w:ascii="Arial" w:hAnsi="Arial" w:cs="Arial"/>
          <w:sz w:val="24"/>
          <w:szCs w:val="24"/>
        </w:rPr>
        <w:t xml:space="preserve"> (Cheltenham: Edward Elgar).</w:t>
      </w:r>
    </w:p>
  </w:endnote>
  <w:endnote w:id="7">
    <w:p w14:paraId="77FCBC79"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Tomasic</w:t>
      </w:r>
      <w:r>
        <w:rPr>
          <w:rFonts w:ascii="Arial" w:hAnsi="Arial" w:cs="Arial"/>
          <w:sz w:val="24"/>
          <w:szCs w:val="24"/>
        </w:rPr>
        <w:t xml:space="preserve"> (2011)</w:t>
      </w:r>
      <w:r w:rsidRPr="00C61897">
        <w:rPr>
          <w:rFonts w:ascii="Arial" w:hAnsi="Arial" w:cs="Arial"/>
          <w:sz w:val="24"/>
          <w:szCs w:val="24"/>
        </w:rPr>
        <w:t xml:space="preserve"> ‘The </w:t>
      </w:r>
      <w:r>
        <w:rPr>
          <w:rFonts w:ascii="Arial" w:hAnsi="Arial" w:cs="Arial"/>
          <w:sz w:val="24"/>
          <w:szCs w:val="24"/>
        </w:rPr>
        <w:t>F</w:t>
      </w:r>
      <w:r w:rsidRPr="00C61897">
        <w:rPr>
          <w:rFonts w:ascii="Arial" w:hAnsi="Arial" w:cs="Arial"/>
          <w:sz w:val="24"/>
          <w:szCs w:val="24"/>
        </w:rPr>
        <w:t xml:space="preserve">inancial </w:t>
      </w:r>
      <w:r>
        <w:rPr>
          <w:rFonts w:ascii="Arial" w:hAnsi="Arial" w:cs="Arial"/>
          <w:sz w:val="24"/>
          <w:szCs w:val="24"/>
        </w:rPr>
        <w:t>C</w:t>
      </w:r>
      <w:r w:rsidRPr="00C61897">
        <w:rPr>
          <w:rFonts w:ascii="Arial" w:hAnsi="Arial" w:cs="Arial"/>
          <w:sz w:val="24"/>
          <w:szCs w:val="24"/>
        </w:rPr>
        <w:t>risis</w:t>
      </w:r>
      <w:r>
        <w:rPr>
          <w:rFonts w:ascii="Arial" w:hAnsi="Arial" w:cs="Arial"/>
          <w:sz w:val="24"/>
          <w:szCs w:val="24"/>
        </w:rPr>
        <w:t xml:space="preserve">’, p. </w:t>
      </w:r>
      <w:r w:rsidRPr="00C61897">
        <w:rPr>
          <w:rFonts w:ascii="Arial" w:hAnsi="Arial" w:cs="Arial"/>
          <w:sz w:val="24"/>
          <w:szCs w:val="24"/>
        </w:rPr>
        <w:t xml:space="preserve">7. </w:t>
      </w:r>
    </w:p>
  </w:endnote>
  <w:endnote w:id="8">
    <w:p w14:paraId="35D76CA9"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Friedrichs</w:t>
      </w:r>
      <w:r>
        <w:rPr>
          <w:rFonts w:ascii="Arial" w:hAnsi="Arial" w:cs="Arial"/>
          <w:sz w:val="24"/>
          <w:szCs w:val="24"/>
        </w:rPr>
        <w:t xml:space="preserve"> (2012)</w:t>
      </w:r>
      <w:r w:rsidRPr="00C61897">
        <w:rPr>
          <w:rFonts w:ascii="Arial" w:hAnsi="Arial" w:cs="Arial"/>
          <w:sz w:val="24"/>
          <w:szCs w:val="24"/>
        </w:rPr>
        <w:t xml:space="preserve"> ‘Wall Street</w:t>
      </w:r>
      <w:r>
        <w:rPr>
          <w:rFonts w:ascii="Arial" w:hAnsi="Arial" w:cs="Arial"/>
          <w:sz w:val="24"/>
          <w:szCs w:val="24"/>
        </w:rPr>
        <w:t xml:space="preserve">’, </w:t>
      </w:r>
      <w:r w:rsidRPr="004E08B4">
        <w:rPr>
          <w:rFonts w:ascii="Arial" w:hAnsi="Arial" w:cs="Arial"/>
          <w:i/>
          <w:sz w:val="24"/>
          <w:szCs w:val="24"/>
        </w:rPr>
        <w:t>passim</w:t>
      </w:r>
      <w:r w:rsidRPr="00C61897">
        <w:rPr>
          <w:rFonts w:ascii="Arial" w:hAnsi="Arial" w:cs="Arial"/>
          <w:sz w:val="24"/>
          <w:szCs w:val="24"/>
        </w:rPr>
        <w:t>.</w:t>
      </w:r>
    </w:p>
  </w:endnote>
  <w:endnote w:id="9">
    <w:p w14:paraId="24706F3B" w14:textId="037F36FA"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4E08B4">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 xml:space="preserve">20, and indeed dwarfing the costs of conventional crime; see also key policy initiatives such as the (now replaced) National Fraud Authority’s ‘Fighting Fraud Together’ </w:t>
      </w:r>
      <w:r>
        <w:rPr>
          <w:rFonts w:ascii="Arial" w:hAnsi="Arial" w:cs="Arial"/>
          <w:sz w:val="24"/>
          <w:szCs w:val="24"/>
        </w:rPr>
        <w:t xml:space="preserve">focus </w:t>
      </w:r>
      <w:r w:rsidRPr="00C61897">
        <w:rPr>
          <w:rFonts w:ascii="Arial" w:hAnsi="Arial" w:cs="Arial"/>
          <w:sz w:val="24"/>
          <w:szCs w:val="24"/>
        </w:rPr>
        <w:t>launched in 2011.</w:t>
      </w:r>
    </w:p>
  </w:endnote>
  <w:endnote w:id="10">
    <w:p w14:paraId="0867EA20"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examples drawn from the Bank of England, the House of Commons Treasury Committee and the Financial Services Authority discussed in Wilson</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bCs/>
          <w:i/>
          <w:sz w:val="24"/>
          <w:szCs w:val="24"/>
        </w:rPr>
        <w:t>The Origins of Modern Financial Crime</w:t>
      </w:r>
      <w:r w:rsidRPr="00C61897">
        <w:rPr>
          <w:rFonts w:ascii="Arial" w:hAnsi="Arial" w:cs="Arial"/>
          <w:sz w:val="24"/>
          <w:szCs w:val="24"/>
        </w:rPr>
        <w:t>.</w:t>
      </w:r>
    </w:p>
  </w:endnote>
  <w:endnote w:id="11">
    <w:p w14:paraId="158D903D" w14:textId="112E31BF"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For key literature see P</w:t>
      </w:r>
      <w:r>
        <w:rPr>
          <w:rFonts w:ascii="Arial" w:hAnsi="Arial" w:cs="Arial"/>
          <w:sz w:val="24"/>
          <w:szCs w:val="24"/>
        </w:rPr>
        <w:t>.</w:t>
      </w:r>
      <w:r w:rsidRPr="00C61897">
        <w:rPr>
          <w:rFonts w:ascii="Arial" w:hAnsi="Arial" w:cs="Arial"/>
          <w:sz w:val="24"/>
          <w:szCs w:val="24"/>
        </w:rPr>
        <w:t xml:space="preserve"> Rock</w:t>
      </w:r>
      <w:r>
        <w:rPr>
          <w:rFonts w:ascii="Arial" w:hAnsi="Arial" w:cs="Arial"/>
          <w:sz w:val="24"/>
          <w:szCs w:val="24"/>
        </w:rPr>
        <w:t xml:space="preserve"> (2005)</w:t>
      </w:r>
      <w:r w:rsidRPr="00C61897">
        <w:rPr>
          <w:rFonts w:ascii="Arial" w:hAnsi="Arial" w:cs="Arial"/>
          <w:sz w:val="24"/>
          <w:szCs w:val="24"/>
        </w:rPr>
        <w:t xml:space="preserve"> ‘Chronocentrism and British </w:t>
      </w:r>
      <w:r>
        <w:rPr>
          <w:rFonts w:ascii="Arial" w:hAnsi="Arial" w:cs="Arial"/>
          <w:sz w:val="24"/>
          <w:szCs w:val="24"/>
        </w:rPr>
        <w:t>C</w:t>
      </w:r>
      <w:r w:rsidRPr="00C61897">
        <w:rPr>
          <w:rFonts w:ascii="Arial" w:hAnsi="Arial" w:cs="Arial"/>
          <w:sz w:val="24"/>
          <w:szCs w:val="24"/>
        </w:rPr>
        <w:t>riminology’</w:t>
      </w:r>
      <w:r>
        <w:rPr>
          <w:rFonts w:ascii="Arial" w:hAnsi="Arial" w:cs="Arial"/>
          <w:sz w:val="24"/>
          <w:szCs w:val="24"/>
        </w:rPr>
        <w:t xml:space="preserve">, </w:t>
      </w:r>
      <w:r w:rsidRPr="004E08B4">
        <w:rPr>
          <w:rFonts w:ascii="Arial" w:hAnsi="Arial" w:cs="Arial"/>
          <w:i/>
          <w:sz w:val="24"/>
          <w:szCs w:val="24"/>
        </w:rPr>
        <w:t>British Journal of Sociology</w:t>
      </w:r>
      <w:r w:rsidRPr="00C61897">
        <w:rPr>
          <w:rFonts w:ascii="Arial" w:hAnsi="Arial" w:cs="Arial"/>
          <w:sz w:val="24"/>
          <w:szCs w:val="24"/>
        </w:rPr>
        <w:t xml:space="preserve">, </w:t>
      </w:r>
      <w:r>
        <w:rPr>
          <w:rFonts w:ascii="Arial" w:hAnsi="Arial" w:cs="Arial"/>
          <w:sz w:val="24"/>
          <w:szCs w:val="24"/>
        </w:rPr>
        <w:t xml:space="preserve">Vol. </w:t>
      </w:r>
      <w:r w:rsidRPr="00C61897">
        <w:rPr>
          <w:rFonts w:ascii="Arial" w:hAnsi="Arial" w:cs="Arial"/>
          <w:sz w:val="24"/>
          <w:szCs w:val="24"/>
        </w:rPr>
        <w:t>56</w:t>
      </w:r>
      <w:r>
        <w:rPr>
          <w:rFonts w:ascii="Arial" w:hAnsi="Arial" w:cs="Arial"/>
          <w:sz w:val="24"/>
          <w:szCs w:val="24"/>
        </w:rPr>
        <w:t>, No.</w:t>
      </w:r>
      <w:r w:rsidRPr="00C61897">
        <w:rPr>
          <w:rFonts w:ascii="Arial" w:hAnsi="Arial" w:cs="Arial"/>
          <w:sz w:val="24"/>
          <w:szCs w:val="24"/>
        </w:rPr>
        <w:t xml:space="preserve"> 3</w:t>
      </w:r>
      <w:r>
        <w:rPr>
          <w:rFonts w:ascii="Arial" w:hAnsi="Arial" w:cs="Arial"/>
          <w:sz w:val="24"/>
          <w:szCs w:val="24"/>
        </w:rPr>
        <w:t>, pp. 473-91 at p.</w:t>
      </w:r>
      <w:r w:rsidRPr="00C61897">
        <w:rPr>
          <w:rFonts w:ascii="Arial" w:hAnsi="Arial" w:cs="Arial"/>
          <w:sz w:val="24"/>
          <w:szCs w:val="24"/>
        </w:rPr>
        <w:t xml:space="preserve"> 473, and P</w:t>
      </w:r>
      <w:r>
        <w:rPr>
          <w:rFonts w:ascii="Arial" w:hAnsi="Arial" w:cs="Arial"/>
          <w:sz w:val="24"/>
          <w:szCs w:val="24"/>
        </w:rPr>
        <w:t>.</w:t>
      </w:r>
      <w:r w:rsidRPr="00C61897">
        <w:rPr>
          <w:rFonts w:ascii="Arial" w:hAnsi="Arial" w:cs="Arial"/>
          <w:sz w:val="24"/>
          <w:szCs w:val="24"/>
        </w:rPr>
        <w:t xml:space="preserve"> Lawrence</w:t>
      </w:r>
      <w:r>
        <w:rPr>
          <w:rFonts w:ascii="Arial" w:hAnsi="Arial" w:cs="Arial"/>
          <w:sz w:val="24"/>
          <w:szCs w:val="24"/>
        </w:rPr>
        <w:t xml:space="preserve"> (2012)</w:t>
      </w:r>
      <w:r w:rsidRPr="00C61897">
        <w:rPr>
          <w:rFonts w:ascii="Arial" w:hAnsi="Arial" w:cs="Arial"/>
          <w:sz w:val="24"/>
          <w:szCs w:val="24"/>
        </w:rPr>
        <w:t xml:space="preserve"> ‘History, Criminology and the </w:t>
      </w:r>
      <w:r>
        <w:rPr>
          <w:rFonts w:ascii="Arial" w:hAnsi="Arial" w:cs="Arial"/>
          <w:sz w:val="24"/>
          <w:szCs w:val="24"/>
        </w:rPr>
        <w:t>“</w:t>
      </w:r>
      <w:r w:rsidRPr="00C61897">
        <w:rPr>
          <w:rFonts w:ascii="Arial" w:hAnsi="Arial" w:cs="Arial"/>
          <w:sz w:val="24"/>
          <w:szCs w:val="24"/>
        </w:rPr>
        <w:t>Use</w:t>
      </w:r>
      <w:r>
        <w:rPr>
          <w:rFonts w:ascii="Arial" w:hAnsi="Arial" w:cs="Arial"/>
          <w:sz w:val="24"/>
          <w:szCs w:val="24"/>
        </w:rPr>
        <w:t>”</w:t>
      </w:r>
      <w:r w:rsidRPr="00C61897">
        <w:rPr>
          <w:rFonts w:ascii="Arial" w:hAnsi="Arial" w:cs="Arial"/>
          <w:sz w:val="24"/>
          <w:szCs w:val="24"/>
        </w:rPr>
        <w:t xml:space="preserve"> of the Past’</w:t>
      </w:r>
      <w:r>
        <w:rPr>
          <w:rFonts w:ascii="Arial" w:hAnsi="Arial" w:cs="Arial"/>
          <w:sz w:val="24"/>
          <w:szCs w:val="24"/>
        </w:rPr>
        <w:t>,</w:t>
      </w:r>
      <w:r w:rsidRPr="00C61897">
        <w:rPr>
          <w:rFonts w:ascii="Arial" w:hAnsi="Arial" w:cs="Arial"/>
          <w:sz w:val="24"/>
          <w:szCs w:val="24"/>
        </w:rPr>
        <w:t xml:space="preserve"> </w:t>
      </w:r>
      <w:r w:rsidRPr="004E08B4">
        <w:rPr>
          <w:rFonts w:ascii="Arial" w:hAnsi="Arial" w:cs="Arial"/>
          <w:i/>
          <w:sz w:val="24"/>
          <w:szCs w:val="24"/>
        </w:rPr>
        <w:t>Theoretical Criminology</w:t>
      </w:r>
      <w:r w:rsidRPr="00C61897">
        <w:rPr>
          <w:rFonts w:ascii="Arial" w:hAnsi="Arial" w:cs="Arial"/>
          <w:sz w:val="24"/>
          <w:szCs w:val="24"/>
        </w:rPr>
        <w:t xml:space="preserve">, </w:t>
      </w:r>
      <w:r>
        <w:rPr>
          <w:rFonts w:ascii="Arial" w:hAnsi="Arial" w:cs="Arial"/>
          <w:sz w:val="24"/>
          <w:szCs w:val="24"/>
        </w:rPr>
        <w:t xml:space="preserve">Vol. </w:t>
      </w:r>
      <w:r w:rsidRPr="00C61897">
        <w:rPr>
          <w:rFonts w:ascii="Arial" w:hAnsi="Arial" w:cs="Arial"/>
          <w:sz w:val="24"/>
          <w:szCs w:val="24"/>
        </w:rPr>
        <w:t>16</w:t>
      </w:r>
      <w:r>
        <w:rPr>
          <w:rFonts w:ascii="Arial" w:hAnsi="Arial" w:cs="Arial"/>
          <w:sz w:val="24"/>
          <w:szCs w:val="24"/>
        </w:rPr>
        <w:t>, No. 3</w:t>
      </w:r>
      <w:r w:rsidRPr="00C61897">
        <w:rPr>
          <w:rFonts w:ascii="Arial" w:hAnsi="Arial" w:cs="Arial"/>
          <w:sz w:val="24"/>
          <w:szCs w:val="24"/>
        </w:rPr>
        <w:t xml:space="preserve">, </w:t>
      </w:r>
      <w:r>
        <w:rPr>
          <w:rFonts w:ascii="Arial" w:hAnsi="Arial" w:cs="Arial"/>
          <w:sz w:val="24"/>
          <w:szCs w:val="24"/>
        </w:rPr>
        <w:t xml:space="preserve">pp. 313-28 at p. </w:t>
      </w:r>
      <w:r w:rsidRPr="00C61897">
        <w:rPr>
          <w:rFonts w:ascii="Arial" w:hAnsi="Arial" w:cs="Arial"/>
          <w:sz w:val="24"/>
          <w:szCs w:val="24"/>
        </w:rPr>
        <w:t>313.</w:t>
      </w:r>
    </w:p>
  </w:endnote>
  <w:endnote w:id="12">
    <w:p w14:paraId="72E339FE"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This is the core argument of Wilson</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bCs/>
          <w:i/>
          <w:sz w:val="24"/>
          <w:szCs w:val="24"/>
        </w:rPr>
        <w:t>The Origins of Modern Financial Crime</w:t>
      </w:r>
      <w:r w:rsidRPr="00C61897">
        <w:rPr>
          <w:rFonts w:ascii="Arial" w:hAnsi="Arial" w:cs="Arial"/>
          <w:bCs/>
          <w:sz w:val="24"/>
          <w:szCs w:val="24"/>
        </w:rPr>
        <w:t xml:space="preserve">. </w:t>
      </w:r>
    </w:p>
  </w:endnote>
  <w:endnote w:id="13">
    <w:p w14:paraId="1234AA34"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Pr>
          <w:rFonts w:ascii="Arial" w:hAnsi="Arial" w:cs="Arial"/>
          <w:sz w:val="24"/>
          <w:szCs w:val="24"/>
        </w:rPr>
        <w:t>See for example</w:t>
      </w:r>
      <w:r w:rsidRPr="00C61897">
        <w:rPr>
          <w:rFonts w:ascii="Arial" w:hAnsi="Arial" w:cs="Arial"/>
          <w:sz w:val="24"/>
          <w:szCs w:val="24"/>
        </w:rPr>
        <w:t xml:space="preserve"> A</w:t>
      </w:r>
      <w:r>
        <w:rPr>
          <w:rFonts w:ascii="Arial" w:hAnsi="Arial" w:cs="Arial"/>
          <w:sz w:val="24"/>
          <w:szCs w:val="24"/>
        </w:rPr>
        <w:t>.</w:t>
      </w:r>
      <w:r w:rsidRPr="00C61897">
        <w:rPr>
          <w:rFonts w:ascii="Arial" w:hAnsi="Arial" w:cs="Arial"/>
          <w:sz w:val="24"/>
          <w:szCs w:val="24"/>
        </w:rPr>
        <w:t xml:space="preserve"> Bequai</w:t>
      </w:r>
      <w:r>
        <w:rPr>
          <w:rFonts w:ascii="Arial" w:hAnsi="Arial" w:cs="Arial"/>
          <w:sz w:val="24"/>
          <w:szCs w:val="24"/>
        </w:rPr>
        <w:t xml:space="preserve"> (1978)</w:t>
      </w:r>
      <w:r w:rsidRPr="00C61897">
        <w:rPr>
          <w:rFonts w:ascii="Arial" w:hAnsi="Arial" w:cs="Arial"/>
          <w:sz w:val="24"/>
          <w:szCs w:val="24"/>
        </w:rPr>
        <w:t xml:space="preserve"> </w:t>
      </w:r>
      <w:r w:rsidRPr="00C61897">
        <w:rPr>
          <w:rFonts w:ascii="Arial" w:hAnsi="Arial" w:cs="Arial"/>
          <w:i/>
          <w:iCs/>
          <w:sz w:val="24"/>
          <w:szCs w:val="24"/>
        </w:rPr>
        <w:t xml:space="preserve">White-Collar Crime: A </w:t>
      </w:r>
      <w:r>
        <w:rPr>
          <w:rFonts w:ascii="Arial" w:hAnsi="Arial" w:cs="Arial"/>
          <w:i/>
          <w:iCs/>
          <w:sz w:val="24"/>
          <w:szCs w:val="24"/>
        </w:rPr>
        <w:t>Twentieth</w:t>
      </w:r>
      <w:r w:rsidRPr="00C61897">
        <w:rPr>
          <w:rFonts w:ascii="Arial" w:hAnsi="Arial" w:cs="Arial"/>
          <w:i/>
          <w:iCs/>
          <w:sz w:val="24"/>
          <w:szCs w:val="24"/>
        </w:rPr>
        <w:t xml:space="preserve"> Century Crisis</w:t>
      </w:r>
      <w:r w:rsidRPr="00C61897">
        <w:rPr>
          <w:rFonts w:ascii="Arial" w:hAnsi="Arial" w:cs="Arial"/>
          <w:sz w:val="24"/>
          <w:szCs w:val="24"/>
        </w:rPr>
        <w:t xml:space="preserve"> (Massachusetts: Lexington Press).</w:t>
      </w:r>
    </w:p>
  </w:endnote>
  <w:endnote w:id="14">
    <w:p w14:paraId="09725A25"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M</w:t>
      </w:r>
      <w:r>
        <w:rPr>
          <w:rFonts w:ascii="Arial" w:hAnsi="Arial" w:cs="Arial"/>
          <w:sz w:val="24"/>
          <w:szCs w:val="24"/>
        </w:rPr>
        <w:t>.</w:t>
      </w:r>
      <w:r w:rsidRPr="00C61897">
        <w:rPr>
          <w:rFonts w:ascii="Arial" w:hAnsi="Arial" w:cs="Arial"/>
          <w:sz w:val="24"/>
          <w:szCs w:val="24"/>
        </w:rPr>
        <w:t xml:space="preserve"> Levi</w:t>
      </w:r>
      <w:r>
        <w:rPr>
          <w:rFonts w:ascii="Arial" w:hAnsi="Arial" w:cs="Arial"/>
          <w:sz w:val="24"/>
          <w:szCs w:val="24"/>
        </w:rPr>
        <w:t xml:space="preserve"> (1987)</w:t>
      </w:r>
      <w:r w:rsidRPr="00C61897">
        <w:rPr>
          <w:rFonts w:ascii="Arial" w:hAnsi="Arial" w:cs="Arial"/>
          <w:sz w:val="24"/>
          <w:szCs w:val="24"/>
        </w:rPr>
        <w:t xml:space="preserve"> </w:t>
      </w:r>
      <w:r w:rsidRPr="00C61897">
        <w:rPr>
          <w:rFonts w:ascii="Arial" w:hAnsi="Arial" w:cs="Arial"/>
          <w:i/>
          <w:iCs/>
          <w:sz w:val="24"/>
          <w:szCs w:val="24"/>
        </w:rPr>
        <w:t>Regulating Fraud: White-Collar Crime and the Criminal Process</w:t>
      </w:r>
      <w:r w:rsidRPr="00C61897">
        <w:rPr>
          <w:rFonts w:ascii="Arial" w:hAnsi="Arial" w:cs="Arial"/>
          <w:sz w:val="24"/>
          <w:szCs w:val="24"/>
        </w:rPr>
        <w:t xml:space="preserve"> </w:t>
      </w:r>
      <w:r>
        <w:rPr>
          <w:rFonts w:ascii="Arial" w:hAnsi="Arial" w:cs="Arial"/>
          <w:sz w:val="24"/>
          <w:szCs w:val="24"/>
        </w:rPr>
        <w:t>(</w:t>
      </w:r>
      <w:r w:rsidRPr="00C61897">
        <w:rPr>
          <w:rFonts w:ascii="Arial" w:hAnsi="Arial" w:cs="Arial"/>
          <w:sz w:val="24"/>
          <w:szCs w:val="24"/>
        </w:rPr>
        <w:t>London: Tavistock Press</w:t>
      </w:r>
      <w:r>
        <w:rPr>
          <w:rFonts w:ascii="Arial" w:hAnsi="Arial" w:cs="Arial"/>
          <w:sz w:val="24"/>
          <w:szCs w:val="24"/>
        </w:rPr>
        <w:t>)</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w:t>
      </w:r>
      <w:r w:rsidRPr="00C61897">
        <w:rPr>
          <w:rFonts w:ascii="Arial" w:hAnsi="Arial" w:cs="Arial"/>
          <w:i/>
          <w:iCs/>
          <w:sz w:val="24"/>
          <w:szCs w:val="24"/>
        </w:rPr>
        <w:t>.</w:t>
      </w:r>
    </w:p>
  </w:endnote>
  <w:endnote w:id="15">
    <w:p w14:paraId="02F8FB56"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E122C">
        <w:rPr>
          <w:rFonts w:ascii="Arial" w:hAnsi="Arial" w:cs="Arial"/>
          <w:i/>
          <w:sz w:val="24"/>
          <w:szCs w:val="24"/>
        </w:rPr>
        <w:t>Ibid</w:t>
      </w:r>
      <w:r w:rsidRPr="00C61897">
        <w:rPr>
          <w:rFonts w:ascii="Arial" w:hAnsi="Arial" w:cs="Arial"/>
          <w:sz w:val="24"/>
          <w:szCs w:val="24"/>
        </w:rPr>
        <w:t xml:space="preserve">. </w:t>
      </w:r>
    </w:p>
  </w:endnote>
  <w:endnote w:id="16">
    <w:p w14:paraId="24CEC712"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Bequai</w:t>
      </w:r>
      <w:r>
        <w:rPr>
          <w:rFonts w:ascii="Arial" w:hAnsi="Arial" w:cs="Arial"/>
          <w:sz w:val="24"/>
          <w:szCs w:val="24"/>
        </w:rPr>
        <w:t xml:space="preserve"> (1978)</w:t>
      </w:r>
      <w:r w:rsidRPr="00C61897">
        <w:rPr>
          <w:rFonts w:ascii="Arial" w:hAnsi="Arial" w:cs="Arial"/>
          <w:sz w:val="24"/>
          <w:szCs w:val="24"/>
        </w:rPr>
        <w:t xml:space="preserve"> </w:t>
      </w:r>
      <w:r w:rsidRPr="00C61897">
        <w:rPr>
          <w:rFonts w:ascii="Arial" w:hAnsi="Arial" w:cs="Arial"/>
          <w:i/>
          <w:iCs/>
          <w:sz w:val="24"/>
          <w:szCs w:val="24"/>
        </w:rPr>
        <w:t>White-Collar Crime</w:t>
      </w:r>
      <w:r w:rsidRPr="00C61897">
        <w:rPr>
          <w:rFonts w:ascii="Arial" w:hAnsi="Arial" w:cs="Arial"/>
          <w:iCs/>
          <w:sz w:val="24"/>
          <w:szCs w:val="24"/>
        </w:rPr>
        <w:t xml:space="preserve">, </w:t>
      </w:r>
      <w:r>
        <w:rPr>
          <w:rFonts w:ascii="Arial" w:hAnsi="Arial" w:cs="Arial"/>
          <w:iCs/>
          <w:sz w:val="24"/>
          <w:szCs w:val="24"/>
        </w:rPr>
        <w:t xml:space="preserve">p. </w:t>
      </w:r>
      <w:r w:rsidRPr="00C61897">
        <w:rPr>
          <w:rFonts w:ascii="Arial" w:hAnsi="Arial" w:cs="Arial"/>
          <w:iCs/>
          <w:sz w:val="24"/>
          <w:szCs w:val="24"/>
        </w:rPr>
        <w:t>iii.</w:t>
      </w:r>
    </w:p>
  </w:endnote>
  <w:endnote w:id="17">
    <w:p w14:paraId="2BB7B331"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As evident in both works from Bequai (1978) and Levi (1987)</w:t>
      </w:r>
      <w:r>
        <w:rPr>
          <w:rFonts w:ascii="Arial" w:hAnsi="Arial" w:cs="Arial"/>
          <w:sz w:val="24"/>
          <w:szCs w:val="24"/>
        </w:rPr>
        <w:t xml:space="preserve"> referenced at notes 13 and 14 above</w:t>
      </w:r>
      <w:r w:rsidRPr="00C61897">
        <w:rPr>
          <w:rFonts w:ascii="Arial" w:hAnsi="Arial" w:cs="Arial"/>
          <w:sz w:val="24"/>
          <w:szCs w:val="24"/>
        </w:rPr>
        <w:t xml:space="preserve">. </w:t>
      </w:r>
    </w:p>
  </w:endnote>
  <w:endnote w:id="18">
    <w:p w14:paraId="41622B61"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D</w:t>
      </w:r>
      <w:r>
        <w:rPr>
          <w:rFonts w:ascii="Arial" w:hAnsi="Arial" w:cs="Arial"/>
          <w:sz w:val="24"/>
          <w:szCs w:val="24"/>
        </w:rPr>
        <w:t>.</w:t>
      </w:r>
      <w:r w:rsidRPr="00C61897">
        <w:rPr>
          <w:rFonts w:ascii="Arial" w:hAnsi="Arial" w:cs="Arial"/>
          <w:sz w:val="24"/>
          <w:szCs w:val="24"/>
        </w:rPr>
        <w:t xml:space="preserve"> Kirk and A</w:t>
      </w:r>
      <w:r>
        <w:rPr>
          <w:rFonts w:ascii="Arial" w:hAnsi="Arial" w:cs="Arial"/>
          <w:sz w:val="24"/>
          <w:szCs w:val="24"/>
        </w:rPr>
        <w:t>.</w:t>
      </w:r>
      <w:r w:rsidRPr="00C61897">
        <w:rPr>
          <w:rFonts w:ascii="Arial" w:hAnsi="Arial" w:cs="Arial"/>
          <w:sz w:val="24"/>
          <w:szCs w:val="24"/>
        </w:rPr>
        <w:t xml:space="preserve"> Woodcock</w:t>
      </w:r>
      <w:r>
        <w:rPr>
          <w:rFonts w:ascii="Arial" w:hAnsi="Arial" w:cs="Arial"/>
          <w:sz w:val="24"/>
          <w:szCs w:val="24"/>
        </w:rPr>
        <w:t xml:space="preserve"> (1996)</w:t>
      </w:r>
      <w:r w:rsidRPr="00C61897">
        <w:rPr>
          <w:rFonts w:ascii="Arial" w:hAnsi="Arial" w:cs="Arial"/>
          <w:sz w:val="24"/>
          <w:szCs w:val="24"/>
        </w:rPr>
        <w:t xml:space="preserve"> </w:t>
      </w:r>
      <w:r w:rsidRPr="00C61897">
        <w:rPr>
          <w:rFonts w:ascii="Arial" w:hAnsi="Arial" w:cs="Arial"/>
          <w:i/>
          <w:sz w:val="24"/>
          <w:szCs w:val="24"/>
        </w:rPr>
        <w:t>Serious</w:t>
      </w:r>
      <w:r w:rsidRPr="00C61897">
        <w:rPr>
          <w:rFonts w:ascii="Arial" w:hAnsi="Arial" w:cs="Arial"/>
          <w:sz w:val="24"/>
          <w:szCs w:val="24"/>
        </w:rPr>
        <w:t xml:space="preserve"> </w:t>
      </w:r>
      <w:r w:rsidRPr="00C61897">
        <w:rPr>
          <w:rFonts w:ascii="Arial" w:hAnsi="Arial" w:cs="Arial"/>
          <w:i/>
          <w:sz w:val="24"/>
          <w:szCs w:val="24"/>
        </w:rPr>
        <w:t>Fraud: Investigation and Trial</w:t>
      </w:r>
      <w:r w:rsidRPr="00C61897">
        <w:rPr>
          <w:rFonts w:ascii="Arial" w:hAnsi="Arial" w:cs="Arial"/>
          <w:sz w:val="24"/>
          <w:szCs w:val="24"/>
        </w:rPr>
        <w:t xml:space="preserve"> (London: Butterworth), </w:t>
      </w:r>
      <w:r>
        <w:rPr>
          <w:rFonts w:ascii="Arial" w:hAnsi="Arial" w:cs="Arial"/>
          <w:sz w:val="24"/>
          <w:szCs w:val="24"/>
        </w:rPr>
        <w:t xml:space="preserve">p. </w:t>
      </w:r>
      <w:r w:rsidRPr="00C61897">
        <w:rPr>
          <w:rFonts w:ascii="Arial" w:hAnsi="Arial" w:cs="Arial"/>
          <w:sz w:val="24"/>
          <w:szCs w:val="24"/>
        </w:rPr>
        <w:t>1.</w:t>
      </w:r>
    </w:p>
  </w:endnote>
  <w:endnote w:id="19">
    <w:p w14:paraId="6E26F423"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E</w:t>
      </w:r>
      <w:r>
        <w:rPr>
          <w:rFonts w:ascii="Arial" w:hAnsi="Arial" w:cs="Arial"/>
          <w:sz w:val="24"/>
          <w:szCs w:val="24"/>
        </w:rPr>
        <w:t>.</w:t>
      </w:r>
      <w:r w:rsidRPr="00C61897">
        <w:rPr>
          <w:rFonts w:ascii="Arial" w:hAnsi="Arial" w:cs="Arial"/>
          <w:sz w:val="24"/>
          <w:szCs w:val="24"/>
        </w:rPr>
        <w:t>H</w:t>
      </w:r>
      <w:r>
        <w:rPr>
          <w:rFonts w:ascii="Arial" w:hAnsi="Arial" w:cs="Arial"/>
          <w:sz w:val="24"/>
          <w:szCs w:val="24"/>
        </w:rPr>
        <w:t>.</w:t>
      </w:r>
      <w:r w:rsidRPr="00C61897">
        <w:rPr>
          <w:rFonts w:ascii="Arial" w:hAnsi="Arial" w:cs="Arial"/>
          <w:sz w:val="24"/>
          <w:szCs w:val="24"/>
        </w:rPr>
        <w:t xml:space="preserve"> Sutherland</w:t>
      </w:r>
      <w:r>
        <w:rPr>
          <w:rFonts w:ascii="Arial" w:hAnsi="Arial" w:cs="Arial"/>
          <w:sz w:val="24"/>
          <w:szCs w:val="24"/>
        </w:rPr>
        <w:t xml:space="preserve"> (1949)</w:t>
      </w:r>
      <w:r w:rsidRPr="00C61897">
        <w:rPr>
          <w:rFonts w:ascii="Arial" w:hAnsi="Arial" w:cs="Arial"/>
          <w:sz w:val="24"/>
          <w:szCs w:val="24"/>
        </w:rPr>
        <w:t xml:space="preserve"> </w:t>
      </w:r>
      <w:r w:rsidRPr="00C61897">
        <w:rPr>
          <w:rFonts w:ascii="Arial" w:hAnsi="Arial" w:cs="Arial"/>
          <w:i/>
          <w:sz w:val="24"/>
          <w:szCs w:val="24"/>
        </w:rPr>
        <w:t>White-Collar Crime</w:t>
      </w:r>
      <w:r w:rsidRPr="00C61897">
        <w:rPr>
          <w:rFonts w:ascii="Arial" w:hAnsi="Arial" w:cs="Arial"/>
          <w:sz w:val="24"/>
          <w:szCs w:val="24"/>
        </w:rPr>
        <w:t xml:space="preserve"> (New York: Dryden Press), </w:t>
      </w:r>
      <w:r>
        <w:rPr>
          <w:rFonts w:ascii="Arial" w:hAnsi="Arial" w:cs="Arial"/>
          <w:sz w:val="24"/>
          <w:szCs w:val="24"/>
        </w:rPr>
        <w:t xml:space="preserve">p. </w:t>
      </w:r>
      <w:r w:rsidRPr="00C61897">
        <w:rPr>
          <w:rFonts w:ascii="Arial" w:hAnsi="Arial" w:cs="Arial"/>
          <w:sz w:val="24"/>
          <w:szCs w:val="24"/>
        </w:rPr>
        <w:t>9.</w:t>
      </w:r>
    </w:p>
  </w:endnote>
  <w:endnote w:id="20">
    <w:p w14:paraId="6770E2FD" w14:textId="2B8E98ED" w:rsidR="00EE7708" w:rsidRPr="00C61897" w:rsidRDefault="00EE7708" w:rsidP="00C61897">
      <w:pPr>
        <w:spacing w:after="0"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E</w:t>
      </w:r>
      <w:r>
        <w:rPr>
          <w:rFonts w:ascii="Arial" w:hAnsi="Arial" w:cs="Arial"/>
          <w:sz w:val="24"/>
          <w:szCs w:val="24"/>
        </w:rPr>
        <w:t>.</w:t>
      </w:r>
      <w:r w:rsidRPr="00C61897">
        <w:rPr>
          <w:rFonts w:ascii="Arial" w:hAnsi="Arial" w:cs="Arial"/>
          <w:sz w:val="24"/>
          <w:szCs w:val="24"/>
        </w:rPr>
        <w:t>H</w:t>
      </w:r>
      <w:r>
        <w:rPr>
          <w:rFonts w:ascii="Arial" w:hAnsi="Arial" w:cs="Arial"/>
          <w:sz w:val="24"/>
          <w:szCs w:val="24"/>
        </w:rPr>
        <w:t>.</w:t>
      </w:r>
      <w:r w:rsidRPr="00C61897">
        <w:rPr>
          <w:rFonts w:ascii="Arial" w:hAnsi="Arial" w:cs="Arial"/>
          <w:sz w:val="24"/>
          <w:szCs w:val="24"/>
        </w:rPr>
        <w:t xml:space="preserve"> Sutherland</w:t>
      </w:r>
      <w:r>
        <w:rPr>
          <w:rFonts w:ascii="Arial" w:hAnsi="Arial" w:cs="Arial"/>
          <w:sz w:val="24"/>
          <w:szCs w:val="24"/>
        </w:rPr>
        <w:t xml:space="preserve"> (1940)</w:t>
      </w:r>
      <w:r w:rsidRPr="00C61897">
        <w:rPr>
          <w:rFonts w:ascii="Arial" w:hAnsi="Arial" w:cs="Arial"/>
          <w:sz w:val="24"/>
          <w:szCs w:val="24"/>
        </w:rPr>
        <w:t xml:space="preserve"> ‘White Collar Criminality’</w:t>
      </w:r>
      <w:r>
        <w:rPr>
          <w:rFonts w:ascii="Arial" w:hAnsi="Arial" w:cs="Arial"/>
          <w:sz w:val="24"/>
          <w:szCs w:val="24"/>
        </w:rPr>
        <w:t xml:space="preserve">, </w:t>
      </w:r>
      <w:r w:rsidRPr="00C61897">
        <w:rPr>
          <w:rFonts w:ascii="Arial" w:hAnsi="Arial" w:cs="Arial"/>
          <w:i/>
          <w:iCs/>
          <w:sz w:val="24"/>
          <w:szCs w:val="24"/>
        </w:rPr>
        <w:t>American Sociological Review</w:t>
      </w:r>
      <w:r w:rsidRPr="00C61897">
        <w:rPr>
          <w:rFonts w:ascii="Arial" w:hAnsi="Arial" w:cs="Arial"/>
          <w:sz w:val="24"/>
          <w:szCs w:val="24"/>
        </w:rPr>
        <w:t xml:space="preserve">, </w:t>
      </w:r>
      <w:r>
        <w:rPr>
          <w:rFonts w:ascii="Arial" w:hAnsi="Arial" w:cs="Arial"/>
          <w:sz w:val="24"/>
          <w:szCs w:val="24"/>
        </w:rPr>
        <w:t xml:space="preserve">Vol. </w:t>
      </w:r>
      <w:r w:rsidRPr="00C61897">
        <w:rPr>
          <w:rFonts w:ascii="Arial" w:hAnsi="Arial" w:cs="Arial"/>
          <w:sz w:val="24"/>
          <w:szCs w:val="24"/>
        </w:rPr>
        <w:t xml:space="preserve">5, </w:t>
      </w:r>
      <w:r>
        <w:rPr>
          <w:rFonts w:ascii="Arial" w:hAnsi="Arial" w:cs="Arial"/>
          <w:sz w:val="24"/>
          <w:szCs w:val="24"/>
        </w:rPr>
        <w:t xml:space="preserve">No. </w:t>
      </w:r>
      <w:r w:rsidRPr="00C61897">
        <w:rPr>
          <w:rFonts w:ascii="Arial" w:hAnsi="Arial" w:cs="Arial"/>
          <w:sz w:val="24"/>
          <w:szCs w:val="24"/>
        </w:rPr>
        <w:t>1</w:t>
      </w:r>
      <w:r>
        <w:rPr>
          <w:rFonts w:ascii="Arial" w:hAnsi="Arial" w:cs="Arial"/>
          <w:sz w:val="24"/>
          <w:szCs w:val="24"/>
        </w:rPr>
        <w:t xml:space="preserve">, pp. </w:t>
      </w:r>
      <w:r w:rsidR="00951021">
        <w:rPr>
          <w:rFonts w:ascii="Arial" w:hAnsi="Arial" w:cs="Arial"/>
          <w:sz w:val="24"/>
          <w:szCs w:val="24"/>
        </w:rPr>
        <w:t>1</w:t>
      </w:r>
      <w:r>
        <w:rPr>
          <w:rFonts w:ascii="Arial" w:hAnsi="Arial" w:cs="Arial"/>
          <w:sz w:val="24"/>
          <w:szCs w:val="24"/>
        </w:rPr>
        <w:t>-</w:t>
      </w:r>
      <w:r w:rsidR="00951021">
        <w:rPr>
          <w:rFonts w:ascii="Arial" w:hAnsi="Arial" w:cs="Arial"/>
          <w:sz w:val="24"/>
          <w:szCs w:val="24"/>
        </w:rPr>
        <w:t>12</w:t>
      </w:r>
      <w:r>
        <w:rPr>
          <w:rFonts w:ascii="Arial" w:hAnsi="Arial" w:cs="Arial"/>
          <w:sz w:val="24"/>
          <w:szCs w:val="24"/>
        </w:rPr>
        <w:t xml:space="preserve"> at p. </w:t>
      </w:r>
      <w:r w:rsidRPr="00C61897">
        <w:rPr>
          <w:rFonts w:ascii="Arial" w:hAnsi="Arial" w:cs="Arial"/>
          <w:sz w:val="24"/>
          <w:szCs w:val="24"/>
        </w:rPr>
        <w:t>3.</w:t>
      </w:r>
    </w:p>
  </w:endnote>
  <w:endnote w:id="21">
    <w:p w14:paraId="70C102E9" w14:textId="188D92DE"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M</w:t>
      </w:r>
      <w:r>
        <w:rPr>
          <w:rFonts w:ascii="Arial" w:hAnsi="Arial" w:cs="Arial"/>
          <w:sz w:val="24"/>
          <w:szCs w:val="24"/>
        </w:rPr>
        <w:t>.</w:t>
      </w:r>
      <w:r w:rsidRPr="00C61897">
        <w:rPr>
          <w:rFonts w:ascii="Arial" w:hAnsi="Arial" w:cs="Arial"/>
          <w:sz w:val="24"/>
          <w:szCs w:val="24"/>
        </w:rPr>
        <w:t xml:space="preserve"> Levi</w:t>
      </w:r>
      <w:r>
        <w:rPr>
          <w:rFonts w:ascii="Arial" w:hAnsi="Arial" w:cs="Arial"/>
          <w:sz w:val="24"/>
          <w:szCs w:val="24"/>
        </w:rPr>
        <w:t xml:space="preserve"> (2002)</w:t>
      </w:r>
      <w:r w:rsidRPr="00C61897">
        <w:rPr>
          <w:rFonts w:ascii="Arial" w:hAnsi="Arial" w:cs="Arial"/>
          <w:sz w:val="24"/>
          <w:szCs w:val="24"/>
        </w:rPr>
        <w:t xml:space="preserve"> ‘Suite </w:t>
      </w:r>
      <w:r>
        <w:rPr>
          <w:rFonts w:ascii="Arial" w:hAnsi="Arial" w:cs="Arial"/>
          <w:sz w:val="24"/>
          <w:szCs w:val="24"/>
        </w:rPr>
        <w:t>J</w:t>
      </w:r>
      <w:r w:rsidRPr="00C61897">
        <w:rPr>
          <w:rFonts w:ascii="Arial" w:hAnsi="Arial" w:cs="Arial"/>
          <w:sz w:val="24"/>
          <w:szCs w:val="24"/>
        </w:rPr>
        <w:t xml:space="preserve">ustice or </w:t>
      </w:r>
      <w:r>
        <w:rPr>
          <w:rFonts w:ascii="Arial" w:hAnsi="Arial" w:cs="Arial"/>
          <w:sz w:val="24"/>
          <w:szCs w:val="24"/>
        </w:rPr>
        <w:t>S</w:t>
      </w:r>
      <w:r w:rsidRPr="00C61897">
        <w:rPr>
          <w:rFonts w:ascii="Arial" w:hAnsi="Arial" w:cs="Arial"/>
          <w:sz w:val="24"/>
          <w:szCs w:val="24"/>
        </w:rPr>
        <w:t xml:space="preserve">weet </w:t>
      </w:r>
      <w:r>
        <w:rPr>
          <w:rFonts w:ascii="Arial" w:hAnsi="Arial" w:cs="Arial"/>
          <w:sz w:val="24"/>
          <w:szCs w:val="24"/>
        </w:rPr>
        <w:t>C</w:t>
      </w:r>
      <w:r w:rsidRPr="00C61897">
        <w:rPr>
          <w:rFonts w:ascii="Arial" w:hAnsi="Arial" w:cs="Arial"/>
          <w:sz w:val="24"/>
          <w:szCs w:val="24"/>
        </w:rPr>
        <w:t xml:space="preserve">harity? </w:t>
      </w:r>
      <w:r>
        <w:rPr>
          <w:rFonts w:ascii="Arial" w:hAnsi="Arial" w:cs="Arial"/>
          <w:sz w:val="24"/>
          <w:szCs w:val="24"/>
        </w:rPr>
        <w:t>S</w:t>
      </w:r>
      <w:r w:rsidRPr="00C61897">
        <w:rPr>
          <w:rFonts w:ascii="Arial" w:hAnsi="Arial" w:cs="Arial"/>
          <w:sz w:val="24"/>
          <w:szCs w:val="24"/>
        </w:rPr>
        <w:t xml:space="preserve">ome </w:t>
      </w:r>
      <w:r>
        <w:rPr>
          <w:rFonts w:ascii="Arial" w:hAnsi="Arial" w:cs="Arial"/>
          <w:sz w:val="24"/>
          <w:szCs w:val="24"/>
        </w:rPr>
        <w:t>E</w:t>
      </w:r>
      <w:r w:rsidRPr="00C61897">
        <w:rPr>
          <w:rFonts w:ascii="Arial" w:hAnsi="Arial" w:cs="Arial"/>
          <w:sz w:val="24"/>
          <w:szCs w:val="24"/>
        </w:rPr>
        <w:t xml:space="preserve">xplorations of </w:t>
      </w:r>
      <w:r>
        <w:rPr>
          <w:rFonts w:ascii="Arial" w:hAnsi="Arial" w:cs="Arial"/>
          <w:sz w:val="24"/>
          <w:szCs w:val="24"/>
        </w:rPr>
        <w:t>S</w:t>
      </w:r>
      <w:r w:rsidRPr="00C61897">
        <w:rPr>
          <w:rFonts w:ascii="Arial" w:hAnsi="Arial" w:cs="Arial"/>
          <w:sz w:val="24"/>
          <w:szCs w:val="24"/>
        </w:rPr>
        <w:t xml:space="preserve">haming and </w:t>
      </w:r>
      <w:r>
        <w:rPr>
          <w:rFonts w:ascii="Arial" w:hAnsi="Arial" w:cs="Arial"/>
          <w:sz w:val="24"/>
          <w:szCs w:val="24"/>
        </w:rPr>
        <w:t>I</w:t>
      </w:r>
      <w:r w:rsidRPr="00C61897">
        <w:rPr>
          <w:rFonts w:ascii="Arial" w:hAnsi="Arial" w:cs="Arial"/>
          <w:sz w:val="24"/>
          <w:szCs w:val="24"/>
        </w:rPr>
        <w:t xml:space="preserve">ncapacitating </w:t>
      </w:r>
      <w:r>
        <w:rPr>
          <w:rFonts w:ascii="Arial" w:hAnsi="Arial" w:cs="Arial"/>
          <w:sz w:val="24"/>
          <w:szCs w:val="24"/>
        </w:rPr>
        <w:t>B</w:t>
      </w:r>
      <w:r w:rsidRPr="00C61897">
        <w:rPr>
          <w:rFonts w:ascii="Arial" w:hAnsi="Arial" w:cs="Arial"/>
          <w:sz w:val="24"/>
          <w:szCs w:val="24"/>
        </w:rPr>
        <w:t xml:space="preserve">usiness </w:t>
      </w:r>
      <w:r>
        <w:rPr>
          <w:rFonts w:ascii="Arial" w:hAnsi="Arial" w:cs="Arial"/>
          <w:sz w:val="24"/>
          <w:szCs w:val="24"/>
        </w:rPr>
        <w:t>F</w:t>
      </w:r>
      <w:r w:rsidRPr="00C61897">
        <w:rPr>
          <w:rFonts w:ascii="Arial" w:hAnsi="Arial" w:cs="Arial"/>
          <w:sz w:val="24"/>
          <w:szCs w:val="24"/>
        </w:rPr>
        <w:t xml:space="preserve">raudsters’, </w:t>
      </w:r>
      <w:r w:rsidRPr="00C61897">
        <w:rPr>
          <w:rFonts w:ascii="Arial" w:hAnsi="Arial" w:cs="Arial"/>
          <w:i/>
          <w:iCs/>
          <w:sz w:val="24"/>
          <w:szCs w:val="24"/>
        </w:rPr>
        <w:t>Punishment and Society</w:t>
      </w:r>
      <w:r w:rsidRPr="00C61897">
        <w:rPr>
          <w:rFonts w:ascii="Arial" w:hAnsi="Arial" w:cs="Arial"/>
          <w:sz w:val="24"/>
          <w:szCs w:val="24"/>
        </w:rPr>
        <w:t xml:space="preserve">, </w:t>
      </w:r>
      <w:r>
        <w:rPr>
          <w:rFonts w:ascii="Arial" w:hAnsi="Arial" w:cs="Arial"/>
          <w:sz w:val="24"/>
          <w:szCs w:val="24"/>
        </w:rPr>
        <w:t>Vol. 4, No. 2, pp. 147-63 at p.</w:t>
      </w:r>
      <w:r w:rsidRPr="00C61897">
        <w:rPr>
          <w:rFonts w:ascii="Arial" w:hAnsi="Arial" w:cs="Arial"/>
          <w:sz w:val="24"/>
          <w:szCs w:val="24"/>
        </w:rPr>
        <w:t xml:space="preserve"> 147</w:t>
      </w:r>
      <w:r>
        <w:rPr>
          <w:rFonts w:ascii="Arial" w:hAnsi="Arial" w:cs="Arial"/>
          <w:sz w:val="24"/>
          <w:szCs w:val="24"/>
        </w:rPr>
        <w:t xml:space="preserve"> and p.</w:t>
      </w:r>
      <w:r w:rsidRPr="00C61897">
        <w:rPr>
          <w:rFonts w:ascii="Arial" w:hAnsi="Arial" w:cs="Arial"/>
          <w:sz w:val="24"/>
          <w:szCs w:val="24"/>
        </w:rPr>
        <w:t xml:space="preserve"> 149.</w:t>
      </w:r>
    </w:p>
  </w:endnote>
  <w:endnote w:id="22">
    <w:p w14:paraId="3799A047"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Law Commission</w:t>
      </w:r>
      <w:r>
        <w:rPr>
          <w:rFonts w:ascii="Arial" w:hAnsi="Arial" w:cs="Arial"/>
          <w:sz w:val="24"/>
          <w:szCs w:val="24"/>
        </w:rPr>
        <w:t xml:space="preserve"> (1999)</w:t>
      </w:r>
      <w:r w:rsidRPr="00C61897">
        <w:rPr>
          <w:rFonts w:ascii="Arial" w:hAnsi="Arial" w:cs="Arial"/>
          <w:sz w:val="24"/>
          <w:szCs w:val="24"/>
        </w:rPr>
        <w:t xml:space="preserve"> </w:t>
      </w:r>
      <w:r w:rsidRPr="00C61897">
        <w:rPr>
          <w:rFonts w:ascii="Arial" w:hAnsi="Arial" w:cs="Arial"/>
          <w:i/>
          <w:sz w:val="24"/>
          <w:szCs w:val="24"/>
        </w:rPr>
        <w:t>Fraud and Deception</w:t>
      </w:r>
      <w:r w:rsidRPr="00C61897">
        <w:rPr>
          <w:rFonts w:ascii="Arial" w:hAnsi="Arial" w:cs="Arial"/>
          <w:sz w:val="24"/>
          <w:szCs w:val="24"/>
        </w:rPr>
        <w:t xml:space="preserve">: </w:t>
      </w:r>
      <w:r w:rsidRPr="00C61897">
        <w:rPr>
          <w:rFonts w:ascii="Arial" w:hAnsi="Arial" w:cs="Arial"/>
          <w:i/>
          <w:iCs/>
          <w:sz w:val="24"/>
          <w:szCs w:val="24"/>
        </w:rPr>
        <w:t>A Consultation Paper</w:t>
      </w:r>
      <w:r w:rsidRPr="00C61897">
        <w:rPr>
          <w:rFonts w:ascii="Arial" w:hAnsi="Arial" w:cs="Arial"/>
          <w:iCs/>
          <w:sz w:val="24"/>
          <w:szCs w:val="24"/>
        </w:rPr>
        <w:t>,</w:t>
      </w:r>
      <w:r w:rsidRPr="00C61897">
        <w:rPr>
          <w:rFonts w:ascii="Arial" w:hAnsi="Arial" w:cs="Arial"/>
          <w:sz w:val="24"/>
          <w:szCs w:val="24"/>
        </w:rPr>
        <w:t xml:space="preserve"> CP No</w:t>
      </w:r>
      <w:r>
        <w:rPr>
          <w:rFonts w:ascii="Arial" w:hAnsi="Arial" w:cs="Arial"/>
          <w:sz w:val="24"/>
          <w:szCs w:val="24"/>
        </w:rPr>
        <w:t>.</w:t>
      </w:r>
      <w:r w:rsidRPr="00C61897">
        <w:rPr>
          <w:rFonts w:ascii="Arial" w:hAnsi="Arial" w:cs="Arial"/>
          <w:sz w:val="24"/>
          <w:szCs w:val="24"/>
        </w:rPr>
        <w:t xml:space="preserve"> 155 (London: HMSO), para 1.4.</w:t>
      </w:r>
    </w:p>
  </w:endnote>
  <w:endnote w:id="23">
    <w:p w14:paraId="1BA6928C" w14:textId="0A480F2A"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E</w:t>
      </w:r>
      <w:r>
        <w:rPr>
          <w:rFonts w:ascii="Arial" w:hAnsi="Arial" w:cs="Arial"/>
          <w:sz w:val="24"/>
          <w:szCs w:val="24"/>
        </w:rPr>
        <w:t>.</w:t>
      </w:r>
      <w:r w:rsidRPr="00C61897">
        <w:rPr>
          <w:rFonts w:ascii="Arial" w:hAnsi="Arial" w:cs="Arial"/>
          <w:sz w:val="24"/>
          <w:szCs w:val="24"/>
        </w:rPr>
        <w:t>H</w:t>
      </w:r>
      <w:r>
        <w:rPr>
          <w:rFonts w:ascii="Arial" w:hAnsi="Arial" w:cs="Arial"/>
          <w:sz w:val="24"/>
          <w:szCs w:val="24"/>
        </w:rPr>
        <w:t>.</w:t>
      </w:r>
      <w:r w:rsidRPr="00C61897">
        <w:rPr>
          <w:rFonts w:ascii="Arial" w:hAnsi="Arial" w:cs="Arial"/>
          <w:sz w:val="24"/>
          <w:szCs w:val="24"/>
        </w:rPr>
        <w:t xml:space="preserve"> Sutherland</w:t>
      </w:r>
      <w:r>
        <w:rPr>
          <w:rFonts w:ascii="Arial" w:hAnsi="Arial" w:cs="Arial"/>
          <w:sz w:val="24"/>
          <w:szCs w:val="24"/>
        </w:rPr>
        <w:t xml:space="preserve"> (1945)</w:t>
      </w:r>
      <w:r w:rsidRPr="00C61897">
        <w:rPr>
          <w:rFonts w:ascii="Arial" w:hAnsi="Arial" w:cs="Arial"/>
          <w:sz w:val="24"/>
          <w:szCs w:val="24"/>
        </w:rPr>
        <w:t xml:space="preserve"> ‘Is “White Collar Crime” Crime?’</w:t>
      </w:r>
      <w:r>
        <w:rPr>
          <w:rFonts w:ascii="Arial" w:hAnsi="Arial" w:cs="Arial"/>
          <w:sz w:val="24"/>
          <w:szCs w:val="24"/>
        </w:rPr>
        <w:t>,</w:t>
      </w:r>
      <w:r w:rsidRPr="00C61897">
        <w:rPr>
          <w:rFonts w:ascii="Arial" w:hAnsi="Arial" w:cs="Arial"/>
          <w:sz w:val="24"/>
          <w:szCs w:val="24"/>
        </w:rPr>
        <w:t xml:space="preserve"> </w:t>
      </w:r>
      <w:r w:rsidRPr="00C61897">
        <w:rPr>
          <w:rFonts w:ascii="Arial" w:hAnsi="Arial" w:cs="Arial"/>
          <w:i/>
          <w:iCs/>
          <w:sz w:val="24"/>
          <w:szCs w:val="24"/>
        </w:rPr>
        <w:t>American Sociological Review</w:t>
      </w:r>
      <w:r w:rsidRPr="00C61897">
        <w:rPr>
          <w:rFonts w:ascii="Arial" w:hAnsi="Arial" w:cs="Arial"/>
          <w:sz w:val="24"/>
          <w:szCs w:val="24"/>
        </w:rPr>
        <w:t xml:space="preserve">, </w:t>
      </w:r>
      <w:r>
        <w:rPr>
          <w:rFonts w:ascii="Arial" w:hAnsi="Arial" w:cs="Arial"/>
          <w:sz w:val="24"/>
          <w:szCs w:val="24"/>
        </w:rPr>
        <w:t xml:space="preserve">Vol. </w:t>
      </w:r>
      <w:r w:rsidRPr="00C61897">
        <w:rPr>
          <w:rFonts w:ascii="Arial" w:hAnsi="Arial" w:cs="Arial"/>
          <w:sz w:val="24"/>
          <w:szCs w:val="24"/>
        </w:rPr>
        <w:t>10</w:t>
      </w:r>
      <w:r>
        <w:rPr>
          <w:rFonts w:ascii="Arial" w:hAnsi="Arial" w:cs="Arial"/>
          <w:sz w:val="24"/>
          <w:szCs w:val="24"/>
        </w:rPr>
        <w:t>, pp. 132-39 at p.</w:t>
      </w:r>
      <w:r w:rsidRPr="00C61897">
        <w:rPr>
          <w:rFonts w:ascii="Arial" w:hAnsi="Arial" w:cs="Arial"/>
          <w:sz w:val="24"/>
          <w:szCs w:val="24"/>
        </w:rPr>
        <w:t xml:space="preserve"> 132.</w:t>
      </w:r>
    </w:p>
  </w:endnote>
  <w:endnote w:id="24">
    <w:p w14:paraId="6050B4A9"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E07F1">
        <w:rPr>
          <w:rFonts w:ascii="Arial" w:hAnsi="Arial" w:cs="Arial"/>
          <w:i/>
          <w:sz w:val="24"/>
          <w:szCs w:val="24"/>
        </w:rPr>
        <w:t>Ibid</w:t>
      </w:r>
      <w:r w:rsidRPr="00C61897">
        <w:rPr>
          <w:rFonts w:ascii="Arial" w:hAnsi="Arial" w:cs="Arial"/>
          <w:sz w:val="24"/>
          <w:szCs w:val="24"/>
        </w:rPr>
        <w:t xml:space="preserve">, especially </w:t>
      </w:r>
      <w:r>
        <w:rPr>
          <w:rFonts w:ascii="Arial" w:hAnsi="Arial" w:cs="Arial"/>
          <w:sz w:val="24"/>
          <w:szCs w:val="24"/>
        </w:rPr>
        <w:t xml:space="preserve">pp. </w:t>
      </w:r>
      <w:r w:rsidRPr="00C61897">
        <w:rPr>
          <w:rFonts w:ascii="Arial" w:hAnsi="Arial" w:cs="Arial"/>
          <w:sz w:val="24"/>
          <w:szCs w:val="24"/>
        </w:rPr>
        <w:t>137-9.</w:t>
      </w:r>
    </w:p>
  </w:endnote>
  <w:endnote w:id="25">
    <w:p w14:paraId="132FB341"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E07F1">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139</w:t>
      </w:r>
      <w:r>
        <w:rPr>
          <w:rFonts w:ascii="Arial" w:hAnsi="Arial" w:cs="Arial"/>
          <w:sz w:val="24"/>
          <w:szCs w:val="24"/>
        </w:rPr>
        <w:t>. F</w:t>
      </w:r>
      <w:r w:rsidRPr="00C61897">
        <w:rPr>
          <w:rFonts w:ascii="Arial" w:hAnsi="Arial" w:cs="Arial"/>
          <w:sz w:val="24"/>
          <w:szCs w:val="24"/>
        </w:rPr>
        <w:t>or a more recent account of this perspective see Friedrichs</w:t>
      </w:r>
      <w:r>
        <w:rPr>
          <w:rFonts w:ascii="Arial" w:hAnsi="Arial" w:cs="Arial"/>
          <w:sz w:val="24"/>
          <w:szCs w:val="24"/>
        </w:rPr>
        <w:t xml:space="preserve"> (2012)</w:t>
      </w:r>
      <w:r w:rsidRPr="00C61897">
        <w:rPr>
          <w:rFonts w:ascii="Arial" w:hAnsi="Arial" w:cs="Arial"/>
          <w:sz w:val="24"/>
          <w:szCs w:val="24"/>
        </w:rPr>
        <w:t xml:space="preserve"> ‘Wall Street</w:t>
      </w:r>
      <w:r>
        <w:rPr>
          <w:rFonts w:ascii="Arial" w:hAnsi="Arial" w:cs="Arial"/>
          <w:sz w:val="24"/>
          <w:szCs w:val="24"/>
        </w:rPr>
        <w:t xml:space="preserve">’, </w:t>
      </w:r>
      <w:r w:rsidRPr="00AE07F1">
        <w:rPr>
          <w:rFonts w:ascii="Arial" w:hAnsi="Arial" w:cs="Arial"/>
          <w:i/>
          <w:sz w:val="24"/>
          <w:szCs w:val="24"/>
        </w:rPr>
        <w:t>passim</w:t>
      </w:r>
      <w:r>
        <w:rPr>
          <w:rFonts w:ascii="Arial" w:hAnsi="Arial" w:cs="Arial"/>
          <w:i/>
          <w:sz w:val="24"/>
          <w:szCs w:val="24"/>
        </w:rPr>
        <w:t>.</w:t>
      </w:r>
    </w:p>
  </w:endnote>
  <w:endnote w:id="26">
    <w:p w14:paraId="27FC81C2"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w:t>
      </w:r>
      <w:r>
        <w:rPr>
          <w:rFonts w:ascii="Arial" w:hAnsi="Arial" w:cs="Arial"/>
          <w:sz w:val="24"/>
          <w:szCs w:val="24"/>
        </w:rPr>
        <w:t>.</w:t>
      </w:r>
      <w:r w:rsidRPr="00C61897">
        <w:rPr>
          <w:rFonts w:ascii="Arial" w:hAnsi="Arial" w:cs="Arial"/>
          <w:sz w:val="24"/>
          <w:szCs w:val="24"/>
        </w:rPr>
        <w:t xml:space="preserve"> Wheeler</w:t>
      </w:r>
      <w:r>
        <w:rPr>
          <w:rFonts w:ascii="Arial" w:hAnsi="Arial" w:cs="Arial"/>
          <w:sz w:val="24"/>
          <w:szCs w:val="24"/>
        </w:rPr>
        <w:t>, D. Weisburd and N. Bode</w:t>
      </w:r>
      <w:r w:rsidRPr="00C61897">
        <w:rPr>
          <w:rFonts w:ascii="Arial" w:hAnsi="Arial" w:cs="Arial"/>
          <w:sz w:val="24"/>
          <w:szCs w:val="24"/>
        </w:rPr>
        <w:t xml:space="preserve"> </w:t>
      </w:r>
      <w:r>
        <w:rPr>
          <w:rFonts w:ascii="Arial" w:hAnsi="Arial" w:cs="Arial"/>
          <w:sz w:val="24"/>
          <w:szCs w:val="24"/>
        </w:rPr>
        <w:t xml:space="preserve">(1982) </w:t>
      </w:r>
      <w:r w:rsidRPr="00C61897">
        <w:rPr>
          <w:rFonts w:ascii="Arial" w:hAnsi="Arial" w:cs="Arial"/>
          <w:sz w:val="24"/>
          <w:szCs w:val="24"/>
        </w:rPr>
        <w:t>‘Sentencing the White-Collar Offender: Rhetoric and Reality’</w:t>
      </w:r>
      <w:r>
        <w:rPr>
          <w:rFonts w:ascii="Arial" w:hAnsi="Arial" w:cs="Arial"/>
          <w:sz w:val="24"/>
          <w:szCs w:val="24"/>
        </w:rPr>
        <w:t xml:space="preserve">, </w:t>
      </w:r>
      <w:r w:rsidRPr="00C61897">
        <w:rPr>
          <w:rFonts w:ascii="Arial" w:hAnsi="Arial" w:cs="Arial"/>
          <w:i/>
          <w:iCs/>
          <w:sz w:val="24"/>
          <w:szCs w:val="24"/>
        </w:rPr>
        <w:t>American Sociological Review</w:t>
      </w:r>
      <w:r w:rsidRPr="00C61897">
        <w:rPr>
          <w:rFonts w:ascii="Arial" w:hAnsi="Arial" w:cs="Arial"/>
          <w:iCs/>
          <w:sz w:val="24"/>
          <w:szCs w:val="24"/>
        </w:rPr>
        <w:t xml:space="preserve">, </w:t>
      </w:r>
      <w:r>
        <w:rPr>
          <w:rFonts w:ascii="Arial" w:hAnsi="Arial" w:cs="Arial"/>
          <w:iCs/>
          <w:sz w:val="24"/>
          <w:szCs w:val="24"/>
        </w:rPr>
        <w:t xml:space="preserve">Vol. </w:t>
      </w:r>
      <w:r w:rsidRPr="00C61897">
        <w:rPr>
          <w:rFonts w:ascii="Arial" w:hAnsi="Arial" w:cs="Arial"/>
          <w:iCs/>
          <w:sz w:val="24"/>
          <w:szCs w:val="24"/>
        </w:rPr>
        <w:t>47,</w:t>
      </w:r>
      <w:r>
        <w:rPr>
          <w:rFonts w:ascii="Arial" w:hAnsi="Arial" w:cs="Arial"/>
          <w:iCs/>
          <w:sz w:val="24"/>
          <w:szCs w:val="24"/>
        </w:rPr>
        <w:t xml:space="preserve"> No. 5, pp. 641-59 at p.</w:t>
      </w:r>
      <w:r w:rsidRPr="00C61897">
        <w:rPr>
          <w:rFonts w:ascii="Arial" w:hAnsi="Arial" w:cs="Arial"/>
          <w:sz w:val="24"/>
          <w:szCs w:val="24"/>
        </w:rPr>
        <w:t xml:space="preserve"> 641.</w:t>
      </w:r>
    </w:p>
  </w:endnote>
  <w:endnote w:id="27">
    <w:p w14:paraId="1D0AAB59" w14:textId="335AE796"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For a comprehensive and balanced summary of key perspectives and works see D</w:t>
      </w:r>
      <w:r>
        <w:rPr>
          <w:rFonts w:ascii="Arial" w:hAnsi="Arial" w:cs="Arial"/>
          <w:sz w:val="24"/>
          <w:szCs w:val="24"/>
        </w:rPr>
        <w:t>.</w:t>
      </w:r>
      <w:r w:rsidRPr="00C61897">
        <w:rPr>
          <w:rFonts w:ascii="Arial" w:hAnsi="Arial" w:cs="Arial"/>
          <w:sz w:val="24"/>
          <w:szCs w:val="24"/>
        </w:rPr>
        <w:t xml:space="preserve"> Nelken</w:t>
      </w:r>
      <w:r>
        <w:rPr>
          <w:rFonts w:ascii="Arial" w:hAnsi="Arial" w:cs="Arial"/>
          <w:sz w:val="24"/>
          <w:szCs w:val="24"/>
        </w:rPr>
        <w:t xml:space="preserve"> (1994</w:t>
      </w:r>
      <w:r w:rsidR="00951021">
        <w:rPr>
          <w:rFonts w:ascii="Arial" w:hAnsi="Arial" w:cs="Arial"/>
          <w:sz w:val="24"/>
          <w:szCs w:val="24"/>
        </w:rPr>
        <w:t xml:space="preserve"> edition</w:t>
      </w:r>
      <w:r>
        <w:rPr>
          <w:rFonts w:ascii="Arial" w:hAnsi="Arial" w:cs="Arial"/>
          <w:sz w:val="24"/>
          <w:szCs w:val="24"/>
        </w:rPr>
        <w:t>)</w:t>
      </w:r>
      <w:r w:rsidRPr="00C61897">
        <w:rPr>
          <w:rFonts w:ascii="Arial" w:hAnsi="Arial" w:cs="Arial"/>
          <w:sz w:val="24"/>
          <w:szCs w:val="24"/>
        </w:rPr>
        <w:t xml:space="preserve"> ‘White-Collar Crime’ in M</w:t>
      </w:r>
      <w:r>
        <w:rPr>
          <w:rFonts w:ascii="Arial" w:hAnsi="Arial" w:cs="Arial"/>
          <w:sz w:val="24"/>
          <w:szCs w:val="24"/>
        </w:rPr>
        <w:t>.</w:t>
      </w:r>
      <w:r w:rsidRPr="00C61897">
        <w:rPr>
          <w:rFonts w:ascii="Arial" w:hAnsi="Arial" w:cs="Arial"/>
          <w:sz w:val="24"/>
          <w:szCs w:val="24"/>
        </w:rPr>
        <w:t xml:space="preserve"> Maguire</w:t>
      </w:r>
      <w:r>
        <w:rPr>
          <w:rFonts w:ascii="Arial" w:hAnsi="Arial" w:cs="Arial"/>
          <w:sz w:val="24"/>
          <w:szCs w:val="24"/>
        </w:rPr>
        <w:t xml:space="preserve">, R. Morgan and R. Reiner </w:t>
      </w:r>
      <w:r w:rsidRPr="00C61897">
        <w:rPr>
          <w:rFonts w:ascii="Arial" w:hAnsi="Arial" w:cs="Arial"/>
          <w:sz w:val="24"/>
          <w:szCs w:val="24"/>
        </w:rPr>
        <w:t xml:space="preserve">(eds) </w:t>
      </w:r>
      <w:r w:rsidRPr="00C61897">
        <w:rPr>
          <w:rFonts w:ascii="Arial" w:hAnsi="Arial" w:cs="Arial"/>
          <w:i/>
          <w:sz w:val="24"/>
          <w:szCs w:val="24"/>
        </w:rPr>
        <w:t>The Oxford Handbook of Criminology</w:t>
      </w:r>
      <w:r w:rsidRPr="00C61897">
        <w:rPr>
          <w:rFonts w:ascii="Arial" w:hAnsi="Arial" w:cs="Arial"/>
          <w:sz w:val="24"/>
          <w:szCs w:val="24"/>
        </w:rPr>
        <w:t xml:space="preserve"> (Oxford: Oxford University Press), </w:t>
      </w:r>
      <w:r>
        <w:rPr>
          <w:rFonts w:ascii="Arial" w:hAnsi="Arial" w:cs="Arial"/>
          <w:sz w:val="24"/>
          <w:szCs w:val="24"/>
        </w:rPr>
        <w:t xml:space="preserve">pp. 355-92, at p. </w:t>
      </w:r>
      <w:r w:rsidRPr="00C61897">
        <w:rPr>
          <w:rFonts w:ascii="Arial" w:hAnsi="Arial" w:cs="Arial"/>
          <w:sz w:val="24"/>
          <w:szCs w:val="24"/>
        </w:rPr>
        <w:t>355.</w:t>
      </w:r>
    </w:p>
  </w:endnote>
  <w:endnote w:id="28">
    <w:p w14:paraId="3D5C2DD4" w14:textId="77777777" w:rsidR="00EE7708" w:rsidRPr="00C61897" w:rsidRDefault="00EE7708" w:rsidP="00C61897">
      <w:pPr>
        <w:pStyle w:val="EndnoteText"/>
        <w:spacing w:line="480" w:lineRule="auto"/>
        <w:jc w:val="both"/>
        <w:rPr>
          <w:rFonts w:ascii="Arial" w:hAnsi="Arial" w:cs="Arial"/>
          <w:sz w:val="24"/>
          <w:szCs w:val="24"/>
        </w:rPr>
      </w:pPr>
      <w:r w:rsidRPr="00380285">
        <w:rPr>
          <w:rStyle w:val="EndnoteReference"/>
          <w:rFonts w:ascii="Arial" w:hAnsi="Arial" w:cs="Arial"/>
          <w:sz w:val="24"/>
          <w:szCs w:val="24"/>
        </w:rPr>
        <w:endnoteRef/>
      </w:r>
      <w:r w:rsidRPr="00380285">
        <w:rPr>
          <w:rFonts w:ascii="Arial" w:hAnsi="Arial" w:cs="Arial"/>
          <w:sz w:val="24"/>
          <w:szCs w:val="24"/>
        </w:rPr>
        <w:t xml:space="preserve"> M</w:t>
      </w:r>
      <w:r>
        <w:rPr>
          <w:rFonts w:ascii="Arial" w:hAnsi="Arial" w:cs="Arial"/>
          <w:sz w:val="24"/>
          <w:szCs w:val="24"/>
        </w:rPr>
        <w:t>.</w:t>
      </w:r>
      <w:r w:rsidRPr="00380285">
        <w:rPr>
          <w:rFonts w:ascii="Arial" w:hAnsi="Arial" w:cs="Arial"/>
          <w:sz w:val="24"/>
          <w:szCs w:val="24"/>
        </w:rPr>
        <w:t>L</w:t>
      </w:r>
      <w:r>
        <w:rPr>
          <w:rFonts w:ascii="Arial" w:hAnsi="Arial" w:cs="Arial"/>
          <w:sz w:val="24"/>
          <w:szCs w:val="24"/>
        </w:rPr>
        <w:t>.</w:t>
      </w:r>
      <w:r w:rsidRPr="00380285">
        <w:rPr>
          <w:rFonts w:ascii="Arial" w:hAnsi="Arial" w:cs="Arial"/>
          <w:sz w:val="24"/>
          <w:szCs w:val="24"/>
        </w:rPr>
        <w:t xml:space="preserve"> Benson and S</w:t>
      </w:r>
      <w:r>
        <w:rPr>
          <w:rFonts w:ascii="Arial" w:hAnsi="Arial" w:cs="Arial"/>
          <w:sz w:val="24"/>
          <w:szCs w:val="24"/>
        </w:rPr>
        <w:t>.</w:t>
      </w:r>
      <w:r w:rsidRPr="00380285">
        <w:rPr>
          <w:rFonts w:ascii="Arial" w:hAnsi="Arial" w:cs="Arial"/>
          <w:sz w:val="24"/>
          <w:szCs w:val="24"/>
        </w:rPr>
        <w:t>S</w:t>
      </w:r>
      <w:r>
        <w:rPr>
          <w:rFonts w:ascii="Arial" w:hAnsi="Arial" w:cs="Arial"/>
          <w:sz w:val="24"/>
          <w:szCs w:val="24"/>
        </w:rPr>
        <w:t>.</w:t>
      </w:r>
      <w:r w:rsidRPr="00380285">
        <w:rPr>
          <w:rFonts w:ascii="Arial" w:hAnsi="Arial" w:cs="Arial"/>
          <w:sz w:val="24"/>
          <w:szCs w:val="24"/>
        </w:rPr>
        <w:t xml:space="preserve"> Simpson</w:t>
      </w:r>
      <w:r>
        <w:rPr>
          <w:rFonts w:ascii="Arial" w:hAnsi="Arial" w:cs="Arial"/>
          <w:sz w:val="24"/>
          <w:szCs w:val="24"/>
        </w:rPr>
        <w:t xml:space="preserve"> (2009)</w:t>
      </w:r>
      <w:r w:rsidRPr="00380285">
        <w:rPr>
          <w:rFonts w:ascii="Arial" w:hAnsi="Arial" w:cs="Arial"/>
          <w:sz w:val="24"/>
          <w:szCs w:val="24"/>
        </w:rPr>
        <w:t xml:space="preserve"> </w:t>
      </w:r>
      <w:r w:rsidRPr="00380285">
        <w:rPr>
          <w:rFonts w:ascii="Arial" w:hAnsi="Arial" w:cs="Arial"/>
          <w:i/>
          <w:sz w:val="24"/>
          <w:szCs w:val="24"/>
        </w:rPr>
        <w:t>White-Collar Crime: An Opportunity</w:t>
      </w:r>
      <w:r w:rsidRPr="00380285">
        <w:rPr>
          <w:rFonts w:ascii="Arial" w:hAnsi="Arial" w:cs="Arial"/>
          <w:sz w:val="24"/>
          <w:szCs w:val="24"/>
        </w:rPr>
        <w:t xml:space="preserve"> </w:t>
      </w:r>
      <w:r w:rsidRPr="00380285">
        <w:rPr>
          <w:rFonts w:ascii="Arial" w:hAnsi="Arial" w:cs="Arial"/>
          <w:i/>
          <w:sz w:val="24"/>
          <w:szCs w:val="24"/>
        </w:rPr>
        <w:t>Perspective</w:t>
      </w:r>
      <w:r w:rsidRPr="00C61897">
        <w:rPr>
          <w:rFonts w:ascii="Arial" w:hAnsi="Arial" w:cs="Arial"/>
          <w:sz w:val="24"/>
          <w:szCs w:val="24"/>
        </w:rPr>
        <w:t xml:space="preserve"> (London: Routledge).</w:t>
      </w:r>
    </w:p>
  </w:endnote>
  <w:endnote w:id="29">
    <w:p w14:paraId="1456F636"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This is a recurrent theme within Wilson</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bCs/>
          <w:i/>
          <w:sz w:val="24"/>
          <w:szCs w:val="24"/>
        </w:rPr>
        <w:t>The Origins of Modern Financial Crime</w:t>
      </w:r>
      <w:r w:rsidRPr="00C61897">
        <w:rPr>
          <w:rFonts w:ascii="Arial" w:hAnsi="Arial" w:cs="Arial"/>
          <w:sz w:val="24"/>
          <w:szCs w:val="24"/>
        </w:rPr>
        <w:t>.</w:t>
      </w:r>
    </w:p>
  </w:endnote>
  <w:endnote w:id="30">
    <w:p w14:paraId="67302113"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w:t>
      </w:r>
      <w:r>
        <w:rPr>
          <w:rFonts w:ascii="Arial" w:hAnsi="Arial" w:cs="Arial"/>
          <w:sz w:val="24"/>
          <w:szCs w:val="24"/>
        </w:rPr>
        <w:t>.M.</w:t>
      </w:r>
      <w:r w:rsidRPr="00C61897">
        <w:rPr>
          <w:rFonts w:ascii="Arial" w:hAnsi="Arial" w:cs="Arial"/>
          <w:sz w:val="24"/>
          <w:szCs w:val="24"/>
        </w:rPr>
        <w:t xml:space="preserve"> Rosoff</w:t>
      </w:r>
      <w:r>
        <w:rPr>
          <w:rFonts w:ascii="Arial" w:hAnsi="Arial" w:cs="Arial"/>
          <w:sz w:val="24"/>
          <w:szCs w:val="24"/>
        </w:rPr>
        <w:t>, H.N. Pontell and R. Tillman</w:t>
      </w:r>
      <w:r w:rsidRPr="00C61897">
        <w:rPr>
          <w:rFonts w:ascii="Arial" w:hAnsi="Arial" w:cs="Arial"/>
          <w:sz w:val="24"/>
          <w:szCs w:val="24"/>
        </w:rPr>
        <w:t xml:space="preserve"> </w:t>
      </w:r>
      <w:r w:rsidRPr="00380285">
        <w:rPr>
          <w:rFonts w:ascii="Arial" w:hAnsi="Arial" w:cs="Arial"/>
          <w:sz w:val="24"/>
          <w:szCs w:val="24"/>
        </w:rPr>
        <w:t>(2010)</w:t>
      </w:r>
      <w:r w:rsidRPr="00C61897">
        <w:rPr>
          <w:rFonts w:ascii="Arial" w:hAnsi="Arial" w:cs="Arial"/>
          <w:sz w:val="24"/>
          <w:szCs w:val="24"/>
        </w:rPr>
        <w:t xml:space="preserve"> </w:t>
      </w:r>
      <w:r w:rsidRPr="00C61897">
        <w:rPr>
          <w:rFonts w:ascii="Arial" w:hAnsi="Arial" w:cs="Arial"/>
          <w:i/>
          <w:sz w:val="24"/>
          <w:szCs w:val="24"/>
        </w:rPr>
        <w:t>Profit without Honor: White-Collar Crime and the Looting of America</w:t>
      </w:r>
      <w:r w:rsidRPr="00C61897">
        <w:rPr>
          <w:rFonts w:ascii="Arial" w:hAnsi="Arial" w:cs="Arial"/>
          <w:sz w:val="24"/>
          <w:szCs w:val="24"/>
        </w:rPr>
        <w:t xml:space="preserve"> (New Jersey: Prentice Hall), </w:t>
      </w:r>
      <w:r>
        <w:rPr>
          <w:rFonts w:ascii="Arial" w:hAnsi="Arial" w:cs="Arial"/>
          <w:sz w:val="24"/>
          <w:szCs w:val="24"/>
        </w:rPr>
        <w:t xml:space="preserve">p. </w:t>
      </w:r>
      <w:r w:rsidRPr="00C61897">
        <w:rPr>
          <w:rFonts w:ascii="Arial" w:hAnsi="Arial" w:cs="Arial"/>
          <w:sz w:val="24"/>
          <w:szCs w:val="24"/>
        </w:rPr>
        <w:t>3.</w:t>
      </w:r>
    </w:p>
  </w:endnote>
  <w:endnote w:id="31">
    <w:p w14:paraId="3C71BD3B"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generally Nelken</w:t>
      </w:r>
      <w:r>
        <w:rPr>
          <w:rFonts w:ascii="Arial" w:hAnsi="Arial" w:cs="Arial"/>
          <w:sz w:val="24"/>
          <w:szCs w:val="24"/>
        </w:rPr>
        <w:t xml:space="preserve"> (1994)</w:t>
      </w:r>
      <w:r w:rsidRPr="00C61897">
        <w:rPr>
          <w:rFonts w:ascii="Arial" w:hAnsi="Arial" w:cs="Arial"/>
          <w:sz w:val="24"/>
          <w:szCs w:val="24"/>
        </w:rPr>
        <w:t xml:space="preserve"> ‘White-Collar Crime’</w:t>
      </w:r>
      <w:r>
        <w:rPr>
          <w:rFonts w:ascii="Arial" w:hAnsi="Arial" w:cs="Arial"/>
          <w:sz w:val="24"/>
          <w:szCs w:val="24"/>
        </w:rPr>
        <w:t xml:space="preserve">, </w:t>
      </w:r>
      <w:r w:rsidRPr="00380285">
        <w:rPr>
          <w:rFonts w:ascii="Arial" w:hAnsi="Arial" w:cs="Arial"/>
          <w:i/>
          <w:sz w:val="24"/>
          <w:szCs w:val="24"/>
        </w:rPr>
        <w:t>passim</w:t>
      </w:r>
      <w:r>
        <w:rPr>
          <w:rFonts w:ascii="Arial" w:hAnsi="Arial" w:cs="Arial"/>
          <w:sz w:val="24"/>
          <w:szCs w:val="24"/>
        </w:rPr>
        <w:t>.</w:t>
      </w:r>
    </w:p>
  </w:endnote>
  <w:endnote w:id="32">
    <w:p w14:paraId="7275466A" w14:textId="6085B88F"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V</w:t>
      </w:r>
      <w:r>
        <w:rPr>
          <w:rFonts w:ascii="Arial" w:hAnsi="Arial" w:cs="Arial"/>
          <w:sz w:val="24"/>
          <w:szCs w:val="24"/>
        </w:rPr>
        <w:t>.</w:t>
      </w:r>
      <w:r w:rsidRPr="00C61897">
        <w:rPr>
          <w:rFonts w:ascii="Arial" w:hAnsi="Arial" w:cs="Arial"/>
          <w:sz w:val="24"/>
          <w:szCs w:val="24"/>
        </w:rPr>
        <w:t xml:space="preserve"> Aubert</w:t>
      </w:r>
      <w:r>
        <w:rPr>
          <w:rFonts w:ascii="Arial" w:hAnsi="Arial" w:cs="Arial"/>
          <w:sz w:val="24"/>
          <w:szCs w:val="24"/>
        </w:rPr>
        <w:t xml:space="preserve"> (1952)</w:t>
      </w:r>
      <w:r w:rsidRPr="00C61897">
        <w:rPr>
          <w:rFonts w:ascii="Arial" w:hAnsi="Arial" w:cs="Arial"/>
          <w:sz w:val="24"/>
          <w:szCs w:val="24"/>
        </w:rPr>
        <w:t xml:space="preserve"> ‘White-Collar Crime and Social Structure’</w:t>
      </w:r>
      <w:r>
        <w:rPr>
          <w:rFonts w:ascii="Arial" w:hAnsi="Arial" w:cs="Arial"/>
          <w:sz w:val="24"/>
          <w:szCs w:val="24"/>
        </w:rPr>
        <w:t xml:space="preserve">, </w:t>
      </w:r>
      <w:r w:rsidRPr="00C61897">
        <w:rPr>
          <w:rFonts w:ascii="Arial" w:hAnsi="Arial" w:cs="Arial"/>
          <w:i/>
          <w:iCs/>
          <w:sz w:val="24"/>
          <w:szCs w:val="24"/>
        </w:rPr>
        <w:t xml:space="preserve">American Journal of Sociology, </w:t>
      </w:r>
      <w:r w:rsidRPr="00380285">
        <w:rPr>
          <w:rFonts w:ascii="Arial" w:hAnsi="Arial" w:cs="Arial"/>
          <w:iCs/>
          <w:sz w:val="24"/>
          <w:szCs w:val="24"/>
        </w:rPr>
        <w:t xml:space="preserve">Vol. </w:t>
      </w:r>
      <w:r w:rsidRPr="00380285">
        <w:rPr>
          <w:rFonts w:ascii="Arial" w:hAnsi="Arial" w:cs="Arial"/>
          <w:sz w:val="24"/>
          <w:szCs w:val="24"/>
        </w:rPr>
        <w:t>58,</w:t>
      </w:r>
      <w:r>
        <w:rPr>
          <w:rFonts w:ascii="Arial" w:hAnsi="Arial" w:cs="Arial"/>
          <w:sz w:val="24"/>
          <w:szCs w:val="24"/>
        </w:rPr>
        <w:t xml:space="preserve"> pp. 263-71 at p.</w:t>
      </w:r>
      <w:r w:rsidRPr="00C61897">
        <w:rPr>
          <w:rFonts w:ascii="Arial" w:hAnsi="Arial" w:cs="Arial"/>
          <w:sz w:val="24"/>
          <w:szCs w:val="24"/>
        </w:rPr>
        <w:t xml:space="preserve"> 263</w:t>
      </w:r>
      <w:r>
        <w:rPr>
          <w:rFonts w:ascii="Arial" w:hAnsi="Arial" w:cs="Arial"/>
          <w:sz w:val="24"/>
          <w:szCs w:val="24"/>
        </w:rPr>
        <w:t xml:space="preserve"> and p.</w:t>
      </w:r>
      <w:r w:rsidRPr="00C61897">
        <w:rPr>
          <w:rFonts w:ascii="Arial" w:hAnsi="Arial" w:cs="Arial"/>
          <w:sz w:val="24"/>
          <w:szCs w:val="24"/>
        </w:rPr>
        <w:t xml:space="preserve"> 266.</w:t>
      </w:r>
    </w:p>
  </w:endnote>
  <w:endnote w:id="33">
    <w:p w14:paraId="181B4360"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Tomasic</w:t>
      </w:r>
      <w:r>
        <w:rPr>
          <w:rFonts w:ascii="Arial" w:hAnsi="Arial" w:cs="Arial"/>
          <w:sz w:val="24"/>
          <w:szCs w:val="24"/>
        </w:rPr>
        <w:t xml:space="preserve"> (2011)</w:t>
      </w:r>
      <w:r w:rsidRPr="00C61897">
        <w:rPr>
          <w:rFonts w:ascii="Arial" w:hAnsi="Arial" w:cs="Arial"/>
          <w:sz w:val="24"/>
          <w:szCs w:val="24"/>
        </w:rPr>
        <w:t xml:space="preserve"> ‘The </w:t>
      </w:r>
      <w:r>
        <w:rPr>
          <w:rFonts w:ascii="Arial" w:hAnsi="Arial" w:cs="Arial"/>
          <w:sz w:val="24"/>
          <w:szCs w:val="24"/>
        </w:rPr>
        <w:t>F</w:t>
      </w:r>
      <w:r w:rsidRPr="00C61897">
        <w:rPr>
          <w:rFonts w:ascii="Arial" w:hAnsi="Arial" w:cs="Arial"/>
          <w:sz w:val="24"/>
          <w:szCs w:val="24"/>
        </w:rPr>
        <w:t xml:space="preserve">inancial </w:t>
      </w:r>
      <w:r>
        <w:rPr>
          <w:rFonts w:ascii="Arial" w:hAnsi="Arial" w:cs="Arial"/>
          <w:sz w:val="24"/>
          <w:szCs w:val="24"/>
        </w:rPr>
        <w:t>C</w:t>
      </w:r>
      <w:r w:rsidRPr="00C61897">
        <w:rPr>
          <w:rFonts w:ascii="Arial" w:hAnsi="Arial" w:cs="Arial"/>
          <w:sz w:val="24"/>
          <w:szCs w:val="24"/>
        </w:rPr>
        <w:t>risis</w:t>
      </w:r>
      <w:r>
        <w:rPr>
          <w:rFonts w:ascii="Arial" w:hAnsi="Arial" w:cs="Arial"/>
          <w:sz w:val="24"/>
          <w:szCs w:val="24"/>
        </w:rPr>
        <w:t>’</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 xml:space="preserve">7. </w:t>
      </w:r>
    </w:p>
  </w:endnote>
  <w:endnote w:id="34">
    <w:p w14:paraId="68F47EE2"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D</w:t>
      </w:r>
      <w:r>
        <w:rPr>
          <w:rFonts w:ascii="Arial" w:hAnsi="Arial" w:cs="Arial"/>
          <w:sz w:val="24"/>
          <w:szCs w:val="24"/>
        </w:rPr>
        <w:t>.</w:t>
      </w:r>
      <w:r w:rsidRPr="00C61897">
        <w:rPr>
          <w:rFonts w:ascii="Arial" w:hAnsi="Arial" w:cs="Arial"/>
          <w:sz w:val="24"/>
          <w:szCs w:val="24"/>
        </w:rPr>
        <w:t>M</w:t>
      </w:r>
      <w:r>
        <w:rPr>
          <w:rFonts w:ascii="Arial" w:hAnsi="Arial" w:cs="Arial"/>
          <w:sz w:val="24"/>
          <w:szCs w:val="24"/>
        </w:rPr>
        <w:t>.</w:t>
      </w:r>
      <w:r w:rsidRPr="00C61897">
        <w:rPr>
          <w:rFonts w:ascii="Arial" w:hAnsi="Arial" w:cs="Arial"/>
          <w:sz w:val="24"/>
          <w:szCs w:val="24"/>
        </w:rPr>
        <w:t xml:space="preserve"> Evans</w:t>
      </w:r>
      <w:r>
        <w:rPr>
          <w:rFonts w:ascii="Arial" w:hAnsi="Arial" w:cs="Arial"/>
          <w:sz w:val="24"/>
          <w:szCs w:val="24"/>
        </w:rPr>
        <w:t xml:space="preserve"> (1968 edition)</w:t>
      </w:r>
      <w:r w:rsidRPr="00C61897">
        <w:rPr>
          <w:rFonts w:ascii="Arial" w:hAnsi="Arial" w:cs="Arial"/>
          <w:sz w:val="24"/>
          <w:szCs w:val="24"/>
        </w:rPr>
        <w:t xml:space="preserve"> </w:t>
      </w:r>
      <w:r w:rsidRPr="00C61897">
        <w:rPr>
          <w:rFonts w:ascii="Arial" w:hAnsi="Arial" w:cs="Arial"/>
          <w:i/>
          <w:iCs/>
          <w:sz w:val="24"/>
          <w:szCs w:val="24"/>
        </w:rPr>
        <w:t>Facts, Failures and Frauds Revelations</w:t>
      </w:r>
      <w:r>
        <w:rPr>
          <w:rFonts w:ascii="Arial" w:hAnsi="Arial" w:cs="Arial"/>
          <w:i/>
          <w:iCs/>
          <w:sz w:val="24"/>
          <w:szCs w:val="24"/>
        </w:rPr>
        <w:t>:</w:t>
      </w:r>
      <w:r w:rsidRPr="00C61897">
        <w:rPr>
          <w:rFonts w:ascii="Arial" w:hAnsi="Arial" w:cs="Arial"/>
          <w:i/>
          <w:iCs/>
          <w:sz w:val="24"/>
          <w:szCs w:val="24"/>
        </w:rPr>
        <w:t xml:space="preserve"> Financial Mercantile Criminal</w:t>
      </w:r>
      <w:r w:rsidRPr="00C61897">
        <w:rPr>
          <w:rFonts w:ascii="Arial" w:hAnsi="Arial" w:cs="Arial"/>
          <w:iCs/>
          <w:sz w:val="24"/>
          <w:szCs w:val="24"/>
        </w:rPr>
        <w:t xml:space="preserve"> (</w:t>
      </w:r>
      <w:r w:rsidRPr="00C61897">
        <w:rPr>
          <w:rFonts w:ascii="Arial" w:hAnsi="Arial" w:cs="Arial"/>
          <w:sz w:val="24"/>
          <w:szCs w:val="24"/>
        </w:rPr>
        <w:t xml:space="preserve">New York: Augustus M Kelley), especially </w:t>
      </w:r>
      <w:r>
        <w:rPr>
          <w:rFonts w:ascii="Arial" w:hAnsi="Arial" w:cs="Arial"/>
          <w:sz w:val="24"/>
          <w:szCs w:val="24"/>
        </w:rPr>
        <w:t xml:space="preserve">pp. </w:t>
      </w:r>
      <w:r w:rsidRPr="00C61897">
        <w:rPr>
          <w:rFonts w:ascii="Arial" w:hAnsi="Arial" w:cs="Arial"/>
          <w:sz w:val="24"/>
          <w:szCs w:val="24"/>
        </w:rPr>
        <w:t>1-5.</w:t>
      </w:r>
    </w:p>
  </w:endnote>
  <w:endnote w:id="35">
    <w:p w14:paraId="06B4891C"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C</w:t>
      </w:r>
      <w:r>
        <w:rPr>
          <w:rFonts w:ascii="Arial" w:hAnsi="Arial" w:cs="Arial"/>
          <w:sz w:val="24"/>
          <w:szCs w:val="24"/>
        </w:rPr>
        <w:t>.</w:t>
      </w:r>
      <w:r w:rsidRPr="00C61897">
        <w:rPr>
          <w:rFonts w:ascii="Arial" w:hAnsi="Arial" w:cs="Arial"/>
          <w:sz w:val="24"/>
          <w:szCs w:val="24"/>
        </w:rPr>
        <w:t xml:space="preserve"> MacKay</w:t>
      </w:r>
      <w:r>
        <w:rPr>
          <w:rFonts w:ascii="Arial" w:hAnsi="Arial" w:cs="Arial"/>
          <w:sz w:val="24"/>
          <w:szCs w:val="24"/>
        </w:rPr>
        <w:t xml:space="preserve"> (1955 edition)</w:t>
      </w:r>
      <w:r w:rsidRPr="00C61897">
        <w:rPr>
          <w:rFonts w:ascii="Arial" w:hAnsi="Arial" w:cs="Arial"/>
          <w:sz w:val="24"/>
          <w:szCs w:val="24"/>
        </w:rPr>
        <w:t xml:space="preserve"> </w:t>
      </w:r>
      <w:r w:rsidRPr="00C61897">
        <w:rPr>
          <w:rFonts w:ascii="Arial" w:hAnsi="Arial" w:cs="Arial"/>
          <w:i/>
          <w:sz w:val="24"/>
          <w:szCs w:val="24"/>
        </w:rPr>
        <w:t>Extraordinary Popular Delusions and the Madness of Crowds</w:t>
      </w:r>
      <w:r w:rsidRPr="00C61897">
        <w:rPr>
          <w:rFonts w:ascii="Arial" w:hAnsi="Arial" w:cs="Arial"/>
          <w:sz w:val="24"/>
          <w:szCs w:val="24"/>
        </w:rPr>
        <w:t xml:space="preserve"> (London: Wordsworth Editions), </w:t>
      </w:r>
      <w:r>
        <w:rPr>
          <w:rFonts w:ascii="Arial" w:hAnsi="Arial" w:cs="Arial"/>
          <w:sz w:val="24"/>
          <w:szCs w:val="24"/>
        </w:rPr>
        <w:t xml:space="preserve">p. </w:t>
      </w:r>
      <w:r w:rsidRPr="00C61897">
        <w:rPr>
          <w:rFonts w:ascii="Arial" w:hAnsi="Arial" w:cs="Arial"/>
          <w:sz w:val="24"/>
          <w:szCs w:val="24"/>
        </w:rPr>
        <w:t>80.</w:t>
      </w:r>
    </w:p>
  </w:endnote>
  <w:endnote w:id="36">
    <w:p w14:paraId="73100153" w14:textId="050640D6" w:rsidR="00EE7708" w:rsidRPr="00FF3BCA" w:rsidRDefault="00EE7708" w:rsidP="00951021">
      <w:pPr>
        <w:pStyle w:val="EndnoteText"/>
        <w:spacing w:line="480" w:lineRule="auto"/>
        <w:jc w:val="both"/>
        <w:rPr>
          <w:rFonts w:ascii="Arial" w:hAnsi="Arial" w:cs="Arial"/>
          <w:sz w:val="24"/>
          <w:szCs w:val="24"/>
        </w:rPr>
      </w:pPr>
      <w:r w:rsidRPr="00FF3BCA">
        <w:rPr>
          <w:rStyle w:val="EndnoteReference"/>
          <w:rFonts w:ascii="Arial" w:hAnsi="Arial" w:cs="Arial"/>
          <w:sz w:val="24"/>
          <w:szCs w:val="24"/>
        </w:rPr>
        <w:endnoteRef/>
      </w:r>
      <w:r w:rsidRPr="00FF3BCA">
        <w:rPr>
          <w:rFonts w:ascii="Arial" w:hAnsi="Arial" w:cs="Arial"/>
          <w:sz w:val="24"/>
          <w:szCs w:val="24"/>
        </w:rPr>
        <w:t xml:space="preserve"> H. Perkin (1969) </w:t>
      </w:r>
      <w:r w:rsidRPr="00FF3BCA">
        <w:rPr>
          <w:rFonts w:ascii="Arial" w:hAnsi="Arial" w:cs="Arial"/>
          <w:i/>
          <w:iCs/>
          <w:sz w:val="24"/>
          <w:szCs w:val="24"/>
        </w:rPr>
        <w:t>Origins of Modern English Society, 1780-1880</w:t>
      </w:r>
      <w:r w:rsidRPr="00FF3BCA">
        <w:rPr>
          <w:rFonts w:ascii="Arial" w:hAnsi="Arial" w:cs="Arial"/>
          <w:sz w:val="24"/>
          <w:szCs w:val="24"/>
        </w:rPr>
        <w:t xml:space="preserve"> (London: Routledge and Kegan Paul), p. 442.</w:t>
      </w:r>
    </w:p>
  </w:endnote>
  <w:endnote w:id="37">
    <w:p w14:paraId="56FCA4F4" w14:textId="77777777" w:rsidR="00EE7708" w:rsidRPr="00C61897" w:rsidRDefault="00EE7708" w:rsidP="00951021">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Respectively in D</w:t>
      </w:r>
      <w:r>
        <w:rPr>
          <w:rFonts w:ascii="Arial" w:hAnsi="Arial" w:cs="Arial"/>
          <w:sz w:val="24"/>
          <w:szCs w:val="24"/>
        </w:rPr>
        <w:t>.</w:t>
      </w:r>
      <w:r w:rsidRPr="00C61897">
        <w:rPr>
          <w:rFonts w:ascii="Arial" w:hAnsi="Arial" w:cs="Arial"/>
          <w:sz w:val="24"/>
          <w:szCs w:val="24"/>
        </w:rPr>
        <w:t>J</w:t>
      </w:r>
      <w:r>
        <w:rPr>
          <w:rFonts w:ascii="Arial" w:hAnsi="Arial" w:cs="Arial"/>
          <w:sz w:val="24"/>
          <w:szCs w:val="24"/>
        </w:rPr>
        <w:t>.</w:t>
      </w:r>
      <w:r w:rsidRPr="00C61897">
        <w:rPr>
          <w:rFonts w:ascii="Arial" w:hAnsi="Arial" w:cs="Arial"/>
          <w:sz w:val="24"/>
          <w:szCs w:val="24"/>
        </w:rPr>
        <w:t>V</w:t>
      </w:r>
      <w:r>
        <w:rPr>
          <w:rFonts w:ascii="Arial" w:hAnsi="Arial" w:cs="Arial"/>
          <w:sz w:val="24"/>
          <w:szCs w:val="24"/>
        </w:rPr>
        <w:t>.</w:t>
      </w:r>
      <w:r w:rsidRPr="00C61897">
        <w:rPr>
          <w:rFonts w:ascii="Arial" w:hAnsi="Arial" w:cs="Arial"/>
          <w:sz w:val="24"/>
          <w:szCs w:val="24"/>
        </w:rPr>
        <w:t xml:space="preserve"> Jones</w:t>
      </w:r>
      <w:r>
        <w:rPr>
          <w:rFonts w:ascii="Arial" w:hAnsi="Arial" w:cs="Arial"/>
          <w:sz w:val="24"/>
          <w:szCs w:val="24"/>
        </w:rPr>
        <w:t xml:space="preserve"> (1982)</w:t>
      </w:r>
      <w:r w:rsidRPr="00C61897">
        <w:rPr>
          <w:rFonts w:ascii="Arial" w:hAnsi="Arial" w:cs="Arial"/>
          <w:sz w:val="24"/>
          <w:szCs w:val="24"/>
        </w:rPr>
        <w:t xml:space="preserve"> </w:t>
      </w:r>
      <w:r w:rsidRPr="00C61897">
        <w:rPr>
          <w:rFonts w:ascii="Arial" w:hAnsi="Arial" w:cs="Arial"/>
          <w:i/>
          <w:iCs/>
          <w:sz w:val="24"/>
          <w:szCs w:val="24"/>
        </w:rPr>
        <w:t>Crime, Protest, Community and Police in Nineteenth Century Britain</w:t>
      </w:r>
      <w:r w:rsidRPr="00C61897">
        <w:rPr>
          <w:rFonts w:ascii="Arial" w:hAnsi="Arial" w:cs="Arial"/>
          <w:sz w:val="24"/>
          <w:szCs w:val="24"/>
        </w:rPr>
        <w:t xml:space="preserve"> (London: Routledge and Kegan Paul) and C</w:t>
      </w:r>
      <w:r>
        <w:rPr>
          <w:rFonts w:ascii="Arial" w:hAnsi="Arial" w:cs="Arial"/>
          <w:sz w:val="24"/>
          <w:szCs w:val="24"/>
        </w:rPr>
        <w:t>.</w:t>
      </w:r>
      <w:r w:rsidRPr="00C61897">
        <w:rPr>
          <w:rFonts w:ascii="Arial" w:hAnsi="Arial" w:cs="Arial"/>
          <w:sz w:val="24"/>
          <w:szCs w:val="24"/>
        </w:rPr>
        <w:t xml:space="preserve"> Emsley </w:t>
      </w:r>
      <w:r>
        <w:rPr>
          <w:rFonts w:ascii="Arial" w:hAnsi="Arial" w:cs="Arial"/>
          <w:sz w:val="24"/>
          <w:szCs w:val="24"/>
        </w:rPr>
        <w:t xml:space="preserve">(2010 edition) </w:t>
      </w:r>
      <w:r w:rsidRPr="00C61897">
        <w:rPr>
          <w:rFonts w:ascii="Arial" w:hAnsi="Arial" w:cs="Arial"/>
          <w:i/>
          <w:sz w:val="24"/>
          <w:szCs w:val="24"/>
        </w:rPr>
        <w:t>Crime and Society in England: 1750 – 1900</w:t>
      </w:r>
      <w:r w:rsidRPr="00C61897">
        <w:rPr>
          <w:rFonts w:ascii="Arial" w:hAnsi="Arial" w:cs="Arial"/>
          <w:sz w:val="24"/>
          <w:szCs w:val="24"/>
        </w:rPr>
        <w:t xml:space="preserve"> (Abingdon: Routledge). </w:t>
      </w:r>
    </w:p>
  </w:endnote>
  <w:endnote w:id="38">
    <w:p w14:paraId="3550FDCE"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As evident in the emphasis on criminal aspects of financial crime from business historians in J</w:t>
      </w:r>
      <w:r>
        <w:rPr>
          <w:rFonts w:ascii="Arial" w:hAnsi="Arial" w:cs="Arial"/>
          <w:sz w:val="24"/>
          <w:szCs w:val="24"/>
        </w:rPr>
        <w:t>.</w:t>
      </w:r>
      <w:r w:rsidRPr="00C61897">
        <w:rPr>
          <w:rFonts w:ascii="Arial" w:hAnsi="Arial" w:cs="Arial"/>
          <w:sz w:val="24"/>
          <w:szCs w:val="24"/>
        </w:rPr>
        <w:t xml:space="preserve"> Taylor</w:t>
      </w:r>
      <w:r>
        <w:rPr>
          <w:rFonts w:ascii="Arial" w:hAnsi="Arial" w:cs="Arial"/>
          <w:sz w:val="24"/>
          <w:szCs w:val="24"/>
        </w:rPr>
        <w:t xml:space="preserve"> (2013)</w:t>
      </w:r>
      <w:r w:rsidRPr="00C61897">
        <w:rPr>
          <w:rFonts w:ascii="Arial" w:hAnsi="Arial" w:cs="Arial"/>
          <w:sz w:val="24"/>
          <w:szCs w:val="24"/>
        </w:rPr>
        <w:t xml:space="preserve"> </w:t>
      </w:r>
      <w:r w:rsidRPr="00C61897">
        <w:rPr>
          <w:rFonts w:ascii="Arial" w:hAnsi="Arial" w:cs="Arial"/>
          <w:i/>
          <w:sz w:val="24"/>
          <w:szCs w:val="24"/>
        </w:rPr>
        <w:t>Boardroom Scandal: The Criminalization of Company Fraud in Nineteenth-Century Britain</w:t>
      </w:r>
      <w:r w:rsidRPr="00C61897">
        <w:rPr>
          <w:rFonts w:ascii="Arial" w:hAnsi="Arial" w:cs="Arial"/>
          <w:sz w:val="24"/>
          <w:szCs w:val="24"/>
        </w:rPr>
        <w:t xml:space="preserve"> (Oxford: Oxford University Press) and more recently</w:t>
      </w:r>
      <w:r>
        <w:rPr>
          <w:rFonts w:ascii="Arial" w:hAnsi="Arial" w:cs="Arial"/>
          <w:sz w:val="24"/>
          <w:szCs w:val="24"/>
        </w:rPr>
        <w:t>,</w:t>
      </w:r>
      <w:r w:rsidRPr="00C61897">
        <w:rPr>
          <w:rFonts w:ascii="Arial" w:hAnsi="Arial" w:cs="Arial"/>
          <w:sz w:val="24"/>
          <w:szCs w:val="24"/>
        </w:rPr>
        <w:t xml:space="preserve"> M</w:t>
      </w:r>
      <w:r>
        <w:rPr>
          <w:rFonts w:ascii="Arial" w:hAnsi="Arial" w:cs="Arial"/>
          <w:sz w:val="24"/>
          <w:szCs w:val="24"/>
        </w:rPr>
        <w:t>.</w:t>
      </w:r>
      <w:r w:rsidRPr="00C61897">
        <w:rPr>
          <w:rFonts w:ascii="Arial" w:hAnsi="Arial" w:cs="Arial"/>
          <w:sz w:val="24"/>
          <w:szCs w:val="24"/>
        </w:rPr>
        <w:t xml:space="preserve"> Hollow</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i/>
          <w:sz w:val="24"/>
          <w:szCs w:val="24"/>
        </w:rPr>
        <w:t>Rogue Banking: A History of Financial Fraud in Interwar Britain</w:t>
      </w:r>
      <w:r w:rsidRPr="00C61897">
        <w:rPr>
          <w:rFonts w:ascii="Arial" w:hAnsi="Arial" w:cs="Arial"/>
          <w:sz w:val="24"/>
          <w:szCs w:val="24"/>
        </w:rPr>
        <w:t xml:space="preserve"> (London: Palgrave).</w:t>
      </w:r>
    </w:p>
  </w:endnote>
  <w:endnote w:id="39">
    <w:p w14:paraId="7F25A784"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Wilson </w:t>
      </w:r>
      <w:r>
        <w:rPr>
          <w:rFonts w:ascii="Arial" w:hAnsi="Arial" w:cs="Arial"/>
          <w:sz w:val="24"/>
          <w:szCs w:val="24"/>
        </w:rPr>
        <w:t xml:space="preserve">(2014) </w:t>
      </w:r>
      <w:r w:rsidRPr="00C61897">
        <w:rPr>
          <w:rFonts w:ascii="Arial" w:hAnsi="Arial" w:cs="Arial"/>
          <w:i/>
          <w:sz w:val="24"/>
          <w:szCs w:val="24"/>
        </w:rPr>
        <w:t>The Origins of Modern Financial Crime</w:t>
      </w:r>
      <w:r w:rsidRPr="00C61897">
        <w:rPr>
          <w:rFonts w:ascii="Arial" w:hAnsi="Arial" w:cs="Arial"/>
          <w:sz w:val="24"/>
          <w:szCs w:val="24"/>
        </w:rPr>
        <w:t>, Epilogue.</w:t>
      </w:r>
    </w:p>
  </w:endnote>
  <w:endnote w:id="40">
    <w:p w14:paraId="6298716E"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p>
  </w:endnote>
  <w:endnote w:id="41">
    <w:p w14:paraId="0D447A2E"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As shown in the works of Taylor</w:t>
      </w:r>
      <w:r>
        <w:rPr>
          <w:rFonts w:ascii="Arial" w:hAnsi="Arial" w:cs="Arial"/>
          <w:sz w:val="24"/>
          <w:szCs w:val="24"/>
        </w:rPr>
        <w:t xml:space="preserve"> (2013)</w:t>
      </w:r>
      <w:r w:rsidRPr="00C61897">
        <w:rPr>
          <w:rFonts w:ascii="Arial" w:hAnsi="Arial" w:cs="Arial"/>
          <w:sz w:val="24"/>
          <w:szCs w:val="24"/>
        </w:rPr>
        <w:t xml:space="preserve"> and Hollow</w:t>
      </w:r>
      <w:r>
        <w:rPr>
          <w:rFonts w:ascii="Arial" w:hAnsi="Arial" w:cs="Arial"/>
          <w:sz w:val="24"/>
          <w:szCs w:val="24"/>
        </w:rPr>
        <w:t xml:space="preserve"> (2014) referenced at note 37 above</w:t>
      </w:r>
      <w:r w:rsidRPr="00C61897">
        <w:rPr>
          <w:rFonts w:ascii="Arial" w:hAnsi="Arial" w:cs="Arial"/>
          <w:sz w:val="24"/>
          <w:szCs w:val="24"/>
        </w:rPr>
        <w:t xml:space="preserve">. </w:t>
      </w:r>
    </w:p>
  </w:endnote>
  <w:endnote w:id="42">
    <w:p w14:paraId="170FFBCC"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w:t>
      </w:r>
      <w:r>
        <w:rPr>
          <w:rFonts w:ascii="Arial" w:hAnsi="Arial" w:cs="Arial"/>
          <w:sz w:val="24"/>
          <w:szCs w:val="24"/>
        </w:rPr>
        <w:t xml:space="preserve">(1901) </w:t>
      </w:r>
      <w:r w:rsidRPr="00C61897">
        <w:rPr>
          <w:rFonts w:ascii="Arial" w:hAnsi="Arial" w:cs="Arial"/>
          <w:i/>
          <w:sz w:val="24"/>
          <w:szCs w:val="24"/>
        </w:rPr>
        <w:t>A Century of Law Reform: Twelve Lectures on the Changes in the Law of England During the Nineteenth Century</w:t>
      </w:r>
      <w:r w:rsidRPr="00C61897">
        <w:rPr>
          <w:rFonts w:ascii="Arial" w:hAnsi="Arial" w:cs="Arial"/>
          <w:sz w:val="24"/>
          <w:szCs w:val="24"/>
        </w:rPr>
        <w:t xml:space="preserve"> </w:t>
      </w:r>
      <w:r>
        <w:rPr>
          <w:rFonts w:ascii="Arial" w:hAnsi="Arial" w:cs="Arial"/>
          <w:sz w:val="24"/>
          <w:szCs w:val="24"/>
        </w:rPr>
        <w:t>(</w:t>
      </w:r>
      <w:r w:rsidRPr="00C61897">
        <w:rPr>
          <w:rFonts w:ascii="Arial" w:hAnsi="Arial" w:cs="Arial"/>
          <w:sz w:val="24"/>
          <w:szCs w:val="24"/>
        </w:rPr>
        <w:t>London: Council of Legal Education</w:t>
      </w:r>
      <w:r>
        <w:rPr>
          <w:rFonts w:ascii="Arial" w:hAnsi="Arial" w:cs="Arial"/>
          <w:sz w:val="24"/>
          <w:szCs w:val="24"/>
        </w:rPr>
        <w:t>)</w:t>
      </w:r>
      <w:r w:rsidRPr="00C61897">
        <w:rPr>
          <w:rFonts w:ascii="Arial" w:hAnsi="Arial" w:cs="Arial"/>
          <w:sz w:val="24"/>
          <w:szCs w:val="24"/>
        </w:rPr>
        <w:t>.</w:t>
      </w:r>
    </w:p>
  </w:endnote>
  <w:endnote w:id="43">
    <w:p w14:paraId="5B3B86B7"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w:t>
      </w:r>
      <w:r>
        <w:rPr>
          <w:rFonts w:ascii="Arial" w:hAnsi="Arial" w:cs="Arial"/>
          <w:sz w:val="24"/>
          <w:szCs w:val="24"/>
        </w:rPr>
        <w:t xml:space="preserve">for example, </w:t>
      </w:r>
      <w:r w:rsidRPr="00C61897">
        <w:rPr>
          <w:rFonts w:ascii="Arial" w:hAnsi="Arial" w:cs="Arial"/>
          <w:sz w:val="24"/>
          <w:szCs w:val="24"/>
        </w:rPr>
        <w:t xml:space="preserve">Emsley </w:t>
      </w:r>
      <w:r>
        <w:rPr>
          <w:rFonts w:ascii="Arial" w:hAnsi="Arial" w:cs="Arial"/>
          <w:sz w:val="24"/>
          <w:szCs w:val="24"/>
        </w:rPr>
        <w:t xml:space="preserve">(2010 edition) </w:t>
      </w:r>
      <w:r w:rsidRPr="00C61897">
        <w:rPr>
          <w:rFonts w:ascii="Arial" w:hAnsi="Arial" w:cs="Arial"/>
          <w:i/>
          <w:sz w:val="24"/>
          <w:szCs w:val="24"/>
        </w:rPr>
        <w:t>Crime and Society in England</w:t>
      </w:r>
      <w:r>
        <w:rPr>
          <w:rFonts w:ascii="Arial" w:hAnsi="Arial" w:cs="Arial"/>
          <w:sz w:val="24"/>
          <w:szCs w:val="24"/>
        </w:rPr>
        <w:t xml:space="preserve">, </w:t>
      </w:r>
      <w:r>
        <w:rPr>
          <w:rFonts w:ascii="Arial" w:hAnsi="Arial" w:cs="Arial"/>
          <w:i/>
          <w:sz w:val="24"/>
          <w:szCs w:val="24"/>
        </w:rPr>
        <w:t>passim</w:t>
      </w:r>
      <w:r w:rsidRPr="00C61897">
        <w:rPr>
          <w:rFonts w:ascii="Arial" w:hAnsi="Arial" w:cs="Arial"/>
          <w:sz w:val="24"/>
          <w:szCs w:val="24"/>
        </w:rPr>
        <w:t>.</w:t>
      </w:r>
    </w:p>
  </w:endnote>
  <w:endnote w:id="44">
    <w:p w14:paraId="15AC10DF" w14:textId="4399E6AD"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E</w:t>
      </w:r>
      <w:r>
        <w:rPr>
          <w:rFonts w:ascii="Arial" w:hAnsi="Arial" w:cs="Arial"/>
          <w:sz w:val="24"/>
          <w:szCs w:val="24"/>
        </w:rPr>
        <w:t>.</w:t>
      </w:r>
      <w:r w:rsidRPr="00C61897">
        <w:rPr>
          <w:rFonts w:ascii="Arial" w:hAnsi="Arial" w:cs="Arial"/>
          <w:sz w:val="24"/>
          <w:szCs w:val="24"/>
        </w:rPr>
        <w:t>L</w:t>
      </w:r>
      <w:r>
        <w:rPr>
          <w:rFonts w:ascii="Arial" w:hAnsi="Arial" w:cs="Arial"/>
          <w:sz w:val="24"/>
          <w:szCs w:val="24"/>
        </w:rPr>
        <w:t>.</w:t>
      </w:r>
      <w:r w:rsidRPr="00C61897">
        <w:rPr>
          <w:rFonts w:ascii="Arial" w:hAnsi="Arial" w:cs="Arial"/>
          <w:sz w:val="24"/>
          <w:szCs w:val="24"/>
        </w:rPr>
        <w:t xml:space="preserve"> Woodward</w:t>
      </w:r>
      <w:r>
        <w:rPr>
          <w:rFonts w:ascii="Arial" w:hAnsi="Arial" w:cs="Arial"/>
          <w:sz w:val="24"/>
          <w:szCs w:val="24"/>
        </w:rPr>
        <w:t xml:space="preserve"> (1938)</w:t>
      </w:r>
      <w:r w:rsidRPr="00C61897">
        <w:rPr>
          <w:rFonts w:ascii="Arial" w:hAnsi="Arial" w:cs="Arial"/>
          <w:sz w:val="24"/>
          <w:szCs w:val="24"/>
        </w:rPr>
        <w:t xml:space="preserve"> </w:t>
      </w:r>
      <w:r w:rsidRPr="00C61897">
        <w:rPr>
          <w:rFonts w:ascii="Arial" w:hAnsi="Arial" w:cs="Arial"/>
          <w:i/>
          <w:iCs/>
          <w:sz w:val="24"/>
          <w:szCs w:val="24"/>
        </w:rPr>
        <w:t>The Oxford History of England: The Age of Reform 1815-1870</w:t>
      </w:r>
      <w:r w:rsidRPr="00C61897">
        <w:rPr>
          <w:rFonts w:ascii="Arial" w:hAnsi="Arial" w:cs="Arial"/>
          <w:sz w:val="24"/>
          <w:szCs w:val="24"/>
        </w:rPr>
        <w:t xml:space="preserve"> (Oxford: Clarendon Press)</w:t>
      </w:r>
      <w:r>
        <w:rPr>
          <w:rFonts w:ascii="Arial" w:hAnsi="Arial" w:cs="Arial"/>
          <w:sz w:val="24"/>
          <w:szCs w:val="24"/>
        </w:rPr>
        <w:t xml:space="preserve">, </w:t>
      </w:r>
      <w:r w:rsidRPr="00C61897">
        <w:rPr>
          <w:rFonts w:ascii="Arial" w:hAnsi="Arial" w:cs="Arial"/>
          <w:sz w:val="24"/>
          <w:szCs w:val="24"/>
        </w:rPr>
        <w:t xml:space="preserve">see especially, </w:t>
      </w:r>
      <w:r>
        <w:rPr>
          <w:rFonts w:ascii="Arial" w:hAnsi="Arial" w:cs="Arial"/>
          <w:sz w:val="24"/>
          <w:szCs w:val="24"/>
        </w:rPr>
        <w:t xml:space="preserve">p. </w:t>
      </w:r>
      <w:r w:rsidRPr="00C61897">
        <w:rPr>
          <w:rFonts w:ascii="Arial" w:hAnsi="Arial" w:cs="Arial"/>
          <w:sz w:val="24"/>
          <w:szCs w:val="24"/>
        </w:rPr>
        <w:t xml:space="preserve">426 </w:t>
      </w:r>
      <w:r w:rsidR="00951021">
        <w:rPr>
          <w:rFonts w:ascii="Arial" w:hAnsi="Arial" w:cs="Arial"/>
          <w:sz w:val="24"/>
          <w:szCs w:val="24"/>
        </w:rPr>
        <w:t xml:space="preserve">and </w:t>
      </w:r>
      <w:r w:rsidR="00951021">
        <w:rPr>
          <w:rFonts w:ascii="Arial" w:hAnsi="Arial" w:cs="Arial"/>
          <w:i/>
          <w:sz w:val="24"/>
          <w:szCs w:val="24"/>
        </w:rPr>
        <w:t>passim</w:t>
      </w:r>
      <w:r w:rsidRPr="00C61897">
        <w:rPr>
          <w:rFonts w:ascii="Arial" w:hAnsi="Arial" w:cs="Arial"/>
          <w:sz w:val="24"/>
          <w:szCs w:val="24"/>
        </w:rPr>
        <w:t>.</w:t>
      </w:r>
    </w:p>
  </w:endnote>
  <w:endnote w:id="45">
    <w:p w14:paraId="050FEE31" w14:textId="2A449371"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C</w:t>
      </w:r>
      <w:r>
        <w:rPr>
          <w:rFonts w:ascii="Arial" w:hAnsi="Arial" w:cs="Arial"/>
          <w:sz w:val="24"/>
          <w:szCs w:val="24"/>
        </w:rPr>
        <w:t>.</w:t>
      </w:r>
      <w:r w:rsidRPr="00C61897">
        <w:rPr>
          <w:rFonts w:ascii="Arial" w:hAnsi="Arial" w:cs="Arial"/>
          <w:sz w:val="24"/>
          <w:szCs w:val="24"/>
        </w:rPr>
        <w:t xml:space="preserve"> Stebbings</w:t>
      </w:r>
      <w:r>
        <w:rPr>
          <w:rFonts w:ascii="Arial" w:hAnsi="Arial" w:cs="Arial"/>
          <w:sz w:val="24"/>
          <w:szCs w:val="24"/>
        </w:rPr>
        <w:t xml:space="preserve"> (2012)</w:t>
      </w:r>
      <w:r w:rsidRPr="00C61897">
        <w:rPr>
          <w:rFonts w:ascii="Arial" w:hAnsi="Arial" w:cs="Arial"/>
          <w:sz w:val="24"/>
          <w:szCs w:val="24"/>
        </w:rPr>
        <w:t xml:space="preserve"> ‘Benefits and </w:t>
      </w:r>
      <w:r>
        <w:rPr>
          <w:rFonts w:ascii="Arial" w:hAnsi="Arial" w:cs="Arial"/>
          <w:sz w:val="24"/>
          <w:szCs w:val="24"/>
        </w:rPr>
        <w:t>B</w:t>
      </w:r>
      <w:r w:rsidRPr="00C61897">
        <w:rPr>
          <w:rFonts w:ascii="Arial" w:hAnsi="Arial" w:cs="Arial"/>
          <w:sz w:val="24"/>
          <w:szCs w:val="24"/>
        </w:rPr>
        <w:t xml:space="preserve">arriers: The </w:t>
      </w:r>
      <w:r>
        <w:rPr>
          <w:rFonts w:ascii="Arial" w:hAnsi="Arial" w:cs="Arial"/>
          <w:sz w:val="24"/>
          <w:szCs w:val="24"/>
        </w:rPr>
        <w:t>M</w:t>
      </w:r>
      <w:r w:rsidRPr="00C61897">
        <w:rPr>
          <w:rFonts w:ascii="Arial" w:hAnsi="Arial" w:cs="Arial"/>
          <w:sz w:val="24"/>
          <w:szCs w:val="24"/>
        </w:rPr>
        <w:t xml:space="preserve">aking of Victorian </w:t>
      </w:r>
      <w:r>
        <w:rPr>
          <w:rFonts w:ascii="Arial" w:hAnsi="Arial" w:cs="Arial"/>
          <w:sz w:val="24"/>
          <w:szCs w:val="24"/>
        </w:rPr>
        <w:t>L</w:t>
      </w:r>
      <w:r w:rsidRPr="00C61897">
        <w:rPr>
          <w:rFonts w:ascii="Arial" w:hAnsi="Arial" w:cs="Arial"/>
          <w:sz w:val="24"/>
          <w:szCs w:val="24"/>
        </w:rPr>
        <w:t xml:space="preserve">egal </w:t>
      </w:r>
      <w:r>
        <w:rPr>
          <w:rFonts w:ascii="Arial" w:hAnsi="Arial" w:cs="Arial"/>
          <w:sz w:val="24"/>
          <w:szCs w:val="24"/>
        </w:rPr>
        <w:t>H</w:t>
      </w:r>
      <w:r w:rsidRPr="00C61897">
        <w:rPr>
          <w:rFonts w:ascii="Arial" w:hAnsi="Arial" w:cs="Arial"/>
          <w:sz w:val="24"/>
          <w:szCs w:val="24"/>
        </w:rPr>
        <w:t>istory’ in A</w:t>
      </w:r>
      <w:r>
        <w:rPr>
          <w:rFonts w:ascii="Arial" w:hAnsi="Arial" w:cs="Arial"/>
          <w:sz w:val="24"/>
          <w:szCs w:val="24"/>
        </w:rPr>
        <w:t>.</w:t>
      </w:r>
      <w:r w:rsidRPr="00C61897">
        <w:rPr>
          <w:rFonts w:ascii="Arial" w:hAnsi="Arial" w:cs="Arial"/>
          <w:sz w:val="24"/>
          <w:szCs w:val="24"/>
        </w:rPr>
        <w:t xml:space="preserve"> Musson and C</w:t>
      </w:r>
      <w:r>
        <w:rPr>
          <w:rFonts w:ascii="Arial" w:hAnsi="Arial" w:cs="Arial"/>
          <w:sz w:val="24"/>
          <w:szCs w:val="24"/>
        </w:rPr>
        <w:t>.</w:t>
      </w:r>
      <w:r w:rsidRPr="00C61897">
        <w:rPr>
          <w:rFonts w:ascii="Arial" w:hAnsi="Arial" w:cs="Arial"/>
          <w:sz w:val="24"/>
          <w:szCs w:val="24"/>
        </w:rPr>
        <w:t xml:space="preserve"> Stebbings (eds) </w:t>
      </w:r>
      <w:r w:rsidRPr="00C61897">
        <w:rPr>
          <w:rFonts w:ascii="Arial" w:hAnsi="Arial" w:cs="Arial"/>
          <w:i/>
          <w:sz w:val="24"/>
          <w:szCs w:val="24"/>
        </w:rPr>
        <w:t>Making Legal History: Approaches and Methodologies</w:t>
      </w:r>
      <w:r w:rsidRPr="00C61897">
        <w:rPr>
          <w:rFonts w:ascii="Arial" w:hAnsi="Arial" w:cs="Arial"/>
          <w:sz w:val="24"/>
          <w:szCs w:val="24"/>
        </w:rPr>
        <w:t xml:space="preserve"> (Cambridge: Cambridge University Press), </w:t>
      </w:r>
      <w:r>
        <w:rPr>
          <w:rFonts w:ascii="Arial" w:hAnsi="Arial" w:cs="Arial"/>
          <w:sz w:val="24"/>
          <w:szCs w:val="24"/>
        </w:rPr>
        <w:t xml:space="preserve">pp. 72-87 at pp. </w:t>
      </w:r>
      <w:r w:rsidRPr="00C61897">
        <w:rPr>
          <w:rFonts w:ascii="Arial" w:hAnsi="Arial" w:cs="Arial"/>
          <w:sz w:val="24"/>
          <w:szCs w:val="24"/>
          <w:lang w:val="en-US"/>
        </w:rPr>
        <w:t xml:space="preserve">72-3. </w:t>
      </w:r>
    </w:p>
  </w:endnote>
  <w:endnote w:id="46">
    <w:p w14:paraId="4F318399"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w:t>
      </w:r>
      <w:r>
        <w:rPr>
          <w:rFonts w:ascii="Arial" w:hAnsi="Arial" w:cs="Arial"/>
          <w:sz w:val="24"/>
          <w:szCs w:val="24"/>
        </w:rPr>
        <w:t>.</w:t>
      </w:r>
      <w:r w:rsidRPr="00C61897">
        <w:rPr>
          <w:rFonts w:ascii="Arial" w:hAnsi="Arial" w:cs="Arial"/>
          <w:sz w:val="24"/>
          <w:szCs w:val="24"/>
        </w:rPr>
        <w:t>G</w:t>
      </w:r>
      <w:r>
        <w:rPr>
          <w:rFonts w:ascii="Arial" w:hAnsi="Arial" w:cs="Arial"/>
          <w:sz w:val="24"/>
          <w:szCs w:val="24"/>
        </w:rPr>
        <w:t>.</w:t>
      </w:r>
      <w:r w:rsidRPr="00C61897">
        <w:rPr>
          <w:rFonts w:ascii="Arial" w:hAnsi="Arial" w:cs="Arial"/>
          <w:sz w:val="24"/>
          <w:szCs w:val="24"/>
        </w:rPr>
        <w:t xml:space="preserve"> Magnusson and I</w:t>
      </w:r>
      <w:r>
        <w:rPr>
          <w:rFonts w:ascii="Arial" w:hAnsi="Arial" w:cs="Arial"/>
          <w:sz w:val="24"/>
          <w:szCs w:val="24"/>
        </w:rPr>
        <w:t>.</w:t>
      </w:r>
      <w:r w:rsidRPr="00C61897">
        <w:rPr>
          <w:rFonts w:ascii="Arial" w:hAnsi="Arial" w:cs="Arial"/>
          <w:sz w:val="24"/>
          <w:szCs w:val="24"/>
        </w:rPr>
        <w:t>M</w:t>
      </w:r>
      <w:r>
        <w:rPr>
          <w:rFonts w:ascii="Arial" w:hAnsi="Arial" w:cs="Arial"/>
          <w:sz w:val="24"/>
          <w:szCs w:val="24"/>
        </w:rPr>
        <w:t>.</w:t>
      </w:r>
      <w:r w:rsidRPr="00C61897">
        <w:rPr>
          <w:rFonts w:ascii="Arial" w:hAnsi="Arial" w:cs="Arial"/>
          <w:sz w:val="24"/>
          <w:szCs w:val="24"/>
        </w:rPr>
        <w:t xml:space="preserve"> Szijarto</w:t>
      </w:r>
      <w:r>
        <w:rPr>
          <w:rFonts w:ascii="Arial" w:hAnsi="Arial" w:cs="Arial"/>
          <w:sz w:val="24"/>
          <w:szCs w:val="24"/>
        </w:rPr>
        <w:t xml:space="preserve"> (2013)</w:t>
      </w:r>
      <w:r w:rsidRPr="00C61897">
        <w:rPr>
          <w:rFonts w:ascii="Arial" w:hAnsi="Arial" w:cs="Arial"/>
          <w:sz w:val="24"/>
          <w:szCs w:val="24"/>
        </w:rPr>
        <w:t xml:space="preserve"> </w:t>
      </w:r>
      <w:r w:rsidRPr="00C61897">
        <w:rPr>
          <w:rFonts w:ascii="Arial" w:hAnsi="Arial" w:cs="Arial"/>
          <w:i/>
          <w:sz w:val="24"/>
          <w:szCs w:val="24"/>
        </w:rPr>
        <w:t xml:space="preserve">What is Microhistory? Theory and Practice </w:t>
      </w:r>
      <w:r w:rsidRPr="00C61897">
        <w:rPr>
          <w:rFonts w:ascii="Arial" w:hAnsi="Arial" w:cs="Arial"/>
          <w:sz w:val="24"/>
          <w:szCs w:val="24"/>
        </w:rPr>
        <w:t xml:space="preserve">(Abingdon: Routledge), </w:t>
      </w:r>
      <w:r>
        <w:rPr>
          <w:rFonts w:ascii="Arial" w:hAnsi="Arial" w:cs="Arial"/>
          <w:sz w:val="24"/>
          <w:szCs w:val="24"/>
        </w:rPr>
        <w:t xml:space="preserve">p. </w:t>
      </w:r>
      <w:r w:rsidRPr="00C61897">
        <w:rPr>
          <w:rFonts w:ascii="Arial" w:hAnsi="Arial" w:cs="Arial"/>
          <w:sz w:val="24"/>
          <w:szCs w:val="24"/>
        </w:rPr>
        <w:t>5.</w:t>
      </w:r>
    </w:p>
  </w:endnote>
  <w:endnote w:id="47">
    <w:p w14:paraId="39926E75"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4.</w:t>
      </w:r>
    </w:p>
  </w:endnote>
  <w:endnote w:id="48">
    <w:p w14:paraId="41A44B3B"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p>
  </w:endnote>
  <w:endnote w:id="49">
    <w:p w14:paraId="56E6F046"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31.</w:t>
      </w:r>
    </w:p>
  </w:endnote>
  <w:endnote w:id="50">
    <w:p w14:paraId="749C7F19"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especially </w:t>
      </w:r>
      <w:r>
        <w:rPr>
          <w:rFonts w:ascii="Arial" w:hAnsi="Arial" w:cs="Arial"/>
          <w:sz w:val="24"/>
          <w:szCs w:val="24"/>
        </w:rPr>
        <w:t xml:space="preserve">pp. </w:t>
      </w:r>
      <w:r w:rsidRPr="00C61897">
        <w:rPr>
          <w:rFonts w:ascii="Arial" w:hAnsi="Arial" w:cs="Arial"/>
          <w:sz w:val="24"/>
          <w:szCs w:val="24"/>
        </w:rPr>
        <w:t>4-6.</w:t>
      </w:r>
    </w:p>
  </w:endnote>
  <w:endnote w:id="51">
    <w:p w14:paraId="32C4E1D6"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7.</w:t>
      </w:r>
    </w:p>
  </w:endnote>
  <w:endnote w:id="52">
    <w:p w14:paraId="46189D0B"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127.</w:t>
      </w:r>
    </w:p>
  </w:endnote>
  <w:endnote w:id="53">
    <w:p w14:paraId="394D81B8"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125.</w:t>
      </w:r>
    </w:p>
  </w:endnote>
  <w:endnote w:id="54">
    <w:p w14:paraId="6D7637B3"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148.</w:t>
      </w:r>
    </w:p>
  </w:endnote>
  <w:endnote w:id="55">
    <w:p w14:paraId="6B43AF48"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 xml:space="preserve">16-17, and </w:t>
      </w:r>
      <w:r>
        <w:rPr>
          <w:rFonts w:ascii="Arial" w:hAnsi="Arial" w:cs="Arial"/>
          <w:sz w:val="24"/>
          <w:szCs w:val="24"/>
        </w:rPr>
        <w:t xml:space="preserve">pp. </w:t>
      </w:r>
      <w:r w:rsidRPr="00C61897">
        <w:rPr>
          <w:rFonts w:ascii="Arial" w:hAnsi="Arial" w:cs="Arial"/>
          <w:sz w:val="24"/>
          <w:szCs w:val="24"/>
        </w:rPr>
        <w:t>127-8.</w:t>
      </w:r>
    </w:p>
  </w:endnote>
  <w:endnote w:id="56">
    <w:p w14:paraId="1EA854AB"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125.</w:t>
      </w:r>
    </w:p>
  </w:endnote>
  <w:endnote w:id="57">
    <w:p w14:paraId="3AC4F32C"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149.</w:t>
      </w:r>
    </w:p>
  </w:endnote>
  <w:endnote w:id="58">
    <w:p w14:paraId="30B1AAAA"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7.</w:t>
      </w:r>
    </w:p>
  </w:endnote>
  <w:endnote w:id="59">
    <w:p w14:paraId="2AED00C5"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16-17.</w:t>
      </w:r>
    </w:p>
  </w:endnote>
  <w:endnote w:id="60">
    <w:p w14:paraId="61434434"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7-10.</w:t>
      </w:r>
    </w:p>
  </w:endnote>
  <w:endnote w:id="61">
    <w:p w14:paraId="6C9C7965"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17.</w:t>
      </w:r>
    </w:p>
  </w:endnote>
  <w:endnote w:id="62">
    <w:p w14:paraId="49EA1738"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31.</w:t>
      </w:r>
    </w:p>
  </w:endnote>
  <w:endnote w:id="63">
    <w:p w14:paraId="34899F2E"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embodying the idea that history is ‘multi-scopic’</w:t>
      </w:r>
      <w:r>
        <w:rPr>
          <w:rFonts w:ascii="Arial" w:hAnsi="Arial" w:cs="Arial"/>
          <w:sz w:val="24"/>
          <w:szCs w:val="24"/>
        </w:rPr>
        <w:t>,</w:t>
      </w:r>
      <w:r w:rsidRPr="00C61897">
        <w:rPr>
          <w:rFonts w:ascii="Arial" w:hAnsi="Arial" w:cs="Arial"/>
          <w:sz w:val="24"/>
          <w:szCs w:val="24"/>
        </w:rPr>
        <w:t xml:space="preserve"> with the authors citing Paul-Andre Rosental as </w:t>
      </w:r>
      <w:r>
        <w:rPr>
          <w:rFonts w:ascii="Arial" w:hAnsi="Arial" w:cs="Arial"/>
          <w:sz w:val="24"/>
          <w:szCs w:val="24"/>
        </w:rPr>
        <w:t xml:space="preserve">an </w:t>
      </w:r>
      <w:r w:rsidRPr="00C61897">
        <w:rPr>
          <w:rFonts w:ascii="Arial" w:hAnsi="Arial" w:cs="Arial"/>
          <w:sz w:val="24"/>
          <w:szCs w:val="24"/>
        </w:rPr>
        <w:t>authority for this.</w:t>
      </w:r>
    </w:p>
  </w:endnote>
  <w:endnote w:id="64">
    <w:p w14:paraId="1EAC6767"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31.</w:t>
      </w:r>
    </w:p>
  </w:endnote>
  <w:endnote w:id="65">
    <w:p w14:paraId="57079D07"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J</w:t>
      </w:r>
      <w:r>
        <w:rPr>
          <w:rFonts w:ascii="Arial" w:hAnsi="Arial" w:cs="Arial"/>
          <w:sz w:val="24"/>
          <w:szCs w:val="24"/>
        </w:rPr>
        <w:t>.</w:t>
      </w:r>
      <w:r w:rsidRPr="00C61897">
        <w:rPr>
          <w:rFonts w:ascii="Arial" w:hAnsi="Arial" w:cs="Arial"/>
          <w:sz w:val="24"/>
          <w:szCs w:val="24"/>
        </w:rPr>
        <w:t xml:space="preserve"> Tosh</w:t>
      </w:r>
      <w:r>
        <w:rPr>
          <w:rFonts w:ascii="Arial" w:hAnsi="Arial" w:cs="Arial"/>
          <w:sz w:val="24"/>
          <w:szCs w:val="24"/>
        </w:rPr>
        <w:t xml:space="preserve"> (2010 edition)</w:t>
      </w:r>
      <w:r w:rsidRPr="00C61897">
        <w:rPr>
          <w:rFonts w:ascii="Arial" w:hAnsi="Arial" w:cs="Arial"/>
          <w:sz w:val="24"/>
          <w:szCs w:val="24"/>
        </w:rPr>
        <w:t xml:space="preserve"> </w:t>
      </w:r>
      <w:r w:rsidRPr="00C61897">
        <w:rPr>
          <w:rFonts w:ascii="Arial" w:hAnsi="Arial" w:cs="Arial"/>
          <w:i/>
          <w:sz w:val="24"/>
          <w:szCs w:val="24"/>
        </w:rPr>
        <w:t xml:space="preserve">The Pursuit of History: Aims, </w:t>
      </w:r>
      <w:r>
        <w:rPr>
          <w:rFonts w:ascii="Arial" w:hAnsi="Arial" w:cs="Arial"/>
          <w:i/>
          <w:sz w:val="24"/>
          <w:szCs w:val="24"/>
        </w:rPr>
        <w:t>M</w:t>
      </w:r>
      <w:r w:rsidRPr="00C61897">
        <w:rPr>
          <w:rFonts w:ascii="Arial" w:hAnsi="Arial" w:cs="Arial"/>
          <w:i/>
          <w:sz w:val="24"/>
          <w:szCs w:val="24"/>
        </w:rPr>
        <w:t xml:space="preserve">ethods and </w:t>
      </w:r>
      <w:r>
        <w:rPr>
          <w:rFonts w:ascii="Arial" w:hAnsi="Arial" w:cs="Arial"/>
          <w:i/>
          <w:sz w:val="24"/>
          <w:szCs w:val="24"/>
        </w:rPr>
        <w:t>N</w:t>
      </w:r>
      <w:r w:rsidRPr="00C61897">
        <w:rPr>
          <w:rFonts w:ascii="Arial" w:hAnsi="Arial" w:cs="Arial"/>
          <w:i/>
          <w:sz w:val="24"/>
          <w:szCs w:val="24"/>
        </w:rPr>
        <w:t xml:space="preserve">ew </w:t>
      </w:r>
      <w:r>
        <w:rPr>
          <w:rFonts w:ascii="Arial" w:hAnsi="Arial" w:cs="Arial"/>
          <w:i/>
          <w:sz w:val="24"/>
          <w:szCs w:val="24"/>
        </w:rPr>
        <w:t>D</w:t>
      </w:r>
      <w:r w:rsidRPr="00C61897">
        <w:rPr>
          <w:rFonts w:ascii="Arial" w:hAnsi="Arial" w:cs="Arial"/>
          <w:i/>
          <w:sz w:val="24"/>
          <w:szCs w:val="24"/>
        </w:rPr>
        <w:t xml:space="preserve">irections in the </w:t>
      </w:r>
      <w:r>
        <w:rPr>
          <w:rFonts w:ascii="Arial" w:hAnsi="Arial" w:cs="Arial"/>
          <w:i/>
          <w:sz w:val="24"/>
          <w:szCs w:val="24"/>
        </w:rPr>
        <w:t>S</w:t>
      </w:r>
      <w:r w:rsidRPr="00C61897">
        <w:rPr>
          <w:rFonts w:ascii="Arial" w:hAnsi="Arial" w:cs="Arial"/>
          <w:i/>
          <w:sz w:val="24"/>
          <w:szCs w:val="24"/>
        </w:rPr>
        <w:t xml:space="preserve">tudy of </w:t>
      </w:r>
      <w:r>
        <w:rPr>
          <w:rFonts w:ascii="Arial" w:hAnsi="Arial" w:cs="Arial"/>
          <w:i/>
          <w:sz w:val="24"/>
          <w:szCs w:val="24"/>
        </w:rPr>
        <w:t>M</w:t>
      </w:r>
      <w:r w:rsidRPr="00C61897">
        <w:rPr>
          <w:rFonts w:ascii="Arial" w:hAnsi="Arial" w:cs="Arial"/>
          <w:i/>
          <w:sz w:val="24"/>
          <w:szCs w:val="24"/>
        </w:rPr>
        <w:t xml:space="preserve">odern </w:t>
      </w:r>
      <w:r>
        <w:rPr>
          <w:rFonts w:ascii="Arial" w:hAnsi="Arial" w:cs="Arial"/>
          <w:i/>
          <w:sz w:val="24"/>
          <w:szCs w:val="24"/>
        </w:rPr>
        <w:t>H</w:t>
      </w:r>
      <w:r w:rsidRPr="00C61897">
        <w:rPr>
          <w:rFonts w:ascii="Arial" w:hAnsi="Arial" w:cs="Arial"/>
          <w:i/>
          <w:sz w:val="24"/>
          <w:szCs w:val="24"/>
        </w:rPr>
        <w:t xml:space="preserve">istory </w:t>
      </w:r>
      <w:r>
        <w:rPr>
          <w:rFonts w:ascii="Arial" w:hAnsi="Arial" w:cs="Arial"/>
          <w:sz w:val="24"/>
          <w:szCs w:val="24"/>
        </w:rPr>
        <w:t>(</w:t>
      </w:r>
      <w:r w:rsidRPr="00C61897">
        <w:rPr>
          <w:rFonts w:ascii="Arial" w:hAnsi="Arial" w:cs="Arial"/>
          <w:sz w:val="24"/>
          <w:szCs w:val="24"/>
        </w:rPr>
        <w:t>Harlow: Longman</w:t>
      </w:r>
      <w:r>
        <w:rPr>
          <w:rFonts w:ascii="Arial" w:hAnsi="Arial" w:cs="Arial"/>
          <w:sz w:val="24"/>
          <w:szCs w:val="24"/>
        </w:rPr>
        <w:t>)</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33.</w:t>
      </w:r>
    </w:p>
  </w:endnote>
  <w:endnote w:id="66">
    <w:p w14:paraId="5A2001BD" w14:textId="77777777" w:rsidR="00EE7708" w:rsidRPr="00C61897" w:rsidRDefault="00EE7708" w:rsidP="00C61897">
      <w:pPr>
        <w:pStyle w:val="EndnoteText"/>
        <w:spacing w:line="480" w:lineRule="auto"/>
        <w:jc w:val="both"/>
        <w:rPr>
          <w:rFonts w:ascii="Arial" w:hAnsi="Arial" w:cs="Arial"/>
          <w:sz w:val="24"/>
          <w:szCs w:val="24"/>
          <w:highlight w:val="yellow"/>
        </w:rPr>
      </w:pPr>
      <w:r w:rsidRPr="00C61897">
        <w:rPr>
          <w:rStyle w:val="EndnoteReference"/>
          <w:rFonts w:ascii="Arial" w:hAnsi="Arial" w:cs="Arial"/>
          <w:sz w:val="24"/>
          <w:szCs w:val="24"/>
        </w:rPr>
        <w:endnoteRef/>
      </w:r>
      <w:r w:rsidRPr="00C61897">
        <w:rPr>
          <w:rFonts w:ascii="Arial" w:hAnsi="Arial" w:cs="Arial"/>
          <w:sz w:val="24"/>
          <w:szCs w:val="24"/>
        </w:rPr>
        <w:t xml:space="preserve"> Magnusso</w:t>
      </w:r>
      <w:r>
        <w:rPr>
          <w:rFonts w:ascii="Arial" w:hAnsi="Arial" w:cs="Arial"/>
          <w:sz w:val="24"/>
          <w:szCs w:val="24"/>
        </w:rPr>
        <w:t xml:space="preserve">n and </w:t>
      </w:r>
      <w:r w:rsidRPr="00C61897">
        <w:rPr>
          <w:rFonts w:ascii="Arial" w:hAnsi="Arial" w:cs="Arial"/>
          <w:sz w:val="24"/>
          <w:szCs w:val="24"/>
        </w:rPr>
        <w:t>Szijarto</w:t>
      </w:r>
      <w:r>
        <w:rPr>
          <w:rFonts w:ascii="Arial" w:hAnsi="Arial" w:cs="Arial"/>
          <w:sz w:val="24"/>
          <w:szCs w:val="24"/>
        </w:rPr>
        <w:t xml:space="preserve"> (2013)</w:t>
      </w:r>
      <w:r w:rsidRPr="00C61897">
        <w:rPr>
          <w:rFonts w:ascii="Arial" w:hAnsi="Arial" w:cs="Arial"/>
          <w:sz w:val="24"/>
          <w:szCs w:val="24"/>
        </w:rPr>
        <w:t xml:space="preserve"> </w:t>
      </w:r>
      <w:r w:rsidRPr="00C61897">
        <w:rPr>
          <w:rFonts w:ascii="Arial" w:hAnsi="Arial" w:cs="Arial"/>
          <w:i/>
          <w:sz w:val="24"/>
          <w:szCs w:val="24"/>
        </w:rPr>
        <w:t>What is Microhistory?</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 xml:space="preserve">125. </w:t>
      </w:r>
    </w:p>
  </w:endnote>
  <w:endnote w:id="67">
    <w:p w14:paraId="18EF9497"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Alongside historical difference and historical process: see Tosh</w:t>
      </w:r>
      <w:r>
        <w:rPr>
          <w:rFonts w:ascii="Arial" w:hAnsi="Arial" w:cs="Arial"/>
          <w:sz w:val="24"/>
          <w:szCs w:val="24"/>
        </w:rPr>
        <w:t xml:space="preserve"> (2010 edition)</w:t>
      </w:r>
      <w:r w:rsidRPr="00C61897">
        <w:rPr>
          <w:rFonts w:ascii="Arial" w:hAnsi="Arial" w:cs="Arial"/>
          <w:sz w:val="24"/>
          <w:szCs w:val="24"/>
        </w:rPr>
        <w:t xml:space="preserve"> </w:t>
      </w:r>
      <w:r w:rsidRPr="00C61897">
        <w:rPr>
          <w:rFonts w:ascii="Arial" w:hAnsi="Arial" w:cs="Arial"/>
          <w:i/>
          <w:sz w:val="24"/>
          <w:szCs w:val="24"/>
        </w:rPr>
        <w:t>The Pursuit of History</w:t>
      </w:r>
      <w:r w:rsidRPr="00C61897">
        <w:rPr>
          <w:rFonts w:ascii="Arial" w:hAnsi="Arial" w:cs="Arial"/>
          <w:sz w:val="24"/>
          <w:szCs w:val="24"/>
        </w:rPr>
        <w:t xml:space="preserve">, especially </w:t>
      </w:r>
      <w:r>
        <w:rPr>
          <w:rFonts w:ascii="Arial" w:hAnsi="Arial" w:cs="Arial"/>
          <w:sz w:val="24"/>
          <w:szCs w:val="24"/>
        </w:rPr>
        <w:t xml:space="preserve">pp. </w:t>
      </w:r>
      <w:r w:rsidRPr="00C61897">
        <w:rPr>
          <w:rFonts w:ascii="Arial" w:hAnsi="Arial" w:cs="Arial"/>
          <w:sz w:val="24"/>
          <w:szCs w:val="24"/>
        </w:rPr>
        <w:t>8-12.</w:t>
      </w:r>
    </w:p>
  </w:endnote>
  <w:endnote w:id="68">
    <w:p w14:paraId="3A243208"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As coined in D</w:t>
      </w:r>
      <w:r>
        <w:rPr>
          <w:rFonts w:ascii="Arial" w:hAnsi="Arial" w:cs="Arial"/>
          <w:sz w:val="24"/>
          <w:szCs w:val="24"/>
        </w:rPr>
        <w:t>.</w:t>
      </w:r>
      <w:r w:rsidRPr="00C61897">
        <w:rPr>
          <w:rFonts w:ascii="Arial" w:hAnsi="Arial" w:cs="Arial"/>
          <w:sz w:val="24"/>
          <w:szCs w:val="24"/>
        </w:rPr>
        <w:t xml:space="preserve"> Eastwood</w:t>
      </w:r>
      <w:r>
        <w:rPr>
          <w:rFonts w:ascii="Arial" w:hAnsi="Arial" w:cs="Arial"/>
          <w:sz w:val="24"/>
          <w:szCs w:val="24"/>
        </w:rPr>
        <w:t xml:space="preserve"> (1993)</w:t>
      </w:r>
      <w:r w:rsidRPr="00C61897">
        <w:rPr>
          <w:rFonts w:ascii="Arial" w:hAnsi="Arial" w:cs="Arial"/>
          <w:sz w:val="24"/>
          <w:szCs w:val="24"/>
        </w:rPr>
        <w:t xml:space="preserve"> </w:t>
      </w:r>
      <w:r w:rsidRPr="00C61897">
        <w:rPr>
          <w:rFonts w:ascii="Arial" w:hAnsi="Arial" w:cs="Arial"/>
          <w:i/>
          <w:iCs/>
          <w:sz w:val="24"/>
          <w:szCs w:val="24"/>
        </w:rPr>
        <w:t>Governing Rural England: Tradition and Transformation in Local Government 1780-1840</w:t>
      </w:r>
      <w:r w:rsidRPr="00C61897">
        <w:rPr>
          <w:rFonts w:ascii="Arial" w:hAnsi="Arial" w:cs="Arial"/>
          <w:sz w:val="24"/>
          <w:szCs w:val="24"/>
        </w:rPr>
        <w:t xml:space="preserve"> (Oxford: Clarendon Press), </w:t>
      </w:r>
      <w:r>
        <w:rPr>
          <w:rFonts w:ascii="Arial" w:hAnsi="Arial" w:cs="Arial"/>
          <w:sz w:val="24"/>
          <w:szCs w:val="24"/>
        </w:rPr>
        <w:t xml:space="preserve">pp. </w:t>
      </w:r>
      <w:r w:rsidRPr="00C61897">
        <w:rPr>
          <w:rFonts w:ascii="Arial" w:hAnsi="Arial" w:cs="Arial"/>
          <w:sz w:val="24"/>
          <w:szCs w:val="24"/>
        </w:rPr>
        <w:t>225-60.</w:t>
      </w:r>
    </w:p>
  </w:endnote>
  <w:endnote w:id="69">
    <w:p w14:paraId="19A03A32"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J</w:t>
      </w:r>
      <w:r>
        <w:rPr>
          <w:rFonts w:ascii="Arial" w:hAnsi="Arial" w:cs="Arial"/>
          <w:sz w:val="24"/>
          <w:szCs w:val="24"/>
        </w:rPr>
        <w:t>.</w:t>
      </w:r>
      <w:r w:rsidRPr="00C61897">
        <w:rPr>
          <w:rFonts w:ascii="Arial" w:hAnsi="Arial" w:cs="Arial"/>
          <w:sz w:val="24"/>
          <w:szCs w:val="24"/>
        </w:rPr>
        <w:t xml:space="preserve"> Black and D</w:t>
      </w:r>
      <w:r>
        <w:rPr>
          <w:rFonts w:ascii="Arial" w:hAnsi="Arial" w:cs="Arial"/>
          <w:sz w:val="24"/>
          <w:szCs w:val="24"/>
        </w:rPr>
        <w:t>.</w:t>
      </w:r>
      <w:r w:rsidRPr="00C61897">
        <w:rPr>
          <w:rFonts w:ascii="Arial" w:hAnsi="Arial" w:cs="Arial"/>
          <w:sz w:val="24"/>
          <w:szCs w:val="24"/>
        </w:rPr>
        <w:t xml:space="preserve"> McRaild</w:t>
      </w:r>
      <w:r>
        <w:rPr>
          <w:rFonts w:ascii="Arial" w:hAnsi="Arial" w:cs="Arial"/>
          <w:sz w:val="24"/>
          <w:szCs w:val="24"/>
        </w:rPr>
        <w:t xml:space="preserve"> (2002)</w:t>
      </w:r>
      <w:r w:rsidRPr="00C61897">
        <w:rPr>
          <w:rFonts w:ascii="Arial" w:hAnsi="Arial" w:cs="Arial"/>
          <w:i/>
          <w:sz w:val="24"/>
          <w:szCs w:val="24"/>
        </w:rPr>
        <w:t xml:space="preserve"> Nineteenth-Century Britain</w:t>
      </w:r>
      <w:r w:rsidRPr="00C61897">
        <w:rPr>
          <w:rFonts w:ascii="Arial" w:hAnsi="Arial" w:cs="Arial"/>
          <w:sz w:val="24"/>
          <w:szCs w:val="24"/>
        </w:rPr>
        <w:t xml:space="preserve"> (Basingstoke: Palgrave)</w:t>
      </w:r>
      <w:r>
        <w:rPr>
          <w:rFonts w:ascii="Arial" w:hAnsi="Arial" w:cs="Arial"/>
          <w:sz w:val="24"/>
          <w:szCs w:val="24"/>
        </w:rPr>
        <w:t>, p.</w:t>
      </w:r>
      <w:r w:rsidRPr="00C61897">
        <w:rPr>
          <w:rFonts w:ascii="Arial" w:hAnsi="Arial" w:cs="Arial"/>
          <w:sz w:val="24"/>
          <w:szCs w:val="24"/>
        </w:rPr>
        <w:t xml:space="preserve"> xvii.</w:t>
      </w:r>
    </w:p>
  </w:endnote>
  <w:endnote w:id="70">
    <w:p w14:paraId="32E5491C" w14:textId="77777777" w:rsidR="00EE7708" w:rsidRPr="00C61897" w:rsidRDefault="00EE7708" w:rsidP="00C61897">
      <w:pPr>
        <w:pStyle w:val="EndnoteText"/>
        <w:spacing w:line="480" w:lineRule="auto"/>
        <w:jc w:val="both"/>
        <w:rPr>
          <w:rFonts w:ascii="Arial" w:hAnsi="Arial" w:cs="Arial"/>
          <w:b/>
          <w:sz w:val="24"/>
          <w:szCs w:val="24"/>
          <w:lang w:val="en-US"/>
        </w:rPr>
      </w:pPr>
      <w:r w:rsidRPr="00C61897">
        <w:rPr>
          <w:rStyle w:val="EndnoteReference"/>
          <w:rFonts w:ascii="Arial" w:hAnsi="Arial" w:cs="Arial"/>
          <w:sz w:val="24"/>
          <w:szCs w:val="24"/>
        </w:rPr>
        <w:endnoteRef/>
      </w:r>
      <w:r w:rsidRPr="00C61897">
        <w:rPr>
          <w:rFonts w:ascii="Arial" w:hAnsi="Arial" w:cs="Arial"/>
          <w:sz w:val="24"/>
          <w:szCs w:val="24"/>
        </w:rPr>
        <w:t xml:space="preserve"> </w:t>
      </w:r>
      <w:r>
        <w:rPr>
          <w:rFonts w:ascii="Arial" w:hAnsi="Arial" w:cs="Arial"/>
          <w:sz w:val="24"/>
          <w:szCs w:val="24"/>
        </w:rPr>
        <w:t xml:space="preserve">See </w:t>
      </w:r>
      <w:r w:rsidRPr="00C61897">
        <w:rPr>
          <w:rFonts w:ascii="Arial" w:hAnsi="Arial" w:cs="Arial"/>
          <w:sz w:val="24"/>
          <w:szCs w:val="24"/>
        </w:rPr>
        <w:t>Stebbings</w:t>
      </w:r>
      <w:r>
        <w:rPr>
          <w:rFonts w:ascii="Arial" w:hAnsi="Arial" w:cs="Arial"/>
          <w:sz w:val="24"/>
          <w:szCs w:val="24"/>
        </w:rPr>
        <w:t xml:space="preserve"> (2012)</w:t>
      </w:r>
      <w:r w:rsidRPr="00C61897">
        <w:rPr>
          <w:rFonts w:ascii="Arial" w:hAnsi="Arial" w:cs="Arial"/>
          <w:sz w:val="24"/>
          <w:szCs w:val="24"/>
        </w:rPr>
        <w:t xml:space="preserve"> ‘Benefits and </w:t>
      </w:r>
      <w:r>
        <w:rPr>
          <w:rFonts w:ascii="Arial" w:hAnsi="Arial" w:cs="Arial"/>
          <w:sz w:val="24"/>
          <w:szCs w:val="24"/>
        </w:rPr>
        <w:t>B</w:t>
      </w:r>
      <w:r w:rsidRPr="00C61897">
        <w:rPr>
          <w:rFonts w:ascii="Arial" w:hAnsi="Arial" w:cs="Arial"/>
          <w:sz w:val="24"/>
          <w:szCs w:val="24"/>
        </w:rPr>
        <w:t>arriers</w:t>
      </w:r>
      <w:r>
        <w:rPr>
          <w:rFonts w:ascii="Arial" w:hAnsi="Arial" w:cs="Arial"/>
          <w:sz w:val="24"/>
          <w:szCs w:val="24"/>
        </w:rPr>
        <w:t>’</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lang w:val="en-US"/>
        </w:rPr>
        <w:t xml:space="preserve">72-3 and also </w:t>
      </w:r>
      <w:r w:rsidRPr="00C61897">
        <w:rPr>
          <w:rFonts w:ascii="Arial" w:hAnsi="Arial" w:cs="Arial"/>
          <w:sz w:val="24"/>
          <w:szCs w:val="24"/>
        </w:rPr>
        <w:t>Woodward</w:t>
      </w:r>
      <w:r>
        <w:rPr>
          <w:rFonts w:ascii="Arial" w:hAnsi="Arial" w:cs="Arial"/>
          <w:sz w:val="24"/>
          <w:szCs w:val="24"/>
        </w:rPr>
        <w:t xml:space="preserve"> (1938)</w:t>
      </w:r>
      <w:r w:rsidRPr="00C61897">
        <w:rPr>
          <w:rFonts w:ascii="Arial" w:hAnsi="Arial" w:cs="Arial"/>
          <w:sz w:val="24"/>
          <w:szCs w:val="24"/>
        </w:rPr>
        <w:t xml:space="preserve"> </w:t>
      </w:r>
      <w:r w:rsidRPr="00C61897">
        <w:rPr>
          <w:rFonts w:ascii="Arial" w:hAnsi="Arial" w:cs="Arial"/>
          <w:i/>
          <w:iCs/>
          <w:sz w:val="24"/>
          <w:szCs w:val="24"/>
        </w:rPr>
        <w:t xml:space="preserve">The Oxford History of </w:t>
      </w:r>
      <w:r w:rsidRPr="00DB7F8F">
        <w:rPr>
          <w:rFonts w:ascii="Arial" w:hAnsi="Arial" w:cs="Arial"/>
          <w:iCs/>
          <w:sz w:val="24"/>
          <w:szCs w:val="24"/>
        </w:rPr>
        <w:t>England</w:t>
      </w:r>
      <w:r>
        <w:rPr>
          <w:rFonts w:ascii="Arial" w:hAnsi="Arial" w:cs="Arial"/>
          <w:iCs/>
          <w:sz w:val="24"/>
          <w:szCs w:val="24"/>
        </w:rPr>
        <w:t>, p.</w:t>
      </w:r>
      <w:r w:rsidRPr="00C61897">
        <w:rPr>
          <w:rFonts w:ascii="Arial" w:hAnsi="Arial" w:cs="Arial"/>
          <w:sz w:val="24"/>
          <w:szCs w:val="24"/>
          <w:lang w:val="en-US"/>
        </w:rPr>
        <w:t xml:space="preserve"> 426. </w:t>
      </w:r>
    </w:p>
  </w:endnote>
  <w:endnote w:id="71">
    <w:p w14:paraId="213292D0"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w:t>
      </w:r>
    </w:p>
  </w:endnote>
  <w:endnote w:id="72">
    <w:p w14:paraId="2C36EEA9"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Magnusso</w:t>
      </w:r>
      <w:r>
        <w:rPr>
          <w:rFonts w:ascii="Arial" w:hAnsi="Arial" w:cs="Arial"/>
          <w:sz w:val="24"/>
          <w:szCs w:val="24"/>
        </w:rPr>
        <w:t xml:space="preserve">n and </w:t>
      </w:r>
      <w:r w:rsidRPr="00C61897">
        <w:rPr>
          <w:rFonts w:ascii="Arial" w:hAnsi="Arial" w:cs="Arial"/>
          <w:sz w:val="24"/>
          <w:szCs w:val="24"/>
        </w:rPr>
        <w:t>Szijarto</w:t>
      </w:r>
      <w:r>
        <w:rPr>
          <w:rFonts w:ascii="Arial" w:hAnsi="Arial" w:cs="Arial"/>
          <w:sz w:val="24"/>
          <w:szCs w:val="24"/>
        </w:rPr>
        <w:t xml:space="preserve"> (2013)</w:t>
      </w:r>
      <w:r w:rsidRPr="00C61897">
        <w:rPr>
          <w:rFonts w:ascii="Arial" w:hAnsi="Arial" w:cs="Arial"/>
          <w:sz w:val="24"/>
          <w:szCs w:val="24"/>
        </w:rPr>
        <w:t xml:space="preserve"> </w:t>
      </w:r>
      <w:r w:rsidRPr="00C61897">
        <w:rPr>
          <w:rFonts w:ascii="Arial" w:hAnsi="Arial" w:cs="Arial"/>
          <w:i/>
          <w:sz w:val="24"/>
          <w:szCs w:val="24"/>
        </w:rPr>
        <w:t>What is Microhistory?</w:t>
      </w:r>
      <w:r w:rsidRPr="00C61897">
        <w:rPr>
          <w:rFonts w:ascii="Arial" w:hAnsi="Arial" w:cs="Arial"/>
          <w:sz w:val="24"/>
          <w:szCs w:val="24"/>
        </w:rPr>
        <w:t xml:space="preserve">, </w:t>
      </w:r>
      <w:r>
        <w:rPr>
          <w:rFonts w:ascii="Arial" w:hAnsi="Arial" w:cs="Arial"/>
          <w:sz w:val="24"/>
          <w:szCs w:val="24"/>
        </w:rPr>
        <w:t>p.</w:t>
      </w:r>
      <w:r w:rsidRPr="00C61897">
        <w:rPr>
          <w:rFonts w:ascii="Arial" w:hAnsi="Arial" w:cs="Arial"/>
          <w:sz w:val="24"/>
          <w:szCs w:val="24"/>
        </w:rPr>
        <w:t xml:space="preserve"> 31. </w:t>
      </w:r>
    </w:p>
  </w:endnote>
  <w:endnote w:id="73">
    <w:p w14:paraId="526E8C9B"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As proposed in the Epilogue for Wilson </w:t>
      </w:r>
      <w:r>
        <w:rPr>
          <w:rFonts w:ascii="Arial" w:hAnsi="Arial" w:cs="Arial"/>
          <w:sz w:val="24"/>
          <w:szCs w:val="24"/>
        </w:rPr>
        <w:t xml:space="preserve">(2014) </w:t>
      </w:r>
      <w:r w:rsidRPr="00C61897">
        <w:rPr>
          <w:rFonts w:ascii="Arial" w:hAnsi="Arial" w:cs="Arial"/>
          <w:i/>
          <w:sz w:val="24"/>
          <w:szCs w:val="24"/>
        </w:rPr>
        <w:t>The Origins of Modern Financial Crime</w:t>
      </w:r>
      <w:r w:rsidRPr="00C61897">
        <w:rPr>
          <w:rFonts w:ascii="Arial" w:hAnsi="Arial" w:cs="Arial"/>
          <w:sz w:val="24"/>
          <w:szCs w:val="24"/>
        </w:rPr>
        <w:t xml:space="preserve">. </w:t>
      </w:r>
    </w:p>
  </w:endnote>
  <w:endnote w:id="74">
    <w:p w14:paraId="7614ED86" w14:textId="534C2D9F"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e.g. R</w:t>
      </w:r>
      <w:r>
        <w:rPr>
          <w:rFonts w:ascii="Arial" w:hAnsi="Arial" w:cs="Arial"/>
          <w:sz w:val="24"/>
          <w:szCs w:val="24"/>
        </w:rPr>
        <w:t>.</w:t>
      </w:r>
      <w:r w:rsidRPr="00C61897">
        <w:rPr>
          <w:rFonts w:ascii="Arial" w:hAnsi="Arial" w:cs="Arial"/>
          <w:sz w:val="24"/>
          <w:szCs w:val="24"/>
        </w:rPr>
        <w:t>D</w:t>
      </w:r>
      <w:r>
        <w:rPr>
          <w:rFonts w:ascii="Arial" w:hAnsi="Arial" w:cs="Arial"/>
          <w:sz w:val="24"/>
          <w:szCs w:val="24"/>
        </w:rPr>
        <w:t>.</w:t>
      </w:r>
      <w:r w:rsidRPr="00C61897">
        <w:rPr>
          <w:rFonts w:ascii="Arial" w:hAnsi="Arial" w:cs="Arial"/>
          <w:sz w:val="24"/>
          <w:szCs w:val="24"/>
        </w:rPr>
        <w:t xml:space="preserve"> Storch</w:t>
      </w:r>
      <w:r>
        <w:rPr>
          <w:rFonts w:ascii="Arial" w:hAnsi="Arial" w:cs="Arial"/>
          <w:sz w:val="24"/>
          <w:szCs w:val="24"/>
        </w:rPr>
        <w:t xml:space="preserve"> (1975)</w:t>
      </w:r>
      <w:r w:rsidRPr="00C61897">
        <w:rPr>
          <w:rFonts w:ascii="Arial" w:hAnsi="Arial" w:cs="Arial"/>
          <w:sz w:val="24"/>
          <w:szCs w:val="24"/>
        </w:rPr>
        <w:t xml:space="preserve"> ‘“The </w:t>
      </w:r>
      <w:r>
        <w:rPr>
          <w:rFonts w:ascii="Arial" w:hAnsi="Arial" w:cs="Arial"/>
          <w:sz w:val="24"/>
          <w:szCs w:val="24"/>
        </w:rPr>
        <w:t>P</w:t>
      </w:r>
      <w:r w:rsidRPr="00C61897">
        <w:rPr>
          <w:rFonts w:ascii="Arial" w:hAnsi="Arial" w:cs="Arial"/>
          <w:sz w:val="24"/>
          <w:szCs w:val="24"/>
        </w:rPr>
        <w:t xml:space="preserve">lague of </w:t>
      </w:r>
      <w:r>
        <w:rPr>
          <w:rFonts w:ascii="Arial" w:hAnsi="Arial" w:cs="Arial"/>
          <w:sz w:val="24"/>
          <w:szCs w:val="24"/>
        </w:rPr>
        <w:t>B</w:t>
      </w:r>
      <w:r w:rsidRPr="00C61897">
        <w:rPr>
          <w:rFonts w:ascii="Arial" w:hAnsi="Arial" w:cs="Arial"/>
          <w:sz w:val="24"/>
          <w:szCs w:val="24"/>
        </w:rPr>
        <w:t xml:space="preserve">lue </w:t>
      </w:r>
      <w:r>
        <w:rPr>
          <w:rFonts w:ascii="Arial" w:hAnsi="Arial" w:cs="Arial"/>
          <w:sz w:val="24"/>
          <w:szCs w:val="24"/>
        </w:rPr>
        <w:t>L</w:t>
      </w:r>
      <w:r w:rsidRPr="00C61897">
        <w:rPr>
          <w:rFonts w:ascii="Arial" w:hAnsi="Arial" w:cs="Arial"/>
          <w:sz w:val="24"/>
          <w:szCs w:val="24"/>
        </w:rPr>
        <w:t xml:space="preserve">ocusts”: </w:t>
      </w:r>
      <w:r>
        <w:rPr>
          <w:rFonts w:ascii="Arial" w:hAnsi="Arial" w:cs="Arial"/>
          <w:sz w:val="24"/>
          <w:szCs w:val="24"/>
        </w:rPr>
        <w:t>P</w:t>
      </w:r>
      <w:r w:rsidRPr="00C61897">
        <w:rPr>
          <w:rFonts w:ascii="Arial" w:hAnsi="Arial" w:cs="Arial"/>
          <w:sz w:val="24"/>
          <w:szCs w:val="24"/>
        </w:rPr>
        <w:t xml:space="preserve">olice </w:t>
      </w:r>
      <w:r>
        <w:rPr>
          <w:rFonts w:ascii="Arial" w:hAnsi="Arial" w:cs="Arial"/>
          <w:sz w:val="24"/>
          <w:szCs w:val="24"/>
        </w:rPr>
        <w:t>R</w:t>
      </w:r>
      <w:r w:rsidRPr="00C61897">
        <w:rPr>
          <w:rFonts w:ascii="Arial" w:hAnsi="Arial" w:cs="Arial"/>
          <w:sz w:val="24"/>
          <w:szCs w:val="24"/>
        </w:rPr>
        <w:t xml:space="preserve">eform and </w:t>
      </w:r>
      <w:r>
        <w:rPr>
          <w:rFonts w:ascii="Arial" w:hAnsi="Arial" w:cs="Arial"/>
          <w:sz w:val="24"/>
          <w:szCs w:val="24"/>
        </w:rPr>
        <w:t>P</w:t>
      </w:r>
      <w:r w:rsidRPr="00C61897">
        <w:rPr>
          <w:rFonts w:ascii="Arial" w:hAnsi="Arial" w:cs="Arial"/>
          <w:sz w:val="24"/>
          <w:szCs w:val="24"/>
        </w:rPr>
        <w:t xml:space="preserve">opular </w:t>
      </w:r>
      <w:r>
        <w:rPr>
          <w:rFonts w:ascii="Arial" w:hAnsi="Arial" w:cs="Arial"/>
          <w:sz w:val="24"/>
          <w:szCs w:val="24"/>
        </w:rPr>
        <w:t>R</w:t>
      </w:r>
      <w:r w:rsidRPr="00C61897">
        <w:rPr>
          <w:rFonts w:ascii="Arial" w:hAnsi="Arial" w:cs="Arial"/>
          <w:sz w:val="24"/>
          <w:szCs w:val="24"/>
        </w:rPr>
        <w:t>esistance in North England 1840-1857’</w:t>
      </w:r>
      <w:r>
        <w:rPr>
          <w:rFonts w:ascii="Arial" w:hAnsi="Arial" w:cs="Arial"/>
          <w:sz w:val="24"/>
          <w:szCs w:val="24"/>
        </w:rPr>
        <w:t>,</w:t>
      </w:r>
      <w:r w:rsidRPr="00C61897">
        <w:rPr>
          <w:rFonts w:ascii="Arial" w:hAnsi="Arial" w:cs="Arial"/>
          <w:sz w:val="24"/>
          <w:szCs w:val="24"/>
        </w:rPr>
        <w:t xml:space="preserve"> </w:t>
      </w:r>
      <w:r w:rsidRPr="00DB7F8F">
        <w:rPr>
          <w:rFonts w:ascii="Arial" w:hAnsi="Arial" w:cs="Arial"/>
          <w:i/>
          <w:iCs/>
          <w:sz w:val="24"/>
          <w:szCs w:val="24"/>
        </w:rPr>
        <w:t>International Review of Social History</w:t>
      </w:r>
      <w:r w:rsidRPr="00C61897">
        <w:rPr>
          <w:rFonts w:ascii="Arial" w:hAnsi="Arial" w:cs="Arial"/>
          <w:sz w:val="24"/>
          <w:szCs w:val="24"/>
        </w:rPr>
        <w:t xml:space="preserve">, </w:t>
      </w:r>
      <w:r>
        <w:rPr>
          <w:rFonts w:ascii="Arial" w:hAnsi="Arial" w:cs="Arial"/>
          <w:sz w:val="24"/>
          <w:szCs w:val="24"/>
        </w:rPr>
        <w:t xml:space="preserve">Vol. </w:t>
      </w:r>
      <w:r w:rsidRPr="00C61897">
        <w:rPr>
          <w:rFonts w:ascii="Arial" w:hAnsi="Arial" w:cs="Arial"/>
          <w:sz w:val="24"/>
          <w:szCs w:val="24"/>
        </w:rPr>
        <w:t>20,</w:t>
      </w:r>
      <w:r>
        <w:rPr>
          <w:rFonts w:ascii="Arial" w:hAnsi="Arial" w:cs="Arial"/>
          <w:sz w:val="24"/>
          <w:szCs w:val="24"/>
        </w:rPr>
        <w:t xml:space="preserve"> No. 1. pp. 61-90 at p.</w:t>
      </w:r>
      <w:r w:rsidRPr="00C61897">
        <w:rPr>
          <w:rFonts w:ascii="Arial" w:hAnsi="Arial" w:cs="Arial"/>
          <w:sz w:val="24"/>
          <w:szCs w:val="24"/>
        </w:rPr>
        <w:t xml:space="preserve"> 61 and D</w:t>
      </w:r>
      <w:r>
        <w:rPr>
          <w:rFonts w:ascii="Arial" w:hAnsi="Arial" w:cs="Arial"/>
          <w:sz w:val="24"/>
          <w:szCs w:val="24"/>
        </w:rPr>
        <w:t>.</w:t>
      </w:r>
      <w:r w:rsidRPr="00C61897">
        <w:rPr>
          <w:rFonts w:ascii="Arial" w:hAnsi="Arial" w:cs="Arial"/>
          <w:sz w:val="24"/>
          <w:szCs w:val="24"/>
        </w:rPr>
        <w:t xml:space="preserve"> Philips</w:t>
      </w:r>
      <w:r>
        <w:rPr>
          <w:rFonts w:ascii="Arial" w:hAnsi="Arial" w:cs="Arial"/>
          <w:sz w:val="24"/>
          <w:szCs w:val="24"/>
        </w:rPr>
        <w:t xml:space="preserve"> (1977)</w:t>
      </w:r>
      <w:r w:rsidRPr="00C61897">
        <w:rPr>
          <w:rFonts w:ascii="Arial" w:hAnsi="Arial" w:cs="Arial"/>
          <w:sz w:val="24"/>
          <w:szCs w:val="24"/>
        </w:rPr>
        <w:t xml:space="preserve"> </w:t>
      </w:r>
      <w:r w:rsidRPr="00C61897">
        <w:rPr>
          <w:rFonts w:ascii="Arial" w:hAnsi="Arial" w:cs="Arial"/>
          <w:i/>
          <w:iCs/>
          <w:sz w:val="24"/>
          <w:szCs w:val="24"/>
        </w:rPr>
        <w:t>Crime and Authority in Victorian England</w:t>
      </w:r>
      <w:r w:rsidRPr="00C61897">
        <w:rPr>
          <w:rFonts w:ascii="Arial" w:hAnsi="Arial" w:cs="Arial"/>
          <w:sz w:val="24"/>
          <w:szCs w:val="24"/>
        </w:rPr>
        <w:t xml:space="preserve"> (London: Croom Helm).</w:t>
      </w:r>
    </w:p>
  </w:endnote>
  <w:endnote w:id="75">
    <w:p w14:paraId="1BE91801"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As illustrated in Emsley </w:t>
      </w:r>
      <w:r>
        <w:rPr>
          <w:rFonts w:ascii="Arial" w:hAnsi="Arial" w:cs="Arial"/>
          <w:sz w:val="24"/>
          <w:szCs w:val="24"/>
        </w:rPr>
        <w:t xml:space="preserve">(2010 edition) </w:t>
      </w:r>
      <w:r w:rsidRPr="00C61897">
        <w:rPr>
          <w:rFonts w:ascii="Arial" w:hAnsi="Arial" w:cs="Arial"/>
          <w:i/>
          <w:sz w:val="24"/>
          <w:szCs w:val="24"/>
        </w:rPr>
        <w:t>Crime and Society in England</w:t>
      </w:r>
      <w:r>
        <w:rPr>
          <w:rFonts w:ascii="Arial" w:hAnsi="Arial" w:cs="Arial"/>
          <w:sz w:val="24"/>
          <w:szCs w:val="24"/>
        </w:rPr>
        <w:t xml:space="preserve">, </w:t>
      </w:r>
      <w:r>
        <w:rPr>
          <w:rFonts w:ascii="Arial" w:hAnsi="Arial" w:cs="Arial"/>
          <w:i/>
          <w:sz w:val="24"/>
          <w:szCs w:val="24"/>
        </w:rPr>
        <w:t>passim</w:t>
      </w:r>
      <w:r>
        <w:rPr>
          <w:rFonts w:ascii="Arial" w:hAnsi="Arial" w:cs="Arial"/>
          <w:sz w:val="24"/>
          <w:szCs w:val="24"/>
        </w:rPr>
        <w:t>.</w:t>
      </w:r>
    </w:p>
  </w:endnote>
  <w:endnote w:id="76">
    <w:p w14:paraId="584AAE9C" w14:textId="77777777" w:rsidR="00EE7708" w:rsidRPr="00C61897" w:rsidRDefault="00EE7708" w:rsidP="00C61897">
      <w:pPr>
        <w:spacing w:after="0" w:line="480" w:lineRule="auto"/>
        <w:jc w:val="both"/>
        <w:rPr>
          <w:rFonts w:ascii="Arial" w:hAnsi="Arial" w:cs="Arial"/>
          <w:sz w:val="24"/>
          <w:szCs w:val="24"/>
        </w:rPr>
      </w:pPr>
      <w:r w:rsidRPr="00276D16">
        <w:rPr>
          <w:rStyle w:val="EndnoteReference"/>
          <w:rFonts w:ascii="Arial" w:hAnsi="Arial" w:cs="Arial"/>
          <w:sz w:val="24"/>
          <w:szCs w:val="24"/>
        </w:rPr>
        <w:endnoteRef/>
      </w:r>
      <w:r w:rsidRPr="00276D16">
        <w:rPr>
          <w:rFonts w:ascii="Arial" w:hAnsi="Arial" w:cs="Arial"/>
          <w:i/>
          <w:iCs/>
          <w:sz w:val="24"/>
          <w:szCs w:val="24"/>
        </w:rPr>
        <w:t xml:space="preserve"> Parliamentary Papers, </w:t>
      </w:r>
      <w:r w:rsidRPr="00276D16">
        <w:rPr>
          <w:rFonts w:ascii="Arial" w:hAnsi="Arial" w:cs="Arial"/>
          <w:iCs/>
          <w:sz w:val="24"/>
          <w:szCs w:val="24"/>
        </w:rPr>
        <w:t>Report of the Royal Commission on the Constabulary Force</w:t>
      </w:r>
      <w:r w:rsidRPr="00276D16">
        <w:rPr>
          <w:rFonts w:ascii="Arial" w:hAnsi="Arial" w:cs="Arial"/>
          <w:i/>
          <w:iCs/>
          <w:sz w:val="24"/>
          <w:szCs w:val="24"/>
        </w:rPr>
        <w:t xml:space="preserve"> </w:t>
      </w:r>
      <w:r w:rsidRPr="00276D16">
        <w:rPr>
          <w:rFonts w:ascii="Arial" w:hAnsi="Arial" w:cs="Arial"/>
          <w:sz w:val="24"/>
          <w:szCs w:val="24"/>
        </w:rPr>
        <w:t>(Constabulary Force Report), Cmnd. 169, Vol. XIX (1839), p. 15.</w:t>
      </w:r>
    </w:p>
  </w:endnote>
  <w:endnote w:id="77">
    <w:p w14:paraId="4419851E" w14:textId="75BBE63F"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U</w:t>
      </w:r>
      <w:r>
        <w:rPr>
          <w:rFonts w:ascii="Arial" w:hAnsi="Arial" w:cs="Arial"/>
          <w:sz w:val="24"/>
          <w:szCs w:val="24"/>
        </w:rPr>
        <w:t>.</w:t>
      </w:r>
      <w:r w:rsidRPr="00C61897">
        <w:rPr>
          <w:rFonts w:ascii="Arial" w:hAnsi="Arial" w:cs="Arial"/>
          <w:sz w:val="24"/>
          <w:szCs w:val="24"/>
        </w:rPr>
        <w:t xml:space="preserve"> Henriques</w:t>
      </w:r>
      <w:r>
        <w:rPr>
          <w:rFonts w:ascii="Arial" w:hAnsi="Arial" w:cs="Arial"/>
          <w:sz w:val="24"/>
          <w:szCs w:val="24"/>
        </w:rPr>
        <w:t xml:space="preserve"> (1972)</w:t>
      </w:r>
      <w:r w:rsidRPr="00C61897">
        <w:rPr>
          <w:rFonts w:ascii="Arial" w:hAnsi="Arial" w:cs="Arial"/>
          <w:sz w:val="24"/>
          <w:szCs w:val="24"/>
        </w:rPr>
        <w:t xml:space="preserve"> ‘The Rise and Decline of the Separate System of Prison Discipline’</w:t>
      </w:r>
      <w:r>
        <w:rPr>
          <w:rFonts w:ascii="Arial" w:hAnsi="Arial" w:cs="Arial"/>
          <w:sz w:val="24"/>
          <w:szCs w:val="24"/>
        </w:rPr>
        <w:t>,</w:t>
      </w:r>
      <w:r w:rsidRPr="00C61897">
        <w:rPr>
          <w:rFonts w:ascii="Arial" w:hAnsi="Arial" w:cs="Arial"/>
          <w:sz w:val="24"/>
          <w:szCs w:val="24"/>
        </w:rPr>
        <w:t xml:space="preserve"> </w:t>
      </w:r>
      <w:r w:rsidRPr="00C61897">
        <w:rPr>
          <w:rFonts w:ascii="Arial" w:hAnsi="Arial" w:cs="Arial"/>
          <w:iCs/>
          <w:sz w:val="24"/>
          <w:szCs w:val="24"/>
        </w:rPr>
        <w:t xml:space="preserve">Past </w:t>
      </w:r>
      <w:r>
        <w:rPr>
          <w:rFonts w:ascii="Arial" w:hAnsi="Arial" w:cs="Arial"/>
          <w:iCs/>
          <w:sz w:val="24"/>
          <w:szCs w:val="24"/>
        </w:rPr>
        <w:t>and</w:t>
      </w:r>
      <w:r w:rsidRPr="00C61897">
        <w:rPr>
          <w:rFonts w:ascii="Arial" w:hAnsi="Arial" w:cs="Arial"/>
          <w:iCs/>
          <w:sz w:val="24"/>
          <w:szCs w:val="24"/>
        </w:rPr>
        <w:t xml:space="preserve"> Present</w:t>
      </w:r>
      <w:r w:rsidRPr="00C61897">
        <w:rPr>
          <w:rFonts w:ascii="Arial" w:hAnsi="Arial" w:cs="Arial"/>
          <w:sz w:val="24"/>
          <w:szCs w:val="24"/>
        </w:rPr>
        <w:t xml:space="preserve">, </w:t>
      </w:r>
      <w:r>
        <w:rPr>
          <w:rFonts w:ascii="Arial" w:hAnsi="Arial" w:cs="Arial"/>
          <w:sz w:val="24"/>
          <w:szCs w:val="24"/>
        </w:rPr>
        <w:t xml:space="preserve">No. </w:t>
      </w:r>
      <w:r w:rsidRPr="00C61897">
        <w:rPr>
          <w:rFonts w:ascii="Arial" w:hAnsi="Arial" w:cs="Arial"/>
          <w:sz w:val="24"/>
          <w:szCs w:val="24"/>
        </w:rPr>
        <w:t xml:space="preserve">54, </w:t>
      </w:r>
      <w:r>
        <w:rPr>
          <w:rFonts w:ascii="Arial" w:hAnsi="Arial" w:cs="Arial"/>
          <w:sz w:val="24"/>
          <w:szCs w:val="24"/>
        </w:rPr>
        <w:t xml:space="preserve">pp. 61- 93 at p. </w:t>
      </w:r>
      <w:r w:rsidRPr="00C61897">
        <w:rPr>
          <w:rFonts w:ascii="Arial" w:hAnsi="Arial" w:cs="Arial"/>
          <w:sz w:val="24"/>
          <w:szCs w:val="24"/>
        </w:rPr>
        <w:t>61</w:t>
      </w:r>
      <w:r>
        <w:rPr>
          <w:rFonts w:ascii="Arial" w:hAnsi="Arial" w:cs="Arial"/>
          <w:sz w:val="24"/>
          <w:szCs w:val="24"/>
        </w:rPr>
        <w:t xml:space="preserve"> and p.</w:t>
      </w:r>
      <w:r w:rsidRPr="00C61897">
        <w:rPr>
          <w:rFonts w:ascii="Arial" w:hAnsi="Arial" w:cs="Arial"/>
          <w:sz w:val="24"/>
          <w:szCs w:val="24"/>
        </w:rPr>
        <w:t xml:space="preserve"> 84.</w:t>
      </w:r>
    </w:p>
  </w:endnote>
  <w:endnote w:id="78">
    <w:p w14:paraId="22149FB3"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 xml:space="preserve">82-3. </w:t>
      </w:r>
    </w:p>
  </w:endnote>
  <w:endnote w:id="79">
    <w:p w14:paraId="0C3F5AAA"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A</w:t>
      </w:r>
      <w:r>
        <w:rPr>
          <w:rFonts w:ascii="Arial" w:hAnsi="Arial" w:cs="Arial"/>
          <w:sz w:val="24"/>
          <w:szCs w:val="24"/>
        </w:rPr>
        <w:t>.</w:t>
      </w:r>
      <w:r w:rsidRPr="00C61897">
        <w:rPr>
          <w:rFonts w:ascii="Arial" w:hAnsi="Arial" w:cs="Arial"/>
          <w:sz w:val="24"/>
          <w:szCs w:val="24"/>
        </w:rPr>
        <w:t xml:space="preserve"> Norrie</w:t>
      </w:r>
      <w:r>
        <w:rPr>
          <w:rFonts w:ascii="Arial" w:hAnsi="Arial" w:cs="Arial"/>
          <w:sz w:val="24"/>
          <w:szCs w:val="24"/>
        </w:rPr>
        <w:t xml:space="preserve"> (1993)</w:t>
      </w:r>
      <w:r w:rsidRPr="00C61897">
        <w:rPr>
          <w:rFonts w:ascii="Arial" w:hAnsi="Arial" w:cs="Arial"/>
          <w:sz w:val="24"/>
          <w:szCs w:val="24"/>
        </w:rPr>
        <w:t xml:space="preserve"> </w:t>
      </w:r>
      <w:r w:rsidRPr="00C61897">
        <w:rPr>
          <w:rFonts w:ascii="Arial" w:hAnsi="Arial" w:cs="Arial"/>
          <w:i/>
          <w:sz w:val="24"/>
          <w:szCs w:val="24"/>
        </w:rPr>
        <w:t>Crime Reason and History:</w:t>
      </w:r>
      <w:r w:rsidRPr="00C61897">
        <w:rPr>
          <w:rFonts w:ascii="Arial" w:hAnsi="Arial" w:cs="Arial"/>
          <w:sz w:val="24"/>
          <w:szCs w:val="24"/>
        </w:rPr>
        <w:t xml:space="preserve"> </w:t>
      </w:r>
      <w:r w:rsidRPr="00C61897">
        <w:rPr>
          <w:rFonts w:ascii="Arial" w:hAnsi="Arial" w:cs="Arial"/>
          <w:i/>
          <w:sz w:val="24"/>
          <w:szCs w:val="24"/>
        </w:rPr>
        <w:t>A Critical Introduction to Criminal Law</w:t>
      </w:r>
      <w:r w:rsidRPr="00C61897">
        <w:rPr>
          <w:rFonts w:ascii="Arial" w:hAnsi="Arial" w:cs="Arial"/>
          <w:sz w:val="24"/>
          <w:szCs w:val="24"/>
        </w:rPr>
        <w:t xml:space="preserve"> (London: Wiedenfeld and Nicolson), </w:t>
      </w:r>
      <w:r>
        <w:rPr>
          <w:rFonts w:ascii="Arial" w:hAnsi="Arial" w:cs="Arial"/>
          <w:sz w:val="24"/>
          <w:szCs w:val="24"/>
        </w:rPr>
        <w:t xml:space="preserve">pp. </w:t>
      </w:r>
      <w:r w:rsidRPr="00C61897">
        <w:rPr>
          <w:rFonts w:ascii="Arial" w:hAnsi="Arial" w:cs="Arial"/>
          <w:sz w:val="24"/>
          <w:szCs w:val="24"/>
        </w:rPr>
        <w:t>85-6.</w:t>
      </w:r>
    </w:p>
  </w:endnote>
  <w:endnote w:id="80">
    <w:p w14:paraId="7585EDEB"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Wilson</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i/>
          <w:sz w:val="24"/>
          <w:szCs w:val="24"/>
        </w:rPr>
        <w:t>The Origins of Modern Financial Crime</w:t>
      </w:r>
      <w:r w:rsidRPr="00C61897">
        <w:rPr>
          <w:rFonts w:ascii="Arial" w:hAnsi="Arial" w:cs="Arial"/>
          <w:sz w:val="24"/>
          <w:szCs w:val="24"/>
        </w:rPr>
        <w:t>.</w:t>
      </w:r>
    </w:p>
  </w:endnote>
  <w:endnote w:id="81">
    <w:p w14:paraId="2E05391F"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Friedrichs</w:t>
      </w:r>
      <w:r>
        <w:rPr>
          <w:rFonts w:ascii="Arial" w:hAnsi="Arial" w:cs="Arial"/>
          <w:sz w:val="24"/>
          <w:szCs w:val="24"/>
        </w:rPr>
        <w:t xml:space="preserve"> (2012)</w:t>
      </w:r>
      <w:r w:rsidRPr="00C61897">
        <w:rPr>
          <w:rFonts w:ascii="Arial" w:hAnsi="Arial" w:cs="Arial"/>
          <w:sz w:val="24"/>
          <w:szCs w:val="24"/>
        </w:rPr>
        <w:t xml:space="preserve"> ‘Wall Street</w:t>
      </w:r>
      <w:r>
        <w:rPr>
          <w:rFonts w:ascii="Arial" w:hAnsi="Arial" w:cs="Arial"/>
          <w:sz w:val="24"/>
          <w:szCs w:val="24"/>
        </w:rPr>
        <w:t xml:space="preserve">’, </w:t>
      </w:r>
      <w:r w:rsidRPr="00276D16">
        <w:rPr>
          <w:rFonts w:ascii="Arial" w:hAnsi="Arial" w:cs="Arial"/>
          <w:sz w:val="24"/>
          <w:szCs w:val="24"/>
        </w:rPr>
        <w:t>p. 5.</w:t>
      </w:r>
    </w:p>
  </w:endnote>
  <w:endnote w:id="82">
    <w:p w14:paraId="196D31B5" w14:textId="5D04AB9F"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Evans</w:t>
      </w:r>
      <w:r>
        <w:rPr>
          <w:rFonts w:ascii="Arial" w:hAnsi="Arial" w:cs="Arial"/>
          <w:sz w:val="24"/>
          <w:szCs w:val="24"/>
        </w:rPr>
        <w:t xml:space="preserve"> (1968 edition)</w:t>
      </w:r>
      <w:r w:rsidRPr="00C61897">
        <w:rPr>
          <w:rFonts w:ascii="Arial" w:hAnsi="Arial" w:cs="Arial"/>
          <w:sz w:val="24"/>
          <w:szCs w:val="24"/>
        </w:rPr>
        <w:t xml:space="preserve"> </w:t>
      </w:r>
      <w:r w:rsidRPr="00C61897">
        <w:rPr>
          <w:rFonts w:ascii="Arial" w:hAnsi="Arial" w:cs="Arial"/>
          <w:i/>
          <w:iCs/>
          <w:sz w:val="24"/>
          <w:szCs w:val="24"/>
        </w:rPr>
        <w:t>Facts, Failures and Frauds</w:t>
      </w:r>
      <w:r w:rsidRPr="00C61897">
        <w:rPr>
          <w:rFonts w:ascii="Arial" w:hAnsi="Arial" w:cs="Arial"/>
          <w:i/>
          <w:sz w:val="24"/>
          <w:szCs w:val="24"/>
        </w:rPr>
        <w:t>,</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w:t>
      </w:r>
    </w:p>
  </w:endnote>
  <w:endnote w:id="83">
    <w:p w14:paraId="0D189F42"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Sutherland</w:t>
      </w:r>
      <w:r>
        <w:rPr>
          <w:rFonts w:ascii="Arial" w:hAnsi="Arial" w:cs="Arial"/>
          <w:sz w:val="24"/>
          <w:szCs w:val="24"/>
        </w:rPr>
        <w:t xml:space="preserve"> (1945)</w:t>
      </w:r>
      <w:r w:rsidRPr="00C61897">
        <w:rPr>
          <w:rFonts w:ascii="Arial" w:hAnsi="Arial" w:cs="Arial"/>
          <w:sz w:val="24"/>
          <w:szCs w:val="24"/>
        </w:rPr>
        <w:t xml:space="preserve"> ‘Is “White Collar Crime” Crime?’, </w:t>
      </w:r>
      <w:r>
        <w:rPr>
          <w:rFonts w:ascii="Arial" w:hAnsi="Arial" w:cs="Arial"/>
          <w:sz w:val="24"/>
          <w:szCs w:val="24"/>
        </w:rPr>
        <w:t xml:space="preserve">p. </w:t>
      </w:r>
      <w:r w:rsidRPr="00C61897">
        <w:rPr>
          <w:rFonts w:ascii="Arial" w:hAnsi="Arial" w:cs="Arial"/>
          <w:sz w:val="24"/>
          <w:szCs w:val="24"/>
        </w:rPr>
        <w:t>132.</w:t>
      </w:r>
    </w:p>
  </w:endnote>
  <w:endnote w:id="84">
    <w:p w14:paraId="04A26ACA"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136</w:t>
      </w:r>
      <w:r>
        <w:rPr>
          <w:rFonts w:ascii="Arial" w:hAnsi="Arial" w:cs="Arial"/>
          <w:sz w:val="24"/>
          <w:szCs w:val="24"/>
        </w:rPr>
        <w:t>,</w:t>
      </w:r>
      <w:r w:rsidRPr="00C61897">
        <w:rPr>
          <w:rFonts w:ascii="Arial" w:hAnsi="Arial" w:cs="Arial"/>
          <w:sz w:val="24"/>
          <w:szCs w:val="24"/>
        </w:rPr>
        <w:t xml:space="preserve"> with this sentiment also reflected on in T</w:t>
      </w:r>
      <w:r>
        <w:rPr>
          <w:rFonts w:ascii="Arial" w:hAnsi="Arial" w:cs="Arial"/>
          <w:sz w:val="24"/>
          <w:szCs w:val="24"/>
        </w:rPr>
        <w:t>.</w:t>
      </w:r>
      <w:r w:rsidRPr="00C61897">
        <w:rPr>
          <w:rFonts w:ascii="Arial" w:hAnsi="Arial" w:cs="Arial"/>
          <w:sz w:val="24"/>
          <w:szCs w:val="24"/>
        </w:rPr>
        <w:t>M</w:t>
      </w:r>
      <w:r>
        <w:rPr>
          <w:rFonts w:ascii="Arial" w:hAnsi="Arial" w:cs="Arial"/>
          <w:sz w:val="24"/>
          <w:szCs w:val="24"/>
        </w:rPr>
        <w:t>.</w:t>
      </w:r>
      <w:r w:rsidRPr="00C61897">
        <w:rPr>
          <w:rFonts w:ascii="Arial" w:hAnsi="Arial" w:cs="Arial"/>
          <w:sz w:val="24"/>
          <w:szCs w:val="24"/>
        </w:rPr>
        <w:t xml:space="preserve"> Ashe and L</w:t>
      </w:r>
      <w:r>
        <w:rPr>
          <w:rFonts w:ascii="Arial" w:hAnsi="Arial" w:cs="Arial"/>
          <w:sz w:val="24"/>
          <w:szCs w:val="24"/>
        </w:rPr>
        <w:t>.</w:t>
      </w:r>
      <w:r w:rsidRPr="00C61897">
        <w:rPr>
          <w:rFonts w:ascii="Arial" w:hAnsi="Arial" w:cs="Arial"/>
          <w:sz w:val="24"/>
          <w:szCs w:val="24"/>
        </w:rPr>
        <w:t xml:space="preserve"> Counsell</w:t>
      </w:r>
      <w:r>
        <w:rPr>
          <w:rFonts w:ascii="Arial" w:hAnsi="Arial" w:cs="Arial"/>
          <w:sz w:val="24"/>
          <w:szCs w:val="24"/>
        </w:rPr>
        <w:t xml:space="preserve"> 91993)</w:t>
      </w:r>
      <w:r w:rsidRPr="00C61897">
        <w:rPr>
          <w:rFonts w:ascii="Arial" w:hAnsi="Arial" w:cs="Arial"/>
          <w:sz w:val="24"/>
          <w:szCs w:val="24"/>
        </w:rPr>
        <w:t xml:space="preserve"> </w:t>
      </w:r>
      <w:r w:rsidRPr="00C61897">
        <w:rPr>
          <w:rFonts w:ascii="Arial" w:hAnsi="Arial" w:cs="Arial"/>
          <w:i/>
          <w:sz w:val="24"/>
          <w:szCs w:val="24"/>
        </w:rPr>
        <w:t>Insider Trading</w:t>
      </w:r>
      <w:r w:rsidRPr="00C61897">
        <w:rPr>
          <w:rFonts w:ascii="Arial" w:hAnsi="Arial" w:cs="Arial"/>
          <w:sz w:val="24"/>
          <w:szCs w:val="24"/>
        </w:rPr>
        <w:t xml:space="preserve"> (Croydon: Tolley), </w:t>
      </w:r>
      <w:r>
        <w:rPr>
          <w:rFonts w:ascii="Arial" w:hAnsi="Arial" w:cs="Arial"/>
          <w:sz w:val="24"/>
          <w:szCs w:val="24"/>
        </w:rPr>
        <w:t xml:space="preserve">pp. </w:t>
      </w:r>
      <w:r w:rsidRPr="00C61897">
        <w:rPr>
          <w:rFonts w:ascii="Arial" w:hAnsi="Arial" w:cs="Arial"/>
          <w:sz w:val="24"/>
          <w:szCs w:val="24"/>
        </w:rPr>
        <w:t>178-9.</w:t>
      </w:r>
    </w:p>
  </w:endnote>
  <w:endnote w:id="85">
    <w:p w14:paraId="65E7899E"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139.</w:t>
      </w:r>
    </w:p>
  </w:endnote>
  <w:endnote w:id="86">
    <w:p w14:paraId="7E97621D"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With both viewpoints explained in Nelken</w:t>
      </w:r>
      <w:r>
        <w:rPr>
          <w:rFonts w:ascii="Arial" w:hAnsi="Arial" w:cs="Arial"/>
          <w:sz w:val="24"/>
          <w:szCs w:val="24"/>
        </w:rPr>
        <w:t xml:space="preserve"> (1994)</w:t>
      </w:r>
      <w:r w:rsidRPr="00C61897">
        <w:rPr>
          <w:rFonts w:ascii="Arial" w:hAnsi="Arial" w:cs="Arial"/>
          <w:sz w:val="24"/>
          <w:szCs w:val="24"/>
        </w:rPr>
        <w:t xml:space="preserve"> ‘White-Collar Crime’</w:t>
      </w:r>
      <w:r>
        <w:rPr>
          <w:rFonts w:ascii="Arial" w:hAnsi="Arial" w:cs="Arial"/>
          <w:sz w:val="24"/>
          <w:szCs w:val="24"/>
        </w:rPr>
        <w:t xml:space="preserve">, </w:t>
      </w:r>
      <w:r>
        <w:rPr>
          <w:rFonts w:ascii="Arial" w:hAnsi="Arial" w:cs="Arial"/>
          <w:i/>
          <w:sz w:val="24"/>
          <w:szCs w:val="24"/>
        </w:rPr>
        <w:t>passim</w:t>
      </w:r>
      <w:r w:rsidRPr="00C61897">
        <w:rPr>
          <w:rFonts w:ascii="Arial" w:hAnsi="Arial" w:cs="Arial"/>
          <w:sz w:val="24"/>
          <w:szCs w:val="24"/>
        </w:rPr>
        <w:t>.</w:t>
      </w:r>
    </w:p>
  </w:endnote>
  <w:endnote w:id="87">
    <w:p w14:paraId="109BEC12" w14:textId="77777777" w:rsidR="00EE7708" w:rsidRPr="00901B21" w:rsidRDefault="00EE7708" w:rsidP="00951021">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Particularly crimes against persons involving violence: see M</w:t>
      </w:r>
      <w:r>
        <w:rPr>
          <w:rFonts w:ascii="Arial" w:hAnsi="Arial" w:cs="Arial"/>
          <w:sz w:val="24"/>
          <w:szCs w:val="24"/>
        </w:rPr>
        <w:t>.</w:t>
      </w:r>
      <w:r w:rsidRPr="00C61897">
        <w:rPr>
          <w:rFonts w:ascii="Arial" w:hAnsi="Arial" w:cs="Arial"/>
          <w:sz w:val="24"/>
          <w:szCs w:val="24"/>
        </w:rPr>
        <w:t xml:space="preserve"> Cole ‘The FSA's </w:t>
      </w:r>
      <w:r w:rsidRPr="00901B21">
        <w:rPr>
          <w:rFonts w:ascii="Arial" w:hAnsi="Arial" w:cs="Arial"/>
          <w:sz w:val="24"/>
          <w:szCs w:val="24"/>
        </w:rPr>
        <w:t>approach to insider dealing’, Speech, American Bar Association, 4</w:t>
      </w:r>
      <w:r w:rsidRPr="00901B21">
        <w:rPr>
          <w:rFonts w:ascii="Arial" w:hAnsi="Arial" w:cs="Arial"/>
          <w:sz w:val="24"/>
          <w:szCs w:val="24"/>
          <w:vertAlign w:val="superscript"/>
        </w:rPr>
        <w:t>th</w:t>
      </w:r>
      <w:r w:rsidRPr="00901B21">
        <w:rPr>
          <w:rFonts w:ascii="Arial" w:hAnsi="Arial" w:cs="Arial"/>
          <w:sz w:val="24"/>
          <w:szCs w:val="24"/>
        </w:rPr>
        <w:t xml:space="preserve"> of October 2007. </w:t>
      </w:r>
    </w:p>
  </w:endnote>
  <w:endnote w:id="88">
    <w:p w14:paraId="2AF596AC" w14:textId="18102A4E" w:rsidR="00EE7708" w:rsidRDefault="00EE7708" w:rsidP="00951021">
      <w:pPr>
        <w:pStyle w:val="EndnoteText"/>
        <w:spacing w:line="480" w:lineRule="auto"/>
        <w:jc w:val="both"/>
      </w:pPr>
      <w:r w:rsidRPr="00901B21">
        <w:rPr>
          <w:rStyle w:val="EndnoteReference"/>
          <w:rFonts w:ascii="Arial" w:hAnsi="Arial" w:cs="Arial"/>
          <w:sz w:val="24"/>
          <w:szCs w:val="24"/>
        </w:rPr>
        <w:endnoteRef/>
      </w:r>
      <w:r w:rsidRPr="00901B21">
        <w:rPr>
          <w:rFonts w:ascii="Arial" w:hAnsi="Arial" w:cs="Arial"/>
          <w:sz w:val="24"/>
          <w:szCs w:val="24"/>
        </w:rPr>
        <w:t xml:space="preserve"> Perkin (1969) </w:t>
      </w:r>
      <w:r w:rsidRPr="00901B21">
        <w:rPr>
          <w:rFonts w:ascii="Arial" w:hAnsi="Arial" w:cs="Arial"/>
          <w:i/>
          <w:iCs/>
          <w:sz w:val="24"/>
          <w:szCs w:val="24"/>
        </w:rPr>
        <w:t>Origins of Modern English Society</w:t>
      </w:r>
      <w:r w:rsidRPr="00901B21">
        <w:rPr>
          <w:rFonts w:ascii="Arial" w:hAnsi="Arial" w:cs="Arial"/>
          <w:sz w:val="24"/>
          <w:szCs w:val="24"/>
        </w:rPr>
        <w:t>, p. 442.</w:t>
      </w:r>
    </w:p>
  </w:endnote>
  <w:endnote w:id="89">
    <w:p w14:paraId="48BC39FE" w14:textId="7575BE22" w:rsidR="00EE7708" w:rsidRPr="00C61897" w:rsidRDefault="00EE7708" w:rsidP="00951021">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Evans</w:t>
      </w:r>
      <w:r>
        <w:rPr>
          <w:rFonts w:ascii="Arial" w:hAnsi="Arial" w:cs="Arial"/>
          <w:sz w:val="24"/>
          <w:szCs w:val="24"/>
        </w:rPr>
        <w:t xml:space="preserve"> (1968 edition)</w:t>
      </w:r>
      <w:r w:rsidRPr="00C61897">
        <w:rPr>
          <w:rFonts w:ascii="Arial" w:hAnsi="Arial" w:cs="Arial"/>
          <w:sz w:val="24"/>
          <w:szCs w:val="24"/>
        </w:rPr>
        <w:t xml:space="preserve"> </w:t>
      </w:r>
      <w:r w:rsidRPr="00C61897">
        <w:rPr>
          <w:rFonts w:ascii="Arial" w:hAnsi="Arial" w:cs="Arial"/>
          <w:i/>
          <w:iCs/>
          <w:sz w:val="24"/>
          <w:szCs w:val="24"/>
        </w:rPr>
        <w:t>Facts, Failures and Frauds</w:t>
      </w:r>
      <w:r>
        <w:rPr>
          <w:rFonts w:ascii="Arial" w:hAnsi="Arial" w:cs="Arial"/>
          <w:i/>
          <w:iCs/>
          <w:sz w:val="24"/>
          <w:szCs w:val="24"/>
        </w:rPr>
        <w:t>,</w:t>
      </w:r>
      <w:r w:rsidRPr="00C61897">
        <w:rPr>
          <w:rFonts w:ascii="Arial" w:hAnsi="Arial" w:cs="Arial"/>
          <w:i/>
          <w:iCs/>
          <w:sz w:val="24"/>
          <w:szCs w:val="24"/>
        </w:rPr>
        <w:t xml:space="preserve"> </w:t>
      </w:r>
      <w:r>
        <w:rPr>
          <w:rFonts w:ascii="Arial" w:hAnsi="Arial" w:cs="Arial"/>
          <w:sz w:val="24"/>
          <w:szCs w:val="24"/>
        </w:rPr>
        <w:t xml:space="preserve">pp. </w:t>
      </w:r>
      <w:r w:rsidRPr="00C61897">
        <w:rPr>
          <w:rFonts w:ascii="Arial" w:hAnsi="Arial" w:cs="Arial"/>
          <w:sz w:val="24"/>
          <w:szCs w:val="24"/>
        </w:rPr>
        <w:t>1-5.</w:t>
      </w:r>
    </w:p>
  </w:endnote>
  <w:endnote w:id="90">
    <w:p w14:paraId="78099BBD" w14:textId="77777777" w:rsidR="00EE7708" w:rsidRPr="00C61897" w:rsidRDefault="00EE7708" w:rsidP="00951021">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w:t>
      </w:r>
    </w:p>
  </w:endnote>
  <w:endnote w:id="91">
    <w:p w14:paraId="23A89307"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1-2.</w:t>
      </w:r>
    </w:p>
  </w:endnote>
  <w:endnote w:id="92">
    <w:p w14:paraId="151D46A4" w14:textId="77777777" w:rsidR="00EE7708" w:rsidRPr="00C61897" w:rsidRDefault="00EE7708" w:rsidP="00951021">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A94C12">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1-5.</w:t>
      </w:r>
    </w:p>
  </w:endnote>
  <w:endnote w:id="93">
    <w:p w14:paraId="62401AA9" w14:textId="2E5BCA28" w:rsidR="00EE7708" w:rsidRDefault="00EE7708" w:rsidP="00951021">
      <w:pPr>
        <w:pStyle w:val="EndnoteText"/>
        <w:spacing w:line="480" w:lineRule="auto"/>
        <w:jc w:val="both"/>
      </w:pPr>
      <w:r w:rsidRPr="00065227">
        <w:rPr>
          <w:rStyle w:val="EndnoteReference"/>
          <w:rFonts w:ascii="Arial" w:hAnsi="Arial" w:cs="Arial"/>
          <w:sz w:val="24"/>
          <w:szCs w:val="24"/>
        </w:rPr>
        <w:endnoteRef/>
      </w:r>
      <w:r w:rsidRPr="00065227">
        <w:rPr>
          <w:rFonts w:ascii="Arial" w:hAnsi="Arial" w:cs="Arial"/>
          <w:sz w:val="24"/>
          <w:szCs w:val="24"/>
        </w:rPr>
        <w:t xml:space="preserve"> </w:t>
      </w:r>
      <w:r>
        <w:rPr>
          <w:rFonts w:ascii="Arial" w:hAnsi="Arial" w:cs="Arial"/>
          <w:sz w:val="24"/>
          <w:szCs w:val="24"/>
        </w:rPr>
        <w:t xml:space="preserve">See </w:t>
      </w:r>
      <w:r w:rsidRPr="00065227">
        <w:rPr>
          <w:rFonts w:ascii="Arial" w:hAnsi="Arial" w:cs="Arial"/>
          <w:sz w:val="24"/>
          <w:szCs w:val="24"/>
        </w:rPr>
        <w:t xml:space="preserve">Taylor (2013) </w:t>
      </w:r>
      <w:r w:rsidRPr="00065227">
        <w:rPr>
          <w:rFonts w:ascii="Arial" w:hAnsi="Arial" w:cs="Arial"/>
          <w:i/>
          <w:sz w:val="24"/>
          <w:szCs w:val="24"/>
        </w:rPr>
        <w:t>Boardroom Scandal</w:t>
      </w:r>
      <w:r w:rsidRPr="00065227">
        <w:rPr>
          <w:rFonts w:ascii="Arial" w:hAnsi="Arial" w:cs="Arial"/>
          <w:sz w:val="24"/>
          <w:szCs w:val="24"/>
        </w:rPr>
        <w:t>, especially pp</w:t>
      </w:r>
      <w:r w:rsidR="00951021">
        <w:rPr>
          <w:rFonts w:ascii="Arial" w:hAnsi="Arial" w:cs="Arial"/>
          <w:sz w:val="24"/>
          <w:szCs w:val="24"/>
        </w:rPr>
        <w:t>.</w:t>
      </w:r>
      <w:r w:rsidRPr="00065227">
        <w:rPr>
          <w:rFonts w:ascii="Arial" w:hAnsi="Arial" w:cs="Arial"/>
          <w:sz w:val="24"/>
          <w:szCs w:val="24"/>
        </w:rPr>
        <w:t xml:space="preserve"> 1-</w:t>
      </w:r>
      <w:r>
        <w:rPr>
          <w:rFonts w:ascii="Arial" w:hAnsi="Arial" w:cs="Arial"/>
          <w:sz w:val="24"/>
          <w:szCs w:val="24"/>
        </w:rPr>
        <w:t>7</w:t>
      </w:r>
      <w:r w:rsidRPr="00065227">
        <w:rPr>
          <w:rFonts w:ascii="Arial" w:hAnsi="Arial" w:cs="Arial"/>
          <w:sz w:val="24"/>
          <w:szCs w:val="24"/>
        </w:rPr>
        <w:t>.</w:t>
      </w:r>
    </w:p>
  </w:endnote>
  <w:endnote w:id="94">
    <w:p w14:paraId="1F2BC5EA" w14:textId="33B5D340" w:rsidR="00EE7708" w:rsidRPr="00C61897" w:rsidRDefault="00EE7708" w:rsidP="00951021">
      <w:pPr>
        <w:pStyle w:val="EndnoteText"/>
        <w:spacing w:line="480" w:lineRule="auto"/>
        <w:jc w:val="both"/>
        <w:rPr>
          <w:rFonts w:ascii="Arial" w:hAnsi="Arial" w:cs="Arial"/>
          <w:sz w:val="24"/>
          <w:szCs w:val="24"/>
        </w:rPr>
      </w:pPr>
      <w:r w:rsidRPr="00980D57">
        <w:rPr>
          <w:rStyle w:val="EndnoteReference"/>
          <w:rFonts w:ascii="Arial" w:hAnsi="Arial" w:cs="Arial"/>
          <w:sz w:val="24"/>
          <w:szCs w:val="24"/>
        </w:rPr>
        <w:endnoteRef/>
      </w:r>
      <w:r w:rsidRPr="00980D57">
        <w:rPr>
          <w:rFonts w:ascii="Arial" w:hAnsi="Arial" w:cs="Arial"/>
          <w:sz w:val="24"/>
          <w:szCs w:val="24"/>
        </w:rPr>
        <w:t xml:space="preserve"> D</w:t>
      </w:r>
      <w:r>
        <w:rPr>
          <w:rFonts w:ascii="Arial" w:hAnsi="Arial" w:cs="Arial"/>
          <w:sz w:val="24"/>
          <w:szCs w:val="24"/>
        </w:rPr>
        <w:t>.</w:t>
      </w:r>
      <w:r w:rsidRPr="00980D57">
        <w:rPr>
          <w:rFonts w:ascii="Arial" w:hAnsi="Arial" w:cs="Arial"/>
          <w:sz w:val="24"/>
          <w:szCs w:val="24"/>
        </w:rPr>
        <w:t>M</w:t>
      </w:r>
      <w:r>
        <w:rPr>
          <w:rFonts w:ascii="Arial" w:hAnsi="Arial" w:cs="Arial"/>
          <w:sz w:val="24"/>
          <w:szCs w:val="24"/>
        </w:rPr>
        <w:t>.</w:t>
      </w:r>
      <w:r w:rsidRPr="00980D57">
        <w:rPr>
          <w:rFonts w:ascii="Arial" w:hAnsi="Arial" w:cs="Arial"/>
          <w:sz w:val="24"/>
          <w:szCs w:val="24"/>
        </w:rPr>
        <w:t xml:space="preserve"> Evans</w:t>
      </w:r>
      <w:r>
        <w:rPr>
          <w:rFonts w:ascii="Arial" w:hAnsi="Arial" w:cs="Arial"/>
          <w:sz w:val="24"/>
          <w:szCs w:val="24"/>
        </w:rPr>
        <w:t xml:space="preserve"> (1970)</w:t>
      </w:r>
      <w:r w:rsidRPr="00980D57">
        <w:rPr>
          <w:rFonts w:ascii="Arial" w:hAnsi="Arial" w:cs="Arial"/>
          <w:i/>
          <w:iCs/>
          <w:sz w:val="24"/>
          <w:szCs w:val="24"/>
          <w:lang w:val="en-US"/>
        </w:rPr>
        <w:t xml:space="preserve"> The Commercial Crisis 1847-1848</w:t>
      </w:r>
      <w:r w:rsidRPr="00980D57">
        <w:rPr>
          <w:rFonts w:ascii="Arial" w:hAnsi="Arial" w:cs="Arial"/>
          <w:iCs/>
          <w:sz w:val="24"/>
          <w:szCs w:val="24"/>
          <w:lang w:val="en-US"/>
        </w:rPr>
        <w:t xml:space="preserve"> (</w:t>
      </w:r>
      <w:r w:rsidRPr="00980D57">
        <w:rPr>
          <w:rFonts w:ascii="Arial" w:hAnsi="Arial" w:cs="Arial"/>
          <w:sz w:val="24"/>
          <w:szCs w:val="24"/>
          <w:lang w:val="en-US"/>
        </w:rPr>
        <w:t>1848, reprinted New York: Burt</w:t>
      </w:r>
      <w:r w:rsidRPr="00C61897">
        <w:rPr>
          <w:rFonts w:ascii="Arial" w:hAnsi="Arial" w:cs="Arial"/>
          <w:sz w:val="24"/>
          <w:szCs w:val="24"/>
          <w:lang w:val="en-US"/>
        </w:rPr>
        <w:t xml:space="preserve"> Franklin), </w:t>
      </w:r>
      <w:r>
        <w:rPr>
          <w:rFonts w:ascii="Arial" w:hAnsi="Arial" w:cs="Arial"/>
          <w:sz w:val="24"/>
          <w:szCs w:val="24"/>
          <w:lang w:val="en-US"/>
        </w:rPr>
        <w:t xml:space="preserve">p. </w:t>
      </w:r>
      <w:r w:rsidRPr="00C61897">
        <w:rPr>
          <w:rFonts w:ascii="Arial" w:hAnsi="Arial" w:cs="Arial"/>
          <w:sz w:val="24"/>
          <w:szCs w:val="24"/>
        </w:rPr>
        <w:t>33.</w:t>
      </w:r>
    </w:p>
  </w:endnote>
  <w:endnote w:id="95">
    <w:p w14:paraId="6D546EA8" w14:textId="78350D21"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Taylor</w:t>
      </w:r>
      <w:r>
        <w:rPr>
          <w:rFonts w:ascii="Arial" w:hAnsi="Arial" w:cs="Arial"/>
          <w:sz w:val="24"/>
          <w:szCs w:val="24"/>
        </w:rPr>
        <w:t xml:space="preserve"> (2013)</w:t>
      </w:r>
      <w:r w:rsidRPr="00C61897">
        <w:rPr>
          <w:rFonts w:ascii="Arial" w:hAnsi="Arial" w:cs="Arial"/>
          <w:sz w:val="24"/>
          <w:szCs w:val="24"/>
        </w:rPr>
        <w:t xml:space="preserve"> </w:t>
      </w:r>
      <w:r w:rsidRPr="00C61897">
        <w:rPr>
          <w:rFonts w:ascii="Arial" w:hAnsi="Arial" w:cs="Arial"/>
          <w:i/>
          <w:sz w:val="24"/>
          <w:szCs w:val="24"/>
        </w:rPr>
        <w:t>Boardroom Scandal</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187-212.</w:t>
      </w:r>
    </w:p>
  </w:endnote>
  <w:endnote w:id="96">
    <w:p w14:paraId="5B261C44" w14:textId="2645A74C"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Friedrichs</w:t>
      </w:r>
      <w:r>
        <w:rPr>
          <w:rFonts w:ascii="Arial" w:hAnsi="Arial" w:cs="Arial"/>
          <w:sz w:val="24"/>
          <w:szCs w:val="24"/>
        </w:rPr>
        <w:t xml:space="preserve"> (2012)</w:t>
      </w:r>
      <w:r w:rsidRPr="00C61897">
        <w:rPr>
          <w:rFonts w:ascii="Arial" w:hAnsi="Arial" w:cs="Arial"/>
          <w:sz w:val="24"/>
          <w:szCs w:val="24"/>
        </w:rPr>
        <w:t xml:space="preserve"> ‘Wall Street</w:t>
      </w:r>
      <w:r>
        <w:rPr>
          <w:rFonts w:ascii="Arial" w:hAnsi="Arial" w:cs="Arial"/>
          <w:sz w:val="24"/>
          <w:szCs w:val="24"/>
        </w:rPr>
        <w:t>’, p.</w:t>
      </w:r>
      <w:r w:rsidRPr="00C61897">
        <w:rPr>
          <w:rFonts w:ascii="Arial" w:hAnsi="Arial" w:cs="Arial"/>
          <w:sz w:val="24"/>
          <w:szCs w:val="24"/>
        </w:rPr>
        <w:t xml:space="preserve"> 6.</w:t>
      </w:r>
    </w:p>
  </w:endnote>
  <w:endnote w:id="97">
    <w:p w14:paraId="601732A5" w14:textId="252C96FE"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Evans</w:t>
      </w:r>
      <w:r>
        <w:rPr>
          <w:rFonts w:ascii="Arial" w:hAnsi="Arial" w:cs="Arial"/>
          <w:sz w:val="24"/>
          <w:szCs w:val="24"/>
        </w:rPr>
        <w:t xml:space="preserve"> (1968 edition)</w:t>
      </w:r>
      <w:r w:rsidRPr="00C61897">
        <w:rPr>
          <w:rFonts w:ascii="Arial" w:hAnsi="Arial" w:cs="Arial"/>
          <w:sz w:val="24"/>
          <w:szCs w:val="24"/>
        </w:rPr>
        <w:t xml:space="preserve"> </w:t>
      </w:r>
      <w:r w:rsidRPr="00C61897">
        <w:rPr>
          <w:rFonts w:ascii="Arial" w:hAnsi="Arial" w:cs="Arial"/>
          <w:i/>
          <w:iCs/>
          <w:sz w:val="24"/>
          <w:szCs w:val="24"/>
        </w:rPr>
        <w:t>Facts, Failures and Frauds</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5.</w:t>
      </w:r>
    </w:p>
  </w:endnote>
  <w:endnote w:id="98">
    <w:p w14:paraId="74FECAE4" w14:textId="2B70FAE8"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Wilson</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i/>
          <w:sz w:val="24"/>
          <w:szCs w:val="24"/>
        </w:rPr>
        <w:t>The Origins of Modern Financial Crime</w:t>
      </w:r>
      <w:r w:rsidRPr="00C61897">
        <w:rPr>
          <w:rFonts w:ascii="Arial" w:hAnsi="Arial" w:cs="Arial"/>
          <w:sz w:val="24"/>
          <w:szCs w:val="24"/>
        </w:rPr>
        <w:t>.</w:t>
      </w:r>
    </w:p>
  </w:endnote>
  <w:endnote w:id="99">
    <w:p w14:paraId="6DBA7CB2" w14:textId="30D1F8F1"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For lawyers this is what discerns crime from other types of wrongs recognised by law: see G</w:t>
      </w:r>
      <w:r>
        <w:rPr>
          <w:rFonts w:ascii="Arial" w:hAnsi="Arial" w:cs="Arial"/>
          <w:sz w:val="24"/>
          <w:szCs w:val="24"/>
        </w:rPr>
        <w:t>.</w:t>
      </w:r>
      <w:r w:rsidRPr="00C61897">
        <w:rPr>
          <w:rFonts w:ascii="Arial" w:hAnsi="Arial" w:cs="Arial"/>
          <w:sz w:val="24"/>
          <w:szCs w:val="24"/>
        </w:rPr>
        <w:t xml:space="preserve"> Williams</w:t>
      </w:r>
      <w:r>
        <w:rPr>
          <w:rFonts w:ascii="Arial" w:hAnsi="Arial" w:cs="Arial"/>
          <w:sz w:val="24"/>
          <w:szCs w:val="24"/>
        </w:rPr>
        <w:t xml:space="preserve"> (1983)</w:t>
      </w:r>
      <w:r w:rsidRPr="00C61897">
        <w:rPr>
          <w:rFonts w:ascii="Arial" w:hAnsi="Arial" w:cs="Arial"/>
          <w:sz w:val="24"/>
          <w:szCs w:val="24"/>
        </w:rPr>
        <w:t xml:space="preserve"> </w:t>
      </w:r>
      <w:r w:rsidRPr="00C61897">
        <w:rPr>
          <w:rFonts w:ascii="Arial" w:hAnsi="Arial" w:cs="Arial"/>
          <w:i/>
          <w:sz w:val="24"/>
          <w:szCs w:val="24"/>
        </w:rPr>
        <w:t>Textbook of Criminal Law</w:t>
      </w:r>
      <w:r w:rsidRPr="00C61897">
        <w:rPr>
          <w:rFonts w:ascii="Arial" w:hAnsi="Arial" w:cs="Arial"/>
          <w:sz w:val="24"/>
          <w:szCs w:val="24"/>
        </w:rPr>
        <w:t xml:space="preserve"> (London: Stevens and Son).</w:t>
      </w:r>
    </w:p>
  </w:endnote>
  <w:endnote w:id="100">
    <w:p w14:paraId="264E99D9" w14:textId="639EA936"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As Benson and Simpson explain in </w:t>
      </w:r>
      <w:r>
        <w:rPr>
          <w:rFonts w:ascii="Arial" w:hAnsi="Arial" w:cs="Arial"/>
          <w:sz w:val="24"/>
          <w:szCs w:val="24"/>
        </w:rPr>
        <w:t>(2009)</w:t>
      </w:r>
      <w:r w:rsidRPr="00380285">
        <w:rPr>
          <w:rFonts w:ascii="Arial" w:hAnsi="Arial" w:cs="Arial"/>
          <w:sz w:val="24"/>
          <w:szCs w:val="24"/>
        </w:rPr>
        <w:t xml:space="preserve"> </w:t>
      </w:r>
      <w:r w:rsidRPr="00380285">
        <w:rPr>
          <w:rFonts w:ascii="Arial" w:hAnsi="Arial" w:cs="Arial"/>
          <w:i/>
          <w:sz w:val="24"/>
          <w:szCs w:val="24"/>
        </w:rPr>
        <w:t>White-Collar Crime</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5</w:t>
      </w:r>
      <w:r>
        <w:rPr>
          <w:rFonts w:ascii="Arial" w:hAnsi="Arial" w:cs="Arial"/>
          <w:sz w:val="24"/>
          <w:szCs w:val="24"/>
        </w:rPr>
        <w:t>,</w:t>
      </w:r>
      <w:r w:rsidRPr="00C61897">
        <w:rPr>
          <w:rFonts w:ascii="Arial" w:hAnsi="Arial" w:cs="Arial"/>
          <w:sz w:val="24"/>
          <w:szCs w:val="24"/>
        </w:rPr>
        <w:t xml:space="preserve"> Sutherland excluded ‘many crimes of the upper classes’ such as ones associated with violence and intoxication.</w:t>
      </w:r>
    </w:p>
  </w:endnote>
  <w:endnote w:id="101">
    <w:p w14:paraId="3070E3F0" w14:textId="2273D6C4" w:rsidR="00EE7708" w:rsidRPr="00951021" w:rsidRDefault="00EE7708" w:rsidP="00951021">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M</w:t>
      </w:r>
      <w:r>
        <w:rPr>
          <w:rFonts w:ascii="Arial" w:hAnsi="Arial" w:cs="Arial"/>
          <w:sz w:val="24"/>
          <w:szCs w:val="24"/>
        </w:rPr>
        <w:t>.</w:t>
      </w:r>
      <w:r w:rsidRPr="00C61897">
        <w:rPr>
          <w:rFonts w:ascii="Arial" w:hAnsi="Arial" w:cs="Arial"/>
          <w:sz w:val="24"/>
          <w:szCs w:val="24"/>
        </w:rPr>
        <w:t xml:space="preserve"> Wiener</w:t>
      </w:r>
      <w:r>
        <w:rPr>
          <w:rFonts w:ascii="Arial" w:hAnsi="Arial" w:cs="Arial"/>
          <w:sz w:val="24"/>
          <w:szCs w:val="24"/>
        </w:rPr>
        <w:t xml:space="preserve"> (1990)</w:t>
      </w:r>
      <w:r w:rsidRPr="00C61897">
        <w:rPr>
          <w:rFonts w:ascii="Arial" w:hAnsi="Arial" w:cs="Arial"/>
          <w:sz w:val="24"/>
          <w:szCs w:val="24"/>
        </w:rPr>
        <w:t xml:space="preserve"> </w:t>
      </w:r>
      <w:r w:rsidRPr="00C61897">
        <w:rPr>
          <w:rFonts w:ascii="Arial" w:hAnsi="Arial" w:cs="Arial"/>
          <w:i/>
          <w:iCs/>
          <w:sz w:val="24"/>
          <w:szCs w:val="24"/>
        </w:rPr>
        <w:t>Reconstructing the Criminal</w:t>
      </w:r>
      <w:r w:rsidRPr="00C61897">
        <w:rPr>
          <w:rFonts w:ascii="Arial" w:hAnsi="Arial" w:cs="Arial"/>
          <w:sz w:val="24"/>
          <w:szCs w:val="24"/>
        </w:rPr>
        <w:t xml:space="preserve">, </w:t>
      </w:r>
      <w:r w:rsidRPr="00C61897">
        <w:rPr>
          <w:rFonts w:ascii="Arial" w:hAnsi="Arial" w:cs="Arial"/>
          <w:i/>
          <w:iCs/>
          <w:sz w:val="24"/>
          <w:szCs w:val="24"/>
        </w:rPr>
        <w:t xml:space="preserve">Culture, Law, and Policy in </w:t>
      </w:r>
      <w:r w:rsidRPr="00951021">
        <w:rPr>
          <w:rFonts w:ascii="Arial" w:hAnsi="Arial" w:cs="Arial"/>
          <w:i/>
          <w:iCs/>
          <w:sz w:val="24"/>
          <w:szCs w:val="24"/>
        </w:rPr>
        <w:t>England 1830-1914</w:t>
      </w:r>
      <w:r w:rsidRPr="00951021">
        <w:rPr>
          <w:rFonts w:ascii="Arial" w:hAnsi="Arial" w:cs="Arial"/>
          <w:sz w:val="24"/>
          <w:szCs w:val="24"/>
        </w:rPr>
        <w:t xml:space="preserve"> (Cambridge: Cambridge University Press), p. 244.</w:t>
      </w:r>
    </w:p>
  </w:endnote>
  <w:endnote w:id="102">
    <w:p w14:paraId="2CB7EA1A" w14:textId="58DD2F18" w:rsidR="00EE7708" w:rsidRPr="00951021" w:rsidRDefault="00EE7708" w:rsidP="00951021">
      <w:pPr>
        <w:pStyle w:val="EndnoteText"/>
        <w:spacing w:line="480" w:lineRule="auto"/>
        <w:jc w:val="both"/>
        <w:rPr>
          <w:rFonts w:ascii="Arial" w:hAnsi="Arial" w:cs="Arial"/>
          <w:sz w:val="24"/>
          <w:szCs w:val="24"/>
        </w:rPr>
      </w:pPr>
      <w:r w:rsidRPr="00951021">
        <w:rPr>
          <w:rStyle w:val="EndnoteReference"/>
          <w:rFonts w:ascii="Arial" w:hAnsi="Arial" w:cs="Arial"/>
          <w:sz w:val="24"/>
          <w:szCs w:val="24"/>
        </w:rPr>
        <w:endnoteRef/>
      </w:r>
      <w:r w:rsidRPr="00951021">
        <w:rPr>
          <w:rFonts w:ascii="Arial" w:hAnsi="Arial" w:cs="Arial"/>
          <w:sz w:val="24"/>
          <w:szCs w:val="24"/>
        </w:rPr>
        <w:t xml:space="preserve"> B. Hilton (1986) </w:t>
      </w:r>
      <w:r w:rsidRPr="00951021">
        <w:rPr>
          <w:rFonts w:ascii="Arial" w:hAnsi="Arial" w:cs="Arial"/>
          <w:i/>
          <w:sz w:val="24"/>
          <w:szCs w:val="24"/>
        </w:rPr>
        <w:t>Age of Atonement: The Influence of Evangelicalism on Social and Economic Thought 1785-1865</w:t>
      </w:r>
      <w:r w:rsidRPr="00951021">
        <w:rPr>
          <w:rFonts w:ascii="Arial" w:hAnsi="Arial" w:cs="Arial"/>
          <w:sz w:val="24"/>
          <w:szCs w:val="24"/>
        </w:rPr>
        <w:t xml:space="preserve"> (Oxford: Clarendon Press), p. 123.</w:t>
      </w:r>
    </w:p>
  </w:endnote>
  <w:endnote w:id="103">
    <w:p w14:paraId="75E53A50" w14:textId="301828E1" w:rsidR="00EE7708" w:rsidRPr="00C61897" w:rsidRDefault="00EE7708" w:rsidP="00951021">
      <w:pPr>
        <w:pStyle w:val="EndnoteText"/>
        <w:spacing w:line="480" w:lineRule="auto"/>
        <w:jc w:val="both"/>
        <w:rPr>
          <w:rFonts w:ascii="Arial" w:hAnsi="Arial" w:cs="Arial"/>
          <w:sz w:val="24"/>
          <w:szCs w:val="24"/>
        </w:rPr>
      </w:pPr>
      <w:r w:rsidRPr="00951021">
        <w:rPr>
          <w:rStyle w:val="EndnoteReference"/>
          <w:rFonts w:ascii="Arial" w:hAnsi="Arial" w:cs="Arial"/>
          <w:sz w:val="24"/>
          <w:szCs w:val="24"/>
        </w:rPr>
        <w:endnoteRef/>
      </w:r>
      <w:r w:rsidRPr="00951021">
        <w:rPr>
          <w:rFonts w:ascii="Arial" w:hAnsi="Arial" w:cs="Arial"/>
          <w:sz w:val="24"/>
          <w:szCs w:val="24"/>
        </w:rPr>
        <w:t xml:space="preserve"> For the latter see </w:t>
      </w:r>
      <w:r w:rsidR="00951021" w:rsidRPr="00951021">
        <w:rPr>
          <w:rFonts w:ascii="Arial" w:hAnsi="Arial" w:cs="Arial"/>
          <w:i/>
          <w:sz w:val="24"/>
          <w:szCs w:val="24"/>
        </w:rPr>
        <w:t>ibid</w:t>
      </w:r>
      <w:r w:rsidRPr="00951021">
        <w:rPr>
          <w:rFonts w:ascii="Arial" w:hAnsi="Arial" w:cs="Arial"/>
          <w:i/>
          <w:sz w:val="24"/>
          <w:szCs w:val="24"/>
        </w:rPr>
        <w:t xml:space="preserve"> </w:t>
      </w:r>
      <w:r w:rsidRPr="00951021">
        <w:rPr>
          <w:rFonts w:ascii="Arial" w:hAnsi="Arial" w:cs="Arial"/>
          <w:sz w:val="24"/>
          <w:szCs w:val="24"/>
        </w:rPr>
        <w:t xml:space="preserve">and the former M. Lobban (1996) ‘Nineteenth Century Frauds in Company Formation: </w:t>
      </w:r>
      <w:r w:rsidRPr="00951021">
        <w:rPr>
          <w:rFonts w:ascii="Arial" w:hAnsi="Arial" w:cs="Arial"/>
          <w:i/>
          <w:iCs/>
          <w:sz w:val="24"/>
          <w:szCs w:val="24"/>
        </w:rPr>
        <w:t>Derry v Peek</w:t>
      </w:r>
      <w:r w:rsidRPr="00951021">
        <w:rPr>
          <w:rFonts w:ascii="Arial" w:hAnsi="Arial" w:cs="Arial"/>
          <w:sz w:val="24"/>
          <w:szCs w:val="24"/>
        </w:rPr>
        <w:t xml:space="preserve"> in Context’,</w:t>
      </w:r>
      <w:r w:rsidRPr="00C61897">
        <w:rPr>
          <w:rFonts w:ascii="Arial" w:hAnsi="Arial" w:cs="Arial"/>
          <w:sz w:val="24"/>
          <w:szCs w:val="24"/>
        </w:rPr>
        <w:t xml:space="preserve"> </w:t>
      </w:r>
      <w:r w:rsidRPr="00980D57">
        <w:rPr>
          <w:rFonts w:ascii="Arial" w:hAnsi="Arial" w:cs="Arial"/>
          <w:i/>
          <w:iCs/>
          <w:sz w:val="24"/>
          <w:szCs w:val="24"/>
        </w:rPr>
        <w:t>Law Quarterly Review</w:t>
      </w:r>
      <w:r w:rsidRPr="00C61897">
        <w:rPr>
          <w:rFonts w:ascii="Arial" w:hAnsi="Arial" w:cs="Arial"/>
          <w:iCs/>
          <w:sz w:val="24"/>
          <w:szCs w:val="24"/>
        </w:rPr>
        <w:t xml:space="preserve">, </w:t>
      </w:r>
      <w:r>
        <w:rPr>
          <w:rFonts w:ascii="Arial" w:hAnsi="Arial" w:cs="Arial"/>
          <w:iCs/>
          <w:sz w:val="24"/>
          <w:szCs w:val="24"/>
        </w:rPr>
        <w:t xml:space="preserve">Vol. </w:t>
      </w:r>
      <w:r w:rsidRPr="00C61897">
        <w:rPr>
          <w:rFonts w:ascii="Arial" w:hAnsi="Arial" w:cs="Arial"/>
          <w:iCs/>
          <w:sz w:val="24"/>
          <w:szCs w:val="24"/>
        </w:rPr>
        <w:t xml:space="preserve">112, </w:t>
      </w:r>
      <w:r>
        <w:rPr>
          <w:rFonts w:ascii="Arial" w:hAnsi="Arial" w:cs="Arial"/>
          <w:iCs/>
          <w:sz w:val="24"/>
          <w:szCs w:val="24"/>
        </w:rPr>
        <w:t>No. 2, pp. 287-334 at pp.</w:t>
      </w:r>
      <w:r w:rsidRPr="00C61897">
        <w:rPr>
          <w:rFonts w:ascii="Arial" w:hAnsi="Arial" w:cs="Arial"/>
          <w:iCs/>
          <w:sz w:val="24"/>
          <w:szCs w:val="24"/>
        </w:rPr>
        <w:t xml:space="preserve"> 287-8.</w:t>
      </w:r>
    </w:p>
  </w:endnote>
  <w:endnote w:id="104">
    <w:p w14:paraId="75FAFDE1" w14:textId="42FAAAA2"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Hilton</w:t>
      </w:r>
      <w:r>
        <w:rPr>
          <w:rFonts w:ascii="Arial" w:hAnsi="Arial" w:cs="Arial"/>
          <w:sz w:val="24"/>
          <w:szCs w:val="24"/>
        </w:rPr>
        <w:t xml:space="preserve"> (1986)</w:t>
      </w:r>
      <w:r w:rsidRPr="00C61897">
        <w:rPr>
          <w:rFonts w:ascii="Arial" w:hAnsi="Arial" w:cs="Arial"/>
          <w:sz w:val="24"/>
          <w:szCs w:val="24"/>
        </w:rPr>
        <w:t xml:space="preserve"> </w:t>
      </w:r>
      <w:r w:rsidRPr="00C61897">
        <w:rPr>
          <w:rFonts w:ascii="Arial" w:hAnsi="Arial" w:cs="Arial"/>
          <w:i/>
          <w:sz w:val="24"/>
          <w:szCs w:val="24"/>
        </w:rPr>
        <w:t>Age of Atonement</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123.</w:t>
      </w:r>
    </w:p>
  </w:endnote>
  <w:endnote w:id="105">
    <w:p w14:paraId="38EA9374" w14:textId="2570D678"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Wheeler</w:t>
      </w:r>
      <w:r>
        <w:rPr>
          <w:rFonts w:ascii="Arial" w:hAnsi="Arial" w:cs="Arial"/>
          <w:sz w:val="24"/>
          <w:szCs w:val="24"/>
        </w:rPr>
        <w:t>, Weisburd and Bode</w:t>
      </w:r>
      <w:r w:rsidRPr="00C61897">
        <w:rPr>
          <w:rFonts w:ascii="Arial" w:hAnsi="Arial" w:cs="Arial"/>
          <w:sz w:val="24"/>
          <w:szCs w:val="24"/>
        </w:rPr>
        <w:t xml:space="preserve"> </w:t>
      </w:r>
      <w:r>
        <w:rPr>
          <w:rFonts w:ascii="Arial" w:hAnsi="Arial" w:cs="Arial"/>
          <w:sz w:val="24"/>
          <w:szCs w:val="24"/>
        </w:rPr>
        <w:t xml:space="preserve">(1982) </w:t>
      </w:r>
      <w:r w:rsidRPr="00C61897">
        <w:rPr>
          <w:rFonts w:ascii="Arial" w:hAnsi="Arial" w:cs="Arial"/>
          <w:sz w:val="24"/>
          <w:szCs w:val="24"/>
        </w:rPr>
        <w:t>‘Sentencing the White-Collar Offender</w:t>
      </w:r>
      <w:r>
        <w:rPr>
          <w:rFonts w:ascii="Arial" w:hAnsi="Arial" w:cs="Arial"/>
          <w:sz w:val="24"/>
          <w:szCs w:val="24"/>
        </w:rPr>
        <w:t xml:space="preserve">’, p. </w:t>
      </w:r>
      <w:r w:rsidRPr="00C61897">
        <w:rPr>
          <w:rFonts w:ascii="Arial" w:hAnsi="Arial" w:cs="Arial"/>
          <w:sz w:val="24"/>
          <w:szCs w:val="24"/>
        </w:rPr>
        <w:t>645.</w:t>
      </w:r>
    </w:p>
  </w:endnote>
  <w:endnote w:id="106">
    <w:p w14:paraId="1A27A694" w14:textId="49AEFBBB"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Evans</w:t>
      </w:r>
      <w:r>
        <w:rPr>
          <w:rFonts w:ascii="Arial" w:hAnsi="Arial" w:cs="Arial"/>
          <w:sz w:val="24"/>
          <w:szCs w:val="24"/>
        </w:rPr>
        <w:t xml:space="preserve"> (1968 edition)</w:t>
      </w:r>
      <w:r w:rsidRPr="00C61897">
        <w:rPr>
          <w:rFonts w:ascii="Arial" w:hAnsi="Arial" w:cs="Arial"/>
          <w:sz w:val="24"/>
          <w:szCs w:val="24"/>
        </w:rPr>
        <w:t xml:space="preserve"> </w:t>
      </w:r>
      <w:r w:rsidRPr="00C61897">
        <w:rPr>
          <w:rFonts w:ascii="Arial" w:hAnsi="Arial" w:cs="Arial"/>
          <w:i/>
          <w:iCs/>
          <w:sz w:val="24"/>
          <w:szCs w:val="24"/>
        </w:rPr>
        <w:t>Facts, Failures and Frauds</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391.</w:t>
      </w:r>
    </w:p>
  </w:endnote>
  <w:endnote w:id="107">
    <w:p w14:paraId="7E2E42A5" w14:textId="5BE34560"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see the account of </w:t>
      </w:r>
      <w:r w:rsidR="005F6686">
        <w:rPr>
          <w:rFonts w:ascii="Arial" w:hAnsi="Arial" w:cs="Arial"/>
          <w:sz w:val="24"/>
          <w:szCs w:val="24"/>
        </w:rPr>
        <w:t>Sadleir</w:t>
      </w:r>
      <w:r w:rsidRPr="00C61897">
        <w:rPr>
          <w:rFonts w:ascii="Arial" w:hAnsi="Arial" w:cs="Arial"/>
          <w:sz w:val="24"/>
          <w:szCs w:val="24"/>
        </w:rPr>
        <w:t xml:space="preserve">’s story, at </w:t>
      </w:r>
      <w:r>
        <w:rPr>
          <w:rFonts w:ascii="Arial" w:hAnsi="Arial" w:cs="Arial"/>
          <w:sz w:val="24"/>
          <w:szCs w:val="24"/>
        </w:rPr>
        <w:t xml:space="preserve">pp. </w:t>
      </w:r>
      <w:r w:rsidRPr="00C61897">
        <w:rPr>
          <w:rFonts w:ascii="Arial" w:hAnsi="Arial" w:cs="Arial"/>
          <w:sz w:val="24"/>
          <w:szCs w:val="24"/>
        </w:rPr>
        <w:t>226-267</w:t>
      </w:r>
      <w:r>
        <w:rPr>
          <w:rFonts w:ascii="Arial" w:hAnsi="Arial" w:cs="Arial"/>
          <w:sz w:val="24"/>
          <w:szCs w:val="24"/>
        </w:rPr>
        <w:t xml:space="preserve"> and p.</w:t>
      </w:r>
      <w:r w:rsidRPr="00C61897">
        <w:rPr>
          <w:rFonts w:ascii="Arial" w:hAnsi="Arial" w:cs="Arial"/>
          <w:sz w:val="24"/>
          <w:szCs w:val="24"/>
        </w:rPr>
        <w:t xml:space="preserve"> 235.</w:t>
      </w:r>
    </w:p>
  </w:endnote>
  <w:endnote w:id="108">
    <w:p w14:paraId="75BDF5E7" w14:textId="77777777" w:rsidR="00EE7708" w:rsidRPr="00C61897" w:rsidRDefault="00EE7708" w:rsidP="00C8486B">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227.</w:t>
      </w:r>
    </w:p>
  </w:endnote>
  <w:endnote w:id="109">
    <w:p w14:paraId="4FBFADB3" w14:textId="2E4B634C"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w:t>
      </w:r>
    </w:p>
  </w:endnote>
  <w:endnote w:id="110">
    <w:p w14:paraId="02930A92" w14:textId="73D46AFF" w:rsidR="00EE7708" w:rsidRPr="00BF142F" w:rsidRDefault="00EE7708">
      <w:pPr>
        <w:pStyle w:val="EndnoteText"/>
        <w:rPr>
          <w:rFonts w:ascii="Arial" w:hAnsi="Arial" w:cs="Arial"/>
          <w:sz w:val="24"/>
          <w:szCs w:val="24"/>
        </w:rPr>
      </w:pPr>
      <w:r w:rsidRPr="00BF142F">
        <w:rPr>
          <w:rStyle w:val="EndnoteReference"/>
          <w:rFonts w:ascii="Arial" w:hAnsi="Arial" w:cs="Arial"/>
          <w:sz w:val="24"/>
          <w:szCs w:val="24"/>
        </w:rPr>
        <w:endnoteRef/>
      </w:r>
      <w:r w:rsidRPr="00BF142F">
        <w:rPr>
          <w:rFonts w:ascii="Arial" w:hAnsi="Arial" w:cs="Arial"/>
          <w:sz w:val="24"/>
          <w:szCs w:val="24"/>
        </w:rPr>
        <w:t xml:space="preserve"> </w:t>
      </w:r>
      <w:r w:rsidRPr="00BF142F">
        <w:rPr>
          <w:rFonts w:ascii="Arial" w:hAnsi="Arial" w:cs="Arial"/>
          <w:i/>
          <w:sz w:val="24"/>
          <w:szCs w:val="24"/>
        </w:rPr>
        <w:t>Ibid</w:t>
      </w:r>
      <w:r w:rsidRPr="00BF142F">
        <w:rPr>
          <w:rFonts w:ascii="Arial" w:hAnsi="Arial" w:cs="Arial"/>
          <w:sz w:val="24"/>
          <w:szCs w:val="24"/>
        </w:rPr>
        <w:t>, p. 128.</w:t>
      </w:r>
    </w:p>
    <w:p w14:paraId="110E7CBF" w14:textId="77777777" w:rsidR="00EE7708" w:rsidRDefault="00EE7708">
      <w:pPr>
        <w:pStyle w:val="EndnoteText"/>
      </w:pPr>
    </w:p>
  </w:endnote>
  <w:endnote w:id="111">
    <w:p w14:paraId="167397DF" w14:textId="542D1EC8" w:rsidR="00EE7708" w:rsidRDefault="00EE7708">
      <w:pPr>
        <w:pStyle w:val="EndnoteText"/>
        <w:rPr>
          <w:rFonts w:ascii="Arial" w:hAnsi="Arial" w:cs="Arial"/>
          <w:sz w:val="24"/>
          <w:szCs w:val="24"/>
        </w:rPr>
      </w:pPr>
      <w:r w:rsidRPr="00B71DD7">
        <w:rPr>
          <w:rStyle w:val="EndnoteReference"/>
          <w:rFonts w:ascii="Arial" w:hAnsi="Arial" w:cs="Arial"/>
          <w:sz w:val="24"/>
          <w:szCs w:val="24"/>
        </w:rPr>
        <w:endnoteRef/>
      </w:r>
      <w:r w:rsidRPr="00B71DD7">
        <w:rPr>
          <w:rFonts w:ascii="Arial" w:hAnsi="Arial" w:cs="Arial"/>
          <w:sz w:val="24"/>
          <w:szCs w:val="24"/>
        </w:rPr>
        <w:t xml:space="preserve"> </w:t>
      </w:r>
      <w:r w:rsidRPr="00B71DD7">
        <w:rPr>
          <w:rFonts w:ascii="Arial" w:hAnsi="Arial" w:cs="Arial"/>
          <w:i/>
          <w:sz w:val="24"/>
          <w:szCs w:val="24"/>
        </w:rPr>
        <w:t>Ibid</w:t>
      </w:r>
      <w:r w:rsidRPr="00B71DD7">
        <w:rPr>
          <w:rFonts w:ascii="Arial" w:hAnsi="Arial" w:cs="Arial"/>
          <w:sz w:val="24"/>
          <w:szCs w:val="24"/>
        </w:rPr>
        <w:t xml:space="preserve">, </w:t>
      </w:r>
      <w:r>
        <w:rPr>
          <w:rFonts w:ascii="Arial" w:hAnsi="Arial" w:cs="Arial"/>
          <w:sz w:val="24"/>
          <w:szCs w:val="24"/>
        </w:rPr>
        <w:t xml:space="preserve">pp. </w:t>
      </w:r>
      <w:r w:rsidRPr="00B71DD7">
        <w:rPr>
          <w:rFonts w:ascii="Arial" w:hAnsi="Arial" w:cs="Arial"/>
          <w:sz w:val="24"/>
          <w:szCs w:val="24"/>
        </w:rPr>
        <w:t>227-8.</w:t>
      </w:r>
    </w:p>
    <w:p w14:paraId="46FD9432" w14:textId="77777777" w:rsidR="00EE7708" w:rsidRPr="00B71DD7" w:rsidRDefault="00EE7708">
      <w:pPr>
        <w:pStyle w:val="EndnoteText"/>
        <w:rPr>
          <w:rFonts w:ascii="Arial" w:hAnsi="Arial" w:cs="Arial"/>
          <w:sz w:val="24"/>
          <w:szCs w:val="24"/>
        </w:rPr>
      </w:pPr>
    </w:p>
  </w:endnote>
  <w:endnote w:id="112">
    <w:p w14:paraId="07778C50"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w:t>
      </w:r>
    </w:p>
  </w:endnote>
  <w:endnote w:id="113">
    <w:p w14:paraId="104E9C34"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228.</w:t>
      </w:r>
    </w:p>
  </w:endnote>
  <w:endnote w:id="114">
    <w:p w14:paraId="52A7C073" w14:textId="21D8E173" w:rsidR="00EE7708" w:rsidRDefault="00EE7708">
      <w:pPr>
        <w:pStyle w:val="EndnoteText"/>
        <w:rPr>
          <w:rFonts w:ascii="Arial" w:hAnsi="Arial" w:cs="Arial"/>
          <w:sz w:val="24"/>
          <w:szCs w:val="24"/>
        </w:rPr>
      </w:pPr>
      <w:r w:rsidRPr="00A2559A">
        <w:rPr>
          <w:rStyle w:val="EndnoteReference"/>
          <w:rFonts w:ascii="Arial" w:hAnsi="Arial" w:cs="Arial"/>
          <w:sz w:val="24"/>
          <w:szCs w:val="24"/>
        </w:rPr>
        <w:endnoteRef/>
      </w:r>
      <w:r w:rsidRPr="00A2559A">
        <w:rPr>
          <w:rFonts w:ascii="Arial" w:hAnsi="Arial" w:cs="Arial"/>
          <w:sz w:val="24"/>
          <w:szCs w:val="24"/>
        </w:rPr>
        <w:t xml:space="preserve"> </w:t>
      </w:r>
      <w:r w:rsidRPr="00A2559A">
        <w:rPr>
          <w:rFonts w:ascii="Arial" w:hAnsi="Arial" w:cs="Arial"/>
          <w:i/>
          <w:sz w:val="24"/>
          <w:szCs w:val="24"/>
        </w:rPr>
        <w:t>Ibid</w:t>
      </w:r>
      <w:r w:rsidRPr="00A2559A">
        <w:rPr>
          <w:rFonts w:ascii="Arial" w:hAnsi="Arial" w:cs="Arial"/>
          <w:sz w:val="24"/>
          <w:szCs w:val="24"/>
        </w:rPr>
        <w:t>.</w:t>
      </w:r>
    </w:p>
    <w:p w14:paraId="43B9B911" w14:textId="77777777" w:rsidR="00EE7708" w:rsidRPr="00A2559A" w:rsidRDefault="00EE7708">
      <w:pPr>
        <w:pStyle w:val="EndnoteText"/>
        <w:rPr>
          <w:rFonts w:ascii="Arial" w:hAnsi="Arial" w:cs="Arial"/>
          <w:sz w:val="24"/>
          <w:szCs w:val="24"/>
        </w:rPr>
      </w:pPr>
    </w:p>
  </w:endnote>
  <w:endnote w:id="115">
    <w:p w14:paraId="144999E5" w14:textId="0BE79B69" w:rsidR="00EE7708" w:rsidRPr="00A2559A" w:rsidRDefault="00EE7708">
      <w:pPr>
        <w:pStyle w:val="EndnoteText"/>
        <w:rPr>
          <w:rFonts w:ascii="Arial" w:hAnsi="Arial" w:cs="Arial"/>
          <w:i/>
          <w:sz w:val="24"/>
          <w:szCs w:val="24"/>
        </w:rPr>
      </w:pPr>
      <w:r w:rsidRPr="00A2559A">
        <w:rPr>
          <w:rStyle w:val="EndnoteReference"/>
          <w:rFonts w:ascii="Arial" w:hAnsi="Arial" w:cs="Arial"/>
          <w:sz w:val="24"/>
          <w:szCs w:val="24"/>
        </w:rPr>
        <w:endnoteRef/>
      </w:r>
      <w:r w:rsidRPr="00A2559A">
        <w:rPr>
          <w:rFonts w:ascii="Arial" w:hAnsi="Arial" w:cs="Arial"/>
          <w:sz w:val="24"/>
          <w:szCs w:val="24"/>
        </w:rPr>
        <w:t xml:space="preserve"> </w:t>
      </w:r>
      <w:r>
        <w:rPr>
          <w:rFonts w:ascii="Arial" w:hAnsi="Arial" w:cs="Arial"/>
          <w:i/>
          <w:sz w:val="24"/>
          <w:szCs w:val="24"/>
        </w:rPr>
        <w:t xml:space="preserve">Ibid, </w:t>
      </w:r>
      <w:r>
        <w:rPr>
          <w:rFonts w:ascii="Arial" w:hAnsi="Arial" w:cs="Arial"/>
          <w:sz w:val="24"/>
          <w:szCs w:val="24"/>
        </w:rPr>
        <w:t xml:space="preserve">pp. </w:t>
      </w:r>
      <w:r w:rsidRPr="00A2559A">
        <w:rPr>
          <w:rFonts w:ascii="Arial" w:hAnsi="Arial" w:cs="Arial"/>
          <w:sz w:val="24"/>
          <w:szCs w:val="24"/>
        </w:rPr>
        <w:t>229-230.</w:t>
      </w:r>
    </w:p>
    <w:p w14:paraId="4E4BD28B" w14:textId="77777777" w:rsidR="00EE7708" w:rsidRDefault="00EE7708">
      <w:pPr>
        <w:pStyle w:val="EndnoteText"/>
      </w:pPr>
    </w:p>
  </w:endnote>
  <w:endnote w:id="116">
    <w:p w14:paraId="43E15E9A" w14:textId="4F41CF67" w:rsidR="00EE7708" w:rsidRPr="00414A4A" w:rsidRDefault="00EE7708">
      <w:pPr>
        <w:pStyle w:val="EndnoteText"/>
        <w:rPr>
          <w:rFonts w:ascii="Arial" w:hAnsi="Arial" w:cs="Arial"/>
          <w:sz w:val="24"/>
          <w:szCs w:val="24"/>
        </w:rPr>
      </w:pPr>
      <w:r w:rsidRPr="00414A4A">
        <w:rPr>
          <w:rStyle w:val="EndnoteReference"/>
          <w:rFonts w:ascii="Arial" w:hAnsi="Arial" w:cs="Arial"/>
          <w:sz w:val="24"/>
          <w:szCs w:val="24"/>
        </w:rPr>
        <w:endnoteRef/>
      </w:r>
      <w:r w:rsidRPr="00414A4A">
        <w:rPr>
          <w:rFonts w:ascii="Arial" w:hAnsi="Arial" w:cs="Arial"/>
          <w:sz w:val="24"/>
          <w:szCs w:val="24"/>
        </w:rPr>
        <w:t xml:space="preserve"> </w:t>
      </w:r>
      <w:r w:rsidRPr="00414A4A">
        <w:rPr>
          <w:rFonts w:ascii="Arial" w:hAnsi="Arial" w:cs="Arial"/>
          <w:i/>
          <w:sz w:val="24"/>
          <w:szCs w:val="24"/>
        </w:rPr>
        <w:t>Ibid</w:t>
      </w:r>
      <w:r w:rsidRPr="00414A4A">
        <w:rPr>
          <w:rFonts w:ascii="Arial" w:hAnsi="Arial" w:cs="Arial"/>
          <w:sz w:val="24"/>
          <w:szCs w:val="24"/>
        </w:rPr>
        <w:t xml:space="preserve">, </w:t>
      </w:r>
      <w:r>
        <w:rPr>
          <w:rFonts w:ascii="Arial" w:hAnsi="Arial" w:cs="Arial"/>
          <w:sz w:val="24"/>
          <w:szCs w:val="24"/>
        </w:rPr>
        <w:t xml:space="preserve">p. </w:t>
      </w:r>
      <w:r w:rsidRPr="00414A4A">
        <w:rPr>
          <w:rFonts w:ascii="Arial" w:hAnsi="Arial" w:cs="Arial"/>
          <w:sz w:val="24"/>
          <w:szCs w:val="24"/>
        </w:rPr>
        <w:t>230.</w:t>
      </w:r>
    </w:p>
    <w:p w14:paraId="19DC7994" w14:textId="77777777" w:rsidR="00EE7708" w:rsidRDefault="00EE7708">
      <w:pPr>
        <w:pStyle w:val="EndnoteText"/>
      </w:pPr>
    </w:p>
  </w:endnote>
  <w:endnote w:id="117">
    <w:p w14:paraId="32CB20C7" w14:textId="77777777" w:rsidR="00EE7708" w:rsidRPr="00F51ECB" w:rsidRDefault="00EE7708" w:rsidP="00C61897">
      <w:pPr>
        <w:pStyle w:val="EndnoteText"/>
        <w:spacing w:line="480" w:lineRule="auto"/>
        <w:jc w:val="both"/>
        <w:rPr>
          <w:rFonts w:ascii="Arial" w:hAnsi="Arial" w:cs="Arial"/>
          <w:sz w:val="24"/>
          <w:szCs w:val="24"/>
        </w:rPr>
      </w:pPr>
      <w:r w:rsidRPr="00F51ECB">
        <w:rPr>
          <w:rStyle w:val="EndnoteReference"/>
          <w:rFonts w:ascii="Arial" w:hAnsi="Arial" w:cs="Arial"/>
          <w:sz w:val="24"/>
          <w:szCs w:val="24"/>
        </w:rPr>
        <w:endnoteRef/>
      </w:r>
      <w:r w:rsidRPr="00F51ECB">
        <w:rPr>
          <w:rFonts w:ascii="Arial" w:hAnsi="Arial" w:cs="Arial"/>
          <w:sz w:val="24"/>
          <w:szCs w:val="24"/>
        </w:rPr>
        <w:t xml:space="preserve"> </w:t>
      </w:r>
      <w:r w:rsidRPr="00F51ECB">
        <w:rPr>
          <w:rFonts w:ascii="Arial" w:hAnsi="Arial" w:cs="Arial"/>
          <w:i/>
          <w:sz w:val="24"/>
          <w:szCs w:val="24"/>
        </w:rPr>
        <w:t>Ibid</w:t>
      </w:r>
      <w:r w:rsidRPr="00F51ECB">
        <w:rPr>
          <w:rFonts w:ascii="Arial" w:hAnsi="Arial" w:cs="Arial"/>
          <w:sz w:val="24"/>
          <w:szCs w:val="24"/>
        </w:rPr>
        <w:t>.</w:t>
      </w:r>
    </w:p>
  </w:endnote>
  <w:endnote w:id="118">
    <w:p w14:paraId="0F50D41A" w14:textId="098F8D6E" w:rsidR="00EE7708" w:rsidRPr="00F51ECB" w:rsidRDefault="00EE7708">
      <w:pPr>
        <w:pStyle w:val="EndnoteText"/>
        <w:rPr>
          <w:rFonts w:ascii="Arial" w:hAnsi="Arial" w:cs="Arial"/>
          <w:sz w:val="24"/>
          <w:szCs w:val="24"/>
        </w:rPr>
      </w:pPr>
      <w:r w:rsidRPr="00F51ECB">
        <w:rPr>
          <w:rStyle w:val="EndnoteReference"/>
          <w:rFonts w:ascii="Arial" w:hAnsi="Arial" w:cs="Arial"/>
          <w:sz w:val="24"/>
          <w:szCs w:val="24"/>
        </w:rPr>
        <w:endnoteRef/>
      </w:r>
      <w:r w:rsidRPr="00F51ECB">
        <w:rPr>
          <w:rFonts w:ascii="Arial" w:hAnsi="Arial" w:cs="Arial"/>
          <w:sz w:val="24"/>
          <w:szCs w:val="24"/>
        </w:rPr>
        <w:t xml:space="preserve"> </w:t>
      </w:r>
      <w:r w:rsidRPr="00F51ECB">
        <w:rPr>
          <w:rFonts w:ascii="Arial" w:hAnsi="Arial" w:cs="Arial"/>
          <w:i/>
          <w:sz w:val="24"/>
          <w:szCs w:val="24"/>
        </w:rPr>
        <w:t>Ibid</w:t>
      </w:r>
      <w:r w:rsidRPr="00F51ECB">
        <w:rPr>
          <w:rFonts w:ascii="Arial" w:hAnsi="Arial" w:cs="Arial"/>
          <w:sz w:val="24"/>
          <w:szCs w:val="24"/>
        </w:rPr>
        <w:t xml:space="preserve">. </w:t>
      </w:r>
    </w:p>
    <w:p w14:paraId="4EB17984" w14:textId="77777777" w:rsidR="00EE7708" w:rsidRPr="00F51ECB" w:rsidRDefault="00EE7708">
      <w:pPr>
        <w:pStyle w:val="EndnoteText"/>
        <w:rPr>
          <w:rFonts w:ascii="Arial" w:hAnsi="Arial" w:cs="Arial"/>
          <w:sz w:val="24"/>
          <w:szCs w:val="24"/>
        </w:rPr>
      </w:pPr>
    </w:p>
  </w:endnote>
  <w:endnote w:id="119">
    <w:p w14:paraId="2319E57F" w14:textId="4776575C" w:rsidR="00EE7708" w:rsidRPr="00F51ECB" w:rsidRDefault="00EE7708">
      <w:pPr>
        <w:pStyle w:val="EndnoteText"/>
        <w:rPr>
          <w:rFonts w:ascii="Arial" w:hAnsi="Arial" w:cs="Arial"/>
          <w:sz w:val="24"/>
          <w:szCs w:val="24"/>
        </w:rPr>
      </w:pPr>
      <w:r w:rsidRPr="00F51ECB">
        <w:rPr>
          <w:rStyle w:val="EndnoteReference"/>
          <w:rFonts w:ascii="Arial" w:hAnsi="Arial" w:cs="Arial"/>
          <w:sz w:val="24"/>
          <w:szCs w:val="24"/>
        </w:rPr>
        <w:endnoteRef/>
      </w:r>
      <w:r w:rsidRPr="00F51ECB">
        <w:rPr>
          <w:rFonts w:ascii="Arial" w:hAnsi="Arial" w:cs="Arial"/>
          <w:sz w:val="24"/>
          <w:szCs w:val="24"/>
        </w:rPr>
        <w:t xml:space="preserve"> </w:t>
      </w:r>
      <w:r w:rsidRPr="00F51ECB">
        <w:rPr>
          <w:rFonts w:ascii="Arial" w:hAnsi="Arial" w:cs="Arial"/>
          <w:i/>
          <w:sz w:val="24"/>
          <w:szCs w:val="24"/>
        </w:rPr>
        <w:t>Ibid</w:t>
      </w:r>
      <w:r>
        <w:rPr>
          <w:rFonts w:ascii="Arial" w:hAnsi="Arial" w:cs="Arial"/>
          <w:sz w:val="24"/>
          <w:szCs w:val="24"/>
        </w:rPr>
        <w:t>, p. 231.</w:t>
      </w:r>
    </w:p>
    <w:p w14:paraId="3B971B5B" w14:textId="77777777" w:rsidR="00EE7708" w:rsidRDefault="00EE7708">
      <w:pPr>
        <w:pStyle w:val="EndnoteText"/>
      </w:pPr>
    </w:p>
  </w:endnote>
  <w:endnote w:id="120">
    <w:p w14:paraId="35B53A60" w14:textId="4C043789"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Pr>
          <w:rFonts w:ascii="Arial" w:hAnsi="Arial" w:cs="Arial"/>
          <w:i/>
          <w:sz w:val="24"/>
          <w:szCs w:val="24"/>
        </w:rPr>
        <w:t xml:space="preserve">. </w:t>
      </w:r>
      <w:r>
        <w:rPr>
          <w:rFonts w:ascii="Arial" w:hAnsi="Arial" w:cs="Arial"/>
          <w:sz w:val="24"/>
          <w:szCs w:val="24"/>
        </w:rPr>
        <w:t>p. 232</w:t>
      </w:r>
      <w:r w:rsidRPr="00C61897">
        <w:rPr>
          <w:rFonts w:ascii="Arial" w:hAnsi="Arial" w:cs="Arial"/>
          <w:sz w:val="24"/>
          <w:szCs w:val="24"/>
        </w:rPr>
        <w:t>.</w:t>
      </w:r>
    </w:p>
  </w:endnote>
  <w:endnote w:id="121">
    <w:p w14:paraId="048D44AD"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p>
  </w:endnote>
  <w:endnote w:id="122">
    <w:p w14:paraId="3A90657C" w14:textId="58DE7DCC"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230-1.</w:t>
      </w:r>
    </w:p>
  </w:endnote>
  <w:endnote w:id="123">
    <w:p w14:paraId="50920835" w14:textId="6D679EED" w:rsidR="00EE7708" w:rsidRPr="00C61897" w:rsidRDefault="00EE7708" w:rsidP="00855E14">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Evans</w:t>
      </w:r>
      <w:r>
        <w:rPr>
          <w:rFonts w:ascii="Arial" w:hAnsi="Arial" w:cs="Arial"/>
          <w:sz w:val="24"/>
          <w:szCs w:val="24"/>
        </w:rPr>
        <w:t xml:space="preserve"> (1968 edition)</w:t>
      </w:r>
      <w:r w:rsidRPr="00C61897">
        <w:rPr>
          <w:rFonts w:ascii="Arial" w:hAnsi="Arial" w:cs="Arial"/>
          <w:sz w:val="24"/>
          <w:szCs w:val="24"/>
        </w:rPr>
        <w:t xml:space="preserve"> </w:t>
      </w:r>
      <w:r w:rsidRPr="00C61897">
        <w:rPr>
          <w:rFonts w:ascii="Arial" w:hAnsi="Arial" w:cs="Arial"/>
          <w:i/>
          <w:iCs/>
          <w:sz w:val="24"/>
          <w:szCs w:val="24"/>
        </w:rPr>
        <w:t>Facts, Failures and Fraud</w:t>
      </w:r>
      <w:r>
        <w:rPr>
          <w:rFonts w:ascii="Arial" w:hAnsi="Arial" w:cs="Arial"/>
          <w:i/>
          <w:iCs/>
          <w:sz w:val="24"/>
          <w:szCs w:val="24"/>
        </w:rPr>
        <w:t xml:space="preserve">s, </w:t>
      </w:r>
      <w:r>
        <w:rPr>
          <w:rFonts w:ascii="Arial" w:hAnsi="Arial" w:cs="Arial"/>
          <w:sz w:val="24"/>
          <w:szCs w:val="24"/>
        </w:rPr>
        <w:t xml:space="preserve">p. </w:t>
      </w:r>
      <w:r w:rsidRPr="00C61897">
        <w:rPr>
          <w:rFonts w:ascii="Arial" w:hAnsi="Arial" w:cs="Arial"/>
          <w:sz w:val="24"/>
          <w:szCs w:val="24"/>
        </w:rPr>
        <w:t>229</w:t>
      </w:r>
      <w:r>
        <w:rPr>
          <w:rFonts w:ascii="Arial" w:hAnsi="Arial" w:cs="Arial"/>
          <w:sz w:val="24"/>
          <w:szCs w:val="24"/>
        </w:rPr>
        <w:t>. S</w:t>
      </w:r>
      <w:r w:rsidRPr="00C61897">
        <w:rPr>
          <w:rFonts w:ascii="Arial" w:hAnsi="Arial" w:cs="Arial"/>
          <w:sz w:val="24"/>
          <w:szCs w:val="24"/>
        </w:rPr>
        <w:t xml:space="preserve">ee also the affairs of the Royal British Bank collapse and subsequent criminal trial of its directors in 1858 reported </w:t>
      </w:r>
      <w:r>
        <w:rPr>
          <w:rFonts w:ascii="Arial" w:hAnsi="Arial" w:cs="Arial"/>
          <w:sz w:val="24"/>
          <w:szCs w:val="24"/>
        </w:rPr>
        <w:t>in the same work</w:t>
      </w:r>
      <w:r w:rsidRPr="00C61897">
        <w:rPr>
          <w:rFonts w:ascii="Arial" w:hAnsi="Arial" w:cs="Arial"/>
          <w:sz w:val="24"/>
          <w:szCs w:val="24"/>
        </w:rPr>
        <w:t xml:space="preserve"> </w:t>
      </w:r>
      <w:r>
        <w:rPr>
          <w:rFonts w:ascii="Arial" w:hAnsi="Arial" w:cs="Arial"/>
          <w:sz w:val="24"/>
          <w:szCs w:val="24"/>
        </w:rPr>
        <w:t xml:space="preserve">at pp. </w:t>
      </w:r>
      <w:r w:rsidRPr="00C61897">
        <w:rPr>
          <w:rFonts w:ascii="Arial" w:hAnsi="Arial" w:cs="Arial"/>
          <w:sz w:val="24"/>
          <w:szCs w:val="24"/>
        </w:rPr>
        <w:t>268-390</w:t>
      </w:r>
      <w:r>
        <w:rPr>
          <w:rFonts w:ascii="Arial" w:hAnsi="Arial" w:cs="Arial"/>
          <w:sz w:val="24"/>
          <w:szCs w:val="24"/>
        </w:rPr>
        <w:t>.</w:t>
      </w:r>
    </w:p>
  </w:endnote>
  <w:endnote w:id="124">
    <w:p w14:paraId="649A5FA6" w14:textId="01EEA189" w:rsidR="00EE7708" w:rsidRDefault="00EE7708" w:rsidP="00855E14">
      <w:pPr>
        <w:pStyle w:val="EndnoteText"/>
        <w:spacing w:line="480" w:lineRule="auto"/>
        <w:jc w:val="both"/>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sidR="00951021">
        <w:rPr>
          <w:rFonts w:ascii="Arial" w:hAnsi="Arial" w:cs="Arial"/>
          <w:i/>
          <w:sz w:val="24"/>
          <w:szCs w:val="24"/>
        </w:rPr>
        <w:t>,</w:t>
      </w:r>
      <w:r w:rsidRPr="0027060B">
        <w:rPr>
          <w:rFonts w:ascii="Arial" w:hAnsi="Arial" w:cs="Arial"/>
          <w:sz w:val="24"/>
          <w:szCs w:val="24"/>
        </w:rPr>
        <w:t xml:space="preserve"> </w:t>
      </w:r>
      <w:r>
        <w:rPr>
          <w:rFonts w:ascii="Arial" w:hAnsi="Arial" w:cs="Arial"/>
          <w:sz w:val="24"/>
          <w:szCs w:val="24"/>
        </w:rPr>
        <w:t xml:space="preserve">p. </w:t>
      </w:r>
      <w:r w:rsidRPr="0027060B">
        <w:rPr>
          <w:rFonts w:ascii="Arial" w:hAnsi="Arial" w:cs="Arial"/>
          <w:sz w:val="24"/>
          <w:szCs w:val="24"/>
        </w:rPr>
        <w:t>235</w:t>
      </w:r>
      <w:r w:rsidR="00951021">
        <w:rPr>
          <w:rFonts w:ascii="Arial" w:hAnsi="Arial" w:cs="Arial"/>
          <w:sz w:val="24"/>
          <w:szCs w:val="24"/>
        </w:rPr>
        <w:t>.</w:t>
      </w:r>
    </w:p>
  </w:endnote>
  <w:endnote w:id="125">
    <w:p w14:paraId="0D51C202" w14:textId="77777777" w:rsidR="00EE7708" w:rsidRPr="00C61897" w:rsidRDefault="00EE7708" w:rsidP="00855E14">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269-70.</w:t>
      </w:r>
    </w:p>
  </w:endnote>
  <w:endnote w:id="126">
    <w:p w14:paraId="6908D71F" w14:textId="3AB7C43C"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sidRPr="0027060B">
        <w:rPr>
          <w:rFonts w:ascii="Arial" w:hAnsi="Arial" w:cs="Arial"/>
          <w:sz w:val="24"/>
          <w:szCs w:val="24"/>
        </w:rPr>
        <w:t>, p.27</w:t>
      </w:r>
      <w:r w:rsidR="00855E14">
        <w:rPr>
          <w:rFonts w:ascii="Arial" w:hAnsi="Arial" w:cs="Arial"/>
          <w:sz w:val="24"/>
          <w:szCs w:val="24"/>
        </w:rPr>
        <w:t xml:space="preserve">0 and p. </w:t>
      </w:r>
      <w:r w:rsidRPr="0027060B">
        <w:rPr>
          <w:rFonts w:ascii="Arial" w:hAnsi="Arial" w:cs="Arial"/>
          <w:sz w:val="24"/>
          <w:szCs w:val="24"/>
        </w:rPr>
        <w:t>27</w:t>
      </w:r>
      <w:r w:rsidR="00855E14">
        <w:rPr>
          <w:rFonts w:ascii="Arial" w:hAnsi="Arial" w:cs="Arial"/>
          <w:sz w:val="24"/>
          <w:szCs w:val="24"/>
        </w:rPr>
        <w:t>8</w:t>
      </w:r>
      <w:r w:rsidRPr="0027060B">
        <w:rPr>
          <w:rFonts w:ascii="Arial" w:hAnsi="Arial" w:cs="Arial"/>
          <w:sz w:val="24"/>
          <w:szCs w:val="24"/>
        </w:rPr>
        <w:t>.</w:t>
      </w:r>
    </w:p>
  </w:endnote>
  <w:endnote w:id="127">
    <w:p w14:paraId="1331C1E4" w14:textId="36F005DF"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Pr>
          <w:rFonts w:ascii="Arial" w:hAnsi="Arial" w:cs="Arial"/>
          <w:sz w:val="24"/>
          <w:szCs w:val="24"/>
        </w:rPr>
        <w:t>, p.</w:t>
      </w:r>
      <w:r w:rsidRPr="0027060B">
        <w:rPr>
          <w:rFonts w:ascii="Arial" w:hAnsi="Arial" w:cs="Arial"/>
          <w:sz w:val="24"/>
          <w:szCs w:val="24"/>
        </w:rPr>
        <w:t xml:space="preserve"> 269.</w:t>
      </w:r>
    </w:p>
  </w:endnote>
  <w:endnote w:id="128">
    <w:p w14:paraId="078786B6" w14:textId="311DFED9"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Pr>
          <w:rFonts w:ascii="Arial" w:hAnsi="Arial" w:cs="Arial"/>
          <w:sz w:val="24"/>
          <w:szCs w:val="24"/>
        </w:rPr>
        <w:t>, p.</w:t>
      </w:r>
      <w:r w:rsidRPr="0027060B">
        <w:rPr>
          <w:rFonts w:ascii="Arial" w:hAnsi="Arial" w:cs="Arial"/>
          <w:sz w:val="24"/>
          <w:szCs w:val="24"/>
        </w:rPr>
        <w:t xml:space="preserve"> 269.</w:t>
      </w:r>
    </w:p>
  </w:endnote>
  <w:endnote w:id="129">
    <w:p w14:paraId="75479CBA" w14:textId="66C6A591"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sidRPr="0027060B">
        <w:rPr>
          <w:rFonts w:ascii="Arial" w:hAnsi="Arial" w:cs="Arial"/>
          <w:sz w:val="24"/>
          <w:szCs w:val="24"/>
        </w:rPr>
        <w:t xml:space="preserve">, </w:t>
      </w:r>
      <w:r>
        <w:rPr>
          <w:rFonts w:ascii="Arial" w:hAnsi="Arial" w:cs="Arial"/>
          <w:sz w:val="24"/>
          <w:szCs w:val="24"/>
        </w:rPr>
        <w:t xml:space="preserve">p. </w:t>
      </w:r>
      <w:r w:rsidRPr="0027060B">
        <w:rPr>
          <w:rFonts w:ascii="Arial" w:hAnsi="Arial" w:cs="Arial"/>
          <w:sz w:val="24"/>
          <w:szCs w:val="24"/>
        </w:rPr>
        <w:t xml:space="preserve">iii. This is the heading used by Evans to present his commentary on the criminal trial and the events leading to it in the annotated contents section at the front of his text. </w:t>
      </w:r>
    </w:p>
  </w:endnote>
  <w:endnote w:id="130">
    <w:p w14:paraId="10956766" w14:textId="502A4502"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Pr>
          <w:rFonts w:ascii="Arial" w:hAnsi="Arial" w:cs="Arial"/>
          <w:sz w:val="24"/>
          <w:szCs w:val="24"/>
        </w:rPr>
        <w:t xml:space="preserve">Ibid, </w:t>
      </w:r>
      <w:r w:rsidRPr="0027060B">
        <w:rPr>
          <w:rFonts w:ascii="Arial" w:hAnsi="Arial" w:cs="Arial"/>
          <w:sz w:val="24"/>
          <w:szCs w:val="24"/>
        </w:rPr>
        <w:t>pp. 106-53</w:t>
      </w:r>
      <w:r>
        <w:rPr>
          <w:rFonts w:ascii="Arial" w:hAnsi="Arial" w:cs="Arial"/>
          <w:sz w:val="24"/>
          <w:szCs w:val="24"/>
        </w:rPr>
        <w:t xml:space="preserve"> documenting the downfall of Strahan, Paul and Bates, especially at</w:t>
      </w:r>
      <w:r w:rsidRPr="0027060B">
        <w:rPr>
          <w:rFonts w:ascii="Arial" w:hAnsi="Arial" w:cs="Arial"/>
          <w:sz w:val="24"/>
          <w:szCs w:val="24"/>
        </w:rPr>
        <w:t xml:space="preserve"> p. 145. </w:t>
      </w:r>
    </w:p>
  </w:endnote>
  <w:endnote w:id="131">
    <w:p w14:paraId="4EAC72B2" w14:textId="0269B5F7"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Pr>
          <w:rFonts w:ascii="Arial" w:hAnsi="Arial" w:cs="Arial"/>
          <w:sz w:val="24"/>
          <w:szCs w:val="24"/>
        </w:rPr>
        <w:t>, pp.</w:t>
      </w:r>
      <w:r w:rsidRPr="0027060B">
        <w:rPr>
          <w:rFonts w:ascii="Arial" w:hAnsi="Arial" w:cs="Arial"/>
          <w:sz w:val="24"/>
          <w:szCs w:val="24"/>
        </w:rPr>
        <w:t xml:space="preserve"> 108-9</w:t>
      </w:r>
      <w:r>
        <w:rPr>
          <w:rFonts w:ascii="Arial" w:hAnsi="Arial" w:cs="Arial"/>
          <w:sz w:val="24"/>
          <w:szCs w:val="24"/>
        </w:rPr>
        <w:t>.</w:t>
      </w:r>
    </w:p>
  </w:endnote>
  <w:endnote w:id="132">
    <w:p w14:paraId="7914E05C" w14:textId="2C767D14"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Pr>
          <w:rFonts w:ascii="Arial" w:hAnsi="Arial" w:cs="Arial"/>
          <w:sz w:val="24"/>
          <w:szCs w:val="24"/>
        </w:rPr>
        <w:t>, p.</w:t>
      </w:r>
      <w:r w:rsidRPr="0027060B">
        <w:rPr>
          <w:rFonts w:ascii="Arial" w:hAnsi="Arial" w:cs="Arial"/>
          <w:sz w:val="24"/>
          <w:szCs w:val="24"/>
        </w:rPr>
        <w:t xml:space="preserve"> 111.</w:t>
      </w:r>
    </w:p>
  </w:endnote>
  <w:endnote w:id="133">
    <w:p w14:paraId="08A92173" w14:textId="58F77ED7" w:rsidR="00EE7708"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Pr>
          <w:rFonts w:ascii="Arial" w:hAnsi="Arial" w:cs="Arial"/>
          <w:sz w:val="24"/>
          <w:szCs w:val="24"/>
        </w:rPr>
        <w:t>.</w:t>
      </w:r>
    </w:p>
    <w:p w14:paraId="0959E6CA" w14:textId="77777777" w:rsidR="00EE7708" w:rsidRPr="0027060B" w:rsidRDefault="00EE7708">
      <w:pPr>
        <w:pStyle w:val="EndnoteText"/>
        <w:rPr>
          <w:rFonts w:ascii="Arial" w:hAnsi="Arial" w:cs="Arial"/>
          <w:sz w:val="24"/>
          <w:szCs w:val="24"/>
        </w:rPr>
      </w:pPr>
    </w:p>
  </w:endnote>
  <w:endnote w:id="134">
    <w:p w14:paraId="29C9E56F" w14:textId="6CF29F6B"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Pr>
          <w:rFonts w:ascii="Arial" w:hAnsi="Arial" w:cs="Arial"/>
          <w:sz w:val="24"/>
          <w:szCs w:val="24"/>
        </w:rPr>
        <w:t>, pp.</w:t>
      </w:r>
      <w:r w:rsidRPr="0027060B">
        <w:rPr>
          <w:rFonts w:ascii="Arial" w:hAnsi="Arial" w:cs="Arial"/>
          <w:sz w:val="24"/>
          <w:szCs w:val="24"/>
        </w:rPr>
        <w:t xml:space="preserve"> 110-11.</w:t>
      </w:r>
    </w:p>
  </w:endnote>
  <w:endnote w:id="135">
    <w:p w14:paraId="4173994F" w14:textId="32DAB3DF"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Pr>
          <w:rFonts w:ascii="Arial" w:hAnsi="Arial" w:cs="Arial"/>
          <w:sz w:val="24"/>
          <w:szCs w:val="24"/>
        </w:rPr>
        <w:t>, p.</w:t>
      </w:r>
      <w:r w:rsidRPr="0027060B">
        <w:rPr>
          <w:rFonts w:ascii="Arial" w:hAnsi="Arial" w:cs="Arial"/>
          <w:sz w:val="24"/>
          <w:szCs w:val="24"/>
        </w:rPr>
        <w:t xml:space="preserve"> 112.</w:t>
      </w:r>
    </w:p>
  </w:endnote>
  <w:endnote w:id="136">
    <w:p w14:paraId="0ACD3834" w14:textId="6E7732CC"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00855E14">
        <w:rPr>
          <w:rFonts w:ascii="Arial" w:hAnsi="Arial" w:cs="Arial"/>
          <w:sz w:val="24"/>
          <w:szCs w:val="24"/>
        </w:rPr>
        <w:t xml:space="preserve">Hansard, </w:t>
      </w:r>
      <w:r>
        <w:rPr>
          <w:rFonts w:ascii="Arial" w:hAnsi="Arial" w:cs="Arial"/>
          <w:sz w:val="24"/>
          <w:szCs w:val="24"/>
        </w:rPr>
        <w:t>H</w:t>
      </w:r>
      <w:r w:rsidR="00855E14">
        <w:rPr>
          <w:rFonts w:ascii="Arial" w:hAnsi="Arial" w:cs="Arial"/>
          <w:sz w:val="24"/>
          <w:szCs w:val="24"/>
        </w:rPr>
        <w:t xml:space="preserve">ouse of Commons (HC) Debates, 141, </w:t>
      </w:r>
      <w:r>
        <w:rPr>
          <w:rFonts w:ascii="Arial" w:hAnsi="Arial" w:cs="Arial"/>
          <w:sz w:val="24"/>
          <w:szCs w:val="24"/>
        </w:rPr>
        <w:t>3</w:t>
      </w:r>
      <w:r w:rsidR="00855E14" w:rsidRPr="00855E14">
        <w:rPr>
          <w:rFonts w:ascii="Arial" w:hAnsi="Arial" w:cs="Arial"/>
          <w:sz w:val="24"/>
          <w:szCs w:val="24"/>
          <w:vertAlign w:val="superscript"/>
        </w:rPr>
        <w:t>rd</w:t>
      </w:r>
      <w:r w:rsidR="00855E14">
        <w:rPr>
          <w:rFonts w:ascii="Arial" w:hAnsi="Arial" w:cs="Arial"/>
          <w:sz w:val="24"/>
          <w:szCs w:val="24"/>
        </w:rPr>
        <w:t xml:space="preserve"> </w:t>
      </w:r>
      <w:r>
        <w:rPr>
          <w:rFonts w:ascii="Arial" w:hAnsi="Arial" w:cs="Arial"/>
          <w:sz w:val="24"/>
          <w:szCs w:val="24"/>
        </w:rPr>
        <w:t>April 1856</w:t>
      </w:r>
      <w:r w:rsidR="00855E14">
        <w:rPr>
          <w:rFonts w:ascii="Arial" w:hAnsi="Arial" w:cs="Arial"/>
          <w:sz w:val="24"/>
          <w:szCs w:val="24"/>
        </w:rPr>
        <w:t>:</w:t>
      </w:r>
      <w:r>
        <w:rPr>
          <w:rFonts w:ascii="Arial" w:hAnsi="Arial" w:cs="Arial"/>
          <w:sz w:val="24"/>
          <w:szCs w:val="24"/>
        </w:rPr>
        <w:t xml:space="preserve"> </w:t>
      </w:r>
      <w:r w:rsidRPr="0027060B">
        <w:rPr>
          <w:rFonts w:ascii="Arial" w:hAnsi="Arial" w:cs="Arial"/>
          <w:sz w:val="24"/>
          <w:szCs w:val="24"/>
        </w:rPr>
        <w:t>414</w:t>
      </w:r>
      <w:r w:rsidR="00855E14">
        <w:rPr>
          <w:rFonts w:ascii="Arial" w:hAnsi="Arial" w:cs="Arial"/>
          <w:sz w:val="24"/>
          <w:szCs w:val="24"/>
        </w:rPr>
        <w:t xml:space="preserve"> (</w:t>
      </w:r>
      <w:r w:rsidRPr="0027060B">
        <w:rPr>
          <w:rFonts w:ascii="Arial" w:hAnsi="Arial" w:cs="Arial"/>
          <w:sz w:val="24"/>
          <w:szCs w:val="24"/>
        </w:rPr>
        <w:t>Sir John Parkington</w:t>
      </w:r>
      <w:r w:rsidR="00855E14">
        <w:rPr>
          <w:rFonts w:ascii="Arial" w:hAnsi="Arial" w:cs="Arial"/>
          <w:sz w:val="24"/>
          <w:szCs w:val="24"/>
        </w:rPr>
        <w:t>)</w:t>
      </w:r>
      <w:r>
        <w:rPr>
          <w:rFonts w:ascii="Arial" w:hAnsi="Arial" w:cs="Arial"/>
          <w:sz w:val="24"/>
          <w:szCs w:val="24"/>
        </w:rPr>
        <w:t>.</w:t>
      </w:r>
      <w:r w:rsidRPr="0027060B">
        <w:rPr>
          <w:rFonts w:ascii="Arial" w:hAnsi="Arial" w:cs="Arial"/>
          <w:sz w:val="24"/>
          <w:szCs w:val="24"/>
        </w:rPr>
        <w:t xml:space="preserve">  </w:t>
      </w:r>
    </w:p>
  </w:endnote>
  <w:endnote w:id="137">
    <w:p w14:paraId="10CE8C55" w14:textId="7B1D739C" w:rsidR="00EE7708" w:rsidRDefault="00EE7708" w:rsidP="00855E14">
      <w:pPr>
        <w:pStyle w:val="EndnoteText"/>
        <w:spacing w:line="480" w:lineRule="auto"/>
        <w:jc w:val="both"/>
      </w:pPr>
      <w:r w:rsidRPr="0027060B">
        <w:rPr>
          <w:rStyle w:val="EndnoteReference"/>
          <w:rFonts w:ascii="Arial" w:hAnsi="Arial" w:cs="Arial"/>
          <w:sz w:val="24"/>
          <w:szCs w:val="24"/>
        </w:rPr>
        <w:endnoteRef/>
      </w:r>
      <w:r w:rsidRPr="0027060B">
        <w:rPr>
          <w:rFonts w:ascii="Arial" w:hAnsi="Arial" w:cs="Arial"/>
          <w:sz w:val="24"/>
          <w:szCs w:val="24"/>
        </w:rPr>
        <w:t xml:space="preserve"> </w:t>
      </w:r>
      <w:r>
        <w:rPr>
          <w:rFonts w:ascii="Arial" w:hAnsi="Arial" w:cs="Arial"/>
          <w:sz w:val="24"/>
          <w:szCs w:val="24"/>
        </w:rPr>
        <w:t xml:space="preserve">See </w:t>
      </w:r>
      <w:r w:rsidR="00855E14">
        <w:rPr>
          <w:rFonts w:ascii="Arial" w:hAnsi="Arial" w:cs="Arial"/>
          <w:sz w:val="24"/>
          <w:szCs w:val="24"/>
        </w:rPr>
        <w:t xml:space="preserve">for example Hansard, House of Lords (HL) Debates, 153, </w:t>
      </w:r>
      <w:r w:rsidRPr="0027060B">
        <w:rPr>
          <w:rFonts w:ascii="Arial" w:hAnsi="Arial" w:cs="Arial"/>
          <w:iCs/>
          <w:sz w:val="24"/>
          <w:szCs w:val="24"/>
        </w:rPr>
        <w:t>24</w:t>
      </w:r>
      <w:r w:rsidR="00855E14" w:rsidRPr="00855E14">
        <w:rPr>
          <w:rFonts w:ascii="Arial" w:hAnsi="Arial" w:cs="Arial"/>
          <w:iCs/>
          <w:sz w:val="24"/>
          <w:szCs w:val="24"/>
          <w:vertAlign w:val="superscript"/>
        </w:rPr>
        <w:t>th</w:t>
      </w:r>
      <w:r w:rsidR="00855E14">
        <w:rPr>
          <w:rFonts w:ascii="Arial" w:hAnsi="Arial" w:cs="Arial"/>
          <w:iCs/>
          <w:sz w:val="24"/>
          <w:szCs w:val="24"/>
        </w:rPr>
        <w:t xml:space="preserve"> </w:t>
      </w:r>
      <w:r w:rsidRPr="0027060B">
        <w:rPr>
          <w:rFonts w:ascii="Arial" w:hAnsi="Arial" w:cs="Arial"/>
          <w:iCs/>
          <w:sz w:val="24"/>
          <w:szCs w:val="24"/>
        </w:rPr>
        <w:t>March 1859</w:t>
      </w:r>
      <w:r w:rsidR="00855E14">
        <w:rPr>
          <w:rFonts w:ascii="Arial" w:hAnsi="Arial" w:cs="Arial"/>
          <w:iCs/>
          <w:sz w:val="24"/>
          <w:szCs w:val="24"/>
        </w:rPr>
        <w:t>:</w:t>
      </w:r>
      <w:r>
        <w:rPr>
          <w:rFonts w:ascii="Arial" w:hAnsi="Arial" w:cs="Arial"/>
          <w:iCs/>
          <w:sz w:val="24"/>
          <w:szCs w:val="24"/>
        </w:rPr>
        <w:t xml:space="preserve"> </w:t>
      </w:r>
      <w:r>
        <w:rPr>
          <w:rFonts w:ascii="Arial" w:hAnsi="Arial" w:cs="Arial"/>
          <w:sz w:val="24"/>
          <w:szCs w:val="24"/>
        </w:rPr>
        <w:t xml:space="preserve">686 </w:t>
      </w:r>
      <w:r w:rsidR="00855E14">
        <w:rPr>
          <w:rFonts w:ascii="Arial" w:hAnsi="Arial" w:cs="Arial"/>
          <w:sz w:val="24"/>
          <w:szCs w:val="24"/>
        </w:rPr>
        <w:t>(</w:t>
      </w:r>
      <w:r>
        <w:rPr>
          <w:rFonts w:ascii="Arial" w:hAnsi="Arial" w:cs="Arial"/>
          <w:sz w:val="24"/>
          <w:szCs w:val="24"/>
        </w:rPr>
        <w:t>Lord Stanley</w:t>
      </w:r>
      <w:r w:rsidR="00855E14">
        <w:rPr>
          <w:rFonts w:ascii="Arial" w:hAnsi="Arial" w:cs="Arial"/>
          <w:sz w:val="24"/>
          <w:szCs w:val="24"/>
        </w:rPr>
        <w:t>)</w:t>
      </w:r>
      <w:r>
        <w:rPr>
          <w:rFonts w:ascii="Arial" w:hAnsi="Arial" w:cs="Arial"/>
          <w:sz w:val="24"/>
          <w:szCs w:val="24"/>
        </w:rPr>
        <w:t xml:space="preserve"> and </w:t>
      </w:r>
      <w:r w:rsidR="00855E14">
        <w:rPr>
          <w:rFonts w:ascii="Arial" w:hAnsi="Arial" w:cs="Arial"/>
          <w:sz w:val="24"/>
          <w:szCs w:val="24"/>
        </w:rPr>
        <w:t xml:space="preserve">Hansard, </w:t>
      </w:r>
      <w:r>
        <w:rPr>
          <w:rFonts w:ascii="Arial" w:hAnsi="Arial" w:cs="Arial"/>
          <w:sz w:val="24"/>
          <w:szCs w:val="24"/>
        </w:rPr>
        <w:t>HC Deb</w:t>
      </w:r>
      <w:r w:rsidR="00855E14">
        <w:rPr>
          <w:rFonts w:ascii="Arial" w:hAnsi="Arial" w:cs="Arial"/>
          <w:sz w:val="24"/>
          <w:szCs w:val="24"/>
        </w:rPr>
        <w:t>ates, 178, 1</w:t>
      </w:r>
      <w:r w:rsidR="00855E14" w:rsidRPr="00855E14">
        <w:rPr>
          <w:rFonts w:ascii="Arial" w:hAnsi="Arial" w:cs="Arial"/>
          <w:sz w:val="24"/>
          <w:szCs w:val="24"/>
          <w:vertAlign w:val="superscript"/>
        </w:rPr>
        <w:t>st</w:t>
      </w:r>
      <w:r w:rsidR="00855E14">
        <w:rPr>
          <w:rFonts w:ascii="Arial" w:hAnsi="Arial" w:cs="Arial"/>
          <w:sz w:val="24"/>
          <w:szCs w:val="24"/>
        </w:rPr>
        <w:t xml:space="preserve"> M</w:t>
      </w:r>
      <w:r>
        <w:rPr>
          <w:rFonts w:ascii="Arial" w:hAnsi="Arial" w:cs="Arial"/>
          <w:sz w:val="24"/>
          <w:szCs w:val="24"/>
        </w:rPr>
        <w:t>ay 1865</w:t>
      </w:r>
      <w:r w:rsidR="00855E14">
        <w:rPr>
          <w:rFonts w:ascii="Arial" w:hAnsi="Arial" w:cs="Arial"/>
          <w:sz w:val="24"/>
          <w:szCs w:val="24"/>
        </w:rPr>
        <w:t xml:space="preserve">: </w:t>
      </w:r>
      <w:r>
        <w:rPr>
          <w:rFonts w:ascii="Arial" w:hAnsi="Arial" w:cs="Arial"/>
          <w:sz w:val="24"/>
          <w:szCs w:val="24"/>
        </w:rPr>
        <w:t xml:space="preserve">1286 </w:t>
      </w:r>
      <w:r w:rsidR="00855E14">
        <w:rPr>
          <w:rFonts w:ascii="Arial" w:hAnsi="Arial" w:cs="Arial"/>
          <w:sz w:val="24"/>
          <w:szCs w:val="24"/>
        </w:rPr>
        <w:t>(</w:t>
      </w:r>
      <w:r>
        <w:rPr>
          <w:rFonts w:ascii="Arial" w:hAnsi="Arial" w:cs="Arial"/>
          <w:sz w:val="24"/>
          <w:szCs w:val="24"/>
        </w:rPr>
        <w:t>Mr Cave</w:t>
      </w:r>
      <w:r w:rsidR="00855E14">
        <w:rPr>
          <w:rFonts w:ascii="Arial" w:hAnsi="Arial" w:cs="Arial"/>
          <w:sz w:val="24"/>
          <w:szCs w:val="24"/>
        </w:rPr>
        <w:t>)</w:t>
      </w:r>
      <w:r>
        <w:rPr>
          <w:rFonts w:ascii="Arial" w:hAnsi="Arial" w:cs="Arial"/>
          <w:i/>
          <w:iCs/>
          <w:sz w:val="24"/>
          <w:szCs w:val="24"/>
        </w:rPr>
        <w:t xml:space="preserve">. </w:t>
      </w:r>
    </w:p>
  </w:endnote>
  <w:endnote w:id="138">
    <w:p w14:paraId="7DF1E7D2" w14:textId="56E821C9"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00855E14">
        <w:rPr>
          <w:rFonts w:ascii="Arial" w:hAnsi="Arial" w:cs="Arial"/>
          <w:sz w:val="24"/>
          <w:szCs w:val="24"/>
        </w:rPr>
        <w:t xml:space="preserve">Hansard, </w:t>
      </w:r>
      <w:r>
        <w:rPr>
          <w:rFonts w:ascii="Arial" w:hAnsi="Arial" w:cs="Arial"/>
          <w:sz w:val="24"/>
          <w:szCs w:val="24"/>
        </w:rPr>
        <w:t>HC Deb</w:t>
      </w:r>
      <w:r w:rsidR="00855E14">
        <w:rPr>
          <w:rFonts w:ascii="Arial" w:hAnsi="Arial" w:cs="Arial"/>
          <w:sz w:val="24"/>
          <w:szCs w:val="24"/>
        </w:rPr>
        <w:t>ates, 146, 8</w:t>
      </w:r>
      <w:r w:rsidR="00855E14" w:rsidRPr="00855E14">
        <w:rPr>
          <w:rFonts w:ascii="Arial" w:hAnsi="Arial" w:cs="Arial"/>
          <w:sz w:val="24"/>
          <w:szCs w:val="24"/>
          <w:vertAlign w:val="superscript"/>
        </w:rPr>
        <w:t>th</w:t>
      </w:r>
      <w:r w:rsidR="00855E14">
        <w:rPr>
          <w:rFonts w:ascii="Arial" w:hAnsi="Arial" w:cs="Arial"/>
          <w:sz w:val="24"/>
          <w:szCs w:val="24"/>
        </w:rPr>
        <w:t xml:space="preserve"> J</w:t>
      </w:r>
      <w:r w:rsidRPr="0027060B">
        <w:rPr>
          <w:rFonts w:ascii="Arial" w:hAnsi="Arial" w:cs="Arial"/>
          <w:sz w:val="24"/>
          <w:szCs w:val="24"/>
        </w:rPr>
        <w:t>une 1857</w:t>
      </w:r>
      <w:r w:rsidR="00855E14">
        <w:rPr>
          <w:rFonts w:ascii="Arial" w:hAnsi="Arial" w:cs="Arial"/>
          <w:sz w:val="24"/>
          <w:szCs w:val="24"/>
        </w:rPr>
        <w:t>:</w:t>
      </w:r>
      <w:r w:rsidRPr="0027060B">
        <w:rPr>
          <w:rFonts w:ascii="Arial" w:hAnsi="Arial" w:cs="Arial"/>
          <w:sz w:val="24"/>
          <w:szCs w:val="24"/>
        </w:rPr>
        <w:t xml:space="preserve"> 1372</w:t>
      </w:r>
      <w:r w:rsidR="00855E14">
        <w:rPr>
          <w:rFonts w:ascii="Arial" w:hAnsi="Arial" w:cs="Arial"/>
          <w:sz w:val="24"/>
          <w:szCs w:val="24"/>
        </w:rPr>
        <w:t xml:space="preserve"> (</w:t>
      </w:r>
      <w:r>
        <w:rPr>
          <w:rFonts w:ascii="Arial" w:hAnsi="Arial" w:cs="Arial"/>
          <w:sz w:val="24"/>
          <w:szCs w:val="24"/>
        </w:rPr>
        <w:t>Ser</w:t>
      </w:r>
      <w:r w:rsidR="00855E14">
        <w:rPr>
          <w:rFonts w:ascii="Arial" w:hAnsi="Arial" w:cs="Arial"/>
          <w:sz w:val="24"/>
          <w:szCs w:val="24"/>
        </w:rPr>
        <w:t>g</w:t>
      </w:r>
      <w:r>
        <w:rPr>
          <w:rFonts w:ascii="Arial" w:hAnsi="Arial" w:cs="Arial"/>
          <w:sz w:val="24"/>
          <w:szCs w:val="24"/>
        </w:rPr>
        <w:t>eant Kinglake</w:t>
      </w:r>
      <w:r w:rsidR="00855E14">
        <w:rPr>
          <w:rFonts w:ascii="Arial" w:hAnsi="Arial" w:cs="Arial"/>
          <w:sz w:val="24"/>
          <w:szCs w:val="24"/>
        </w:rPr>
        <w:t>)</w:t>
      </w:r>
      <w:r w:rsidRPr="0027060B">
        <w:rPr>
          <w:rFonts w:ascii="Arial" w:hAnsi="Arial" w:cs="Arial"/>
          <w:sz w:val="24"/>
          <w:szCs w:val="24"/>
        </w:rPr>
        <w:t>.</w:t>
      </w:r>
    </w:p>
  </w:endnote>
  <w:endnote w:id="139">
    <w:p w14:paraId="445767B0" w14:textId="6D95C3F8" w:rsidR="00EE7708" w:rsidRPr="0027060B" w:rsidRDefault="00EE7708" w:rsidP="00855E14">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See reflections from Attorney-General Sir Richard Bethell</w:t>
      </w:r>
      <w:r w:rsidR="00855E14">
        <w:rPr>
          <w:rFonts w:ascii="Arial" w:hAnsi="Arial" w:cs="Arial"/>
          <w:sz w:val="24"/>
          <w:szCs w:val="24"/>
        </w:rPr>
        <w:t xml:space="preserve"> at Hansard,</w:t>
      </w:r>
      <w:r w:rsidRPr="0027060B">
        <w:rPr>
          <w:rFonts w:ascii="Arial" w:hAnsi="Arial" w:cs="Arial"/>
          <w:sz w:val="24"/>
          <w:szCs w:val="24"/>
        </w:rPr>
        <w:t xml:space="preserve"> </w:t>
      </w:r>
      <w:r>
        <w:rPr>
          <w:rFonts w:ascii="Arial" w:hAnsi="Arial" w:cs="Arial"/>
          <w:sz w:val="24"/>
          <w:szCs w:val="24"/>
        </w:rPr>
        <w:t>HC Deb</w:t>
      </w:r>
      <w:r w:rsidR="00855E14">
        <w:rPr>
          <w:rFonts w:ascii="Arial" w:hAnsi="Arial" w:cs="Arial"/>
          <w:sz w:val="24"/>
          <w:szCs w:val="24"/>
        </w:rPr>
        <w:t>ates, 145, 15</w:t>
      </w:r>
      <w:r w:rsidR="00855E14" w:rsidRPr="00855E14">
        <w:rPr>
          <w:rFonts w:ascii="Arial" w:hAnsi="Arial" w:cs="Arial"/>
          <w:sz w:val="24"/>
          <w:szCs w:val="24"/>
          <w:vertAlign w:val="superscript"/>
        </w:rPr>
        <w:t>th</w:t>
      </w:r>
      <w:r w:rsidR="00855E14">
        <w:rPr>
          <w:rFonts w:ascii="Arial" w:hAnsi="Arial" w:cs="Arial"/>
          <w:sz w:val="24"/>
          <w:szCs w:val="24"/>
        </w:rPr>
        <w:t xml:space="preserve"> </w:t>
      </w:r>
      <w:r>
        <w:rPr>
          <w:rFonts w:ascii="Arial" w:hAnsi="Arial" w:cs="Arial"/>
          <w:sz w:val="24"/>
          <w:szCs w:val="24"/>
        </w:rPr>
        <w:t>May 1857</w:t>
      </w:r>
      <w:r w:rsidR="00855E14">
        <w:rPr>
          <w:rFonts w:ascii="Arial" w:hAnsi="Arial" w:cs="Arial"/>
          <w:sz w:val="24"/>
          <w:szCs w:val="24"/>
        </w:rPr>
        <w:t>:</w:t>
      </w:r>
      <w:r w:rsidRPr="0027060B">
        <w:rPr>
          <w:rFonts w:ascii="Arial" w:hAnsi="Arial" w:cs="Arial"/>
          <w:sz w:val="24"/>
          <w:szCs w:val="24"/>
        </w:rPr>
        <w:t xml:space="preserve"> 310-11</w:t>
      </w:r>
      <w:r w:rsidR="00855E14">
        <w:rPr>
          <w:rFonts w:ascii="Arial" w:hAnsi="Arial" w:cs="Arial"/>
          <w:sz w:val="24"/>
          <w:szCs w:val="24"/>
        </w:rPr>
        <w:t>.</w:t>
      </w:r>
    </w:p>
  </w:endnote>
  <w:endnote w:id="140">
    <w:p w14:paraId="4A16064C" w14:textId="4EAC6BD0" w:rsidR="00EE7708" w:rsidRDefault="00EE7708" w:rsidP="00855E14">
      <w:pPr>
        <w:pStyle w:val="EndnoteText"/>
        <w:spacing w:line="480" w:lineRule="auto"/>
        <w:jc w:val="both"/>
      </w:pPr>
      <w:r w:rsidRPr="0027060B">
        <w:rPr>
          <w:rStyle w:val="EndnoteReference"/>
          <w:rFonts w:ascii="Arial" w:hAnsi="Arial" w:cs="Arial"/>
          <w:sz w:val="24"/>
          <w:szCs w:val="24"/>
        </w:rPr>
        <w:endnoteRef/>
      </w:r>
      <w:r>
        <w:rPr>
          <w:rFonts w:ascii="Arial" w:hAnsi="Arial" w:cs="Arial"/>
          <w:sz w:val="24"/>
          <w:szCs w:val="24"/>
        </w:rPr>
        <w:t xml:space="preserve"> See </w:t>
      </w:r>
      <w:r w:rsidRPr="0027060B">
        <w:rPr>
          <w:rFonts w:ascii="Arial" w:hAnsi="Arial" w:cs="Arial"/>
          <w:sz w:val="24"/>
          <w:szCs w:val="24"/>
        </w:rPr>
        <w:t xml:space="preserve">Wilson </w:t>
      </w:r>
      <w:r>
        <w:rPr>
          <w:rFonts w:ascii="Arial" w:hAnsi="Arial" w:cs="Arial"/>
          <w:sz w:val="24"/>
          <w:szCs w:val="24"/>
        </w:rPr>
        <w:t xml:space="preserve">(2014) </w:t>
      </w:r>
      <w:r w:rsidRPr="0027060B">
        <w:rPr>
          <w:rFonts w:ascii="Arial" w:hAnsi="Arial" w:cs="Arial"/>
          <w:i/>
          <w:sz w:val="24"/>
          <w:szCs w:val="24"/>
        </w:rPr>
        <w:t>The Or</w:t>
      </w:r>
      <w:r>
        <w:rPr>
          <w:rFonts w:ascii="Arial" w:hAnsi="Arial" w:cs="Arial"/>
          <w:i/>
          <w:sz w:val="24"/>
          <w:szCs w:val="24"/>
        </w:rPr>
        <w:t>igins of Modern Financial Crime.</w:t>
      </w:r>
    </w:p>
  </w:endnote>
  <w:endnote w:id="141">
    <w:p w14:paraId="148C77A8" w14:textId="746597C3" w:rsidR="00EE7708" w:rsidRPr="00C61897" w:rsidRDefault="00EE7708" w:rsidP="00855E14">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the account of Strahan, Paul and Bates’ downfall in Evans</w:t>
      </w:r>
      <w:r>
        <w:rPr>
          <w:rFonts w:ascii="Arial" w:hAnsi="Arial" w:cs="Arial"/>
          <w:sz w:val="24"/>
          <w:szCs w:val="24"/>
        </w:rPr>
        <w:t xml:space="preserve"> (1968 edition)</w:t>
      </w:r>
      <w:r w:rsidRPr="00C61897">
        <w:rPr>
          <w:rFonts w:ascii="Arial" w:hAnsi="Arial" w:cs="Arial"/>
          <w:sz w:val="24"/>
          <w:szCs w:val="24"/>
        </w:rPr>
        <w:t xml:space="preserve"> </w:t>
      </w:r>
      <w:r w:rsidRPr="00C61897">
        <w:rPr>
          <w:rFonts w:ascii="Arial" w:hAnsi="Arial" w:cs="Arial"/>
          <w:i/>
          <w:iCs/>
          <w:sz w:val="24"/>
          <w:szCs w:val="24"/>
        </w:rPr>
        <w:t>Facts, Failures and Frauds</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106-53</w:t>
      </w:r>
      <w:r>
        <w:rPr>
          <w:rFonts w:ascii="Arial" w:hAnsi="Arial" w:cs="Arial"/>
          <w:sz w:val="24"/>
          <w:szCs w:val="24"/>
        </w:rPr>
        <w:t>, especially at p.</w:t>
      </w:r>
      <w:r w:rsidRPr="00C61897">
        <w:rPr>
          <w:rFonts w:ascii="Arial" w:hAnsi="Arial" w:cs="Arial"/>
          <w:sz w:val="24"/>
          <w:szCs w:val="24"/>
        </w:rPr>
        <w:t xml:space="preserve"> 133. </w:t>
      </w:r>
    </w:p>
  </w:endnote>
  <w:endnote w:id="142">
    <w:p w14:paraId="6BD732F5" w14:textId="77777777" w:rsidR="00EE7708" w:rsidRPr="00C61897" w:rsidRDefault="00EE7708" w:rsidP="00855E14">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iCs/>
          <w:sz w:val="24"/>
          <w:szCs w:val="24"/>
        </w:rPr>
        <w:t>Ibid</w:t>
      </w:r>
      <w:r w:rsidRPr="00C61897">
        <w:rPr>
          <w:rFonts w:ascii="Arial" w:hAnsi="Arial" w:cs="Arial"/>
          <w:sz w:val="24"/>
          <w:szCs w:val="24"/>
        </w:rPr>
        <w:t>.</w:t>
      </w:r>
    </w:p>
  </w:endnote>
  <w:endnote w:id="143">
    <w:p w14:paraId="39CAD36C" w14:textId="77777777" w:rsidR="00EE7708" w:rsidRPr="00C61897" w:rsidRDefault="00EE7708" w:rsidP="00855E14">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145.</w:t>
      </w:r>
    </w:p>
  </w:endnote>
  <w:endnote w:id="144">
    <w:p w14:paraId="351D97CC" w14:textId="77777777" w:rsidR="00EE7708" w:rsidRPr="00C61897" w:rsidRDefault="00EE7708" w:rsidP="00855E14">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137.</w:t>
      </w:r>
    </w:p>
  </w:endnote>
  <w:endnote w:id="145">
    <w:p w14:paraId="4B55447A" w14:textId="6974B4C0" w:rsidR="00EE7708" w:rsidRPr="00C61897" w:rsidRDefault="00EE7708" w:rsidP="00855E14">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M</w:t>
      </w:r>
      <w:r>
        <w:rPr>
          <w:rFonts w:ascii="Arial" w:hAnsi="Arial" w:cs="Arial"/>
          <w:sz w:val="24"/>
          <w:szCs w:val="24"/>
        </w:rPr>
        <w:t>.</w:t>
      </w:r>
      <w:r w:rsidRPr="00C61897">
        <w:rPr>
          <w:rFonts w:ascii="Arial" w:hAnsi="Arial" w:cs="Arial"/>
          <w:sz w:val="24"/>
          <w:szCs w:val="24"/>
        </w:rPr>
        <w:t xml:space="preserve"> Robbins</w:t>
      </w:r>
      <w:r>
        <w:rPr>
          <w:rFonts w:ascii="Arial" w:hAnsi="Arial" w:cs="Arial"/>
          <w:sz w:val="24"/>
          <w:szCs w:val="24"/>
        </w:rPr>
        <w:t xml:space="preserve"> (1998)</w:t>
      </w:r>
      <w:r w:rsidRPr="00C61897">
        <w:rPr>
          <w:rFonts w:ascii="Arial" w:hAnsi="Arial" w:cs="Arial"/>
          <w:sz w:val="24"/>
          <w:szCs w:val="24"/>
        </w:rPr>
        <w:t xml:space="preserve"> </w:t>
      </w:r>
      <w:r w:rsidRPr="00C61897">
        <w:rPr>
          <w:rFonts w:ascii="Arial" w:hAnsi="Arial" w:cs="Arial"/>
          <w:i/>
          <w:iCs/>
          <w:sz w:val="24"/>
          <w:szCs w:val="24"/>
        </w:rPr>
        <w:t>The Railway Age</w:t>
      </w:r>
      <w:r w:rsidRPr="00C61897">
        <w:rPr>
          <w:rFonts w:ascii="Arial" w:hAnsi="Arial" w:cs="Arial"/>
          <w:sz w:val="24"/>
          <w:szCs w:val="24"/>
        </w:rPr>
        <w:t xml:space="preserve"> (London: Mandolin Press), </w:t>
      </w:r>
      <w:r>
        <w:rPr>
          <w:rFonts w:ascii="Arial" w:hAnsi="Arial" w:cs="Arial"/>
          <w:sz w:val="24"/>
          <w:szCs w:val="24"/>
        </w:rPr>
        <w:t xml:space="preserve">p. </w:t>
      </w:r>
      <w:r w:rsidRPr="00C61897">
        <w:rPr>
          <w:rFonts w:ascii="Arial" w:hAnsi="Arial" w:cs="Arial"/>
          <w:sz w:val="24"/>
          <w:szCs w:val="24"/>
        </w:rPr>
        <w:t>26.</w:t>
      </w:r>
    </w:p>
  </w:endnote>
  <w:endnote w:id="146">
    <w:p w14:paraId="2130CE38" w14:textId="77777777" w:rsidR="00EE7708" w:rsidRPr="00C61897" w:rsidRDefault="00EE7708" w:rsidP="00855E14">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extensive discussion of this in Wilson</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i/>
          <w:sz w:val="24"/>
          <w:szCs w:val="24"/>
        </w:rPr>
        <w:t>The Origins of Modern Financial Crime</w:t>
      </w:r>
      <w:r w:rsidRPr="00C61897">
        <w:rPr>
          <w:rFonts w:ascii="Arial" w:hAnsi="Arial" w:cs="Arial"/>
          <w:sz w:val="24"/>
          <w:szCs w:val="24"/>
        </w:rPr>
        <w:t xml:space="preserve">. </w:t>
      </w:r>
    </w:p>
  </w:endnote>
  <w:endnote w:id="147">
    <w:p w14:paraId="68640246" w14:textId="77777777" w:rsidR="00EE7708" w:rsidRPr="00C61897" w:rsidRDefault="00EE7708" w:rsidP="00855E14">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p>
  </w:endnote>
  <w:endnote w:id="148">
    <w:p w14:paraId="5FB81FA7" w14:textId="6A609CA8" w:rsidR="00EE7708" w:rsidRPr="00C61897" w:rsidRDefault="00EE7708" w:rsidP="00855E14">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the account Joseph Windle Cole in Evans</w:t>
      </w:r>
      <w:r>
        <w:rPr>
          <w:rFonts w:ascii="Arial" w:hAnsi="Arial" w:cs="Arial"/>
          <w:sz w:val="24"/>
          <w:szCs w:val="24"/>
        </w:rPr>
        <w:t xml:space="preserve"> (1968 edition)</w:t>
      </w:r>
      <w:r w:rsidRPr="00C61897">
        <w:rPr>
          <w:rFonts w:ascii="Arial" w:hAnsi="Arial" w:cs="Arial"/>
          <w:sz w:val="24"/>
          <w:szCs w:val="24"/>
        </w:rPr>
        <w:t xml:space="preserve"> </w:t>
      </w:r>
      <w:r w:rsidRPr="00C61897">
        <w:rPr>
          <w:rFonts w:ascii="Arial" w:hAnsi="Arial" w:cs="Arial"/>
          <w:i/>
          <w:iCs/>
          <w:sz w:val="24"/>
          <w:szCs w:val="24"/>
        </w:rPr>
        <w:t>Facts, Failures and Frauds</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154-225</w:t>
      </w:r>
      <w:r>
        <w:rPr>
          <w:rFonts w:ascii="Arial" w:hAnsi="Arial" w:cs="Arial"/>
          <w:sz w:val="24"/>
          <w:szCs w:val="24"/>
        </w:rPr>
        <w:t xml:space="preserve"> at p.</w:t>
      </w:r>
      <w:r w:rsidRPr="00C61897">
        <w:rPr>
          <w:rFonts w:ascii="Arial" w:hAnsi="Arial" w:cs="Arial"/>
          <w:sz w:val="24"/>
          <w:szCs w:val="24"/>
        </w:rPr>
        <w:t xml:space="preserve"> 157.</w:t>
      </w:r>
    </w:p>
  </w:endnote>
  <w:endnote w:id="149">
    <w:p w14:paraId="35A33CE9" w14:textId="77777777" w:rsidR="00EE7708" w:rsidRPr="00C61897" w:rsidRDefault="00EE7708" w:rsidP="00951021">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158.</w:t>
      </w:r>
    </w:p>
  </w:endnote>
  <w:endnote w:id="150">
    <w:p w14:paraId="56573BCC" w14:textId="31D7CBE9" w:rsidR="00EE7708" w:rsidRPr="0027060B" w:rsidRDefault="00EE7708" w:rsidP="00951021">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Pr>
          <w:rFonts w:ascii="Arial" w:hAnsi="Arial" w:cs="Arial"/>
          <w:sz w:val="24"/>
          <w:szCs w:val="24"/>
        </w:rPr>
        <w:t>,</w:t>
      </w:r>
      <w:r w:rsidRPr="0027060B">
        <w:rPr>
          <w:rFonts w:ascii="Arial" w:hAnsi="Arial" w:cs="Arial"/>
          <w:sz w:val="24"/>
          <w:szCs w:val="24"/>
        </w:rPr>
        <w:t xml:space="preserve"> </w:t>
      </w:r>
      <w:r w:rsidR="00951021">
        <w:rPr>
          <w:rFonts w:ascii="Arial" w:hAnsi="Arial" w:cs="Arial"/>
          <w:sz w:val="24"/>
          <w:szCs w:val="24"/>
        </w:rPr>
        <w:t xml:space="preserve">p. </w:t>
      </w:r>
      <w:r w:rsidRPr="0027060B">
        <w:rPr>
          <w:rFonts w:ascii="Arial" w:hAnsi="Arial" w:cs="Arial"/>
          <w:sz w:val="24"/>
          <w:szCs w:val="24"/>
        </w:rPr>
        <w:t xml:space="preserve">157. </w:t>
      </w:r>
    </w:p>
  </w:endnote>
  <w:endnote w:id="151">
    <w:p w14:paraId="6B9DF35F" w14:textId="3EB6740C" w:rsidR="00EE7708" w:rsidRPr="0027060B" w:rsidRDefault="00EE7708" w:rsidP="00951021">
      <w:pPr>
        <w:pStyle w:val="EndnoteText"/>
        <w:spacing w:line="480" w:lineRule="auto"/>
        <w:jc w:val="both"/>
        <w:rPr>
          <w:rFonts w:ascii="Arial" w:hAnsi="Arial" w:cs="Arial"/>
          <w:sz w:val="24"/>
          <w:szCs w:val="24"/>
        </w:rPr>
      </w:pPr>
      <w:r w:rsidRPr="0027060B">
        <w:rPr>
          <w:rStyle w:val="EndnoteReference"/>
          <w:rFonts w:ascii="Arial" w:hAnsi="Arial" w:cs="Arial"/>
          <w:sz w:val="24"/>
          <w:szCs w:val="24"/>
        </w:rPr>
        <w:endnoteRef/>
      </w:r>
      <w:r w:rsidRPr="0027060B">
        <w:rPr>
          <w:rFonts w:ascii="Arial" w:hAnsi="Arial" w:cs="Arial"/>
          <w:sz w:val="24"/>
          <w:szCs w:val="24"/>
        </w:rPr>
        <w:t xml:space="preserve"> </w:t>
      </w:r>
      <w:r w:rsidRPr="0027060B">
        <w:rPr>
          <w:rFonts w:ascii="Arial" w:hAnsi="Arial" w:cs="Arial"/>
          <w:i/>
          <w:sz w:val="24"/>
          <w:szCs w:val="24"/>
        </w:rPr>
        <w:t>Ibid</w:t>
      </w:r>
      <w:r>
        <w:rPr>
          <w:rFonts w:ascii="Arial" w:hAnsi="Arial" w:cs="Arial"/>
          <w:sz w:val="24"/>
          <w:szCs w:val="24"/>
        </w:rPr>
        <w:t>.</w:t>
      </w:r>
    </w:p>
  </w:endnote>
  <w:endnote w:id="152">
    <w:p w14:paraId="258E83CA" w14:textId="788ED85B" w:rsidR="00EE7708" w:rsidRDefault="00EE7708" w:rsidP="00951021">
      <w:pPr>
        <w:pStyle w:val="EndnoteText"/>
        <w:spacing w:line="480" w:lineRule="auto"/>
        <w:jc w:val="both"/>
      </w:pPr>
      <w:r w:rsidRPr="0027060B">
        <w:rPr>
          <w:rStyle w:val="EndnoteReference"/>
          <w:rFonts w:ascii="Arial" w:hAnsi="Arial" w:cs="Arial"/>
          <w:sz w:val="24"/>
          <w:szCs w:val="24"/>
        </w:rPr>
        <w:endnoteRef/>
      </w:r>
      <w:r w:rsidRPr="0027060B">
        <w:rPr>
          <w:rFonts w:ascii="Arial" w:hAnsi="Arial" w:cs="Arial"/>
          <w:sz w:val="24"/>
          <w:szCs w:val="24"/>
        </w:rPr>
        <w:t xml:space="preserve"> </w:t>
      </w:r>
      <w:r>
        <w:rPr>
          <w:rFonts w:ascii="Arial" w:hAnsi="Arial" w:cs="Arial"/>
          <w:sz w:val="24"/>
          <w:szCs w:val="24"/>
        </w:rPr>
        <w:t xml:space="preserve">See </w:t>
      </w:r>
      <w:r w:rsidRPr="0027060B">
        <w:rPr>
          <w:rFonts w:ascii="Arial" w:hAnsi="Arial" w:cs="Arial"/>
          <w:sz w:val="24"/>
          <w:szCs w:val="24"/>
        </w:rPr>
        <w:t xml:space="preserve">Wilson </w:t>
      </w:r>
      <w:r>
        <w:rPr>
          <w:rFonts w:ascii="Arial" w:hAnsi="Arial" w:cs="Arial"/>
          <w:sz w:val="24"/>
          <w:szCs w:val="24"/>
        </w:rPr>
        <w:t xml:space="preserve">(2014) </w:t>
      </w:r>
      <w:r w:rsidRPr="0027060B">
        <w:rPr>
          <w:rFonts w:ascii="Arial" w:hAnsi="Arial" w:cs="Arial"/>
          <w:i/>
          <w:sz w:val="24"/>
          <w:szCs w:val="24"/>
        </w:rPr>
        <w:t>The Origins of Modern Financial Crime</w:t>
      </w:r>
      <w:r>
        <w:rPr>
          <w:rFonts w:ascii="Arial" w:hAnsi="Arial" w:cs="Arial"/>
          <w:sz w:val="24"/>
          <w:szCs w:val="24"/>
        </w:rPr>
        <w:t>.</w:t>
      </w:r>
    </w:p>
  </w:endnote>
  <w:endnote w:id="153">
    <w:p w14:paraId="5264780E" w14:textId="77777777" w:rsidR="00EE7708" w:rsidRPr="00C61897" w:rsidRDefault="00EE7708" w:rsidP="00951021">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156-7.</w:t>
      </w:r>
    </w:p>
  </w:endnote>
  <w:endnote w:id="154">
    <w:p w14:paraId="735EA0E0" w14:textId="051D9F22"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Evans</w:t>
      </w:r>
      <w:r>
        <w:rPr>
          <w:rFonts w:ascii="Arial" w:hAnsi="Arial" w:cs="Arial"/>
          <w:sz w:val="24"/>
          <w:szCs w:val="24"/>
        </w:rPr>
        <w:t xml:space="preserve"> (1968 edition)</w:t>
      </w:r>
      <w:r w:rsidRPr="00C61897">
        <w:rPr>
          <w:rFonts w:ascii="Arial" w:hAnsi="Arial" w:cs="Arial"/>
          <w:sz w:val="24"/>
          <w:szCs w:val="24"/>
        </w:rPr>
        <w:t xml:space="preserve"> </w:t>
      </w:r>
      <w:r w:rsidRPr="00C61897">
        <w:rPr>
          <w:rFonts w:ascii="Arial" w:hAnsi="Arial" w:cs="Arial"/>
          <w:i/>
          <w:iCs/>
          <w:sz w:val="24"/>
          <w:szCs w:val="24"/>
        </w:rPr>
        <w:t>Facts, Failures and Frauds</w:t>
      </w:r>
      <w:r w:rsidRPr="00C61897">
        <w:rPr>
          <w:rFonts w:ascii="Arial" w:hAnsi="Arial" w:cs="Arial"/>
          <w:sz w:val="24"/>
          <w:szCs w:val="24"/>
        </w:rPr>
        <w:t xml:space="preserve">, </w:t>
      </w:r>
      <w:r>
        <w:rPr>
          <w:rFonts w:ascii="Arial" w:hAnsi="Arial" w:cs="Arial"/>
          <w:sz w:val="24"/>
          <w:szCs w:val="24"/>
        </w:rPr>
        <w:t xml:space="preserve">pp. </w:t>
      </w:r>
      <w:r w:rsidRPr="00C61897">
        <w:rPr>
          <w:rFonts w:ascii="Arial" w:hAnsi="Arial" w:cs="Arial"/>
          <w:sz w:val="24"/>
          <w:szCs w:val="24"/>
        </w:rPr>
        <w:t>208-9.</w:t>
      </w:r>
    </w:p>
  </w:endnote>
  <w:endnote w:id="155">
    <w:p w14:paraId="104EB1E1"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166.</w:t>
      </w:r>
    </w:p>
  </w:endnote>
  <w:endnote w:id="156">
    <w:p w14:paraId="360ACBFF" w14:textId="77777777" w:rsidR="00EE7708" w:rsidRPr="00C61897" w:rsidRDefault="00EE7708" w:rsidP="00C61897">
      <w:pPr>
        <w:pStyle w:val="EndnoteText"/>
        <w:tabs>
          <w:tab w:val="center" w:pos="4513"/>
        </w:tabs>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w:t>
      </w:r>
      <w:r w:rsidRPr="00C61897">
        <w:rPr>
          <w:rFonts w:ascii="Arial" w:hAnsi="Arial" w:cs="Arial"/>
          <w:sz w:val="24"/>
          <w:szCs w:val="24"/>
        </w:rPr>
        <w:tab/>
      </w:r>
    </w:p>
  </w:endnote>
  <w:endnote w:id="157">
    <w:p w14:paraId="5740C582"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976CA7">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212.</w:t>
      </w:r>
    </w:p>
  </w:endnote>
  <w:endnote w:id="158">
    <w:p w14:paraId="6AE5FE31" w14:textId="08D73AC3"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Levi</w:t>
      </w:r>
      <w:r>
        <w:rPr>
          <w:rFonts w:ascii="Arial" w:hAnsi="Arial" w:cs="Arial"/>
          <w:sz w:val="24"/>
          <w:szCs w:val="24"/>
        </w:rPr>
        <w:t xml:space="preserve"> (2002)</w:t>
      </w:r>
      <w:r w:rsidRPr="00C61897">
        <w:rPr>
          <w:rFonts w:ascii="Arial" w:hAnsi="Arial" w:cs="Arial"/>
          <w:sz w:val="24"/>
          <w:szCs w:val="24"/>
        </w:rPr>
        <w:t xml:space="preserve"> ‘Suite </w:t>
      </w:r>
      <w:r>
        <w:rPr>
          <w:rFonts w:ascii="Arial" w:hAnsi="Arial" w:cs="Arial"/>
          <w:sz w:val="24"/>
          <w:szCs w:val="24"/>
        </w:rPr>
        <w:t>J</w:t>
      </w:r>
      <w:r w:rsidRPr="00C61897">
        <w:rPr>
          <w:rFonts w:ascii="Arial" w:hAnsi="Arial" w:cs="Arial"/>
          <w:sz w:val="24"/>
          <w:szCs w:val="24"/>
        </w:rPr>
        <w:t xml:space="preserve">ustice or </w:t>
      </w:r>
      <w:r>
        <w:rPr>
          <w:rFonts w:ascii="Arial" w:hAnsi="Arial" w:cs="Arial"/>
          <w:sz w:val="24"/>
          <w:szCs w:val="24"/>
        </w:rPr>
        <w:t>S</w:t>
      </w:r>
      <w:r w:rsidRPr="00C61897">
        <w:rPr>
          <w:rFonts w:ascii="Arial" w:hAnsi="Arial" w:cs="Arial"/>
          <w:sz w:val="24"/>
          <w:szCs w:val="24"/>
        </w:rPr>
        <w:t xml:space="preserve">weet </w:t>
      </w:r>
      <w:r>
        <w:rPr>
          <w:rFonts w:ascii="Arial" w:hAnsi="Arial" w:cs="Arial"/>
          <w:sz w:val="24"/>
          <w:szCs w:val="24"/>
        </w:rPr>
        <w:t>C</w:t>
      </w:r>
      <w:r w:rsidRPr="00C61897">
        <w:rPr>
          <w:rFonts w:ascii="Arial" w:hAnsi="Arial" w:cs="Arial"/>
          <w:sz w:val="24"/>
          <w:szCs w:val="24"/>
        </w:rPr>
        <w:t>harity?</w:t>
      </w:r>
      <w:r>
        <w:rPr>
          <w:rFonts w:ascii="Arial" w:hAnsi="Arial" w:cs="Arial"/>
          <w:sz w:val="24"/>
          <w:szCs w:val="24"/>
        </w:rPr>
        <w:t xml:space="preserve">’, p. </w:t>
      </w:r>
      <w:r w:rsidRPr="00C61897">
        <w:rPr>
          <w:rFonts w:ascii="Arial" w:hAnsi="Arial" w:cs="Arial"/>
          <w:sz w:val="24"/>
          <w:szCs w:val="24"/>
        </w:rPr>
        <w:t>147.</w:t>
      </w:r>
    </w:p>
  </w:endnote>
  <w:endnote w:id="159">
    <w:p w14:paraId="14558235" w14:textId="38FFFA2D"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perspectives from</w:t>
      </w:r>
      <w:r>
        <w:rPr>
          <w:rFonts w:ascii="Arial" w:hAnsi="Arial" w:cs="Arial"/>
          <w:sz w:val="24"/>
          <w:szCs w:val="24"/>
        </w:rPr>
        <w:t xml:space="preserve"> </w:t>
      </w:r>
      <w:r w:rsidRPr="00C61897">
        <w:rPr>
          <w:rFonts w:ascii="Arial" w:hAnsi="Arial" w:cs="Arial"/>
          <w:sz w:val="24"/>
          <w:szCs w:val="24"/>
        </w:rPr>
        <w:t>Nelken</w:t>
      </w:r>
      <w:r>
        <w:rPr>
          <w:rFonts w:ascii="Arial" w:hAnsi="Arial" w:cs="Arial"/>
          <w:sz w:val="24"/>
          <w:szCs w:val="24"/>
        </w:rPr>
        <w:t xml:space="preserve"> (1994)</w:t>
      </w:r>
      <w:r w:rsidRPr="00C61897">
        <w:rPr>
          <w:rFonts w:ascii="Arial" w:hAnsi="Arial" w:cs="Arial"/>
          <w:sz w:val="24"/>
          <w:szCs w:val="24"/>
        </w:rPr>
        <w:t xml:space="preserve"> ‘White-Collar Crime’</w:t>
      </w:r>
      <w:r>
        <w:rPr>
          <w:rFonts w:ascii="Arial" w:hAnsi="Arial" w:cs="Arial"/>
          <w:sz w:val="24"/>
          <w:szCs w:val="24"/>
        </w:rPr>
        <w:t xml:space="preserve">, </w:t>
      </w:r>
      <w:r w:rsidRPr="00380285">
        <w:rPr>
          <w:rFonts w:ascii="Arial" w:hAnsi="Arial" w:cs="Arial"/>
          <w:i/>
          <w:sz w:val="24"/>
          <w:szCs w:val="24"/>
        </w:rPr>
        <w:t>passim</w:t>
      </w:r>
      <w:r>
        <w:rPr>
          <w:rFonts w:ascii="Arial" w:hAnsi="Arial" w:cs="Arial"/>
          <w:i/>
          <w:sz w:val="24"/>
          <w:szCs w:val="24"/>
        </w:rPr>
        <w:t xml:space="preserve"> </w:t>
      </w:r>
      <w:r w:rsidRPr="00C61897">
        <w:rPr>
          <w:rFonts w:ascii="Arial" w:hAnsi="Arial" w:cs="Arial"/>
          <w:sz w:val="24"/>
          <w:szCs w:val="24"/>
        </w:rPr>
        <w:t>and S</w:t>
      </w:r>
      <w:r>
        <w:rPr>
          <w:rFonts w:ascii="Arial" w:hAnsi="Arial" w:cs="Arial"/>
          <w:sz w:val="24"/>
          <w:szCs w:val="24"/>
        </w:rPr>
        <w:t>.</w:t>
      </w:r>
      <w:r w:rsidRPr="00C61897">
        <w:rPr>
          <w:rFonts w:ascii="Arial" w:hAnsi="Arial" w:cs="Arial"/>
          <w:sz w:val="24"/>
          <w:szCs w:val="24"/>
        </w:rPr>
        <w:t xml:space="preserve"> Shapiro</w:t>
      </w:r>
      <w:r>
        <w:rPr>
          <w:rFonts w:ascii="Arial" w:hAnsi="Arial" w:cs="Arial"/>
          <w:sz w:val="24"/>
          <w:szCs w:val="24"/>
        </w:rPr>
        <w:t xml:space="preserve"> (1985)</w:t>
      </w:r>
      <w:r w:rsidRPr="00C61897">
        <w:rPr>
          <w:rFonts w:ascii="Arial" w:hAnsi="Arial" w:cs="Arial"/>
          <w:sz w:val="24"/>
          <w:szCs w:val="24"/>
        </w:rPr>
        <w:t xml:space="preserve"> </w:t>
      </w:r>
      <w:r>
        <w:rPr>
          <w:rFonts w:ascii="Arial" w:hAnsi="Arial" w:cs="Arial"/>
          <w:sz w:val="24"/>
          <w:szCs w:val="24"/>
        </w:rPr>
        <w:t>‘“</w:t>
      </w:r>
      <w:r w:rsidRPr="00C61897">
        <w:rPr>
          <w:rFonts w:ascii="Arial" w:hAnsi="Arial" w:cs="Arial"/>
          <w:sz w:val="24"/>
          <w:szCs w:val="24"/>
        </w:rPr>
        <w:t>The Road Not Taken</w:t>
      </w:r>
      <w:r>
        <w:rPr>
          <w:rFonts w:ascii="Arial" w:hAnsi="Arial" w:cs="Arial"/>
          <w:sz w:val="24"/>
          <w:szCs w:val="24"/>
        </w:rPr>
        <w:t>”:</w:t>
      </w:r>
      <w:r w:rsidRPr="00C61897">
        <w:rPr>
          <w:rFonts w:ascii="Arial" w:hAnsi="Arial" w:cs="Arial"/>
          <w:sz w:val="24"/>
          <w:szCs w:val="24"/>
        </w:rPr>
        <w:t xml:space="preserve"> </w:t>
      </w:r>
      <w:r>
        <w:rPr>
          <w:rFonts w:ascii="Arial" w:hAnsi="Arial" w:cs="Arial"/>
          <w:sz w:val="24"/>
          <w:szCs w:val="24"/>
        </w:rPr>
        <w:t>T</w:t>
      </w:r>
      <w:r w:rsidRPr="00C61897">
        <w:rPr>
          <w:rFonts w:ascii="Arial" w:hAnsi="Arial" w:cs="Arial"/>
          <w:sz w:val="24"/>
          <w:szCs w:val="24"/>
        </w:rPr>
        <w:t xml:space="preserve">he </w:t>
      </w:r>
      <w:r>
        <w:rPr>
          <w:rFonts w:ascii="Arial" w:hAnsi="Arial" w:cs="Arial"/>
          <w:sz w:val="24"/>
          <w:szCs w:val="24"/>
        </w:rPr>
        <w:t>E</w:t>
      </w:r>
      <w:r w:rsidRPr="00C61897">
        <w:rPr>
          <w:rFonts w:ascii="Arial" w:hAnsi="Arial" w:cs="Arial"/>
          <w:sz w:val="24"/>
          <w:szCs w:val="24"/>
        </w:rPr>
        <w:t xml:space="preserve">lusive </w:t>
      </w:r>
      <w:r>
        <w:rPr>
          <w:rFonts w:ascii="Arial" w:hAnsi="Arial" w:cs="Arial"/>
          <w:sz w:val="24"/>
          <w:szCs w:val="24"/>
        </w:rPr>
        <w:t>P</w:t>
      </w:r>
      <w:r w:rsidRPr="00C61897">
        <w:rPr>
          <w:rFonts w:ascii="Arial" w:hAnsi="Arial" w:cs="Arial"/>
          <w:sz w:val="24"/>
          <w:szCs w:val="24"/>
        </w:rPr>
        <w:t xml:space="preserve">ath to </w:t>
      </w:r>
      <w:r>
        <w:rPr>
          <w:rFonts w:ascii="Arial" w:hAnsi="Arial" w:cs="Arial"/>
          <w:sz w:val="24"/>
          <w:szCs w:val="24"/>
        </w:rPr>
        <w:t>C</w:t>
      </w:r>
      <w:r w:rsidRPr="00C61897">
        <w:rPr>
          <w:rFonts w:ascii="Arial" w:hAnsi="Arial" w:cs="Arial"/>
          <w:sz w:val="24"/>
          <w:szCs w:val="24"/>
        </w:rPr>
        <w:t xml:space="preserve">riminal </w:t>
      </w:r>
      <w:r>
        <w:rPr>
          <w:rFonts w:ascii="Arial" w:hAnsi="Arial" w:cs="Arial"/>
          <w:sz w:val="24"/>
          <w:szCs w:val="24"/>
        </w:rPr>
        <w:t>P</w:t>
      </w:r>
      <w:r w:rsidRPr="00C61897">
        <w:rPr>
          <w:rFonts w:ascii="Arial" w:hAnsi="Arial" w:cs="Arial"/>
          <w:sz w:val="24"/>
          <w:szCs w:val="24"/>
        </w:rPr>
        <w:t xml:space="preserve">rosecution for </w:t>
      </w:r>
      <w:r>
        <w:rPr>
          <w:rFonts w:ascii="Arial" w:hAnsi="Arial" w:cs="Arial"/>
          <w:sz w:val="24"/>
          <w:szCs w:val="24"/>
        </w:rPr>
        <w:t>W</w:t>
      </w:r>
      <w:r w:rsidRPr="00C61897">
        <w:rPr>
          <w:rFonts w:ascii="Arial" w:hAnsi="Arial" w:cs="Arial"/>
          <w:sz w:val="24"/>
          <w:szCs w:val="24"/>
        </w:rPr>
        <w:t xml:space="preserve">hite </w:t>
      </w:r>
      <w:r>
        <w:rPr>
          <w:rFonts w:ascii="Arial" w:hAnsi="Arial" w:cs="Arial"/>
          <w:sz w:val="24"/>
          <w:szCs w:val="24"/>
        </w:rPr>
        <w:t>C</w:t>
      </w:r>
      <w:r w:rsidRPr="00C61897">
        <w:rPr>
          <w:rFonts w:ascii="Arial" w:hAnsi="Arial" w:cs="Arial"/>
          <w:sz w:val="24"/>
          <w:szCs w:val="24"/>
        </w:rPr>
        <w:t xml:space="preserve">ollar </w:t>
      </w:r>
      <w:r>
        <w:rPr>
          <w:rFonts w:ascii="Arial" w:hAnsi="Arial" w:cs="Arial"/>
          <w:sz w:val="24"/>
          <w:szCs w:val="24"/>
        </w:rPr>
        <w:t>O</w:t>
      </w:r>
      <w:r w:rsidRPr="00C61897">
        <w:rPr>
          <w:rFonts w:ascii="Arial" w:hAnsi="Arial" w:cs="Arial"/>
          <w:sz w:val="24"/>
          <w:szCs w:val="24"/>
        </w:rPr>
        <w:t>ffenders’</w:t>
      </w:r>
      <w:r>
        <w:rPr>
          <w:rFonts w:ascii="Arial" w:hAnsi="Arial" w:cs="Arial"/>
          <w:sz w:val="24"/>
          <w:szCs w:val="24"/>
        </w:rPr>
        <w:t>,</w:t>
      </w:r>
      <w:r w:rsidRPr="00C61897">
        <w:rPr>
          <w:rFonts w:ascii="Arial" w:hAnsi="Arial" w:cs="Arial"/>
          <w:sz w:val="24"/>
          <w:szCs w:val="24"/>
        </w:rPr>
        <w:t xml:space="preserve"> </w:t>
      </w:r>
      <w:r w:rsidRPr="00C61897">
        <w:rPr>
          <w:rFonts w:ascii="Arial" w:hAnsi="Arial" w:cs="Arial"/>
          <w:i/>
          <w:sz w:val="24"/>
          <w:szCs w:val="24"/>
        </w:rPr>
        <w:t>Law and Society Review</w:t>
      </w:r>
      <w:r w:rsidRPr="00C61897">
        <w:rPr>
          <w:rFonts w:ascii="Arial" w:hAnsi="Arial" w:cs="Arial"/>
          <w:sz w:val="24"/>
          <w:szCs w:val="24"/>
        </w:rPr>
        <w:t xml:space="preserve">, </w:t>
      </w:r>
      <w:r>
        <w:rPr>
          <w:rFonts w:ascii="Arial" w:hAnsi="Arial" w:cs="Arial"/>
          <w:sz w:val="24"/>
          <w:szCs w:val="24"/>
        </w:rPr>
        <w:t xml:space="preserve">Vol. </w:t>
      </w:r>
      <w:r w:rsidRPr="00C61897">
        <w:rPr>
          <w:rFonts w:ascii="Arial" w:hAnsi="Arial" w:cs="Arial"/>
          <w:sz w:val="24"/>
          <w:szCs w:val="24"/>
        </w:rPr>
        <w:t>19</w:t>
      </w:r>
      <w:r>
        <w:rPr>
          <w:rFonts w:ascii="Arial" w:hAnsi="Arial" w:cs="Arial"/>
          <w:sz w:val="24"/>
          <w:szCs w:val="24"/>
        </w:rPr>
        <w:t xml:space="preserve">, No. </w:t>
      </w:r>
      <w:r w:rsidRPr="00C61897">
        <w:rPr>
          <w:rFonts w:ascii="Arial" w:hAnsi="Arial" w:cs="Arial"/>
          <w:sz w:val="24"/>
          <w:szCs w:val="24"/>
        </w:rPr>
        <w:t xml:space="preserve">2, </w:t>
      </w:r>
      <w:r>
        <w:rPr>
          <w:rFonts w:ascii="Arial" w:hAnsi="Arial" w:cs="Arial"/>
          <w:sz w:val="24"/>
          <w:szCs w:val="24"/>
        </w:rPr>
        <w:t xml:space="preserve">p. </w:t>
      </w:r>
      <w:r w:rsidRPr="00C61897">
        <w:rPr>
          <w:rFonts w:ascii="Arial" w:hAnsi="Arial" w:cs="Arial"/>
          <w:sz w:val="24"/>
          <w:szCs w:val="24"/>
        </w:rPr>
        <w:t>179.</w:t>
      </w:r>
    </w:p>
  </w:endnote>
  <w:endnote w:id="160">
    <w:p w14:paraId="2F70EE04" w14:textId="4F2D653E"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w:t>
      </w:r>
      <w:r>
        <w:rPr>
          <w:rFonts w:ascii="Arial" w:hAnsi="Arial" w:cs="Arial"/>
          <w:sz w:val="24"/>
          <w:szCs w:val="24"/>
        </w:rPr>
        <w:t xml:space="preserve">for example </w:t>
      </w:r>
      <w:r w:rsidRPr="00C61897">
        <w:rPr>
          <w:rFonts w:ascii="Arial" w:hAnsi="Arial" w:cs="Arial"/>
          <w:sz w:val="24"/>
          <w:szCs w:val="24"/>
        </w:rPr>
        <w:t>Friedrichs</w:t>
      </w:r>
      <w:r>
        <w:rPr>
          <w:rFonts w:ascii="Arial" w:hAnsi="Arial" w:cs="Arial"/>
          <w:sz w:val="24"/>
          <w:szCs w:val="24"/>
        </w:rPr>
        <w:t xml:space="preserve"> (2012)</w:t>
      </w:r>
      <w:r w:rsidRPr="00C61897">
        <w:rPr>
          <w:rFonts w:ascii="Arial" w:hAnsi="Arial" w:cs="Arial"/>
          <w:sz w:val="24"/>
          <w:szCs w:val="24"/>
        </w:rPr>
        <w:t xml:space="preserve"> ‘Wall Street</w:t>
      </w:r>
      <w:r>
        <w:rPr>
          <w:rFonts w:ascii="Arial" w:hAnsi="Arial" w:cs="Arial"/>
          <w:sz w:val="24"/>
          <w:szCs w:val="24"/>
        </w:rPr>
        <w:t xml:space="preserve">’, </w:t>
      </w:r>
      <w:r w:rsidRPr="00AE07F1">
        <w:rPr>
          <w:rFonts w:ascii="Arial" w:hAnsi="Arial" w:cs="Arial"/>
          <w:i/>
          <w:sz w:val="24"/>
          <w:szCs w:val="24"/>
        </w:rPr>
        <w:t>passim</w:t>
      </w:r>
      <w:r>
        <w:rPr>
          <w:rFonts w:ascii="Arial" w:hAnsi="Arial" w:cs="Arial"/>
          <w:i/>
          <w:sz w:val="24"/>
          <w:szCs w:val="24"/>
        </w:rPr>
        <w:t>.</w:t>
      </w:r>
    </w:p>
  </w:endnote>
  <w:endnote w:id="161">
    <w:p w14:paraId="1A67E33A" w14:textId="1B0F1FC2"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Pr>
          <w:rFonts w:ascii="Arial" w:hAnsi="Arial" w:cs="Arial"/>
          <w:sz w:val="24"/>
          <w:szCs w:val="24"/>
        </w:rPr>
        <w:t>For example see</w:t>
      </w:r>
      <w:r w:rsidRPr="00C61897">
        <w:rPr>
          <w:rFonts w:ascii="Arial" w:hAnsi="Arial" w:cs="Arial"/>
          <w:sz w:val="24"/>
          <w:szCs w:val="24"/>
        </w:rPr>
        <w:t xml:space="preserve"> S</w:t>
      </w:r>
      <w:r>
        <w:rPr>
          <w:rFonts w:ascii="Arial" w:hAnsi="Arial" w:cs="Arial"/>
          <w:sz w:val="24"/>
          <w:szCs w:val="24"/>
        </w:rPr>
        <w:t>.</w:t>
      </w:r>
      <w:r w:rsidRPr="00C61897">
        <w:rPr>
          <w:rFonts w:ascii="Arial" w:hAnsi="Arial" w:cs="Arial"/>
          <w:sz w:val="24"/>
          <w:szCs w:val="24"/>
        </w:rPr>
        <w:t xml:space="preserve"> Shapiro</w:t>
      </w:r>
      <w:r>
        <w:rPr>
          <w:rFonts w:ascii="Arial" w:hAnsi="Arial" w:cs="Arial"/>
          <w:sz w:val="24"/>
          <w:szCs w:val="24"/>
        </w:rPr>
        <w:t xml:space="preserve"> (1990)</w:t>
      </w:r>
      <w:r w:rsidRPr="00C61897">
        <w:rPr>
          <w:rFonts w:ascii="Arial" w:hAnsi="Arial" w:cs="Arial"/>
          <w:sz w:val="24"/>
          <w:szCs w:val="24"/>
        </w:rPr>
        <w:t xml:space="preserve"> ‘Collaring the Crime, not the Criminal: Reconsidering the Concept of a White-Collar Crime’</w:t>
      </w:r>
      <w:r>
        <w:rPr>
          <w:rFonts w:ascii="Arial" w:hAnsi="Arial" w:cs="Arial"/>
          <w:sz w:val="24"/>
          <w:szCs w:val="24"/>
        </w:rPr>
        <w:t>,</w:t>
      </w:r>
      <w:r w:rsidRPr="00C61897">
        <w:rPr>
          <w:rFonts w:ascii="Arial" w:hAnsi="Arial" w:cs="Arial"/>
          <w:sz w:val="24"/>
          <w:szCs w:val="24"/>
        </w:rPr>
        <w:t xml:space="preserve"> </w:t>
      </w:r>
      <w:r w:rsidRPr="00C61897">
        <w:rPr>
          <w:rFonts w:ascii="Arial" w:hAnsi="Arial" w:cs="Arial"/>
          <w:i/>
          <w:iCs/>
          <w:sz w:val="24"/>
          <w:szCs w:val="24"/>
        </w:rPr>
        <w:t>American Sociological Review</w:t>
      </w:r>
      <w:r w:rsidRPr="00C61897">
        <w:rPr>
          <w:rFonts w:ascii="Arial" w:hAnsi="Arial" w:cs="Arial"/>
          <w:sz w:val="24"/>
          <w:szCs w:val="24"/>
        </w:rPr>
        <w:t xml:space="preserve">, </w:t>
      </w:r>
      <w:r>
        <w:rPr>
          <w:rFonts w:ascii="Arial" w:hAnsi="Arial" w:cs="Arial"/>
          <w:sz w:val="24"/>
          <w:szCs w:val="24"/>
        </w:rPr>
        <w:t xml:space="preserve">Vol. </w:t>
      </w:r>
      <w:r w:rsidRPr="00C61897">
        <w:rPr>
          <w:rFonts w:ascii="Arial" w:hAnsi="Arial" w:cs="Arial"/>
          <w:sz w:val="24"/>
          <w:szCs w:val="24"/>
        </w:rPr>
        <w:t>55,</w:t>
      </w:r>
      <w:r>
        <w:rPr>
          <w:rFonts w:ascii="Arial" w:hAnsi="Arial" w:cs="Arial"/>
          <w:sz w:val="24"/>
          <w:szCs w:val="24"/>
        </w:rPr>
        <w:t xml:space="preserve"> pp. 346-65 at p. </w:t>
      </w:r>
      <w:r w:rsidRPr="00C61897">
        <w:rPr>
          <w:rFonts w:ascii="Arial" w:hAnsi="Arial" w:cs="Arial"/>
          <w:sz w:val="24"/>
          <w:szCs w:val="24"/>
        </w:rPr>
        <w:t>346.</w:t>
      </w:r>
    </w:p>
  </w:endnote>
  <w:endnote w:id="162">
    <w:p w14:paraId="1E84DE65" w14:textId="76060633"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discussion in Nelken</w:t>
      </w:r>
      <w:r>
        <w:rPr>
          <w:rFonts w:ascii="Arial" w:hAnsi="Arial" w:cs="Arial"/>
          <w:sz w:val="24"/>
          <w:szCs w:val="24"/>
        </w:rPr>
        <w:t xml:space="preserve"> (1994)</w:t>
      </w:r>
      <w:r w:rsidRPr="00C61897">
        <w:rPr>
          <w:rFonts w:ascii="Arial" w:hAnsi="Arial" w:cs="Arial"/>
          <w:sz w:val="24"/>
          <w:szCs w:val="24"/>
        </w:rPr>
        <w:t xml:space="preserve"> ‘White-Collar Crime’. </w:t>
      </w:r>
    </w:p>
  </w:endnote>
  <w:endnote w:id="163">
    <w:p w14:paraId="6A54969D" w14:textId="6028C085"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As suggested in works referenced </w:t>
      </w:r>
      <w:r>
        <w:rPr>
          <w:rFonts w:ascii="Arial" w:hAnsi="Arial" w:cs="Arial"/>
          <w:sz w:val="24"/>
          <w:szCs w:val="24"/>
        </w:rPr>
        <w:t>above in this chapter</w:t>
      </w:r>
      <w:r w:rsidRPr="00C61897">
        <w:rPr>
          <w:rFonts w:ascii="Arial" w:hAnsi="Arial" w:cs="Arial"/>
          <w:sz w:val="24"/>
          <w:szCs w:val="24"/>
        </w:rPr>
        <w:t xml:space="preserve"> by Sutherland, Ashe and Counsell and Cole. </w:t>
      </w:r>
    </w:p>
  </w:endnote>
  <w:endnote w:id="164">
    <w:p w14:paraId="4A2301A4" w14:textId="1FCF69BC"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D</w:t>
      </w:r>
      <w:r>
        <w:rPr>
          <w:rFonts w:ascii="Arial" w:hAnsi="Arial" w:cs="Arial"/>
          <w:sz w:val="24"/>
          <w:szCs w:val="24"/>
        </w:rPr>
        <w:t>.</w:t>
      </w:r>
      <w:r w:rsidRPr="00C61897">
        <w:rPr>
          <w:rFonts w:ascii="Arial" w:hAnsi="Arial" w:cs="Arial"/>
          <w:sz w:val="24"/>
          <w:szCs w:val="24"/>
        </w:rPr>
        <w:t>O</w:t>
      </w:r>
      <w:r>
        <w:rPr>
          <w:rFonts w:ascii="Arial" w:hAnsi="Arial" w:cs="Arial"/>
          <w:sz w:val="24"/>
          <w:szCs w:val="24"/>
        </w:rPr>
        <w:t>.</w:t>
      </w:r>
      <w:r w:rsidRPr="00C61897">
        <w:rPr>
          <w:rFonts w:ascii="Arial" w:hAnsi="Arial" w:cs="Arial"/>
          <w:sz w:val="24"/>
          <w:szCs w:val="24"/>
        </w:rPr>
        <w:t xml:space="preserve"> Friedrichs</w:t>
      </w:r>
      <w:r>
        <w:rPr>
          <w:rFonts w:ascii="Arial" w:hAnsi="Arial" w:cs="Arial"/>
          <w:sz w:val="24"/>
          <w:szCs w:val="24"/>
        </w:rPr>
        <w:t xml:space="preserve"> (2004)</w:t>
      </w:r>
      <w:r w:rsidRPr="00C61897">
        <w:rPr>
          <w:rFonts w:ascii="Arial" w:hAnsi="Arial" w:cs="Arial"/>
          <w:i/>
          <w:sz w:val="24"/>
          <w:szCs w:val="24"/>
        </w:rPr>
        <w:t xml:space="preserve"> Trusted Criminals: White-Collar Crime in Contemporary Society </w:t>
      </w:r>
      <w:r w:rsidRPr="00C61897">
        <w:rPr>
          <w:rFonts w:ascii="Arial" w:hAnsi="Arial" w:cs="Arial"/>
          <w:sz w:val="24"/>
          <w:szCs w:val="24"/>
        </w:rPr>
        <w:t xml:space="preserve">(Belmont CA: Wadsworth), </w:t>
      </w:r>
      <w:r>
        <w:rPr>
          <w:rFonts w:ascii="Arial" w:hAnsi="Arial" w:cs="Arial"/>
          <w:sz w:val="24"/>
          <w:szCs w:val="24"/>
        </w:rPr>
        <w:t xml:space="preserve">p. </w:t>
      </w:r>
      <w:r w:rsidRPr="00C61897">
        <w:rPr>
          <w:rFonts w:ascii="Arial" w:hAnsi="Arial" w:cs="Arial"/>
          <w:sz w:val="24"/>
          <w:szCs w:val="24"/>
        </w:rPr>
        <w:t>5.</w:t>
      </w:r>
    </w:p>
  </w:endnote>
  <w:endnote w:id="165">
    <w:p w14:paraId="3C02CD0A" w14:textId="6BEA92F1"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w:t>
      </w:r>
      <w:r>
        <w:rPr>
          <w:rFonts w:ascii="Arial" w:hAnsi="Arial" w:cs="Arial"/>
          <w:sz w:val="24"/>
          <w:szCs w:val="24"/>
        </w:rPr>
        <w:t>.</w:t>
      </w:r>
      <w:r w:rsidRPr="00C61897">
        <w:rPr>
          <w:rFonts w:ascii="Arial" w:hAnsi="Arial" w:cs="Arial"/>
          <w:sz w:val="24"/>
          <w:szCs w:val="24"/>
        </w:rPr>
        <w:t xml:space="preserve"> Karstedt and S</w:t>
      </w:r>
      <w:r>
        <w:rPr>
          <w:rFonts w:ascii="Arial" w:hAnsi="Arial" w:cs="Arial"/>
          <w:sz w:val="24"/>
          <w:szCs w:val="24"/>
        </w:rPr>
        <w:t>.</w:t>
      </w:r>
      <w:r w:rsidRPr="00C61897">
        <w:rPr>
          <w:rFonts w:ascii="Arial" w:hAnsi="Arial" w:cs="Arial"/>
          <w:sz w:val="24"/>
          <w:szCs w:val="24"/>
        </w:rPr>
        <w:t xml:space="preserve"> Farrall</w:t>
      </w:r>
      <w:r>
        <w:rPr>
          <w:rFonts w:ascii="Arial" w:hAnsi="Arial" w:cs="Arial"/>
          <w:sz w:val="24"/>
          <w:szCs w:val="24"/>
        </w:rPr>
        <w:t>, ‘</w:t>
      </w:r>
      <w:r w:rsidRPr="00C61897">
        <w:rPr>
          <w:rFonts w:ascii="Arial" w:hAnsi="Arial" w:cs="Arial"/>
          <w:sz w:val="24"/>
          <w:szCs w:val="24"/>
        </w:rPr>
        <w:t xml:space="preserve">Law-abiding </w:t>
      </w:r>
      <w:r>
        <w:rPr>
          <w:rFonts w:ascii="Arial" w:hAnsi="Arial" w:cs="Arial"/>
          <w:sz w:val="24"/>
          <w:szCs w:val="24"/>
        </w:rPr>
        <w:t>M</w:t>
      </w:r>
      <w:r w:rsidRPr="00C61897">
        <w:rPr>
          <w:rFonts w:ascii="Arial" w:hAnsi="Arial" w:cs="Arial"/>
          <w:sz w:val="24"/>
          <w:szCs w:val="24"/>
        </w:rPr>
        <w:t xml:space="preserve">ajority? The </w:t>
      </w:r>
      <w:r>
        <w:rPr>
          <w:rFonts w:ascii="Arial" w:hAnsi="Arial" w:cs="Arial"/>
          <w:sz w:val="24"/>
          <w:szCs w:val="24"/>
        </w:rPr>
        <w:t>E</w:t>
      </w:r>
      <w:r w:rsidRPr="00C61897">
        <w:rPr>
          <w:rFonts w:ascii="Arial" w:hAnsi="Arial" w:cs="Arial"/>
          <w:sz w:val="24"/>
          <w:szCs w:val="24"/>
        </w:rPr>
        <w:t xml:space="preserve">veryday </w:t>
      </w:r>
      <w:r>
        <w:rPr>
          <w:rFonts w:ascii="Arial" w:hAnsi="Arial" w:cs="Arial"/>
          <w:sz w:val="24"/>
          <w:szCs w:val="24"/>
        </w:rPr>
        <w:t>C</w:t>
      </w:r>
      <w:r w:rsidRPr="00C61897">
        <w:rPr>
          <w:rFonts w:ascii="Arial" w:hAnsi="Arial" w:cs="Arial"/>
          <w:sz w:val="24"/>
          <w:szCs w:val="24"/>
        </w:rPr>
        <w:t xml:space="preserve">rimes of the </w:t>
      </w:r>
      <w:r>
        <w:rPr>
          <w:rFonts w:ascii="Arial" w:hAnsi="Arial" w:cs="Arial"/>
          <w:sz w:val="24"/>
          <w:szCs w:val="24"/>
        </w:rPr>
        <w:t>M</w:t>
      </w:r>
      <w:r w:rsidRPr="00C61897">
        <w:rPr>
          <w:rFonts w:ascii="Arial" w:hAnsi="Arial" w:cs="Arial"/>
          <w:sz w:val="24"/>
          <w:szCs w:val="24"/>
        </w:rPr>
        <w:t xml:space="preserve">iddle </w:t>
      </w:r>
      <w:r>
        <w:rPr>
          <w:rFonts w:ascii="Arial" w:hAnsi="Arial" w:cs="Arial"/>
          <w:sz w:val="24"/>
          <w:szCs w:val="24"/>
        </w:rPr>
        <w:t>C</w:t>
      </w:r>
      <w:r w:rsidRPr="00C61897">
        <w:rPr>
          <w:rFonts w:ascii="Arial" w:hAnsi="Arial" w:cs="Arial"/>
          <w:sz w:val="24"/>
          <w:szCs w:val="24"/>
        </w:rPr>
        <w:t>lasses</w:t>
      </w:r>
      <w:r>
        <w:rPr>
          <w:rFonts w:ascii="Arial" w:hAnsi="Arial" w:cs="Arial"/>
          <w:sz w:val="24"/>
          <w:szCs w:val="24"/>
        </w:rPr>
        <w:t xml:space="preserve">’, Third Briefing, </w:t>
      </w:r>
      <w:r w:rsidRPr="00C61897">
        <w:rPr>
          <w:rFonts w:ascii="Arial" w:hAnsi="Arial" w:cs="Arial"/>
          <w:sz w:val="24"/>
          <w:szCs w:val="24"/>
        </w:rPr>
        <w:t>Centre for Crime and Justice Studies, June 2007.</w:t>
      </w:r>
    </w:p>
  </w:endnote>
  <w:endnote w:id="166">
    <w:p w14:paraId="5280D804" w14:textId="09AA5FDB"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Indeed this is how this ‘most dramatic personal turn-around in fortunes in recent British commercial history’ was titled: see J</w:t>
      </w:r>
      <w:r>
        <w:rPr>
          <w:rFonts w:ascii="Arial" w:hAnsi="Arial" w:cs="Arial"/>
          <w:sz w:val="24"/>
          <w:szCs w:val="24"/>
        </w:rPr>
        <w:t>.</w:t>
      </w:r>
      <w:r w:rsidRPr="00C61897">
        <w:rPr>
          <w:rFonts w:ascii="Arial" w:hAnsi="Arial" w:cs="Arial"/>
          <w:sz w:val="24"/>
          <w:szCs w:val="24"/>
        </w:rPr>
        <w:t xml:space="preserve"> Saunders</w:t>
      </w:r>
      <w:r>
        <w:rPr>
          <w:rFonts w:ascii="Arial" w:hAnsi="Arial" w:cs="Arial"/>
          <w:sz w:val="24"/>
          <w:szCs w:val="24"/>
        </w:rPr>
        <w:t xml:space="preserve"> (1989)</w:t>
      </w:r>
      <w:r w:rsidRPr="00C61897">
        <w:rPr>
          <w:rFonts w:ascii="Arial" w:hAnsi="Arial" w:cs="Arial"/>
          <w:sz w:val="24"/>
          <w:szCs w:val="24"/>
        </w:rPr>
        <w:t xml:space="preserve"> </w:t>
      </w:r>
      <w:r w:rsidRPr="00C61897">
        <w:rPr>
          <w:rFonts w:ascii="Arial" w:hAnsi="Arial" w:cs="Arial"/>
          <w:i/>
          <w:sz w:val="24"/>
          <w:szCs w:val="24"/>
        </w:rPr>
        <w:t>Nightmare: the Ernest Saunders Story</w:t>
      </w:r>
      <w:r w:rsidRPr="00C61897">
        <w:rPr>
          <w:rFonts w:ascii="Arial" w:hAnsi="Arial" w:cs="Arial"/>
          <w:sz w:val="24"/>
          <w:szCs w:val="24"/>
        </w:rPr>
        <w:t xml:space="preserve"> (London Hutchinson).  </w:t>
      </w:r>
    </w:p>
  </w:endnote>
  <w:endnote w:id="167">
    <w:p w14:paraId="33EBF40F" w14:textId="2E422354"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M</w:t>
      </w:r>
      <w:r>
        <w:rPr>
          <w:rFonts w:ascii="Arial" w:hAnsi="Arial" w:cs="Arial"/>
          <w:sz w:val="24"/>
          <w:szCs w:val="24"/>
        </w:rPr>
        <w:t>.</w:t>
      </w:r>
      <w:r w:rsidRPr="00C61897">
        <w:rPr>
          <w:rFonts w:ascii="Arial" w:hAnsi="Arial" w:cs="Arial"/>
          <w:sz w:val="24"/>
          <w:szCs w:val="24"/>
        </w:rPr>
        <w:t xml:space="preserve"> Levi</w:t>
      </w:r>
      <w:r>
        <w:rPr>
          <w:rFonts w:ascii="Arial" w:hAnsi="Arial" w:cs="Arial"/>
          <w:sz w:val="24"/>
          <w:szCs w:val="24"/>
        </w:rPr>
        <w:t xml:space="preserve"> (1991)</w:t>
      </w:r>
      <w:r w:rsidRPr="00C61897">
        <w:rPr>
          <w:rFonts w:ascii="Arial" w:hAnsi="Arial" w:cs="Arial"/>
          <w:sz w:val="24"/>
          <w:szCs w:val="24"/>
        </w:rPr>
        <w:t xml:space="preserve"> ‘Sentencing White-Collar Crime in the Dark? Reflections on the Guinness Four’</w:t>
      </w:r>
      <w:r>
        <w:rPr>
          <w:rFonts w:ascii="Arial" w:hAnsi="Arial" w:cs="Arial"/>
          <w:sz w:val="24"/>
          <w:szCs w:val="24"/>
        </w:rPr>
        <w:t>,</w:t>
      </w:r>
      <w:r w:rsidRPr="00C61897">
        <w:rPr>
          <w:rFonts w:ascii="Arial" w:hAnsi="Arial" w:cs="Arial"/>
          <w:sz w:val="24"/>
          <w:szCs w:val="24"/>
        </w:rPr>
        <w:t xml:space="preserve"> </w:t>
      </w:r>
      <w:r w:rsidRPr="00C61897">
        <w:rPr>
          <w:rFonts w:ascii="Arial" w:hAnsi="Arial" w:cs="Arial"/>
          <w:i/>
          <w:iCs/>
          <w:sz w:val="24"/>
          <w:szCs w:val="24"/>
        </w:rPr>
        <w:t>Howard Journal of Criminal Justice</w:t>
      </w:r>
      <w:r w:rsidRPr="00C61897">
        <w:rPr>
          <w:rFonts w:ascii="Arial" w:hAnsi="Arial" w:cs="Arial"/>
          <w:sz w:val="24"/>
          <w:szCs w:val="24"/>
        </w:rPr>
        <w:t xml:space="preserve">, </w:t>
      </w:r>
      <w:r>
        <w:rPr>
          <w:rFonts w:ascii="Arial" w:hAnsi="Arial" w:cs="Arial"/>
          <w:sz w:val="24"/>
          <w:szCs w:val="24"/>
        </w:rPr>
        <w:t xml:space="preserve">Vol. 30, No. </w:t>
      </w:r>
      <w:r w:rsidRPr="00C61897">
        <w:rPr>
          <w:rFonts w:ascii="Arial" w:hAnsi="Arial" w:cs="Arial"/>
          <w:sz w:val="24"/>
          <w:szCs w:val="24"/>
        </w:rPr>
        <w:t>4,</w:t>
      </w:r>
      <w:r>
        <w:rPr>
          <w:rFonts w:ascii="Arial" w:hAnsi="Arial" w:cs="Arial"/>
          <w:sz w:val="24"/>
          <w:szCs w:val="24"/>
        </w:rPr>
        <w:t xml:space="preserve"> pp. 257-79 at p. </w:t>
      </w:r>
      <w:r w:rsidRPr="00C61897">
        <w:rPr>
          <w:rFonts w:ascii="Arial" w:hAnsi="Arial" w:cs="Arial"/>
          <w:sz w:val="24"/>
          <w:szCs w:val="24"/>
        </w:rPr>
        <w:t>257</w:t>
      </w:r>
      <w:r>
        <w:rPr>
          <w:rFonts w:ascii="Arial" w:hAnsi="Arial" w:cs="Arial"/>
          <w:sz w:val="24"/>
          <w:szCs w:val="24"/>
        </w:rPr>
        <w:t xml:space="preserve"> and p.</w:t>
      </w:r>
      <w:r w:rsidRPr="00C61897">
        <w:rPr>
          <w:rFonts w:ascii="Arial" w:hAnsi="Arial" w:cs="Arial"/>
          <w:sz w:val="24"/>
          <w:szCs w:val="24"/>
        </w:rPr>
        <w:t xml:space="preserve"> 269</w:t>
      </w:r>
      <w:r>
        <w:rPr>
          <w:rFonts w:ascii="Arial" w:hAnsi="Arial" w:cs="Arial"/>
          <w:sz w:val="24"/>
          <w:szCs w:val="24"/>
        </w:rPr>
        <w:t>.</w:t>
      </w:r>
    </w:p>
  </w:endnote>
  <w:endnote w:id="168">
    <w:p w14:paraId="7DFEBEC9" w14:textId="0242E5BC"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D81C51">
        <w:rPr>
          <w:rFonts w:ascii="Arial" w:hAnsi="Arial" w:cs="Arial"/>
          <w:i/>
          <w:sz w:val="24"/>
          <w:szCs w:val="24"/>
          <w:lang w:val="en"/>
        </w:rPr>
        <w:t>Daily Mail</w:t>
      </w:r>
      <w:r>
        <w:rPr>
          <w:rFonts w:ascii="Arial" w:hAnsi="Arial" w:cs="Arial"/>
          <w:sz w:val="24"/>
          <w:szCs w:val="24"/>
          <w:lang w:val="en"/>
        </w:rPr>
        <w:t>, 24</w:t>
      </w:r>
      <w:r w:rsidRPr="00D81C51">
        <w:rPr>
          <w:rFonts w:ascii="Arial" w:hAnsi="Arial" w:cs="Arial"/>
          <w:sz w:val="24"/>
          <w:szCs w:val="24"/>
          <w:vertAlign w:val="superscript"/>
          <w:lang w:val="en"/>
        </w:rPr>
        <w:t>th</w:t>
      </w:r>
      <w:r>
        <w:rPr>
          <w:rFonts w:ascii="Arial" w:hAnsi="Arial" w:cs="Arial"/>
          <w:sz w:val="24"/>
          <w:szCs w:val="24"/>
          <w:lang w:val="en"/>
        </w:rPr>
        <w:t xml:space="preserve"> May 2012</w:t>
      </w:r>
      <w:r w:rsidRPr="00C61897">
        <w:rPr>
          <w:rFonts w:ascii="Arial" w:hAnsi="Arial" w:cs="Arial"/>
          <w:sz w:val="24"/>
          <w:szCs w:val="24"/>
          <w:lang w:val="en"/>
        </w:rPr>
        <w:t>.</w:t>
      </w:r>
    </w:p>
  </w:endnote>
  <w:endnote w:id="169">
    <w:p w14:paraId="30EA0EF8" w14:textId="2785C928"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D81C51">
        <w:rPr>
          <w:rFonts w:ascii="Arial" w:hAnsi="Arial" w:cs="Arial"/>
          <w:i/>
          <w:sz w:val="24"/>
          <w:szCs w:val="24"/>
        </w:rPr>
        <w:t>The Independent</w:t>
      </w:r>
      <w:r>
        <w:rPr>
          <w:rFonts w:ascii="Arial" w:hAnsi="Arial" w:cs="Arial"/>
          <w:sz w:val="24"/>
          <w:szCs w:val="24"/>
        </w:rPr>
        <w:t xml:space="preserve">, </w:t>
      </w:r>
      <w:r w:rsidRPr="00C61897">
        <w:rPr>
          <w:rFonts w:ascii="Arial" w:hAnsi="Arial" w:cs="Arial"/>
          <w:sz w:val="24"/>
          <w:szCs w:val="24"/>
        </w:rPr>
        <w:t>30</w:t>
      </w:r>
      <w:r w:rsidRPr="00D81C51">
        <w:rPr>
          <w:rFonts w:ascii="Arial" w:hAnsi="Arial" w:cs="Arial"/>
          <w:sz w:val="24"/>
          <w:szCs w:val="24"/>
          <w:vertAlign w:val="superscript"/>
        </w:rPr>
        <w:t>th</w:t>
      </w:r>
      <w:r>
        <w:rPr>
          <w:rFonts w:ascii="Arial" w:hAnsi="Arial" w:cs="Arial"/>
          <w:sz w:val="24"/>
          <w:szCs w:val="24"/>
        </w:rPr>
        <w:t xml:space="preserve"> </w:t>
      </w:r>
      <w:r w:rsidRPr="00C61897">
        <w:rPr>
          <w:rFonts w:ascii="Arial" w:hAnsi="Arial" w:cs="Arial"/>
          <w:sz w:val="24"/>
          <w:szCs w:val="24"/>
        </w:rPr>
        <w:t>December 1994.</w:t>
      </w:r>
    </w:p>
  </w:endnote>
  <w:endnote w:id="170">
    <w:p w14:paraId="1E4D13F1" w14:textId="5282DB92"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Levi</w:t>
      </w:r>
      <w:r>
        <w:rPr>
          <w:rFonts w:ascii="Arial" w:hAnsi="Arial" w:cs="Arial"/>
          <w:sz w:val="24"/>
          <w:szCs w:val="24"/>
        </w:rPr>
        <w:t xml:space="preserve"> (1991)</w:t>
      </w:r>
      <w:r w:rsidRPr="00C61897">
        <w:rPr>
          <w:rFonts w:ascii="Arial" w:hAnsi="Arial" w:cs="Arial"/>
          <w:sz w:val="24"/>
          <w:szCs w:val="24"/>
        </w:rPr>
        <w:t xml:space="preserve"> ‘Sentencing White-Collar Crime in the Dark?</w:t>
      </w:r>
      <w:r>
        <w:rPr>
          <w:rFonts w:ascii="Arial" w:hAnsi="Arial" w:cs="Arial"/>
          <w:sz w:val="24"/>
          <w:szCs w:val="24"/>
        </w:rPr>
        <w:t>’</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260.</w:t>
      </w:r>
    </w:p>
  </w:endnote>
  <w:endnote w:id="171">
    <w:p w14:paraId="0E02C1D8"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D81C51">
        <w:rPr>
          <w:rFonts w:ascii="Arial" w:hAnsi="Arial" w:cs="Arial"/>
          <w:i/>
          <w:sz w:val="24"/>
          <w:szCs w:val="24"/>
        </w:rPr>
        <w:t>Ibid</w:t>
      </w:r>
      <w:r w:rsidRPr="00C61897">
        <w:rPr>
          <w:rFonts w:ascii="Arial" w:hAnsi="Arial" w:cs="Arial"/>
          <w:sz w:val="24"/>
          <w:szCs w:val="24"/>
        </w:rPr>
        <w:t xml:space="preserve">. </w:t>
      </w:r>
    </w:p>
  </w:endnote>
  <w:endnote w:id="172">
    <w:p w14:paraId="1AD34547"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C61897">
        <w:rPr>
          <w:rFonts w:ascii="Arial" w:hAnsi="Arial" w:cs="Arial"/>
          <w:i/>
          <w:sz w:val="24"/>
          <w:szCs w:val="24"/>
        </w:rPr>
        <w:t>Hannam v FCA</w:t>
      </w:r>
      <w:r w:rsidRPr="00C61897">
        <w:rPr>
          <w:rFonts w:ascii="Arial" w:hAnsi="Arial" w:cs="Arial"/>
          <w:sz w:val="24"/>
          <w:szCs w:val="24"/>
        </w:rPr>
        <w:t xml:space="preserve"> [2014] UKUT 0233 (TCC).</w:t>
      </w:r>
    </w:p>
  </w:endnote>
  <w:endnote w:id="173">
    <w:p w14:paraId="3615650C"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Wilson</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i/>
          <w:sz w:val="24"/>
          <w:szCs w:val="24"/>
        </w:rPr>
        <w:t>The Origins of Modern Financial Crime</w:t>
      </w:r>
      <w:r w:rsidRPr="00C61897">
        <w:rPr>
          <w:rFonts w:ascii="Arial" w:hAnsi="Arial" w:cs="Arial"/>
          <w:sz w:val="24"/>
          <w:szCs w:val="24"/>
        </w:rPr>
        <w:t xml:space="preserve">. </w:t>
      </w:r>
    </w:p>
  </w:endnote>
  <w:endnote w:id="174">
    <w:p w14:paraId="6DD2564C" w14:textId="6192517A"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w:t>
      </w:r>
      <w:r>
        <w:rPr>
          <w:rFonts w:ascii="Arial" w:hAnsi="Arial" w:cs="Arial"/>
          <w:sz w:val="24"/>
          <w:szCs w:val="24"/>
        </w:rPr>
        <w:t>.</w:t>
      </w:r>
      <w:r w:rsidRPr="00C61897">
        <w:rPr>
          <w:rFonts w:ascii="Arial" w:hAnsi="Arial" w:cs="Arial"/>
          <w:sz w:val="24"/>
          <w:szCs w:val="24"/>
        </w:rPr>
        <w:t>H</w:t>
      </w:r>
      <w:r>
        <w:rPr>
          <w:rFonts w:ascii="Arial" w:hAnsi="Arial" w:cs="Arial"/>
          <w:sz w:val="24"/>
          <w:szCs w:val="24"/>
        </w:rPr>
        <w:t>.</w:t>
      </w:r>
      <w:r w:rsidRPr="00C61897">
        <w:rPr>
          <w:rFonts w:ascii="Arial" w:hAnsi="Arial" w:cs="Arial"/>
          <w:sz w:val="24"/>
          <w:szCs w:val="24"/>
        </w:rPr>
        <w:t xml:space="preserve"> Sewell Jr</w:t>
      </w:r>
      <w:r>
        <w:rPr>
          <w:rFonts w:ascii="Arial" w:hAnsi="Arial" w:cs="Arial"/>
          <w:sz w:val="24"/>
          <w:szCs w:val="24"/>
        </w:rPr>
        <w:t>. (2005)</w:t>
      </w:r>
      <w:r w:rsidRPr="00C61897">
        <w:rPr>
          <w:rFonts w:ascii="Arial" w:hAnsi="Arial" w:cs="Arial"/>
          <w:sz w:val="24"/>
          <w:szCs w:val="24"/>
        </w:rPr>
        <w:t xml:space="preserve"> </w:t>
      </w:r>
      <w:r w:rsidRPr="00C61897">
        <w:rPr>
          <w:rFonts w:ascii="Arial" w:hAnsi="Arial" w:cs="Arial"/>
          <w:i/>
          <w:sz w:val="24"/>
          <w:szCs w:val="24"/>
        </w:rPr>
        <w:t>Logics of History: Social theory and Social Transformation</w:t>
      </w:r>
      <w:r w:rsidRPr="00C61897">
        <w:rPr>
          <w:rFonts w:ascii="Arial" w:hAnsi="Arial" w:cs="Arial"/>
          <w:sz w:val="24"/>
          <w:szCs w:val="24"/>
        </w:rPr>
        <w:t xml:space="preserve"> (Chicago: University of Chicago Press), especially </w:t>
      </w:r>
      <w:r>
        <w:rPr>
          <w:rFonts w:ascii="Arial" w:hAnsi="Arial" w:cs="Arial"/>
          <w:sz w:val="24"/>
          <w:szCs w:val="24"/>
        </w:rPr>
        <w:t xml:space="preserve">pp. </w:t>
      </w:r>
      <w:r w:rsidRPr="00C61897">
        <w:rPr>
          <w:rFonts w:ascii="Arial" w:hAnsi="Arial" w:cs="Arial"/>
          <w:sz w:val="24"/>
          <w:szCs w:val="24"/>
        </w:rPr>
        <w:t xml:space="preserve">6-18. </w:t>
      </w:r>
    </w:p>
  </w:endnote>
  <w:endnote w:id="175">
    <w:p w14:paraId="394592C0" w14:textId="0C62F966" w:rsidR="00EE7708" w:rsidRPr="00C61897" w:rsidRDefault="00EE7708" w:rsidP="00C61897">
      <w:pPr>
        <w:pStyle w:val="EndnoteText"/>
        <w:spacing w:line="480" w:lineRule="auto"/>
        <w:jc w:val="both"/>
        <w:rPr>
          <w:rFonts w:ascii="Arial" w:hAnsi="Arial" w:cs="Arial"/>
          <w:i/>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Tosh</w:t>
      </w:r>
      <w:r>
        <w:rPr>
          <w:rFonts w:ascii="Arial" w:hAnsi="Arial" w:cs="Arial"/>
          <w:sz w:val="24"/>
          <w:szCs w:val="24"/>
        </w:rPr>
        <w:t xml:space="preserve"> (2010 edition)</w:t>
      </w:r>
      <w:r w:rsidRPr="00C61897">
        <w:rPr>
          <w:rFonts w:ascii="Arial" w:hAnsi="Arial" w:cs="Arial"/>
          <w:sz w:val="24"/>
          <w:szCs w:val="24"/>
        </w:rPr>
        <w:t xml:space="preserve"> </w:t>
      </w:r>
      <w:r w:rsidRPr="00C61897">
        <w:rPr>
          <w:rFonts w:ascii="Arial" w:hAnsi="Arial" w:cs="Arial"/>
          <w:i/>
          <w:sz w:val="24"/>
          <w:szCs w:val="24"/>
        </w:rPr>
        <w:t>The Pursuit of History</w:t>
      </w:r>
      <w:r>
        <w:rPr>
          <w:rFonts w:ascii="Arial" w:hAnsi="Arial" w:cs="Arial"/>
          <w:sz w:val="24"/>
          <w:szCs w:val="24"/>
        </w:rPr>
        <w:t>, pp. 45-7.</w:t>
      </w:r>
    </w:p>
  </w:endnote>
  <w:endnote w:id="176">
    <w:p w14:paraId="3D1BB461" w14:textId="2FD0ADF9"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Wilson</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i/>
          <w:sz w:val="24"/>
          <w:szCs w:val="24"/>
        </w:rPr>
        <w:t>The Origins of Modern Financial Crime</w:t>
      </w:r>
      <w:r w:rsidRPr="00C61897">
        <w:rPr>
          <w:rFonts w:ascii="Arial" w:hAnsi="Arial" w:cs="Arial"/>
          <w:sz w:val="24"/>
          <w:szCs w:val="24"/>
        </w:rPr>
        <w:t xml:space="preserve">. </w:t>
      </w:r>
    </w:p>
  </w:endnote>
  <w:endnote w:id="177">
    <w:p w14:paraId="6AE3C4E7" w14:textId="6FC00F90"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Rt Hon George Osborne MP</w:t>
      </w:r>
      <w:r>
        <w:rPr>
          <w:rFonts w:ascii="Arial" w:hAnsi="Arial" w:cs="Arial"/>
          <w:sz w:val="24"/>
          <w:szCs w:val="24"/>
        </w:rPr>
        <w:t>,</w:t>
      </w:r>
      <w:r w:rsidRPr="00C61897">
        <w:rPr>
          <w:rFonts w:ascii="Arial" w:hAnsi="Arial" w:cs="Arial"/>
          <w:sz w:val="24"/>
          <w:szCs w:val="24"/>
        </w:rPr>
        <w:t xml:space="preserve"> Mansion House Speech (London</w:t>
      </w:r>
      <w:r>
        <w:rPr>
          <w:rFonts w:ascii="Arial" w:hAnsi="Arial" w:cs="Arial"/>
          <w:sz w:val="24"/>
          <w:szCs w:val="24"/>
        </w:rPr>
        <w:t>),</w:t>
      </w:r>
      <w:r w:rsidRPr="00C61897">
        <w:rPr>
          <w:rFonts w:ascii="Arial" w:hAnsi="Arial" w:cs="Arial"/>
          <w:sz w:val="24"/>
          <w:szCs w:val="24"/>
        </w:rPr>
        <w:t xml:space="preserve"> 10</w:t>
      </w:r>
      <w:r w:rsidRPr="00BD7848">
        <w:rPr>
          <w:rFonts w:ascii="Arial" w:hAnsi="Arial" w:cs="Arial"/>
          <w:sz w:val="24"/>
          <w:szCs w:val="24"/>
          <w:vertAlign w:val="superscript"/>
        </w:rPr>
        <w:t>th</w:t>
      </w:r>
      <w:r>
        <w:rPr>
          <w:rFonts w:ascii="Arial" w:hAnsi="Arial" w:cs="Arial"/>
          <w:sz w:val="24"/>
          <w:szCs w:val="24"/>
        </w:rPr>
        <w:t xml:space="preserve"> </w:t>
      </w:r>
      <w:r w:rsidRPr="00C61897">
        <w:rPr>
          <w:rFonts w:ascii="Arial" w:hAnsi="Arial" w:cs="Arial"/>
          <w:sz w:val="24"/>
          <w:szCs w:val="24"/>
        </w:rPr>
        <w:t>June 2015.</w:t>
      </w:r>
    </w:p>
  </w:endnote>
  <w:endnote w:id="178">
    <w:p w14:paraId="3F05BFB0" w14:textId="0688F79E"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R</w:t>
      </w:r>
      <w:r>
        <w:rPr>
          <w:rFonts w:ascii="Arial" w:hAnsi="Arial" w:cs="Arial"/>
          <w:sz w:val="24"/>
          <w:szCs w:val="24"/>
        </w:rPr>
        <w:t>.</w:t>
      </w:r>
      <w:r w:rsidRPr="00C61897">
        <w:rPr>
          <w:rFonts w:ascii="Arial" w:hAnsi="Arial" w:cs="Arial"/>
          <w:sz w:val="24"/>
          <w:szCs w:val="24"/>
        </w:rPr>
        <w:t xml:space="preserve"> Wright</w:t>
      </w:r>
      <w:r>
        <w:rPr>
          <w:rFonts w:ascii="Arial" w:hAnsi="Arial" w:cs="Arial"/>
          <w:sz w:val="24"/>
          <w:szCs w:val="24"/>
        </w:rPr>
        <w:t>,</w:t>
      </w:r>
      <w:r w:rsidRPr="00C61897">
        <w:rPr>
          <w:rFonts w:ascii="Arial" w:hAnsi="Arial" w:cs="Arial"/>
          <w:sz w:val="24"/>
          <w:szCs w:val="24"/>
        </w:rPr>
        <w:t xml:space="preserve"> ‘The Investigation and Prosecution of Serious and Complex Fraud Towards the </w:t>
      </w:r>
      <w:r>
        <w:rPr>
          <w:rFonts w:ascii="Arial" w:hAnsi="Arial" w:cs="Arial"/>
          <w:sz w:val="24"/>
          <w:szCs w:val="24"/>
        </w:rPr>
        <w:t>Twenty-first</w:t>
      </w:r>
      <w:r w:rsidRPr="00C61897">
        <w:rPr>
          <w:rFonts w:ascii="Arial" w:hAnsi="Arial" w:cs="Arial"/>
          <w:sz w:val="24"/>
          <w:szCs w:val="24"/>
        </w:rPr>
        <w:t xml:space="preserve"> </w:t>
      </w:r>
      <w:r>
        <w:rPr>
          <w:rFonts w:ascii="Arial" w:hAnsi="Arial" w:cs="Arial"/>
          <w:sz w:val="24"/>
          <w:szCs w:val="24"/>
        </w:rPr>
        <w:t>C</w:t>
      </w:r>
      <w:r w:rsidRPr="00C61897">
        <w:rPr>
          <w:rFonts w:ascii="Arial" w:hAnsi="Arial" w:cs="Arial"/>
          <w:sz w:val="24"/>
          <w:szCs w:val="24"/>
        </w:rPr>
        <w:t>entury’</w:t>
      </w:r>
      <w:r>
        <w:rPr>
          <w:rFonts w:ascii="Arial" w:hAnsi="Arial" w:cs="Arial"/>
          <w:sz w:val="24"/>
          <w:szCs w:val="24"/>
        </w:rPr>
        <w:t>,</w:t>
      </w:r>
      <w:r w:rsidRPr="00C61897">
        <w:rPr>
          <w:rFonts w:ascii="Arial" w:hAnsi="Arial" w:cs="Arial"/>
          <w:sz w:val="24"/>
          <w:szCs w:val="24"/>
        </w:rPr>
        <w:t xml:space="preserve"> ISRCL Commercial and Financial Fraud Conference</w:t>
      </w:r>
      <w:r>
        <w:rPr>
          <w:rFonts w:ascii="Arial" w:hAnsi="Arial" w:cs="Arial"/>
          <w:sz w:val="24"/>
          <w:szCs w:val="24"/>
        </w:rPr>
        <w:t>, 12</w:t>
      </w:r>
      <w:r w:rsidRPr="00BD7848">
        <w:rPr>
          <w:rFonts w:ascii="Arial" w:hAnsi="Arial" w:cs="Arial"/>
          <w:sz w:val="24"/>
          <w:szCs w:val="24"/>
          <w:vertAlign w:val="superscript"/>
        </w:rPr>
        <w:t>th</w:t>
      </w:r>
      <w:r>
        <w:rPr>
          <w:rFonts w:ascii="Arial" w:hAnsi="Arial" w:cs="Arial"/>
          <w:sz w:val="24"/>
          <w:szCs w:val="24"/>
        </w:rPr>
        <w:t xml:space="preserve"> July 1999.</w:t>
      </w:r>
    </w:p>
  </w:endnote>
  <w:endnote w:id="179">
    <w:p w14:paraId="5A97A0D2" w14:textId="17D4B36A"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Trial of Strahan</w:t>
      </w:r>
      <w:r>
        <w:rPr>
          <w:rFonts w:ascii="Arial" w:hAnsi="Arial" w:cs="Arial"/>
          <w:sz w:val="24"/>
          <w:szCs w:val="24"/>
        </w:rPr>
        <w:t>,</w:t>
      </w:r>
      <w:r w:rsidRPr="00C61897">
        <w:rPr>
          <w:rFonts w:ascii="Arial" w:hAnsi="Arial" w:cs="Arial"/>
          <w:sz w:val="24"/>
          <w:szCs w:val="24"/>
        </w:rPr>
        <w:t xml:space="preserve"> Paul and Bates </w:t>
      </w:r>
      <w:r>
        <w:rPr>
          <w:rFonts w:ascii="Arial" w:hAnsi="Arial" w:cs="Arial"/>
          <w:sz w:val="24"/>
          <w:szCs w:val="24"/>
        </w:rPr>
        <w:t>(</w:t>
      </w:r>
      <w:r w:rsidRPr="00C61897">
        <w:rPr>
          <w:rFonts w:ascii="Arial" w:hAnsi="Arial" w:cs="Arial"/>
          <w:sz w:val="24"/>
          <w:szCs w:val="24"/>
        </w:rPr>
        <w:t>1855</w:t>
      </w:r>
      <w:r>
        <w:rPr>
          <w:rFonts w:ascii="Arial" w:hAnsi="Arial" w:cs="Arial"/>
          <w:sz w:val="24"/>
          <w:szCs w:val="24"/>
        </w:rPr>
        <w:t>) found in</w:t>
      </w:r>
      <w:r w:rsidRPr="00C61897">
        <w:rPr>
          <w:rFonts w:ascii="Arial" w:hAnsi="Arial" w:cs="Arial"/>
          <w:sz w:val="24"/>
          <w:szCs w:val="24"/>
        </w:rPr>
        <w:t xml:space="preserve"> Evans</w:t>
      </w:r>
      <w:r>
        <w:rPr>
          <w:rFonts w:ascii="Arial" w:hAnsi="Arial" w:cs="Arial"/>
          <w:sz w:val="24"/>
          <w:szCs w:val="24"/>
        </w:rPr>
        <w:t xml:space="preserve"> (1968 edition)</w:t>
      </w:r>
      <w:r w:rsidRPr="00C61897">
        <w:rPr>
          <w:rFonts w:ascii="Arial" w:hAnsi="Arial" w:cs="Arial"/>
          <w:sz w:val="24"/>
          <w:szCs w:val="24"/>
        </w:rPr>
        <w:t xml:space="preserve"> </w:t>
      </w:r>
      <w:r w:rsidRPr="00C61897">
        <w:rPr>
          <w:rFonts w:ascii="Arial" w:hAnsi="Arial" w:cs="Arial"/>
          <w:i/>
          <w:iCs/>
          <w:sz w:val="24"/>
          <w:szCs w:val="24"/>
        </w:rPr>
        <w:t>Facts, Failures and Frauds</w:t>
      </w:r>
      <w:r w:rsidRPr="00C61897">
        <w:rPr>
          <w:rFonts w:ascii="Arial" w:hAnsi="Arial" w:cs="Arial"/>
          <w:sz w:val="24"/>
          <w:szCs w:val="24"/>
        </w:rPr>
        <w:t>,</w:t>
      </w:r>
      <w:r>
        <w:rPr>
          <w:rFonts w:ascii="Arial" w:hAnsi="Arial" w:cs="Arial"/>
          <w:sz w:val="24"/>
          <w:szCs w:val="24"/>
        </w:rPr>
        <w:t xml:space="preserve"> especially</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 xml:space="preserve">117. </w:t>
      </w:r>
    </w:p>
  </w:endnote>
  <w:endnote w:id="180">
    <w:p w14:paraId="060188FC" w14:textId="77777777" w:rsidR="00EE7708" w:rsidRPr="00C61897" w:rsidRDefault="00EE7708" w:rsidP="00C61897">
      <w:pPr>
        <w:pStyle w:val="EndnoteText"/>
        <w:spacing w:line="480" w:lineRule="auto"/>
        <w:jc w:val="both"/>
        <w:rPr>
          <w:rFonts w:ascii="Arial" w:hAnsi="Arial" w:cs="Arial"/>
          <w:i/>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t>
      </w:r>
      <w:r w:rsidRPr="00BD7848">
        <w:rPr>
          <w:rFonts w:ascii="Arial" w:hAnsi="Arial" w:cs="Arial"/>
          <w:i/>
          <w:sz w:val="24"/>
          <w:szCs w:val="24"/>
        </w:rPr>
        <w:t>Ibid</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 xml:space="preserve">209 setting out judicial reflections on Windle Cole’s 1864 conviction. </w:t>
      </w:r>
    </w:p>
  </w:endnote>
  <w:endnote w:id="181">
    <w:p w14:paraId="03F0E638" w14:textId="5014727D"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Magnusso</w:t>
      </w:r>
      <w:r>
        <w:rPr>
          <w:rFonts w:ascii="Arial" w:hAnsi="Arial" w:cs="Arial"/>
          <w:sz w:val="24"/>
          <w:szCs w:val="24"/>
        </w:rPr>
        <w:t xml:space="preserve">n and </w:t>
      </w:r>
      <w:r w:rsidRPr="00C61897">
        <w:rPr>
          <w:rFonts w:ascii="Arial" w:hAnsi="Arial" w:cs="Arial"/>
          <w:sz w:val="24"/>
          <w:szCs w:val="24"/>
        </w:rPr>
        <w:t>Szijarto</w:t>
      </w:r>
      <w:r>
        <w:rPr>
          <w:rFonts w:ascii="Arial" w:hAnsi="Arial" w:cs="Arial"/>
          <w:sz w:val="24"/>
          <w:szCs w:val="24"/>
        </w:rPr>
        <w:t xml:space="preserve"> (2013)</w:t>
      </w:r>
      <w:r w:rsidRPr="00C61897">
        <w:rPr>
          <w:rFonts w:ascii="Arial" w:hAnsi="Arial" w:cs="Arial"/>
          <w:sz w:val="24"/>
          <w:szCs w:val="24"/>
        </w:rPr>
        <w:t xml:space="preserve"> </w:t>
      </w:r>
      <w:r w:rsidRPr="00C61897">
        <w:rPr>
          <w:rFonts w:ascii="Arial" w:hAnsi="Arial" w:cs="Arial"/>
          <w:i/>
          <w:sz w:val="24"/>
          <w:szCs w:val="24"/>
        </w:rPr>
        <w:t>What is Microhistory?,</w:t>
      </w:r>
      <w:r w:rsidRPr="00C61897">
        <w:rPr>
          <w:rFonts w:ascii="Arial" w:hAnsi="Arial" w:cs="Arial"/>
          <w:sz w:val="24"/>
          <w:szCs w:val="24"/>
        </w:rPr>
        <w:t xml:space="preserve"> </w:t>
      </w:r>
      <w:r>
        <w:rPr>
          <w:rFonts w:ascii="Arial" w:hAnsi="Arial" w:cs="Arial"/>
          <w:sz w:val="24"/>
          <w:szCs w:val="24"/>
        </w:rPr>
        <w:t xml:space="preserve">p. </w:t>
      </w:r>
      <w:r w:rsidRPr="00C61897">
        <w:rPr>
          <w:rFonts w:ascii="Arial" w:hAnsi="Arial" w:cs="Arial"/>
          <w:sz w:val="24"/>
          <w:szCs w:val="24"/>
        </w:rPr>
        <w:t>154.</w:t>
      </w:r>
    </w:p>
  </w:endnote>
  <w:endnote w:id="182">
    <w:p w14:paraId="4BBCAE70" w14:textId="7777777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Wilson</w:t>
      </w:r>
      <w:r>
        <w:rPr>
          <w:rFonts w:ascii="Arial" w:hAnsi="Arial" w:cs="Arial"/>
          <w:sz w:val="24"/>
          <w:szCs w:val="24"/>
        </w:rPr>
        <w:t xml:space="preserve"> (2014)</w:t>
      </w:r>
      <w:r w:rsidRPr="00C61897">
        <w:rPr>
          <w:rFonts w:ascii="Arial" w:hAnsi="Arial" w:cs="Arial"/>
          <w:sz w:val="24"/>
          <w:szCs w:val="24"/>
        </w:rPr>
        <w:t xml:space="preserve"> </w:t>
      </w:r>
      <w:r w:rsidRPr="00C61897">
        <w:rPr>
          <w:rFonts w:ascii="Arial" w:hAnsi="Arial" w:cs="Arial"/>
          <w:i/>
          <w:sz w:val="24"/>
          <w:szCs w:val="24"/>
        </w:rPr>
        <w:t>The Origins of Modern Financial Crime</w:t>
      </w:r>
      <w:r w:rsidRPr="00C61897">
        <w:rPr>
          <w:rFonts w:ascii="Arial" w:hAnsi="Arial" w:cs="Arial"/>
          <w:sz w:val="24"/>
          <w:szCs w:val="24"/>
        </w:rPr>
        <w:t>.</w:t>
      </w:r>
    </w:p>
  </w:endnote>
  <w:endnote w:id="183">
    <w:p w14:paraId="207CCC17" w14:textId="74A3E817" w:rsidR="00EE7708" w:rsidRPr="00C61897" w:rsidRDefault="00EE7708" w:rsidP="00C61897">
      <w:pPr>
        <w:pStyle w:val="EndnoteText"/>
        <w:spacing w:line="480" w:lineRule="auto"/>
        <w:jc w:val="both"/>
        <w:rPr>
          <w:rFonts w:ascii="Arial" w:hAnsi="Arial" w:cs="Arial"/>
          <w:sz w:val="24"/>
          <w:szCs w:val="24"/>
        </w:rPr>
      </w:pPr>
      <w:r w:rsidRPr="00C61897">
        <w:rPr>
          <w:rStyle w:val="EndnoteReference"/>
          <w:rFonts w:ascii="Arial" w:hAnsi="Arial" w:cs="Arial"/>
          <w:sz w:val="24"/>
          <w:szCs w:val="24"/>
        </w:rPr>
        <w:endnoteRef/>
      </w:r>
      <w:r w:rsidRPr="00C61897">
        <w:rPr>
          <w:rFonts w:ascii="Arial" w:hAnsi="Arial" w:cs="Arial"/>
          <w:sz w:val="24"/>
          <w:szCs w:val="24"/>
        </w:rPr>
        <w:t xml:space="preserve"> See Tosh</w:t>
      </w:r>
      <w:r>
        <w:rPr>
          <w:rFonts w:ascii="Arial" w:hAnsi="Arial" w:cs="Arial"/>
          <w:sz w:val="24"/>
          <w:szCs w:val="24"/>
        </w:rPr>
        <w:t xml:space="preserve"> (2010 edition)</w:t>
      </w:r>
      <w:r w:rsidRPr="00C61897">
        <w:rPr>
          <w:rFonts w:ascii="Arial" w:hAnsi="Arial" w:cs="Arial"/>
          <w:sz w:val="24"/>
          <w:szCs w:val="24"/>
        </w:rPr>
        <w:t xml:space="preserve"> </w:t>
      </w:r>
      <w:r w:rsidRPr="00C61897">
        <w:rPr>
          <w:rFonts w:ascii="Arial" w:hAnsi="Arial" w:cs="Arial"/>
          <w:i/>
          <w:sz w:val="24"/>
          <w:szCs w:val="24"/>
        </w:rPr>
        <w:t>The Pursuit of History</w:t>
      </w:r>
      <w:r w:rsidRPr="00C61897">
        <w:rPr>
          <w:rFonts w:ascii="Arial" w:hAnsi="Arial" w:cs="Arial"/>
          <w:sz w:val="24"/>
          <w:szCs w:val="24"/>
        </w:rPr>
        <w:t xml:space="preserve">, especially </w:t>
      </w:r>
      <w:r>
        <w:rPr>
          <w:rFonts w:ascii="Arial" w:hAnsi="Arial" w:cs="Arial"/>
          <w:sz w:val="24"/>
          <w:szCs w:val="24"/>
        </w:rPr>
        <w:t xml:space="preserve">pp. </w:t>
      </w:r>
      <w:r w:rsidRPr="00C61897">
        <w:rPr>
          <w:rFonts w:ascii="Arial" w:hAnsi="Arial" w:cs="Arial"/>
          <w:sz w:val="24"/>
          <w:szCs w:val="24"/>
        </w:rPr>
        <w:t>45-7.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70231"/>
      <w:docPartObj>
        <w:docPartGallery w:val="Page Numbers (Bottom of Page)"/>
        <w:docPartUnique/>
      </w:docPartObj>
    </w:sdtPr>
    <w:sdtEndPr>
      <w:rPr>
        <w:rFonts w:ascii="Arial" w:hAnsi="Arial" w:cs="Arial"/>
        <w:noProof/>
        <w:sz w:val="24"/>
        <w:szCs w:val="24"/>
      </w:rPr>
    </w:sdtEndPr>
    <w:sdtContent>
      <w:p w14:paraId="61E8859E" w14:textId="77777777" w:rsidR="00EE7708" w:rsidRPr="00CB55F1" w:rsidRDefault="00EE7708">
        <w:pPr>
          <w:pStyle w:val="Footer"/>
          <w:jc w:val="right"/>
          <w:rPr>
            <w:rFonts w:ascii="Arial" w:hAnsi="Arial" w:cs="Arial"/>
            <w:sz w:val="24"/>
            <w:szCs w:val="24"/>
          </w:rPr>
        </w:pPr>
        <w:r w:rsidRPr="00CB55F1">
          <w:rPr>
            <w:rFonts w:ascii="Arial" w:hAnsi="Arial" w:cs="Arial"/>
            <w:sz w:val="24"/>
            <w:szCs w:val="24"/>
          </w:rPr>
          <w:fldChar w:fldCharType="begin"/>
        </w:r>
        <w:r w:rsidRPr="00CB55F1">
          <w:rPr>
            <w:rFonts w:ascii="Arial" w:hAnsi="Arial" w:cs="Arial"/>
            <w:sz w:val="24"/>
            <w:szCs w:val="24"/>
          </w:rPr>
          <w:instrText xml:space="preserve"> PAGE   \* MERGEFORMAT </w:instrText>
        </w:r>
        <w:r w:rsidRPr="00CB55F1">
          <w:rPr>
            <w:rFonts w:ascii="Arial" w:hAnsi="Arial" w:cs="Arial"/>
            <w:sz w:val="24"/>
            <w:szCs w:val="24"/>
          </w:rPr>
          <w:fldChar w:fldCharType="separate"/>
        </w:r>
        <w:r w:rsidR="0005492D">
          <w:rPr>
            <w:rFonts w:ascii="Arial" w:hAnsi="Arial" w:cs="Arial"/>
            <w:noProof/>
            <w:sz w:val="24"/>
            <w:szCs w:val="24"/>
          </w:rPr>
          <w:t>21</w:t>
        </w:r>
        <w:r w:rsidRPr="00CB55F1">
          <w:rPr>
            <w:rFonts w:ascii="Arial" w:hAnsi="Arial" w:cs="Arial"/>
            <w:noProof/>
            <w:sz w:val="24"/>
            <w:szCs w:val="24"/>
          </w:rPr>
          <w:fldChar w:fldCharType="end"/>
        </w:r>
      </w:p>
    </w:sdtContent>
  </w:sdt>
  <w:p w14:paraId="305AE2A8" w14:textId="77777777" w:rsidR="00EE7708" w:rsidRDefault="00EE7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5D9A" w14:textId="77777777" w:rsidR="00A1140F" w:rsidRDefault="00A1140F" w:rsidP="00FB63B4">
      <w:pPr>
        <w:spacing w:after="0" w:line="240" w:lineRule="auto"/>
      </w:pPr>
      <w:r>
        <w:separator/>
      </w:r>
    </w:p>
  </w:footnote>
  <w:footnote w:type="continuationSeparator" w:id="0">
    <w:p w14:paraId="13F80DA9" w14:textId="77777777" w:rsidR="00A1140F" w:rsidRDefault="00A1140F" w:rsidP="00FB6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4"/>
    <w:rsid w:val="00030AB0"/>
    <w:rsid w:val="0003205B"/>
    <w:rsid w:val="00036EA9"/>
    <w:rsid w:val="00043FFF"/>
    <w:rsid w:val="0005492D"/>
    <w:rsid w:val="00056B0E"/>
    <w:rsid w:val="00065227"/>
    <w:rsid w:val="00067AE9"/>
    <w:rsid w:val="000739B1"/>
    <w:rsid w:val="00092C90"/>
    <w:rsid w:val="00097A16"/>
    <w:rsid w:val="000A3DBE"/>
    <w:rsid w:val="000B0264"/>
    <w:rsid w:val="000B79BD"/>
    <w:rsid w:val="00123153"/>
    <w:rsid w:val="00130C9E"/>
    <w:rsid w:val="001934C6"/>
    <w:rsid w:val="001A0ED5"/>
    <w:rsid w:val="001A448D"/>
    <w:rsid w:val="001B2E48"/>
    <w:rsid w:val="001B773C"/>
    <w:rsid w:val="001C5F61"/>
    <w:rsid w:val="001F59F2"/>
    <w:rsid w:val="00220156"/>
    <w:rsid w:val="00235B9A"/>
    <w:rsid w:val="00246C4B"/>
    <w:rsid w:val="002574A3"/>
    <w:rsid w:val="0027060B"/>
    <w:rsid w:val="00271B57"/>
    <w:rsid w:val="00276D16"/>
    <w:rsid w:val="002779BE"/>
    <w:rsid w:val="002A325B"/>
    <w:rsid w:val="002A7972"/>
    <w:rsid w:val="002D412A"/>
    <w:rsid w:val="002D7CC1"/>
    <w:rsid w:val="002E4C1E"/>
    <w:rsid w:val="002F2F57"/>
    <w:rsid w:val="003025AC"/>
    <w:rsid w:val="003241F2"/>
    <w:rsid w:val="00326123"/>
    <w:rsid w:val="00336964"/>
    <w:rsid w:val="00342B0A"/>
    <w:rsid w:val="00370960"/>
    <w:rsid w:val="00380285"/>
    <w:rsid w:val="003816F9"/>
    <w:rsid w:val="003857C9"/>
    <w:rsid w:val="00387413"/>
    <w:rsid w:val="003A1D2B"/>
    <w:rsid w:val="003B390F"/>
    <w:rsid w:val="003F0031"/>
    <w:rsid w:val="003F4400"/>
    <w:rsid w:val="00404D3A"/>
    <w:rsid w:val="004062A6"/>
    <w:rsid w:val="0041287C"/>
    <w:rsid w:val="00414A4A"/>
    <w:rsid w:val="00441092"/>
    <w:rsid w:val="004432E4"/>
    <w:rsid w:val="00453043"/>
    <w:rsid w:val="00463F6E"/>
    <w:rsid w:val="00473F49"/>
    <w:rsid w:val="004758A0"/>
    <w:rsid w:val="00477F7A"/>
    <w:rsid w:val="004830F6"/>
    <w:rsid w:val="004A3D96"/>
    <w:rsid w:val="004B089A"/>
    <w:rsid w:val="004B455A"/>
    <w:rsid w:val="004B7906"/>
    <w:rsid w:val="004C6CF4"/>
    <w:rsid w:val="004C7B3B"/>
    <w:rsid w:val="004D0BA3"/>
    <w:rsid w:val="004D546F"/>
    <w:rsid w:val="004E08B4"/>
    <w:rsid w:val="004E0D8F"/>
    <w:rsid w:val="00511DEF"/>
    <w:rsid w:val="00513523"/>
    <w:rsid w:val="005257EB"/>
    <w:rsid w:val="00543083"/>
    <w:rsid w:val="00555520"/>
    <w:rsid w:val="00581745"/>
    <w:rsid w:val="0059755D"/>
    <w:rsid w:val="005C221D"/>
    <w:rsid w:val="005C42B0"/>
    <w:rsid w:val="005C61A4"/>
    <w:rsid w:val="005F6686"/>
    <w:rsid w:val="00600CF2"/>
    <w:rsid w:val="00633A26"/>
    <w:rsid w:val="00643079"/>
    <w:rsid w:val="00645339"/>
    <w:rsid w:val="0066442B"/>
    <w:rsid w:val="006878C3"/>
    <w:rsid w:val="00690C50"/>
    <w:rsid w:val="006A2193"/>
    <w:rsid w:val="006D4EDA"/>
    <w:rsid w:val="006E3787"/>
    <w:rsid w:val="007101B2"/>
    <w:rsid w:val="00711B90"/>
    <w:rsid w:val="007233DB"/>
    <w:rsid w:val="00746AEE"/>
    <w:rsid w:val="00760C6B"/>
    <w:rsid w:val="0076259C"/>
    <w:rsid w:val="007B527A"/>
    <w:rsid w:val="007E66B9"/>
    <w:rsid w:val="007F2593"/>
    <w:rsid w:val="008115D7"/>
    <w:rsid w:val="00813935"/>
    <w:rsid w:val="00827F2F"/>
    <w:rsid w:val="00855E14"/>
    <w:rsid w:val="00860D17"/>
    <w:rsid w:val="00863E7F"/>
    <w:rsid w:val="0087379A"/>
    <w:rsid w:val="008757A7"/>
    <w:rsid w:val="00877421"/>
    <w:rsid w:val="008C250A"/>
    <w:rsid w:val="00901B21"/>
    <w:rsid w:val="009478B3"/>
    <w:rsid w:val="00951021"/>
    <w:rsid w:val="0095160B"/>
    <w:rsid w:val="00954CCD"/>
    <w:rsid w:val="009561E7"/>
    <w:rsid w:val="00957743"/>
    <w:rsid w:val="00972D9D"/>
    <w:rsid w:val="00974032"/>
    <w:rsid w:val="00976CA7"/>
    <w:rsid w:val="00980D57"/>
    <w:rsid w:val="009926B6"/>
    <w:rsid w:val="00996E3B"/>
    <w:rsid w:val="009A6FD0"/>
    <w:rsid w:val="009B38BA"/>
    <w:rsid w:val="009C4234"/>
    <w:rsid w:val="009D682F"/>
    <w:rsid w:val="009E122C"/>
    <w:rsid w:val="009E7369"/>
    <w:rsid w:val="00A0581E"/>
    <w:rsid w:val="00A1140F"/>
    <w:rsid w:val="00A237E2"/>
    <w:rsid w:val="00A2559A"/>
    <w:rsid w:val="00A26AC2"/>
    <w:rsid w:val="00A32C8F"/>
    <w:rsid w:val="00A60169"/>
    <w:rsid w:val="00A652F1"/>
    <w:rsid w:val="00A8092A"/>
    <w:rsid w:val="00A94C12"/>
    <w:rsid w:val="00AA12E3"/>
    <w:rsid w:val="00AA202B"/>
    <w:rsid w:val="00AB7593"/>
    <w:rsid w:val="00AC4707"/>
    <w:rsid w:val="00AD4F68"/>
    <w:rsid w:val="00AE07F1"/>
    <w:rsid w:val="00AE7873"/>
    <w:rsid w:val="00B3122D"/>
    <w:rsid w:val="00B3228A"/>
    <w:rsid w:val="00B67C76"/>
    <w:rsid w:val="00B71DD7"/>
    <w:rsid w:val="00B71F8E"/>
    <w:rsid w:val="00BB3ADC"/>
    <w:rsid w:val="00BD7848"/>
    <w:rsid w:val="00BF142F"/>
    <w:rsid w:val="00BF5171"/>
    <w:rsid w:val="00BF6954"/>
    <w:rsid w:val="00C00EFD"/>
    <w:rsid w:val="00C057E5"/>
    <w:rsid w:val="00C13744"/>
    <w:rsid w:val="00C175DA"/>
    <w:rsid w:val="00C1774B"/>
    <w:rsid w:val="00C31519"/>
    <w:rsid w:val="00C31B07"/>
    <w:rsid w:val="00C437F4"/>
    <w:rsid w:val="00C61897"/>
    <w:rsid w:val="00C72301"/>
    <w:rsid w:val="00C75BDF"/>
    <w:rsid w:val="00C77F87"/>
    <w:rsid w:val="00C8486B"/>
    <w:rsid w:val="00C8538E"/>
    <w:rsid w:val="00C90602"/>
    <w:rsid w:val="00C94B32"/>
    <w:rsid w:val="00CA13FC"/>
    <w:rsid w:val="00CB55F1"/>
    <w:rsid w:val="00CC5A83"/>
    <w:rsid w:val="00CD0A74"/>
    <w:rsid w:val="00CE2DEC"/>
    <w:rsid w:val="00D51B4E"/>
    <w:rsid w:val="00D5745D"/>
    <w:rsid w:val="00D61FAA"/>
    <w:rsid w:val="00D81C51"/>
    <w:rsid w:val="00D83A62"/>
    <w:rsid w:val="00D85EC3"/>
    <w:rsid w:val="00D87925"/>
    <w:rsid w:val="00D92BEB"/>
    <w:rsid w:val="00D94698"/>
    <w:rsid w:val="00DA5CA3"/>
    <w:rsid w:val="00DB11ED"/>
    <w:rsid w:val="00DB63D8"/>
    <w:rsid w:val="00DB7F8F"/>
    <w:rsid w:val="00DD1514"/>
    <w:rsid w:val="00DE4B04"/>
    <w:rsid w:val="00E01DA4"/>
    <w:rsid w:val="00E0667E"/>
    <w:rsid w:val="00E220E8"/>
    <w:rsid w:val="00E41AB4"/>
    <w:rsid w:val="00E66ECB"/>
    <w:rsid w:val="00E842E9"/>
    <w:rsid w:val="00E9073F"/>
    <w:rsid w:val="00EB34D6"/>
    <w:rsid w:val="00EC7F92"/>
    <w:rsid w:val="00ED5DD3"/>
    <w:rsid w:val="00EE3312"/>
    <w:rsid w:val="00EE7708"/>
    <w:rsid w:val="00F017AF"/>
    <w:rsid w:val="00F1294C"/>
    <w:rsid w:val="00F27225"/>
    <w:rsid w:val="00F51ECB"/>
    <w:rsid w:val="00F73AD4"/>
    <w:rsid w:val="00F83CC9"/>
    <w:rsid w:val="00FA28B6"/>
    <w:rsid w:val="00FA65F8"/>
    <w:rsid w:val="00FB63B4"/>
    <w:rsid w:val="00FD612A"/>
    <w:rsid w:val="00FE3DEF"/>
    <w:rsid w:val="00FE4943"/>
    <w:rsid w:val="00FF20FD"/>
    <w:rsid w:val="00FF3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FECA7"/>
  <w15:docId w15:val="{01BCC770-FE44-4A59-AB32-1981FBC6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B63B4"/>
    <w:pPr>
      <w:spacing w:after="0" w:line="240" w:lineRule="auto"/>
    </w:pPr>
    <w:rPr>
      <w:sz w:val="20"/>
      <w:szCs w:val="20"/>
    </w:rPr>
  </w:style>
  <w:style w:type="character" w:customStyle="1" w:styleId="FootnoteTextChar">
    <w:name w:val="Footnote Text Char"/>
    <w:basedOn w:val="DefaultParagraphFont"/>
    <w:link w:val="FootnoteText"/>
    <w:rsid w:val="00FB63B4"/>
    <w:rPr>
      <w:sz w:val="20"/>
      <w:szCs w:val="20"/>
    </w:rPr>
  </w:style>
  <w:style w:type="character" w:styleId="FootnoteReference">
    <w:name w:val="footnote reference"/>
    <w:basedOn w:val="DefaultParagraphFont"/>
    <w:unhideWhenUsed/>
    <w:rsid w:val="00FB63B4"/>
    <w:rPr>
      <w:vertAlign w:val="superscript"/>
    </w:rPr>
  </w:style>
  <w:style w:type="paragraph" w:styleId="Footer">
    <w:name w:val="footer"/>
    <w:basedOn w:val="Normal"/>
    <w:link w:val="FooterChar"/>
    <w:uiPriority w:val="99"/>
    <w:unhideWhenUsed/>
    <w:rsid w:val="00FB6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3B4"/>
  </w:style>
  <w:style w:type="paragraph" w:styleId="BalloonText">
    <w:name w:val="Balloon Text"/>
    <w:basedOn w:val="Normal"/>
    <w:link w:val="BalloonTextChar"/>
    <w:uiPriority w:val="99"/>
    <w:semiHidden/>
    <w:unhideWhenUsed/>
    <w:rsid w:val="00AD4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F68"/>
    <w:rPr>
      <w:rFonts w:ascii="Segoe UI" w:hAnsi="Segoe UI" w:cs="Segoe UI"/>
      <w:sz w:val="18"/>
      <w:szCs w:val="18"/>
    </w:rPr>
  </w:style>
  <w:style w:type="paragraph" w:styleId="Header">
    <w:name w:val="header"/>
    <w:basedOn w:val="Normal"/>
    <w:link w:val="HeaderChar"/>
    <w:uiPriority w:val="99"/>
    <w:unhideWhenUsed/>
    <w:rsid w:val="00CB5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5F1"/>
  </w:style>
  <w:style w:type="paragraph" w:styleId="EndnoteText">
    <w:name w:val="endnote text"/>
    <w:basedOn w:val="Normal"/>
    <w:link w:val="EndnoteTextChar"/>
    <w:uiPriority w:val="99"/>
    <w:semiHidden/>
    <w:unhideWhenUsed/>
    <w:rsid w:val="00CB55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55F1"/>
    <w:rPr>
      <w:sz w:val="20"/>
      <w:szCs w:val="20"/>
    </w:rPr>
  </w:style>
  <w:style w:type="character" w:styleId="EndnoteReference">
    <w:name w:val="endnote reference"/>
    <w:basedOn w:val="DefaultParagraphFont"/>
    <w:uiPriority w:val="99"/>
    <w:semiHidden/>
    <w:unhideWhenUsed/>
    <w:rsid w:val="00CB55F1"/>
    <w:rPr>
      <w:vertAlign w:val="superscript"/>
    </w:rPr>
  </w:style>
  <w:style w:type="paragraph" w:styleId="Revision">
    <w:name w:val="Revision"/>
    <w:hidden/>
    <w:uiPriority w:val="99"/>
    <w:semiHidden/>
    <w:rsid w:val="003025AC"/>
    <w:pPr>
      <w:spacing w:after="0" w:line="240" w:lineRule="auto"/>
    </w:pPr>
  </w:style>
  <w:style w:type="character" w:styleId="CommentReference">
    <w:name w:val="annotation reference"/>
    <w:basedOn w:val="DefaultParagraphFont"/>
    <w:uiPriority w:val="99"/>
    <w:semiHidden/>
    <w:unhideWhenUsed/>
    <w:rsid w:val="003025AC"/>
    <w:rPr>
      <w:sz w:val="16"/>
      <w:szCs w:val="16"/>
    </w:rPr>
  </w:style>
  <w:style w:type="paragraph" w:styleId="CommentText">
    <w:name w:val="annotation text"/>
    <w:basedOn w:val="Normal"/>
    <w:link w:val="CommentTextChar"/>
    <w:uiPriority w:val="99"/>
    <w:semiHidden/>
    <w:unhideWhenUsed/>
    <w:rsid w:val="003025AC"/>
    <w:pPr>
      <w:spacing w:line="240" w:lineRule="auto"/>
    </w:pPr>
    <w:rPr>
      <w:sz w:val="20"/>
      <w:szCs w:val="20"/>
    </w:rPr>
  </w:style>
  <w:style w:type="character" w:customStyle="1" w:styleId="CommentTextChar">
    <w:name w:val="Comment Text Char"/>
    <w:basedOn w:val="DefaultParagraphFont"/>
    <w:link w:val="CommentText"/>
    <w:uiPriority w:val="99"/>
    <w:semiHidden/>
    <w:rsid w:val="003025AC"/>
    <w:rPr>
      <w:sz w:val="20"/>
      <w:szCs w:val="20"/>
    </w:rPr>
  </w:style>
  <w:style w:type="paragraph" w:styleId="CommentSubject">
    <w:name w:val="annotation subject"/>
    <w:basedOn w:val="CommentText"/>
    <w:next w:val="CommentText"/>
    <w:link w:val="CommentSubjectChar"/>
    <w:uiPriority w:val="99"/>
    <w:semiHidden/>
    <w:unhideWhenUsed/>
    <w:rsid w:val="003025AC"/>
    <w:rPr>
      <w:b/>
      <w:bCs/>
    </w:rPr>
  </w:style>
  <w:style w:type="character" w:customStyle="1" w:styleId="CommentSubjectChar">
    <w:name w:val="Comment Subject Char"/>
    <w:basedOn w:val="CommentTextChar"/>
    <w:link w:val="CommentSubject"/>
    <w:uiPriority w:val="99"/>
    <w:semiHidden/>
    <w:rsid w:val="003025AC"/>
    <w:rPr>
      <w:b/>
      <w:bCs/>
      <w:sz w:val="20"/>
      <w:szCs w:val="20"/>
    </w:rPr>
  </w:style>
  <w:style w:type="character" w:styleId="Hyperlink">
    <w:name w:val="Hyperlink"/>
    <w:basedOn w:val="DefaultParagraphFont"/>
    <w:uiPriority w:val="99"/>
    <w:unhideWhenUsed/>
    <w:rsid w:val="002706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7FFDB-6FAE-447A-B1FE-9523B056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8097</Words>
  <Characters>46153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54142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Wilson</dc:creator>
  <cp:lastModifiedBy>Sarah Wilson</cp:lastModifiedBy>
  <cp:revision>6</cp:revision>
  <cp:lastPrinted>2015-10-12T15:07:00Z</cp:lastPrinted>
  <dcterms:created xsi:type="dcterms:W3CDTF">2017-05-10T05:33:00Z</dcterms:created>
  <dcterms:modified xsi:type="dcterms:W3CDTF">2017-05-10T05:36:00Z</dcterms:modified>
</cp:coreProperties>
</file>