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3A5FF" w14:textId="77777777" w:rsidR="002853FA" w:rsidRPr="00783891" w:rsidRDefault="00783891" w:rsidP="00783891">
      <w:pPr>
        <w:pStyle w:val="Title"/>
        <w:rPr>
          <w:sz w:val="44"/>
          <w:szCs w:val="44"/>
        </w:rPr>
      </w:pPr>
      <w:r w:rsidRPr="00783891">
        <w:rPr>
          <w:sz w:val="44"/>
          <w:szCs w:val="44"/>
        </w:rPr>
        <w:t>Reconsidering Mandatory Reconsideration</w:t>
      </w:r>
    </w:p>
    <w:p w14:paraId="61D41ABA" w14:textId="604BA537" w:rsidR="00783891" w:rsidRPr="00783891" w:rsidRDefault="003057D3" w:rsidP="00783891">
      <w:pPr>
        <w:pStyle w:val="Subtitle"/>
        <w:rPr>
          <w:rFonts w:asciiTheme="majorHAnsi" w:hAnsiTheme="majorHAnsi"/>
        </w:rPr>
      </w:pPr>
      <w:r>
        <w:rPr>
          <w:rFonts w:asciiTheme="majorHAnsi" w:hAnsiTheme="majorHAnsi"/>
        </w:rPr>
        <w:t>Dave Cowan,</w:t>
      </w:r>
      <w:r w:rsidRPr="00783891">
        <w:rPr>
          <w:rFonts w:asciiTheme="majorHAnsi" w:hAnsiTheme="majorHAnsi"/>
        </w:rPr>
        <w:t xml:space="preserve"> </w:t>
      </w:r>
      <w:r w:rsidR="00603A5D">
        <w:rPr>
          <w:rFonts w:asciiTheme="majorHAnsi" w:hAnsiTheme="majorHAnsi"/>
        </w:rPr>
        <w:t xml:space="preserve">Abi </w:t>
      </w:r>
      <w:proofErr w:type="spellStart"/>
      <w:r w:rsidR="00603A5D">
        <w:rPr>
          <w:rFonts w:asciiTheme="majorHAnsi" w:hAnsiTheme="majorHAnsi"/>
        </w:rPr>
        <w:t>Dymond</w:t>
      </w:r>
      <w:proofErr w:type="spellEnd"/>
      <w:r w:rsidR="00603A5D">
        <w:rPr>
          <w:rFonts w:asciiTheme="majorHAnsi" w:hAnsiTheme="majorHAnsi"/>
        </w:rPr>
        <w:t>,</w:t>
      </w:r>
      <w:r w:rsidR="00F05CCC">
        <w:rPr>
          <w:rFonts w:asciiTheme="majorHAnsi" w:hAnsiTheme="majorHAnsi"/>
        </w:rPr>
        <w:t xml:space="preserve"> </w:t>
      </w:r>
      <w:r w:rsidR="00603A5D">
        <w:rPr>
          <w:rFonts w:asciiTheme="majorHAnsi" w:hAnsiTheme="majorHAnsi"/>
        </w:rPr>
        <w:t>Simon Halliday</w:t>
      </w:r>
      <w:r w:rsidR="004F300C">
        <w:rPr>
          <w:rFonts w:asciiTheme="majorHAnsi" w:hAnsiTheme="majorHAnsi"/>
        </w:rPr>
        <w:t xml:space="preserve"> </w:t>
      </w:r>
      <w:r w:rsidR="00603A5D">
        <w:rPr>
          <w:rFonts w:asciiTheme="majorHAnsi" w:hAnsiTheme="majorHAnsi"/>
        </w:rPr>
        <w:t xml:space="preserve">and </w:t>
      </w:r>
      <w:r w:rsidRPr="00783891">
        <w:rPr>
          <w:rFonts w:asciiTheme="majorHAnsi" w:hAnsiTheme="majorHAnsi"/>
        </w:rPr>
        <w:t xml:space="preserve">Caroline Hunter </w:t>
      </w:r>
    </w:p>
    <w:p w14:paraId="21122B69" w14:textId="77777777" w:rsidR="00783891" w:rsidRDefault="00783891" w:rsidP="00783891">
      <w:pPr>
        <w:pStyle w:val="Heading1"/>
      </w:pPr>
      <w:r>
        <w:t>Introduction</w:t>
      </w:r>
    </w:p>
    <w:p w14:paraId="51182CD1" w14:textId="28C0695E" w:rsidR="00783891" w:rsidRPr="00EC1FE0" w:rsidRDefault="007464F8" w:rsidP="00783891">
      <w:pPr>
        <w:rPr>
          <w:rFonts w:asciiTheme="majorHAnsi" w:hAnsiTheme="majorHAnsi"/>
          <w:sz w:val="22"/>
          <w:szCs w:val="22"/>
        </w:rPr>
      </w:pPr>
      <w:r w:rsidRPr="00EC1FE0">
        <w:rPr>
          <w:rFonts w:asciiTheme="majorHAnsi" w:hAnsiTheme="majorHAnsi"/>
          <w:sz w:val="22"/>
          <w:szCs w:val="22"/>
        </w:rPr>
        <w:t>One of the key contemporary issues for the administrative justice system</w:t>
      </w:r>
      <w:r w:rsidR="00D349D4">
        <w:rPr>
          <w:rFonts w:asciiTheme="majorHAnsi" w:hAnsiTheme="majorHAnsi"/>
          <w:sz w:val="22"/>
          <w:szCs w:val="22"/>
        </w:rPr>
        <w:t>,</w:t>
      </w:r>
      <w:r w:rsidR="00AE6745">
        <w:rPr>
          <w:rFonts w:asciiTheme="majorHAnsi" w:hAnsiTheme="majorHAnsi"/>
          <w:sz w:val="22"/>
          <w:szCs w:val="22"/>
        </w:rPr>
        <w:t xml:space="preserve"> both in the </w:t>
      </w:r>
      <w:r w:rsidR="00D349D4">
        <w:rPr>
          <w:rFonts w:asciiTheme="majorHAnsi" w:hAnsiTheme="majorHAnsi"/>
          <w:sz w:val="22"/>
          <w:szCs w:val="22"/>
        </w:rPr>
        <w:t>UK</w:t>
      </w:r>
      <w:r w:rsidR="003D03C9">
        <w:rPr>
          <w:rStyle w:val="FootnoteReference"/>
          <w:rFonts w:asciiTheme="majorHAnsi" w:hAnsiTheme="majorHAnsi"/>
          <w:sz w:val="22"/>
          <w:szCs w:val="22"/>
        </w:rPr>
        <w:footnoteReference w:id="1"/>
      </w:r>
      <w:r w:rsidR="00D349D4">
        <w:rPr>
          <w:rFonts w:asciiTheme="majorHAnsi" w:hAnsiTheme="majorHAnsi"/>
          <w:sz w:val="22"/>
          <w:szCs w:val="22"/>
        </w:rPr>
        <w:t xml:space="preserve"> and throughout wider Europe,</w:t>
      </w:r>
      <w:r w:rsidR="00C73448">
        <w:rPr>
          <w:rStyle w:val="FootnoteReference"/>
          <w:rFonts w:asciiTheme="majorHAnsi" w:hAnsiTheme="majorHAnsi"/>
          <w:sz w:val="22"/>
          <w:szCs w:val="22"/>
        </w:rPr>
        <w:footnoteReference w:id="2"/>
      </w:r>
      <w:r w:rsidR="00AE6745">
        <w:rPr>
          <w:rFonts w:asciiTheme="majorHAnsi" w:hAnsiTheme="majorHAnsi"/>
          <w:sz w:val="22"/>
          <w:szCs w:val="22"/>
        </w:rPr>
        <w:t xml:space="preserve"> </w:t>
      </w:r>
      <w:r w:rsidRPr="00EC1FE0">
        <w:rPr>
          <w:rFonts w:asciiTheme="majorHAnsi" w:hAnsiTheme="majorHAnsi"/>
          <w:sz w:val="22"/>
          <w:szCs w:val="22"/>
        </w:rPr>
        <w:t xml:space="preserve">is </w:t>
      </w:r>
      <w:r w:rsidR="00EA271F">
        <w:rPr>
          <w:rFonts w:asciiTheme="majorHAnsi" w:hAnsiTheme="majorHAnsi"/>
          <w:sz w:val="22"/>
          <w:szCs w:val="22"/>
        </w:rPr>
        <w:t xml:space="preserve">the </w:t>
      </w:r>
      <w:r w:rsidRPr="00EC1FE0">
        <w:rPr>
          <w:rFonts w:asciiTheme="majorHAnsi" w:hAnsiTheme="majorHAnsi"/>
          <w:sz w:val="22"/>
          <w:szCs w:val="22"/>
        </w:rPr>
        <w:t>mandatory reconsideration</w:t>
      </w:r>
      <w:r w:rsidR="00525D9B" w:rsidRPr="00EC1FE0">
        <w:rPr>
          <w:rFonts w:asciiTheme="majorHAnsi" w:hAnsiTheme="majorHAnsi"/>
          <w:sz w:val="22"/>
          <w:szCs w:val="22"/>
        </w:rPr>
        <w:t xml:space="preserve"> of </w:t>
      </w:r>
      <w:r w:rsidR="00F05CCC">
        <w:rPr>
          <w:rFonts w:asciiTheme="majorHAnsi" w:hAnsiTheme="majorHAnsi"/>
          <w:sz w:val="22"/>
          <w:szCs w:val="22"/>
        </w:rPr>
        <w:t xml:space="preserve">administrative </w:t>
      </w:r>
      <w:r w:rsidR="00525D9B" w:rsidRPr="00EC1FE0">
        <w:rPr>
          <w:rFonts w:asciiTheme="majorHAnsi" w:hAnsiTheme="majorHAnsi"/>
          <w:sz w:val="22"/>
          <w:szCs w:val="22"/>
        </w:rPr>
        <w:t>decisions</w:t>
      </w:r>
      <w:r w:rsidRPr="00EC1FE0">
        <w:rPr>
          <w:rFonts w:asciiTheme="majorHAnsi" w:hAnsiTheme="majorHAnsi"/>
          <w:sz w:val="22"/>
          <w:szCs w:val="22"/>
        </w:rPr>
        <w:t xml:space="preserve">. </w:t>
      </w:r>
      <w:r w:rsidR="00525D9B" w:rsidRPr="00EC1FE0">
        <w:rPr>
          <w:rFonts w:asciiTheme="majorHAnsi" w:hAnsiTheme="majorHAnsi"/>
          <w:sz w:val="22"/>
          <w:szCs w:val="22"/>
        </w:rPr>
        <w:t xml:space="preserve">Mandatory reconsideration is a feature of a system of administrative redress whereby a citizen who is aggrieved by an entitlement decision must have that decision reviewed by the initial deciding authority before </w:t>
      </w:r>
      <w:r w:rsidR="00FF7FA7">
        <w:rPr>
          <w:rFonts w:asciiTheme="majorHAnsi" w:hAnsiTheme="majorHAnsi"/>
          <w:sz w:val="22"/>
          <w:szCs w:val="22"/>
        </w:rPr>
        <w:t>s/he</w:t>
      </w:r>
      <w:r w:rsidR="00525D9B" w:rsidRPr="00EC1FE0">
        <w:rPr>
          <w:rFonts w:asciiTheme="majorHAnsi" w:hAnsiTheme="majorHAnsi"/>
          <w:sz w:val="22"/>
          <w:szCs w:val="22"/>
        </w:rPr>
        <w:t xml:space="preserve"> </w:t>
      </w:r>
      <w:r w:rsidR="00FF7FA7">
        <w:rPr>
          <w:rFonts w:asciiTheme="majorHAnsi" w:hAnsiTheme="majorHAnsi"/>
          <w:sz w:val="22"/>
          <w:szCs w:val="22"/>
        </w:rPr>
        <w:t>is</w:t>
      </w:r>
      <w:r w:rsidR="003D7635">
        <w:rPr>
          <w:rFonts w:asciiTheme="majorHAnsi" w:hAnsiTheme="majorHAnsi"/>
          <w:sz w:val="22"/>
          <w:szCs w:val="22"/>
        </w:rPr>
        <w:t xml:space="preserve"> allowed</w:t>
      </w:r>
      <w:r w:rsidR="00525D9B" w:rsidRPr="00EC1FE0">
        <w:rPr>
          <w:rFonts w:asciiTheme="majorHAnsi" w:hAnsiTheme="majorHAnsi"/>
          <w:sz w:val="22"/>
          <w:szCs w:val="22"/>
        </w:rPr>
        <w:t xml:space="preserve"> </w:t>
      </w:r>
      <w:r w:rsidR="00D349D4">
        <w:rPr>
          <w:rFonts w:asciiTheme="majorHAnsi" w:hAnsiTheme="majorHAnsi"/>
          <w:sz w:val="22"/>
          <w:szCs w:val="22"/>
        </w:rPr>
        <w:t xml:space="preserve">to </w:t>
      </w:r>
      <w:r w:rsidR="00525D9B" w:rsidRPr="00EC1FE0">
        <w:rPr>
          <w:rFonts w:asciiTheme="majorHAnsi" w:hAnsiTheme="majorHAnsi"/>
          <w:sz w:val="22"/>
          <w:szCs w:val="22"/>
        </w:rPr>
        <w:t>pursu</w:t>
      </w:r>
      <w:r w:rsidR="00EC1FE0">
        <w:rPr>
          <w:rFonts w:asciiTheme="majorHAnsi" w:hAnsiTheme="majorHAnsi"/>
          <w:sz w:val="22"/>
          <w:szCs w:val="22"/>
        </w:rPr>
        <w:t>e redress in an external forum.</w:t>
      </w:r>
    </w:p>
    <w:p w14:paraId="552F571E" w14:textId="77777777" w:rsidR="00525D9B" w:rsidRPr="00EC1FE0" w:rsidRDefault="00525D9B" w:rsidP="00783891">
      <w:pPr>
        <w:rPr>
          <w:rFonts w:asciiTheme="majorHAnsi" w:hAnsiTheme="majorHAnsi"/>
          <w:sz w:val="22"/>
          <w:szCs w:val="22"/>
        </w:rPr>
      </w:pPr>
    </w:p>
    <w:p w14:paraId="440E92C3" w14:textId="613180CC" w:rsidR="00525D9B" w:rsidRDefault="00525D9B" w:rsidP="00783891">
      <w:pPr>
        <w:rPr>
          <w:rFonts w:asciiTheme="majorHAnsi" w:hAnsiTheme="majorHAnsi" w:cs="font000000001ca43094"/>
          <w:noProof w:val="0"/>
          <w:color w:val="0B0B0B"/>
          <w:sz w:val="22"/>
          <w:szCs w:val="22"/>
          <w:bdr w:val="none" w:sz="0" w:space="0" w:color="auto"/>
          <w:lang w:val="en-US"/>
        </w:rPr>
      </w:pPr>
      <w:r w:rsidRPr="00EC1FE0">
        <w:rPr>
          <w:rFonts w:asciiTheme="majorHAnsi" w:hAnsiTheme="majorHAnsi"/>
          <w:sz w:val="22"/>
          <w:szCs w:val="22"/>
        </w:rPr>
        <w:t xml:space="preserve">Mandatory reconsideration has become a particularly pressing point </w:t>
      </w:r>
      <w:r w:rsidR="003D7635">
        <w:rPr>
          <w:rFonts w:asciiTheme="majorHAnsi" w:hAnsiTheme="majorHAnsi"/>
          <w:sz w:val="22"/>
          <w:szCs w:val="22"/>
        </w:rPr>
        <w:t xml:space="preserve">in the UK </w:t>
      </w:r>
      <w:r w:rsidR="00F05CCC">
        <w:rPr>
          <w:rFonts w:asciiTheme="majorHAnsi" w:hAnsiTheme="majorHAnsi"/>
          <w:sz w:val="22"/>
          <w:szCs w:val="22"/>
        </w:rPr>
        <w:t xml:space="preserve">in the field of welfare </w:t>
      </w:r>
      <w:r w:rsidRPr="00EC1FE0">
        <w:rPr>
          <w:rFonts w:asciiTheme="majorHAnsi" w:hAnsiTheme="majorHAnsi"/>
          <w:sz w:val="22"/>
          <w:szCs w:val="22"/>
        </w:rPr>
        <w:t xml:space="preserve">following the </w:t>
      </w:r>
      <w:r w:rsidR="00553DF4" w:rsidRPr="00EC1FE0">
        <w:rPr>
          <w:rFonts w:asciiTheme="majorHAnsi" w:hAnsiTheme="majorHAnsi"/>
          <w:sz w:val="22"/>
          <w:szCs w:val="22"/>
        </w:rPr>
        <w:t xml:space="preserve">2012 </w:t>
      </w:r>
      <w:r w:rsidRPr="00EC1FE0">
        <w:rPr>
          <w:rFonts w:asciiTheme="majorHAnsi" w:hAnsiTheme="majorHAnsi"/>
          <w:sz w:val="22"/>
          <w:szCs w:val="22"/>
        </w:rPr>
        <w:t xml:space="preserve">reforms </w:t>
      </w:r>
      <w:r w:rsidR="00553DF4" w:rsidRPr="00EC1FE0">
        <w:rPr>
          <w:rFonts w:asciiTheme="majorHAnsi" w:hAnsiTheme="majorHAnsi"/>
          <w:sz w:val="22"/>
          <w:szCs w:val="22"/>
        </w:rPr>
        <w:t>to</w:t>
      </w:r>
      <w:r w:rsidRPr="00EC1FE0">
        <w:rPr>
          <w:rFonts w:asciiTheme="majorHAnsi" w:hAnsiTheme="majorHAnsi"/>
          <w:sz w:val="22"/>
          <w:szCs w:val="22"/>
        </w:rPr>
        <w:t xml:space="preserve"> the </w:t>
      </w:r>
      <w:r w:rsidR="00553DF4" w:rsidRPr="00EC1FE0">
        <w:rPr>
          <w:rFonts w:asciiTheme="majorHAnsi" w:hAnsiTheme="majorHAnsi"/>
          <w:sz w:val="22"/>
          <w:szCs w:val="22"/>
        </w:rPr>
        <w:t xml:space="preserve">system of social security appeals. Under the Welfare Reform Act of that year, all benefits decisions made by the Department of Work and Pensions must undergo mandatory reconsideration before applicants are permitted to appeal to the tribunal system. </w:t>
      </w:r>
      <w:r w:rsidR="00AE6745">
        <w:rPr>
          <w:rFonts w:asciiTheme="majorHAnsi" w:hAnsiTheme="majorHAnsi"/>
          <w:sz w:val="22"/>
          <w:szCs w:val="22"/>
        </w:rPr>
        <w:t>T</w:t>
      </w:r>
      <w:r w:rsidR="00553DF4" w:rsidRPr="00EC1FE0">
        <w:rPr>
          <w:rFonts w:asciiTheme="majorHAnsi" w:hAnsiTheme="majorHAnsi"/>
          <w:sz w:val="22"/>
          <w:szCs w:val="22"/>
        </w:rPr>
        <w:t xml:space="preserve">he number of </w:t>
      </w:r>
      <w:r w:rsidR="00275B61">
        <w:rPr>
          <w:rFonts w:asciiTheme="majorHAnsi" w:hAnsiTheme="majorHAnsi"/>
          <w:sz w:val="22"/>
          <w:szCs w:val="22"/>
        </w:rPr>
        <w:t xml:space="preserve">administrative </w:t>
      </w:r>
      <w:r w:rsidR="00553DF4" w:rsidRPr="00EC1FE0">
        <w:rPr>
          <w:rFonts w:asciiTheme="majorHAnsi" w:hAnsiTheme="majorHAnsi"/>
          <w:sz w:val="22"/>
          <w:szCs w:val="22"/>
        </w:rPr>
        <w:t xml:space="preserve">decisions now subject to this </w:t>
      </w:r>
      <w:r w:rsidR="00EC1FE0" w:rsidRPr="00EC1FE0">
        <w:rPr>
          <w:rFonts w:asciiTheme="majorHAnsi" w:hAnsiTheme="majorHAnsi"/>
          <w:sz w:val="22"/>
          <w:szCs w:val="22"/>
        </w:rPr>
        <w:t>process</w:t>
      </w:r>
      <w:r w:rsidR="00553DF4" w:rsidRPr="00EC1FE0">
        <w:rPr>
          <w:rFonts w:asciiTheme="majorHAnsi" w:hAnsiTheme="majorHAnsi"/>
          <w:sz w:val="22"/>
          <w:szCs w:val="22"/>
        </w:rPr>
        <w:t xml:space="preserve"> is </w:t>
      </w:r>
      <w:r w:rsidR="00333CFF">
        <w:rPr>
          <w:rFonts w:asciiTheme="majorHAnsi" w:hAnsiTheme="majorHAnsi"/>
          <w:sz w:val="22"/>
          <w:szCs w:val="22"/>
        </w:rPr>
        <w:t>colossal</w:t>
      </w:r>
      <w:r w:rsidR="005D0CEC">
        <w:rPr>
          <w:rFonts w:asciiTheme="majorHAnsi" w:hAnsiTheme="majorHAnsi"/>
          <w:sz w:val="22"/>
          <w:szCs w:val="22"/>
        </w:rPr>
        <w:t>:</w:t>
      </w:r>
      <w:r w:rsidR="00FF49BE">
        <w:rPr>
          <w:rFonts w:asciiTheme="majorHAnsi" w:hAnsiTheme="majorHAnsi"/>
          <w:sz w:val="22"/>
          <w:szCs w:val="22"/>
        </w:rPr>
        <w:t xml:space="preserve"> </w:t>
      </w:r>
      <w:r w:rsidR="004B45DB">
        <w:rPr>
          <w:rFonts w:asciiTheme="majorHAnsi" w:hAnsiTheme="majorHAnsi"/>
          <w:sz w:val="22"/>
          <w:szCs w:val="22"/>
        </w:rPr>
        <w:t>it</w:t>
      </w:r>
      <w:r w:rsidR="00275B61">
        <w:rPr>
          <w:rFonts w:asciiTheme="majorHAnsi" w:hAnsiTheme="majorHAnsi"/>
          <w:sz w:val="22"/>
          <w:szCs w:val="22"/>
        </w:rPr>
        <w:t xml:space="preserve"> </w:t>
      </w:r>
      <w:r w:rsidR="005D0CEC">
        <w:rPr>
          <w:rFonts w:asciiTheme="majorHAnsi" w:hAnsiTheme="majorHAnsi"/>
          <w:sz w:val="22"/>
          <w:szCs w:val="22"/>
        </w:rPr>
        <w:t>may well now</w:t>
      </w:r>
      <w:r w:rsidR="00275B61">
        <w:rPr>
          <w:rFonts w:asciiTheme="majorHAnsi" w:hAnsiTheme="majorHAnsi"/>
          <w:sz w:val="22"/>
          <w:szCs w:val="22"/>
        </w:rPr>
        <w:t xml:space="preserve"> </w:t>
      </w:r>
      <w:r w:rsidR="004B45DB">
        <w:rPr>
          <w:rFonts w:asciiTheme="majorHAnsi" w:hAnsiTheme="majorHAnsi"/>
          <w:sz w:val="22"/>
          <w:szCs w:val="22"/>
        </w:rPr>
        <w:t>amount to</w:t>
      </w:r>
      <w:r w:rsidR="00275B61">
        <w:rPr>
          <w:rFonts w:asciiTheme="majorHAnsi" w:hAnsiTheme="majorHAnsi"/>
          <w:sz w:val="22"/>
          <w:szCs w:val="22"/>
        </w:rPr>
        <w:t xml:space="preserve"> </w:t>
      </w:r>
      <w:r w:rsidR="004413C9">
        <w:rPr>
          <w:rFonts w:asciiTheme="majorHAnsi" w:hAnsiTheme="majorHAnsi"/>
          <w:sz w:val="22"/>
          <w:szCs w:val="22"/>
        </w:rPr>
        <w:t>over 25</w:t>
      </w:r>
      <w:r w:rsidR="00275B61">
        <w:rPr>
          <w:rFonts w:asciiTheme="majorHAnsi" w:hAnsiTheme="majorHAnsi"/>
          <w:sz w:val="22"/>
          <w:szCs w:val="22"/>
        </w:rPr>
        <w:t xml:space="preserve"> million</w:t>
      </w:r>
      <w:r w:rsidR="004B45DB">
        <w:rPr>
          <w:rFonts w:asciiTheme="majorHAnsi" w:hAnsiTheme="majorHAnsi"/>
          <w:sz w:val="22"/>
          <w:szCs w:val="22"/>
        </w:rPr>
        <w:t xml:space="preserve"> per year</w:t>
      </w:r>
      <w:r w:rsidR="00275B61">
        <w:rPr>
          <w:rFonts w:asciiTheme="majorHAnsi" w:hAnsiTheme="majorHAnsi"/>
          <w:sz w:val="22"/>
          <w:szCs w:val="22"/>
        </w:rPr>
        <w:t>.</w:t>
      </w:r>
      <w:r w:rsidR="00275B61">
        <w:rPr>
          <w:rStyle w:val="FootnoteReference"/>
          <w:rFonts w:asciiTheme="majorHAnsi" w:hAnsiTheme="majorHAnsi"/>
          <w:sz w:val="22"/>
          <w:szCs w:val="22"/>
        </w:rPr>
        <w:footnoteReference w:id="3"/>
      </w:r>
      <w:r w:rsidR="00EC1FE0" w:rsidRPr="00EC1FE0">
        <w:rPr>
          <w:rFonts w:asciiTheme="majorHAnsi" w:hAnsiTheme="majorHAnsi"/>
          <w:sz w:val="22"/>
          <w:szCs w:val="22"/>
        </w:rPr>
        <w:t xml:space="preserve"> The reforms </w:t>
      </w:r>
      <w:r w:rsidR="00275B61">
        <w:rPr>
          <w:rFonts w:asciiTheme="majorHAnsi" w:hAnsiTheme="majorHAnsi"/>
          <w:sz w:val="22"/>
          <w:szCs w:val="22"/>
        </w:rPr>
        <w:t xml:space="preserve">clearly </w:t>
      </w:r>
      <w:r w:rsidR="00EC1FE0" w:rsidRPr="00EC1FE0">
        <w:rPr>
          <w:rFonts w:asciiTheme="majorHAnsi" w:hAnsiTheme="majorHAnsi"/>
          <w:sz w:val="22"/>
          <w:szCs w:val="22"/>
        </w:rPr>
        <w:t>represent a major alteration to the architecture of the administrative justice system for welfare applicants. As such, it has prompted serious concerns on the part of practitioners</w:t>
      </w:r>
      <w:r w:rsidR="0031537C">
        <w:rPr>
          <w:rStyle w:val="FootnoteReference"/>
          <w:rFonts w:asciiTheme="majorHAnsi" w:hAnsiTheme="majorHAnsi"/>
          <w:sz w:val="22"/>
          <w:szCs w:val="22"/>
        </w:rPr>
        <w:footnoteReference w:id="4"/>
      </w:r>
      <w:r w:rsidR="00EC1FE0" w:rsidRPr="00EC1FE0">
        <w:rPr>
          <w:rFonts w:asciiTheme="majorHAnsi" w:hAnsiTheme="majorHAnsi"/>
          <w:sz w:val="22"/>
          <w:szCs w:val="22"/>
        </w:rPr>
        <w:t xml:space="preserve"> and scholars</w:t>
      </w:r>
      <w:r w:rsidR="00AD43F3">
        <w:rPr>
          <w:rStyle w:val="FootnoteReference"/>
          <w:rFonts w:asciiTheme="majorHAnsi" w:hAnsiTheme="majorHAnsi"/>
          <w:sz w:val="22"/>
          <w:szCs w:val="22"/>
        </w:rPr>
        <w:footnoteReference w:id="5"/>
      </w:r>
      <w:r w:rsidR="00EC1FE0" w:rsidRPr="00EC1FE0">
        <w:rPr>
          <w:rFonts w:asciiTheme="majorHAnsi" w:hAnsiTheme="majorHAnsi"/>
          <w:sz w:val="22"/>
          <w:szCs w:val="22"/>
        </w:rPr>
        <w:t xml:space="preserve"> and, at the time of writing, is the subject of a review by the Social Security Advisory Committee, </w:t>
      </w:r>
      <w:r w:rsidR="00EC1FE0" w:rsidRPr="00EC1FE0">
        <w:rPr>
          <w:rFonts w:asciiTheme="majorHAnsi" w:hAnsiTheme="majorHAnsi" w:cs="font000000001ca43094"/>
          <w:noProof w:val="0"/>
          <w:color w:val="0B0B0B"/>
          <w:sz w:val="22"/>
          <w:szCs w:val="22"/>
          <w:bdr w:val="none" w:sz="0" w:space="0" w:color="auto"/>
          <w:lang w:val="en-US"/>
        </w:rPr>
        <w:t>an independent statutory body that provides impartial advice on social security and related matters</w:t>
      </w:r>
      <w:r w:rsidR="00EC1FE0">
        <w:rPr>
          <w:rFonts w:asciiTheme="majorHAnsi" w:hAnsiTheme="majorHAnsi" w:cs="font000000001ca43094"/>
          <w:noProof w:val="0"/>
          <w:color w:val="0B0B0B"/>
          <w:sz w:val="22"/>
          <w:szCs w:val="22"/>
          <w:bdr w:val="none" w:sz="0" w:space="0" w:color="auto"/>
          <w:lang w:val="en-US"/>
        </w:rPr>
        <w:t>.</w:t>
      </w:r>
    </w:p>
    <w:p w14:paraId="7E8F0484" w14:textId="77777777" w:rsidR="00EC1FE0" w:rsidRDefault="00EC1FE0" w:rsidP="00783891">
      <w:pPr>
        <w:rPr>
          <w:rFonts w:asciiTheme="majorHAnsi" w:hAnsiTheme="majorHAnsi" w:cs="font000000001ca43094"/>
          <w:noProof w:val="0"/>
          <w:color w:val="0B0B0B"/>
          <w:sz w:val="22"/>
          <w:szCs w:val="22"/>
          <w:bdr w:val="none" w:sz="0" w:space="0" w:color="auto"/>
          <w:lang w:val="en-US"/>
        </w:rPr>
      </w:pPr>
    </w:p>
    <w:p w14:paraId="42402F6B" w14:textId="3E91FDDA" w:rsidR="00EC1FE0" w:rsidRDefault="00AE6745" w:rsidP="00783891">
      <w:pPr>
        <w:rPr>
          <w:rFonts w:asciiTheme="majorHAnsi" w:hAnsiTheme="majorHAnsi" w:cs="font000000001ca43094"/>
          <w:noProof w:val="0"/>
          <w:color w:val="0B0B0B"/>
          <w:sz w:val="22"/>
          <w:szCs w:val="22"/>
          <w:bdr w:val="none" w:sz="0" w:space="0" w:color="auto"/>
          <w:lang w:val="en-US"/>
        </w:rPr>
      </w:pPr>
      <w:r>
        <w:rPr>
          <w:rFonts w:asciiTheme="majorHAnsi" w:hAnsiTheme="majorHAnsi" w:cs="font000000001ca43094"/>
          <w:noProof w:val="0"/>
          <w:color w:val="0B0B0B"/>
          <w:sz w:val="22"/>
          <w:szCs w:val="22"/>
          <w:bdr w:val="none" w:sz="0" w:space="0" w:color="auto"/>
          <w:lang w:val="en-US"/>
        </w:rPr>
        <w:t xml:space="preserve">However, although the scale of the 2012 reforms is striking, mandatory reconsideration is not a new feature of the UK administrative justice system. It has featured previously under the alternative label of compulsory ‘internal review’. </w:t>
      </w:r>
      <w:r w:rsidR="00F51D87">
        <w:rPr>
          <w:rFonts w:asciiTheme="majorHAnsi" w:hAnsiTheme="majorHAnsi" w:cs="font000000001ca43094"/>
          <w:noProof w:val="0"/>
          <w:color w:val="0B0B0B"/>
          <w:sz w:val="22"/>
          <w:szCs w:val="22"/>
          <w:bdr w:val="none" w:sz="0" w:space="0" w:color="auto"/>
          <w:lang w:val="en-US"/>
        </w:rPr>
        <w:t>That said, it is fair to suggest that it has been a neglected feature of administrative justice scholarship, which has more frequently been drawn to the bright lights of tribunals and judicial review.</w:t>
      </w:r>
      <w:r w:rsidR="00AD43F3">
        <w:rPr>
          <w:rStyle w:val="FootnoteReference"/>
          <w:rFonts w:asciiTheme="majorHAnsi" w:hAnsiTheme="majorHAnsi" w:cs="font000000001ca43094"/>
          <w:noProof w:val="0"/>
          <w:color w:val="0B0B0B"/>
          <w:sz w:val="22"/>
          <w:szCs w:val="22"/>
          <w:bdr w:val="none" w:sz="0" w:space="0" w:color="auto"/>
          <w:lang w:val="en-US"/>
        </w:rPr>
        <w:footnoteReference w:id="6"/>
      </w:r>
    </w:p>
    <w:p w14:paraId="23004137" w14:textId="77777777" w:rsidR="00F51D87" w:rsidRDefault="00F51D87" w:rsidP="00783891">
      <w:pPr>
        <w:rPr>
          <w:rFonts w:asciiTheme="majorHAnsi" w:hAnsiTheme="majorHAnsi" w:cs="font000000001ca43094"/>
          <w:noProof w:val="0"/>
          <w:color w:val="0B0B0B"/>
          <w:sz w:val="22"/>
          <w:szCs w:val="22"/>
          <w:bdr w:val="none" w:sz="0" w:space="0" w:color="auto"/>
          <w:lang w:val="en-US"/>
        </w:rPr>
      </w:pPr>
    </w:p>
    <w:p w14:paraId="07AC24A6" w14:textId="77777777" w:rsidR="00C27CA5" w:rsidRDefault="00F51D87" w:rsidP="00783891">
      <w:pPr>
        <w:rPr>
          <w:rFonts w:asciiTheme="majorHAnsi" w:hAnsiTheme="majorHAnsi"/>
          <w:sz w:val="22"/>
          <w:szCs w:val="22"/>
        </w:rPr>
      </w:pPr>
      <w:r>
        <w:rPr>
          <w:rFonts w:asciiTheme="majorHAnsi" w:hAnsiTheme="majorHAnsi"/>
          <w:sz w:val="22"/>
          <w:szCs w:val="22"/>
        </w:rPr>
        <w:t xml:space="preserve">In this article, </w:t>
      </w:r>
      <w:r w:rsidR="003D7635">
        <w:rPr>
          <w:rFonts w:asciiTheme="majorHAnsi" w:hAnsiTheme="majorHAnsi"/>
          <w:sz w:val="22"/>
          <w:szCs w:val="22"/>
        </w:rPr>
        <w:t>we contribute to the growing research interest in mandatory reconsideration. W</w:t>
      </w:r>
      <w:r>
        <w:rPr>
          <w:rFonts w:asciiTheme="majorHAnsi" w:hAnsiTheme="majorHAnsi"/>
          <w:sz w:val="22"/>
          <w:szCs w:val="22"/>
        </w:rPr>
        <w:t xml:space="preserve">e draw on </w:t>
      </w:r>
      <w:r w:rsidR="003D7635">
        <w:rPr>
          <w:rFonts w:asciiTheme="majorHAnsi" w:hAnsiTheme="majorHAnsi"/>
          <w:sz w:val="22"/>
          <w:szCs w:val="22"/>
        </w:rPr>
        <w:t>our</w:t>
      </w:r>
      <w:r>
        <w:rPr>
          <w:rFonts w:asciiTheme="majorHAnsi" w:hAnsiTheme="majorHAnsi"/>
          <w:sz w:val="22"/>
          <w:szCs w:val="22"/>
        </w:rPr>
        <w:t xml:space="preserve"> empirical research in the field of homelessness law. Mandatory reconsideration </w:t>
      </w:r>
      <w:r w:rsidR="003D7635">
        <w:rPr>
          <w:rFonts w:asciiTheme="majorHAnsi" w:hAnsiTheme="majorHAnsi"/>
          <w:sz w:val="22"/>
          <w:szCs w:val="22"/>
        </w:rPr>
        <w:t xml:space="preserve">(or complusory ‘internal review’ as it is termed) </w:t>
      </w:r>
      <w:r>
        <w:rPr>
          <w:rFonts w:asciiTheme="majorHAnsi" w:hAnsiTheme="majorHAnsi"/>
          <w:sz w:val="22"/>
          <w:szCs w:val="22"/>
        </w:rPr>
        <w:t>was introduced into this corner of social welfare provision back in 1997. The authors have conducted research on the topic at various points since, most recently in 2014. We draw on this research to help inform the research agenda that, as Mullen and Thomas note,</w:t>
      </w:r>
      <w:r w:rsidR="00126ACD">
        <w:rPr>
          <w:rStyle w:val="FootnoteReference"/>
          <w:rFonts w:asciiTheme="majorHAnsi" w:hAnsiTheme="majorHAnsi"/>
          <w:sz w:val="22"/>
          <w:szCs w:val="22"/>
        </w:rPr>
        <w:footnoteReference w:id="7"/>
      </w:r>
      <w:r>
        <w:rPr>
          <w:rFonts w:asciiTheme="majorHAnsi" w:hAnsiTheme="majorHAnsi"/>
          <w:sz w:val="22"/>
          <w:szCs w:val="22"/>
        </w:rPr>
        <w:t xml:space="preserve"> is badly in need of comprehensive execution. In doing so, we raise some fundamental questions about how to assess the value of</w:t>
      </w:r>
      <w:r w:rsidR="00A32757">
        <w:rPr>
          <w:rFonts w:asciiTheme="majorHAnsi" w:hAnsiTheme="majorHAnsi"/>
          <w:sz w:val="22"/>
          <w:szCs w:val="22"/>
        </w:rPr>
        <w:t xml:space="preserve"> mandatory reconsideration as a</w:t>
      </w:r>
      <w:r>
        <w:rPr>
          <w:rFonts w:asciiTheme="majorHAnsi" w:hAnsiTheme="majorHAnsi"/>
          <w:sz w:val="22"/>
          <w:szCs w:val="22"/>
        </w:rPr>
        <w:t xml:space="preserve"> </w:t>
      </w:r>
      <w:r w:rsidR="008D3591">
        <w:rPr>
          <w:rFonts w:asciiTheme="majorHAnsi" w:hAnsiTheme="majorHAnsi"/>
          <w:sz w:val="22"/>
          <w:szCs w:val="22"/>
        </w:rPr>
        <w:t>structural</w:t>
      </w:r>
      <w:r>
        <w:rPr>
          <w:rFonts w:asciiTheme="majorHAnsi" w:hAnsiTheme="majorHAnsi"/>
          <w:sz w:val="22"/>
          <w:szCs w:val="22"/>
        </w:rPr>
        <w:t xml:space="preserve"> feature of </w:t>
      </w:r>
      <w:r w:rsidR="002876E9">
        <w:rPr>
          <w:rFonts w:asciiTheme="majorHAnsi" w:hAnsiTheme="majorHAnsi"/>
          <w:sz w:val="22"/>
          <w:szCs w:val="22"/>
        </w:rPr>
        <w:t xml:space="preserve">an </w:t>
      </w:r>
      <w:r>
        <w:rPr>
          <w:rFonts w:asciiTheme="majorHAnsi" w:hAnsiTheme="majorHAnsi"/>
          <w:sz w:val="22"/>
          <w:szCs w:val="22"/>
        </w:rPr>
        <w:t>administrative justice</w:t>
      </w:r>
      <w:r w:rsidR="002876E9">
        <w:rPr>
          <w:rFonts w:asciiTheme="majorHAnsi" w:hAnsiTheme="majorHAnsi"/>
          <w:sz w:val="22"/>
          <w:szCs w:val="22"/>
        </w:rPr>
        <w:t xml:space="preserve"> system</w:t>
      </w:r>
      <w:r>
        <w:rPr>
          <w:rFonts w:asciiTheme="majorHAnsi" w:hAnsiTheme="majorHAnsi"/>
          <w:sz w:val="22"/>
          <w:szCs w:val="22"/>
        </w:rPr>
        <w:t xml:space="preserve">. </w:t>
      </w:r>
    </w:p>
    <w:p w14:paraId="058A67E2" w14:textId="77777777" w:rsidR="00C27CA5" w:rsidRDefault="00C27CA5" w:rsidP="00783891">
      <w:pPr>
        <w:rPr>
          <w:rFonts w:asciiTheme="majorHAnsi" w:hAnsiTheme="majorHAnsi"/>
          <w:sz w:val="22"/>
          <w:szCs w:val="22"/>
        </w:rPr>
      </w:pPr>
    </w:p>
    <w:p w14:paraId="0BC75027" w14:textId="5B6FCC0D" w:rsidR="00490C59" w:rsidRDefault="00C27CA5" w:rsidP="00783891">
      <w:pPr>
        <w:rPr>
          <w:rFonts w:asciiTheme="majorHAnsi" w:hAnsiTheme="majorHAnsi"/>
          <w:sz w:val="22"/>
          <w:szCs w:val="22"/>
        </w:rPr>
      </w:pPr>
      <w:r>
        <w:rPr>
          <w:rFonts w:asciiTheme="majorHAnsi" w:hAnsiTheme="majorHAnsi"/>
          <w:sz w:val="22"/>
          <w:szCs w:val="22"/>
        </w:rPr>
        <w:t>On the basis of our data analysis, w</w:t>
      </w:r>
      <w:r w:rsidR="00F51D87">
        <w:rPr>
          <w:rFonts w:asciiTheme="majorHAnsi" w:hAnsiTheme="majorHAnsi"/>
          <w:sz w:val="22"/>
          <w:szCs w:val="22"/>
        </w:rPr>
        <w:t>e offer some potentially counter-</w:t>
      </w:r>
      <w:r w:rsidR="00A1603F">
        <w:rPr>
          <w:rFonts w:asciiTheme="majorHAnsi" w:hAnsiTheme="majorHAnsi"/>
          <w:sz w:val="22"/>
          <w:szCs w:val="22"/>
        </w:rPr>
        <w:t xml:space="preserve">intuitive insights that make </w:t>
      </w:r>
      <w:r>
        <w:rPr>
          <w:rFonts w:asciiTheme="majorHAnsi" w:hAnsiTheme="majorHAnsi"/>
          <w:sz w:val="22"/>
          <w:szCs w:val="22"/>
        </w:rPr>
        <w:t>the task of assessing mandatory reconsideration</w:t>
      </w:r>
      <w:r w:rsidR="00F51D87">
        <w:rPr>
          <w:rFonts w:asciiTheme="majorHAnsi" w:hAnsiTheme="majorHAnsi"/>
          <w:sz w:val="22"/>
          <w:szCs w:val="22"/>
        </w:rPr>
        <w:t xml:space="preserve"> </w:t>
      </w:r>
      <w:r w:rsidR="00A1603F">
        <w:rPr>
          <w:rFonts w:asciiTheme="majorHAnsi" w:hAnsiTheme="majorHAnsi"/>
          <w:sz w:val="22"/>
          <w:szCs w:val="22"/>
        </w:rPr>
        <w:t xml:space="preserve">all the </w:t>
      </w:r>
      <w:r w:rsidR="00643463">
        <w:rPr>
          <w:rFonts w:asciiTheme="majorHAnsi" w:hAnsiTheme="majorHAnsi"/>
          <w:sz w:val="22"/>
          <w:szCs w:val="22"/>
        </w:rPr>
        <w:t>more challenging: irrespective of whether mandatory reconsideration fails as a form of legal accountability</w:t>
      </w:r>
      <w:r w:rsidR="00A32757">
        <w:rPr>
          <w:rFonts w:asciiTheme="majorHAnsi" w:hAnsiTheme="majorHAnsi"/>
          <w:sz w:val="22"/>
          <w:szCs w:val="22"/>
        </w:rPr>
        <w:t xml:space="preserve"> </w:t>
      </w:r>
      <w:r w:rsidR="00643463">
        <w:rPr>
          <w:rFonts w:asciiTheme="majorHAnsi" w:hAnsiTheme="majorHAnsi"/>
          <w:sz w:val="22"/>
          <w:szCs w:val="22"/>
        </w:rPr>
        <w:t xml:space="preserve">for individual welfare applicants, it may operate </w:t>
      </w:r>
      <w:r w:rsidR="004F300C">
        <w:rPr>
          <w:rFonts w:asciiTheme="majorHAnsi" w:hAnsiTheme="majorHAnsi"/>
          <w:sz w:val="22"/>
          <w:szCs w:val="22"/>
        </w:rPr>
        <w:t>– at least</w:t>
      </w:r>
      <w:r w:rsidR="002B3A08">
        <w:rPr>
          <w:rFonts w:asciiTheme="majorHAnsi" w:hAnsiTheme="majorHAnsi"/>
          <w:sz w:val="22"/>
          <w:szCs w:val="22"/>
        </w:rPr>
        <w:t xml:space="preserve"> under certain conditions - </w:t>
      </w:r>
      <w:r w:rsidR="00643463">
        <w:rPr>
          <w:rFonts w:asciiTheme="majorHAnsi" w:hAnsiTheme="majorHAnsi"/>
          <w:sz w:val="22"/>
          <w:szCs w:val="22"/>
        </w:rPr>
        <w:t xml:space="preserve">to improve the quality of </w:t>
      </w:r>
      <w:r w:rsidR="00490C59">
        <w:rPr>
          <w:rFonts w:asciiTheme="majorHAnsi" w:hAnsiTheme="majorHAnsi"/>
          <w:sz w:val="22"/>
          <w:szCs w:val="22"/>
        </w:rPr>
        <w:t>initial decision-making</w:t>
      </w:r>
      <w:r w:rsidR="00643463">
        <w:rPr>
          <w:rFonts w:asciiTheme="majorHAnsi" w:hAnsiTheme="majorHAnsi"/>
          <w:sz w:val="22"/>
          <w:szCs w:val="22"/>
        </w:rPr>
        <w:t xml:space="preserve"> across the board</w:t>
      </w:r>
      <w:r w:rsidR="00490C59">
        <w:rPr>
          <w:rFonts w:asciiTheme="majorHAnsi" w:hAnsiTheme="majorHAnsi"/>
          <w:sz w:val="22"/>
          <w:szCs w:val="22"/>
        </w:rPr>
        <w:t>, thus operating to improve the plight of all applicants, whether or not they pursue redress</w:t>
      </w:r>
      <w:r w:rsidR="00643463">
        <w:rPr>
          <w:rFonts w:asciiTheme="majorHAnsi" w:hAnsiTheme="majorHAnsi"/>
          <w:sz w:val="22"/>
          <w:szCs w:val="22"/>
        </w:rPr>
        <w:t xml:space="preserve">. </w:t>
      </w:r>
    </w:p>
    <w:p w14:paraId="45C4699D" w14:textId="77777777" w:rsidR="00490C59" w:rsidRDefault="00490C59" w:rsidP="00783891">
      <w:pPr>
        <w:rPr>
          <w:rFonts w:asciiTheme="majorHAnsi" w:hAnsiTheme="majorHAnsi"/>
          <w:sz w:val="22"/>
          <w:szCs w:val="22"/>
        </w:rPr>
      </w:pPr>
    </w:p>
    <w:p w14:paraId="39989A31" w14:textId="785A92F3" w:rsidR="00F51D87" w:rsidRDefault="00643463" w:rsidP="00783891">
      <w:pPr>
        <w:rPr>
          <w:rFonts w:asciiTheme="majorHAnsi" w:hAnsiTheme="majorHAnsi"/>
          <w:sz w:val="22"/>
          <w:szCs w:val="22"/>
        </w:rPr>
      </w:pPr>
      <w:r>
        <w:rPr>
          <w:rFonts w:asciiTheme="majorHAnsi" w:hAnsiTheme="majorHAnsi"/>
          <w:sz w:val="22"/>
          <w:szCs w:val="22"/>
        </w:rPr>
        <w:t>W</w:t>
      </w:r>
      <w:r w:rsidR="00832C6B">
        <w:rPr>
          <w:rFonts w:asciiTheme="majorHAnsi" w:hAnsiTheme="majorHAnsi"/>
          <w:sz w:val="22"/>
          <w:szCs w:val="22"/>
        </w:rPr>
        <w:t xml:space="preserve">e </w:t>
      </w:r>
      <w:r>
        <w:rPr>
          <w:rFonts w:asciiTheme="majorHAnsi" w:hAnsiTheme="majorHAnsi"/>
          <w:sz w:val="22"/>
          <w:szCs w:val="22"/>
        </w:rPr>
        <w:t xml:space="preserve">then go on to </w:t>
      </w:r>
      <w:r w:rsidR="00832C6B">
        <w:rPr>
          <w:rFonts w:asciiTheme="majorHAnsi" w:hAnsiTheme="majorHAnsi"/>
          <w:sz w:val="22"/>
          <w:szCs w:val="22"/>
        </w:rPr>
        <w:t xml:space="preserve">argue that </w:t>
      </w:r>
      <w:r>
        <w:rPr>
          <w:rFonts w:asciiTheme="majorHAnsi" w:hAnsiTheme="majorHAnsi"/>
          <w:sz w:val="22"/>
          <w:szCs w:val="22"/>
        </w:rPr>
        <w:t>scholars and critics</w:t>
      </w:r>
      <w:r w:rsidR="00832C6B">
        <w:rPr>
          <w:rFonts w:asciiTheme="majorHAnsi" w:hAnsiTheme="majorHAnsi"/>
          <w:sz w:val="22"/>
          <w:szCs w:val="22"/>
        </w:rPr>
        <w:t xml:space="preserve"> should </w:t>
      </w:r>
      <w:r>
        <w:rPr>
          <w:rFonts w:asciiTheme="majorHAnsi" w:hAnsiTheme="majorHAnsi"/>
          <w:sz w:val="22"/>
          <w:szCs w:val="22"/>
        </w:rPr>
        <w:t xml:space="preserve">nonetheless </w:t>
      </w:r>
      <w:r w:rsidR="00832C6B">
        <w:rPr>
          <w:rFonts w:asciiTheme="majorHAnsi" w:hAnsiTheme="majorHAnsi"/>
          <w:sz w:val="22"/>
          <w:szCs w:val="22"/>
        </w:rPr>
        <w:t xml:space="preserve">be careful about presuming that mandatory reconsideration </w:t>
      </w:r>
      <w:r w:rsidR="00832C6B" w:rsidRPr="00643463">
        <w:rPr>
          <w:rFonts w:asciiTheme="majorHAnsi" w:hAnsiTheme="majorHAnsi"/>
          <w:sz w:val="22"/>
          <w:szCs w:val="22"/>
        </w:rPr>
        <w:t>necessarily</w:t>
      </w:r>
      <w:r w:rsidR="00832C6B">
        <w:rPr>
          <w:rFonts w:asciiTheme="majorHAnsi" w:hAnsiTheme="majorHAnsi"/>
          <w:sz w:val="22"/>
          <w:szCs w:val="22"/>
        </w:rPr>
        <w:t xml:space="preserve"> fails as a form of legal accountability for individual welfare applicants</w:t>
      </w:r>
      <w:r>
        <w:rPr>
          <w:rFonts w:asciiTheme="majorHAnsi" w:hAnsiTheme="majorHAnsi"/>
          <w:sz w:val="22"/>
          <w:szCs w:val="22"/>
        </w:rPr>
        <w:t>. This discussion leads us into the question of how we should normatively assess the structure of redress systems and the place of mandatory reconsideration within them. We suggest a value-based approach and offer some preliminary suggestions about fundamental values that should animate system (re)design. The values we suggest – accuracy and efficiency –combine, however, to create tensions and real world invidious problems. We offer some methods for facing those challenges.</w:t>
      </w:r>
    </w:p>
    <w:p w14:paraId="28692355" w14:textId="77777777" w:rsidR="00F51D87" w:rsidRDefault="00F51D87" w:rsidP="00783891">
      <w:pPr>
        <w:rPr>
          <w:rFonts w:asciiTheme="majorHAnsi" w:hAnsiTheme="majorHAnsi"/>
          <w:sz w:val="22"/>
          <w:szCs w:val="22"/>
        </w:rPr>
      </w:pPr>
    </w:p>
    <w:p w14:paraId="4219B1DF" w14:textId="1B149743" w:rsidR="00F51D87" w:rsidRDefault="00F51D87" w:rsidP="00783891">
      <w:pPr>
        <w:rPr>
          <w:rFonts w:asciiTheme="majorHAnsi" w:hAnsiTheme="majorHAnsi"/>
          <w:sz w:val="22"/>
          <w:szCs w:val="22"/>
        </w:rPr>
      </w:pPr>
      <w:r>
        <w:rPr>
          <w:rFonts w:asciiTheme="majorHAnsi" w:hAnsiTheme="majorHAnsi"/>
          <w:sz w:val="22"/>
          <w:szCs w:val="22"/>
        </w:rPr>
        <w:t>Before we turn to our data, we must</w:t>
      </w:r>
      <w:r w:rsidR="00D349D4">
        <w:rPr>
          <w:rFonts w:asciiTheme="majorHAnsi" w:hAnsiTheme="majorHAnsi"/>
          <w:sz w:val="22"/>
          <w:szCs w:val="22"/>
        </w:rPr>
        <w:t>,</w:t>
      </w:r>
      <w:r>
        <w:rPr>
          <w:rFonts w:asciiTheme="majorHAnsi" w:hAnsiTheme="majorHAnsi"/>
          <w:sz w:val="22"/>
          <w:szCs w:val="22"/>
        </w:rPr>
        <w:t xml:space="preserve"> first</w:t>
      </w:r>
      <w:r w:rsidR="00D349D4">
        <w:rPr>
          <w:rFonts w:asciiTheme="majorHAnsi" w:hAnsiTheme="majorHAnsi"/>
          <w:sz w:val="22"/>
          <w:szCs w:val="22"/>
        </w:rPr>
        <w:t>,</w:t>
      </w:r>
      <w:r>
        <w:rPr>
          <w:rFonts w:asciiTheme="majorHAnsi" w:hAnsiTheme="majorHAnsi"/>
          <w:sz w:val="22"/>
          <w:szCs w:val="22"/>
        </w:rPr>
        <w:t xml:space="preserve"> offer a </w:t>
      </w:r>
      <w:r w:rsidR="005C7A4B">
        <w:rPr>
          <w:rFonts w:asciiTheme="majorHAnsi" w:hAnsiTheme="majorHAnsi"/>
          <w:sz w:val="22"/>
          <w:szCs w:val="22"/>
        </w:rPr>
        <w:t xml:space="preserve">description </w:t>
      </w:r>
      <w:r>
        <w:rPr>
          <w:rFonts w:asciiTheme="majorHAnsi" w:hAnsiTheme="majorHAnsi"/>
          <w:sz w:val="22"/>
          <w:szCs w:val="22"/>
        </w:rPr>
        <w:t>of the system of mandatory reconsideration within homelessness law</w:t>
      </w:r>
      <w:r w:rsidR="005C7A4B">
        <w:rPr>
          <w:rFonts w:asciiTheme="majorHAnsi" w:hAnsiTheme="majorHAnsi"/>
          <w:sz w:val="22"/>
          <w:szCs w:val="22"/>
        </w:rPr>
        <w:t xml:space="preserve"> and</w:t>
      </w:r>
      <w:r w:rsidR="00D349D4">
        <w:rPr>
          <w:rFonts w:asciiTheme="majorHAnsi" w:hAnsiTheme="majorHAnsi"/>
          <w:sz w:val="22"/>
          <w:szCs w:val="22"/>
        </w:rPr>
        <w:t>,</w:t>
      </w:r>
      <w:r w:rsidR="005C7A4B">
        <w:rPr>
          <w:rFonts w:asciiTheme="majorHAnsi" w:hAnsiTheme="majorHAnsi"/>
          <w:sz w:val="22"/>
          <w:szCs w:val="22"/>
        </w:rPr>
        <w:t xml:space="preserve"> second, give a brief overview of the research projects that produced the data we rely on</w:t>
      </w:r>
      <w:r>
        <w:rPr>
          <w:rFonts w:asciiTheme="majorHAnsi" w:hAnsiTheme="majorHAnsi"/>
          <w:sz w:val="22"/>
          <w:szCs w:val="22"/>
        </w:rPr>
        <w:t>.</w:t>
      </w:r>
    </w:p>
    <w:p w14:paraId="4620E78A" w14:textId="7BCF7193" w:rsidR="00F51D87" w:rsidRDefault="00F51D87" w:rsidP="00F51D87">
      <w:pPr>
        <w:pStyle w:val="Heading1"/>
      </w:pPr>
      <w:r>
        <w:t>Homelessness Law</w:t>
      </w:r>
      <w:r w:rsidR="003D7635">
        <w:t xml:space="preserve"> and Local Authority Decision-Making</w:t>
      </w:r>
    </w:p>
    <w:p w14:paraId="59D7A4F6" w14:textId="62DFFC9C" w:rsidR="00903C7D" w:rsidRDefault="005C7A4B" w:rsidP="00903C7D">
      <w:pPr>
        <w:rPr>
          <w:rFonts w:asciiTheme="majorHAnsi" w:hAnsiTheme="majorHAnsi"/>
          <w:sz w:val="22"/>
          <w:szCs w:val="22"/>
        </w:rPr>
      </w:pPr>
      <w:r>
        <w:rPr>
          <w:rFonts w:asciiTheme="majorHAnsi" w:hAnsiTheme="majorHAnsi"/>
          <w:sz w:val="22"/>
          <w:szCs w:val="22"/>
        </w:rPr>
        <w:t>Homelessness law, like much social welfare law, is structured around a series of sta</w:t>
      </w:r>
      <w:r w:rsidR="003D7635">
        <w:rPr>
          <w:rFonts w:asciiTheme="majorHAnsi" w:hAnsiTheme="majorHAnsi"/>
          <w:sz w:val="22"/>
          <w:szCs w:val="22"/>
        </w:rPr>
        <w:t>t</w:t>
      </w:r>
      <w:r>
        <w:rPr>
          <w:rFonts w:asciiTheme="majorHAnsi" w:hAnsiTheme="majorHAnsi"/>
          <w:sz w:val="22"/>
          <w:szCs w:val="22"/>
        </w:rPr>
        <w:t xml:space="preserve">utory tests which culminate in an entitlement to a public benefit. </w:t>
      </w:r>
      <w:r w:rsidR="001164D9">
        <w:rPr>
          <w:rFonts w:asciiTheme="majorHAnsi" w:hAnsiTheme="majorHAnsi"/>
          <w:sz w:val="22"/>
          <w:szCs w:val="22"/>
        </w:rPr>
        <w:t>The relevant statute</w:t>
      </w:r>
      <w:r w:rsidR="00B719FB">
        <w:rPr>
          <w:rStyle w:val="FootnoteReference"/>
          <w:rFonts w:asciiTheme="majorHAnsi" w:hAnsiTheme="majorHAnsi"/>
          <w:sz w:val="22"/>
          <w:szCs w:val="22"/>
        </w:rPr>
        <w:footnoteReference w:id="8"/>
      </w:r>
      <w:r w:rsidR="001164D9">
        <w:rPr>
          <w:rFonts w:asciiTheme="majorHAnsi" w:hAnsiTheme="majorHAnsi"/>
          <w:sz w:val="22"/>
          <w:szCs w:val="22"/>
        </w:rPr>
        <w:t xml:space="preserve"> is the Housing Act 1996. </w:t>
      </w:r>
      <w:r w:rsidR="0052131D">
        <w:rPr>
          <w:rFonts w:asciiTheme="majorHAnsi" w:hAnsiTheme="majorHAnsi"/>
          <w:sz w:val="22"/>
          <w:szCs w:val="22"/>
        </w:rPr>
        <w:t>In order to be ‘successful’</w:t>
      </w:r>
      <w:r>
        <w:rPr>
          <w:rFonts w:asciiTheme="majorHAnsi" w:hAnsiTheme="majorHAnsi"/>
          <w:sz w:val="22"/>
          <w:szCs w:val="22"/>
        </w:rPr>
        <w:t xml:space="preserve"> under homelessness law</w:t>
      </w:r>
      <w:r w:rsidR="00903C7D" w:rsidRPr="00002B0F">
        <w:rPr>
          <w:rFonts w:asciiTheme="majorHAnsi" w:hAnsiTheme="majorHAnsi"/>
          <w:sz w:val="22"/>
          <w:szCs w:val="22"/>
        </w:rPr>
        <w:t xml:space="preserve">, an applicant must be </w:t>
      </w:r>
      <w:r w:rsidR="0052131D">
        <w:rPr>
          <w:rFonts w:asciiTheme="majorHAnsi" w:hAnsiTheme="majorHAnsi"/>
          <w:sz w:val="22"/>
          <w:szCs w:val="22"/>
        </w:rPr>
        <w:t>deemed to be</w:t>
      </w:r>
      <w:r w:rsidR="00903C7D" w:rsidRPr="00002B0F">
        <w:rPr>
          <w:rFonts w:asciiTheme="majorHAnsi" w:hAnsiTheme="majorHAnsi"/>
          <w:sz w:val="22"/>
          <w:szCs w:val="22"/>
        </w:rPr>
        <w:t xml:space="preserve"> </w:t>
      </w:r>
      <w:r w:rsidR="0052131D">
        <w:rPr>
          <w:rFonts w:asciiTheme="majorHAnsi" w:hAnsiTheme="majorHAnsi"/>
          <w:sz w:val="22"/>
          <w:szCs w:val="22"/>
        </w:rPr>
        <w:t xml:space="preserve">(1) </w:t>
      </w:r>
      <w:r w:rsidR="00903C7D" w:rsidRPr="00002B0F">
        <w:rPr>
          <w:rFonts w:asciiTheme="majorHAnsi" w:hAnsiTheme="majorHAnsi"/>
          <w:sz w:val="22"/>
          <w:szCs w:val="22"/>
        </w:rPr>
        <w:t>eligible</w:t>
      </w:r>
      <w:r w:rsidR="0052131D">
        <w:rPr>
          <w:rFonts w:asciiTheme="majorHAnsi" w:hAnsiTheme="majorHAnsi"/>
          <w:sz w:val="22"/>
          <w:szCs w:val="22"/>
        </w:rPr>
        <w:t xml:space="preserve"> to apply (in relation to immigration status)</w:t>
      </w:r>
      <w:r w:rsidR="00903C7D" w:rsidRPr="00002B0F">
        <w:rPr>
          <w:rFonts w:asciiTheme="majorHAnsi" w:hAnsiTheme="majorHAnsi"/>
          <w:sz w:val="22"/>
          <w:szCs w:val="22"/>
        </w:rPr>
        <w:t xml:space="preserve">, </w:t>
      </w:r>
      <w:r w:rsidR="0052131D">
        <w:rPr>
          <w:rFonts w:asciiTheme="majorHAnsi" w:hAnsiTheme="majorHAnsi"/>
          <w:sz w:val="22"/>
          <w:szCs w:val="22"/>
        </w:rPr>
        <w:t xml:space="preserve">(2) </w:t>
      </w:r>
      <w:r w:rsidR="00903C7D" w:rsidRPr="00002B0F">
        <w:rPr>
          <w:rFonts w:asciiTheme="majorHAnsi" w:hAnsiTheme="majorHAnsi"/>
          <w:sz w:val="22"/>
          <w:szCs w:val="22"/>
        </w:rPr>
        <w:t xml:space="preserve">homeless, </w:t>
      </w:r>
      <w:r w:rsidR="0052131D">
        <w:rPr>
          <w:rFonts w:asciiTheme="majorHAnsi" w:hAnsiTheme="majorHAnsi"/>
          <w:sz w:val="22"/>
          <w:szCs w:val="22"/>
        </w:rPr>
        <w:t xml:space="preserve">(3) </w:t>
      </w:r>
      <w:r w:rsidR="00903C7D" w:rsidRPr="00002B0F">
        <w:rPr>
          <w:rFonts w:asciiTheme="majorHAnsi" w:hAnsiTheme="majorHAnsi"/>
          <w:sz w:val="22"/>
          <w:szCs w:val="22"/>
        </w:rPr>
        <w:t xml:space="preserve">in priority need, and </w:t>
      </w:r>
      <w:r w:rsidR="0052131D">
        <w:rPr>
          <w:rFonts w:asciiTheme="majorHAnsi" w:hAnsiTheme="majorHAnsi"/>
          <w:sz w:val="22"/>
          <w:szCs w:val="22"/>
        </w:rPr>
        <w:t xml:space="preserve">(4) </w:t>
      </w:r>
      <w:r w:rsidR="00903C7D" w:rsidRPr="00002B0F">
        <w:rPr>
          <w:rFonts w:asciiTheme="majorHAnsi" w:hAnsiTheme="majorHAnsi"/>
          <w:sz w:val="22"/>
          <w:szCs w:val="22"/>
        </w:rPr>
        <w:t>not intentionally homeless</w:t>
      </w:r>
      <w:r w:rsidR="0052131D">
        <w:rPr>
          <w:rFonts w:asciiTheme="majorHAnsi" w:hAnsiTheme="majorHAnsi"/>
          <w:sz w:val="22"/>
          <w:szCs w:val="22"/>
        </w:rPr>
        <w:t xml:space="preserve"> – the so-called “homeless person’s obstacle race”</w:t>
      </w:r>
      <w:r w:rsidR="00903C7D" w:rsidRPr="00002B0F">
        <w:rPr>
          <w:rFonts w:asciiTheme="majorHAnsi" w:hAnsiTheme="majorHAnsi"/>
          <w:sz w:val="22"/>
          <w:szCs w:val="22"/>
        </w:rPr>
        <w:t>.</w:t>
      </w:r>
      <w:r w:rsidR="00B67087">
        <w:rPr>
          <w:rStyle w:val="FootnoteReference"/>
          <w:rFonts w:asciiTheme="majorHAnsi" w:hAnsiTheme="majorHAnsi"/>
          <w:sz w:val="22"/>
          <w:szCs w:val="22"/>
        </w:rPr>
        <w:footnoteReference w:id="9"/>
      </w:r>
      <w:r w:rsidR="00903C7D" w:rsidRPr="00002B0F">
        <w:rPr>
          <w:rFonts w:asciiTheme="majorHAnsi" w:hAnsiTheme="majorHAnsi"/>
          <w:sz w:val="22"/>
          <w:szCs w:val="22"/>
        </w:rPr>
        <w:t xml:space="preserve">  If </w:t>
      </w:r>
      <w:r w:rsidR="003274FD">
        <w:rPr>
          <w:rFonts w:asciiTheme="majorHAnsi" w:hAnsiTheme="majorHAnsi"/>
          <w:sz w:val="22"/>
          <w:szCs w:val="22"/>
        </w:rPr>
        <w:t>these obstacles are negotiated successfully</w:t>
      </w:r>
      <w:r w:rsidR="00903C7D" w:rsidRPr="00002B0F">
        <w:rPr>
          <w:rFonts w:asciiTheme="majorHAnsi" w:hAnsiTheme="majorHAnsi"/>
          <w:sz w:val="22"/>
          <w:szCs w:val="22"/>
        </w:rPr>
        <w:t xml:space="preserve">, the applicant </w:t>
      </w:r>
      <w:r w:rsidR="0052131D">
        <w:rPr>
          <w:rFonts w:asciiTheme="majorHAnsi" w:hAnsiTheme="majorHAnsi"/>
          <w:sz w:val="22"/>
          <w:szCs w:val="22"/>
        </w:rPr>
        <w:t>becomes</w:t>
      </w:r>
      <w:r w:rsidR="00903C7D" w:rsidRPr="00002B0F">
        <w:rPr>
          <w:rFonts w:asciiTheme="majorHAnsi" w:hAnsiTheme="majorHAnsi"/>
          <w:sz w:val="22"/>
          <w:szCs w:val="22"/>
        </w:rPr>
        <w:t xml:space="preserve"> entitle</w:t>
      </w:r>
      <w:r w:rsidR="003274FD">
        <w:rPr>
          <w:rFonts w:asciiTheme="majorHAnsi" w:hAnsiTheme="majorHAnsi"/>
          <w:sz w:val="22"/>
          <w:szCs w:val="22"/>
        </w:rPr>
        <w:t>d to “suitable accommodation”.</w:t>
      </w:r>
      <w:r w:rsidR="003274FD">
        <w:rPr>
          <w:rStyle w:val="FootnoteReference"/>
          <w:rFonts w:asciiTheme="majorHAnsi" w:hAnsiTheme="majorHAnsi"/>
          <w:sz w:val="22"/>
          <w:szCs w:val="22"/>
        </w:rPr>
        <w:footnoteReference w:id="10"/>
      </w:r>
    </w:p>
    <w:p w14:paraId="0AC98BD5" w14:textId="77777777" w:rsidR="00002B0F" w:rsidRPr="00002B0F" w:rsidRDefault="00002B0F" w:rsidP="00903C7D">
      <w:pPr>
        <w:rPr>
          <w:rFonts w:asciiTheme="majorHAnsi" w:hAnsiTheme="majorHAnsi"/>
          <w:sz w:val="22"/>
          <w:szCs w:val="22"/>
        </w:rPr>
      </w:pPr>
    </w:p>
    <w:p w14:paraId="662104B5" w14:textId="1822528C" w:rsidR="003D7635" w:rsidRPr="00D349D4" w:rsidRDefault="00903C7D" w:rsidP="00D349D4">
      <w:pPr>
        <w:rPr>
          <w:rFonts w:asciiTheme="majorHAnsi" w:hAnsiTheme="majorHAnsi"/>
          <w:sz w:val="22"/>
          <w:szCs w:val="22"/>
        </w:rPr>
      </w:pPr>
      <w:r w:rsidRPr="00002B0F">
        <w:rPr>
          <w:rFonts w:asciiTheme="majorHAnsi" w:hAnsiTheme="majorHAnsi"/>
          <w:sz w:val="22"/>
          <w:szCs w:val="22"/>
        </w:rPr>
        <w:t xml:space="preserve">Each criterion </w:t>
      </w:r>
      <w:r w:rsidR="0052131D">
        <w:rPr>
          <w:rFonts w:asciiTheme="majorHAnsi" w:hAnsiTheme="majorHAnsi"/>
          <w:sz w:val="22"/>
          <w:szCs w:val="22"/>
        </w:rPr>
        <w:t>invites a discretionary decision on the part of the local authority.</w:t>
      </w:r>
      <w:r w:rsidRPr="00002B0F">
        <w:rPr>
          <w:rFonts w:asciiTheme="majorHAnsi" w:hAnsiTheme="majorHAnsi"/>
          <w:sz w:val="22"/>
          <w:szCs w:val="22"/>
        </w:rPr>
        <w:t xml:space="preserve"> </w:t>
      </w:r>
      <w:r w:rsidR="00D349D4" w:rsidRPr="00002B0F">
        <w:rPr>
          <w:rFonts w:asciiTheme="majorHAnsi" w:hAnsiTheme="majorHAnsi"/>
          <w:sz w:val="22"/>
          <w:szCs w:val="22"/>
        </w:rPr>
        <w:t xml:space="preserve">Rather than a hole in the doughnut, the </w:t>
      </w:r>
      <w:r w:rsidR="00D349D4">
        <w:rPr>
          <w:rFonts w:asciiTheme="majorHAnsi" w:hAnsiTheme="majorHAnsi"/>
          <w:sz w:val="22"/>
          <w:szCs w:val="22"/>
        </w:rPr>
        <w:t>better</w:t>
      </w:r>
      <w:r w:rsidR="00D349D4" w:rsidRPr="00002B0F">
        <w:rPr>
          <w:rFonts w:asciiTheme="majorHAnsi" w:hAnsiTheme="majorHAnsi"/>
          <w:sz w:val="22"/>
          <w:szCs w:val="22"/>
        </w:rPr>
        <w:t xml:space="preserve"> analogy for the level and significance of the discretion </w:t>
      </w:r>
      <w:r w:rsidR="00D349D4" w:rsidRPr="00002B0F">
        <w:rPr>
          <w:rFonts w:asciiTheme="majorHAnsi" w:hAnsiTheme="majorHAnsi"/>
          <w:sz w:val="22"/>
          <w:szCs w:val="22"/>
        </w:rPr>
        <w:lastRenderedPageBreak/>
        <w:t>accorded to local authorities is something like the field inside a cricket boundary rope (particularly apt because of the different areas inside the rope, which count as the “grey areas” of loc</w:t>
      </w:r>
      <w:r w:rsidR="00D349D4">
        <w:rPr>
          <w:rFonts w:asciiTheme="majorHAnsi" w:hAnsiTheme="majorHAnsi"/>
          <w:sz w:val="22"/>
          <w:szCs w:val="22"/>
        </w:rPr>
        <w:t xml:space="preserve">al authority decision making). </w:t>
      </w:r>
      <w:r w:rsidRPr="00002B0F">
        <w:rPr>
          <w:rFonts w:asciiTheme="majorHAnsi" w:hAnsiTheme="majorHAnsi"/>
          <w:sz w:val="22"/>
          <w:szCs w:val="22"/>
        </w:rPr>
        <w:t xml:space="preserve">So, for example, homelessness </w:t>
      </w:r>
      <w:r w:rsidR="00C928AF">
        <w:rPr>
          <w:rFonts w:asciiTheme="majorHAnsi" w:hAnsiTheme="majorHAnsi"/>
          <w:sz w:val="22"/>
          <w:szCs w:val="22"/>
        </w:rPr>
        <w:t xml:space="preserve">is defined </w:t>
      </w:r>
      <w:r w:rsidR="001164D9">
        <w:rPr>
          <w:rFonts w:asciiTheme="majorHAnsi" w:hAnsiTheme="majorHAnsi"/>
          <w:sz w:val="22"/>
          <w:szCs w:val="22"/>
        </w:rPr>
        <w:t xml:space="preserve">in the Act </w:t>
      </w:r>
      <w:r w:rsidR="00C928AF">
        <w:rPr>
          <w:rFonts w:asciiTheme="majorHAnsi" w:hAnsiTheme="majorHAnsi"/>
          <w:sz w:val="22"/>
          <w:szCs w:val="22"/>
        </w:rPr>
        <w:t>as the situation where</w:t>
      </w:r>
      <w:r w:rsidRPr="00002B0F">
        <w:rPr>
          <w:rFonts w:asciiTheme="majorHAnsi" w:hAnsiTheme="majorHAnsi"/>
          <w:sz w:val="22"/>
          <w:szCs w:val="22"/>
        </w:rPr>
        <w:t xml:space="preserve"> a person has no accommodation which they can reasonably be expected to continue to occupy;</w:t>
      </w:r>
      <w:r w:rsidRPr="00002B0F">
        <w:rPr>
          <w:rStyle w:val="FootnoteReference"/>
          <w:rFonts w:asciiTheme="majorHAnsi" w:hAnsiTheme="majorHAnsi"/>
          <w:sz w:val="22"/>
          <w:szCs w:val="22"/>
        </w:rPr>
        <w:footnoteReference w:id="11"/>
      </w:r>
      <w:r w:rsidRPr="00002B0F">
        <w:rPr>
          <w:rFonts w:asciiTheme="majorHAnsi" w:hAnsiTheme="majorHAnsi"/>
          <w:sz w:val="22"/>
          <w:szCs w:val="22"/>
        </w:rPr>
        <w:t xml:space="preserve"> a local authority is entitled to take its</w:t>
      </w:r>
      <w:r w:rsidR="000F771C">
        <w:rPr>
          <w:rFonts w:asciiTheme="majorHAnsi" w:hAnsiTheme="majorHAnsi"/>
          <w:sz w:val="22"/>
          <w:szCs w:val="22"/>
        </w:rPr>
        <w:t xml:space="preserve"> local housing circumstances in</w:t>
      </w:r>
      <w:r w:rsidRPr="00002B0F">
        <w:rPr>
          <w:rFonts w:asciiTheme="majorHAnsi" w:hAnsiTheme="majorHAnsi"/>
          <w:sz w:val="22"/>
          <w:szCs w:val="22"/>
        </w:rPr>
        <w:t>to account in deciding whether an applicant is homeless for this purpose.</w:t>
      </w:r>
      <w:r w:rsidRPr="00002B0F">
        <w:rPr>
          <w:rStyle w:val="FootnoteReference"/>
          <w:rFonts w:asciiTheme="majorHAnsi" w:hAnsiTheme="majorHAnsi"/>
          <w:sz w:val="22"/>
          <w:szCs w:val="22"/>
        </w:rPr>
        <w:footnoteReference w:id="12"/>
      </w:r>
      <w:r w:rsidRPr="00002B0F">
        <w:rPr>
          <w:rFonts w:asciiTheme="majorHAnsi" w:hAnsiTheme="majorHAnsi"/>
          <w:sz w:val="22"/>
          <w:szCs w:val="22"/>
        </w:rPr>
        <w:t xml:space="preserve">  </w:t>
      </w:r>
      <w:r w:rsidR="00C928AF">
        <w:rPr>
          <w:rFonts w:asciiTheme="majorHAnsi" w:hAnsiTheme="majorHAnsi"/>
          <w:sz w:val="22"/>
          <w:szCs w:val="22"/>
        </w:rPr>
        <w:t>Childless</w:t>
      </w:r>
      <w:r w:rsidRPr="00002B0F">
        <w:rPr>
          <w:rFonts w:asciiTheme="majorHAnsi" w:hAnsiTheme="majorHAnsi"/>
          <w:sz w:val="22"/>
          <w:szCs w:val="22"/>
        </w:rPr>
        <w:t xml:space="preserve"> applicants will generally only have priority need if they are “vulnerable as a result of old age, mental illness or handicap or physical disability or other special reason”.</w:t>
      </w:r>
      <w:r w:rsidRPr="00002B0F">
        <w:rPr>
          <w:rStyle w:val="FootnoteReference"/>
          <w:rFonts w:asciiTheme="majorHAnsi" w:hAnsiTheme="majorHAnsi"/>
          <w:sz w:val="22"/>
          <w:szCs w:val="22"/>
        </w:rPr>
        <w:footnoteReference w:id="13"/>
      </w:r>
      <w:r w:rsidR="00C928AF">
        <w:rPr>
          <w:rFonts w:asciiTheme="majorHAnsi" w:hAnsiTheme="majorHAnsi"/>
          <w:sz w:val="22"/>
          <w:szCs w:val="22"/>
        </w:rPr>
        <w:t xml:space="preserve"> </w:t>
      </w:r>
      <w:r w:rsidR="003274FD">
        <w:rPr>
          <w:rFonts w:asciiTheme="majorHAnsi" w:hAnsiTheme="majorHAnsi"/>
          <w:sz w:val="22"/>
          <w:szCs w:val="22"/>
        </w:rPr>
        <w:t xml:space="preserve">The notion of intentional homelessness focuses on whether a housing applicant has </w:t>
      </w:r>
      <w:r w:rsidR="003274FD" w:rsidRPr="003274FD">
        <w:rPr>
          <w:rFonts w:asciiTheme="majorHAnsi" w:hAnsiTheme="majorHAnsi"/>
          <w:noProof w:val="0"/>
          <w:sz w:val="22"/>
          <w:szCs w:val="22"/>
          <w:bdr w:val="none" w:sz="0" w:space="0" w:color="auto"/>
          <w:lang w:val="en-US"/>
        </w:rPr>
        <w:t xml:space="preserve">deliberately </w:t>
      </w:r>
      <w:r w:rsidR="003274FD">
        <w:rPr>
          <w:rFonts w:asciiTheme="majorHAnsi" w:hAnsiTheme="majorHAnsi"/>
          <w:noProof w:val="0"/>
          <w:sz w:val="22"/>
          <w:szCs w:val="22"/>
          <w:bdr w:val="none" w:sz="0" w:space="0" w:color="auto"/>
          <w:lang w:val="en-US"/>
        </w:rPr>
        <w:t>done</w:t>
      </w:r>
      <w:r w:rsidR="003274FD" w:rsidRPr="003274FD">
        <w:rPr>
          <w:rFonts w:asciiTheme="majorHAnsi" w:hAnsiTheme="majorHAnsi"/>
          <w:noProof w:val="0"/>
          <w:sz w:val="22"/>
          <w:szCs w:val="22"/>
          <w:bdr w:val="none" w:sz="0" w:space="0" w:color="auto"/>
          <w:lang w:val="en-US"/>
        </w:rPr>
        <w:t xml:space="preserve"> or </w:t>
      </w:r>
      <w:r w:rsidR="003274FD">
        <w:rPr>
          <w:rFonts w:asciiTheme="majorHAnsi" w:hAnsiTheme="majorHAnsi"/>
          <w:noProof w:val="0"/>
          <w:sz w:val="22"/>
          <w:szCs w:val="22"/>
          <w:bdr w:val="none" w:sz="0" w:space="0" w:color="auto"/>
          <w:lang w:val="en-US"/>
        </w:rPr>
        <w:t>failed</w:t>
      </w:r>
      <w:r w:rsidR="003274FD" w:rsidRPr="003274FD">
        <w:rPr>
          <w:rFonts w:asciiTheme="majorHAnsi" w:hAnsiTheme="majorHAnsi"/>
          <w:noProof w:val="0"/>
          <w:sz w:val="22"/>
          <w:szCs w:val="22"/>
          <w:bdr w:val="none" w:sz="0" w:space="0" w:color="auto"/>
          <w:lang w:val="en-US"/>
        </w:rPr>
        <w:t xml:space="preserve"> to do anything in consequence of which </w:t>
      </w:r>
      <w:r w:rsidR="003274FD">
        <w:rPr>
          <w:rFonts w:asciiTheme="majorHAnsi" w:hAnsiTheme="majorHAnsi"/>
          <w:noProof w:val="0"/>
          <w:sz w:val="22"/>
          <w:szCs w:val="22"/>
          <w:bdr w:val="none" w:sz="0" w:space="0" w:color="auto"/>
          <w:lang w:val="en-US"/>
        </w:rPr>
        <w:t>s/he ceased</w:t>
      </w:r>
      <w:r w:rsidR="003274FD" w:rsidRPr="003274FD">
        <w:rPr>
          <w:rFonts w:asciiTheme="majorHAnsi" w:hAnsiTheme="majorHAnsi"/>
          <w:noProof w:val="0"/>
          <w:sz w:val="22"/>
          <w:szCs w:val="22"/>
          <w:bdr w:val="none" w:sz="0" w:space="0" w:color="auto"/>
          <w:lang w:val="en-US"/>
        </w:rPr>
        <w:t xml:space="preserve"> to occupy accommodation which </w:t>
      </w:r>
      <w:r w:rsidR="003274FD">
        <w:rPr>
          <w:rFonts w:asciiTheme="majorHAnsi" w:hAnsiTheme="majorHAnsi"/>
          <w:noProof w:val="0"/>
          <w:sz w:val="22"/>
          <w:szCs w:val="22"/>
          <w:bdr w:val="none" w:sz="0" w:space="0" w:color="auto"/>
          <w:lang w:val="en-US"/>
        </w:rPr>
        <w:t>was</w:t>
      </w:r>
      <w:r w:rsidR="003274FD" w:rsidRPr="003274FD">
        <w:rPr>
          <w:rFonts w:asciiTheme="majorHAnsi" w:hAnsiTheme="majorHAnsi"/>
          <w:noProof w:val="0"/>
          <w:sz w:val="22"/>
          <w:szCs w:val="22"/>
          <w:bdr w:val="none" w:sz="0" w:space="0" w:color="auto"/>
          <w:lang w:val="en-US"/>
        </w:rPr>
        <w:t xml:space="preserve"> available for occupation and which it would have been reasonable to occupy.</w:t>
      </w:r>
      <w:r w:rsidR="003D7635">
        <w:rPr>
          <w:noProof w:val="0"/>
          <w:sz w:val="18"/>
          <w:szCs w:val="18"/>
          <w:bdr w:val="none" w:sz="0" w:space="0" w:color="auto"/>
          <w:lang w:val="en-US"/>
        </w:rPr>
        <w:t xml:space="preserve"> </w:t>
      </w:r>
      <w:r w:rsidR="0099250D">
        <w:rPr>
          <w:rStyle w:val="FootnoteReference"/>
          <w:noProof w:val="0"/>
          <w:sz w:val="18"/>
          <w:szCs w:val="18"/>
          <w:bdr w:val="none" w:sz="0" w:space="0" w:color="auto"/>
          <w:lang w:val="en-US"/>
        </w:rPr>
        <w:footnoteReference w:id="14"/>
      </w:r>
    </w:p>
    <w:p w14:paraId="74E681B9" w14:textId="77777777" w:rsidR="003D7635" w:rsidRDefault="003D7635" w:rsidP="003D763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noProof w:val="0"/>
          <w:sz w:val="18"/>
          <w:szCs w:val="18"/>
          <w:bdr w:val="none" w:sz="0" w:space="0" w:color="auto"/>
          <w:lang w:val="en-US"/>
        </w:rPr>
      </w:pPr>
    </w:p>
    <w:p w14:paraId="40E050AD" w14:textId="1BBE76F6" w:rsidR="00903C7D" w:rsidRPr="003D7635" w:rsidRDefault="00C928AF" w:rsidP="003D763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noProof w:val="0"/>
          <w:sz w:val="18"/>
          <w:szCs w:val="18"/>
          <w:bdr w:val="none" w:sz="0" w:space="0" w:color="auto"/>
          <w:lang w:val="en-US"/>
        </w:rPr>
      </w:pPr>
      <w:r>
        <w:rPr>
          <w:rFonts w:asciiTheme="majorHAnsi" w:hAnsiTheme="majorHAnsi"/>
          <w:sz w:val="22"/>
          <w:szCs w:val="22"/>
        </w:rPr>
        <w:t>The “s</w:t>
      </w:r>
      <w:r w:rsidR="00903C7D" w:rsidRPr="00002B0F">
        <w:rPr>
          <w:rFonts w:asciiTheme="majorHAnsi" w:hAnsiTheme="majorHAnsi"/>
          <w:sz w:val="22"/>
          <w:szCs w:val="22"/>
        </w:rPr>
        <w:t>uitability</w:t>
      </w:r>
      <w:r>
        <w:rPr>
          <w:rFonts w:asciiTheme="majorHAnsi" w:hAnsiTheme="majorHAnsi"/>
          <w:sz w:val="22"/>
          <w:szCs w:val="22"/>
        </w:rPr>
        <w:t>”</w:t>
      </w:r>
      <w:r w:rsidR="00903C7D" w:rsidRPr="00002B0F">
        <w:rPr>
          <w:rFonts w:asciiTheme="majorHAnsi" w:hAnsiTheme="majorHAnsi"/>
          <w:sz w:val="22"/>
          <w:szCs w:val="22"/>
        </w:rPr>
        <w:t xml:space="preserve"> </w:t>
      </w:r>
      <w:r>
        <w:rPr>
          <w:rFonts w:asciiTheme="majorHAnsi" w:hAnsiTheme="majorHAnsi"/>
          <w:sz w:val="22"/>
          <w:szCs w:val="22"/>
        </w:rPr>
        <w:t xml:space="preserve">of accommodation </w:t>
      </w:r>
      <w:r w:rsidR="003D7635">
        <w:rPr>
          <w:rFonts w:asciiTheme="majorHAnsi" w:hAnsiTheme="majorHAnsi"/>
          <w:sz w:val="22"/>
          <w:szCs w:val="22"/>
        </w:rPr>
        <w:t xml:space="preserve">offered in fulfilment of a housing duty </w:t>
      </w:r>
      <w:r w:rsidR="00903C7D" w:rsidRPr="00002B0F">
        <w:rPr>
          <w:rFonts w:asciiTheme="majorHAnsi" w:hAnsiTheme="majorHAnsi"/>
          <w:sz w:val="22"/>
          <w:szCs w:val="22"/>
        </w:rPr>
        <w:t>is a highly contested concept</w:t>
      </w:r>
      <w:r w:rsidR="000F28DD">
        <w:rPr>
          <w:rFonts w:asciiTheme="majorHAnsi" w:hAnsiTheme="majorHAnsi"/>
          <w:sz w:val="22"/>
          <w:szCs w:val="22"/>
        </w:rPr>
        <w:t xml:space="preserve"> too</w:t>
      </w:r>
      <w:r>
        <w:rPr>
          <w:rFonts w:asciiTheme="majorHAnsi" w:hAnsiTheme="majorHAnsi"/>
          <w:sz w:val="22"/>
          <w:szCs w:val="22"/>
        </w:rPr>
        <w:t>.</w:t>
      </w:r>
      <w:r w:rsidR="00903C7D" w:rsidRPr="00002B0F">
        <w:rPr>
          <w:rFonts w:asciiTheme="majorHAnsi" w:hAnsiTheme="majorHAnsi"/>
          <w:sz w:val="22"/>
          <w:szCs w:val="22"/>
        </w:rPr>
        <w:t xml:space="preserve"> </w:t>
      </w:r>
      <w:r>
        <w:rPr>
          <w:rFonts w:asciiTheme="majorHAnsi" w:hAnsiTheme="majorHAnsi"/>
          <w:sz w:val="22"/>
          <w:szCs w:val="22"/>
        </w:rPr>
        <w:t>The</w:t>
      </w:r>
      <w:r w:rsidR="00903C7D" w:rsidRPr="00002B0F">
        <w:rPr>
          <w:rFonts w:asciiTheme="majorHAnsi" w:hAnsiTheme="majorHAnsi"/>
          <w:sz w:val="22"/>
          <w:szCs w:val="22"/>
        </w:rPr>
        <w:t xml:space="preserve"> quality of accommodation available to local authorities is often not ideal and limited in quantity.  Many local authorities have sought to provide applicants with accommodation in cheaper </w:t>
      </w:r>
      <w:r w:rsidR="003D7635">
        <w:rPr>
          <w:rFonts w:asciiTheme="majorHAnsi" w:hAnsiTheme="majorHAnsi"/>
          <w:sz w:val="22"/>
          <w:szCs w:val="22"/>
        </w:rPr>
        <w:t>locations</w:t>
      </w:r>
      <w:r w:rsidR="00903C7D" w:rsidRPr="00002B0F">
        <w:rPr>
          <w:rFonts w:asciiTheme="majorHAnsi" w:hAnsiTheme="majorHAnsi"/>
          <w:sz w:val="22"/>
          <w:szCs w:val="22"/>
        </w:rPr>
        <w:t xml:space="preserve"> outside their </w:t>
      </w:r>
      <w:r w:rsidR="003D7635">
        <w:rPr>
          <w:rFonts w:asciiTheme="majorHAnsi" w:hAnsiTheme="majorHAnsi"/>
          <w:sz w:val="22"/>
          <w:szCs w:val="22"/>
        </w:rPr>
        <w:t>own borders</w:t>
      </w:r>
      <w:r w:rsidR="00903C7D" w:rsidRPr="00002B0F">
        <w:rPr>
          <w:rFonts w:asciiTheme="majorHAnsi" w:hAnsiTheme="majorHAnsi"/>
          <w:sz w:val="22"/>
          <w:szCs w:val="22"/>
        </w:rPr>
        <w:t>, particularly where applicants would otherwise be caught by the benefit cap.</w:t>
      </w:r>
      <w:r w:rsidR="00903C7D" w:rsidRPr="00002B0F">
        <w:rPr>
          <w:rStyle w:val="FootnoteReference"/>
          <w:rFonts w:asciiTheme="majorHAnsi" w:hAnsiTheme="majorHAnsi"/>
          <w:sz w:val="22"/>
          <w:szCs w:val="22"/>
        </w:rPr>
        <w:footnoteReference w:id="15"/>
      </w:r>
    </w:p>
    <w:p w14:paraId="585FF031" w14:textId="77777777" w:rsidR="00C928AF" w:rsidRPr="00002B0F" w:rsidRDefault="00C928AF" w:rsidP="00903C7D">
      <w:pPr>
        <w:rPr>
          <w:rFonts w:asciiTheme="majorHAnsi" w:hAnsiTheme="majorHAnsi"/>
          <w:sz w:val="22"/>
          <w:szCs w:val="22"/>
        </w:rPr>
      </w:pPr>
    </w:p>
    <w:p w14:paraId="775F7511" w14:textId="370F4911" w:rsidR="00F51D87" w:rsidRDefault="00C928AF" w:rsidP="00F51D87">
      <w:pPr>
        <w:rPr>
          <w:rFonts w:asciiTheme="majorHAnsi" w:hAnsiTheme="majorHAnsi"/>
          <w:sz w:val="22"/>
          <w:szCs w:val="22"/>
        </w:rPr>
      </w:pPr>
      <w:r>
        <w:rPr>
          <w:rFonts w:asciiTheme="majorHAnsi" w:hAnsiTheme="majorHAnsi"/>
          <w:sz w:val="22"/>
          <w:szCs w:val="22"/>
        </w:rPr>
        <w:t>Housing a</w:t>
      </w:r>
      <w:r w:rsidR="00903C7D" w:rsidRPr="00002B0F">
        <w:rPr>
          <w:rFonts w:asciiTheme="majorHAnsi" w:hAnsiTheme="majorHAnsi"/>
          <w:sz w:val="22"/>
          <w:szCs w:val="22"/>
        </w:rPr>
        <w:t>pplicants have the right to request a</w:t>
      </w:r>
      <w:r w:rsidR="003D7635">
        <w:rPr>
          <w:rFonts w:asciiTheme="majorHAnsi" w:hAnsiTheme="majorHAnsi"/>
          <w:sz w:val="22"/>
          <w:szCs w:val="22"/>
        </w:rPr>
        <w:t>n internal administrative</w:t>
      </w:r>
      <w:r w:rsidR="00903C7D" w:rsidRPr="00002B0F">
        <w:rPr>
          <w:rFonts w:asciiTheme="majorHAnsi" w:hAnsiTheme="majorHAnsi"/>
          <w:sz w:val="22"/>
          <w:szCs w:val="22"/>
        </w:rPr>
        <w:t xml:space="preserve"> review of practically all decisions made against their interest</w:t>
      </w:r>
      <w:r>
        <w:rPr>
          <w:rFonts w:asciiTheme="majorHAnsi" w:hAnsiTheme="majorHAnsi"/>
          <w:sz w:val="22"/>
          <w:szCs w:val="22"/>
        </w:rPr>
        <w:t>,</w:t>
      </w:r>
      <w:r w:rsidR="00903C7D" w:rsidRPr="00002B0F">
        <w:rPr>
          <w:rStyle w:val="FootnoteReference"/>
          <w:rFonts w:asciiTheme="majorHAnsi" w:hAnsiTheme="majorHAnsi"/>
          <w:sz w:val="22"/>
          <w:szCs w:val="22"/>
        </w:rPr>
        <w:footnoteReference w:id="16"/>
      </w:r>
      <w:r>
        <w:rPr>
          <w:rFonts w:asciiTheme="majorHAnsi" w:hAnsiTheme="majorHAnsi"/>
          <w:sz w:val="22"/>
          <w:szCs w:val="22"/>
        </w:rPr>
        <w:t xml:space="preserve"> though t</w:t>
      </w:r>
      <w:r w:rsidR="00903C7D" w:rsidRPr="00002B0F">
        <w:rPr>
          <w:rFonts w:asciiTheme="majorHAnsi" w:hAnsiTheme="majorHAnsi"/>
          <w:sz w:val="22"/>
          <w:szCs w:val="22"/>
        </w:rPr>
        <w:t>hey must do so within 21 days of notification of the decision.</w:t>
      </w:r>
      <w:r w:rsidR="00903C7D" w:rsidRPr="00002B0F">
        <w:rPr>
          <w:rStyle w:val="FootnoteReference"/>
          <w:rFonts w:asciiTheme="majorHAnsi" w:hAnsiTheme="majorHAnsi"/>
          <w:sz w:val="22"/>
          <w:szCs w:val="22"/>
        </w:rPr>
        <w:footnoteReference w:id="17"/>
      </w:r>
      <w:r w:rsidR="00903C7D" w:rsidRPr="00002B0F">
        <w:rPr>
          <w:rFonts w:asciiTheme="majorHAnsi" w:hAnsiTheme="majorHAnsi"/>
          <w:sz w:val="22"/>
          <w:szCs w:val="22"/>
        </w:rPr>
        <w:t xml:space="preserve">  The reviewer, who must be different from and senior to the officer who made the original decision, has full jurisdiction, although certain time and procedural constraints are placed on them.</w:t>
      </w:r>
      <w:r w:rsidR="00903C7D" w:rsidRPr="00002B0F">
        <w:rPr>
          <w:rStyle w:val="FootnoteReference"/>
          <w:rFonts w:asciiTheme="majorHAnsi" w:hAnsiTheme="majorHAnsi"/>
          <w:sz w:val="22"/>
          <w:szCs w:val="22"/>
        </w:rPr>
        <w:footnoteReference w:id="18"/>
      </w:r>
      <w:r w:rsidR="00903C7D" w:rsidRPr="00002B0F">
        <w:rPr>
          <w:rFonts w:asciiTheme="majorHAnsi" w:hAnsiTheme="majorHAnsi"/>
          <w:sz w:val="22"/>
          <w:szCs w:val="22"/>
        </w:rPr>
        <w:t xml:space="preserve">  </w:t>
      </w:r>
      <w:r>
        <w:rPr>
          <w:rFonts w:asciiTheme="majorHAnsi" w:hAnsiTheme="majorHAnsi"/>
          <w:sz w:val="22"/>
          <w:szCs w:val="22"/>
        </w:rPr>
        <w:t>It is only after the initial decision has been formally internally reviewed that the housing applicant, if</w:t>
      </w:r>
      <w:r w:rsidR="00903C7D" w:rsidRPr="00002B0F">
        <w:rPr>
          <w:rFonts w:asciiTheme="majorHAnsi" w:hAnsiTheme="majorHAnsi"/>
          <w:sz w:val="22"/>
          <w:szCs w:val="22"/>
        </w:rPr>
        <w:t xml:space="preserve"> </w:t>
      </w:r>
      <w:r>
        <w:rPr>
          <w:rFonts w:asciiTheme="majorHAnsi" w:hAnsiTheme="majorHAnsi"/>
          <w:sz w:val="22"/>
          <w:szCs w:val="22"/>
        </w:rPr>
        <w:t>still aggrieved</w:t>
      </w:r>
      <w:r w:rsidR="00903C7D" w:rsidRPr="00002B0F">
        <w:rPr>
          <w:rFonts w:asciiTheme="majorHAnsi" w:hAnsiTheme="majorHAnsi"/>
          <w:sz w:val="22"/>
          <w:szCs w:val="22"/>
        </w:rPr>
        <w:t>, may appeal to the County Court</w:t>
      </w:r>
      <w:r w:rsidRPr="00C928AF">
        <w:rPr>
          <w:rFonts w:asciiTheme="majorHAnsi" w:hAnsiTheme="majorHAnsi"/>
          <w:sz w:val="22"/>
          <w:szCs w:val="22"/>
        </w:rPr>
        <w:t xml:space="preserve"> </w:t>
      </w:r>
      <w:r w:rsidRPr="00002B0F">
        <w:rPr>
          <w:rFonts w:asciiTheme="majorHAnsi" w:hAnsiTheme="majorHAnsi"/>
          <w:sz w:val="22"/>
          <w:szCs w:val="22"/>
        </w:rPr>
        <w:t>on a point of law</w:t>
      </w:r>
      <w:r w:rsidR="00903C7D" w:rsidRPr="00002B0F">
        <w:rPr>
          <w:rFonts w:asciiTheme="majorHAnsi" w:hAnsiTheme="majorHAnsi"/>
          <w:sz w:val="22"/>
          <w:szCs w:val="22"/>
        </w:rPr>
        <w:t>.</w:t>
      </w:r>
      <w:r w:rsidR="00903C7D" w:rsidRPr="00002B0F">
        <w:rPr>
          <w:rStyle w:val="FootnoteReference"/>
          <w:rFonts w:asciiTheme="majorHAnsi" w:hAnsiTheme="majorHAnsi"/>
          <w:sz w:val="22"/>
          <w:szCs w:val="22"/>
        </w:rPr>
        <w:footnoteReference w:id="19"/>
      </w:r>
      <w:r w:rsidR="00903C7D" w:rsidRPr="00002B0F">
        <w:rPr>
          <w:rFonts w:asciiTheme="majorHAnsi" w:hAnsiTheme="majorHAnsi"/>
          <w:sz w:val="22"/>
          <w:szCs w:val="22"/>
        </w:rPr>
        <w:t xml:space="preserve">  </w:t>
      </w:r>
      <w:r>
        <w:rPr>
          <w:rFonts w:asciiTheme="majorHAnsi" w:hAnsiTheme="majorHAnsi"/>
          <w:sz w:val="22"/>
          <w:szCs w:val="22"/>
        </w:rPr>
        <w:t xml:space="preserve">Internal review is, </w:t>
      </w:r>
      <w:r w:rsidR="000F28DD">
        <w:rPr>
          <w:rFonts w:asciiTheme="majorHAnsi" w:hAnsiTheme="majorHAnsi"/>
          <w:sz w:val="22"/>
          <w:szCs w:val="22"/>
        </w:rPr>
        <w:t xml:space="preserve">then, </w:t>
      </w:r>
      <w:r>
        <w:rPr>
          <w:rFonts w:asciiTheme="majorHAnsi" w:hAnsiTheme="majorHAnsi"/>
          <w:sz w:val="22"/>
          <w:szCs w:val="22"/>
        </w:rPr>
        <w:t>like mandatory reconsideration under the Welfare Reform Act 2012, a compulsory rung in the ladder of redress.</w:t>
      </w:r>
    </w:p>
    <w:p w14:paraId="60450D2F" w14:textId="77777777" w:rsidR="003D7635" w:rsidRDefault="003D7635" w:rsidP="00F51D87">
      <w:pPr>
        <w:rPr>
          <w:rFonts w:asciiTheme="majorHAnsi" w:hAnsiTheme="majorHAnsi"/>
          <w:sz w:val="22"/>
          <w:szCs w:val="22"/>
        </w:rPr>
      </w:pPr>
    </w:p>
    <w:p w14:paraId="5417BCC8" w14:textId="6B013F9C" w:rsidR="003D7635" w:rsidRDefault="003D7635" w:rsidP="00F51D87">
      <w:pPr>
        <w:rPr>
          <w:rFonts w:asciiTheme="majorHAnsi" w:hAnsiTheme="majorHAnsi"/>
          <w:sz w:val="22"/>
          <w:szCs w:val="22"/>
        </w:rPr>
      </w:pPr>
      <w:r>
        <w:rPr>
          <w:rFonts w:asciiTheme="majorHAnsi" w:hAnsiTheme="majorHAnsi"/>
          <w:sz w:val="22"/>
          <w:szCs w:val="22"/>
        </w:rPr>
        <w:t xml:space="preserve">Although </w:t>
      </w:r>
      <w:r w:rsidR="00DD5CB0">
        <w:rPr>
          <w:rFonts w:asciiTheme="majorHAnsi" w:hAnsiTheme="majorHAnsi"/>
          <w:sz w:val="22"/>
          <w:szCs w:val="22"/>
        </w:rPr>
        <w:t>homelessness decisions in England and Wale</w:t>
      </w:r>
      <w:r w:rsidR="00067915">
        <w:rPr>
          <w:rFonts w:asciiTheme="majorHAnsi" w:hAnsiTheme="majorHAnsi"/>
          <w:sz w:val="22"/>
          <w:szCs w:val="22"/>
        </w:rPr>
        <w:t>s, quantitative</w:t>
      </w:r>
      <w:r w:rsidR="002255E6">
        <w:rPr>
          <w:rFonts w:asciiTheme="majorHAnsi" w:hAnsiTheme="majorHAnsi"/>
          <w:sz w:val="22"/>
          <w:szCs w:val="22"/>
        </w:rPr>
        <w:t>l</w:t>
      </w:r>
      <w:r w:rsidR="00067915">
        <w:rPr>
          <w:rFonts w:asciiTheme="majorHAnsi" w:hAnsiTheme="majorHAnsi"/>
          <w:sz w:val="22"/>
          <w:szCs w:val="22"/>
        </w:rPr>
        <w:t>y speaking, pale</w:t>
      </w:r>
      <w:r w:rsidR="00DD5CB0">
        <w:rPr>
          <w:rFonts w:asciiTheme="majorHAnsi" w:hAnsiTheme="majorHAnsi"/>
          <w:sz w:val="22"/>
          <w:szCs w:val="22"/>
        </w:rPr>
        <w:t xml:space="preserve"> in significance when compared to the workload of the Department of Work and Pensions, </w:t>
      </w:r>
      <w:r w:rsidR="00067915">
        <w:rPr>
          <w:rFonts w:asciiTheme="majorHAnsi" w:hAnsiTheme="majorHAnsi"/>
          <w:sz w:val="22"/>
          <w:szCs w:val="22"/>
        </w:rPr>
        <w:t>they</w:t>
      </w:r>
      <w:r w:rsidR="00DD5CB0">
        <w:rPr>
          <w:rFonts w:asciiTheme="majorHAnsi" w:hAnsiTheme="majorHAnsi"/>
          <w:sz w:val="22"/>
          <w:szCs w:val="22"/>
        </w:rPr>
        <w:t xml:space="preserve"> noneth</w:t>
      </w:r>
      <w:r w:rsidR="00067915">
        <w:rPr>
          <w:rFonts w:asciiTheme="majorHAnsi" w:hAnsiTheme="majorHAnsi"/>
          <w:sz w:val="22"/>
          <w:szCs w:val="22"/>
        </w:rPr>
        <w:t>eless represent</w:t>
      </w:r>
      <w:r w:rsidR="00DD5CB0">
        <w:rPr>
          <w:rFonts w:asciiTheme="majorHAnsi" w:hAnsiTheme="majorHAnsi"/>
          <w:sz w:val="22"/>
          <w:szCs w:val="22"/>
        </w:rPr>
        <w:t xml:space="preserve">, in absolute terms, a sizeable chunk of welfare decision-making (albeit that </w:t>
      </w:r>
      <w:r w:rsidR="00067915">
        <w:rPr>
          <w:rFonts w:asciiTheme="majorHAnsi" w:hAnsiTheme="majorHAnsi"/>
          <w:sz w:val="22"/>
          <w:szCs w:val="22"/>
        </w:rPr>
        <w:t xml:space="preserve">the </w:t>
      </w:r>
      <w:r w:rsidR="00D349D4">
        <w:rPr>
          <w:rFonts w:asciiTheme="majorHAnsi" w:hAnsiTheme="majorHAnsi"/>
          <w:sz w:val="22"/>
          <w:szCs w:val="22"/>
        </w:rPr>
        <w:t>number of applications has</w:t>
      </w:r>
      <w:r w:rsidR="00DD5CB0">
        <w:rPr>
          <w:rFonts w:asciiTheme="majorHAnsi" w:hAnsiTheme="majorHAnsi"/>
          <w:sz w:val="22"/>
          <w:szCs w:val="22"/>
        </w:rPr>
        <w:t xml:space="preserve"> reduced a little over the period of our research</w:t>
      </w:r>
      <w:r w:rsidR="00D349D4">
        <w:rPr>
          <w:rFonts w:asciiTheme="majorHAnsi" w:hAnsiTheme="majorHAnsi"/>
          <w:sz w:val="22"/>
          <w:szCs w:val="22"/>
        </w:rPr>
        <w:t>: 1998 - 2014</w:t>
      </w:r>
      <w:r w:rsidR="00DD5CB0">
        <w:rPr>
          <w:rFonts w:asciiTheme="majorHAnsi" w:hAnsiTheme="majorHAnsi"/>
          <w:sz w:val="22"/>
          <w:szCs w:val="22"/>
        </w:rPr>
        <w:t>).</w:t>
      </w:r>
    </w:p>
    <w:p w14:paraId="4B513032" w14:textId="77777777" w:rsidR="00DD5CB0" w:rsidRDefault="00DD5CB0" w:rsidP="00F51D87">
      <w:pPr>
        <w:rPr>
          <w:rFonts w:asciiTheme="majorHAnsi" w:hAnsiTheme="majorHAnsi"/>
          <w:sz w:val="22"/>
          <w:szCs w:val="22"/>
        </w:rPr>
      </w:pPr>
    </w:p>
    <w:p w14:paraId="540A11A5" w14:textId="145D5341" w:rsidR="00DD5CB0" w:rsidRDefault="00DD5CB0" w:rsidP="00DD5CB0">
      <w:pPr>
        <w:rPr>
          <w:rFonts w:asciiTheme="majorHAnsi" w:hAnsiTheme="majorHAnsi"/>
          <w:sz w:val="22"/>
          <w:szCs w:val="22"/>
        </w:rPr>
      </w:pPr>
      <w:r w:rsidRPr="00DD5CB0">
        <w:rPr>
          <w:rFonts w:asciiTheme="majorHAnsi" w:hAnsiTheme="majorHAnsi"/>
          <w:sz w:val="22"/>
          <w:szCs w:val="22"/>
        </w:rPr>
        <w:t xml:space="preserve">Table 1 </w:t>
      </w:r>
      <w:r>
        <w:rPr>
          <w:rFonts w:asciiTheme="majorHAnsi" w:hAnsiTheme="majorHAnsi"/>
          <w:sz w:val="22"/>
          <w:szCs w:val="22"/>
        </w:rPr>
        <w:t>shows</w:t>
      </w:r>
      <w:r w:rsidRPr="00DD5CB0">
        <w:rPr>
          <w:rFonts w:asciiTheme="majorHAnsi" w:hAnsiTheme="majorHAnsi"/>
          <w:sz w:val="22"/>
          <w:szCs w:val="22"/>
        </w:rPr>
        <w:t>, from official statistics</w:t>
      </w:r>
      <w:r w:rsidR="001952A7">
        <w:rPr>
          <w:rStyle w:val="FootnoteReference"/>
          <w:rFonts w:asciiTheme="majorHAnsi" w:hAnsiTheme="majorHAnsi"/>
          <w:sz w:val="22"/>
          <w:szCs w:val="22"/>
        </w:rPr>
        <w:footnoteReference w:id="20"/>
      </w:r>
      <w:r w:rsidRPr="00DD5CB0">
        <w:rPr>
          <w:rFonts w:asciiTheme="majorHAnsi" w:hAnsiTheme="majorHAnsi"/>
          <w:sz w:val="22"/>
          <w:szCs w:val="22"/>
        </w:rPr>
        <w:t xml:space="preserve">, the </w:t>
      </w:r>
      <w:r>
        <w:rPr>
          <w:rFonts w:asciiTheme="majorHAnsi" w:hAnsiTheme="majorHAnsi"/>
          <w:sz w:val="22"/>
          <w:szCs w:val="22"/>
        </w:rPr>
        <w:t>incidence</w:t>
      </w:r>
      <w:r w:rsidRPr="00DD5CB0">
        <w:rPr>
          <w:rFonts w:asciiTheme="majorHAnsi" w:hAnsiTheme="majorHAnsi"/>
          <w:sz w:val="22"/>
          <w:szCs w:val="22"/>
        </w:rPr>
        <w:t xml:space="preserve"> of applications for homelessness assistance and </w:t>
      </w:r>
      <w:r>
        <w:rPr>
          <w:rFonts w:asciiTheme="majorHAnsi" w:hAnsiTheme="majorHAnsi"/>
          <w:sz w:val="22"/>
          <w:szCs w:val="22"/>
        </w:rPr>
        <w:t xml:space="preserve">the </w:t>
      </w:r>
      <w:r w:rsidRPr="00DD5CB0">
        <w:rPr>
          <w:rFonts w:asciiTheme="majorHAnsi" w:hAnsiTheme="majorHAnsi"/>
          <w:sz w:val="22"/>
          <w:szCs w:val="22"/>
        </w:rPr>
        <w:t xml:space="preserve">numbers </w:t>
      </w:r>
      <w:r>
        <w:rPr>
          <w:rFonts w:asciiTheme="majorHAnsi" w:hAnsiTheme="majorHAnsi"/>
          <w:sz w:val="22"/>
          <w:szCs w:val="22"/>
        </w:rPr>
        <w:t>of applications that were ‘successful’</w:t>
      </w:r>
      <w:r w:rsidRPr="00DD5CB0">
        <w:rPr>
          <w:rFonts w:asciiTheme="majorHAnsi" w:hAnsiTheme="majorHAnsi"/>
          <w:sz w:val="22"/>
          <w:szCs w:val="22"/>
        </w:rPr>
        <w:t>.</w:t>
      </w:r>
      <w:r w:rsidRPr="00DD5CB0">
        <w:rPr>
          <w:rStyle w:val="FootnoteReference"/>
          <w:rFonts w:asciiTheme="majorHAnsi" w:hAnsiTheme="majorHAnsi"/>
          <w:sz w:val="22"/>
          <w:szCs w:val="22"/>
        </w:rPr>
        <w:footnoteReference w:id="21"/>
      </w:r>
      <w:r w:rsidR="003E680E">
        <w:rPr>
          <w:rFonts w:asciiTheme="majorHAnsi" w:hAnsiTheme="majorHAnsi"/>
          <w:sz w:val="22"/>
          <w:szCs w:val="22"/>
        </w:rPr>
        <w:t xml:space="preserve"> </w:t>
      </w:r>
    </w:p>
    <w:p w14:paraId="2E3ED67E" w14:textId="77777777" w:rsidR="00DD5CB0" w:rsidRPr="00DD5CB0" w:rsidRDefault="00DD5CB0" w:rsidP="00DD5CB0">
      <w:pPr>
        <w:rPr>
          <w:rFonts w:asciiTheme="majorHAnsi" w:hAnsiTheme="majorHAnsi"/>
          <w:sz w:val="22"/>
          <w:szCs w:val="22"/>
        </w:rPr>
      </w:pPr>
    </w:p>
    <w:p w14:paraId="2153D922" w14:textId="77777777" w:rsidR="00DD5CB0" w:rsidRDefault="00DD5CB0" w:rsidP="00DD5CB0">
      <w:r w:rsidRPr="0012425E">
        <w:rPr>
          <w:lang w:val="en-US"/>
        </w:rPr>
        <w:drawing>
          <wp:inline distT="0" distB="0" distL="0" distR="0" wp14:anchorId="60261167" wp14:editId="2F7694E7">
            <wp:extent cx="5731510" cy="2371725"/>
            <wp:effectExtent l="0" t="0" r="254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10B6C1A" w14:textId="77777777" w:rsidR="00DD5CB0" w:rsidRDefault="00DD5CB0" w:rsidP="00DD5CB0"/>
    <w:p w14:paraId="153FFCC4" w14:textId="1F69050F" w:rsidR="00DD5CB0" w:rsidRPr="00DD5CB0" w:rsidRDefault="00210340" w:rsidP="00F51D87">
      <w:pPr>
        <w:rPr>
          <w:rFonts w:asciiTheme="majorHAnsi" w:hAnsiTheme="majorHAnsi"/>
          <w:sz w:val="22"/>
          <w:szCs w:val="22"/>
        </w:rPr>
      </w:pPr>
      <w:r>
        <w:rPr>
          <w:rFonts w:asciiTheme="majorHAnsi" w:hAnsiTheme="majorHAnsi"/>
          <w:sz w:val="22"/>
          <w:szCs w:val="22"/>
        </w:rPr>
        <w:t>As we can see</w:t>
      </w:r>
      <w:r w:rsidR="003E680E">
        <w:rPr>
          <w:rFonts w:asciiTheme="majorHAnsi" w:hAnsiTheme="majorHAnsi"/>
          <w:sz w:val="22"/>
          <w:szCs w:val="22"/>
        </w:rPr>
        <w:t xml:space="preserve">, the number of applicants who have been rejected for housing assistance is </w:t>
      </w:r>
      <w:r w:rsidR="00067915">
        <w:rPr>
          <w:rFonts w:asciiTheme="majorHAnsi" w:hAnsiTheme="majorHAnsi"/>
          <w:sz w:val="22"/>
          <w:szCs w:val="22"/>
        </w:rPr>
        <w:t>considerable. In relation to the periods surveyed in our research, it ranges</w:t>
      </w:r>
      <w:r w:rsidR="003E680E">
        <w:rPr>
          <w:rFonts w:asciiTheme="majorHAnsi" w:hAnsiTheme="majorHAnsi"/>
          <w:sz w:val="22"/>
          <w:szCs w:val="22"/>
        </w:rPr>
        <w:t xml:space="preserve"> from the high of </w:t>
      </w:r>
      <w:r w:rsidR="003E680E" w:rsidRPr="00DD5CB0">
        <w:rPr>
          <w:rFonts w:asciiTheme="majorHAnsi" w:hAnsiTheme="majorHAnsi"/>
          <w:sz w:val="22"/>
          <w:szCs w:val="22"/>
        </w:rPr>
        <w:t>161,380</w:t>
      </w:r>
      <w:r w:rsidR="003E680E">
        <w:rPr>
          <w:rFonts w:asciiTheme="majorHAnsi" w:hAnsiTheme="majorHAnsi"/>
          <w:sz w:val="22"/>
          <w:szCs w:val="22"/>
        </w:rPr>
        <w:t xml:space="preserve"> in 2003, to </w:t>
      </w:r>
      <w:r w:rsidR="003E680E" w:rsidRPr="00DD5CB0">
        <w:rPr>
          <w:rFonts w:asciiTheme="majorHAnsi" w:hAnsiTheme="majorHAnsi"/>
          <w:sz w:val="22"/>
          <w:szCs w:val="22"/>
        </w:rPr>
        <w:t>57,520</w:t>
      </w:r>
      <w:r w:rsidR="003E680E">
        <w:rPr>
          <w:rFonts w:asciiTheme="majorHAnsi" w:hAnsiTheme="majorHAnsi"/>
          <w:sz w:val="22"/>
          <w:szCs w:val="22"/>
        </w:rPr>
        <w:t xml:space="preserve"> in 2014. In addition to these rejected applications, </w:t>
      </w:r>
      <w:r w:rsidR="00067915">
        <w:rPr>
          <w:rFonts w:asciiTheme="majorHAnsi" w:hAnsiTheme="majorHAnsi"/>
          <w:sz w:val="22"/>
          <w:szCs w:val="22"/>
        </w:rPr>
        <w:t xml:space="preserve">however, </w:t>
      </w:r>
      <w:r w:rsidR="003E680E">
        <w:rPr>
          <w:rFonts w:asciiTheme="majorHAnsi" w:hAnsiTheme="majorHAnsi"/>
          <w:sz w:val="22"/>
          <w:szCs w:val="22"/>
        </w:rPr>
        <w:t>‘successful’ applicants who ar</w:t>
      </w:r>
      <w:r w:rsidR="00D349D4">
        <w:rPr>
          <w:rFonts w:asciiTheme="majorHAnsi" w:hAnsiTheme="majorHAnsi"/>
          <w:sz w:val="22"/>
          <w:szCs w:val="22"/>
        </w:rPr>
        <w:t>e aggrieved about the accommoda</w:t>
      </w:r>
      <w:r w:rsidR="003E680E">
        <w:rPr>
          <w:rFonts w:asciiTheme="majorHAnsi" w:hAnsiTheme="majorHAnsi"/>
          <w:sz w:val="22"/>
          <w:szCs w:val="22"/>
        </w:rPr>
        <w:t>t</w:t>
      </w:r>
      <w:r w:rsidR="00D349D4">
        <w:rPr>
          <w:rFonts w:asciiTheme="majorHAnsi" w:hAnsiTheme="majorHAnsi"/>
          <w:sz w:val="22"/>
          <w:szCs w:val="22"/>
        </w:rPr>
        <w:t>i</w:t>
      </w:r>
      <w:r w:rsidR="003E680E">
        <w:rPr>
          <w:rFonts w:asciiTheme="majorHAnsi" w:hAnsiTheme="majorHAnsi"/>
          <w:sz w:val="22"/>
          <w:szCs w:val="22"/>
        </w:rPr>
        <w:t>on they are offered may also seek an internal review of the housing allocation decision. The pool of housing applicants who might seek internal review is, accordingly, even higher.</w:t>
      </w:r>
    </w:p>
    <w:p w14:paraId="3EBE110D" w14:textId="7D0DC36D" w:rsidR="000F28DD" w:rsidRDefault="000F28DD" w:rsidP="000F28DD">
      <w:pPr>
        <w:pStyle w:val="Heading1"/>
      </w:pPr>
      <w:r>
        <w:t>The research</w:t>
      </w:r>
    </w:p>
    <w:p w14:paraId="3E5DC458" w14:textId="2F92DBCC" w:rsidR="00EA271F" w:rsidRPr="004416CE" w:rsidRDefault="003E400B" w:rsidP="003E400B">
      <w:pPr>
        <w:rPr>
          <w:rFonts w:asciiTheme="majorHAnsi" w:hAnsiTheme="majorHAnsi"/>
          <w:sz w:val="22"/>
          <w:szCs w:val="22"/>
        </w:rPr>
      </w:pPr>
      <w:r w:rsidRPr="00F1141A">
        <w:rPr>
          <w:rFonts w:asciiTheme="majorHAnsi" w:hAnsiTheme="majorHAnsi"/>
          <w:sz w:val="22"/>
          <w:szCs w:val="22"/>
        </w:rPr>
        <w:t xml:space="preserve">As a research team, we have conducted research about the use and practice of internal review </w:t>
      </w:r>
      <w:r w:rsidR="003D7635">
        <w:rPr>
          <w:rFonts w:asciiTheme="majorHAnsi" w:hAnsiTheme="majorHAnsi"/>
          <w:sz w:val="22"/>
          <w:szCs w:val="22"/>
        </w:rPr>
        <w:t xml:space="preserve">under homelessness law </w:t>
      </w:r>
      <w:r w:rsidRPr="00F1141A">
        <w:rPr>
          <w:rFonts w:asciiTheme="majorHAnsi" w:hAnsiTheme="majorHAnsi"/>
          <w:sz w:val="22"/>
          <w:szCs w:val="22"/>
        </w:rPr>
        <w:t>for almost 20 years</w:t>
      </w:r>
      <w:r w:rsidR="00F05CCC">
        <w:rPr>
          <w:rFonts w:asciiTheme="majorHAnsi" w:hAnsiTheme="majorHAnsi"/>
          <w:sz w:val="22"/>
          <w:szCs w:val="22"/>
        </w:rPr>
        <w:t>,</w:t>
      </w:r>
      <w:r w:rsidR="00016B47">
        <w:rPr>
          <w:rStyle w:val="FootnoteReference"/>
          <w:rFonts w:asciiTheme="majorHAnsi" w:hAnsiTheme="majorHAnsi"/>
          <w:sz w:val="22"/>
          <w:szCs w:val="22"/>
        </w:rPr>
        <w:footnoteReference w:id="22"/>
      </w:r>
      <w:r w:rsidR="00F05CCC">
        <w:rPr>
          <w:rFonts w:asciiTheme="majorHAnsi" w:hAnsiTheme="majorHAnsi"/>
          <w:sz w:val="22"/>
          <w:szCs w:val="22"/>
        </w:rPr>
        <w:t xml:space="preserve"> spurred to do so by the lack of </w:t>
      </w:r>
      <w:r w:rsidR="004416CE">
        <w:rPr>
          <w:rFonts w:asciiTheme="majorHAnsi" w:hAnsiTheme="majorHAnsi"/>
          <w:sz w:val="22"/>
          <w:szCs w:val="22"/>
        </w:rPr>
        <w:t>official</w:t>
      </w:r>
      <w:r w:rsidR="00F05CCC">
        <w:rPr>
          <w:rFonts w:asciiTheme="majorHAnsi" w:hAnsiTheme="majorHAnsi"/>
          <w:sz w:val="22"/>
          <w:szCs w:val="22"/>
        </w:rPr>
        <w:t xml:space="preserve"> data</w:t>
      </w:r>
      <w:r w:rsidRPr="00F1141A">
        <w:rPr>
          <w:rFonts w:asciiTheme="majorHAnsi" w:hAnsiTheme="majorHAnsi"/>
          <w:sz w:val="22"/>
          <w:szCs w:val="22"/>
        </w:rPr>
        <w:t xml:space="preserve"> </w:t>
      </w:r>
      <w:r w:rsidR="00F05CCC">
        <w:rPr>
          <w:rFonts w:asciiTheme="majorHAnsi" w:hAnsiTheme="majorHAnsi"/>
          <w:sz w:val="22"/>
          <w:szCs w:val="22"/>
        </w:rPr>
        <w:t>about it.</w:t>
      </w:r>
      <w:r w:rsidR="00270A71">
        <w:rPr>
          <w:rFonts w:asciiTheme="majorHAnsi" w:hAnsiTheme="majorHAnsi"/>
          <w:sz w:val="22"/>
          <w:szCs w:val="22"/>
        </w:rPr>
        <w:t xml:space="preserve"> </w:t>
      </w:r>
      <w:r w:rsidR="004416CE">
        <w:rPr>
          <w:rFonts w:asciiTheme="majorHAnsi" w:hAnsiTheme="majorHAnsi"/>
          <w:sz w:val="22"/>
          <w:szCs w:val="22"/>
        </w:rPr>
        <w:t>Although the government</w:t>
      </w:r>
      <w:r w:rsidR="00270A71" w:rsidRPr="004416CE">
        <w:rPr>
          <w:rFonts w:asciiTheme="majorHAnsi" w:hAnsiTheme="majorHAnsi"/>
          <w:sz w:val="22"/>
          <w:szCs w:val="22"/>
        </w:rPr>
        <w:t xml:space="preserve"> keep</w:t>
      </w:r>
      <w:r w:rsidR="004416CE">
        <w:rPr>
          <w:rFonts w:asciiTheme="majorHAnsi" w:hAnsiTheme="majorHAnsi"/>
          <w:sz w:val="22"/>
          <w:szCs w:val="22"/>
        </w:rPr>
        <w:t>s</w:t>
      </w:r>
      <w:r w:rsidR="00270A71" w:rsidRPr="004416CE">
        <w:rPr>
          <w:rFonts w:asciiTheme="majorHAnsi" w:hAnsiTheme="majorHAnsi"/>
          <w:sz w:val="22"/>
          <w:szCs w:val="22"/>
        </w:rPr>
        <w:t xml:space="preserve"> statistics </w:t>
      </w:r>
      <w:r w:rsidR="004416CE">
        <w:rPr>
          <w:rFonts w:asciiTheme="majorHAnsi" w:hAnsiTheme="majorHAnsi"/>
          <w:sz w:val="22"/>
          <w:szCs w:val="22"/>
        </w:rPr>
        <w:t>on a number of features of homelessness decision-making, they have never done so in relation to internal review. This is a regrettable omission in our view, one that renders</w:t>
      </w:r>
      <w:r w:rsidR="00270A71" w:rsidRPr="004416CE">
        <w:rPr>
          <w:rFonts w:asciiTheme="majorHAnsi" w:hAnsiTheme="majorHAnsi"/>
          <w:sz w:val="22"/>
          <w:szCs w:val="22"/>
        </w:rPr>
        <w:t xml:space="preserve"> our </w:t>
      </w:r>
      <w:r w:rsidR="004416CE">
        <w:rPr>
          <w:rFonts w:asciiTheme="majorHAnsi" w:hAnsiTheme="majorHAnsi"/>
          <w:sz w:val="22"/>
          <w:szCs w:val="22"/>
        </w:rPr>
        <w:t>datasets</w:t>
      </w:r>
      <w:r w:rsidR="00270A71" w:rsidRPr="004416CE">
        <w:rPr>
          <w:rFonts w:asciiTheme="majorHAnsi" w:hAnsiTheme="majorHAnsi"/>
          <w:sz w:val="22"/>
          <w:szCs w:val="22"/>
        </w:rPr>
        <w:t xml:space="preserve"> the only </w:t>
      </w:r>
      <w:r w:rsidR="004416CE">
        <w:rPr>
          <w:rFonts w:asciiTheme="majorHAnsi" w:hAnsiTheme="majorHAnsi"/>
          <w:sz w:val="22"/>
          <w:szCs w:val="22"/>
        </w:rPr>
        <w:t>research</w:t>
      </w:r>
      <w:r w:rsidR="00270A71" w:rsidRPr="004416CE">
        <w:rPr>
          <w:rFonts w:asciiTheme="majorHAnsi" w:hAnsiTheme="majorHAnsi"/>
          <w:sz w:val="22"/>
          <w:szCs w:val="22"/>
        </w:rPr>
        <w:t xml:space="preserve"> evidence of the workings and use of the </w:t>
      </w:r>
      <w:r w:rsidR="004416CE">
        <w:rPr>
          <w:rFonts w:asciiTheme="majorHAnsi" w:hAnsiTheme="majorHAnsi"/>
          <w:sz w:val="22"/>
          <w:szCs w:val="22"/>
        </w:rPr>
        <w:t xml:space="preserve">internal </w:t>
      </w:r>
      <w:r w:rsidR="00270A71" w:rsidRPr="004416CE">
        <w:rPr>
          <w:rFonts w:asciiTheme="majorHAnsi" w:hAnsiTheme="majorHAnsi"/>
          <w:sz w:val="22"/>
          <w:szCs w:val="22"/>
        </w:rPr>
        <w:t>review process</w:t>
      </w:r>
      <w:r w:rsidR="004416CE">
        <w:rPr>
          <w:rFonts w:asciiTheme="majorHAnsi" w:hAnsiTheme="majorHAnsi"/>
          <w:sz w:val="22"/>
          <w:szCs w:val="22"/>
        </w:rPr>
        <w:t xml:space="preserve"> in this field.</w:t>
      </w:r>
    </w:p>
    <w:p w14:paraId="57CD85B4" w14:textId="028F3F48" w:rsidR="00EA271F" w:rsidRDefault="00EA271F" w:rsidP="00EA271F">
      <w:pPr>
        <w:pStyle w:val="Heading2"/>
      </w:pPr>
      <w:r>
        <w:lastRenderedPageBreak/>
        <w:t>Quantitative research</w:t>
      </w:r>
    </w:p>
    <w:p w14:paraId="23A89146" w14:textId="2E422E86" w:rsidR="003E400B" w:rsidRPr="00067915" w:rsidRDefault="007E7CA7" w:rsidP="003E400B">
      <w:pPr>
        <w:rPr>
          <w:rFonts w:asciiTheme="majorHAnsi" w:hAnsiTheme="majorHAnsi"/>
          <w:sz w:val="22"/>
          <w:szCs w:val="22"/>
        </w:rPr>
      </w:pPr>
      <w:r>
        <w:rPr>
          <w:rFonts w:asciiTheme="majorHAnsi" w:hAnsiTheme="majorHAnsi"/>
          <w:sz w:val="22"/>
          <w:szCs w:val="22"/>
        </w:rPr>
        <w:t>Five</w:t>
      </w:r>
      <w:r w:rsidR="003E400B" w:rsidRPr="00F1141A">
        <w:rPr>
          <w:rFonts w:asciiTheme="majorHAnsi" w:hAnsiTheme="majorHAnsi"/>
          <w:sz w:val="22"/>
          <w:szCs w:val="22"/>
        </w:rPr>
        <w:t xml:space="preserve"> surveys </w:t>
      </w:r>
      <w:r w:rsidR="00F1141A">
        <w:rPr>
          <w:rFonts w:asciiTheme="majorHAnsi" w:hAnsiTheme="majorHAnsi"/>
          <w:sz w:val="22"/>
          <w:szCs w:val="22"/>
        </w:rPr>
        <w:t>have been</w:t>
      </w:r>
      <w:r w:rsidR="003E400B" w:rsidRPr="00F1141A">
        <w:rPr>
          <w:rFonts w:asciiTheme="majorHAnsi" w:hAnsiTheme="majorHAnsi"/>
          <w:sz w:val="22"/>
          <w:szCs w:val="22"/>
        </w:rPr>
        <w:t xml:space="preserve"> sent to local housing </w:t>
      </w:r>
      <w:r w:rsidR="003D7635">
        <w:rPr>
          <w:rFonts w:asciiTheme="majorHAnsi" w:hAnsiTheme="majorHAnsi"/>
          <w:sz w:val="22"/>
          <w:szCs w:val="22"/>
        </w:rPr>
        <w:t>authorities (in 1998, 2001, 2003</w:t>
      </w:r>
      <w:r w:rsidR="003E400B" w:rsidRPr="00F1141A">
        <w:rPr>
          <w:rFonts w:asciiTheme="majorHAnsi" w:hAnsiTheme="majorHAnsi"/>
          <w:sz w:val="22"/>
          <w:szCs w:val="22"/>
        </w:rPr>
        <w:t>, 2010, 2014), each relating to 6 month periods of internal review activity.</w:t>
      </w:r>
      <w:r w:rsidR="003E400B" w:rsidRPr="00F1141A">
        <w:rPr>
          <w:rStyle w:val="FootnoteReference"/>
          <w:rFonts w:asciiTheme="majorHAnsi" w:hAnsiTheme="majorHAnsi"/>
          <w:sz w:val="22"/>
          <w:szCs w:val="22"/>
        </w:rPr>
        <w:footnoteReference w:id="23"/>
      </w:r>
      <w:r w:rsidR="003E400B" w:rsidRPr="00F1141A">
        <w:rPr>
          <w:rFonts w:asciiTheme="majorHAnsi" w:hAnsiTheme="majorHAnsi"/>
          <w:sz w:val="22"/>
          <w:szCs w:val="22"/>
        </w:rPr>
        <w:t xml:space="preserve"> Each time, we sent a questionnaire to the “homelessness service manager” shortly after the end of each of the six month survey periods.  The periods were </w:t>
      </w:r>
      <w:r w:rsidR="003D7635">
        <w:rPr>
          <w:rFonts w:asciiTheme="majorHAnsi" w:hAnsiTheme="majorHAnsi"/>
          <w:sz w:val="22"/>
          <w:szCs w:val="22"/>
        </w:rPr>
        <w:t xml:space="preserve">(1) </w:t>
      </w:r>
      <w:r w:rsidR="003E400B" w:rsidRPr="00F1141A">
        <w:rPr>
          <w:rFonts w:asciiTheme="majorHAnsi" w:hAnsiTheme="majorHAnsi" w:cs="Arial"/>
          <w:sz w:val="22"/>
          <w:szCs w:val="22"/>
        </w:rPr>
        <w:t xml:space="preserve">January – June 1998; </w:t>
      </w:r>
      <w:r w:rsidR="003D7635">
        <w:rPr>
          <w:rFonts w:asciiTheme="majorHAnsi" w:hAnsiTheme="majorHAnsi" w:cs="Arial"/>
          <w:sz w:val="22"/>
          <w:szCs w:val="22"/>
        </w:rPr>
        <w:t xml:space="preserve">(2) </w:t>
      </w:r>
      <w:r w:rsidR="003E400B" w:rsidRPr="00F1141A">
        <w:rPr>
          <w:rFonts w:asciiTheme="majorHAnsi" w:hAnsiTheme="majorHAnsi" w:cs="Arial"/>
          <w:sz w:val="22"/>
          <w:szCs w:val="22"/>
        </w:rPr>
        <w:t xml:space="preserve">July – December 2000; </w:t>
      </w:r>
      <w:r w:rsidR="003D7635">
        <w:rPr>
          <w:rFonts w:asciiTheme="majorHAnsi" w:hAnsiTheme="majorHAnsi" w:cs="Arial"/>
          <w:sz w:val="22"/>
          <w:szCs w:val="22"/>
        </w:rPr>
        <w:t>(3)</w:t>
      </w:r>
      <w:r w:rsidR="003E400B" w:rsidRPr="00F1141A">
        <w:rPr>
          <w:rFonts w:asciiTheme="majorHAnsi" w:hAnsiTheme="majorHAnsi" w:cs="Arial"/>
          <w:sz w:val="22"/>
          <w:szCs w:val="22"/>
        </w:rPr>
        <w:t xml:space="preserve"> July – December 2003; </w:t>
      </w:r>
      <w:r w:rsidR="003D7635">
        <w:rPr>
          <w:rFonts w:asciiTheme="majorHAnsi" w:hAnsiTheme="majorHAnsi" w:cs="Arial"/>
          <w:sz w:val="22"/>
          <w:szCs w:val="22"/>
        </w:rPr>
        <w:t xml:space="preserve">(4) </w:t>
      </w:r>
      <w:r w:rsidR="003E400B" w:rsidRPr="00F1141A">
        <w:rPr>
          <w:rFonts w:asciiTheme="majorHAnsi" w:hAnsiTheme="majorHAnsi" w:cs="Arial"/>
          <w:sz w:val="22"/>
          <w:szCs w:val="22"/>
        </w:rPr>
        <w:t xml:space="preserve">January – June 2010; </w:t>
      </w:r>
      <w:r w:rsidR="003D7635">
        <w:rPr>
          <w:rFonts w:asciiTheme="majorHAnsi" w:hAnsiTheme="majorHAnsi" w:cs="Arial"/>
          <w:sz w:val="22"/>
          <w:szCs w:val="22"/>
        </w:rPr>
        <w:t xml:space="preserve">and (5) </w:t>
      </w:r>
      <w:r w:rsidR="003E400B" w:rsidRPr="00F1141A">
        <w:rPr>
          <w:rFonts w:asciiTheme="majorHAnsi" w:hAnsiTheme="majorHAnsi" w:cs="Arial"/>
          <w:sz w:val="22"/>
          <w:szCs w:val="22"/>
        </w:rPr>
        <w:t xml:space="preserve">January – June 2014.  </w:t>
      </w:r>
      <w:r w:rsidR="003E400B" w:rsidRPr="00067915">
        <w:rPr>
          <w:rFonts w:asciiTheme="majorHAnsi" w:hAnsiTheme="majorHAnsi" w:cs="Arial"/>
          <w:sz w:val="22"/>
          <w:szCs w:val="22"/>
        </w:rPr>
        <w:t>The first three q</w:t>
      </w:r>
      <w:r w:rsidR="003D7635" w:rsidRPr="00067915">
        <w:rPr>
          <w:rFonts w:asciiTheme="majorHAnsi" w:hAnsiTheme="majorHAnsi" w:cs="Arial"/>
          <w:sz w:val="22"/>
          <w:szCs w:val="22"/>
        </w:rPr>
        <w:t>uestionnaires were paper-based. The</w:t>
      </w:r>
      <w:r w:rsidR="003E400B" w:rsidRPr="00067915">
        <w:rPr>
          <w:rFonts w:asciiTheme="majorHAnsi" w:hAnsiTheme="majorHAnsi" w:cs="Arial"/>
          <w:sz w:val="22"/>
          <w:szCs w:val="22"/>
        </w:rPr>
        <w:t xml:space="preserve"> 2010 and 2014 questionnaires were distributed electronically, with the questionnaire also attached to the introduction e-mail.  We followed up our initial e-mail up to three times.  Our final follow-up tended to be concentrated on areas where we wished to see a greater response, most notably London and the South-East to reflect the greater number of applications there.  </w:t>
      </w:r>
    </w:p>
    <w:p w14:paraId="3E7E728B" w14:textId="77777777" w:rsidR="003E400B" w:rsidRPr="00067915" w:rsidRDefault="003E400B" w:rsidP="003E400B">
      <w:pPr>
        <w:rPr>
          <w:rFonts w:asciiTheme="majorHAnsi" w:hAnsiTheme="majorHAnsi" w:cs="Arial"/>
          <w:sz w:val="22"/>
          <w:szCs w:val="22"/>
        </w:rPr>
      </w:pPr>
    </w:p>
    <w:p w14:paraId="14D9EDDE" w14:textId="44CC0AB3" w:rsidR="003E400B" w:rsidRPr="00F1141A" w:rsidRDefault="000F771C" w:rsidP="003E400B">
      <w:pPr>
        <w:rPr>
          <w:rFonts w:asciiTheme="majorHAnsi" w:hAnsiTheme="majorHAnsi" w:cs="Arial"/>
          <w:sz w:val="22"/>
          <w:szCs w:val="22"/>
        </w:rPr>
      </w:pPr>
      <w:r>
        <w:rPr>
          <w:rFonts w:asciiTheme="majorHAnsi" w:hAnsiTheme="majorHAnsi" w:cs="Arial"/>
          <w:sz w:val="22"/>
          <w:szCs w:val="22"/>
        </w:rPr>
        <w:t>The questionnaire was split in</w:t>
      </w:r>
      <w:r w:rsidR="003E400B" w:rsidRPr="00F1141A">
        <w:rPr>
          <w:rFonts w:asciiTheme="majorHAnsi" w:hAnsiTheme="majorHAnsi" w:cs="Arial"/>
          <w:sz w:val="22"/>
          <w:szCs w:val="22"/>
        </w:rPr>
        <w:t xml:space="preserve">to four sections: </w:t>
      </w:r>
      <w:r w:rsidR="00633EE4">
        <w:rPr>
          <w:rFonts w:asciiTheme="majorHAnsi" w:hAnsiTheme="majorHAnsi" w:cs="Arial"/>
          <w:sz w:val="22"/>
          <w:szCs w:val="22"/>
        </w:rPr>
        <w:t xml:space="preserve">(1) </w:t>
      </w:r>
      <w:r w:rsidR="003E400B" w:rsidRPr="00F1141A">
        <w:rPr>
          <w:rFonts w:asciiTheme="majorHAnsi" w:hAnsiTheme="majorHAnsi" w:cs="Arial"/>
          <w:sz w:val="22"/>
          <w:szCs w:val="22"/>
        </w:rPr>
        <w:t xml:space="preserve">about the respondent authority; </w:t>
      </w:r>
      <w:r w:rsidR="00633EE4">
        <w:rPr>
          <w:rFonts w:asciiTheme="majorHAnsi" w:hAnsiTheme="majorHAnsi" w:cs="Arial"/>
          <w:sz w:val="22"/>
          <w:szCs w:val="22"/>
        </w:rPr>
        <w:t xml:space="preserve">(2) </w:t>
      </w:r>
      <w:r w:rsidR="00A1224D">
        <w:rPr>
          <w:rFonts w:asciiTheme="majorHAnsi" w:hAnsiTheme="majorHAnsi" w:cs="Arial"/>
          <w:sz w:val="22"/>
          <w:szCs w:val="22"/>
        </w:rPr>
        <w:t xml:space="preserve">about </w:t>
      </w:r>
      <w:r w:rsidR="003E400B" w:rsidRPr="00F1141A">
        <w:rPr>
          <w:rFonts w:asciiTheme="majorHAnsi" w:hAnsiTheme="majorHAnsi" w:cs="Arial"/>
          <w:sz w:val="22"/>
          <w:szCs w:val="22"/>
        </w:rPr>
        <w:t xml:space="preserve">the process of review decision-making, including the type of review decision-maker and the incidence of use of lawyers and </w:t>
      </w:r>
      <w:r w:rsidR="003D7635">
        <w:rPr>
          <w:rFonts w:asciiTheme="majorHAnsi" w:hAnsiTheme="majorHAnsi" w:cs="Arial"/>
          <w:sz w:val="22"/>
          <w:szCs w:val="22"/>
        </w:rPr>
        <w:t>lay</w:t>
      </w:r>
      <w:r w:rsidR="003E400B" w:rsidRPr="00F1141A">
        <w:rPr>
          <w:rFonts w:asciiTheme="majorHAnsi" w:hAnsiTheme="majorHAnsi" w:cs="Arial"/>
          <w:sz w:val="22"/>
          <w:szCs w:val="22"/>
        </w:rPr>
        <w:t xml:space="preserve"> advisors; </w:t>
      </w:r>
      <w:r w:rsidR="00633EE4">
        <w:rPr>
          <w:rFonts w:asciiTheme="majorHAnsi" w:hAnsiTheme="majorHAnsi" w:cs="Arial"/>
          <w:sz w:val="22"/>
          <w:szCs w:val="22"/>
        </w:rPr>
        <w:t xml:space="preserve">(3) </w:t>
      </w:r>
      <w:r w:rsidR="003E400B" w:rsidRPr="00F1141A">
        <w:rPr>
          <w:rFonts w:asciiTheme="majorHAnsi" w:hAnsiTheme="majorHAnsi" w:cs="Arial"/>
          <w:sz w:val="22"/>
          <w:szCs w:val="22"/>
        </w:rPr>
        <w:t xml:space="preserve">about the numbers of applications and successful applications; </w:t>
      </w:r>
      <w:r w:rsidR="00633EE4">
        <w:rPr>
          <w:rFonts w:asciiTheme="majorHAnsi" w:hAnsiTheme="majorHAnsi" w:cs="Arial"/>
          <w:sz w:val="22"/>
          <w:szCs w:val="22"/>
        </w:rPr>
        <w:t xml:space="preserve">and (4) </w:t>
      </w:r>
      <w:r w:rsidR="003E400B" w:rsidRPr="00F1141A">
        <w:rPr>
          <w:rFonts w:asciiTheme="majorHAnsi" w:hAnsiTheme="majorHAnsi" w:cs="Arial"/>
          <w:sz w:val="22"/>
          <w:szCs w:val="22"/>
        </w:rPr>
        <w:t xml:space="preserve">certain qualitative questions </w:t>
      </w:r>
      <w:r w:rsidR="003D7635">
        <w:rPr>
          <w:rFonts w:asciiTheme="majorHAnsi" w:hAnsiTheme="majorHAnsi" w:cs="Arial"/>
          <w:sz w:val="22"/>
          <w:szCs w:val="22"/>
        </w:rPr>
        <w:t>regarding</w:t>
      </w:r>
      <w:r w:rsidR="003E400B" w:rsidRPr="00F1141A">
        <w:rPr>
          <w:rFonts w:asciiTheme="majorHAnsi" w:hAnsiTheme="majorHAnsi" w:cs="Arial"/>
          <w:sz w:val="22"/>
          <w:szCs w:val="22"/>
        </w:rPr>
        <w:t xml:space="preserve"> </w:t>
      </w:r>
      <w:r w:rsidR="003D7635">
        <w:rPr>
          <w:rFonts w:asciiTheme="majorHAnsi" w:hAnsiTheme="majorHAnsi" w:cs="Arial"/>
          <w:sz w:val="22"/>
          <w:szCs w:val="22"/>
        </w:rPr>
        <w:t>local authority</w:t>
      </w:r>
      <w:r w:rsidR="003E400B" w:rsidRPr="00F1141A">
        <w:rPr>
          <w:rFonts w:asciiTheme="majorHAnsi" w:hAnsiTheme="majorHAnsi" w:cs="Arial"/>
          <w:sz w:val="22"/>
          <w:szCs w:val="22"/>
        </w:rPr>
        <w:t xml:space="preserve"> perception</w:t>
      </w:r>
      <w:r w:rsidR="003D7635">
        <w:rPr>
          <w:rFonts w:asciiTheme="majorHAnsi" w:hAnsiTheme="majorHAnsi" w:cs="Arial"/>
          <w:sz w:val="22"/>
          <w:szCs w:val="22"/>
        </w:rPr>
        <w:t>s</w:t>
      </w:r>
      <w:r w:rsidR="003E400B" w:rsidRPr="00F1141A">
        <w:rPr>
          <w:rFonts w:asciiTheme="majorHAnsi" w:hAnsiTheme="majorHAnsi" w:cs="Arial"/>
          <w:sz w:val="22"/>
          <w:szCs w:val="22"/>
        </w:rPr>
        <w:t xml:space="preserve"> </w:t>
      </w:r>
      <w:r w:rsidR="003D7635">
        <w:rPr>
          <w:rFonts w:asciiTheme="majorHAnsi" w:hAnsiTheme="majorHAnsi" w:cs="Arial"/>
          <w:sz w:val="22"/>
          <w:szCs w:val="22"/>
        </w:rPr>
        <w:t>of</w:t>
      </w:r>
      <w:r w:rsidR="003E400B" w:rsidRPr="00F1141A">
        <w:rPr>
          <w:rFonts w:asciiTheme="majorHAnsi" w:hAnsiTheme="majorHAnsi" w:cs="Arial"/>
          <w:sz w:val="22"/>
          <w:szCs w:val="22"/>
        </w:rPr>
        <w:t xml:space="preserve"> the </w:t>
      </w:r>
      <w:r w:rsidR="003D7635">
        <w:rPr>
          <w:rFonts w:asciiTheme="majorHAnsi" w:hAnsiTheme="majorHAnsi" w:cs="Arial"/>
          <w:sz w:val="22"/>
          <w:szCs w:val="22"/>
        </w:rPr>
        <w:t>significance of advisors</w:t>
      </w:r>
      <w:r w:rsidR="003E400B" w:rsidRPr="00F1141A">
        <w:rPr>
          <w:rFonts w:asciiTheme="majorHAnsi" w:hAnsiTheme="majorHAnsi" w:cs="Arial"/>
          <w:sz w:val="22"/>
          <w:szCs w:val="22"/>
        </w:rPr>
        <w:t xml:space="preserve"> and, from 2003, </w:t>
      </w:r>
      <w:r w:rsidR="003D7635">
        <w:rPr>
          <w:rFonts w:asciiTheme="majorHAnsi" w:hAnsiTheme="majorHAnsi" w:cs="Arial"/>
          <w:sz w:val="22"/>
          <w:szCs w:val="22"/>
        </w:rPr>
        <w:t>of</w:t>
      </w:r>
      <w:r w:rsidR="003E400B" w:rsidRPr="00F1141A">
        <w:rPr>
          <w:rFonts w:asciiTheme="majorHAnsi" w:hAnsiTheme="majorHAnsi" w:cs="Arial"/>
          <w:sz w:val="22"/>
          <w:szCs w:val="22"/>
        </w:rPr>
        <w:t xml:space="preserve"> the impact of review decisions on the quality of initial decisions.</w:t>
      </w:r>
    </w:p>
    <w:p w14:paraId="2C36699D" w14:textId="77777777" w:rsidR="003E400B" w:rsidRPr="00F1141A" w:rsidRDefault="003E400B" w:rsidP="003E400B">
      <w:pPr>
        <w:rPr>
          <w:rFonts w:asciiTheme="majorHAnsi" w:hAnsiTheme="majorHAnsi" w:cs="Arial"/>
          <w:sz w:val="22"/>
          <w:szCs w:val="22"/>
        </w:rPr>
      </w:pPr>
    </w:p>
    <w:p w14:paraId="79F30125" w14:textId="1D7B5AF1" w:rsidR="003D7635" w:rsidRDefault="003E400B" w:rsidP="003E400B">
      <w:pPr>
        <w:rPr>
          <w:rFonts w:asciiTheme="majorHAnsi" w:hAnsiTheme="majorHAnsi"/>
          <w:sz w:val="22"/>
          <w:szCs w:val="22"/>
        </w:rPr>
      </w:pPr>
      <w:r w:rsidRPr="00F1141A">
        <w:rPr>
          <w:rFonts w:asciiTheme="majorHAnsi" w:hAnsiTheme="majorHAnsi" w:cs="Arial"/>
          <w:sz w:val="22"/>
          <w:szCs w:val="22"/>
        </w:rPr>
        <w:t xml:space="preserve">The response rates to our questionnaires were </w:t>
      </w:r>
      <w:r w:rsidR="00633EE4">
        <w:rPr>
          <w:rFonts w:asciiTheme="majorHAnsi" w:hAnsiTheme="majorHAnsi" w:cs="Arial"/>
          <w:sz w:val="22"/>
          <w:szCs w:val="22"/>
        </w:rPr>
        <w:t>54%</w:t>
      </w:r>
      <w:r w:rsidRPr="00F1141A">
        <w:rPr>
          <w:rFonts w:asciiTheme="majorHAnsi" w:hAnsiTheme="majorHAnsi" w:cs="Arial"/>
          <w:sz w:val="22"/>
          <w:szCs w:val="22"/>
        </w:rPr>
        <w:t xml:space="preserve"> (1998), </w:t>
      </w:r>
      <w:r w:rsidR="00633EE4">
        <w:rPr>
          <w:rFonts w:asciiTheme="majorHAnsi" w:hAnsiTheme="majorHAnsi" w:cs="Arial"/>
          <w:sz w:val="22"/>
          <w:szCs w:val="22"/>
        </w:rPr>
        <w:t>53%</w:t>
      </w:r>
      <w:r w:rsidRPr="00F1141A">
        <w:rPr>
          <w:rFonts w:asciiTheme="majorHAnsi" w:hAnsiTheme="majorHAnsi" w:cs="Arial"/>
          <w:sz w:val="22"/>
          <w:szCs w:val="22"/>
        </w:rPr>
        <w:t xml:space="preserve"> (2000)</w:t>
      </w:r>
      <w:r w:rsidR="00633EE4">
        <w:rPr>
          <w:rFonts w:asciiTheme="majorHAnsi" w:hAnsiTheme="majorHAnsi" w:cs="Arial"/>
          <w:sz w:val="22"/>
          <w:szCs w:val="22"/>
        </w:rPr>
        <w:t>,</w:t>
      </w:r>
      <w:r w:rsidRPr="00F1141A">
        <w:rPr>
          <w:rFonts w:asciiTheme="majorHAnsi" w:hAnsiTheme="majorHAnsi" w:cs="Arial"/>
          <w:sz w:val="22"/>
          <w:szCs w:val="22"/>
        </w:rPr>
        <w:t xml:space="preserve"> </w:t>
      </w:r>
      <w:r w:rsidR="00633EE4">
        <w:rPr>
          <w:rFonts w:asciiTheme="majorHAnsi" w:hAnsiTheme="majorHAnsi" w:cs="Arial"/>
          <w:sz w:val="22"/>
          <w:szCs w:val="22"/>
        </w:rPr>
        <w:t>52%</w:t>
      </w:r>
      <w:r w:rsidRPr="00F1141A">
        <w:rPr>
          <w:rFonts w:asciiTheme="majorHAnsi" w:hAnsiTheme="majorHAnsi" w:cs="Arial"/>
          <w:sz w:val="22"/>
          <w:szCs w:val="22"/>
        </w:rPr>
        <w:t xml:space="preserve"> (2003), </w:t>
      </w:r>
      <w:r w:rsidR="00633EE4">
        <w:rPr>
          <w:rFonts w:asciiTheme="majorHAnsi" w:hAnsiTheme="majorHAnsi" w:cs="Arial"/>
          <w:sz w:val="22"/>
          <w:szCs w:val="22"/>
        </w:rPr>
        <w:t>49%</w:t>
      </w:r>
      <w:r w:rsidRPr="00F1141A">
        <w:rPr>
          <w:rFonts w:asciiTheme="majorHAnsi" w:hAnsiTheme="majorHAnsi" w:cs="Arial"/>
          <w:sz w:val="22"/>
          <w:szCs w:val="22"/>
        </w:rPr>
        <w:t xml:space="preserve"> (2010), and </w:t>
      </w:r>
      <w:r w:rsidR="00633EE4">
        <w:rPr>
          <w:rFonts w:asciiTheme="majorHAnsi" w:hAnsiTheme="majorHAnsi" w:cs="Arial"/>
          <w:sz w:val="22"/>
          <w:szCs w:val="22"/>
        </w:rPr>
        <w:t>44%</w:t>
      </w:r>
      <w:r w:rsidRPr="00F1141A">
        <w:rPr>
          <w:rFonts w:asciiTheme="majorHAnsi" w:hAnsiTheme="majorHAnsi" w:cs="Arial"/>
          <w:sz w:val="22"/>
          <w:szCs w:val="22"/>
        </w:rPr>
        <w:t xml:space="preserve"> (2014). </w:t>
      </w:r>
      <w:r w:rsidRPr="00F1141A">
        <w:rPr>
          <w:rFonts w:asciiTheme="majorHAnsi" w:hAnsiTheme="majorHAnsi"/>
          <w:sz w:val="22"/>
          <w:szCs w:val="22"/>
        </w:rPr>
        <w:t xml:space="preserve">The profile of respondents according to type of local authority (London Borough, District Council, etc) is similar across the surveys. The profile in terms of respondents’ size of housing stock is slightly different. </w:t>
      </w:r>
      <w:r w:rsidR="003D7635">
        <w:rPr>
          <w:rFonts w:asciiTheme="majorHAnsi" w:hAnsiTheme="majorHAnsi"/>
          <w:sz w:val="22"/>
          <w:szCs w:val="22"/>
        </w:rPr>
        <w:t>Since</w:t>
      </w:r>
      <w:r w:rsidRPr="00F1141A">
        <w:rPr>
          <w:rFonts w:asciiTheme="majorHAnsi" w:hAnsiTheme="majorHAnsi"/>
          <w:sz w:val="22"/>
          <w:szCs w:val="22"/>
        </w:rPr>
        <w:t xml:space="preserve"> the 2003 survey, there has been a reduction in the proportion of respondents which have over 5000 houses and an increase in the number with no housing stock at all. This reflects the recent trend in the large scale voluntary transfer of local authority housing stock to the housing association sector.  In the 2014 survey, </w:t>
      </w:r>
      <w:r w:rsidR="003E252B">
        <w:rPr>
          <w:rFonts w:asciiTheme="majorHAnsi" w:hAnsiTheme="majorHAnsi"/>
          <w:sz w:val="22"/>
          <w:szCs w:val="22"/>
        </w:rPr>
        <w:t>51</w:t>
      </w:r>
      <w:r w:rsidRPr="00F1141A">
        <w:rPr>
          <w:rFonts w:asciiTheme="majorHAnsi" w:hAnsiTheme="majorHAnsi"/>
          <w:sz w:val="22"/>
          <w:szCs w:val="22"/>
        </w:rPr>
        <w:t xml:space="preserve"> </w:t>
      </w:r>
      <w:r w:rsidRPr="00F1141A">
        <w:rPr>
          <w:rFonts w:asciiTheme="majorHAnsi" w:hAnsiTheme="majorHAnsi"/>
          <w:i/>
          <w:sz w:val="22"/>
          <w:szCs w:val="22"/>
        </w:rPr>
        <w:t>per cent</w:t>
      </w:r>
      <w:r w:rsidRPr="00F1141A">
        <w:rPr>
          <w:rFonts w:asciiTheme="majorHAnsi" w:hAnsiTheme="majorHAnsi"/>
          <w:sz w:val="22"/>
          <w:szCs w:val="22"/>
        </w:rPr>
        <w:t xml:space="preserve"> of respondents indicated that they had no housing stock at all.  </w:t>
      </w:r>
    </w:p>
    <w:p w14:paraId="1906E884" w14:textId="77777777" w:rsidR="003D7635" w:rsidRDefault="003D7635" w:rsidP="003E400B">
      <w:pPr>
        <w:rPr>
          <w:rFonts w:asciiTheme="majorHAnsi" w:hAnsiTheme="majorHAnsi"/>
          <w:sz w:val="22"/>
          <w:szCs w:val="22"/>
        </w:rPr>
      </w:pPr>
    </w:p>
    <w:p w14:paraId="30E96CB2" w14:textId="1774BCB8" w:rsidR="00D349D4" w:rsidRDefault="003E400B" w:rsidP="003E400B">
      <w:pPr>
        <w:rPr>
          <w:rFonts w:asciiTheme="majorHAnsi" w:hAnsiTheme="majorHAnsi"/>
          <w:sz w:val="22"/>
          <w:szCs w:val="22"/>
        </w:rPr>
      </w:pPr>
      <w:r w:rsidRPr="00F1141A">
        <w:rPr>
          <w:rFonts w:asciiTheme="majorHAnsi" w:hAnsiTheme="majorHAnsi"/>
          <w:sz w:val="22"/>
          <w:szCs w:val="22"/>
        </w:rPr>
        <w:t xml:space="preserve">In terms of the political control of respondents, the surveys from 2003 had a much higher proportion of Conservative controlled authorities, with a parallel reduction in Labour and Liberal Democrat councils (the number of respondents with no overall political control remaining fairly constant).  In part, this reflects the increase in Conservative-controlled local authorities; </w:t>
      </w:r>
      <w:r w:rsidRPr="008144C1">
        <w:rPr>
          <w:rFonts w:asciiTheme="majorHAnsi" w:hAnsiTheme="majorHAnsi"/>
          <w:sz w:val="22"/>
          <w:szCs w:val="22"/>
        </w:rPr>
        <w:t xml:space="preserve">in the 2014 survey, </w:t>
      </w:r>
      <w:r w:rsidR="003E252B">
        <w:rPr>
          <w:rFonts w:asciiTheme="majorHAnsi" w:hAnsiTheme="majorHAnsi"/>
          <w:sz w:val="22"/>
          <w:szCs w:val="22"/>
        </w:rPr>
        <w:t>50</w:t>
      </w:r>
      <w:r w:rsidRPr="008144C1">
        <w:rPr>
          <w:rFonts w:asciiTheme="majorHAnsi" w:hAnsiTheme="majorHAnsi"/>
          <w:sz w:val="22"/>
          <w:szCs w:val="22"/>
        </w:rPr>
        <w:t xml:space="preserve"> </w:t>
      </w:r>
      <w:r w:rsidRPr="008144C1">
        <w:rPr>
          <w:rFonts w:asciiTheme="majorHAnsi" w:hAnsiTheme="majorHAnsi"/>
          <w:i/>
          <w:sz w:val="22"/>
          <w:szCs w:val="22"/>
        </w:rPr>
        <w:t>per cent</w:t>
      </w:r>
      <w:r w:rsidRPr="008144C1">
        <w:rPr>
          <w:rFonts w:asciiTheme="majorHAnsi" w:hAnsiTheme="majorHAnsi"/>
          <w:sz w:val="22"/>
          <w:szCs w:val="22"/>
        </w:rPr>
        <w:t xml:space="preserve"> of respondents identified their authority as being Conservative controlled</w:t>
      </w:r>
      <w:r w:rsidRPr="00F1141A">
        <w:rPr>
          <w:rFonts w:asciiTheme="majorHAnsi" w:hAnsiTheme="majorHAnsi"/>
          <w:sz w:val="22"/>
          <w:szCs w:val="22"/>
        </w:rPr>
        <w:t>.</w:t>
      </w:r>
    </w:p>
    <w:p w14:paraId="4C7B6E6B" w14:textId="3647E0BB" w:rsidR="00EA271F" w:rsidRDefault="00EA271F" w:rsidP="00EA271F">
      <w:pPr>
        <w:pStyle w:val="Heading2"/>
      </w:pPr>
      <w:r>
        <w:t>Qualitative research</w:t>
      </w:r>
    </w:p>
    <w:p w14:paraId="37263C79" w14:textId="1598D0F4" w:rsidR="00F70D90" w:rsidRDefault="00D349D4" w:rsidP="00F70D90">
      <w:pPr>
        <w:pStyle w:val="BodyText"/>
        <w:rPr>
          <w:rFonts w:asciiTheme="majorHAnsi" w:hAnsiTheme="majorHAnsi"/>
          <w:szCs w:val="22"/>
        </w:rPr>
      </w:pPr>
      <w:r w:rsidRPr="00D349D4">
        <w:rPr>
          <w:rFonts w:asciiTheme="majorHAnsi" w:hAnsiTheme="majorHAnsi"/>
          <w:szCs w:val="22"/>
        </w:rPr>
        <w:t xml:space="preserve">Additionally, </w:t>
      </w:r>
      <w:r w:rsidR="00D452C5">
        <w:rPr>
          <w:rFonts w:asciiTheme="majorHAnsi" w:hAnsiTheme="majorHAnsi"/>
          <w:szCs w:val="22"/>
        </w:rPr>
        <w:t xml:space="preserve">we draw </w:t>
      </w:r>
      <w:r w:rsidR="007A6615">
        <w:rPr>
          <w:rFonts w:asciiTheme="majorHAnsi" w:hAnsiTheme="majorHAnsi"/>
          <w:szCs w:val="22"/>
        </w:rPr>
        <w:t xml:space="preserve">on </w:t>
      </w:r>
      <w:r w:rsidR="00D452C5">
        <w:rPr>
          <w:rFonts w:asciiTheme="majorHAnsi" w:hAnsiTheme="majorHAnsi"/>
          <w:szCs w:val="22"/>
        </w:rPr>
        <w:t xml:space="preserve">two </w:t>
      </w:r>
      <w:r w:rsidR="00BE2D65" w:rsidRPr="00D349D4">
        <w:rPr>
          <w:rFonts w:asciiTheme="majorHAnsi" w:hAnsiTheme="majorHAnsi"/>
          <w:szCs w:val="22"/>
        </w:rPr>
        <w:t xml:space="preserve">qualitative research </w:t>
      </w:r>
      <w:r w:rsidR="00BE2D65">
        <w:rPr>
          <w:rFonts w:asciiTheme="majorHAnsi" w:hAnsiTheme="majorHAnsi"/>
          <w:szCs w:val="22"/>
        </w:rPr>
        <w:t>projects. In the first</w:t>
      </w:r>
      <w:r w:rsidR="0017040C">
        <w:rPr>
          <w:rFonts w:asciiTheme="majorHAnsi" w:hAnsiTheme="majorHAnsi"/>
          <w:szCs w:val="22"/>
        </w:rPr>
        <w:t xml:space="preserve"> (</w:t>
      </w:r>
      <w:r w:rsidR="007A6615">
        <w:rPr>
          <w:rFonts w:asciiTheme="majorHAnsi" w:hAnsiTheme="majorHAnsi"/>
          <w:szCs w:val="22"/>
        </w:rPr>
        <w:t xml:space="preserve">qualitative </w:t>
      </w:r>
      <w:r w:rsidR="0017040C">
        <w:rPr>
          <w:rFonts w:asciiTheme="majorHAnsi" w:hAnsiTheme="majorHAnsi"/>
          <w:szCs w:val="22"/>
        </w:rPr>
        <w:t>study 1)</w:t>
      </w:r>
      <w:r w:rsidR="00A1224D">
        <w:rPr>
          <w:rFonts w:asciiTheme="majorHAnsi" w:hAnsiTheme="majorHAnsi"/>
          <w:szCs w:val="22"/>
        </w:rPr>
        <w:t xml:space="preserve"> – a study that focused directly on internal review - </w:t>
      </w:r>
      <w:r w:rsidR="00BE2D65">
        <w:rPr>
          <w:rFonts w:asciiTheme="majorHAnsi" w:hAnsiTheme="majorHAnsi"/>
          <w:szCs w:val="22"/>
        </w:rPr>
        <w:t xml:space="preserve"> </w:t>
      </w:r>
      <w:r w:rsidRPr="00D349D4">
        <w:rPr>
          <w:rFonts w:asciiTheme="majorHAnsi" w:hAnsiTheme="majorHAnsi"/>
          <w:szCs w:val="22"/>
        </w:rPr>
        <w:t xml:space="preserve">we conducted </w:t>
      </w:r>
      <w:r w:rsidR="007A6615">
        <w:rPr>
          <w:rFonts w:asciiTheme="majorHAnsi" w:hAnsiTheme="majorHAnsi"/>
          <w:szCs w:val="22"/>
        </w:rPr>
        <w:t>ethnographic</w:t>
      </w:r>
      <w:r w:rsidRPr="00D349D4">
        <w:rPr>
          <w:rFonts w:asciiTheme="majorHAnsi" w:hAnsiTheme="majorHAnsi"/>
          <w:szCs w:val="22"/>
        </w:rPr>
        <w:t xml:space="preserve"> research, </w:t>
      </w:r>
      <w:r w:rsidR="00A1224D">
        <w:rPr>
          <w:rFonts w:asciiTheme="majorHAnsi" w:hAnsiTheme="majorHAnsi"/>
          <w:szCs w:val="22"/>
        </w:rPr>
        <w:t>examining</w:t>
      </w:r>
      <w:r w:rsidRPr="00D349D4">
        <w:rPr>
          <w:rFonts w:asciiTheme="majorHAnsi" w:hAnsiTheme="majorHAnsi"/>
          <w:szCs w:val="22"/>
        </w:rPr>
        <w:t xml:space="preserve"> homelessness applicants who were eligible to seek internal review</w:t>
      </w:r>
      <w:r w:rsidR="000F771C">
        <w:rPr>
          <w:rFonts w:asciiTheme="majorHAnsi" w:hAnsiTheme="majorHAnsi"/>
          <w:szCs w:val="22"/>
        </w:rPr>
        <w:t>s</w:t>
      </w:r>
      <w:r w:rsidRPr="00D349D4">
        <w:rPr>
          <w:rFonts w:asciiTheme="majorHAnsi" w:hAnsiTheme="majorHAnsi"/>
          <w:szCs w:val="22"/>
        </w:rPr>
        <w:t xml:space="preserve"> </w:t>
      </w:r>
      <w:r w:rsidR="00A1224D">
        <w:rPr>
          <w:rFonts w:asciiTheme="majorHAnsi" w:hAnsiTheme="majorHAnsi"/>
          <w:szCs w:val="22"/>
        </w:rPr>
        <w:t>as well as</w:t>
      </w:r>
      <w:r w:rsidRPr="00D349D4">
        <w:rPr>
          <w:rFonts w:asciiTheme="majorHAnsi" w:hAnsiTheme="majorHAnsi"/>
          <w:szCs w:val="22"/>
        </w:rPr>
        <w:t xml:space="preserve"> the housing authorities that would conduct them. Fieldwork took place for approximately one year in </w:t>
      </w:r>
      <w:r w:rsidR="00F70D90">
        <w:rPr>
          <w:rFonts w:asciiTheme="majorHAnsi" w:hAnsiTheme="majorHAnsi"/>
          <w:szCs w:val="22"/>
        </w:rPr>
        <w:t xml:space="preserve">each of </w:t>
      </w:r>
      <w:r w:rsidRPr="00D349D4">
        <w:rPr>
          <w:rFonts w:asciiTheme="majorHAnsi" w:hAnsiTheme="majorHAnsi"/>
          <w:szCs w:val="22"/>
        </w:rPr>
        <w:t xml:space="preserve">two sites </w:t>
      </w:r>
      <w:r w:rsidR="00F70D90">
        <w:rPr>
          <w:rFonts w:asciiTheme="majorHAnsi" w:hAnsiTheme="majorHAnsi"/>
          <w:szCs w:val="22"/>
        </w:rPr>
        <w:t>between</w:t>
      </w:r>
      <w:r w:rsidRPr="00D349D4">
        <w:rPr>
          <w:rFonts w:asciiTheme="majorHAnsi" w:hAnsiTheme="majorHAnsi"/>
          <w:szCs w:val="22"/>
        </w:rPr>
        <w:t xml:space="preserve"> June 2000 </w:t>
      </w:r>
      <w:r w:rsidR="00F70D90">
        <w:rPr>
          <w:rFonts w:asciiTheme="majorHAnsi" w:hAnsiTheme="majorHAnsi"/>
          <w:szCs w:val="22"/>
        </w:rPr>
        <w:t xml:space="preserve">and </w:t>
      </w:r>
      <w:r w:rsidRPr="00D349D4">
        <w:rPr>
          <w:rFonts w:asciiTheme="majorHAnsi" w:hAnsiTheme="majorHAnsi"/>
          <w:szCs w:val="22"/>
        </w:rPr>
        <w:t xml:space="preserve">September 2001. In both sites there were three phases of fieldwork. Initially, a period of observation took place over a period of ten weeks. During this time </w:t>
      </w:r>
      <w:r w:rsidR="00F70D90">
        <w:rPr>
          <w:rFonts w:asciiTheme="majorHAnsi" w:hAnsiTheme="majorHAnsi"/>
          <w:szCs w:val="22"/>
        </w:rPr>
        <w:t>our</w:t>
      </w:r>
      <w:r w:rsidRPr="00D349D4">
        <w:rPr>
          <w:rFonts w:asciiTheme="majorHAnsi" w:hAnsiTheme="majorHAnsi"/>
          <w:szCs w:val="22"/>
        </w:rPr>
        <w:t xml:space="preserve"> fieldworkers learned about decision-making behaviour and routines within the </w:t>
      </w:r>
      <w:r w:rsidR="008457E6">
        <w:rPr>
          <w:rFonts w:asciiTheme="majorHAnsi" w:hAnsiTheme="majorHAnsi"/>
          <w:szCs w:val="22"/>
        </w:rPr>
        <w:t>local authorities</w:t>
      </w:r>
      <w:r w:rsidRPr="00D349D4">
        <w:rPr>
          <w:rFonts w:asciiTheme="majorHAnsi" w:hAnsiTheme="majorHAnsi"/>
          <w:szCs w:val="22"/>
        </w:rPr>
        <w:t xml:space="preserve">. This phase was followed by a period of interviewing with ‘unsuccessful’ homelessness applicants and with aggrieved successful applicants (those who had been offered long-term housing with which they were unhappy). Finally, a number of taped interviews and focus groups with local authority officers and interviews with local solicitors and housing advisors took place. </w:t>
      </w:r>
    </w:p>
    <w:p w14:paraId="0CD5BA32" w14:textId="77777777" w:rsidR="00BE2D65" w:rsidRDefault="00BE2D65" w:rsidP="00F70D90">
      <w:pPr>
        <w:pStyle w:val="BodyText"/>
        <w:rPr>
          <w:rFonts w:asciiTheme="majorHAnsi" w:hAnsiTheme="majorHAnsi"/>
          <w:szCs w:val="22"/>
        </w:rPr>
      </w:pPr>
    </w:p>
    <w:p w14:paraId="7E54C2F6" w14:textId="33DF6EF3" w:rsidR="00BE2D65" w:rsidRPr="00D349D4" w:rsidRDefault="00BE2D65" w:rsidP="00F70D90">
      <w:pPr>
        <w:pStyle w:val="BodyText"/>
        <w:rPr>
          <w:rFonts w:asciiTheme="majorHAnsi" w:hAnsiTheme="majorHAnsi"/>
          <w:szCs w:val="22"/>
        </w:rPr>
      </w:pPr>
      <w:r>
        <w:rPr>
          <w:rFonts w:asciiTheme="majorHAnsi" w:hAnsiTheme="majorHAnsi"/>
          <w:szCs w:val="22"/>
        </w:rPr>
        <w:t xml:space="preserve">The second </w:t>
      </w:r>
      <w:r w:rsidR="00B31537">
        <w:rPr>
          <w:rFonts w:asciiTheme="majorHAnsi" w:hAnsiTheme="majorHAnsi"/>
          <w:szCs w:val="22"/>
        </w:rPr>
        <w:t xml:space="preserve">study </w:t>
      </w:r>
      <w:r w:rsidR="0017040C">
        <w:rPr>
          <w:rFonts w:asciiTheme="majorHAnsi" w:hAnsiTheme="majorHAnsi"/>
          <w:szCs w:val="22"/>
        </w:rPr>
        <w:t>(</w:t>
      </w:r>
      <w:r w:rsidR="007A6615">
        <w:rPr>
          <w:rFonts w:asciiTheme="majorHAnsi" w:hAnsiTheme="majorHAnsi"/>
          <w:szCs w:val="22"/>
        </w:rPr>
        <w:t xml:space="preserve">qualitative </w:t>
      </w:r>
      <w:r w:rsidR="0017040C">
        <w:rPr>
          <w:rFonts w:asciiTheme="majorHAnsi" w:hAnsiTheme="majorHAnsi"/>
          <w:szCs w:val="22"/>
        </w:rPr>
        <w:t xml:space="preserve">study 2) </w:t>
      </w:r>
      <w:r w:rsidR="00A1224D">
        <w:rPr>
          <w:rFonts w:asciiTheme="majorHAnsi" w:hAnsiTheme="majorHAnsi"/>
          <w:szCs w:val="22"/>
        </w:rPr>
        <w:t>explored</w:t>
      </w:r>
      <w:r>
        <w:rPr>
          <w:rFonts w:asciiTheme="majorHAnsi" w:hAnsiTheme="majorHAnsi"/>
          <w:szCs w:val="22"/>
        </w:rPr>
        <w:t xml:space="preserve"> </w:t>
      </w:r>
      <w:r w:rsidR="00A1224D">
        <w:rPr>
          <w:rFonts w:asciiTheme="majorHAnsi" w:hAnsiTheme="majorHAnsi"/>
          <w:szCs w:val="22"/>
        </w:rPr>
        <w:t>the administration of homeless</w:t>
      </w:r>
      <w:r w:rsidR="007C1D11">
        <w:rPr>
          <w:rFonts w:asciiTheme="majorHAnsi" w:hAnsiTheme="majorHAnsi"/>
          <w:szCs w:val="22"/>
        </w:rPr>
        <w:t>ness</w:t>
      </w:r>
      <w:r w:rsidR="00A1224D">
        <w:rPr>
          <w:rFonts w:asciiTheme="majorHAnsi" w:hAnsiTheme="majorHAnsi"/>
          <w:szCs w:val="22"/>
        </w:rPr>
        <w:t xml:space="preserve"> law more broadly (examining</w:t>
      </w:r>
      <w:r w:rsidR="00A1224D" w:rsidRPr="00BE2D65">
        <w:rPr>
          <w:rFonts w:asciiTheme="majorHAnsi" w:hAnsiTheme="majorHAnsi"/>
          <w:szCs w:val="22"/>
          <w:lang w:val="en-AU"/>
        </w:rPr>
        <w:t xml:space="preserve"> decision-making </w:t>
      </w:r>
      <w:r w:rsidR="00A1224D">
        <w:rPr>
          <w:rFonts w:asciiTheme="majorHAnsi" w:hAnsiTheme="majorHAnsi"/>
          <w:szCs w:val="22"/>
          <w:lang w:val="en-AU"/>
        </w:rPr>
        <w:t>about</w:t>
      </w:r>
      <w:r w:rsidR="00A1224D" w:rsidRPr="00BE2D65">
        <w:rPr>
          <w:rFonts w:asciiTheme="majorHAnsi" w:hAnsiTheme="majorHAnsi"/>
          <w:szCs w:val="22"/>
          <w:lang w:val="en-AU"/>
        </w:rPr>
        <w:t xml:space="preserve"> applicants who were </w:t>
      </w:r>
      <w:r w:rsidR="00A1224D">
        <w:rPr>
          <w:rFonts w:asciiTheme="majorHAnsi" w:hAnsiTheme="majorHAnsi"/>
          <w:szCs w:val="22"/>
          <w:lang w:val="en-AU"/>
        </w:rPr>
        <w:t>‘</w:t>
      </w:r>
      <w:r w:rsidR="00A1224D" w:rsidRPr="00BE2D65">
        <w:rPr>
          <w:rFonts w:asciiTheme="majorHAnsi" w:hAnsiTheme="majorHAnsi"/>
          <w:szCs w:val="22"/>
          <w:lang w:val="en-AU"/>
        </w:rPr>
        <w:t>vulnerable</w:t>
      </w:r>
      <w:r w:rsidR="00A1224D">
        <w:rPr>
          <w:rFonts w:asciiTheme="majorHAnsi" w:hAnsiTheme="majorHAnsi"/>
          <w:szCs w:val="22"/>
          <w:lang w:val="en-AU"/>
        </w:rPr>
        <w:t>’ within the meaning of the legislation)</w:t>
      </w:r>
      <w:r w:rsidR="00A1224D">
        <w:rPr>
          <w:rFonts w:asciiTheme="majorHAnsi" w:hAnsiTheme="majorHAnsi"/>
          <w:szCs w:val="22"/>
        </w:rPr>
        <w:t xml:space="preserve"> but included a focus on internal review</w:t>
      </w:r>
      <w:r w:rsidR="007D2AAF">
        <w:rPr>
          <w:rFonts w:asciiTheme="majorHAnsi" w:hAnsiTheme="majorHAnsi"/>
          <w:szCs w:val="22"/>
          <w:lang w:val="en-AU"/>
        </w:rPr>
        <w:t>.</w:t>
      </w:r>
      <w:r w:rsidR="00A0694B">
        <w:rPr>
          <w:rStyle w:val="FootnoteReference"/>
          <w:rFonts w:asciiTheme="majorHAnsi" w:hAnsiTheme="majorHAnsi"/>
          <w:szCs w:val="22"/>
          <w:lang w:val="en-AU"/>
        </w:rPr>
        <w:footnoteReference w:id="24"/>
      </w:r>
      <w:r w:rsidR="00A1224D">
        <w:rPr>
          <w:rFonts w:asciiTheme="majorHAnsi" w:hAnsiTheme="majorHAnsi"/>
          <w:szCs w:val="22"/>
          <w:lang w:val="en-AU"/>
        </w:rPr>
        <w:t xml:space="preserve"> This</w:t>
      </w:r>
      <w:r>
        <w:rPr>
          <w:rFonts w:asciiTheme="majorHAnsi" w:hAnsiTheme="majorHAnsi"/>
          <w:szCs w:val="22"/>
          <w:lang w:val="en-AU"/>
        </w:rPr>
        <w:t xml:space="preserve"> fieldwork</w:t>
      </w:r>
      <w:r w:rsidR="00A1224D">
        <w:rPr>
          <w:rFonts w:asciiTheme="majorHAnsi" w:hAnsiTheme="majorHAnsi"/>
          <w:szCs w:val="22"/>
          <w:lang w:val="en-AU"/>
        </w:rPr>
        <w:t>, conducted</w:t>
      </w:r>
      <w:r>
        <w:rPr>
          <w:rFonts w:asciiTheme="majorHAnsi" w:hAnsiTheme="majorHAnsi"/>
          <w:szCs w:val="22"/>
          <w:lang w:val="en-AU"/>
        </w:rPr>
        <w:t xml:space="preserve"> </w:t>
      </w:r>
      <w:r w:rsidR="00A1224D">
        <w:rPr>
          <w:rFonts w:asciiTheme="majorHAnsi" w:hAnsiTheme="majorHAnsi"/>
          <w:szCs w:val="22"/>
          <w:lang w:val="en-AU"/>
        </w:rPr>
        <w:t xml:space="preserve">between 2011 and 2012, took place </w:t>
      </w:r>
      <w:r>
        <w:rPr>
          <w:rFonts w:asciiTheme="majorHAnsi" w:hAnsiTheme="majorHAnsi"/>
          <w:szCs w:val="22"/>
          <w:lang w:val="en-AU"/>
        </w:rPr>
        <w:t xml:space="preserve">in three authorities, </w:t>
      </w:r>
      <w:r w:rsidRPr="00BE2D65">
        <w:rPr>
          <w:rFonts w:asciiTheme="majorHAnsi" w:hAnsiTheme="majorHAnsi"/>
          <w:szCs w:val="22"/>
          <w:lang w:val="en-AU"/>
        </w:rPr>
        <w:t>purposively selected to include both urban and rural jurisdictions, large and small authorities</w:t>
      </w:r>
      <w:r w:rsidR="00A0694B">
        <w:rPr>
          <w:rFonts w:asciiTheme="majorHAnsi" w:hAnsiTheme="majorHAnsi"/>
          <w:szCs w:val="22"/>
          <w:lang w:val="en-AU"/>
        </w:rPr>
        <w:t xml:space="preserve">. For the purposes of this </w:t>
      </w:r>
      <w:r w:rsidR="00C654A4">
        <w:rPr>
          <w:rFonts w:asciiTheme="majorHAnsi" w:hAnsiTheme="majorHAnsi"/>
          <w:szCs w:val="22"/>
          <w:lang w:val="en-AU"/>
        </w:rPr>
        <w:t>article</w:t>
      </w:r>
      <w:r w:rsidR="00A0694B">
        <w:rPr>
          <w:rFonts w:asciiTheme="majorHAnsi" w:hAnsiTheme="majorHAnsi"/>
          <w:szCs w:val="22"/>
          <w:lang w:val="en-AU"/>
        </w:rPr>
        <w:t xml:space="preserve"> we have drawn from </w:t>
      </w:r>
      <w:r w:rsidR="00A0694B" w:rsidRPr="00A0694B">
        <w:rPr>
          <w:rFonts w:asciiTheme="majorHAnsi" w:hAnsiTheme="majorHAnsi"/>
          <w:szCs w:val="22"/>
          <w:lang w:val="en-AU"/>
        </w:rPr>
        <w:t>semi-structured in-depth interview</w:t>
      </w:r>
      <w:r w:rsidR="00A0694B">
        <w:rPr>
          <w:rFonts w:asciiTheme="majorHAnsi" w:hAnsiTheme="majorHAnsi"/>
          <w:szCs w:val="22"/>
          <w:lang w:val="en-AU"/>
        </w:rPr>
        <w:t>s</w:t>
      </w:r>
      <w:r w:rsidR="00A0694B" w:rsidRPr="00A0694B">
        <w:rPr>
          <w:rFonts w:asciiTheme="majorHAnsi" w:hAnsiTheme="majorHAnsi"/>
          <w:szCs w:val="22"/>
          <w:lang w:val="en-AU"/>
        </w:rPr>
        <w:t xml:space="preserve"> </w:t>
      </w:r>
      <w:r w:rsidR="00A0694B">
        <w:rPr>
          <w:rFonts w:asciiTheme="majorHAnsi" w:hAnsiTheme="majorHAnsi"/>
          <w:szCs w:val="22"/>
          <w:lang w:val="en-AU"/>
        </w:rPr>
        <w:t xml:space="preserve">with </w:t>
      </w:r>
      <w:r w:rsidR="00A0694B" w:rsidRPr="00A0694B">
        <w:rPr>
          <w:rFonts w:asciiTheme="majorHAnsi" w:hAnsiTheme="majorHAnsi"/>
          <w:szCs w:val="22"/>
          <w:lang w:val="en-AU"/>
        </w:rPr>
        <w:t>local authority manager</w:t>
      </w:r>
      <w:r w:rsidR="00C654A4">
        <w:rPr>
          <w:rFonts w:asciiTheme="majorHAnsi" w:hAnsiTheme="majorHAnsi"/>
          <w:szCs w:val="22"/>
          <w:lang w:val="en-AU"/>
        </w:rPr>
        <w:t>s</w:t>
      </w:r>
      <w:r w:rsidR="00A0694B" w:rsidRPr="00A0694B">
        <w:rPr>
          <w:rFonts w:asciiTheme="majorHAnsi" w:hAnsiTheme="majorHAnsi"/>
          <w:szCs w:val="22"/>
          <w:lang w:val="en-AU"/>
        </w:rPr>
        <w:t xml:space="preserve"> (or senior representative</w:t>
      </w:r>
      <w:r w:rsidR="00C654A4">
        <w:rPr>
          <w:rFonts w:asciiTheme="majorHAnsi" w:hAnsiTheme="majorHAnsi"/>
          <w:szCs w:val="22"/>
          <w:lang w:val="en-AU"/>
        </w:rPr>
        <w:t>s</w:t>
      </w:r>
      <w:r w:rsidR="00A0694B" w:rsidRPr="00A0694B">
        <w:rPr>
          <w:rFonts w:asciiTheme="majorHAnsi" w:hAnsiTheme="majorHAnsi"/>
          <w:szCs w:val="22"/>
          <w:lang w:val="en-AU"/>
        </w:rPr>
        <w:t xml:space="preserve"> in an equivalent role) responsible for assessing homelessness applications. Interviews explored each local authority’s organisational policies and procedures as regards the use of medical evidence (</w:t>
      </w:r>
      <w:r w:rsidR="00C654A4">
        <w:rPr>
          <w:rFonts w:asciiTheme="majorHAnsi" w:hAnsiTheme="majorHAnsi"/>
          <w:szCs w:val="22"/>
          <w:lang w:val="en-AU"/>
        </w:rPr>
        <w:t>including in relation to</w:t>
      </w:r>
      <w:r w:rsidR="00A0694B" w:rsidRPr="00A0694B">
        <w:rPr>
          <w:rFonts w:asciiTheme="majorHAnsi" w:hAnsiTheme="majorHAnsi"/>
          <w:szCs w:val="22"/>
          <w:lang w:val="en-AU"/>
        </w:rPr>
        <w:t xml:space="preserve"> internal administrative reviews), and explored the rationale behind the different approaches adopted.</w:t>
      </w:r>
    </w:p>
    <w:p w14:paraId="79EB17B3" w14:textId="77777777" w:rsidR="00AA42A8" w:rsidRDefault="00AA42A8" w:rsidP="003E400B">
      <w:pPr>
        <w:rPr>
          <w:rFonts w:asciiTheme="majorHAnsi" w:hAnsiTheme="majorHAnsi"/>
          <w:sz w:val="22"/>
          <w:szCs w:val="22"/>
        </w:rPr>
      </w:pPr>
    </w:p>
    <w:p w14:paraId="4AF93379" w14:textId="14E84C27" w:rsidR="00AA42A8" w:rsidRDefault="00AA42A8" w:rsidP="003E400B">
      <w:pPr>
        <w:rPr>
          <w:rFonts w:asciiTheme="majorHAnsi" w:hAnsiTheme="majorHAnsi"/>
          <w:sz w:val="22"/>
          <w:szCs w:val="22"/>
        </w:rPr>
      </w:pPr>
      <w:r>
        <w:rPr>
          <w:rFonts w:asciiTheme="majorHAnsi" w:hAnsiTheme="majorHAnsi"/>
          <w:sz w:val="22"/>
          <w:szCs w:val="22"/>
        </w:rPr>
        <w:t>In the sections that follow, we draw selectively on our data to raise research questions about mandatory reconsideration</w:t>
      </w:r>
      <w:r w:rsidR="00354C9B">
        <w:rPr>
          <w:rFonts w:asciiTheme="majorHAnsi" w:hAnsiTheme="majorHAnsi"/>
          <w:sz w:val="22"/>
          <w:szCs w:val="22"/>
        </w:rPr>
        <w:t xml:space="preserve">. We offer a brief analysis of the data before going </w:t>
      </w:r>
      <w:r w:rsidR="00EE77A7">
        <w:rPr>
          <w:rFonts w:asciiTheme="majorHAnsi" w:hAnsiTheme="majorHAnsi"/>
          <w:sz w:val="22"/>
          <w:szCs w:val="22"/>
        </w:rPr>
        <w:t xml:space="preserve">on </w:t>
      </w:r>
      <w:r w:rsidR="00354C9B">
        <w:rPr>
          <w:rFonts w:asciiTheme="majorHAnsi" w:hAnsiTheme="majorHAnsi"/>
          <w:sz w:val="22"/>
          <w:szCs w:val="22"/>
        </w:rPr>
        <w:t>to</w:t>
      </w:r>
      <w:r>
        <w:rPr>
          <w:rFonts w:asciiTheme="majorHAnsi" w:hAnsiTheme="majorHAnsi"/>
          <w:sz w:val="22"/>
          <w:szCs w:val="22"/>
        </w:rPr>
        <w:t xml:space="preserve"> </w:t>
      </w:r>
      <w:r w:rsidR="00354C9B">
        <w:rPr>
          <w:rFonts w:asciiTheme="majorHAnsi" w:hAnsiTheme="majorHAnsi"/>
          <w:sz w:val="22"/>
          <w:szCs w:val="22"/>
        </w:rPr>
        <w:t>discuss its implications</w:t>
      </w:r>
      <w:r>
        <w:rPr>
          <w:rFonts w:asciiTheme="majorHAnsi" w:hAnsiTheme="majorHAnsi"/>
          <w:sz w:val="22"/>
          <w:szCs w:val="22"/>
        </w:rPr>
        <w:t xml:space="preserve"> </w:t>
      </w:r>
      <w:r w:rsidR="00354C9B">
        <w:rPr>
          <w:rFonts w:asciiTheme="majorHAnsi" w:hAnsiTheme="majorHAnsi"/>
          <w:sz w:val="22"/>
          <w:szCs w:val="22"/>
        </w:rPr>
        <w:t xml:space="preserve">for </w:t>
      </w:r>
      <w:r>
        <w:rPr>
          <w:rFonts w:asciiTheme="majorHAnsi" w:hAnsiTheme="majorHAnsi"/>
          <w:sz w:val="22"/>
          <w:szCs w:val="22"/>
        </w:rPr>
        <w:t xml:space="preserve">administrative justice </w:t>
      </w:r>
      <w:r w:rsidR="00354C9B">
        <w:rPr>
          <w:rFonts w:asciiTheme="majorHAnsi" w:hAnsiTheme="majorHAnsi"/>
          <w:sz w:val="22"/>
          <w:szCs w:val="22"/>
        </w:rPr>
        <w:t>theory</w:t>
      </w:r>
      <w:r>
        <w:rPr>
          <w:rFonts w:asciiTheme="majorHAnsi" w:hAnsiTheme="majorHAnsi"/>
          <w:sz w:val="22"/>
          <w:szCs w:val="22"/>
        </w:rPr>
        <w:t>.</w:t>
      </w:r>
    </w:p>
    <w:p w14:paraId="5AB8B39D" w14:textId="3AA56345" w:rsidR="00AA42A8" w:rsidRDefault="00AA42A8" w:rsidP="00AA42A8">
      <w:pPr>
        <w:pStyle w:val="Heading1"/>
      </w:pPr>
      <w:r>
        <w:t xml:space="preserve">The </w:t>
      </w:r>
      <w:r w:rsidR="00003EFC">
        <w:t xml:space="preserve">Incidence </w:t>
      </w:r>
      <w:r>
        <w:t xml:space="preserve">of Mandatory Reconsideration </w:t>
      </w:r>
      <w:r w:rsidR="00003EFC">
        <w:t>and</w:t>
      </w:r>
      <w:r>
        <w:t xml:space="preserve"> Subsequent Appeals</w:t>
      </w:r>
    </w:p>
    <w:p w14:paraId="7ACF864B" w14:textId="77777777" w:rsidR="00AA42A8" w:rsidRPr="00AA42A8" w:rsidRDefault="00AA42A8" w:rsidP="00AA42A8">
      <w:pPr>
        <w:rPr>
          <w:rFonts w:asciiTheme="majorHAnsi" w:hAnsiTheme="majorHAnsi"/>
          <w:sz w:val="22"/>
          <w:szCs w:val="22"/>
        </w:rPr>
      </w:pPr>
    </w:p>
    <w:p w14:paraId="26296B5C" w14:textId="6B649C5E" w:rsidR="00AA42A8" w:rsidRDefault="003D7635" w:rsidP="00AA42A8">
      <w:pPr>
        <w:rPr>
          <w:rFonts w:asciiTheme="majorHAnsi" w:hAnsiTheme="majorHAnsi"/>
          <w:sz w:val="22"/>
          <w:szCs w:val="22"/>
        </w:rPr>
      </w:pPr>
      <w:r>
        <w:rPr>
          <w:rFonts w:asciiTheme="majorHAnsi" w:hAnsiTheme="majorHAnsi"/>
          <w:sz w:val="22"/>
          <w:szCs w:val="22"/>
        </w:rPr>
        <w:t>Our surveys asked local authorities both about the incidence of internal review app</w:t>
      </w:r>
      <w:r w:rsidR="00F70D90">
        <w:rPr>
          <w:rFonts w:asciiTheme="majorHAnsi" w:hAnsiTheme="majorHAnsi"/>
          <w:sz w:val="22"/>
          <w:szCs w:val="22"/>
        </w:rPr>
        <w:t>lications and the incidence of County C</w:t>
      </w:r>
      <w:r>
        <w:rPr>
          <w:rFonts w:asciiTheme="majorHAnsi" w:hAnsiTheme="majorHAnsi"/>
          <w:sz w:val="22"/>
          <w:szCs w:val="22"/>
        </w:rPr>
        <w:t>ourt appeals</w:t>
      </w:r>
      <w:r w:rsidR="00577698">
        <w:rPr>
          <w:rFonts w:asciiTheme="majorHAnsi" w:hAnsiTheme="majorHAnsi"/>
          <w:sz w:val="22"/>
          <w:szCs w:val="22"/>
        </w:rPr>
        <w:t xml:space="preserve"> during a six month period</w:t>
      </w:r>
      <w:r>
        <w:rPr>
          <w:rFonts w:asciiTheme="majorHAnsi" w:hAnsiTheme="majorHAnsi"/>
          <w:sz w:val="22"/>
          <w:szCs w:val="22"/>
        </w:rPr>
        <w:t>.</w:t>
      </w:r>
      <w:r w:rsidR="00C95063">
        <w:rPr>
          <w:rFonts w:asciiTheme="majorHAnsi" w:hAnsiTheme="majorHAnsi"/>
          <w:sz w:val="22"/>
          <w:szCs w:val="22"/>
        </w:rPr>
        <w:t xml:space="preserve"> When these data</w:t>
      </w:r>
      <w:r w:rsidR="00577698">
        <w:rPr>
          <w:rFonts w:asciiTheme="majorHAnsi" w:hAnsiTheme="majorHAnsi"/>
          <w:sz w:val="22"/>
          <w:szCs w:val="22"/>
        </w:rPr>
        <w:t>sets</w:t>
      </w:r>
      <w:r w:rsidR="00C95063">
        <w:rPr>
          <w:rFonts w:asciiTheme="majorHAnsi" w:hAnsiTheme="majorHAnsi"/>
          <w:sz w:val="22"/>
          <w:szCs w:val="22"/>
        </w:rPr>
        <w:t xml:space="preserve"> are </w:t>
      </w:r>
      <w:r w:rsidR="00577698">
        <w:rPr>
          <w:rFonts w:asciiTheme="majorHAnsi" w:hAnsiTheme="majorHAnsi"/>
          <w:sz w:val="22"/>
          <w:szCs w:val="22"/>
        </w:rPr>
        <w:t>compared to each other, and then compared to</w:t>
      </w:r>
      <w:r w:rsidR="00C95063">
        <w:rPr>
          <w:rFonts w:asciiTheme="majorHAnsi" w:hAnsiTheme="majorHAnsi"/>
          <w:sz w:val="22"/>
          <w:szCs w:val="22"/>
        </w:rPr>
        <w:t xml:space="preserve"> the official statistics about the incidence of rejected homelessness applications, we can see that homelessness law is no different from most other areas of the administrative justice system whereby we see radical drop off rates between initial applications, internal reviews and subsequent appeals.</w:t>
      </w:r>
      <w:r w:rsidR="00016B47">
        <w:rPr>
          <w:rStyle w:val="FootnoteReference"/>
          <w:rFonts w:asciiTheme="majorHAnsi" w:hAnsiTheme="majorHAnsi"/>
          <w:sz w:val="22"/>
          <w:szCs w:val="22"/>
        </w:rPr>
        <w:footnoteReference w:id="25"/>
      </w:r>
    </w:p>
    <w:p w14:paraId="0BA4F55E" w14:textId="77777777" w:rsidR="00145163" w:rsidRDefault="00145163" w:rsidP="00AA42A8">
      <w:pPr>
        <w:rPr>
          <w:rFonts w:asciiTheme="majorHAnsi" w:hAnsiTheme="majorHAnsi"/>
          <w:sz w:val="22"/>
          <w:szCs w:val="22"/>
        </w:rPr>
      </w:pPr>
    </w:p>
    <w:p w14:paraId="27B63B4E" w14:textId="2EABA331" w:rsidR="00145163" w:rsidRPr="00BC6BA4" w:rsidRDefault="00145163" w:rsidP="00145163">
      <w:pPr>
        <w:rPr>
          <w:rFonts w:asciiTheme="majorHAnsi" w:hAnsiTheme="majorHAnsi"/>
          <w:b/>
          <w:sz w:val="22"/>
          <w:szCs w:val="22"/>
        </w:rPr>
      </w:pPr>
      <w:r w:rsidRPr="00BC6BA4">
        <w:rPr>
          <w:rFonts w:asciiTheme="majorHAnsi" w:hAnsiTheme="majorHAnsi"/>
          <w:b/>
          <w:sz w:val="22"/>
          <w:szCs w:val="22"/>
        </w:rPr>
        <w:t xml:space="preserve">Table 1: Requests for </w:t>
      </w:r>
      <w:r w:rsidR="00BC6BA4" w:rsidRPr="00BC6BA4">
        <w:rPr>
          <w:rFonts w:asciiTheme="majorHAnsi" w:hAnsiTheme="majorHAnsi"/>
          <w:b/>
          <w:sz w:val="22"/>
          <w:szCs w:val="22"/>
        </w:rPr>
        <w:t xml:space="preserve">internal </w:t>
      </w:r>
      <w:r w:rsidRPr="00BC6BA4">
        <w:rPr>
          <w:rFonts w:asciiTheme="majorHAnsi" w:hAnsiTheme="majorHAnsi"/>
          <w:b/>
          <w:sz w:val="22"/>
          <w:szCs w:val="22"/>
        </w:rPr>
        <w:t xml:space="preserve">review </w:t>
      </w:r>
    </w:p>
    <w:tbl>
      <w:tblPr>
        <w:tblStyle w:val="TableGrid"/>
        <w:tblW w:w="5211" w:type="dxa"/>
        <w:tblLayout w:type="fixed"/>
        <w:tblLook w:val="0000" w:firstRow="0" w:lastRow="0" w:firstColumn="0" w:lastColumn="0" w:noHBand="0" w:noVBand="0"/>
      </w:tblPr>
      <w:tblGrid>
        <w:gridCol w:w="1668"/>
        <w:gridCol w:w="708"/>
        <w:gridCol w:w="709"/>
        <w:gridCol w:w="709"/>
        <w:gridCol w:w="709"/>
        <w:gridCol w:w="708"/>
      </w:tblGrid>
      <w:tr w:rsidR="00BC6BA4" w:rsidRPr="006656F3" w14:paraId="721D27F5" w14:textId="77777777" w:rsidTr="00B471A1">
        <w:trPr>
          <w:trHeight w:val="273"/>
        </w:trPr>
        <w:tc>
          <w:tcPr>
            <w:tcW w:w="1668" w:type="dxa"/>
            <w:vMerge w:val="restart"/>
          </w:tcPr>
          <w:p w14:paraId="150DEADE" w14:textId="38FAEF2F" w:rsidR="00BC6BA4" w:rsidRPr="009B4651" w:rsidRDefault="00BC6BA4" w:rsidP="009B4651">
            <w:pPr>
              <w:jc w:val="both"/>
              <w:rPr>
                <w:rFonts w:asciiTheme="majorHAnsi" w:hAnsiTheme="majorHAnsi"/>
                <w:b/>
                <w:color w:val="000000"/>
                <w:sz w:val="20"/>
                <w:szCs w:val="20"/>
              </w:rPr>
            </w:pPr>
            <w:r w:rsidRPr="009B4651">
              <w:rPr>
                <w:rFonts w:asciiTheme="majorHAnsi" w:hAnsiTheme="majorHAnsi"/>
                <w:b/>
                <w:color w:val="000000"/>
                <w:sz w:val="20"/>
                <w:szCs w:val="20"/>
              </w:rPr>
              <w:t>No of internal review applications</w:t>
            </w:r>
          </w:p>
        </w:tc>
        <w:tc>
          <w:tcPr>
            <w:tcW w:w="3543" w:type="dxa"/>
            <w:gridSpan w:val="5"/>
          </w:tcPr>
          <w:p w14:paraId="30456AC0" w14:textId="7E4B4449" w:rsidR="00BC6BA4" w:rsidRPr="009B4651" w:rsidRDefault="00BC6BA4" w:rsidP="00BC6BA4">
            <w:pPr>
              <w:spacing w:line="360" w:lineRule="auto"/>
              <w:jc w:val="center"/>
              <w:rPr>
                <w:rFonts w:asciiTheme="majorHAnsi" w:hAnsiTheme="majorHAnsi"/>
                <w:b/>
                <w:color w:val="000000"/>
                <w:sz w:val="20"/>
                <w:szCs w:val="20"/>
              </w:rPr>
            </w:pPr>
            <w:r w:rsidRPr="009B4651">
              <w:rPr>
                <w:rFonts w:asciiTheme="majorHAnsi" w:hAnsiTheme="majorHAnsi"/>
                <w:b/>
                <w:color w:val="000000"/>
                <w:sz w:val="20"/>
                <w:szCs w:val="20"/>
              </w:rPr>
              <w:t>YEAR</w:t>
            </w:r>
          </w:p>
        </w:tc>
      </w:tr>
      <w:tr w:rsidR="00B471A1" w:rsidRPr="006656F3" w14:paraId="62CC3529" w14:textId="77777777" w:rsidTr="00B471A1">
        <w:trPr>
          <w:trHeight w:val="273"/>
        </w:trPr>
        <w:tc>
          <w:tcPr>
            <w:tcW w:w="1668" w:type="dxa"/>
            <w:vMerge/>
          </w:tcPr>
          <w:p w14:paraId="6392C488" w14:textId="16A0FC47" w:rsidR="00BC6BA4" w:rsidRPr="009B4651" w:rsidRDefault="00BC6BA4" w:rsidP="00145163">
            <w:pPr>
              <w:spacing w:line="360" w:lineRule="auto"/>
              <w:jc w:val="both"/>
              <w:rPr>
                <w:rFonts w:asciiTheme="majorHAnsi" w:hAnsiTheme="majorHAnsi"/>
                <w:b/>
                <w:color w:val="000000"/>
                <w:sz w:val="20"/>
                <w:szCs w:val="20"/>
              </w:rPr>
            </w:pPr>
          </w:p>
        </w:tc>
        <w:tc>
          <w:tcPr>
            <w:tcW w:w="708" w:type="dxa"/>
          </w:tcPr>
          <w:p w14:paraId="108A9038" w14:textId="77777777" w:rsidR="00BC6BA4" w:rsidRPr="009B4651" w:rsidRDefault="00BC6BA4" w:rsidP="00BC6BA4">
            <w:pPr>
              <w:spacing w:line="360" w:lineRule="auto"/>
              <w:jc w:val="both"/>
              <w:rPr>
                <w:rFonts w:asciiTheme="majorHAnsi" w:hAnsiTheme="majorHAnsi"/>
                <w:b/>
                <w:color w:val="000000"/>
                <w:sz w:val="20"/>
                <w:szCs w:val="20"/>
              </w:rPr>
            </w:pPr>
            <w:r w:rsidRPr="009B4651">
              <w:rPr>
                <w:rFonts w:asciiTheme="majorHAnsi" w:hAnsiTheme="majorHAnsi"/>
                <w:b/>
                <w:color w:val="000000"/>
                <w:sz w:val="20"/>
                <w:szCs w:val="20"/>
              </w:rPr>
              <w:t>1998</w:t>
            </w:r>
          </w:p>
        </w:tc>
        <w:tc>
          <w:tcPr>
            <w:tcW w:w="709" w:type="dxa"/>
          </w:tcPr>
          <w:p w14:paraId="2ECB5CA8" w14:textId="77777777" w:rsidR="00BC6BA4" w:rsidRPr="009B4651" w:rsidRDefault="00BC6BA4" w:rsidP="00BC6BA4">
            <w:pPr>
              <w:spacing w:line="360" w:lineRule="auto"/>
              <w:jc w:val="both"/>
              <w:rPr>
                <w:rFonts w:asciiTheme="majorHAnsi" w:hAnsiTheme="majorHAnsi"/>
                <w:b/>
                <w:color w:val="000000"/>
                <w:sz w:val="20"/>
                <w:szCs w:val="20"/>
              </w:rPr>
            </w:pPr>
            <w:r w:rsidRPr="009B4651">
              <w:rPr>
                <w:rFonts w:asciiTheme="majorHAnsi" w:hAnsiTheme="majorHAnsi"/>
                <w:b/>
                <w:color w:val="000000"/>
                <w:sz w:val="20"/>
                <w:szCs w:val="20"/>
              </w:rPr>
              <w:t>2000</w:t>
            </w:r>
          </w:p>
        </w:tc>
        <w:tc>
          <w:tcPr>
            <w:tcW w:w="709" w:type="dxa"/>
          </w:tcPr>
          <w:p w14:paraId="4AAE683B" w14:textId="77777777" w:rsidR="00BC6BA4" w:rsidRPr="009B4651" w:rsidRDefault="00BC6BA4" w:rsidP="00BC6BA4">
            <w:pPr>
              <w:spacing w:line="360" w:lineRule="auto"/>
              <w:jc w:val="both"/>
              <w:rPr>
                <w:rFonts w:asciiTheme="majorHAnsi" w:hAnsiTheme="majorHAnsi"/>
                <w:b/>
                <w:color w:val="000000"/>
                <w:sz w:val="20"/>
                <w:szCs w:val="20"/>
              </w:rPr>
            </w:pPr>
            <w:r w:rsidRPr="009B4651">
              <w:rPr>
                <w:rFonts w:asciiTheme="majorHAnsi" w:hAnsiTheme="majorHAnsi"/>
                <w:b/>
                <w:color w:val="000000"/>
                <w:sz w:val="20"/>
                <w:szCs w:val="20"/>
              </w:rPr>
              <w:t>2003</w:t>
            </w:r>
          </w:p>
        </w:tc>
        <w:tc>
          <w:tcPr>
            <w:tcW w:w="709" w:type="dxa"/>
          </w:tcPr>
          <w:p w14:paraId="1FE1790D" w14:textId="77777777" w:rsidR="00BC6BA4" w:rsidRPr="009B4651" w:rsidRDefault="00BC6BA4" w:rsidP="00BC6BA4">
            <w:pPr>
              <w:spacing w:line="360" w:lineRule="auto"/>
              <w:jc w:val="both"/>
              <w:rPr>
                <w:rFonts w:asciiTheme="majorHAnsi" w:hAnsiTheme="majorHAnsi"/>
                <w:b/>
                <w:color w:val="000000"/>
                <w:sz w:val="20"/>
                <w:szCs w:val="20"/>
              </w:rPr>
            </w:pPr>
            <w:r w:rsidRPr="009B4651">
              <w:rPr>
                <w:rFonts w:asciiTheme="majorHAnsi" w:hAnsiTheme="majorHAnsi"/>
                <w:b/>
                <w:color w:val="000000"/>
                <w:sz w:val="20"/>
                <w:szCs w:val="20"/>
              </w:rPr>
              <w:t>2010</w:t>
            </w:r>
          </w:p>
        </w:tc>
        <w:tc>
          <w:tcPr>
            <w:tcW w:w="708" w:type="dxa"/>
          </w:tcPr>
          <w:p w14:paraId="27EDA47E" w14:textId="77777777" w:rsidR="00BC6BA4" w:rsidRPr="009B4651" w:rsidRDefault="00BC6BA4" w:rsidP="00BC6BA4">
            <w:pPr>
              <w:spacing w:line="360" w:lineRule="auto"/>
              <w:jc w:val="both"/>
              <w:rPr>
                <w:rFonts w:asciiTheme="majorHAnsi" w:hAnsiTheme="majorHAnsi"/>
                <w:b/>
                <w:color w:val="000000"/>
                <w:sz w:val="20"/>
                <w:szCs w:val="20"/>
              </w:rPr>
            </w:pPr>
            <w:r w:rsidRPr="009B4651">
              <w:rPr>
                <w:rFonts w:asciiTheme="majorHAnsi" w:hAnsiTheme="majorHAnsi"/>
                <w:b/>
                <w:color w:val="000000"/>
                <w:sz w:val="20"/>
                <w:szCs w:val="20"/>
              </w:rPr>
              <w:t>2014</w:t>
            </w:r>
          </w:p>
        </w:tc>
      </w:tr>
      <w:tr w:rsidR="00B471A1" w:rsidRPr="006656F3" w14:paraId="118EBFB9" w14:textId="77777777" w:rsidTr="00B471A1">
        <w:trPr>
          <w:trHeight w:val="273"/>
        </w:trPr>
        <w:tc>
          <w:tcPr>
            <w:tcW w:w="1668" w:type="dxa"/>
            <w:vMerge w:val="restart"/>
          </w:tcPr>
          <w:p w14:paraId="48AE166B" w14:textId="1C52C570" w:rsidR="00B471A1" w:rsidRPr="009B4651" w:rsidRDefault="00B471A1" w:rsidP="00B471A1">
            <w:pPr>
              <w:spacing w:line="360" w:lineRule="auto"/>
              <w:jc w:val="right"/>
              <w:rPr>
                <w:rFonts w:asciiTheme="majorHAnsi" w:hAnsiTheme="majorHAnsi"/>
                <w:color w:val="000000"/>
                <w:sz w:val="20"/>
                <w:szCs w:val="20"/>
              </w:rPr>
            </w:pPr>
            <w:r w:rsidRPr="009B4651">
              <w:rPr>
                <w:rFonts w:asciiTheme="majorHAnsi" w:hAnsiTheme="majorHAnsi"/>
                <w:color w:val="000000"/>
                <w:sz w:val="20"/>
                <w:szCs w:val="20"/>
              </w:rPr>
              <w:t xml:space="preserve"> 0 - 5</w:t>
            </w:r>
          </w:p>
          <w:p w14:paraId="4471FDCE" w14:textId="599EF4A4" w:rsidR="00B471A1" w:rsidRPr="009B4651" w:rsidRDefault="00B471A1" w:rsidP="00BC6BA4">
            <w:pPr>
              <w:spacing w:line="360" w:lineRule="auto"/>
              <w:jc w:val="right"/>
              <w:rPr>
                <w:rFonts w:asciiTheme="majorHAnsi" w:hAnsiTheme="majorHAnsi"/>
                <w:color w:val="000000"/>
                <w:sz w:val="20"/>
                <w:szCs w:val="20"/>
              </w:rPr>
            </w:pPr>
            <w:r w:rsidRPr="009B4651">
              <w:rPr>
                <w:rFonts w:asciiTheme="majorHAnsi" w:hAnsiTheme="majorHAnsi"/>
                <w:color w:val="000000"/>
                <w:sz w:val="20"/>
                <w:szCs w:val="20"/>
              </w:rPr>
              <w:t>6+</w:t>
            </w:r>
          </w:p>
        </w:tc>
        <w:tc>
          <w:tcPr>
            <w:tcW w:w="708" w:type="dxa"/>
          </w:tcPr>
          <w:p w14:paraId="64229ED3" w14:textId="1EC1B9FA" w:rsidR="00B471A1" w:rsidRPr="009B4651" w:rsidRDefault="00B471A1" w:rsidP="00BC6BA4">
            <w:pPr>
              <w:spacing w:line="360" w:lineRule="auto"/>
              <w:jc w:val="both"/>
              <w:rPr>
                <w:rFonts w:asciiTheme="majorHAnsi" w:hAnsiTheme="majorHAnsi"/>
                <w:color w:val="000000"/>
                <w:sz w:val="20"/>
                <w:szCs w:val="20"/>
              </w:rPr>
            </w:pPr>
            <w:r w:rsidRPr="009B4651">
              <w:rPr>
                <w:rFonts w:asciiTheme="majorHAnsi" w:hAnsiTheme="majorHAnsi"/>
                <w:color w:val="000000"/>
                <w:sz w:val="20"/>
                <w:szCs w:val="20"/>
              </w:rPr>
              <w:t>67%</w:t>
            </w:r>
          </w:p>
        </w:tc>
        <w:tc>
          <w:tcPr>
            <w:tcW w:w="709" w:type="dxa"/>
          </w:tcPr>
          <w:p w14:paraId="1F340070" w14:textId="26361EFE" w:rsidR="00B471A1" w:rsidRPr="009B4651" w:rsidRDefault="00B471A1" w:rsidP="00BC6BA4">
            <w:pPr>
              <w:spacing w:line="360" w:lineRule="auto"/>
              <w:jc w:val="both"/>
              <w:rPr>
                <w:rFonts w:asciiTheme="majorHAnsi" w:hAnsiTheme="majorHAnsi"/>
                <w:color w:val="000000"/>
                <w:sz w:val="20"/>
                <w:szCs w:val="20"/>
              </w:rPr>
            </w:pPr>
            <w:r w:rsidRPr="009B4651">
              <w:rPr>
                <w:rFonts w:asciiTheme="majorHAnsi" w:hAnsiTheme="majorHAnsi"/>
                <w:color w:val="000000"/>
                <w:sz w:val="20"/>
                <w:szCs w:val="20"/>
              </w:rPr>
              <w:t>59%</w:t>
            </w:r>
          </w:p>
        </w:tc>
        <w:tc>
          <w:tcPr>
            <w:tcW w:w="709" w:type="dxa"/>
          </w:tcPr>
          <w:p w14:paraId="29017EDD" w14:textId="5E7D41E9" w:rsidR="00B471A1" w:rsidRPr="009B4651" w:rsidRDefault="00B471A1" w:rsidP="00BC6BA4">
            <w:pPr>
              <w:spacing w:line="360" w:lineRule="auto"/>
              <w:jc w:val="both"/>
              <w:rPr>
                <w:rFonts w:asciiTheme="majorHAnsi" w:hAnsiTheme="majorHAnsi"/>
                <w:color w:val="000000"/>
                <w:sz w:val="20"/>
                <w:szCs w:val="20"/>
              </w:rPr>
            </w:pPr>
            <w:r w:rsidRPr="009B4651">
              <w:rPr>
                <w:rFonts w:asciiTheme="majorHAnsi" w:hAnsiTheme="majorHAnsi"/>
                <w:color w:val="000000"/>
                <w:sz w:val="20"/>
                <w:szCs w:val="20"/>
              </w:rPr>
              <w:t>45%</w:t>
            </w:r>
          </w:p>
        </w:tc>
        <w:tc>
          <w:tcPr>
            <w:tcW w:w="709" w:type="dxa"/>
          </w:tcPr>
          <w:p w14:paraId="396CA446" w14:textId="3AB5C5EB" w:rsidR="00B471A1" w:rsidRPr="009B4651" w:rsidRDefault="00B471A1" w:rsidP="00BC6BA4">
            <w:pPr>
              <w:spacing w:line="360" w:lineRule="auto"/>
              <w:jc w:val="both"/>
              <w:rPr>
                <w:rFonts w:asciiTheme="majorHAnsi" w:hAnsiTheme="majorHAnsi"/>
                <w:color w:val="000000"/>
                <w:sz w:val="20"/>
                <w:szCs w:val="20"/>
              </w:rPr>
            </w:pPr>
            <w:r w:rsidRPr="009B4651">
              <w:rPr>
                <w:rFonts w:asciiTheme="majorHAnsi" w:hAnsiTheme="majorHAnsi"/>
                <w:color w:val="000000"/>
                <w:sz w:val="20"/>
                <w:szCs w:val="20"/>
              </w:rPr>
              <w:t>63%</w:t>
            </w:r>
          </w:p>
        </w:tc>
        <w:tc>
          <w:tcPr>
            <w:tcW w:w="708" w:type="dxa"/>
          </w:tcPr>
          <w:p w14:paraId="17E6EFEB" w14:textId="6328AF93" w:rsidR="00B471A1" w:rsidRPr="009B4651" w:rsidRDefault="00B471A1" w:rsidP="00BC6BA4">
            <w:pPr>
              <w:spacing w:line="360" w:lineRule="auto"/>
              <w:jc w:val="both"/>
              <w:rPr>
                <w:rFonts w:asciiTheme="majorHAnsi" w:hAnsiTheme="majorHAnsi"/>
                <w:color w:val="000000"/>
                <w:sz w:val="20"/>
                <w:szCs w:val="20"/>
              </w:rPr>
            </w:pPr>
            <w:r w:rsidRPr="009B4651">
              <w:rPr>
                <w:rFonts w:asciiTheme="majorHAnsi" w:hAnsiTheme="majorHAnsi"/>
                <w:color w:val="000000"/>
                <w:sz w:val="20"/>
                <w:szCs w:val="20"/>
              </w:rPr>
              <w:t>61%</w:t>
            </w:r>
          </w:p>
        </w:tc>
      </w:tr>
      <w:tr w:rsidR="00B471A1" w:rsidRPr="006656F3" w14:paraId="1182B2EC" w14:textId="77777777" w:rsidTr="00B471A1">
        <w:trPr>
          <w:trHeight w:val="273"/>
        </w:trPr>
        <w:tc>
          <w:tcPr>
            <w:tcW w:w="1668" w:type="dxa"/>
            <w:vMerge/>
          </w:tcPr>
          <w:p w14:paraId="27D82885" w14:textId="6A6C5C93" w:rsidR="00B471A1" w:rsidRPr="009B4651" w:rsidRDefault="00B471A1" w:rsidP="00BC6BA4">
            <w:pPr>
              <w:spacing w:line="360" w:lineRule="auto"/>
              <w:jc w:val="right"/>
              <w:rPr>
                <w:rFonts w:asciiTheme="majorHAnsi" w:hAnsiTheme="majorHAnsi"/>
                <w:color w:val="000000"/>
                <w:sz w:val="20"/>
                <w:szCs w:val="20"/>
              </w:rPr>
            </w:pPr>
          </w:p>
        </w:tc>
        <w:tc>
          <w:tcPr>
            <w:tcW w:w="708" w:type="dxa"/>
          </w:tcPr>
          <w:p w14:paraId="2A974DE9" w14:textId="7E21492F" w:rsidR="00B471A1" w:rsidRPr="009B4651" w:rsidRDefault="00B471A1" w:rsidP="00BC6BA4">
            <w:pPr>
              <w:spacing w:line="360" w:lineRule="auto"/>
              <w:jc w:val="both"/>
              <w:rPr>
                <w:rFonts w:asciiTheme="majorHAnsi" w:hAnsiTheme="majorHAnsi"/>
                <w:color w:val="000000"/>
                <w:sz w:val="20"/>
                <w:szCs w:val="20"/>
              </w:rPr>
            </w:pPr>
            <w:r w:rsidRPr="009B4651">
              <w:rPr>
                <w:rFonts w:asciiTheme="majorHAnsi" w:hAnsiTheme="majorHAnsi"/>
                <w:color w:val="000000"/>
                <w:sz w:val="20"/>
                <w:szCs w:val="20"/>
              </w:rPr>
              <w:t>32%</w:t>
            </w:r>
          </w:p>
        </w:tc>
        <w:tc>
          <w:tcPr>
            <w:tcW w:w="709" w:type="dxa"/>
          </w:tcPr>
          <w:p w14:paraId="0994A416" w14:textId="67EE7F94" w:rsidR="00B471A1" w:rsidRPr="009B4651" w:rsidRDefault="00B471A1" w:rsidP="00BC6BA4">
            <w:pPr>
              <w:spacing w:line="360" w:lineRule="auto"/>
              <w:jc w:val="both"/>
              <w:rPr>
                <w:rFonts w:asciiTheme="majorHAnsi" w:hAnsiTheme="majorHAnsi"/>
                <w:color w:val="000000"/>
                <w:sz w:val="20"/>
                <w:szCs w:val="20"/>
              </w:rPr>
            </w:pPr>
            <w:r w:rsidRPr="009B4651">
              <w:rPr>
                <w:rFonts w:asciiTheme="majorHAnsi" w:hAnsiTheme="majorHAnsi"/>
                <w:color w:val="000000"/>
                <w:sz w:val="20"/>
                <w:szCs w:val="20"/>
              </w:rPr>
              <w:t>41%</w:t>
            </w:r>
          </w:p>
        </w:tc>
        <w:tc>
          <w:tcPr>
            <w:tcW w:w="709" w:type="dxa"/>
          </w:tcPr>
          <w:p w14:paraId="26679B90" w14:textId="287A9E15" w:rsidR="00B471A1" w:rsidRPr="009B4651" w:rsidRDefault="00B471A1" w:rsidP="00BC6BA4">
            <w:pPr>
              <w:spacing w:line="360" w:lineRule="auto"/>
              <w:jc w:val="both"/>
              <w:rPr>
                <w:rFonts w:asciiTheme="majorHAnsi" w:hAnsiTheme="majorHAnsi"/>
                <w:color w:val="000000"/>
                <w:sz w:val="20"/>
                <w:szCs w:val="20"/>
              </w:rPr>
            </w:pPr>
            <w:r w:rsidRPr="009B4651">
              <w:rPr>
                <w:rFonts w:asciiTheme="majorHAnsi" w:hAnsiTheme="majorHAnsi"/>
                <w:color w:val="000000"/>
                <w:sz w:val="20"/>
                <w:szCs w:val="20"/>
              </w:rPr>
              <w:t>56%</w:t>
            </w:r>
          </w:p>
        </w:tc>
        <w:tc>
          <w:tcPr>
            <w:tcW w:w="709" w:type="dxa"/>
          </w:tcPr>
          <w:p w14:paraId="6FC7A64C" w14:textId="651E0B88" w:rsidR="00B471A1" w:rsidRPr="009B4651" w:rsidRDefault="00B471A1" w:rsidP="00BC6BA4">
            <w:pPr>
              <w:spacing w:line="360" w:lineRule="auto"/>
              <w:jc w:val="both"/>
              <w:rPr>
                <w:rFonts w:asciiTheme="majorHAnsi" w:hAnsiTheme="majorHAnsi"/>
                <w:color w:val="000000"/>
                <w:sz w:val="20"/>
                <w:szCs w:val="20"/>
              </w:rPr>
            </w:pPr>
            <w:r w:rsidRPr="009B4651">
              <w:rPr>
                <w:rFonts w:asciiTheme="majorHAnsi" w:hAnsiTheme="majorHAnsi"/>
                <w:color w:val="000000"/>
                <w:sz w:val="20"/>
                <w:szCs w:val="20"/>
              </w:rPr>
              <w:t>35%</w:t>
            </w:r>
          </w:p>
        </w:tc>
        <w:tc>
          <w:tcPr>
            <w:tcW w:w="708" w:type="dxa"/>
          </w:tcPr>
          <w:p w14:paraId="59439A48" w14:textId="6E035DE1" w:rsidR="00B471A1" w:rsidRPr="009B4651" w:rsidRDefault="00B471A1" w:rsidP="00BC6BA4">
            <w:pPr>
              <w:spacing w:line="360" w:lineRule="auto"/>
              <w:jc w:val="both"/>
              <w:rPr>
                <w:rFonts w:asciiTheme="majorHAnsi" w:hAnsiTheme="majorHAnsi"/>
                <w:color w:val="000000"/>
                <w:sz w:val="20"/>
                <w:szCs w:val="20"/>
              </w:rPr>
            </w:pPr>
            <w:r w:rsidRPr="009B4651">
              <w:rPr>
                <w:rFonts w:asciiTheme="majorHAnsi" w:hAnsiTheme="majorHAnsi"/>
                <w:color w:val="000000"/>
                <w:sz w:val="20"/>
                <w:szCs w:val="20"/>
              </w:rPr>
              <w:t>39%</w:t>
            </w:r>
          </w:p>
        </w:tc>
      </w:tr>
      <w:tr w:rsidR="00B471A1" w:rsidRPr="006656F3" w14:paraId="1A12E8A5" w14:textId="77777777" w:rsidTr="00B471A1">
        <w:trPr>
          <w:trHeight w:val="273"/>
        </w:trPr>
        <w:tc>
          <w:tcPr>
            <w:tcW w:w="1668" w:type="dxa"/>
          </w:tcPr>
          <w:p w14:paraId="5E16B763" w14:textId="77777777" w:rsidR="00145163" w:rsidRPr="009B4651" w:rsidRDefault="00145163" w:rsidP="00BC6BA4">
            <w:pPr>
              <w:spacing w:line="360" w:lineRule="auto"/>
              <w:jc w:val="right"/>
              <w:rPr>
                <w:rFonts w:asciiTheme="majorHAnsi" w:hAnsiTheme="majorHAnsi"/>
                <w:color w:val="000000"/>
                <w:sz w:val="20"/>
                <w:szCs w:val="20"/>
              </w:rPr>
            </w:pPr>
            <w:r w:rsidRPr="009B4651">
              <w:rPr>
                <w:rFonts w:asciiTheme="majorHAnsi" w:hAnsiTheme="majorHAnsi"/>
                <w:color w:val="000000"/>
                <w:sz w:val="20"/>
                <w:szCs w:val="20"/>
              </w:rPr>
              <w:t>Total (N)</w:t>
            </w:r>
          </w:p>
        </w:tc>
        <w:tc>
          <w:tcPr>
            <w:tcW w:w="708" w:type="dxa"/>
          </w:tcPr>
          <w:p w14:paraId="28863EE3" w14:textId="77777777" w:rsidR="00145163" w:rsidRPr="009B4651" w:rsidRDefault="00145163" w:rsidP="00BC6BA4">
            <w:pPr>
              <w:spacing w:line="360" w:lineRule="auto"/>
              <w:jc w:val="both"/>
              <w:rPr>
                <w:rFonts w:asciiTheme="majorHAnsi" w:hAnsiTheme="majorHAnsi"/>
                <w:color w:val="000000"/>
                <w:sz w:val="20"/>
                <w:szCs w:val="20"/>
              </w:rPr>
            </w:pPr>
            <w:r w:rsidRPr="009B4651">
              <w:rPr>
                <w:rFonts w:asciiTheme="majorHAnsi" w:hAnsiTheme="majorHAnsi"/>
                <w:color w:val="000000"/>
                <w:sz w:val="20"/>
                <w:szCs w:val="20"/>
              </w:rPr>
              <w:t>201</w:t>
            </w:r>
          </w:p>
        </w:tc>
        <w:tc>
          <w:tcPr>
            <w:tcW w:w="709" w:type="dxa"/>
          </w:tcPr>
          <w:p w14:paraId="41274FD9" w14:textId="77777777" w:rsidR="00145163" w:rsidRPr="009B4651" w:rsidRDefault="00145163" w:rsidP="00BC6BA4">
            <w:pPr>
              <w:spacing w:line="360" w:lineRule="auto"/>
              <w:jc w:val="both"/>
              <w:rPr>
                <w:rFonts w:asciiTheme="majorHAnsi" w:hAnsiTheme="majorHAnsi"/>
                <w:color w:val="000000"/>
                <w:sz w:val="20"/>
                <w:szCs w:val="20"/>
              </w:rPr>
            </w:pPr>
            <w:r w:rsidRPr="009B4651">
              <w:rPr>
                <w:rFonts w:asciiTheme="majorHAnsi" w:hAnsiTheme="majorHAnsi"/>
                <w:color w:val="000000"/>
                <w:sz w:val="20"/>
                <w:szCs w:val="20"/>
              </w:rPr>
              <w:t>199</w:t>
            </w:r>
          </w:p>
        </w:tc>
        <w:tc>
          <w:tcPr>
            <w:tcW w:w="709" w:type="dxa"/>
          </w:tcPr>
          <w:p w14:paraId="1C2F1951" w14:textId="77777777" w:rsidR="00145163" w:rsidRPr="009B4651" w:rsidRDefault="00145163" w:rsidP="00BC6BA4">
            <w:pPr>
              <w:spacing w:line="360" w:lineRule="auto"/>
              <w:jc w:val="both"/>
              <w:rPr>
                <w:rFonts w:asciiTheme="majorHAnsi" w:hAnsiTheme="majorHAnsi"/>
                <w:color w:val="000000"/>
                <w:sz w:val="20"/>
                <w:szCs w:val="20"/>
              </w:rPr>
            </w:pPr>
            <w:r w:rsidRPr="009B4651">
              <w:rPr>
                <w:rFonts w:asciiTheme="majorHAnsi" w:hAnsiTheme="majorHAnsi"/>
                <w:color w:val="000000"/>
                <w:sz w:val="20"/>
                <w:szCs w:val="20"/>
              </w:rPr>
              <w:t>195</w:t>
            </w:r>
          </w:p>
        </w:tc>
        <w:tc>
          <w:tcPr>
            <w:tcW w:w="709" w:type="dxa"/>
          </w:tcPr>
          <w:p w14:paraId="55EAF7F7" w14:textId="77777777" w:rsidR="00145163" w:rsidRPr="009B4651" w:rsidRDefault="00145163" w:rsidP="00BC6BA4">
            <w:pPr>
              <w:spacing w:line="360" w:lineRule="auto"/>
              <w:jc w:val="both"/>
              <w:rPr>
                <w:rFonts w:asciiTheme="majorHAnsi" w:hAnsiTheme="majorHAnsi"/>
                <w:color w:val="000000"/>
                <w:sz w:val="20"/>
                <w:szCs w:val="20"/>
              </w:rPr>
            </w:pPr>
            <w:r w:rsidRPr="009B4651">
              <w:rPr>
                <w:rFonts w:asciiTheme="majorHAnsi" w:hAnsiTheme="majorHAnsi"/>
                <w:color w:val="000000"/>
                <w:sz w:val="20"/>
                <w:szCs w:val="20"/>
              </w:rPr>
              <w:t>159</w:t>
            </w:r>
          </w:p>
        </w:tc>
        <w:tc>
          <w:tcPr>
            <w:tcW w:w="708" w:type="dxa"/>
          </w:tcPr>
          <w:p w14:paraId="323799C5" w14:textId="77777777" w:rsidR="00145163" w:rsidRPr="009B4651" w:rsidRDefault="00145163" w:rsidP="00BC6BA4">
            <w:pPr>
              <w:spacing w:line="360" w:lineRule="auto"/>
              <w:jc w:val="both"/>
              <w:rPr>
                <w:rFonts w:asciiTheme="majorHAnsi" w:hAnsiTheme="majorHAnsi"/>
                <w:color w:val="000000"/>
                <w:sz w:val="20"/>
                <w:szCs w:val="20"/>
              </w:rPr>
            </w:pPr>
            <w:r w:rsidRPr="009B4651">
              <w:rPr>
                <w:rFonts w:asciiTheme="majorHAnsi" w:hAnsiTheme="majorHAnsi"/>
                <w:color w:val="000000"/>
                <w:sz w:val="20"/>
                <w:szCs w:val="20"/>
              </w:rPr>
              <w:t>139</w:t>
            </w:r>
          </w:p>
        </w:tc>
      </w:tr>
    </w:tbl>
    <w:p w14:paraId="6273BFC1" w14:textId="77777777" w:rsidR="00145163" w:rsidRDefault="00145163" w:rsidP="00145163"/>
    <w:p w14:paraId="58E96BC2" w14:textId="502B6B89" w:rsidR="00BC6BA4" w:rsidRPr="00BC6BA4" w:rsidRDefault="00BC6BA4" w:rsidP="00BC6BA4">
      <w:pPr>
        <w:pStyle w:val="Heading3"/>
        <w:spacing w:before="100" w:line="360" w:lineRule="auto"/>
        <w:rPr>
          <w:color w:val="auto"/>
          <w:sz w:val="22"/>
          <w:szCs w:val="22"/>
        </w:rPr>
      </w:pPr>
      <w:r>
        <w:rPr>
          <w:color w:val="auto"/>
          <w:sz w:val="22"/>
          <w:szCs w:val="22"/>
        </w:rPr>
        <w:t>Table 2</w:t>
      </w:r>
      <w:r w:rsidRPr="00BC6BA4">
        <w:rPr>
          <w:color w:val="auto"/>
          <w:sz w:val="22"/>
          <w:szCs w:val="22"/>
        </w:rPr>
        <w:t>: County Court appeals</w:t>
      </w:r>
    </w:p>
    <w:tbl>
      <w:tblPr>
        <w:tblStyle w:val="TableGrid"/>
        <w:tblW w:w="5387" w:type="dxa"/>
        <w:tblLayout w:type="fixed"/>
        <w:tblLook w:val="0000" w:firstRow="0" w:lastRow="0" w:firstColumn="0" w:lastColumn="0" w:noHBand="0" w:noVBand="0"/>
      </w:tblPr>
      <w:tblGrid>
        <w:gridCol w:w="1526"/>
        <w:gridCol w:w="709"/>
        <w:gridCol w:w="708"/>
        <w:gridCol w:w="709"/>
        <w:gridCol w:w="709"/>
        <w:gridCol w:w="1026"/>
      </w:tblGrid>
      <w:tr w:rsidR="00BC6BA4" w:rsidRPr="006656F3" w14:paraId="03863156" w14:textId="77777777" w:rsidTr="00B471A1">
        <w:trPr>
          <w:trHeight w:val="273"/>
        </w:trPr>
        <w:tc>
          <w:tcPr>
            <w:tcW w:w="1526" w:type="dxa"/>
            <w:vMerge w:val="restart"/>
          </w:tcPr>
          <w:p w14:paraId="0DD7E432" w14:textId="4E3CA14B" w:rsidR="00BC6BA4" w:rsidRPr="009B4651" w:rsidRDefault="00BC6BA4" w:rsidP="009B4651">
            <w:pPr>
              <w:jc w:val="both"/>
              <w:rPr>
                <w:rFonts w:asciiTheme="majorHAnsi" w:hAnsiTheme="majorHAnsi"/>
                <w:b/>
                <w:color w:val="000000"/>
                <w:sz w:val="20"/>
                <w:szCs w:val="20"/>
              </w:rPr>
            </w:pPr>
            <w:r w:rsidRPr="009B4651">
              <w:rPr>
                <w:rFonts w:asciiTheme="majorHAnsi" w:hAnsiTheme="majorHAnsi"/>
                <w:b/>
                <w:color w:val="000000"/>
                <w:sz w:val="20"/>
                <w:szCs w:val="20"/>
              </w:rPr>
              <w:t>No of county court applications</w:t>
            </w:r>
          </w:p>
        </w:tc>
        <w:tc>
          <w:tcPr>
            <w:tcW w:w="3861" w:type="dxa"/>
            <w:gridSpan w:val="5"/>
          </w:tcPr>
          <w:p w14:paraId="58F67F80" w14:textId="67A9FB2E" w:rsidR="00BC6BA4" w:rsidRPr="009B4651" w:rsidRDefault="00BC6BA4" w:rsidP="00344A8A">
            <w:pPr>
              <w:spacing w:line="360" w:lineRule="auto"/>
              <w:jc w:val="center"/>
              <w:rPr>
                <w:rFonts w:asciiTheme="majorHAnsi" w:hAnsiTheme="majorHAnsi"/>
                <w:b/>
                <w:color w:val="000000"/>
                <w:sz w:val="20"/>
                <w:szCs w:val="20"/>
              </w:rPr>
            </w:pPr>
            <w:r w:rsidRPr="009B4651">
              <w:rPr>
                <w:rFonts w:asciiTheme="majorHAnsi" w:hAnsiTheme="majorHAnsi"/>
                <w:b/>
                <w:color w:val="000000"/>
                <w:sz w:val="20"/>
                <w:szCs w:val="20"/>
              </w:rPr>
              <w:t>YEAR</w:t>
            </w:r>
          </w:p>
        </w:tc>
      </w:tr>
      <w:tr w:rsidR="00B471A1" w:rsidRPr="006656F3" w14:paraId="1AB79E65" w14:textId="77777777" w:rsidTr="00344A8A">
        <w:trPr>
          <w:trHeight w:val="273"/>
        </w:trPr>
        <w:tc>
          <w:tcPr>
            <w:tcW w:w="1526" w:type="dxa"/>
            <w:vMerge/>
          </w:tcPr>
          <w:p w14:paraId="4E1F6FEE" w14:textId="4ECDF4FE" w:rsidR="00BC6BA4" w:rsidRPr="009B4651" w:rsidRDefault="00BC6BA4" w:rsidP="00BC6BA4">
            <w:pPr>
              <w:spacing w:line="360" w:lineRule="auto"/>
              <w:jc w:val="both"/>
              <w:rPr>
                <w:rFonts w:asciiTheme="majorHAnsi" w:hAnsiTheme="majorHAnsi"/>
                <w:b/>
                <w:color w:val="000000"/>
                <w:sz w:val="20"/>
                <w:szCs w:val="20"/>
              </w:rPr>
            </w:pPr>
          </w:p>
        </w:tc>
        <w:tc>
          <w:tcPr>
            <w:tcW w:w="709" w:type="dxa"/>
          </w:tcPr>
          <w:p w14:paraId="2715E670" w14:textId="77777777" w:rsidR="00BC6BA4" w:rsidRPr="009B4651" w:rsidRDefault="00BC6BA4" w:rsidP="00BC6BA4">
            <w:pPr>
              <w:spacing w:line="360" w:lineRule="auto"/>
              <w:jc w:val="both"/>
              <w:rPr>
                <w:rFonts w:asciiTheme="majorHAnsi" w:hAnsiTheme="majorHAnsi"/>
                <w:b/>
                <w:color w:val="000000"/>
                <w:sz w:val="20"/>
                <w:szCs w:val="20"/>
              </w:rPr>
            </w:pPr>
            <w:r w:rsidRPr="009B4651">
              <w:rPr>
                <w:rFonts w:asciiTheme="majorHAnsi" w:hAnsiTheme="majorHAnsi"/>
                <w:b/>
                <w:color w:val="000000"/>
                <w:sz w:val="20"/>
                <w:szCs w:val="20"/>
              </w:rPr>
              <w:t>1998</w:t>
            </w:r>
          </w:p>
        </w:tc>
        <w:tc>
          <w:tcPr>
            <w:tcW w:w="708" w:type="dxa"/>
          </w:tcPr>
          <w:p w14:paraId="0E361C86" w14:textId="77777777" w:rsidR="00BC6BA4" w:rsidRPr="009B4651" w:rsidRDefault="00BC6BA4" w:rsidP="00BC6BA4">
            <w:pPr>
              <w:spacing w:line="360" w:lineRule="auto"/>
              <w:jc w:val="both"/>
              <w:rPr>
                <w:rFonts w:asciiTheme="majorHAnsi" w:hAnsiTheme="majorHAnsi"/>
                <w:b/>
                <w:color w:val="000000"/>
                <w:sz w:val="20"/>
                <w:szCs w:val="20"/>
              </w:rPr>
            </w:pPr>
            <w:r w:rsidRPr="009B4651">
              <w:rPr>
                <w:rFonts w:asciiTheme="majorHAnsi" w:hAnsiTheme="majorHAnsi"/>
                <w:b/>
                <w:color w:val="000000"/>
                <w:sz w:val="20"/>
                <w:szCs w:val="20"/>
              </w:rPr>
              <w:t>2000</w:t>
            </w:r>
          </w:p>
        </w:tc>
        <w:tc>
          <w:tcPr>
            <w:tcW w:w="709" w:type="dxa"/>
          </w:tcPr>
          <w:p w14:paraId="4CF0FF3F" w14:textId="77777777" w:rsidR="00BC6BA4" w:rsidRPr="009B4651" w:rsidRDefault="00BC6BA4" w:rsidP="00BC6BA4">
            <w:pPr>
              <w:spacing w:line="360" w:lineRule="auto"/>
              <w:jc w:val="both"/>
              <w:rPr>
                <w:rFonts w:asciiTheme="majorHAnsi" w:hAnsiTheme="majorHAnsi"/>
                <w:b/>
                <w:color w:val="000000"/>
                <w:sz w:val="20"/>
                <w:szCs w:val="20"/>
              </w:rPr>
            </w:pPr>
            <w:r w:rsidRPr="009B4651">
              <w:rPr>
                <w:rFonts w:asciiTheme="majorHAnsi" w:hAnsiTheme="majorHAnsi"/>
                <w:b/>
                <w:color w:val="000000"/>
                <w:sz w:val="20"/>
                <w:szCs w:val="20"/>
              </w:rPr>
              <w:t>2003</w:t>
            </w:r>
          </w:p>
        </w:tc>
        <w:tc>
          <w:tcPr>
            <w:tcW w:w="709" w:type="dxa"/>
          </w:tcPr>
          <w:p w14:paraId="547CE110" w14:textId="77777777" w:rsidR="00BC6BA4" w:rsidRPr="009B4651" w:rsidRDefault="00BC6BA4" w:rsidP="00BC6BA4">
            <w:pPr>
              <w:spacing w:line="360" w:lineRule="auto"/>
              <w:jc w:val="both"/>
              <w:rPr>
                <w:rFonts w:asciiTheme="majorHAnsi" w:hAnsiTheme="majorHAnsi"/>
                <w:b/>
                <w:color w:val="000000"/>
                <w:sz w:val="20"/>
                <w:szCs w:val="20"/>
              </w:rPr>
            </w:pPr>
            <w:r w:rsidRPr="009B4651">
              <w:rPr>
                <w:rFonts w:asciiTheme="majorHAnsi" w:hAnsiTheme="majorHAnsi"/>
                <w:b/>
                <w:color w:val="000000"/>
                <w:sz w:val="20"/>
                <w:szCs w:val="20"/>
              </w:rPr>
              <w:t>2010</w:t>
            </w:r>
          </w:p>
        </w:tc>
        <w:tc>
          <w:tcPr>
            <w:tcW w:w="1026" w:type="dxa"/>
          </w:tcPr>
          <w:p w14:paraId="55D30019" w14:textId="77777777" w:rsidR="00BC6BA4" w:rsidRPr="009B4651" w:rsidRDefault="00BC6BA4" w:rsidP="00BC6BA4">
            <w:pPr>
              <w:spacing w:line="360" w:lineRule="auto"/>
              <w:jc w:val="both"/>
              <w:rPr>
                <w:rFonts w:asciiTheme="majorHAnsi" w:hAnsiTheme="majorHAnsi"/>
                <w:b/>
                <w:color w:val="000000"/>
                <w:sz w:val="20"/>
                <w:szCs w:val="20"/>
              </w:rPr>
            </w:pPr>
            <w:r w:rsidRPr="009B4651">
              <w:rPr>
                <w:rFonts w:asciiTheme="majorHAnsi" w:hAnsiTheme="majorHAnsi"/>
                <w:b/>
                <w:color w:val="000000"/>
                <w:sz w:val="20"/>
                <w:szCs w:val="20"/>
              </w:rPr>
              <w:t>2014</w:t>
            </w:r>
          </w:p>
        </w:tc>
      </w:tr>
      <w:tr w:rsidR="00B471A1" w:rsidRPr="006656F3" w14:paraId="4999A635" w14:textId="77777777" w:rsidTr="00344A8A">
        <w:trPr>
          <w:trHeight w:val="273"/>
        </w:trPr>
        <w:tc>
          <w:tcPr>
            <w:tcW w:w="1526" w:type="dxa"/>
            <w:vMerge w:val="restart"/>
          </w:tcPr>
          <w:p w14:paraId="42AC78CC" w14:textId="77777777" w:rsidR="00B471A1" w:rsidRPr="009B4651" w:rsidRDefault="00B471A1" w:rsidP="00BC6BA4">
            <w:pPr>
              <w:spacing w:line="360" w:lineRule="auto"/>
              <w:jc w:val="right"/>
              <w:rPr>
                <w:rFonts w:asciiTheme="majorHAnsi" w:hAnsiTheme="majorHAnsi"/>
                <w:color w:val="000000"/>
                <w:sz w:val="20"/>
                <w:szCs w:val="20"/>
              </w:rPr>
            </w:pPr>
            <w:r w:rsidRPr="009B4651">
              <w:rPr>
                <w:rFonts w:asciiTheme="majorHAnsi" w:hAnsiTheme="majorHAnsi"/>
                <w:color w:val="000000"/>
                <w:sz w:val="20"/>
                <w:szCs w:val="20"/>
              </w:rPr>
              <w:lastRenderedPageBreak/>
              <w:t>Zero</w:t>
            </w:r>
          </w:p>
          <w:p w14:paraId="23486287" w14:textId="645E924A" w:rsidR="00B471A1" w:rsidRPr="009B4651" w:rsidRDefault="00B471A1" w:rsidP="00B471A1">
            <w:pPr>
              <w:spacing w:line="360" w:lineRule="auto"/>
              <w:jc w:val="right"/>
              <w:rPr>
                <w:rFonts w:asciiTheme="majorHAnsi" w:hAnsiTheme="majorHAnsi"/>
                <w:color w:val="000000"/>
                <w:sz w:val="20"/>
                <w:szCs w:val="20"/>
              </w:rPr>
            </w:pPr>
            <w:r w:rsidRPr="009B4651">
              <w:rPr>
                <w:rFonts w:asciiTheme="majorHAnsi" w:hAnsiTheme="majorHAnsi"/>
                <w:color w:val="000000"/>
                <w:sz w:val="20"/>
                <w:szCs w:val="20"/>
              </w:rPr>
              <w:t xml:space="preserve"> 1 - 3</w:t>
            </w:r>
          </w:p>
          <w:p w14:paraId="020A0C31" w14:textId="1B1F05F7" w:rsidR="00B471A1" w:rsidRPr="009B4651" w:rsidRDefault="00B471A1" w:rsidP="00B471A1">
            <w:pPr>
              <w:spacing w:line="360" w:lineRule="auto"/>
              <w:jc w:val="right"/>
              <w:rPr>
                <w:rFonts w:asciiTheme="majorHAnsi" w:hAnsiTheme="majorHAnsi"/>
                <w:color w:val="000000"/>
                <w:sz w:val="20"/>
                <w:szCs w:val="20"/>
              </w:rPr>
            </w:pPr>
            <w:r w:rsidRPr="009B4651">
              <w:rPr>
                <w:rFonts w:asciiTheme="majorHAnsi" w:hAnsiTheme="majorHAnsi"/>
                <w:color w:val="000000"/>
                <w:sz w:val="20"/>
                <w:szCs w:val="20"/>
              </w:rPr>
              <w:t xml:space="preserve"> 4+</w:t>
            </w:r>
          </w:p>
        </w:tc>
        <w:tc>
          <w:tcPr>
            <w:tcW w:w="709" w:type="dxa"/>
          </w:tcPr>
          <w:p w14:paraId="56827703" w14:textId="42828ABB" w:rsidR="00B471A1" w:rsidRPr="009B4651" w:rsidRDefault="00B471A1" w:rsidP="00BC6BA4">
            <w:pPr>
              <w:spacing w:line="360" w:lineRule="auto"/>
              <w:jc w:val="both"/>
              <w:rPr>
                <w:rFonts w:asciiTheme="majorHAnsi" w:hAnsiTheme="majorHAnsi"/>
                <w:color w:val="000000"/>
                <w:sz w:val="20"/>
                <w:szCs w:val="20"/>
              </w:rPr>
            </w:pPr>
            <w:r w:rsidRPr="009B4651">
              <w:rPr>
                <w:rFonts w:asciiTheme="majorHAnsi" w:hAnsiTheme="majorHAnsi"/>
                <w:color w:val="000000"/>
                <w:sz w:val="20"/>
                <w:szCs w:val="20"/>
              </w:rPr>
              <w:t>89%</w:t>
            </w:r>
          </w:p>
        </w:tc>
        <w:tc>
          <w:tcPr>
            <w:tcW w:w="708" w:type="dxa"/>
          </w:tcPr>
          <w:p w14:paraId="661C854F" w14:textId="17E8FA25" w:rsidR="00B471A1" w:rsidRPr="009B4651" w:rsidRDefault="00B471A1" w:rsidP="00BC6BA4">
            <w:pPr>
              <w:spacing w:line="360" w:lineRule="auto"/>
              <w:jc w:val="both"/>
              <w:rPr>
                <w:rFonts w:asciiTheme="majorHAnsi" w:hAnsiTheme="majorHAnsi"/>
                <w:color w:val="000000"/>
                <w:sz w:val="20"/>
                <w:szCs w:val="20"/>
              </w:rPr>
            </w:pPr>
            <w:r w:rsidRPr="009B4651">
              <w:rPr>
                <w:rFonts w:asciiTheme="majorHAnsi" w:hAnsiTheme="majorHAnsi"/>
                <w:color w:val="000000"/>
                <w:sz w:val="20"/>
                <w:szCs w:val="20"/>
              </w:rPr>
              <w:t>75%</w:t>
            </w:r>
          </w:p>
        </w:tc>
        <w:tc>
          <w:tcPr>
            <w:tcW w:w="709" w:type="dxa"/>
          </w:tcPr>
          <w:p w14:paraId="6F3302A9" w14:textId="01470D68" w:rsidR="00B471A1" w:rsidRPr="009B4651" w:rsidRDefault="00B471A1" w:rsidP="00BC6BA4">
            <w:pPr>
              <w:spacing w:line="360" w:lineRule="auto"/>
              <w:jc w:val="both"/>
              <w:rPr>
                <w:rFonts w:asciiTheme="majorHAnsi" w:hAnsiTheme="majorHAnsi"/>
                <w:color w:val="000000"/>
                <w:sz w:val="20"/>
                <w:szCs w:val="20"/>
              </w:rPr>
            </w:pPr>
            <w:r w:rsidRPr="009B4651">
              <w:rPr>
                <w:rFonts w:asciiTheme="majorHAnsi" w:hAnsiTheme="majorHAnsi"/>
                <w:color w:val="000000"/>
                <w:sz w:val="20"/>
                <w:szCs w:val="20"/>
              </w:rPr>
              <w:t>76%</w:t>
            </w:r>
          </w:p>
        </w:tc>
        <w:tc>
          <w:tcPr>
            <w:tcW w:w="709" w:type="dxa"/>
          </w:tcPr>
          <w:p w14:paraId="12F9FADE" w14:textId="2D346C01" w:rsidR="00B471A1" w:rsidRPr="009B4651" w:rsidRDefault="00B471A1" w:rsidP="00BC6BA4">
            <w:pPr>
              <w:spacing w:line="360" w:lineRule="auto"/>
              <w:jc w:val="both"/>
              <w:rPr>
                <w:rFonts w:asciiTheme="majorHAnsi" w:hAnsiTheme="majorHAnsi"/>
                <w:color w:val="000000"/>
                <w:sz w:val="20"/>
                <w:szCs w:val="20"/>
              </w:rPr>
            </w:pPr>
            <w:r w:rsidRPr="009B4651">
              <w:rPr>
                <w:rFonts w:asciiTheme="majorHAnsi" w:hAnsiTheme="majorHAnsi"/>
                <w:color w:val="000000"/>
                <w:sz w:val="20"/>
                <w:szCs w:val="20"/>
              </w:rPr>
              <w:t>79%</w:t>
            </w:r>
          </w:p>
        </w:tc>
        <w:tc>
          <w:tcPr>
            <w:tcW w:w="1026" w:type="dxa"/>
          </w:tcPr>
          <w:p w14:paraId="1B19D8AA" w14:textId="088950F4" w:rsidR="00B471A1" w:rsidRPr="009B4651" w:rsidRDefault="00B471A1" w:rsidP="00BC6BA4">
            <w:pPr>
              <w:spacing w:line="360" w:lineRule="auto"/>
              <w:jc w:val="both"/>
              <w:rPr>
                <w:rFonts w:asciiTheme="majorHAnsi" w:hAnsiTheme="majorHAnsi"/>
                <w:color w:val="000000"/>
                <w:sz w:val="20"/>
                <w:szCs w:val="20"/>
              </w:rPr>
            </w:pPr>
            <w:r w:rsidRPr="009B4651">
              <w:rPr>
                <w:rFonts w:asciiTheme="majorHAnsi" w:hAnsiTheme="majorHAnsi"/>
                <w:color w:val="000000"/>
                <w:sz w:val="20"/>
                <w:szCs w:val="20"/>
              </w:rPr>
              <w:t>77%</w:t>
            </w:r>
          </w:p>
        </w:tc>
      </w:tr>
      <w:tr w:rsidR="00B471A1" w:rsidRPr="006656F3" w14:paraId="4DA9FA88" w14:textId="77777777" w:rsidTr="00344A8A">
        <w:trPr>
          <w:trHeight w:val="273"/>
        </w:trPr>
        <w:tc>
          <w:tcPr>
            <w:tcW w:w="1526" w:type="dxa"/>
            <w:vMerge/>
          </w:tcPr>
          <w:p w14:paraId="1BCBF590" w14:textId="46FBBDC8" w:rsidR="00B471A1" w:rsidRPr="009B4651" w:rsidRDefault="00B471A1" w:rsidP="00BC6BA4">
            <w:pPr>
              <w:spacing w:line="360" w:lineRule="auto"/>
              <w:jc w:val="right"/>
              <w:rPr>
                <w:rFonts w:asciiTheme="majorHAnsi" w:hAnsiTheme="majorHAnsi"/>
                <w:color w:val="000000"/>
                <w:sz w:val="20"/>
                <w:szCs w:val="20"/>
              </w:rPr>
            </w:pPr>
          </w:p>
        </w:tc>
        <w:tc>
          <w:tcPr>
            <w:tcW w:w="709" w:type="dxa"/>
          </w:tcPr>
          <w:p w14:paraId="7A986868" w14:textId="2510F4E3" w:rsidR="00B471A1" w:rsidRPr="009B4651" w:rsidRDefault="00B471A1" w:rsidP="00BC6BA4">
            <w:pPr>
              <w:spacing w:line="360" w:lineRule="auto"/>
              <w:jc w:val="both"/>
              <w:rPr>
                <w:rFonts w:asciiTheme="majorHAnsi" w:hAnsiTheme="majorHAnsi"/>
                <w:color w:val="000000"/>
                <w:sz w:val="20"/>
                <w:szCs w:val="20"/>
              </w:rPr>
            </w:pPr>
            <w:r w:rsidRPr="009B4651">
              <w:rPr>
                <w:rFonts w:asciiTheme="majorHAnsi" w:hAnsiTheme="majorHAnsi"/>
                <w:color w:val="000000"/>
                <w:sz w:val="20"/>
                <w:szCs w:val="20"/>
              </w:rPr>
              <w:t>7%</w:t>
            </w:r>
          </w:p>
        </w:tc>
        <w:tc>
          <w:tcPr>
            <w:tcW w:w="708" w:type="dxa"/>
          </w:tcPr>
          <w:p w14:paraId="43EA487B" w14:textId="5FD11197" w:rsidR="00B471A1" w:rsidRPr="009B4651" w:rsidRDefault="00B471A1" w:rsidP="00BC6BA4">
            <w:pPr>
              <w:spacing w:line="360" w:lineRule="auto"/>
              <w:jc w:val="both"/>
              <w:rPr>
                <w:rFonts w:asciiTheme="majorHAnsi" w:hAnsiTheme="majorHAnsi"/>
                <w:color w:val="000000"/>
                <w:sz w:val="20"/>
                <w:szCs w:val="20"/>
              </w:rPr>
            </w:pPr>
            <w:r w:rsidRPr="009B4651">
              <w:rPr>
                <w:rFonts w:asciiTheme="majorHAnsi" w:hAnsiTheme="majorHAnsi"/>
                <w:color w:val="000000"/>
                <w:sz w:val="20"/>
                <w:szCs w:val="20"/>
              </w:rPr>
              <w:t>22%</w:t>
            </w:r>
          </w:p>
        </w:tc>
        <w:tc>
          <w:tcPr>
            <w:tcW w:w="709" w:type="dxa"/>
          </w:tcPr>
          <w:p w14:paraId="0DEB6357" w14:textId="1DD9FA2B" w:rsidR="00B471A1" w:rsidRPr="009B4651" w:rsidRDefault="00B471A1" w:rsidP="00BC6BA4">
            <w:pPr>
              <w:spacing w:line="360" w:lineRule="auto"/>
              <w:jc w:val="both"/>
              <w:rPr>
                <w:rFonts w:asciiTheme="majorHAnsi" w:hAnsiTheme="majorHAnsi"/>
                <w:color w:val="000000"/>
                <w:sz w:val="20"/>
                <w:szCs w:val="20"/>
              </w:rPr>
            </w:pPr>
            <w:r w:rsidRPr="009B4651">
              <w:rPr>
                <w:rFonts w:asciiTheme="majorHAnsi" w:hAnsiTheme="majorHAnsi"/>
                <w:color w:val="000000"/>
                <w:sz w:val="20"/>
                <w:szCs w:val="20"/>
              </w:rPr>
              <w:t>17%</w:t>
            </w:r>
          </w:p>
        </w:tc>
        <w:tc>
          <w:tcPr>
            <w:tcW w:w="709" w:type="dxa"/>
          </w:tcPr>
          <w:p w14:paraId="1A4EAD1E" w14:textId="4F203D2D" w:rsidR="00B471A1" w:rsidRPr="009B4651" w:rsidRDefault="00B471A1" w:rsidP="00BC6BA4">
            <w:pPr>
              <w:spacing w:line="360" w:lineRule="auto"/>
              <w:jc w:val="both"/>
              <w:rPr>
                <w:rFonts w:asciiTheme="majorHAnsi" w:hAnsiTheme="majorHAnsi"/>
                <w:color w:val="000000"/>
                <w:sz w:val="20"/>
                <w:szCs w:val="20"/>
              </w:rPr>
            </w:pPr>
            <w:r w:rsidRPr="009B4651">
              <w:rPr>
                <w:rFonts w:asciiTheme="majorHAnsi" w:hAnsiTheme="majorHAnsi"/>
                <w:color w:val="000000"/>
                <w:sz w:val="20"/>
                <w:szCs w:val="20"/>
              </w:rPr>
              <w:t>16%</w:t>
            </w:r>
          </w:p>
        </w:tc>
        <w:tc>
          <w:tcPr>
            <w:tcW w:w="1026" w:type="dxa"/>
          </w:tcPr>
          <w:p w14:paraId="57540754" w14:textId="51D416FA" w:rsidR="00B471A1" w:rsidRPr="009B4651" w:rsidRDefault="003E252B" w:rsidP="00BC6BA4">
            <w:pPr>
              <w:spacing w:line="360" w:lineRule="auto"/>
              <w:jc w:val="both"/>
              <w:rPr>
                <w:rFonts w:asciiTheme="majorHAnsi" w:hAnsiTheme="majorHAnsi"/>
                <w:color w:val="000000"/>
                <w:sz w:val="20"/>
                <w:szCs w:val="20"/>
              </w:rPr>
            </w:pPr>
            <w:r>
              <w:rPr>
                <w:rFonts w:asciiTheme="majorHAnsi" w:hAnsiTheme="majorHAnsi"/>
                <w:color w:val="000000"/>
                <w:sz w:val="20"/>
                <w:szCs w:val="20"/>
              </w:rPr>
              <w:t>18</w:t>
            </w:r>
            <w:r w:rsidR="00B471A1" w:rsidRPr="009B4651">
              <w:rPr>
                <w:rFonts w:asciiTheme="majorHAnsi" w:hAnsiTheme="majorHAnsi"/>
                <w:color w:val="000000"/>
                <w:sz w:val="20"/>
                <w:szCs w:val="20"/>
              </w:rPr>
              <w:t xml:space="preserve">% </w:t>
            </w:r>
          </w:p>
        </w:tc>
      </w:tr>
      <w:tr w:rsidR="00B471A1" w:rsidRPr="006656F3" w14:paraId="0DB180A0" w14:textId="77777777" w:rsidTr="00344A8A">
        <w:trPr>
          <w:trHeight w:val="273"/>
        </w:trPr>
        <w:tc>
          <w:tcPr>
            <w:tcW w:w="1526" w:type="dxa"/>
            <w:vMerge/>
          </w:tcPr>
          <w:p w14:paraId="61BB8986" w14:textId="6FA03279" w:rsidR="00B471A1" w:rsidRPr="009B4651" w:rsidRDefault="00B471A1" w:rsidP="00BC6BA4">
            <w:pPr>
              <w:spacing w:line="360" w:lineRule="auto"/>
              <w:jc w:val="right"/>
              <w:rPr>
                <w:rFonts w:asciiTheme="majorHAnsi" w:hAnsiTheme="majorHAnsi"/>
                <w:color w:val="000000"/>
                <w:sz w:val="20"/>
                <w:szCs w:val="20"/>
              </w:rPr>
            </w:pPr>
          </w:p>
        </w:tc>
        <w:tc>
          <w:tcPr>
            <w:tcW w:w="709" w:type="dxa"/>
          </w:tcPr>
          <w:p w14:paraId="7297CA25" w14:textId="168F70D9" w:rsidR="00B471A1" w:rsidRPr="009B4651" w:rsidRDefault="00B471A1" w:rsidP="00BC6BA4">
            <w:pPr>
              <w:spacing w:line="360" w:lineRule="auto"/>
              <w:jc w:val="both"/>
              <w:rPr>
                <w:rFonts w:asciiTheme="majorHAnsi" w:hAnsiTheme="majorHAnsi"/>
                <w:color w:val="000000"/>
                <w:sz w:val="20"/>
                <w:szCs w:val="20"/>
              </w:rPr>
            </w:pPr>
            <w:r w:rsidRPr="009B4651">
              <w:rPr>
                <w:rFonts w:asciiTheme="majorHAnsi" w:hAnsiTheme="majorHAnsi"/>
                <w:color w:val="000000"/>
                <w:sz w:val="20"/>
                <w:szCs w:val="20"/>
              </w:rPr>
              <w:t>4%</w:t>
            </w:r>
          </w:p>
        </w:tc>
        <w:tc>
          <w:tcPr>
            <w:tcW w:w="708" w:type="dxa"/>
          </w:tcPr>
          <w:p w14:paraId="4432DFEF" w14:textId="729CB7E0" w:rsidR="00B471A1" w:rsidRPr="009B4651" w:rsidRDefault="00B471A1" w:rsidP="00BC6BA4">
            <w:pPr>
              <w:spacing w:line="360" w:lineRule="auto"/>
              <w:jc w:val="both"/>
              <w:rPr>
                <w:rFonts w:asciiTheme="majorHAnsi" w:hAnsiTheme="majorHAnsi"/>
                <w:color w:val="000000"/>
                <w:sz w:val="20"/>
                <w:szCs w:val="20"/>
              </w:rPr>
            </w:pPr>
            <w:r w:rsidRPr="009B4651">
              <w:rPr>
                <w:rFonts w:asciiTheme="majorHAnsi" w:hAnsiTheme="majorHAnsi"/>
                <w:color w:val="000000"/>
                <w:sz w:val="20"/>
                <w:szCs w:val="20"/>
              </w:rPr>
              <w:t>4%</w:t>
            </w:r>
          </w:p>
        </w:tc>
        <w:tc>
          <w:tcPr>
            <w:tcW w:w="709" w:type="dxa"/>
          </w:tcPr>
          <w:p w14:paraId="6EC59C47" w14:textId="4E5EFD9E" w:rsidR="00B471A1" w:rsidRPr="009B4651" w:rsidRDefault="00B471A1" w:rsidP="00BC6BA4">
            <w:pPr>
              <w:spacing w:line="360" w:lineRule="auto"/>
              <w:jc w:val="both"/>
              <w:rPr>
                <w:rFonts w:asciiTheme="majorHAnsi" w:hAnsiTheme="majorHAnsi"/>
                <w:color w:val="000000"/>
                <w:sz w:val="20"/>
                <w:szCs w:val="20"/>
              </w:rPr>
            </w:pPr>
            <w:r w:rsidRPr="009B4651">
              <w:rPr>
                <w:rFonts w:asciiTheme="majorHAnsi" w:hAnsiTheme="majorHAnsi"/>
                <w:color w:val="000000"/>
                <w:sz w:val="20"/>
                <w:szCs w:val="20"/>
              </w:rPr>
              <w:t>8%</w:t>
            </w:r>
          </w:p>
        </w:tc>
        <w:tc>
          <w:tcPr>
            <w:tcW w:w="709" w:type="dxa"/>
          </w:tcPr>
          <w:p w14:paraId="2E09426F" w14:textId="22D7C6E2" w:rsidR="00B471A1" w:rsidRPr="009B4651" w:rsidRDefault="00B471A1" w:rsidP="00BC6BA4">
            <w:pPr>
              <w:spacing w:line="360" w:lineRule="auto"/>
              <w:jc w:val="both"/>
              <w:rPr>
                <w:rFonts w:asciiTheme="majorHAnsi" w:hAnsiTheme="majorHAnsi"/>
                <w:color w:val="000000"/>
                <w:sz w:val="20"/>
                <w:szCs w:val="20"/>
              </w:rPr>
            </w:pPr>
            <w:r w:rsidRPr="009B4651">
              <w:rPr>
                <w:rFonts w:asciiTheme="majorHAnsi" w:hAnsiTheme="majorHAnsi"/>
                <w:color w:val="000000"/>
                <w:sz w:val="20"/>
                <w:szCs w:val="20"/>
              </w:rPr>
              <w:t>4%</w:t>
            </w:r>
          </w:p>
        </w:tc>
        <w:tc>
          <w:tcPr>
            <w:tcW w:w="1026" w:type="dxa"/>
          </w:tcPr>
          <w:p w14:paraId="344672DE" w14:textId="4FA3A955" w:rsidR="00B471A1" w:rsidRPr="009B4651" w:rsidRDefault="003E252B" w:rsidP="00BC6BA4">
            <w:pPr>
              <w:spacing w:line="360" w:lineRule="auto"/>
              <w:jc w:val="both"/>
              <w:rPr>
                <w:rFonts w:asciiTheme="majorHAnsi" w:hAnsiTheme="majorHAnsi"/>
                <w:color w:val="000000"/>
                <w:sz w:val="20"/>
                <w:szCs w:val="20"/>
              </w:rPr>
            </w:pPr>
            <w:r>
              <w:rPr>
                <w:rFonts w:asciiTheme="majorHAnsi" w:hAnsiTheme="majorHAnsi"/>
                <w:color w:val="000000"/>
                <w:sz w:val="20"/>
                <w:szCs w:val="20"/>
              </w:rPr>
              <w:t>5</w:t>
            </w:r>
            <w:r w:rsidR="00B471A1" w:rsidRPr="009B4651">
              <w:rPr>
                <w:rFonts w:asciiTheme="majorHAnsi" w:hAnsiTheme="majorHAnsi"/>
                <w:color w:val="000000"/>
                <w:sz w:val="20"/>
                <w:szCs w:val="20"/>
              </w:rPr>
              <w:t>%</w:t>
            </w:r>
          </w:p>
        </w:tc>
      </w:tr>
      <w:tr w:rsidR="00B471A1" w:rsidRPr="006656F3" w14:paraId="3CB105BC" w14:textId="77777777" w:rsidTr="00344A8A">
        <w:trPr>
          <w:trHeight w:val="273"/>
        </w:trPr>
        <w:tc>
          <w:tcPr>
            <w:tcW w:w="1526" w:type="dxa"/>
          </w:tcPr>
          <w:p w14:paraId="6DA022A9" w14:textId="77777777" w:rsidR="00BC6BA4" w:rsidRPr="009B4651" w:rsidRDefault="00BC6BA4" w:rsidP="00BC6BA4">
            <w:pPr>
              <w:spacing w:line="360" w:lineRule="auto"/>
              <w:jc w:val="right"/>
              <w:rPr>
                <w:rFonts w:asciiTheme="majorHAnsi" w:hAnsiTheme="majorHAnsi"/>
                <w:color w:val="000000"/>
                <w:sz w:val="20"/>
                <w:szCs w:val="20"/>
              </w:rPr>
            </w:pPr>
            <w:r w:rsidRPr="009B4651">
              <w:rPr>
                <w:rFonts w:asciiTheme="majorHAnsi" w:hAnsiTheme="majorHAnsi"/>
                <w:color w:val="000000"/>
                <w:sz w:val="20"/>
                <w:szCs w:val="20"/>
              </w:rPr>
              <w:t>Total (N)</w:t>
            </w:r>
          </w:p>
        </w:tc>
        <w:tc>
          <w:tcPr>
            <w:tcW w:w="709" w:type="dxa"/>
          </w:tcPr>
          <w:p w14:paraId="335E9180" w14:textId="77777777" w:rsidR="00BC6BA4" w:rsidRPr="009B4651" w:rsidRDefault="00BC6BA4" w:rsidP="00BC6BA4">
            <w:pPr>
              <w:spacing w:line="360" w:lineRule="auto"/>
              <w:jc w:val="both"/>
              <w:rPr>
                <w:rFonts w:asciiTheme="majorHAnsi" w:hAnsiTheme="majorHAnsi"/>
                <w:color w:val="000000"/>
                <w:sz w:val="20"/>
                <w:szCs w:val="20"/>
              </w:rPr>
            </w:pPr>
            <w:r w:rsidRPr="009B4651">
              <w:rPr>
                <w:rFonts w:asciiTheme="majorHAnsi" w:hAnsiTheme="majorHAnsi"/>
                <w:color w:val="000000"/>
                <w:sz w:val="20"/>
                <w:szCs w:val="20"/>
              </w:rPr>
              <w:t xml:space="preserve">204 </w:t>
            </w:r>
          </w:p>
        </w:tc>
        <w:tc>
          <w:tcPr>
            <w:tcW w:w="708" w:type="dxa"/>
          </w:tcPr>
          <w:p w14:paraId="4E00A8C0" w14:textId="77777777" w:rsidR="00BC6BA4" w:rsidRPr="009B4651" w:rsidRDefault="00BC6BA4" w:rsidP="00BC6BA4">
            <w:pPr>
              <w:spacing w:line="360" w:lineRule="auto"/>
              <w:jc w:val="both"/>
              <w:rPr>
                <w:rFonts w:asciiTheme="majorHAnsi" w:hAnsiTheme="majorHAnsi"/>
                <w:color w:val="000000"/>
                <w:sz w:val="20"/>
                <w:szCs w:val="20"/>
              </w:rPr>
            </w:pPr>
            <w:r w:rsidRPr="009B4651">
              <w:rPr>
                <w:rFonts w:asciiTheme="majorHAnsi" w:hAnsiTheme="majorHAnsi"/>
                <w:color w:val="000000"/>
                <w:sz w:val="20"/>
                <w:szCs w:val="20"/>
              </w:rPr>
              <w:t xml:space="preserve">166 </w:t>
            </w:r>
          </w:p>
        </w:tc>
        <w:tc>
          <w:tcPr>
            <w:tcW w:w="709" w:type="dxa"/>
          </w:tcPr>
          <w:p w14:paraId="0A56B202" w14:textId="77777777" w:rsidR="00BC6BA4" w:rsidRPr="009B4651" w:rsidRDefault="00BC6BA4" w:rsidP="00BC6BA4">
            <w:pPr>
              <w:spacing w:line="360" w:lineRule="auto"/>
              <w:jc w:val="both"/>
              <w:rPr>
                <w:rFonts w:asciiTheme="majorHAnsi" w:hAnsiTheme="majorHAnsi"/>
                <w:color w:val="000000"/>
                <w:sz w:val="20"/>
                <w:szCs w:val="20"/>
              </w:rPr>
            </w:pPr>
            <w:r w:rsidRPr="009B4651">
              <w:rPr>
                <w:rFonts w:asciiTheme="majorHAnsi" w:hAnsiTheme="majorHAnsi"/>
                <w:color w:val="000000"/>
                <w:sz w:val="20"/>
                <w:szCs w:val="20"/>
              </w:rPr>
              <w:t xml:space="preserve">170 </w:t>
            </w:r>
          </w:p>
        </w:tc>
        <w:tc>
          <w:tcPr>
            <w:tcW w:w="709" w:type="dxa"/>
          </w:tcPr>
          <w:p w14:paraId="3AF7AB8D" w14:textId="77777777" w:rsidR="00BC6BA4" w:rsidRPr="009B4651" w:rsidRDefault="00BC6BA4" w:rsidP="00BC6BA4">
            <w:pPr>
              <w:spacing w:line="360" w:lineRule="auto"/>
              <w:jc w:val="both"/>
              <w:rPr>
                <w:rFonts w:asciiTheme="majorHAnsi" w:hAnsiTheme="majorHAnsi"/>
                <w:color w:val="000000"/>
                <w:sz w:val="20"/>
                <w:szCs w:val="20"/>
              </w:rPr>
            </w:pPr>
            <w:r w:rsidRPr="009B4651">
              <w:rPr>
                <w:rFonts w:asciiTheme="majorHAnsi" w:hAnsiTheme="majorHAnsi"/>
                <w:color w:val="000000"/>
                <w:sz w:val="20"/>
                <w:szCs w:val="20"/>
              </w:rPr>
              <w:t>119</w:t>
            </w:r>
          </w:p>
        </w:tc>
        <w:tc>
          <w:tcPr>
            <w:tcW w:w="1026" w:type="dxa"/>
          </w:tcPr>
          <w:p w14:paraId="4A7D1C3C" w14:textId="77777777" w:rsidR="00BC6BA4" w:rsidRPr="009B4651" w:rsidRDefault="00BC6BA4" w:rsidP="00BC6BA4">
            <w:pPr>
              <w:spacing w:line="360" w:lineRule="auto"/>
              <w:jc w:val="both"/>
              <w:rPr>
                <w:rFonts w:asciiTheme="majorHAnsi" w:hAnsiTheme="majorHAnsi"/>
                <w:color w:val="000000"/>
                <w:sz w:val="20"/>
                <w:szCs w:val="20"/>
              </w:rPr>
            </w:pPr>
            <w:r w:rsidRPr="009B4651">
              <w:rPr>
                <w:rFonts w:asciiTheme="majorHAnsi" w:hAnsiTheme="majorHAnsi"/>
                <w:color w:val="000000"/>
                <w:sz w:val="20"/>
                <w:szCs w:val="20"/>
              </w:rPr>
              <w:t>117</w:t>
            </w:r>
          </w:p>
        </w:tc>
      </w:tr>
    </w:tbl>
    <w:p w14:paraId="6E35D243" w14:textId="77777777" w:rsidR="00BC6BA4" w:rsidRDefault="00BC6BA4" w:rsidP="00BC6BA4"/>
    <w:p w14:paraId="5BCA4E50" w14:textId="37CDFFF7" w:rsidR="00327A3E" w:rsidRDefault="00327A3E" w:rsidP="00145163">
      <w:pPr>
        <w:rPr>
          <w:rFonts w:asciiTheme="majorHAnsi" w:hAnsiTheme="majorHAnsi"/>
          <w:sz w:val="22"/>
          <w:szCs w:val="22"/>
        </w:rPr>
      </w:pPr>
      <w:r>
        <w:rPr>
          <w:rFonts w:asciiTheme="majorHAnsi" w:hAnsiTheme="majorHAnsi"/>
          <w:sz w:val="22"/>
          <w:szCs w:val="22"/>
        </w:rPr>
        <w:t>In isolation, t</w:t>
      </w:r>
      <w:r w:rsidR="00577698">
        <w:rPr>
          <w:rFonts w:asciiTheme="majorHAnsi" w:hAnsiTheme="majorHAnsi"/>
          <w:sz w:val="22"/>
          <w:szCs w:val="22"/>
        </w:rPr>
        <w:t>hese data</w:t>
      </w:r>
      <w:r w:rsidR="00577698" w:rsidRPr="00577698">
        <w:rPr>
          <w:rFonts w:asciiTheme="majorHAnsi" w:hAnsiTheme="majorHAnsi"/>
          <w:sz w:val="22"/>
          <w:szCs w:val="22"/>
        </w:rPr>
        <w:t xml:space="preserve"> </w:t>
      </w:r>
      <w:r>
        <w:rPr>
          <w:rFonts w:asciiTheme="majorHAnsi" w:hAnsiTheme="majorHAnsi"/>
          <w:sz w:val="22"/>
          <w:szCs w:val="22"/>
        </w:rPr>
        <w:t xml:space="preserve">only </w:t>
      </w:r>
      <w:r w:rsidR="00577698">
        <w:rPr>
          <w:rFonts w:asciiTheme="majorHAnsi" w:hAnsiTheme="majorHAnsi"/>
          <w:sz w:val="22"/>
          <w:szCs w:val="22"/>
        </w:rPr>
        <w:t xml:space="preserve">permit us to observe the drop off: the proportion of aggrieved housing applicants that end up pursuing internal review is tiny; the proportion of aggrieved internal review applicants that end up appealing to the county court also seems small. </w:t>
      </w:r>
      <w:r>
        <w:rPr>
          <w:rFonts w:asciiTheme="majorHAnsi" w:hAnsiTheme="majorHAnsi"/>
          <w:sz w:val="22"/>
          <w:szCs w:val="22"/>
        </w:rPr>
        <w:t>W</w:t>
      </w:r>
      <w:r w:rsidR="00577698">
        <w:rPr>
          <w:rFonts w:asciiTheme="majorHAnsi" w:hAnsiTheme="majorHAnsi"/>
          <w:sz w:val="22"/>
          <w:szCs w:val="22"/>
        </w:rPr>
        <w:t xml:space="preserve">e are unable to speculate </w:t>
      </w:r>
      <w:r>
        <w:rPr>
          <w:rFonts w:asciiTheme="majorHAnsi" w:hAnsiTheme="majorHAnsi"/>
          <w:sz w:val="22"/>
          <w:szCs w:val="22"/>
        </w:rPr>
        <w:t xml:space="preserve">on the basis of these statistics </w:t>
      </w:r>
      <w:r w:rsidR="00577698">
        <w:rPr>
          <w:rFonts w:asciiTheme="majorHAnsi" w:hAnsiTheme="majorHAnsi"/>
          <w:sz w:val="22"/>
          <w:szCs w:val="22"/>
        </w:rPr>
        <w:t xml:space="preserve">about </w:t>
      </w:r>
      <w:r w:rsidR="003C71A5">
        <w:rPr>
          <w:rFonts w:asciiTheme="majorHAnsi" w:hAnsiTheme="majorHAnsi"/>
          <w:sz w:val="22"/>
          <w:szCs w:val="22"/>
        </w:rPr>
        <w:t>any causal relationship between the introduction of compulsory internal review</w:t>
      </w:r>
      <w:r w:rsidR="00577698">
        <w:rPr>
          <w:rFonts w:asciiTheme="majorHAnsi" w:hAnsiTheme="majorHAnsi"/>
          <w:sz w:val="22"/>
          <w:szCs w:val="22"/>
        </w:rPr>
        <w:t xml:space="preserve"> and </w:t>
      </w:r>
      <w:r w:rsidR="003C71A5">
        <w:rPr>
          <w:rFonts w:asciiTheme="majorHAnsi" w:hAnsiTheme="majorHAnsi"/>
          <w:sz w:val="22"/>
          <w:szCs w:val="22"/>
        </w:rPr>
        <w:t xml:space="preserve">the incidence of </w:t>
      </w:r>
      <w:r w:rsidR="005240C9">
        <w:rPr>
          <w:rFonts w:asciiTheme="majorHAnsi" w:hAnsiTheme="majorHAnsi"/>
          <w:sz w:val="22"/>
          <w:szCs w:val="22"/>
        </w:rPr>
        <w:t>subsequent</w:t>
      </w:r>
      <w:r w:rsidR="003C71A5">
        <w:rPr>
          <w:rFonts w:asciiTheme="majorHAnsi" w:hAnsiTheme="majorHAnsi"/>
          <w:sz w:val="22"/>
          <w:szCs w:val="22"/>
        </w:rPr>
        <w:t xml:space="preserve"> appeals</w:t>
      </w:r>
      <w:r w:rsidR="00577698">
        <w:rPr>
          <w:rFonts w:asciiTheme="majorHAnsi" w:hAnsiTheme="majorHAnsi"/>
          <w:sz w:val="22"/>
          <w:szCs w:val="22"/>
        </w:rPr>
        <w:t>.</w:t>
      </w:r>
      <w:r>
        <w:rPr>
          <w:rFonts w:asciiTheme="majorHAnsi" w:hAnsiTheme="majorHAnsi"/>
          <w:sz w:val="22"/>
          <w:szCs w:val="22"/>
        </w:rPr>
        <w:t xml:space="preserve"> Nonetheless, data from qualitative study</w:t>
      </w:r>
      <w:r w:rsidR="0017040C">
        <w:rPr>
          <w:rFonts w:asciiTheme="majorHAnsi" w:hAnsiTheme="majorHAnsi"/>
          <w:sz w:val="22"/>
          <w:szCs w:val="22"/>
        </w:rPr>
        <w:t xml:space="preserve"> 1</w:t>
      </w:r>
      <w:r>
        <w:rPr>
          <w:rFonts w:asciiTheme="majorHAnsi" w:hAnsiTheme="majorHAnsi"/>
          <w:sz w:val="22"/>
          <w:szCs w:val="22"/>
        </w:rPr>
        <w:t xml:space="preserve"> clearly suggest that there is a problem of applicant fatigue in relation to pursuing redress</w:t>
      </w:r>
      <w:r w:rsidR="0021321E">
        <w:rPr>
          <w:rFonts w:asciiTheme="majorHAnsi" w:hAnsiTheme="majorHAnsi"/>
          <w:sz w:val="22"/>
          <w:szCs w:val="22"/>
        </w:rPr>
        <w:t>, one of a number of reasons we identified in explaining low rate</w:t>
      </w:r>
      <w:r w:rsidR="002D6391">
        <w:rPr>
          <w:rFonts w:asciiTheme="majorHAnsi" w:hAnsiTheme="majorHAnsi"/>
          <w:sz w:val="22"/>
          <w:szCs w:val="22"/>
        </w:rPr>
        <w:t>s</w:t>
      </w:r>
      <w:r w:rsidR="0021321E">
        <w:rPr>
          <w:rFonts w:asciiTheme="majorHAnsi" w:hAnsiTheme="majorHAnsi"/>
          <w:sz w:val="22"/>
          <w:szCs w:val="22"/>
        </w:rPr>
        <w:t xml:space="preserve"> of internal review requests</w:t>
      </w:r>
      <w:r>
        <w:rPr>
          <w:rFonts w:asciiTheme="majorHAnsi" w:hAnsiTheme="majorHAnsi"/>
          <w:sz w:val="22"/>
          <w:szCs w:val="22"/>
        </w:rPr>
        <w:t xml:space="preserve">. This finding supports similar </w:t>
      </w:r>
      <w:r w:rsidR="002D6391">
        <w:rPr>
          <w:rFonts w:asciiTheme="majorHAnsi" w:hAnsiTheme="majorHAnsi"/>
          <w:sz w:val="22"/>
          <w:szCs w:val="22"/>
        </w:rPr>
        <w:t>discoveries</w:t>
      </w:r>
      <w:r>
        <w:rPr>
          <w:rFonts w:asciiTheme="majorHAnsi" w:hAnsiTheme="majorHAnsi"/>
          <w:sz w:val="22"/>
          <w:szCs w:val="22"/>
        </w:rPr>
        <w:t xml:space="preserve"> </w:t>
      </w:r>
      <w:r w:rsidR="002D6391">
        <w:rPr>
          <w:rFonts w:asciiTheme="majorHAnsi" w:hAnsiTheme="majorHAnsi"/>
          <w:sz w:val="22"/>
          <w:szCs w:val="22"/>
        </w:rPr>
        <w:t>in</w:t>
      </w:r>
      <w:r>
        <w:rPr>
          <w:rFonts w:asciiTheme="majorHAnsi" w:hAnsiTheme="majorHAnsi"/>
          <w:sz w:val="22"/>
          <w:szCs w:val="22"/>
        </w:rPr>
        <w:t xml:space="preserve"> other areas of social welfare.</w:t>
      </w:r>
      <w:r w:rsidR="00616899">
        <w:rPr>
          <w:rStyle w:val="FootnoteReference"/>
          <w:rFonts w:asciiTheme="majorHAnsi" w:hAnsiTheme="majorHAnsi"/>
          <w:sz w:val="22"/>
          <w:szCs w:val="22"/>
        </w:rPr>
        <w:footnoteReference w:id="26"/>
      </w:r>
      <w:r>
        <w:rPr>
          <w:rFonts w:asciiTheme="majorHAnsi" w:hAnsiTheme="majorHAnsi"/>
          <w:sz w:val="22"/>
          <w:szCs w:val="22"/>
        </w:rPr>
        <w:t xml:space="preserve"> It also, in turn, supports recent speculation, on the basis of time series data, that the recent introduction of mandatory reconsideration </w:t>
      </w:r>
      <w:r w:rsidR="003C71A5">
        <w:rPr>
          <w:rFonts w:asciiTheme="majorHAnsi" w:hAnsiTheme="majorHAnsi"/>
          <w:sz w:val="22"/>
          <w:szCs w:val="22"/>
        </w:rPr>
        <w:t xml:space="preserve">in social security </w:t>
      </w:r>
      <w:r>
        <w:rPr>
          <w:rFonts w:asciiTheme="majorHAnsi" w:hAnsiTheme="majorHAnsi"/>
          <w:sz w:val="22"/>
          <w:szCs w:val="22"/>
        </w:rPr>
        <w:t>has had a significant and negative impact on the incidence of tribunal appeals.</w:t>
      </w:r>
      <w:r w:rsidR="00385B10" w:rsidRPr="00385B10">
        <w:rPr>
          <w:rStyle w:val="FootnoteReference"/>
          <w:rFonts w:asciiTheme="majorHAnsi" w:hAnsiTheme="majorHAnsi"/>
          <w:sz w:val="22"/>
          <w:szCs w:val="22"/>
        </w:rPr>
        <w:t xml:space="preserve"> </w:t>
      </w:r>
      <w:r w:rsidR="00385B10">
        <w:rPr>
          <w:rStyle w:val="FootnoteReference"/>
          <w:rFonts w:asciiTheme="majorHAnsi" w:hAnsiTheme="majorHAnsi"/>
          <w:sz w:val="22"/>
          <w:szCs w:val="22"/>
        </w:rPr>
        <w:footnoteReference w:id="27"/>
      </w:r>
    </w:p>
    <w:p w14:paraId="64AA2538" w14:textId="3F285E37" w:rsidR="002F6B39" w:rsidRDefault="002F6B39" w:rsidP="002F6B39">
      <w:pPr>
        <w:pStyle w:val="Heading1"/>
      </w:pPr>
      <w:r>
        <w:t xml:space="preserve">The </w:t>
      </w:r>
      <w:r w:rsidR="000F771C">
        <w:t>Incidence</w:t>
      </w:r>
      <w:r>
        <w:t xml:space="preserve"> of Legal Representation</w:t>
      </w:r>
    </w:p>
    <w:p w14:paraId="7C30EECE" w14:textId="63AE437B" w:rsidR="002F6B39" w:rsidRDefault="002F6B39" w:rsidP="002F6B39">
      <w:pPr>
        <w:rPr>
          <w:rFonts w:asciiTheme="majorHAnsi" w:hAnsiTheme="majorHAnsi"/>
          <w:sz w:val="22"/>
          <w:szCs w:val="22"/>
        </w:rPr>
      </w:pPr>
      <w:r>
        <w:rPr>
          <w:rFonts w:asciiTheme="majorHAnsi" w:hAnsiTheme="majorHAnsi"/>
          <w:sz w:val="22"/>
          <w:szCs w:val="22"/>
        </w:rPr>
        <w:t xml:space="preserve">Sunkin </w:t>
      </w:r>
      <w:r w:rsidRPr="002F6B39">
        <w:rPr>
          <w:rFonts w:asciiTheme="majorHAnsi" w:hAnsiTheme="majorHAnsi"/>
          <w:i/>
          <w:sz w:val="22"/>
          <w:szCs w:val="22"/>
        </w:rPr>
        <w:t>et al</w:t>
      </w:r>
      <w:r>
        <w:rPr>
          <w:rFonts w:asciiTheme="majorHAnsi" w:hAnsiTheme="majorHAnsi"/>
          <w:sz w:val="22"/>
          <w:szCs w:val="22"/>
        </w:rPr>
        <w:t xml:space="preserve"> have reported</w:t>
      </w:r>
      <w:r w:rsidRPr="002F6B39">
        <w:rPr>
          <w:rFonts w:asciiTheme="majorHAnsi" w:hAnsiTheme="majorHAnsi"/>
          <w:sz w:val="22"/>
          <w:szCs w:val="22"/>
        </w:rPr>
        <w:t xml:space="preserve"> a correlation between high level</w:t>
      </w:r>
      <w:r w:rsidR="004D567E">
        <w:rPr>
          <w:rFonts w:asciiTheme="majorHAnsi" w:hAnsiTheme="majorHAnsi"/>
          <w:sz w:val="22"/>
          <w:szCs w:val="22"/>
        </w:rPr>
        <w:t>s</w:t>
      </w:r>
      <w:r w:rsidRPr="002F6B39">
        <w:rPr>
          <w:rFonts w:asciiTheme="majorHAnsi" w:hAnsiTheme="majorHAnsi"/>
          <w:sz w:val="22"/>
          <w:szCs w:val="22"/>
        </w:rPr>
        <w:t xml:space="preserve"> of judicial review challenge </w:t>
      </w:r>
      <w:r>
        <w:rPr>
          <w:rFonts w:asciiTheme="majorHAnsi" w:hAnsiTheme="majorHAnsi"/>
          <w:sz w:val="22"/>
          <w:szCs w:val="22"/>
        </w:rPr>
        <w:t xml:space="preserve">against particular local authorities </w:t>
      </w:r>
      <w:r w:rsidRPr="002F6B39">
        <w:rPr>
          <w:rFonts w:asciiTheme="majorHAnsi" w:hAnsiTheme="majorHAnsi"/>
          <w:sz w:val="22"/>
          <w:szCs w:val="22"/>
        </w:rPr>
        <w:t>and the presence of legal services</w:t>
      </w:r>
      <w:r>
        <w:rPr>
          <w:rFonts w:asciiTheme="majorHAnsi" w:hAnsiTheme="majorHAnsi"/>
          <w:sz w:val="22"/>
          <w:szCs w:val="22"/>
        </w:rPr>
        <w:t xml:space="preserve"> within those authorities’ boundaries</w:t>
      </w:r>
      <w:r w:rsidRPr="002F6B39">
        <w:rPr>
          <w:rFonts w:asciiTheme="majorHAnsi" w:hAnsiTheme="majorHAnsi"/>
          <w:sz w:val="22"/>
          <w:szCs w:val="22"/>
        </w:rPr>
        <w:t>.</w:t>
      </w:r>
      <w:r w:rsidRPr="002F6B39">
        <w:rPr>
          <w:rStyle w:val="FootnoteReference"/>
          <w:rFonts w:asciiTheme="majorHAnsi" w:hAnsiTheme="majorHAnsi"/>
          <w:sz w:val="22"/>
          <w:szCs w:val="22"/>
        </w:rPr>
        <w:footnoteReference w:id="28"/>
      </w:r>
      <w:r w:rsidRPr="002F6B39">
        <w:rPr>
          <w:rFonts w:asciiTheme="majorHAnsi" w:hAnsiTheme="majorHAnsi"/>
          <w:sz w:val="22"/>
          <w:szCs w:val="22"/>
        </w:rPr>
        <w:t xml:space="preserve"> That finding makes sense – the judicial review process is complex and unclear; the </w:t>
      </w:r>
      <w:r w:rsidR="000F771C">
        <w:rPr>
          <w:rFonts w:asciiTheme="majorHAnsi" w:hAnsiTheme="majorHAnsi"/>
          <w:sz w:val="22"/>
          <w:szCs w:val="22"/>
        </w:rPr>
        <w:t>N461 claim form assumes that a c</w:t>
      </w:r>
      <w:r w:rsidRPr="002F6B39">
        <w:rPr>
          <w:rFonts w:asciiTheme="majorHAnsi" w:hAnsiTheme="majorHAnsi"/>
          <w:sz w:val="22"/>
          <w:szCs w:val="22"/>
        </w:rPr>
        <w:t xml:space="preserve">laimant will be represented (as does the N463 application for urgent consideration); and administrative law is specialist, not least in determining its ambit and scope.  </w:t>
      </w:r>
    </w:p>
    <w:p w14:paraId="125E7BA0" w14:textId="77777777" w:rsidR="002F6B39" w:rsidRPr="002F6B39" w:rsidRDefault="002F6B39" w:rsidP="002F6B39">
      <w:pPr>
        <w:rPr>
          <w:rFonts w:asciiTheme="majorHAnsi" w:hAnsiTheme="majorHAnsi"/>
          <w:sz w:val="22"/>
          <w:szCs w:val="22"/>
        </w:rPr>
      </w:pPr>
    </w:p>
    <w:p w14:paraId="7C463DA8" w14:textId="1EDFBDCB" w:rsidR="002F6B39" w:rsidRDefault="002F6B39" w:rsidP="002F6B39">
      <w:pPr>
        <w:rPr>
          <w:rFonts w:asciiTheme="majorHAnsi" w:hAnsiTheme="majorHAnsi"/>
          <w:sz w:val="22"/>
          <w:szCs w:val="22"/>
        </w:rPr>
      </w:pPr>
      <w:r w:rsidRPr="002F6B39">
        <w:rPr>
          <w:rFonts w:asciiTheme="majorHAnsi" w:hAnsiTheme="majorHAnsi"/>
          <w:sz w:val="22"/>
          <w:szCs w:val="22"/>
        </w:rPr>
        <w:t xml:space="preserve">Homelessness internal review, on the other hand, is </w:t>
      </w:r>
      <w:r>
        <w:rPr>
          <w:rFonts w:asciiTheme="majorHAnsi" w:hAnsiTheme="majorHAnsi"/>
          <w:sz w:val="22"/>
          <w:szCs w:val="22"/>
        </w:rPr>
        <w:t xml:space="preserve">structured </w:t>
      </w:r>
      <w:r w:rsidRPr="002F6B39">
        <w:rPr>
          <w:rFonts w:asciiTheme="majorHAnsi" w:hAnsiTheme="majorHAnsi"/>
          <w:sz w:val="22"/>
          <w:szCs w:val="22"/>
        </w:rPr>
        <w:t>different</w:t>
      </w:r>
      <w:r>
        <w:rPr>
          <w:rFonts w:asciiTheme="majorHAnsi" w:hAnsiTheme="majorHAnsi"/>
          <w:sz w:val="22"/>
          <w:szCs w:val="22"/>
        </w:rPr>
        <w:t>ly</w:t>
      </w:r>
      <w:r w:rsidRPr="002F6B39">
        <w:rPr>
          <w:rFonts w:asciiTheme="majorHAnsi" w:hAnsiTheme="majorHAnsi"/>
          <w:sz w:val="22"/>
          <w:szCs w:val="22"/>
        </w:rPr>
        <w:t xml:space="preserve">.  The law may be complex and uncertain, and local authorities’ decision-making scope broad, but the actual entry point to the review process is </w:t>
      </w:r>
      <w:r w:rsidR="001F3C88">
        <w:rPr>
          <w:rFonts w:asciiTheme="majorHAnsi" w:hAnsiTheme="majorHAnsi"/>
          <w:sz w:val="22"/>
          <w:szCs w:val="22"/>
        </w:rPr>
        <w:t>quite</w:t>
      </w:r>
      <w:r w:rsidRPr="002F6B39">
        <w:rPr>
          <w:rFonts w:asciiTheme="majorHAnsi" w:hAnsiTheme="majorHAnsi"/>
          <w:sz w:val="22"/>
          <w:szCs w:val="22"/>
        </w:rPr>
        <w:t xml:space="preserve"> simple.  An applicant “requests” that the authority conduct a review of the decision and the ambit of a “request” is to be interpreted generously.</w:t>
      </w:r>
      <w:r w:rsidRPr="002F6B39">
        <w:rPr>
          <w:rStyle w:val="FootnoteReference"/>
          <w:rFonts w:asciiTheme="majorHAnsi" w:hAnsiTheme="majorHAnsi"/>
          <w:sz w:val="22"/>
          <w:szCs w:val="22"/>
        </w:rPr>
        <w:footnoteReference w:id="29"/>
      </w:r>
      <w:r w:rsidRPr="002F6B39">
        <w:rPr>
          <w:rFonts w:asciiTheme="majorHAnsi" w:hAnsiTheme="majorHAnsi"/>
          <w:sz w:val="22"/>
          <w:szCs w:val="22"/>
        </w:rPr>
        <w:t xml:space="preserve"> The applicant does not need to know homelessness law at all.  The review is a </w:t>
      </w:r>
      <w:r w:rsidRPr="002F6B39">
        <w:rPr>
          <w:rFonts w:asciiTheme="majorHAnsi" w:hAnsiTheme="majorHAnsi"/>
          <w:i/>
          <w:sz w:val="22"/>
          <w:szCs w:val="22"/>
        </w:rPr>
        <w:t>de novo</w:t>
      </w:r>
      <w:r w:rsidRPr="002F6B39">
        <w:rPr>
          <w:rFonts w:asciiTheme="majorHAnsi" w:hAnsiTheme="majorHAnsi"/>
          <w:sz w:val="22"/>
          <w:szCs w:val="22"/>
        </w:rPr>
        <w:t xml:space="preserve"> re-considera</w:t>
      </w:r>
      <w:r w:rsidR="00144E88">
        <w:rPr>
          <w:rFonts w:asciiTheme="majorHAnsi" w:hAnsiTheme="majorHAnsi"/>
          <w:sz w:val="22"/>
          <w:szCs w:val="22"/>
        </w:rPr>
        <w:t>tion based on the current facts</w:t>
      </w:r>
      <w:r w:rsidRPr="002F6B39">
        <w:rPr>
          <w:rFonts w:asciiTheme="majorHAnsi" w:hAnsiTheme="majorHAnsi"/>
          <w:sz w:val="22"/>
          <w:szCs w:val="22"/>
        </w:rPr>
        <w:t xml:space="preserve">.  </w:t>
      </w:r>
    </w:p>
    <w:p w14:paraId="029E465E" w14:textId="77777777" w:rsidR="002F6B39" w:rsidRPr="002F6B39" w:rsidRDefault="002F6B39" w:rsidP="002F6B39">
      <w:pPr>
        <w:rPr>
          <w:rFonts w:asciiTheme="majorHAnsi" w:hAnsiTheme="majorHAnsi"/>
          <w:sz w:val="22"/>
          <w:szCs w:val="22"/>
        </w:rPr>
      </w:pPr>
    </w:p>
    <w:p w14:paraId="536815B6" w14:textId="7F17590E" w:rsidR="00144E88" w:rsidRDefault="002F6B39" w:rsidP="00144E88">
      <w:pPr>
        <w:rPr>
          <w:rFonts w:asciiTheme="majorHAnsi" w:hAnsiTheme="majorHAnsi"/>
          <w:sz w:val="22"/>
          <w:szCs w:val="22"/>
        </w:rPr>
      </w:pPr>
      <w:r w:rsidRPr="002F6B39">
        <w:rPr>
          <w:rFonts w:asciiTheme="majorHAnsi" w:hAnsiTheme="majorHAnsi"/>
          <w:sz w:val="22"/>
          <w:szCs w:val="22"/>
        </w:rPr>
        <w:t xml:space="preserve">Genn </w:t>
      </w:r>
      <w:r>
        <w:rPr>
          <w:rFonts w:asciiTheme="majorHAnsi" w:hAnsiTheme="majorHAnsi"/>
          <w:sz w:val="22"/>
          <w:szCs w:val="22"/>
        </w:rPr>
        <w:t xml:space="preserve">has </w:t>
      </w:r>
      <w:r w:rsidRPr="002F6B39">
        <w:rPr>
          <w:rFonts w:asciiTheme="majorHAnsi" w:hAnsiTheme="majorHAnsi"/>
          <w:sz w:val="22"/>
          <w:szCs w:val="22"/>
        </w:rPr>
        <w:t xml:space="preserve">observed that about half </w:t>
      </w:r>
      <w:r w:rsidR="00130F93">
        <w:rPr>
          <w:rFonts w:asciiTheme="majorHAnsi" w:hAnsiTheme="majorHAnsi"/>
          <w:sz w:val="22"/>
          <w:szCs w:val="22"/>
        </w:rPr>
        <w:t>the</w:t>
      </w:r>
      <w:r w:rsidRPr="002F6B39">
        <w:rPr>
          <w:rFonts w:asciiTheme="majorHAnsi" w:hAnsiTheme="majorHAnsi"/>
          <w:sz w:val="22"/>
          <w:szCs w:val="22"/>
        </w:rPr>
        <w:t xml:space="preserve"> </w:t>
      </w:r>
      <w:r w:rsidR="00130F93">
        <w:rPr>
          <w:rFonts w:asciiTheme="majorHAnsi" w:hAnsiTheme="majorHAnsi"/>
          <w:sz w:val="22"/>
          <w:szCs w:val="22"/>
        </w:rPr>
        <w:t>people</w:t>
      </w:r>
      <w:r w:rsidRPr="002F6B39">
        <w:rPr>
          <w:rFonts w:asciiTheme="majorHAnsi" w:hAnsiTheme="majorHAnsi"/>
          <w:sz w:val="22"/>
          <w:szCs w:val="22"/>
        </w:rPr>
        <w:t xml:space="preserve"> who </w:t>
      </w:r>
      <w:r w:rsidR="00130F93">
        <w:rPr>
          <w:rFonts w:asciiTheme="majorHAnsi" w:hAnsiTheme="majorHAnsi"/>
          <w:sz w:val="22"/>
          <w:szCs w:val="22"/>
        </w:rPr>
        <w:t>try</w:t>
      </w:r>
      <w:r w:rsidRPr="002F6B39">
        <w:rPr>
          <w:rFonts w:asciiTheme="majorHAnsi" w:hAnsiTheme="majorHAnsi"/>
          <w:sz w:val="22"/>
          <w:szCs w:val="22"/>
        </w:rPr>
        <w:t xml:space="preserve"> to deal </w:t>
      </w:r>
      <w:r w:rsidR="000F771C" w:rsidRPr="002F6B39">
        <w:rPr>
          <w:rFonts w:asciiTheme="majorHAnsi" w:hAnsiTheme="majorHAnsi"/>
          <w:sz w:val="22"/>
          <w:szCs w:val="22"/>
        </w:rPr>
        <w:t xml:space="preserve">themselves </w:t>
      </w:r>
      <w:r w:rsidRPr="002F6B39">
        <w:rPr>
          <w:rFonts w:asciiTheme="majorHAnsi" w:hAnsiTheme="majorHAnsi"/>
          <w:sz w:val="22"/>
          <w:szCs w:val="22"/>
        </w:rPr>
        <w:t xml:space="preserve">with </w:t>
      </w:r>
      <w:r>
        <w:rPr>
          <w:rFonts w:asciiTheme="majorHAnsi" w:hAnsiTheme="majorHAnsi"/>
          <w:sz w:val="22"/>
          <w:szCs w:val="22"/>
        </w:rPr>
        <w:t xml:space="preserve">civil law </w:t>
      </w:r>
      <w:r w:rsidR="00130F93">
        <w:rPr>
          <w:rFonts w:asciiTheme="majorHAnsi" w:hAnsiTheme="majorHAnsi"/>
          <w:sz w:val="22"/>
          <w:szCs w:val="22"/>
        </w:rPr>
        <w:t>justiciable matters gi</w:t>
      </w:r>
      <w:r w:rsidR="008457E6">
        <w:rPr>
          <w:rFonts w:asciiTheme="majorHAnsi" w:hAnsiTheme="majorHAnsi"/>
          <w:sz w:val="22"/>
          <w:szCs w:val="22"/>
        </w:rPr>
        <w:t>ve up</w:t>
      </w:r>
      <w:r w:rsidR="007C1D11">
        <w:rPr>
          <w:rFonts w:asciiTheme="majorHAnsi" w:hAnsiTheme="majorHAnsi"/>
          <w:sz w:val="22"/>
          <w:szCs w:val="22"/>
        </w:rPr>
        <w:t>.</w:t>
      </w:r>
      <w:r w:rsidR="001F3C88">
        <w:rPr>
          <w:rStyle w:val="FootnoteReference"/>
          <w:rFonts w:asciiTheme="majorHAnsi" w:hAnsiTheme="majorHAnsi"/>
          <w:sz w:val="22"/>
          <w:szCs w:val="22"/>
        </w:rPr>
        <w:footnoteReference w:id="30"/>
      </w:r>
      <w:r w:rsidR="00144E88" w:rsidRPr="00144E88">
        <w:rPr>
          <w:rFonts w:asciiTheme="majorHAnsi" w:hAnsiTheme="majorHAnsi"/>
          <w:sz w:val="22"/>
          <w:szCs w:val="22"/>
        </w:rPr>
        <w:t xml:space="preserve"> </w:t>
      </w:r>
      <w:r w:rsidR="00144E88">
        <w:rPr>
          <w:rFonts w:asciiTheme="majorHAnsi" w:hAnsiTheme="majorHAnsi"/>
          <w:sz w:val="22"/>
          <w:szCs w:val="22"/>
        </w:rPr>
        <w:t>She</w:t>
      </w:r>
      <w:r w:rsidR="00144E88" w:rsidRPr="002F6B39">
        <w:rPr>
          <w:rFonts w:asciiTheme="majorHAnsi" w:hAnsiTheme="majorHAnsi"/>
          <w:sz w:val="22"/>
          <w:szCs w:val="22"/>
        </w:rPr>
        <w:t xml:space="preserve"> notes that</w:t>
      </w:r>
      <w:r w:rsidR="001F3C88">
        <w:rPr>
          <w:rFonts w:asciiTheme="majorHAnsi" w:hAnsiTheme="majorHAnsi"/>
          <w:sz w:val="22"/>
          <w:szCs w:val="22"/>
        </w:rPr>
        <w:t>:</w:t>
      </w:r>
      <w:r w:rsidR="00144E88" w:rsidRPr="002F6B39">
        <w:rPr>
          <w:rFonts w:asciiTheme="majorHAnsi" w:hAnsiTheme="majorHAnsi"/>
          <w:sz w:val="22"/>
          <w:szCs w:val="22"/>
        </w:rPr>
        <w:t xml:space="preserve"> </w:t>
      </w:r>
    </w:p>
    <w:p w14:paraId="5B15D3D6" w14:textId="77777777" w:rsidR="00144E88" w:rsidRDefault="00144E88" w:rsidP="00144E88">
      <w:pPr>
        <w:rPr>
          <w:rFonts w:asciiTheme="majorHAnsi" w:hAnsiTheme="majorHAnsi"/>
          <w:sz w:val="22"/>
          <w:szCs w:val="22"/>
        </w:rPr>
      </w:pPr>
    </w:p>
    <w:p w14:paraId="6F6CA815" w14:textId="77777777" w:rsidR="00144E88" w:rsidRDefault="00144E88" w:rsidP="00144E88">
      <w:pPr>
        <w:ind w:left="720"/>
        <w:rPr>
          <w:rFonts w:asciiTheme="majorHAnsi" w:hAnsiTheme="majorHAnsi"/>
          <w:sz w:val="22"/>
          <w:szCs w:val="22"/>
        </w:rPr>
      </w:pPr>
      <w:r w:rsidRPr="002F6B39">
        <w:rPr>
          <w:rFonts w:asciiTheme="majorHAnsi" w:hAnsiTheme="majorHAnsi"/>
          <w:sz w:val="22"/>
          <w:szCs w:val="22"/>
        </w:rPr>
        <w:lastRenderedPageBreak/>
        <w:t xml:space="preserve">Success in handling the problem alone depends on the type of problem, the competence of the person dealing with the problem, and the </w:t>
      </w:r>
      <w:r>
        <w:rPr>
          <w:rFonts w:asciiTheme="majorHAnsi" w:hAnsiTheme="majorHAnsi"/>
          <w:sz w:val="22"/>
          <w:szCs w:val="22"/>
        </w:rPr>
        <w:t>intransigence of the opposition</w:t>
      </w:r>
      <w:r w:rsidRPr="002F6B39">
        <w:rPr>
          <w:rFonts w:asciiTheme="majorHAnsi" w:hAnsiTheme="majorHAnsi"/>
          <w:sz w:val="22"/>
          <w:szCs w:val="22"/>
        </w:rPr>
        <w:t>.</w:t>
      </w:r>
      <w:r w:rsidRPr="002F6B39">
        <w:rPr>
          <w:rStyle w:val="FootnoteReference"/>
          <w:rFonts w:asciiTheme="majorHAnsi" w:hAnsiTheme="majorHAnsi"/>
          <w:sz w:val="22"/>
          <w:szCs w:val="22"/>
        </w:rPr>
        <w:footnoteReference w:id="31"/>
      </w:r>
      <w:r w:rsidRPr="002F6B39">
        <w:rPr>
          <w:rFonts w:asciiTheme="majorHAnsi" w:hAnsiTheme="majorHAnsi"/>
          <w:sz w:val="22"/>
          <w:szCs w:val="22"/>
        </w:rPr>
        <w:t xml:space="preserve">  </w:t>
      </w:r>
    </w:p>
    <w:p w14:paraId="36792AAF" w14:textId="77777777" w:rsidR="00144E88" w:rsidRDefault="00144E88" w:rsidP="00144E88">
      <w:pPr>
        <w:rPr>
          <w:rFonts w:asciiTheme="majorHAnsi" w:hAnsiTheme="majorHAnsi"/>
          <w:sz w:val="22"/>
          <w:szCs w:val="22"/>
        </w:rPr>
      </w:pPr>
    </w:p>
    <w:p w14:paraId="1F31E53A" w14:textId="0713FC45" w:rsidR="009552DF" w:rsidRDefault="00144E88" w:rsidP="00144E88">
      <w:pPr>
        <w:rPr>
          <w:rFonts w:asciiTheme="majorHAnsi" w:hAnsiTheme="majorHAnsi"/>
          <w:sz w:val="22"/>
          <w:szCs w:val="22"/>
        </w:rPr>
      </w:pPr>
      <w:r>
        <w:rPr>
          <w:rFonts w:asciiTheme="majorHAnsi" w:hAnsiTheme="majorHAnsi"/>
          <w:sz w:val="22"/>
          <w:szCs w:val="22"/>
        </w:rPr>
        <w:t>B</w:t>
      </w:r>
      <w:r w:rsidR="002F6B39" w:rsidRPr="002F6B39">
        <w:rPr>
          <w:rFonts w:asciiTheme="majorHAnsi" w:hAnsiTheme="majorHAnsi"/>
          <w:sz w:val="22"/>
          <w:szCs w:val="22"/>
        </w:rPr>
        <w:t>y contrast</w:t>
      </w:r>
      <w:r>
        <w:rPr>
          <w:rFonts w:asciiTheme="majorHAnsi" w:hAnsiTheme="majorHAnsi"/>
          <w:sz w:val="22"/>
          <w:szCs w:val="22"/>
        </w:rPr>
        <w:t>,</w:t>
      </w:r>
      <w:r w:rsidR="002F6B39" w:rsidRPr="002F6B39">
        <w:rPr>
          <w:rFonts w:asciiTheme="majorHAnsi" w:hAnsiTheme="majorHAnsi"/>
          <w:sz w:val="22"/>
          <w:szCs w:val="22"/>
        </w:rPr>
        <w:t xml:space="preserve"> </w:t>
      </w:r>
      <w:r w:rsidR="009552DF">
        <w:rPr>
          <w:rFonts w:asciiTheme="majorHAnsi" w:hAnsiTheme="majorHAnsi"/>
          <w:sz w:val="22"/>
          <w:szCs w:val="22"/>
        </w:rPr>
        <w:t xml:space="preserve">homelessness </w:t>
      </w:r>
      <w:r w:rsidR="002F6B39" w:rsidRPr="002F6B39">
        <w:rPr>
          <w:rFonts w:asciiTheme="majorHAnsi" w:hAnsiTheme="majorHAnsi"/>
          <w:sz w:val="22"/>
          <w:szCs w:val="22"/>
        </w:rPr>
        <w:t>applicants’ request</w:t>
      </w:r>
      <w:r w:rsidR="000F771C">
        <w:rPr>
          <w:rFonts w:asciiTheme="majorHAnsi" w:hAnsiTheme="majorHAnsi"/>
          <w:sz w:val="22"/>
          <w:szCs w:val="22"/>
        </w:rPr>
        <w:t>s</w:t>
      </w:r>
      <w:r w:rsidR="002F6B39" w:rsidRPr="002F6B39">
        <w:rPr>
          <w:rFonts w:asciiTheme="majorHAnsi" w:hAnsiTheme="majorHAnsi"/>
          <w:sz w:val="22"/>
          <w:szCs w:val="22"/>
        </w:rPr>
        <w:t xml:space="preserve"> for an internal review will always give rise to an outcome </w:t>
      </w:r>
      <w:r w:rsidR="001856BA">
        <w:rPr>
          <w:rFonts w:asciiTheme="majorHAnsi" w:hAnsiTheme="majorHAnsi"/>
          <w:sz w:val="22"/>
          <w:szCs w:val="22"/>
        </w:rPr>
        <w:t>with limited input</w:t>
      </w:r>
      <w:r w:rsidR="001856BA" w:rsidRPr="002F6B39">
        <w:rPr>
          <w:rFonts w:asciiTheme="majorHAnsi" w:hAnsiTheme="majorHAnsi"/>
          <w:sz w:val="22"/>
          <w:szCs w:val="22"/>
        </w:rPr>
        <w:t xml:space="preserve"> </w:t>
      </w:r>
      <w:r w:rsidR="00FF7FA7">
        <w:rPr>
          <w:rFonts w:asciiTheme="majorHAnsi" w:hAnsiTheme="majorHAnsi"/>
          <w:sz w:val="22"/>
          <w:szCs w:val="22"/>
        </w:rPr>
        <w:t xml:space="preserve">from them </w:t>
      </w:r>
      <w:r w:rsidR="002F6B39" w:rsidRPr="002F6B39">
        <w:rPr>
          <w:rFonts w:asciiTheme="majorHAnsi" w:hAnsiTheme="majorHAnsi"/>
          <w:sz w:val="22"/>
          <w:szCs w:val="22"/>
        </w:rPr>
        <w:t xml:space="preserve">(unless </w:t>
      </w:r>
      <w:r w:rsidR="00FF7FA7">
        <w:rPr>
          <w:rFonts w:asciiTheme="majorHAnsi" w:hAnsiTheme="majorHAnsi"/>
          <w:sz w:val="22"/>
          <w:szCs w:val="22"/>
        </w:rPr>
        <w:t>they withdraw</w:t>
      </w:r>
      <w:r w:rsidR="002F6B39" w:rsidRPr="002F6B39">
        <w:rPr>
          <w:rFonts w:asciiTheme="majorHAnsi" w:hAnsiTheme="majorHAnsi"/>
          <w:sz w:val="22"/>
          <w:szCs w:val="22"/>
        </w:rPr>
        <w:t xml:space="preserve"> the request)</w:t>
      </w:r>
      <w:r w:rsidR="001856BA">
        <w:rPr>
          <w:rFonts w:asciiTheme="majorHAnsi" w:hAnsiTheme="majorHAnsi"/>
          <w:sz w:val="22"/>
          <w:szCs w:val="22"/>
        </w:rPr>
        <w:t>.</w:t>
      </w:r>
      <w:r w:rsidR="002F6B39" w:rsidRPr="002F6B39">
        <w:rPr>
          <w:rStyle w:val="FootnoteReference"/>
          <w:rFonts w:asciiTheme="majorHAnsi" w:hAnsiTheme="majorHAnsi"/>
          <w:sz w:val="22"/>
          <w:szCs w:val="22"/>
        </w:rPr>
        <w:footnoteReference w:id="32"/>
      </w:r>
      <w:r w:rsidR="002F6B39" w:rsidRPr="002F6B39">
        <w:rPr>
          <w:rFonts w:asciiTheme="majorHAnsi" w:hAnsiTheme="majorHAnsi"/>
          <w:sz w:val="22"/>
          <w:szCs w:val="22"/>
        </w:rPr>
        <w:t xml:space="preserve">  </w:t>
      </w:r>
      <w:r w:rsidR="007C1D11">
        <w:rPr>
          <w:rFonts w:asciiTheme="majorHAnsi" w:hAnsiTheme="majorHAnsi"/>
          <w:sz w:val="22"/>
          <w:szCs w:val="22"/>
        </w:rPr>
        <w:t xml:space="preserve">Intransigence on the part of the local authority has been designed out of the system. </w:t>
      </w:r>
      <w:r>
        <w:rPr>
          <w:rFonts w:asciiTheme="majorHAnsi" w:hAnsiTheme="majorHAnsi"/>
          <w:sz w:val="22"/>
          <w:szCs w:val="22"/>
        </w:rPr>
        <w:t>The review</w:t>
      </w:r>
      <w:r w:rsidRPr="002F6B39">
        <w:rPr>
          <w:rFonts w:asciiTheme="majorHAnsi" w:hAnsiTheme="majorHAnsi"/>
          <w:sz w:val="22"/>
          <w:szCs w:val="22"/>
        </w:rPr>
        <w:t xml:space="preserve"> has a life of its own in that the applicant, once the review has been requested, can sit </w:t>
      </w:r>
      <w:r w:rsidR="00F70FBD" w:rsidRPr="002F6B39">
        <w:rPr>
          <w:rFonts w:asciiTheme="majorHAnsi" w:hAnsiTheme="majorHAnsi"/>
          <w:sz w:val="22"/>
          <w:szCs w:val="22"/>
        </w:rPr>
        <w:t xml:space="preserve">by </w:t>
      </w:r>
      <w:r w:rsidRPr="002F6B39">
        <w:rPr>
          <w:rFonts w:asciiTheme="majorHAnsi" w:hAnsiTheme="majorHAnsi"/>
          <w:sz w:val="22"/>
          <w:szCs w:val="22"/>
        </w:rPr>
        <w:t>passively</w:t>
      </w:r>
      <w:r w:rsidR="00334E15">
        <w:rPr>
          <w:rFonts w:asciiTheme="majorHAnsi" w:hAnsiTheme="majorHAnsi"/>
          <w:sz w:val="22"/>
          <w:szCs w:val="22"/>
        </w:rPr>
        <w:t>,</w:t>
      </w:r>
      <w:r w:rsidRPr="002F6B39">
        <w:rPr>
          <w:rFonts w:asciiTheme="majorHAnsi" w:hAnsiTheme="majorHAnsi"/>
          <w:sz w:val="22"/>
          <w:szCs w:val="22"/>
        </w:rPr>
        <w:t xml:space="preserve"> waiting for the outcome</w:t>
      </w:r>
      <w:r>
        <w:rPr>
          <w:rFonts w:asciiTheme="majorHAnsi" w:hAnsiTheme="majorHAnsi"/>
          <w:sz w:val="22"/>
          <w:szCs w:val="22"/>
        </w:rPr>
        <w:t xml:space="preserve">. </w:t>
      </w:r>
    </w:p>
    <w:p w14:paraId="165D5F95" w14:textId="77777777" w:rsidR="00144E88" w:rsidRDefault="00144E88" w:rsidP="002F6B39">
      <w:pPr>
        <w:rPr>
          <w:rFonts w:asciiTheme="majorHAnsi" w:hAnsiTheme="majorHAnsi"/>
          <w:sz w:val="22"/>
          <w:szCs w:val="22"/>
        </w:rPr>
      </w:pPr>
    </w:p>
    <w:p w14:paraId="147D85C9" w14:textId="6657B67C" w:rsidR="002F6B39" w:rsidRDefault="00144E88" w:rsidP="002F6B39">
      <w:pPr>
        <w:rPr>
          <w:rFonts w:asciiTheme="majorHAnsi" w:hAnsiTheme="majorHAnsi"/>
          <w:sz w:val="22"/>
          <w:szCs w:val="22"/>
        </w:rPr>
      </w:pPr>
      <w:r>
        <w:rPr>
          <w:rFonts w:asciiTheme="majorHAnsi" w:hAnsiTheme="majorHAnsi"/>
          <w:sz w:val="22"/>
          <w:szCs w:val="22"/>
        </w:rPr>
        <w:t xml:space="preserve">As we can see, then, </w:t>
      </w:r>
      <w:r w:rsidR="002F6B39" w:rsidRPr="002F6B39">
        <w:rPr>
          <w:rFonts w:asciiTheme="majorHAnsi" w:hAnsiTheme="majorHAnsi"/>
          <w:sz w:val="22"/>
          <w:szCs w:val="22"/>
        </w:rPr>
        <w:t>the internal review scheme has been set up to create an apparently level playing field, where legal competence and knowledge is irrelevant and intransigence should not occur.</w:t>
      </w:r>
      <w:r w:rsidR="009552DF">
        <w:rPr>
          <w:rFonts w:asciiTheme="majorHAnsi" w:hAnsiTheme="majorHAnsi"/>
          <w:sz w:val="22"/>
          <w:szCs w:val="22"/>
        </w:rPr>
        <w:t xml:space="preserve"> </w:t>
      </w:r>
      <w:r w:rsidR="002F6B39" w:rsidRPr="002F6B39">
        <w:rPr>
          <w:rFonts w:asciiTheme="majorHAnsi" w:hAnsiTheme="majorHAnsi"/>
          <w:sz w:val="22"/>
          <w:szCs w:val="22"/>
        </w:rPr>
        <w:t>The recognition that applicants are likely to be acting in person also underpins at least some of the</w:t>
      </w:r>
      <w:r w:rsidR="001F3C88">
        <w:rPr>
          <w:rFonts w:asciiTheme="majorHAnsi" w:hAnsiTheme="majorHAnsi"/>
          <w:sz w:val="22"/>
          <w:szCs w:val="22"/>
        </w:rPr>
        <w:t xml:space="preserve"> jurisprudence about the internal review</w:t>
      </w:r>
      <w:r w:rsidR="002F6B39" w:rsidRPr="002F6B39">
        <w:rPr>
          <w:rFonts w:asciiTheme="majorHAnsi" w:hAnsiTheme="majorHAnsi"/>
          <w:sz w:val="22"/>
          <w:szCs w:val="22"/>
        </w:rPr>
        <w:t xml:space="preserve"> process, using this as a justification for increased procedural protection.</w:t>
      </w:r>
      <w:r w:rsidR="002F6B39" w:rsidRPr="002F6B39">
        <w:rPr>
          <w:rStyle w:val="FootnoteReference"/>
          <w:rFonts w:asciiTheme="majorHAnsi" w:hAnsiTheme="majorHAnsi"/>
          <w:sz w:val="22"/>
          <w:szCs w:val="22"/>
        </w:rPr>
        <w:footnoteReference w:id="33"/>
      </w:r>
      <w:r w:rsidR="002F6B39" w:rsidRPr="002F6B39">
        <w:rPr>
          <w:rFonts w:asciiTheme="majorHAnsi" w:hAnsiTheme="majorHAnsi"/>
          <w:sz w:val="22"/>
          <w:szCs w:val="22"/>
        </w:rPr>
        <w:t xml:space="preserve">  In short, the system of internal review is premised on use by applicants without representation.</w:t>
      </w:r>
    </w:p>
    <w:p w14:paraId="11CDCE1A" w14:textId="77777777" w:rsidR="002F6B39" w:rsidRPr="002F6B39" w:rsidRDefault="002F6B39" w:rsidP="002F6B39">
      <w:pPr>
        <w:rPr>
          <w:rFonts w:asciiTheme="majorHAnsi" w:hAnsiTheme="majorHAnsi"/>
          <w:sz w:val="22"/>
          <w:szCs w:val="22"/>
        </w:rPr>
      </w:pPr>
    </w:p>
    <w:p w14:paraId="6E62B46D" w14:textId="654FB6C3" w:rsidR="002F6B39" w:rsidRDefault="009552DF" w:rsidP="002F6B39">
      <w:pPr>
        <w:rPr>
          <w:rFonts w:asciiTheme="majorHAnsi" w:hAnsiTheme="majorHAnsi"/>
          <w:sz w:val="22"/>
          <w:szCs w:val="22"/>
        </w:rPr>
      </w:pPr>
      <w:r>
        <w:rPr>
          <w:rFonts w:asciiTheme="majorHAnsi" w:hAnsiTheme="majorHAnsi"/>
          <w:sz w:val="22"/>
          <w:szCs w:val="22"/>
        </w:rPr>
        <w:t>Our</w:t>
      </w:r>
      <w:r w:rsidR="002F6B39" w:rsidRPr="002F6B39">
        <w:rPr>
          <w:rFonts w:asciiTheme="majorHAnsi" w:hAnsiTheme="majorHAnsi"/>
          <w:sz w:val="22"/>
          <w:szCs w:val="22"/>
        </w:rPr>
        <w:t xml:space="preserve"> survey data, ho</w:t>
      </w:r>
      <w:r w:rsidR="00334E15">
        <w:rPr>
          <w:rFonts w:asciiTheme="majorHAnsi" w:hAnsiTheme="majorHAnsi"/>
          <w:sz w:val="22"/>
          <w:szCs w:val="22"/>
        </w:rPr>
        <w:t xml:space="preserve">wever, tell a different story. The practice of internal review has departed significantly from the design fantasy. </w:t>
      </w:r>
      <w:r w:rsidR="004D567E">
        <w:rPr>
          <w:rFonts w:asciiTheme="majorHAnsi" w:hAnsiTheme="majorHAnsi"/>
          <w:sz w:val="22"/>
          <w:szCs w:val="22"/>
        </w:rPr>
        <w:t>Although we found no correlations in our data between levels of legal representation and the incidence of internal review</w:t>
      </w:r>
      <w:r w:rsidR="008B1E48">
        <w:rPr>
          <w:rFonts w:asciiTheme="majorHAnsi" w:hAnsiTheme="majorHAnsi"/>
          <w:sz w:val="22"/>
          <w:szCs w:val="22"/>
        </w:rPr>
        <w:t xml:space="preserve"> applications</w:t>
      </w:r>
      <w:r w:rsidR="004D567E">
        <w:rPr>
          <w:rFonts w:asciiTheme="majorHAnsi" w:hAnsiTheme="majorHAnsi"/>
          <w:sz w:val="22"/>
          <w:szCs w:val="22"/>
        </w:rPr>
        <w:t>, t</w:t>
      </w:r>
      <w:r>
        <w:rPr>
          <w:rFonts w:asciiTheme="majorHAnsi" w:hAnsiTheme="majorHAnsi"/>
          <w:sz w:val="22"/>
          <w:szCs w:val="22"/>
        </w:rPr>
        <w:t xml:space="preserve">he proportion </w:t>
      </w:r>
      <w:r w:rsidR="00E16D9A">
        <w:rPr>
          <w:rFonts w:asciiTheme="majorHAnsi" w:hAnsiTheme="majorHAnsi"/>
          <w:sz w:val="22"/>
          <w:szCs w:val="22"/>
        </w:rPr>
        <w:t xml:space="preserve">of </w:t>
      </w:r>
      <w:r>
        <w:rPr>
          <w:rFonts w:asciiTheme="majorHAnsi" w:hAnsiTheme="majorHAnsi"/>
          <w:sz w:val="22"/>
          <w:szCs w:val="22"/>
        </w:rPr>
        <w:t xml:space="preserve">internal review applicants being represented has </w:t>
      </w:r>
      <w:r w:rsidR="004D567E">
        <w:rPr>
          <w:rFonts w:asciiTheme="majorHAnsi" w:hAnsiTheme="majorHAnsi"/>
          <w:sz w:val="22"/>
          <w:szCs w:val="22"/>
        </w:rPr>
        <w:t xml:space="preserve">nonetheless </w:t>
      </w:r>
      <w:r w:rsidR="00E16D9A">
        <w:rPr>
          <w:rFonts w:asciiTheme="majorHAnsi" w:hAnsiTheme="majorHAnsi"/>
          <w:sz w:val="22"/>
          <w:szCs w:val="22"/>
        </w:rPr>
        <w:t>increased</w:t>
      </w:r>
      <w:r>
        <w:rPr>
          <w:rFonts w:asciiTheme="majorHAnsi" w:hAnsiTheme="majorHAnsi"/>
          <w:sz w:val="22"/>
          <w:szCs w:val="22"/>
        </w:rPr>
        <w:t xml:space="preserve"> </w:t>
      </w:r>
      <w:r w:rsidR="00E16D9A">
        <w:rPr>
          <w:rFonts w:asciiTheme="majorHAnsi" w:hAnsiTheme="majorHAnsi"/>
          <w:sz w:val="22"/>
          <w:szCs w:val="22"/>
        </w:rPr>
        <w:t>over the period of our research</w:t>
      </w:r>
      <w:r>
        <w:rPr>
          <w:rFonts w:asciiTheme="majorHAnsi" w:hAnsiTheme="majorHAnsi"/>
          <w:sz w:val="22"/>
          <w:szCs w:val="22"/>
        </w:rPr>
        <w:t>.</w:t>
      </w:r>
      <w:r w:rsidR="00E16D9A" w:rsidRPr="00E16D9A">
        <w:rPr>
          <w:rFonts w:asciiTheme="majorHAnsi" w:hAnsiTheme="majorHAnsi"/>
          <w:sz w:val="22"/>
          <w:szCs w:val="22"/>
        </w:rPr>
        <w:t xml:space="preserve"> </w:t>
      </w:r>
      <w:r w:rsidR="00E16D9A">
        <w:rPr>
          <w:rFonts w:asciiTheme="majorHAnsi" w:hAnsiTheme="majorHAnsi"/>
          <w:sz w:val="22"/>
          <w:szCs w:val="22"/>
        </w:rPr>
        <w:t xml:space="preserve">In </w:t>
      </w:r>
      <w:r w:rsidR="00001508">
        <w:rPr>
          <w:rFonts w:asciiTheme="majorHAnsi" w:hAnsiTheme="majorHAnsi"/>
          <w:sz w:val="22"/>
          <w:szCs w:val="22"/>
        </w:rPr>
        <w:t>our most recent survey, more tha</w:t>
      </w:r>
      <w:r w:rsidR="00E16D9A">
        <w:rPr>
          <w:rFonts w:asciiTheme="majorHAnsi" w:hAnsiTheme="majorHAnsi"/>
          <w:sz w:val="22"/>
          <w:szCs w:val="22"/>
        </w:rPr>
        <w:t xml:space="preserve">n a third of local authorities reported that </w:t>
      </w:r>
      <w:r w:rsidR="00E16D9A" w:rsidRPr="00334E15">
        <w:rPr>
          <w:rFonts w:asciiTheme="majorHAnsi" w:hAnsiTheme="majorHAnsi"/>
          <w:i/>
          <w:sz w:val="22"/>
          <w:szCs w:val="22"/>
        </w:rPr>
        <w:t>most</w:t>
      </w:r>
      <w:r w:rsidR="00E16D9A">
        <w:rPr>
          <w:rFonts w:asciiTheme="majorHAnsi" w:hAnsiTheme="majorHAnsi"/>
          <w:sz w:val="22"/>
          <w:szCs w:val="22"/>
        </w:rPr>
        <w:t xml:space="preserve"> internal review applicants are now legally represented.</w:t>
      </w:r>
    </w:p>
    <w:p w14:paraId="631C8E0B" w14:textId="77777777" w:rsidR="009552DF" w:rsidRDefault="009552DF" w:rsidP="002F6B39">
      <w:pPr>
        <w:rPr>
          <w:rFonts w:asciiTheme="majorHAnsi" w:hAnsiTheme="majorHAnsi"/>
          <w:sz w:val="22"/>
          <w:szCs w:val="22"/>
        </w:rPr>
      </w:pPr>
    </w:p>
    <w:p w14:paraId="6E55E6DE" w14:textId="520B2EC3" w:rsidR="009552DF" w:rsidRPr="006D1699" w:rsidRDefault="005150A2" w:rsidP="00770A45">
      <w:pPr>
        <w:pStyle w:val="Heading5"/>
        <w:spacing w:before="0" w:after="120"/>
        <w:rPr>
          <w:rFonts w:ascii="Arial" w:hAnsi="Arial" w:cs="Arial"/>
          <w:b/>
          <w:color w:val="auto"/>
          <w:sz w:val="18"/>
          <w:szCs w:val="18"/>
        </w:rPr>
      </w:pPr>
      <w:r>
        <w:rPr>
          <w:rFonts w:ascii="Arial" w:hAnsi="Arial" w:cs="Arial"/>
          <w:b/>
          <w:color w:val="auto"/>
          <w:sz w:val="18"/>
          <w:szCs w:val="18"/>
        </w:rPr>
        <w:t xml:space="preserve">Table 3: </w:t>
      </w:r>
      <w:r w:rsidR="009552DF" w:rsidRPr="006D1699">
        <w:rPr>
          <w:rFonts w:ascii="Arial" w:hAnsi="Arial" w:cs="Arial"/>
          <w:b/>
          <w:color w:val="auto"/>
          <w:sz w:val="18"/>
          <w:szCs w:val="18"/>
        </w:rPr>
        <w:t xml:space="preserve">What proportion of internal review applicants are </w:t>
      </w:r>
      <w:r w:rsidR="00E16D9A">
        <w:rPr>
          <w:rFonts w:ascii="Arial" w:hAnsi="Arial" w:cs="Arial"/>
          <w:b/>
          <w:color w:val="auto"/>
          <w:sz w:val="18"/>
          <w:szCs w:val="18"/>
        </w:rPr>
        <w:t xml:space="preserve">legally </w:t>
      </w:r>
      <w:r w:rsidR="009552DF" w:rsidRPr="006D1699">
        <w:rPr>
          <w:rFonts w:ascii="Arial" w:hAnsi="Arial" w:cs="Arial"/>
          <w:b/>
          <w:color w:val="auto"/>
          <w:sz w:val="18"/>
          <w:szCs w:val="18"/>
        </w:rPr>
        <w:t>represented?</w:t>
      </w:r>
    </w:p>
    <w:tbl>
      <w:tblPr>
        <w:tblStyle w:val="TableGrid"/>
        <w:tblW w:w="7196" w:type="dxa"/>
        <w:tblLayout w:type="fixed"/>
        <w:tblLook w:val="0000" w:firstRow="0" w:lastRow="0" w:firstColumn="0" w:lastColumn="0" w:noHBand="0" w:noVBand="0"/>
      </w:tblPr>
      <w:tblGrid>
        <w:gridCol w:w="2943"/>
        <w:gridCol w:w="850"/>
        <w:gridCol w:w="851"/>
        <w:gridCol w:w="850"/>
        <w:gridCol w:w="851"/>
        <w:gridCol w:w="851"/>
      </w:tblGrid>
      <w:tr w:rsidR="00E16D9A" w14:paraId="48876EFA" w14:textId="77777777" w:rsidTr="00D33469">
        <w:trPr>
          <w:trHeight w:val="273"/>
        </w:trPr>
        <w:tc>
          <w:tcPr>
            <w:tcW w:w="2943" w:type="dxa"/>
          </w:tcPr>
          <w:p w14:paraId="7086D3F9" w14:textId="548290C9" w:rsidR="009552DF" w:rsidRPr="00D33469" w:rsidRDefault="009552DF" w:rsidP="00D33469">
            <w:pPr>
              <w:jc w:val="both"/>
              <w:rPr>
                <w:rFonts w:asciiTheme="majorHAnsi" w:hAnsiTheme="majorHAnsi"/>
                <w:b/>
                <w:color w:val="000000"/>
                <w:sz w:val="20"/>
                <w:szCs w:val="20"/>
                <w:lang w:val="en-US"/>
              </w:rPr>
            </w:pPr>
            <w:r w:rsidRPr="00D33469">
              <w:rPr>
                <w:rFonts w:asciiTheme="majorHAnsi" w:hAnsiTheme="majorHAnsi"/>
                <w:b/>
                <w:color w:val="000000"/>
                <w:sz w:val="20"/>
                <w:szCs w:val="20"/>
                <w:lang w:val="en-US"/>
              </w:rPr>
              <w:t xml:space="preserve"> Proportion of internal review applications </w:t>
            </w:r>
            <w:r w:rsidR="00E16D9A" w:rsidRPr="00D33469">
              <w:rPr>
                <w:rFonts w:asciiTheme="majorHAnsi" w:hAnsiTheme="majorHAnsi"/>
                <w:b/>
                <w:color w:val="000000"/>
                <w:sz w:val="20"/>
                <w:szCs w:val="20"/>
                <w:lang w:val="en-US"/>
              </w:rPr>
              <w:t>legally</w:t>
            </w:r>
            <w:r w:rsidRPr="00D33469">
              <w:rPr>
                <w:rFonts w:asciiTheme="majorHAnsi" w:hAnsiTheme="majorHAnsi"/>
                <w:b/>
                <w:color w:val="000000"/>
                <w:sz w:val="20"/>
                <w:szCs w:val="20"/>
                <w:lang w:val="en-US"/>
              </w:rPr>
              <w:t xml:space="preserve"> represented</w:t>
            </w:r>
          </w:p>
        </w:tc>
        <w:tc>
          <w:tcPr>
            <w:tcW w:w="850" w:type="dxa"/>
          </w:tcPr>
          <w:p w14:paraId="7F7EE513" w14:textId="77777777" w:rsidR="009552DF" w:rsidRPr="00D33469" w:rsidRDefault="009552DF" w:rsidP="009552DF">
            <w:pPr>
              <w:spacing w:line="360" w:lineRule="auto"/>
              <w:jc w:val="center"/>
              <w:rPr>
                <w:rFonts w:asciiTheme="majorHAnsi" w:hAnsiTheme="majorHAnsi"/>
                <w:b/>
                <w:color w:val="000000"/>
                <w:sz w:val="20"/>
                <w:szCs w:val="20"/>
                <w:lang w:val="en-US"/>
              </w:rPr>
            </w:pPr>
            <w:r w:rsidRPr="00D33469">
              <w:rPr>
                <w:rFonts w:asciiTheme="majorHAnsi" w:hAnsiTheme="majorHAnsi"/>
                <w:b/>
                <w:color w:val="000000"/>
                <w:sz w:val="20"/>
                <w:szCs w:val="20"/>
                <w:lang w:val="en-US"/>
              </w:rPr>
              <w:t>1998</w:t>
            </w:r>
          </w:p>
        </w:tc>
        <w:tc>
          <w:tcPr>
            <w:tcW w:w="851" w:type="dxa"/>
          </w:tcPr>
          <w:p w14:paraId="42270037" w14:textId="77777777" w:rsidR="009552DF" w:rsidRPr="00D33469" w:rsidRDefault="009552DF" w:rsidP="009552DF">
            <w:pPr>
              <w:spacing w:line="360" w:lineRule="auto"/>
              <w:jc w:val="center"/>
              <w:rPr>
                <w:rFonts w:asciiTheme="majorHAnsi" w:hAnsiTheme="majorHAnsi"/>
                <w:b/>
                <w:color w:val="000000"/>
                <w:sz w:val="20"/>
                <w:szCs w:val="20"/>
                <w:lang w:val="en-US"/>
              </w:rPr>
            </w:pPr>
            <w:r w:rsidRPr="00D33469">
              <w:rPr>
                <w:rFonts w:asciiTheme="majorHAnsi" w:hAnsiTheme="majorHAnsi"/>
                <w:b/>
                <w:color w:val="000000"/>
                <w:sz w:val="20"/>
                <w:szCs w:val="20"/>
                <w:lang w:val="en-US"/>
              </w:rPr>
              <w:t>2001</w:t>
            </w:r>
          </w:p>
        </w:tc>
        <w:tc>
          <w:tcPr>
            <w:tcW w:w="850" w:type="dxa"/>
          </w:tcPr>
          <w:p w14:paraId="6D4010A0" w14:textId="77777777" w:rsidR="009552DF" w:rsidRPr="00D33469" w:rsidRDefault="009552DF" w:rsidP="009552DF">
            <w:pPr>
              <w:spacing w:line="360" w:lineRule="auto"/>
              <w:jc w:val="center"/>
              <w:rPr>
                <w:rFonts w:asciiTheme="majorHAnsi" w:hAnsiTheme="majorHAnsi"/>
                <w:b/>
                <w:color w:val="000000"/>
                <w:sz w:val="20"/>
                <w:szCs w:val="20"/>
                <w:lang w:val="en-US"/>
              </w:rPr>
            </w:pPr>
            <w:r w:rsidRPr="00D33469">
              <w:rPr>
                <w:rFonts w:asciiTheme="majorHAnsi" w:hAnsiTheme="majorHAnsi"/>
                <w:b/>
                <w:color w:val="000000"/>
                <w:sz w:val="20"/>
                <w:szCs w:val="20"/>
                <w:lang w:val="en-US"/>
              </w:rPr>
              <w:t>2003</w:t>
            </w:r>
          </w:p>
        </w:tc>
        <w:tc>
          <w:tcPr>
            <w:tcW w:w="851" w:type="dxa"/>
          </w:tcPr>
          <w:p w14:paraId="4DCAB160" w14:textId="78A0E843" w:rsidR="009552DF" w:rsidRPr="00D33469" w:rsidRDefault="009552DF" w:rsidP="009552DF">
            <w:pPr>
              <w:spacing w:line="360" w:lineRule="auto"/>
              <w:jc w:val="center"/>
              <w:rPr>
                <w:rFonts w:asciiTheme="majorHAnsi" w:hAnsiTheme="majorHAnsi"/>
                <w:b/>
                <w:color w:val="000000"/>
                <w:sz w:val="20"/>
                <w:szCs w:val="20"/>
                <w:lang w:val="en-US"/>
              </w:rPr>
            </w:pPr>
            <w:r w:rsidRPr="00D33469">
              <w:rPr>
                <w:rFonts w:asciiTheme="majorHAnsi" w:hAnsiTheme="majorHAnsi"/>
                <w:b/>
                <w:color w:val="000000"/>
                <w:sz w:val="20"/>
                <w:szCs w:val="20"/>
                <w:lang w:val="en-US"/>
              </w:rPr>
              <w:t>2010</w:t>
            </w:r>
          </w:p>
        </w:tc>
        <w:tc>
          <w:tcPr>
            <w:tcW w:w="851" w:type="dxa"/>
          </w:tcPr>
          <w:p w14:paraId="74039566" w14:textId="4FFB492D" w:rsidR="009552DF" w:rsidRPr="00D33469" w:rsidRDefault="009552DF" w:rsidP="009552DF">
            <w:pPr>
              <w:spacing w:line="360" w:lineRule="auto"/>
              <w:jc w:val="center"/>
              <w:rPr>
                <w:rFonts w:asciiTheme="majorHAnsi" w:hAnsiTheme="majorHAnsi"/>
                <w:b/>
                <w:color w:val="000000"/>
                <w:sz w:val="20"/>
                <w:szCs w:val="20"/>
                <w:lang w:val="en-US"/>
              </w:rPr>
            </w:pPr>
            <w:r w:rsidRPr="00D33469">
              <w:rPr>
                <w:rFonts w:asciiTheme="majorHAnsi" w:hAnsiTheme="majorHAnsi"/>
                <w:b/>
                <w:color w:val="000000"/>
                <w:sz w:val="20"/>
                <w:szCs w:val="20"/>
                <w:lang w:val="en-US"/>
              </w:rPr>
              <w:t>2014</w:t>
            </w:r>
          </w:p>
        </w:tc>
      </w:tr>
      <w:tr w:rsidR="00E16D9A" w14:paraId="576B0669" w14:textId="77777777" w:rsidTr="00D33469">
        <w:trPr>
          <w:trHeight w:val="273"/>
        </w:trPr>
        <w:tc>
          <w:tcPr>
            <w:tcW w:w="2943" w:type="dxa"/>
            <w:vMerge w:val="restart"/>
          </w:tcPr>
          <w:p w14:paraId="0EB93BBD" w14:textId="4DBEC3C4" w:rsidR="009552DF" w:rsidRPr="00D33469" w:rsidRDefault="00E16D9A" w:rsidP="00E16D9A">
            <w:pPr>
              <w:spacing w:line="360" w:lineRule="auto"/>
              <w:jc w:val="right"/>
              <w:rPr>
                <w:rFonts w:asciiTheme="majorHAnsi" w:hAnsiTheme="majorHAnsi"/>
                <w:color w:val="000000"/>
                <w:sz w:val="20"/>
                <w:szCs w:val="20"/>
                <w:lang w:val="en-US"/>
              </w:rPr>
            </w:pPr>
            <w:r w:rsidRPr="00D33469">
              <w:rPr>
                <w:rFonts w:asciiTheme="majorHAnsi" w:hAnsiTheme="majorHAnsi"/>
                <w:color w:val="000000"/>
                <w:sz w:val="20"/>
                <w:szCs w:val="20"/>
                <w:lang w:val="en-US"/>
              </w:rPr>
              <w:t>Half or more</w:t>
            </w:r>
          </w:p>
          <w:p w14:paraId="7631838B" w14:textId="6469B882" w:rsidR="009552DF" w:rsidRPr="00D33469" w:rsidRDefault="009552DF" w:rsidP="00E16D9A">
            <w:pPr>
              <w:spacing w:line="360" w:lineRule="auto"/>
              <w:jc w:val="right"/>
              <w:rPr>
                <w:rFonts w:asciiTheme="majorHAnsi" w:hAnsiTheme="majorHAnsi"/>
                <w:color w:val="000000"/>
                <w:sz w:val="20"/>
                <w:szCs w:val="20"/>
                <w:lang w:val="en-US"/>
              </w:rPr>
            </w:pPr>
            <w:r w:rsidRPr="00D33469">
              <w:rPr>
                <w:rFonts w:asciiTheme="majorHAnsi" w:hAnsiTheme="majorHAnsi"/>
                <w:color w:val="000000"/>
                <w:sz w:val="20"/>
                <w:szCs w:val="20"/>
                <w:lang w:val="en-US"/>
              </w:rPr>
              <w:t xml:space="preserve"> </w:t>
            </w:r>
            <w:r w:rsidR="00E16D9A" w:rsidRPr="00D33469">
              <w:rPr>
                <w:rFonts w:asciiTheme="majorHAnsi" w:hAnsiTheme="majorHAnsi"/>
                <w:color w:val="000000"/>
                <w:sz w:val="20"/>
                <w:szCs w:val="20"/>
                <w:lang w:val="en-US"/>
              </w:rPr>
              <w:t>Less then half</w:t>
            </w:r>
          </w:p>
        </w:tc>
        <w:tc>
          <w:tcPr>
            <w:tcW w:w="850" w:type="dxa"/>
          </w:tcPr>
          <w:p w14:paraId="64906F71" w14:textId="6EFF4AE6" w:rsidR="009552DF" w:rsidRPr="00D33469" w:rsidRDefault="009552DF" w:rsidP="009552DF">
            <w:pPr>
              <w:spacing w:line="360" w:lineRule="auto"/>
              <w:jc w:val="center"/>
              <w:rPr>
                <w:rFonts w:asciiTheme="majorHAnsi" w:hAnsiTheme="majorHAnsi"/>
                <w:color w:val="000000"/>
                <w:sz w:val="20"/>
                <w:szCs w:val="20"/>
                <w:lang w:val="en-US"/>
              </w:rPr>
            </w:pPr>
            <w:r w:rsidRPr="00D33469">
              <w:rPr>
                <w:rFonts w:asciiTheme="majorHAnsi" w:hAnsiTheme="majorHAnsi"/>
                <w:color w:val="000000"/>
                <w:sz w:val="20"/>
                <w:szCs w:val="20"/>
                <w:lang w:val="en-US"/>
              </w:rPr>
              <w:t>10%</w:t>
            </w:r>
          </w:p>
        </w:tc>
        <w:tc>
          <w:tcPr>
            <w:tcW w:w="851" w:type="dxa"/>
          </w:tcPr>
          <w:p w14:paraId="14103D50" w14:textId="5D4D7769" w:rsidR="009552DF" w:rsidRPr="00D33469" w:rsidRDefault="009552DF" w:rsidP="009552DF">
            <w:pPr>
              <w:spacing w:line="360" w:lineRule="auto"/>
              <w:jc w:val="center"/>
              <w:rPr>
                <w:rFonts w:asciiTheme="majorHAnsi" w:hAnsiTheme="majorHAnsi"/>
                <w:color w:val="000000"/>
                <w:sz w:val="20"/>
                <w:szCs w:val="20"/>
                <w:lang w:val="en-US"/>
              </w:rPr>
            </w:pPr>
            <w:r w:rsidRPr="00D33469">
              <w:rPr>
                <w:rFonts w:asciiTheme="majorHAnsi" w:hAnsiTheme="majorHAnsi"/>
                <w:color w:val="000000"/>
                <w:sz w:val="20"/>
                <w:szCs w:val="20"/>
                <w:lang w:val="en-US"/>
              </w:rPr>
              <w:t>15%</w:t>
            </w:r>
          </w:p>
        </w:tc>
        <w:tc>
          <w:tcPr>
            <w:tcW w:w="850" w:type="dxa"/>
          </w:tcPr>
          <w:p w14:paraId="4E0CD1D2" w14:textId="7234591E" w:rsidR="009552DF" w:rsidRPr="00D33469" w:rsidRDefault="009552DF" w:rsidP="009552DF">
            <w:pPr>
              <w:spacing w:line="360" w:lineRule="auto"/>
              <w:jc w:val="center"/>
              <w:rPr>
                <w:rFonts w:asciiTheme="majorHAnsi" w:hAnsiTheme="majorHAnsi"/>
                <w:color w:val="000000"/>
                <w:sz w:val="20"/>
                <w:szCs w:val="20"/>
                <w:lang w:val="en-US"/>
              </w:rPr>
            </w:pPr>
            <w:r w:rsidRPr="00D33469">
              <w:rPr>
                <w:rFonts w:asciiTheme="majorHAnsi" w:hAnsiTheme="majorHAnsi"/>
                <w:color w:val="000000"/>
                <w:sz w:val="20"/>
                <w:szCs w:val="20"/>
                <w:lang w:val="en-US"/>
              </w:rPr>
              <w:t>13%</w:t>
            </w:r>
          </w:p>
        </w:tc>
        <w:tc>
          <w:tcPr>
            <w:tcW w:w="851" w:type="dxa"/>
          </w:tcPr>
          <w:p w14:paraId="5CDA4220" w14:textId="3D65E59D" w:rsidR="009552DF" w:rsidRPr="00D33469" w:rsidRDefault="009552DF" w:rsidP="009552DF">
            <w:pPr>
              <w:spacing w:line="360" w:lineRule="auto"/>
              <w:jc w:val="center"/>
              <w:rPr>
                <w:rFonts w:asciiTheme="majorHAnsi" w:hAnsiTheme="majorHAnsi"/>
                <w:color w:val="000000"/>
                <w:sz w:val="20"/>
                <w:szCs w:val="20"/>
                <w:lang w:val="en-US"/>
              </w:rPr>
            </w:pPr>
            <w:r w:rsidRPr="00D33469">
              <w:rPr>
                <w:rFonts w:asciiTheme="majorHAnsi" w:hAnsiTheme="majorHAnsi"/>
                <w:color w:val="000000"/>
                <w:sz w:val="20"/>
                <w:szCs w:val="20"/>
                <w:lang w:val="en-US"/>
              </w:rPr>
              <w:t>28%</w:t>
            </w:r>
          </w:p>
        </w:tc>
        <w:tc>
          <w:tcPr>
            <w:tcW w:w="851" w:type="dxa"/>
          </w:tcPr>
          <w:p w14:paraId="3C27A17D" w14:textId="54A403A9" w:rsidR="009552DF" w:rsidRPr="00D33469" w:rsidRDefault="009552DF" w:rsidP="009552DF">
            <w:pPr>
              <w:spacing w:line="360" w:lineRule="auto"/>
              <w:jc w:val="center"/>
              <w:rPr>
                <w:rFonts w:asciiTheme="majorHAnsi" w:hAnsiTheme="majorHAnsi"/>
                <w:color w:val="000000"/>
                <w:sz w:val="20"/>
                <w:szCs w:val="20"/>
                <w:lang w:val="en-US"/>
              </w:rPr>
            </w:pPr>
            <w:r w:rsidRPr="00D33469">
              <w:rPr>
                <w:rFonts w:asciiTheme="majorHAnsi" w:hAnsiTheme="majorHAnsi"/>
                <w:color w:val="000000"/>
                <w:sz w:val="20"/>
                <w:szCs w:val="20"/>
                <w:lang w:val="en-US"/>
              </w:rPr>
              <w:t>3</w:t>
            </w:r>
            <w:r w:rsidR="00C11648">
              <w:rPr>
                <w:rFonts w:asciiTheme="majorHAnsi" w:hAnsiTheme="majorHAnsi"/>
                <w:color w:val="000000"/>
                <w:sz w:val="20"/>
                <w:szCs w:val="20"/>
                <w:lang w:val="en-US"/>
              </w:rPr>
              <w:t>7</w:t>
            </w:r>
            <w:r w:rsidRPr="00D33469">
              <w:rPr>
                <w:rFonts w:asciiTheme="majorHAnsi" w:hAnsiTheme="majorHAnsi"/>
                <w:color w:val="000000"/>
                <w:sz w:val="20"/>
                <w:szCs w:val="20"/>
                <w:lang w:val="en-US"/>
              </w:rPr>
              <w:t>%</w:t>
            </w:r>
          </w:p>
        </w:tc>
      </w:tr>
      <w:tr w:rsidR="00E16D9A" w14:paraId="4EB16A9E" w14:textId="77777777" w:rsidTr="00D33469">
        <w:trPr>
          <w:trHeight w:val="273"/>
        </w:trPr>
        <w:tc>
          <w:tcPr>
            <w:tcW w:w="2943" w:type="dxa"/>
            <w:vMerge/>
          </w:tcPr>
          <w:p w14:paraId="53A9C666" w14:textId="46CBAD04" w:rsidR="009552DF" w:rsidRPr="00D33469" w:rsidRDefault="009552DF" w:rsidP="00E16D9A">
            <w:pPr>
              <w:spacing w:line="360" w:lineRule="auto"/>
              <w:jc w:val="right"/>
              <w:rPr>
                <w:rFonts w:asciiTheme="majorHAnsi" w:hAnsiTheme="majorHAnsi"/>
                <w:color w:val="000000"/>
                <w:sz w:val="20"/>
                <w:szCs w:val="20"/>
                <w:lang w:val="en-US"/>
              </w:rPr>
            </w:pPr>
          </w:p>
        </w:tc>
        <w:tc>
          <w:tcPr>
            <w:tcW w:w="850" w:type="dxa"/>
          </w:tcPr>
          <w:p w14:paraId="332D16D0" w14:textId="52E95ACE" w:rsidR="009552DF" w:rsidRPr="00D33469" w:rsidRDefault="009552DF" w:rsidP="009552DF">
            <w:pPr>
              <w:spacing w:line="360" w:lineRule="auto"/>
              <w:jc w:val="center"/>
              <w:rPr>
                <w:rFonts w:asciiTheme="majorHAnsi" w:hAnsiTheme="majorHAnsi"/>
                <w:color w:val="000000"/>
                <w:sz w:val="20"/>
                <w:szCs w:val="20"/>
                <w:lang w:val="en-US"/>
              </w:rPr>
            </w:pPr>
            <w:r w:rsidRPr="00D33469">
              <w:rPr>
                <w:rFonts w:asciiTheme="majorHAnsi" w:hAnsiTheme="majorHAnsi"/>
                <w:color w:val="000000"/>
                <w:sz w:val="20"/>
                <w:szCs w:val="20"/>
                <w:lang w:val="en-US"/>
              </w:rPr>
              <w:t>90%</w:t>
            </w:r>
          </w:p>
        </w:tc>
        <w:tc>
          <w:tcPr>
            <w:tcW w:w="851" w:type="dxa"/>
          </w:tcPr>
          <w:p w14:paraId="63D108A5" w14:textId="7FEAEA88" w:rsidR="009552DF" w:rsidRPr="00D33469" w:rsidRDefault="009552DF" w:rsidP="009552DF">
            <w:pPr>
              <w:spacing w:line="360" w:lineRule="auto"/>
              <w:jc w:val="center"/>
              <w:rPr>
                <w:rFonts w:asciiTheme="majorHAnsi" w:hAnsiTheme="majorHAnsi"/>
                <w:color w:val="000000"/>
                <w:sz w:val="20"/>
                <w:szCs w:val="20"/>
                <w:lang w:val="en-US"/>
              </w:rPr>
            </w:pPr>
            <w:r w:rsidRPr="00D33469">
              <w:rPr>
                <w:rFonts w:asciiTheme="majorHAnsi" w:hAnsiTheme="majorHAnsi"/>
                <w:color w:val="000000"/>
                <w:sz w:val="20"/>
                <w:szCs w:val="20"/>
                <w:lang w:val="en-US"/>
              </w:rPr>
              <w:t>85%</w:t>
            </w:r>
          </w:p>
        </w:tc>
        <w:tc>
          <w:tcPr>
            <w:tcW w:w="850" w:type="dxa"/>
          </w:tcPr>
          <w:p w14:paraId="65458F09" w14:textId="5D4BBB86" w:rsidR="009552DF" w:rsidRPr="00D33469" w:rsidRDefault="009552DF" w:rsidP="009552DF">
            <w:pPr>
              <w:spacing w:line="360" w:lineRule="auto"/>
              <w:jc w:val="center"/>
              <w:rPr>
                <w:rFonts w:asciiTheme="majorHAnsi" w:hAnsiTheme="majorHAnsi"/>
                <w:color w:val="000000"/>
                <w:sz w:val="20"/>
                <w:szCs w:val="20"/>
                <w:lang w:val="en-US"/>
              </w:rPr>
            </w:pPr>
            <w:r w:rsidRPr="00D33469">
              <w:rPr>
                <w:rFonts w:asciiTheme="majorHAnsi" w:hAnsiTheme="majorHAnsi"/>
                <w:color w:val="000000"/>
                <w:sz w:val="20"/>
                <w:szCs w:val="20"/>
                <w:lang w:val="en-US"/>
              </w:rPr>
              <w:t>87%</w:t>
            </w:r>
          </w:p>
        </w:tc>
        <w:tc>
          <w:tcPr>
            <w:tcW w:w="851" w:type="dxa"/>
          </w:tcPr>
          <w:p w14:paraId="388D3818" w14:textId="09267B06" w:rsidR="009552DF" w:rsidRPr="00D33469" w:rsidRDefault="009552DF" w:rsidP="009552DF">
            <w:pPr>
              <w:spacing w:line="360" w:lineRule="auto"/>
              <w:jc w:val="center"/>
              <w:rPr>
                <w:rFonts w:asciiTheme="majorHAnsi" w:hAnsiTheme="majorHAnsi"/>
                <w:color w:val="000000"/>
                <w:sz w:val="20"/>
                <w:szCs w:val="20"/>
                <w:lang w:val="en-US"/>
              </w:rPr>
            </w:pPr>
            <w:r w:rsidRPr="00D33469">
              <w:rPr>
                <w:rFonts w:asciiTheme="majorHAnsi" w:hAnsiTheme="majorHAnsi"/>
                <w:color w:val="000000"/>
                <w:sz w:val="20"/>
                <w:szCs w:val="20"/>
                <w:lang w:val="en-US"/>
              </w:rPr>
              <w:t>72%</w:t>
            </w:r>
          </w:p>
        </w:tc>
        <w:tc>
          <w:tcPr>
            <w:tcW w:w="851" w:type="dxa"/>
          </w:tcPr>
          <w:p w14:paraId="1CADB2CF" w14:textId="74147A8F" w:rsidR="009552DF" w:rsidRPr="00D33469" w:rsidRDefault="00E16D9A" w:rsidP="009552DF">
            <w:pPr>
              <w:spacing w:line="360" w:lineRule="auto"/>
              <w:jc w:val="center"/>
              <w:rPr>
                <w:rFonts w:asciiTheme="majorHAnsi" w:hAnsiTheme="majorHAnsi"/>
                <w:color w:val="000000"/>
                <w:sz w:val="20"/>
                <w:szCs w:val="20"/>
                <w:lang w:val="en-US"/>
              </w:rPr>
            </w:pPr>
            <w:r w:rsidRPr="00D33469">
              <w:rPr>
                <w:rFonts w:asciiTheme="majorHAnsi" w:hAnsiTheme="majorHAnsi"/>
                <w:color w:val="000000"/>
                <w:sz w:val="20"/>
                <w:szCs w:val="20"/>
                <w:lang w:val="en-US"/>
              </w:rPr>
              <w:t>63</w:t>
            </w:r>
            <w:r w:rsidR="009552DF" w:rsidRPr="00D33469">
              <w:rPr>
                <w:rFonts w:asciiTheme="majorHAnsi" w:hAnsiTheme="majorHAnsi"/>
                <w:color w:val="000000"/>
                <w:sz w:val="20"/>
                <w:szCs w:val="20"/>
                <w:lang w:val="en-US"/>
              </w:rPr>
              <w:t>%</w:t>
            </w:r>
          </w:p>
        </w:tc>
      </w:tr>
      <w:tr w:rsidR="00E16D9A" w14:paraId="2BEE4286" w14:textId="77777777" w:rsidTr="00D33469">
        <w:trPr>
          <w:trHeight w:val="273"/>
        </w:trPr>
        <w:tc>
          <w:tcPr>
            <w:tcW w:w="2943" w:type="dxa"/>
          </w:tcPr>
          <w:p w14:paraId="07540AD1" w14:textId="045625BA" w:rsidR="009552DF" w:rsidRPr="00D33469" w:rsidRDefault="009552DF" w:rsidP="00E16D9A">
            <w:pPr>
              <w:spacing w:line="360" w:lineRule="auto"/>
              <w:jc w:val="right"/>
              <w:rPr>
                <w:rFonts w:asciiTheme="majorHAnsi" w:hAnsiTheme="majorHAnsi"/>
                <w:color w:val="000000"/>
                <w:sz w:val="20"/>
                <w:szCs w:val="20"/>
                <w:lang w:val="en-US"/>
              </w:rPr>
            </w:pPr>
            <w:r w:rsidRPr="00D33469">
              <w:rPr>
                <w:rFonts w:asciiTheme="majorHAnsi" w:hAnsiTheme="majorHAnsi"/>
                <w:color w:val="000000"/>
                <w:sz w:val="20"/>
                <w:szCs w:val="20"/>
                <w:lang w:val="en-US"/>
              </w:rPr>
              <w:t>Total (N)</w:t>
            </w:r>
          </w:p>
        </w:tc>
        <w:tc>
          <w:tcPr>
            <w:tcW w:w="850" w:type="dxa"/>
          </w:tcPr>
          <w:p w14:paraId="3E2F981E" w14:textId="0B6D1AE7" w:rsidR="009552DF" w:rsidRPr="00D33469" w:rsidRDefault="009552DF" w:rsidP="009552DF">
            <w:pPr>
              <w:spacing w:line="360" w:lineRule="auto"/>
              <w:jc w:val="center"/>
              <w:rPr>
                <w:rFonts w:asciiTheme="majorHAnsi" w:hAnsiTheme="majorHAnsi"/>
                <w:color w:val="000000"/>
                <w:sz w:val="20"/>
                <w:szCs w:val="20"/>
                <w:lang w:val="en-US"/>
              </w:rPr>
            </w:pPr>
            <w:r w:rsidRPr="00D33469">
              <w:rPr>
                <w:rFonts w:asciiTheme="majorHAnsi" w:hAnsiTheme="majorHAnsi"/>
                <w:color w:val="000000"/>
                <w:sz w:val="20"/>
                <w:szCs w:val="20"/>
                <w:lang w:val="en-US"/>
              </w:rPr>
              <w:t>141</w:t>
            </w:r>
          </w:p>
        </w:tc>
        <w:tc>
          <w:tcPr>
            <w:tcW w:w="851" w:type="dxa"/>
          </w:tcPr>
          <w:p w14:paraId="42EB8679" w14:textId="73ADD633" w:rsidR="009552DF" w:rsidRPr="00D33469" w:rsidRDefault="009552DF" w:rsidP="009552DF">
            <w:pPr>
              <w:spacing w:line="360" w:lineRule="auto"/>
              <w:jc w:val="center"/>
              <w:rPr>
                <w:rFonts w:asciiTheme="majorHAnsi" w:hAnsiTheme="majorHAnsi"/>
                <w:color w:val="000000"/>
                <w:sz w:val="20"/>
                <w:szCs w:val="20"/>
                <w:lang w:val="en-US"/>
              </w:rPr>
            </w:pPr>
            <w:r w:rsidRPr="00D33469">
              <w:rPr>
                <w:rFonts w:asciiTheme="majorHAnsi" w:hAnsiTheme="majorHAnsi"/>
                <w:color w:val="000000"/>
                <w:sz w:val="20"/>
                <w:szCs w:val="20"/>
                <w:lang w:val="en-US"/>
              </w:rPr>
              <w:t>185</w:t>
            </w:r>
          </w:p>
        </w:tc>
        <w:tc>
          <w:tcPr>
            <w:tcW w:w="850" w:type="dxa"/>
          </w:tcPr>
          <w:p w14:paraId="6092A60C" w14:textId="77777777" w:rsidR="009552DF" w:rsidRPr="00D33469" w:rsidRDefault="009552DF" w:rsidP="009552DF">
            <w:pPr>
              <w:spacing w:line="360" w:lineRule="auto"/>
              <w:jc w:val="center"/>
              <w:rPr>
                <w:rFonts w:asciiTheme="majorHAnsi" w:hAnsiTheme="majorHAnsi"/>
                <w:color w:val="000000"/>
                <w:sz w:val="20"/>
                <w:szCs w:val="20"/>
                <w:lang w:val="en-US"/>
              </w:rPr>
            </w:pPr>
            <w:r w:rsidRPr="00D33469">
              <w:rPr>
                <w:rFonts w:asciiTheme="majorHAnsi" w:hAnsiTheme="majorHAnsi"/>
                <w:color w:val="000000"/>
                <w:sz w:val="20"/>
                <w:szCs w:val="20"/>
                <w:lang w:val="en-US"/>
              </w:rPr>
              <w:t>180</w:t>
            </w:r>
          </w:p>
        </w:tc>
        <w:tc>
          <w:tcPr>
            <w:tcW w:w="851" w:type="dxa"/>
          </w:tcPr>
          <w:p w14:paraId="74F90F3F" w14:textId="77777777" w:rsidR="009552DF" w:rsidRPr="00D33469" w:rsidRDefault="009552DF" w:rsidP="009552DF">
            <w:pPr>
              <w:spacing w:line="360" w:lineRule="auto"/>
              <w:jc w:val="center"/>
              <w:rPr>
                <w:rFonts w:asciiTheme="majorHAnsi" w:hAnsiTheme="majorHAnsi"/>
                <w:color w:val="000000"/>
                <w:sz w:val="20"/>
                <w:szCs w:val="20"/>
                <w:lang w:val="en-US"/>
              </w:rPr>
            </w:pPr>
            <w:r w:rsidRPr="00D33469">
              <w:rPr>
                <w:rFonts w:asciiTheme="majorHAnsi" w:hAnsiTheme="majorHAnsi"/>
                <w:color w:val="000000"/>
                <w:sz w:val="20"/>
                <w:szCs w:val="20"/>
                <w:lang w:val="en-US"/>
              </w:rPr>
              <w:t>137</w:t>
            </w:r>
          </w:p>
        </w:tc>
        <w:tc>
          <w:tcPr>
            <w:tcW w:w="851" w:type="dxa"/>
          </w:tcPr>
          <w:p w14:paraId="11CACB84" w14:textId="77777777" w:rsidR="009552DF" w:rsidRPr="00D33469" w:rsidRDefault="009552DF" w:rsidP="009552DF">
            <w:pPr>
              <w:spacing w:line="360" w:lineRule="auto"/>
              <w:jc w:val="center"/>
              <w:rPr>
                <w:rFonts w:asciiTheme="majorHAnsi" w:hAnsiTheme="majorHAnsi"/>
                <w:color w:val="000000"/>
                <w:sz w:val="20"/>
                <w:szCs w:val="20"/>
                <w:lang w:val="en-US"/>
              </w:rPr>
            </w:pPr>
            <w:r w:rsidRPr="00D33469">
              <w:rPr>
                <w:rFonts w:asciiTheme="majorHAnsi" w:hAnsiTheme="majorHAnsi"/>
                <w:color w:val="000000"/>
                <w:sz w:val="20"/>
                <w:szCs w:val="20"/>
                <w:lang w:val="en-US"/>
              </w:rPr>
              <w:t>120</w:t>
            </w:r>
          </w:p>
        </w:tc>
      </w:tr>
    </w:tbl>
    <w:p w14:paraId="4213E08C" w14:textId="77777777" w:rsidR="00414D3C" w:rsidRDefault="00414D3C" w:rsidP="002876E9">
      <w:pPr>
        <w:pStyle w:val="NoSpacing"/>
      </w:pPr>
    </w:p>
    <w:p w14:paraId="715C410B" w14:textId="6ED42AE6" w:rsidR="00B4416D" w:rsidRDefault="00C60029" w:rsidP="002876E9">
      <w:pPr>
        <w:pStyle w:val="NoSpacing"/>
        <w:rPr>
          <w:sz w:val="22"/>
          <w:szCs w:val="22"/>
        </w:rPr>
      </w:pPr>
      <w:r>
        <w:rPr>
          <w:rFonts w:asciiTheme="majorHAnsi" w:hAnsiTheme="majorHAnsi"/>
          <w:sz w:val="22"/>
          <w:szCs w:val="22"/>
        </w:rPr>
        <w:t>While the survey</w:t>
      </w:r>
      <w:r w:rsidR="00001508">
        <w:rPr>
          <w:rFonts w:asciiTheme="majorHAnsi" w:hAnsiTheme="majorHAnsi"/>
          <w:sz w:val="22"/>
          <w:szCs w:val="22"/>
        </w:rPr>
        <w:t>s</w:t>
      </w:r>
      <w:r>
        <w:rPr>
          <w:rFonts w:asciiTheme="majorHAnsi" w:hAnsiTheme="majorHAnsi"/>
          <w:sz w:val="22"/>
          <w:szCs w:val="22"/>
        </w:rPr>
        <w:t xml:space="preserve"> </w:t>
      </w:r>
      <w:r w:rsidR="00A10F54">
        <w:rPr>
          <w:rFonts w:asciiTheme="majorHAnsi" w:hAnsiTheme="majorHAnsi"/>
          <w:sz w:val="22"/>
          <w:szCs w:val="22"/>
        </w:rPr>
        <w:t xml:space="preserve">simply </w:t>
      </w:r>
      <w:r w:rsidR="00001508">
        <w:rPr>
          <w:rFonts w:asciiTheme="majorHAnsi" w:hAnsiTheme="majorHAnsi"/>
          <w:sz w:val="22"/>
          <w:szCs w:val="22"/>
        </w:rPr>
        <w:t>demonstrate the increase in legal representation</w:t>
      </w:r>
      <w:r w:rsidR="00AC5757">
        <w:rPr>
          <w:rFonts w:asciiTheme="majorHAnsi" w:hAnsiTheme="majorHAnsi"/>
          <w:sz w:val="22"/>
          <w:szCs w:val="22"/>
        </w:rPr>
        <w:t>, d</w:t>
      </w:r>
      <w:r w:rsidR="00414D3C" w:rsidRPr="002876E9">
        <w:rPr>
          <w:rFonts w:asciiTheme="majorHAnsi" w:hAnsiTheme="majorHAnsi"/>
          <w:sz w:val="22"/>
          <w:szCs w:val="22"/>
        </w:rPr>
        <w:t xml:space="preserve">ata from </w:t>
      </w:r>
      <w:r w:rsidR="00001508">
        <w:rPr>
          <w:rFonts w:asciiTheme="majorHAnsi" w:hAnsiTheme="majorHAnsi"/>
          <w:sz w:val="22"/>
          <w:szCs w:val="22"/>
        </w:rPr>
        <w:t xml:space="preserve">qualitative </w:t>
      </w:r>
      <w:r w:rsidR="00414D3C" w:rsidRPr="002876E9">
        <w:rPr>
          <w:rFonts w:asciiTheme="majorHAnsi" w:hAnsiTheme="majorHAnsi"/>
          <w:sz w:val="22"/>
          <w:szCs w:val="22"/>
        </w:rPr>
        <w:t xml:space="preserve">study 2 </w:t>
      </w:r>
      <w:r w:rsidR="00001508">
        <w:rPr>
          <w:rFonts w:asciiTheme="majorHAnsi" w:hAnsiTheme="majorHAnsi"/>
          <w:sz w:val="22"/>
          <w:szCs w:val="22"/>
        </w:rPr>
        <w:t xml:space="preserve">offer </w:t>
      </w:r>
      <w:r w:rsidR="000C0B30">
        <w:rPr>
          <w:rFonts w:asciiTheme="majorHAnsi" w:hAnsiTheme="majorHAnsi"/>
          <w:sz w:val="22"/>
          <w:szCs w:val="22"/>
        </w:rPr>
        <w:t>some clues about</w:t>
      </w:r>
      <w:r w:rsidR="00AC5757">
        <w:rPr>
          <w:rFonts w:asciiTheme="majorHAnsi" w:hAnsiTheme="majorHAnsi"/>
          <w:sz w:val="22"/>
          <w:szCs w:val="22"/>
        </w:rPr>
        <w:t xml:space="preserve"> why</w:t>
      </w:r>
      <w:r w:rsidR="00A946D2">
        <w:rPr>
          <w:rFonts w:asciiTheme="majorHAnsi" w:hAnsiTheme="majorHAnsi"/>
          <w:sz w:val="22"/>
          <w:szCs w:val="22"/>
        </w:rPr>
        <w:t xml:space="preserve"> this</w:t>
      </w:r>
      <w:r w:rsidR="00001508">
        <w:rPr>
          <w:rFonts w:asciiTheme="majorHAnsi" w:hAnsiTheme="majorHAnsi"/>
          <w:sz w:val="22"/>
          <w:szCs w:val="22"/>
        </w:rPr>
        <w:t xml:space="preserve"> increase </w:t>
      </w:r>
      <w:r w:rsidR="006B7159">
        <w:rPr>
          <w:rFonts w:asciiTheme="majorHAnsi" w:hAnsiTheme="majorHAnsi"/>
          <w:sz w:val="22"/>
          <w:szCs w:val="22"/>
        </w:rPr>
        <w:t>may have</w:t>
      </w:r>
      <w:r w:rsidR="00001508">
        <w:rPr>
          <w:rFonts w:asciiTheme="majorHAnsi" w:hAnsiTheme="majorHAnsi"/>
          <w:sz w:val="22"/>
          <w:szCs w:val="22"/>
        </w:rPr>
        <w:t xml:space="preserve"> occured</w:t>
      </w:r>
      <w:r w:rsidR="00AC5757">
        <w:rPr>
          <w:rFonts w:asciiTheme="majorHAnsi" w:hAnsiTheme="majorHAnsi"/>
          <w:sz w:val="22"/>
          <w:szCs w:val="22"/>
        </w:rPr>
        <w:t xml:space="preserve">. </w:t>
      </w:r>
      <w:r w:rsidR="000C0B30">
        <w:rPr>
          <w:rFonts w:asciiTheme="majorHAnsi" w:hAnsiTheme="majorHAnsi"/>
          <w:sz w:val="22"/>
          <w:szCs w:val="22"/>
        </w:rPr>
        <w:t xml:space="preserve">Managers in two of the three local authorities in the study indicated that they </w:t>
      </w:r>
      <w:r w:rsidR="00A946D2">
        <w:rPr>
          <w:rFonts w:asciiTheme="majorHAnsi" w:hAnsiTheme="majorHAnsi"/>
          <w:sz w:val="22"/>
          <w:szCs w:val="22"/>
        </w:rPr>
        <w:t xml:space="preserve">generally </w:t>
      </w:r>
      <w:r w:rsidR="000C0B30">
        <w:rPr>
          <w:rFonts w:asciiTheme="majorHAnsi" w:hAnsiTheme="majorHAnsi"/>
          <w:sz w:val="22"/>
          <w:szCs w:val="22"/>
        </w:rPr>
        <w:t>recommend</w:t>
      </w:r>
      <w:r w:rsidR="00A946D2">
        <w:rPr>
          <w:rFonts w:asciiTheme="majorHAnsi" w:hAnsiTheme="majorHAnsi"/>
          <w:sz w:val="22"/>
          <w:szCs w:val="22"/>
        </w:rPr>
        <w:t xml:space="preserve"> </w:t>
      </w:r>
      <w:r w:rsidR="000C0B30">
        <w:rPr>
          <w:rFonts w:asciiTheme="majorHAnsi" w:hAnsiTheme="majorHAnsi"/>
          <w:sz w:val="22"/>
          <w:szCs w:val="22"/>
        </w:rPr>
        <w:t>that potential internal review applicants seek specialist advice:</w:t>
      </w:r>
    </w:p>
    <w:p w14:paraId="3706DDD4" w14:textId="77777777" w:rsidR="00B4416D" w:rsidRDefault="00B4416D" w:rsidP="002876E9">
      <w:pPr>
        <w:pStyle w:val="NoSpacing"/>
        <w:rPr>
          <w:sz w:val="22"/>
          <w:szCs w:val="22"/>
        </w:rPr>
      </w:pPr>
    </w:p>
    <w:p w14:paraId="79DD81CA" w14:textId="38B4A95C" w:rsidR="000C0B30" w:rsidRDefault="00B4416D" w:rsidP="002876E9">
      <w:pPr>
        <w:pStyle w:val="NoSpacing"/>
        <w:ind w:left="720"/>
        <w:rPr>
          <w:rFonts w:asciiTheme="majorHAnsi" w:hAnsiTheme="majorHAnsi"/>
          <w:sz w:val="22"/>
          <w:szCs w:val="22"/>
        </w:rPr>
      </w:pPr>
      <w:r w:rsidRPr="00B4416D">
        <w:rPr>
          <w:rFonts w:asciiTheme="majorHAnsi" w:hAnsiTheme="majorHAnsi"/>
          <w:sz w:val="22"/>
          <w:szCs w:val="22"/>
        </w:rPr>
        <w:t>And what we say to pe</w:t>
      </w:r>
      <w:r w:rsidR="000C0B30">
        <w:rPr>
          <w:rFonts w:asciiTheme="majorHAnsi" w:hAnsiTheme="majorHAnsi"/>
          <w:sz w:val="22"/>
          <w:szCs w:val="22"/>
        </w:rPr>
        <w:t>ople when they ask for a review</w:t>
      </w:r>
      <w:r w:rsidRPr="00B4416D">
        <w:rPr>
          <w:rFonts w:asciiTheme="majorHAnsi" w:hAnsiTheme="majorHAnsi"/>
          <w:sz w:val="22"/>
          <w:szCs w:val="22"/>
        </w:rPr>
        <w:t xml:space="preserve"> </w:t>
      </w:r>
      <w:r>
        <w:rPr>
          <w:rFonts w:asciiTheme="majorHAnsi" w:hAnsiTheme="majorHAnsi"/>
          <w:sz w:val="22"/>
          <w:szCs w:val="22"/>
        </w:rPr>
        <w:t xml:space="preserve">… </w:t>
      </w:r>
      <w:r w:rsidRPr="00B4416D">
        <w:rPr>
          <w:rFonts w:asciiTheme="majorHAnsi" w:hAnsiTheme="majorHAnsi"/>
          <w:sz w:val="22"/>
          <w:szCs w:val="22"/>
        </w:rPr>
        <w:t xml:space="preserve">is if you’re going to ask for a review, it’s best if you seek some advice </w:t>
      </w:r>
      <w:r>
        <w:rPr>
          <w:rFonts w:asciiTheme="majorHAnsi" w:hAnsiTheme="majorHAnsi"/>
          <w:sz w:val="22"/>
          <w:szCs w:val="22"/>
        </w:rPr>
        <w:t xml:space="preserve">because of the complexities </w:t>
      </w:r>
      <w:r w:rsidRPr="00B4416D">
        <w:rPr>
          <w:rFonts w:asciiTheme="majorHAnsi" w:hAnsiTheme="majorHAnsi"/>
          <w:sz w:val="22"/>
          <w:szCs w:val="22"/>
        </w:rPr>
        <w:t xml:space="preserve">of the reviews and </w:t>
      </w:r>
      <w:r w:rsidR="007C1D11">
        <w:rPr>
          <w:rFonts w:asciiTheme="majorHAnsi" w:hAnsiTheme="majorHAnsi"/>
          <w:sz w:val="22"/>
          <w:szCs w:val="22"/>
        </w:rPr>
        <w:t xml:space="preserve">what people are looking for … </w:t>
      </w:r>
      <w:r w:rsidRPr="00B4416D">
        <w:rPr>
          <w:rFonts w:asciiTheme="majorHAnsi" w:hAnsiTheme="majorHAnsi"/>
          <w:sz w:val="22"/>
          <w:szCs w:val="22"/>
        </w:rPr>
        <w:t xml:space="preserve">at review. So they’re encouraged to, to go away and to, we don’t give individual names, we don’t point them towards </w:t>
      </w:r>
      <w:r>
        <w:rPr>
          <w:rFonts w:asciiTheme="majorHAnsi" w:hAnsiTheme="majorHAnsi"/>
          <w:sz w:val="22"/>
          <w:szCs w:val="22"/>
        </w:rPr>
        <w:t>[local solicitor]</w:t>
      </w:r>
      <w:r w:rsidRPr="00B4416D">
        <w:rPr>
          <w:rFonts w:asciiTheme="majorHAnsi" w:hAnsiTheme="majorHAnsi"/>
          <w:sz w:val="22"/>
          <w:szCs w:val="22"/>
        </w:rPr>
        <w:t xml:space="preserve"> or Law Centre, but they get the information to make their own choice and we do encourage people, at review stage, to actually get representation.</w:t>
      </w:r>
      <w:r>
        <w:rPr>
          <w:rFonts w:asciiTheme="majorHAnsi" w:hAnsiTheme="majorHAnsi"/>
          <w:sz w:val="22"/>
          <w:szCs w:val="22"/>
        </w:rPr>
        <w:t xml:space="preserve"> </w:t>
      </w:r>
      <w:r w:rsidR="00314638">
        <w:rPr>
          <w:rFonts w:asciiTheme="majorHAnsi" w:hAnsiTheme="majorHAnsi"/>
          <w:sz w:val="22"/>
          <w:szCs w:val="22"/>
        </w:rPr>
        <w:t xml:space="preserve"> </w:t>
      </w:r>
    </w:p>
    <w:p w14:paraId="7BFDE1E2" w14:textId="41C91B18" w:rsidR="00990980" w:rsidRPr="000C0B30" w:rsidRDefault="00A7153F" w:rsidP="002876E9">
      <w:pPr>
        <w:pStyle w:val="NoSpacing"/>
        <w:ind w:left="720"/>
        <w:rPr>
          <w:b/>
          <w:sz w:val="22"/>
          <w:szCs w:val="22"/>
        </w:rPr>
      </w:pPr>
      <w:r w:rsidRPr="000C0B30">
        <w:rPr>
          <w:rFonts w:asciiTheme="majorHAnsi" w:hAnsiTheme="majorHAnsi"/>
          <w:b/>
          <w:sz w:val="22"/>
          <w:szCs w:val="22"/>
        </w:rPr>
        <w:t xml:space="preserve">NC Manager </w:t>
      </w:r>
    </w:p>
    <w:p w14:paraId="18D92D43" w14:textId="77777777" w:rsidR="00990980" w:rsidRDefault="00990980" w:rsidP="002876E9">
      <w:pPr>
        <w:pStyle w:val="NoSpacing"/>
        <w:rPr>
          <w:sz w:val="22"/>
          <w:szCs w:val="22"/>
        </w:rPr>
      </w:pPr>
    </w:p>
    <w:p w14:paraId="5CAC1476" w14:textId="77777777" w:rsidR="000C0B30" w:rsidRDefault="00EF5F25" w:rsidP="002876E9">
      <w:pPr>
        <w:pStyle w:val="NoSpacing"/>
        <w:ind w:left="720"/>
        <w:rPr>
          <w:rFonts w:asciiTheme="majorHAnsi" w:hAnsiTheme="majorHAnsi"/>
          <w:sz w:val="22"/>
          <w:szCs w:val="22"/>
        </w:rPr>
      </w:pPr>
      <w:r w:rsidRPr="00EF5F25">
        <w:rPr>
          <w:rFonts w:asciiTheme="majorHAnsi" w:hAnsiTheme="majorHAnsi"/>
          <w:sz w:val="22"/>
          <w:szCs w:val="22"/>
        </w:rPr>
        <w:lastRenderedPageBreak/>
        <w:t>Now we don’t have a habit of recommending anybody to anybody in terms of getting advice, but we may say to them, well look, you might want to seek independent housing advice and assistance. We do give advice agency details like Shelter, CAB, local housing advice agencies, but we don’t give out lists of solicitors.</w:t>
      </w:r>
    </w:p>
    <w:p w14:paraId="0F9A35FA" w14:textId="4B11818E" w:rsidR="00414D3C" w:rsidRDefault="00A7153F" w:rsidP="000C0B30">
      <w:pPr>
        <w:pStyle w:val="NoSpacing"/>
        <w:ind w:left="720"/>
        <w:rPr>
          <w:rFonts w:asciiTheme="majorHAnsi" w:hAnsiTheme="majorHAnsi"/>
          <w:sz w:val="22"/>
          <w:szCs w:val="22"/>
        </w:rPr>
      </w:pPr>
      <w:r w:rsidRPr="000C0B30">
        <w:rPr>
          <w:rFonts w:asciiTheme="majorHAnsi" w:hAnsiTheme="majorHAnsi"/>
          <w:b/>
          <w:sz w:val="22"/>
          <w:szCs w:val="22"/>
        </w:rPr>
        <w:t>London Manager</w:t>
      </w:r>
    </w:p>
    <w:p w14:paraId="79A3FDE6" w14:textId="77777777" w:rsidR="000C0B30" w:rsidRDefault="000C0B30" w:rsidP="000C0B30">
      <w:pPr>
        <w:pStyle w:val="NoSpacing"/>
        <w:rPr>
          <w:rFonts w:asciiTheme="majorHAnsi" w:hAnsiTheme="majorHAnsi"/>
          <w:sz w:val="22"/>
          <w:szCs w:val="22"/>
        </w:rPr>
      </w:pPr>
    </w:p>
    <w:p w14:paraId="23504E2D" w14:textId="327B7228" w:rsidR="000C0B30" w:rsidRPr="000C0B30" w:rsidRDefault="000C0B30" w:rsidP="000C0B30">
      <w:pPr>
        <w:pStyle w:val="NoSpacing"/>
        <w:rPr>
          <w:rFonts w:asciiTheme="majorHAnsi" w:hAnsiTheme="majorHAnsi"/>
          <w:sz w:val="22"/>
          <w:szCs w:val="22"/>
        </w:rPr>
      </w:pPr>
      <w:r>
        <w:rPr>
          <w:rFonts w:asciiTheme="majorHAnsi" w:hAnsiTheme="majorHAnsi"/>
          <w:sz w:val="22"/>
          <w:szCs w:val="22"/>
        </w:rPr>
        <w:t xml:space="preserve">Local authorities themselves, then, in addition to the housing applicants, may </w:t>
      </w:r>
      <w:r w:rsidR="00A10F54">
        <w:rPr>
          <w:rFonts w:asciiTheme="majorHAnsi" w:hAnsiTheme="majorHAnsi"/>
          <w:sz w:val="22"/>
          <w:szCs w:val="22"/>
        </w:rPr>
        <w:t xml:space="preserve">also increasingly </w:t>
      </w:r>
      <w:r w:rsidR="00A946D2">
        <w:rPr>
          <w:rFonts w:asciiTheme="majorHAnsi" w:hAnsiTheme="majorHAnsi"/>
          <w:sz w:val="22"/>
          <w:szCs w:val="22"/>
        </w:rPr>
        <w:t xml:space="preserve">be </w:t>
      </w:r>
      <w:r w:rsidR="00A10F54">
        <w:rPr>
          <w:rFonts w:asciiTheme="majorHAnsi" w:hAnsiTheme="majorHAnsi"/>
          <w:sz w:val="22"/>
          <w:szCs w:val="22"/>
        </w:rPr>
        <w:t>framing</w:t>
      </w:r>
      <w:r>
        <w:rPr>
          <w:rFonts w:asciiTheme="majorHAnsi" w:hAnsiTheme="majorHAnsi"/>
          <w:sz w:val="22"/>
          <w:szCs w:val="22"/>
        </w:rPr>
        <w:t xml:space="preserve"> the internal review process as a </w:t>
      </w:r>
      <w:r w:rsidR="00A10F54">
        <w:rPr>
          <w:rFonts w:asciiTheme="majorHAnsi" w:hAnsiTheme="majorHAnsi"/>
          <w:sz w:val="22"/>
          <w:szCs w:val="22"/>
        </w:rPr>
        <w:t>form</w:t>
      </w:r>
      <w:r>
        <w:rPr>
          <w:rFonts w:asciiTheme="majorHAnsi" w:hAnsiTheme="majorHAnsi"/>
          <w:sz w:val="22"/>
          <w:szCs w:val="22"/>
        </w:rPr>
        <w:t xml:space="preserve"> of dispute resolution</w:t>
      </w:r>
      <w:r w:rsidR="00A10F54">
        <w:rPr>
          <w:rFonts w:asciiTheme="majorHAnsi" w:hAnsiTheme="majorHAnsi"/>
          <w:sz w:val="22"/>
          <w:szCs w:val="22"/>
        </w:rPr>
        <w:t xml:space="preserve">, </w:t>
      </w:r>
      <w:r w:rsidR="003C24D9">
        <w:rPr>
          <w:rFonts w:asciiTheme="majorHAnsi" w:hAnsiTheme="majorHAnsi"/>
          <w:sz w:val="22"/>
          <w:szCs w:val="22"/>
        </w:rPr>
        <w:t xml:space="preserve">as opposed to a mere second look, and </w:t>
      </w:r>
      <w:r w:rsidR="00A10F54">
        <w:rPr>
          <w:rFonts w:asciiTheme="majorHAnsi" w:hAnsiTheme="majorHAnsi"/>
          <w:sz w:val="22"/>
          <w:szCs w:val="22"/>
        </w:rPr>
        <w:t>one</w:t>
      </w:r>
      <w:r>
        <w:rPr>
          <w:rFonts w:asciiTheme="majorHAnsi" w:hAnsiTheme="majorHAnsi"/>
          <w:sz w:val="22"/>
          <w:szCs w:val="22"/>
        </w:rPr>
        <w:t xml:space="preserve"> where legal assistance is prudent.</w:t>
      </w:r>
    </w:p>
    <w:p w14:paraId="0AB33D26" w14:textId="6A6867BD" w:rsidR="000F771C" w:rsidRDefault="000F771C" w:rsidP="000F771C">
      <w:pPr>
        <w:pStyle w:val="Heading1"/>
      </w:pPr>
      <w:r>
        <w:t>The significance of legal representation</w:t>
      </w:r>
    </w:p>
    <w:p w14:paraId="1F1F99B6" w14:textId="77777777" w:rsidR="00757983" w:rsidRDefault="000F771C" w:rsidP="002F6B39">
      <w:pPr>
        <w:rPr>
          <w:rFonts w:asciiTheme="majorHAnsi" w:hAnsiTheme="majorHAnsi"/>
          <w:sz w:val="22"/>
          <w:szCs w:val="22"/>
        </w:rPr>
      </w:pPr>
      <w:r>
        <w:rPr>
          <w:rFonts w:asciiTheme="majorHAnsi" w:hAnsiTheme="majorHAnsi"/>
          <w:sz w:val="22"/>
          <w:szCs w:val="22"/>
        </w:rPr>
        <w:t>An assessment of t</w:t>
      </w:r>
      <w:r w:rsidR="00E16D9A">
        <w:rPr>
          <w:rFonts w:asciiTheme="majorHAnsi" w:hAnsiTheme="majorHAnsi"/>
          <w:sz w:val="22"/>
          <w:szCs w:val="22"/>
        </w:rPr>
        <w:t xml:space="preserve">he significance of </w:t>
      </w:r>
      <w:r>
        <w:rPr>
          <w:rFonts w:asciiTheme="majorHAnsi" w:hAnsiTheme="majorHAnsi"/>
          <w:sz w:val="22"/>
          <w:szCs w:val="22"/>
        </w:rPr>
        <w:t xml:space="preserve">this </w:t>
      </w:r>
      <w:r w:rsidR="00E16D9A">
        <w:rPr>
          <w:rFonts w:asciiTheme="majorHAnsi" w:hAnsiTheme="majorHAnsi"/>
          <w:sz w:val="22"/>
          <w:szCs w:val="22"/>
        </w:rPr>
        <w:t>legal representation, however, i</w:t>
      </w:r>
      <w:r w:rsidR="005150A2">
        <w:rPr>
          <w:rFonts w:asciiTheme="majorHAnsi" w:hAnsiTheme="majorHAnsi"/>
          <w:sz w:val="22"/>
          <w:szCs w:val="22"/>
        </w:rPr>
        <w:t>s not straightforward. There is now a wealth of studies that suggest that welfare applicants fare better in redress forums if they are legally represented, despite the fact that such forums have been designed to function without the need for representation.</w:t>
      </w:r>
      <w:r w:rsidR="00EF3379">
        <w:rPr>
          <w:rStyle w:val="FootnoteReference"/>
          <w:rFonts w:asciiTheme="majorHAnsi" w:hAnsiTheme="majorHAnsi"/>
          <w:sz w:val="22"/>
          <w:szCs w:val="22"/>
        </w:rPr>
        <w:footnoteReference w:id="34"/>
      </w:r>
      <w:r w:rsidR="005150A2">
        <w:rPr>
          <w:rFonts w:asciiTheme="majorHAnsi" w:hAnsiTheme="majorHAnsi"/>
          <w:sz w:val="22"/>
          <w:szCs w:val="22"/>
        </w:rPr>
        <w:t xml:space="preserve"> </w:t>
      </w:r>
    </w:p>
    <w:p w14:paraId="528B6D14" w14:textId="77777777" w:rsidR="00757983" w:rsidRDefault="00757983" w:rsidP="002F6B39">
      <w:pPr>
        <w:rPr>
          <w:rFonts w:asciiTheme="majorHAnsi" w:hAnsiTheme="majorHAnsi"/>
          <w:sz w:val="22"/>
          <w:szCs w:val="22"/>
        </w:rPr>
      </w:pPr>
    </w:p>
    <w:p w14:paraId="5EC32768" w14:textId="66CA360B" w:rsidR="00757983" w:rsidRDefault="005150A2" w:rsidP="00757983">
      <w:pPr>
        <w:pStyle w:val="NoSpacing"/>
        <w:rPr>
          <w:rFonts w:asciiTheme="majorHAnsi" w:hAnsiTheme="majorHAnsi"/>
          <w:sz w:val="22"/>
          <w:szCs w:val="22"/>
        </w:rPr>
      </w:pPr>
      <w:r>
        <w:rPr>
          <w:rFonts w:asciiTheme="majorHAnsi" w:hAnsiTheme="majorHAnsi"/>
          <w:sz w:val="22"/>
          <w:szCs w:val="22"/>
        </w:rPr>
        <w:t xml:space="preserve">These findings have often been explained in terms of the </w:t>
      </w:r>
      <w:r w:rsidR="007C1D11">
        <w:rPr>
          <w:rFonts w:asciiTheme="majorHAnsi" w:hAnsiTheme="majorHAnsi"/>
          <w:sz w:val="22"/>
          <w:szCs w:val="22"/>
        </w:rPr>
        <w:t>increasing</w:t>
      </w:r>
      <w:r w:rsidR="00AD1C55">
        <w:rPr>
          <w:rFonts w:asciiTheme="majorHAnsi" w:hAnsiTheme="majorHAnsi"/>
          <w:sz w:val="22"/>
          <w:szCs w:val="22"/>
        </w:rPr>
        <w:t xml:space="preserve"> </w:t>
      </w:r>
      <w:r w:rsidRPr="005150A2">
        <w:rPr>
          <w:rFonts w:asciiTheme="majorHAnsi" w:hAnsiTheme="majorHAnsi"/>
          <w:sz w:val="22"/>
          <w:szCs w:val="22"/>
        </w:rPr>
        <w:t>technical complex</w:t>
      </w:r>
      <w:r>
        <w:rPr>
          <w:rFonts w:asciiTheme="majorHAnsi" w:hAnsiTheme="majorHAnsi"/>
          <w:sz w:val="22"/>
          <w:szCs w:val="22"/>
        </w:rPr>
        <w:t>ity</w:t>
      </w:r>
      <w:r w:rsidRPr="005150A2">
        <w:rPr>
          <w:rFonts w:asciiTheme="majorHAnsi" w:hAnsiTheme="majorHAnsi"/>
          <w:sz w:val="22"/>
          <w:szCs w:val="22"/>
        </w:rPr>
        <w:t xml:space="preserve"> </w:t>
      </w:r>
      <w:r>
        <w:rPr>
          <w:rFonts w:asciiTheme="majorHAnsi" w:hAnsiTheme="majorHAnsi"/>
          <w:sz w:val="22"/>
          <w:szCs w:val="22"/>
        </w:rPr>
        <w:t xml:space="preserve">of welfare </w:t>
      </w:r>
      <w:r w:rsidRPr="005150A2">
        <w:rPr>
          <w:rFonts w:asciiTheme="majorHAnsi" w:hAnsiTheme="majorHAnsi"/>
          <w:sz w:val="22"/>
          <w:szCs w:val="22"/>
        </w:rPr>
        <w:t xml:space="preserve">law and </w:t>
      </w:r>
      <w:r>
        <w:rPr>
          <w:rFonts w:asciiTheme="majorHAnsi" w:hAnsiTheme="majorHAnsi"/>
          <w:sz w:val="22"/>
          <w:szCs w:val="22"/>
        </w:rPr>
        <w:t xml:space="preserve">the fact </w:t>
      </w:r>
      <w:r w:rsidRPr="005150A2">
        <w:rPr>
          <w:rFonts w:asciiTheme="majorHAnsi" w:hAnsiTheme="majorHAnsi"/>
          <w:sz w:val="22"/>
          <w:szCs w:val="22"/>
        </w:rPr>
        <w:t xml:space="preserve">that applicants without expert representation </w:t>
      </w:r>
      <w:r>
        <w:rPr>
          <w:rFonts w:asciiTheme="majorHAnsi" w:hAnsiTheme="majorHAnsi"/>
          <w:sz w:val="22"/>
          <w:szCs w:val="22"/>
        </w:rPr>
        <w:t>are, accordingly,</w:t>
      </w:r>
      <w:r w:rsidRPr="005150A2">
        <w:rPr>
          <w:rFonts w:asciiTheme="majorHAnsi" w:hAnsiTheme="majorHAnsi"/>
          <w:sz w:val="22"/>
          <w:szCs w:val="22"/>
        </w:rPr>
        <w:t xml:space="preserve"> at a disadvantage in understanding and negotiating those technicalities – the ‘trap of hidden legalism’ as </w:t>
      </w:r>
      <w:r w:rsidR="00EF3379" w:rsidRPr="005150A2">
        <w:rPr>
          <w:rFonts w:asciiTheme="majorHAnsi" w:hAnsiTheme="majorHAnsi"/>
          <w:sz w:val="22"/>
          <w:szCs w:val="22"/>
        </w:rPr>
        <w:t xml:space="preserve">Monsma and </w:t>
      </w:r>
      <w:r w:rsidRPr="005150A2">
        <w:rPr>
          <w:rFonts w:asciiTheme="majorHAnsi" w:hAnsiTheme="majorHAnsi"/>
          <w:sz w:val="22"/>
          <w:szCs w:val="22"/>
        </w:rPr>
        <w:t>Lempert have put it.</w:t>
      </w:r>
      <w:r w:rsidR="00EF3379">
        <w:rPr>
          <w:rStyle w:val="FootnoteReference"/>
          <w:rFonts w:asciiTheme="majorHAnsi" w:hAnsiTheme="majorHAnsi"/>
          <w:sz w:val="22"/>
          <w:szCs w:val="22"/>
        </w:rPr>
        <w:footnoteReference w:id="35"/>
      </w:r>
      <w:r w:rsidR="00757983">
        <w:rPr>
          <w:rFonts w:asciiTheme="majorHAnsi" w:hAnsiTheme="majorHAnsi"/>
          <w:sz w:val="22"/>
          <w:szCs w:val="22"/>
        </w:rPr>
        <w:t xml:space="preserve"> Our qualitative data suggest an addition</w:t>
      </w:r>
      <w:r w:rsidR="00C3726C">
        <w:rPr>
          <w:rFonts w:asciiTheme="majorHAnsi" w:hAnsiTheme="majorHAnsi"/>
          <w:sz w:val="22"/>
          <w:szCs w:val="22"/>
        </w:rPr>
        <w:t>al</w:t>
      </w:r>
      <w:r w:rsidR="00757983">
        <w:rPr>
          <w:rFonts w:asciiTheme="majorHAnsi" w:hAnsiTheme="majorHAnsi"/>
          <w:sz w:val="22"/>
          <w:szCs w:val="22"/>
        </w:rPr>
        <w:t xml:space="preserve"> reason why representation, at least at times, may increase an applicant’s chance of success. In qualitative study 2, the benefit</w:t>
      </w:r>
      <w:r w:rsidR="001A17E9">
        <w:rPr>
          <w:rFonts w:asciiTheme="majorHAnsi" w:hAnsiTheme="majorHAnsi"/>
          <w:sz w:val="22"/>
          <w:szCs w:val="22"/>
        </w:rPr>
        <w:t>s</w:t>
      </w:r>
      <w:r w:rsidR="00757983">
        <w:rPr>
          <w:rFonts w:asciiTheme="majorHAnsi" w:hAnsiTheme="majorHAnsi"/>
          <w:sz w:val="22"/>
          <w:szCs w:val="22"/>
        </w:rPr>
        <w:t xml:space="preserve"> of an increased coherence of </w:t>
      </w:r>
      <w:r w:rsidR="00B81CAE">
        <w:rPr>
          <w:rFonts w:asciiTheme="majorHAnsi" w:hAnsiTheme="majorHAnsi"/>
          <w:sz w:val="22"/>
          <w:szCs w:val="22"/>
        </w:rPr>
        <w:t xml:space="preserve">internal review </w:t>
      </w:r>
      <w:r w:rsidR="00757983">
        <w:rPr>
          <w:rFonts w:asciiTheme="majorHAnsi" w:hAnsiTheme="majorHAnsi"/>
          <w:sz w:val="22"/>
          <w:szCs w:val="22"/>
        </w:rPr>
        <w:t xml:space="preserve">application was </w:t>
      </w:r>
      <w:r w:rsidR="00757983">
        <w:rPr>
          <w:rFonts w:asciiTheme="majorHAnsi" w:hAnsiTheme="majorHAnsi"/>
          <w:noProof w:val="0"/>
          <w:sz w:val="22"/>
          <w:szCs w:val="22"/>
        </w:rPr>
        <w:t>identified</w:t>
      </w:r>
      <w:r w:rsidR="00757983">
        <w:rPr>
          <w:rFonts w:asciiTheme="majorHAnsi" w:hAnsiTheme="majorHAnsi"/>
          <w:sz w:val="22"/>
          <w:szCs w:val="22"/>
        </w:rPr>
        <w:t xml:space="preserve">: </w:t>
      </w:r>
    </w:p>
    <w:p w14:paraId="7FCBA7F4" w14:textId="77777777" w:rsidR="00757983" w:rsidRDefault="00757983" w:rsidP="00757983">
      <w:pPr>
        <w:pStyle w:val="NoSpacing"/>
        <w:rPr>
          <w:rFonts w:asciiTheme="majorHAnsi" w:hAnsiTheme="majorHAnsi"/>
          <w:sz w:val="22"/>
          <w:szCs w:val="22"/>
        </w:rPr>
      </w:pPr>
    </w:p>
    <w:p w14:paraId="42F7406A" w14:textId="1333CEB7" w:rsidR="00757983" w:rsidRDefault="00757983" w:rsidP="00757983">
      <w:pPr>
        <w:pStyle w:val="NoSpacing"/>
        <w:ind w:left="720"/>
        <w:rPr>
          <w:rFonts w:asciiTheme="majorHAnsi" w:hAnsiTheme="majorHAnsi"/>
          <w:sz w:val="22"/>
          <w:szCs w:val="22"/>
        </w:rPr>
      </w:pPr>
      <w:r w:rsidRPr="00A7153F">
        <w:rPr>
          <w:rFonts w:asciiTheme="majorHAnsi" w:hAnsiTheme="majorHAnsi"/>
          <w:sz w:val="22"/>
          <w:szCs w:val="22"/>
        </w:rPr>
        <w:t>you get a nice and neat presented packag</w:t>
      </w:r>
      <w:r w:rsidR="00C3726C">
        <w:rPr>
          <w:rFonts w:asciiTheme="majorHAnsi" w:hAnsiTheme="majorHAnsi"/>
          <w:sz w:val="22"/>
          <w:szCs w:val="22"/>
        </w:rPr>
        <w:t>e when you get a representative</w:t>
      </w:r>
      <w:r w:rsidRPr="00A7153F">
        <w:rPr>
          <w:rFonts w:asciiTheme="majorHAnsi" w:hAnsiTheme="majorHAnsi"/>
          <w:sz w:val="22"/>
          <w:szCs w:val="22"/>
        </w:rPr>
        <w:t xml:space="preserve"> </w:t>
      </w:r>
      <w:r w:rsidR="00C3726C">
        <w:rPr>
          <w:rFonts w:asciiTheme="majorHAnsi" w:hAnsiTheme="majorHAnsi"/>
          <w:sz w:val="22"/>
          <w:szCs w:val="22"/>
        </w:rPr>
        <w:t>… a solicitor or whatever</w:t>
      </w:r>
      <w:r w:rsidRPr="00A7153F">
        <w:rPr>
          <w:rFonts w:asciiTheme="majorHAnsi" w:hAnsiTheme="majorHAnsi"/>
          <w:sz w:val="22"/>
          <w:szCs w:val="22"/>
        </w:rPr>
        <w:t xml:space="preserve"> writing out fi</w:t>
      </w:r>
      <w:r>
        <w:rPr>
          <w:rFonts w:asciiTheme="majorHAnsi" w:hAnsiTheme="majorHAnsi"/>
          <w:sz w:val="22"/>
          <w:szCs w:val="22"/>
        </w:rPr>
        <w:t>ve pages of why their client</w:t>
      </w:r>
      <w:r w:rsidRPr="00A7153F">
        <w:rPr>
          <w:rFonts w:asciiTheme="majorHAnsi" w:hAnsiTheme="majorHAnsi"/>
          <w:sz w:val="22"/>
          <w:szCs w:val="22"/>
        </w:rPr>
        <w:t xml:space="preserve"> is vulnerable or whatever and the reasons why, and I think that does make a big difference </w:t>
      </w:r>
      <w:r w:rsidR="00B81CAE">
        <w:rPr>
          <w:rFonts w:asciiTheme="majorHAnsi" w:hAnsiTheme="majorHAnsi"/>
          <w:sz w:val="22"/>
          <w:szCs w:val="22"/>
        </w:rPr>
        <w:t>… [I]</w:t>
      </w:r>
      <w:r w:rsidRPr="00A7153F">
        <w:rPr>
          <w:rFonts w:asciiTheme="majorHAnsi" w:hAnsiTheme="majorHAnsi"/>
          <w:sz w:val="22"/>
          <w:szCs w:val="22"/>
        </w:rPr>
        <w:t>f it’s nicely presented by somebody, it’s a much more straightforward process…</w:t>
      </w:r>
      <w:r w:rsidR="00C3726C">
        <w:rPr>
          <w:rFonts w:asciiTheme="majorHAnsi" w:hAnsiTheme="majorHAnsi"/>
          <w:sz w:val="22"/>
          <w:szCs w:val="22"/>
        </w:rPr>
        <w:t xml:space="preserve"> [W]</w:t>
      </w:r>
      <w:r w:rsidRPr="00A7153F">
        <w:rPr>
          <w:rFonts w:asciiTheme="majorHAnsi" w:hAnsiTheme="majorHAnsi"/>
          <w:sz w:val="22"/>
          <w:szCs w:val="22"/>
        </w:rPr>
        <w:t>hereas a chaotic person who isn’</w:t>
      </w:r>
      <w:r>
        <w:rPr>
          <w:rFonts w:asciiTheme="majorHAnsi" w:hAnsiTheme="majorHAnsi"/>
          <w:sz w:val="22"/>
          <w:szCs w:val="22"/>
        </w:rPr>
        <w:t xml:space="preserve">t accessing anything is </w:t>
      </w:r>
      <w:r w:rsidRPr="00A7153F">
        <w:rPr>
          <w:rFonts w:asciiTheme="majorHAnsi" w:hAnsiTheme="majorHAnsi"/>
          <w:sz w:val="22"/>
          <w:szCs w:val="22"/>
        </w:rPr>
        <w:t xml:space="preserve">going to be less likely to present a coherent </w:t>
      </w:r>
      <w:r w:rsidR="005320B3">
        <w:rPr>
          <w:rFonts w:asciiTheme="majorHAnsi" w:hAnsiTheme="majorHAnsi"/>
          <w:sz w:val="22"/>
          <w:szCs w:val="22"/>
        </w:rPr>
        <w:t>…</w:t>
      </w:r>
      <w:r w:rsidRPr="00A7153F">
        <w:rPr>
          <w:rFonts w:asciiTheme="majorHAnsi" w:hAnsiTheme="majorHAnsi"/>
          <w:sz w:val="22"/>
          <w:szCs w:val="22"/>
        </w:rPr>
        <w:t xml:space="preserve"> argument. </w:t>
      </w:r>
    </w:p>
    <w:p w14:paraId="0F4B2BEE" w14:textId="226EF741" w:rsidR="00E16D9A" w:rsidRDefault="00757983" w:rsidP="005320B3">
      <w:pPr>
        <w:ind w:firstLine="720"/>
        <w:rPr>
          <w:rFonts w:asciiTheme="majorHAnsi" w:hAnsiTheme="majorHAnsi"/>
          <w:sz w:val="22"/>
          <w:szCs w:val="22"/>
        </w:rPr>
      </w:pPr>
      <w:r w:rsidRPr="00757983">
        <w:rPr>
          <w:rFonts w:asciiTheme="majorHAnsi" w:hAnsiTheme="majorHAnsi"/>
          <w:b/>
          <w:sz w:val="22"/>
          <w:szCs w:val="22"/>
        </w:rPr>
        <w:t>London Manager</w:t>
      </w:r>
    </w:p>
    <w:p w14:paraId="71575999" w14:textId="77777777" w:rsidR="005150A2" w:rsidRDefault="005150A2" w:rsidP="002F6B39">
      <w:pPr>
        <w:rPr>
          <w:rFonts w:asciiTheme="majorHAnsi" w:hAnsiTheme="majorHAnsi"/>
          <w:sz w:val="22"/>
          <w:szCs w:val="22"/>
        </w:rPr>
      </w:pPr>
    </w:p>
    <w:p w14:paraId="3F1539CB" w14:textId="75A82111" w:rsidR="005150A2" w:rsidRDefault="005150A2" w:rsidP="002F6B39">
      <w:pPr>
        <w:rPr>
          <w:rFonts w:asciiTheme="majorHAnsi" w:hAnsiTheme="majorHAnsi"/>
          <w:sz w:val="22"/>
          <w:szCs w:val="22"/>
        </w:rPr>
      </w:pPr>
      <w:r>
        <w:rPr>
          <w:rFonts w:asciiTheme="majorHAnsi" w:hAnsiTheme="majorHAnsi"/>
          <w:sz w:val="22"/>
          <w:szCs w:val="22"/>
        </w:rPr>
        <w:t xml:space="preserve">Our survey data, however, </w:t>
      </w:r>
      <w:r w:rsidR="00C3726C">
        <w:rPr>
          <w:rFonts w:asciiTheme="majorHAnsi" w:hAnsiTheme="majorHAnsi"/>
          <w:sz w:val="22"/>
          <w:szCs w:val="22"/>
        </w:rPr>
        <w:t>have proved</w:t>
      </w:r>
      <w:r>
        <w:rPr>
          <w:rFonts w:asciiTheme="majorHAnsi" w:hAnsiTheme="majorHAnsi"/>
          <w:sz w:val="22"/>
          <w:szCs w:val="22"/>
        </w:rPr>
        <w:t xml:space="preserve"> ambivalent about the impact of legal representation on internal review outcomes. In 2010, our data suggested that there was, </w:t>
      </w:r>
      <w:r w:rsidR="005C5DCB">
        <w:rPr>
          <w:rFonts w:asciiTheme="majorHAnsi" w:hAnsiTheme="majorHAnsi"/>
          <w:sz w:val="22"/>
          <w:szCs w:val="22"/>
        </w:rPr>
        <w:t xml:space="preserve">in </w:t>
      </w:r>
      <w:r>
        <w:rPr>
          <w:rFonts w:asciiTheme="majorHAnsi" w:hAnsiTheme="majorHAnsi"/>
          <w:sz w:val="22"/>
          <w:szCs w:val="22"/>
        </w:rPr>
        <w:t>Adler’s terms,</w:t>
      </w:r>
      <w:r w:rsidR="00AA76B3">
        <w:rPr>
          <w:rStyle w:val="FootnoteReference"/>
          <w:rFonts w:asciiTheme="majorHAnsi" w:hAnsiTheme="majorHAnsi"/>
          <w:sz w:val="22"/>
          <w:szCs w:val="22"/>
        </w:rPr>
        <w:footnoteReference w:id="36"/>
      </w:r>
      <w:r>
        <w:rPr>
          <w:rFonts w:asciiTheme="majorHAnsi" w:hAnsiTheme="majorHAnsi"/>
          <w:sz w:val="22"/>
          <w:szCs w:val="22"/>
        </w:rPr>
        <w:t xml:space="preserve"> a ‘premium’ associated with legal representation.</w:t>
      </w:r>
    </w:p>
    <w:p w14:paraId="35534534" w14:textId="77777777" w:rsidR="005150A2" w:rsidRDefault="005150A2" w:rsidP="002F6B39">
      <w:pPr>
        <w:rPr>
          <w:rFonts w:asciiTheme="majorHAnsi" w:hAnsiTheme="majorHAnsi"/>
          <w:sz w:val="22"/>
          <w:szCs w:val="22"/>
        </w:rPr>
      </w:pPr>
    </w:p>
    <w:p w14:paraId="413CD229" w14:textId="68737D25" w:rsidR="005150A2" w:rsidRPr="00AD2E9B" w:rsidRDefault="005150A2" w:rsidP="005150A2">
      <w:pPr>
        <w:rPr>
          <w:rFonts w:asciiTheme="majorHAnsi" w:hAnsiTheme="majorHAnsi"/>
          <w:b/>
          <w:sz w:val="20"/>
          <w:szCs w:val="20"/>
        </w:rPr>
      </w:pPr>
      <w:r w:rsidRPr="00AD2E9B">
        <w:rPr>
          <w:rFonts w:asciiTheme="majorHAnsi" w:hAnsiTheme="majorHAnsi"/>
          <w:b/>
          <w:sz w:val="20"/>
          <w:szCs w:val="20"/>
        </w:rPr>
        <w:t>Table 4: Impact of Legal Representation on Internal Review Outcomes</w:t>
      </w:r>
      <w:r w:rsidR="00AD2E9B" w:rsidRPr="00AD2E9B">
        <w:rPr>
          <w:rFonts w:asciiTheme="majorHAnsi" w:hAnsiTheme="majorHAnsi"/>
          <w:b/>
          <w:sz w:val="20"/>
          <w:szCs w:val="20"/>
        </w:rPr>
        <w:t xml:space="preserve"> (2010)</w:t>
      </w:r>
    </w:p>
    <w:tbl>
      <w:tblPr>
        <w:tblStyle w:val="TableGrid"/>
        <w:tblpPr w:leftFromText="180" w:rightFromText="180" w:vertAnchor="text" w:horzAnchor="page" w:tblpX="1909" w:tblpY="198"/>
        <w:tblW w:w="0" w:type="auto"/>
        <w:tblLook w:val="04A0" w:firstRow="1" w:lastRow="0" w:firstColumn="1" w:lastColumn="0" w:noHBand="0" w:noVBand="1"/>
      </w:tblPr>
      <w:tblGrid>
        <w:gridCol w:w="2410"/>
        <w:gridCol w:w="1701"/>
        <w:gridCol w:w="1701"/>
        <w:gridCol w:w="1701"/>
      </w:tblGrid>
      <w:tr w:rsidR="00AD2E9B" w:rsidRPr="005150A2" w14:paraId="7278B823" w14:textId="77777777" w:rsidTr="005150A2">
        <w:tc>
          <w:tcPr>
            <w:tcW w:w="2410" w:type="dxa"/>
          </w:tcPr>
          <w:p w14:paraId="6168C5F4" w14:textId="1C4C46FC" w:rsidR="00AD2E9B" w:rsidRPr="009B4651" w:rsidRDefault="00AD2E9B" w:rsidP="005150A2">
            <w:pPr>
              <w:rPr>
                <w:rFonts w:asciiTheme="majorHAnsi" w:hAnsiTheme="majorHAnsi"/>
                <w:b/>
                <w:sz w:val="20"/>
                <w:szCs w:val="20"/>
              </w:rPr>
            </w:pPr>
          </w:p>
        </w:tc>
        <w:tc>
          <w:tcPr>
            <w:tcW w:w="3402" w:type="dxa"/>
            <w:gridSpan w:val="2"/>
          </w:tcPr>
          <w:p w14:paraId="0B7F05F9" w14:textId="77777777" w:rsidR="00AD2E9B" w:rsidRPr="009B4651" w:rsidRDefault="00AD2E9B" w:rsidP="005150A2">
            <w:pPr>
              <w:jc w:val="center"/>
              <w:rPr>
                <w:rFonts w:asciiTheme="majorHAnsi" w:hAnsiTheme="majorHAnsi"/>
                <w:b/>
                <w:sz w:val="20"/>
                <w:szCs w:val="20"/>
              </w:rPr>
            </w:pPr>
            <w:r w:rsidRPr="009B4651">
              <w:rPr>
                <w:rFonts w:asciiTheme="majorHAnsi" w:hAnsiTheme="majorHAnsi"/>
                <w:b/>
                <w:sz w:val="20"/>
                <w:szCs w:val="20"/>
              </w:rPr>
              <w:t>Proportion represented by lawyers:-</w:t>
            </w:r>
          </w:p>
        </w:tc>
        <w:tc>
          <w:tcPr>
            <w:tcW w:w="1701" w:type="dxa"/>
            <w:vMerge w:val="restart"/>
          </w:tcPr>
          <w:p w14:paraId="2314DD40" w14:textId="77777777" w:rsidR="00AD2E9B" w:rsidRPr="009B4651" w:rsidRDefault="00AD2E9B" w:rsidP="005150A2">
            <w:pPr>
              <w:jc w:val="center"/>
              <w:rPr>
                <w:rFonts w:asciiTheme="majorHAnsi" w:hAnsiTheme="majorHAnsi"/>
                <w:b/>
                <w:sz w:val="20"/>
                <w:szCs w:val="20"/>
              </w:rPr>
            </w:pPr>
            <w:r w:rsidRPr="009B4651">
              <w:rPr>
                <w:rFonts w:asciiTheme="majorHAnsi" w:hAnsiTheme="majorHAnsi"/>
                <w:b/>
                <w:sz w:val="20"/>
                <w:szCs w:val="20"/>
              </w:rPr>
              <w:t>All (%)</w:t>
            </w:r>
          </w:p>
        </w:tc>
      </w:tr>
      <w:tr w:rsidR="00AD2E9B" w:rsidRPr="005150A2" w14:paraId="780E1479" w14:textId="77777777" w:rsidTr="005150A2">
        <w:tc>
          <w:tcPr>
            <w:tcW w:w="2410" w:type="dxa"/>
          </w:tcPr>
          <w:p w14:paraId="1C3D1964" w14:textId="354BF19D" w:rsidR="00AD2E9B" w:rsidRPr="009B4651" w:rsidRDefault="00AD2E9B" w:rsidP="00AD2E9B">
            <w:pPr>
              <w:jc w:val="right"/>
              <w:rPr>
                <w:rFonts w:asciiTheme="majorHAnsi" w:hAnsiTheme="majorHAnsi"/>
                <w:b/>
                <w:sz w:val="20"/>
                <w:szCs w:val="20"/>
              </w:rPr>
            </w:pPr>
            <w:r w:rsidRPr="009B4651">
              <w:rPr>
                <w:rFonts w:asciiTheme="majorHAnsi" w:hAnsiTheme="majorHAnsi"/>
                <w:b/>
                <w:sz w:val="20"/>
                <w:szCs w:val="20"/>
              </w:rPr>
              <w:t>Number of decisions overturned</w:t>
            </w:r>
          </w:p>
        </w:tc>
        <w:tc>
          <w:tcPr>
            <w:tcW w:w="1701" w:type="dxa"/>
          </w:tcPr>
          <w:p w14:paraId="6F03E2C6" w14:textId="426B5554" w:rsidR="00AD2E9B" w:rsidRPr="009B4651" w:rsidRDefault="00AD2E9B" w:rsidP="00AD2E9B">
            <w:pPr>
              <w:jc w:val="center"/>
              <w:rPr>
                <w:rFonts w:asciiTheme="majorHAnsi" w:hAnsiTheme="majorHAnsi"/>
                <w:b/>
                <w:sz w:val="20"/>
                <w:szCs w:val="20"/>
              </w:rPr>
            </w:pPr>
            <w:r w:rsidRPr="009B4651">
              <w:rPr>
                <w:rFonts w:asciiTheme="majorHAnsi" w:hAnsiTheme="majorHAnsi"/>
                <w:b/>
                <w:sz w:val="20"/>
                <w:szCs w:val="20"/>
              </w:rPr>
              <w:t xml:space="preserve">Half or more </w:t>
            </w:r>
          </w:p>
        </w:tc>
        <w:tc>
          <w:tcPr>
            <w:tcW w:w="1701" w:type="dxa"/>
          </w:tcPr>
          <w:p w14:paraId="031FB0C8" w14:textId="2AB55C85" w:rsidR="00AD2E9B" w:rsidRPr="009B4651" w:rsidRDefault="00AD2E9B" w:rsidP="00AD2E9B">
            <w:pPr>
              <w:jc w:val="center"/>
              <w:rPr>
                <w:rFonts w:asciiTheme="majorHAnsi" w:hAnsiTheme="majorHAnsi"/>
                <w:b/>
                <w:sz w:val="20"/>
                <w:szCs w:val="20"/>
              </w:rPr>
            </w:pPr>
            <w:r w:rsidRPr="009B4651">
              <w:rPr>
                <w:rFonts w:asciiTheme="majorHAnsi" w:hAnsiTheme="majorHAnsi"/>
                <w:b/>
                <w:sz w:val="20"/>
                <w:szCs w:val="20"/>
              </w:rPr>
              <w:t xml:space="preserve">Less then half </w:t>
            </w:r>
          </w:p>
        </w:tc>
        <w:tc>
          <w:tcPr>
            <w:tcW w:w="1701" w:type="dxa"/>
            <w:vMerge/>
          </w:tcPr>
          <w:p w14:paraId="71CD9D07" w14:textId="77777777" w:rsidR="00AD2E9B" w:rsidRPr="009B4651" w:rsidRDefault="00AD2E9B" w:rsidP="005150A2">
            <w:pPr>
              <w:jc w:val="center"/>
              <w:rPr>
                <w:rFonts w:asciiTheme="majorHAnsi" w:hAnsiTheme="majorHAnsi"/>
                <w:b/>
                <w:sz w:val="20"/>
                <w:szCs w:val="20"/>
              </w:rPr>
            </w:pPr>
          </w:p>
        </w:tc>
      </w:tr>
      <w:tr w:rsidR="005150A2" w:rsidRPr="005150A2" w14:paraId="4F355746" w14:textId="77777777" w:rsidTr="005150A2">
        <w:tc>
          <w:tcPr>
            <w:tcW w:w="2410" w:type="dxa"/>
          </w:tcPr>
          <w:p w14:paraId="4F344B56" w14:textId="77777777" w:rsidR="005150A2" w:rsidRPr="005150A2" w:rsidRDefault="005150A2" w:rsidP="005150A2">
            <w:pPr>
              <w:jc w:val="right"/>
              <w:rPr>
                <w:rFonts w:asciiTheme="majorHAnsi" w:hAnsiTheme="majorHAnsi"/>
                <w:sz w:val="20"/>
                <w:szCs w:val="20"/>
              </w:rPr>
            </w:pPr>
            <w:r w:rsidRPr="005150A2">
              <w:rPr>
                <w:rFonts w:asciiTheme="majorHAnsi" w:hAnsiTheme="majorHAnsi"/>
                <w:sz w:val="20"/>
                <w:szCs w:val="20"/>
              </w:rPr>
              <w:t>Zero</w:t>
            </w:r>
          </w:p>
        </w:tc>
        <w:tc>
          <w:tcPr>
            <w:tcW w:w="1701" w:type="dxa"/>
          </w:tcPr>
          <w:p w14:paraId="243AF2F1" w14:textId="0AAB2E77" w:rsidR="005150A2" w:rsidRPr="005150A2" w:rsidRDefault="005150A2" w:rsidP="005150A2">
            <w:pPr>
              <w:jc w:val="right"/>
              <w:rPr>
                <w:rFonts w:asciiTheme="majorHAnsi" w:hAnsiTheme="majorHAnsi"/>
                <w:sz w:val="20"/>
                <w:szCs w:val="20"/>
              </w:rPr>
            </w:pPr>
            <w:r w:rsidRPr="005150A2">
              <w:rPr>
                <w:rFonts w:asciiTheme="majorHAnsi" w:hAnsiTheme="majorHAnsi"/>
                <w:sz w:val="20"/>
                <w:szCs w:val="20"/>
              </w:rPr>
              <w:t>14</w:t>
            </w:r>
            <w:r w:rsidR="00AD2E9B">
              <w:rPr>
                <w:rFonts w:asciiTheme="majorHAnsi" w:hAnsiTheme="majorHAnsi"/>
                <w:sz w:val="20"/>
                <w:szCs w:val="20"/>
              </w:rPr>
              <w:t>%</w:t>
            </w:r>
          </w:p>
        </w:tc>
        <w:tc>
          <w:tcPr>
            <w:tcW w:w="1701" w:type="dxa"/>
          </w:tcPr>
          <w:p w14:paraId="0486D315" w14:textId="2E94B0F9" w:rsidR="005150A2" w:rsidRPr="005150A2" w:rsidRDefault="005150A2" w:rsidP="005150A2">
            <w:pPr>
              <w:jc w:val="right"/>
              <w:rPr>
                <w:rFonts w:asciiTheme="majorHAnsi" w:hAnsiTheme="majorHAnsi"/>
                <w:sz w:val="20"/>
                <w:szCs w:val="20"/>
              </w:rPr>
            </w:pPr>
            <w:r w:rsidRPr="005150A2">
              <w:rPr>
                <w:rFonts w:asciiTheme="majorHAnsi" w:hAnsiTheme="majorHAnsi"/>
                <w:sz w:val="20"/>
                <w:szCs w:val="20"/>
              </w:rPr>
              <w:t>48</w:t>
            </w:r>
            <w:r w:rsidR="00AD2E9B">
              <w:rPr>
                <w:rFonts w:asciiTheme="majorHAnsi" w:hAnsiTheme="majorHAnsi"/>
                <w:sz w:val="20"/>
                <w:szCs w:val="20"/>
              </w:rPr>
              <w:t>%</w:t>
            </w:r>
          </w:p>
        </w:tc>
        <w:tc>
          <w:tcPr>
            <w:tcW w:w="1701" w:type="dxa"/>
          </w:tcPr>
          <w:p w14:paraId="435C83B4" w14:textId="39C7DD11" w:rsidR="005150A2" w:rsidRPr="005150A2" w:rsidRDefault="005150A2" w:rsidP="005150A2">
            <w:pPr>
              <w:jc w:val="right"/>
              <w:rPr>
                <w:rFonts w:asciiTheme="majorHAnsi" w:hAnsiTheme="majorHAnsi"/>
                <w:sz w:val="20"/>
                <w:szCs w:val="20"/>
              </w:rPr>
            </w:pPr>
            <w:r w:rsidRPr="005150A2">
              <w:rPr>
                <w:rFonts w:asciiTheme="majorHAnsi" w:hAnsiTheme="majorHAnsi"/>
                <w:sz w:val="20"/>
                <w:szCs w:val="20"/>
              </w:rPr>
              <w:t>38</w:t>
            </w:r>
            <w:r w:rsidR="00AD2E9B">
              <w:rPr>
                <w:rFonts w:asciiTheme="majorHAnsi" w:hAnsiTheme="majorHAnsi"/>
                <w:sz w:val="20"/>
                <w:szCs w:val="20"/>
              </w:rPr>
              <w:t>%</w:t>
            </w:r>
          </w:p>
        </w:tc>
      </w:tr>
      <w:tr w:rsidR="005150A2" w:rsidRPr="005150A2" w14:paraId="0DDC824D" w14:textId="77777777" w:rsidTr="005150A2">
        <w:tc>
          <w:tcPr>
            <w:tcW w:w="2410" w:type="dxa"/>
          </w:tcPr>
          <w:p w14:paraId="4C61EBD3" w14:textId="77777777" w:rsidR="005150A2" w:rsidRPr="005150A2" w:rsidRDefault="005150A2" w:rsidP="005150A2">
            <w:pPr>
              <w:jc w:val="right"/>
              <w:rPr>
                <w:rFonts w:asciiTheme="majorHAnsi" w:hAnsiTheme="majorHAnsi"/>
                <w:sz w:val="20"/>
                <w:szCs w:val="20"/>
              </w:rPr>
            </w:pPr>
            <w:r w:rsidRPr="005150A2">
              <w:rPr>
                <w:rFonts w:asciiTheme="majorHAnsi" w:hAnsiTheme="majorHAnsi"/>
                <w:sz w:val="20"/>
                <w:szCs w:val="20"/>
              </w:rPr>
              <w:t>1-5</w:t>
            </w:r>
          </w:p>
        </w:tc>
        <w:tc>
          <w:tcPr>
            <w:tcW w:w="1701" w:type="dxa"/>
          </w:tcPr>
          <w:p w14:paraId="63A0DDDC" w14:textId="64223E08" w:rsidR="005150A2" w:rsidRPr="005150A2" w:rsidRDefault="005150A2" w:rsidP="005150A2">
            <w:pPr>
              <w:jc w:val="right"/>
              <w:rPr>
                <w:rFonts w:asciiTheme="majorHAnsi" w:hAnsiTheme="majorHAnsi"/>
                <w:sz w:val="20"/>
                <w:szCs w:val="20"/>
              </w:rPr>
            </w:pPr>
            <w:r w:rsidRPr="005150A2">
              <w:rPr>
                <w:rFonts w:asciiTheme="majorHAnsi" w:hAnsiTheme="majorHAnsi"/>
                <w:sz w:val="20"/>
                <w:szCs w:val="20"/>
              </w:rPr>
              <w:t>68</w:t>
            </w:r>
            <w:r w:rsidR="00AD2E9B">
              <w:rPr>
                <w:rFonts w:asciiTheme="majorHAnsi" w:hAnsiTheme="majorHAnsi"/>
                <w:sz w:val="20"/>
                <w:szCs w:val="20"/>
              </w:rPr>
              <w:t>%</w:t>
            </w:r>
          </w:p>
        </w:tc>
        <w:tc>
          <w:tcPr>
            <w:tcW w:w="1701" w:type="dxa"/>
          </w:tcPr>
          <w:p w14:paraId="2D6C2374" w14:textId="19560B50" w:rsidR="005150A2" w:rsidRPr="005150A2" w:rsidRDefault="005150A2" w:rsidP="005150A2">
            <w:pPr>
              <w:jc w:val="right"/>
              <w:rPr>
                <w:rFonts w:asciiTheme="majorHAnsi" w:hAnsiTheme="majorHAnsi"/>
                <w:sz w:val="20"/>
                <w:szCs w:val="20"/>
              </w:rPr>
            </w:pPr>
            <w:r w:rsidRPr="005150A2">
              <w:rPr>
                <w:rFonts w:asciiTheme="majorHAnsi" w:hAnsiTheme="majorHAnsi"/>
                <w:sz w:val="20"/>
                <w:szCs w:val="20"/>
              </w:rPr>
              <w:t>43</w:t>
            </w:r>
            <w:r w:rsidR="00AD2E9B">
              <w:rPr>
                <w:rFonts w:asciiTheme="majorHAnsi" w:hAnsiTheme="majorHAnsi"/>
                <w:sz w:val="20"/>
                <w:szCs w:val="20"/>
              </w:rPr>
              <w:t>%</w:t>
            </w:r>
          </w:p>
        </w:tc>
        <w:tc>
          <w:tcPr>
            <w:tcW w:w="1701" w:type="dxa"/>
          </w:tcPr>
          <w:p w14:paraId="2898ED83" w14:textId="43789D55" w:rsidR="005150A2" w:rsidRPr="005150A2" w:rsidRDefault="005150A2" w:rsidP="005150A2">
            <w:pPr>
              <w:jc w:val="right"/>
              <w:rPr>
                <w:rFonts w:asciiTheme="majorHAnsi" w:hAnsiTheme="majorHAnsi"/>
                <w:sz w:val="20"/>
                <w:szCs w:val="20"/>
              </w:rPr>
            </w:pPr>
            <w:r w:rsidRPr="005150A2">
              <w:rPr>
                <w:rFonts w:asciiTheme="majorHAnsi" w:hAnsiTheme="majorHAnsi"/>
                <w:sz w:val="20"/>
                <w:szCs w:val="20"/>
              </w:rPr>
              <w:t>50</w:t>
            </w:r>
            <w:r w:rsidR="00AD2E9B">
              <w:rPr>
                <w:rFonts w:asciiTheme="majorHAnsi" w:hAnsiTheme="majorHAnsi"/>
                <w:sz w:val="20"/>
                <w:szCs w:val="20"/>
              </w:rPr>
              <w:t>%</w:t>
            </w:r>
          </w:p>
        </w:tc>
      </w:tr>
      <w:tr w:rsidR="005150A2" w:rsidRPr="005150A2" w14:paraId="0FAAE77C" w14:textId="77777777" w:rsidTr="005150A2">
        <w:tc>
          <w:tcPr>
            <w:tcW w:w="2410" w:type="dxa"/>
          </w:tcPr>
          <w:p w14:paraId="5F7F70EE" w14:textId="77777777" w:rsidR="005150A2" w:rsidRPr="005150A2" w:rsidRDefault="005150A2" w:rsidP="005150A2">
            <w:pPr>
              <w:jc w:val="right"/>
              <w:rPr>
                <w:rFonts w:asciiTheme="majorHAnsi" w:hAnsiTheme="majorHAnsi"/>
                <w:sz w:val="20"/>
                <w:szCs w:val="20"/>
              </w:rPr>
            </w:pPr>
            <w:r w:rsidRPr="005150A2">
              <w:rPr>
                <w:rFonts w:asciiTheme="majorHAnsi" w:hAnsiTheme="majorHAnsi"/>
                <w:sz w:val="20"/>
                <w:szCs w:val="20"/>
              </w:rPr>
              <w:t>6+</w:t>
            </w:r>
          </w:p>
        </w:tc>
        <w:tc>
          <w:tcPr>
            <w:tcW w:w="1701" w:type="dxa"/>
          </w:tcPr>
          <w:p w14:paraId="371C33B4" w14:textId="10B29898" w:rsidR="005150A2" w:rsidRPr="005150A2" w:rsidRDefault="005150A2" w:rsidP="005150A2">
            <w:pPr>
              <w:jc w:val="right"/>
              <w:rPr>
                <w:rFonts w:asciiTheme="majorHAnsi" w:hAnsiTheme="majorHAnsi"/>
                <w:sz w:val="20"/>
                <w:szCs w:val="20"/>
              </w:rPr>
            </w:pPr>
            <w:r w:rsidRPr="005150A2">
              <w:rPr>
                <w:rFonts w:asciiTheme="majorHAnsi" w:hAnsiTheme="majorHAnsi"/>
                <w:sz w:val="20"/>
                <w:szCs w:val="20"/>
              </w:rPr>
              <w:t>19</w:t>
            </w:r>
            <w:r w:rsidR="00AD2E9B">
              <w:rPr>
                <w:rFonts w:asciiTheme="majorHAnsi" w:hAnsiTheme="majorHAnsi"/>
                <w:sz w:val="20"/>
                <w:szCs w:val="20"/>
              </w:rPr>
              <w:t>%</w:t>
            </w:r>
          </w:p>
        </w:tc>
        <w:tc>
          <w:tcPr>
            <w:tcW w:w="1701" w:type="dxa"/>
          </w:tcPr>
          <w:p w14:paraId="4FF840AE" w14:textId="14FCC126" w:rsidR="005150A2" w:rsidRPr="005150A2" w:rsidRDefault="005150A2" w:rsidP="005150A2">
            <w:pPr>
              <w:jc w:val="right"/>
              <w:rPr>
                <w:rFonts w:asciiTheme="majorHAnsi" w:hAnsiTheme="majorHAnsi"/>
                <w:sz w:val="20"/>
                <w:szCs w:val="20"/>
              </w:rPr>
            </w:pPr>
            <w:r w:rsidRPr="005150A2">
              <w:rPr>
                <w:rFonts w:asciiTheme="majorHAnsi" w:hAnsiTheme="majorHAnsi"/>
                <w:sz w:val="20"/>
                <w:szCs w:val="20"/>
              </w:rPr>
              <w:t>9</w:t>
            </w:r>
            <w:r w:rsidR="00AD2E9B">
              <w:rPr>
                <w:rFonts w:asciiTheme="majorHAnsi" w:hAnsiTheme="majorHAnsi"/>
                <w:sz w:val="20"/>
                <w:szCs w:val="20"/>
              </w:rPr>
              <w:t>%</w:t>
            </w:r>
          </w:p>
        </w:tc>
        <w:tc>
          <w:tcPr>
            <w:tcW w:w="1701" w:type="dxa"/>
          </w:tcPr>
          <w:p w14:paraId="01D62736" w14:textId="05389CA6" w:rsidR="005150A2" w:rsidRPr="005150A2" w:rsidRDefault="005150A2" w:rsidP="005150A2">
            <w:pPr>
              <w:jc w:val="right"/>
              <w:rPr>
                <w:rFonts w:asciiTheme="majorHAnsi" w:hAnsiTheme="majorHAnsi"/>
                <w:sz w:val="20"/>
                <w:szCs w:val="20"/>
              </w:rPr>
            </w:pPr>
            <w:r w:rsidRPr="005150A2">
              <w:rPr>
                <w:rFonts w:asciiTheme="majorHAnsi" w:hAnsiTheme="majorHAnsi"/>
                <w:sz w:val="20"/>
                <w:szCs w:val="20"/>
              </w:rPr>
              <w:t>12</w:t>
            </w:r>
            <w:r w:rsidR="00AD2E9B">
              <w:rPr>
                <w:rFonts w:asciiTheme="majorHAnsi" w:hAnsiTheme="majorHAnsi"/>
                <w:sz w:val="20"/>
                <w:szCs w:val="20"/>
              </w:rPr>
              <w:t>%</w:t>
            </w:r>
          </w:p>
        </w:tc>
      </w:tr>
      <w:tr w:rsidR="005150A2" w:rsidRPr="005150A2" w14:paraId="402A5906" w14:textId="77777777" w:rsidTr="005150A2">
        <w:tc>
          <w:tcPr>
            <w:tcW w:w="2410" w:type="dxa"/>
          </w:tcPr>
          <w:p w14:paraId="480478E7" w14:textId="2B048E01" w:rsidR="005150A2" w:rsidRPr="005150A2" w:rsidRDefault="00D33469" w:rsidP="005150A2">
            <w:pPr>
              <w:jc w:val="right"/>
              <w:rPr>
                <w:rFonts w:asciiTheme="majorHAnsi" w:hAnsiTheme="majorHAnsi"/>
                <w:sz w:val="20"/>
                <w:szCs w:val="20"/>
              </w:rPr>
            </w:pPr>
            <w:r>
              <w:rPr>
                <w:rFonts w:asciiTheme="majorHAnsi" w:hAnsiTheme="majorHAnsi"/>
                <w:sz w:val="20"/>
                <w:szCs w:val="20"/>
              </w:rPr>
              <w:lastRenderedPageBreak/>
              <w:t>Total (</w:t>
            </w:r>
            <w:r w:rsidR="005150A2" w:rsidRPr="005150A2">
              <w:rPr>
                <w:rFonts w:asciiTheme="majorHAnsi" w:hAnsiTheme="majorHAnsi"/>
                <w:sz w:val="20"/>
                <w:szCs w:val="20"/>
              </w:rPr>
              <w:t>N</w:t>
            </w:r>
            <w:r>
              <w:rPr>
                <w:rFonts w:asciiTheme="majorHAnsi" w:hAnsiTheme="majorHAnsi"/>
                <w:sz w:val="20"/>
                <w:szCs w:val="20"/>
              </w:rPr>
              <w:t>)</w:t>
            </w:r>
          </w:p>
        </w:tc>
        <w:tc>
          <w:tcPr>
            <w:tcW w:w="1701" w:type="dxa"/>
          </w:tcPr>
          <w:p w14:paraId="6E9F0963" w14:textId="77777777" w:rsidR="005150A2" w:rsidRPr="005150A2" w:rsidRDefault="005150A2" w:rsidP="005150A2">
            <w:pPr>
              <w:jc w:val="right"/>
              <w:rPr>
                <w:rFonts w:asciiTheme="majorHAnsi" w:hAnsiTheme="majorHAnsi"/>
                <w:sz w:val="20"/>
                <w:szCs w:val="20"/>
              </w:rPr>
            </w:pPr>
            <w:r w:rsidRPr="005150A2">
              <w:rPr>
                <w:rFonts w:asciiTheme="majorHAnsi" w:hAnsiTheme="majorHAnsi"/>
                <w:sz w:val="20"/>
                <w:szCs w:val="20"/>
              </w:rPr>
              <w:t>37</w:t>
            </w:r>
          </w:p>
        </w:tc>
        <w:tc>
          <w:tcPr>
            <w:tcW w:w="1701" w:type="dxa"/>
          </w:tcPr>
          <w:p w14:paraId="66380224" w14:textId="77777777" w:rsidR="005150A2" w:rsidRPr="005150A2" w:rsidRDefault="005150A2" w:rsidP="005150A2">
            <w:pPr>
              <w:jc w:val="right"/>
              <w:rPr>
                <w:rFonts w:asciiTheme="majorHAnsi" w:hAnsiTheme="majorHAnsi"/>
                <w:sz w:val="20"/>
                <w:szCs w:val="20"/>
              </w:rPr>
            </w:pPr>
            <w:r w:rsidRPr="005150A2">
              <w:rPr>
                <w:rFonts w:asciiTheme="majorHAnsi" w:hAnsiTheme="majorHAnsi"/>
                <w:sz w:val="20"/>
                <w:szCs w:val="20"/>
              </w:rPr>
              <w:t>99</w:t>
            </w:r>
          </w:p>
        </w:tc>
        <w:tc>
          <w:tcPr>
            <w:tcW w:w="1701" w:type="dxa"/>
          </w:tcPr>
          <w:p w14:paraId="0DB6FD91" w14:textId="77777777" w:rsidR="005150A2" w:rsidRPr="005150A2" w:rsidRDefault="005150A2" w:rsidP="005150A2">
            <w:pPr>
              <w:jc w:val="right"/>
              <w:rPr>
                <w:rFonts w:asciiTheme="majorHAnsi" w:hAnsiTheme="majorHAnsi"/>
                <w:sz w:val="20"/>
                <w:szCs w:val="20"/>
              </w:rPr>
            </w:pPr>
            <w:r w:rsidRPr="005150A2">
              <w:rPr>
                <w:rFonts w:asciiTheme="majorHAnsi" w:hAnsiTheme="majorHAnsi"/>
                <w:sz w:val="20"/>
                <w:szCs w:val="20"/>
              </w:rPr>
              <w:t>136</w:t>
            </w:r>
          </w:p>
        </w:tc>
      </w:tr>
      <w:tr w:rsidR="005150A2" w:rsidRPr="005150A2" w14:paraId="07641CC4" w14:textId="77777777" w:rsidTr="005150A2">
        <w:tc>
          <w:tcPr>
            <w:tcW w:w="7513" w:type="dxa"/>
            <w:gridSpan w:val="4"/>
          </w:tcPr>
          <w:p w14:paraId="33A6219C" w14:textId="77777777" w:rsidR="005150A2" w:rsidRPr="005150A2" w:rsidRDefault="005150A2" w:rsidP="005150A2">
            <w:pPr>
              <w:rPr>
                <w:rFonts w:asciiTheme="majorHAnsi" w:hAnsiTheme="majorHAnsi"/>
                <w:sz w:val="20"/>
                <w:szCs w:val="20"/>
              </w:rPr>
            </w:pPr>
            <w:r w:rsidRPr="005150A2">
              <w:rPr>
                <w:rFonts w:asciiTheme="majorHAnsi" w:hAnsiTheme="majorHAnsi"/>
                <w:sz w:val="20"/>
                <w:szCs w:val="20"/>
              </w:rPr>
              <w:t>Differences in the table are significant at the 99% level of confidence (p&lt;0.01).</w:t>
            </w:r>
          </w:p>
        </w:tc>
      </w:tr>
    </w:tbl>
    <w:p w14:paraId="26FD25C7" w14:textId="77777777" w:rsidR="005150A2" w:rsidRDefault="005150A2" w:rsidP="005150A2"/>
    <w:p w14:paraId="55573B8C" w14:textId="77777777" w:rsidR="005150A2" w:rsidRPr="005150A2" w:rsidRDefault="005150A2" w:rsidP="002F6B39">
      <w:pPr>
        <w:rPr>
          <w:rFonts w:asciiTheme="majorHAnsi" w:hAnsiTheme="majorHAnsi"/>
          <w:sz w:val="22"/>
          <w:szCs w:val="22"/>
        </w:rPr>
      </w:pPr>
    </w:p>
    <w:p w14:paraId="6913EE95" w14:textId="77777777" w:rsidR="00431E7B" w:rsidRDefault="00431E7B">
      <w:pPr>
        <w:pStyle w:val="NoSpacing"/>
        <w:rPr>
          <w:rFonts w:asciiTheme="majorHAnsi" w:hAnsiTheme="majorHAnsi"/>
          <w:sz w:val="22"/>
          <w:szCs w:val="22"/>
        </w:rPr>
      </w:pPr>
    </w:p>
    <w:p w14:paraId="14882623" w14:textId="6F84B765" w:rsidR="00A7153F" w:rsidRPr="00A7153F" w:rsidRDefault="00AD2E9B">
      <w:pPr>
        <w:pStyle w:val="NoSpacing"/>
        <w:rPr>
          <w:rFonts w:asciiTheme="majorHAnsi" w:hAnsiTheme="majorHAnsi"/>
          <w:sz w:val="22"/>
          <w:szCs w:val="22"/>
        </w:rPr>
      </w:pPr>
      <w:r>
        <w:rPr>
          <w:rFonts w:asciiTheme="majorHAnsi" w:hAnsiTheme="majorHAnsi"/>
          <w:sz w:val="22"/>
          <w:szCs w:val="22"/>
        </w:rPr>
        <w:t xml:space="preserve">Yet in 2014 no such </w:t>
      </w:r>
      <w:r w:rsidR="000F771C">
        <w:rPr>
          <w:rFonts w:asciiTheme="majorHAnsi" w:hAnsiTheme="majorHAnsi"/>
          <w:sz w:val="22"/>
          <w:szCs w:val="22"/>
        </w:rPr>
        <w:t xml:space="preserve">statistically significant </w:t>
      </w:r>
      <w:r>
        <w:rPr>
          <w:rFonts w:asciiTheme="majorHAnsi" w:hAnsiTheme="majorHAnsi"/>
          <w:sz w:val="22"/>
          <w:szCs w:val="22"/>
        </w:rPr>
        <w:t>correlation was evident</w:t>
      </w:r>
      <w:r w:rsidR="00431E7B">
        <w:rPr>
          <w:rFonts w:asciiTheme="majorHAnsi" w:hAnsiTheme="majorHAnsi"/>
          <w:sz w:val="22"/>
          <w:szCs w:val="22"/>
        </w:rPr>
        <w:t xml:space="preserve"> in the survey data</w:t>
      </w:r>
      <w:r>
        <w:rPr>
          <w:rFonts w:asciiTheme="majorHAnsi" w:hAnsiTheme="majorHAnsi"/>
          <w:sz w:val="22"/>
          <w:szCs w:val="22"/>
        </w:rPr>
        <w:t>.</w:t>
      </w:r>
      <w:r w:rsidR="00654B5E">
        <w:rPr>
          <w:rFonts w:asciiTheme="majorHAnsi" w:hAnsiTheme="majorHAnsi"/>
          <w:sz w:val="22"/>
          <w:szCs w:val="22"/>
        </w:rPr>
        <w:t xml:space="preserve"> </w:t>
      </w:r>
      <w:r w:rsidR="005C5DCB">
        <w:rPr>
          <w:rFonts w:asciiTheme="majorHAnsi" w:hAnsiTheme="majorHAnsi"/>
          <w:sz w:val="22"/>
          <w:szCs w:val="22"/>
        </w:rPr>
        <w:t xml:space="preserve">We must remain agnostic, then, </w:t>
      </w:r>
      <w:r w:rsidR="001A17E9">
        <w:rPr>
          <w:rFonts w:asciiTheme="majorHAnsi" w:hAnsiTheme="majorHAnsi"/>
          <w:sz w:val="22"/>
          <w:szCs w:val="22"/>
        </w:rPr>
        <w:t xml:space="preserve">for the time being </w:t>
      </w:r>
      <w:r w:rsidR="005C5DCB">
        <w:rPr>
          <w:rFonts w:asciiTheme="majorHAnsi" w:hAnsiTheme="majorHAnsi"/>
          <w:sz w:val="22"/>
          <w:szCs w:val="22"/>
        </w:rPr>
        <w:t xml:space="preserve">about whether, over time, legal representation will prove to increase applicants’ chances of success at internal review. </w:t>
      </w:r>
    </w:p>
    <w:p w14:paraId="5926E3E1" w14:textId="77777777" w:rsidR="000F771C" w:rsidRDefault="000F771C" w:rsidP="00AD2E9B">
      <w:pPr>
        <w:rPr>
          <w:rFonts w:asciiTheme="majorHAnsi" w:hAnsiTheme="majorHAnsi"/>
          <w:sz w:val="22"/>
          <w:szCs w:val="22"/>
        </w:rPr>
      </w:pPr>
    </w:p>
    <w:p w14:paraId="16E44DEC" w14:textId="7D459572" w:rsidR="00654B5E" w:rsidRDefault="005C5DCB" w:rsidP="00AD2E9B">
      <w:pPr>
        <w:rPr>
          <w:rFonts w:asciiTheme="majorHAnsi" w:hAnsiTheme="majorHAnsi"/>
          <w:sz w:val="22"/>
          <w:szCs w:val="22"/>
        </w:rPr>
      </w:pPr>
      <w:r>
        <w:rPr>
          <w:rFonts w:asciiTheme="majorHAnsi" w:hAnsiTheme="majorHAnsi"/>
          <w:sz w:val="22"/>
          <w:szCs w:val="22"/>
        </w:rPr>
        <w:t xml:space="preserve">Nonetheless, there is another sense in which legal representation may have an impact. </w:t>
      </w:r>
      <w:r w:rsidR="000F771C">
        <w:rPr>
          <w:rFonts w:asciiTheme="majorHAnsi" w:hAnsiTheme="majorHAnsi"/>
          <w:sz w:val="22"/>
          <w:szCs w:val="22"/>
        </w:rPr>
        <w:t xml:space="preserve">It relates to the potential impact of internal review on the </w:t>
      </w:r>
      <w:r w:rsidR="000F771C" w:rsidRPr="005C5DCB">
        <w:rPr>
          <w:rFonts w:asciiTheme="majorHAnsi" w:hAnsiTheme="majorHAnsi"/>
          <w:i/>
          <w:sz w:val="22"/>
          <w:szCs w:val="22"/>
        </w:rPr>
        <w:t>general</w:t>
      </w:r>
      <w:r w:rsidR="000F771C">
        <w:rPr>
          <w:rFonts w:asciiTheme="majorHAnsi" w:hAnsiTheme="majorHAnsi"/>
          <w:sz w:val="22"/>
          <w:szCs w:val="22"/>
        </w:rPr>
        <w:t xml:space="preserve"> quality of initial decision-making, as opposed to an individual’s chances of success</w:t>
      </w:r>
      <w:r w:rsidR="00654B5E">
        <w:rPr>
          <w:rFonts w:asciiTheme="majorHAnsi" w:hAnsiTheme="majorHAnsi"/>
          <w:sz w:val="22"/>
          <w:szCs w:val="22"/>
        </w:rPr>
        <w:t xml:space="preserve"> – a</w:t>
      </w:r>
      <w:r w:rsidR="00906736">
        <w:rPr>
          <w:rFonts w:asciiTheme="majorHAnsi" w:hAnsiTheme="majorHAnsi"/>
          <w:sz w:val="22"/>
          <w:szCs w:val="22"/>
        </w:rPr>
        <w:t>n</w:t>
      </w:r>
      <w:r w:rsidR="00654B5E">
        <w:rPr>
          <w:rFonts w:asciiTheme="majorHAnsi" w:hAnsiTheme="majorHAnsi"/>
          <w:sz w:val="22"/>
          <w:szCs w:val="22"/>
        </w:rPr>
        <w:t xml:space="preserve"> issue that has been largely overlooked in administrative justice scholarship</w:t>
      </w:r>
      <w:r w:rsidR="000F771C">
        <w:rPr>
          <w:rFonts w:asciiTheme="majorHAnsi" w:hAnsiTheme="majorHAnsi"/>
          <w:sz w:val="22"/>
          <w:szCs w:val="22"/>
        </w:rPr>
        <w:t>.</w:t>
      </w:r>
    </w:p>
    <w:p w14:paraId="4F8E0BC8" w14:textId="32DD0A1D" w:rsidR="00654B5E" w:rsidRDefault="00654B5E" w:rsidP="00654B5E">
      <w:pPr>
        <w:pStyle w:val="Heading2"/>
      </w:pPr>
      <w:r>
        <w:t>The general impact of internal review on the quality of initial decision-making</w:t>
      </w:r>
    </w:p>
    <w:p w14:paraId="064E1911" w14:textId="5E425163" w:rsidR="00AD2E9B" w:rsidRDefault="005C5DCB" w:rsidP="00AD2E9B">
      <w:pPr>
        <w:rPr>
          <w:rFonts w:asciiTheme="majorHAnsi" w:hAnsiTheme="majorHAnsi"/>
          <w:sz w:val="22"/>
          <w:szCs w:val="22"/>
        </w:rPr>
      </w:pPr>
      <w:r>
        <w:rPr>
          <w:rFonts w:asciiTheme="majorHAnsi" w:hAnsiTheme="majorHAnsi"/>
          <w:sz w:val="22"/>
          <w:szCs w:val="22"/>
        </w:rPr>
        <w:t>Since 20</w:t>
      </w:r>
      <w:r w:rsidR="002D15A5">
        <w:rPr>
          <w:rFonts w:asciiTheme="majorHAnsi" w:hAnsiTheme="majorHAnsi"/>
          <w:sz w:val="22"/>
          <w:szCs w:val="22"/>
        </w:rPr>
        <w:t>03</w:t>
      </w:r>
      <w:r>
        <w:rPr>
          <w:rFonts w:asciiTheme="majorHAnsi" w:hAnsiTheme="majorHAnsi"/>
          <w:sz w:val="22"/>
          <w:szCs w:val="22"/>
        </w:rPr>
        <w:t xml:space="preserve">, we have asked local authorities about their perceptions </w:t>
      </w:r>
      <w:r w:rsidR="00654B5E">
        <w:rPr>
          <w:rFonts w:asciiTheme="majorHAnsi" w:hAnsiTheme="majorHAnsi"/>
          <w:sz w:val="22"/>
          <w:szCs w:val="22"/>
        </w:rPr>
        <w:t>about whether practices of internal review improve the quality of ongoing initial decision-making</w:t>
      </w:r>
      <w:r>
        <w:rPr>
          <w:rFonts w:asciiTheme="majorHAnsi" w:hAnsiTheme="majorHAnsi"/>
          <w:sz w:val="22"/>
          <w:szCs w:val="22"/>
        </w:rPr>
        <w:t xml:space="preserve">. The data show an increasing sense of the value of internal review </w:t>
      </w:r>
      <w:r w:rsidR="002D15A5">
        <w:rPr>
          <w:rFonts w:asciiTheme="majorHAnsi" w:hAnsiTheme="majorHAnsi"/>
          <w:sz w:val="22"/>
          <w:szCs w:val="22"/>
        </w:rPr>
        <w:t>in</w:t>
      </w:r>
      <w:r>
        <w:rPr>
          <w:rFonts w:asciiTheme="majorHAnsi" w:hAnsiTheme="majorHAnsi"/>
          <w:sz w:val="22"/>
          <w:szCs w:val="22"/>
        </w:rPr>
        <w:t xml:space="preserve"> improving</w:t>
      </w:r>
      <w:r w:rsidR="002D15A5">
        <w:rPr>
          <w:rFonts w:asciiTheme="majorHAnsi" w:hAnsiTheme="majorHAnsi"/>
          <w:sz w:val="22"/>
          <w:szCs w:val="22"/>
        </w:rPr>
        <w:t xml:space="preserve"> routine practice.</w:t>
      </w:r>
    </w:p>
    <w:p w14:paraId="1907BCB4" w14:textId="77777777" w:rsidR="002D15A5" w:rsidRDefault="002D15A5" w:rsidP="00AD2E9B">
      <w:pPr>
        <w:rPr>
          <w:rFonts w:asciiTheme="majorHAnsi" w:hAnsiTheme="majorHAnsi"/>
          <w:sz w:val="22"/>
          <w:szCs w:val="22"/>
        </w:rPr>
      </w:pPr>
    </w:p>
    <w:p w14:paraId="58DF0F1E" w14:textId="743250B2" w:rsidR="002D15A5" w:rsidRPr="002D15A5" w:rsidRDefault="00654B5E" w:rsidP="00AD2E9B">
      <w:pPr>
        <w:rPr>
          <w:rFonts w:asciiTheme="majorHAnsi" w:hAnsiTheme="majorHAnsi"/>
          <w:b/>
          <w:sz w:val="20"/>
          <w:szCs w:val="20"/>
        </w:rPr>
      </w:pPr>
      <w:r>
        <w:rPr>
          <w:rFonts w:asciiTheme="majorHAnsi" w:hAnsiTheme="majorHAnsi"/>
          <w:b/>
          <w:sz w:val="20"/>
          <w:szCs w:val="20"/>
        </w:rPr>
        <w:t>Table 5</w:t>
      </w:r>
      <w:r w:rsidR="002D15A5" w:rsidRPr="002D15A5">
        <w:rPr>
          <w:rFonts w:asciiTheme="majorHAnsi" w:hAnsiTheme="majorHAnsi"/>
          <w:b/>
          <w:sz w:val="20"/>
          <w:szCs w:val="20"/>
        </w:rPr>
        <w:t>: General Impact of Internal Review on Quality of Initial Decisions</w:t>
      </w:r>
    </w:p>
    <w:tbl>
      <w:tblPr>
        <w:tblStyle w:val="TableGrid"/>
        <w:tblW w:w="0" w:type="auto"/>
        <w:tblInd w:w="216" w:type="dxa"/>
        <w:tblLayout w:type="fixed"/>
        <w:tblLook w:val="04A0" w:firstRow="1" w:lastRow="0" w:firstColumn="1" w:lastColumn="0" w:noHBand="0" w:noVBand="1"/>
      </w:tblPr>
      <w:tblGrid>
        <w:gridCol w:w="1918"/>
        <w:gridCol w:w="1090"/>
        <w:gridCol w:w="1090"/>
        <w:gridCol w:w="1090"/>
      </w:tblGrid>
      <w:tr w:rsidR="002D15A5" w:rsidRPr="002D15A5" w14:paraId="7E75BE94" w14:textId="77777777" w:rsidTr="002D15A5">
        <w:tc>
          <w:tcPr>
            <w:tcW w:w="1918" w:type="dxa"/>
          </w:tcPr>
          <w:p w14:paraId="1F789429" w14:textId="77777777" w:rsidR="002D15A5" w:rsidRPr="002D15A5" w:rsidRDefault="002D15A5" w:rsidP="002D15A5">
            <w:pPr>
              <w:rPr>
                <w:rFonts w:asciiTheme="majorHAnsi" w:hAnsiTheme="majorHAnsi"/>
                <w:b/>
                <w:sz w:val="20"/>
                <w:szCs w:val="20"/>
              </w:rPr>
            </w:pPr>
          </w:p>
        </w:tc>
        <w:tc>
          <w:tcPr>
            <w:tcW w:w="1090" w:type="dxa"/>
          </w:tcPr>
          <w:p w14:paraId="6FD8B8EA" w14:textId="77777777" w:rsidR="002D15A5" w:rsidRPr="009B4651" w:rsidRDefault="002D15A5" w:rsidP="002D15A5">
            <w:pPr>
              <w:jc w:val="center"/>
              <w:rPr>
                <w:rFonts w:asciiTheme="majorHAnsi" w:hAnsiTheme="majorHAnsi"/>
                <w:b/>
                <w:sz w:val="20"/>
                <w:szCs w:val="20"/>
              </w:rPr>
            </w:pPr>
            <w:r w:rsidRPr="009B4651">
              <w:rPr>
                <w:rFonts w:asciiTheme="majorHAnsi" w:hAnsiTheme="majorHAnsi"/>
                <w:b/>
                <w:sz w:val="20"/>
                <w:szCs w:val="20"/>
              </w:rPr>
              <w:t>2003</w:t>
            </w:r>
          </w:p>
        </w:tc>
        <w:tc>
          <w:tcPr>
            <w:tcW w:w="1090" w:type="dxa"/>
          </w:tcPr>
          <w:p w14:paraId="683AE8E9" w14:textId="77777777" w:rsidR="002D15A5" w:rsidRPr="009B4651" w:rsidRDefault="002D15A5" w:rsidP="002D15A5">
            <w:pPr>
              <w:jc w:val="center"/>
              <w:rPr>
                <w:rFonts w:asciiTheme="majorHAnsi" w:hAnsiTheme="majorHAnsi"/>
                <w:b/>
                <w:sz w:val="20"/>
                <w:szCs w:val="20"/>
              </w:rPr>
            </w:pPr>
            <w:r w:rsidRPr="009B4651">
              <w:rPr>
                <w:rFonts w:asciiTheme="majorHAnsi" w:hAnsiTheme="majorHAnsi"/>
                <w:b/>
                <w:sz w:val="20"/>
                <w:szCs w:val="20"/>
              </w:rPr>
              <w:t>2010</w:t>
            </w:r>
          </w:p>
        </w:tc>
        <w:tc>
          <w:tcPr>
            <w:tcW w:w="1090" w:type="dxa"/>
          </w:tcPr>
          <w:p w14:paraId="37060EE2" w14:textId="77777777" w:rsidR="002D15A5" w:rsidRPr="009B4651" w:rsidRDefault="002D15A5" w:rsidP="002D15A5">
            <w:pPr>
              <w:rPr>
                <w:rFonts w:asciiTheme="majorHAnsi" w:hAnsiTheme="majorHAnsi"/>
                <w:b/>
                <w:sz w:val="20"/>
                <w:szCs w:val="20"/>
              </w:rPr>
            </w:pPr>
            <w:r w:rsidRPr="009B4651">
              <w:rPr>
                <w:rFonts w:asciiTheme="majorHAnsi" w:hAnsiTheme="majorHAnsi"/>
                <w:b/>
                <w:sz w:val="20"/>
                <w:szCs w:val="20"/>
              </w:rPr>
              <w:t>2014</w:t>
            </w:r>
          </w:p>
        </w:tc>
      </w:tr>
      <w:tr w:rsidR="002D15A5" w:rsidRPr="002D15A5" w14:paraId="26AC4F7F" w14:textId="77777777" w:rsidTr="002D15A5">
        <w:tc>
          <w:tcPr>
            <w:tcW w:w="1918" w:type="dxa"/>
          </w:tcPr>
          <w:p w14:paraId="25EBD8B2" w14:textId="07A37F71" w:rsidR="002D15A5" w:rsidRPr="002D15A5" w:rsidRDefault="002D15A5" w:rsidP="002D15A5">
            <w:pPr>
              <w:rPr>
                <w:rFonts w:asciiTheme="majorHAnsi" w:hAnsiTheme="majorHAnsi"/>
                <w:sz w:val="20"/>
                <w:szCs w:val="20"/>
              </w:rPr>
            </w:pPr>
            <w:r w:rsidRPr="002D15A5">
              <w:rPr>
                <w:rFonts w:asciiTheme="majorHAnsi" w:hAnsiTheme="majorHAnsi"/>
                <w:sz w:val="20"/>
                <w:szCs w:val="20"/>
              </w:rPr>
              <w:t xml:space="preserve">Improves quality </w:t>
            </w:r>
          </w:p>
        </w:tc>
        <w:tc>
          <w:tcPr>
            <w:tcW w:w="1090" w:type="dxa"/>
          </w:tcPr>
          <w:p w14:paraId="63E4E819" w14:textId="61246A6F" w:rsidR="002D15A5" w:rsidRPr="002D15A5" w:rsidRDefault="002D15A5" w:rsidP="002D15A5">
            <w:pPr>
              <w:jc w:val="center"/>
              <w:rPr>
                <w:rFonts w:asciiTheme="majorHAnsi" w:hAnsiTheme="majorHAnsi"/>
                <w:sz w:val="20"/>
                <w:szCs w:val="20"/>
              </w:rPr>
            </w:pPr>
            <w:r w:rsidRPr="002D15A5">
              <w:rPr>
                <w:rFonts w:asciiTheme="majorHAnsi" w:hAnsiTheme="majorHAnsi"/>
                <w:sz w:val="20"/>
                <w:szCs w:val="20"/>
              </w:rPr>
              <w:t>71%</w:t>
            </w:r>
          </w:p>
        </w:tc>
        <w:tc>
          <w:tcPr>
            <w:tcW w:w="1090" w:type="dxa"/>
          </w:tcPr>
          <w:p w14:paraId="5FA8F334" w14:textId="2D85EF3D" w:rsidR="002D15A5" w:rsidRPr="002D15A5" w:rsidRDefault="002D15A5" w:rsidP="002D15A5">
            <w:pPr>
              <w:jc w:val="center"/>
              <w:rPr>
                <w:rFonts w:asciiTheme="majorHAnsi" w:hAnsiTheme="majorHAnsi"/>
                <w:sz w:val="20"/>
                <w:szCs w:val="20"/>
              </w:rPr>
            </w:pPr>
            <w:r w:rsidRPr="002D15A5">
              <w:rPr>
                <w:rFonts w:asciiTheme="majorHAnsi" w:hAnsiTheme="majorHAnsi"/>
                <w:sz w:val="20"/>
                <w:szCs w:val="20"/>
              </w:rPr>
              <w:t>73%</w:t>
            </w:r>
          </w:p>
        </w:tc>
        <w:tc>
          <w:tcPr>
            <w:tcW w:w="1090" w:type="dxa"/>
          </w:tcPr>
          <w:p w14:paraId="6F86EFD9" w14:textId="291BB194" w:rsidR="002D15A5" w:rsidRPr="002D15A5" w:rsidRDefault="00654B5E" w:rsidP="002D15A5">
            <w:pPr>
              <w:rPr>
                <w:rFonts w:asciiTheme="majorHAnsi" w:hAnsiTheme="majorHAnsi"/>
                <w:sz w:val="20"/>
                <w:szCs w:val="20"/>
              </w:rPr>
            </w:pPr>
            <w:r>
              <w:rPr>
                <w:rFonts w:asciiTheme="majorHAnsi" w:hAnsiTheme="majorHAnsi"/>
                <w:sz w:val="20"/>
                <w:szCs w:val="20"/>
              </w:rPr>
              <w:t>82</w:t>
            </w:r>
            <w:r w:rsidR="002D15A5" w:rsidRPr="002D15A5">
              <w:rPr>
                <w:rFonts w:asciiTheme="majorHAnsi" w:hAnsiTheme="majorHAnsi"/>
                <w:sz w:val="20"/>
                <w:szCs w:val="20"/>
              </w:rPr>
              <w:t>%</w:t>
            </w:r>
          </w:p>
        </w:tc>
      </w:tr>
      <w:tr w:rsidR="002D15A5" w:rsidRPr="002D15A5" w14:paraId="23C51D60" w14:textId="77777777" w:rsidTr="002D15A5">
        <w:tc>
          <w:tcPr>
            <w:tcW w:w="1918" w:type="dxa"/>
          </w:tcPr>
          <w:p w14:paraId="3B7271C3" w14:textId="77777777" w:rsidR="002D15A5" w:rsidRPr="002D15A5" w:rsidRDefault="002D15A5" w:rsidP="002D15A5">
            <w:pPr>
              <w:rPr>
                <w:rFonts w:asciiTheme="majorHAnsi" w:hAnsiTheme="majorHAnsi"/>
                <w:sz w:val="20"/>
                <w:szCs w:val="20"/>
              </w:rPr>
            </w:pPr>
            <w:r w:rsidRPr="002D15A5">
              <w:rPr>
                <w:rFonts w:asciiTheme="majorHAnsi" w:hAnsiTheme="majorHAnsi"/>
                <w:sz w:val="20"/>
                <w:szCs w:val="20"/>
              </w:rPr>
              <w:t>No impact on quality</w:t>
            </w:r>
          </w:p>
        </w:tc>
        <w:tc>
          <w:tcPr>
            <w:tcW w:w="1090" w:type="dxa"/>
          </w:tcPr>
          <w:p w14:paraId="30830947" w14:textId="4D141325" w:rsidR="002D15A5" w:rsidRPr="002D15A5" w:rsidRDefault="002D15A5" w:rsidP="002D15A5">
            <w:pPr>
              <w:jc w:val="center"/>
              <w:rPr>
                <w:rFonts w:asciiTheme="majorHAnsi" w:hAnsiTheme="majorHAnsi"/>
                <w:sz w:val="20"/>
                <w:szCs w:val="20"/>
              </w:rPr>
            </w:pPr>
            <w:r w:rsidRPr="002D15A5">
              <w:rPr>
                <w:rFonts w:asciiTheme="majorHAnsi" w:hAnsiTheme="majorHAnsi"/>
                <w:sz w:val="20"/>
                <w:szCs w:val="20"/>
              </w:rPr>
              <w:t>29%</w:t>
            </w:r>
          </w:p>
        </w:tc>
        <w:tc>
          <w:tcPr>
            <w:tcW w:w="1090" w:type="dxa"/>
          </w:tcPr>
          <w:p w14:paraId="2E07AE8D" w14:textId="50F27C98" w:rsidR="002D15A5" w:rsidRPr="002D15A5" w:rsidRDefault="002D15A5" w:rsidP="002D15A5">
            <w:pPr>
              <w:jc w:val="center"/>
              <w:rPr>
                <w:rFonts w:asciiTheme="majorHAnsi" w:hAnsiTheme="majorHAnsi"/>
                <w:sz w:val="20"/>
                <w:szCs w:val="20"/>
              </w:rPr>
            </w:pPr>
            <w:r>
              <w:rPr>
                <w:rFonts w:asciiTheme="majorHAnsi" w:hAnsiTheme="majorHAnsi"/>
                <w:sz w:val="20"/>
                <w:szCs w:val="20"/>
              </w:rPr>
              <w:t>25</w:t>
            </w:r>
            <w:r w:rsidRPr="002D15A5">
              <w:rPr>
                <w:rFonts w:asciiTheme="majorHAnsi" w:hAnsiTheme="majorHAnsi"/>
                <w:sz w:val="20"/>
                <w:szCs w:val="20"/>
              </w:rPr>
              <w:t>%</w:t>
            </w:r>
          </w:p>
        </w:tc>
        <w:tc>
          <w:tcPr>
            <w:tcW w:w="1090" w:type="dxa"/>
          </w:tcPr>
          <w:p w14:paraId="77C0352E" w14:textId="13CD2599" w:rsidR="002D15A5" w:rsidRPr="002D15A5" w:rsidRDefault="002D15A5" w:rsidP="002D15A5">
            <w:pPr>
              <w:rPr>
                <w:rFonts w:asciiTheme="majorHAnsi" w:hAnsiTheme="majorHAnsi"/>
                <w:sz w:val="20"/>
                <w:szCs w:val="20"/>
              </w:rPr>
            </w:pPr>
            <w:r w:rsidRPr="002D15A5">
              <w:rPr>
                <w:rFonts w:asciiTheme="majorHAnsi" w:hAnsiTheme="majorHAnsi"/>
                <w:sz w:val="20"/>
                <w:szCs w:val="20"/>
              </w:rPr>
              <w:t>15%</w:t>
            </w:r>
          </w:p>
        </w:tc>
      </w:tr>
      <w:tr w:rsidR="002D15A5" w:rsidRPr="002D15A5" w14:paraId="3ADAF2AC" w14:textId="77777777" w:rsidTr="002D15A5">
        <w:tc>
          <w:tcPr>
            <w:tcW w:w="1918" w:type="dxa"/>
          </w:tcPr>
          <w:p w14:paraId="5C04A27F" w14:textId="5506F9A1" w:rsidR="002D15A5" w:rsidRPr="002D15A5" w:rsidRDefault="002D15A5" w:rsidP="002D15A5">
            <w:pPr>
              <w:rPr>
                <w:rFonts w:asciiTheme="majorHAnsi" w:hAnsiTheme="majorHAnsi"/>
                <w:sz w:val="20"/>
                <w:szCs w:val="20"/>
              </w:rPr>
            </w:pPr>
            <w:r w:rsidRPr="002D15A5">
              <w:rPr>
                <w:rFonts w:asciiTheme="majorHAnsi" w:hAnsiTheme="majorHAnsi"/>
                <w:sz w:val="20"/>
                <w:szCs w:val="20"/>
              </w:rPr>
              <w:t xml:space="preserve">Decreases quality </w:t>
            </w:r>
          </w:p>
        </w:tc>
        <w:tc>
          <w:tcPr>
            <w:tcW w:w="1090" w:type="dxa"/>
          </w:tcPr>
          <w:p w14:paraId="38DACBF0" w14:textId="162F3EB9" w:rsidR="002D15A5" w:rsidRPr="002D15A5" w:rsidRDefault="002D15A5" w:rsidP="002D15A5">
            <w:pPr>
              <w:jc w:val="center"/>
              <w:rPr>
                <w:rFonts w:asciiTheme="majorHAnsi" w:hAnsiTheme="majorHAnsi"/>
                <w:sz w:val="20"/>
                <w:szCs w:val="20"/>
              </w:rPr>
            </w:pPr>
            <w:r w:rsidRPr="002D15A5">
              <w:rPr>
                <w:rFonts w:asciiTheme="majorHAnsi" w:hAnsiTheme="majorHAnsi"/>
                <w:sz w:val="20"/>
                <w:szCs w:val="20"/>
              </w:rPr>
              <w:t>0%</w:t>
            </w:r>
          </w:p>
        </w:tc>
        <w:tc>
          <w:tcPr>
            <w:tcW w:w="1090" w:type="dxa"/>
          </w:tcPr>
          <w:p w14:paraId="3CCE7BF2" w14:textId="2315444F" w:rsidR="002D15A5" w:rsidRPr="002D15A5" w:rsidRDefault="002D15A5" w:rsidP="002D15A5">
            <w:pPr>
              <w:jc w:val="center"/>
              <w:rPr>
                <w:rFonts w:asciiTheme="majorHAnsi" w:hAnsiTheme="majorHAnsi"/>
                <w:sz w:val="20"/>
                <w:szCs w:val="20"/>
              </w:rPr>
            </w:pPr>
            <w:r w:rsidRPr="002D15A5">
              <w:rPr>
                <w:rFonts w:asciiTheme="majorHAnsi" w:hAnsiTheme="majorHAnsi"/>
                <w:sz w:val="20"/>
                <w:szCs w:val="20"/>
              </w:rPr>
              <w:t>1%</w:t>
            </w:r>
          </w:p>
        </w:tc>
        <w:tc>
          <w:tcPr>
            <w:tcW w:w="1090" w:type="dxa"/>
          </w:tcPr>
          <w:p w14:paraId="5875D0DF" w14:textId="40281F53" w:rsidR="002D15A5" w:rsidRPr="002D15A5" w:rsidRDefault="002D15A5" w:rsidP="002D15A5">
            <w:pPr>
              <w:rPr>
                <w:rFonts w:asciiTheme="majorHAnsi" w:hAnsiTheme="majorHAnsi"/>
                <w:sz w:val="20"/>
                <w:szCs w:val="20"/>
              </w:rPr>
            </w:pPr>
            <w:r w:rsidRPr="002D15A5">
              <w:rPr>
                <w:rFonts w:asciiTheme="majorHAnsi" w:hAnsiTheme="majorHAnsi"/>
                <w:sz w:val="20"/>
                <w:szCs w:val="20"/>
              </w:rPr>
              <w:t>2%</w:t>
            </w:r>
          </w:p>
        </w:tc>
      </w:tr>
      <w:tr w:rsidR="002D15A5" w:rsidRPr="002D15A5" w14:paraId="5970BCC7" w14:textId="77777777" w:rsidTr="002D15A5">
        <w:tc>
          <w:tcPr>
            <w:tcW w:w="1918" w:type="dxa"/>
          </w:tcPr>
          <w:p w14:paraId="2E6939D6" w14:textId="77777777" w:rsidR="002D15A5" w:rsidRPr="002D15A5" w:rsidRDefault="002D15A5" w:rsidP="00D33469">
            <w:pPr>
              <w:jc w:val="right"/>
              <w:rPr>
                <w:rFonts w:asciiTheme="majorHAnsi" w:hAnsiTheme="majorHAnsi"/>
                <w:sz w:val="20"/>
                <w:szCs w:val="20"/>
              </w:rPr>
            </w:pPr>
            <w:r w:rsidRPr="002D15A5">
              <w:rPr>
                <w:rFonts w:asciiTheme="majorHAnsi" w:hAnsiTheme="majorHAnsi"/>
                <w:sz w:val="20"/>
                <w:szCs w:val="20"/>
              </w:rPr>
              <w:t>Total (N)</w:t>
            </w:r>
          </w:p>
        </w:tc>
        <w:tc>
          <w:tcPr>
            <w:tcW w:w="1090" w:type="dxa"/>
          </w:tcPr>
          <w:p w14:paraId="15DC9CFD" w14:textId="77777777" w:rsidR="002D15A5" w:rsidRPr="002D15A5" w:rsidRDefault="002D15A5" w:rsidP="002D15A5">
            <w:pPr>
              <w:jc w:val="center"/>
              <w:rPr>
                <w:rFonts w:asciiTheme="majorHAnsi" w:hAnsiTheme="majorHAnsi"/>
                <w:sz w:val="20"/>
                <w:szCs w:val="20"/>
              </w:rPr>
            </w:pPr>
            <w:r w:rsidRPr="002D15A5">
              <w:rPr>
                <w:rFonts w:asciiTheme="majorHAnsi" w:hAnsiTheme="majorHAnsi"/>
                <w:sz w:val="20"/>
                <w:szCs w:val="20"/>
              </w:rPr>
              <w:t>179</w:t>
            </w:r>
          </w:p>
        </w:tc>
        <w:tc>
          <w:tcPr>
            <w:tcW w:w="1090" w:type="dxa"/>
          </w:tcPr>
          <w:p w14:paraId="4B7F4C02" w14:textId="77777777" w:rsidR="002D15A5" w:rsidRPr="002D15A5" w:rsidRDefault="002D15A5" w:rsidP="002D15A5">
            <w:pPr>
              <w:jc w:val="center"/>
              <w:rPr>
                <w:rFonts w:asciiTheme="majorHAnsi" w:hAnsiTheme="majorHAnsi"/>
                <w:sz w:val="20"/>
                <w:szCs w:val="20"/>
              </w:rPr>
            </w:pPr>
            <w:r w:rsidRPr="002D15A5">
              <w:rPr>
                <w:rFonts w:asciiTheme="majorHAnsi" w:hAnsiTheme="majorHAnsi"/>
                <w:sz w:val="20"/>
                <w:szCs w:val="20"/>
              </w:rPr>
              <w:t>151</w:t>
            </w:r>
          </w:p>
        </w:tc>
        <w:tc>
          <w:tcPr>
            <w:tcW w:w="1090" w:type="dxa"/>
          </w:tcPr>
          <w:p w14:paraId="6D93C81C" w14:textId="77777777" w:rsidR="002D15A5" w:rsidRPr="002D15A5" w:rsidRDefault="002D15A5" w:rsidP="002D15A5">
            <w:pPr>
              <w:rPr>
                <w:rFonts w:asciiTheme="majorHAnsi" w:hAnsiTheme="majorHAnsi"/>
                <w:sz w:val="20"/>
                <w:szCs w:val="20"/>
              </w:rPr>
            </w:pPr>
            <w:r w:rsidRPr="002D15A5">
              <w:rPr>
                <w:rFonts w:asciiTheme="majorHAnsi" w:hAnsiTheme="majorHAnsi"/>
                <w:sz w:val="20"/>
                <w:szCs w:val="20"/>
              </w:rPr>
              <w:t>136</w:t>
            </w:r>
          </w:p>
        </w:tc>
      </w:tr>
    </w:tbl>
    <w:p w14:paraId="2CEC29E7" w14:textId="77777777" w:rsidR="002E6ABC" w:rsidRDefault="002E6ABC" w:rsidP="00AD2E9B">
      <w:pPr>
        <w:rPr>
          <w:rFonts w:asciiTheme="majorHAnsi" w:hAnsiTheme="majorHAnsi"/>
          <w:sz w:val="22"/>
          <w:szCs w:val="22"/>
        </w:rPr>
      </w:pPr>
    </w:p>
    <w:p w14:paraId="29B4F352" w14:textId="6DA3D9B0" w:rsidR="00654B5E" w:rsidRDefault="00654B5E" w:rsidP="00AD2E9B">
      <w:pPr>
        <w:rPr>
          <w:rFonts w:asciiTheme="majorHAnsi" w:hAnsiTheme="majorHAnsi"/>
          <w:sz w:val="22"/>
          <w:szCs w:val="22"/>
        </w:rPr>
      </w:pPr>
      <w:r>
        <w:rPr>
          <w:rFonts w:asciiTheme="majorHAnsi" w:hAnsiTheme="majorHAnsi"/>
          <w:sz w:val="22"/>
          <w:szCs w:val="22"/>
        </w:rPr>
        <w:t xml:space="preserve">Indeed, our 2014 data </w:t>
      </w:r>
      <w:r w:rsidR="0024564E">
        <w:rPr>
          <w:rFonts w:asciiTheme="majorHAnsi" w:hAnsiTheme="majorHAnsi"/>
          <w:sz w:val="22"/>
          <w:szCs w:val="22"/>
        </w:rPr>
        <w:t xml:space="preserve">provide some evidence to </w:t>
      </w:r>
      <w:r>
        <w:rPr>
          <w:rFonts w:asciiTheme="majorHAnsi" w:hAnsiTheme="majorHAnsi"/>
          <w:sz w:val="22"/>
          <w:szCs w:val="22"/>
        </w:rPr>
        <w:t>suggest that the higher the internal review caseload of local authorities, the more likely they are to hold this view</w:t>
      </w:r>
      <w:r w:rsidR="008D389A">
        <w:rPr>
          <w:rFonts w:asciiTheme="majorHAnsi" w:hAnsiTheme="majorHAnsi"/>
          <w:sz w:val="22"/>
          <w:szCs w:val="22"/>
        </w:rPr>
        <w:t xml:space="preserve">, </w:t>
      </w:r>
      <w:r>
        <w:rPr>
          <w:rFonts w:asciiTheme="majorHAnsi" w:hAnsiTheme="majorHAnsi"/>
          <w:sz w:val="22"/>
          <w:szCs w:val="22"/>
        </w:rPr>
        <w:t>albeit that the correlation is weak</w:t>
      </w:r>
      <w:r w:rsidR="008D389A">
        <w:rPr>
          <w:rFonts w:asciiTheme="majorHAnsi" w:hAnsiTheme="majorHAnsi"/>
          <w:sz w:val="22"/>
          <w:szCs w:val="22"/>
        </w:rPr>
        <w:t xml:space="preserve"> </w:t>
      </w:r>
      <w:r w:rsidR="0024564E">
        <w:rPr>
          <w:rFonts w:asciiTheme="majorHAnsi" w:hAnsiTheme="majorHAnsi"/>
          <w:sz w:val="22"/>
          <w:szCs w:val="22"/>
        </w:rPr>
        <w:t>(</w:t>
      </w:r>
      <w:r w:rsidR="00C438BA">
        <w:rPr>
          <w:rFonts w:asciiTheme="majorHAnsi" w:hAnsiTheme="majorHAnsi"/>
          <w:sz w:val="22"/>
          <w:szCs w:val="22"/>
        </w:rPr>
        <w:t xml:space="preserve">r = .15, </w:t>
      </w:r>
      <w:r w:rsidR="007C1D11">
        <w:rPr>
          <w:rFonts w:asciiTheme="majorHAnsi" w:hAnsiTheme="majorHAnsi"/>
          <w:sz w:val="22"/>
          <w:szCs w:val="22"/>
        </w:rPr>
        <w:t>P &lt;.05)</w:t>
      </w:r>
      <w:r>
        <w:rPr>
          <w:rFonts w:asciiTheme="majorHAnsi" w:hAnsiTheme="majorHAnsi"/>
          <w:sz w:val="22"/>
          <w:szCs w:val="22"/>
        </w:rPr>
        <w:t>.</w:t>
      </w:r>
      <w:r w:rsidR="00F70B9D">
        <w:rPr>
          <w:rFonts w:asciiTheme="majorHAnsi" w:hAnsiTheme="majorHAnsi"/>
          <w:sz w:val="22"/>
          <w:szCs w:val="22"/>
        </w:rPr>
        <w:t xml:space="preserve"> </w:t>
      </w:r>
      <w:r w:rsidR="00FC6FA8">
        <w:rPr>
          <w:rFonts w:asciiTheme="majorHAnsi" w:hAnsiTheme="majorHAnsi"/>
          <w:sz w:val="22"/>
          <w:szCs w:val="22"/>
        </w:rPr>
        <w:t>What is most interesting for current purposes, however, is that the fact that our 2014 data also suggest that</w:t>
      </w:r>
      <w:r w:rsidR="00F82634">
        <w:rPr>
          <w:rFonts w:asciiTheme="majorHAnsi" w:hAnsiTheme="majorHAnsi"/>
          <w:sz w:val="22"/>
          <w:szCs w:val="22"/>
        </w:rPr>
        <w:t>,</w:t>
      </w:r>
      <w:r w:rsidR="00FC6FA8">
        <w:rPr>
          <w:rFonts w:asciiTheme="majorHAnsi" w:hAnsiTheme="majorHAnsi"/>
          <w:sz w:val="22"/>
          <w:szCs w:val="22"/>
        </w:rPr>
        <w:t xml:space="preserve"> </w:t>
      </w:r>
      <w:r w:rsidR="00F82634">
        <w:rPr>
          <w:rFonts w:asciiTheme="majorHAnsi" w:hAnsiTheme="majorHAnsi"/>
          <w:sz w:val="22"/>
          <w:szCs w:val="22"/>
        </w:rPr>
        <w:t xml:space="preserve">the </w:t>
      </w:r>
      <w:r w:rsidR="00290849">
        <w:rPr>
          <w:rFonts w:asciiTheme="majorHAnsi" w:hAnsiTheme="majorHAnsi"/>
          <w:sz w:val="22"/>
          <w:szCs w:val="22"/>
        </w:rPr>
        <w:t xml:space="preserve">greater the percentage of </w:t>
      </w:r>
      <w:r w:rsidR="00F82634">
        <w:rPr>
          <w:rFonts w:asciiTheme="majorHAnsi" w:hAnsiTheme="majorHAnsi"/>
          <w:sz w:val="22"/>
          <w:szCs w:val="22"/>
        </w:rPr>
        <w:t xml:space="preserve">internal review applicants represented by lawyers, the more likely it may be that </w:t>
      </w:r>
      <w:r w:rsidR="0052120C">
        <w:rPr>
          <w:rFonts w:asciiTheme="majorHAnsi" w:hAnsiTheme="majorHAnsi"/>
          <w:sz w:val="22"/>
          <w:szCs w:val="22"/>
        </w:rPr>
        <w:t xml:space="preserve">local authorities </w:t>
      </w:r>
      <w:r w:rsidR="00F82634">
        <w:rPr>
          <w:rFonts w:asciiTheme="majorHAnsi" w:hAnsiTheme="majorHAnsi"/>
          <w:sz w:val="22"/>
          <w:szCs w:val="22"/>
        </w:rPr>
        <w:t>will</w:t>
      </w:r>
      <w:r w:rsidR="0052120C">
        <w:rPr>
          <w:rFonts w:asciiTheme="majorHAnsi" w:hAnsiTheme="majorHAnsi"/>
          <w:sz w:val="22"/>
          <w:szCs w:val="22"/>
        </w:rPr>
        <w:t xml:space="preserve"> hold this positive perception of </w:t>
      </w:r>
      <w:r w:rsidR="001478A1">
        <w:rPr>
          <w:rFonts w:asciiTheme="majorHAnsi" w:hAnsiTheme="majorHAnsi"/>
          <w:sz w:val="22"/>
          <w:szCs w:val="22"/>
        </w:rPr>
        <w:t xml:space="preserve">the </w:t>
      </w:r>
      <w:r w:rsidR="0052120C">
        <w:rPr>
          <w:rFonts w:asciiTheme="majorHAnsi" w:hAnsiTheme="majorHAnsi"/>
          <w:sz w:val="22"/>
          <w:szCs w:val="22"/>
        </w:rPr>
        <w:t>internal review</w:t>
      </w:r>
      <w:r w:rsidR="001478A1">
        <w:rPr>
          <w:rFonts w:asciiTheme="majorHAnsi" w:hAnsiTheme="majorHAnsi"/>
          <w:sz w:val="22"/>
          <w:szCs w:val="22"/>
        </w:rPr>
        <w:t xml:space="preserve"> process</w:t>
      </w:r>
      <w:r w:rsidR="00FC6FA8">
        <w:rPr>
          <w:rFonts w:asciiTheme="majorHAnsi" w:hAnsiTheme="majorHAnsi"/>
          <w:sz w:val="22"/>
          <w:szCs w:val="22"/>
        </w:rPr>
        <w:t>.</w:t>
      </w:r>
      <w:r w:rsidR="00C438BA">
        <w:rPr>
          <w:rFonts w:asciiTheme="majorHAnsi" w:hAnsiTheme="majorHAnsi"/>
          <w:sz w:val="22"/>
          <w:szCs w:val="22"/>
        </w:rPr>
        <w:t xml:space="preserve"> When we compared </w:t>
      </w:r>
      <w:r w:rsidR="00EE7636">
        <w:rPr>
          <w:rFonts w:asciiTheme="majorHAnsi" w:hAnsiTheme="majorHAnsi"/>
          <w:sz w:val="22"/>
          <w:szCs w:val="22"/>
        </w:rPr>
        <w:t xml:space="preserve">the percentage of </w:t>
      </w:r>
      <w:r w:rsidR="00C438BA">
        <w:rPr>
          <w:rFonts w:asciiTheme="majorHAnsi" w:hAnsiTheme="majorHAnsi"/>
          <w:sz w:val="22"/>
          <w:szCs w:val="22"/>
        </w:rPr>
        <w:t xml:space="preserve">individuals who received any form of representation (be it from a lawyer, lay person or other) to </w:t>
      </w:r>
      <w:r w:rsidR="00EE7636">
        <w:rPr>
          <w:rFonts w:asciiTheme="majorHAnsi" w:hAnsiTheme="majorHAnsi"/>
          <w:sz w:val="22"/>
          <w:szCs w:val="22"/>
        </w:rPr>
        <w:t xml:space="preserve">the percentage of individuals </w:t>
      </w:r>
      <w:r w:rsidR="00C438BA">
        <w:rPr>
          <w:rFonts w:asciiTheme="majorHAnsi" w:hAnsiTheme="majorHAnsi"/>
          <w:sz w:val="22"/>
          <w:szCs w:val="22"/>
        </w:rPr>
        <w:t xml:space="preserve">without such representation, there was no statistically significant relationship between the existence of representation and the perceived quality of </w:t>
      </w:r>
      <w:r w:rsidR="001478A1">
        <w:rPr>
          <w:rFonts w:asciiTheme="majorHAnsi" w:hAnsiTheme="majorHAnsi"/>
          <w:sz w:val="22"/>
          <w:szCs w:val="22"/>
        </w:rPr>
        <w:t>the internal review process</w:t>
      </w:r>
      <w:r w:rsidR="00C438BA">
        <w:rPr>
          <w:rFonts w:asciiTheme="majorHAnsi" w:hAnsiTheme="majorHAnsi"/>
          <w:sz w:val="22"/>
          <w:szCs w:val="22"/>
        </w:rPr>
        <w:t xml:space="preserve">.  However, when we compared </w:t>
      </w:r>
      <w:r w:rsidR="00EE7636">
        <w:rPr>
          <w:rFonts w:asciiTheme="majorHAnsi" w:hAnsiTheme="majorHAnsi"/>
          <w:sz w:val="22"/>
          <w:szCs w:val="22"/>
        </w:rPr>
        <w:t xml:space="preserve">the percentage of </w:t>
      </w:r>
      <w:r w:rsidR="00C438BA">
        <w:rPr>
          <w:rFonts w:asciiTheme="majorHAnsi" w:hAnsiTheme="majorHAnsi"/>
          <w:sz w:val="22"/>
          <w:szCs w:val="22"/>
        </w:rPr>
        <w:t xml:space="preserve">individuals who were represented by a lawyer to </w:t>
      </w:r>
      <w:r w:rsidR="00EE7636">
        <w:rPr>
          <w:rFonts w:asciiTheme="majorHAnsi" w:hAnsiTheme="majorHAnsi"/>
          <w:sz w:val="22"/>
          <w:szCs w:val="22"/>
        </w:rPr>
        <w:t xml:space="preserve">the percentage of individuals </w:t>
      </w:r>
      <w:r w:rsidR="00C438BA">
        <w:rPr>
          <w:rFonts w:asciiTheme="majorHAnsi" w:hAnsiTheme="majorHAnsi"/>
          <w:sz w:val="22"/>
          <w:szCs w:val="22"/>
        </w:rPr>
        <w:t xml:space="preserve">without such specialist legal representation, </w:t>
      </w:r>
      <w:r w:rsidR="00EE7636">
        <w:rPr>
          <w:rFonts w:asciiTheme="majorHAnsi" w:hAnsiTheme="majorHAnsi"/>
          <w:sz w:val="22"/>
          <w:szCs w:val="22"/>
        </w:rPr>
        <w:t xml:space="preserve">we found an increase in legal representation to be correlated with positive assessments of the review process (r = </w:t>
      </w:r>
      <w:r w:rsidR="00BE2850">
        <w:rPr>
          <w:rFonts w:asciiTheme="majorHAnsi" w:hAnsiTheme="majorHAnsi"/>
          <w:sz w:val="22"/>
          <w:szCs w:val="22"/>
        </w:rPr>
        <w:t>.17</w:t>
      </w:r>
      <w:r w:rsidR="00EE7636">
        <w:rPr>
          <w:rFonts w:asciiTheme="majorHAnsi" w:hAnsiTheme="majorHAnsi"/>
          <w:sz w:val="22"/>
          <w:szCs w:val="22"/>
        </w:rPr>
        <w:t>, p &lt;</w:t>
      </w:r>
      <w:r w:rsidR="00C438BA">
        <w:rPr>
          <w:rFonts w:asciiTheme="majorHAnsi" w:hAnsiTheme="majorHAnsi"/>
          <w:sz w:val="22"/>
          <w:szCs w:val="22"/>
        </w:rPr>
        <w:t xml:space="preserve">. </w:t>
      </w:r>
      <w:r w:rsidR="00290849">
        <w:rPr>
          <w:rFonts w:asciiTheme="majorHAnsi" w:hAnsiTheme="majorHAnsi"/>
          <w:sz w:val="22"/>
          <w:szCs w:val="22"/>
        </w:rPr>
        <w:t>05</w:t>
      </w:r>
      <w:r w:rsidR="001478A1">
        <w:rPr>
          <w:rFonts w:asciiTheme="majorHAnsi" w:hAnsiTheme="majorHAnsi"/>
          <w:sz w:val="22"/>
          <w:szCs w:val="22"/>
        </w:rPr>
        <w:t>).</w:t>
      </w:r>
    </w:p>
    <w:p w14:paraId="1C88723B" w14:textId="77777777" w:rsidR="0052120C" w:rsidRDefault="0052120C" w:rsidP="00AD2E9B">
      <w:pPr>
        <w:rPr>
          <w:rFonts w:asciiTheme="majorHAnsi" w:hAnsiTheme="majorHAnsi"/>
          <w:sz w:val="22"/>
          <w:szCs w:val="22"/>
        </w:rPr>
      </w:pPr>
    </w:p>
    <w:p w14:paraId="1C9DEFEF" w14:textId="32FC3E35" w:rsidR="00F07F16" w:rsidRPr="00F07F16" w:rsidRDefault="00B042D2" w:rsidP="00F07F16">
      <w:pPr>
        <w:pStyle w:val="NoSpacing"/>
        <w:rPr>
          <w:rFonts w:asciiTheme="majorHAnsi" w:hAnsiTheme="majorHAnsi"/>
          <w:sz w:val="22"/>
          <w:szCs w:val="22"/>
        </w:rPr>
      </w:pPr>
      <w:r>
        <w:rPr>
          <w:rFonts w:asciiTheme="majorHAnsi" w:hAnsiTheme="majorHAnsi"/>
          <w:sz w:val="22"/>
          <w:szCs w:val="22"/>
        </w:rPr>
        <w:t>So legal representation</w:t>
      </w:r>
      <w:r w:rsidR="00F07F16">
        <w:rPr>
          <w:rFonts w:asciiTheme="majorHAnsi" w:hAnsiTheme="majorHAnsi"/>
          <w:sz w:val="22"/>
          <w:szCs w:val="22"/>
        </w:rPr>
        <w:t xml:space="preserve">, irrespective of whether </w:t>
      </w:r>
      <w:r w:rsidR="00CB1376">
        <w:rPr>
          <w:rFonts w:asciiTheme="majorHAnsi" w:hAnsiTheme="majorHAnsi"/>
          <w:sz w:val="22"/>
          <w:szCs w:val="22"/>
        </w:rPr>
        <w:t>it</w:t>
      </w:r>
      <w:r w:rsidR="00F07F16">
        <w:rPr>
          <w:rFonts w:asciiTheme="majorHAnsi" w:hAnsiTheme="majorHAnsi"/>
          <w:sz w:val="22"/>
          <w:szCs w:val="22"/>
        </w:rPr>
        <w:t xml:space="preserve"> improve</w:t>
      </w:r>
      <w:r w:rsidR="00CB1376">
        <w:rPr>
          <w:rFonts w:asciiTheme="majorHAnsi" w:hAnsiTheme="majorHAnsi"/>
          <w:sz w:val="22"/>
          <w:szCs w:val="22"/>
        </w:rPr>
        <w:t>s</w:t>
      </w:r>
      <w:r w:rsidR="00F07F16">
        <w:rPr>
          <w:rFonts w:asciiTheme="majorHAnsi" w:hAnsiTheme="majorHAnsi"/>
          <w:sz w:val="22"/>
          <w:szCs w:val="22"/>
        </w:rPr>
        <w:t xml:space="preserve"> the chances of individual clients under an internal review process, may be part of a more general phenomenon whereby the practice of internal review feeds back positively onto the quality of ongoing initial d</w:t>
      </w:r>
      <w:r>
        <w:rPr>
          <w:rFonts w:asciiTheme="majorHAnsi" w:hAnsiTheme="majorHAnsi"/>
          <w:sz w:val="22"/>
          <w:szCs w:val="22"/>
        </w:rPr>
        <w:t>ecision-making. This complicates</w:t>
      </w:r>
      <w:r w:rsidR="00F07F16">
        <w:rPr>
          <w:rFonts w:asciiTheme="majorHAnsi" w:hAnsiTheme="majorHAnsi"/>
          <w:sz w:val="22"/>
          <w:szCs w:val="22"/>
        </w:rPr>
        <w:t>, we suggest, any assessment we might wish to make of mandatory consideration as a feature of administrative justice. This suggestion is explore</w:t>
      </w:r>
      <w:r>
        <w:rPr>
          <w:rFonts w:asciiTheme="majorHAnsi" w:hAnsiTheme="majorHAnsi"/>
          <w:sz w:val="22"/>
          <w:szCs w:val="22"/>
        </w:rPr>
        <w:t>d</w:t>
      </w:r>
      <w:r w:rsidR="00F07F16">
        <w:rPr>
          <w:rFonts w:asciiTheme="majorHAnsi" w:hAnsiTheme="majorHAnsi"/>
          <w:sz w:val="22"/>
          <w:szCs w:val="22"/>
        </w:rPr>
        <w:t xml:space="preserve"> further in the next section where we discuss the significance of our findings for administrative justice theory.</w:t>
      </w:r>
    </w:p>
    <w:p w14:paraId="1DE7598C" w14:textId="2FE02B34" w:rsidR="00654B5E" w:rsidRDefault="00B042D2" w:rsidP="00C816E6">
      <w:pPr>
        <w:pStyle w:val="Heading1"/>
      </w:pPr>
      <w:r>
        <w:t>Three key assertions from the data</w:t>
      </w:r>
    </w:p>
    <w:p w14:paraId="4B1933A6" w14:textId="15F30D33" w:rsidR="00003EFC" w:rsidRDefault="008457E6" w:rsidP="00C816E6">
      <w:pPr>
        <w:rPr>
          <w:rFonts w:asciiTheme="majorHAnsi" w:hAnsiTheme="majorHAnsi"/>
          <w:sz w:val="22"/>
          <w:szCs w:val="22"/>
        </w:rPr>
      </w:pPr>
      <w:r w:rsidRPr="008457E6">
        <w:rPr>
          <w:rFonts w:asciiTheme="majorHAnsi" w:hAnsiTheme="majorHAnsi"/>
          <w:sz w:val="22"/>
          <w:szCs w:val="22"/>
        </w:rPr>
        <w:t xml:space="preserve">What might we take from </w:t>
      </w:r>
      <w:r w:rsidR="00B042D2">
        <w:rPr>
          <w:rFonts w:asciiTheme="majorHAnsi" w:hAnsiTheme="majorHAnsi"/>
          <w:sz w:val="22"/>
          <w:szCs w:val="22"/>
        </w:rPr>
        <w:t>our findings about homelessness internal review</w:t>
      </w:r>
      <w:r w:rsidRPr="008457E6">
        <w:rPr>
          <w:rFonts w:asciiTheme="majorHAnsi" w:hAnsiTheme="majorHAnsi"/>
          <w:sz w:val="22"/>
          <w:szCs w:val="22"/>
        </w:rPr>
        <w:t xml:space="preserve"> in reconsidering mandatory reconsideration?</w:t>
      </w:r>
      <w:r w:rsidR="00B83905">
        <w:rPr>
          <w:rFonts w:asciiTheme="majorHAnsi" w:hAnsiTheme="majorHAnsi"/>
          <w:sz w:val="22"/>
          <w:szCs w:val="22"/>
        </w:rPr>
        <w:t xml:space="preserve"> </w:t>
      </w:r>
      <w:r w:rsidR="00B042D2">
        <w:rPr>
          <w:rFonts w:asciiTheme="majorHAnsi" w:hAnsiTheme="majorHAnsi"/>
          <w:sz w:val="22"/>
          <w:szCs w:val="22"/>
        </w:rPr>
        <w:t>In light of our data, h</w:t>
      </w:r>
      <w:r w:rsidR="00F07F16">
        <w:rPr>
          <w:rFonts w:asciiTheme="majorHAnsi" w:hAnsiTheme="majorHAnsi"/>
          <w:sz w:val="22"/>
          <w:szCs w:val="22"/>
        </w:rPr>
        <w:t xml:space="preserve">ow should we assess </w:t>
      </w:r>
      <w:r w:rsidR="00B042D2">
        <w:rPr>
          <w:rFonts w:asciiTheme="majorHAnsi" w:hAnsiTheme="majorHAnsi"/>
          <w:sz w:val="22"/>
          <w:szCs w:val="22"/>
        </w:rPr>
        <w:t xml:space="preserve">mandatory </w:t>
      </w:r>
      <w:r w:rsidR="00B042D2">
        <w:rPr>
          <w:rFonts w:asciiTheme="majorHAnsi" w:hAnsiTheme="majorHAnsi"/>
          <w:sz w:val="22"/>
          <w:szCs w:val="22"/>
        </w:rPr>
        <w:lastRenderedPageBreak/>
        <w:t>reconsideration</w:t>
      </w:r>
      <w:r w:rsidR="00F07F16">
        <w:rPr>
          <w:rFonts w:asciiTheme="majorHAnsi" w:hAnsiTheme="majorHAnsi"/>
          <w:sz w:val="22"/>
          <w:szCs w:val="22"/>
        </w:rPr>
        <w:t xml:space="preserve"> from a p</w:t>
      </w:r>
      <w:r w:rsidR="001874C1">
        <w:rPr>
          <w:rFonts w:asciiTheme="majorHAnsi" w:hAnsiTheme="majorHAnsi"/>
          <w:sz w:val="22"/>
          <w:szCs w:val="22"/>
        </w:rPr>
        <w:t>erspective of administrative justice theory?</w:t>
      </w:r>
      <w:r w:rsidR="00CB1376">
        <w:rPr>
          <w:rFonts w:asciiTheme="majorHAnsi" w:hAnsiTheme="majorHAnsi"/>
          <w:sz w:val="22"/>
          <w:szCs w:val="22"/>
        </w:rPr>
        <w:t xml:space="preserve"> We offer three </w:t>
      </w:r>
      <w:r w:rsidR="00FF7FA7">
        <w:rPr>
          <w:rFonts w:asciiTheme="majorHAnsi" w:hAnsiTheme="majorHAnsi"/>
          <w:sz w:val="22"/>
          <w:szCs w:val="22"/>
        </w:rPr>
        <w:t xml:space="preserve">initial </w:t>
      </w:r>
      <w:r w:rsidR="00CB1376">
        <w:rPr>
          <w:rFonts w:asciiTheme="majorHAnsi" w:hAnsiTheme="majorHAnsi"/>
          <w:sz w:val="22"/>
          <w:szCs w:val="22"/>
        </w:rPr>
        <w:t>assertions.</w:t>
      </w:r>
    </w:p>
    <w:p w14:paraId="4079E19D" w14:textId="1ED10AD8" w:rsidR="00161E32" w:rsidRDefault="00161E32" w:rsidP="00161E32">
      <w:pPr>
        <w:pStyle w:val="Heading2"/>
      </w:pPr>
      <w:r>
        <w:t>Hybridity</w:t>
      </w:r>
    </w:p>
    <w:p w14:paraId="37C342AC" w14:textId="5F2CD8C9" w:rsidR="00547DC4" w:rsidRDefault="00CB1376" w:rsidP="00C816E6">
      <w:pPr>
        <w:rPr>
          <w:rFonts w:asciiTheme="majorHAnsi" w:hAnsiTheme="majorHAnsi"/>
          <w:sz w:val="22"/>
          <w:szCs w:val="22"/>
        </w:rPr>
      </w:pPr>
      <w:r>
        <w:rPr>
          <w:rFonts w:asciiTheme="majorHAnsi" w:hAnsiTheme="majorHAnsi"/>
          <w:sz w:val="22"/>
          <w:szCs w:val="22"/>
        </w:rPr>
        <w:t>Our</w:t>
      </w:r>
      <w:r w:rsidR="00B83905">
        <w:rPr>
          <w:rFonts w:asciiTheme="majorHAnsi" w:hAnsiTheme="majorHAnsi"/>
          <w:sz w:val="22"/>
          <w:szCs w:val="22"/>
        </w:rPr>
        <w:t xml:space="preserve"> first point is that, in more senses than one, mandatory reconsideration is something of a hybrid feature of administrative justice. In terms of design, this is o</w:t>
      </w:r>
      <w:r w:rsidR="00EC2CC9">
        <w:rPr>
          <w:rFonts w:asciiTheme="majorHAnsi" w:hAnsiTheme="majorHAnsi"/>
          <w:sz w:val="22"/>
          <w:szCs w:val="22"/>
        </w:rPr>
        <w:t>bvious. It is a form of redress</w:t>
      </w:r>
      <w:r w:rsidR="00B83905">
        <w:rPr>
          <w:rFonts w:asciiTheme="majorHAnsi" w:hAnsiTheme="majorHAnsi"/>
          <w:sz w:val="22"/>
          <w:szCs w:val="22"/>
        </w:rPr>
        <w:t xml:space="preserve"> in one sense, but is also a form of primary decision-making in another. </w:t>
      </w:r>
      <w:r w:rsidR="00547DC4">
        <w:rPr>
          <w:rFonts w:asciiTheme="majorHAnsi" w:hAnsiTheme="majorHAnsi"/>
          <w:sz w:val="22"/>
          <w:szCs w:val="22"/>
        </w:rPr>
        <w:t xml:space="preserve">In terms of accountablity, this is also true. Applying </w:t>
      </w:r>
      <w:r w:rsidR="00D612FA">
        <w:rPr>
          <w:rFonts w:asciiTheme="majorHAnsi" w:hAnsiTheme="majorHAnsi"/>
          <w:sz w:val="22"/>
          <w:szCs w:val="22"/>
        </w:rPr>
        <w:t>Romzek and Dubnick’s celebrated</w:t>
      </w:r>
      <w:r w:rsidR="00547DC4">
        <w:rPr>
          <w:rFonts w:asciiTheme="majorHAnsi" w:hAnsiTheme="majorHAnsi"/>
          <w:sz w:val="22"/>
          <w:szCs w:val="22"/>
        </w:rPr>
        <w:t xml:space="preserve"> typology</w:t>
      </w:r>
      <w:r w:rsidR="00D612FA">
        <w:rPr>
          <w:rFonts w:asciiTheme="majorHAnsi" w:hAnsiTheme="majorHAnsi"/>
          <w:sz w:val="22"/>
          <w:szCs w:val="22"/>
        </w:rPr>
        <w:t>,</w:t>
      </w:r>
      <w:r w:rsidR="00AA76B3">
        <w:rPr>
          <w:rStyle w:val="FootnoteReference"/>
          <w:rFonts w:asciiTheme="majorHAnsi" w:hAnsiTheme="majorHAnsi"/>
          <w:sz w:val="22"/>
          <w:szCs w:val="22"/>
        </w:rPr>
        <w:footnoteReference w:id="37"/>
      </w:r>
      <w:r w:rsidR="00D612FA">
        <w:rPr>
          <w:rFonts w:asciiTheme="majorHAnsi" w:hAnsiTheme="majorHAnsi"/>
          <w:sz w:val="22"/>
          <w:szCs w:val="22"/>
        </w:rPr>
        <w:t xml:space="preserve"> mandatory reconsideration</w:t>
      </w:r>
      <w:r w:rsidR="00547DC4">
        <w:rPr>
          <w:rFonts w:asciiTheme="majorHAnsi" w:hAnsiTheme="majorHAnsi"/>
          <w:sz w:val="22"/>
          <w:szCs w:val="22"/>
        </w:rPr>
        <w:t xml:space="preserve"> </w:t>
      </w:r>
      <w:r w:rsidR="00161E32">
        <w:rPr>
          <w:rFonts w:asciiTheme="majorHAnsi" w:hAnsiTheme="majorHAnsi"/>
          <w:sz w:val="22"/>
          <w:szCs w:val="22"/>
        </w:rPr>
        <w:t>is a hy</w:t>
      </w:r>
      <w:r w:rsidR="00D612FA">
        <w:rPr>
          <w:rFonts w:asciiTheme="majorHAnsi" w:hAnsiTheme="majorHAnsi"/>
          <w:sz w:val="22"/>
          <w:szCs w:val="22"/>
        </w:rPr>
        <w:t>b</w:t>
      </w:r>
      <w:r w:rsidR="00161E32">
        <w:rPr>
          <w:rFonts w:asciiTheme="majorHAnsi" w:hAnsiTheme="majorHAnsi"/>
          <w:sz w:val="22"/>
          <w:szCs w:val="22"/>
        </w:rPr>
        <w:t>r</w:t>
      </w:r>
      <w:r w:rsidR="00D612FA">
        <w:rPr>
          <w:rFonts w:asciiTheme="majorHAnsi" w:hAnsiTheme="majorHAnsi"/>
          <w:sz w:val="22"/>
          <w:szCs w:val="22"/>
        </w:rPr>
        <w:t>id of bureaucratic and legal forms of accountability.</w:t>
      </w:r>
      <w:r w:rsidR="00D612FA" w:rsidRPr="00D612FA">
        <w:rPr>
          <w:rFonts w:asciiTheme="majorHAnsi" w:hAnsiTheme="majorHAnsi"/>
          <w:sz w:val="22"/>
          <w:szCs w:val="22"/>
        </w:rPr>
        <w:t xml:space="preserve"> </w:t>
      </w:r>
      <w:r w:rsidR="00D612FA">
        <w:rPr>
          <w:rFonts w:asciiTheme="majorHAnsi" w:hAnsiTheme="majorHAnsi"/>
          <w:sz w:val="22"/>
          <w:szCs w:val="22"/>
        </w:rPr>
        <w:t>It is a second look by a public agency</w:t>
      </w:r>
      <w:r w:rsidR="009128F5">
        <w:rPr>
          <w:rFonts w:asciiTheme="majorHAnsi" w:hAnsiTheme="majorHAnsi"/>
          <w:sz w:val="22"/>
          <w:szCs w:val="22"/>
        </w:rPr>
        <w:t xml:space="preserve"> at one of its decisions but is</w:t>
      </w:r>
      <w:r w:rsidR="0052489E">
        <w:rPr>
          <w:rFonts w:asciiTheme="majorHAnsi" w:hAnsiTheme="majorHAnsi"/>
          <w:sz w:val="22"/>
          <w:szCs w:val="22"/>
        </w:rPr>
        <w:t xml:space="preserve"> a compulsory rung on</w:t>
      </w:r>
      <w:r w:rsidR="000B7F86">
        <w:rPr>
          <w:rFonts w:asciiTheme="majorHAnsi" w:hAnsiTheme="majorHAnsi"/>
          <w:sz w:val="22"/>
          <w:szCs w:val="22"/>
        </w:rPr>
        <w:t xml:space="preserve"> the ladder of redress leading to </w:t>
      </w:r>
      <w:r w:rsidR="00D612FA">
        <w:rPr>
          <w:rFonts w:asciiTheme="majorHAnsi" w:hAnsiTheme="majorHAnsi"/>
          <w:sz w:val="22"/>
          <w:szCs w:val="22"/>
        </w:rPr>
        <w:t xml:space="preserve">external legal </w:t>
      </w:r>
      <w:r w:rsidR="000B7F86">
        <w:rPr>
          <w:rFonts w:asciiTheme="majorHAnsi" w:hAnsiTheme="majorHAnsi"/>
          <w:sz w:val="22"/>
          <w:szCs w:val="22"/>
        </w:rPr>
        <w:t>review</w:t>
      </w:r>
      <w:r w:rsidR="00D612FA">
        <w:rPr>
          <w:rFonts w:asciiTheme="majorHAnsi" w:hAnsiTheme="majorHAnsi"/>
          <w:sz w:val="22"/>
          <w:szCs w:val="22"/>
        </w:rPr>
        <w:t>.</w:t>
      </w:r>
      <w:r w:rsidR="00A218D8">
        <w:rPr>
          <w:rStyle w:val="FootnoteReference"/>
          <w:rFonts w:asciiTheme="majorHAnsi" w:hAnsiTheme="majorHAnsi"/>
          <w:sz w:val="22"/>
          <w:szCs w:val="22"/>
        </w:rPr>
        <w:footnoteReference w:id="38"/>
      </w:r>
    </w:p>
    <w:p w14:paraId="15BD9CC4" w14:textId="77777777" w:rsidR="00547DC4" w:rsidRDefault="00547DC4" w:rsidP="00C816E6">
      <w:pPr>
        <w:rPr>
          <w:rFonts w:asciiTheme="majorHAnsi" w:hAnsiTheme="majorHAnsi"/>
          <w:sz w:val="22"/>
          <w:szCs w:val="22"/>
        </w:rPr>
      </w:pPr>
    </w:p>
    <w:p w14:paraId="2EBB4CB1" w14:textId="6A1EE0ED" w:rsidR="00C816E6" w:rsidRDefault="00547DC4" w:rsidP="00C816E6">
      <w:pPr>
        <w:rPr>
          <w:rFonts w:asciiTheme="majorHAnsi" w:hAnsiTheme="majorHAnsi"/>
          <w:sz w:val="22"/>
          <w:szCs w:val="22"/>
        </w:rPr>
      </w:pPr>
      <w:r>
        <w:rPr>
          <w:rFonts w:asciiTheme="majorHAnsi" w:hAnsiTheme="majorHAnsi"/>
          <w:sz w:val="22"/>
          <w:szCs w:val="22"/>
        </w:rPr>
        <w:t xml:space="preserve">But </w:t>
      </w:r>
      <w:r w:rsidR="00B042D2">
        <w:rPr>
          <w:rFonts w:asciiTheme="majorHAnsi" w:hAnsiTheme="majorHAnsi"/>
          <w:sz w:val="22"/>
          <w:szCs w:val="22"/>
        </w:rPr>
        <w:t xml:space="preserve">as we have noted above already, </w:t>
      </w:r>
      <w:r>
        <w:rPr>
          <w:rFonts w:asciiTheme="majorHAnsi" w:hAnsiTheme="majorHAnsi"/>
          <w:sz w:val="22"/>
          <w:szCs w:val="22"/>
        </w:rPr>
        <w:t xml:space="preserve">our data suggest that this hybrid nature may also </w:t>
      </w:r>
      <w:r w:rsidR="00C43EB8">
        <w:rPr>
          <w:rFonts w:asciiTheme="majorHAnsi" w:hAnsiTheme="majorHAnsi"/>
          <w:sz w:val="22"/>
          <w:szCs w:val="22"/>
        </w:rPr>
        <w:t xml:space="preserve">be </w:t>
      </w:r>
      <w:r>
        <w:rPr>
          <w:rFonts w:asciiTheme="majorHAnsi" w:hAnsiTheme="majorHAnsi"/>
          <w:sz w:val="22"/>
          <w:szCs w:val="22"/>
        </w:rPr>
        <w:t xml:space="preserve">reflected in its </w:t>
      </w:r>
      <w:r w:rsidRPr="00A218D8">
        <w:rPr>
          <w:rFonts w:asciiTheme="majorHAnsi" w:hAnsiTheme="majorHAnsi"/>
          <w:i/>
          <w:sz w:val="22"/>
          <w:szCs w:val="22"/>
        </w:rPr>
        <w:t>use</w:t>
      </w:r>
      <w:r>
        <w:rPr>
          <w:rFonts w:asciiTheme="majorHAnsi" w:hAnsiTheme="majorHAnsi"/>
          <w:sz w:val="22"/>
          <w:szCs w:val="22"/>
        </w:rPr>
        <w:t xml:space="preserve"> by welfare applicants</w:t>
      </w:r>
      <w:r w:rsidR="00B042D2">
        <w:rPr>
          <w:rFonts w:asciiTheme="majorHAnsi" w:hAnsiTheme="majorHAnsi"/>
          <w:sz w:val="22"/>
          <w:szCs w:val="22"/>
        </w:rPr>
        <w:t xml:space="preserve"> and its </w:t>
      </w:r>
      <w:r w:rsidR="00B042D2" w:rsidRPr="00B042D2">
        <w:rPr>
          <w:rFonts w:asciiTheme="majorHAnsi" w:hAnsiTheme="majorHAnsi"/>
          <w:i/>
          <w:sz w:val="22"/>
          <w:szCs w:val="22"/>
        </w:rPr>
        <w:t>practice</w:t>
      </w:r>
      <w:r w:rsidR="00B042D2">
        <w:rPr>
          <w:rFonts w:asciiTheme="majorHAnsi" w:hAnsiTheme="majorHAnsi"/>
          <w:sz w:val="22"/>
          <w:szCs w:val="22"/>
        </w:rPr>
        <w:t xml:space="preserve"> by housing authorities</w:t>
      </w:r>
      <w:r>
        <w:rPr>
          <w:rFonts w:asciiTheme="majorHAnsi" w:hAnsiTheme="majorHAnsi"/>
          <w:sz w:val="22"/>
          <w:szCs w:val="22"/>
        </w:rPr>
        <w:t xml:space="preserve">. Although homelessness internal review was conceived </w:t>
      </w:r>
      <w:r w:rsidR="00B042D2">
        <w:rPr>
          <w:rFonts w:asciiTheme="majorHAnsi" w:hAnsiTheme="majorHAnsi"/>
          <w:sz w:val="22"/>
          <w:szCs w:val="22"/>
        </w:rPr>
        <w:t xml:space="preserve">in policy terms </w:t>
      </w:r>
      <w:r>
        <w:rPr>
          <w:rFonts w:asciiTheme="majorHAnsi" w:hAnsiTheme="majorHAnsi"/>
          <w:sz w:val="22"/>
          <w:szCs w:val="22"/>
        </w:rPr>
        <w:t>as an easy-to-use check on the</w:t>
      </w:r>
      <w:r w:rsidR="00A64087">
        <w:rPr>
          <w:rFonts w:asciiTheme="majorHAnsi" w:hAnsiTheme="majorHAnsi"/>
          <w:sz w:val="22"/>
          <w:szCs w:val="22"/>
        </w:rPr>
        <w:t xml:space="preserve"> quality of an initial decision</w:t>
      </w:r>
      <w:r>
        <w:rPr>
          <w:rFonts w:asciiTheme="majorHAnsi" w:hAnsiTheme="majorHAnsi"/>
          <w:sz w:val="22"/>
          <w:szCs w:val="22"/>
        </w:rPr>
        <w:t xml:space="preserve"> </w:t>
      </w:r>
      <w:r w:rsidR="00A64087">
        <w:rPr>
          <w:rFonts w:asciiTheme="majorHAnsi" w:hAnsiTheme="majorHAnsi"/>
          <w:sz w:val="22"/>
          <w:szCs w:val="22"/>
        </w:rPr>
        <w:t xml:space="preserve">(the equivalent of asking to see the manager), </w:t>
      </w:r>
      <w:r>
        <w:rPr>
          <w:rFonts w:asciiTheme="majorHAnsi" w:hAnsiTheme="majorHAnsi"/>
          <w:sz w:val="22"/>
          <w:szCs w:val="22"/>
        </w:rPr>
        <w:t xml:space="preserve">over time it has become a </w:t>
      </w:r>
      <w:r w:rsidR="00A64087">
        <w:rPr>
          <w:rFonts w:asciiTheme="majorHAnsi" w:hAnsiTheme="majorHAnsi"/>
          <w:sz w:val="22"/>
          <w:szCs w:val="22"/>
        </w:rPr>
        <w:t xml:space="preserve">much </w:t>
      </w:r>
      <w:r>
        <w:rPr>
          <w:rFonts w:asciiTheme="majorHAnsi" w:hAnsiTheme="majorHAnsi"/>
          <w:sz w:val="22"/>
          <w:szCs w:val="22"/>
        </w:rPr>
        <w:t>more legalised form of dispute resolution</w:t>
      </w:r>
      <w:r w:rsidR="00A64087">
        <w:rPr>
          <w:rFonts w:asciiTheme="majorHAnsi" w:hAnsiTheme="majorHAnsi"/>
          <w:sz w:val="22"/>
          <w:szCs w:val="22"/>
        </w:rPr>
        <w:t xml:space="preserve"> whereby the use by applicants of lay and legal representatives is commonplace</w:t>
      </w:r>
      <w:r>
        <w:rPr>
          <w:rFonts w:asciiTheme="majorHAnsi" w:hAnsiTheme="majorHAnsi"/>
          <w:sz w:val="22"/>
          <w:szCs w:val="22"/>
        </w:rPr>
        <w:t>.</w:t>
      </w:r>
    </w:p>
    <w:p w14:paraId="0F8B74F5" w14:textId="047D22DA" w:rsidR="00A218D8" w:rsidRDefault="00161E32" w:rsidP="00161E32">
      <w:pPr>
        <w:pStyle w:val="Heading2"/>
      </w:pPr>
      <w:r>
        <w:t>Assessment on its own terms</w:t>
      </w:r>
    </w:p>
    <w:p w14:paraId="68F5419C" w14:textId="674517FE" w:rsidR="00A218D8" w:rsidRDefault="00A218D8" w:rsidP="00A218D8">
      <w:pPr>
        <w:rPr>
          <w:rFonts w:asciiTheme="majorHAnsi" w:hAnsiTheme="majorHAnsi"/>
          <w:sz w:val="22"/>
          <w:szCs w:val="22"/>
        </w:rPr>
      </w:pPr>
      <w:r>
        <w:rPr>
          <w:rFonts w:asciiTheme="majorHAnsi" w:hAnsiTheme="majorHAnsi"/>
          <w:sz w:val="22"/>
          <w:szCs w:val="22"/>
        </w:rPr>
        <w:t>The second point is that, although conceptually and empirically</w:t>
      </w:r>
      <w:r w:rsidR="00D208EF">
        <w:rPr>
          <w:rFonts w:asciiTheme="majorHAnsi" w:hAnsiTheme="majorHAnsi"/>
          <w:sz w:val="22"/>
          <w:szCs w:val="22"/>
        </w:rPr>
        <w:t>,</w:t>
      </w:r>
      <w:r>
        <w:rPr>
          <w:rFonts w:asciiTheme="majorHAnsi" w:hAnsiTheme="majorHAnsi"/>
          <w:sz w:val="22"/>
          <w:szCs w:val="22"/>
        </w:rPr>
        <w:t xml:space="preserve"> man</w:t>
      </w:r>
      <w:r w:rsidR="00161E32">
        <w:rPr>
          <w:rFonts w:asciiTheme="majorHAnsi" w:hAnsiTheme="majorHAnsi"/>
          <w:sz w:val="22"/>
          <w:szCs w:val="22"/>
        </w:rPr>
        <w:t>datory resconsideration is a hy</w:t>
      </w:r>
      <w:r>
        <w:rPr>
          <w:rFonts w:asciiTheme="majorHAnsi" w:hAnsiTheme="majorHAnsi"/>
          <w:sz w:val="22"/>
          <w:szCs w:val="22"/>
        </w:rPr>
        <w:t>b</w:t>
      </w:r>
      <w:r w:rsidR="00161E32">
        <w:rPr>
          <w:rFonts w:asciiTheme="majorHAnsi" w:hAnsiTheme="majorHAnsi"/>
          <w:sz w:val="22"/>
          <w:szCs w:val="22"/>
        </w:rPr>
        <w:t>r</w:t>
      </w:r>
      <w:r>
        <w:rPr>
          <w:rFonts w:asciiTheme="majorHAnsi" w:hAnsiTheme="majorHAnsi"/>
          <w:sz w:val="22"/>
          <w:szCs w:val="22"/>
        </w:rPr>
        <w:t>id mechanism of administrative justice, straddling the bureaucratic and the legal, the internal and the external, its normative assessment</w:t>
      </w:r>
      <w:r w:rsidRPr="00A218D8">
        <w:rPr>
          <w:rFonts w:asciiTheme="majorHAnsi" w:hAnsiTheme="majorHAnsi"/>
          <w:sz w:val="22"/>
          <w:szCs w:val="22"/>
        </w:rPr>
        <w:t xml:space="preserve"> </w:t>
      </w:r>
      <w:r>
        <w:rPr>
          <w:rFonts w:asciiTheme="majorHAnsi" w:hAnsiTheme="majorHAnsi"/>
          <w:sz w:val="22"/>
          <w:szCs w:val="22"/>
        </w:rPr>
        <w:t>must focus squarely on its qualities</w:t>
      </w:r>
      <w:r w:rsidRPr="00A042F9">
        <w:rPr>
          <w:rFonts w:asciiTheme="majorHAnsi" w:hAnsiTheme="majorHAnsi"/>
          <w:sz w:val="22"/>
          <w:szCs w:val="22"/>
        </w:rPr>
        <w:t xml:space="preserve"> </w:t>
      </w:r>
      <w:r>
        <w:rPr>
          <w:rFonts w:asciiTheme="majorHAnsi" w:hAnsiTheme="majorHAnsi"/>
          <w:sz w:val="22"/>
          <w:szCs w:val="22"/>
        </w:rPr>
        <w:t>in and of themselves, and not as the first of a potential sequence of redress opportunities. Any normative assessment of the value of mandatory rec</w:t>
      </w:r>
      <w:r w:rsidR="00A007A6">
        <w:rPr>
          <w:rFonts w:asciiTheme="majorHAnsi" w:hAnsiTheme="majorHAnsi"/>
          <w:sz w:val="22"/>
          <w:szCs w:val="22"/>
        </w:rPr>
        <w:t>onsideration as a</w:t>
      </w:r>
      <w:r>
        <w:rPr>
          <w:rFonts w:asciiTheme="majorHAnsi" w:hAnsiTheme="majorHAnsi"/>
          <w:sz w:val="22"/>
          <w:szCs w:val="22"/>
        </w:rPr>
        <w:t xml:space="preserve"> </w:t>
      </w:r>
      <w:r w:rsidR="008D3591">
        <w:rPr>
          <w:rFonts w:asciiTheme="majorHAnsi" w:hAnsiTheme="majorHAnsi"/>
          <w:sz w:val="22"/>
          <w:szCs w:val="22"/>
        </w:rPr>
        <w:t>structural</w:t>
      </w:r>
      <w:r>
        <w:rPr>
          <w:rFonts w:asciiTheme="majorHAnsi" w:hAnsiTheme="majorHAnsi"/>
          <w:sz w:val="22"/>
          <w:szCs w:val="22"/>
        </w:rPr>
        <w:t xml:space="preserve"> feature of a</w:t>
      </w:r>
      <w:r w:rsidR="00D208EF">
        <w:rPr>
          <w:rFonts w:asciiTheme="majorHAnsi" w:hAnsiTheme="majorHAnsi"/>
          <w:sz w:val="22"/>
          <w:szCs w:val="22"/>
        </w:rPr>
        <w:t>n administrative justice system</w:t>
      </w:r>
      <w:r>
        <w:rPr>
          <w:rFonts w:asciiTheme="majorHAnsi" w:hAnsiTheme="majorHAnsi"/>
          <w:sz w:val="22"/>
          <w:szCs w:val="22"/>
        </w:rPr>
        <w:t xml:space="preserve"> must accept the empirical reality that, for most </w:t>
      </w:r>
      <w:r w:rsidR="00D208EF">
        <w:rPr>
          <w:rFonts w:asciiTheme="majorHAnsi" w:hAnsiTheme="majorHAnsi"/>
          <w:sz w:val="22"/>
          <w:szCs w:val="22"/>
        </w:rPr>
        <w:t>welfare applicants</w:t>
      </w:r>
      <w:r>
        <w:rPr>
          <w:rFonts w:asciiTheme="majorHAnsi" w:hAnsiTheme="majorHAnsi"/>
          <w:sz w:val="22"/>
          <w:szCs w:val="22"/>
        </w:rPr>
        <w:t xml:space="preserve"> pursuing </w:t>
      </w:r>
      <w:r w:rsidR="00D208EF">
        <w:rPr>
          <w:rFonts w:asciiTheme="majorHAnsi" w:hAnsiTheme="majorHAnsi"/>
          <w:sz w:val="22"/>
          <w:szCs w:val="22"/>
        </w:rPr>
        <w:t>grievances</w:t>
      </w:r>
      <w:r>
        <w:rPr>
          <w:rFonts w:asciiTheme="majorHAnsi" w:hAnsiTheme="majorHAnsi"/>
          <w:sz w:val="22"/>
          <w:szCs w:val="22"/>
        </w:rPr>
        <w:t xml:space="preserve">, mandatory reconsideration or internal review will be their </w:t>
      </w:r>
      <w:r w:rsidRPr="00D208EF">
        <w:rPr>
          <w:rFonts w:asciiTheme="majorHAnsi" w:hAnsiTheme="majorHAnsi"/>
          <w:i/>
          <w:sz w:val="22"/>
          <w:szCs w:val="22"/>
        </w:rPr>
        <w:t>only</w:t>
      </w:r>
      <w:r>
        <w:rPr>
          <w:rFonts w:asciiTheme="majorHAnsi" w:hAnsiTheme="majorHAnsi"/>
          <w:sz w:val="22"/>
          <w:szCs w:val="22"/>
        </w:rPr>
        <w:t xml:space="preserve"> experience of redress. In other words, little comfort should be taken from the </w:t>
      </w:r>
      <w:r w:rsidR="00D208EF">
        <w:rPr>
          <w:rFonts w:asciiTheme="majorHAnsi" w:hAnsiTheme="majorHAnsi"/>
          <w:sz w:val="22"/>
          <w:szCs w:val="22"/>
        </w:rPr>
        <w:t>fact</w:t>
      </w:r>
      <w:r>
        <w:rPr>
          <w:rFonts w:asciiTheme="majorHAnsi" w:hAnsiTheme="majorHAnsi"/>
          <w:sz w:val="22"/>
          <w:szCs w:val="22"/>
        </w:rPr>
        <w:t xml:space="preserve"> that higher rungs on the redress ladder enjoy certain features that </w:t>
      </w:r>
      <w:r w:rsidR="000B1DB5">
        <w:rPr>
          <w:rFonts w:asciiTheme="majorHAnsi" w:hAnsiTheme="majorHAnsi"/>
          <w:sz w:val="22"/>
          <w:szCs w:val="22"/>
        </w:rPr>
        <w:t>might be taken to</w:t>
      </w:r>
      <w:r>
        <w:rPr>
          <w:rFonts w:asciiTheme="majorHAnsi" w:hAnsiTheme="majorHAnsi"/>
          <w:sz w:val="22"/>
          <w:szCs w:val="22"/>
        </w:rPr>
        <w:t xml:space="preserve"> mitigate their absence on the bottom rung.</w:t>
      </w:r>
      <w:r w:rsidR="008E194D">
        <w:rPr>
          <w:rStyle w:val="FootnoteReference"/>
          <w:rFonts w:asciiTheme="majorHAnsi" w:hAnsiTheme="majorHAnsi"/>
          <w:sz w:val="22"/>
          <w:szCs w:val="22"/>
        </w:rPr>
        <w:footnoteReference w:id="39"/>
      </w:r>
      <w:r>
        <w:rPr>
          <w:rFonts w:asciiTheme="majorHAnsi" w:hAnsiTheme="majorHAnsi"/>
          <w:sz w:val="22"/>
          <w:szCs w:val="22"/>
        </w:rPr>
        <w:t xml:space="preserve"> </w:t>
      </w:r>
    </w:p>
    <w:p w14:paraId="6A8960B7" w14:textId="33502DBD" w:rsidR="005E4F8F" w:rsidRDefault="005E4F8F" w:rsidP="005E4F8F">
      <w:pPr>
        <w:pStyle w:val="Heading2"/>
      </w:pPr>
      <w:r>
        <w:t>An ambiguous relationship to administrative justice</w:t>
      </w:r>
    </w:p>
    <w:p w14:paraId="211561EA" w14:textId="697BB758" w:rsidR="00391FC6" w:rsidRDefault="00391FC6" w:rsidP="00A218D8">
      <w:pPr>
        <w:rPr>
          <w:rFonts w:asciiTheme="majorHAnsi" w:hAnsiTheme="majorHAnsi"/>
          <w:sz w:val="22"/>
          <w:szCs w:val="22"/>
        </w:rPr>
      </w:pPr>
      <w:r>
        <w:rPr>
          <w:rFonts w:asciiTheme="majorHAnsi" w:hAnsiTheme="majorHAnsi"/>
          <w:sz w:val="22"/>
          <w:szCs w:val="22"/>
        </w:rPr>
        <w:t>The third point is that mandatory reconsideration may have quite an ambiguous relationship to administrative justice. It is now commonplace for scholars to refer to the fact that the concept</w:t>
      </w:r>
      <w:r w:rsidRPr="00391FC6">
        <w:rPr>
          <w:rFonts w:asciiTheme="majorHAnsi" w:hAnsiTheme="majorHAnsi"/>
          <w:sz w:val="22"/>
          <w:szCs w:val="22"/>
        </w:rPr>
        <w:t xml:space="preserve"> </w:t>
      </w:r>
      <w:r>
        <w:rPr>
          <w:rFonts w:asciiTheme="majorHAnsi" w:hAnsiTheme="majorHAnsi"/>
          <w:sz w:val="22"/>
          <w:szCs w:val="22"/>
        </w:rPr>
        <w:t>of ‘administrative justice’ has a dual focus</w:t>
      </w:r>
      <w:r w:rsidR="00B042D2">
        <w:rPr>
          <w:rFonts w:asciiTheme="majorHAnsi" w:hAnsiTheme="majorHAnsi"/>
          <w:sz w:val="22"/>
          <w:szCs w:val="22"/>
        </w:rPr>
        <w:t>:</w:t>
      </w:r>
      <w:r>
        <w:rPr>
          <w:rFonts w:asciiTheme="majorHAnsi" w:hAnsiTheme="majorHAnsi"/>
          <w:sz w:val="22"/>
          <w:szCs w:val="22"/>
        </w:rPr>
        <w:t xml:space="preserve"> (1) on the justice of initial administrative decision-making</w:t>
      </w:r>
      <w:r w:rsidR="00EB4C19">
        <w:rPr>
          <w:rFonts w:asciiTheme="majorHAnsi" w:hAnsiTheme="majorHAnsi"/>
          <w:sz w:val="22"/>
          <w:szCs w:val="22"/>
        </w:rPr>
        <w:t xml:space="preserve"> (a focus on public administration)</w:t>
      </w:r>
      <w:r>
        <w:rPr>
          <w:rFonts w:asciiTheme="majorHAnsi" w:hAnsiTheme="majorHAnsi"/>
          <w:sz w:val="22"/>
          <w:szCs w:val="22"/>
        </w:rPr>
        <w:t>; and (2) on the remedies available to those who feel aggrieved by initial decisions</w:t>
      </w:r>
      <w:r w:rsidR="00EB4C19">
        <w:rPr>
          <w:rFonts w:asciiTheme="majorHAnsi" w:hAnsiTheme="majorHAnsi"/>
          <w:sz w:val="22"/>
          <w:szCs w:val="22"/>
        </w:rPr>
        <w:t xml:space="preserve"> (a focus on the architecture of redress)</w:t>
      </w:r>
      <w:r>
        <w:rPr>
          <w:rFonts w:asciiTheme="majorHAnsi" w:hAnsiTheme="majorHAnsi"/>
          <w:sz w:val="22"/>
          <w:szCs w:val="22"/>
        </w:rPr>
        <w:t>.</w:t>
      </w:r>
      <w:r w:rsidR="00AA76B3">
        <w:rPr>
          <w:rStyle w:val="FootnoteReference"/>
          <w:rFonts w:asciiTheme="majorHAnsi" w:hAnsiTheme="majorHAnsi"/>
          <w:sz w:val="22"/>
          <w:szCs w:val="22"/>
        </w:rPr>
        <w:footnoteReference w:id="40"/>
      </w:r>
      <w:r w:rsidR="00EB4C19">
        <w:rPr>
          <w:rFonts w:asciiTheme="majorHAnsi" w:hAnsiTheme="majorHAnsi"/>
          <w:sz w:val="22"/>
          <w:szCs w:val="22"/>
        </w:rPr>
        <w:t xml:space="preserve"> Much of the critique of mandatory reconsideration focuses too heavily on this latter focus and insufficiently on the former, we would suggest. </w:t>
      </w:r>
      <w:r w:rsidR="00EB4C19">
        <w:rPr>
          <w:rFonts w:asciiTheme="majorHAnsi" w:hAnsiTheme="majorHAnsi"/>
          <w:i/>
          <w:sz w:val="22"/>
          <w:szCs w:val="22"/>
        </w:rPr>
        <w:t>Even if</w:t>
      </w:r>
      <w:r w:rsidR="00EB4C19">
        <w:rPr>
          <w:rFonts w:asciiTheme="majorHAnsi" w:hAnsiTheme="majorHAnsi"/>
          <w:sz w:val="22"/>
          <w:szCs w:val="22"/>
        </w:rPr>
        <w:t xml:space="preserve"> mandatory reconsideration is deficient as a form of redress, it may, as our data suggest, have a positive contribution to </w:t>
      </w:r>
      <w:r w:rsidR="00EB4C19">
        <w:rPr>
          <w:rFonts w:asciiTheme="majorHAnsi" w:hAnsiTheme="majorHAnsi"/>
          <w:sz w:val="22"/>
          <w:szCs w:val="22"/>
        </w:rPr>
        <w:lastRenderedPageBreak/>
        <w:t xml:space="preserve">make to the justice of ongoing bureaucratice administration. In other words, </w:t>
      </w:r>
      <w:r w:rsidR="00C677A0">
        <w:rPr>
          <w:rFonts w:asciiTheme="majorHAnsi" w:hAnsiTheme="majorHAnsi"/>
          <w:sz w:val="22"/>
          <w:szCs w:val="22"/>
        </w:rPr>
        <w:t>even if it</w:t>
      </w:r>
      <w:r w:rsidR="00EB4C19">
        <w:rPr>
          <w:rFonts w:asciiTheme="majorHAnsi" w:hAnsiTheme="majorHAnsi"/>
          <w:sz w:val="22"/>
          <w:szCs w:val="22"/>
        </w:rPr>
        <w:t xml:space="preserve"> fail</w:t>
      </w:r>
      <w:r w:rsidR="00C677A0">
        <w:rPr>
          <w:rFonts w:asciiTheme="majorHAnsi" w:hAnsiTheme="majorHAnsi"/>
          <w:sz w:val="22"/>
          <w:szCs w:val="22"/>
        </w:rPr>
        <w:t>s</w:t>
      </w:r>
      <w:r w:rsidR="00EB4C19">
        <w:rPr>
          <w:rFonts w:asciiTheme="majorHAnsi" w:hAnsiTheme="majorHAnsi"/>
          <w:sz w:val="22"/>
          <w:szCs w:val="22"/>
        </w:rPr>
        <w:t xml:space="preserve"> to some extent (perhaps entirely) as a form of legal accountability, it might still have considerable value as a form of bureaucratic accountability.</w:t>
      </w:r>
    </w:p>
    <w:p w14:paraId="20984424" w14:textId="77777777" w:rsidR="00EB4C19" w:rsidRDefault="00EB4C19" w:rsidP="00A218D8">
      <w:pPr>
        <w:rPr>
          <w:rFonts w:asciiTheme="majorHAnsi" w:hAnsiTheme="majorHAnsi"/>
          <w:sz w:val="22"/>
          <w:szCs w:val="22"/>
        </w:rPr>
      </w:pPr>
    </w:p>
    <w:p w14:paraId="609B5783" w14:textId="6C5A81DB" w:rsidR="00EB4C19" w:rsidRDefault="00EB4C19" w:rsidP="00A218D8">
      <w:pPr>
        <w:rPr>
          <w:rFonts w:asciiTheme="majorHAnsi" w:hAnsiTheme="majorHAnsi"/>
          <w:sz w:val="22"/>
          <w:szCs w:val="22"/>
        </w:rPr>
      </w:pPr>
      <w:r>
        <w:rPr>
          <w:rFonts w:asciiTheme="majorHAnsi" w:hAnsiTheme="majorHAnsi"/>
          <w:sz w:val="22"/>
          <w:szCs w:val="22"/>
        </w:rPr>
        <w:t xml:space="preserve">This latter point, we would suggest, signficantly complicates the normative assessment of mandatory reconsideration. Administrative justice </w:t>
      </w:r>
      <w:r w:rsidR="00871299">
        <w:rPr>
          <w:rFonts w:asciiTheme="majorHAnsi" w:hAnsiTheme="majorHAnsi"/>
          <w:sz w:val="22"/>
          <w:szCs w:val="22"/>
        </w:rPr>
        <w:t>policy</w:t>
      </w:r>
      <w:r w:rsidR="00871299">
        <w:rPr>
          <w:rStyle w:val="FootnoteReference"/>
          <w:rFonts w:asciiTheme="majorHAnsi" w:hAnsiTheme="majorHAnsi"/>
          <w:sz w:val="22"/>
          <w:szCs w:val="22"/>
        </w:rPr>
        <w:footnoteReference w:id="41"/>
      </w:r>
      <w:r w:rsidR="00871299">
        <w:rPr>
          <w:rFonts w:asciiTheme="majorHAnsi" w:hAnsiTheme="majorHAnsi"/>
          <w:sz w:val="22"/>
          <w:szCs w:val="22"/>
        </w:rPr>
        <w:t xml:space="preserve"> and </w:t>
      </w:r>
      <w:r>
        <w:rPr>
          <w:rFonts w:asciiTheme="majorHAnsi" w:hAnsiTheme="majorHAnsi"/>
          <w:sz w:val="22"/>
          <w:szCs w:val="22"/>
        </w:rPr>
        <w:t>scholarship</w:t>
      </w:r>
      <w:r w:rsidR="00871299">
        <w:rPr>
          <w:rStyle w:val="FootnoteReference"/>
          <w:rFonts w:asciiTheme="majorHAnsi" w:hAnsiTheme="majorHAnsi"/>
          <w:sz w:val="22"/>
          <w:szCs w:val="22"/>
        </w:rPr>
        <w:footnoteReference w:id="42"/>
      </w:r>
      <w:r>
        <w:rPr>
          <w:rFonts w:asciiTheme="majorHAnsi" w:hAnsiTheme="majorHAnsi"/>
          <w:sz w:val="22"/>
          <w:szCs w:val="22"/>
        </w:rPr>
        <w:t xml:space="preserve"> has spent consi</w:t>
      </w:r>
      <w:r w:rsidR="00D56CB6">
        <w:rPr>
          <w:rFonts w:asciiTheme="majorHAnsi" w:hAnsiTheme="majorHAnsi"/>
          <w:sz w:val="22"/>
          <w:szCs w:val="22"/>
        </w:rPr>
        <w:t>derable energy recently stressing</w:t>
      </w:r>
      <w:r>
        <w:rPr>
          <w:rFonts w:asciiTheme="majorHAnsi" w:hAnsiTheme="majorHAnsi"/>
          <w:sz w:val="22"/>
          <w:szCs w:val="22"/>
        </w:rPr>
        <w:t xml:space="preserve"> the normative and practical importance of getting decisions right first </w:t>
      </w:r>
      <w:r w:rsidR="003C0206">
        <w:rPr>
          <w:rFonts w:asciiTheme="majorHAnsi" w:hAnsiTheme="majorHAnsi"/>
          <w:sz w:val="22"/>
          <w:szCs w:val="22"/>
        </w:rPr>
        <w:t>time</w:t>
      </w:r>
      <w:r>
        <w:rPr>
          <w:rFonts w:asciiTheme="majorHAnsi" w:hAnsiTheme="majorHAnsi"/>
          <w:sz w:val="22"/>
          <w:szCs w:val="22"/>
        </w:rPr>
        <w:t>.</w:t>
      </w:r>
      <w:r w:rsidR="00871299">
        <w:rPr>
          <w:rFonts w:asciiTheme="majorHAnsi" w:hAnsiTheme="majorHAnsi"/>
          <w:sz w:val="22"/>
          <w:szCs w:val="22"/>
        </w:rPr>
        <w:t xml:space="preserve"> And g</w:t>
      </w:r>
      <w:r w:rsidR="00D56CB6">
        <w:rPr>
          <w:rFonts w:asciiTheme="majorHAnsi" w:hAnsiTheme="majorHAnsi"/>
          <w:sz w:val="22"/>
          <w:szCs w:val="22"/>
        </w:rPr>
        <w:t xml:space="preserve">iven the problem of drop-off (discussed above), </w:t>
      </w:r>
      <w:r w:rsidR="00871299">
        <w:rPr>
          <w:rFonts w:asciiTheme="majorHAnsi" w:hAnsiTheme="majorHAnsi"/>
          <w:sz w:val="22"/>
          <w:szCs w:val="22"/>
        </w:rPr>
        <w:t xml:space="preserve">we might suggest that </w:t>
      </w:r>
      <w:r w:rsidR="00D56CB6">
        <w:rPr>
          <w:rFonts w:asciiTheme="majorHAnsi" w:hAnsiTheme="majorHAnsi"/>
          <w:sz w:val="22"/>
          <w:szCs w:val="22"/>
        </w:rPr>
        <w:t xml:space="preserve">the major task for administrative </w:t>
      </w:r>
      <w:r w:rsidR="003C0206">
        <w:rPr>
          <w:rFonts w:asciiTheme="majorHAnsi" w:hAnsiTheme="majorHAnsi"/>
          <w:sz w:val="22"/>
          <w:szCs w:val="22"/>
        </w:rPr>
        <w:t xml:space="preserve">justice </w:t>
      </w:r>
      <w:r w:rsidR="00D56CB6">
        <w:rPr>
          <w:rFonts w:asciiTheme="majorHAnsi" w:hAnsiTheme="majorHAnsi"/>
          <w:sz w:val="22"/>
          <w:szCs w:val="22"/>
        </w:rPr>
        <w:t>scholarship</w:t>
      </w:r>
      <w:r w:rsidR="00871299">
        <w:rPr>
          <w:rFonts w:asciiTheme="majorHAnsi" w:hAnsiTheme="majorHAnsi"/>
          <w:sz w:val="22"/>
          <w:szCs w:val="22"/>
        </w:rPr>
        <w:t xml:space="preserve"> </w:t>
      </w:r>
      <w:r w:rsidR="00D56CB6">
        <w:rPr>
          <w:rFonts w:asciiTheme="majorHAnsi" w:hAnsiTheme="majorHAnsi"/>
          <w:sz w:val="22"/>
          <w:szCs w:val="22"/>
        </w:rPr>
        <w:t xml:space="preserve">is to focus more on the conditions that might sustain better decision-making for the mass of welfare applicants, and less on the </w:t>
      </w:r>
      <w:r w:rsidR="00A32757">
        <w:rPr>
          <w:rFonts w:asciiTheme="majorHAnsi" w:hAnsiTheme="majorHAnsi"/>
          <w:sz w:val="22"/>
          <w:szCs w:val="22"/>
        </w:rPr>
        <w:t>structure</w:t>
      </w:r>
      <w:r w:rsidR="00D56CB6">
        <w:rPr>
          <w:rFonts w:asciiTheme="majorHAnsi" w:hAnsiTheme="majorHAnsi"/>
          <w:sz w:val="22"/>
          <w:szCs w:val="22"/>
        </w:rPr>
        <w:t xml:space="preserve"> of redress mechanisms for the few who pursue grievances. </w:t>
      </w:r>
      <w:r w:rsidR="00C677A0">
        <w:rPr>
          <w:rFonts w:asciiTheme="majorHAnsi" w:hAnsiTheme="majorHAnsi"/>
          <w:sz w:val="22"/>
          <w:szCs w:val="22"/>
        </w:rPr>
        <w:t>Mandatory reconsideration may prove to be an important technique for that policy and research agenda.</w:t>
      </w:r>
    </w:p>
    <w:p w14:paraId="4A2FF18F" w14:textId="77777777" w:rsidR="00C677A0" w:rsidRDefault="00C677A0" w:rsidP="00A218D8">
      <w:pPr>
        <w:rPr>
          <w:rFonts w:asciiTheme="majorHAnsi" w:hAnsiTheme="majorHAnsi"/>
          <w:sz w:val="22"/>
          <w:szCs w:val="22"/>
        </w:rPr>
      </w:pPr>
    </w:p>
    <w:p w14:paraId="79AB4DD2" w14:textId="14AEA143" w:rsidR="002F6B39" w:rsidRPr="00664BD3" w:rsidRDefault="00611A39" w:rsidP="002F6B39">
      <w:pPr>
        <w:rPr>
          <w:rFonts w:asciiTheme="majorHAnsi" w:hAnsiTheme="majorHAnsi"/>
          <w:sz w:val="22"/>
          <w:szCs w:val="22"/>
        </w:rPr>
      </w:pPr>
      <w:r>
        <w:rPr>
          <w:rFonts w:asciiTheme="majorHAnsi" w:hAnsiTheme="majorHAnsi"/>
          <w:sz w:val="22"/>
          <w:szCs w:val="22"/>
        </w:rPr>
        <w:t>The</w:t>
      </w:r>
      <w:r w:rsidR="00C677A0">
        <w:rPr>
          <w:rFonts w:asciiTheme="majorHAnsi" w:hAnsiTheme="majorHAnsi"/>
          <w:sz w:val="22"/>
          <w:szCs w:val="22"/>
        </w:rPr>
        <w:t xml:space="preserve"> </w:t>
      </w:r>
      <w:r w:rsidR="000375DF">
        <w:rPr>
          <w:rFonts w:asciiTheme="majorHAnsi" w:hAnsiTheme="majorHAnsi"/>
          <w:sz w:val="22"/>
          <w:szCs w:val="22"/>
        </w:rPr>
        <w:t>italicised</w:t>
      </w:r>
      <w:r w:rsidR="00C677A0">
        <w:rPr>
          <w:rFonts w:asciiTheme="majorHAnsi" w:hAnsiTheme="majorHAnsi"/>
          <w:sz w:val="22"/>
          <w:szCs w:val="22"/>
        </w:rPr>
        <w:t xml:space="preserve"> phrase </w:t>
      </w:r>
      <w:r w:rsidR="00C677A0" w:rsidRPr="00664BD3">
        <w:rPr>
          <w:rFonts w:asciiTheme="majorHAnsi" w:hAnsiTheme="majorHAnsi"/>
          <w:sz w:val="22"/>
          <w:szCs w:val="22"/>
        </w:rPr>
        <w:t>‘even if’</w:t>
      </w:r>
      <w:r w:rsidR="00664BD3">
        <w:rPr>
          <w:rFonts w:asciiTheme="majorHAnsi" w:hAnsiTheme="majorHAnsi"/>
          <w:sz w:val="22"/>
          <w:szCs w:val="22"/>
        </w:rPr>
        <w:t xml:space="preserve"> </w:t>
      </w:r>
      <w:r w:rsidR="00C677A0" w:rsidRPr="00664BD3">
        <w:rPr>
          <w:rFonts w:asciiTheme="majorHAnsi" w:hAnsiTheme="majorHAnsi"/>
          <w:sz w:val="22"/>
          <w:szCs w:val="22"/>
        </w:rPr>
        <w:t>above</w:t>
      </w:r>
      <w:r w:rsidR="00C677A0">
        <w:rPr>
          <w:rFonts w:asciiTheme="majorHAnsi" w:hAnsiTheme="majorHAnsi"/>
          <w:sz w:val="22"/>
          <w:szCs w:val="22"/>
        </w:rPr>
        <w:t xml:space="preserve"> </w:t>
      </w:r>
      <w:r>
        <w:rPr>
          <w:rFonts w:asciiTheme="majorHAnsi" w:hAnsiTheme="majorHAnsi"/>
          <w:sz w:val="22"/>
          <w:szCs w:val="22"/>
        </w:rPr>
        <w:t>operates as a bridge between the analysis of the findings from our homelessness research projects</w:t>
      </w:r>
      <w:r w:rsidR="0009205F">
        <w:rPr>
          <w:rFonts w:asciiTheme="majorHAnsi" w:hAnsiTheme="majorHAnsi"/>
          <w:sz w:val="22"/>
          <w:szCs w:val="22"/>
        </w:rPr>
        <w:t xml:space="preserve"> </w:t>
      </w:r>
      <w:r>
        <w:rPr>
          <w:rFonts w:asciiTheme="majorHAnsi" w:hAnsiTheme="majorHAnsi"/>
          <w:sz w:val="22"/>
          <w:szCs w:val="22"/>
        </w:rPr>
        <w:t>and</w:t>
      </w:r>
      <w:r w:rsidR="0009205F">
        <w:rPr>
          <w:rFonts w:asciiTheme="majorHAnsi" w:hAnsiTheme="majorHAnsi"/>
          <w:sz w:val="22"/>
          <w:szCs w:val="22"/>
        </w:rPr>
        <w:t xml:space="preserve"> </w:t>
      </w:r>
      <w:r w:rsidR="00853D3E">
        <w:rPr>
          <w:rFonts w:asciiTheme="majorHAnsi" w:hAnsiTheme="majorHAnsi"/>
          <w:sz w:val="22"/>
          <w:szCs w:val="22"/>
        </w:rPr>
        <w:t>the</w:t>
      </w:r>
      <w:r w:rsidR="0009205F">
        <w:rPr>
          <w:rFonts w:asciiTheme="majorHAnsi" w:hAnsiTheme="majorHAnsi"/>
          <w:sz w:val="22"/>
          <w:szCs w:val="22"/>
        </w:rPr>
        <w:t xml:space="preserve"> next </w:t>
      </w:r>
      <w:r w:rsidR="00853D3E">
        <w:rPr>
          <w:rFonts w:asciiTheme="majorHAnsi" w:hAnsiTheme="majorHAnsi"/>
          <w:sz w:val="22"/>
          <w:szCs w:val="22"/>
        </w:rPr>
        <w:t xml:space="preserve">section of the article, which </w:t>
      </w:r>
      <w:r>
        <w:rPr>
          <w:rFonts w:asciiTheme="majorHAnsi" w:hAnsiTheme="majorHAnsi"/>
          <w:sz w:val="22"/>
          <w:szCs w:val="22"/>
        </w:rPr>
        <w:t>build</w:t>
      </w:r>
      <w:r w:rsidR="008E194D">
        <w:rPr>
          <w:rFonts w:asciiTheme="majorHAnsi" w:hAnsiTheme="majorHAnsi"/>
          <w:sz w:val="22"/>
          <w:szCs w:val="22"/>
        </w:rPr>
        <w:t>s</w:t>
      </w:r>
      <w:r>
        <w:rPr>
          <w:rFonts w:asciiTheme="majorHAnsi" w:hAnsiTheme="majorHAnsi"/>
          <w:sz w:val="22"/>
          <w:szCs w:val="22"/>
        </w:rPr>
        <w:t xml:space="preserve"> on but </w:t>
      </w:r>
      <w:r w:rsidR="00853D3E">
        <w:rPr>
          <w:rFonts w:asciiTheme="majorHAnsi" w:hAnsiTheme="majorHAnsi"/>
          <w:sz w:val="22"/>
          <w:szCs w:val="22"/>
        </w:rPr>
        <w:t>moves bey</w:t>
      </w:r>
      <w:r>
        <w:rPr>
          <w:rFonts w:asciiTheme="majorHAnsi" w:hAnsiTheme="majorHAnsi"/>
          <w:sz w:val="22"/>
          <w:szCs w:val="22"/>
        </w:rPr>
        <w:t>ond our empirical findings.</w:t>
      </w:r>
      <w:r w:rsidR="0009205F">
        <w:rPr>
          <w:rFonts w:asciiTheme="majorHAnsi" w:hAnsiTheme="majorHAnsi"/>
          <w:sz w:val="22"/>
          <w:szCs w:val="22"/>
        </w:rPr>
        <w:t xml:space="preserve"> </w:t>
      </w:r>
      <w:r>
        <w:rPr>
          <w:rFonts w:asciiTheme="majorHAnsi" w:hAnsiTheme="majorHAnsi"/>
          <w:sz w:val="22"/>
          <w:szCs w:val="22"/>
        </w:rPr>
        <w:t>Our argument will be that, irrespective of its potential role in improving the quality of initial decision-making,</w:t>
      </w:r>
      <w:r w:rsidR="00C677A0">
        <w:rPr>
          <w:rFonts w:asciiTheme="majorHAnsi" w:hAnsiTheme="majorHAnsi"/>
          <w:sz w:val="22"/>
          <w:szCs w:val="22"/>
        </w:rPr>
        <w:t xml:space="preserve"> </w:t>
      </w:r>
      <w:r>
        <w:rPr>
          <w:rFonts w:asciiTheme="majorHAnsi" w:hAnsiTheme="majorHAnsi"/>
          <w:sz w:val="22"/>
          <w:szCs w:val="22"/>
        </w:rPr>
        <w:t xml:space="preserve">we should be careful about presuming that </w:t>
      </w:r>
      <w:r w:rsidR="00C677A0">
        <w:rPr>
          <w:rFonts w:asciiTheme="majorHAnsi" w:hAnsiTheme="majorHAnsi"/>
          <w:sz w:val="22"/>
          <w:szCs w:val="22"/>
        </w:rPr>
        <w:t xml:space="preserve">mandatory reconsideration </w:t>
      </w:r>
      <w:r w:rsidR="00664BD3" w:rsidRPr="0078056E">
        <w:rPr>
          <w:rFonts w:asciiTheme="majorHAnsi" w:hAnsiTheme="majorHAnsi"/>
          <w:i/>
          <w:sz w:val="22"/>
          <w:szCs w:val="22"/>
        </w:rPr>
        <w:t>necessarily</w:t>
      </w:r>
      <w:r w:rsidR="00664BD3">
        <w:rPr>
          <w:rFonts w:asciiTheme="majorHAnsi" w:hAnsiTheme="majorHAnsi"/>
          <w:sz w:val="22"/>
          <w:szCs w:val="22"/>
        </w:rPr>
        <w:t xml:space="preserve"> fails as a form of legal accountability</w:t>
      </w:r>
      <w:r>
        <w:rPr>
          <w:rFonts w:asciiTheme="majorHAnsi" w:hAnsiTheme="majorHAnsi"/>
          <w:sz w:val="22"/>
          <w:szCs w:val="22"/>
        </w:rPr>
        <w:t xml:space="preserve"> for individual welfare applicants</w:t>
      </w:r>
      <w:r w:rsidR="00664BD3">
        <w:rPr>
          <w:rFonts w:asciiTheme="majorHAnsi" w:hAnsiTheme="majorHAnsi"/>
          <w:sz w:val="22"/>
          <w:szCs w:val="22"/>
        </w:rPr>
        <w:t xml:space="preserve">. </w:t>
      </w:r>
    </w:p>
    <w:p w14:paraId="74A119F7" w14:textId="77777777" w:rsidR="00664BD3" w:rsidRDefault="00664BD3" w:rsidP="00B042D2">
      <w:pPr>
        <w:pStyle w:val="Heading1"/>
      </w:pPr>
      <w:r>
        <w:t>The Universe of Administrative Wrongs</w:t>
      </w:r>
    </w:p>
    <w:p w14:paraId="4DC0F3D4" w14:textId="3656A626" w:rsidR="00611A39" w:rsidRDefault="00611A39" w:rsidP="00611A39">
      <w:pPr>
        <w:rPr>
          <w:rFonts w:asciiTheme="majorHAnsi" w:hAnsiTheme="majorHAnsi"/>
          <w:sz w:val="22"/>
          <w:szCs w:val="22"/>
        </w:rPr>
      </w:pPr>
      <w:r>
        <w:rPr>
          <w:rFonts w:asciiTheme="majorHAnsi" w:hAnsiTheme="majorHAnsi"/>
          <w:sz w:val="22"/>
          <w:szCs w:val="22"/>
        </w:rPr>
        <w:t xml:space="preserve">To substantiate </w:t>
      </w:r>
      <w:r w:rsidR="008E194D">
        <w:rPr>
          <w:rFonts w:asciiTheme="majorHAnsi" w:hAnsiTheme="majorHAnsi"/>
          <w:sz w:val="22"/>
          <w:szCs w:val="22"/>
        </w:rPr>
        <w:t>this</w:t>
      </w:r>
      <w:r>
        <w:rPr>
          <w:rFonts w:asciiTheme="majorHAnsi" w:hAnsiTheme="majorHAnsi"/>
          <w:sz w:val="22"/>
          <w:szCs w:val="22"/>
        </w:rPr>
        <w:t xml:space="preserve"> assertion, it may be helpful to think about the role of reconsideration as a response to administrative wrongs; and, in turn, it may be helpful to </w:t>
      </w:r>
      <w:r w:rsidR="00E71830">
        <w:rPr>
          <w:rFonts w:asciiTheme="majorHAnsi" w:hAnsiTheme="majorHAnsi"/>
          <w:sz w:val="22"/>
          <w:szCs w:val="22"/>
        </w:rPr>
        <w:t>‘</w:t>
      </w:r>
      <w:r>
        <w:rPr>
          <w:rFonts w:asciiTheme="majorHAnsi" w:hAnsiTheme="majorHAnsi"/>
          <w:sz w:val="22"/>
          <w:szCs w:val="22"/>
        </w:rPr>
        <w:t>zoom out</w:t>
      </w:r>
      <w:r w:rsidR="00E71830">
        <w:rPr>
          <w:rFonts w:asciiTheme="majorHAnsi" w:hAnsiTheme="majorHAnsi"/>
          <w:sz w:val="22"/>
          <w:szCs w:val="22"/>
        </w:rPr>
        <w:t>’</w:t>
      </w:r>
      <w:r>
        <w:rPr>
          <w:rFonts w:asciiTheme="majorHAnsi" w:hAnsiTheme="majorHAnsi"/>
          <w:sz w:val="22"/>
          <w:szCs w:val="22"/>
        </w:rPr>
        <w:t xml:space="preserve"> and consider the universe of administrative wrongs that makes up the subject of administrative law.</w:t>
      </w:r>
    </w:p>
    <w:p w14:paraId="7E56D90A" w14:textId="77777777" w:rsidR="00611A39" w:rsidRPr="00664BD3" w:rsidRDefault="00611A39" w:rsidP="00611A39">
      <w:pPr>
        <w:rPr>
          <w:rFonts w:asciiTheme="majorHAnsi" w:hAnsiTheme="majorHAnsi"/>
          <w:sz w:val="22"/>
          <w:szCs w:val="22"/>
        </w:rPr>
      </w:pPr>
    </w:p>
    <w:p w14:paraId="5265D557" w14:textId="51DA6966" w:rsidR="00145163" w:rsidRDefault="00664BD3" w:rsidP="00AA42A8">
      <w:pPr>
        <w:rPr>
          <w:rFonts w:asciiTheme="majorHAnsi" w:hAnsiTheme="majorHAnsi"/>
          <w:sz w:val="22"/>
          <w:szCs w:val="22"/>
        </w:rPr>
      </w:pPr>
      <w:r>
        <w:rPr>
          <w:rFonts w:asciiTheme="majorHAnsi" w:hAnsiTheme="majorHAnsi"/>
          <w:sz w:val="22"/>
          <w:szCs w:val="22"/>
        </w:rPr>
        <w:t>Craig has recently given an interesting historical account of the foundations of administrative law.</w:t>
      </w:r>
      <w:r w:rsidR="004C002C">
        <w:rPr>
          <w:rStyle w:val="FootnoteReference"/>
          <w:rFonts w:asciiTheme="majorHAnsi" w:hAnsiTheme="majorHAnsi"/>
          <w:sz w:val="22"/>
          <w:szCs w:val="22"/>
        </w:rPr>
        <w:footnoteReference w:id="43"/>
      </w:r>
      <w:r>
        <w:rPr>
          <w:rFonts w:asciiTheme="majorHAnsi" w:hAnsiTheme="majorHAnsi"/>
          <w:sz w:val="22"/>
          <w:szCs w:val="22"/>
        </w:rPr>
        <w:t xml:space="preserve"> It demonstrates that, for far longer than many of us imagined, there has been an administrative law concerned with what we might loosely term the ‘legality’ of administrative decisions – making decisions within jurisdiction; using discretion appropriately; observing due process</w:t>
      </w:r>
      <w:r w:rsidR="000176CB">
        <w:rPr>
          <w:rFonts w:asciiTheme="majorHAnsi" w:hAnsiTheme="majorHAnsi"/>
          <w:sz w:val="22"/>
          <w:szCs w:val="22"/>
        </w:rPr>
        <w:t xml:space="preserve">; and the protection of basic rights. </w:t>
      </w:r>
    </w:p>
    <w:p w14:paraId="4D1903FD" w14:textId="77777777" w:rsidR="000176CB" w:rsidRDefault="000176CB" w:rsidP="00AA42A8">
      <w:pPr>
        <w:rPr>
          <w:rFonts w:asciiTheme="majorHAnsi" w:hAnsiTheme="majorHAnsi"/>
          <w:sz w:val="22"/>
          <w:szCs w:val="22"/>
        </w:rPr>
      </w:pPr>
    </w:p>
    <w:p w14:paraId="53BAE28A" w14:textId="294F5590" w:rsidR="000176CB" w:rsidRDefault="000176CB" w:rsidP="00AA42A8">
      <w:pPr>
        <w:rPr>
          <w:rFonts w:asciiTheme="majorHAnsi" w:hAnsiTheme="majorHAnsi"/>
          <w:sz w:val="22"/>
          <w:szCs w:val="22"/>
        </w:rPr>
      </w:pPr>
      <w:r>
        <w:rPr>
          <w:rFonts w:asciiTheme="majorHAnsi" w:hAnsiTheme="majorHAnsi"/>
          <w:sz w:val="22"/>
          <w:szCs w:val="22"/>
        </w:rPr>
        <w:t>More recently</w:t>
      </w:r>
      <w:r w:rsidR="00D1627A">
        <w:rPr>
          <w:rFonts w:asciiTheme="majorHAnsi" w:hAnsiTheme="majorHAnsi"/>
          <w:sz w:val="22"/>
          <w:szCs w:val="22"/>
        </w:rPr>
        <w:t xml:space="preserve"> in historical terms</w:t>
      </w:r>
      <w:r>
        <w:rPr>
          <w:rFonts w:asciiTheme="majorHAnsi" w:hAnsiTheme="majorHAnsi"/>
          <w:sz w:val="22"/>
          <w:szCs w:val="22"/>
        </w:rPr>
        <w:t>, as Stebbins</w:t>
      </w:r>
      <w:r w:rsidR="004C002C">
        <w:rPr>
          <w:rStyle w:val="FootnoteReference"/>
          <w:rFonts w:asciiTheme="majorHAnsi" w:hAnsiTheme="majorHAnsi"/>
          <w:sz w:val="22"/>
          <w:szCs w:val="22"/>
        </w:rPr>
        <w:footnoteReference w:id="44"/>
      </w:r>
      <w:r>
        <w:rPr>
          <w:rFonts w:asciiTheme="majorHAnsi" w:hAnsiTheme="majorHAnsi"/>
          <w:sz w:val="22"/>
          <w:szCs w:val="22"/>
        </w:rPr>
        <w:t xml:space="preserve"> and Arthurs</w:t>
      </w:r>
      <w:r w:rsidR="00D94BFF">
        <w:rPr>
          <w:rStyle w:val="FootnoteReference"/>
          <w:rFonts w:asciiTheme="majorHAnsi" w:hAnsiTheme="majorHAnsi"/>
          <w:sz w:val="22"/>
          <w:szCs w:val="22"/>
        </w:rPr>
        <w:footnoteReference w:id="45"/>
      </w:r>
      <w:r>
        <w:rPr>
          <w:rFonts w:asciiTheme="majorHAnsi" w:hAnsiTheme="majorHAnsi"/>
          <w:sz w:val="22"/>
          <w:szCs w:val="22"/>
        </w:rPr>
        <w:t xml:space="preserve"> have </w:t>
      </w:r>
      <w:r w:rsidR="00200EB6">
        <w:rPr>
          <w:rFonts w:asciiTheme="majorHAnsi" w:hAnsiTheme="majorHAnsi"/>
          <w:sz w:val="22"/>
          <w:szCs w:val="22"/>
        </w:rPr>
        <w:t xml:space="preserve">separately </w:t>
      </w:r>
      <w:r>
        <w:rPr>
          <w:rFonts w:asciiTheme="majorHAnsi" w:hAnsiTheme="majorHAnsi"/>
          <w:sz w:val="22"/>
          <w:szCs w:val="22"/>
        </w:rPr>
        <w:t>demonstrated, as our system of administrative government</w:t>
      </w:r>
      <w:r w:rsidR="003D0F97" w:rsidRPr="003D0F97">
        <w:rPr>
          <w:rFonts w:asciiTheme="majorHAnsi" w:hAnsiTheme="majorHAnsi"/>
          <w:sz w:val="22"/>
          <w:szCs w:val="22"/>
        </w:rPr>
        <w:t xml:space="preserve"> </w:t>
      </w:r>
      <w:r w:rsidR="003D0F97">
        <w:rPr>
          <w:rFonts w:asciiTheme="majorHAnsi" w:hAnsiTheme="majorHAnsi"/>
          <w:sz w:val="22"/>
          <w:szCs w:val="22"/>
        </w:rPr>
        <w:t>grew</w:t>
      </w:r>
      <w:r>
        <w:rPr>
          <w:rFonts w:asciiTheme="majorHAnsi" w:hAnsiTheme="majorHAnsi"/>
          <w:sz w:val="22"/>
          <w:szCs w:val="22"/>
        </w:rPr>
        <w:t xml:space="preserve">, including the </w:t>
      </w:r>
      <w:r w:rsidR="003D0F97">
        <w:rPr>
          <w:rFonts w:asciiTheme="majorHAnsi" w:hAnsiTheme="majorHAnsi"/>
          <w:sz w:val="22"/>
          <w:szCs w:val="22"/>
        </w:rPr>
        <w:t xml:space="preserve">growth of </w:t>
      </w:r>
      <w:r w:rsidR="00DD433A">
        <w:rPr>
          <w:rFonts w:asciiTheme="majorHAnsi" w:hAnsiTheme="majorHAnsi"/>
          <w:sz w:val="22"/>
          <w:szCs w:val="22"/>
        </w:rPr>
        <w:t xml:space="preserve">the </w:t>
      </w:r>
      <w:r>
        <w:rPr>
          <w:rFonts w:asciiTheme="majorHAnsi" w:hAnsiTheme="majorHAnsi"/>
          <w:sz w:val="22"/>
          <w:szCs w:val="22"/>
        </w:rPr>
        <w:t xml:space="preserve">welfare state, so our system of administrative law developed a concern for creating ways in which citizens could trigger a </w:t>
      </w:r>
      <w:r w:rsidR="003D0F97">
        <w:rPr>
          <w:rFonts w:asciiTheme="majorHAnsi" w:hAnsiTheme="majorHAnsi"/>
          <w:sz w:val="22"/>
          <w:szCs w:val="22"/>
        </w:rPr>
        <w:t xml:space="preserve">formal </w:t>
      </w:r>
      <w:r>
        <w:rPr>
          <w:rFonts w:asciiTheme="majorHAnsi" w:hAnsiTheme="majorHAnsi"/>
          <w:sz w:val="22"/>
          <w:szCs w:val="22"/>
        </w:rPr>
        <w:t>check on the substantive correctness of administrative decisions.</w:t>
      </w:r>
      <w:r w:rsidR="0003502C">
        <w:rPr>
          <w:rStyle w:val="FootnoteReference"/>
          <w:rFonts w:asciiTheme="majorHAnsi" w:hAnsiTheme="majorHAnsi"/>
          <w:sz w:val="22"/>
          <w:szCs w:val="22"/>
        </w:rPr>
        <w:footnoteReference w:id="46"/>
      </w:r>
      <w:r>
        <w:rPr>
          <w:rFonts w:asciiTheme="majorHAnsi" w:hAnsiTheme="majorHAnsi"/>
          <w:sz w:val="22"/>
          <w:szCs w:val="22"/>
        </w:rPr>
        <w:t xml:space="preserve"> Unlike the older legality review</w:t>
      </w:r>
      <w:r w:rsidR="003D0F97">
        <w:rPr>
          <w:rFonts w:asciiTheme="majorHAnsi" w:hAnsiTheme="majorHAnsi"/>
          <w:sz w:val="22"/>
          <w:szCs w:val="22"/>
        </w:rPr>
        <w:t>,</w:t>
      </w:r>
      <w:r w:rsidR="005051AC">
        <w:rPr>
          <w:rFonts w:asciiTheme="majorHAnsi" w:hAnsiTheme="majorHAnsi"/>
          <w:sz w:val="22"/>
          <w:szCs w:val="22"/>
        </w:rPr>
        <w:t xml:space="preserve"> which constitutionally eschews</w:t>
      </w:r>
      <w:r>
        <w:rPr>
          <w:rFonts w:asciiTheme="majorHAnsi" w:hAnsiTheme="majorHAnsi"/>
          <w:sz w:val="22"/>
          <w:szCs w:val="22"/>
        </w:rPr>
        <w:t xml:space="preserve"> a consideration of the merits </w:t>
      </w:r>
      <w:r>
        <w:rPr>
          <w:rFonts w:asciiTheme="majorHAnsi" w:hAnsiTheme="majorHAnsi"/>
          <w:sz w:val="22"/>
          <w:szCs w:val="22"/>
        </w:rPr>
        <w:lastRenderedPageBreak/>
        <w:t xml:space="preserve">of an administrative decision, a check on substantive correctness is all about merits – a second substantive look at an initial decision </w:t>
      </w:r>
      <w:r w:rsidR="002619EB">
        <w:rPr>
          <w:rFonts w:asciiTheme="majorHAnsi" w:hAnsiTheme="majorHAnsi"/>
          <w:sz w:val="22"/>
          <w:szCs w:val="22"/>
        </w:rPr>
        <w:t>(</w:t>
      </w:r>
      <w:r w:rsidR="001004AD">
        <w:rPr>
          <w:rFonts w:asciiTheme="majorHAnsi" w:hAnsiTheme="majorHAnsi"/>
          <w:sz w:val="22"/>
          <w:szCs w:val="22"/>
        </w:rPr>
        <w:t>a rec</w:t>
      </w:r>
      <w:r w:rsidR="002619EB">
        <w:rPr>
          <w:rFonts w:asciiTheme="majorHAnsi" w:hAnsiTheme="majorHAnsi"/>
          <w:sz w:val="22"/>
          <w:szCs w:val="22"/>
        </w:rPr>
        <w:t>onsideration)</w:t>
      </w:r>
      <w:r w:rsidR="001004AD">
        <w:rPr>
          <w:rFonts w:asciiTheme="majorHAnsi" w:hAnsiTheme="majorHAnsi"/>
          <w:sz w:val="22"/>
          <w:szCs w:val="22"/>
        </w:rPr>
        <w:t xml:space="preserve"> </w:t>
      </w:r>
      <w:r>
        <w:rPr>
          <w:rFonts w:asciiTheme="majorHAnsi" w:hAnsiTheme="majorHAnsi"/>
          <w:sz w:val="22"/>
          <w:szCs w:val="22"/>
        </w:rPr>
        <w:t>to see if it should be permitted to stand.</w:t>
      </w:r>
    </w:p>
    <w:p w14:paraId="00AB5EB9" w14:textId="77777777" w:rsidR="005051AC" w:rsidRDefault="005051AC" w:rsidP="00AA42A8">
      <w:pPr>
        <w:rPr>
          <w:rFonts w:asciiTheme="majorHAnsi" w:hAnsiTheme="majorHAnsi"/>
          <w:sz w:val="22"/>
          <w:szCs w:val="22"/>
        </w:rPr>
      </w:pPr>
    </w:p>
    <w:p w14:paraId="495DA21E" w14:textId="57161292" w:rsidR="005051AC" w:rsidRDefault="005051AC" w:rsidP="00AA42A8">
      <w:pPr>
        <w:rPr>
          <w:rFonts w:asciiTheme="majorHAnsi" w:hAnsiTheme="majorHAnsi"/>
          <w:sz w:val="22"/>
          <w:szCs w:val="22"/>
        </w:rPr>
      </w:pPr>
      <w:r>
        <w:rPr>
          <w:rFonts w:asciiTheme="majorHAnsi" w:hAnsiTheme="majorHAnsi"/>
          <w:sz w:val="22"/>
          <w:szCs w:val="22"/>
        </w:rPr>
        <w:t xml:space="preserve">More recently still, first in relation to central government, then </w:t>
      </w:r>
      <w:r w:rsidR="00D96492">
        <w:rPr>
          <w:rFonts w:asciiTheme="majorHAnsi" w:hAnsiTheme="majorHAnsi"/>
          <w:sz w:val="22"/>
          <w:szCs w:val="22"/>
        </w:rPr>
        <w:t>in relation to local government</w:t>
      </w:r>
      <w:r>
        <w:rPr>
          <w:rFonts w:asciiTheme="majorHAnsi" w:hAnsiTheme="majorHAnsi"/>
          <w:sz w:val="22"/>
          <w:szCs w:val="22"/>
        </w:rPr>
        <w:t xml:space="preserve"> </w:t>
      </w:r>
      <w:r w:rsidR="00D96492">
        <w:rPr>
          <w:rFonts w:asciiTheme="majorHAnsi" w:hAnsiTheme="majorHAnsi"/>
          <w:sz w:val="22"/>
          <w:szCs w:val="22"/>
        </w:rPr>
        <w:t>(</w:t>
      </w:r>
      <w:r>
        <w:rPr>
          <w:rFonts w:asciiTheme="majorHAnsi" w:hAnsiTheme="majorHAnsi"/>
          <w:sz w:val="22"/>
          <w:szCs w:val="22"/>
        </w:rPr>
        <w:t>and from there to almost everything else</w:t>
      </w:r>
      <w:r w:rsidR="00D96492">
        <w:rPr>
          <w:rFonts w:asciiTheme="majorHAnsi" w:hAnsiTheme="majorHAnsi"/>
          <w:sz w:val="22"/>
          <w:szCs w:val="22"/>
        </w:rPr>
        <w:t>)</w:t>
      </w:r>
      <w:r>
        <w:rPr>
          <w:rFonts w:asciiTheme="majorHAnsi" w:hAnsiTheme="majorHAnsi"/>
          <w:sz w:val="22"/>
          <w:szCs w:val="22"/>
        </w:rPr>
        <w:t>, we have seen the development of maladministration as a third basic form of administrative wrong.</w:t>
      </w:r>
      <w:r w:rsidR="005F7C03">
        <w:rPr>
          <w:rStyle w:val="FootnoteReference"/>
          <w:rFonts w:asciiTheme="majorHAnsi" w:hAnsiTheme="majorHAnsi"/>
          <w:sz w:val="22"/>
          <w:szCs w:val="22"/>
        </w:rPr>
        <w:footnoteReference w:id="47"/>
      </w:r>
      <w:r w:rsidR="003D0F97">
        <w:rPr>
          <w:rFonts w:asciiTheme="majorHAnsi" w:hAnsiTheme="majorHAnsi"/>
          <w:sz w:val="22"/>
          <w:szCs w:val="22"/>
        </w:rPr>
        <w:t xml:space="preserve"> </w:t>
      </w:r>
    </w:p>
    <w:p w14:paraId="56C3834D" w14:textId="77777777" w:rsidR="003D0F97" w:rsidRDefault="003D0F97" w:rsidP="00AA42A8">
      <w:pPr>
        <w:rPr>
          <w:rFonts w:asciiTheme="majorHAnsi" w:hAnsiTheme="majorHAnsi"/>
          <w:sz w:val="22"/>
          <w:szCs w:val="22"/>
        </w:rPr>
      </w:pPr>
    </w:p>
    <w:p w14:paraId="36B1E275" w14:textId="079EBA00" w:rsidR="003D0F97" w:rsidRDefault="003D0F97" w:rsidP="00AA42A8">
      <w:pPr>
        <w:rPr>
          <w:rFonts w:asciiTheme="majorHAnsi" w:hAnsiTheme="majorHAnsi"/>
          <w:sz w:val="22"/>
          <w:szCs w:val="22"/>
        </w:rPr>
      </w:pPr>
      <w:r>
        <w:rPr>
          <w:rFonts w:asciiTheme="majorHAnsi" w:hAnsiTheme="majorHAnsi"/>
          <w:sz w:val="22"/>
          <w:szCs w:val="22"/>
        </w:rPr>
        <w:t>In this way, we might present an ideal typical image of the universe of administrative wrongs:</w:t>
      </w:r>
    </w:p>
    <w:p w14:paraId="31D1DF43" w14:textId="77777777" w:rsidR="00D96492" w:rsidRDefault="00D96492" w:rsidP="00AA42A8">
      <w:pPr>
        <w:rPr>
          <w:rFonts w:asciiTheme="majorHAnsi" w:hAnsiTheme="majorHAnsi"/>
          <w:sz w:val="22"/>
          <w:szCs w:val="22"/>
        </w:rPr>
      </w:pPr>
    </w:p>
    <w:p w14:paraId="31B30298" w14:textId="3B773F1C" w:rsidR="00D96492" w:rsidRDefault="003D0F97" w:rsidP="00AA42A8">
      <w:pPr>
        <w:rPr>
          <w:rFonts w:asciiTheme="majorHAnsi" w:hAnsiTheme="majorHAnsi"/>
          <w:b/>
          <w:sz w:val="20"/>
          <w:szCs w:val="20"/>
        </w:rPr>
      </w:pPr>
      <w:r>
        <w:rPr>
          <w:rFonts w:asciiTheme="majorHAnsi" w:hAnsiTheme="majorHAnsi"/>
          <w:b/>
          <w:sz w:val="20"/>
          <w:szCs w:val="20"/>
        </w:rPr>
        <w:t>Figure 2: The Universe of Administrative W</w:t>
      </w:r>
      <w:r w:rsidRPr="003D0F97">
        <w:rPr>
          <w:rFonts w:asciiTheme="majorHAnsi" w:hAnsiTheme="majorHAnsi"/>
          <w:b/>
          <w:sz w:val="20"/>
          <w:szCs w:val="20"/>
        </w:rPr>
        <w:t xml:space="preserve">rongs </w:t>
      </w:r>
    </w:p>
    <w:p w14:paraId="5B6EE24F" w14:textId="2B83F0EA" w:rsidR="00D96492" w:rsidRDefault="00D96492" w:rsidP="00AA42A8">
      <w:pPr>
        <w:rPr>
          <w:rFonts w:asciiTheme="majorHAnsi" w:hAnsiTheme="majorHAnsi"/>
          <w:b/>
          <w:sz w:val="20"/>
          <w:szCs w:val="20"/>
        </w:rPr>
      </w:pPr>
      <w:r w:rsidRPr="003D0F97">
        <w:rPr>
          <w:rFonts w:asciiTheme="majorHAnsi" w:hAnsiTheme="majorHAnsi"/>
          <w:b/>
          <w:sz w:val="20"/>
          <w:szCs w:val="20"/>
          <w:lang w:val="en-US"/>
        </w:rPr>
        <w:drawing>
          <wp:inline distT="0" distB="0" distL="0" distR="0" wp14:anchorId="7FBE04AA" wp14:editId="12A88755">
            <wp:extent cx="5270500" cy="2747645"/>
            <wp:effectExtent l="0" t="25400" r="0" b="2095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7ECC9CA" w14:textId="77777777" w:rsidR="00D96492" w:rsidRDefault="00D96492" w:rsidP="00AA42A8">
      <w:pPr>
        <w:rPr>
          <w:rFonts w:asciiTheme="majorHAnsi" w:hAnsiTheme="majorHAnsi"/>
          <w:b/>
          <w:sz w:val="20"/>
          <w:szCs w:val="20"/>
        </w:rPr>
      </w:pPr>
    </w:p>
    <w:p w14:paraId="62062319" w14:textId="77777777" w:rsidR="00D96492" w:rsidRDefault="00D96492" w:rsidP="00AA42A8">
      <w:pPr>
        <w:rPr>
          <w:rFonts w:asciiTheme="majorHAnsi" w:hAnsiTheme="majorHAnsi"/>
          <w:b/>
          <w:sz w:val="20"/>
          <w:szCs w:val="20"/>
        </w:rPr>
      </w:pPr>
    </w:p>
    <w:p w14:paraId="787AD2DA" w14:textId="60FEF164" w:rsidR="004D580C" w:rsidRDefault="00D1627A" w:rsidP="00AA42A8">
      <w:pPr>
        <w:rPr>
          <w:rFonts w:asciiTheme="majorHAnsi" w:hAnsiTheme="majorHAnsi"/>
          <w:sz w:val="22"/>
          <w:szCs w:val="22"/>
        </w:rPr>
      </w:pPr>
      <w:r>
        <w:rPr>
          <w:rFonts w:asciiTheme="majorHAnsi" w:hAnsiTheme="majorHAnsi"/>
          <w:sz w:val="22"/>
          <w:szCs w:val="22"/>
        </w:rPr>
        <w:t>This ideal typical account</w:t>
      </w:r>
      <w:r w:rsidR="00215EA6">
        <w:rPr>
          <w:rFonts w:asciiTheme="majorHAnsi" w:hAnsiTheme="majorHAnsi"/>
          <w:sz w:val="22"/>
          <w:szCs w:val="22"/>
        </w:rPr>
        <w:t xml:space="preserve"> </w:t>
      </w:r>
      <w:r>
        <w:rPr>
          <w:rFonts w:asciiTheme="majorHAnsi" w:hAnsiTheme="majorHAnsi"/>
          <w:sz w:val="22"/>
          <w:szCs w:val="22"/>
        </w:rPr>
        <w:t xml:space="preserve">deliberately focuses on administrative wrongs, rather than on </w:t>
      </w:r>
      <w:r w:rsidR="00712EFE">
        <w:rPr>
          <w:rFonts w:asciiTheme="majorHAnsi" w:hAnsiTheme="majorHAnsi"/>
          <w:sz w:val="22"/>
          <w:szCs w:val="22"/>
        </w:rPr>
        <w:t>redress mechanisms</w:t>
      </w:r>
      <w:r>
        <w:rPr>
          <w:rFonts w:asciiTheme="majorHAnsi" w:hAnsiTheme="majorHAnsi"/>
          <w:sz w:val="22"/>
          <w:szCs w:val="22"/>
        </w:rPr>
        <w:t>.</w:t>
      </w:r>
      <w:r w:rsidR="00712EFE">
        <w:rPr>
          <w:rStyle w:val="FootnoteReference"/>
          <w:rFonts w:asciiTheme="majorHAnsi" w:hAnsiTheme="majorHAnsi"/>
          <w:sz w:val="22"/>
          <w:szCs w:val="22"/>
        </w:rPr>
        <w:footnoteReference w:id="48"/>
      </w:r>
      <w:r w:rsidR="00623289">
        <w:rPr>
          <w:rFonts w:asciiTheme="majorHAnsi" w:hAnsiTheme="majorHAnsi"/>
          <w:sz w:val="22"/>
          <w:szCs w:val="22"/>
        </w:rPr>
        <w:t xml:space="preserve"> It is possible, of course, to suggest that certain </w:t>
      </w:r>
      <w:r w:rsidR="00712EFE">
        <w:rPr>
          <w:rFonts w:asciiTheme="majorHAnsi" w:hAnsiTheme="majorHAnsi"/>
          <w:sz w:val="22"/>
          <w:szCs w:val="22"/>
        </w:rPr>
        <w:t>redress mechanisms</w:t>
      </w:r>
      <w:r w:rsidR="00623289">
        <w:rPr>
          <w:rFonts w:asciiTheme="majorHAnsi" w:hAnsiTheme="majorHAnsi"/>
          <w:sz w:val="22"/>
          <w:szCs w:val="22"/>
        </w:rPr>
        <w:t xml:space="preserve"> might be thought of as </w:t>
      </w:r>
      <w:r w:rsidR="008E2C1B">
        <w:rPr>
          <w:rFonts w:asciiTheme="majorHAnsi" w:hAnsiTheme="majorHAnsi"/>
          <w:sz w:val="22"/>
          <w:szCs w:val="22"/>
        </w:rPr>
        <w:t xml:space="preserve">being </w:t>
      </w:r>
      <w:r w:rsidR="00623289" w:rsidRPr="003D16A9">
        <w:rPr>
          <w:rFonts w:asciiTheme="majorHAnsi" w:hAnsiTheme="majorHAnsi"/>
          <w:i/>
          <w:sz w:val="22"/>
          <w:szCs w:val="22"/>
        </w:rPr>
        <w:t>characteristic</w:t>
      </w:r>
      <w:r w:rsidR="00623289">
        <w:rPr>
          <w:rFonts w:asciiTheme="majorHAnsi" w:hAnsiTheme="majorHAnsi"/>
          <w:sz w:val="22"/>
          <w:szCs w:val="22"/>
        </w:rPr>
        <w:t xml:space="preserve"> of certain wrongs.</w:t>
      </w:r>
      <w:r w:rsidR="00DD433A">
        <w:rPr>
          <w:rStyle w:val="FootnoteReference"/>
          <w:rFonts w:asciiTheme="majorHAnsi" w:hAnsiTheme="majorHAnsi"/>
          <w:sz w:val="22"/>
          <w:szCs w:val="22"/>
        </w:rPr>
        <w:footnoteReference w:id="49"/>
      </w:r>
      <w:r w:rsidR="00623289">
        <w:rPr>
          <w:rFonts w:asciiTheme="majorHAnsi" w:hAnsiTheme="majorHAnsi"/>
          <w:sz w:val="22"/>
          <w:szCs w:val="22"/>
        </w:rPr>
        <w:t xml:space="preserve"> In this way, we might associate </w:t>
      </w:r>
      <w:r w:rsidR="008E2C1B">
        <w:rPr>
          <w:rFonts w:asciiTheme="majorHAnsi" w:hAnsiTheme="majorHAnsi"/>
          <w:sz w:val="22"/>
          <w:szCs w:val="22"/>
        </w:rPr>
        <w:t xml:space="preserve">the history of the common law courts with illegality, </w:t>
      </w:r>
      <w:r w:rsidR="000B7F86">
        <w:rPr>
          <w:rFonts w:asciiTheme="majorHAnsi" w:hAnsiTheme="majorHAnsi"/>
          <w:sz w:val="22"/>
          <w:szCs w:val="22"/>
        </w:rPr>
        <w:t>the development of tribunals</w:t>
      </w:r>
      <w:r w:rsidR="00623289">
        <w:rPr>
          <w:rFonts w:asciiTheme="majorHAnsi" w:hAnsiTheme="majorHAnsi"/>
          <w:sz w:val="22"/>
          <w:szCs w:val="22"/>
        </w:rPr>
        <w:t xml:space="preserve"> with substantive </w:t>
      </w:r>
      <w:r w:rsidR="00CE1EA1">
        <w:rPr>
          <w:rFonts w:asciiTheme="majorHAnsi" w:hAnsiTheme="majorHAnsi"/>
          <w:sz w:val="22"/>
          <w:szCs w:val="22"/>
        </w:rPr>
        <w:t>mistake</w:t>
      </w:r>
      <w:r w:rsidR="008E2C1B">
        <w:rPr>
          <w:rFonts w:asciiTheme="majorHAnsi" w:hAnsiTheme="majorHAnsi"/>
          <w:sz w:val="22"/>
          <w:szCs w:val="22"/>
        </w:rPr>
        <w:t>,</w:t>
      </w:r>
      <w:r w:rsidR="00623289">
        <w:rPr>
          <w:rFonts w:asciiTheme="majorHAnsi" w:hAnsiTheme="majorHAnsi"/>
          <w:sz w:val="22"/>
          <w:szCs w:val="22"/>
        </w:rPr>
        <w:t xml:space="preserve"> </w:t>
      </w:r>
      <w:r w:rsidR="008E2C1B">
        <w:rPr>
          <w:rFonts w:asciiTheme="majorHAnsi" w:hAnsiTheme="majorHAnsi"/>
          <w:sz w:val="22"/>
          <w:szCs w:val="22"/>
        </w:rPr>
        <w:t xml:space="preserve">and </w:t>
      </w:r>
      <w:r w:rsidR="00623289">
        <w:rPr>
          <w:rFonts w:asciiTheme="majorHAnsi" w:hAnsiTheme="majorHAnsi"/>
          <w:sz w:val="22"/>
          <w:szCs w:val="22"/>
        </w:rPr>
        <w:t>the development of ombudsmen with maladministration.</w:t>
      </w:r>
      <w:r w:rsidR="008E2C1B">
        <w:rPr>
          <w:rFonts w:asciiTheme="majorHAnsi" w:hAnsiTheme="majorHAnsi"/>
          <w:sz w:val="22"/>
          <w:szCs w:val="22"/>
        </w:rPr>
        <w:t xml:space="preserve"> But </w:t>
      </w:r>
      <w:r w:rsidR="002866FE">
        <w:rPr>
          <w:rFonts w:asciiTheme="majorHAnsi" w:hAnsiTheme="majorHAnsi"/>
          <w:sz w:val="22"/>
          <w:szCs w:val="22"/>
        </w:rPr>
        <w:t xml:space="preserve">while this might be true empirically, </w:t>
      </w:r>
      <w:r w:rsidR="00215EA6">
        <w:rPr>
          <w:rFonts w:asciiTheme="majorHAnsi" w:hAnsiTheme="majorHAnsi"/>
          <w:sz w:val="22"/>
          <w:szCs w:val="22"/>
        </w:rPr>
        <w:t>we must be careful not to slip from the empirical to the conceptual</w:t>
      </w:r>
      <w:r w:rsidR="00B12AC8">
        <w:rPr>
          <w:rFonts w:asciiTheme="majorHAnsi" w:hAnsiTheme="majorHAnsi"/>
          <w:sz w:val="22"/>
          <w:szCs w:val="22"/>
        </w:rPr>
        <w:t xml:space="preserve"> or the normative</w:t>
      </w:r>
      <w:r w:rsidR="002520A0">
        <w:rPr>
          <w:rFonts w:asciiTheme="majorHAnsi" w:hAnsiTheme="majorHAnsi"/>
          <w:sz w:val="22"/>
          <w:szCs w:val="22"/>
        </w:rPr>
        <w:t>.</w:t>
      </w:r>
      <w:r w:rsidR="008E2C1B">
        <w:rPr>
          <w:rFonts w:asciiTheme="majorHAnsi" w:hAnsiTheme="majorHAnsi"/>
          <w:sz w:val="22"/>
          <w:szCs w:val="22"/>
        </w:rPr>
        <w:t xml:space="preserve"> </w:t>
      </w:r>
      <w:r w:rsidR="00215EA6">
        <w:rPr>
          <w:rFonts w:asciiTheme="majorHAnsi" w:hAnsiTheme="majorHAnsi"/>
          <w:sz w:val="22"/>
          <w:szCs w:val="22"/>
        </w:rPr>
        <w:t>There is a danger, in other words,</w:t>
      </w:r>
      <w:r w:rsidR="002520A0">
        <w:rPr>
          <w:rFonts w:asciiTheme="majorHAnsi" w:hAnsiTheme="majorHAnsi"/>
          <w:sz w:val="22"/>
          <w:szCs w:val="22"/>
        </w:rPr>
        <w:t xml:space="preserve"> </w:t>
      </w:r>
      <w:r w:rsidR="00215EA6">
        <w:rPr>
          <w:rFonts w:asciiTheme="majorHAnsi" w:hAnsiTheme="majorHAnsi"/>
          <w:sz w:val="22"/>
          <w:szCs w:val="22"/>
        </w:rPr>
        <w:t>in</w:t>
      </w:r>
      <w:r w:rsidR="008E2C1B">
        <w:rPr>
          <w:rFonts w:asciiTheme="majorHAnsi" w:hAnsiTheme="majorHAnsi"/>
          <w:sz w:val="22"/>
          <w:szCs w:val="22"/>
        </w:rPr>
        <w:t xml:space="preserve"> </w:t>
      </w:r>
      <w:r w:rsidR="00215EA6">
        <w:rPr>
          <w:rFonts w:asciiTheme="majorHAnsi" w:hAnsiTheme="majorHAnsi"/>
          <w:sz w:val="22"/>
          <w:szCs w:val="22"/>
        </w:rPr>
        <w:t>presuming that</w:t>
      </w:r>
      <w:r w:rsidR="008E2C1B">
        <w:rPr>
          <w:rFonts w:asciiTheme="majorHAnsi" w:hAnsiTheme="majorHAnsi"/>
          <w:sz w:val="22"/>
          <w:szCs w:val="22"/>
        </w:rPr>
        <w:t xml:space="preserve"> certain remedies or redress forums are </w:t>
      </w:r>
      <w:r w:rsidR="008E2C1B" w:rsidRPr="003D16A9">
        <w:rPr>
          <w:rFonts w:asciiTheme="majorHAnsi" w:hAnsiTheme="majorHAnsi"/>
          <w:i/>
          <w:sz w:val="22"/>
          <w:szCs w:val="22"/>
        </w:rPr>
        <w:t>essential</w:t>
      </w:r>
      <w:r w:rsidR="008E2C1B">
        <w:rPr>
          <w:rFonts w:asciiTheme="majorHAnsi" w:hAnsiTheme="majorHAnsi"/>
          <w:sz w:val="22"/>
          <w:szCs w:val="22"/>
        </w:rPr>
        <w:t xml:space="preserve"> responses to particular</w:t>
      </w:r>
      <w:r w:rsidR="004D580C">
        <w:rPr>
          <w:rFonts w:asciiTheme="majorHAnsi" w:hAnsiTheme="majorHAnsi"/>
          <w:sz w:val="22"/>
          <w:szCs w:val="22"/>
        </w:rPr>
        <w:t xml:space="preserve"> forms of administrative wrong. </w:t>
      </w:r>
    </w:p>
    <w:p w14:paraId="334F4C99" w14:textId="77777777" w:rsidR="004D580C" w:rsidRDefault="004D580C" w:rsidP="00AA42A8">
      <w:pPr>
        <w:rPr>
          <w:rFonts w:asciiTheme="majorHAnsi" w:hAnsiTheme="majorHAnsi"/>
          <w:sz w:val="22"/>
          <w:szCs w:val="22"/>
        </w:rPr>
      </w:pPr>
    </w:p>
    <w:p w14:paraId="13A51F93" w14:textId="0CB2BF27" w:rsidR="001B0173" w:rsidRDefault="00B12AC8" w:rsidP="00AA42A8">
      <w:pPr>
        <w:rPr>
          <w:rFonts w:asciiTheme="majorHAnsi" w:hAnsiTheme="majorHAnsi"/>
          <w:sz w:val="22"/>
          <w:szCs w:val="22"/>
        </w:rPr>
      </w:pPr>
      <w:r>
        <w:rPr>
          <w:rFonts w:asciiTheme="majorHAnsi" w:hAnsiTheme="majorHAnsi"/>
          <w:sz w:val="22"/>
          <w:szCs w:val="22"/>
        </w:rPr>
        <w:lastRenderedPageBreak/>
        <w:t xml:space="preserve">The problem with slipping from the empirical to the conceptual – presuming, for example, that </w:t>
      </w:r>
      <w:r w:rsidR="008D6C60">
        <w:rPr>
          <w:rFonts w:asciiTheme="majorHAnsi" w:hAnsiTheme="majorHAnsi"/>
          <w:sz w:val="22"/>
          <w:szCs w:val="22"/>
        </w:rPr>
        <w:t xml:space="preserve">because tribunals have developed </w:t>
      </w:r>
      <w:r w:rsidR="003B5026">
        <w:rPr>
          <w:rFonts w:asciiTheme="majorHAnsi" w:hAnsiTheme="majorHAnsi"/>
          <w:sz w:val="22"/>
          <w:szCs w:val="22"/>
        </w:rPr>
        <w:t>as a check on claims of</w:t>
      </w:r>
      <w:r w:rsidR="008D6C60">
        <w:rPr>
          <w:rFonts w:asciiTheme="majorHAnsi" w:hAnsiTheme="majorHAnsi"/>
          <w:sz w:val="22"/>
          <w:szCs w:val="22"/>
        </w:rPr>
        <w:t xml:space="preserve"> substantive mistake, the concept of a tribunal must revolve around </w:t>
      </w:r>
      <w:r w:rsidR="003B5026">
        <w:rPr>
          <w:rFonts w:asciiTheme="majorHAnsi" w:hAnsiTheme="majorHAnsi"/>
          <w:sz w:val="22"/>
          <w:szCs w:val="22"/>
        </w:rPr>
        <w:t>review for</w:t>
      </w:r>
      <w:r w:rsidR="008D6C60">
        <w:rPr>
          <w:rFonts w:asciiTheme="majorHAnsi" w:hAnsiTheme="majorHAnsi"/>
          <w:sz w:val="22"/>
          <w:szCs w:val="22"/>
        </w:rPr>
        <w:t xml:space="preserve"> substantive mistake – is that, in reality, </w:t>
      </w:r>
      <w:r w:rsidR="005F0BE6">
        <w:rPr>
          <w:rFonts w:asciiTheme="majorHAnsi" w:hAnsiTheme="majorHAnsi"/>
          <w:sz w:val="22"/>
          <w:szCs w:val="22"/>
        </w:rPr>
        <w:t xml:space="preserve">the </w:t>
      </w:r>
      <w:r w:rsidR="001004AD">
        <w:rPr>
          <w:rFonts w:asciiTheme="majorHAnsi" w:hAnsiTheme="majorHAnsi"/>
          <w:sz w:val="22"/>
          <w:szCs w:val="22"/>
        </w:rPr>
        <w:t xml:space="preserve">jurisdiction of </w:t>
      </w:r>
      <w:r w:rsidR="005F0BE6">
        <w:rPr>
          <w:rFonts w:asciiTheme="majorHAnsi" w:hAnsiTheme="majorHAnsi"/>
          <w:sz w:val="22"/>
          <w:szCs w:val="22"/>
        </w:rPr>
        <w:t>redress forums may be quite mixed in practice</w:t>
      </w:r>
      <w:r w:rsidR="008D6C60">
        <w:rPr>
          <w:rFonts w:asciiTheme="majorHAnsi" w:hAnsiTheme="majorHAnsi"/>
          <w:sz w:val="22"/>
          <w:szCs w:val="22"/>
        </w:rPr>
        <w:t>.</w:t>
      </w:r>
      <w:r w:rsidR="008E194D">
        <w:rPr>
          <w:rStyle w:val="FootnoteReference"/>
          <w:rFonts w:asciiTheme="majorHAnsi" w:hAnsiTheme="majorHAnsi"/>
          <w:sz w:val="22"/>
          <w:szCs w:val="22"/>
        </w:rPr>
        <w:footnoteReference w:id="50"/>
      </w:r>
      <w:r w:rsidR="008D6C60">
        <w:rPr>
          <w:rFonts w:asciiTheme="majorHAnsi" w:hAnsiTheme="majorHAnsi"/>
          <w:sz w:val="22"/>
          <w:szCs w:val="22"/>
        </w:rPr>
        <w:t xml:space="preserve"> A single redress forum </w:t>
      </w:r>
      <w:r w:rsidR="001B0173">
        <w:rPr>
          <w:rFonts w:asciiTheme="majorHAnsi" w:hAnsiTheme="majorHAnsi"/>
          <w:sz w:val="22"/>
          <w:szCs w:val="22"/>
        </w:rPr>
        <w:t>may focus on more than one type of administrative wrong</w:t>
      </w:r>
      <w:r w:rsidR="005F0BE6">
        <w:rPr>
          <w:rFonts w:asciiTheme="majorHAnsi" w:hAnsiTheme="majorHAnsi"/>
          <w:sz w:val="22"/>
          <w:szCs w:val="22"/>
        </w:rPr>
        <w:t xml:space="preserve">. A tribunal, for example, may be able to focus both on illegality and substantive </w:t>
      </w:r>
      <w:r w:rsidR="00CE1EA1">
        <w:rPr>
          <w:rFonts w:asciiTheme="majorHAnsi" w:hAnsiTheme="majorHAnsi"/>
          <w:sz w:val="22"/>
          <w:szCs w:val="22"/>
        </w:rPr>
        <w:t>mistake</w:t>
      </w:r>
      <w:r w:rsidR="005F0BE6">
        <w:rPr>
          <w:rFonts w:asciiTheme="majorHAnsi" w:hAnsiTheme="majorHAnsi"/>
          <w:sz w:val="22"/>
          <w:szCs w:val="22"/>
        </w:rPr>
        <w:t xml:space="preserve">. </w:t>
      </w:r>
      <w:r w:rsidR="008D6C60">
        <w:rPr>
          <w:rFonts w:asciiTheme="majorHAnsi" w:hAnsiTheme="majorHAnsi"/>
          <w:sz w:val="22"/>
          <w:szCs w:val="22"/>
        </w:rPr>
        <w:t xml:space="preserve">The courts may be able to focus, to some extent, on substantive mistake as well as illegality. </w:t>
      </w:r>
      <w:r w:rsidR="005F0BE6">
        <w:rPr>
          <w:rFonts w:asciiTheme="majorHAnsi" w:hAnsiTheme="majorHAnsi"/>
          <w:sz w:val="22"/>
          <w:szCs w:val="22"/>
        </w:rPr>
        <w:t xml:space="preserve">An ombudsman may </w:t>
      </w:r>
      <w:r w:rsidR="001B0173">
        <w:rPr>
          <w:rFonts w:asciiTheme="majorHAnsi" w:hAnsiTheme="majorHAnsi"/>
          <w:sz w:val="22"/>
          <w:szCs w:val="22"/>
        </w:rPr>
        <w:t xml:space="preserve">also </w:t>
      </w:r>
      <w:r w:rsidR="005F0BE6">
        <w:rPr>
          <w:rFonts w:asciiTheme="majorHAnsi" w:hAnsiTheme="majorHAnsi"/>
          <w:sz w:val="22"/>
          <w:szCs w:val="22"/>
        </w:rPr>
        <w:t xml:space="preserve">be able to focus on </w:t>
      </w:r>
      <w:r w:rsidR="001B0173">
        <w:rPr>
          <w:rFonts w:asciiTheme="majorHAnsi" w:hAnsiTheme="majorHAnsi"/>
          <w:sz w:val="22"/>
          <w:szCs w:val="22"/>
        </w:rPr>
        <w:t xml:space="preserve">substantive mistake as well as </w:t>
      </w:r>
      <w:r w:rsidR="005F0BE6">
        <w:rPr>
          <w:rFonts w:asciiTheme="majorHAnsi" w:hAnsiTheme="majorHAnsi"/>
          <w:sz w:val="22"/>
          <w:szCs w:val="22"/>
        </w:rPr>
        <w:t>maladministration.</w:t>
      </w:r>
      <w:r w:rsidR="00215EA6">
        <w:rPr>
          <w:rFonts w:asciiTheme="majorHAnsi" w:hAnsiTheme="majorHAnsi"/>
          <w:sz w:val="22"/>
          <w:szCs w:val="22"/>
        </w:rPr>
        <w:t xml:space="preserve"> </w:t>
      </w:r>
    </w:p>
    <w:p w14:paraId="162F588C" w14:textId="77777777" w:rsidR="001B0173" w:rsidRDefault="001B0173" w:rsidP="00AA42A8">
      <w:pPr>
        <w:rPr>
          <w:rFonts w:asciiTheme="majorHAnsi" w:hAnsiTheme="majorHAnsi"/>
          <w:sz w:val="22"/>
          <w:szCs w:val="22"/>
        </w:rPr>
      </w:pPr>
    </w:p>
    <w:p w14:paraId="630CE77B" w14:textId="13CB4246" w:rsidR="005F0BE6" w:rsidRDefault="008D6C60" w:rsidP="00AA42A8">
      <w:pPr>
        <w:rPr>
          <w:rFonts w:asciiTheme="majorHAnsi" w:hAnsiTheme="majorHAnsi"/>
          <w:sz w:val="22"/>
          <w:szCs w:val="22"/>
        </w:rPr>
      </w:pPr>
      <w:r>
        <w:rPr>
          <w:rFonts w:asciiTheme="majorHAnsi" w:hAnsiTheme="majorHAnsi"/>
          <w:sz w:val="22"/>
          <w:szCs w:val="22"/>
        </w:rPr>
        <w:t>The problem with</w:t>
      </w:r>
      <w:r w:rsidR="00B12AC8">
        <w:rPr>
          <w:rFonts w:asciiTheme="majorHAnsi" w:hAnsiTheme="majorHAnsi"/>
          <w:sz w:val="22"/>
          <w:szCs w:val="22"/>
        </w:rPr>
        <w:t xml:space="preserve"> slip</w:t>
      </w:r>
      <w:r>
        <w:rPr>
          <w:rFonts w:asciiTheme="majorHAnsi" w:hAnsiTheme="majorHAnsi"/>
          <w:sz w:val="22"/>
          <w:szCs w:val="22"/>
        </w:rPr>
        <w:t>ping</w:t>
      </w:r>
      <w:r w:rsidR="00B12AC8">
        <w:rPr>
          <w:rFonts w:asciiTheme="majorHAnsi" w:hAnsiTheme="majorHAnsi"/>
          <w:sz w:val="22"/>
          <w:szCs w:val="22"/>
        </w:rPr>
        <w:t xml:space="preserve"> from the empirical to the </w:t>
      </w:r>
      <w:r>
        <w:rPr>
          <w:rFonts w:asciiTheme="majorHAnsi" w:hAnsiTheme="majorHAnsi"/>
          <w:sz w:val="22"/>
          <w:szCs w:val="22"/>
        </w:rPr>
        <w:t xml:space="preserve">normative is that the reasoning is backwards. One starts with the features of the redress forum (e.g. independence) that one associates with a particular kind of wrong (e.g., substantive mistake), and reasons that it is normatively required. Yet, </w:t>
      </w:r>
      <w:r w:rsidR="00215EA6">
        <w:rPr>
          <w:rFonts w:asciiTheme="majorHAnsi" w:hAnsiTheme="majorHAnsi"/>
          <w:sz w:val="22"/>
          <w:szCs w:val="22"/>
        </w:rPr>
        <w:t xml:space="preserve">a comparative examination across time and space </w:t>
      </w:r>
      <w:r>
        <w:rPr>
          <w:rFonts w:asciiTheme="majorHAnsi" w:hAnsiTheme="majorHAnsi"/>
          <w:sz w:val="22"/>
          <w:szCs w:val="22"/>
        </w:rPr>
        <w:t>would</w:t>
      </w:r>
      <w:r w:rsidR="00215EA6">
        <w:rPr>
          <w:rFonts w:asciiTheme="majorHAnsi" w:hAnsiTheme="majorHAnsi"/>
          <w:sz w:val="22"/>
          <w:szCs w:val="22"/>
        </w:rPr>
        <w:t xml:space="preserve"> reveal </w:t>
      </w:r>
      <w:r>
        <w:rPr>
          <w:rFonts w:asciiTheme="majorHAnsi" w:hAnsiTheme="majorHAnsi"/>
          <w:sz w:val="22"/>
          <w:szCs w:val="22"/>
        </w:rPr>
        <w:t>the variable features</w:t>
      </w:r>
      <w:r w:rsidR="008749F5">
        <w:rPr>
          <w:rFonts w:asciiTheme="majorHAnsi" w:hAnsiTheme="majorHAnsi"/>
          <w:sz w:val="22"/>
          <w:szCs w:val="22"/>
        </w:rPr>
        <w:t xml:space="preserve"> </w:t>
      </w:r>
      <w:r>
        <w:rPr>
          <w:rFonts w:asciiTheme="majorHAnsi" w:hAnsiTheme="majorHAnsi"/>
          <w:sz w:val="22"/>
          <w:szCs w:val="22"/>
        </w:rPr>
        <w:t>of</w:t>
      </w:r>
      <w:r w:rsidR="008749F5">
        <w:rPr>
          <w:rFonts w:asciiTheme="majorHAnsi" w:hAnsiTheme="majorHAnsi"/>
          <w:sz w:val="22"/>
          <w:szCs w:val="22"/>
        </w:rPr>
        <w:t xml:space="preserve"> </w:t>
      </w:r>
      <w:r w:rsidR="002619EB">
        <w:rPr>
          <w:rFonts w:asciiTheme="majorHAnsi" w:hAnsiTheme="majorHAnsi"/>
          <w:sz w:val="22"/>
          <w:szCs w:val="22"/>
        </w:rPr>
        <w:t xml:space="preserve">a </w:t>
      </w:r>
      <w:r w:rsidR="008749F5">
        <w:rPr>
          <w:rFonts w:asciiTheme="majorHAnsi" w:hAnsiTheme="majorHAnsi"/>
          <w:sz w:val="22"/>
          <w:szCs w:val="22"/>
        </w:rPr>
        <w:t>single redress forum</w:t>
      </w:r>
      <w:r w:rsidR="00215EA6">
        <w:rPr>
          <w:rFonts w:asciiTheme="majorHAnsi" w:hAnsiTheme="majorHAnsi"/>
          <w:sz w:val="22"/>
          <w:szCs w:val="22"/>
        </w:rPr>
        <w:t>.</w:t>
      </w:r>
      <w:r w:rsidR="00FB5C76">
        <w:rPr>
          <w:rFonts w:asciiTheme="majorHAnsi" w:hAnsiTheme="majorHAnsi"/>
          <w:sz w:val="22"/>
          <w:szCs w:val="22"/>
        </w:rPr>
        <w:t xml:space="preserve"> </w:t>
      </w:r>
      <w:r w:rsidR="0078056E">
        <w:rPr>
          <w:rFonts w:asciiTheme="majorHAnsi" w:hAnsiTheme="majorHAnsi"/>
          <w:sz w:val="22"/>
          <w:szCs w:val="22"/>
        </w:rPr>
        <w:t>For instance, a</w:t>
      </w:r>
      <w:r>
        <w:rPr>
          <w:rFonts w:asciiTheme="majorHAnsi" w:hAnsiTheme="majorHAnsi"/>
          <w:sz w:val="22"/>
          <w:szCs w:val="22"/>
        </w:rPr>
        <w:t>lthough UK tribunals have evolved from being part of the administration to being a part of an independent judiciary,</w:t>
      </w:r>
      <w:r w:rsidR="00C1221C">
        <w:rPr>
          <w:rStyle w:val="FootnoteReference"/>
          <w:rFonts w:asciiTheme="majorHAnsi" w:hAnsiTheme="majorHAnsi"/>
          <w:sz w:val="22"/>
          <w:szCs w:val="22"/>
        </w:rPr>
        <w:footnoteReference w:id="51"/>
      </w:r>
      <w:r>
        <w:rPr>
          <w:rFonts w:asciiTheme="majorHAnsi" w:hAnsiTheme="majorHAnsi"/>
          <w:sz w:val="22"/>
          <w:szCs w:val="22"/>
        </w:rPr>
        <w:t xml:space="preserve"> tribunals in Australia </w:t>
      </w:r>
      <w:r w:rsidR="00FB5C76">
        <w:rPr>
          <w:rFonts w:asciiTheme="majorHAnsi" w:hAnsiTheme="majorHAnsi"/>
          <w:sz w:val="22"/>
          <w:szCs w:val="22"/>
        </w:rPr>
        <w:t xml:space="preserve">have remained </w:t>
      </w:r>
      <w:r>
        <w:rPr>
          <w:rFonts w:asciiTheme="majorHAnsi" w:hAnsiTheme="majorHAnsi"/>
          <w:sz w:val="22"/>
          <w:szCs w:val="22"/>
        </w:rPr>
        <w:t xml:space="preserve">firmly </w:t>
      </w:r>
      <w:r w:rsidR="008749F5">
        <w:rPr>
          <w:rFonts w:asciiTheme="majorHAnsi" w:hAnsiTheme="majorHAnsi"/>
          <w:sz w:val="22"/>
          <w:szCs w:val="22"/>
        </w:rPr>
        <w:t>a feature</w:t>
      </w:r>
      <w:r w:rsidR="00FB5C76">
        <w:rPr>
          <w:rFonts w:asciiTheme="majorHAnsi" w:hAnsiTheme="majorHAnsi"/>
          <w:sz w:val="22"/>
          <w:szCs w:val="22"/>
        </w:rPr>
        <w:t xml:space="preserve"> of public administration. For a variety of reasons, </w:t>
      </w:r>
      <w:r w:rsidR="008749F5">
        <w:rPr>
          <w:rFonts w:asciiTheme="majorHAnsi" w:hAnsiTheme="majorHAnsi"/>
          <w:sz w:val="22"/>
          <w:szCs w:val="22"/>
        </w:rPr>
        <w:t>Australia</w:t>
      </w:r>
      <w:r w:rsidR="00FB5C76">
        <w:rPr>
          <w:rFonts w:asciiTheme="majorHAnsi" w:hAnsiTheme="majorHAnsi"/>
          <w:sz w:val="22"/>
          <w:szCs w:val="22"/>
        </w:rPr>
        <w:t xml:space="preserve"> did not have </w:t>
      </w:r>
      <w:r w:rsidR="008749F5">
        <w:rPr>
          <w:rFonts w:asciiTheme="majorHAnsi" w:hAnsiTheme="majorHAnsi"/>
          <w:sz w:val="22"/>
          <w:szCs w:val="22"/>
        </w:rPr>
        <w:t>its</w:t>
      </w:r>
      <w:r w:rsidR="00FB5C76">
        <w:rPr>
          <w:rFonts w:asciiTheme="majorHAnsi" w:hAnsiTheme="majorHAnsi"/>
          <w:sz w:val="22"/>
          <w:szCs w:val="22"/>
        </w:rPr>
        <w:t xml:space="preserve"> Franks</w:t>
      </w:r>
      <w:r w:rsidR="00F96923">
        <w:rPr>
          <w:rStyle w:val="FootnoteReference"/>
          <w:rFonts w:asciiTheme="majorHAnsi" w:hAnsiTheme="majorHAnsi"/>
          <w:sz w:val="22"/>
          <w:szCs w:val="22"/>
        </w:rPr>
        <w:footnoteReference w:id="52"/>
      </w:r>
      <w:r w:rsidR="00FB5C76">
        <w:rPr>
          <w:rFonts w:asciiTheme="majorHAnsi" w:hAnsiTheme="majorHAnsi"/>
          <w:sz w:val="22"/>
          <w:szCs w:val="22"/>
        </w:rPr>
        <w:t xml:space="preserve"> and Leggat</w:t>
      </w:r>
      <w:r w:rsidR="00CE1EA1">
        <w:rPr>
          <w:rFonts w:asciiTheme="majorHAnsi" w:hAnsiTheme="majorHAnsi"/>
          <w:sz w:val="22"/>
          <w:szCs w:val="22"/>
        </w:rPr>
        <w:t>t</w:t>
      </w:r>
      <w:r w:rsidR="00F96923">
        <w:rPr>
          <w:rStyle w:val="FootnoteReference"/>
          <w:rFonts w:asciiTheme="majorHAnsi" w:hAnsiTheme="majorHAnsi"/>
          <w:sz w:val="22"/>
          <w:szCs w:val="22"/>
        </w:rPr>
        <w:footnoteReference w:id="53"/>
      </w:r>
      <w:r w:rsidR="00FB5C76">
        <w:rPr>
          <w:rFonts w:asciiTheme="majorHAnsi" w:hAnsiTheme="majorHAnsi"/>
          <w:sz w:val="22"/>
          <w:szCs w:val="22"/>
        </w:rPr>
        <w:t xml:space="preserve"> moments.</w:t>
      </w:r>
      <w:r w:rsidR="00C1221C">
        <w:rPr>
          <w:rStyle w:val="FootnoteReference"/>
          <w:rFonts w:asciiTheme="majorHAnsi" w:hAnsiTheme="majorHAnsi"/>
          <w:sz w:val="22"/>
          <w:szCs w:val="22"/>
        </w:rPr>
        <w:footnoteReference w:id="54"/>
      </w:r>
    </w:p>
    <w:p w14:paraId="0255C24B" w14:textId="77777777" w:rsidR="005F0BE6" w:rsidRDefault="005F0BE6" w:rsidP="00AA42A8">
      <w:pPr>
        <w:rPr>
          <w:rFonts w:asciiTheme="majorHAnsi" w:hAnsiTheme="majorHAnsi"/>
          <w:sz w:val="22"/>
          <w:szCs w:val="22"/>
        </w:rPr>
      </w:pPr>
    </w:p>
    <w:p w14:paraId="0A892CD3" w14:textId="0CFC879B" w:rsidR="00DD433A" w:rsidRPr="00AB47DC" w:rsidRDefault="008D6C60" w:rsidP="00AA42A8">
      <w:pPr>
        <w:rPr>
          <w:rFonts w:asciiTheme="majorHAnsi" w:hAnsiTheme="majorHAnsi"/>
          <w:sz w:val="22"/>
          <w:szCs w:val="22"/>
        </w:rPr>
      </w:pPr>
      <w:r>
        <w:rPr>
          <w:rFonts w:asciiTheme="majorHAnsi" w:hAnsiTheme="majorHAnsi"/>
          <w:sz w:val="22"/>
          <w:szCs w:val="22"/>
        </w:rPr>
        <w:t xml:space="preserve">In short, </w:t>
      </w:r>
      <w:r w:rsidR="00891289">
        <w:rPr>
          <w:rFonts w:asciiTheme="majorHAnsi" w:hAnsiTheme="majorHAnsi"/>
          <w:sz w:val="22"/>
          <w:szCs w:val="22"/>
        </w:rPr>
        <w:t xml:space="preserve">our core assertion here is that </w:t>
      </w:r>
      <w:r w:rsidR="000375DF">
        <w:rPr>
          <w:rFonts w:asciiTheme="majorHAnsi" w:hAnsiTheme="majorHAnsi"/>
          <w:sz w:val="22"/>
          <w:szCs w:val="22"/>
        </w:rPr>
        <w:t>structural</w:t>
      </w:r>
      <w:r w:rsidR="00891289">
        <w:rPr>
          <w:rFonts w:asciiTheme="majorHAnsi" w:hAnsiTheme="majorHAnsi"/>
          <w:sz w:val="22"/>
          <w:szCs w:val="22"/>
        </w:rPr>
        <w:t xml:space="preserve"> design and redesign within the administrative justice system should be driven by </w:t>
      </w:r>
      <w:r w:rsidR="00950ECA">
        <w:rPr>
          <w:rFonts w:asciiTheme="majorHAnsi" w:hAnsiTheme="majorHAnsi"/>
          <w:sz w:val="22"/>
          <w:szCs w:val="22"/>
        </w:rPr>
        <w:t>values</w:t>
      </w:r>
      <w:r w:rsidR="002619EB" w:rsidRPr="002619EB">
        <w:rPr>
          <w:rFonts w:asciiTheme="majorHAnsi" w:hAnsiTheme="majorHAnsi"/>
          <w:sz w:val="22"/>
          <w:szCs w:val="22"/>
        </w:rPr>
        <w:t xml:space="preserve"> </w:t>
      </w:r>
      <w:r w:rsidR="002619EB">
        <w:rPr>
          <w:rFonts w:asciiTheme="majorHAnsi" w:hAnsiTheme="majorHAnsi"/>
          <w:sz w:val="22"/>
          <w:szCs w:val="22"/>
        </w:rPr>
        <w:t>(and transparently so)</w:t>
      </w:r>
      <w:r w:rsidR="00891289">
        <w:rPr>
          <w:rFonts w:asciiTheme="majorHAnsi" w:hAnsiTheme="majorHAnsi"/>
          <w:sz w:val="22"/>
          <w:szCs w:val="22"/>
        </w:rPr>
        <w:t xml:space="preserve">. The </w:t>
      </w:r>
      <w:r w:rsidR="000375DF">
        <w:rPr>
          <w:rFonts w:asciiTheme="majorHAnsi" w:hAnsiTheme="majorHAnsi"/>
          <w:sz w:val="22"/>
          <w:szCs w:val="22"/>
        </w:rPr>
        <w:t>design</w:t>
      </w:r>
      <w:r w:rsidR="00203630">
        <w:rPr>
          <w:rFonts w:asciiTheme="majorHAnsi" w:hAnsiTheme="majorHAnsi"/>
          <w:sz w:val="22"/>
          <w:szCs w:val="22"/>
        </w:rPr>
        <w:t xml:space="preserve"> </w:t>
      </w:r>
      <w:r w:rsidR="00891289">
        <w:rPr>
          <w:rFonts w:asciiTheme="majorHAnsi" w:hAnsiTheme="majorHAnsi"/>
          <w:sz w:val="22"/>
          <w:szCs w:val="22"/>
        </w:rPr>
        <w:t>of a</w:t>
      </w:r>
      <w:r w:rsidR="000375DF">
        <w:rPr>
          <w:rFonts w:asciiTheme="majorHAnsi" w:hAnsiTheme="majorHAnsi"/>
          <w:sz w:val="22"/>
          <w:szCs w:val="22"/>
        </w:rPr>
        <w:t>n administrative</w:t>
      </w:r>
      <w:r w:rsidR="00891289">
        <w:rPr>
          <w:rFonts w:asciiTheme="majorHAnsi" w:hAnsiTheme="majorHAnsi"/>
          <w:sz w:val="22"/>
          <w:szCs w:val="22"/>
        </w:rPr>
        <w:t xml:space="preserve"> justice system </w:t>
      </w:r>
      <w:r w:rsidR="00203630">
        <w:rPr>
          <w:rFonts w:asciiTheme="majorHAnsi" w:hAnsiTheme="majorHAnsi"/>
          <w:sz w:val="22"/>
          <w:szCs w:val="22"/>
        </w:rPr>
        <w:t>should be flexible an</w:t>
      </w:r>
      <w:r w:rsidR="00950ECA">
        <w:rPr>
          <w:rFonts w:asciiTheme="majorHAnsi" w:hAnsiTheme="majorHAnsi"/>
          <w:sz w:val="22"/>
          <w:szCs w:val="22"/>
        </w:rPr>
        <w:t>d responsive</w:t>
      </w:r>
      <w:r w:rsidR="00203630">
        <w:rPr>
          <w:rFonts w:asciiTheme="majorHAnsi" w:hAnsiTheme="majorHAnsi"/>
          <w:sz w:val="22"/>
          <w:szCs w:val="22"/>
        </w:rPr>
        <w:t>, rather than fixed.</w:t>
      </w:r>
      <w:r w:rsidR="008409AE">
        <w:rPr>
          <w:rFonts w:asciiTheme="majorHAnsi" w:hAnsiTheme="majorHAnsi"/>
          <w:sz w:val="22"/>
          <w:szCs w:val="22"/>
        </w:rPr>
        <w:t xml:space="preserve"> This affects how we should theorise mandatory consideration from an administrative justice perspective. Consider,</w:t>
      </w:r>
      <w:r w:rsidR="00DD433A">
        <w:rPr>
          <w:rFonts w:asciiTheme="majorHAnsi" w:hAnsiTheme="majorHAnsi"/>
          <w:sz w:val="22"/>
          <w:szCs w:val="22"/>
        </w:rPr>
        <w:t xml:space="preserve"> for instance, </w:t>
      </w:r>
      <w:r w:rsidR="008409AE">
        <w:rPr>
          <w:rFonts w:asciiTheme="majorHAnsi" w:hAnsiTheme="majorHAnsi"/>
          <w:sz w:val="22"/>
          <w:szCs w:val="22"/>
        </w:rPr>
        <w:t xml:space="preserve">the objection </w:t>
      </w:r>
      <w:r w:rsidR="00DD433A">
        <w:rPr>
          <w:rFonts w:asciiTheme="majorHAnsi" w:hAnsiTheme="majorHAnsi"/>
          <w:sz w:val="22"/>
          <w:szCs w:val="22"/>
        </w:rPr>
        <w:t xml:space="preserve">that a system </w:t>
      </w:r>
      <w:r w:rsidR="004201DE">
        <w:rPr>
          <w:rFonts w:asciiTheme="majorHAnsi" w:hAnsiTheme="majorHAnsi"/>
          <w:sz w:val="22"/>
          <w:szCs w:val="22"/>
        </w:rPr>
        <w:t xml:space="preserve">of mandatory reconsideration offends </w:t>
      </w:r>
      <w:r w:rsidR="00DD433A">
        <w:rPr>
          <w:rFonts w:asciiTheme="majorHAnsi" w:hAnsiTheme="majorHAnsi"/>
          <w:sz w:val="22"/>
          <w:szCs w:val="22"/>
        </w:rPr>
        <w:t xml:space="preserve">because </w:t>
      </w:r>
      <w:r w:rsidR="004201DE">
        <w:rPr>
          <w:rFonts w:asciiTheme="majorHAnsi" w:hAnsiTheme="majorHAnsi"/>
          <w:i/>
          <w:sz w:val="22"/>
          <w:szCs w:val="22"/>
        </w:rPr>
        <w:t xml:space="preserve">de facto </w:t>
      </w:r>
      <w:r w:rsidR="00DD433A">
        <w:rPr>
          <w:rFonts w:asciiTheme="majorHAnsi" w:hAnsiTheme="majorHAnsi"/>
          <w:sz w:val="22"/>
          <w:szCs w:val="22"/>
        </w:rPr>
        <w:t xml:space="preserve">it precludes most applicants with grievances from getting an independent </w:t>
      </w:r>
      <w:r w:rsidR="00774032">
        <w:rPr>
          <w:rFonts w:asciiTheme="majorHAnsi" w:hAnsiTheme="majorHAnsi"/>
          <w:sz w:val="22"/>
          <w:szCs w:val="22"/>
        </w:rPr>
        <w:t>consideration</w:t>
      </w:r>
      <w:r w:rsidR="00DD433A">
        <w:rPr>
          <w:rFonts w:asciiTheme="majorHAnsi" w:hAnsiTheme="majorHAnsi"/>
          <w:sz w:val="22"/>
          <w:szCs w:val="22"/>
        </w:rPr>
        <w:t xml:space="preserve"> of their claim</w:t>
      </w:r>
      <w:r w:rsidR="00AB47DC">
        <w:rPr>
          <w:rFonts w:asciiTheme="majorHAnsi" w:hAnsiTheme="majorHAnsi"/>
          <w:sz w:val="22"/>
          <w:szCs w:val="22"/>
        </w:rPr>
        <w:t xml:space="preserve"> </w:t>
      </w:r>
      <w:r w:rsidR="008409AE">
        <w:rPr>
          <w:rFonts w:asciiTheme="majorHAnsi" w:hAnsiTheme="majorHAnsi"/>
          <w:sz w:val="22"/>
          <w:szCs w:val="22"/>
        </w:rPr>
        <w:t>of substantive mistake. Such an objection is problematic – incomplete – unless it goes on to justify</w:t>
      </w:r>
      <w:r w:rsidR="00AB47DC">
        <w:rPr>
          <w:rFonts w:asciiTheme="majorHAnsi" w:hAnsiTheme="majorHAnsi"/>
          <w:sz w:val="22"/>
          <w:szCs w:val="22"/>
        </w:rPr>
        <w:t xml:space="preserve"> why applicants </w:t>
      </w:r>
      <w:r w:rsidR="00AB47DC">
        <w:rPr>
          <w:rFonts w:asciiTheme="majorHAnsi" w:hAnsiTheme="majorHAnsi"/>
          <w:i/>
          <w:sz w:val="22"/>
          <w:szCs w:val="22"/>
        </w:rPr>
        <w:t>should</w:t>
      </w:r>
      <w:r w:rsidR="00AB47DC">
        <w:rPr>
          <w:rFonts w:asciiTheme="majorHAnsi" w:hAnsiTheme="majorHAnsi"/>
          <w:sz w:val="22"/>
          <w:szCs w:val="22"/>
        </w:rPr>
        <w:t xml:space="preserve"> have their </w:t>
      </w:r>
      <w:r w:rsidR="002619EB">
        <w:rPr>
          <w:rFonts w:asciiTheme="majorHAnsi" w:hAnsiTheme="majorHAnsi"/>
          <w:sz w:val="22"/>
          <w:szCs w:val="22"/>
        </w:rPr>
        <w:t>claims of substantive mistake</w:t>
      </w:r>
      <w:r w:rsidR="00AB47DC">
        <w:rPr>
          <w:rFonts w:asciiTheme="majorHAnsi" w:hAnsiTheme="majorHAnsi"/>
          <w:sz w:val="22"/>
          <w:szCs w:val="22"/>
        </w:rPr>
        <w:t xml:space="preserve"> looked at by an independent body.</w:t>
      </w:r>
      <w:r w:rsidR="008E180B">
        <w:rPr>
          <w:rFonts w:asciiTheme="majorHAnsi" w:hAnsiTheme="majorHAnsi"/>
          <w:sz w:val="22"/>
          <w:szCs w:val="22"/>
        </w:rPr>
        <w:t xml:space="preserve"> </w:t>
      </w:r>
      <w:r w:rsidR="003B1333">
        <w:rPr>
          <w:rFonts w:asciiTheme="majorHAnsi" w:hAnsiTheme="majorHAnsi"/>
          <w:sz w:val="22"/>
          <w:szCs w:val="22"/>
        </w:rPr>
        <w:t xml:space="preserve">The </w:t>
      </w:r>
      <w:r w:rsidR="000375DF">
        <w:rPr>
          <w:rFonts w:asciiTheme="majorHAnsi" w:hAnsiTheme="majorHAnsi"/>
          <w:sz w:val="22"/>
          <w:szCs w:val="22"/>
        </w:rPr>
        <w:t>redress system designed into</w:t>
      </w:r>
      <w:r w:rsidR="003B1333">
        <w:rPr>
          <w:rFonts w:asciiTheme="majorHAnsi" w:hAnsiTheme="majorHAnsi"/>
          <w:sz w:val="22"/>
          <w:szCs w:val="22"/>
        </w:rPr>
        <w:t xml:space="preserve"> h</w:t>
      </w:r>
      <w:r w:rsidR="00797675">
        <w:rPr>
          <w:rFonts w:asciiTheme="majorHAnsi" w:hAnsiTheme="majorHAnsi"/>
          <w:sz w:val="22"/>
          <w:szCs w:val="22"/>
        </w:rPr>
        <w:t xml:space="preserve">omelessness </w:t>
      </w:r>
      <w:r w:rsidR="004201DE">
        <w:rPr>
          <w:rFonts w:asciiTheme="majorHAnsi" w:hAnsiTheme="majorHAnsi"/>
          <w:sz w:val="22"/>
          <w:szCs w:val="22"/>
        </w:rPr>
        <w:t>law</w:t>
      </w:r>
      <w:r w:rsidR="003B1333">
        <w:rPr>
          <w:rFonts w:asciiTheme="majorHAnsi" w:hAnsiTheme="majorHAnsi"/>
          <w:sz w:val="22"/>
          <w:szCs w:val="22"/>
        </w:rPr>
        <w:t xml:space="preserve"> permits</w:t>
      </w:r>
      <w:r w:rsidR="00797675">
        <w:rPr>
          <w:rFonts w:asciiTheme="majorHAnsi" w:hAnsiTheme="majorHAnsi"/>
          <w:sz w:val="22"/>
          <w:szCs w:val="22"/>
        </w:rPr>
        <w:t xml:space="preserve"> </w:t>
      </w:r>
      <w:r w:rsidR="003B1333">
        <w:rPr>
          <w:rFonts w:asciiTheme="majorHAnsi" w:hAnsiTheme="majorHAnsi"/>
          <w:sz w:val="22"/>
          <w:szCs w:val="22"/>
        </w:rPr>
        <w:t xml:space="preserve">only very </w:t>
      </w:r>
      <w:r w:rsidR="00797675">
        <w:rPr>
          <w:rFonts w:asciiTheme="majorHAnsi" w:hAnsiTheme="majorHAnsi"/>
          <w:sz w:val="22"/>
          <w:szCs w:val="22"/>
        </w:rPr>
        <w:t>limited independent review of substantive mistake</w:t>
      </w:r>
      <w:r w:rsidR="003B1333">
        <w:rPr>
          <w:rFonts w:asciiTheme="majorHAnsi" w:hAnsiTheme="majorHAnsi"/>
          <w:sz w:val="22"/>
          <w:szCs w:val="22"/>
        </w:rPr>
        <w:t>.</w:t>
      </w:r>
      <w:r w:rsidR="008E180B">
        <w:rPr>
          <w:rStyle w:val="FootnoteReference"/>
          <w:rFonts w:asciiTheme="majorHAnsi" w:hAnsiTheme="majorHAnsi"/>
          <w:sz w:val="22"/>
          <w:szCs w:val="22"/>
        </w:rPr>
        <w:footnoteReference w:id="55"/>
      </w:r>
      <w:r w:rsidR="008E180B">
        <w:rPr>
          <w:rFonts w:asciiTheme="majorHAnsi" w:hAnsiTheme="majorHAnsi"/>
          <w:sz w:val="22"/>
          <w:szCs w:val="22"/>
        </w:rPr>
        <w:t xml:space="preserve"> </w:t>
      </w:r>
      <w:r w:rsidR="003B1333">
        <w:rPr>
          <w:rFonts w:asciiTheme="majorHAnsi" w:hAnsiTheme="majorHAnsi"/>
          <w:sz w:val="22"/>
          <w:szCs w:val="22"/>
        </w:rPr>
        <w:t>We can see that this is quite different from</w:t>
      </w:r>
      <w:r w:rsidR="008E180B">
        <w:rPr>
          <w:rFonts w:asciiTheme="majorHAnsi" w:hAnsiTheme="majorHAnsi"/>
          <w:sz w:val="22"/>
          <w:szCs w:val="22"/>
        </w:rPr>
        <w:t xml:space="preserve"> </w:t>
      </w:r>
      <w:r w:rsidR="004201DE">
        <w:rPr>
          <w:rFonts w:asciiTheme="majorHAnsi" w:hAnsiTheme="majorHAnsi"/>
          <w:sz w:val="22"/>
          <w:szCs w:val="22"/>
        </w:rPr>
        <w:t xml:space="preserve">much of </w:t>
      </w:r>
      <w:r w:rsidR="008E180B">
        <w:rPr>
          <w:rFonts w:asciiTheme="majorHAnsi" w:hAnsiTheme="majorHAnsi"/>
          <w:sz w:val="22"/>
          <w:szCs w:val="22"/>
        </w:rPr>
        <w:t xml:space="preserve">social security </w:t>
      </w:r>
      <w:r w:rsidR="004201DE">
        <w:rPr>
          <w:rFonts w:asciiTheme="majorHAnsi" w:hAnsiTheme="majorHAnsi"/>
          <w:sz w:val="22"/>
          <w:szCs w:val="22"/>
        </w:rPr>
        <w:t xml:space="preserve">law, where review for substantive mistake </w:t>
      </w:r>
      <w:r w:rsidR="003B1333">
        <w:rPr>
          <w:rFonts w:asciiTheme="majorHAnsi" w:hAnsiTheme="majorHAnsi"/>
          <w:sz w:val="22"/>
          <w:szCs w:val="22"/>
        </w:rPr>
        <w:t xml:space="preserve">at independent tribunals </w:t>
      </w:r>
      <w:r w:rsidR="004201DE">
        <w:rPr>
          <w:rFonts w:asciiTheme="majorHAnsi" w:hAnsiTheme="majorHAnsi"/>
          <w:sz w:val="22"/>
          <w:szCs w:val="22"/>
        </w:rPr>
        <w:t>is permitted</w:t>
      </w:r>
      <w:r w:rsidR="008E180B">
        <w:rPr>
          <w:rFonts w:asciiTheme="majorHAnsi" w:hAnsiTheme="majorHAnsi"/>
          <w:sz w:val="22"/>
          <w:szCs w:val="22"/>
        </w:rPr>
        <w:t>.</w:t>
      </w:r>
      <w:r w:rsidR="008E180B">
        <w:rPr>
          <w:rStyle w:val="FootnoteReference"/>
          <w:rFonts w:asciiTheme="majorHAnsi" w:hAnsiTheme="majorHAnsi"/>
          <w:sz w:val="22"/>
          <w:szCs w:val="22"/>
        </w:rPr>
        <w:footnoteReference w:id="56"/>
      </w:r>
      <w:r w:rsidR="008E180B">
        <w:rPr>
          <w:rFonts w:asciiTheme="majorHAnsi" w:hAnsiTheme="majorHAnsi"/>
          <w:sz w:val="22"/>
          <w:szCs w:val="22"/>
        </w:rPr>
        <w:t xml:space="preserve">  </w:t>
      </w:r>
      <w:r w:rsidR="00995836">
        <w:rPr>
          <w:rFonts w:asciiTheme="majorHAnsi" w:hAnsiTheme="majorHAnsi"/>
          <w:sz w:val="22"/>
          <w:szCs w:val="22"/>
        </w:rPr>
        <w:t>What</w:t>
      </w:r>
      <w:r w:rsidR="004201DE">
        <w:rPr>
          <w:rFonts w:asciiTheme="majorHAnsi" w:hAnsiTheme="majorHAnsi"/>
          <w:sz w:val="22"/>
          <w:szCs w:val="22"/>
        </w:rPr>
        <w:t>, if anything,</w:t>
      </w:r>
      <w:r w:rsidR="00995836">
        <w:rPr>
          <w:rFonts w:asciiTheme="majorHAnsi" w:hAnsiTheme="majorHAnsi"/>
          <w:sz w:val="22"/>
          <w:szCs w:val="22"/>
        </w:rPr>
        <w:t xml:space="preserve"> justifies this difference?</w:t>
      </w:r>
      <w:r w:rsidR="004201DE">
        <w:rPr>
          <w:rFonts w:asciiTheme="majorHAnsi" w:hAnsiTheme="majorHAnsi"/>
          <w:sz w:val="22"/>
          <w:szCs w:val="22"/>
        </w:rPr>
        <w:t xml:space="preserve"> Administrative justice scholarship must develop </w:t>
      </w:r>
      <w:r w:rsidR="00DD09BE">
        <w:rPr>
          <w:rFonts w:asciiTheme="majorHAnsi" w:hAnsiTheme="majorHAnsi"/>
          <w:sz w:val="22"/>
          <w:szCs w:val="22"/>
        </w:rPr>
        <w:t>value-based</w:t>
      </w:r>
      <w:r w:rsidR="004201DE">
        <w:rPr>
          <w:rFonts w:asciiTheme="majorHAnsi" w:hAnsiTheme="majorHAnsi"/>
          <w:sz w:val="22"/>
          <w:szCs w:val="22"/>
        </w:rPr>
        <w:t xml:space="preserve"> perspectives on the </w:t>
      </w:r>
      <w:r w:rsidR="000375DF">
        <w:rPr>
          <w:rFonts w:asciiTheme="majorHAnsi" w:hAnsiTheme="majorHAnsi"/>
          <w:sz w:val="22"/>
          <w:szCs w:val="22"/>
        </w:rPr>
        <w:t>structural</w:t>
      </w:r>
      <w:r w:rsidR="004201DE">
        <w:rPr>
          <w:rFonts w:asciiTheme="majorHAnsi" w:hAnsiTheme="majorHAnsi"/>
          <w:sz w:val="22"/>
          <w:szCs w:val="22"/>
        </w:rPr>
        <w:t xml:space="preserve"> features of the sy</w:t>
      </w:r>
      <w:r w:rsidR="003B1333">
        <w:rPr>
          <w:rFonts w:asciiTheme="majorHAnsi" w:hAnsiTheme="majorHAnsi"/>
          <w:sz w:val="22"/>
          <w:szCs w:val="22"/>
        </w:rPr>
        <w:t>s</w:t>
      </w:r>
      <w:r w:rsidR="004201DE">
        <w:rPr>
          <w:rFonts w:asciiTheme="majorHAnsi" w:hAnsiTheme="majorHAnsi"/>
          <w:sz w:val="22"/>
          <w:szCs w:val="22"/>
        </w:rPr>
        <w:t>tem</w:t>
      </w:r>
      <w:r w:rsidR="003B1333">
        <w:rPr>
          <w:rFonts w:asciiTheme="majorHAnsi" w:hAnsiTheme="majorHAnsi"/>
          <w:sz w:val="22"/>
          <w:szCs w:val="22"/>
        </w:rPr>
        <w:t xml:space="preserve"> in order to broaden and deepen theory.</w:t>
      </w:r>
    </w:p>
    <w:p w14:paraId="6E44D11F" w14:textId="77777777" w:rsidR="00DD433A" w:rsidRDefault="00DD433A" w:rsidP="00AA42A8">
      <w:pPr>
        <w:rPr>
          <w:rFonts w:asciiTheme="majorHAnsi" w:hAnsiTheme="majorHAnsi"/>
          <w:sz w:val="22"/>
          <w:szCs w:val="22"/>
        </w:rPr>
      </w:pPr>
    </w:p>
    <w:p w14:paraId="6AD74D2E" w14:textId="1499BA33" w:rsidR="000307CC" w:rsidRDefault="003B1333" w:rsidP="00AA42A8">
      <w:pPr>
        <w:rPr>
          <w:rFonts w:asciiTheme="majorHAnsi" w:hAnsiTheme="majorHAnsi"/>
          <w:sz w:val="22"/>
          <w:szCs w:val="22"/>
        </w:rPr>
      </w:pPr>
      <w:r>
        <w:rPr>
          <w:rFonts w:asciiTheme="majorHAnsi" w:hAnsiTheme="majorHAnsi"/>
          <w:sz w:val="22"/>
          <w:szCs w:val="22"/>
        </w:rPr>
        <w:t>Our</w:t>
      </w:r>
      <w:r w:rsidR="000307CC">
        <w:rPr>
          <w:rFonts w:asciiTheme="majorHAnsi" w:hAnsiTheme="majorHAnsi"/>
          <w:sz w:val="22"/>
          <w:szCs w:val="22"/>
        </w:rPr>
        <w:t xml:space="preserve"> </w:t>
      </w:r>
      <w:r w:rsidR="00891289">
        <w:rPr>
          <w:rFonts w:asciiTheme="majorHAnsi" w:hAnsiTheme="majorHAnsi"/>
          <w:sz w:val="22"/>
          <w:szCs w:val="22"/>
        </w:rPr>
        <w:t>assertion</w:t>
      </w:r>
      <w:r w:rsidR="000307CC">
        <w:rPr>
          <w:rFonts w:asciiTheme="majorHAnsi" w:hAnsiTheme="majorHAnsi"/>
          <w:sz w:val="22"/>
          <w:szCs w:val="22"/>
        </w:rPr>
        <w:t xml:space="preserve"> </w:t>
      </w:r>
      <w:r>
        <w:rPr>
          <w:rFonts w:asciiTheme="majorHAnsi" w:hAnsiTheme="majorHAnsi"/>
          <w:sz w:val="22"/>
          <w:szCs w:val="22"/>
        </w:rPr>
        <w:t xml:space="preserve">here </w:t>
      </w:r>
      <w:r w:rsidR="000307CC">
        <w:rPr>
          <w:rFonts w:asciiTheme="majorHAnsi" w:hAnsiTheme="majorHAnsi"/>
          <w:sz w:val="22"/>
          <w:szCs w:val="22"/>
        </w:rPr>
        <w:t xml:space="preserve">clearly raises the question of what the administrative justice </w:t>
      </w:r>
      <w:r w:rsidR="00D94623">
        <w:rPr>
          <w:rFonts w:asciiTheme="majorHAnsi" w:hAnsiTheme="majorHAnsi"/>
          <w:sz w:val="22"/>
          <w:szCs w:val="22"/>
        </w:rPr>
        <w:t>values</w:t>
      </w:r>
      <w:r w:rsidR="000307CC">
        <w:rPr>
          <w:rFonts w:asciiTheme="majorHAnsi" w:hAnsiTheme="majorHAnsi"/>
          <w:sz w:val="22"/>
          <w:szCs w:val="22"/>
        </w:rPr>
        <w:t xml:space="preserve"> </w:t>
      </w:r>
      <w:r w:rsidR="002619EB">
        <w:rPr>
          <w:rFonts w:asciiTheme="majorHAnsi" w:hAnsiTheme="majorHAnsi"/>
          <w:sz w:val="22"/>
          <w:szCs w:val="22"/>
        </w:rPr>
        <w:t xml:space="preserve">are </w:t>
      </w:r>
      <w:r w:rsidR="000307CC">
        <w:rPr>
          <w:rFonts w:asciiTheme="majorHAnsi" w:hAnsiTheme="majorHAnsi"/>
          <w:sz w:val="22"/>
          <w:szCs w:val="22"/>
        </w:rPr>
        <w:t xml:space="preserve">that should inform </w:t>
      </w:r>
      <w:r w:rsidR="00891289">
        <w:rPr>
          <w:rFonts w:asciiTheme="majorHAnsi" w:hAnsiTheme="majorHAnsi"/>
          <w:sz w:val="22"/>
          <w:szCs w:val="22"/>
        </w:rPr>
        <w:t xml:space="preserve">system </w:t>
      </w:r>
      <w:r w:rsidR="000307CC">
        <w:rPr>
          <w:rFonts w:asciiTheme="majorHAnsi" w:hAnsiTheme="majorHAnsi"/>
          <w:sz w:val="22"/>
          <w:szCs w:val="22"/>
        </w:rPr>
        <w:t xml:space="preserve">design </w:t>
      </w:r>
      <w:r w:rsidR="002619EB">
        <w:rPr>
          <w:rFonts w:asciiTheme="majorHAnsi" w:hAnsiTheme="majorHAnsi"/>
          <w:sz w:val="22"/>
          <w:szCs w:val="22"/>
        </w:rPr>
        <w:t>(</w:t>
      </w:r>
      <w:r w:rsidR="000307CC">
        <w:rPr>
          <w:rFonts w:asciiTheme="majorHAnsi" w:hAnsiTheme="majorHAnsi"/>
          <w:sz w:val="22"/>
          <w:szCs w:val="22"/>
        </w:rPr>
        <w:t>and redesign</w:t>
      </w:r>
      <w:r w:rsidR="002619EB">
        <w:rPr>
          <w:rFonts w:asciiTheme="majorHAnsi" w:hAnsiTheme="majorHAnsi"/>
          <w:sz w:val="22"/>
          <w:szCs w:val="22"/>
        </w:rPr>
        <w:t>)</w:t>
      </w:r>
      <w:r w:rsidR="000307CC">
        <w:rPr>
          <w:rFonts w:asciiTheme="majorHAnsi" w:hAnsiTheme="majorHAnsi"/>
          <w:sz w:val="22"/>
          <w:szCs w:val="22"/>
        </w:rPr>
        <w:t>. It is this issue that we consider next.</w:t>
      </w:r>
    </w:p>
    <w:p w14:paraId="2EC19035" w14:textId="6999A08F" w:rsidR="000307CC" w:rsidRDefault="00D94623" w:rsidP="00B92BBD">
      <w:pPr>
        <w:pStyle w:val="Heading1"/>
      </w:pPr>
      <w:r>
        <w:t>Values</w:t>
      </w:r>
      <w:r w:rsidR="000307CC">
        <w:t xml:space="preserve"> </w:t>
      </w:r>
      <w:r w:rsidR="002619EB">
        <w:t>for</w:t>
      </w:r>
      <w:r w:rsidR="000307CC">
        <w:t xml:space="preserve"> </w:t>
      </w:r>
      <w:r w:rsidR="008D3591">
        <w:t>structural</w:t>
      </w:r>
      <w:r w:rsidR="000307CC">
        <w:t xml:space="preserve"> (re)design</w:t>
      </w:r>
    </w:p>
    <w:p w14:paraId="57FF75A7" w14:textId="461614C5" w:rsidR="00775D02" w:rsidRDefault="00107CD7" w:rsidP="002619EB">
      <w:pPr>
        <w:rPr>
          <w:rFonts w:asciiTheme="majorHAnsi" w:hAnsiTheme="majorHAnsi"/>
          <w:sz w:val="22"/>
          <w:szCs w:val="22"/>
        </w:rPr>
      </w:pPr>
      <w:r>
        <w:rPr>
          <w:rFonts w:asciiTheme="majorHAnsi" w:hAnsiTheme="majorHAnsi"/>
          <w:sz w:val="22"/>
          <w:szCs w:val="22"/>
        </w:rPr>
        <w:t xml:space="preserve">Our aim </w:t>
      </w:r>
      <w:r w:rsidR="003F2C75">
        <w:rPr>
          <w:rFonts w:asciiTheme="majorHAnsi" w:hAnsiTheme="majorHAnsi"/>
          <w:sz w:val="22"/>
          <w:szCs w:val="22"/>
        </w:rPr>
        <w:t>in this section</w:t>
      </w:r>
      <w:r>
        <w:rPr>
          <w:rFonts w:asciiTheme="majorHAnsi" w:hAnsiTheme="majorHAnsi"/>
          <w:sz w:val="22"/>
          <w:szCs w:val="22"/>
        </w:rPr>
        <w:t xml:space="preserve"> is to </w:t>
      </w:r>
      <w:r w:rsidR="00086748">
        <w:rPr>
          <w:rFonts w:asciiTheme="majorHAnsi" w:hAnsiTheme="majorHAnsi"/>
          <w:sz w:val="22"/>
          <w:szCs w:val="22"/>
        </w:rPr>
        <w:t>consider</w:t>
      </w:r>
      <w:r>
        <w:rPr>
          <w:rFonts w:asciiTheme="majorHAnsi" w:hAnsiTheme="majorHAnsi"/>
          <w:sz w:val="22"/>
          <w:szCs w:val="22"/>
        </w:rPr>
        <w:t xml:space="preserve"> how debate</w:t>
      </w:r>
      <w:r w:rsidR="00086748">
        <w:rPr>
          <w:rFonts w:asciiTheme="majorHAnsi" w:hAnsiTheme="majorHAnsi"/>
          <w:sz w:val="22"/>
          <w:szCs w:val="22"/>
        </w:rPr>
        <w:t>s</w:t>
      </w:r>
      <w:r>
        <w:rPr>
          <w:rFonts w:asciiTheme="majorHAnsi" w:hAnsiTheme="majorHAnsi"/>
          <w:sz w:val="22"/>
          <w:szCs w:val="22"/>
        </w:rPr>
        <w:t xml:space="preserve"> about design should be structured</w:t>
      </w:r>
      <w:r w:rsidR="00086748">
        <w:rPr>
          <w:rFonts w:asciiTheme="majorHAnsi" w:hAnsiTheme="majorHAnsi"/>
          <w:sz w:val="22"/>
          <w:szCs w:val="22"/>
        </w:rPr>
        <w:t>, focusing particularl</w:t>
      </w:r>
      <w:r w:rsidR="0048232C">
        <w:rPr>
          <w:rFonts w:asciiTheme="majorHAnsi" w:hAnsiTheme="majorHAnsi"/>
          <w:sz w:val="22"/>
          <w:szCs w:val="22"/>
        </w:rPr>
        <w:t>y on the issue of mandatory reconsideration</w:t>
      </w:r>
      <w:r>
        <w:rPr>
          <w:rFonts w:asciiTheme="majorHAnsi" w:hAnsiTheme="majorHAnsi"/>
          <w:sz w:val="22"/>
          <w:szCs w:val="22"/>
        </w:rPr>
        <w:t xml:space="preserve">. </w:t>
      </w:r>
      <w:r w:rsidR="008357F1">
        <w:rPr>
          <w:rFonts w:asciiTheme="majorHAnsi" w:hAnsiTheme="majorHAnsi"/>
          <w:sz w:val="22"/>
          <w:szCs w:val="22"/>
        </w:rPr>
        <w:t xml:space="preserve">How administrative justice </w:t>
      </w:r>
      <w:r w:rsidR="008357F1">
        <w:rPr>
          <w:rFonts w:asciiTheme="majorHAnsi" w:hAnsiTheme="majorHAnsi"/>
          <w:sz w:val="22"/>
          <w:szCs w:val="22"/>
        </w:rPr>
        <w:lastRenderedPageBreak/>
        <w:t>systems should be designed is a large topic,</w:t>
      </w:r>
      <w:r w:rsidR="00086748">
        <w:rPr>
          <w:rFonts w:asciiTheme="majorHAnsi" w:hAnsiTheme="majorHAnsi"/>
          <w:sz w:val="22"/>
          <w:szCs w:val="22"/>
        </w:rPr>
        <w:t xml:space="preserve"> one that should be the subject of a </w:t>
      </w:r>
      <w:r w:rsidR="006B4397">
        <w:rPr>
          <w:rFonts w:asciiTheme="majorHAnsi" w:hAnsiTheme="majorHAnsi"/>
          <w:sz w:val="22"/>
          <w:szCs w:val="22"/>
        </w:rPr>
        <w:t>serial</w:t>
      </w:r>
      <w:r w:rsidR="00086748">
        <w:rPr>
          <w:rFonts w:asciiTheme="majorHAnsi" w:hAnsiTheme="majorHAnsi"/>
          <w:sz w:val="22"/>
          <w:szCs w:val="22"/>
        </w:rPr>
        <w:t xml:space="preserve"> collective research effort. </w:t>
      </w:r>
      <w:r w:rsidR="002B7432">
        <w:rPr>
          <w:rFonts w:asciiTheme="majorHAnsi" w:hAnsiTheme="majorHAnsi"/>
          <w:sz w:val="22"/>
          <w:szCs w:val="22"/>
        </w:rPr>
        <w:t>Our ambition here is to contribute to that ongoing research endeavour.</w:t>
      </w:r>
    </w:p>
    <w:p w14:paraId="15CE2A9B" w14:textId="77777777" w:rsidR="00775D02" w:rsidRDefault="00775D02" w:rsidP="002619EB">
      <w:pPr>
        <w:rPr>
          <w:rFonts w:asciiTheme="majorHAnsi" w:hAnsiTheme="majorHAnsi"/>
          <w:sz w:val="22"/>
          <w:szCs w:val="22"/>
        </w:rPr>
      </w:pPr>
    </w:p>
    <w:p w14:paraId="105007F0" w14:textId="017E57EF" w:rsidR="00EC2AF8" w:rsidRDefault="00655427" w:rsidP="002619EB">
      <w:pPr>
        <w:rPr>
          <w:rFonts w:asciiTheme="majorHAnsi" w:hAnsiTheme="majorHAnsi"/>
          <w:sz w:val="22"/>
          <w:szCs w:val="22"/>
        </w:rPr>
      </w:pPr>
      <w:r>
        <w:rPr>
          <w:rFonts w:asciiTheme="majorHAnsi" w:hAnsiTheme="majorHAnsi"/>
          <w:sz w:val="22"/>
          <w:szCs w:val="22"/>
        </w:rPr>
        <w:t>Bondy and Le Sueur have conducted important initial work on the design of redress systems for administrative law matters.</w:t>
      </w:r>
      <w:r>
        <w:rPr>
          <w:rStyle w:val="FootnoteReference"/>
          <w:rFonts w:asciiTheme="majorHAnsi" w:hAnsiTheme="majorHAnsi"/>
          <w:sz w:val="22"/>
          <w:szCs w:val="22"/>
        </w:rPr>
        <w:footnoteReference w:id="57"/>
      </w:r>
      <w:r>
        <w:rPr>
          <w:rFonts w:asciiTheme="majorHAnsi" w:hAnsiTheme="majorHAnsi"/>
          <w:sz w:val="22"/>
          <w:szCs w:val="22"/>
        </w:rPr>
        <w:t xml:space="preserve"> They suggest nine “candidates for inclusion in a statement of principles about redress design”.</w:t>
      </w:r>
      <w:r>
        <w:rPr>
          <w:rStyle w:val="FootnoteReference"/>
          <w:rFonts w:asciiTheme="majorHAnsi" w:hAnsiTheme="majorHAnsi"/>
          <w:sz w:val="22"/>
          <w:szCs w:val="22"/>
        </w:rPr>
        <w:footnoteReference w:id="58"/>
      </w:r>
      <w:r>
        <w:rPr>
          <w:rFonts w:asciiTheme="majorHAnsi" w:hAnsiTheme="majorHAnsi"/>
          <w:sz w:val="22"/>
          <w:szCs w:val="22"/>
        </w:rPr>
        <w:t xml:space="preserve"> Their nine principles cover the domains of</w:t>
      </w:r>
      <w:r w:rsidR="00D33037">
        <w:rPr>
          <w:rFonts w:asciiTheme="majorHAnsi" w:hAnsiTheme="majorHAnsi"/>
          <w:sz w:val="22"/>
          <w:szCs w:val="22"/>
        </w:rPr>
        <w:t>:</w:t>
      </w:r>
      <w:r>
        <w:rPr>
          <w:rFonts w:asciiTheme="majorHAnsi" w:hAnsiTheme="majorHAnsi"/>
          <w:sz w:val="22"/>
          <w:szCs w:val="22"/>
        </w:rPr>
        <w:t xml:space="preserve"> (a) constitutional </w:t>
      </w:r>
      <w:r w:rsidR="002B7432">
        <w:rPr>
          <w:rFonts w:asciiTheme="majorHAnsi" w:hAnsiTheme="majorHAnsi"/>
          <w:sz w:val="22"/>
          <w:szCs w:val="22"/>
        </w:rPr>
        <w:t>context</w:t>
      </w:r>
      <w:r>
        <w:rPr>
          <w:rFonts w:asciiTheme="majorHAnsi" w:hAnsiTheme="majorHAnsi"/>
          <w:sz w:val="22"/>
          <w:szCs w:val="22"/>
        </w:rPr>
        <w:t xml:space="preserve">; (b) the design process; and (c) the substance of design. </w:t>
      </w:r>
      <w:r w:rsidR="00086748">
        <w:rPr>
          <w:rFonts w:asciiTheme="majorHAnsi" w:hAnsiTheme="majorHAnsi"/>
          <w:sz w:val="22"/>
          <w:szCs w:val="22"/>
        </w:rPr>
        <w:t xml:space="preserve">Within the limits of an article such as this, we restrict ourselves </w:t>
      </w:r>
      <w:r>
        <w:rPr>
          <w:rFonts w:asciiTheme="majorHAnsi" w:hAnsiTheme="majorHAnsi"/>
          <w:sz w:val="22"/>
          <w:szCs w:val="22"/>
        </w:rPr>
        <w:t>to the third of Bondy and Le Sueur’s domains</w:t>
      </w:r>
      <w:r w:rsidRPr="00655427">
        <w:rPr>
          <w:rFonts w:asciiTheme="majorHAnsi" w:hAnsiTheme="majorHAnsi"/>
          <w:sz w:val="22"/>
          <w:szCs w:val="22"/>
        </w:rPr>
        <w:t xml:space="preserve"> </w:t>
      </w:r>
      <w:r>
        <w:rPr>
          <w:rFonts w:asciiTheme="majorHAnsi" w:hAnsiTheme="majorHAnsi"/>
          <w:sz w:val="22"/>
          <w:szCs w:val="22"/>
        </w:rPr>
        <w:t>and seek to build on their contribution. And like them</w:t>
      </w:r>
      <w:r w:rsidR="00201EE5" w:rsidRPr="00201EE5">
        <w:rPr>
          <w:rFonts w:asciiTheme="majorHAnsi" w:hAnsiTheme="majorHAnsi"/>
          <w:sz w:val="22"/>
          <w:szCs w:val="22"/>
        </w:rPr>
        <w:t xml:space="preserve"> </w:t>
      </w:r>
      <w:r w:rsidR="00201EE5">
        <w:rPr>
          <w:rFonts w:asciiTheme="majorHAnsi" w:hAnsiTheme="majorHAnsi"/>
          <w:sz w:val="22"/>
          <w:szCs w:val="22"/>
        </w:rPr>
        <w:t>we do not claim any exhaustiveness in our analysis</w:t>
      </w:r>
      <w:r>
        <w:rPr>
          <w:rFonts w:asciiTheme="majorHAnsi" w:hAnsiTheme="majorHAnsi"/>
          <w:sz w:val="22"/>
          <w:szCs w:val="22"/>
        </w:rPr>
        <w:t>, aim</w:t>
      </w:r>
      <w:r w:rsidR="00201EE5">
        <w:rPr>
          <w:rFonts w:asciiTheme="majorHAnsi" w:hAnsiTheme="majorHAnsi"/>
          <w:sz w:val="22"/>
          <w:szCs w:val="22"/>
        </w:rPr>
        <w:t>ing</w:t>
      </w:r>
      <w:r>
        <w:rPr>
          <w:rFonts w:asciiTheme="majorHAnsi" w:hAnsiTheme="majorHAnsi"/>
          <w:sz w:val="22"/>
          <w:szCs w:val="22"/>
        </w:rPr>
        <w:t xml:space="preserve"> merely to offer some </w:t>
      </w:r>
      <w:r w:rsidR="00201EE5">
        <w:rPr>
          <w:rFonts w:asciiTheme="majorHAnsi" w:hAnsiTheme="majorHAnsi"/>
          <w:sz w:val="22"/>
          <w:szCs w:val="22"/>
        </w:rPr>
        <w:t>preliminary suggestions</w:t>
      </w:r>
      <w:r w:rsidR="00C5337E">
        <w:rPr>
          <w:rFonts w:asciiTheme="majorHAnsi" w:hAnsiTheme="majorHAnsi"/>
          <w:sz w:val="22"/>
          <w:szCs w:val="22"/>
        </w:rPr>
        <w:t xml:space="preserve"> (though ones we hope are </w:t>
      </w:r>
      <w:r w:rsidR="008357F1">
        <w:rPr>
          <w:rFonts w:asciiTheme="majorHAnsi" w:hAnsiTheme="majorHAnsi"/>
          <w:sz w:val="22"/>
          <w:szCs w:val="22"/>
        </w:rPr>
        <w:t>catalytic</w:t>
      </w:r>
      <w:r w:rsidR="00C5337E">
        <w:rPr>
          <w:rFonts w:asciiTheme="majorHAnsi" w:hAnsiTheme="majorHAnsi"/>
          <w:sz w:val="22"/>
          <w:szCs w:val="22"/>
        </w:rPr>
        <w:t xml:space="preserve"> to the development of the field)</w:t>
      </w:r>
      <w:r>
        <w:rPr>
          <w:rFonts w:asciiTheme="majorHAnsi" w:hAnsiTheme="majorHAnsi"/>
          <w:sz w:val="22"/>
          <w:szCs w:val="22"/>
        </w:rPr>
        <w:t xml:space="preserve">. However, whereas they frame their analysis in terms of principles that should inform the substance of design, we frame our contribution in terms of the values </w:t>
      </w:r>
      <w:r w:rsidR="003B193C">
        <w:rPr>
          <w:rFonts w:asciiTheme="majorHAnsi" w:hAnsiTheme="majorHAnsi"/>
          <w:sz w:val="22"/>
          <w:szCs w:val="22"/>
        </w:rPr>
        <w:t xml:space="preserve">that should </w:t>
      </w:r>
      <w:r w:rsidR="00542A2F">
        <w:rPr>
          <w:rFonts w:asciiTheme="majorHAnsi" w:hAnsiTheme="majorHAnsi"/>
          <w:sz w:val="22"/>
          <w:szCs w:val="22"/>
        </w:rPr>
        <w:t xml:space="preserve">be </w:t>
      </w:r>
      <w:r w:rsidR="00FF7FA7">
        <w:rPr>
          <w:rFonts w:asciiTheme="majorHAnsi" w:hAnsiTheme="majorHAnsi"/>
          <w:sz w:val="22"/>
          <w:szCs w:val="22"/>
        </w:rPr>
        <w:t>promoted</w:t>
      </w:r>
      <w:r w:rsidR="00542A2F">
        <w:rPr>
          <w:rFonts w:asciiTheme="majorHAnsi" w:hAnsiTheme="majorHAnsi"/>
          <w:sz w:val="22"/>
          <w:szCs w:val="22"/>
        </w:rPr>
        <w:t xml:space="preserve"> in</w:t>
      </w:r>
      <w:r>
        <w:rPr>
          <w:rFonts w:asciiTheme="majorHAnsi" w:hAnsiTheme="majorHAnsi"/>
          <w:sz w:val="22"/>
          <w:szCs w:val="22"/>
        </w:rPr>
        <w:t xml:space="preserve"> </w:t>
      </w:r>
      <w:r w:rsidR="008D3591">
        <w:rPr>
          <w:rFonts w:asciiTheme="majorHAnsi" w:hAnsiTheme="majorHAnsi"/>
          <w:sz w:val="22"/>
          <w:szCs w:val="22"/>
        </w:rPr>
        <w:t>structural</w:t>
      </w:r>
      <w:r>
        <w:rPr>
          <w:rFonts w:asciiTheme="majorHAnsi" w:hAnsiTheme="majorHAnsi"/>
          <w:sz w:val="22"/>
          <w:szCs w:val="22"/>
        </w:rPr>
        <w:t xml:space="preserve"> design. </w:t>
      </w:r>
      <w:r w:rsidR="00107CD7">
        <w:rPr>
          <w:rFonts w:asciiTheme="majorHAnsi" w:hAnsiTheme="majorHAnsi"/>
          <w:sz w:val="22"/>
          <w:szCs w:val="22"/>
        </w:rPr>
        <w:t xml:space="preserve">We </w:t>
      </w:r>
      <w:r w:rsidR="00086748">
        <w:rPr>
          <w:rFonts w:asciiTheme="majorHAnsi" w:hAnsiTheme="majorHAnsi"/>
          <w:sz w:val="22"/>
          <w:szCs w:val="22"/>
        </w:rPr>
        <w:t xml:space="preserve">must also stress that we </w:t>
      </w:r>
      <w:r w:rsidR="00BC3AD0">
        <w:rPr>
          <w:rFonts w:asciiTheme="majorHAnsi" w:hAnsiTheme="majorHAnsi"/>
          <w:sz w:val="22"/>
          <w:szCs w:val="22"/>
        </w:rPr>
        <w:t>do not offer any pre</w:t>
      </w:r>
      <w:r w:rsidR="00107CD7">
        <w:rPr>
          <w:rFonts w:asciiTheme="majorHAnsi" w:hAnsiTheme="majorHAnsi"/>
          <w:sz w:val="22"/>
          <w:szCs w:val="22"/>
        </w:rPr>
        <w:t xml:space="preserve">cise prescriptions </w:t>
      </w:r>
      <w:r w:rsidR="00544549">
        <w:rPr>
          <w:rFonts w:asciiTheme="majorHAnsi" w:hAnsiTheme="majorHAnsi"/>
          <w:sz w:val="22"/>
          <w:szCs w:val="22"/>
        </w:rPr>
        <w:t xml:space="preserve">about particular </w:t>
      </w:r>
      <w:r w:rsidR="002B1527">
        <w:rPr>
          <w:rFonts w:asciiTheme="majorHAnsi" w:hAnsiTheme="majorHAnsi"/>
          <w:sz w:val="22"/>
          <w:szCs w:val="22"/>
        </w:rPr>
        <w:t>design</w:t>
      </w:r>
      <w:r w:rsidR="00544549">
        <w:rPr>
          <w:rFonts w:asciiTheme="majorHAnsi" w:hAnsiTheme="majorHAnsi"/>
          <w:sz w:val="22"/>
          <w:szCs w:val="22"/>
        </w:rPr>
        <w:t>s</w:t>
      </w:r>
      <w:r w:rsidR="002B1527">
        <w:rPr>
          <w:rFonts w:asciiTheme="majorHAnsi" w:hAnsiTheme="majorHAnsi"/>
          <w:sz w:val="22"/>
          <w:szCs w:val="22"/>
        </w:rPr>
        <w:t xml:space="preserve"> </w:t>
      </w:r>
      <w:r w:rsidR="00544549">
        <w:rPr>
          <w:rFonts w:asciiTheme="majorHAnsi" w:hAnsiTheme="majorHAnsi"/>
          <w:sz w:val="22"/>
          <w:szCs w:val="22"/>
        </w:rPr>
        <w:t xml:space="preserve">that </w:t>
      </w:r>
      <w:r w:rsidR="002B1527">
        <w:rPr>
          <w:rFonts w:asciiTheme="majorHAnsi" w:hAnsiTheme="majorHAnsi"/>
          <w:sz w:val="22"/>
          <w:szCs w:val="22"/>
        </w:rPr>
        <w:t xml:space="preserve">should emerge from debate. Indeed, it is a basic tenet of our analysis that such debate should take place in a piecemeal </w:t>
      </w:r>
      <w:r w:rsidR="00544549">
        <w:rPr>
          <w:rFonts w:asciiTheme="majorHAnsi" w:hAnsiTheme="majorHAnsi"/>
          <w:sz w:val="22"/>
          <w:szCs w:val="22"/>
        </w:rPr>
        <w:t>fashion</w:t>
      </w:r>
      <w:r w:rsidR="002B1527">
        <w:rPr>
          <w:rFonts w:asciiTheme="majorHAnsi" w:hAnsiTheme="majorHAnsi"/>
          <w:sz w:val="22"/>
          <w:szCs w:val="22"/>
        </w:rPr>
        <w:t xml:space="preserve"> according to the particularities of a policy area. Although Mullen and Thomas are right to argue for a “system of internal review”,</w:t>
      </w:r>
      <w:r w:rsidR="003C74F6">
        <w:rPr>
          <w:rStyle w:val="FootnoteReference"/>
          <w:rFonts w:asciiTheme="majorHAnsi" w:hAnsiTheme="majorHAnsi"/>
          <w:sz w:val="22"/>
          <w:szCs w:val="22"/>
        </w:rPr>
        <w:footnoteReference w:id="59"/>
      </w:r>
      <w:r w:rsidR="002B1527">
        <w:rPr>
          <w:rFonts w:asciiTheme="majorHAnsi" w:hAnsiTheme="majorHAnsi"/>
          <w:sz w:val="22"/>
          <w:szCs w:val="22"/>
        </w:rPr>
        <w:t xml:space="preserve"> this should not mean, we suggest, that any such system should be uniform across the entire administrative justice sector.</w:t>
      </w:r>
      <w:r w:rsidR="00544549">
        <w:rPr>
          <w:rFonts w:asciiTheme="majorHAnsi" w:hAnsiTheme="majorHAnsi"/>
          <w:sz w:val="22"/>
          <w:szCs w:val="22"/>
        </w:rPr>
        <w:t xml:space="preserve"> </w:t>
      </w:r>
    </w:p>
    <w:p w14:paraId="4907A211" w14:textId="77777777" w:rsidR="00274FF9" w:rsidRDefault="00274FF9" w:rsidP="002619EB">
      <w:pPr>
        <w:rPr>
          <w:rFonts w:asciiTheme="majorHAnsi" w:hAnsiTheme="majorHAnsi"/>
          <w:sz w:val="22"/>
          <w:szCs w:val="22"/>
        </w:rPr>
      </w:pPr>
    </w:p>
    <w:p w14:paraId="0988EB26" w14:textId="4C84320C" w:rsidR="00D94623" w:rsidRDefault="00EB330E" w:rsidP="00D94623">
      <w:pPr>
        <w:rPr>
          <w:rFonts w:asciiTheme="majorHAnsi" w:hAnsiTheme="majorHAnsi"/>
          <w:sz w:val="22"/>
          <w:szCs w:val="22"/>
        </w:rPr>
      </w:pPr>
      <w:r>
        <w:rPr>
          <w:rFonts w:asciiTheme="majorHAnsi" w:hAnsiTheme="majorHAnsi"/>
          <w:sz w:val="22"/>
          <w:szCs w:val="22"/>
        </w:rPr>
        <w:t>What</w:t>
      </w:r>
      <w:r w:rsidR="00274FF9">
        <w:rPr>
          <w:rFonts w:asciiTheme="majorHAnsi" w:hAnsiTheme="majorHAnsi"/>
          <w:sz w:val="22"/>
          <w:szCs w:val="22"/>
        </w:rPr>
        <w:t xml:space="preserve"> </w:t>
      </w:r>
      <w:r w:rsidR="00D94623">
        <w:rPr>
          <w:rFonts w:asciiTheme="majorHAnsi" w:hAnsiTheme="majorHAnsi"/>
          <w:sz w:val="22"/>
          <w:szCs w:val="22"/>
        </w:rPr>
        <w:t>values</w:t>
      </w:r>
      <w:r w:rsidR="001140DD">
        <w:rPr>
          <w:rFonts w:asciiTheme="majorHAnsi" w:hAnsiTheme="majorHAnsi"/>
          <w:sz w:val="22"/>
          <w:szCs w:val="22"/>
        </w:rPr>
        <w:t xml:space="preserve">, </w:t>
      </w:r>
      <w:r>
        <w:rPr>
          <w:rFonts w:asciiTheme="majorHAnsi" w:hAnsiTheme="majorHAnsi"/>
          <w:sz w:val="22"/>
          <w:szCs w:val="22"/>
        </w:rPr>
        <w:t xml:space="preserve">then, </w:t>
      </w:r>
      <w:r w:rsidR="00F83A9A">
        <w:rPr>
          <w:rFonts w:asciiTheme="majorHAnsi" w:hAnsiTheme="majorHAnsi"/>
          <w:sz w:val="22"/>
          <w:szCs w:val="22"/>
        </w:rPr>
        <w:t>should be</w:t>
      </w:r>
      <w:r>
        <w:rPr>
          <w:rFonts w:asciiTheme="majorHAnsi" w:hAnsiTheme="majorHAnsi"/>
          <w:sz w:val="22"/>
          <w:szCs w:val="22"/>
        </w:rPr>
        <w:t xml:space="preserve"> foundational</w:t>
      </w:r>
      <w:r w:rsidR="00D94623">
        <w:rPr>
          <w:rFonts w:asciiTheme="majorHAnsi" w:hAnsiTheme="majorHAnsi"/>
          <w:sz w:val="22"/>
          <w:szCs w:val="22"/>
        </w:rPr>
        <w:t xml:space="preserve"> to</w:t>
      </w:r>
      <w:r w:rsidR="00274FF9">
        <w:rPr>
          <w:rFonts w:asciiTheme="majorHAnsi" w:hAnsiTheme="majorHAnsi"/>
          <w:sz w:val="22"/>
          <w:szCs w:val="22"/>
        </w:rPr>
        <w:t xml:space="preserve"> </w:t>
      </w:r>
      <w:r w:rsidR="008D3591">
        <w:rPr>
          <w:rFonts w:asciiTheme="majorHAnsi" w:hAnsiTheme="majorHAnsi"/>
          <w:sz w:val="22"/>
          <w:szCs w:val="22"/>
        </w:rPr>
        <w:t>structural</w:t>
      </w:r>
      <w:r w:rsidR="00274FF9">
        <w:rPr>
          <w:rFonts w:asciiTheme="majorHAnsi" w:hAnsiTheme="majorHAnsi"/>
          <w:sz w:val="22"/>
          <w:szCs w:val="22"/>
        </w:rPr>
        <w:t xml:space="preserve"> design</w:t>
      </w:r>
      <w:r>
        <w:rPr>
          <w:rFonts w:asciiTheme="majorHAnsi" w:hAnsiTheme="majorHAnsi"/>
          <w:sz w:val="22"/>
          <w:szCs w:val="22"/>
        </w:rPr>
        <w:t>?</w:t>
      </w:r>
      <w:r w:rsidR="00274FF9">
        <w:rPr>
          <w:rFonts w:asciiTheme="majorHAnsi" w:hAnsiTheme="majorHAnsi"/>
          <w:sz w:val="22"/>
          <w:szCs w:val="22"/>
        </w:rPr>
        <w:t xml:space="preserve"> </w:t>
      </w:r>
      <w:r w:rsidR="00AF4A64">
        <w:rPr>
          <w:rFonts w:asciiTheme="majorHAnsi" w:hAnsiTheme="majorHAnsi"/>
          <w:sz w:val="22"/>
          <w:szCs w:val="22"/>
        </w:rPr>
        <w:t>We restrict our discussion</w:t>
      </w:r>
      <w:r w:rsidR="00FE1A4C">
        <w:rPr>
          <w:rFonts w:asciiTheme="majorHAnsi" w:hAnsiTheme="majorHAnsi"/>
          <w:sz w:val="22"/>
          <w:szCs w:val="22"/>
        </w:rPr>
        <w:t xml:space="preserve"> to two of the most basic</w:t>
      </w:r>
      <w:r w:rsidR="002D385A">
        <w:rPr>
          <w:rFonts w:asciiTheme="majorHAnsi" w:hAnsiTheme="majorHAnsi"/>
          <w:sz w:val="22"/>
          <w:szCs w:val="22"/>
        </w:rPr>
        <w:t>:</w:t>
      </w:r>
      <w:r w:rsidR="00D94623">
        <w:rPr>
          <w:rFonts w:asciiTheme="majorHAnsi" w:hAnsiTheme="majorHAnsi"/>
          <w:sz w:val="22"/>
          <w:szCs w:val="22"/>
        </w:rPr>
        <w:t xml:space="preserve"> </w:t>
      </w:r>
    </w:p>
    <w:p w14:paraId="15F9EAD8" w14:textId="77777777" w:rsidR="00D94623" w:rsidRDefault="00D94623" w:rsidP="00D94623">
      <w:pPr>
        <w:rPr>
          <w:rFonts w:asciiTheme="majorHAnsi" w:hAnsiTheme="majorHAnsi"/>
          <w:sz w:val="22"/>
          <w:szCs w:val="22"/>
        </w:rPr>
      </w:pPr>
    </w:p>
    <w:p w14:paraId="0151FF1F" w14:textId="74244B6E" w:rsidR="00D94623" w:rsidRPr="00D94623" w:rsidRDefault="002D385A" w:rsidP="00D94623">
      <w:pPr>
        <w:pStyle w:val="ListParagraph"/>
        <w:numPr>
          <w:ilvl w:val="0"/>
          <w:numId w:val="3"/>
        </w:numPr>
        <w:rPr>
          <w:rFonts w:asciiTheme="majorHAnsi" w:hAnsiTheme="majorHAnsi"/>
          <w:sz w:val="22"/>
          <w:szCs w:val="22"/>
        </w:rPr>
      </w:pPr>
      <w:r>
        <w:rPr>
          <w:rFonts w:asciiTheme="majorHAnsi" w:hAnsiTheme="majorHAnsi"/>
          <w:sz w:val="22"/>
          <w:szCs w:val="22"/>
        </w:rPr>
        <w:t>t</w:t>
      </w:r>
      <w:r w:rsidR="00D94623">
        <w:rPr>
          <w:rFonts w:asciiTheme="majorHAnsi" w:hAnsiTheme="majorHAnsi"/>
          <w:sz w:val="22"/>
          <w:szCs w:val="22"/>
        </w:rPr>
        <w:t xml:space="preserve">he </w:t>
      </w:r>
      <w:r w:rsidR="00BF2D6A">
        <w:rPr>
          <w:rFonts w:asciiTheme="majorHAnsi" w:hAnsiTheme="majorHAnsi"/>
          <w:sz w:val="22"/>
          <w:szCs w:val="22"/>
        </w:rPr>
        <w:t xml:space="preserve">accuracy </w:t>
      </w:r>
      <w:r w:rsidR="00C26345">
        <w:rPr>
          <w:rFonts w:asciiTheme="majorHAnsi" w:hAnsiTheme="majorHAnsi"/>
          <w:sz w:val="22"/>
          <w:szCs w:val="22"/>
        </w:rPr>
        <w:t xml:space="preserve">of </w:t>
      </w:r>
      <w:r w:rsidR="006115B0">
        <w:rPr>
          <w:rFonts w:asciiTheme="majorHAnsi" w:hAnsiTheme="majorHAnsi"/>
          <w:sz w:val="22"/>
          <w:szCs w:val="22"/>
        </w:rPr>
        <w:t>entitlement decision-making</w:t>
      </w:r>
      <w:r w:rsidR="00D94623" w:rsidRPr="00D94623">
        <w:rPr>
          <w:rFonts w:asciiTheme="majorHAnsi" w:hAnsiTheme="majorHAnsi"/>
          <w:sz w:val="22"/>
          <w:szCs w:val="22"/>
        </w:rPr>
        <w:t xml:space="preserve"> </w:t>
      </w:r>
    </w:p>
    <w:p w14:paraId="16D76351" w14:textId="0BC2409E" w:rsidR="00086748" w:rsidRDefault="006115B0" w:rsidP="002619EB">
      <w:pPr>
        <w:pStyle w:val="ListParagraph"/>
        <w:numPr>
          <w:ilvl w:val="0"/>
          <w:numId w:val="3"/>
        </w:numPr>
        <w:rPr>
          <w:rFonts w:asciiTheme="majorHAnsi" w:hAnsiTheme="majorHAnsi"/>
          <w:sz w:val="22"/>
          <w:szCs w:val="22"/>
        </w:rPr>
      </w:pPr>
      <w:r>
        <w:rPr>
          <w:rFonts w:asciiTheme="majorHAnsi" w:hAnsiTheme="majorHAnsi"/>
          <w:sz w:val="22"/>
          <w:szCs w:val="22"/>
        </w:rPr>
        <w:t xml:space="preserve">the </w:t>
      </w:r>
      <w:r w:rsidR="00C26345">
        <w:rPr>
          <w:rFonts w:asciiTheme="majorHAnsi" w:hAnsiTheme="majorHAnsi"/>
          <w:sz w:val="22"/>
          <w:szCs w:val="22"/>
        </w:rPr>
        <w:t>efficiency</w:t>
      </w:r>
      <w:r>
        <w:rPr>
          <w:rFonts w:asciiTheme="majorHAnsi" w:hAnsiTheme="majorHAnsi"/>
          <w:sz w:val="22"/>
          <w:szCs w:val="22"/>
        </w:rPr>
        <w:t xml:space="preserve"> of administration</w:t>
      </w:r>
      <w:r w:rsidR="00C26345">
        <w:rPr>
          <w:rFonts w:asciiTheme="majorHAnsi" w:hAnsiTheme="majorHAnsi"/>
          <w:sz w:val="22"/>
          <w:szCs w:val="22"/>
        </w:rPr>
        <w:t xml:space="preserve"> </w:t>
      </w:r>
      <w:r>
        <w:rPr>
          <w:rFonts w:asciiTheme="majorHAnsi" w:hAnsiTheme="majorHAnsi"/>
          <w:sz w:val="22"/>
          <w:szCs w:val="22"/>
        </w:rPr>
        <w:t xml:space="preserve">(including </w:t>
      </w:r>
      <w:r w:rsidR="00FE1A4C">
        <w:rPr>
          <w:rFonts w:asciiTheme="majorHAnsi" w:hAnsiTheme="majorHAnsi"/>
          <w:sz w:val="22"/>
          <w:szCs w:val="22"/>
        </w:rPr>
        <w:t xml:space="preserve">both </w:t>
      </w:r>
      <w:r w:rsidR="001140DD">
        <w:rPr>
          <w:rFonts w:asciiTheme="majorHAnsi" w:hAnsiTheme="majorHAnsi"/>
          <w:sz w:val="22"/>
          <w:szCs w:val="22"/>
        </w:rPr>
        <w:t>initial</w:t>
      </w:r>
      <w:r w:rsidR="00C26345">
        <w:rPr>
          <w:rFonts w:asciiTheme="majorHAnsi" w:hAnsiTheme="majorHAnsi"/>
          <w:sz w:val="22"/>
          <w:szCs w:val="22"/>
        </w:rPr>
        <w:t xml:space="preserve"> decision-making</w:t>
      </w:r>
      <w:r w:rsidR="00FE1A4C">
        <w:rPr>
          <w:rFonts w:asciiTheme="majorHAnsi" w:hAnsiTheme="majorHAnsi"/>
          <w:sz w:val="22"/>
          <w:szCs w:val="22"/>
        </w:rPr>
        <w:t xml:space="preserve"> and the redress system</w:t>
      </w:r>
      <w:r>
        <w:rPr>
          <w:rFonts w:asciiTheme="majorHAnsi" w:hAnsiTheme="majorHAnsi"/>
          <w:sz w:val="22"/>
          <w:szCs w:val="22"/>
        </w:rPr>
        <w:t>)</w:t>
      </w:r>
    </w:p>
    <w:p w14:paraId="7353F27B" w14:textId="77777777" w:rsidR="00D33037" w:rsidRDefault="00D33037" w:rsidP="00D33037">
      <w:pPr>
        <w:rPr>
          <w:rFonts w:asciiTheme="majorHAnsi" w:hAnsiTheme="majorHAnsi"/>
          <w:sz w:val="22"/>
          <w:szCs w:val="22"/>
        </w:rPr>
      </w:pPr>
    </w:p>
    <w:p w14:paraId="1A39527F" w14:textId="11B40589" w:rsidR="00D33037" w:rsidRPr="00D33037" w:rsidRDefault="00D33037" w:rsidP="00D33037">
      <w:pPr>
        <w:rPr>
          <w:rFonts w:asciiTheme="majorHAnsi" w:hAnsiTheme="majorHAnsi"/>
          <w:sz w:val="22"/>
          <w:szCs w:val="22"/>
        </w:rPr>
      </w:pPr>
      <w:r>
        <w:rPr>
          <w:rFonts w:asciiTheme="majorHAnsi" w:hAnsiTheme="majorHAnsi"/>
          <w:sz w:val="22"/>
          <w:szCs w:val="22"/>
        </w:rPr>
        <w:t xml:space="preserve">Though we focus on but two values, both of which are stated above in simple and economical terms, their application to real world contexts is likely to be challenging. We </w:t>
      </w:r>
      <w:r w:rsidR="00C53B86">
        <w:rPr>
          <w:rFonts w:asciiTheme="majorHAnsi" w:hAnsiTheme="majorHAnsi"/>
          <w:sz w:val="22"/>
          <w:szCs w:val="22"/>
        </w:rPr>
        <w:t>set out</w:t>
      </w:r>
      <w:r>
        <w:rPr>
          <w:rFonts w:asciiTheme="majorHAnsi" w:hAnsiTheme="majorHAnsi"/>
          <w:sz w:val="22"/>
          <w:szCs w:val="22"/>
        </w:rPr>
        <w:t xml:space="preserve"> these challenge</w:t>
      </w:r>
      <w:r w:rsidR="00C53B86">
        <w:rPr>
          <w:rFonts w:asciiTheme="majorHAnsi" w:hAnsiTheme="majorHAnsi"/>
          <w:sz w:val="22"/>
          <w:szCs w:val="22"/>
        </w:rPr>
        <w:t>s</w:t>
      </w:r>
      <w:r>
        <w:rPr>
          <w:rFonts w:asciiTheme="majorHAnsi" w:hAnsiTheme="majorHAnsi"/>
          <w:sz w:val="22"/>
          <w:szCs w:val="22"/>
        </w:rPr>
        <w:t xml:space="preserve"> in the next sections</w:t>
      </w:r>
      <w:r w:rsidR="00C53B86">
        <w:rPr>
          <w:rFonts w:asciiTheme="majorHAnsi" w:hAnsiTheme="majorHAnsi"/>
          <w:sz w:val="22"/>
          <w:szCs w:val="22"/>
        </w:rPr>
        <w:t xml:space="preserve"> before going on to suggest some principles</w:t>
      </w:r>
      <w:r w:rsidR="003F38E6">
        <w:rPr>
          <w:rFonts w:asciiTheme="majorHAnsi" w:hAnsiTheme="majorHAnsi"/>
          <w:sz w:val="22"/>
          <w:szCs w:val="22"/>
        </w:rPr>
        <w:t xml:space="preserve"> that</w:t>
      </w:r>
      <w:r w:rsidR="00C53B86">
        <w:rPr>
          <w:rFonts w:asciiTheme="majorHAnsi" w:hAnsiTheme="majorHAnsi"/>
          <w:sz w:val="22"/>
          <w:szCs w:val="22"/>
        </w:rPr>
        <w:t xml:space="preserve"> should assist designers in facing them</w:t>
      </w:r>
      <w:r>
        <w:rPr>
          <w:rFonts w:asciiTheme="majorHAnsi" w:hAnsiTheme="majorHAnsi"/>
          <w:sz w:val="22"/>
          <w:szCs w:val="22"/>
        </w:rPr>
        <w:t>.</w:t>
      </w:r>
    </w:p>
    <w:p w14:paraId="021A6397" w14:textId="496B51DA" w:rsidR="00534EC9" w:rsidRDefault="00534EC9" w:rsidP="00534EC9">
      <w:pPr>
        <w:pStyle w:val="Heading2"/>
      </w:pPr>
      <w:r>
        <w:t>Accuracy</w:t>
      </w:r>
    </w:p>
    <w:p w14:paraId="26015303" w14:textId="30B851B0" w:rsidR="00FE1A4C" w:rsidRDefault="00565D45" w:rsidP="00FE1A4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sz w:val="22"/>
          <w:szCs w:val="22"/>
        </w:rPr>
      </w:pPr>
      <w:r>
        <w:rPr>
          <w:rFonts w:asciiTheme="majorHAnsi" w:hAnsiTheme="majorHAnsi"/>
          <w:sz w:val="22"/>
          <w:szCs w:val="22"/>
        </w:rPr>
        <w:t>A concern with the</w:t>
      </w:r>
      <w:r w:rsidR="00EC523E">
        <w:rPr>
          <w:rFonts w:asciiTheme="majorHAnsi" w:hAnsiTheme="majorHAnsi"/>
          <w:sz w:val="22"/>
          <w:szCs w:val="22"/>
        </w:rPr>
        <w:t xml:space="preserve"> accuracy of </w:t>
      </w:r>
      <w:r>
        <w:rPr>
          <w:rFonts w:asciiTheme="majorHAnsi" w:hAnsiTheme="majorHAnsi"/>
          <w:sz w:val="22"/>
          <w:szCs w:val="22"/>
        </w:rPr>
        <w:t xml:space="preserve">administrative </w:t>
      </w:r>
      <w:r w:rsidR="00EC523E">
        <w:rPr>
          <w:rFonts w:asciiTheme="majorHAnsi" w:hAnsiTheme="majorHAnsi"/>
          <w:sz w:val="22"/>
          <w:szCs w:val="22"/>
        </w:rPr>
        <w:t xml:space="preserve">decisions </w:t>
      </w:r>
      <w:r w:rsidR="00FE1A4C">
        <w:rPr>
          <w:rFonts w:asciiTheme="majorHAnsi" w:hAnsiTheme="majorHAnsi"/>
          <w:sz w:val="22"/>
          <w:szCs w:val="22"/>
        </w:rPr>
        <w:t xml:space="preserve">does not feature </w:t>
      </w:r>
      <w:r w:rsidR="00AF4A64">
        <w:rPr>
          <w:rFonts w:asciiTheme="majorHAnsi" w:hAnsiTheme="majorHAnsi"/>
          <w:sz w:val="22"/>
          <w:szCs w:val="22"/>
        </w:rPr>
        <w:t xml:space="preserve">explicitly </w:t>
      </w:r>
      <w:r w:rsidR="00FE1A4C">
        <w:rPr>
          <w:rFonts w:asciiTheme="majorHAnsi" w:hAnsiTheme="majorHAnsi"/>
          <w:sz w:val="22"/>
          <w:szCs w:val="22"/>
        </w:rPr>
        <w:t xml:space="preserve">in Bondy and Le Sueur’s list of principles. This is no failing on their part, however. It merely reflects the fact that the value of accuracy </w:t>
      </w:r>
      <w:r w:rsidR="00EC523E">
        <w:rPr>
          <w:rFonts w:asciiTheme="majorHAnsi" w:hAnsiTheme="majorHAnsi"/>
          <w:sz w:val="22"/>
          <w:szCs w:val="22"/>
        </w:rPr>
        <w:t xml:space="preserve">is self-evident. </w:t>
      </w:r>
      <w:r w:rsidR="00A7569F">
        <w:rPr>
          <w:rFonts w:asciiTheme="majorHAnsi" w:hAnsiTheme="majorHAnsi"/>
          <w:sz w:val="22"/>
          <w:szCs w:val="22"/>
        </w:rPr>
        <w:t>Indeed</w:t>
      </w:r>
      <w:r w:rsidR="00FE1A4C">
        <w:rPr>
          <w:rFonts w:asciiTheme="majorHAnsi" w:hAnsiTheme="majorHAnsi"/>
          <w:sz w:val="22"/>
          <w:szCs w:val="22"/>
        </w:rPr>
        <w:t xml:space="preserve">, it is implicit in </w:t>
      </w:r>
      <w:r w:rsidR="00AF4A64">
        <w:rPr>
          <w:rFonts w:asciiTheme="majorHAnsi" w:hAnsiTheme="majorHAnsi"/>
          <w:sz w:val="22"/>
          <w:szCs w:val="22"/>
        </w:rPr>
        <w:t>their</w:t>
      </w:r>
      <w:r w:rsidR="00FE1A4C">
        <w:rPr>
          <w:rFonts w:asciiTheme="majorHAnsi" w:hAnsiTheme="majorHAnsi"/>
          <w:sz w:val="22"/>
          <w:szCs w:val="22"/>
        </w:rPr>
        <w:t xml:space="preserve"> final suggested principle: </w:t>
      </w:r>
    </w:p>
    <w:p w14:paraId="21E6F974" w14:textId="77777777" w:rsidR="00FE1A4C" w:rsidRDefault="00FE1A4C" w:rsidP="00FE1A4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sz w:val="22"/>
          <w:szCs w:val="22"/>
        </w:rPr>
      </w:pPr>
    </w:p>
    <w:p w14:paraId="4AC68EAB" w14:textId="49362864" w:rsidR="00A7569F" w:rsidRDefault="00FE1A4C" w:rsidP="00FE1A4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Theme="majorHAnsi" w:hAnsiTheme="majorHAnsi"/>
          <w:noProof w:val="0"/>
          <w:sz w:val="22"/>
          <w:szCs w:val="22"/>
          <w:bdr w:val="none" w:sz="0" w:space="0" w:color="auto"/>
          <w:lang w:val="en-US"/>
        </w:rPr>
      </w:pPr>
      <w:r w:rsidRPr="00FE1A4C">
        <w:rPr>
          <w:rFonts w:asciiTheme="majorHAnsi" w:hAnsiTheme="majorHAnsi"/>
          <w:noProof w:val="0"/>
          <w:sz w:val="22"/>
          <w:szCs w:val="22"/>
          <w:bdr w:val="none" w:sz="0" w:space="0" w:color="auto"/>
          <w:lang w:val="en-US"/>
        </w:rPr>
        <w:t>As well as resolving individual grievances, redress mechanisms should contribute to improvements in public service by providing opportunities for public bodies to learn lessons.</w:t>
      </w:r>
      <w:r w:rsidR="00845ABA">
        <w:rPr>
          <w:rStyle w:val="FootnoteReference"/>
          <w:rFonts w:asciiTheme="majorHAnsi" w:hAnsiTheme="majorHAnsi"/>
          <w:noProof w:val="0"/>
          <w:sz w:val="22"/>
          <w:szCs w:val="22"/>
          <w:bdr w:val="none" w:sz="0" w:space="0" w:color="auto"/>
          <w:lang w:val="en-US"/>
        </w:rPr>
        <w:footnoteReference w:id="60"/>
      </w:r>
    </w:p>
    <w:p w14:paraId="625EE74F" w14:textId="77777777" w:rsidR="00D33037" w:rsidRDefault="00D33037" w:rsidP="00D3303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noProof w:val="0"/>
          <w:sz w:val="22"/>
          <w:szCs w:val="22"/>
          <w:bdr w:val="none" w:sz="0" w:space="0" w:color="auto"/>
          <w:lang w:val="en-US"/>
        </w:rPr>
      </w:pPr>
    </w:p>
    <w:p w14:paraId="5068B154" w14:textId="01F39A54" w:rsidR="00107454" w:rsidRDefault="00107454" w:rsidP="00D3303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sz w:val="22"/>
          <w:szCs w:val="22"/>
        </w:rPr>
      </w:pPr>
      <w:r>
        <w:rPr>
          <w:rFonts w:asciiTheme="majorHAnsi" w:hAnsiTheme="majorHAnsi"/>
          <w:sz w:val="22"/>
          <w:szCs w:val="22"/>
        </w:rPr>
        <w:lastRenderedPageBreak/>
        <w:t>The business of “resolving individual grievances” and the notion of “learning lessons”must, at some level, reflect (amongst other things) a concern with the accuracy of decisions. And what exactly do we mean</w:t>
      </w:r>
      <w:r w:rsidR="002A4C24">
        <w:rPr>
          <w:rFonts w:asciiTheme="majorHAnsi" w:hAnsiTheme="majorHAnsi"/>
          <w:sz w:val="22"/>
          <w:szCs w:val="22"/>
        </w:rPr>
        <w:t xml:space="preserve"> by ‘accuracy’? In relation to our focus in this article on applications for various welfare benefits, the value of accuracy concerns an ascertainment of the facts of a case sufficient to enable the public official properly to apply the law to those facts. </w:t>
      </w:r>
      <w:r w:rsidR="00710CBD">
        <w:rPr>
          <w:rFonts w:asciiTheme="majorHAnsi" w:hAnsiTheme="majorHAnsi"/>
          <w:sz w:val="22"/>
          <w:szCs w:val="22"/>
        </w:rPr>
        <w:t>This (admittedly slightly tortu</w:t>
      </w:r>
      <w:r w:rsidR="002A4C24">
        <w:rPr>
          <w:rFonts w:asciiTheme="majorHAnsi" w:hAnsiTheme="majorHAnsi"/>
          <w:sz w:val="22"/>
          <w:szCs w:val="22"/>
        </w:rPr>
        <w:t xml:space="preserve">ous) elaboration </w:t>
      </w:r>
      <w:r w:rsidR="00710CBD">
        <w:rPr>
          <w:rFonts w:asciiTheme="majorHAnsi" w:hAnsiTheme="majorHAnsi"/>
          <w:sz w:val="22"/>
          <w:szCs w:val="22"/>
        </w:rPr>
        <w:t>acknowledges</w:t>
      </w:r>
      <w:r w:rsidR="002A4C24">
        <w:rPr>
          <w:rFonts w:asciiTheme="majorHAnsi" w:hAnsiTheme="majorHAnsi"/>
          <w:sz w:val="22"/>
          <w:szCs w:val="22"/>
        </w:rPr>
        <w:t xml:space="preserve"> that the extent and detail of fact-finding that precedes the application of law</w:t>
      </w:r>
      <w:r w:rsidR="00710CBD">
        <w:rPr>
          <w:rFonts w:asciiTheme="majorHAnsi" w:hAnsiTheme="majorHAnsi"/>
          <w:sz w:val="22"/>
          <w:szCs w:val="22"/>
        </w:rPr>
        <w:t xml:space="preserve"> by public officials</w:t>
      </w:r>
      <w:r w:rsidR="002A4C24">
        <w:rPr>
          <w:rFonts w:asciiTheme="majorHAnsi" w:hAnsiTheme="majorHAnsi"/>
          <w:sz w:val="22"/>
          <w:szCs w:val="22"/>
        </w:rPr>
        <w:t xml:space="preserve"> will vary by context. For some legislative schemes and policy fields, only basic facts are required. In others, more detailed sets of facts are needed. Nonetheless, </w:t>
      </w:r>
      <w:r w:rsidR="00710CBD">
        <w:rPr>
          <w:rFonts w:asciiTheme="majorHAnsi" w:hAnsiTheme="majorHAnsi"/>
          <w:sz w:val="22"/>
          <w:szCs w:val="22"/>
        </w:rPr>
        <w:t>irrespective of the extent of complexity or detail required, the factual picture to which public officials apply the law should be accurate; and the application of the law should be consistent with the intention of Parliament and the guidance of the courts. ‘Accuracy’, then, embraces both the proper ascertainment of facts and the appropriate application of law.</w:t>
      </w:r>
    </w:p>
    <w:p w14:paraId="5B67C286" w14:textId="77777777" w:rsidR="00107454" w:rsidRDefault="00107454" w:rsidP="00D3303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sz w:val="22"/>
          <w:szCs w:val="22"/>
        </w:rPr>
      </w:pPr>
    </w:p>
    <w:p w14:paraId="7E176851" w14:textId="7043C033" w:rsidR="002C3F43" w:rsidRDefault="00D33037" w:rsidP="00D3303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sz w:val="22"/>
          <w:szCs w:val="22"/>
        </w:rPr>
      </w:pPr>
      <w:r>
        <w:rPr>
          <w:rFonts w:asciiTheme="majorHAnsi" w:hAnsiTheme="majorHAnsi"/>
          <w:sz w:val="22"/>
          <w:szCs w:val="22"/>
        </w:rPr>
        <w:t xml:space="preserve">This quotation </w:t>
      </w:r>
      <w:r w:rsidR="005153E8">
        <w:rPr>
          <w:rFonts w:asciiTheme="majorHAnsi" w:hAnsiTheme="majorHAnsi"/>
          <w:sz w:val="22"/>
          <w:szCs w:val="22"/>
        </w:rPr>
        <w:t xml:space="preserve">above from Bondy and Le Sueur </w:t>
      </w:r>
      <w:r>
        <w:rPr>
          <w:rFonts w:asciiTheme="majorHAnsi" w:hAnsiTheme="majorHAnsi"/>
          <w:sz w:val="22"/>
          <w:szCs w:val="22"/>
        </w:rPr>
        <w:t xml:space="preserve">helps to illuminate the challenge which policy-makers and other ‘designers’ face in trying to </w:t>
      </w:r>
      <w:r w:rsidR="00446F82">
        <w:rPr>
          <w:rFonts w:asciiTheme="majorHAnsi" w:hAnsiTheme="majorHAnsi"/>
          <w:sz w:val="22"/>
          <w:szCs w:val="22"/>
        </w:rPr>
        <w:t>promote</w:t>
      </w:r>
      <w:r>
        <w:rPr>
          <w:rFonts w:asciiTheme="majorHAnsi" w:hAnsiTheme="majorHAnsi"/>
          <w:sz w:val="22"/>
          <w:szCs w:val="22"/>
        </w:rPr>
        <w:t xml:space="preserve"> accuracy in </w:t>
      </w:r>
      <w:r w:rsidR="008D3591">
        <w:rPr>
          <w:rFonts w:asciiTheme="majorHAnsi" w:hAnsiTheme="majorHAnsi"/>
          <w:sz w:val="22"/>
          <w:szCs w:val="22"/>
        </w:rPr>
        <w:t>structural</w:t>
      </w:r>
      <w:r>
        <w:rPr>
          <w:rFonts w:asciiTheme="majorHAnsi" w:hAnsiTheme="majorHAnsi"/>
          <w:sz w:val="22"/>
          <w:szCs w:val="22"/>
        </w:rPr>
        <w:t xml:space="preserve"> design. The challenge, which we adverted to </w:t>
      </w:r>
      <w:r w:rsidR="005153E8">
        <w:rPr>
          <w:rFonts w:asciiTheme="majorHAnsi" w:hAnsiTheme="majorHAnsi"/>
          <w:sz w:val="22"/>
          <w:szCs w:val="22"/>
        </w:rPr>
        <w:t>in earlier sections</w:t>
      </w:r>
      <w:r>
        <w:rPr>
          <w:rFonts w:asciiTheme="majorHAnsi" w:hAnsiTheme="majorHAnsi"/>
          <w:sz w:val="22"/>
          <w:szCs w:val="22"/>
        </w:rPr>
        <w:t xml:space="preserve">, concerns the weight to be attached to accuracy in relation to </w:t>
      </w:r>
      <w:r w:rsidR="00831064">
        <w:rPr>
          <w:rFonts w:asciiTheme="majorHAnsi" w:hAnsiTheme="majorHAnsi"/>
          <w:sz w:val="22"/>
          <w:szCs w:val="22"/>
        </w:rPr>
        <w:t xml:space="preserve">the cases of </w:t>
      </w:r>
      <w:r>
        <w:rPr>
          <w:rFonts w:asciiTheme="majorHAnsi" w:hAnsiTheme="majorHAnsi"/>
          <w:sz w:val="22"/>
          <w:szCs w:val="22"/>
        </w:rPr>
        <w:t xml:space="preserve">individual grievants as opposed to </w:t>
      </w:r>
      <w:r w:rsidR="00831064">
        <w:rPr>
          <w:rFonts w:asciiTheme="majorHAnsi" w:hAnsiTheme="majorHAnsi"/>
          <w:sz w:val="22"/>
          <w:szCs w:val="22"/>
        </w:rPr>
        <w:t xml:space="preserve">those of </w:t>
      </w:r>
      <w:r>
        <w:rPr>
          <w:rFonts w:asciiTheme="majorHAnsi" w:hAnsiTheme="majorHAnsi"/>
          <w:sz w:val="22"/>
          <w:szCs w:val="22"/>
        </w:rPr>
        <w:t>all applicants (most of whom will not pursue grievances).</w:t>
      </w:r>
      <w:r w:rsidR="00C53B86">
        <w:rPr>
          <w:rFonts w:asciiTheme="majorHAnsi" w:hAnsiTheme="majorHAnsi"/>
          <w:sz w:val="22"/>
          <w:szCs w:val="22"/>
        </w:rPr>
        <w:t xml:space="preserve"> The accuracy ‘pay off’ of mandatory reconsideration </w:t>
      </w:r>
      <w:r w:rsidR="00694220">
        <w:rPr>
          <w:rFonts w:asciiTheme="majorHAnsi" w:hAnsiTheme="majorHAnsi"/>
          <w:sz w:val="22"/>
          <w:szCs w:val="22"/>
        </w:rPr>
        <w:t>may well</w:t>
      </w:r>
      <w:r w:rsidR="00C53B86">
        <w:rPr>
          <w:rFonts w:asciiTheme="majorHAnsi" w:hAnsiTheme="majorHAnsi"/>
          <w:sz w:val="22"/>
          <w:szCs w:val="22"/>
        </w:rPr>
        <w:t xml:space="preserve"> vary according to one’s focus. </w:t>
      </w:r>
    </w:p>
    <w:p w14:paraId="0CFAC42D" w14:textId="77777777" w:rsidR="002C3F43" w:rsidRDefault="002C3F43" w:rsidP="00D3303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sz w:val="22"/>
          <w:szCs w:val="22"/>
        </w:rPr>
      </w:pPr>
    </w:p>
    <w:p w14:paraId="3C902912" w14:textId="61DFBF82" w:rsidR="00831064" w:rsidRDefault="007A0B6A" w:rsidP="00EF4A6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sz w:val="22"/>
          <w:szCs w:val="22"/>
        </w:rPr>
      </w:pPr>
      <w:r>
        <w:rPr>
          <w:rFonts w:asciiTheme="majorHAnsi" w:hAnsiTheme="majorHAnsi"/>
          <w:sz w:val="22"/>
          <w:szCs w:val="22"/>
        </w:rPr>
        <w:t>M</w:t>
      </w:r>
      <w:r w:rsidR="00C53B86">
        <w:rPr>
          <w:rFonts w:asciiTheme="majorHAnsi" w:hAnsiTheme="majorHAnsi"/>
          <w:sz w:val="22"/>
          <w:szCs w:val="22"/>
        </w:rPr>
        <w:t>andatory reconsideration</w:t>
      </w:r>
      <w:r>
        <w:rPr>
          <w:rFonts w:asciiTheme="majorHAnsi" w:hAnsiTheme="majorHAnsi"/>
          <w:sz w:val="22"/>
          <w:szCs w:val="22"/>
        </w:rPr>
        <w:t>, by definition,</w:t>
      </w:r>
      <w:r w:rsidR="006D58E1">
        <w:rPr>
          <w:rFonts w:asciiTheme="majorHAnsi" w:hAnsiTheme="majorHAnsi"/>
          <w:sz w:val="22"/>
          <w:szCs w:val="22"/>
        </w:rPr>
        <w:t xml:space="preserve"> suffers from a lack of independence. A lack of independence may, in turn, threaten the impartiality of the fresh look at the facts of a case and the application of law to those facts. And yet, permitting grievants to by-pass internal review and go straight to external review </w:t>
      </w:r>
      <w:r w:rsidR="00F15F87">
        <w:rPr>
          <w:rFonts w:asciiTheme="majorHAnsi" w:hAnsiTheme="majorHAnsi"/>
          <w:sz w:val="22"/>
          <w:szCs w:val="22"/>
        </w:rPr>
        <w:t>may well</w:t>
      </w:r>
      <w:r w:rsidR="006D58E1">
        <w:rPr>
          <w:rFonts w:asciiTheme="majorHAnsi" w:hAnsiTheme="majorHAnsi"/>
          <w:sz w:val="22"/>
          <w:szCs w:val="22"/>
        </w:rPr>
        <w:t xml:space="preserve"> reduce the educative impact of </w:t>
      </w:r>
      <w:r w:rsidR="002C3F43">
        <w:rPr>
          <w:rFonts w:asciiTheme="majorHAnsi" w:hAnsiTheme="majorHAnsi"/>
          <w:sz w:val="22"/>
          <w:szCs w:val="22"/>
        </w:rPr>
        <w:t xml:space="preserve">the </w:t>
      </w:r>
      <w:r w:rsidR="006D58E1">
        <w:rPr>
          <w:rFonts w:asciiTheme="majorHAnsi" w:hAnsiTheme="majorHAnsi"/>
          <w:sz w:val="22"/>
          <w:szCs w:val="22"/>
        </w:rPr>
        <w:t>review</w:t>
      </w:r>
      <w:r w:rsidR="002C3F43">
        <w:rPr>
          <w:rFonts w:asciiTheme="majorHAnsi" w:hAnsiTheme="majorHAnsi"/>
          <w:sz w:val="22"/>
          <w:szCs w:val="22"/>
        </w:rPr>
        <w:t xml:space="preserve"> </w:t>
      </w:r>
      <w:r w:rsidR="00916EB0">
        <w:rPr>
          <w:rFonts w:asciiTheme="majorHAnsi" w:hAnsiTheme="majorHAnsi"/>
          <w:sz w:val="22"/>
          <w:szCs w:val="22"/>
        </w:rPr>
        <w:t>process</w:t>
      </w:r>
      <w:r w:rsidR="006D58E1">
        <w:rPr>
          <w:rFonts w:asciiTheme="majorHAnsi" w:hAnsiTheme="majorHAnsi"/>
          <w:sz w:val="22"/>
          <w:szCs w:val="22"/>
        </w:rPr>
        <w:t>. External review is more remote from the front-line of administrative agencies</w:t>
      </w:r>
      <w:r w:rsidR="007F4C4A">
        <w:rPr>
          <w:rFonts w:asciiTheme="majorHAnsi" w:hAnsiTheme="majorHAnsi"/>
          <w:sz w:val="22"/>
          <w:szCs w:val="22"/>
        </w:rPr>
        <w:t xml:space="preserve"> than</w:t>
      </w:r>
      <w:r>
        <w:rPr>
          <w:rFonts w:asciiTheme="majorHAnsi" w:hAnsiTheme="majorHAnsi"/>
          <w:sz w:val="22"/>
          <w:szCs w:val="22"/>
        </w:rPr>
        <w:t xml:space="preserve"> is internal review; and </w:t>
      </w:r>
      <w:r w:rsidR="007F4C4A">
        <w:rPr>
          <w:rFonts w:asciiTheme="majorHAnsi" w:hAnsiTheme="majorHAnsi"/>
          <w:sz w:val="22"/>
          <w:szCs w:val="22"/>
        </w:rPr>
        <w:t xml:space="preserve">empirically speaking, </w:t>
      </w:r>
      <w:r>
        <w:rPr>
          <w:rFonts w:asciiTheme="majorHAnsi" w:hAnsiTheme="majorHAnsi"/>
          <w:sz w:val="22"/>
          <w:szCs w:val="22"/>
        </w:rPr>
        <w:t>t</w:t>
      </w:r>
      <w:r w:rsidR="006D58E1">
        <w:rPr>
          <w:rFonts w:asciiTheme="majorHAnsi" w:hAnsiTheme="majorHAnsi"/>
          <w:sz w:val="22"/>
          <w:szCs w:val="22"/>
        </w:rPr>
        <w:t xml:space="preserve">he greater the </w:t>
      </w:r>
      <w:r w:rsidR="00916EB0">
        <w:rPr>
          <w:rFonts w:asciiTheme="majorHAnsi" w:hAnsiTheme="majorHAnsi"/>
          <w:sz w:val="22"/>
          <w:szCs w:val="22"/>
        </w:rPr>
        <w:t>‘</w:t>
      </w:r>
      <w:r w:rsidR="006D58E1">
        <w:rPr>
          <w:rFonts w:asciiTheme="majorHAnsi" w:hAnsiTheme="majorHAnsi"/>
          <w:sz w:val="22"/>
          <w:szCs w:val="22"/>
        </w:rPr>
        <w:t>relational distance</w:t>
      </w:r>
      <w:r w:rsidR="00916EB0">
        <w:rPr>
          <w:rFonts w:asciiTheme="majorHAnsi" w:hAnsiTheme="majorHAnsi"/>
          <w:sz w:val="22"/>
          <w:szCs w:val="22"/>
        </w:rPr>
        <w:t>’</w:t>
      </w:r>
      <w:r w:rsidR="00916EB0">
        <w:rPr>
          <w:rStyle w:val="FootnoteReference"/>
          <w:rFonts w:asciiTheme="majorHAnsi" w:hAnsiTheme="majorHAnsi"/>
          <w:sz w:val="22"/>
          <w:szCs w:val="22"/>
        </w:rPr>
        <w:footnoteReference w:id="61"/>
      </w:r>
      <w:r w:rsidR="006D58E1">
        <w:rPr>
          <w:rFonts w:asciiTheme="majorHAnsi" w:hAnsiTheme="majorHAnsi"/>
          <w:sz w:val="22"/>
          <w:szCs w:val="22"/>
        </w:rPr>
        <w:t xml:space="preserve"> betw</w:t>
      </w:r>
      <w:r>
        <w:rPr>
          <w:rFonts w:asciiTheme="majorHAnsi" w:hAnsiTheme="majorHAnsi"/>
          <w:sz w:val="22"/>
          <w:szCs w:val="22"/>
        </w:rPr>
        <w:t>een the front-lines and the rev</w:t>
      </w:r>
      <w:r w:rsidR="006D58E1">
        <w:rPr>
          <w:rFonts w:asciiTheme="majorHAnsi" w:hAnsiTheme="majorHAnsi"/>
          <w:sz w:val="22"/>
          <w:szCs w:val="22"/>
        </w:rPr>
        <w:t>i</w:t>
      </w:r>
      <w:r>
        <w:rPr>
          <w:rFonts w:asciiTheme="majorHAnsi" w:hAnsiTheme="majorHAnsi"/>
          <w:sz w:val="22"/>
          <w:szCs w:val="22"/>
        </w:rPr>
        <w:t>e</w:t>
      </w:r>
      <w:r w:rsidR="006D58E1">
        <w:rPr>
          <w:rFonts w:asciiTheme="majorHAnsi" w:hAnsiTheme="majorHAnsi"/>
          <w:sz w:val="22"/>
          <w:szCs w:val="22"/>
        </w:rPr>
        <w:t>wers, the greater the barriers are to positive lessons being learned by those on the front-line.</w:t>
      </w:r>
      <w:r w:rsidR="002C3F43">
        <w:rPr>
          <w:rStyle w:val="FootnoteReference"/>
          <w:rFonts w:asciiTheme="majorHAnsi" w:hAnsiTheme="majorHAnsi"/>
          <w:sz w:val="22"/>
          <w:szCs w:val="22"/>
        </w:rPr>
        <w:footnoteReference w:id="62"/>
      </w:r>
      <w:r w:rsidR="006D58E1">
        <w:rPr>
          <w:rFonts w:asciiTheme="majorHAnsi" w:hAnsiTheme="majorHAnsi"/>
          <w:sz w:val="22"/>
          <w:szCs w:val="22"/>
        </w:rPr>
        <w:t xml:space="preserve"> As the research on the impact of judicial review on bureaucracies shows, there is much that stands in the way of front-line officials internalising </w:t>
      </w:r>
      <w:r w:rsidR="00831064">
        <w:rPr>
          <w:rFonts w:asciiTheme="majorHAnsi" w:hAnsiTheme="majorHAnsi"/>
          <w:sz w:val="22"/>
          <w:szCs w:val="22"/>
        </w:rPr>
        <w:t xml:space="preserve">and putting into routine practice </w:t>
      </w:r>
      <w:r w:rsidR="006D58E1">
        <w:rPr>
          <w:rFonts w:asciiTheme="majorHAnsi" w:hAnsiTheme="majorHAnsi"/>
          <w:sz w:val="22"/>
          <w:szCs w:val="22"/>
        </w:rPr>
        <w:t>the lessons that</w:t>
      </w:r>
      <w:r>
        <w:rPr>
          <w:rFonts w:asciiTheme="majorHAnsi" w:hAnsiTheme="majorHAnsi"/>
          <w:sz w:val="22"/>
          <w:szCs w:val="22"/>
        </w:rPr>
        <w:t>,</w:t>
      </w:r>
      <w:r w:rsidR="006D58E1">
        <w:rPr>
          <w:rFonts w:asciiTheme="majorHAnsi" w:hAnsiTheme="majorHAnsi"/>
          <w:sz w:val="22"/>
          <w:szCs w:val="22"/>
        </w:rPr>
        <w:t xml:space="preserve"> theoretically</w:t>
      </w:r>
      <w:r>
        <w:rPr>
          <w:rFonts w:asciiTheme="majorHAnsi" w:hAnsiTheme="majorHAnsi"/>
          <w:sz w:val="22"/>
          <w:szCs w:val="22"/>
        </w:rPr>
        <w:t>,</w:t>
      </w:r>
      <w:r w:rsidR="006D58E1">
        <w:rPr>
          <w:rFonts w:asciiTheme="majorHAnsi" w:hAnsiTheme="majorHAnsi"/>
          <w:sz w:val="22"/>
          <w:szCs w:val="22"/>
        </w:rPr>
        <w:t xml:space="preserve"> </w:t>
      </w:r>
      <w:r>
        <w:rPr>
          <w:rFonts w:asciiTheme="majorHAnsi" w:hAnsiTheme="majorHAnsi"/>
          <w:sz w:val="22"/>
          <w:szCs w:val="22"/>
        </w:rPr>
        <w:t xml:space="preserve">can </w:t>
      </w:r>
      <w:r w:rsidR="006D58E1">
        <w:rPr>
          <w:rFonts w:asciiTheme="majorHAnsi" w:hAnsiTheme="majorHAnsi"/>
          <w:sz w:val="22"/>
          <w:szCs w:val="22"/>
        </w:rPr>
        <w:t>be learned from external review</w:t>
      </w:r>
      <w:r w:rsidR="00EF4A6C">
        <w:rPr>
          <w:rFonts w:asciiTheme="majorHAnsi" w:hAnsiTheme="majorHAnsi"/>
          <w:sz w:val="22"/>
          <w:szCs w:val="22"/>
        </w:rPr>
        <w:t xml:space="preserve"> – lessons that will improve the quality of front-line decision-making, including its accuracy</w:t>
      </w:r>
      <w:r w:rsidR="006D58E1">
        <w:rPr>
          <w:rFonts w:asciiTheme="majorHAnsi" w:hAnsiTheme="majorHAnsi"/>
          <w:sz w:val="22"/>
          <w:szCs w:val="22"/>
        </w:rPr>
        <w:t>.</w:t>
      </w:r>
      <w:r w:rsidR="006D58E1">
        <w:rPr>
          <w:rStyle w:val="FootnoteReference"/>
          <w:rFonts w:asciiTheme="majorHAnsi" w:hAnsiTheme="majorHAnsi"/>
          <w:sz w:val="22"/>
          <w:szCs w:val="22"/>
        </w:rPr>
        <w:footnoteReference w:id="63"/>
      </w:r>
      <w:r>
        <w:rPr>
          <w:rFonts w:asciiTheme="majorHAnsi" w:hAnsiTheme="majorHAnsi"/>
          <w:sz w:val="22"/>
          <w:szCs w:val="22"/>
        </w:rPr>
        <w:t xml:space="preserve"> By way of contrast, as</w:t>
      </w:r>
      <w:r w:rsidR="006115B0">
        <w:rPr>
          <w:rFonts w:asciiTheme="majorHAnsi" w:hAnsiTheme="majorHAnsi"/>
          <w:sz w:val="22"/>
          <w:szCs w:val="22"/>
        </w:rPr>
        <w:t xml:space="preserve"> our qualitative study 1 showed and as our survey data suggest,</w:t>
      </w:r>
      <w:r>
        <w:rPr>
          <w:rFonts w:asciiTheme="majorHAnsi" w:hAnsiTheme="majorHAnsi"/>
          <w:sz w:val="22"/>
          <w:szCs w:val="22"/>
        </w:rPr>
        <w:t xml:space="preserve"> internal review </w:t>
      </w:r>
      <w:r w:rsidR="00F15F87">
        <w:rPr>
          <w:rFonts w:asciiTheme="majorHAnsi" w:hAnsiTheme="majorHAnsi"/>
          <w:sz w:val="22"/>
          <w:szCs w:val="22"/>
        </w:rPr>
        <w:t xml:space="preserve">in </w:t>
      </w:r>
      <w:r w:rsidR="00442BEA">
        <w:rPr>
          <w:rFonts w:asciiTheme="majorHAnsi" w:hAnsiTheme="majorHAnsi"/>
          <w:sz w:val="22"/>
          <w:szCs w:val="22"/>
        </w:rPr>
        <w:t>at least some</w:t>
      </w:r>
      <w:r w:rsidR="00F15F87">
        <w:rPr>
          <w:rFonts w:asciiTheme="majorHAnsi" w:hAnsiTheme="majorHAnsi"/>
          <w:sz w:val="22"/>
          <w:szCs w:val="22"/>
        </w:rPr>
        <w:t xml:space="preserve"> welfare contexts </w:t>
      </w:r>
      <w:r>
        <w:rPr>
          <w:rFonts w:asciiTheme="majorHAnsi" w:hAnsiTheme="majorHAnsi"/>
          <w:sz w:val="22"/>
          <w:szCs w:val="22"/>
        </w:rPr>
        <w:t>has enhanced educative potential</w:t>
      </w:r>
      <w:r w:rsidR="00831064">
        <w:rPr>
          <w:rFonts w:asciiTheme="majorHAnsi" w:hAnsiTheme="majorHAnsi"/>
          <w:sz w:val="22"/>
          <w:szCs w:val="22"/>
        </w:rPr>
        <w:t xml:space="preserve"> when compared to external review</w:t>
      </w:r>
      <w:r w:rsidR="00EF4A6C">
        <w:rPr>
          <w:rFonts w:asciiTheme="majorHAnsi" w:hAnsiTheme="majorHAnsi"/>
          <w:sz w:val="22"/>
          <w:szCs w:val="22"/>
        </w:rPr>
        <w:t xml:space="preserve">. Officers who are senior to those on the front-line and who conduct internal reviews are capable of taking on a role akin to internal compliance officers. </w:t>
      </w:r>
      <w:r w:rsidR="00F15F87">
        <w:rPr>
          <w:rFonts w:asciiTheme="majorHAnsi" w:hAnsiTheme="majorHAnsi"/>
          <w:sz w:val="22"/>
          <w:szCs w:val="22"/>
        </w:rPr>
        <w:t>Where they are proximate</w:t>
      </w:r>
      <w:r w:rsidR="00EF4A6C">
        <w:rPr>
          <w:rFonts w:asciiTheme="majorHAnsi" w:hAnsiTheme="majorHAnsi"/>
          <w:sz w:val="22"/>
          <w:szCs w:val="22"/>
        </w:rPr>
        <w:t xml:space="preserve"> to the front-lines</w:t>
      </w:r>
      <w:r w:rsidR="00F15F87">
        <w:rPr>
          <w:rFonts w:asciiTheme="majorHAnsi" w:hAnsiTheme="majorHAnsi"/>
          <w:sz w:val="22"/>
          <w:szCs w:val="22"/>
        </w:rPr>
        <w:t>, given</w:t>
      </w:r>
      <w:r w:rsidR="00EF4A6C">
        <w:rPr>
          <w:rFonts w:asciiTheme="majorHAnsi" w:hAnsiTheme="majorHAnsi"/>
          <w:sz w:val="22"/>
          <w:szCs w:val="22"/>
        </w:rPr>
        <w:t xml:space="preserve"> the routine nature of the internal review activity, they </w:t>
      </w:r>
      <w:r w:rsidR="00F15F87">
        <w:rPr>
          <w:rFonts w:asciiTheme="majorHAnsi" w:hAnsiTheme="majorHAnsi"/>
          <w:sz w:val="22"/>
          <w:szCs w:val="22"/>
        </w:rPr>
        <w:t>will be</w:t>
      </w:r>
      <w:r w:rsidR="00EF4A6C">
        <w:rPr>
          <w:rFonts w:asciiTheme="majorHAnsi" w:hAnsiTheme="majorHAnsi"/>
          <w:sz w:val="22"/>
          <w:szCs w:val="22"/>
        </w:rPr>
        <w:t xml:space="preserve"> in a privileged positio</w:t>
      </w:r>
      <w:r w:rsidR="0023389A">
        <w:rPr>
          <w:rFonts w:asciiTheme="majorHAnsi" w:hAnsiTheme="majorHAnsi"/>
          <w:sz w:val="22"/>
          <w:szCs w:val="22"/>
        </w:rPr>
        <w:t>n to try and improve front-line</w:t>
      </w:r>
      <w:r w:rsidR="00EF4A6C">
        <w:rPr>
          <w:rFonts w:asciiTheme="majorHAnsi" w:hAnsiTheme="majorHAnsi"/>
          <w:sz w:val="22"/>
          <w:szCs w:val="22"/>
        </w:rPr>
        <w:t xml:space="preserve"> practice</w:t>
      </w:r>
      <w:r w:rsidR="0023389A">
        <w:rPr>
          <w:rFonts w:asciiTheme="majorHAnsi" w:hAnsiTheme="majorHAnsi"/>
          <w:sz w:val="22"/>
          <w:szCs w:val="22"/>
        </w:rPr>
        <w:t>s</w:t>
      </w:r>
      <w:r w:rsidR="00EF4A6C">
        <w:rPr>
          <w:rFonts w:asciiTheme="majorHAnsi" w:hAnsiTheme="majorHAnsi"/>
          <w:sz w:val="22"/>
          <w:szCs w:val="22"/>
        </w:rPr>
        <w:t xml:space="preserve"> as part of their remit.</w:t>
      </w:r>
      <w:r>
        <w:rPr>
          <w:rStyle w:val="FootnoteReference"/>
          <w:rFonts w:asciiTheme="majorHAnsi" w:hAnsiTheme="majorHAnsi"/>
          <w:sz w:val="22"/>
          <w:szCs w:val="22"/>
        </w:rPr>
        <w:footnoteReference w:id="64"/>
      </w:r>
      <w:r>
        <w:rPr>
          <w:rFonts w:asciiTheme="majorHAnsi" w:hAnsiTheme="majorHAnsi"/>
          <w:sz w:val="22"/>
          <w:szCs w:val="22"/>
        </w:rPr>
        <w:t xml:space="preserve"> </w:t>
      </w:r>
    </w:p>
    <w:p w14:paraId="4F213D61" w14:textId="77777777" w:rsidR="00831064" w:rsidRDefault="00831064" w:rsidP="008310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sz w:val="22"/>
          <w:szCs w:val="22"/>
        </w:rPr>
      </w:pPr>
    </w:p>
    <w:p w14:paraId="6DDC9FE2" w14:textId="2BDFBCF4" w:rsidR="00D33037" w:rsidRPr="00831064" w:rsidRDefault="007A0B6A" w:rsidP="008310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noProof w:val="0"/>
          <w:sz w:val="22"/>
          <w:szCs w:val="22"/>
          <w:bdr w:val="none" w:sz="0" w:space="0" w:color="auto"/>
          <w:lang w:val="en-US"/>
        </w:rPr>
      </w:pPr>
      <w:r>
        <w:rPr>
          <w:rFonts w:asciiTheme="majorHAnsi" w:hAnsiTheme="majorHAnsi"/>
          <w:sz w:val="22"/>
          <w:szCs w:val="22"/>
        </w:rPr>
        <w:t xml:space="preserve">So, </w:t>
      </w:r>
      <w:r w:rsidR="00E94B0D">
        <w:rPr>
          <w:rFonts w:asciiTheme="majorHAnsi" w:hAnsiTheme="majorHAnsi"/>
          <w:sz w:val="22"/>
          <w:szCs w:val="22"/>
        </w:rPr>
        <w:t xml:space="preserve">empirically, </w:t>
      </w:r>
      <w:r w:rsidR="00EF4A6C">
        <w:rPr>
          <w:rFonts w:asciiTheme="majorHAnsi" w:hAnsiTheme="majorHAnsi"/>
          <w:sz w:val="22"/>
          <w:szCs w:val="22"/>
        </w:rPr>
        <w:t xml:space="preserve">the gains of </w:t>
      </w:r>
      <w:r>
        <w:rPr>
          <w:rFonts w:asciiTheme="majorHAnsi" w:hAnsiTheme="majorHAnsi"/>
          <w:sz w:val="22"/>
          <w:szCs w:val="22"/>
        </w:rPr>
        <w:t xml:space="preserve">individual grievants </w:t>
      </w:r>
      <w:r w:rsidR="00E94B0D">
        <w:rPr>
          <w:rFonts w:asciiTheme="majorHAnsi" w:hAnsiTheme="majorHAnsi"/>
          <w:sz w:val="22"/>
          <w:szCs w:val="22"/>
        </w:rPr>
        <w:t xml:space="preserve">under </w:t>
      </w:r>
      <w:r w:rsidR="00EF4A6C">
        <w:rPr>
          <w:rFonts w:asciiTheme="majorHAnsi" w:hAnsiTheme="majorHAnsi"/>
          <w:sz w:val="22"/>
          <w:szCs w:val="22"/>
        </w:rPr>
        <w:t xml:space="preserve">a system of directly-accessible </w:t>
      </w:r>
      <w:r w:rsidR="00E94B0D">
        <w:rPr>
          <w:rFonts w:asciiTheme="majorHAnsi" w:hAnsiTheme="majorHAnsi"/>
          <w:sz w:val="22"/>
          <w:szCs w:val="22"/>
        </w:rPr>
        <w:t xml:space="preserve">external review </w:t>
      </w:r>
      <w:r w:rsidR="00EF4A6C">
        <w:rPr>
          <w:rFonts w:asciiTheme="majorHAnsi" w:hAnsiTheme="majorHAnsi"/>
          <w:sz w:val="22"/>
          <w:szCs w:val="22"/>
        </w:rPr>
        <w:t xml:space="preserve">may be </w:t>
      </w:r>
      <w:r w:rsidR="00E94B0D">
        <w:rPr>
          <w:rFonts w:asciiTheme="majorHAnsi" w:hAnsiTheme="majorHAnsi"/>
          <w:sz w:val="22"/>
          <w:szCs w:val="22"/>
        </w:rPr>
        <w:t>at the expense (to some degree at least) of the larger body of welfare applicants who do</w:t>
      </w:r>
      <w:r w:rsidR="007F4C4A">
        <w:rPr>
          <w:rFonts w:asciiTheme="majorHAnsi" w:hAnsiTheme="majorHAnsi"/>
          <w:sz w:val="22"/>
          <w:szCs w:val="22"/>
        </w:rPr>
        <w:t xml:space="preserve"> </w:t>
      </w:r>
      <w:r w:rsidR="00E94B0D">
        <w:rPr>
          <w:rFonts w:asciiTheme="majorHAnsi" w:hAnsiTheme="majorHAnsi"/>
          <w:sz w:val="22"/>
          <w:szCs w:val="22"/>
        </w:rPr>
        <w:t>n</w:t>
      </w:r>
      <w:r w:rsidR="007F4C4A">
        <w:rPr>
          <w:rFonts w:asciiTheme="majorHAnsi" w:hAnsiTheme="majorHAnsi"/>
          <w:sz w:val="22"/>
          <w:szCs w:val="22"/>
        </w:rPr>
        <w:t>o</w:t>
      </w:r>
      <w:r w:rsidR="00E94B0D">
        <w:rPr>
          <w:rFonts w:asciiTheme="majorHAnsi" w:hAnsiTheme="majorHAnsi"/>
          <w:sz w:val="22"/>
          <w:szCs w:val="22"/>
        </w:rPr>
        <w:t xml:space="preserve">t </w:t>
      </w:r>
      <w:r w:rsidR="00EF4A6C">
        <w:rPr>
          <w:rFonts w:asciiTheme="majorHAnsi" w:hAnsiTheme="majorHAnsi"/>
          <w:sz w:val="22"/>
          <w:szCs w:val="22"/>
        </w:rPr>
        <w:t>complain</w:t>
      </w:r>
      <w:r w:rsidR="00E94B0D">
        <w:rPr>
          <w:rFonts w:asciiTheme="majorHAnsi" w:hAnsiTheme="majorHAnsi"/>
          <w:sz w:val="22"/>
          <w:szCs w:val="22"/>
        </w:rPr>
        <w:t xml:space="preserve">. </w:t>
      </w:r>
      <w:r w:rsidR="00B673AC">
        <w:rPr>
          <w:rFonts w:asciiTheme="majorHAnsi" w:hAnsiTheme="majorHAnsi"/>
          <w:sz w:val="22"/>
          <w:szCs w:val="22"/>
        </w:rPr>
        <w:t>Such</w:t>
      </w:r>
      <w:r w:rsidR="00E94B0D">
        <w:rPr>
          <w:rFonts w:asciiTheme="majorHAnsi" w:hAnsiTheme="majorHAnsi"/>
          <w:sz w:val="22"/>
          <w:szCs w:val="22"/>
        </w:rPr>
        <w:t xml:space="preserve"> is an invidious </w:t>
      </w:r>
      <w:r w:rsidR="006115B0">
        <w:rPr>
          <w:rFonts w:asciiTheme="majorHAnsi" w:hAnsiTheme="majorHAnsi"/>
          <w:sz w:val="22"/>
          <w:szCs w:val="22"/>
        </w:rPr>
        <w:t xml:space="preserve">real world </w:t>
      </w:r>
      <w:r w:rsidR="00E94B0D">
        <w:rPr>
          <w:rFonts w:asciiTheme="majorHAnsi" w:hAnsiTheme="majorHAnsi"/>
          <w:sz w:val="22"/>
          <w:szCs w:val="22"/>
        </w:rPr>
        <w:t>problem.</w:t>
      </w:r>
    </w:p>
    <w:p w14:paraId="6B1F9615" w14:textId="1872970B" w:rsidR="00A7569F" w:rsidRDefault="00534EC9" w:rsidP="00534EC9">
      <w:pPr>
        <w:pStyle w:val="Heading2"/>
      </w:pPr>
      <w:r>
        <w:lastRenderedPageBreak/>
        <w:t>Efficiency</w:t>
      </w:r>
    </w:p>
    <w:p w14:paraId="4D0F65F5" w14:textId="1636BFAA" w:rsidR="00C8186D" w:rsidRDefault="00D33037" w:rsidP="002619EB">
      <w:pPr>
        <w:rPr>
          <w:rFonts w:asciiTheme="majorHAnsi" w:hAnsiTheme="majorHAnsi"/>
          <w:sz w:val="22"/>
          <w:szCs w:val="22"/>
        </w:rPr>
      </w:pPr>
      <w:r>
        <w:rPr>
          <w:rFonts w:asciiTheme="majorHAnsi" w:hAnsiTheme="majorHAnsi"/>
          <w:sz w:val="22"/>
          <w:szCs w:val="22"/>
        </w:rPr>
        <w:t>For some observers, the</w:t>
      </w:r>
      <w:r w:rsidR="00EC523E">
        <w:rPr>
          <w:rFonts w:asciiTheme="majorHAnsi" w:hAnsiTheme="majorHAnsi"/>
          <w:sz w:val="22"/>
          <w:szCs w:val="22"/>
        </w:rPr>
        <w:t xml:space="preserve"> </w:t>
      </w:r>
      <w:r>
        <w:rPr>
          <w:rFonts w:asciiTheme="majorHAnsi" w:hAnsiTheme="majorHAnsi"/>
          <w:sz w:val="22"/>
          <w:szCs w:val="22"/>
        </w:rPr>
        <w:t xml:space="preserve">notion of </w:t>
      </w:r>
      <w:r w:rsidR="00EC523E">
        <w:rPr>
          <w:rFonts w:asciiTheme="majorHAnsi" w:hAnsiTheme="majorHAnsi"/>
          <w:sz w:val="22"/>
          <w:szCs w:val="22"/>
        </w:rPr>
        <w:t xml:space="preserve">efficiency </w:t>
      </w:r>
      <w:r>
        <w:rPr>
          <w:rFonts w:asciiTheme="majorHAnsi" w:hAnsiTheme="majorHAnsi"/>
          <w:sz w:val="22"/>
          <w:szCs w:val="22"/>
        </w:rPr>
        <w:t>as a value may be less obvious (particularly when compared to accuracy)</w:t>
      </w:r>
      <w:r w:rsidR="00EC523E">
        <w:rPr>
          <w:rFonts w:asciiTheme="majorHAnsi" w:hAnsiTheme="majorHAnsi"/>
          <w:sz w:val="22"/>
          <w:szCs w:val="22"/>
        </w:rPr>
        <w:t xml:space="preserve">. </w:t>
      </w:r>
      <w:r w:rsidR="00860C01">
        <w:rPr>
          <w:rFonts w:asciiTheme="majorHAnsi" w:hAnsiTheme="majorHAnsi"/>
          <w:sz w:val="22"/>
          <w:szCs w:val="22"/>
        </w:rPr>
        <w:t xml:space="preserve">Yet, </w:t>
      </w:r>
      <w:r w:rsidR="00AF4A64">
        <w:rPr>
          <w:rFonts w:asciiTheme="majorHAnsi" w:hAnsiTheme="majorHAnsi"/>
          <w:sz w:val="22"/>
          <w:szCs w:val="22"/>
        </w:rPr>
        <w:t>administrative law has long</w:t>
      </w:r>
      <w:r w:rsidR="00EC523E">
        <w:rPr>
          <w:rFonts w:asciiTheme="majorHAnsi" w:hAnsiTheme="majorHAnsi"/>
          <w:sz w:val="22"/>
          <w:szCs w:val="22"/>
        </w:rPr>
        <w:t xml:space="preserve"> </w:t>
      </w:r>
      <w:r w:rsidR="003C74F6">
        <w:rPr>
          <w:rFonts w:asciiTheme="majorHAnsi" w:hAnsiTheme="majorHAnsi"/>
          <w:sz w:val="22"/>
          <w:szCs w:val="22"/>
        </w:rPr>
        <w:t xml:space="preserve">turned one of its </w:t>
      </w:r>
      <w:r w:rsidR="000271AB">
        <w:rPr>
          <w:rFonts w:asciiTheme="majorHAnsi" w:hAnsiTheme="majorHAnsi"/>
          <w:sz w:val="22"/>
          <w:szCs w:val="22"/>
        </w:rPr>
        <w:t>‘</w:t>
      </w:r>
      <w:r w:rsidR="003C74F6">
        <w:rPr>
          <w:rFonts w:asciiTheme="majorHAnsi" w:hAnsiTheme="majorHAnsi"/>
          <w:sz w:val="22"/>
          <w:szCs w:val="22"/>
        </w:rPr>
        <w:t>Janus faces</w:t>
      </w:r>
      <w:r w:rsidR="000271AB">
        <w:rPr>
          <w:rFonts w:asciiTheme="majorHAnsi" w:hAnsiTheme="majorHAnsi"/>
          <w:sz w:val="22"/>
          <w:szCs w:val="22"/>
        </w:rPr>
        <w:t>’ as Craig puts it,</w:t>
      </w:r>
      <w:r w:rsidR="003F356D">
        <w:rPr>
          <w:rStyle w:val="FootnoteReference"/>
          <w:rFonts w:asciiTheme="majorHAnsi" w:hAnsiTheme="majorHAnsi"/>
          <w:sz w:val="22"/>
          <w:szCs w:val="22"/>
        </w:rPr>
        <w:footnoteReference w:id="65"/>
      </w:r>
      <w:r w:rsidR="003C74F6">
        <w:rPr>
          <w:rFonts w:asciiTheme="majorHAnsi" w:hAnsiTheme="majorHAnsi"/>
          <w:sz w:val="22"/>
          <w:szCs w:val="22"/>
        </w:rPr>
        <w:t xml:space="preserve"> towards the </w:t>
      </w:r>
      <w:r w:rsidR="00EC523E">
        <w:rPr>
          <w:rFonts w:asciiTheme="majorHAnsi" w:hAnsiTheme="majorHAnsi"/>
          <w:sz w:val="22"/>
          <w:szCs w:val="22"/>
        </w:rPr>
        <w:t xml:space="preserve">interests of public </w:t>
      </w:r>
      <w:r w:rsidR="007C78BA">
        <w:rPr>
          <w:rFonts w:asciiTheme="majorHAnsi" w:hAnsiTheme="majorHAnsi"/>
          <w:sz w:val="22"/>
          <w:szCs w:val="22"/>
        </w:rPr>
        <w:t>officials</w:t>
      </w:r>
      <w:r w:rsidR="003F356D">
        <w:rPr>
          <w:rFonts w:asciiTheme="majorHAnsi" w:hAnsiTheme="majorHAnsi"/>
          <w:sz w:val="22"/>
          <w:szCs w:val="22"/>
        </w:rPr>
        <w:t xml:space="preserve"> in implementing public policy</w:t>
      </w:r>
      <w:r w:rsidR="008357F1">
        <w:rPr>
          <w:rFonts w:asciiTheme="majorHAnsi" w:hAnsiTheme="majorHAnsi"/>
          <w:sz w:val="22"/>
          <w:szCs w:val="22"/>
        </w:rPr>
        <w:t xml:space="preserve">, </w:t>
      </w:r>
      <w:r w:rsidR="00FB44C6">
        <w:rPr>
          <w:rFonts w:asciiTheme="majorHAnsi" w:hAnsiTheme="majorHAnsi"/>
          <w:sz w:val="22"/>
          <w:szCs w:val="22"/>
        </w:rPr>
        <w:t>which ultimately translates into t</w:t>
      </w:r>
      <w:r w:rsidR="008357F1">
        <w:rPr>
          <w:rFonts w:asciiTheme="majorHAnsi" w:hAnsiTheme="majorHAnsi"/>
          <w:sz w:val="22"/>
          <w:szCs w:val="22"/>
        </w:rPr>
        <w:t>he collective public interest in</w:t>
      </w:r>
      <w:r w:rsidR="00FB44C6">
        <w:rPr>
          <w:rFonts w:asciiTheme="majorHAnsi" w:hAnsiTheme="majorHAnsi"/>
          <w:sz w:val="22"/>
          <w:szCs w:val="22"/>
        </w:rPr>
        <w:t xml:space="preserve"> havin</w:t>
      </w:r>
      <w:r w:rsidR="008357F1">
        <w:rPr>
          <w:rFonts w:asciiTheme="majorHAnsi" w:hAnsiTheme="majorHAnsi"/>
          <w:sz w:val="22"/>
          <w:szCs w:val="22"/>
        </w:rPr>
        <w:t>g policy implemented</w:t>
      </w:r>
      <w:r w:rsidR="00EC523E">
        <w:rPr>
          <w:rFonts w:asciiTheme="majorHAnsi" w:hAnsiTheme="majorHAnsi"/>
          <w:sz w:val="22"/>
          <w:szCs w:val="22"/>
        </w:rPr>
        <w:t>.</w:t>
      </w:r>
      <w:r w:rsidR="00860C01" w:rsidRPr="00860C01">
        <w:rPr>
          <w:rFonts w:asciiTheme="majorHAnsi" w:hAnsiTheme="majorHAnsi"/>
          <w:sz w:val="22"/>
          <w:szCs w:val="22"/>
        </w:rPr>
        <w:t xml:space="preserve"> </w:t>
      </w:r>
      <w:r w:rsidR="00860C01">
        <w:rPr>
          <w:rFonts w:asciiTheme="majorHAnsi" w:hAnsiTheme="majorHAnsi"/>
          <w:sz w:val="22"/>
          <w:szCs w:val="22"/>
        </w:rPr>
        <w:t xml:space="preserve">The efficiency of the delivery of public services </w:t>
      </w:r>
      <w:r w:rsidR="0084100A">
        <w:rPr>
          <w:rFonts w:asciiTheme="majorHAnsi" w:hAnsiTheme="majorHAnsi"/>
          <w:sz w:val="22"/>
          <w:szCs w:val="22"/>
        </w:rPr>
        <w:t>should be -</w:t>
      </w:r>
      <w:r w:rsidR="007C78BA">
        <w:rPr>
          <w:rFonts w:asciiTheme="majorHAnsi" w:hAnsiTheme="majorHAnsi"/>
          <w:sz w:val="22"/>
          <w:szCs w:val="22"/>
        </w:rPr>
        <w:t xml:space="preserve"> and indeed </w:t>
      </w:r>
      <w:r w:rsidR="00026A72">
        <w:rPr>
          <w:rFonts w:asciiTheme="majorHAnsi" w:hAnsiTheme="majorHAnsi"/>
          <w:sz w:val="22"/>
          <w:szCs w:val="22"/>
        </w:rPr>
        <w:t>is</w:t>
      </w:r>
      <w:r w:rsidR="0084100A">
        <w:rPr>
          <w:rFonts w:asciiTheme="majorHAnsi" w:hAnsiTheme="majorHAnsi"/>
          <w:sz w:val="22"/>
          <w:szCs w:val="22"/>
        </w:rPr>
        <w:t xml:space="preserve"> -</w:t>
      </w:r>
      <w:r w:rsidR="00860C01">
        <w:rPr>
          <w:rFonts w:asciiTheme="majorHAnsi" w:hAnsiTheme="majorHAnsi"/>
          <w:sz w:val="22"/>
          <w:szCs w:val="22"/>
        </w:rPr>
        <w:t xml:space="preserve"> a value of administrative law.</w:t>
      </w:r>
      <w:r w:rsidR="00860C01">
        <w:rPr>
          <w:rStyle w:val="FootnoteReference"/>
          <w:rFonts w:asciiTheme="majorHAnsi" w:hAnsiTheme="majorHAnsi"/>
          <w:sz w:val="22"/>
          <w:szCs w:val="22"/>
        </w:rPr>
        <w:footnoteReference w:id="66"/>
      </w:r>
      <w:r w:rsidR="00655427">
        <w:rPr>
          <w:rFonts w:asciiTheme="majorHAnsi" w:hAnsiTheme="majorHAnsi"/>
          <w:sz w:val="22"/>
          <w:szCs w:val="22"/>
        </w:rPr>
        <w:t xml:space="preserve"> </w:t>
      </w:r>
      <w:r w:rsidR="00026A72">
        <w:rPr>
          <w:rFonts w:asciiTheme="majorHAnsi" w:hAnsiTheme="majorHAnsi"/>
          <w:sz w:val="22"/>
          <w:szCs w:val="22"/>
        </w:rPr>
        <w:t>Such is demonstrated</w:t>
      </w:r>
      <w:r w:rsidR="00C8186D">
        <w:rPr>
          <w:rFonts w:asciiTheme="majorHAnsi" w:hAnsiTheme="majorHAnsi"/>
          <w:sz w:val="22"/>
          <w:szCs w:val="22"/>
        </w:rPr>
        <w:t>, for example,</w:t>
      </w:r>
      <w:r w:rsidR="00026A72">
        <w:rPr>
          <w:rFonts w:asciiTheme="majorHAnsi" w:hAnsiTheme="majorHAnsi"/>
          <w:sz w:val="22"/>
          <w:szCs w:val="22"/>
        </w:rPr>
        <w:t xml:space="preserve"> in</w:t>
      </w:r>
      <w:r w:rsidR="00655427">
        <w:rPr>
          <w:rFonts w:asciiTheme="majorHAnsi" w:hAnsiTheme="majorHAnsi"/>
          <w:sz w:val="22"/>
          <w:szCs w:val="22"/>
        </w:rPr>
        <w:t xml:space="preserve"> the case law on the demands of Art 6 of the ECHR</w:t>
      </w:r>
      <w:r w:rsidR="00655427" w:rsidRPr="00655427">
        <w:rPr>
          <w:rFonts w:asciiTheme="majorHAnsi" w:hAnsiTheme="majorHAnsi"/>
          <w:sz w:val="22"/>
          <w:szCs w:val="22"/>
        </w:rPr>
        <w:t xml:space="preserve"> </w:t>
      </w:r>
      <w:r w:rsidR="00655427">
        <w:rPr>
          <w:rFonts w:asciiTheme="majorHAnsi" w:hAnsiTheme="majorHAnsi"/>
          <w:sz w:val="22"/>
          <w:szCs w:val="22"/>
        </w:rPr>
        <w:t xml:space="preserve">on </w:t>
      </w:r>
      <w:r w:rsidR="00026A72">
        <w:rPr>
          <w:rFonts w:asciiTheme="majorHAnsi" w:hAnsiTheme="majorHAnsi"/>
          <w:sz w:val="22"/>
          <w:szCs w:val="22"/>
        </w:rPr>
        <w:t xml:space="preserve">the </w:t>
      </w:r>
      <w:r w:rsidR="00655427">
        <w:rPr>
          <w:rFonts w:asciiTheme="majorHAnsi" w:hAnsiTheme="majorHAnsi"/>
          <w:sz w:val="22"/>
          <w:szCs w:val="22"/>
        </w:rPr>
        <w:t>archi</w:t>
      </w:r>
      <w:r w:rsidR="00026A72">
        <w:rPr>
          <w:rFonts w:asciiTheme="majorHAnsi" w:hAnsiTheme="majorHAnsi"/>
          <w:sz w:val="22"/>
          <w:szCs w:val="22"/>
        </w:rPr>
        <w:t>tecture of redress systems, where it is discussed in terms of “expediency” being a relevant factor in assessing Convention compliance.</w:t>
      </w:r>
      <w:r w:rsidR="00026A72">
        <w:rPr>
          <w:rStyle w:val="FootnoteReference"/>
          <w:rFonts w:asciiTheme="majorHAnsi" w:hAnsiTheme="majorHAnsi"/>
          <w:sz w:val="22"/>
          <w:szCs w:val="22"/>
        </w:rPr>
        <w:footnoteReference w:id="67"/>
      </w:r>
      <w:r w:rsidR="007C78BA">
        <w:rPr>
          <w:rFonts w:asciiTheme="majorHAnsi" w:hAnsiTheme="majorHAnsi"/>
          <w:sz w:val="22"/>
          <w:szCs w:val="22"/>
        </w:rPr>
        <w:t xml:space="preserve"> The same logic</w:t>
      </w:r>
      <w:r w:rsidR="00845ABA">
        <w:rPr>
          <w:rFonts w:asciiTheme="majorHAnsi" w:hAnsiTheme="majorHAnsi"/>
          <w:sz w:val="22"/>
          <w:szCs w:val="22"/>
        </w:rPr>
        <w:t>, of course,</w:t>
      </w:r>
      <w:r w:rsidR="007C78BA">
        <w:rPr>
          <w:rFonts w:asciiTheme="majorHAnsi" w:hAnsiTheme="majorHAnsi"/>
          <w:sz w:val="22"/>
          <w:szCs w:val="22"/>
        </w:rPr>
        <w:t xml:space="preserve"> applies to the efficiency of the overall redress system.</w:t>
      </w:r>
    </w:p>
    <w:p w14:paraId="2D8EFC94" w14:textId="77777777" w:rsidR="004B4B55" w:rsidRDefault="004B4B55" w:rsidP="002619EB">
      <w:pPr>
        <w:rPr>
          <w:rFonts w:asciiTheme="majorHAnsi" w:hAnsiTheme="majorHAnsi"/>
          <w:sz w:val="22"/>
          <w:szCs w:val="22"/>
        </w:rPr>
      </w:pPr>
    </w:p>
    <w:p w14:paraId="617C8956" w14:textId="3006F52E" w:rsidR="004B4B55" w:rsidRDefault="00BC17DA" w:rsidP="002619EB">
      <w:pPr>
        <w:rPr>
          <w:rFonts w:asciiTheme="majorHAnsi" w:hAnsiTheme="majorHAnsi"/>
          <w:sz w:val="22"/>
          <w:szCs w:val="22"/>
        </w:rPr>
      </w:pPr>
      <w:r>
        <w:rPr>
          <w:rFonts w:asciiTheme="majorHAnsi" w:hAnsiTheme="majorHAnsi"/>
          <w:sz w:val="22"/>
          <w:szCs w:val="22"/>
        </w:rPr>
        <w:t xml:space="preserve">The challenge here – and it is an obvious and familiar one – is that the pursuit of efficiency in administration </w:t>
      </w:r>
      <w:r w:rsidR="004416CE">
        <w:rPr>
          <w:rFonts w:asciiTheme="majorHAnsi" w:hAnsiTheme="majorHAnsi"/>
          <w:sz w:val="22"/>
          <w:szCs w:val="22"/>
        </w:rPr>
        <w:t xml:space="preserve">often </w:t>
      </w:r>
      <w:r>
        <w:rPr>
          <w:rFonts w:asciiTheme="majorHAnsi" w:hAnsiTheme="majorHAnsi"/>
          <w:sz w:val="22"/>
          <w:szCs w:val="22"/>
        </w:rPr>
        <w:t xml:space="preserve">comes at the cost of other cherished features of administrative process, such as the extent </w:t>
      </w:r>
      <w:r w:rsidR="006E4E7F">
        <w:rPr>
          <w:rFonts w:asciiTheme="majorHAnsi" w:hAnsiTheme="majorHAnsi"/>
          <w:sz w:val="22"/>
          <w:szCs w:val="22"/>
        </w:rPr>
        <w:t xml:space="preserve">of applicant </w:t>
      </w:r>
      <w:r>
        <w:rPr>
          <w:rFonts w:asciiTheme="majorHAnsi" w:hAnsiTheme="majorHAnsi"/>
          <w:sz w:val="22"/>
          <w:szCs w:val="22"/>
        </w:rPr>
        <w:t>participation in the decision-making process</w:t>
      </w:r>
      <w:r>
        <w:rPr>
          <w:rStyle w:val="FootnoteReference"/>
          <w:rFonts w:asciiTheme="majorHAnsi" w:hAnsiTheme="majorHAnsi"/>
          <w:sz w:val="22"/>
          <w:szCs w:val="22"/>
        </w:rPr>
        <w:footnoteReference w:id="68"/>
      </w:r>
      <w:r>
        <w:rPr>
          <w:rFonts w:asciiTheme="majorHAnsi" w:hAnsiTheme="majorHAnsi"/>
          <w:sz w:val="22"/>
          <w:szCs w:val="22"/>
        </w:rPr>
        <w:t xml:space="preserve"> </w:t>
      </w:r>
      <w:r w:rsidR="00107454">
        <w:rPr>
          <w:rFonts w:asciiTheme="majorHAnsi" w:hAnsiTheme="majorHAnsi"/>
          <w:sz w:val="22"/>
          <w:szCs w:val="22"/>
        </w:rPr>
        <w:t>and</w:t>
      </w:r>
      <w:r>
        <w:rPr>
          <w:rFonts w:asciiTheme="majorHAnsi" w:hAnsiTheme="majorHAnsi"/>
          <w:sz w:val="22"/>
          <w:szCs w:val="22"/>
        </w:rPr>
        <w:t xml:space="preserve"> the accommodation of </w:t>
      </w:r>
      <w:r w:rsidR="0023398B">
        <w:rPr>
          <w:rFonts w:asciiTheme="majorHAnsi" w:hAnsiTheme="majorHAnsi"/>
          <w:sz w:val="22"/>
          <w:szCs w:val="22"/>
        </w:rPr>
        <w:t xml:space="preserve">case </w:t>
      </w:r>
      <w:r>
        <w:rPr>
          <w:rFonts w:asciiTheme="majorHAnsi" w:hAnsiTheme="majorHAnsi"/>
          <w:sz w:val="22"/>
          <w:szCs w:val="22"/>
        </w:rPr>
        <w:t>complexity</w:t>
      </w:r>
      <w:r w:rsidR="0023398B">
        <w:rPr>
          <w:rFonts w:asciiTheme="majorHAnsi" w:hAnsiTheme="majorHAnsi"/>
          <w:sz w:val="22"/>
          <w:szCs w:val="22"/>
        </w:rPr>
        <w:t>.</w:t>
      </w:r>
      <w:r w:rsidR="0023398B">
        <w:rPr>
          <w:rStyle w:val="FootnoteReference"/>
          <w:rFonts w:asciiTheme="majorHAnsi" w:hAnsiTheme="majorHAnsi"/>
          <w:sz w:val="22"/>
          <w:szCs w:val="22"/>
        </w:rPr>
        <w:footnoteReference w:id="69"/>
      </w:r>
      <w:r>
        <w:rPr>
          <w:rFonts w:asciiTheme="majorHAnsi" w:hAnsiTheme="majorHAnsi"/>
          <w:sz w:val="22"/>
          <w:szCs w:val="22"/>
        </w:rPr>
        <w:t xml:space="preserve"> </w:t>
      </w:r>
      <w:r w:rsidR="00A0022E">
        <w:rPr>
          <w:rFonts w:asciiTheme="majorHAnsi" w:hAnsiTheme="majorHAnsi"/>
          <w:sz w:val="22"/>
          <w:szCs w:val="22"/>
        </w:rPr>
        <w:t xml:space="preserve">The more a citizen-applicant participates in the administrative process (e.g., by way of fact-finding interviews and fair hearing protections), the slower the decision-making process is likely to be. The more complex a factual picture </w:t>
      </w:r>
      <w:r w:rsidR="000C645A">
        <w:rPr>
          <w:rFonts w:asciiTheme="majorHAnsi" w:hAnsiTheme="majorHAnsi"/>
          <w:sz w:val="22"/>
          <w:szCs w:val="22"/>
        </w:rPr>
        <w:t xml:space="preserve">that </w:t>
      </w:r>
      <w:r w:rsidR="00A0022E">
        <w:rPr>
          <w:rFonts w:asciiTheme="majorHAnsi" w:hAnsiTheme="majorHAnsi"/>
          <w:sz w:val="22"/>
          <w:szCs w:val="22"/>
        </w:rPr>
        <w:t>is required</w:t>
      </w:r>
      <w:r w:rsidR="00673402">
        <w:rPr>
          <w:rFonts w:asciiTheme="majorHAnsi" w:hAnsiTheme="majorHAnsi"/>
          <w:sz w:val="22"/>
          <w:szCs w:val="22"/>
        </w:rPr>
        <w:t xml:space="preserve"> for the application of law, the more onerous and slow the fact-finding process is likely to be.</w:t>
      </w:r>
    </w:p>
    <w:p w14:paraId="4684B066" w14:textId="77777777" w:rsidR="00673402" w:rsidRDefault="00673402" w:rsidP="002619EB">
      <w:pPr>
        <w:rPr>
          <w:rFonts w:asciiTheme="majorHAnsi" w:hAnsiTheme="majorHAnsi"/>
          <w:sz w:val="22"/>
          <w:szCs w:val="22"/>
        </w:rPr>
      </w:pPr>
    </w:p>
    <w:p w14:paraId="5E5EBBB5" w14:textId="5A11B3AF" w:rsidR="00D33037" w:rsidRDefault="000C645A" w:rsidP="002619EB">
      <w:pPr>
        <w:rPr>
          <w:rFonts w:asciiTheme="majorHAnsi" w:hAnsiTheme="majorHAnsi"/>
          <w:sz w:val="22"/>
          <w:szCs w:val="22"/>
        </w:rPr>
      </w:pPr>
      <w:r>
        <w:rPr>
          <w:rFonts w:asciiTheme="majorHAnsi" w:hAnsiTheme="majorHAnsi"/>
          <w:sz w:val="22"/>
          <w:szCs w:val="22"/>
        </w:rPr>
        <w:t>The promotion of e</w:t>
      </w:r>
      <w:r w:rsidR="00673402">
        <w:rPr>
          <w:rFonts w:asciiTheme="majorHAnsi" w:hAnsiTheme="majorHAnsi"/>
          <w:sz w:val="22"/>
          <w:szCs w:val="22"/>
        </w:rPr>
        <w:t>fficiency in the administration of a welfare scheme</w:t>
      </w:r>
      <w:r>
        <w:rPr>
          <w:rFonts w:asciiTheme="majorHAnsi" w:hAnsiTheme="majorHAnsi"/>
          <w:sz w:val="22"/>
          <w:szCs w:val="22"/>
        </w:rPr>
        <w:t xml:space="preserve">, including </w:t>
      </w:r>
      <w:r w:rsidR="000765EC">
        <w:rPr>
          <w:rFonts w:asciiTheme="majorHAnsi" w:hAnsiTheme="majorHAnsi"/>
          <w:sz w:val="22"/>
          <w:szCs w:val="22"/>
        </w:rPr>
        <w:t>considerat</w:t>
      </w:r>
      <w:r>
        <w:rPr>
          <w:rFonts w:asciiTheme="majorHAnsi" w:hAnsiTheme="majorHAnsi"/>
          <w:sz w:val="22"/>
          <w:szCs w:val="22"/>
        </w:rPr>
        <w:t>ion of the significance of potential redress</w:t>
      </w:r>
      <w:r w:rsidR="00673402">
        <w:rPr>
          <w:rFonts w:asciiTheme="majorHAnsi" w:hAnsiTheme="majorHAnsi"/>
          <w:sz w:val="22"/>
          <w:szCs w:val="22"/>
        </w:rPr>
        <w:t xml:space="preserve"> </w:t>
      </w:r>
      <w:r>
        <w:rPr>
          <w:rFonts w:asciiTheme="majorHAnsi" w:hAnsiTheme="majorHAnsi"/>
          <w:sz w:val="22"/>
          <w:szCs w:val="22"/>
        </w:rPr>
        <w:t xml:space="preserve">events, </w:t>
      </w:r>
      <w:r w:rsidR="00673402">
        <w:rPr>
          <w:rFonts w:asciiTheme="majorHAnsi" w:hAnsiTheme="majorHAnsi"/>
          <w:sz w:val="22"/>
          <w:szCs w:val="22"/>
        </w:rPr>
        <w:t>comes at the cost of participation (and all the dignity benefits that brings)</w:t>
      </w:r>
      <w:r w:rsidR="00673402">
        <w:rPr>
          <w:rStyle w:val="FootnoteReference"/>
          <w:rFonts w:asciiTheme="majorHAnsi" w:hAnsiTheme="majorHAnsi"/>
          <w:sz w:val="22"/>
          <w:szCs w:val="22"/>
        </w:rPr>
        <w:footnoteReference w:id="70"/>
      </w:r>
      <w:r w:rsidR="00673402">
        <w:rPr>
          <w:rFonts w:asciiTheme="majorHAnsi" w:hAnsiTheme="majorHAnsi"/>
          <w:sz w:val="22"/>
          <w:szCs w:val="22"/>
        </w:rPr>
        <w:t xml:space="preserve"> and the nuance of the case be</w:t>
      </w:r>
      <w:r>
        <w:rPr>
          <w:rFonts w:asciiTheme="majorHAnsi" w:hAnsiTheme="majorHAnsi"/>
          <w:sz w:val="22"/>
          <w:szCs w:val="22"/>
        </w:rPr>
        <w:t>ing presented for determination</w:t>
      </w:r>
      <w:r w:rsidR="00673402">
        <w:rPr>
          <w:rFonts w:asciiTheme="majorHAnsi" w:hAnsiTheme="majorHAnsi"/>
          <w:sz w:val="22"/>
          <w:szCs w:val="22"/>
        </w:rPr>
        <w:t xml:space="preserve"> </w:t>
      </w:r>
      <w:r>
        <w:rPr>
          <w:rFonts w:asciiTheme="majorHAnsi" w:hAnsiTheme="majorHAnsi"/>
          <w:sz w:val="22"/>
          <w:szCs w:val="22"/>
        </w:rPr>
        <w:t>(</w:t>
      </w:r>
      <w:r w:rsidR="00673402">
        <w:rPr>
          <w:rFonts w:asciiTheme="majorHAnsi" w:hAnsiTheme="majorHAnsi"/>
          <w:sz w:val="22"/>
          <w:szCs w:val="22"/>
        </w:rPr>
        <w:t xml:space="preserve">which </w:t>
      </w:r>
      <w:r>
        <w:rPr>
          <w:rFonts w:asciiTheme="majorHAnsi" w:hAnsiTheme="majorHAnsi"/>
          <w:sz w:val="22"/>
          <w:szCs w:val="22"/>
        </w:rPr>
        <w:t>can</w:t>
      </w:r>
      <w:r w:rsidR="00673402">
        <w:rPr>
          <w:rFonts w:asciiTheme="majorHAnsi" w:hAnsiTheme="majorHAnsi"/>
          <w:sz w:val="22"/>
          <w:szCs w:val="22"/>
        </w:rPr>
        <w:t xml:space="preserve"> also </w:t>
      </w:r>
      <w:r>
        <w:rPr>
          <w:rFonts w:asciiTheme="majorHAnsi" w:hAnsiTheme="majorHAnsi"/>
          <w:sz w:val="22"/>
          <w:szCs w:val="22"/>
        </w:rPr>
        <w:t xml:space="preserve">be </w:t>
      </w:r>
      <w:r w:rsidR="00673402">
        <w:rPr>
          <w:rFonts w:asciiTheme="majorHAnsi" w:hAnsiTheme="majorHAnsi"/>
          <w:sz w:val="22"/>
          <w:szCs w:val="22"/>
        </w:rPr>
        <w:t>significant for dignity</w:t>
      </w:r>
      <w:r>
        <w:rPr>
          <w:rFonts w:asciiTheme="majorHAnsi" w:hAnsiTheme="majorHAnsi"/>
          <w:sz w:val="22"/>
          <w:szCs w:val="22"/>
        </w:rPr>
        <w:t>)</w:t>
      </w:r>
      <w:r w:rsidR="00673402">
        <w:rPr>
          <w:rFonts w:asciiTheme="majorHAnsi" w:hAnsiTheme="majorHAnsi"/>
          <w:sz w:val="22"/>
          <w:szCs w:val="22"/>
        </w:rPr>
        <w:t>.</w:t>
      </w:r>
      <w:r w:rsidR="00673402">
        <w:rPr>
          <w:rStyle w:val="FootnoteReference"/>
          <w:rFonts w:asciiTheme="majorHAnsi" w:hAnsiTheme="majorHAnsi"/>
          <w:sz w:val="22"/>
          <w:szCs w:val="22"/>
        </w:rPr>
        <w:footnoteReference w:id="71"/>
      </w:r>
      <w:r w:rsidR="00673402">
        <w:rPr>
          <w:rFonts w:asciiTheme="majorHAnsi" w:hAnsiTheme="majorHAnsi"/>
          <w:sz w:val="22"/>
          <w:szCs w:val="22"/>
        </w:rPr>
        <w:t xml:space="preserve"> This too, then, is an invidious real world problem.</w:t>
      </w:r>
    </w:p>
    <w:p w14:paraId="49CC2C5A" w14:textId="38CE5276" w:rsidR="004B4B55" w:rsidRDefault="004B4B55" w:rsidP="004B4B55">
      <w:pPr>
        <w:pStyle w:val="Heading2"/>
      </w:pPr>
      <w:r>
        <w:t>Facing the Challenges</w:t>
      </w:r>
    </w:p>
    <w:p w14:paraId="10BD6379" w14:textId="12FCA741" w:rsidR="000765EC" w:rsidRDefault="000E2CD6" w:rsidP="002619EB">
      <w:pPr>
        <w:rPr>
          <w:rFonts w:asciiTheme="majorHAnsi" w:hAnsiTheme="majorHAnsi"/>
          <w:sz w:val="22"/>
          <w:szCs w:val="22"/>
        </w:rPr>
      </w:pPr>
      <w:r>
        <w:rPr>
          <w:rFonts w:asciiTheme="majorHAnsi" w:hAnsiTheme="majorHAnsi"/>
          <w:sz w:val="22"/>
          <w:szCs w:val="22"/>
        </w:rPr>
        <w:t>The inevitability of tension and trade offs is, of course, familiar territory for administrative lawyers.</w:t>
      </w:r>
      <w:r w:rsidR="003D3DD1">
        <w:rPr>
          <w:rFonts w:asciiTheme="majorHAnsi" w:hAnsiTheme="majorHAnsi"/>
          <w:sz w:val="22"/>
          <w:szCs w:val="22"/>
        </w:rPr>
        <w:t xml:space="preserve"> Administrative law itself is structured around two fundamental </w:t>
      </w:r>
      <w:r w:rsidR="000F6800">
        <w:rPr>
          <w:rFonts w:asciiTheme="majorHAnsi" w:hAnsiTheme="majorHAnsi"/>
          <w:sz w:val="22"/>
          <w:szCs w:val="22"/>
        </w:rPr>
        <w:t xml:space="preserve">and inter-connecting </w:t>
      </w:r>
      <w:r w:rsidR="003D3DD1">
        <w:rPr>
          <w:rFonts w:asciiTheme="majorHAnsi" w:hAnsiTheme="majorHAnsi"/>
          <w:sz w:val="22"/>
          <w:szCs w:val="22"/>
        </w:rPr>
        <w:t>tensions that play out in the application of its doctrines.</w:t>
      </w:r>
      <w:r w:rsidR="004B7109">
        <w:rPr>
          <w:rStyle w:val="FootnoteReference"/>
          <w:rFonts w:asciiTheme="majorHAnsi" w:hAnsiTheme="majorHAnsi"/>
          <w:sz w:val="22"/>
          <w:szCs w:val="22"/>
        </w:rPr>
        <w:footnoteReference w:id="72"/>
      </w:r>
      <w:r w:rsidR="003D3DD1">
        <w:rPr>
          <w:rFonts w:asciiTheme="majorHAnsi" w:hAnsiTheme="majorHAnsi"/>
          <w:sz w:val="22"/>
          <w:szCs w:val="22"/>
        </w:rPr>
        <w:t xml:space="preserve"> The first is </w:t>
      </w:r>
      <w:r w:rsidR="000765EC">
        <w:rPr>
          <w:rFonts w:asciiTheme="majorHAnsi" w:hAnsiTheme="majorHAnsi"/>
          <w:sz w:val="22"/>
          <w:szCs w:val="22"/>
        </w:rPr>
        <w:t xml:space="preserve">about who ultimately gets to decide what </w:t>
      </w:r>
      <w:r w:rsidR="001319F4">
        <w:rPr>
          <w:rFonts w:asciiTheme="majorHAnsi" w:hAnsiTheme="majorHAnsi"/>
          <w:sz w:val="22"/>
          <w:szCs w:val="22"/>
        </w:rPr>
        <w:t>–</w:t>
      </w:r>
      <w:r w:rsidR="000765EC">
        <w:rPr>
          <w:rFonts w:asciiTheme="majorHAnsi" w:hAnsiTheme="majorHAnsi"/>
          <w:sz w:val="22"/>
          <w:szCs w:val="22"/>
        </w:rPr>
        <w:t xml:space="preserve"> </w:t>
      </w:r>
      <w:r w:rsidR="001319F4">
        <w:rPr>
          <w:rFonts w:asciiTheme="majorHAnsi" w:hAnsiTheme="majorHAnsi"/>
          <w:sz w:val="22"/>
          <w:szCs w:val="22"/>
        </w:rPr>
        <w:t xml:space="preserve">the tension </w:t>
      </w:r>
      <w:r w:rsidR="003D3DD1">
        <w:rPr>
          <w:rFonts w:asciiTheme="majorHAnsi" w:hAnsiTheme="majorHAnsi"/>
          <w:sz w:val="22"/>
          <w:szCs w:val="22"/>
        </w:rPr>
        <w:t xml:space="preserve">between agency autonomy and external control; the second </w:t>
      </w:r>
      <w:r w:rsidR="000765EC">
        <w:rPr>
          <w:rFonts w:asciiTheme="majorHAnsi" w:hAnsiTheme="majorHAnsi"/>
          <w:sz w:val="22"/>
          <w:szCs w:val="22"/>
        </w:rPr>
        <w:t>is about whose interest should be priviledge</w:t>
      </w:r>
      <w:r w:rsidR="001319F4">
        <w:rPr>
          <w:rFonts w:asciiTheme="majorHAnsi" w:hAnsiTheme="majorHAnsi"/>
          <w:sz w:val="22"/>
          <w:szCs w:val="22"/>
        </w:rPr>
        <w:t>d</w:t>
      </w:r>
      <w:r w:rsidR="000765EC">
        <w:rPr>
          <w:rFonts w:asciiTheme="majorHAnsi" w:hAnsiTheme="majorHAnsi"/>
          <w:sz w:val="22"/>
          <w:szCs w:val="22"/>
        </w:rPr>
        <w:t xml:space="preserve"> – the </w:t>
      </w:r>
      <w:r w:rsidR="001319F4">
        <w:rPr>
          <w:rFonts w:asciiTheme="majorHAnsi" w:hAnsiTheme="majorHAnsi"/>
          <w:sz w:val="22"/>
          <w:szCs w:val="22"/>
        </w:rPr>
        <w:t xml:space="preserve">tension between </w:t>
      </w:r>
      <w:r w:rsidR="000765EC">
        <w:rPr>
          <w:rFonts w:asciiTheme="majorHAnsi" w:hAnsiTheme="majorHAnsi"/>
          <w:sz w:val="22"/>
          <w:szCs w:val="22"/>
        </w:rPr>
        <w:t xml:space="preserve">collective </w:t>
      </w:r>
      <w:r w:rsidR="001319F4">
        <w:rPr>
          <w:rFonts w:asciiTheme="majorHAnsi" w:hAnsiTheme="majorHAnsi"/>
          <w:sz w:val="22"/>
          <w:szCs w:val="22"/>
        </w:rPr>
        <w:t xml:space="preserve">and </w:t>
      </w:r>
      <w:r w:rsidR="000765EC">
        <w:rPr>
          <w:rFonts w:asciiTheme="majorHAnsi" w:hAnsiTheme="majorHAnsi"/>
          <w:sz w:val="22"/>
          <w:szCs w:val="22"/>
        </w:rPr>
        <w:t>individual</w:t>
      </w:r>
      <w:r w:rsidR="00AE5FAA">
        <w:rPr>
          <w:rFonts w:asciiTheme="majorHAnsi" w:hAnsiTheme="majorHAnsi"/>
          <w:sz w:val="22"/>
          <w:szCs w:val="22"/>
        </w:rPr>
        <w:t xml:space="preserve"> applicant/grievant</w:t>
      </w:r>
      <w:r w:rsidR="001319F4">
        <w:rPr>
          <w:rFonts w:asciiTheme="majorHAnsi" w:hAnsiTheme="majorHAnsi"/>
          <w:sz w:val="22"/>
          <w:szCs w:val="22"/>
        </w:rPr>
        <w:t xml:space="preserve"> interests.</w:t>
      </w:r>
    </w:p>
    <w:p w14:paraId="5D006CC3" w14:textId="77777777" w:rsidR="000765EC" w:rsidRDefault="000765EC" w:rsidP="002619EB">
      <w:pPr>
        <w:rPr>
          <w:rFonts w:asciiTheme="majorHAnsi" w:hAnsiTheme="majorHAnsi"/>
          <w:sz w:val="22"/>
          <w:szCs w:val="22"/>
        </w:rPr>
      </w:pPr>
    </w:p>
    <w:p w14:paraId="714223BF" w14:textId="4F4F6C90" w:rsidR="004B7109" w:rsidRDefault="000E2CD6" w:rsidP="002619EB">
      <w:pPr>
        <w:rPr>
          <w:rFonts w:asciiTheme="majorHAnsi" w:hAnsiTheme="majorHAnsi"/>
          <w:sz w:val="22"/>
          <w:szCs w:val="22"/>
        </w:rPr>
      </w:pPr>
      <w:r>
        <w:rPr>
          <w:rFonts w:asciiTheme="majorHAnsi" w:hAnsiTheme="majorHAnsi"/>
          <w:sz w:val="22"/>
          <w:szCs w:val="22"/>
        </w:rPr>
        <w:t xml:space="preserve">How these </w:t>
      </w:r>
      <w:r w:rsidR="00E63EC7">
        <w:rPr>
          <w:rFonts w:asciiTheme="majorHAnsi" w:hAnsiTheme="majorHAnsi"/>
          <w:sz w:val="22"/>
          <w:szCs w:val="22"/>
        </w:rPr>
        <w:t xml:space="preserve">tensions </w:t>
      </w:r>
      <w:r>
        <w:rPr>
          <w:rFonts w:asciiTheme="majorHAnsi" w:hAnsiTheme="majorHAnsi"/>
          <w:sz w:val="22"/>
          <w:szCs w:val="22"/>
        </w:rPr>
        <w:t xml:space="preserve">have been </w:t>
      </w:r>
      <w:r w:rsidR="008D78BB">
        <w:rPr>
          <w:rFonts w:asciiTheme="majorHAnsi" w:hAnsiTheme="majorHAnsi"/>
          <w:sz w:val="22"/>
          <w:szCs w:val="22"/>
        </w:rPr>
        <w:t>debated</w:t>
      </w:r>
      <w:r>
        <w:rPr>
          <w:rFonts w:asciiTheme="majorHAnsi" w:hAnsiTheme="majorHAnsi"/>
          <w:sz w:val="22"/>
          <w:szCs w:val="22"/>
        </w:rPr>
        <w:t xml:space="preserve"> in </w:t>
      </w:r>
      <w:r w:rsidR="009915E9">
        <w:rPr>
          <w:rFonts w:asciiTheme="majorHAnsi" w:hAnsiTheme="majorHAnsi"/>
          <w:sz w:val="22"/>
          <w:szCs w:val="22"/>
        </w:rPr>
        <w:t xml:space="preserve">relation to </w:t>
      </w:r>
      <w:r>
        <w:rPr>
          <w:rFonts w:asciiTheme="majorHAnsi" w:hAnsiTheme="majorHAnsi"/>
          <w:sz w:val="22"/>
          <w:szCs w:val="22"/>
        </w:rPr>
        <w:t xml:space="preserve">other aspects of administrative </w:t>
      </w:r>
      <w:r w:rsidR="008D78BB">
        <w:rPr>
          <w:rFonts w:asciiTheme="majorHAnsi" w:hAnsiTheme="majorHAnsi"/>
          <w:sz w:val="22"/>
          <w:szCs w:val="22"/>
        </w:rPr>
        <w:t>justice</w:t>
      </w:r>
      <w:r>
        <w:rPr>
          <w:rFonts w:asciiTheme="majorHAnsi" w:hAnsiTheme="majorHAnsi"/>
          <w:sz w:val="22"/>
          <w:szCs w:val="22"/>
        </w:rPr>
        <w:t xml:space="preserve"> should </w:t>
      </w:r>
      <w:r w:rsidR="008D78BB">
        <w:rPr>
          <w:rFonts w:asciiTheme="majorHAnsi" w:hAnsiTheme="majorHAnsi"/>
          <w:sz w:val="22"/>
          <w:szCs w:val="22"/>
        </w:rPr>
        <w:t>guide</w:t>
      </w:r>
      <w:r>
        <w:rPr>
          <w:rFonts w:asciiTheme="majorHAnsi" w:hAnsiTheme="majorHAnsi"/>
          <w:sz w:val="22"/>
          <w:szCs w:val="22"/>
        </w:rPr>
        <w:t xml:space="preserve"> us in relation to system design and the potential role of mandatory reconsideration.</w:t>
      </w:r>
      <w:r w:rsidR="00840BDE">
        <w:rPr>
          <w:rFonts w:asciiTheme="majorHAnsi" w:hAnsiTheme="majorHAnsi"/>
          <w:sz w:val="22"/>
          <w:szCs w:val="22"/>
        </w:rPr>
        <w:t xml:space="preserve"> </w:t>
      </w:r>
      <w:r w:rsidR="004B4B55">
        <w:rPr>
          <w:rFonts w:asciiTheme="majorHAnsi" w:hAnsiTheme="majorHAnsi"/>
          <w:sz w:val="22"/>
          <w:szCs w:val="22"/>
        </w:rPr>
        <w:t>Two</w:t>
      </w:r>
      <w:r w:rsidR="00245C63">
        <w:rPr>
          <w:rFonts w:asciiTheme="majorHAnsi" w:hAnsiTheme="majorHAnsi"/>
          <w:sz w:val="22"/>
          <w:szCs w:val="22"/>
        </w:rPr>
        <w:t xml:space="preserve"> </w:t>
      </w:r>
      <w:r w:rsidR="004B7109">
        <w:rPr>
          <w:rFonts w:asciiTheme="majorHAnsi" w:hAnsiTheme="majorHAnsi"/>
          <w:sz w:val="22"/>
          <w:szCs w:val="22"/>
        </w:rPr>
        <w:t>issues</w:t>
      </w:r>
      <w:r w:rsidR="00245C63">
        <w:rPr>
          <w:rFonts w:asciiTheme="majorHAnsi" w:hAnsiTheme="majorHAnsi"/>
          <w:sz w:val="22"/>
          <w:szCs w:val="22"/>
        </w:rPr>
        <w:t xml:space="preserve"> have been particularly significant</w:t>
      </w:r>
      <w:r w:rsidR="004B4B55">
        <w:rPr>
          <w:rFonts w:asciiTheme="majorHAnsi" w:hAnsiTheme="majorHAnsi"/>
          <w:sz w:val="22"/>
          <w:szCs w:val="22"/>
        </w:rPr>
        <w:t xml:space="preserve"> in facing the</w:t>
      </w:r>
      <w:r w:rsidR="001319F4">
        <w:rPr>
          <w:rFonts w:asciiTheme="majorHAnsi" w:hAnsiTheme="majorHAnsi"/>
          <w:sz w:val="22"/>
          <w:szCs w:val="22"/>
        </w:rPr>
        <w:t xml:space="preserve"> challenges of </w:t>
      </w:r>
      <w:r w:rsidR="001319F4">
        <w:rPr>
          <w:rFonts w:asciiTheme="majorHAnsi" w:hAnsiTheme="majorHAnsi"/>
          <w:sz w:val="22"/>
          <w:szCs w:val="22"/>
        </w:rPr>
        <w:lastRenderedPageBreak/>
        <w:t>these trade offs</w:t>
      </w:r>
      <w:r w:rsidR="00245C63">
        <w:rPr>
          <w:rFonts w:asciiTheme="majorHAnsi" w:hAnsiTheme="majorHAnsi"/>
          <w:sz w:val="22"/>
          <w:szCs w:val="22"/>
        </w:rPr>
        <w:t xml:space="preserve">: (1) the </w:t>
      </w:r>
      <w:r w:rsidR="001319F4">
        <w:rPr>
          <w:rFonts w:asciiTheme="majorHAnsi" w:hAnsiTheme="majorHAnsi"/>
          <w:sz w:val="22"/>
          <w:szCs w:val="22"/>
        </w:rPr>
        <w:t xml:space="preserve">nature </w:t>
      </w:r>
      <w:r w:rsidR="00245C63">
        <w:rPr>
          <w:rFonts w:asciiTheme="majorHAnsi" w:hAnsiTheme="majorHAnsi"/>
          <w:sz w:val="22"/>
          <w:szCs w:val="22"/>
        </w:rPr>
        <w:t>of the stake</w:t>
      </w:r>
      <w:r w:rsidR="001319F4">
        <w:rPr>
          <w:rFonts w:asciiTheme="majorHAnsi" w:hAnsiTheme="majorHAnsi"/>
          <w:sz w:val="22"/>
          <w:szCs w:val="22"/>
        </w:rPr>
        <w:t>s</w:t>
      </w:r>
      <w:r w:rsidR="00245C63">
        <w:rPr>
          <w:rFonts w:asciiTheme="majorHAnsi" w:hAnsiTheme="majorHAnsi"/>
          <w:sz w:val="22"/>
          <w:szCs w:val="22"/>
        </w:rPr>
        <w:t xml:space="preserve"> </w:t>
      </w:r>
      <w:r w:rsidR="001319F4">
        <w:rPr>
          <w:rFonts w:asciiTheme="majorHAnsi" w:hAnsiTheme="majorHAnsi"/>
          <w:sz w:val="22"/>
          <w:szCs w:val="22"/>
        </w:rPr>
        <w:t>for</w:t>
      </w:r>
      <w:r w:rsidR="00245C63">
        <w:rPr>
          <w:rFonts w:asciiTheme="majorHAnsi" w:hAnsiTheme="majorHAnsi"/>
          <w:sz w:val="22"/>
          <w:szCs w:val="22"/>
        </w:rPr>
        <w:t xml:space="preserve"> welfare claimant</w:t>
      </w:r>
      <w:r w:rsidR="001319F4">
        <w:rPr>
          <w:rFonts w:asciiTheme="majorHAnsi" w:hAnsiTheme="majorHAnsi"/>
          <w:sz w:val="22"/>
          <w:szCs w:val="22"/>
        </w:rPr>
        <w:t>s in the particular policy field</w:t>
      </w:r>
      <w:r w:rsidR="00245C63">
        <w:rPr>
          <w:rFonts w:asciiTheme="majorHAnsi" w:hAnsiTheme="majorHAnsi"/>
          <w:sz w:val="22"/>
          <w:szCs w:val="22"/>
        </w:rPr>
        <w:t xml:space="preserve">; and (2) the role of </w:t>
      </w:r>
      <w:r w:rsidR="001319F4">
        <w:rPr>
          <w:rFonts w:asciiTheme="majorHAnsi" w:hAnsiTheme="majorHAnsi"/>
          <w:sz w:val="22"/>
          <w:szCs w:val="22"/>
        </w:rPr>
        <w:t xml:space="preserve">special knowledge and </w:t>
      </w:r>
      <w:r w:rsidR="00245C63">
        <w:rPr>
          <w:rFonts w:asciiTheme="majorHAnsi" w:hAnsiTheme="majorHAnsi"/>
          <w:sz w:val="22"/>
          <w:szCs w:val="22"/>
        </w:rPr>
        <w:t>expertise in the exercise of administrative discretion.</w:t>
      </w:r>
      <w:r w:rsidR="004B7109">
        <w:rPr>
          <w:rStyle w:val="FootnoteReference"/>
          <w:rFonts w:asciiTheme="majorHAnsi" w:hAnsiTheme="majorHAnsi"/>
          <w:sz w:val="22"/>
          <w:szCs w:val="22"/>
        </w:rPr>
        <w:footnoteReference w:id="73"/>
      </w:r>
      <w:r w:rsidR="00245C63">
        <w:rPr>
          <w:rFonts w:asciiTheme="majorHAnsi" w:hAnsiTheme="majorHAnsi"/>
          <w:sz w:val="22"/>
          <w:szCs w:val="22"/>
        </w:rPr>
        <w:t xml:space="preserve"> </w:t>
      </w:r>
    </w:p>
    <w:p w14:paraId="00EC1B49" w14:textId="77777777" w:rsidR="004B7109" w:rsidRDefault="004B7109" w:rsidP="002619EB">
      <w:pPr>
        <w:rPr>
          <w:rFonts w:asciiTheme="majorHAnsi" w:hAnsiTheme="majorHAnsi"/>
          <w:sz w:val="22"/>
          <w:szCs w:val="22"/>
        </w:rPr>
      </w:pPr>
    </w:p>
    <w:p w14:paraId="2906BEAA" w14:textId="001BAD84" w:rsidR="00245C63" w:rsidRDefault="00245C63" w:rsidP="002619EB">
      <w:pPr>
        <w:rPr>
          <w:rFonts w:asciiTheme="majorHAnsi" w:hAnsiTheme="majorHAnsi"/>
          <w:sz w:val="22"/>
          <w:szCs w:val="22"/>
        </w:rPr>
      </w:pPr>
      <w:r>
        <w:rPr>
          <w:rFonts w:asciiTheme="majorHAnsi" w:hAnsiTheme="majorHAnsi"/>
          <w:sz w:val="22"/>
          <w:szCs w:val="22"/>
        </w:rPr>
        <w:t>Where, in relative terms, the policy area involves more important social welfare issue</w:t>
      </w:r>
      <w:r w:rsidR="004B7109">
        <w:rPr>
          <w:rFonts w:asciiTheme="majorHAnsi" w:hAnsiTheme="majorHAnsi"/>
          <w:sz w:val="22"/>
          <w:szCs w:val="22"/>
        </w:rPr>
        <w:t>s</w:t>
      </w:r>
      <w:r>
        <w:rPr>
          <w:rFonts w:asciiTheme="majorHAnsi" w:hAnsiTheme="majorHAnsi"/>
          <w:sz w:val="22"/>
          <w:szCs w:val="22"/>
        </w:rPr>
        <w:t xml:space="preserve"> for individuals – where the stake</w:t>
      </w:r>
      <w:r w:rsidR="007D1FC0">
        <w:rPr>
          <w:rFonts w:asciiTheme="majorHAnsi" w:hAnsiTheme="majorHAnsi"/>
          <w:sz w:val="22"/>
          <w:szCs w:val="22"/>
        </w:rPr>
        <w:t>s</w:t>
      </w:r>
      <w:r>
        <w:rPr>
          <w:rFonts w:asciiTheme="majorHAnsi" w:hAnsiTheme="majorHAnsi"/>
          <w:sz w:val="22"/>
          <w:szCs w:val="22"/>
        </w:rPr>
        <w:t xml:space="preserve"> are higher </w:t>
      </w:r>
      <w:r w:rsidR="00D662D3">
        <w:rPr>
          <w:rFonts w:asciiTheme="majorHAnsi" w:hAnsiTheme="majorHAnsi"/>
          <w:sz w:val="22"/>
          <w:szCs w:val="22"/>
        </w:rPr>
        <w:t>–</w:t>
      </w:r>
      <w:r>
        <w:rPr>
          <w:rFonts w:asciiTheme="majorHAnsi" w:hAnsiTheme="majorHAnsi"/>
          <w:sz w:val="22"/>
          <w:szCs w:val="22"/>
        </w:rPr>
        <w:t xml:space="preserve"> </w:t>
      </w:r>
      <w:r w:rsidR="00D662D3">
        <w:rPr>
          <w:rFonts w:asciiTheme="majorHAnsi" w:hAnsiTheme="majorHAnsi"/>
          <w:sz w:val="22"/>
          <w:szCs w:val="22"/>
        </w:rPr>
        <w:t xml:space="preserve">the balance </w:t>
      </w:r>
      <w:r w:rsidR="006F6AB0">
        <w:rPr>
          <w:rFonts w:asciiTheme="majorHAnsi" w:hAnsiTheme="majorHAnsi"/>
          <w:sz w:val="22"/>
          <w:szCs w:val="22"/>
        </w:rPr>
        <w:t>should be</w:t>
      </w:r>
      <w:r w:rsidR="00D662D3">
        <w:rPr>
          <w:rFonts w:asciiTheme="majorHAnsi" w:hAnsiTheme="majorHAnsi"/>
          <w:sz w:val="22"/>
          <w:szCs w:val="22"/>
        </w:rPr>
        <w:t xml:space="preserve"> tipped in favour of stronger </w:t>
      </w:r>
      <w:r w:rsidR="000027C7">
        <w:rPr>
          <w:rFonts w:asciiTheme="majorHAnsi" w:hAnsiTheme="majorHAnsi"/>
          <w:sz w:val="22"/>
          <w:szCs w:val="22"/>
        </w:rPr>
        <w:t xml:space="preserve">individual </w:t>
      </w:r>
      <w:r w:rsidR="00D662D3">
        <w:rPr>
          <w:rFonts w:asciiTheme="majorHAnsi" w:hAnsiTheme="majorHAnsi"/>
          <w:sz w:val="22"/>
          <w:szCs w:val="22"/>
        </w:rPr>
        <w:t xml:space="preserve">protections </w:t>
      </w:r>
      <w:r w:rsidR="00EC1F01">
        <w:rPr>
          <w:rFonts w:asciiTheme="majorHAnsi" w:hAnsiTheme="majorHAnsi"/>
          <w:sz w:val="22"/>
          <w:szCs w:val="22"/>
        </w:rPr>
        <w:t>for accuracy</w:t>
      </w:r>
      <w:r w:rsidR="000027C7">
        <w:rPr>
          <w:rFonts w:asciiTheme="majorHAnsi" w:hAnsiTheme="majorHAnsi"/>
          <w:sz w:val="22"/>
          <w:szCs w:val="22"/>
        </w:rPr>
        <w:t>.</w:t>
      </w:r>
      <w:r w:rsidR="00D662D3">
        <w:rPr>
          <w:rFonts w:asciiTheme="majorHAnsi" w:hAnsiTheme="majorHAnsi"/>
          <w:sz w:val="22"/>
          <w:szCs w:val="22"/>
        </w:rPr>
        <w:t xml:space="preserve"> </w:t>
      </w:r>
      <w:r w:rsidR="000027C7">
        <w:rPr>
          <w:rFonts w:asciiTheme="majorHAnsi" w:hAnsiTheme="majorHAnsi"/>
          <w:sz w:val="22"/>
          <w:szCs w:val="22"/>
        </w:rPr>
        <w:t>E</w:t>
      </w:r>
      <w:r w:rsidR="00D662D3">
        <w:rPr>
          <w:rFonts w:asciiTheme="majorHAnsi" w:hAnsiTheme="majorHAnsi"/>
          <w:sz w:val="22"/>
          <w:szCs w:val="22"/>
        </w:rPr>
        <w:t>asy access to indep</w:t>
      </w:r>
      <w:r w:rsidR="000027C7">
        <w:rPr>
          <w:rFonts w:asciiTheme="majorHAnsi" w:hAnsiTheme="majorHAnsi"/>
          <w:sz w:val="22"/>
          <w:szCs w:val="22"/>
        </w:rPr>
        <w:t>endent review may be encouraged</w:t>
      </w:r>
      <w:r w:rsidR="00D662D3">
        <w:rPr>
          <w:rFonts w:asciiTheme="majorHAnsi" w:hAnsiTheme="majorHAnsi"/>
          <w:sz w:val="22"/>
          <w:szCs w:val="22"/>
        </w:rPr>
        <w:t xml:space="preserve"> given the increased chance of impartiality of review that an independent body usually brings. </w:t>
      </w:r>
      <w:r w:rsidR="000027C7">
        <w:rPr>
          <w:rFonts w:asciiTheme="majorHAnsi" w:hAnsiTheme="majorHAnsi"/>
          <w:sz w:val="22"/>
          <w:szCs w:val="22"/>
        </w:rPr>
        <w:t>Thus strong protec</w:t>
      </w:r>
      <w:r w:rsidR="006F6AB0">
        <w:rPr>
          <w:rFonts w:asciiTheme="majorHAnsi" w:hAnsiTheme="majorHAnsi"/>
          <w:sz w:val="22"/>
          <w:szCs w:val="22"/>
        </w:rPr>
        <w:t>tions for individual grievants sh</w:t>
      </w:r>
      <w:r w:rsidR="000027C7">
        <w:rPr>
          <w:rFonts w:asciiTheme="majorHAnsi" w:hAnsiTheme="majorHAnsi"/>
          <w:sz w:val="22"/>
          <w:szCs w:val="22"/>
        </w:rPr>
        <w:t xml:space="preserve">ould be preferred over the general quality improvements that a higher incidence of mandatory reconsideration might bring. Equally, higher social welfare stakes would suggest that citizen participation and the accommodation of complexity would be privileged over the demands of efficiency. </w:t>
      </w:r>
      <w:r w:rsidR="00D662D3">
        <w:rPr>
          <w:rFonts w:asciiTheme="majorHAnsi" w:hAnsiTheme="majorHAnsi"/>
          <w:sz w:val="22"/>
          <w:szCs w:val="22"/>
        </w:rPr>
        <w:t xml:space="preserve">Where, however, the individual stakes are lower, we can expect the demands of systemic efficiency to have a higher value relative to the correction of individual errors. </w:t>
      </w:r>
    </w:p>
    <w:p w14:paraId="013A3D76" w14:textId="77777777" w:rsidR="004B7109" w:rsidRDefault="004B7109" w:rsidP="002619EB">
      <w:pPr>
        <w:rPr>
          <w:rFonts w:asciiTheme="majorHAnsi" w:hAnsiTheme="majorHAnsi"/>
          <w:sz w:val="22"/>
          <w:szCs w:val="22"/>
        </w:rPr>
      </w:pPr>
    </w:p>
    <w:p w14:paraId="0FBCEE2F" w14:textId="7189C5B5" w:rsidR="00825869" w:rsidRDefault="004B7109" w:rsidP="00AA42A8">
      <w:pPr>
        <w:rPr>
          <w:rFonts w:asciiTheme="majorHAnsi" w:hAnsiTheme="majorHAnsi"/>
          <w:sz w:val="22"/>
          <w:szCs w:val="22"/>
        </w:rPr>
      </w:pPr>
      <w:r>
        <w:rPr>
          <w:rFonts w:asciiTheme="majorHAnsi" w:hAnsiTheme="majorHAnsi"/>
          <w:sz w:val="22"/>
          <w:szCs w:val="22"/>
        </w:rPr>
        <w:t xml:space="preserve">In relation to the issue of expertise, where, in relative terms, external redress bodies lack the capacity </w:t>
      </w:r>
      <w:r w:rsidR="000027C7">
        <w:rPr>
          <w:rFonts w:asciiTheme="majorHAnsi" w:hAnsiTheme="majorHAnsi"/>
          <w:sz w:val="22"/>
          <w:szCs w:val="22"/>
        </w:rPr>
        <w:t xml:space="preserve">adequately </w:t>
      </w:r>
      <w:r>
        <w:rPr>
          <w:rFonts w:asciiTheme="majorHAnsi" w:hAnsiTheme="majorHAnsi"/>
          <w:sz w:val="22"/>
          <w:szCs w:val="22"/>
        </w:rPr>
        <w:t xml:space="preserve">to review discretionary expertise, the more we might value agency autonomy rather than external legal control. Mandatory reconsideration, then, despite its tendency to diminish the incidence of external appeal, might be regarded as </w:t>
      </w:r>
      <w:r w:rsidR="005A1A86">
        <w:rPr>
          <w:rFonts w:asciiTheme="majorHAnsi" w:hAnsiTheme="majorHAnsi"/>
          <w:sz w:val="22"/>
          <w:szCs w:val="22"/>
        </w:rPr>
        <w:t>a more appropriate form of routine redress</w:t>
      </w:r>
      <w:r>
        <w:rPr>
          <w:rFonts w:asciiTheme="majorHAnsi" w:hAnsiTheme="majorHAnsi"/>
          <w:sz w:val="22"/>
          <w:szCs w:val="22"/>
        </w:rPr>
        <w:t>.</w:t>
      </w:r>
    </w:p>
    <w:p w14:paraId="6EAC9FCD" w14:textId="6FCE6762" w:rsidR="00566186" w:rsidRDefault="00566186" w:rsidP="00566186">
      <w:pPr>
        <w:pStyle w:val="Heading1"/>
      </w:pPr>
      <w:r>
        <w:t>Conclusion</w:t>
      </w:r>
    </w:p>
    <w:p w14:paraId="67DC64CB" w14:textId="6FC07358" w:rsidR="002D594D" w:rsidRDefault="00905D77" w:rsidP="00566186">
      <w:pPr>
        <w:rPr>
          <w:rFonts w:asciiTheme="majorHAnsi" w:hAnsiTheme="majorHAnsi"/>
          <w:sz w:val="22"/>
          <w:szCs w:val="22"/>
        </w:rPr>
      </w:pPr>
      <w:r>
        <w:rPr>
          <w:rFonts w:asciiTheme="majorHAnsi" w:hAnsiTheme="majorHAnsi"/>
          <w:sz w:val="22"/>
          <w:szCs w:val="22"/>
        </w:rPr>
        <w:t>According to some, we live in an “age that tends to encourage hyperbole and scientific overreach.”</w:t>
      </w:r>
      <w:r>
        <w:rPr>
          <w:rStyle w:val="FootnoteReference"/>
          <w:rFonts w:asciiTheme="majorHAnsi" w:hAnsiTheme="majorHAnsi"/>
          <w:sz w:val="22"/>
          <w:szCs w:val="22"/>
        </w:rPr>
        <w:footnoteReference w:id="74"/>
      </w:r>
      <w:r>
        <w:rPr>
          <w:rFonts w:asciiTheme="majorHAnsi" w:hAnsiTheme="majorHAnsi"/>
          <w:sz w:val="22"/>
          <w:szCs w:val="22"/>
        </w:rPr>
        <w:t xml:space="preserve"> </w:t>
      </w:r>
      <w:r w:rsidR="002D594D">
        <w:rPr>
          <w:rFonts w:asciiTheme="majorHAnsi" w:hAnsiTheme="majorHAnsi"/>
          <w:sz w:val="22"/>
          <w:szCs w:val="22"/>
        </w:rPr>
        <w:t>In light of this,</w:t>
      </w:r>
      <w:r w:rsidR="00A206A1">
        <w:rPr>
          <w:rFonts w:asciiTheme="majorHAnsi" w:hAnsiTheme="majorHAnsi"/>
          <w:sz w:val="22"/>
          <w:szCs w:val="22"/>
        </w:rPr>
        <w:t xml:space="preserve"> </w:t>
      </w:r>
      <w:r w:rsidR="002D594D">
        <w:rPr>
          <w:rFonts w:asciiTheme="majorHAnsi" w:hAnsiTheme="majorHAnsi"/>
          <w:sz w:val="22"/>
          <w:szCs w:val="22"/>
        </w:rPr>
        <w:t xml:space="preserve">it </w:t>
      </w:r>
      <w:r w:rsidR="00A37B29">
        <w:rPr>
          <w:rFonts w:asciiTheme="majorHAnsi" w:hAnsiTheme="majorHAnsi"/>
          <w:sz w:val="22"/>
          <w:szCs w:val="22"/>
        </w:rPr>
        <w:t xml:space="preserve">is </w:t>
      </w:r>
      <w:r w:rsidR="002D594D">
        <w:rPr>
          <w:rFonts w:asciiTheme="majorHAnsi" w:hAnsiTheme="majorHAnsi"/>
          <w:sz w:val="22"/>
          <w:szCs w:val="22"/>
        </w:rPr>
        <w:t>generally regarded as good practise to counsel</w:t>
      </w:r>
      <w:r w:rsidR="00A206A1">
        <w:rPr>
          <w:rFonts w:asciiTheme="majorHAnsi" w:hAnsiTheme="majorHAnsi"/>
          <w:sz w:val="22"/>
          <w:szCs w:val="22"/>
        </w:rPr>
        <w:t xml:space="preserve"> our </w:t>
      </w:r>
      <w:r w:rsidR="003523CB">
        <w:rPr>
          <w:rFonts w:asciiTheme="majorHAnsi" w:hAnsiTheme="majorHAnsi"/>
          <w:sz w:val="22"/>
          <w:szCs w:val="22"/>
        </w:rPr>
        <w:t xml:space="preserve">research </w:t>
      </w:r>
      <w:r w:rsidR="00A206A1">
        <w:rPr>
          <w:rFonts w:asciiTheme="majorHAnsi" w:hAnsiTheme="majorHAnsi"/>
          <w:sz w:val="22"/>
          <w:szCs w:val="22"/>
        </w:rPr>
        <w:t xml:space="preserve">students to avoid claiming too much on the basis of </w:t>
      </w:r>
      <w:r w:rsidR="002F0C22">
        <w:rPr>
          <w:rFonts w:asciiTheme="majorHAnsi" w:hAnsiTheme="majorHAnsi"/>
          <w:sz w:val="22"/>
          <w:szCs w:val="22"/>
        </w:rPr>
        <w:t>their</w:t>
      </w:r>
      <w:r w:rsidR="00A206A1">
        <w:rPr>
          <w:rFonts w:asciiTheme="majorHAnsi" w:hAnsiTheme="majorHAnsi"/>
          <w:sz w:val="22"/>
          <w:szCs w:val="22"/>
        </w:rPr>
        <w:t xml:space="preserve"> data.</w:t>
      </w:r>
      <w:r w:rsidR="00A37B29">
        <w:rPr>
          <w:rStyle w:val="FootnoteReference"/>
          <w:rFonts w:asciiTheme="majorHAnsi" w:hAnsiTheme="majorHAnsi"/>
          <w:sz w:val="22"/>
          <w:szCs w:val="22"/>
        </w:rPr>
        <w:footnoteReference w:id="75"/>
      </w:r>
      <w:r w:rsidR="00A206A1">
        <w:rPr>
          <w:rFonts w:asciiTheme="majorHAnsi" w:hAnsiTheme="majorHAnsi"/>
          <w:sz w:val="22"/>
          <w:szCs w:val="22"/>
        </w:rPr>
        <w:t xml:space="preserve"> Proportionality, </w:t>
      </w:r>
      <w:r w:rsidR="00597B17">
        <w:rPr>
          <w:rFonts w:asciiTheme="majorHAnsi" w:hAnsiTheme="majorHAnsi"/>
          <w:sz w:val="22"/>
          <w:szCs w:val="22"/>
        </w:rPr>
        <w:t>we</w:t>
      </w:r>
      <w:r w:rsidR="007438F9">
        <w:rPr>
          <w:rFonts w:asciiTheme="majorHAnsi" w:hAnsiTheme="majorHAnsi"/>
          <w:sz w:val="22"/>
          <w:szCs w:val="22"/>
        </w:rPr>
        <w:t xml:space="preserve"> might say,</w:t>
      </w:r>
      <w:r w:rsidR="00A206A1">
        <w:rPr>
          <w:rFonts w:asciiTheme="majorHAnsi" w:hAnsiTheme="majorHAnsi"/>
          <w:sz w:val="22"/>
          <w:szCs w:val="22"/>
        </w:rPr>
        <w:t xml:space="preserve"> is as much a research value as it is a legal value </w:t>
      </w:r>
      <w:r w:rsidR="003523CB">
        <w:rPr>
          <w:rFonts w:asciiTheme="majorHAnsi" w:hAnsiTheme="majorHAnsi"/>
          <w:sz w:val="22"/>
          <w:szCs w:val="22"/>
        </w:rPr>
        <w:t>for public administration</w:t>
      </w:r>
      <w:r w:rsidR="00A206A1">
        <w:rPr>
          <w:rFonts w:asciiTheme="majorHAnsi" w:hAnsiTheme="majorHAnsi"/>
          <w:sz w:val="22"/>
          <w:szCs w:val="22"/>
        </w:rPr>
        <w:t>.</w:t>
      </w:r>
      <w:r w:rsidR="002D594D">
        <w:rPr>
          <w:rFonts w:asciiTheme="majorHAnsi" w:hAnsiTheme="majorHAnsi"/>
          <w:sz w:val="22"/>
          <w:szCs w:val="22"/>
        </w:rPr>
        <w:t xml:space="preserve"> </w:t>
      </w:r>
      <w:r>
        <w:rPr>
          <w:rFonts w:asciiTheme="majorHAnsi" w:hAnsiTheme="majorHAnsi"/>
          <w:sz w:val="22"/>
          <w:szCs w:val="22"/>
        </w:rPr>
        <w:t xml:space="preserve">In </w:t>
      </w:r>
      <w:r w:rsidR="00A37B29">
        <w:rPr>
          <w:rFonts w:asciiTheme="majorHAnsi" w:hAnsiTheme="majorHAnsi"/>
          <w:sz w:val="22"/>
          <w:szCs w:val="22"/>
        </w:rPr>
        <w:t>this</w:t>
      </w:r>
      <w:r>
        <w:rPr>
          <w:rFonts w:asciiTheme="majorHAnsi" w:hAnsiTheme="majorHAnsi"/>
          <w:sz w:val="22"/>
          <w:szCs w:val="22"/>
        </w:rPr>
        <w:t xml:space="preserve"> vein</w:t>
      </w:r>
      <w:r w:rsidR="002F0C22">
        <w:rPr>
          <w:rFonts w:asciiTheme="majorHAnsi" w:hAnsiTheme="majorHAnsi"/>
          <w:sz w:val="22"/>
          <w:szCs w:val="22"/>
        </w:rPr>
        <w:t xml:space="preserve">, we conclude this article by stressing its limits. </w:t>
      </w:r>
    </w:p>
    <w:p w14:paraId="461168FB" w14:textId="77777777" w:rsidR="002D594D" w:rsidRDefault="002D594D" w:rsidP="00566186">
      <w:pPr>
        <w:rPr>
          <w:rFonts w:asciiTheme="majorHAnsi" w:hAnsiTheme="majorHAnsi"/>
          <w:sz w:val="22"/>
          <w:szCs w:val="22"/>
        </w:rPr>
      </w:pPr>
    </w:p>
    <w:p w14:paraId="24F53B34" w14:textId="35F47CB7" w:rsidR="002D594D" w:rsidRDefault="00601464" w:rsidP="00566186">
      <w:pPr>
        <w:rPr>
          <w:rFonts w:asciiTheme="majorHAnsi" w:hAnsiTheme="majorHAnsi"/>
          <w:sz w:val="22"/>
          <w:szCs w:val="22"/>
        </w:rPr>
      </w:pPr>
      <w:r w:rsidRPr="00601464">
        <w:rPr>
          <w:rFonts w:asciiTheme="majorHAnsi" w:hAnsiTheme="majorHAnsi"/>
          <w:sz w:val="22"/>
          <w:szCs w:val="22"/>
        </w:rPr>
        <w:t xml:space="preserve">We have </w:t>
      </w:r>
      <w:r>
        <w:rPr>
          <w:rFonts w:asciiTheme="majorHAnsi" w:hAnsiTheme="majorHAnsi"/>
          <w:sz w:val="22"/>
          <w:szCs w:val="22"/>
        </w:rPr>
        <w:t>used research evidence about the use and incidence of compulsory internal review in homelessn</w:t>
      </w:r>
      <w:r w:rsidR="007602C7">
        <w:rPr>
          <w:rFonts w:asciiTheme="majorHAnsi" w:hAnsiTheme="majorHAnsi"/>
          <w:sz w:val="22"/>
          <w:szCs w:val="22"/>
        </w:rPr>
        <w:t xml:space="preserve">ess law to </w:t>
      </w:r>
      <w:r w:rsidR="002F0C22">
        <w:rPr>
          <w:rFonts w:asciiTheme="majorHAnsi" w:hAnsiTheme="majorHAnsi"/>
          <w:sz w:val="22"/>
          <w:szCs w:val="22"/>
        </w:rPr>
        <w:t xml:space="preserve">fuel </w:t>
      </w:r>
      <w:r w:rsidR="007602C7">
        <w:rPr>
          <w:rFonts w:asciiTheme="majorHAnsi" w:hAnsiTheme="majorHAnsi"/>
          <w:sz w:val="22"/>
          <w:szCs w:val="22"/>
        </w:rPr>
        <w:t>debate</w:t>
      </w:r>
      <w:r w:rsidR="00B33978">
        <w:rPr>
          <w:rFonts w:asciiTheme="majorHAnsi" w:hAnsiTheme="majorHAnsi"/>
          <w:sz w:val="22"/>
          <w:szCs w:val="22"/>
        </w:rPr>
        <w:t>s</w:t>
      </w:r>
      <w:r>
        <w:rPr>
          <w:rFonts w:asciiTheme="majorHAnsi" w:hAnsiTheme="majorHAnsi"/>
          <w:sz w:val="22"/>
          <w:szCs w:val="22"/>
        </w:rPr>
        <w:t xml:space="preserve"> about the appropriateness of mandatory reconsideration</w:t>
      </w:r>
      <w:r w:rsidR="00B33978">
        <w:rPr>
          <w:rFonts w:asciiTheme="majorHAnsi" w:hAnsiTheme="majorHAnsi"/>
          <w:sz w:val="22"/>
          <w:szCs w:val="22"/>
        </w:rPr>
        <w:t xml:space="preserve"> as a </w:t>
      </w:r>
      <w:r w:rsidR="00D46A42">
        <w:rPr>
          <w:rFonts w:asciiTheme="majorHAnsi" w:hAnsiTheme="majorHAnsi"/>
          <w:sz w:val="22"/>
          <w:szCs w:val="22"/>
        </w:rPr>
        <w:t>feature</w:t>
      </w:r>
      <w:r w:rsidR="00B33978">
        <w:rPr>
          <w:rFonts w:asciiTheme="majorHAnsi" w:hAnsiTheme="majorHAnsi"/>
          <w:sz w:val="22"/>
          <w:szCs w:val="22"/>
        </w:rPr>
        <w:t xml:space="preserve"> of administrative justice</w:t>
      </w:r>
      <w:r w:rsidR="00D46A42">
        <w:rPr>
          <w:rFonts w:asciiTheme="majorHAnsi" w:hAnsiTheme="majorHAnsi"/>
          <w:sz w:val="22"/>
          <w:szCs w:val="22"/>
        </w:rPr>
        <w:t xml:space="preserve"> systems</w:t>
      </w:r>
      <w:r>
        <w:rPr>
          <w:rFonts w:asciiTheme="majorHAnsi" w:hAnsiTheme="majorHAnsi"/>
          <w:sz w:val="22"/>
          <w:szCs w:val="22"/>
        </w:rPr>
        <w:t xml:space="preserve">. </w:t>
      </w:r>
      <w:r w:rsidR="002F0C22">
        <w:rPr>
          <w:rFonts w:asciiTheme="majorHAnsi" w:hAnsiTheme="majorHAnsi"/>
          <w:sz w:val="22"/>
          <w:szCs w:val="22"/>
        </w:rPr>
        <w:t>Our main empirical findings were two-fold: first, that, contrary to design, mandatory reconsideration in homelessness law has drifted towards being a legalised form of dispute resolution; second</w:t>
      </w:r>
      <w:r w:rsidR="00C761F3">
        <w:rPr>
          <w:rFonts w:asciiTheme="majorHAnsi" w:hAnsiTheme="majorHAnsi"/>
          <w:sz w:val="22"/>
          <w:szCs w:val="22"/>
        </w:rPr>
        <w:t>,</w:t>
      </w:r>
      <w:r w:rsidR="002F0C22">
        <w:rPr>
          <w:rFonts w:asciiTheme="majorHAnsi" w:hAnsiTheme="majorHAnsi"/>
          <w:sz w:val="22"/>
          <w:szCs w:val="22"/>
        </w:rPr>
        <w:t xml:space="preserve"> that the local authorities who conduct such reconsiderations perceive that </w:t>
      </w:r>
      <w:r w:rsidR="00C761F3">
        <w:rPr>
          <w:rFonts w:asciiTheme="majorHAnsi" w:hAnsiTheme="majorHAnsi"/>
          <w:sz w:val="22"/>
          <w:szCs w:val="22"/>
        </w:rPr>
        <w:t xml:space="preserve">their </w:t>
      </w:r>
      <w:r w:rsidR="002D594D">
        <w:rPr>
          <w:rFonts w:asciiTheme="majorHAnsi" w:hAnsiTheme="majorHAnsi"/>
          <w:sz w:val="22"/>
          <w:szCs w:val="22"/>
        </w:rPr>
        <w:t xml:space="preserve">reconsideration </w:t>
      </w:r>
      <w:r w:rsidR="00C761F3">
        <w:rPr>
          <w:rFonts w:asciiTheme="majorHAnsi" w:hAnsiTheme="majorHAnsi"/>
          <w:sz w:val="22"/>
          <w:szCs w:val="22"/>
        </w:rPr>
        <w:t>experiences</w:t>
      </w:r>
      <w:r w:rsidR="002F0C22">
        <w:rPr>
          <w:rFonts w:asciiTheme="majorHAnsi" w:hAnsiTheme="majorHAnsi"/>
          <w:sz w:val="22"/>
          <w:szCs w:val="22"/>
        </w:rPr>
        <w:t xml:space="preserve"> improve the quality of routine primary decision-making.</w:t>
      </w:r>
      <w:r w:rsidR="00C761F3">
        <w:rPr>
          <w:rFonts w:asciiTheme="majorHAnsi" w:hAnsiTheme="majorHAnsi"/>
          <w:sz w:val="22"/>
          <w:szCs w:val="22"/>
        </w:rPr>
        <w:t xml:space="preserve"> On the basis of these empirical findings, we suggested that mandatory reconsideration may have an ambiguous relationship to administrative justice. </w:t>
      </w:r>
    </w:p>
    <w:p w14:paraId="155D5E2A" w14:textId="77777777" w:rsidR="002D594D" w:rsidRDefault="002D594D" w:rsidP="00566186">
      <w:pPr>
        <w:rPr>
          <w:rFonts w:asciiTheme="majorHAnsi" w:hAnsiTheme="majorHAnsi"/>
          <w:sz w:val="22"/>
          <w:szCs w:val="22"/>
        </w:rPr>
      </w:pPr>
    </w:p>
    <w:p w14:paraId="39224B14" w14:textId="233F389A" w:rsidR="002D594D" w:rsidRDefault="002D594D" w:rsidP="00566186">
      <w:pPr>
        <w:rPr>
          <w:rFonts w:asciiTheme="majorHAnsi" w:hAnsiTheme="majorHAnsi"/>
          <w:sz w:val="22"/>
          <w:szCs w:val="22"/>
        </w:rPr>
      </w:pPr>
      <w:r>
        <w:rPr>
          <w:rFonts w:asciiTheme="majorHAnsi" w:hAnsiTheme="majorHAnsi"/>
          <w:sz w:val="22"/>
          <w:szCs w:val="22"/>
        </w:rPr>
        <w:t>Our core argument</w:t>
      </w:r>
      <w:r w:rsidR="001B3710">
        <w:rPr>
          <w:rFonts w:asciiTheme="majorHAnsi" w:hAnsiTheme="majorHAnsi"/>
          <w:sz w:val="22"/>
          <w:szCs w:val="22"/>
        </w:rPr>
        <w:t>, however,</w:t>
      </w:r>
      <w:r>
        <w:rPr>
          <w:rFonts w:asciiTheme="majorHAnsi" w:hAnsiTheme="majorHAnsi"/>
          <w:sz w:val="22"/>
          <w:szCs w:val="22"/>
        </w:rPr>
        <w:t xml:space="preserve"> needs</w:t>
      </w:r>
      <w:r w:rsidR="00C761F3">
        <w:rPr>
          <w:rFonts w:asciiTheme="majorHAnsi" w:hAnsiTheme="majorHAnsi"/>
          <w:sz w:val="22"/>
          <w:szCs w:val="22"/>
        </w:rPr>
        <w:t xml:space="preserve"> to be </w:t>
      </w:r>
      <w:r>
        <w:rPr>
          <w:rFonts w:asciiTheme="majorHAnsi" w:hAnsiTheme="majorHAnsi"/>
          <w:sz w:val="22"/>
          <w:szCs w:val="22"/>
        </w:rPr>
        <w:t>qualified</w:t>
      </w:r>
      <w:r w:rsidR="00C761F3">
        <w:rPr>
          <w:rFonts w:asciiTheme="majorHAnsi" w:hAnsiTheme="majorHAnsi"/>
          <w:sz w:val="22"/>
          <w:szCs w:val="22"/>
        </w:rPr>
        <w:t xml:space="preserve"> by </w:t>
      </w:r>
      <w:r>
        <w:rPr>
          <w:rFonts w:asciiTheme="majorHAnsi" w:hAnsiTheme="majorHAnsi"/>
          <w:sz w:val="22"/>
          <w:szCs w:val="22"/>
        </w:rPr>
        <w:t>three</w:t>
      </w:r>
      <w:r w:rsidR="00C761F3">
        <w:rPr>
          <w:rFonts w:asciiTheme="majorHAnsi" w:hAnsiTheme="majorHAnsi"/>
          <w:sz w:val="22"/>
          <w:szCs w:val="22"/>
        </w:rPr>
        <w:t xml:space="preserve"> cautionary remarks. First, our data on the impact of mandatary reconsideration on the quality of primary decision-making derives mainly from the </w:t>
      </w:r>
      <w:r w:rsidR="00C761F3" w:rsidRPr="00C761F3">
        <w:rPr>
          <w:rFonts w:asciiTheme="majorHAnsi" w:hAnsiTheme="majorHAnsi"/>
          <w:i/>
          <w:sz w:val="22"/>
          <w:szCs w:val="22"/>
        </w:rPr>
        <w:t>opinions</w:t>
      </w:r>
      <w:r w:rsidR="00C761F3">
        <w:rPr>
          <w:rFonts w:asciiTheme="majorHAnsi" w:hAnsiTheme="majorHAnsi"/>
          <w:sz w:val="22"/>
          <w:szCs w:val="22"/>
        </w:rPr>
        <w:t xml:space="preserve"> of senior officers in responding to our survey questionnaire.</w:t>
      </w:r>
      <w:r w:rsidR="0011280A">
        <w:rPr>
          <w:rFonts w:asciiTheme="majorHAnsi" w:hAnsiTheme="majorHAnsi"/>
          <w:sz w:val="22"/>
          <w:szCs w:val="22"/>
        </w:rPr>
        <w:t xml:space="preserve"> The data is quite ‘soft’ in other words.</w:t>
      </w:r>
      <w:r w:rsidR="00A741E2">
        <w:rPr>
          <w:rFonts w:asciiTheme="majorHAnsi" w:hAnsiTheme="majorHAnsi"/>
          <w:sz w:val="22"/>
          <w:szCs w:val="22"/>
        </w:rPr>
        <w:t xml:space="preserve"> We simply do not know the extent to which the perceptions of our respondents match the reality. </w:t>
      </w:r>
    </w:p>
    <w:p w14:paraId="6A2F8E2E" w14:textId="77777777" w:rsidR="002D594D" w:rsidRDefault="002D594D" w:rsidP="00566186">
      <w:pPr>
        <w:rPr>
          <w:rFonts w:asciiTheme="majorHAnsi" w:hAnsiTheme="majorHAnsi"/>
          <w:sz w:val="22"/>
          <w:szCs w:val="22"/>
        </w:rPr>
      </w:pPr>
    </w:p>
    <w:p w14:paraId="37547E63" w14:textId="49AC62A0" w:rsidR="00C761F3" w:rsidRDefault="002D594D" w:rsidP="00566186">
      <w:pPr>
        <w:rPr>
          <w:rFonts w:asciiTheme="majorHAnsi" w:hAnsiTheme="majorHAnsi"/>
          <w:sz w:val="22"/>
          <w:szCs w:val="22"/>
        </w:rPr>
      </w:pPr>
      <w:r>
        <w:rPr>
          <w:rFonts w:asciiTheme="majorHAnsi" w:hAnsiTheme="majorHAnsi"/>
          <w:sz w:val="22"/>
          <w:szCs w:val="22"/>
        </w:rPr>
        <w:lastRenderedPageBreak/>
        <w:t>Second</w:t>
      </w:r>
      <w:r w:rsidR="00A741E2">
        <w:rPr>
          <w:rFonts w:asciiTheme="majorHAnsi" w:hAnsiTheme="majorHAnsi"/>
          <w:sz w:val="22"/>
          <w:szCs w:val="22"/>
        </w:rPr>
        <w:t xml:space="preserve">, even if perceptions </w:t>
      </w:r>
      <w:r>
        <w:rPr>
          <w:rFonts w:asciiTheme="majorHAnsi" w:hAnsiTheme="majorHAnsi"/>
          <w:sz w:val="22"/>
          <w:szCs w:val="22"/>
        </w:rPr>
        <w:t xml:space="preserve">do </w:t>
      </w:r>
      <w:r w:rsidR="00A741E2">
        <w:rPr>
          <w:rFonts w:asciiTheme="majorHAnsi" w:hAnsiTheme="majorHAnsi"/>
          <w:sz w:val="22"/>
          <w:szCs w:val="22"/>
        </w:rPr>
        <w:t xml:space="preserve">match reality, we do not know how our respondents interpreted the notion of ‘quality’. There may have been considerable variation amongst the interpretations that underpinned </w:t>
      </w:r>
      <w:r>
        <w:rPr>
          <w:rFonts w:asciiTheme="majorHAnsi" w:hAnsiTheme="majorHAnsi"/>
          <w:sz w:val="22"/>
          <w:szCs w:val="22"/>
        </w:rPr>
        <w:t>survey answers. Equally, even if there was considerable overlap in how our respondents interpreted ‘quality’, such interpretations</w:t>
      </w:r>
      <w:r w:rsidR="00A741E2">
        <w:rPr>
          <w:rFonts w:asciiTheme="majorHAnsi" w:hAnsiTheme="majorHAnsi"/>
          <w:sz w:val="22"/>
          <w:szCs w:val="22"/>
        </w:rPr>
        <w:t xml:space="preserve"> may not </w:t>
      </w:r>
      <w:r>
        <w:rPr>
          <w:rFonts w:asciiTheme="majorHAnsi" w:hAnsiTheme="majorHAnsi"/>
          <w:sz w:val="22"/>
          <w:szCs w:val="22"/>
        </w:rPr>
        <w:t xml:space="preserve">always </w:t>
      </w:r>
      <w:r w:rsidR="00A741E2">
        <w:rPr>
          <w:rFonts w:asciiTheme="majorHAnsi" w:hAnsiTheme="majorHAnsi"/>
          <w:sz w:val="22"/>
          <w:szCs w:val="22"/>
        </w:rPr>
        <w:t>resemble what administrative justice scholars</w:t>
      </w:r>
      <w:r>
        <w:rPr>
          <w:rFonts w:asciiTheme="majorHAnsi" w:hAnsiTheme="majorHAnsi"/>
          <w:sz w:val="22"/>
          <w:szCs w:val="22"/>
        </w:rPr>
        <w:t>,</w:t>
      </w:r>
      <w:r w:rsidR="00A741E2">
        <w:rPr>
          <w:rFonts w:asciiTheme="majorHAnsi" w:hAnsiTheme="majorHAnsi"/>
          <w:sz w:val="22"/>
          <w:szCs w:val="22"/>
        </w:rPr>
        <w:t xml:space="preserve"> or policy makers</w:t>
      </w:r>
      <w:r>
        <w:rPr>
          <w:rFonts w:asciiTheme="majorHAnsi" w:hAnsiTheme="majorHAnsi"/>
          <w:sz w:val="22"/>
          <w:szCs w:val="22"/>
        </w:rPr>
        <w:t>, or external reviewers</w:t>
      </w:r>
      <w:r w:rsidR="00A741E2">
        <w:rPr>
          <w:rFonts w:asciiTheme="majorHAnsi" w:hAnsiTheme="majorHAnsi"/>
          <w:sz w:val="22"/>
          <w:szCs w:val="22"/>
        </w:rPr>
        <w:t xml:space="preserve"> would regard as ‘quality’. </w:t>
      </w:r>
    </w:p>
    <w:p w14:paraId="6526AAC8" w14:textId="77777777" w:rsidR="00C761F3" w:rsidRDefault="00C761F3" w:rsidP="00566186">
      <w:pPr>
        <w:rPr>
          <w:rFonts w:asciiTheme="majorHAnsi" w:hAnsiTheme="majorHAnsi"/>
          <w:sz w:val="22"/>
          <w:szCs w:val="22"/>
        </w:rPr>
      </w:pPr>
    </w:p>
    <w:p w14:paraId="1564B0FB" w14:textId="68D58E9D" w:rsidR="00296CE1" w:rsidRDefault="002D594D" w:rsidP="00566186">
      <w:pPr>
        <w:rPr>
          <w:rFonts w:asciiTheme="majorHAnsi" w:hAnsiTheme="majorHAnsi"/>
          <w:sz w:val="22"/>
          <w:szCs w:val="22"/>
        </w:rPr>
      </w:pPr>
      <w:r>
        <w:rPr>
          <w:rFonts w:asciiTheme="majorHAnsi" w:hAnsiTheme="majorHAnsi"/>
          <w:sz w:val="22"/>
          <w:szCs w:val="22"/>
        </w:rPr>
        <w:t>Third</w:t>
      </w:r>
      <w:r w:rsidR="00A741E2">
        <w:rPr>
          <w:rFonts w:asciiTheme="majorHAnsi" w:hAnsiTheme="majorHAnsi"/>
          <w:sz w:val="22"/>
          <w:szCs w:val="22"/>
        </w:rPr>
        <w:t xml:space="preserve">, </w:t>
      </w:r>
      <w:r w:rsidR="00C761F3">
        <w:rPr>
          <w:rFonts w:asciiTheme="majorHAnsi" w:hAnsiTheme="majorHAnsi"/>
          <w:sz w:val="22"/>
          <w:szCs w:val="22"/>
        </w:rPr>
        <w:t xml:space="preserve">we must be careful not to presume or suggest that what we found within the field of homelessness will be replicated in other fields of welfare. Local authorities are, </w:t>
      </w:r>
      <w:r w:rsidR="00296CE1">
        <w:rPr>
          <w:rFonts w:asciiTheme="majorHAnsi" w:hAnsiTheme="majorHAnsi"/>
          <w:sz w:val="22"/>
          <w:szCs w:val="22"/>
        </w:rPr>
        <w:t xml:space="preserve">as </w:t>
      </w:r>
      <w:r w:rsidR="00C761F3">
        <w:rPr>
          <w:rFonts w:asciiTheme="majorHAnsi" w:hAnsiTheme="majorHAnsi"/>
          <w:sz w:val="22"/>
          <w:szCs w:val="22"/>
        </w:rPr>
        <w:t xml:space="preserve">their designation </w:t>
      </w:r>
      <w:r w:rsidR="00296CE1">
        <w:rPr>
          <w:rFonts w:asciiTheme="majorHAnsi" w:hAnsiTheme="majorHAnsi"/>
          <w:sz w:val="22"/>
          <w:szCs w:val="22"/>
        </w:rPr>
        <w:t>suggests</w:t>
      </w:r>
      <w:r w:rsidR="00C761F3">
        <w:rPr>
          <w:rFonts w:asciiTheme="majorHAnsi" w:hAnsiTheme="majorHAnsi"/>
          <w:sz w:val="22"/>
          <w:szCs w:val="22"/>
        </w:rPr>
        <w:t xml:space="preserve">, </w:t>
      </w:r>
      <w:r w:rsidR="00C761F3">
        <w:rPr>
          <w:rFonts w:asciiTheme="majorHAnsi" w:hAnsiTheme="majorHAnsi"/>
          <w:i/>
          <w:sz w:val="22"/>
          <w:szCs w:val="22"/>
        </w:rPr>
        <w:t>local</w:t>
      </w:r>
      <w:r w:rsidR="00C761F3">
        <w:rPr>
          <w:rFonts w:asciiTheme="majorHAnsi" w:hAnsiTheme="majorHAnsi"/>
          <w:sz w:val="22"/>
          <w:szCs w:val="22"/>
        </w:rPr>
        <w:t xml:space="preserve">. </w:t>
      </w:r>
      <w:r w:rsidR="00296CE1">
        <w:rPr>
          <w:rFonts w:asciiTheme="majorHAnsi" w:hAnsiTheme="majorHAnsi"/>
          <w:sz w:val="22"/>
          <w:szCs w:val="22"/>
        </w:rPr>
        <w:t>Relative to centralised areas of welfare administration, they are small. Further, h</w:t>
      </w:r>
      <w:r w:rsidR="00C761F3">
        <w:rPr>
          <w:rFonts w:asciiTheme="majorHAnsi" w:hAnsiTheme="majorHAnsi"/>
          <w:sz w:val="22"/>
          <w:szCs w:val="22"/>
        </w:rPr>
        <w:t xml:space="preserve">omeless persons units are generally small-ish teams within these local agencies. Officers conducting internal reviews may, then, have a more proximate relationship to the front-line workers who make </w:t>
      </w:r>
      <w:r w:rsidR="006317AF">
        <w:rPr>
          <w:rFonts w:asciiTheme="majorHAnsi" w:hAnsiTheme="majorHAnsi"/>
          <w:sz w:val="22"/>
          <w:szCs w:val="22"/>
        </w:rPr>
        <w:t>routine primary decisions. This, as we have argued,</w:t>
      </w:r>
      <w:r w:rsidR="00C761F3">
        <w:rPr>
          <w:rFonts w:asciiTheme="majorHAnsi" w:hAnsiTheme="majorHAnsi"/>
          <w:sz w:val="22"/>
          <w:szCs w:val="22"/>
        </w:rPr>
        <w:t xml:space="preserve"> </w:t>
      </w:r>
      <w:r>
        <w:rPr>
          <w:rFonts w:asciiTheme="majorHAnsi" w:hAnsiTheme="majorHAnsi"/>
          <w:sz w:val="22"/>
          <w:szCs w:val="22"/>
        </w:rPr>
        <w:t>enhance</w:t>
      </w:r>
      <w:r w:rsidR="006317AF">
        <w:rPr>
          <w:rFonts w:asciiTheme="majorHAnsi" w:hAnsiTheme="majorHAnsi"/>
          <w:sz w:val="22"/>
          <w:szCs w:val="22"/>
        </w:rPr>
        <w:t>s</w:t>
      </w:r>
      <w:r>
        <w:rPr>
          <w:rFonts w:asciiTheme="majorHAnsi" w:hAnsiTheme="majorHAnsi"/>
          <w:sz w:val="22"/>
          <w:szCs w:val="22"/>
        </w:rPr>
        <w:t xml:space="preserve"> the capacity for lessons learned in mandatory reconsideration to be translated into improvements within ongoing routine administration.</w:t>
      </w:r>
      <w:r w:rsidR="00EE1238">
        <w:rPr>
          <w:rFonts w:asciiTheme="majorHAnsi" w:hAnsiTheme="majorHAnsi"/>
          <w:sz w:val="22"/>
          <w:szCs w:val="22"/>
        </w:rPr>
        <w:t xml:space="preserve"> </w:t>
      </w:r>
      <w:r>
        <w:rPr>
          <w:rFonts w:asciiTheme="majorHAnsi" w:hAnsiTheme="majorHAnsi"/>
          <w:sz w:val="22"/>
          <w:szCs w:val="22"/>
        </w:rPr>
        <w:t>The r</w:t>
      </w:r>
      <w:r w:rsidR="00EE1238">
        <w:rPr>
          <w:rFonts w:asciiTheme="majorHAnsi" w:hAnsiTheme="majorHAnsi"/>
          <w:sz w:val="22"/>
          <w:szCs w:val="22"/>
        </w:rPr>
        <w:t>elational distance between the</w:t>
      </w:r>
      <w:r>
        <w:rPr>
          <w:rFonts w:asciiTheme="majorHAnsi" w:hAnsiTheme="majorHAnsi"/>
          <w:sz w:val="22"/>
          <w:szCs w:val="22"/>
        </w:rPr>
        <w:t xml:space="preserve"> front-lines and secondary-lines </w:t>
      </w:r>
      <w:r w:rsidR="00EE1238">
        <w:rPr>
          <w:rFonts w:asciiTheme="majorHAnsi" w:hAnsiTheme="majorHAnsi"/>
          <w:sz w:val="22"/>
          <w:szCs w:val="22"/>
        </w:rPr>
        <w:t>of welfare administration</w:t>
      </w:r>
      <w:r>
        <w:rPr>
          <w:rFonts w:asciiTheme="majorHAnsi" w:hAnsiTheme="majorHAnsi"/>
          <w:sz w:val="22"/>
          <w:szCs w:val="22"/>
        </w:rPr>
        <w:t xml:space="preserve"> are likely to vary according to context</w:t>
      </w:r>
      <w:r w:rsidR="006317AF">
        <w:rPr>
          <w:rFonts w:asciiTheme="majorHAnsi" w:hAnsiTheme="majorHAnsi"/>
          <w:sz w:val="22"/>
          <w:szCs w:val="22"/>
        </w:rPr>
        <w:t>, however</w:t>
      </w:r>
      <w:r>
        <w:rPr>
          <w:rFonts w:asciiTheme="majorHAnsi" w:hAnsiTheme="majorHAnsi"/>
          <w:sz w:val="22"/>
          <w:szCs w:val="22"/>
        </w:rPr>
        <w:t>.</w:t>
      </w:r>
      <w:r w:rsidR="00EE1238">
        <w:rPr>
          <w:rFonts w:asciiTheme="majorHAnsi" w:hAnsiTheme="majorHAnsi"/>
          <w:sz w:val="22"/>
          <w:szCs w:val="22"/>
        </w:rPr>
        <w:t xml:space="preserve"> Homelessness administration</w:t>
      </w:r>
      <w:r w:rsidR="006317AF" w:rsidRPr="006317AF">
        <w:rPr>
          <w:rFonts w:asciiTheme="majorHAnsi" w:hAnsiTheme="majorHAnsi"/>
          <w:sz w:val="22"/>
          <w:szCs w:val="22"/>
        </w:rPr>
        <w:t xml:space="preserve"> </w:t>
      </w:r>
      <w:r w:rsidR="006317AF">
        <w:rPr>
          <w:rFonts w:asciiTheme="majorHAnsi" w:hAnsiTheme="majorHAnsi"/>
          <w:sz w:val="22"/>
          <w:szCs w:val="22"/>
        </w:rPr>
        <w:t>may well represent</w:t>
      </w:r>
      <w:r w:rsidR="00EE1238">
        <w:rPr>
          <w:rFonts w:asciiTheme="majorHAnsi" w:hAnsiTheme="majorHAnsi"/>
          <w:sz w:val="22"/>
          <w:szCs w:val="22"/>
        </w:rPr>
        <w:t xml:space="preserve"> the thinner end of the wedge, in this respect.</w:t>
      </w:r>
    </w:p>
    <w:p w14:paraId="177FAB9C" w14:textId="77777777" w:rsidR="00EE1238" w:rsidRDefault="00EE1238" w:rsidP="00566186">
      <w:pPr>
        <w:rPr>
          <w:rFonts w:asciiTheme="majorHAnsi" w:hAnsiTheme="majorHAnsi"/>
          <w:sz w:val="22"/>
          <w:szCs w:val="22"/>
        </w:rPr>
      </w:pPr>
    </w:p>
    <w:p w14:paraId="79EB2F4E" w14:textId="5CB7F452" w:rsidR="005C1228" w:rsidRDefault="00EE1238" w:rsidP="00566186">
      <w:pPr>
        <w:rPr>
          <w:rFonts w:asciiTheme="majorHAnsi" w:hAnsiTheme="majorHAnsi"/>
          <w:sz w:val="22"/>
          <w:szCs w:val="22"/>
        </w:rPr>
      </w:pPr>
      <w:r>
        <w:rPr>
          <w:rFonts w:asciiTheme="majorHAnsi" w:hAnsiTheme="majorHAnsi"/>
          <w:sz w:val="22"/>
          <w:szCs w:val="22"/>
        </w:rPr>
        <w:t xml:space="preserve">Nonetheless, despite these qualifications, our data and analysis raise </w:t>
      </w:r>
      <w:r w:rsidR="002E18A6">
        <w:rPr>
          <w:rFonts w:asciiTheme="majorHAnsi" w:hAnsiTheme="majorHAnsi"/>
          <w:sz w:val="22"/>
          <w:szCs w:val="22"/>
        </w:rPr>
        <w:t>fundamental</w:t>
      </w:r>
      <w:r>
        <w:rPr>
          <w:rFonts w:asciiTheme="majorHAnsi" w:hAnsiTheme="majorHAnsi"/>
          <w:sz w:val="22"/>
          <w:szCs w:val="22"/>
        </w:rPr>
        <w:t xml:space="preserve"> issues</w:t>
      </w:r>
      <w:r w:rsidR="002E18A6">
        <w:rPr>
          <w:rFonts w:asciiTheme="majorHAnsi" w:hAnsiTheme="majorHAnsi"/>
          <w:sz w:val="22"/>
          <w:szCs w:val="22"/>
        </w:rPr>
        <w:t xml:space="preserve"> for administrative justice theory</w:t>
      </w:r>
      <w:r>
        <w:rPr>
          <w:rFonts w:asciiTheme="majorHAnsi" w:hAnsiTheme="majorHAnsi"/>
          <w:sz w:val="22"/>
          <w:szCs w:val="22"/>
        </w:rPr>
        <w:t>.</w:t>
      </w:r>
      <w:r w:rsidR="002E18A6">
        <w:rPr>
          <w:rFonts w:asciiTheme="majorHAnsi" w:hAnsiTheme="majorHAnsi"/>
          <w:sz w:val="22"/>
          <w:szCs w:val="22"/>
        </w:rPr>
        <w:t xml:space="preserve"> And t</w:t>
      </w:r>
      <w:r w:rsidR="00C17A4B">
        <w:rPr>
          <w:rFonts w:asciiTheme="majorHAnsi" w:hAnsiTheme="majorHAnsi"/>
          <w:sz w:val="22"/>
          <w:szCs w:val="22"/>
        </w:rPr>
        <w:t>hey urge caution in how we should assess mandatory reconsideration from an administrative justice perspective.</w:t>
      </w:r>
      <w:r>
        <w:rPr>
          <w:rFonts w:asciiTheme="majorHAnsi" w:hAnsiTheme="majorHAnsi"/>
          <w:sz w:val="22"/>
          <w:szCs w:val="22"/>
        </w:rPr>
        <w:t xml:space="preserve"> Or, to put it a better way, our data on homelessness administration suggest that we must </w:t>
      </w:r>
      <w:r>
        <w:rPr>
          <w:rFonts w:asciiTheme="majorHAnsi" w:hAnsiTheme="majorHAnsi"/>
          <w:i/>
          <w:sz w:val="22"/>
          <w:szCs w:val="22"/>
        </w:rPr>
        <w:t>investigate</w:t>
      </w:r>
      <w:r>
        <w:rPr>
          <w:rFonts w:asciiTheme="majorHAnsi" w:hAnsiTheme="majorHAnsi"/>
          <w:sz w:val="22"/>
          <w:szCs w:val="22"/>
        </w:rPr>
        <w:t xml:space="preserve"> the relationship between mandatory reconsideration and administrative justice, </w:t>
      </w:r>
      <w:r w:rsidR="005C1228">
        <w:rPr>
          <w:rFonts w:asciiTheme="majorHAnsi" w:hAnsiTheme="majorHAnsi"/>
          <w:sz w:val="22"/>
          <w:szCs w:val="22"/>
        </w:rPr>
        <w:t>context by context, eschewing straightforward conclusions</w:t>
      </w:r>
      <w:r w:rsidR="00226BCE">
        <w:rPr>
          <w:rFonts w:asciiTheme="majorHAnsi" w:hAnsiTheme="majorHAnsi"/>
          <w:sz w:val="22"/>
          <w:szCs w:val="22"/>
        </w:rPr>
        <w:t>,</w:t>
      </w:r>
      <w:r w:rsidR="005C1228">
        <w:rPr>
          <w:rFonts w:asciiTheme="majorHAnsi" w:hAnsiTheme="majorHAnsi"/>
          <w:sz w:val="22"/>
          <w:szCs w:val="22"/>
        </w:rPr>
        <w:t xml:space="preserve"> </w:t>
      </w:r>
      <w:bookmarkStart w:id="0" w:name="_GoBack"/>
      <w:bookmarkEnd w:id="0"/>
      <w:r>
        <w:rPr>
          <w:rFonts w:asciiTheme="majorHAnsi" w:hAnsiTheme="majorHAnsi"/>
          <w:sz w:val="22"/>
          <w:szCs w:val="22"/>
        </w:rPr>
        <w:t>paying attention</w:t>
      </w:r>
      <w:r w:rsidR="005C1228">
        <w:rPr>
          <w:rFonts w:asciiTheme="majorHAnsi" w:hAnsiTheme="majorHAnsi"/>
          <w:sz w:val="22"/>
          <w:szCs w:val="22"/>
        </w:rPr>
        <w:t>, both empirically and theoretically,</w:t>
      </w:r>
      <w:r>
        <w:rPr>
          <w:rFonts w:asciiTheme="majorHAnsi" w:hAnsiTheme="majorHAnsi"/>
          <w:sz w:val="22"/>
          <w:szCs w:val="22"/>
        </w:rPr>
        <w:t xml:space="preserve"> to </w:t>
      </w:r>
      <w:r w:rsidR="005C1228">
        <w:rPr>
          <w:rFonts w:asciiTheme="majorHAnsi" w:hAnsiTheme="majorHAnsi"/>
          <w:sz w:val="22"/>
          <w:szCs w:val="22"/>
        </w:rPr>
        <w:t>the relationships between</w:t>
      </w:r>
      <w:r>
        <w:rPr>
          <w:rFonts w:asciiTheme="majorHAnsi" w:hAnsiTheme="majorHAnsi"/>
          <w:sz w:val="22"/>
          <w:szCs w:val="22"/>
        </w:rPr>
        <w:t xml:space="preserve"> r</w:t>
      </w:r>
      <w:r w:rsidR="005C1228">
        <w:rPr>
          <w:rFonts w:asciiTheme="majorHAnsi" w:hAnsiTheme="majorHAnsi"/>
          <w:sz w:val="22"/>
          <w:szCs w:val="22"/>
        </w:rPr>
        <w:t xml:space="preserve">econsideration practices, </w:t>
      </w:r>
      <w:r>
        <w:rPr>
          <w:rFonts w:asciiTheme="majorHAnsi" w:hAnsiTheme="majorHAnsi"/>
          <w:sz w:val="22"/>
          <w:szCs w:val="22"/>
        </w:rPr>
        <w:t xml:space="preserve"> </w:t>
      </w:r>
      <w:r w:rsidR="005C1228">
        <w:rPr>
          <w:rFonts w:asciiTheme="majorHAnsi" w:hAnsiTheme="majorHAnsi"/>
          <w:sz w:val="22"/>
          <w:szCs w:val="22"/>
        </w:rPr>
        <w:t>the interests of individual applicants who feel mistakes have been made, the quality of ongoing routine administration, and the administration of the redress system itself.</w:t>
      </w:r>
    </w:p>
    <w:p w14:paraId="0AD92832" w14:textId="77777777" w:rsidR="005C1228" w:rsidRDefault="005C1228" w:rsidP="00566186">
      <w:pPr>
        <w:rPr>
          <w:rFonts w:asciiTheme="majorHAnsi" w:hAnsiTheme="majorHAnsi"/>
          <w:sz w:val="22"/>
          <w:szCs w:val="22"/>
        </w:rPr>
      </w:pPr>
    </w:p>
    <w:p w14:paraId="6F7B7F45" w14:textId="708FA3ED" w:rsidR="00566186" w:rsidRPr="00601464" w:rsidRDefault="005C1228" w:rsidP="00566186">
      <w:pPr>
        <w:rPr>
          <w:rFonts w:asciiTheme="majorHAnsi" w:hAnsiTheme="majorHAnsi"/>
          <w:sz w:val="22"/>
          <w:szCs w:val="22"/>
        </w:rPr>
      </w:pPr>
      <w:r>
        <w:rPr>
          <w:rFonts w:asciiTheme="majorHAnsi" w:hAnsiTheme="majorHAnsi"/>
          <w:sz w:val="22"/>
          <w:szCs w:val="22"/>
        </w:rPr>
        <w:t>We have argued that the constellation of these interests and issues inevitably gives rise to tension</w:t>
      </w:r>
      <w:r w:rsidR="00FE348E">
        <w:rPr>
          <w:rFonts w:asciiTheme="majorHAnsi" w:hAnsiTheme="majorHAnsi"/>
          <w:sz w:val="22"/>
          <w:szCs w:val="22"/>
        </w:rPr>
        <w:t>, pulling the policy maker or theorist in more than one direction</w:t>
      </w:r>
      <w:r>
        <w:rPr>
          <w:rFonts w:asciiTheme="majorHAnsi" w:hAnsiTheme="majorHAnsi"/>
          <w:sz w:val="22"/>
          <w:szCs w:val="22"/>
        </w:rPr>
        <w:t xml:space="preserve">. </w:t>
      </w:r>
      <w:r w:rsidR="00B33978">
        <w:rPr>
          <w:rFonts w:asciiTheme="majorHAnsi" w:hAnsiTheme="majorHAnsi"/>
          <w:sz w:val="22"/>
          <w:szCs w:val="22"/>
        </w:rPr>
        <w:t xml:space="preserve">Resolution of </w:t>
      </w:r>
      <w:r>
        <w:rPr>
          <w:rFonts w:asciiTheme="majorHAnsi" w:hAnsiTheme="majorHAnsi"/>
          <w:sz w:val="22"/>
          <w:szCs w:val="22"/>
        </w:rPr>
        <w:t>such tension</w:t>
      </w:r>
      <w:r w:rsidR="00B33978">
        <w:rPr>
          <w:rFonts w:asciiTheme="majorHAnsi" w:hAnsiTheme="majorHAnsi"/>
          <w:sz w:val="22"/>
          <w:szCs w:val="22"/>
        </w:rPr>
        <w:t xml:space="preserve"> must be done transparently, guided by an open discussion of the relative </w:t>
      </w:r>
      <w:r w:rsidR="00DC29E1">
        <w:rPr>
          <w:rFonts w:asciiTheme="majorHAnsi" w:hAnsiTheme="majorHAnsi"/>
          <w:sz w:val="22"/>
          <w:szCs w:val="22"/>
        </w:rPr>
        <w:t xml:space="preserve">objective </w:t>
      </w:r>
      <w:r w:rsidR="00B33978">
        <w:rPr>
          <w:rFonts w:asciiTheme="majorHAnsi" w:hAnsiTheme="majorHAnsi"/>
          <w:sz w:val="22"/>
          <w:szCs w:val="22"/>
        </w:rPr>
        <w:t xml:space="preserve">importance of the administrative decisions for individual welfare claimants, </w:t>
      </w:r>
      <w:r w:rsidR="00C37962">
        <w:rPr>
          <w:rFonts w:asciiTheme="majorHAnsi" w:hAnsiTheme="majorHAnsi"/>
          <w:sz w:val="22"/>
          <w:szCs w:val="22"/>
        </w:rPr>
        <w:t xml:space="preserve">and </w:t>
      </w:r>
      <w:r w:rsidR="00B33978">
        <w:rPr>
          <w:rFonts w:asciiTheme="majorHAnsi" w:hAnsiTheme="majorHAnsi"/>
          <w:sz w:val="22"/>
          <w:szCs w:val="22"/>
        </w:rPr>
        <w:t xml:space="preserve">of the significance of discretionary expertise within the welfare agency concerned. </w:t>
      </w:r>
      <w:r w:rsidR="00C37962">
        <w:rPr>
          <w:rFonts w:asciiTheme="majorHAnsi" w:hAnsiTheme="majorHAnsi"/>
          <w:sz w:val="22"/>
          <w:szCs w:val="22"/>
        </w:rPr>
        <w:t xml:space="preserve">Given that these issues will vary according to policy area, we should expect to see variety overall in </w:t>
      </w:r>
      <w:r>
        <w:rPr>
          <w:rFonts w:asciiTheme="majorHAnsi" w:hAnsiTheme="majorHAnsi"/>
          <w:sz w:val="22"/>
          <w:szCs w:val="22"/>
        </w:rPr>
        <w:t xml:space="preserve">our </w:t>
      </w:r>
      <w:r w:rsidR="00C37962">
        <w:rPr>
          <w:rFonts w:asciiTheme="majorHAnsi" w:hAnsiTheme="majorHAnsi"/>
          <w:sz w:val="22"/>
          <w:szCs w:val="22"/>
        </w:rPr>
        <w:t>normative assessments of mandatory reconsideration.</w:t>
      </w:r>
    </w:p>
    <w:sectPr w:rsidR="00566186" w:rsidRPr="00601464" w:rsidSect="00C43EB8">
      <w:footerReference w:type="even" r:id="rId15"/>
      <w:footerReference w:type="default" r:id="rId16"/>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0D4EF" w14:textId="77777777" w:rsidR="00001499" w:rsidRDefault="00001499" w:rsidP="00EC1FE0">
      <w:r>
        <w:separator/>
      </w:r>
    </w:p>
  </w:endnote>
  <w:endnote w:type="continuationSeparator" w:id="0">
    <w:p w14:paraId="3868286B" w14:textId="77777777" w:rsidR="00001499" w:rsidRDefault="00001499" w:rsidP="00EC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Code">
    <w:altName w:val="Calibri"/>
    <w:panose1 w:val="00000000000000000000"/>
    <w:charset w:val="4D"/>
    <w:family w:val="swiss"/>
    <w:notTrueType/>
    <w:pitch w:val="default"/>
    <w:sig w:usb0="00000003" w:usb1="00000000" w:usb2="00000000" w:usb3="00000000" w:csb0="00000001" w:csb1="00000000"/>
  </w:font>
  <w:font w:name="font000000001ca43094">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3430B" w14:textId="77777777" w:rsidR="00001499" w:rsidRDefault="00001499" w:rsidP="00C43E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2E54AD" w14:textId="77777777" w:rsidR="00001499" w:rsidRDefault="000014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F3C5C" w14:textId="77777777" w:rsidR="00001499" w:rsidRDefault="00001499" w:rsidP="00C43E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6BCE">
      <w:rPr>
        <w:rStyle w:val="PageNumber"/>
      </w:rPr>
      <w:t>19</w:t>
    </w:r>
    <w:r>
      <w:rPr>
        <w:rStyle w:val="PageNumber"/>
      </w:rPr>
      <w:fldChar w:fldCharType="end"/>
    </w:r>
  </w:p>
  <w:p w14:paraId="09BFF038" w14:textId="77777777" w:rsidR="00001499" w:rsidRDefault="000014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2A215" w14:textId="77777777" w:rsidR="00001499" w:rsidRDefault="00001499" w:rsidP="00EC1FE0">
      <w:r>
        <w:separator/>
      </w:r>
    </w:p>
  </w:footnote>
  <w:footnote w:type="continuationSeparator" w:id="0">
    <w:p w14:paraId="3399BD48" w14:textId="77777777" w:rsidR="00001499" w:rsidRDefault="00001499" w:rsidP="00EC1FE0">
      <w:r>
        <w:continuationSeparator/>
      </w:r>
    </w:p>
  </w:footnote>
  <w:footnote w:id="1">
    <w:p w14:paraId="74079731" w14:textId="6ADEFB0D" w:rsidR="00001499" w:rsidRPr="00824D56" w:rsidRDefault="00001499">
      <w:pPr>
        <w:pStyle w:val="FootnoteText"/>
        <w:rPr>
          <w:rFonts w:asciiTheme="majorHAnsi" w:hAnsiTheme="majorHAnsi"/>
          <w:sz w:val="20"/>
          <w:szCs w:val="20"/>
          <w:lang w:val="en-US"/>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w:t>
      </w:r>
      <w:r w:rsidRPr="00824D56">
        <w:rPr>
          <w:rFonts w:asciiTheme="majorHAnsi" w:hAnsiTheme="majorHAnsi"/>
          <w:sz w:val="20"/>
          <w:szCs w:val="20"/>
          <w:lang w:val="en-US"/>
        </w:rPr>
        <w:t xml:space="preserve">See, for example, T Mullen ‘Access to Justice in Administrative Law and Administrative Justice’ in E Palmer et al (eds) </w:t>
      </w:r>
      <w:r w:rsidRPr="00824D56">
        <w:rPr>
          <w:rFonts w:asciiTheme="majorHAnsi" w:hAnsiTheme="majorHAnsi"/>
          <w:i/>
          <w:sz w:val="20"/>
          <w:szCs w:val="20"/>
          <w:lang w:val="en-US"/>
        </w:rPr>
        <w:t>Access to Justice: Beyond the Policies and Politics of Austerity</w:t>
      </w:r>
      <w:r w:rsidRPr="00824D56">
        <w:rPr>
          <w:rFonts w:asciiTheme="majorHAnsi" w:hAnsiTheme="majorHAnsi"/>
          <w:sz w:val="20"/>
          <w:szCs w:val="20"/>
          <w:lang w:val="en-US"/>
        </w:rPr>
        <w:t xml:space="preserve"> (Hart Publishing, 2015)</w:t>
      </w:r>
    </w:p>
  </w:footnote>
  <w:footnote w:id="2">
    <w:p w14:paraId="791C4E06" w14:textId="65FFDFEC" w:rsidR="00001499" w:rsidRPr="00824D56" w:rsidRDefault="00001499">
      <w:pPr>
        <w:pStyle w:val="FootnoteText"/>
        <w:rPr>
          <w:rFonts w:asciiTheme="majorHAnsi" w:hAnsiTheme="majorHAnsi"/>
          <w:sz w:val="20"/>
          <w:szCs w:val="20"/>
          <w:lang w:val="en-US"/>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w:t>
      </w:r>
      <w:r w:rsidRPr="00824D56">
        <w:rPr>
          <w:rFonts w:asciiTheme="majorHAnsi" w:hAnsiTheme="majorHAnsi"/>
          <w:sz w:val="20"/>
          <w:szCs w:val="20"/>
          <w:lang w:val="en-US"/>
        </w:rPr>
        <w:t xml:space="preserve">See D Dragos and B Neamtu (eds) </w:t>
      </w:r>
      <w:r w:rsidRPr="00824D56">
        <w:rPr>
          <w:rFonts w:asciiTheme="majorHAnsi" w:hAnsiTheme="majorHAnsi"/>
          <w:i/>
          <w:sz w:val="20"/>
          <w:szCs w:val="20"/>
          <w:lang w:val="en-US"/>
        </w:rPr>
        <w:t>Alternative Dispute Resolution in European Administrative Law</w:t>
      </w:r>
      <w:r w:rsidRPr="00824D56">
        <w:rPr>
          <w:rFonts w:asciiTheme="majorHAnsi" w:hAnsiTheme="majorHAnsi"/>
          <w:sz w:val="20"/>
          <w:szCs w:val="20"/>
          <w:lang w:val="en-US"/>
        </w:rPr>
        <w:t xml:space="preserve"> (Springer, 2014)</w:t>
      </w:r>
    </w:p>
  </w:footnote>
  <w:footnote w:id="3">
    <w:p w14:paraId="0C09D0C5" w14:textId="587C5F44" w:rsidR="00001499" w:rsidRPr="00275B61" w:rsidRDefault="00001499">
      <w:pPr>
        <w:pStyle w:val="FootnoteText"/>
        <w:rPr>
          <w:rFonts w:asciiTheme="majorHAnsi" w:hAnsiTheme="majorHAnsi"/>
          <w:sz w:val="20"/>
          <w:szCs w:val="20"/>
          <w:lang w:val="en-AU"/>
        </w:rPr>
      </w:pPr>
      <w:r w:rsidRPr="00275B61">
        <w:rPr>
          <w:rStyle w:val="FootnoteReference"/>
          <w:rFonts w:asciiTheme="majorHAnsi" w:hAnsiTheme="majorHAnsi"/>
          <w:sz w:val="20"/>
          <w:szCs w:val="20"/>
        </w:rPr>
        <w:footnoteRef/>
      </w:r>
      <w:r w:rsidRPr="00275B61">
        <w:rPr>
          <w:rFonts w:asciiTheme="majorHAnsi" w:hAnsiTheme="majorHAnsi"/>
          <w:sz w:val="20"/>
          <w:szCs w:val="20"/>
        </w:rPr>
        <w:t xml:space="preserve"> </w:t>
      </w:r>
      <w:r w:rsidRPr="00275B61">
        <w:rPr>
          <w:rFonts w:asciiTheme="majorHAnsi" w:hAnsiTheme="majorHAnsi"/>
          <w:sz w:val="20"/>
          <w:szCs w:val="20"/>
          <w:lang w:val="en-AU"/>
        </w:rPr>
        <w:t xml:space="preserve">This figure derives from the </w:t>
      </w:r>
      <w:r>
        <w:rPr>
          <w:rFonts w:asciiTheme="majorHAnsi" w:hAnsiTheme="majorHAnsi"/>
          <w:sz w:val="20"/>
          <w:szCs w:val="20"/>
          <w:lang w:val="en-AU"/>
        </w:rPr>
        <w:t xml:space="preserve">government’s 2015 Autumn Statement, projecting </w:t>
      </w:r>
      <w:r w:rsidRPr="00275B61">
        <w:rPr>
          <w:rFonts w:asciiTheme="majorHAnsi" w:hAnsiTheme="majorHAnsi"/>
          <w:sz w:val="20"/>
          <w:szCs w:val="20"/>
          <w:lang w:val="en-AU"/>
        </w:rPr>
        <w:t xml:space="preserve">caseload </w:t>
      </w:r>
      <w:r>
        <w:rPr>
          <w:rFonts w:asciiTheme="majorHAnsi" w:hAnsiTheme="majorHAnsi"/>
          <w:sz w:val="20"/>
          <w:szCs w:val="20"/>
          <w:lang w:val="en-AU"/>
        </w:rPr>
        <w:t>volumes</w:t>
      </w:r>
      <w:r w:rsidRPr="00275B61">
        <w:rPr>
          <w:rFonts w:asciiTheme="majorHAnsi" w:hAnsiTheme="majorHAnsi"/>
          <w:sz w:val="20"/>
          <w:szCs w:val="20"/>
          <w:lang w:val="en-AU"/>
        </w:rPr>
        <w:t xml:space="preserve"> for the following benefits</w:t>
      </w:r>
      <w:r>
        <w:rPr>
          <w:rFonts w:asciiTheme="majorHAnsi" w:hAnsiTheme="majorHAnsi"/>
          <w:sz w:val="20"/>
          <w:szCs w:val="20"/>
          <w:lang w:val="en-AU"/>
        </w:rPr>
        <w:t xml:space="preserve"> during 2016/17</w:t>
      </w:r>
      <w:r w:rsidRPr="00275B61">
        <w:rPr>
          <w:rFonts w:asciiTheme="majorHAnsi" w:hAnsiTheme="majorHAnsi"/>
          <w:sz w:val="20"/>
          <w:szCs w:val="20"/>
          <w:lang w:val="en-AU"/>
        </w:rPr>
        <w:t xml:space="preserve">: Attendance Allowance; Bereavement Benefits; Carers Allowance; Disability Living Allowance; Employment and Support Allowance; Incapacity Benefit; Income Support; Industrial Injuries Benefit; Jobseekers’ Allowance; Maternity Allowance; Pension Credit; Personal Independence Payment; Severe Disablement Allowance; </w:t>
      </w:r>
      <w:r>
        <w:rPr>
          <w:rFonts w:asciiTheme="majorHAnsi" w:hAnsiTheme="majorHAnsi"/>
          <w:sz w:val="20"/>
          <w:szCs w:val="20"/>
          <w:lang w:val="en-AU"/>
        </w:rPr>
        <w:t>State Pension</w:t>
      </w:r>
      <w:r w:rsidRPr="00275B61">
        <w:rPr>
          <w:rFonts w:asciiTheme="majorHAnsi" w:hAnsiTheme="majorHAnsi"/>
          <w:sz w:val="20"/>
          <w:szCs w:val="20"/>
          <w:lang w:val="en-AU"/>
        </w:rPr>
        <w:t xml:space="preserve">: </w:t>
      </w:r>
      <w:hyperlink r:id="rId1" w:history="1">
        <w:r w:rsidRPr="00275B61">
          <w:rPr>
            <w:rStyle w:val="Hyperlink"/>
            <w:rFonts w:asciiTheme="majorHAnsi" w:hAnsiTheme="majorHAnsi"/>
            <w:sz w:val="20"/>
            <w:szCs w:val="20"/>
            <w:lang w:val="en-AU"/>
          </w:rPr>
          <w:t>https://www.gov.uk/government/statistics/benefit-expenditure-and-caseload-tables-2015</w:t>
        </w:r>
      </w:hyperlink>
      <w:r w:rsidRPr="00275B61">
        <w:rPr>
          <w:rFonts w:asciiTheme="majorHAnsi" w:hAnsiTheme="majorHAnsi"/>
          <w:sz w:val="20"/>
          <w:szCs w:val="20"/>
          <w:lang w:val="en-AU"/>
        </w:rPr>
        <w:t xml:space="preserve"> (accessed 9th May 2016)</w:t>
      </w:r>
    </w:p>
  </w:footnote>
  <w:footnote w:id="4">
    <w:p w14:paraId="2D26753B" w14:textId="4F30072E" w:rsidR="00001499" w:rsidRPr="00824D56" w:rsidRDefault="00001499">
      <w:pPr>
        <w:pStyle w:val="FootnoteText"/>
        <w:rPr>
          <w:rFonts w:asciiTheme="majorHAnsi" w:hAnsiTheme="majorHAnsi"/>
          <w:sz w:val="20"/>
          <w:szCs w:val="20"/>
          <w:lang w:val="en-US"/>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For example, </w:t>
      </w:r>
      <w:r w:rsidRPr="00824D56">
        <w:rPr>
          <w:rFonts w:asciiTheme="majorHAnsi" w:hAnsiTheme="majorHAnsi"/>
          <w:sz w:val="20"/>
          <w:szCs w:val="20"/>
          <w:lang w:val="en-US"/>
        </w:rPr>
        <w:t xml:space="preserve">E Mountbatten, ‘Revolving Doors’ May/June 2015 (169) </w:t>
      </w:r>
      <w:r w:rsidRPr="00824D56">
        <w:rPr>
          <w:rFonts w:asciiTheme="majorHAnsi" w:hAnsiTheme="majorHAnsi"/>
          <w:i/>
          <w:sz w:val="20"/>
          <w:szCs w:val="20"/>
          <w:lang w:val="en-US"/>
        </w:rPr>
        <w:t>Adviser Magazine</w:t>
      </w:r>
      <w:r w:rsidRPr="00824D56">
        <w:rPr>
          <w:rFonts w:asciiTheme="majorHAnsi" w:hAnsiTheme="majorHAnsi"/>
          <w:sz w:val="20"/>
          <w:szCs w:val="20"/>
          <w:lang w:val="en-US"/>
        </w:rPr>
        <w:t>, pp. 7 - 14</w:t>
      </w:r>
    </w:p>
  </w:footnote>
  <w:footnote w:id="5">
    <w:p w14:paraId="0045DA8D" w14:textId="200F0DF8" w:rsidR="00001499" w:rsidRPr="00824D56" w:rsidRDefault="00001499">
      <w:pPr>
        <w:pStyle w:val="FootnoteText"/>
        <w:rPr>
          <w:rFonts w:asciiTheme="majorHAnsi" w:hAnsiTheme="majorHAnsi"/>
          <w:sz w:val="20"/>
          <w:szCs w:val="20"/>
          <w:lang w:val="en-US"/>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For example, S Nason, </w:t>
      </w:r>
      <w:r w:rsidRPr="00824D56">
        <w:rPr>
          <w:rFonts w:asciiTheme="majorHAnsi" w:hAnsiTheme="majorHAnsi"/>
          <w:i/>
          <w:sz w:val="20"/>
          <w:szCs w:val="20"/>
        </w:rPr>
        <w:t>Understanding Administrative Justice in Wales</w:t>
      </w:r>
      <w:r w:rsidRPr="00824D56">
        <w:rPr>
          <w:rFonts w:asciiTheme="majorHAnsi" w:hAnsiTheme="majorHAnsi"/>
          <w:sz w:val="20"/>
          <w:szCs w:val="20"/>
        </w:rPr>
        <w:t xml:space="preserve"> (Bangor University, 2015)</w:t>
      </w:r>
    </w:p>
  </w:footnote>
  <w:footnote w:id="6">
    <w:p w14:paraId="42767CD2" w14:textId="0E3293BB" w:rsidR="00001499" w:rsidRPr="00824D56" w:rsidRDefault="00001499">
      <w:pPr>
        <w:pStyle w:val="FootnoteText"/>
        <w:rPr>
          <w:rFonts w:asciiTheme="majorHAnsi" w:hAnsiTheme="majorHAnsi"/>
          <w:sz w:val="20"/>
          <w:szCs w:val="20"/>
          <w:lang w:val="en-US"/>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w:t>
      </w:r>
      <w:r w:rsidRPr="00824D56">
        <w:rPr>
          <w:rFonts w:asciiTheme="majorHAnsi" w:hAnsiTheme="majorHAnsi"/>
          <w:sz w:val="20"/>
          <w:szCs w:val="20"/>
          <w:lang w:val="en-US"/>
        </w:rPr>
        <w:t xml:space="preserve">Notable exceptions include R Sainsbury, </w:t>
      </w:r>
      <w:r w:rsidRPr="00824D56">
        <w:rPr>
          <w:rFonts w:asciiTheme="majorHAnsi" w:hAnsiTheme="majorHAnsi"/>
          <w:sz w:val="20"/>
          <w:szCs w:val="20"/>
        </w:rPr>
        <w:t xml:space="preserve">‘Internal reviews and the weakening of social security claimants’ rights of appeal’ in G Richardson and H Genn (eds), </w:t>
      </w:r>
      <w:r w:rsidRPr="00824D56">
        <w:rPr>
          <w:rFonts w:asciiTheme="majorHAnsi" w:hAnsiTheme="majorHAnsi"/>
          <w:i/>
          <w:sz w:val="20"/>
          <w:szCs w:val="20"/>
        </w:rPr>
        <w:t>Administrative Law and Government Action: The Courts and Alternative Mechanisms of Review</w:t>
      </w:r>
      <w:r w:rsidRPr="00824D56">
        <w:rPr>
          <w:rFonts w:asciiTheme="majorHAnsi" w:hAnsiTheme="majorHAnsi"/>
          <w:sz w:val="20"/>
          <w:szCs w:val="20"/>
        </w:rPr>
        <w:t xml:space="preserve"> (Oxford University Press, 1994); M Harris ‘The place of formal and informal review in the administrative Justice system’ in M Harris and M Partington (eds), </w:t>
      </w:r>
      <w:r w:rsidRPr="00824D56">
        <w:rPr>
          <w:rFonts w:asciiTheme="majorHAnsi" w:hAnsiTheme="majorHAnsi"/>
          <w:i/>
          <w:sz w:val="20"/>
          <w:szCs w:val="20"/>
        </w:rPr>
        <w:t>Administrative Justice in the 21</w:t>
      </w:r>
      <w:r w:rsidRPr="00824D56">
        <w:rPr>
          <w:rFonts w:asciiTheme="majorHAnsi" w:hAnsiTheme="majorHAnsi"/>
          <w:i/>
          <w:sz w:val="20"/>
          <w:szCs w:val="20"/>
          <w:vertAlign w:val="superscript"/>
        </w:rPr>
        <w:t>st</w:t>
      </w:r>
      <w:r w:rsidRPr="00824D56">
        <w:rPr>
          <w:rFonts w:asciiTheme="majorHAnsi" w:hAnsiTheme="majorHAnsi"/>
          <w:i/>
          <w:sz w:val="20"/>
          <w:szCs w:val="20"/>
        </w:rPr>
        <w:t xml:space="preserve"> Century</w:t>
      </w:r>
      <w:r w:rsidRPr="00824D56">
        <w:rPr>
          <w:rFonts w:asciiTheme="majorHAnsi" w:hAnsiTheme="majorHAnsi"/>
          <w:sz w:val="20"/>
          <w:szCs w:val="20"/>
        </w:rPr>
        <w:t xml:space="preserve"> (Hart Publishing, 1999); S </w:t>
      </w:r>
      <w:r w:rsidRPr="00824D56">
        <w:rPr>
          <w:rFonts w:asciiTheme="majorHAnsi" w:hAnsiTheme="majorHAnsi" w:cs="Arial"/>
          <w:sz w:val="20"/>
          <w:szCs w:val="20"/>
        </w:rPr>
        <w:t>Halliday</w:t>
      </w:r>
      <w:r w:rsidRPr="00824D56">
        <w:rPr>
          <w:rFonts w:asciiTheme="majorHAnsi" w:hAnsiTheme="majorHAnsi" w:cs="Arial"/>
          <w:b/>
          <w:sz w:val="20"/>
          <w:szCs w:val="20"/>
        </w:rPr>
        <w:t xml:space="preserve"> </w:t>
      </w:r>
      <w:r w:rsidRPr="00824D56">
        <w:rPr>
          <w:rFonts w:asciiTheme="majorHAnsi" w:hAnsiTheme="majorHAnsi" w:cs="Arial"/>
          <w:sz w:val="20"/>
          <w:szCs w:val="20"/>
        </w:rPr>
        <w:t xml:space="preserve">‘Internal Review and Administrative Justice: some evidence and research questions from homelessness decision-making’ (2001) </w:t>
      </w:r>
      <w:r w:rsidRPr="00824D56">
        <w:rPr>
          <w:rFonts w:asciiTheme="majorHAnsi" w:hAnsiTheme="majorHAnsi" w:cs="Arial"/>
          <w:i/>
          <w:iCs/>
          <w:sz w:val="20"/>
          <w:szCs w:val="20"/>
        </w:rPr>
        <w:t>Journal of Social Welfare and Family Law</w:t>
      </w:r>
      <w:r w:rsidRPr="00824D56">
        <w:rPr>
          <w:rFonts w:asciiTheme="majorHAnsi" w:hAnsiTheme="majorHAnsi" w:cs="Arial"/>
          <w:sz w:val="20"/>
          <w:szCs w:val="20"/>
        </w:rPr>
        <w:t xml:space="preserve"> 23(4), pp 473 – 90; </w:t>
      </w:r>
      <w:r w:rsidRPr="00824D56">
        <w:rPr>
          <w:rFonts w:asciiTheme="majorHAnsi" w:hAnsiTheme="majorHAnsi"/>
          <w:sz w:val="20"/>
          <w:szCs w:val="20"/>
        </w:rPr>
        <w:t xml:space="preserve">and Cowan et al </w:t>
      </w:r>
      <w:r w:rsidRPr="00824D56">
        <w:rPr>
          <w:rFonts w:asciiTheme="majorHAnsi" w:hAnsiTheme="majorHAnsi"/>
          <w:i/>
          <w:sz w:val="20"/>
          <w:szCs w:val="20"/>
        </w:rPr>
        <w:t>The Appeal of Internal Review</w:t>
      </w:r>
      <w:r w:rsidRPr="00824D56">
        <w:rPr>
          <w:rFonts w:asciiTheme="majorHAnsi" w:hAnsiTheme="majorHAnsi"/>
          <w:sz w:val="20"/>
          <w:szCs w:val="20"/>
        </w:rPr>
        <w:t xml:space="preserve"> (Hart Publishing 2003)</w:t>
      </w:r>
    </w:p>
  </w:footnote>
  <w:footnote w:id="7">
    <w:p w14:paraId="078375F4" w14:textId="78FD55BE" w:rsidR="00001499" w:rsidRPr="00824D56" w:rsidRDefault="00001499">
      <w:pPr>
        <w:pStyle w:val="FootnoteText"/>
        <w:rPr>
          <w:rFonts w:asciiTheme="majorHAnsi" w:hAnsiTheme="majorHAnsi"/>
          <w:sz w:val="20"/>
          <w:szCs w:val="20"/>
          <w:lang w:val="en-US"/>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w:t>
      </w:r>
      <w:r w:rsidRPr="00824D56">
        <w:rPr>
          <w:rFonts w:asciiTheme="majorHAnsi" w:hAnsiTheme="majorHAnsi"/>
          <w:sz w:val="20"/>
          <w:szCs w:val="20"/>
          <w:lang w:val="en-US"/>
        </w:rPr>
        <w:t xml:space="preserve">T Mullen and R Thomas ‘Decision-making and Mandatory Reconsideration: response to SSAC consultation’ </w:t>
      </w:r>
      <w:r w:rsidRPr="0017040C">
        <w:rPr>
          <w:rFonts w:asciiTheme="majorHAnsi" w:hAnsiTheme="majorHAnsi"/>
          <w:sz w:val="20"/>
          <w:szCs w:val="20"/>
          <w:lang w:val="en-US"/>
        </w:rPr>
        <w:t>https://ukaji.org/2016/03/09/decision-making-and-mandatory-reconsideration-response-to-ssac-consultation/</w:t>
      </w:r>
      <w:r w:rsidRPr="0017040C" w:rsidDel="00971126">
        <w:rPr>
          <w:rFonts w:asciiTheme="majorHAnsi" w:hAnsiTheme="majorHAnsi"/>
          <w:sz w:val="20"/>
          <w:szCs w:val="20"/>
          <w:lang w:val="en-US"/>
        </w:rPr>
        <w:t xml:space="preserve"> </w:t>
      </w:r>
      <w:r>
        <w:rPr>
          <w:rFonts w:asciiTheme="majorHAnsi" w:hAnsiTheme="majorHAnsi"/>
          <w:sz w:val="20"/>
          <w:szCs w:val="20"/>
          <w:lang w:val="en-US"/>
        </w:rPr>
        <w:t>(accessed 31 March 2016).</w:t>
      </w:r>
    </w:p>
  </w:footnote>
  <w:footnote w:id="8">
    <w:p w14:paraId="45EADF2A" w14:textId="630B37BE" w:rsidR="00001499" w:rsidRPr="002876E9" w:rsidRDefault="00001499">
      <w:pPr>
        <w:pStyle w:val="FootnoteText"/>
        <w:rPr>
          <w:rFonts w:asciiTheme="majorHAnsi" w:hAnsiTheme="majorHAnsi"/>
          <w:sz w:val="20"/>
          <w:szCs w:val="20"/>
        </w:rPr>
      </w:pPr>
      <w:r w:rsidRPr="002876E9">
        <w:rPr>
          <w:rStyle w:val="FootnoteReference"/>
          <w:rFonts w:asciiTheme="majorHAnsi" w:hAnsiTheme="majorHAnsi"/>
          <w:sz w:val="20"/>
          <w:szCs w:val="20"/>
        </w:rPr>
        <w:footnoteRef/>
      </w:r>
      <w:r w:rsidRPr="002876E9">
        <w:rPr>
          <w:rFonts w:asciiTheme="majorHAnsi" w:hAnsiTheme="majorHAnsi"/>
          <w:sz w:val="20"/>
          <w:szCs w:val="20"/>
        </w:rPr>
        <w:t xml:space="preserve"> In England and</w:t>
      </w:r>
      <w:r>
        <w:rPr>
          <w:rFonts w:asciiTheme="majorHAnsi" w:hAnsiTheme="majorHAnsi"/>
          <w:sz w:val="20"/>
          <w:szCs w:val="20"/>
        </w:rPr>
        <w:t>,</w:t>
      </w:r>
      <w:r w:rsidRPr="002876E9">
        <w:rPr>
          <w:rFonts w:asciiTheme="majorHAnsi" w:hAnsiTheme="majorHAnsi"/>
          <w:sz w:val="20"/>
          <w:szCs w:val="20"/>
        </w:rPr>
        <w:t xml:space="preserve"> until the Housing (Wales) Act 2014 came in to force</w:t>
      </w:r>
      <w:r>
        <w:rPr>
          <w:rFonts w:asciiTheme="majorHAnsi" w:hAnsiTheme="majorHAnsi"/>
          <w:sz w:val="20"/>
          <w:szCs w:val="20"/>
        </w:rPr>
        <w:t>,</w:t>
      </w:r>
      <w:r w:rsidRPr="002876E9">
        <w:rPr>
          <w:rFonts w:asciiTheme="majorHAnsi" w:hAnsiTheme="majorHAnsi"/>
          <w:sz w:val="20"/>
          <w:szCs w:val="20"/>
        </w:rPr>
        <w:t xml:space="preserve"> in Wales.</w:t>
      </w:r>
    </w:p>
  </w:footnote>
  <w:footnote w:id="9">
    <w:p w14:paraId="488F7670" w14:textId="62C4BE30" w:rsidR="00001499" w:rsidRPr="00824D56" w:rsidRDefault="00001499">
      <w:pPr>
        <w:pStyle w:val="FootnoteText"/>
        <w:rPr>
          <w:rFonts w:asciiTheme="majorHAnsi" w:hAnsiTheme="majorHAnsi"/>
          <w:sz w:val="20"/>
          <w:szCs w:val="20"/>
          <w:lang w:val="en-US"/>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P Robson and P Watchman “The homeless persons' obstacle race parts I and II” (1981) </w:t>
      </w:r>
      <w:r w:rsidRPr="00824D56">
        <w:rPr>
          <w:rFonts w:asciiTheme="majorHAnsi" w:hAnsiTheme="majorHAnsi"/>
          <w:i/>
          <w:iCs/>
          <w:sz w:val="20"/>
          <w:szCs w:val="20"/>
        </w:rPr>
        <w:t>Journal of Social Welfare Law</w:t>
      </w:r>
      <w:r w:rsidRPr="00824D56">
        <w:rPr>
          <w:rFonts w:asciiTheme="majorHAnsi" w:hAnsiTheme="majorHAnsi"/>
          <w:sz w:val="20"/>
          <w:szCs w:val="20"/>
        </w:rPr>
        <w:t>, 3(5): 1-15 and 3(6): 65-82</w:t>
      </w:r>
    </w:p>
  </w:footnote>
  <w:footnote w:id="10">
    <w:p w14:paraId="2DDFCC0A" w14:textId="5D27A9C3" w:rsidR="00001499" w:rsidRPr="00824D56" w:rsidRDefault="00001499">
      <w:pPr>
        <w:pStyle w:val="FootnoteText"/>
        <w:rPr>
          <w:rFonts w:asciiTheme="majorHAnsi" w:hAnsiTheme="majorHAnsi"/>
          <w:sz w:val="20"/>
          <w:szCs w:val="20"/>
          <w:lang w:val="en-US"/>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However, the local authority to which the housing application is made may not be responsible for discharging that duty if the applicant has no local connection with that authority but a local connection with a different authority.</w:t>
      </w:r>
    </w:p>
  </w:footnote>
  <w:footnote w:id="11">
    <w:p w14:paraId="38FB48E5" w14:textId="77777777" w:rsidR="00001499" w:rsidRPr="00824D56" w:rsidRDefault="00001499" w:rsidP="00903C7D">
      <w:pPr>
        <w:pStyle w:val="FootnoteText"/>
        <w:rPr>
          <w:rFonts w:asciiTheme="majorHAnsi" w:hAnsiTheme="majorHAnsi"/>
          <w:sz w:val="20"/>
          <w:szCs w:val="20"/>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S. 175.</w:t>
      </w:r>
    </w:p>
  </w:footnote>
  <w:footnote w:id="12">
    <w:p w14:paraId="1B2845FF" w14:textId="77777777" w:rsidR="00001499" w:rsidRPr="00824D56" w:rsidRDefault="00001499" w:rsidP="00903C7D">
      <w:pPr>
        <w:pStyle w:val="FootnoteText"/>
        <w:rPr>
          <w:rFonts w:asciiTheme="majorHAnsi" w:hAnsiTheme="majorHAnsi"/>
          <w:sz w:val="20"/>
          <w:szCs w:val="20"/>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S. 177(2).</w:t>
      </w:r>
    </w:p>
  </w:footnote>
  <w:footnote w:id="13">
    <w:p w14:paraId="73120214" w14:textId="77777777" w:rsidR="00001499" w:rsidRPr="00824D56" w:rsidRDefault="00001499" w:rsidP="00903C7D">
      <w:pPr>
        <w:pStyle w:val="FootnoteText"/>
        <w:rPr>
          <w:rFonts w:asciiTheme="majorHAnsi" w:hAnsiTheme="majorHAnsi"/>
          <w:sz w:val="20"/>
          <w:szCs w:val="20"/>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S. 189(1)(c).</w:t>
      </w:r>
    </w:p>
  </w:footnote>
  <w:footnote w:id="14">
    <w:p w14:paraId="77C584EC" w14:textId="0CCE6194" w:rsidR="00001499" w:rsidRPr="00824D56" w:rsidRDefault="00001499">
      <w:pPr>
        <w:pStyle w:val="FootnoteText"/>
        <w:rPr>
          <w:rFonts w:asciiTheme="majorHAnsi" w:hAnsiTheme="majorHAnsi"/>
          <w:sz w:val="20"/>
          <w:szCs w:val="20"/>
          <w:lang w:val="en-US"/>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w:t>
      </w:r>
      <w:r>
        <w:rPr>
          <w:rFonts w:asciiTheme="majorHAnsi" w:hAnsiTheme="majorHAnsi"/>
          <w:sz w:val="20"/>
          <w:szCs w:val="20"/>
        </w:rPr>
        <w:t>S</w:t>
      </w:r>
      <w:r w:rsidRPr="00824D56">
        <w:rPr>
          <w:rFonts w:asciiTheme="majorHAnsi" w:hAnsiTheme="majorHAnsi"/>
          <w:sz w:val="20"/>
          <w:szCs w:val="20"/>
          <w:lang w:val="en-US"/>
        </w:rPr>
        <w:t>. 191</w:t>
      </w:r>
    </w:p>
  </w:footnote>
  <w:footnote w:id="15">
    <w:p w14:paraId="2958CDE5" w14:textId="0EC2E6E8" w:rsidR="00001499" w:rsidRPr="00824D56" w:rsidRDefault="00001499" w:rsidP="00903C7D">
      <w:pPr>
        <w:pStyle w:val="FootnoteText"/>
        <w:rPr>
          <w:rFonts w:asciiTheme="majorHAnsi" w:hAnsiTheme="majorHAnsi"/>
          <w:sz w:val="20"/>
          <w:szCs w:val="20"/>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Such out-of-area placements are now governed by a Statutory Instrument - s. 208; Homelessness (Suitability of Accommodation)(England) Order 2012, SI 2012/2601; DCLG, </w:t>
      </w:r>
      <w:r w:rsidRPr="00824D56">
        <w:rPr>
          <w:rFonts w:asciiTheme="majorHAnsi" w:hAnsiTheme="majorHAnsi"/>
          <w:i/>
          <w:sz w:val="20"/>
          <w:szCs w:val="20"/>
        </w:rPr>
        <w:t>Supplementary Guidance on the Homelessness Changes in the Localism Act 2011 and on the Homelessness (Suitability of Accommodation)(England) Order 2012</w:t>
      </w:r>
      <w:r w:rsidRPr="00824D56">
        <w:rPr>
          <w:rFonts w:asciiTheme="majorHAnsi" w:hAnsiTheme="majorHAnsi"/>
          <w:sz w:val="20"/>
          <w:szCs w:val="20"/>
        </w:rPr>
        <w:t xml:space="preserve"> (2012).</w:t>
      </w:r>
    </w:p>
  </w:footnote>
  <w:footnote w:id="16">
    <w:p w14:paraId="74991918" w14:textId="77777777" w:rsidR="00001499" w:rsidRPr="00824D56" w:rsidRDefault="00001499" w:rsidP="00903C7D">
      <w:pPr>
        <w:pStyle w:val="FootnoteText"/>
        <w:rPr>
          <w:rFonts w:asciiTheme="majorHAnsi" w:hAnsiTheme="majorHAnsi"/>
          <w:sz w:val="20"/>
          <w:szCs w:val="20"/>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Where they do not – interim duties to provide accommodation pending decision and/or review – judicial review is the appropriate remedy.</w:t>
      </w:r>
    </w:p>
  </w:footnote>
  <w:footnote w:id="17">
    <w:p w14:paraId="30649798" w14:textId="77777777" w:rsidR="00001499" w:rsidRPr="00824D56" w:rsidRDefault="00001499" w:rsidP="00903C7D">
      <w:pPr>
        <w:pStyle w:val="FootnoteText"/>
        <w:rPr>
          <w:rFonts w:asciiTheme="majorHAnsi" w:hAnsiTheme="majorHAnsi"/>
          <w:sz w:val="20"/>
          <w:szCs w:val="20"/>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S. 202(3).  There is a limited power to allow a review out of time.</w:t>
      </w:r>
    </w:p>
  </w:footnote>
  <w:footnote w:id="18">
    <w:p w14:paraId="1E186F06" w14:textId="77777777" w:rsidR="00001499" w:rsidRPr="00824D56" w:rsidRDefault="00001499" w:rsidP="00903C7D">
      <w:pPr>
        <w:pStyle w:val="FootnoteText"/>
        <w:rPr>
          <w:rFonts w:asciiTheme="majorHAnsi" w:hAnsiTheme="majorHAnsi"/>
          <w:sz w:val="20"/>
          <w:szCs w:val="20"/>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See generally The Allocation of Housing and Homelessness (Review Procedures) Regulations 1999, SI 1999/71; for discussion, see D. Cowan, “The judicialisation of homelessness law: A study of Regulation 8(2), Allocation of Housing and Homelessness (Review Procedures) Regulations 1999” [forthcoming] P.L..</w:t>
      </w:r>
    </w:p>
  </w:footnote>
  <w:footnote w:id="19">
    <w:p w14:paraId="2A67F3A0" w14:textId="648228CE" w:rsidR="00001499" w:rsidRPr="001537A7" w:rsidRDefault="00001499" w:rsidP="00903C7D">
      <w:pPr>
        <w:pStyle w:val="FootnoteText"/>
        <w:rPr>
          <w:rFonts w:asciiTheme="majorHAnsi" w:hAnsiTheme="majorHAnsi"/>
          <w:sz w:val="20"/>
          <w:szCs w:val="20"/>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w:t>
      </w:r>
      <w:r>
        <w:rPr>
          <w:rFonts w:asciiTheme="majorHAnsi" w:hAnsiTheme="majorHAnsi"/>
          <w:sz w:val="20"/>
          <w:szCs w:val="20"/>
        </w:rPr>
        <w:t>S</w:t>
      </w:r>
      <w:r w:rsidRPr="00824D56">
        <w:rPr>
          <w:rFonts w:asciiTheme="majorHAnsi" w:hAnsiTheme="majorHAnsi"/>
          <w:sz w:val="20"/>
          <w:szCs w:val="20"/>
        </w:rPr>
        <w:t>. 204.</w:t>
      </w:r>
      <w:r>
        <w:rPr>
          <w:rFonts w:asciiTheme="majorHAnsi" w:hAnsiTheme="majorHAnsi"/>
          <w:sz w:val="20"/>
          <w:szCs w:val="20"/>
        </w:rPr>
        <w:t xml:space="preserve"> Before the 1996 Act, homelessness cases had to be brought through judicial review. The 1996 Court Court appeal on point of law includes “the full of issues which would otherwise be the subject of an application to the High Court for judicial review…” </w:t>
      </w:r>
      <w:r w:rsidRPr="002876E9">
        <w:rPr>
          <w:rFonts w:asciiTheme="majorHAnsi" w:hAnsiTheme="majorHAnsi"/>
          <w:i/>
          <w:sz w:val="20"/>
          <w:szCs w:val="20"/>
        </w:rPr>
        <w:t>Nipa Begum v Tower Hamlets L.B.C.</w:t>
      </w:r>
      <w:r>
        <w:rPr>
          <w:rFonts w:asciiTheme="majorHAnsi" w:hAnsiTheme="majorHAnsi"/>
          <w:i/>
          <w:sz w:val="20"/>
          <w:szCs w:val="20"/>
        </w:rPr>
        <w:t xml:space="preserve"> </w:t>
      </w:r>
      <w:r>
        <w:rPr>
          <w:rFonts w:asciiTheme="majorHAnsi" w:hAnsiTheme="majorHAnsi"/>
          <w:sz w:val="20"/>
          <w:szCs w:val="20"/>
        </w:rPr>
        <w:t>[2000] 1 WLR 306; Auld LJ at p. 313.</w:t>
      </w:r>
    </w:p>
  </w:footnote>
  <w:footnote w:id="20">
    <w:p w14:paraId="5B4FB203" w14:textId="6115D706" w:rsidR="00001499" w:rsidRPr="002876E9" w:rsidRDefault="00001499">
      <w:pPr>
        <w:pStyle w:val="FootnoteText"/>
        <w:rPr>
          <w:rFonts w:asciiTheme="majorHAnsi" w:hAnsiTheme="majorHAnsi"/>
          <w:sz w:val="20"/>
          <w:szCs w:val="20"/>
        </w:rPr>
      </w:pPr>
      <w:r w:rsidRPr="002876E9">
        <w:rPr>
          <w:rStyle w:val="FootnoteReference"/>
          <w:rFonts w:asciiTheme="majorHAnsi" w:hAnsiTheme="majorHAnsi"/>
          <w:sz w:val="20"/>
          <w:szCs w:val="20"/>
        </w:rPr>
        <w:footnoteRef/>
      </w:r>
      <w:r w:rsidRPr="002876E9">
        <w:rPr>
          <w:rFonts w:asciiTheme="majorHAnsi" w:hAnsiTheme="majorHAnsi"/>
          <w:sz w:val="20"/>
          <w:szCs w:val="20"/>
        </w:rPr>
        <w:t xml:space="preserve"> See </w:t>
      </w:r>
      <w:hyperlink r:id="rId2" w:history="1">
        <w:r w:rsidRPr="002876E9">
          <w:rPr>
            <w:rStyle w:val="Hyperlink"/>
            <w:rFonts w:asciiTheme="majorHAnsi" w:hAnsiTheme="majorHAnsi"/>
            <w:sz w:val="20"/>
            <w:szCs w:val="20"/>
          </w:rPr>
          <w:t>https://www.gov.uk/government/collections/homelessness-statistics</w:t>
        </w:r>
      </w:hyperlink>
      <w:r w:rsidRPr="002876E9">
        <w:rPr>
          <w:rFonts w:asciiTheme="majorHAnsi" w:hAnsiTheme="majorHAnsi"/>
          <w:sz w:val="20"/>
          <w:szCs w:val="20"/>
        </w:rPr>
        <w:t xml:space="preserve"> </w:t>
      </w:r>
      <w:r>
        <w:rPr>
          <w:rFonts w:asciiTheme="majorHAnsi" w:hAnsiTheme="majorHAnsi"/>
          <w:sz w:val="20"/>
          <w:szCs w:val="20"/>
          <w:lang w:val="en-US"/>
        </w:rPr>
        <w:t>assessed 04 April 2016</w:t>
      </w:r>
    </w:p>
  </w:footnote>
  <w:footnote w:id="21">
    <w:p w14:paraId="25333DF9" w14:textId="1A8EF50A" w:rsidR="00001499" w:rsidRPr="00824D56" w:rsidRDefault="00001499" w:rsidP="00DD5CB0">
      <w:pPr>
        <w:pStyle w:val="FootnoteText"/>
        <w:rPr>
          <w:rFonts w:asciiTheme="majorHAnsi" w:hAnsiTheme="majorHAnsi"/>
          <w:sz w:val="20"/>
          <w:szCs w:val="20"/>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The reduction in applications since 2004 reflects two significant developments.  First, from the early 2000s, local authorities were encouraged to engage more proactively in homelessness prevention work, and they have been apparently successful in so doing (See D. Cowan, </w:t>
      </w:r>
      <w:r w:rsidRPr="00824D56">
        <w:rPr>
          <w:rFonts w:asciiTheme="majorHAnsi" w:hAnsiTheme="majorHAnsi"/>
          <w:i/>
          <w:sz w:val="20"/>
          <w:szCs w:val="20"/>
        </w:rPr>
        <w:t>Housing Law and Policy</w:t>
      </w:r>
      <w:r w:rsidRPr="00824D56">
        <w:rPr>
          <w:rFonts w:asciiTheme="majorHAnsi" w:hAnsiTheme="majorHAnsi"/>
          <w:sz w:val="20"/>
          <w:szCs w:val="20"/>
        </w:rPr>
        <w:t>, 2011). Second, and perhaps related, although one might have anticipated higher numbers of applicants following the banking crash, perhaps counter-intuitively there have been fewer possession claims over the same period across social housing and owner-occupied stock.</w:t>
      </w:r>
    </w:p>
  </w:footnote>
  <w:footnote w:id="22">
    <w:p w14:paraId="158CE58A" w14:textId="3CC0A022" w:rsidR="00001499" w:rsidRPr="00824D56" w:rsidRDefault="00001499" w:rsidP="007D2A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w:t>
      </w:r>
      <w:r>
        <w:rPr>
          <w:rFonts w:asciiTheme="majorHAnsi" w:hAnsiTheme="majorHAnsi"/>
          <w:sz w:val="20"/>
          <w:szCs w:val="20"/>
          <w:lang w:val="en-US"/>
        </w:rPr>
        <w:t>The results of this research has been published as follows:</w:t>
      </w:r>
      <w:r w:rsidRPr="00824D56">
        <w:rPr>
          <w:rFonts w:asciiTheme="majorHAnsi" w:hAnsiTheme="majorHAnsi"/>
          <w:sz w:val="20"/>
          <w:szCs w:val="20"/>
          <w:lang w:val="en-US"/>
        </w:rPr>
        <w:t xml:space="preserve"> </w:t>
      </w:r>
      <w:r w:rsidRPr="00824D56">
        <w:rPr>
          <w:rFonts w:asciiTheme="majorHAnsi" w:hAnsiTheme="majorHAnsi" w:cs="Arial"/>
          <w:sz w:val="20"/>
          <w:szCs w:val="20"/>
        </w:rPr>
        <w:t>D Cowan, S Halliday</w:t>
      </w:r>
      <w:r w:rsidRPr="00824D56">
        <w:rPr>
          <w:rFonts w:asciiTheme="majorHAnsi" w:hAnsiTheme="majorHAnsi" w:cs="Arial"/>
          <w:b/>
          <w:sz w:val="20"/>
          <w:szCs w:val="20"/>
        </w:rPr>
        <w:t xml:space="preserve">, </w:t>
      </w:r>
      <w:r w:rsidRPr="00824D56">
        <w:rPr>
          <w:rFonts w:asciiTheme="majorHAnsi" w:hAnsiTheme="majorHAnsi" w:cs="Arial"/>
          <w:sz w:val="20"/>
          <w:szCs w:val="20"/>
        </w:rPr>
        <w:t>and C Hunter</w:t>
      </w:r>
      <w:r w:rsidRPr="00824D56">
        <w:rPr>
          <w:rFonts w:asciiTheme="majorHAnsi" w:hAnsiTheme="majorHAnsi"/>
          <w:sz w:val="20"/>
          <w:szCs w:val="20"/>
        </w:rPr>
        <w:t xml:space="preserve"> ‘Homelessness Reviews – findings published’ (2002) </w:t>
      </w:r>
      <w:r w:rsidRPr="00824D56">
        <w:rPr>
          <w:rFonts w:asciiTheme="majorHAnsi" w:hAnsiTheme="majorHAnsi"/>
          <w:i/>
          <w:sz w:val="20"/>
          <w:szCs w:val="20"/>
        </w:rPr>
        <w:t>Legal Action Group</w:t>
      </w:r>
      <w:r w:rsidRPr="00824D56">
        <w:rPr>
          <w:rFonts w:asciiTheme="majorHAnsi" w:hAnsiTheme="majorHAnsi"/>
          <w:sz w:val="20"/>
          <w:szCs w:val="20"/>
        </w:rPr>
        <w:t xml:space="preserve"> (July) pp. 6-7; </w:t>
      </w:r>
      <w:r w:rsidRPr="00824D56">
        <w:rPr>
          <w:rFonts w:asciiTheme="majorHAnsi" w:hAnsiTheme="majorHAnsi"/>
          <w:sz w:val="20"/>
          <w:szCs w:val="20"/>
          <w:lang w:val="en-US"/>
        </w:rPr>
        <w:t xml:space="preserve">D Cowan et al </w:t>
      </w:r>
      <w:r w:rsidRPr="00824D56">
        <w:rPr>
          <w:rFonts w:asciiTheme="majorHAnsi" w:hAnsiTheme="majorHAnsi"/>
          <w:i/>
          <w:sz w:val="20"/>
          <w:szCs w:val="20"/>
          <w:lang w:val="en-US"/>
        </w:rPr>
        <w:t>The Appeal of Internal Review</w:t>
      </w:r>
      <w:r w:rsidRPr="00824D56">
        <w:rPr>
          <w:rFonts w:asciiTheme="majorHAnsi" w:hAnsiTheme="majorHAnsi"/>
          <w:sz w:val="20"/>
          <w:szCs w:val="20"/>
          <w:lang w:val="en-US"/>
        </w:rPr>
        <w:t xml:space="preserve"> (Hart Publishing, 2003); D </w:t>
      </w:r>
      <w:r w:rsidRPr="00824D56">
        <w:rPr>
          <w:rFonts w:asciiTheme="majorHAnsi" w:hAnsiTheme="majorHAnsi" w:cs="Arial"/>
          <w:sz w:val="20"/>
          <w:szCs w:val="20"/>
        </w:rPr>
        <w:t>Cowan, S Halliday</w:t>
      </w:r>
      <w:r w:rsidRPr="00824D56">
        <w:rPr>
          <w:rFonts w:asciiTheme="majorHAnsi" w:hAnsiTheme="majorHAnsi" w:cs="Arial"/>
          <w:b/>
          <w:sz w:val="20"/>
          <w:szCs w:val="20"/>
        </w:rPr>
        <w:t xml:space="preserve"> </w:t>
      </w:r>
      <w:r w:rsidRPr="00824D56">
        <w:rPr>
          <w:rFonts w:asciiTheme="majorHAnsi" w:hAnsiTheme="majorHAnsi" w:cs="Arial"/>
          <w:sz w:val="20"/>
          <w:szCs w:val="20"/>
        </w:rPr>
        <w:t xml:space="preserve">and C Hunter, </w:t>
      </w:r>
      <w:r w:rsidRPr="00824D56">
        <w:rPr>
          <w:rFonts w:asciiTheme="majorHAnsi" w:hAnsiTheme="majorHAnsi"/>
          <w:sz w:val="20"/>
          <w:szCs w:val="20"/>
        </w:rPr>
        <w:t xml:space="preserve">‘Homelessness Applicants and Internal Reviews’  </w:t>
      </w:r>
      <w:r w:rsidRPr="00824D56">
        <w:rPr>
          <w:rFonts w:asciiTheme="majorHAnsi" w:hAnsiTheme="majorHAnsi" w:cs="Arial"/>
          <w:sz w:val="20"/>
          <w:szCs w:val="20"/>
        </w:rPr>
        <w:t xml:space="preserve">(2003) </w:t>
      </w:r>
      <w:r w:rsidRPr="00824D56">
        <w:rPr>
          <w:rFonts w:asciiTheme="majorHAnsi" w:hAnsiTheme="majorHAnsi"/>
          <w:i/>
          <w:sz w:val="20"/>
          <w:szCs w:val="20"/>
        </w:rPr>
        <w:t xml:space="preserve">Legal Action Group </w:t>
      </w:r>
      <w:r w:rsidRPr="00824D56">
        <w:rPr>
          <w:rFonts w:asciiTheme="majorHAnsi" w:hAnsiTheme="majorHAnsi"/>
          <w:sz w:val="20"/>
          <w:szCs w:val="20"/>
        </w:rPr>
        <w:t xml:space="preserve">(March) p. 8; </w:t>
      </w:r>
      <w:r w:rsidRPr="00824D56">
        <w:rPr>
          <w:rFonts w:asciiTheme="majorHAnsi" w:hAnsiTheme="majorHAnsi" w:cs="Arial"/>
          <w:sz w:val="20"/>
          <w:szCs w:val="20"/>
        </w:rPr>
        <w:t>D Cowan, S Halliday</w:t>
      </w:r>
      <w:r w:rsidRPr="00824D56">
        <w:rPr>
          <w:rFonts w:asciiTheme="majorHAnsi" w:hAnsiTheme="majorHAnsi" w:cs="Arial"/>
          <w:b/>
          <w:sz w:val="20"/>
          <w:szCs w:val="20"/>
        </w:rPr>
        <w:t xml:space="preserve">, </w:t>
      </w:r>
      <w:r w:rsidRPr="00824D56">
        <w:rPr>
          <w:rFonts w:asciiTheme="majorHAnsi" w:hAnsiTheme="majorHAnsi" w:cs="Arial"/>
          <w:sz w:val="20"/>
          <w:szCs w:val="20"/>
        </w:rPr>
        <w:t xml:space="preserve">and C Hunter, ‘Adjudicating the Implementation of Homelessness Law: The Promise of Socio-Legal Studies’ (2006) </w:t>
      </w:r>
      <w:r w:rsidRPr="00824D56">
        <w:rPr>
          <w:rFonts w:asciiTheme="majorHAnsi" w:hAnsiTheme="majorHAnsi" w:cs="Arial"/>
          <w:i/>
          <w:sz w:val="20"/>
          <w:szCs w:val="20"/>
        </w:rPr>
        <w:t>Housing Studies</w:t>
      </w:r>
      <w:r w:rsidRPr="00824D56">
        <w:rPr>
          <w:rFonts w:asciiTheme="majorHAnsi" w:hAnsiTheme="majorHAnsi" w:cs="Arial"/>
          <w:sz w:val="20"/>
          <w:szCs w:val="20"/>
        </w:rPr>
        <w:t xml:space="preserve"> 21(3), pp. 381-400</w:t>
      </w:r>
      <w:r w:rsidRPr="007D2AAF">
        <w:rPr>
          <w:rFonts w:asciiTheme="majorHAnsi" w:hAnsiTheme="majorHAnsi" w:cs="Arial"/>
          <w:sz w:val="20"/>
          <w:szCs w:val="20"/>
        </w:rPr>
        <w:t>.</w:t>
      </w:r>
    </w:p>
  </w:footnote>
  <w:footnote w:id="23">
    <w:p w14:paraId="48E8E6A0" w14:textId="56BB3486" w:rsidR="00001499" w:rsidRPr="00824D56" w:rsidRDefault="00001499" w:rsidP="003E400B">
      <w:pPr>
        <w:pStyle w:val="FootnoteText"/>
        <w:rPr>
          <w:rFonts w:asciiTheme="majorHAnsi" w:hAnsiTheme="majorHAnsi"/>
          <w:sz w:val="20"/>
          <w:szCs w:val="20"/>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We should record our thanks here to the Nuffield Foundation and the Universities of Bristol, Oxford, Sheffield</w:t>
      </w:r>
      <w:r>
        <w:rPr>
          <w:rFonts w:asciiTheme="majorHAnsi" w:hAnsiTheme="majorHAnsi"/>
          <w:sz w:val="20"/>
          <w:szCs w:val="20"/>
        </w:rPr>
        <w:t xml:space="preserve"> Hallam</w:t>
      </w:r>
      <w:r w:rsidRPr="00824D56">
        <w:rPr>
          <w:rFonts w:asciiTheme="majorHAnsi" w:hAnsiTheme="majorHAnsi"/>
          <w:sz w:val="20"/>
          <w:szCs w:val="20"/>
        </w:rPr>
        <w:t>, Strathclyde, and York for their financial and other assistance with this survey work over the years.</w:t>
      </w:r>
    </w:p>
  </w:footnote>
  <w:footnote w:id="24">
    <w:p w14:paraId="02E064A3" w14:textId="6FC356A2" w:rsidR="00001499" w:rsidRPr="007C1D11" w:rsidRDefault="00001499">
      <w:pPr>
        <w:pStyle w:val="FootnoteText"/>
        <w:rPr>
          <w:rFonts w:asciiTheme="majorHAnsi" w:hAnsiTheme="majorHAnsi"/>
          <w:sz w:val="20"/>
          <w:szCs w:val="20"/>
        </w:rPr>
      </w:pPr>
      <w:r w:rsidRPr="007C1D11">
        <w:rPr>
          <w:rStyle w:val="FootnoteReference"/>
          <w:rFonts w:asciiTheme="majorHAnsi" w:hAnsiTheme="majorHAnsi"/>
          <w:sz w:val="20"/>
          <w:szCs w:val="20"/>
        </w:rPr>
        <w:footnoteRef/>
      </w:r>
      <w:r w:rsidRPr="007C1D11">
        <w:rPr>
          <w:rFonts w:asciiTheme="majorHAnsi" w:hAnsiTheme="majorHAnsi"/>
          <w:sz w:val="20"/>
          <w:szCs w:val="20"/>
        </w:rPr>
        <w:t xml:space="preserve"> This work was supported by the Economic and Social Research Council (Grant No. RES-RES-002-22-4461). More general findings from the project have been published as follows: </w:t>
      </w:r>
      <w:r w:rsidRPr="007C1D11">
        <w:rPr>
          <w:rFonts w:asciiTheme="majorHAnsi" w:hAnsiTheme="majorHAnsi" w:cs="Verdana"/>
          <w:noProof w:val="0"/>
          <w:color w:val="161616"/>
          <w:sz w:val="20"/>
          <w:szCs w:val="20"/>
          <w:bdr w:val="none" w:sz="0" w:space="0" w:color="auto"/>
          <w:lang w:val="en-US"/>
        </w:rPr>
        <w:t xml:space="preserve">Bretherton, J, Hunter, CM &amp; Johnsen, S '"You can judge them on how they look...": homelessness officers, medical evidence and decision-making in England' (2013) </w:t>
      </w:r>
      <w:r w:rsidRPr="007C1D11">
        <w:rPr>
          <w:rFonts w:asciiTheme="majorHAnsi" w:hAnsiTheme="majorHAnsi" w:cs="Verdana"/>
          <w:i/>
          <w:iCs/>
          <w:noProof w:val="0"/>
          <w:color w:val="161616"/>
          <w:sz w:val="20"/>
          <w:szCs w:val="20"/>
          <w:bdr w:val="none" w:sz="0" w:space="0" w:color="auto"/>
          <w:lang w:val="en-US"/>
        </w:rPr>
        <w:t>European Journal of Homelessness</w:t>
      </w:r>
      <w:r w:rsidRPr="007C1D11">
        <w:rPr>
          <w:rFonts w:asciiTheme="majorHAnsi" w:hAnsiTheme="majorHAnsi" w:cs="Verdana"/>
          <w:noProof w:val="0"/>
          <w:color w:val="161616"/>
          <w:sz w:val="20"/>
          <w:szCs w:val="20"/>
          <w:bdr w:val="none" w:sz="0" w:space="0" w:color="auto"/>
          <w:lang w:val="en-US"/>
        </w:rPr>
        <w:t xml:space="preserve">, 7(1), pp. 69-92; Hunter, CM, Bretherton, J, Halliday, S &amp; Johnsen, S, 'Legal Compliance in Street-Level Bureaucracy: A Study of UK Housing Officers' (2016) </w:t>
      </w:r>
      <w:r w:rsidRPr="007C1D11">
        <w:rPr>
          <w:rFonts w:asciiTheme="majorHAnsi" w:hAnsiTheme="majorHAnsi" w:cs="Verdana"/>
          <w:i/>
          <w:iCs/>
          <w:noProof w:val="0"/>
          <w:color w:val="161616"/>
          <w:sz w:val="20"/>
          <w:szCs w:val="20"/>
          <w:bdr w:val="none" w:sz="0" w:space="0" w:color="auto"/>
          <w:lang w:val="en-US"/>
        </w:rPr>
        <w:t>Journal of Law &amp; Policy</w:t>
      </w:r>
      <w:r w:rsidRPr="007C1D11">
        <w:rPr>
          <w:rFonts w:asciiTheme="majorHAnsi" w:hAnsiTheme="majorHAnsi" w:cs="Verdana"/>
          <w:noProof w:val="0"/>
          <w:color w:val="161616"/>
          <w:sz w:val="20"/>
          <w:szCs w:val="20"/>
          <w:bdr w:val="none" w:sz="0" w:space="0" w:color="auto"/>
          <w:lang w:val="en-US"/>
        </w:rPr>
        <w:t>, 38(1), pp. 81-95.</w:t>
      </w:r>
    </w:p>
  </w:footnote>
  <w:footnote w:id="25">
    <w:p w14:paraId="0DCFC14E" w14:textId="14A152A7" w:rsidR="00001499" w:rsidRPr="00824D56" w:rsidRDefault="00001499">
      <w:pPr>
        <w:pStyle w:val="FootnoteText"/>
        <w:rPr>
          <w:rFonts w:asciiTheme="majorHAnsi" w:hAnsiTheme="majorHAnsi"/>
          <w:sz w:val="20"/>
          <w:szCs w:val="20"/>
          <w:lang w:val="en-US"/>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See M Adler and J Gulland (2002) </w:t>
      </w:r>
      <w:r w:rsidRPr="00824D56">
        <w:rPr>
          <w:rFonts w:asciiTheme="majorHAnsi" w:hAnsiTheme="majorHAnsi"/>
          <w:i/>
          <w:sz w:val="20"/>
          <w:szCs w:val="20"/>
        </w:rPr>
        <w:t>Tribunals for Users’ Programme: Literature Review of User’s Experiences, Perceptions and Expectations</w:t>
      </w:r>
      <w:r w:rsidRPr="00824D56">
        <w:rPr>
          <w:rFonts w:asciiTheme="majorHAnsi" w:hAnsiTheme="majorHAnsi"/>
          <w:sz w:val="20"/>
          <w:szCs w:val="20"/>
        </w:rPr>
        <w:t xml:space="preserve"> (unpublished report for Lord Chancellor’s Department, 2002)</w:t>
      </w:r>
    </w:p>
  </w:footnote>
  <w:footnote w:id="26">
    <w:p w14:paraId="12FFF0BE" w14:textId="0369E5E0" w:rsidR="00001499" w:rsidRPr="00C827AF" w:rsidRDefault="00001499" w:rsidP="00C827AF">
      <w:pPr>
        <w:pStyle w:val="BodyText"/>
        <w:rPr>
          <w:rFonts w:asciiTheme="majorHAnsi" w:hAnsiTheme="majorHAnsi"/>
          <w:sz w:val="20"/>
          <w:szCs w:val="20"/>
        </w:rPr>
      </w:pPr>
      <w:r w:rsidRPr="00C827AF">
        <w:rPr>
          <w:rStyle w:val="FootnoteReference"/>
          <w:rFonts w:asciiTheme="majorHAnsi" w:hAnsiTheme="majorHAnsi"/>
          <w:sz w:val="20"/>
          <w:szCs w:val="20"/>
        </w:rPr>
        <w:footnoteRef/>
      </w:r>
      <w:r w:rsidRPr="00C827AF">
        <w:rPr>
          <w:rFonts w:asciiTheme="majorHAnsi" w:hAnsiTheme="majorHAnsi"/>
          <w:sz w:val="20"/>
          <w:szCs w:val="20"/>
        </w:rPr>
        <w:t xml:space="preserve"> </w:t>
      </w:r>
      <w:r w:rsidRPr="00C827AF">
        <w:rPr>
          <w:rFonts w:asciiTheme="majorHAnsi" w:hAnsiTheme="majorHAnsi"/>
          <w:sz w:val="20"/>
          <w:szCs w:val="20"/>
          <w:lang w:val="en-US"/>
        </w:rPr>
        <w:t xml:space="preserve">See, e.g., R </w:t>
      </w:r>
      <w:r w:rsidRPr="00C827AF">
        <w:rPr>
          <w:rFonts w:asciiTheme="majorHAnsi" w:hAnsiTheme="majorHAnsi"/>
          <w:sz w:val="20"/>
          <w:szCs w:val="20"/>
        </w:rPr>
        <w:t xml:space="preserve">Sainsbury and T Eardley, </w:t>
      </w:r>
      <w:r w:rsidRPr="00C827AF">
        <w:rPr>
          <w:rFonts w:asciiTheme="majorHAnsi" w:hAnsiTheme="majorHAnsi"/>
          <w:i/>
          <w:sz w:val="20"/>
          <w:szCs w:val="20"/>
        </w:rPr>
        <w:t>Housing Benefit Reviews</w:t>
      </w:r>
      <w:r w:rsidRPr="00C827AF">
        <w:rPr>
          <w:rFonts w:asciiTheme="majorHAnsi" w:hAnsiTheme="majorHAnsi"/>
          <w:sz w:val="20"/>
          <w:szCs w:val="20"/>
        </w:rPr>
        <w:t xml:space="preserve"> (HMSO, 1991); G Dalley and R Berthoud, </w:t>
      </w:r>
      <w:r w:rsidRPr="00C827AF">
        <w:rPr>
          <w:rFonts w:asciiTheme="majorHAnsi" w:hAnsiTheme="majorHAnsi"/>
          <w:i/>
          <w:sz w:val="20"/>
          <w:szCs w:val="20"/>
        </w:rPr>
        <w:t>Challenging Discretion: The Social Fund Review Procedure</w:t>
      </w:r>
      <w:r w:rsidRPr="00C827AF">
        <w:rPr>
          <w:rFonts w:asciiTheme="majorHAnsi" w:hAnsiTheme="majorHAnsi"/>
          <w:sz w:val="20"/>
          <w:szCs w:val="20"/>
        </w:rPr>
        <w:t xml:space="preserve"> (Policy Studies Institute, 1992); S Lloyd-Bostock and L Mulcahy (1994) ‘The social psychology of making and responding to hospital complaints: An account model of complaint processes’ 16</w:t>
      </w:r>
      <w:r>
        <w:rPr>
          <w:rFonts w:asciiTheme="majorHAnsi" w:hAnsiTheme="majorHAnsi"/>
          <w:sz w:val="20"/>
          <w:szCs w:val="20"/>
        </w:rPr>
        <w:t>(3)</w:t>
      </w:r>
      <w:r w:rsidRPr="00C827AF">
        <w:rPr>
          <w:rFonts w:asciiTheme="majorHAnsi" w:hAnsiTheme="majorHAnsi"/>
          <w:sz w:val="20"/>
          <w:szCs w:val="20"/>
        </w:rPr>
        <w:t xml:space="preserve"> </w:t>
      </w:r>
      <w:r w:rsidRPr="00C827AF">
        <w:rPr>
          <w:rFonts w:asciiTheme="majorHAnsi" w:hAnsiTheme="majorHAnsi"/>
          <w:i/>
          <w:sz w:val="20"/>
          <w:szCs w:val="20"/>
        </w:rPr>
        <w:t xml:space="preserve">Law </w:t>
      </w:r>
      <w:r>
        <w:rPr>
          <w:rFonts w:asciiTheme="majorHAnsi" w:hAnsiTheme="majorHAnsi"/>
          <w:i/>
          <w:sz w:val="20"/>
          <w:szCs w:val="20"/>
        </w:rPr>
        <w:t>&amp;</w:t>
      </w:r>
      <w:r w:rsidRPr="00C827AF">
        <w:rPr>
          <w:rFonts w:asciiTheme="majorHAnsi" w:hAnsiTheme="majorHAnsi"/>
          <w:i/>
          <w:sz w:val="20"/>
          <w:szCs w:val="20"/>
        </w:rPr>
        <w:t xml:space="preserve"> Policy</w:t>
      </w:r>
      <w:r w:rsidRPr="00C827AF">
        <w:rPr>
          <w:rFonts w:asciiTheme="majorHAnsi" w:hAnsiTheme="majorHAnsi"/>
          <w:sz w:val="20"/>
          <w:szCs w:val="20"/>
        </w:rPr>
        <w:t xml:space="preserve"> </w:t>
      </w:r>
      <w:r>
        <w:rPr>
          <w:rFonts w:asciiTheme="majorHAnsi" w:hAnsiTheme="majorHAnsi"/>
          <w:sz w:val="20"/>
          <w:szCs w:val="20"/>
        </w:rPr>
        <w:t>pp. 123-147</w:t>
      </w:r>
      <w:r w:rsidRPr="00C827AF">
        <w:rPr>
          <w:rFonts w:asciiTheme="majorHAnsi" w:hAnsiTheme="majorHAnsi"/>
          <w:sz w:val="20"/>
          <w:szCs w:val="20"/>
        </w:rPr>
        <w:t>;</w:t>
      </w:r>
      <w:r>
        <w:t xml:space="preserve"> </w:t>
      </w:r>
      <w:r w:rsidRPr="00C827AF">
        <w:rPr>
          <w:rFonts w:asciiTheme="majorHAnsi" w:hAnsiTheme="majorHAnsi"/>
          <w:sz w:val="20"/>
          <w:szCs w:val="20"/>
        </w:rPr>
        <w:t xml:space="preserve">R Atkinson, T Buck, D Pollard, and N Smith, </w:t>
      </w:r>
      <w:r w:rsidRPr="00C827AF">
        <w:rPr>
          <w:rFonts w:asciiTheme="majorHAnsi" w:hAnsiTheme="majorHAnsi"/>
          <w:i/>
          <w:sz w:val="20"/>
          <w:szCs w:val="20"/>
        </w:rPr>
        <w:t>A Regional Study of Local Authority and Court Processes in Homelessness Cases</w:t>
      </w:r>
      <w:r w:rsidRPr="00C827AF">
        <w:rPr>
          <w:rFonts w:asciiTheme="majorHAnsi" w:hAnsiTheme="majorHAnsi"/>
          <w:sz w:val="20"/>
          <w:szCs w:val="20"/>
        </w:rPr>
        <w:t xml:space="preserve"> Research Series No 9/99 (Lord Chancellor's Department, 1999)</w:t>
      </w:r>
    </w:p>
  </w:footnote>
  <w:footnote w:id="27">
    <w:p w14:paraId="5799869C" w14:textId="77777777" w:rsidR="00001499" w:rsidRPr="00824D56" w:rsidRDefault="00001499" w:rsidP="00385B10">
      <w:pPr>
        <w:pStyle w:val="FootnoteText"/>
        <w:rPr>
          <w:rFonts w:asciiTheme="majorHAnsi" w:hAnsiTheme="majorHAnsi"/>
          <w:sz w:val="20"/>
          <w:szCs w:val="20"/>
          <w:lang w:val="en-US"/>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w:t>
      </w:r>
      <w:r w:rsidRPr="00824D56">
        <w:rPr>
          <w:rFonts w:asciiTheme="majorHAnsi" w:hAnsiTheme="majorHAnsi"/>
          <w:sz w:val="20"/>
          <w:szCs w:val="20"/>
          <w:lang w:val="en-US"/>
        </w:rPr>
        <w:t xml:space="preserve">T Mullen ‘Access to Justice in Administrative Law and Administrative Justice’ in E Palmer et al (eds) </w:t>
      </w:r>
      <w:r w:rsidRPr="00824D56">
        <w:rPr>
          <w:rFonts w:asciiTheme="majorHAnsi" w:hAnsiTheme="majorHAnsi"/>
          <w:i/>
          <w:sz w:val="20"/>
          <w:szCs w:val="20"/>
          <w:lang w:val="en-US"/>
        </w:rPr>
        <w:t>Access to Justice: Beyond the Policies and Politics of Austerity</w:t>
      </w:r>
      <w:r w:rsidRPr="00824D56">
        <w:rPr>
          <w:rFonts w:asciiTheme="majorHAnsi" w:hAnsiTheme="majorHAnsi"/>
          <w:sz w:val="20"/>
          <w:szCs w:val="20"/>
          <w:lang w:val="en-US"/>
        </w:rPr>
        <w:t xml:space="preserve"> (Hart Publishing, 2015); G McKeever, ‘Employment and Support Allowance’ (2015) </w:t>
      </w:r>
      <w:r w:rsidRPr="00824D56">
        <w:rPr>
          <w:rFonts w:asciiTheme="majorHAnsi" w:hAnsiTheme="majorHAnsi"/>
          <w:i/>
          <w:sz w:val="20"/>
          <w:szCs w:val="20"/>
          <w:lang w:val="en-US"/>
        </w:rPr>
        <w:t>Journal of Social Security Law</w:t>
      </w:r>
      <w:r w:rsidRPr="00824D56">
        <w:rPr>
          <w:rFonts w:asciiTheme="majorHAnsi" w:hAnsiTheme="majorHAnsi"/>
          <w:sz w:val="20"/>
          <w:szCs w:val="20"/>
          <w:lang w:val="en-US"/>
        </w:rPr>
        <w:t>, pp. 6 – 9.</w:t>
      </w:r>
    </w:p>
  </w:footnote>
  <w:footnote w:id="28">
    <w:p w14:paraId="3503A407" w14:textId="418FED75" w:rsidR="00001499" w:rsidRPr="00824D56" w:rsidRDefault="00001499" w:rsidP="002F6B39">
      <w:pPr>
        <w:pStyle w:val="FootnoteText"/>
        <w:rPr>
          <w:rFonts w:asciiTheme="majorHAnsi" w:hAnsiTheme="majorHAnsi"/>
          <w:sz w:val="20"/>
          <w:szCs w:val="20"/>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Sunkin, M, Calvo, K, Platt, L and Landman, T ‘Mapping the use of judicial review to challenge local authorities in England and Wales’ (2007) </w:t>
      </w:r>
      <w:r w:rsidRPr="00824D56">
        <w:rPr>
          <w:rFonts w:asciiTheme="majorHAnsi" w:hAnsiTheme="majorHAnsi"/>
          <w:i/>
          <w:sz w:val="20"/>
          <w:szCs w:val="20"/>
        </w:rPr>
        <w:t>Public Law</w:t>
      </w:r>
      <w:r w:rsidRPr="00824D56">
        <w:rPr>
          <w:rFonts w:asciiTheme="majorHAnsi" w:hAnsiTheme="majorHAnsi"/>
          <w:sz w:val="20"/>
          <w:szCs w:val="20"/>
        </w:rPr>
        <w:t xml:space="preserve"> 545–67</w:t>
      </w:r>
    </w:p>
  </w:footnote>
  <w:footnote w:id="29">
    <w:p w14:paraId="67B8604E" w14:textId="77777777" w:rsidR="00001499" w:rsidRPr="00824D56" w:rsidRDefault="00001499" w:rsidP="002F6B39">
      <w:pPr>
        <w:pStyle w:val="FootnoteText"/>
        <w:rPr>
          <w:rFonts w:asciiTheme="majorHAnsi" w:hAnsiTheme="majorHAnsi"/>
          <w:sz w:val="20"/>
          <w:szCs w:val="20"/>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w:t>
      </w:r>
      <w:r w:rsidRPr="00824D56">
        <w:rPr>
          <w:rFonts w:asciiTheme="majorHAnsi" w:hAnsiTheme="majorHAnsi"/>
          <w:i/>
          <w:sz w:val="20"/>
          <w:szCs w:val="20"/>
        </w:rPr>
        <w:t>Nzamy v Brent LBC</w:t>
      </w:r>
      <w:r w:rsidRPr="00824D56">
        <w:rPr>
          <w:rFonts w:asciiTheme="majorHAnsi" w:hAnsiTheme="majorHAnsi"/>
          <w:sz w:val="20"/>
          <w:szCs w:val="20"/>
        </w:rPr>
        <w:t xml:space="preserve"> [2011] HLR 20.</w:t>
      </w:r>
    </w:p>
  </w:footnote>
  <w:footnote w:id="30">
    <w:p w14:paraId="6A7B2E55" w14:textId="0540EFC3" w:rsidR="00001499" w:rsidRPr="001F3C88" w:rsidRDefault="00001499">
      <w:pPr>
        <w:pStyle w:val="FootnoteText"/>
        <w:rPr>
          <w:rFonts w:asciiTheme="majorHAnsi" w:hAnsiTheme="majorHAnsi"/>
          <w:sz w:val="20"/>
          <w:szCs w:val="20"/>
          <w:lang w:val="en-US"/>
        </w:rPr>
      </w:pPr>
      <w:r w:rsidRPr="001F3C88">
        <w:rPr>
          <w:rStyle w:val="FootnoteReference"/>
          <w:rFonts w:asciiTheme="majorHAnsi" w:hAnsiTheme="majorHAnsi"/>
          <w:sz w:val="20"/>
          <w:szCs w:val="20"/>
        </w:rPr>
        <w:footnoteRef/>
      </w:r>
      <w:r w:rsidRPr="001F3C88">
        <w:rPr>
          <w:rFonts w:asciiTheme="majorHAnsi" w:hAnsiTheme="majorHAnsi"/>
          <w:sz w:val="20"/>
          <w:szCs w:val="20"/>
        </w:rPr>
        <w:t xml:space="preserve"> </w:t>
      </w:r>
      <w:r w:rsidRPr="001F3C88">
        <w:rPr>
          <w:rFonts w:asciiTheme="majorHAnsi" w:hAnsiTheme="majorHAnsi"/>
          <w:sz w:val="20"/>
          <w:szCs w:val="20"/>
          <w:lang w:val="en-US"/>
        </w:rPr>
        <w:t xml:space="preserve">For similar findings in the USA, see </w:t>
      </w:r>
      <w:r w:rsidRPr="001F3C88">
        <w:rPr>
          <w:rFonts w:asciiTheme="majorHAnsi" w:hAnsiTheme="majorHAnsi" w:cs="Arial"/>
          <w:sz w:val="20"/>
          <w:szCs w:val="20"/>
        </w:rPr>
        <w:t xml:space="preserve">R Miller and A Sarat, ‘Grievances, Claims and Disputes: Assessing the Adversary Culture’ (1981) 15 </w:t>
      </w:r>
      <w:r w:rsidRPr="001F3C88">
        <w:rPr>
          <w:rFonts w:asciiTheme="majorHAnsi" w:hAnsiTheme="majorHAnsi" w:cs="Arial"/>
          <w:i/>
          <w:sz w:val="20"/>
          <w:szCs w:val="20"/>
        </w:rPr>
        <w:t>Law &amp; Society Review</w:t>
      </w:r>
      <w:r w:rsidRPr="001F3C88">
        <w:rPr>
          <w:rFonts w:asciiTheme="majorHAnsi" w:hAnsiTheme="majorHAnsi" w:cs="Arial"/>
          <w:sz w:val="20"/>
          <w:szCs w:val="20"/>
        </w:rPr>
        <w:t>, 252</w:t>
      </w:r>
    </w:p>
  </w:footnote>
  <w:footnote w:id="31">
    <w:p w14:paraId="61675B8E" w14:textId="01F0314C" w:rsidR="00001499" w:rsidRPr="00824D56" w:rsidRDefault="00001499" w:rsidP="00144E88">
      <w:pPr>
        <w:pStyle w:val="FootnoteText"/>
        <w:rPr>
          <w:rFonts w:asciiTheme="majorHAnsi" w:hAnsiTheme="majorHAnsi"/>
          <w:sz w:val="20"/>
          <w:szCs w:val="20"/>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H Genn </w:t>
      </w:r>
      <w:r w:rsidRPr="00824D56">
        <w:rPr>
          <w:rFonts w:asciiTheme="majorHAnsi" w:hAnsiTheme="majorHAnsi"/>
          <w:i/>
          <w:sz w:val="20"/>
          <w:szCs w:val="20"/>
        </w:rPr>
        <w:t xml:space="preserve">Paths to Justice </w:t>
      </w:r>
      <w:r w:rsidRPr="00824D56">
        <w:rPr>
          <w:rFonts w:asciiTheme="majorHAnsi" w:hAnsiTheme="majorHAnsi"/>
          <w:sz w:val="20"/>
          <w:szCs w:val="20"/>
        </w:rPr>
        <w:t>(Hart Publishing, 1999) at p 251.</w:t>
      </w:r>
    </w:p>
  </w:footnote>
  <w:footnote w:id="32">
    <w:p w14:paraId="27538048" w14:textId="77777777" w:rsidR="00001499" w:rsidRPr="00824D56" w:rsidRDefault="00001499" w:rsidP="002F6B39">
      <w:pPr>
        <w:pStyle w:val="FootnoteText"/>
        <w:rPr>
          <w:rFonts w:asciiTheme="majorHAnsi" w:hAnsiTheme="majorHAnsi"/>
          <w:sz w:val="20"/>
          <w:szCs w:val="20"/>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H. Genn, </w:t>
      </w:r>
      <w:r w:rsidRPr="00824D56">
        <w:rPr>
          <w:rFonts w:asciiTheme="majorHAnsi" w:hAnsiTheme="majorHAnsi"/>
          <w:i/>
          <w:sz w:val="20"/>
          <w:szCs w:val="20"/>
        </w:rPr>
        <w:t>Paths to Justice</w:t>
      </w:r>
      <w:r w:rsidRPr="00824D56">
        <w:rPr>
          <w:rFonts w:asciiTheme="majorHAnsi" w:hAnsiTheme="majorHAnsi"/>
          <w:sz w:val="20"/>
          <w:szCs w:val="20"/>
        </w:rPr>
        <w:t xml:space="preserve"> (1999), pp 250-1.</w:t>
      </w:r>
    </w:p>
  </w:footnote>
  <w:footnote w:id="33">
    <w:p w14:paraId="31C8E24C" w14:textId="77777777" w:rsidR="00001499" w:rsidRPr="00824D56" w:rsidRDefault="00001499" w:rsidP="002F6B39">
      <w:pPr>
        <w:pStyle w:val="FootnoteText"/>
        <w:rPr>
          <w:rFonts w:asciiTheme="majorHAnsi" w:hAnsiTheme="majorHAnsi"/>
          <w:sz w:val="20"/>
          <w:szCs w:val="20"/>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“Plainly it is necessary to look at a handwritten letter written by an unrepresented person in the situation of Mrs Nzamy with common sense and to take a broad view with regard to what it is that is being sought by such a letter”: </w:t>
      </w:r>
      <w:r w:rsidRPr="00824D56">
        <w:rPr>
          <w:rFonts w:asciiTheme="majorHAnsi" w:hAnsiTheme="majorHAnsi"/>
          <w:i/>
          <w:sz w:val="20"/>
          <w:szCs w:val="20"/>
        </w:rPr>
        <w:t>Nzamy</w:t>
      </w:r>
      <w:r w:rsidRPr="00824D56">
        <w:rPr>
          <w:rFonts w:asciiTheme="majorHAnsi" w:hAnsiTheme="majorHAnsi"/>
          <w:sz w:val="20"/>
          <w:szCs w:val="20"/>
        </w:rPr>
        <w:t xml:space="preserve">, [17]; </w:t>
      </w:r>
      <w:r w:rsidRPr="00824D56">
        <w:rPr>
          <w:rFonts w:asciiTheme="majorHAnsi" w:hAnsiTheme="majorHAnsi"/>
          <w:i/>
          <w:sz w:val="20"/>
          <w:szCs w:val="20"/>
        </w:rPr>
        <w:t>Banks v Kingston-Upon-Thames RLBC</w:t>
      </w:r>
      <w:r w:rsidRPr="00824D56">
        <w:rPr>
          <w:rFonts w:asciiTheme="majorHAnsi" w:hAnsiTheme="majorHAnsi"/>
          <w:sz w:val="20"/>
          <w:szCs w:val="20"/>
        </w:rPr>
        <w:t xml:space="preserve"> [2008] EWCA Civ 1443; [2008] 2 WLR 1160, [71].</w:t>
      </w:r>
    </w:p>
  </w:footnote>
  <w:footnote w:id="34">
    <w:p w14:paraId="70BF965E" w14:textId="1FE062C7" w:rsidR="00001499" w:rsidRPr="00824D56" w:rsidRDefault="00001499">
      <w:pPr>
        <w:pStyle w:val="FootnoteText"/>
        <w:rPr>
          <w:rFonts w:asciiTheme="majorHAnsi" w:hAnsiTheme="majorHAnsi"/>
          <w:sz w:val="20"/>
          <w:szCs w:val="20"/>
          <w:lang w:val="en-US"/>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S Halliday and C Scott ‘Adminstrative Justice’ in P Cane and H Kritzer (eds) </w:t>
      </w:r>
      <w:r w:rsidRPr="00824D56">
        <w:rPr>
          <w:rFonts w:asciiTheme="majorHAnsi" w:hAnsiTheme="majorHAnsi"/>
          <w:i/>
          <w:sz w:val="20"/>
          <w:szCs w:val="20"/>
        </w:rPr>
        <w:t>The Oxford Handbook of Empirical Legal Research</w:t>
      </w:r>
      <w:r w:rsidRPr="00824D56">
        <w:rPr>
          <w:rFonts w:asciiTheme="majorHAnsi" w:hAnsiTheme="majorHAnsi"/>
          <w:sz w:val="20"/>
          <w:szCs w:val="20"/>
        </w:rPr>
        <w:t xml:space="preserve"> (Oxford University Press, 2010)</w:t>
      </w:r>
    </w:p>
  </w:footnote>
  <w:footnote w:id="35">
    <w:p w14:paraId="77C2D7EC" w14:textId="17F3664A" w:rsidR="00001499" w:rsidRPr="00824D56" w:rsidRDefault="00001499" w:rsidP="00EF3379">
      <w:pPr>
        <w:pStyle w:val="BodyText"/>
        <w:rPr>
          <w:rFonts w:asciiTheme="majorHAnsi" w:hAnsiTheme="majorHAnsi"/>
          <w:sz w:val="20"/>
          <w:szCs w:val="20"/>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K Monsma and R Lempert, ‘The Value of Counsel: 20 Years of Representation before a Public Housing Eviction Board’, (1992) </w:t>
      </w:r>
      <w:r w:rsidRPr="00824D56">
        <w:rPr>
          <w:rFonts w:asciiTheme="majorHAnsi" w:hAnsiTheme="majorHAnsi"/>
          <w:i/>
          <w:sz w:val="20"/>
          <w:szCs w:val="20"/>
        </w:rPr>
        <w:t>Law &amp; Society Review</w:t>
      </w:r>
      <w:r w:rsidRPr="00824D56">
        <w:rPr>
          <w:rFonts w:asciiTheme="majorHAnsi" w:hAnsiTheme="majorHAnsi"/>
          <w:sz w:val="20"/>
          <w:szCs w:val="20"/>
        </w:rPr>
        <w:t>, 26: 627-67.</w:t>
      </w:r>
    </w:p>
  </w:footnote>
  <w:footnote w:id="36">
    <w:p w14:paraId="79C98A83" w14:textId="741C5F7B" w:rsidR="00001499" w:rsidRPr="00824D56" w:rsidRDefault="00001499">
      <w:pPr>
        <w:pStyle w:val="FootnoteText"/>
        <w:rPr>
          <w:rFonts w:asciiTheme="majorHAnsi" w:hAnsiTheme="majorHAnsi"/>
          <w:sz w:val="20"/>
          <w:szCs w:val="20"/>
          <w:lang w:val="en-US"/>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w:t>
      </w:r>
      <w:r w:rsidRPr="00824D56">
        <w:rPr>
          <w:rStyle w:val="googqs-tidbit-0"/>
          <w:rFonts w:asciiTheme="majorHAnsi" w:hAnsiTheme="majorHAnsi"/>
          <w:color w:val="000000"/>
          <w:sz w:val="20"/>
          <w:szCs w:val="20"/>
        </w:rPr>
        <w:t xml:space="preserve">M Adler ‘Social security and social welfare’ in </w:t>
      </w:r>
      <w:r w:rsidRPr="00824D56">
        <w:rPr>
          <w:rFonts w:asciiTheme="majorHAnsi" w:hAnsiTheme="majorHAnsi"/>
          <w:sz w:val="20"/>
          <w:szCs w:val="20"/>
        </w:rPr>
        <w:t xml:space="preserve">P Cane and H Kritzer (eds) </w:t>
      </w:r>
      <w:r w:rsidRPr="00824D56">
        <w:rPr>
          <w:rFonts w:asciiTheme="majorHAnsi" w:hAnsiTheme="majorHAnsi"/>
          <w:i/>
          <w:sz w:val="20"/>
          <w:szCs w:val="20"/>
        </w:rPr>
        <w:t>The Oxford Handbook of Empirical Legal Research</w:t>
      </w:r>
      <w:r w:rsidRPr="00824D56">
        <w:rPr>
          <w:rFonts w:asciiTheme="majorHAnsi" w:hAnsiTheme="majorHAnsi"/>
          <w:sz w:val="20"/>
          <w:szCs w:val="20"/>
        </w:rPr>
        <w:t xml:space="preserve"> (Oxford University Press, 2010)</w:t>
      </w:r>
    </w:p>
  </w:footnote>
  <w:footnote w:id="37">
    <w:p w14:paraId="576B37DB" w14:textId="2DD8D96B" w:rsidR="00001499" w:rsidRPr="00824D56" w:rsidRDefault="00001499" w:rsidP="00AA76B3">
      <w:pPr>
        <w:pStyle w:val="Default"/>
        <w:rPr>
          <w:rFonts w:asciiTheme="majorHAnsi" w:hAnsiTheme="majorHAnsi"/>
          <w:sz w:val="20"/>
          <w:szCs w:val="20"/>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B </w:t>
      </w:r>
      <w:proofErr w:type="spellStart"/>
      <w:r w:rsidRPr="00824D56">
        <w:rPr>
          <w:rFonts w:asciiTheme="majorHAnsi" w:hAnsiTheme="majorHAnsi"/>
          <w:sz w:val="20"/>
          <w:szCs w:val="20"/>
        </w:rPr>
        <w:t>Romzeck</w:t>
      </w:r>
      <w:proofErr w:type="spellEnd"/>
      <w:r w:rsidRPr="00824D56">
        <w:rPr>
          <w:rFonts w:asciiTheme="majorHAnsi" w:hAnsiTheme="majorHAnsi"/>
          <w:sz w:val="20"/>
          <w:szCs w:val="20"/>
        </w:rPr>
        <w:t xml:space="preserve"> and M </w:t>
      </w:r>
      <w:proofErr w:type="spellStart"/>
      <w:r w:rsidRPr="00824D56">
        <w:rPr>
          <w:rFonts w:asciiTheme="majorHAnsi" w:hAnsiTheme="majorHAnsi"/>
          <w:sz w:val="20"/>
          <w:szCs w:val="20"/>
        </w:rPr>
        <w:t>Dubnick</w:t>
      </w:r>
      <w:proofErr w:type="spellEnd"/>
      <w:r w:rsidRPr="00824D56">
        <w:rPr>
          <w:rFonts w:asciiTheme="majorHAnsi" w:hAnsiTheme="majorHAnsi"/>
          <w:sz w:val="20"/>
          <w:szCs w:val="20"/>
        </w:rPr>
        <w:t xml:space="preserve"> ‘Accountability in the Public Sector: Lessons from the Challenger Tragedy’ (1987) </w:t>
      </w:r>
      <w:r w:rsidRPr="00824D56">
        <w:rPr>
          <w:rFonts w:asciiTheme="majorHAnsi" w:hAnsiTheme="majorHAnsi"/>
          <w:i/>
          <w:sz w:val="20"/>
          <w:szCs w:val="20"/>
        </w:rPr>
        <w:t>Public Administration Review</w:t>
      </w:r>
      <w:r w:rsidRPr="00824D56">
        <w:rPr>
          <w:rFonts w:asciiTheme="majorHAnsi" w:hAnsiTheme="majorHAnsi"/>
          <w:sz w:val="20"/>
          <w:szCs w:val="20"/>
        </w:rPr>
        <w:t>, 47(3), pp. 227-238</w:t>
      </w:r>
    </w:p>
  </w:footnote>
  <w:footnote w:id="38">
    <w:p w14:paraId="63C08E14" w14:textId="534B6C6D" w:rsidR="00001499" w:rsidRPr="00824D56" w:rsidRDefault="00001499">
      <w:pPr>
        <w:pStyle w:val="FootnoteText"/>
        <w:rPr>
          <w:rFonts w:asciiTheme="majorHAnsi" w:hAnsiTheme="majorHAnsi"/>
          <w:sz w:val="20"/>
          <w:szCs w:val="20"/>
          <w:lang w:val="en-US"/>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In this sense we might also say that it is a hybrid of bureaucratic administration and dispute resolution.</w:t>
      </w:r>
    </w:p>
  </w:footnote>
  <w:footnote w:id="39">
    <w:p w14:paraId="6FC14E82" w14:textId="77777777" w:rsidR="00001499" w:rsidRPr="002824EC" w:rsidRDefault="00001499" w:rsidP="008E194D">
      <w:pPr>
        <w:pStyle w:val="FootnoteText"/>
        <w:rPr>
          <w:rFonts w:asciiTheme="majorHAnsi" w:hAnsiTheme="majorHAnsi"/>
          <w:sz w:val="20"/>
          <w:szCs w:val="20"/>
          <w:lang w:val="en-US"/>
        </w:rPr>
      </w:pPr>
      <w:r w:rsidRPr="002824EC">
        <w:rPr>
          <w:rStyle w:val="FootnoteReference"/>
          <w:rFonts w:asciiTheme="majorHAnsi" w:hAnsiTheme="majorHAnsi"/>
          <w:sz w:val="20"/>
          <w:szCs w:val="20"/>
        </w:rPr>
        <w:footnoteRef/>
      </w:r>
      <w:r w:rsidRPr="002824EC">
        <w:rPr>
          <w:rFonts w:asciiTheme="majorHAnsi" w:hAnsiTheme="majorHAnsi"/>
          <w:sz w:val="20"/>
          <w:szCs w:val="20"/>
        </w:rPr>
        <w:t xml:space="preserve"> </w:t>
      </w:r>
      <w:r>
        <w:rPr>
          <w:rFonts w:asciiTheme="majorHAnsi" w:hAnsiTheme="majorHAnsi"/>
          <w:sz w:val="20"/>
          <w:szCs w:val="20"/>
          <w:lang w:val="en-US"/>
        </w:rPr>
        <w:t>H</w:t>
      </w:r>
      <w:r w:rsidRPr="002824EC">
        <w:rPr>
          <w:rFonts w:asciiTheme="majorHAnsi" w:hAnsiTheme="majorHAnsi"/>
          <w:sz w:val="20"/>
          <w:szCs w:val="20"/>
          <w:lang w:val="en-US"/>
        </w:rPr>
        <w:t>ere we must contrast the normative from the purely doctrinal. As is well known, for the purposes of assessing compliance with the ECHR, internal review is considered within the context of the redress system as a whole. See</w:t>
      </w:r>
      <w:r>
        <w:rPr>
          <w:rFonts w:asciiTheme="majorHAnsi" w:hAnsiTheme="majorHAnsi"/>
          <w:sz w:val="20"/>
          <w:szCs w:val="20"/>
          <w:lang w:val="en-US"/>
        </w:rPr>
        <w:t>, e.g.,</w:t>
      </w:r>
      <w:r w:rsidRPr="002824EC">
        <w:rPr>
          <w:rFonts w:asciiTheme="majorHAnsi" w:hAnsiTheme="majorHAnsi"/>
          <w:sz w:val="20"/>
          <w:szCs w:val="20"/>
          <w:lang w:val="en-US"/>
        </w:rPr>
        <w:t xml:space="preserve"> </w:t>
      </w:r>
      <w:r w:rsidRPr="002824EC">
        <w:rPr>
          <w:rFonts w:asciiTheme="majorHAnsi" w:hAnsiTheme="majorHAnsi"/>
          <w:i/>
          <w:sz w:val="20"/>
          <w:szCs w:val="20"/>
          <w:lang w:val="en-US"/>
        </w:rPr>
        <w:t>Fazia Ali v UK</w:t>
      </w:r>
      <w:r w:rsidRPr="002824EC">
        <w:rPr>
          <w:rFonts w:asciiTheme="majorHAnsi" w:hAnsiTheme="majorHAnsi"/>
          <w:sz w:val="20"/>
          <w:szCs w:val="20"/>
          <w:lang w:val="en-US"/>
        </w:rPr>
        <w:t xml:space="preserve"> </w:t>
      </w:r>
      <w:r w:rsidRPr="002824EC">
        <w:rPr>
          <w:rFonts w:asciiTheme="majorHAnsi" w:hAnsiTheme="majorHAnsi"/>
          <w:sz w:val="20"/>
          <w:szCs w:val="20"/>
        </w:rPr>
        <w:t>2015 (Application 40378/10).</w:t>
      </w:r>
    </w:p>
  </w:footnote>
  <w:footnote w:id="40">
    <w:p w14:paraId="0EA619DD" w14:textId="7F18E30A" w:rsidR="00001499" w:rsidRPr="00824D56" w:rsidRDefault="00001499">
      <w:pPr>
        <w:pStyle w:val="FootnoteText"/>
        <w:rPr>
          <w:rFonts w:asciiTheme="majorHAnsi" w:hAnsiTheme="majorHAnsi"/>
          <w:sz w:val="20"/>
          <w:szCs w:val="20"/>
          <w:lang w:val="en-US"/>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w:t>
      </w:r>
      <w:r w:rsidRPr="00824D56">
        <w:rPr>
          <w:rFonts w:asciiTheme="majorHAnsi" w:hAnsiTheme="majorHAnsi"/>
          <w:sz w:val="20"/>
          <w:szCs w:val="20"/>
          <w:lang w:val="en-US"/>
        </w:rPr>
        <w:t xml:space="preserve">See, for example, </w:t>
      </w:r>
      <w:r w:rsidRPr="00824D56">
        <w:rPr>
          <w:rFonts w:asciiTheme="majorHAnsi" w:hAnsiTheme="majorHAnsi"/>
          <w:color w:val="000000"/>
          <w:sz w:val="20"/>
          <w:szCs w:val="20"/>
          <w:lang w:val="en"/>
        </w:rPr>
        <w:t xml:space="preserve">Adler, M (2003) ‘A Socio-Legal Approach to Administrative Justice’ 25 </w:t>
      </w:r>
      <w:r w:rsidRPr="00824D56">
        <w:rPr>
          <w:rFonts w:asciiTheme="majorHAnsi" w:hAnsiTheme="majorHAnsi"/>
          <w:i/>
          <w:iCs/>
          <w:color w:val="000000"/>
          <w:sz w:val="20"/>
          <w:szCs w:val="20"/>
          <w:lang w:val="en"/>
        </w:rPr>
        <w:t>Law and Policy</w:t>
      </w:r>
      <w:r w:rsidRPr="00824D56">
        <w:rPr>
          <w:rFonts w:asciiTheme="majorHAnsi" w:hAnsiTheme="majorHAnsi"/>
          <w:color w:val="000000"/>
          <w:sz w:val="20"/>
          <w:szCs w:val="20"/>
          <w:lang w:val="en"/>
        </w:rPr>
        <w:t xml:space="preserve"> 323; </w:t>
      </w:r>
      <w:r w:rsidRPr="00824D56">
        <w:rPr>
          <w:rFonts w:asciiTheme="majorHAnsi" w:hAnsiTheme="majorHAnsi"/>
          <w:sz w:val="20"/>
          <w:szCs w:val="20"/>
        </w:rPr>
        <w:t xml:space="preserve">S Halliday and C Scott ‘Adminstrative Justice’ in P Cane and H Kritzer (eds) </w:t>
      </w:r>
      <w:r w:rsidRPr="00824D56">
        <w:rPr>
          <w:rFonts w:asciiTheme="majorHAnsi" w:hAnsiTheme="majorHAnsi"/>
          <w:i/>
          <w:sz w:val="20"/>
          <w:szCs w:val="20"/>
        </w:rPr>
        <w:t>The Oxford Handbook of Empirical Legal Research</w:t>
      </w:r>
      <w:r w:rsidRPr="00824D56">
        <w:rPr>
          <w:rFonts w:asciiTheme="majorHAnsi" w:hAnsiTheme="majorHAnsi"/>
          <w:sz w:val="20"/>
          <w:szCs w:val="20"/>
        </w:rPr>
        <w:t xml:space="preserve"> (Oxford University Press, 2010); </w:t>
      </w:r>
      <w:r w:rsidRPr="00824D56">
        <w:rPr>
          <w:rFonts w:asciiTheme="majorHAnsi" w:hAnsiTheme="majorHAnsi"/>
          <w:sz w:val="20"/>
          <w:szCs w:val="20"/>
          <w:lang w:val="en-US"/>
        </w:rPr>
        <w:t xml:space="preserve">T Mullen ‘Access to Justice in Administrative Law and Administrative Justice’ in E Palmer et al (eds) </w:t>
      </w:r>
      <w:r w:rsidRPr="00824D56">
        <w:rPr>
          <w:rFonts w:asciiTheme="majorHAnsi" w:hAnsiTheme="majorHAnsi"/>
          <w:i/>
          <w:sz w:val="20"/>
          <w:szCs w:val="20"/>
          <w:lang w:val="en-US"/>
        </w:rPr>
        <w:t>Access to Justice: Beyond the Policies and Politics of Austerity</w:t>
      </w:r>
      <w:r w:rsidRPr="00824D56">
        <w:rPr>
          <w:rFonts w:asciiTheme="majorHAnsi" w:hAnsiTheme="majorHAnsi"/>
          <w:sz w:val="20"/>
          <w:szCs w:val="20"/>
          <w:lang w:val="en-US"/>
        </w:rPr>
        <w:t xml:space="preserve"> (Hart Publishing, 2015)</w:t>
      </w:r>
    </w:p>
  </w:footnote>
  <w:footnote w:id="41">
    <w:p w14:paraId="0AED74FE" w14:textId="2927A3C7" w:rsidR="00001499" w:rsidRPr="00871299" w:rsidRDefault="00001499" w:rsidP="0087129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noProof w:val="0"/>
          <w:sz w:val="20"/>
          <w:szCs w:val="20"/>
          <w:bdr w:val="none" w:sz="0" w:space="0" w:color="auto"/>
          <w:lang w:val="en-US"/>
        </w:rPr>
      </w:pPr>
      <w:r w:rsidRPr="00871299">
        <w:rPr>
          <w:rStyle w:val="FootnoteReference"/>
          <w:rFonts w:asciiTheme="majorHAnsi" w:hAnsiTheme="majorHAnsi"/>
          <w:sz w:val="20"/>
          <w:szCs w:val="20"/>
        </w:rPr>
        <w:footnoteRef/>
      </w:r>
      <w:r w:rsidRPr="00871299">
        <w:rPr>
          <w:rFonts w:asciiTheme="majorHAnsi" w:hAnsiTheme="majorHAnsi"/>
          <w:sz w:val="20"/>
          <w:szCs w:val="20"/>
        </w:rPr>
        <w:t xml:space="preserve"> </w:t>
      </w:r>
      <w:r w:rsidRPr="00871299">
        <w:rPr>
          <w:rFonts w:asciiTheme="majorHAnsi" w:hAnsiTheme="majorHAnsi"/>
          <w:noProof w:val="0"/>
          <w:sz w:val="20"/>
          <w:szCs w:val="20"/>
          <w:bdr w:val="none" w:sz="0" w:space="0" w:color="auto"/>
          <w:lang w:val="en-US"/>
        </w:rPr>
        <w:t>Department for Constitutional Affairs, Transforming Public Services: Complaints, Redress and Tribunals  (White Paper Cm 6243 published July 2004)</w:t>
      </w:r>
    </w:p>
  </w:footnote>
  <w:footnote w:id="42">
    <w:p w14:paraId="4A07548C" w14:textId="77777777" w:rsidR="00001499" w:rsidRPr="00824D56" w:rsidRDefault="00001499" w:rsidP="00871299">
      <w:pPr>
        <w:pStyle w:val="FootnoteText"/>
        <w:rPr>
          <w:rFonts w:asciiTheme="majorHAnsi" w:hAnsiTheme="majorHAnsi"/>
          <w:sz w:val="20"/>
          <w:szCs w:val="20"/>
          <w:lang w:val="en-US"/>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w:t>
      </w:r>
      <w:r w:rsidRPr="00824D56">
        <w:rPr>
          <w:rFonts w:asciiTheme="majorHAnsi" w:hAnsiTheme="majorHAnsi"/>
          <w:sz w:val="20"/>
          <w:szCs w:val="20"/>
          <w:lang w:val="en-US"/>
        </w:rPr>
        <w:t xml:space="preserve">Most recently, R Thomas ‘Administrative Justice, Better Decisions and Organisational Learning’ (2015) </w:t>
      </w:r>
      <w:r w:rsidRPr="00824D56">
        <w:rPr>
          <w:rFonts w:asciiTheme="majorHAnsi" w:hAnsiTheme="majorHAnsi"/>
          <w:i/>
          <w:sz w:val="20"/>
          <w:szCs w:val="20"/>
          <w:lang w:val="en-US"/>
        </w:rPr>
        <w:t>Public Law</w:t>
      </w:r>
      <w:r w:rsidRPr="00824D56">
        <w:rPr>
          <w:rFonts w:asciiTheme="majorHAnsi" w:hAnsiTheme="majorHAnsi"/>
          <w:sz w:val="20"/>
          <w:szCs w:val="20"/>
          <w:lang w:val="en-US"/>
        </w:rPr>
        <w:t>, pp, 111-31</w:t>
      </w:r>
    </w:p>
  </w:footnote>
  <w:footnote w:id="43">
    <w:p w14:paraId="430A4100" w14:textId="66D90E81" w:rsidR="00001499" w:rsidRPr="00824D56" w:rsidRDefault="00001499">
      <w:pPr>
        <w:pStyle w:val="FootnoteText"/>
        <w:rPr>
          <w:rFonts w:asciiTheme="majorHAnsi" w:hAnsiTheme="majorHAnsi"/>
          <w:sz w:val="20"/>
          <w:szCs w:val="20"/>
          <w:lang w:val="en-US"/>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w:t>
      </w:r>
      <w:r w:rsidRPr="00824D56">
        <w:rPr>
          <w:rFonts w:asciiTheme="majorHAnsi" w:hAnsiTheme="majorHAnsi"/>
          <w:sz w:val="20"/>
          <w:szCs w:val="20"/>
          <w:lang w:val="en-US"/>
        </w:rPr>
        <w:t xml:space="preserve">P Craig, </w:t>
      </w:r>
      <w:r w:rsidRPr="00824D56">
        <w:rPr>
          <w:rFonts w:asciiTheme="majorHAnsi" w:hAnsiTheme="majorHAnsi"/>
          <w:i/>
          <w:sz w:val="20"/>
          <w:szCs w:val="20"/>
          <w:lang w:val="en-US"/>
        </w:rPr>
        <w:t>UK, EU and Global Administrative Law: Foundations and Challenges</w:t>
      </w:r>
      <w:r w:rsidRPr="00824D56">
        <w:rPr>
          <w:rFonts w:asciiTheme="majorHAnsi" w:hAnsiTheme="majorHAnsi"/>
          <w:sz w:val="20"/>
          <w:szCs w:val="20"/>
          <w:lang w:val="en-US"/>
        </w:rPr>
        <w:t xml:space="preserve"> (Cambridge University Press, 2015)</w:t>
      </w:r>
    </w:p>
  </w:footnote>
  <w:footnote w:id="44">
    <w:p w14:paraId="1C81ABE9" w14:textId="4A8DB033" w:rsidR="00001499" w:rsidRPr="00824D56" w:rsidRDefault="00001499" w:rsidP="004C002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noProof w:val="0"/>
          <w:sz w:val="20"/>
          <w:szCs w:val="20"/>
          <w:bdr w:val="none" w:sz="0" w:space="0" w:color="auto"/>
          <w:lang w:val="en-US"/>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w:t>
      </w:r>
      <w:r w:rsidRPr="00824D56">
        <w:rPr>
          <w:rFonts w:asciiTheme="majorHAnsi" w:hAnsiTheme="majorHAnsi"/>
          <w:noProof w:val="0"/>
          <w:sz w:val="20"/>
          <w:szCs w:val="20"/>
          <w:bdr w:val="none" w:sz="0" w:space="0" w:color="auto"/>
          <w:lang w:val="en-US"/>
        </w:rPr>
        <w:t xml:space="preserve">C </w:t>
      </w:r>
      <w:proofErr w:type="spellStart"/>
      <w:r w:rsidRPr="00824D56">
        <w:rPr>
          <w:rFonts w:asciiTheme="majorHAnsi" w:hAnsiTheme="majorHAnsi"/>
          <w:noProof w:val="0"/>
          <w:sz w:val="20"/>
          <w:szCs w:val="20"/>
          <w:bdr w:val="none" w:sz="0" w:space="0" w:color="auto"/>
          <w:lang w:val="en-US"/>
        </w:rPr>
        <w:t>Stebbings</w:t>
      </w:r>
      <w:proofErr w:type="spellEnd"/>
      <w:r w:rsidRPr="00824D56">
        <w:rPr>
          <w:rFonts w:asciiTheme="majorHAnsi" w:hAnsiTheme="majorHAnsi"/>
          <w:noProof w:val="0"/>
          <w:sz w:val="20"/>
          <w:szCs w:val="20"/>
          <w:bdr w:val="none" w:sz="0" w:space="0" w:color="auto"/>
          <w:lang w:val="en-US"/>
        </w:rPr>
        <w:t xml:space="preserve">, </w:t>
      </w:r>
      <w:r w:rsidRPr="00824D56">
        <w:rPr>
          <w:rFonts w:asciiTheme="majorHAnsi" w:hAnsiTheme="majorHAnsi"/>
          <w:i/>
          <w:noProof w:val="0"/>
          <w:sz w:val="20"/>
          <w:szCs w:val="20"/>
          <w:bdr w:val="none" w:sz="0" w:space="0" w:color="auto"/>
          <w:lang w:val="en-US"/>
        </w:rPr>
        <w:t>Legal Foundations of Tribunals in Nineteenth Century England</w:t>
      </w:r>
      <w:r w:rsidRPr="00824D56">
        <w:rPr>
          <w:rFonts w:asciiTheme="majorHAnsi" w:hAnsiTheme="majorHAnsi"/>
          <w:noProof w:val="0"/>
          <w:sz w:val="20"/>
          <w:szCs w:val="20"/>
          <w:bdr w:val="none" w:sz="0" w:space="0" w:color="auto"/>
          <w:lang w:val="en-US"/>
        </w:rPr>
        <w:t xml:space="preserve"> (Cambridge University Press, 2006)</w:t>
      </w:r>
    </w:p>
  </w:footnote>
  <w:footnote w:id="45">
    <w:p w14:paraId="45F91CFB" w14:textId="1A54B2DD" w:rsidR="00001499" w:rsidRPr="00824D56" w:rsidRDefault="00001499">
      <w:pPr>
        <w:pStyle w:val="FootnoteText"/>
        <w:rPr>
          <w:rFonts w:asciiTheme="majorHAnsi" w:hAnsiTheme="majorHAnsi"/>
          <w:sz w:val="20"/>
          <w:szCs w:val="20"/>
          <w:lang w:val="en-US"/>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w:t>
      </w:r>
      <w:r w:rsidRPr="00824D56">
        <w:rPr>
          <w:rFonts w:asciiTheme="majorHAnsi" w:hAnsiTheme="majorHAnsi"/>
          <w:sz w:val="20"/>
          <w:szCs w:val="20"/>
          <w:lang w:val="en-US"/>
        </w:rPr>
        <w:t xml:space="preserve">H Arthurs </w:t>
      </w:r>
      <w:r w:rsidRPr="00824D56">
        <w:rPr>
          <w:rFonts w:asciiTheme="majorHAnsi" w:hAnsiTheme="majorHAnsi"/>
          <w:i/>
          <w:sz w:val="20"/>
          <w:szCs w:val="20"/>
          <w:lang w:val="en-US"/>
        </w:rPr>
        <w:t>Without the Law: Administrative Justice and Legal Pluralism in Nineteenth Century England</w:t>
      </w:r>
      <w:r w:rsidRPr="00824D56">
        <w:rPr>
          <w:rFonts w:asciiTheme="majorHAnsi" w:hAnsiTheme="majorHAnsi"/>
          <w:sz w:val="20"/>
          <w:szCs w:val="20"/>
          <w:lang w:val="en-US"/>
        </w:rPr>
        <w:t xml:space="preserve"> (Toronto University Press, 1985)</w:t>
      </w:r>
    </w:p>
  </w:footnote>
  <w:footnote w:id="46">
    <w:p w14:paraId="63924915" w14:textId="0E55B31F" w:rsidR="00001499" w:rsidRPr="0003502C" w:rsidRDefault="00001499">
      <w:pPr>
        <w:pStyle w:val="FootnoteText"/>
        <w:rPr>
          <w:rFonts w:asciiTheme="majorHAnsi" w:hAnsiTheme="majorHAnsi"/>
          <w:sz w:val="20"/>
          <w:szCs w:val="20"/>
          <w:lang w:val="en-US"/>
        </w:rPr>
      </w:pPr>
      <w:r w:rsidRPr="0003502C">
        <w:rPr>
          <w:rStyle w:val="FootnoteReference"/>
          <w:rFonts w:asciiTheme="majorHAnsi" w:hAnsiTheme="majorHAnsi"/>
          <w:sz w:val="20"/>
          <w:szCs w:val="20"/>
        </w:rPr>
        <w:footnoteRef/>
      </w:r>
      <w:r w:rsidRPr="0003502C">
        <w:rPr>
          <w:rFonts w:asciiTheme="majorHAnsi" w:hAnsiTheme="majorHAnsi"/>
          <w:sz w:val="20"/>
          <w:szCs w:val="20"/>
        </w:rPr>
        <w:t xml:space="preserve"> </w:t>
      </w:r>
      <w:r w:rsidRPr="0003502C">
        <w:rPr>
          <w:rFonts w:asciiTheme="majorHAnsi" w:hAnsiTheme="majorHAnsi"/>
          <w:sz w:val="20"/>
          <w:szCs w:val="20"/>
          <w:lang w:val="en-US"/>
        </w:rPr>
        <w:t xml:space="preserve">See also T Mullen ‘Access to Justice in Administrative Law and Administrative Justice’ in E Palmer et al (eds) </w:t>
      </w:r>
      <w:r w:rsidRPr="0003502C">
        <w:rPr>
          <w:rFonts w:asciiTheme="majorHAnsi" w:hAnsiTheme="majorHAnsi"/>
          <w:i/>
          <w:sz w:val="20"/>
          <w:szCs w:val="20"/>
          <w:lang w:val="en-US"/>
        </w:rPr>
        <w:t>Access to Justice: Beyond the Policies and Politics of Austerity</w:t>
      </w:r>
      <w:r w:rsidRPr="0003502C">
        <w:rPr>
          <w:rFonts w:asciiTheme="majorHAnsi" w:hAnsiTheme="majorHAnsi"/>
          <w:sz w:val="20"/>
          <w:szCs w:val="20"/>
          <w:lang w:val="en-US"/>
        </w:rPr>
        <w:t xml:space="preserve"> (Hart Publishing, 2015).</w:t>
      </w:r>
    </w:p>
  </w:footnote>
  <w:footnote w:id="47">
    <w:p w14:paraId="04D34D46" w14:textId="5EA57727" w:rsidR="00001499" w:rsidRPr="00824D56" w:rsidRDefault="00001499">
      <w:pPr>
        <w:pStyle w:val="FootnoteText"/>
        <w:rPr>
          <w:rFonts w:asciiTheme="majorHAnsi" w:hAnsiTheme="majorHAnsi"/>
          <w:sz w:val="20"/>
          <w:szCs w:val="20"/>
          <w:lang w:val="en-US"/>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w:t>
      </w:r>
      <w:r w:rsidRPr="00824D56">
        <w:rPr>
          <w:rFonts w:asciiTheme="majorHAnsi" w:hAnsiTheme="majorHAnsi"/>
          <w:sz w:val="20"/>
          <w:szCs w:val="20"/>
          <w:lang w:val="en-US"/>
        </w:rPr>
        <w:t xml:space="preserve">See T </w:t>
      </w:r>
      <w:r w:rsidRPr="00824D56">
        <w:rPr>
          <w:rFonts w:asciiTheme="majorHAnsi" w:hAnsiTheme="majorHAnsi"/>
          <w:sz w:val="20"/>
          <w:szCs w:val="20"/>
        </w:rPr>
        <w:t xml:space="preserve">Buck,  R Kirkham and B Thompson </w:t>
      </w:r>
      <w:r w:rsidRPr="00824D56">
        <w:rPr>
          <w:rFonts w:asciiTheme="majorHAnsi" w:hAnsiTheme="majorHAnsi"/>
          <w:i/>
          <w:sz w:val="20"/>
          <w:szCs w:val="20"/>
        </w:rPr>
        <w:t>The Ombudsman Enterprise and Administrative Justice</w:t>
      </w:r>
      <w:r w:rsidRPr="00824D56">
        <w:rPr>
          <w:rFonts w:asciiTheme="majorHAnsi" w:hAnsiTheme="majorHAnsi"/>
          <w:sz w:val="20"/>
          <w:szCs w:val="20"/>
        </w:rPr>
        <w:t xml:space="preserve"> (Ashgate, 2011)</w:t>
      </w:r>
    </w:p>
  </w:footnote>
  <w:footnote w:id="48">
    <w:p w14:paraId="2F7F821D" w14:textId="67E5505F" w:rsidR="00001499" w:rsidRPr="00712EFE" w:rsidRDefault="00001499">
      <w:pPr>
        <w:pStyle w:val="FootnoteText"/>
        <w:rPr>
          <w:rFonts w:asciiTheme="majorHAnsi" w:hAnsiTheme="majorHAnsi"/>
          <w:sz w:val="20"/>
          <w:szCs w:val="20"/>
          <w:lang w:val="en-US"/>
        </w:rPr>
      </w:pPr>
      <w:r w:rsidRPr="00712EFE">
        <w:rPr>
          <w:rStyle w:val="FootnoteReference"/>
          <w:rFonts w:asciiTheme="majorHAnsi" w:hAnsiTheme="majorHAnsi"/>
          <w:sz w:val="20"/>
          <w:szCs w:val="20"/>
        </w:rPr>
        <w:footnoteRef/>
      </w:r>
      <w:r w:rsidRPr="00712EFE">
        <w:rPr>
          <w:rFonts w:asciiTheme="majorHAnsi" w:hAnsiTheme="majorHAnsi"/>
          <w:sz w:val="20"/>
          <w:szCs w:val="20"/>
        </w:rPr>
        <w:t xml:space="preserve"> </w:t>
      </w:r>
      <w:r>
        <w:rPr>
          <w:rFonts w:asciiTheme="majorHAnsi" w:hAnsiTheme="majorHAnsi"/>
          <w:sz w:val="20"/>
          <w:szCs w:val="20"/>
        </w:rPr>
        <w:t xml:space="preserve">Others have modelled </w:t>
      </w:r>
      <w:r>
        <w:rPr>
          <w:rFonts w:asciiTheme="majorHAnsi" w:hAnsiTheme="majorHAnsi"/>
          <w:sz w:val="20"/>
          <w:szCs w:val="20"/>
          <w:lang w:val="en-US"/>
        </w:rPr>
        <w:t>r</w:t>
      </w:r>
      <w:r w:rsidRPr="00712EFE">
        <w:rPr>
          <w:rFonts w:asciiTheme="majorHAnsi" w:hAnsiTheme="majorHAnsi"/>
          <w:sz w:val="20"/>
          <w:szCs w:val="20"/>
          <w:lang w:val="en-US"/>
        </w:rPr>
        <w:t xml:space="preserve">edress mechanisms </w:t>
      </w:r>
      <w:r>
        <w:rPr>
          <w:rFonts w:asciiTheme="majorHAnsi" w:hAnsiTheme="majorHAnsi"/>
          <w:sz w:val="20"/>
          <w:szCs w:val="20"/>
          <w:lang w:val="en-US"/>
        </w:rPr>
        <w:t>within the</w:t>
      </w:r>
      <w:r w:rsidRPr="00712EFE">
        <w:rPr>
          <w:rFonts w:asciiTheme="majorHAnsi" w:hAnsiTheme="majorHAnsi"/>
          <w:sz w:val="20"/>
          <w:szCs w:val="20"/>
          <w:lang w:val="en-US"/>
        </w:rPr>
        <w:t xml:space="preserve"> administrative justice context. </w:t>
      </w:r>
      <w:r>
        <w:rPr>
          <w:rFonts w:asciiTheme="majorHAnsi" w:hAnsiTheme="majorHAnsi"/>
          <w:sz w:val="20"/>
          <w:szCs w:val="20"/>
          <w:lang w:val="en-US"/>
        </w:rPr>
        <w:t>For an analysis that models (1) the relationships between mechanisms within an overall system</w:t>
      </w:r>
      <w:r w:rsidRPr="00712EFE">
        <w:rPr>
          <w:rFonts w:asciiTheme="majorHAnsi" w:hAnsiTheme="majorHAnsi"/>
          <w:sz w:val="20"/>
          <w:szCs w:val="20"/>
          <w:lang w:val="en-US"/>
        </w:rPr>
        <w:t>,</w:t>
      </w:r>
      <w:r>
        <w:rPr>
          <w:rFonts w:asciiTheme="majorHAnsi" w:hAnsiTheme="majorHAnsi"/>
          <w:sz w:val="20"/>
          <w:szCs w:val="20"/>
          <w:lang w:val="en-US"/>
        </w:rPr>
        <w:t xml:space="preserve"> and (2) common functions between mechanisms,</w:t>
      </w:r>
      <w:r w:rsidRPr="00712EFE">
        <w:rPr>
          <w:rFonts w:asciiTheme="majorHAnsi" w:hAnsiTheme="majorHAnsi"/>
          <w:sz w:val="20"/>
          <w:szCs w:val="20"/>
          <w:lang w:val="en-US"/>
        </w:rPr>
        <w:t xml:space="preserve"> </w:t>
      </w:r>
      <w:r>
        <w:rPr>
          <w:rFonts w:asciiTheme="majorHAnsi" w:hAnsiTheme="majorHAnsi"/>
          <w:sz w:val="20"/>
          <w:szCs w:val="20"/>
          <w:lang w:val="en-US"/>
        </w:rPr>
        <w:t xml:space="preserve">see V </w:t>
      </w:r>
      <w:r w:rsidRPr="00712EFE">
        <w:rPr>
          <w:rFonts w:asciiTheme="majorHAnsi" w:hAnsiTheme="majorHAnsi"/>
          <w:sz w:val="20"/>
          <w:szCs w:val="20"/>
          <w:lang w:val="en-US"/>
        </w:rPr>
        <w:t xml:space="preserve">Bondy and </w:t>
      </w:r>
      <w:r>
        <w:rPr>
          <w:rFonts w:asciiTheme="majorHAnsi" w:hAnsiTheme="majorHAnsi"/>
          <w:sz w:val="20"/>
          <w:szCs w:val="20"/>
          <w:lang w:val="en-US"/>
        </w:rPr>
        <w:t xml:space="preserve">A </w:t>
      </w:r>
      <w:r w:rsidRPr="00712EFE">
        <w:rPr>
          <w:rFonts w:asciiTheme="majorHAnsi" w:hAnsiTheme="majorHAnsi"/>
          <w:sz w:val="20"/>
          <w:szCs w:val="20"/>
          <w:lang w:val="en-US"/>
        </w:rPr>
        <w:t xml:space="preserve">le Sueur </w:t>
      </w:r>
      <w:r w:rsidRPr="00712EFE">
        <w:rPr>
          <w:rFonts w:asciiTheme="majorHAnsi" w:hAnsiTheme="majorHAnsi"/>
          <w:i/>
          <w:sz w:val="20"/>
          <w:szCs w:val="20"/>
          <w:lang w:val="en-US"/>
        </w:rPr>
        <w:t>Designing Redress: a study about grievances against public bodies</w:t>
      </w:r>
      <w:r w:rsidRPr="00712EFE">
        <w:rPr>
          <w:rFonts w:asciiTheme="majorHAnsi" w:hAnsiTheme="majorHAnsi"/>
          <w:sz w:val="20"/>
          <w:szCs w:val="20"/>
          <w:lang w:val="en-US"/>
        </w:rPr>
        <w:t xml:space="preserve"> </w:t>
      </w:r>
      <w:r>
        <w:rPr>
          <w:rFonts w:asciiTheme="majorHAnsi" w:hAnsiTheme="majorHAnsi"/>
          <w:sz w:val="20"/>
          <w:szCs w:val="20"/>
          <w:lang w:val="en-US"/>
        </w:rPr>
        <w:t>(Public Law Project, 2012). For an analysis that offers models</w:t>
      </w:r>
      <w:r w:rsidRPr="00712EFE">
        <w:rPr>
          <w:rFonts w:asciiTheme="majorHAnsi" w:hAnsiTheme="majorHAnsi"/>
          <w:sz w:val="20"/>
          <w:szCs w:val="20"/>
          <w:lang w:val="en-US"/>
        </w:rPr>
        <w:t xml:space="preserve"> </w:t>
      </w:r>
      <w:r>
        <w:rPr>
          <w:rFonts w:asciiTheme="majorHAnsi" w:hAnsiTheme="majorHAnsi"/>
          <w:sz w:val="20"/>
          <w:szCs w:val="20"/>
          <w:lang w:val="en-US"/>
        </w:rPr>
        <w:t xml:space="preserve">of the various redress mechanisms themselves, see the </w:t>
      </w:r>
      <w:r>
        <w:rPr>
          <w:rFonts w:asciiTheme="majorHAnsi" w:hAnsiTheme="majorHAnsi"/>
          <w:noProof w:val="0"/>
          <w:sz w:val="20"/>
          <w:szCs w:val="20"/>
          <w:bdr w:val="none" w:sz="0" w:space="0" w:color="auto"/>
          <w:lang w:val="en-US"/>
        </w:rPr>
        <w:t>Law Commission’s</w:t>
      </w:r>
      <w:r w:rsidRPr="00712EFE">
        <w:rPr>
          <w:rFonts w:asciiTheme="majorHAnsi" w:hAnsiTheme="majorHAnsi"/>
          <w:noProof w:val="0"/>
          <w:sz w:val="20"/>
          <w:szCs w:val="20"/>
          <w:bdr w:val="none" w:sz="0" w:space="0" w:color="auto"/>
          <w:lang w:val="en-US"/>
        </w:rPr>
        <w:t xml:space="preserve"> Consultation Paper No 187: </w:t>
      </w:r>
      <w:r w:rsidRPr="00712EFE">
        <w:rPr>
          <w:rFonts w:asciiTheme="majorHAnsi" w:hAnsiTheme="majorHAnsi"/>
          <w:i/>
          <w:noProof w:val="0"/>
          <w:sz w:val="20"/>
          <w:szCs w:val="20"/>
          <w:bdr w:val="none" w:sz="0" w:space="0" w:color="auto"/>
          <w:lang w:val="en-US"/>
        </w:rPr>
        <w:t>Administrative Redress: Public Bodies and the Citizen</w:t>
      </w:r>
      <w:r w:rsidRPr="00712EFE">
        <w:rPr>
          <w:rFonts w:asciiTheme="majorHAnsi" w:hAnsiTheme="majorHAnsi"/>
          <w:noProof w:val="0"/>
          <w:sz w:val="20"/>
          <w:szCs w:val="20"/>
          <w:bdr w:val="none" w:sz="0" w:space="0" w:color="auto"/>
          <w:lang w:val="en-US"/>
        </w:rPr>
        <w:t xml:space="preserve"> (2008)</w:t>
      </w:r>
    </w:p>
  </w:footnote>
  <w:footnote w:id="49">
    <w:p w14:paraId="739156F9" w14:textId="09D52AE9" w:rsidR="00001499" w:rsidRPr="00824D56" w:rsidRDefault="00001499">
      <w:pPr>
        <w:pStyle w:val="FootnoteText"/>
        <w:rPr>
          <w:rFonts w:asciiTheme="majorHAnsi" w:hAnsiTheme="majorHAnsi"/>
          <w:sz w:val="20"/>
          <w:szCs w:val="20"/>
          <w:lang w:val="en-US"/>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w:t>
      </w:r>
      <w:r>
        <w:rPr>
          <w:rFonts w:asciiTheme="majorHAnsi" w:hAnsiTheme="majorHAnsi"/>
          <w:sz w:val="20"/>
          <w:szCs w:val="20"/>
        </w:rPr>
        <w:t xml:space="preserve">See, for exaple, </w:t>
      </w:r>
      <w:r w:rsidRPr="00824D56">
        <w:rPr>
          <w:rFonts w:asciiTheme="majorHAnsi" w:hAnsiTheme="majorHAnsi"/>
          <w:sz w:val="20"/>
          <w:szCs w:val="20"/>
        </w:rPr>
        <w:t xml:space="preserve">M </w:t>
      </w:r>
      <w:r w:rsidRPr="00824D56">
        <w:rPr>
          <w:rFonts w:asciiTheme="majorHAnsi" w:hAnsiTheme="majorHAnsi"/>
          <w:color w:val="000000"/>
          <w:sz w:val="20"/>
          <w:szCs w:val="20"/>
          <w:lang w:val="en"/>
        </w:rPr>
        <w:t xml:space="preserve">Adler ‘A Socio-Legal Approach to Administrative Justice’ (2003) 25 </w:t>
      </w:r>
      <w:r w:rsidRPr="00824D56">
        <w:rPr>
          <w:rFonts w:asciiTheme="majorHAnsi" w:hAnsiTheme="majorHAnsi"/>
          <w:i/>
          <w:iCs/>
          <w:color w:val="000000"/>
          <w:sz w:val="20"/>
          <w:szCs w:val="20"/>
          <w:lang w:val="en"/>
        </w:rPr>
        <w:t>Law and Policy</w:t>
      </w:r>
      <w:r w:rsidRPr="00824D56">
        <w:rPr>
          <w:rFonts w:asciiTheme="majorHAnsi" w:hAnsiTheme="majorHAnsi"/>
          <w:color w:val="000000"/>
          <w:sz w:val="20"/>
          <w:szCs w:val="20"/>
          <w:lang w:val="en"/>
        </w:rPr>
        <w:t xml:space="preserve"> 323</w:t>
      </w:r>
      <w:r>
        <w:rPr>
          <w:rFonts w:asciiTheme="majorHAnsi" w:hAnsiTheme="majorHAnsi"/>
          <w:color w:val="000000"/>
          <w:sz w:val="20"/>
          <w:szCs w:val="20"/>
          <w:lang w:val="en"/>
        </w:rPr>
        <w:t xml:space="preserve">; V </w:t>
      </w:r>
      <w:r w:rsidRPr="00712EFE">
        <w:rPr>
          <w:rFonts w:asciiTheme="majorHAnsi" w:hAnsiTheme="majorHAnsi"/>
          <w:sz w:val="20"/>
          <w:szCs w:val="20"/>
          <w:lang w:val="en-US"/>
        </w:rPr>
        <w:t xml:space="preserve">Bondy and </w:t>
      </w:r>
      <w:r>
        <w:rPr>
          <w:rFonts w:asciiTheme="majorHAnsi" w:hAnsiTheme="majorHAnsi"/>
          <w:sz w:val="20"/>
          <w:szCs w:val="20"/>
          <w:lang w:val="en-US"/>
        </w:rPr>
        <w:t xml:space="preserve">A </w:t>
      </w:r>
      <w:r w:rsidRPr="00712EFE">
        <w:rPr>
          <w:rFonts w:asciiTheme="majorHAnsi" w:hAnsiTheme="majorHAnsi"/>
          <w:sz w:val="20"/>
          <w:szCs w:val="20"/>
          <w:lang w:val="en-US"/>
        </w:rPr>
        <w:t xml:space="preserve">le Sueur </w:t>
      </w:r>
      <w:r w:rsidRPr="00712EFE">
        <w:rPr>
          <w:rFonts w:asciiTheme="majorHAnsi" w:hAnsiTheme="majorHAnsi"/>
          <w:i/>
          <w:sz w:val="20"/>
          <w:szCs w:val="20"/>
          <w:lang w:val="en-US"/>
        </w:rPr>
        <w:t>Designing Redress: a study about grievances against public bodies</w:t>
      </w:r>
      <w:r w:rsidRPr="00712EFE">
        <w:rPr>
          <w:rFonts w:asciiTheme="majorHAnsi" w:hAnsiTheme="majorHAnsi"/>
          <w:sz w:val="20"/>
          <w:szCs w:val="20"/>
          <w:lang w:val="en-US"/>
        </w:rPr>
        <w:t xml:space="preserve"> </w:t>
      </w:r>
      <w:r>
        <w:rPr>
          <w:rFonts w:asciiTheme="majorHAnsi" w:hAnsiTheme="majorHAnsi"/>
          <w:sz w:val="20"/>
          <w:szCs w:val="20"/>
          <w:lang w:val="en-US"/>
        </w:rPr>
        <w:t>(Public Law Project, 2012) at p. 9.</w:t>
      </w:r>
    </w:p>
  </w:footnote>
  <w:footnote w:id="50">
    <w:p w14:paraId="796D394B" w14:textId="4F868E9B" w:rsidR="00001499" w:rsidRPr="008E194D" w:rsidRDefault="00001499">
      <w:pPr>
        <w:pStyle w:val="FootnoteText"/>
        <w:rPr>
          <w:rFonts w:asciiTheme="majorHAnsi" w:hAnsiTheme="majorHAnsi"/>
          <w:sz w:val="20"/>
          <w:szCs w:val="20"/>
          <w:lang w:val="en-US"/>
        </w:rPr>
      </w:pPr>
      <w:r w:rsidRPr="008E194D">
        <w:rPr>
          <w:rStyle w:val="FootnoteReference"/>
          <w:rFonts w:asciiTheme="majorHAnsi" w:hAnsiTheme="majorHAnsi"/>
          <w:sz w:val="20"/>
          <w:szCs w:val="20"/>
        </w:rPr>
        <w:footnoteRef/>
      </w:r>
      <w:r w:rsidRPr="008E194D">
        <w:rPr>
          <w:rFonts w:asciiTheme="majorHAnsi" w:hAnsiTheme="majorHAnsi"/>
          <w:sz w:val="20"/>
          <w:szCs w:val="20"/>
        </w:rPr>
        <w:t xml:space="preserve"> </w:t>
      </w:r>
      <w:r w:rsidRPr="008E194D">
        <w:rPr>
          <w:rFonts w:asciiTheme="majorHAnsi" w:hAnsiTheme="majorHAnsi"/>
          <w:sz w:val="20"/>
          <w:szCs w:val="20"/>
          <w:lang w:val="en-US"/>
        </w:rPr>
        <w:t xml:space="preserve">See </w:t>
      </w:r>
      <w:r w:rsidRPr="008E194D">
        <w:rPr>
          <w:rFonts w:asciiTheme="majorHAnsi" w:hAnsiTheme="majorHAnsi"/>
          <w:color w:val="000000"/>
          <w:sz w:val="20"/>
          <w:szCs w:val="20"/>
          <w:lang w:val="en"/>
        </w:rPr>
        <w:t xml:space="preserve">V </w:t>
      </w:r>
      <w:r w:rsidRPr="008E194D">
        <w:rPr>
          <w:rFonts w:asciiTheme="majorHAnsi" w:hAnsiTheme="majorHAnsi"/>
          <w:sz w:val="20"/>
          <w:szCs w:val="20"/>
          <w:lang w:val="en-US"/>
        </w:rPr>
        <w:t xml:space="preserve">Bondy and A le Sueur </w:t>
      </w:r>
      <w:r w:rsidRPr="008E194D">
        <w:rPr>
          <w:rFonts w:asciiTheme="majorHAnsi" w:hAnsiTheme="majorHAnsi"/>
          <w:i/>
          <w:sz w:val="20"/>
          <w:szCs w:val="20"/>
          <w:lang w:val="en-US"/>
        </w:rPr>
        <w:t>Designing Redress: a study about grievances against public bodies</w:t>
      </w:r>
      <w:r w:rsidRPr="008E194D">
        <w:rPr>
          <w:rFonts w:asciiTheme="majorHAnsi" w:hAnsiTheme="majorHAnsi"/>
          <w:sz w:val="20"/>
          <w:szCs w:val="20"/>
          <w:lang w:val="en-US"/>
        </w:rPr>
        <w:t xml:space="preserve"> (Public Law Project, 2012)</w:t>
      </w:r>
    </w:p>
  </w:footnote>
  <w:footnote w:id="51">
    <w:p w14:paraId="1B359FD4" w14:textId="7939C0B8" w:rsidR="00001499" w:rsidRPr="00824D56" w:rsidRDefault="00001499">
      <w:pPr>
        <w:pStyle w:val="FootnoteText"/>
        <w:rPr>
          <w:rFonts w:asciiTheme="majorHAnsi" w:hAnsiTheme="majorHAnsi"/>
          <w:sz w:val="20"/>
          <w:szCs w:val="20"/>
          <w:lang w:val="en-US"/>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w:t>
      </w:r>
      <w:r w:rsidRPr="00824D56">
        <w:rPr>
          <w:rFonts w:asciiTheme="majorHAnsi" w:hAnsiTheme="majorHAnsi"/>
          <w:sz w:val="20"/>
          <w:szCs w:val="20"/>
          <w:lang w:val="en-US"/>
        </w:rPr>
        <w:t xml:space="preserve">T Mullen ‘Access to Justice in Administrative Law and Administrative Justice’ in E Palmer et al (eds) </w:t>
      </w:r>
      <w:r w:rsidRPr="00824D56">
        <w:rPr>
          <w:rFonts w:asciiTheme="majorHAnsi" w:hAnsiTheme="majorHAnsi"/>
          <w:i/>
          <w:sz w:val="20"/>
          <w:szCs w:val="20"/>
          <w:lang w:val="en-US"/>
        </w:rPr>
        <w:t>Access to Justice: Beyond the Policies and Politics of Austerity</w:t>
      </w:r>
      <w:r w:rsidRPr="00824D56">
        <w:rPr>
          <w:rFonts w:asciiTheme="majorHAnsi" w:hAnsiTheme="majorHAnsi"/>
          <w:sz w:val="20"/>
          <w:szCs w:val="20"/>
          <w:lang w:val="en-US"/>
        </w:rPr>
        <w:t xml:space="preserve"> (Hart Publishing, 2015)</w:t>
      </w:r>
    </w:p>
  </w:footnote>
  <w:footnote w:id="52">
    <w:p w14:paraId="05129283" w14:textId="35891F0E" w:rsidR="00001499" w:rsidRPr="00F96923" w:rsidRDefault="00001499">
      <w:pPr>
        <w:pStyle w:val="FootnoteText"/>
        <w:rPr>
          <w:rFonts w:asciiTheme="majorHAnsi" w:hAnsiTheme="majorHAnsi"/>
          <w:sz w:val="20"/>
          <w:szCs w:val="20"/>
          <w:lang w:val="en-US"/>
        </w:rPr>
      </w:pPr>
      <w:r w:rsidRPr="00F96923">
        <w:rPr>
          <w:rStyle w:val="FootnoteReference"/>
          <w:rFonts w:asciiTheme="majorHAnsi" w:hAnsiTheme="majorHAnsi"/>
          <w:sz w:val="20"/>
          <w:szCs w:val="20"/>
        </w:rPr>
        <w:footnoteRef/>
      </w:r>
      <w:r w:rsidRPr="00F96923">
        <w:rPr>
          <w:rFonts w:asciiTheme="majorHAnsi" w:hAnsiTheme="majorHAnsi"/>
          <w:sz w:val="20"/>
          <w:szCs w:val="20"/>
        </w:rPr>
        <w:t xml:space="preserve"> </w:t>
      </w:r>
      <w:r w:rsidRPr="00F96923">
        <w:rPr>
          <w:rFonts w:asciiTheme="majorHAnsi" w:hAnsiTheme="majorHAnsi"/>
          <w:sz w:val="20"/>
          <w:szCs w:val="20"/>
          <w:lang w:val="en-US"/>
        </w:rPr>
        <w:t xml:space="preserve">Franks Committee, </w:t>
      </w:r>
      <w:r w:rsidRPr="00F96923">
        <w:rPr>
          <w:rFonts w:asciiTheme="majorHAnsi" w:hAnsiTheme="majorHAnsi"/>
          <w:i/>
          <w:sz w:val="20"/>
          <w:szCs w:val="20"/>
          <w:lang w:val="en-US"/>
        </w:rPr>
        <w:t>Report of the Committee on Adminstrative Tribunals and Enquiries</w:t>
      </w:r>
      <w:r w:rsidRPr="00F96923">
        <w:rPr>
          <w:rFonts w:asciiTheme="majorHAnsi" w:hAnsiTheme="majorHAnsi"/>
          <w:sz w:val="20"/>
          <w:szCs w:val="20"/>
          <w:lang w:val="en-US"/>
        </w:rPr>
        <w:t>, Cmnd. 218</w:t>
      </w:r>
    </w:p>
  </w:footnote>
  <w:footnote w:id="53">
    <w:p w14:paraId="77BA3FBB" w14:textId="2CBF7CF4" w:rsidR="00001499" w:rsidRPr="00F96923" w:rsidRDefault="00001499">
      <w:pPr>
        <w:pStyle w:val="FootnoteText"/>
        <w:rPr>
          <w:lang w:val="en-US"/>
        </w:rPr>
      </w:pPr>
      <w:r w:rsidRPr="00F96923">
        <w:rPr>
          <w:rStyle w:val="FootnoteReference"/>
          <w:rFonts w:asciiTheme="majorHAnsi" w:hAnsiTheme="majorHAnsi"/>
          <w:sz w:val="20"/>
          <w:szCs w:val="20"/>
        </w:rPr>
        <w:footnoteRef/>
      </w:r>
      <w:r w:rsidRPr="00F96923">
        <w:rPr>
          <w:rFonts w:asciiTheme="majorHAnsi" w:hAnsiTheme="majorHAnsi"/>
          <w:sz w:val="20"/>
          <w:szCs w:val="20"/>
        </w:rPr>
        <w:t xml:space="preserve"> </w:t>
      </w:r>
      <w:r w:rsidRPr="00F96923">
        <w:rPr>
          <w:rFonts w:asciiTheme="majorHAnsi" w:hAnsiTheme="majorHAnsi"/>
          <w:i/>
          <w:sz w:val="20"/>
          <w:szCs w:val="20"/>
          <w:lang w:val="en-US"/>
        </w:rPr>
        <w:t>Tribunals for Users: One System, One Service</w:t>
      </w:r>
      <w:r w:rsidRPr="00F96923">
        <w:rPr>
          <w:rFonts w:asciiTheme="majorHAnsi" w:hAnsiTheme="majorHAnsi"/>
          <w:sz w:val="20"/>
          <w:szCs w:val="20"/>
          <w:lang w:val="en-US"/>
        </w:rPr>
        <w:t xml:space="preserve"> (TSO, 2001)</w:t>
      </w:r>
    </w:p>
  </w:footnote>
  <w:footnote w:id="54">
    <w:p w14:paraId="51A8C887" w14:textId="619B4BE0" w:rsidR="00001499" w:rsidRPr="00824D56" w:rsidRDefault="00001499">
      <w:pPr>
        <w:pStyle w:val="FootnoteText"/>
        <w:rPr>
          <w:rFonts w:asciiTheme="majorHAnsi" w:hAnsiTheme="majorHAnsi"/>
          <w:sz w:val="20"/>
          <w:szCs w:val="20"/>
          <w:lang w:val="en-US"/>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w:t>
      </w:r>
      <w:r w:rsidRPr="00824D56">
        <w:rPr>
          <w:rFonts w:asciiTheme="majorHAnsi" w:hAnsiTheme="majorHAnsi"/>
          <w:sz w:val="20"/>
          <w:szCs w:val="20"/>
          <w:lang w:val="en-US"/>
        </w:rPr>
        <w:t xml:space="preserve">P Cane </w:t>
      </w:r>
      <w:r w:rsidRPr="00824D56">
        <w:rPr>
          <w:rFonts w:asciiTheme="majorHAnsi" w:hAnsiTheme="majorHAnsi"/>
          <w:i/>
          <w:sz w:val="20"/>
          <w:szCs w:val="20"/>
          <w:lang w:val="en-US"/>
        </w:rPr>
        <w:t>Administrative Tribunals and Adjudication</w:t>
      </w:r>
      <w:r w:rsidRPr="00824D56">
        <w:rPr>
          <w:rFonts w:asciiTheme="majorHAnsi" w:hAnsiTheme="majorHAnsi"/>
          <w:sz w:val="20"/>
          <w:szCs w:val="20"/>
          <w:lang w:val="en-US"/>
        </w:rPr>
        <w:t xml:space="preserve"> (Hart Publishing, 2009)</w:t>
      </w:r>
    </w:p>
  </w:footnote>
  <w:footnote w:id="55">
    <w:p w14:paraId="0960BC49" w14:textId="041E064B" w:rsidR="00001499" w:rsidRPr="002876E9" w:rsidRDefault="00001499">
      <w:pPr>
        <w:pStyle w:val="FootnoteText"/>
        <w:rPr>
          <w:rFonts w:asciiTheme="majorHAnsi" w:hAnsiTheme="majorHAnsi"/>
          <w:sz w:val="20"/>
          <w:szCs w:val="20"/>
        </w:rPr>
      </w:pPr>
      <w:r w:rsidRPr="002876E9">
        <w:rPr>
          <w:rStyle w:val="FootnoteReference"/>
          <w:rFonts w:asciiTheme="majorHAnsi" w:hAnsiTheme="majorHAnsi"/>
          <w:sz w:val="20"/>
          <w:szCs w:val="20"/>
        </w:rPr>
        <w:footnoteRef/>
      </w:r>
      <w:r w:rsidRPr="002876E9">
        <w:rPr>
          <w:rFonts w:asciiTheme="majorHAnsi" w:hAnsiTheme="majorHAnsi"/>
          <w:sz w:val="20"/>
          <w:szCs w:val="20"/>
        </w:rPr>
        <w:t xml:space="preserve"> To t</w:t>
      </w:r>
      <w:r>
        <w:rPr>
          <w:rFonts w:asciiTheme="majorHAnsi" w:hAnsiTheme="majorHAnsi"/>
          <w:sz w:val="20"/>
          <w:szCs w:val="20"/>
        </w:rPr>
        <w:t>he county court on</w:t>
      </w:r>
      <w:r w:rsidRPr="002876E9">
        <w:rPr>
          <w:rFonts w:asciiTheme="majorHAnsi" w:hAnsiTheme="majorHAnsi"/>
          <w:sz w:val="20"/>
          <w:szCs w:val="20"/>
        </w:rPr>
        <w:t xml:space="preserve"> </w:t>
      </w:r>
      <w:r>
        <w:rPr>
          <w:rFonts w:asciiTheme="majorHAnsi" w:hAnsiTheme="majorHAnsi"/>
          <w:sz w:val="20"/>
          <w:szCs w:val="20"/>
        </w:rPr>
        <w:t>“</w:t>
      </w:r>
      <w:r w:rsidRPr="002876E9">
        <w:rPr>
          <w:rFonts w:asciiTheme="majorHAnsi" w:hAnsiTheme="majorHAnsi"/>
          <w:sz w:val="20"/>
          <w:szCs w:val="20"/>
        </w:rPr>
        <w:t>a point of law</w:t>
      </w:r>
      <w:r>
        <w:rPr>
          <w:rFonts w:asciiTheme="majorHAnsi" w:hAnsiTheme="majorHAnsi"/>
          <w:sz w:val="20"/>
          <w:szCs w:val="20"/>
        </w:rPr>
        <w:t>”</w:t>
      </w:r>
      <w:r w:rsidRPr="002876E9">
        <w:rPr>
          <w:rFonts w:asciiTheme="majorHAnsi" w:hAnsiTheme="majorHAnsi"/>
          <w:sz w:val="20"/>
          <w:szCs w:val="20"/>
        </w:rPr>
        <w:t>: Housing Act 1996, s.204.</w:t>
      </w:r>
    </w:p>
  </w:footnote>
  <w:footnote w:id="56">
    <w:p w14:paraId="2A8E8AA0" w14:textId="5904B961" w:rsidR="00001499" w:rsidRPr="002876E9" w:rsidRDefault="00001499">
      <w:pPr>
        <w:pStyle w:val="FootnoteText"/>
        <w:rPr>
          <w:rFonts w:asciiTheme="majorHAnsi" w:hAnsiTheme="majorHAnsi"/>
          <w:sz w:val="20"/>
          <w:szCs w:val="20"/>
        </w:rPr>
      </w:pPr>
      <w:r w:rsidRPr="002876E9">
        <w:rPr>
          <w:rStyle w:val="FootnoteReference"/>
          <w:rFonts w:asciiTheme="majorHAnsi" w:hAnsiTheme="majorHAnsi"/>
          <w:sz w:val="20"/>
          <w:szCs w:val="20"/>
        </w:rPr>
        <w:footnoteRef/>
      </w:r>
      <w:r w:rsidRPr="002876E9">
        <w:rPr>
          <w:rFonts w:asciiTheme="majorHAnsi" w:hAnsiTheme="majorHAnsi"/>
          <w:sz w:val="20"/>
          <w:szCs w:val="20"/>
        </w:rPr>
        <w:t xml:space="preserve"> Social Security Act 1998, s.12. The appeal is not limited; a second appeal to the Upper Tribunal lies on </w:t>
      </w:r>
      <w:r>
        <w:rPr>
          <w:rFonts w:asciiTheme="majorHAnsi" w:hAnsiTheme="majorHAnsi"/>
          <w:sz w:val="20"/>
          <w:szCs w:val="20"/>
        </w:rPr>
        <w:t>“</w:t>
      </w:r>
      <w:r w:rsidRPr="002876E9">
        <w:rPr>
          <w:rFonts w:asciiTheme="majorHAnsi" w:hAnsiTheme="majorHAnsi"/>
          <w:sz w:val="20"/>
          <w:szCs w:val="20"/>
        </w:rPr>
        <w:t>a point of law</w:t>
      </w:r>
      <w:r>
        <w:rPr>
          <w:rFonts w:asciiTheme="majorHAnsi" w:hAnsiTheme="majorHAnsi"/>
          <w:sz w:val="20"/>
          <w:szCs w:val="20"/>
        </w:rPr>
        <w:t>”</w:t>
      </w:r>
      <w:r w:rsidRPr="002876E9">
        <w:rPr>
          <w:rFonts w:asciiTheme="majorHAnsi" w:hAnsiTheme="majorHAnsi"/>
          <w:sz w:val="20"/>
          <w:szCs w:val="20"/>
        </w:rPr>
        <w:t>: Tribunals, Courts and Enforcement Act 2007, s.12.</w:t>
      </w:r>
    </w:p>
  </w:footnote>
  <w:footnote w:id="57">
    <w:p w14:paraId="2C63E184" w14:textId="77777777" w:rsidR="00001499" w:rsidRPr="002F7A8F" w:rsidRDefault="00001499" w:rsidP="00655427">
      <w:pPr>
        <w:pStyle w:val="FootnoteText"/>
        <w:rPr>
          <w:rFonts w:asciiTheme="majorHAnsi" w:hAnsiTheme="majorHAnsi"/>
          <w:sz w:val="20"/>
          <w:szCs w:val="20"/>
          <w:lang w:val="en-US"/>
        </w:rPr>
      </w:pPr>
      <w:r w:rsidRPr="002F7A8F">
        <w:rPr>
          <w:rStyle w:val="FootnoteReference"/>
          <w:rFonts w:asciiTheme="majorHAnsi" w:hAnsiTheme="majorHAnsi"/>
          <w:sz w:val="20"/>
          <w:szCs w:val="20"/>
        </w:rPr>
        <w:footnoteRef/>
      </w:r>
      <w:r w:rsidRPr="002F7A8F">
        <w:rPr>
          <w:rFonts w:asciiTheme="majorHAnsi" w:hAnsiTheme="majorHAnsi"/>
          <w:sz w:val="20"/>
          <w:szCs w:val="20"/>
        </w:rPr>
        <w:t xml:space="preserve"> </w:t>
      </w:r>
      <w:r w:rsidRPr="002F7A8F">
        <w:rPr>
          <w:rFonts w:asciiTheme="majorHAnsi" w:hAnsiTheme="majorHAnsi"/>
          <w:color w:val="000000"/>
          <w:sz w:val="20"/>
          <w:szCs w:val="20"/>
          <w:lang w:val="en"/>
        </w:rPr>
        <w:t xml:space="preserve">V </w:t>
      </w:r>
      <w:r w:rsidRPr="002F7A8F">
        <w:rPr>
          <w:rFonts w:asciiTheme="majorHAnsi" w:hAnsiTheme="majorHAnsi"/>
          <w:sz w:val="20"/>
          <w:szCs w:val="20"/>
          <w:lang w:val="en-US"/>
        </w:rPr>
        <w:t xml:space="preserve">Bondy and A le Sueur </w:t>
      </w:r>
      <w:r w:rsidRPr="002F7A8F">
        <w:rPr>
          <w:rFonts w:asciiTheme="majorHAnsi" w:hAnsiTheme="majorHAnsi"/>
          <w:i/>
          <w:sz w:val="20"/>
          <w:szCs w:val="20"/>
          <w:lang w:val="en-US"/>
        </w:rPr>
        <w:t>Designing Redress: a study about grievances against public bodies</w:t>
      </w:r>
      <w:r w:rsidRPr="002F7A8F">
        <w:rPr>
          <w:rFonts w:asciiTheme="majorHAnsi" w:hAnsiTheme="majorHAnsi"/>
          <w:sz w:val="20"/>
          <w:szCs w:val="20"/>
          <w:lang w:val="en-US"/>
        </w:rPr>
        <w:t xml:space="preserve"> (Public Law Project, 2012)</w:t>
      </w:r>
    </w:p>
  </w:footnote>
  <w:footnote w:id="58">
    <w:p w14:paraId="0ECF59ED" w14:textId="77777777" w:rsidR="00001499" w:rsidRPr="002F7A8F" w:rsidRDefault="00001499" w:rsidP="00655427">
      <w:pPr>
        <w:pStyle w:val="FootnoteText"/>
        <w:rPr>
          <w:rFonts w:asciiTheme="majorHAnsi" w:hAnsiTheme="majorHAnsi"/>
          <w:sz w:val="20"/>
          <w:szCs w:val="20"/>
          <w:lang w:val="en-US"/>
        </w:rPr>
      </w:pPr>
      <w:r w:rsidRPr="002F7A8F">
        <w:rPr>
          <w:rStyle w:val="FootnoteReference"/>
          <w:rFonts w:asciiTheme="majorHAnsi" w:hAnsiTheme="majorHAnsi"/>
          <w:sz w:val="20"/>
          <w:szCs w:val="20"/>
        </w:rPr>
        <w:footnoteRef/>
      </w:r>
      <w:r w:rsidRPr="002F7A8F">
        <w:rPr>
          <w:rFonts w:asciiTheme="majorHAnsi" w:hAnsiTheme="majorHAnsi"/>
          <w:sz w:val="20"/>
          <w:szCs w:val="20"/>
        </w:rPr>
        <w:t xml:space="preserve"> </w:t>
      </w:r>
      <w:r w:rsidRPr="002F7A8F">
        <w:rPr>
          <w:rFonts w:asciiTheme="majorHAnsi" w:hAnsiTheme="majorHAnsi"/>
          <w:sz w:val="20"/>
          <w:szCs w:val="20"/>
          <w:lang w:val="en-US"/>
        </w:rPr>
        <w:t>ibid at p. 37.</w:t>
      </w:r>
    </w:p>
  </w:footnote>
  <w:footnote w:id="59">
    <w:p w14:paraId="5864E1F4" w14:textId="136BEE78" w:rsidR="00001499" w:rsidRPr="00824D56" w:rsidRDefault="00001499">
      <w:pPr>
        <w:pStyle w:val="FootnoteText"/>
        <w:rPr>
          <w:rFonts w:asciiTheme="majorHAnsi" w:hAnsiTheme="majorHAnsi"/>
          <w:sz w:val="20"/>
          <w:szCs w:val="20"/>
          <w:lang w:val="en-US"/>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w:t>
      </w:r>
      <w:r w:rsidRPr="00824D56">
        <w:rPr>
          <w:rFonts w:asciiTheme="majorHAnsi" w:hAnsiTheme="majorHAnsi"/>
          <w:sz w:val="20"/>
          <w:szCs w:val="20"/>
          <w:lang w:val="en-US"/>
        </w:rPr>
        <w:t xml:space="preserve">T Mullen and R Thomas ‘Decision-making and Mandatory Reconsideration: response to SSAC consultation’ </w:t>
      </w:r>
      <w:r w:rsidRPr="0017040C">
        <w:rPr>
          <w:rFonts w:asciiTheme="majorHAnsi" w:hAnsiTheme="majorHAnsi"/>
          <w:sz w:val="20"/>
          <w:szCs w:val="20"/>
          <w:lang w:val="en-US"/>
        </w:rPr>
        <w:t>https://ukaji.org/2016/03/09/decision-making-and-mandatory-reconsideration-response-to-ssac-consultation/</w:t>
      </w:r>
      <w:r w:rsidRPr="0017040C" w:rsidDel="00971126">
        <w:rPr>
          <w:rFonts w:asciiTheme="majorHAnsi" w:hAnsiTheme="majorHAnsi"/>
          <w:sz w:val="20"/>
          <w:szCs w:val="20"/>
          <w:lang w:val="en-US"/>
        </w:rPr>
        <w:t xml:space="preserve"> </w:t>
      </w:r>
      <w:r>
        <w:rPr>
          <w:rFonts w:asciiTheme="majorHAnsi" w:hAnsiTheme="majorHAnsi"/>
          <w:sz w:val="20"/>
          <w:szCs w:val="20"/>
          <w:lang w:val="en-US"/>
        </w:rPr>
        <w:t>(accessed 31 March 2016).</w:t>
      </w:r>
    </w:p>
  </w:footnote>
  <w:footnote w:id="60">
    <w:p w14:paraId="3DB86523" w14:textId="0C53DDA8" w:rsidR="00001499" w:rsidRPr="00845ABA" w:rsidRDefault="00001499">
      <w:pPr>
        <w:pStyle w:val="FootnoteText"/>
        <w:rPr>
          <w:lang w:val="en-US"/>
        </w:rPr>
      </w:pPr>
      <w:r>
        <w:rPr>
          <w:rStyle w:val="FootnoteReference"/>
        </w:rPr>
        <w:footnoteRef/>
      </w:r>
      <w:r>
        <w:t xml:space="preserve"> </w:t>
      </w:r>
      <w:r w:rsidRPr="002F7A8F">
        <w:rPr>
          <w:rFonts w:asciiTheme="majorHAnsi" w:hAnsiTheme="majorHAnsi"/>
          <w:color w:val="000000"/>
          <w:sz w:val="20"/>
          <w:szCs w:val="20"/>
          <w:lang w:val="en"/>
        </w:rPr>
        <w:t xml:space="preserve">V </w:t>
      </w:r>
      <w:r w:rsidRPr="002F7A8F">
        <w:rPr>
          <w:rFonts w:asciiTheme="majorHAnsi" w:hAnsiTheme="majorHAnsi"/>
          <w:sz w:val="20"/>
          <w:szCs w:val="20"/>
          <w:lang w:val="en-US"/>
        </w:rPr>
        <w:t xml:space="preserve">Bondy and A le Sueur </w:t>
      </w:r>
      <w:r w:rsidRPr="002F7A8F">
        <w:rPr>
          <w:rFonts w:asciiTheme="majorHAnsi" w:hAnsiTheme="majorHAnsi"/>
          <w:i/>
          <w:sz w:val="20"/>
          <w:szCs w:val="20"/>
          <w:lang w:val="en-US"/>
        </w:rPr>
        <w:t>Designing Redress: a study about grievances against public bodies</w:t>
      </w:r>
      <w:r w:rsidRPr="002F7A8F">
        <w:rPr>
          <w:rFonts w:asciiTheme="majorHAnsi" w:hAnsiTheme="majorHAnsi"/>
          <w:sz w:val="20"/>
          <w:szCs w:val="20"/>
          <w:lang w:val="en-US"/>
        </w:rPr>
        <w:t xml:space="preserve"> (Public Law Project, 2012)</w:t>
      </w:r>
      <w:r>
        <w:rPr>
          <w:rFonts w:asciiTheme="majorHAnsi" w:hAnsiTheme="majorHAnsi"/>
          <w:sz w:val="20"/>
          <w:szCs w:val="20"/>
          <w:lang w:val="en-US"/>
        </w:rPr>
        <w:t xml:space="preserve"> at p. 37.</w:t>
      </w:r>
    </w:p>
  </w:footnote>
  <w:footnote w:id="61">
    <w:p w14:paraId="036A6DBC" w14:textId="07D27D74" w:rsidR="00001499" w:rsidRPr="00916EB0" w:rsidRDefault="00001499" w:rsidP="00916E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i/>
          <w:noProof w:val="0"/>
          <w:sz w:val="20"/>
          <w:szCs w:val="20"/>
          <w:bdr w:val="none" w:sz="0" w:space="0" w:color="auto"/>
          <w:lang w:val="en-US"/>
        </w:rPr>
      </w:pPr>
      <w:r w:rsidRPr="00916EB0">
        <w:rPr>
          <w:rStyle w:val="FootnoteReference"/>
          <w:rFonts w:asciiTheme="majorHAnsi" w:hAnsiTheme="majorHAnsi"/>
          <w:sz w:val="20"/>
          <w:szCs w:val="20"/>
        </w:rPr>
        <w:footnoteRef/>
      </w:r>
      <w:r w:rsidRPr="00916EB0">
        <w:rPr>
          <w:rFonts w:asciiTheme="majorHAnsi" w:hAnsiTheme="majorHAnsi"/>
          <w:sz w:val="20"/>
          <w:szCs w:val="20"/>
        </w:rPr>
        <w:t xml:space="preserve"> P </w:t>
      </w:r>
      <w:proofErr w:type="spellStart"/>
      <w:r w:rsidRPr="00916EB0">
        <w:rPr>
          <w:rFonts w:asciiTheme="majorHAnsi" w:hAnsiTheme="majorHAnsi"/>
          <w:noProof w:val="0"/>
          <w:sz w:val="20"/>
          <w:szCs w:val="20"/>
          <w:bdr w:val="none" w:sz="0" w:space="0" w:color="auto"/>
          <w:lang w:val="en-US"/>
        </w:rPr>
        <w:t>Grabosky</w:t>
      </w:r>
      <w:proofErr w:type="spellEnd"/>
      <w:r w:rsidRPr="00916EB0">
        <w:rPr>
          <w:rFonts w:asciiTheme="majorHAnsi" w:hAnsiTheme="majorHAnsi"/>
          <w:noProof w:val="0"/>
          <w:sz w:val="20"/>
          <w:szCs w:val="20"/>
          <w:bdr w:val="none" w:sz="0" w:space="0" w:color="auto"/>
          <w:lang w:val="en-US"/>
        </w:rPr>
        <w:t xml:space="preserve"> &amp; J </w:t>
      </w:r>
      <w:r>
        <w:rPr>
          <w:rFonts w:asciiTheme="majorHAnsi" w:hAnsiTheme="majorHAnsi"/>
          <w:noProof w:val="0"/>
          <w:sz w:val="20"/>
          <w:szCs w:val="20"/>
          <w:bdr w:val="none" w:sz="0" w:space="0" w:color="auto"/>
          <w:lang w:val="en-US"/>
        </w:rPr>
        <w:t>Braithwaite</w:t>
      </w:r>
      <w:r w:rsidRPr="00916EB0">
        <w:rPr>
          <w:rFonts w:asciiTheme="majorHAnsi" w:hAnsiTheme="majorHAnsi"/>
          <w:noProof w:val="0"/>
          <w:sz w:val="20"/>
          <w:szCs w:val="20"/>
          <w:bdr w:val="none" w:sz="0" w:space="0" w:color="auto"/>
          <w:lang w:val="en-US"/>
        </w:rPr>
        <w:t xml:space="preserve"> </w:t>
      </w:r>
      <w:r w:rsidRPr="00916EB0">
        <w:rPr>
          <w:rFonts w:asciiTheme="majorHAnsi" w:hAnsiTheme="majorHAnsi"/>
          <w:i/>
          <w:noProof w:val="0"/>
          <w:sz w:val="20"/>
          <w:szCs w:val="20"/>
          <w:bdr w:val="none" w:sz="0" w:space="0" w:color="auto"/>
          <w:lang w:val="en-US"/>
        </w:rPr>
        <w:t>Of Manners Gentle: Enforcement Strategies of Australian Business</w:t>
      </w:r>
    </w:p>
    <w:p w14:paraId="3D24C023" w14:textId="70921F7C" w:rsidR="00001499" w:rsidRPr="00916EB0" w:rsidRDefault="00001499" w:rsidP="00916EB0">
      <w:pPr>
        <w:pStyle w:val="FootnoteText"/>
        <w:rPr>
          <w:lang w:val="en-US"/>
        </w:rPr>
      </w:pPr>
      <w:r w:rsidRPr="00916EB0">
        <w:rPr>
          <w:rFonts w:asciiTheme="majorHAnsi" w:hAnsiTheme="majorHAnsi"/>
          <w:i/>
          <w:noProof w:val="0"/>
          <w:sz w:val="20"/>
          <w:szCs w:val="20"/>
          <w:bdr w:val="none" w:sz="0" w:space="0" w:color="auto"/>
          <w:lang w:val="en-US"/>
        </w:rPr>
        <w:t>Regulatory Agencies</w:t>
      </w:r>
      <w:r w:rsidRPr="00916EB0">
        <w:rPr>
          <w:rFonts w:asciiTheme="majorHAnsi" w:hAnsiTheme="majorHAnsi"/>
          <w:noProof w:val="0"/>
          <w:sz w:val="20"/>
          <w:szCs w:val="20"/>
          <w:bdr w:val="none" w:sz="0" w:space="0" w:color="auto"/>
          <w:lang w:val="en-US"/>
        </w:rPr>
        <w:t xml:space="preserve"> (Oxford University Press, 1986)</w:t>
      </w:r>
    </w:p>
  </w:footnote>
  <w:footnote w:id="62">
    <w:p w14:paraId="516ED765" w14:textId="48FBC73E" w:rsidR="00001499" w:rsidRPr="002C3F43" w:rsidRDefault="00001499">
      <w:pPr>
        <w:pStyle w:val="FootnoteText"/>
        <w:rPr>
          <w:lang w:val="en-US"/>
        </w:rPr>
      </w:pPr>
      <w:r w:rsidRPr="002C3F43">
        <w:rPr>
          <w:rStyle w:val="FootnoteReference"/>
          <w:rFonts w:asciiTheme="majorHAnsi" w:hAnsiTheme="majorHAnsi"/>
          <w:sz w:val="20"/>
          <w:szCs w:val="20"/>
        </w:rPr>
        <w:footnoteRef/>
      </w:r>
      <w:r w:rsidRPr="002C3F43">
        <w:rPr>
          <w:rFonts w:asciiTheme="majorHAnsi" w:hAnsiTheme="majorHAnsi"/>
          <w:sz w:val="20"/>
          <w:szCs w:val="20"/>
        </w:rPr>
        <w:t xml:space="preserve"> </w:t>
      </w:r>
      <w:r w:rsidRPr="007A0B6A">
        <w:rPr>
          <w:rFonts w:asciiTheme="majorHAnsi" w:hAnsiTheme="majorHAnsi"/>
          <w:sz w:val="20"/>
          <w:szCs w:val="20"/>
        </w:rPr>
        <w:t xml:space="preserve">S Halliday </w:t>
      </w:r>
      <w:r w:rsidRPr="007A0B6A">
        <w:rPr>
          <w:rFonts w:asciiTheme="majorHAnsi" w:hAnsiTheme="majorHAnsi"/>
          <w:i/>
          <w:sz w:val="20"/>
          <w:szCs w:val="20"/>
        </w:rPr>
        <w:t>Judicial Review and Compliance with Admin</w:t>
      </w:r>
      <w:r>
        <w:rPr>
          <w:rFonts w:asciiTheme="majorHAnsi" w:hAnsiTheme="majorHAnsi"/>
          <w:i/>
          <w:sz w:val="20"/>
          <w:szCs w:val="20"/>
        </w:rPr>
        <w:t>i</w:t>
      </w:r>
      <w:r w:rsidRPr="007A0B6A">
        <w:rPr>
          <w:rFonts w:asciiTheme="majorHAnsi" w:hAnsiTheme="majorHAnsi"/>
          <w:i/>
          <w:sz w:val="20"/>
          <w:szCs w:val="20"/>
        </w:rPr>
        <w:t>strative Law</w:t>
      </w:r>
      <w:r w:rsidRPr="007A0B6A">
        <w:rPr>
          <w:rFonts w:asciiTheme="majorHAnsi" w:hAnsiTheme="majorHAnsi"/>
          <w:sz w:val="20"/>
          <w:szCs w:val="20"/>
        </w:rPr>
        <w:t xml:space="preserve"> (Hart Publishing, 2004)</w:t>
      </w:r>
    </w:p>
  </w:footnote>
  <w:footnote w:id="63">
    <w:p w14:paraId="31D75866" w14:textId="669DF39A" w:rsidR="00001499" w:rsidRPr="007A0B6A" w:rsidRDefault="00001499">
      <w:pPr>
        <w:pStyle w:val="FootnoteText"/>
        <w:rPr>
          <w:rFonts w:asciiTheme="majorHAnsi" w:hAnsiTheme="majorHAnsi"/>
          <w:sz w:val="20"/>
          <w:szCs w:val="20"/>
          <w:lang w:val="en-US"/>
        </w:rPr>
      </w:pPr>
      <w:r w:rsidRPr="007A0B6A">
        <w:rPr>
          <w:rStyle w:val="FootnoteReference"/>
          <w:rFonts w:asciiTheme="majorHAnsi" w:hAnsiTheme="majorHAnsi"/>
          <w:sz w:val="20"/>
          <w:szCs w:val="20"/>
        </w:rPr>
        <w:footnoteRef/>
      </w:r>
      <w:r w:rsidRPr="007A0B6A">
        <w:rPr>
          <w:rFonts w:asciiTheme="majorHAnsi" w:hAnsiTheme="majorHAnsi"/>
          <w:sz w:val="20"/>
          <w:szCs w:val="20"/>
        </w:rPr>
        <w:t xml:space="preserve"> </w:t>
      </w:r>
      <w:r w:rsidRPr="007A0B6A">
        <w:rPr>
          <w:rFonts w:asciiTheme="majorHAnsi" w:hAnsiTheme="majorHAnsi"/>
          <w:sz w:val="20"/>
          <w:szCs w:val="20"/>
          <w:lang w:val="en-US"/>
        </w:rPr>
        <w:t xml:space="preserve">M Hertogh and S Halliday (eds) </w:t>
      </w:r>
      <w:r w:rsidRPr="007A0B6A">
        <w:rPr>
          <w:rFonts w:asciiTheme="majorHAnsi" w:hAnsiTheme="majorHAnsi"/>
          <w:i/>
          <w:sz w:val="20"/>
          <w:szCs w:val="20"/>
          <w:lang w:val="en-US"/>
        </w:rPr>
        <w:t>Judicial Review and Bureaucratic Impact: International and Interdisciplinary Perspectives</w:t>
      </w:r>
      <w:r w:rsidRPr="007A0B6A">
        <w:rPr>
          <w:rFonts w:asciiTheme="majorHAnsi" w:hAnsiTheme="majorHAnsi"/>
          <w:sz w:val="20"/>
          <w:szCs w:val="20"/>
          <w:lang w:val="en-US"/>
        </w:rPr>
        <w:t xml:space="preserve"> (Cambridge University Press, 2004)</w:t>
      </w:r>
    </w:p>
  </w:footnote>
  <w:footnote w:id="64">
    <w:p w14:paraId="54C2ADA2" w14:textId="493C852F" w:rsidR="00001499" w:rsidRPr="007A0B6A" w:rsidRDefault="00001499">
      <w:pPr>
        <w:pStyle w:val="FootnoteText"/>
        <w:rPr>
          <w:rFonts w:asciiTheme="majorHAnsi" w:hAnsiTheme="majorHAnsi"/>
          <w:sz w:val="20"/>
          <w:szCs w:val="20"/>
          <w:lang w:val="en-US"/>
        </w:rPr>
      </w:pPr>
      <w:r w:rsidRPr="007A0B6A">
        <w:rPr>
          <w:rStyle w:val="FootnoteReference"/>
          <w:rFonts w:asciiTheme="majorHAnsi" w:hAnsiTheme="majorHAnsi"/>
          <w:sz w:val="20"/>
          <w:szCs w:val="20"/>
        </w:rPr>
        <w:footnoteRef/>
      </w:r>
      <w:r w:rsidRPr="007A0B6A">
        <w:rPr>
          <w:rFonts w:asciiTheme="majorHAnsi" w:hAnsiTheme="majorHAnsi"/>
          <w:sz w:val="20"/>
          <w:szCs w:val="20"/>
        </w:rPr>
        <w:t xml:space="preserve"> </w:t>
      </w:r>
      <w:r w:rsidRPr="007A0B6A">
        <w:rPr>
          <w:rFonts w:asciiTheme="majorHAnsi" w:hAnsiTheme="majorHAnsi"/>
          <w:sz w:val="20"/>
          <w:szCs w:val="20"/>
          <w:lang w:val="en-US"/>
        </w:rPr>
        <w:t xml:space="preserve">See </w:t>
      </w:r>
      <w:r w:rsidRPr="007A0B6A">
        <w:rPr>
          <w:rFonts w:asciiTheme="majorHAnsi" w:hAnsiTheme="majorHAnsi" w:cs="Arial"/>
          <w:sz w:val="20"/>
          <w:szCs w:val="20"/>
        </w:rPr>
        <w:t>D Cowan, S Halliday</w:t>
      </w:r>
      <w:r w:rsidRPr="007A0B6A">
        <w:rPr>
          <w:rFonts w:asciiTheme="majorHAnsi" w:hAnsiTheme="majorHAnsi" w:cs="Arial"/>
          <w:b/>
          <w:sz w:val="20"/>
          <w:szCs w:val="20"/>
        </w:rPr>
        <w:t xml:space="preserve">, </w:t>
      </w:r>
      <w:r w:rsidRPr="007A0B6A">
        <w:rPr>
          <w:rFonts w:asciiTheme="majorHAnsi" w:hAnsiTheme="majorHAnsi" w:cs="Arial"/>
          <w:sz w:val="20"/>
          <w:szCs w:val="20"/>
        </w:rPr>
        <w:t xml:space="preserve">and C Hunter, ‘Adjudicating the Implementation of Homelessness Law: The Promise of Socio-Legal Studies’ (2006) </w:t>
      </w:r>
      <w:r w:rsidRPr="007A0B6A">
        <w:rPr>
          <w:rFonts w:asciiTheme="majorHAnsi" w:hAnsiTheme="majorHAnsi" w:cs="Arial"/>
          <w:i/>
          <w:sz w:val="20"/>
          <w:szCs w:val="20"/>
        </w:rPr>
        <w:t>Housing Studies</w:t>
      </w:r>
      <w:r w:rsidRPr="007A0B6A">
        <w:rPr>
          <w:rFonts w:asciiTheme="majorHAnsi" w:hAnsiTheme="majorHAnsi" w:cs="Arial"/>
          <w:sz w:val="20"/>
          <w:szCs w:val="20"/>
        </w:rPr>
        <w:t xml:space="preserve"> 21(3), pp. 381-400</w:t>
      </w:r>
      <w:r>
        <w:rPr>
          <w:rFonts w:asciiTheme="majorHAnsi" w:hAnsiTheme="majorHAnsi" w:cs="Arial"/>
          <w:sz w:val="20"/>
          <w:szCs w:val="20"/>
        </w:rPr>
        <w:t xml:space="preserve"> at p. 394.</w:t>
      </w:r>
    </w:p>
  </w:footnote>
  <w:footnote w:id="65">
    <w:p w14:paraId="0ECBC866" w14:textId="77777777" w:rsidR="00001499" w:rsidRPr="00824D56" w:rsidRDefault="00001499" w:rsidP="003F356D">
      <w:pPr>
        <w:pStyle w:val="FootnoteText"/>
        <w:rPr>
          <w:rFonts w:asciiTheme="majorHAnsi" w:hAnsiTheme="majorHAnsi"/>
          <w:sz w:val="20"/>
          <w:szCs w:val="20"/>
          <w:lang w:val="en-US"/>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w:t>
      </w:r>
      <w:r w:rsidRPr="00824D56">
        <w:rPr>
          <w:rFonts w:asciiTheme="majorHAnsi" w:hAnsiTheme="majorHAnsi"/>
          <w:sz w:val="20"/>
          <w:szCs w:val="20"/>
          <w:lang w:val="en-US"/>
        </w:rPr>
        <w:t xml:space="preserve">P Craig, </w:t>
      </w:r>
      <w:r w:rsidRPr="00824D56">
        <w:rPr>
          <w:rFonts w:asciiTheme="majorHAnsi" w:hAnsiTheme="majorHAnsi"/>
          <w:i/>
          <w:sz w:val="20"/>
          <w:szCs w:val="20"/>
          <w:lang w:val="en-US"/>
        </w:rPr>
        <w:t>UK, EU and Global Administrative Law: Foundations and Challenges</w:t>
      </w:r>
      <w:r w:rsidRPr="00824D56">
        <w:rPr>
          <w:rFonts w:asciiTheme="majorHAnsi" w:hAnsiTheme="majorHAnsi"/>
          <w:sz w:val="20"/>
          <w:szCs w:val="20"/>
          <w:lang w:val="en-US"/>
        </w:rPr>
        <w:t xml:space="preserve"> (Cambridge University Press, 2015)</w:t>
      </w:r>
    </w:p>
  </w:footnote>
  <w:footnote w:id="66">
    <w:p w14:paraId="5171FC6A" w14:textId="77777777" w:rsidR="00001499" w:rsidRPr="00860C01" w:rsidRDefault="00001499" w:rsidP="00860C01">
      <w:pPr>
        <w:pStyle w:val="FootnoteText"/>
        <w:rPr>
          <w:rFonts w:asciiTheme="majorHAnsi" w:hAnsiTheme="majorHAnsi"/>
          <w:sz w:val="20"/>
          <w:szCs w:val="20"/>
          <w:lang w:val="en-US"/>
        </w:rPr>
      </w:pPr>
      <w:r w:rsidRPr="00860C01">
        <w:rPr>
          <w:rStyle w:val="FootnoteReference"/>
          <w:rFonts w:asciiTheme="majorHAnsi" w:hAnsiTheme="majorHAnsi"/>
          <w:sz w:val="20"/>
          <w:szCs w:val="20"/>
        </w:rPr>
        <w:footnoteRef/>
      </w:r>
      <w:r w:rsidRPr="00860C01">
        <w:rPr>
          <w:rFonts w:asciiTheme="majorHAnsi" w:hAnsiTheme="majorHAnsi"/>
          <w:sz w:val="20"/>
          <w:szCs w:val="20"/>
        </w:rPr>
        <w:t xml:space="preserve"> </w:t>
      </w:r>
      <w:r w:rsidRPr="00860C01">
        <w:rPr>
          <w:rFonts w:asciiTheme="majorHAnsi" w:hAnsiTheme="majorHAnsi"/>
          <w:sz w:val="20"/>
          <w:szCs w:val="20"/>
          <w:lang w:val="en-US"/>
        </w:rPr>
        <w:t xml:space="preserve">S Halliday, </w:t>
      </w:r>
      <w:r w:rsidRPr="00860C01">
        <w:rPr>
          <w:rFonts w:asciiTheme="majorHAnsi" w:hAnsiTheme="majorHAnsi"/>
          <w:i/>
          <w:sz w:val="20"/>
          <w:szCs w:val="20"/>
          <w:lang w:val="en-US"/>
        </w:rPr>
        <w:t>Judicial Review and Compliance with Administrative Law</w:t>
      </w:r>
      <w:r w:rsidRPr="00860C01">
        <w:rPr>
          <w:rFonts w:asciiTheme="majorHAnsi" w:hAnsiTheme="majorHAnsi"/>
          <w:sz w:val="20"/>
          <w:szCs w:val="20"/>
          <w:lang w:val="en-US"/>
        </w:rPr>
        <w:t xml:space="preserve"> (Hart Publishing, 2004)</w:t>
      </w:r>
    </w:p>
  </w:footnote>
  <w:footnote w:id="67">
    <w:p w14:paraId="489BE82B" w14:textId="2DAACA09" w:rsidR="00001499" w:rsidRPr="007C78BA" w:rsidRDefault="00001499">
      <w:pPr>
        <w:pStyle w:val="FootnoteText"/>
        <w:rPr>
          <w:rFonts w:asciiTheme="majorHAnsi" w:hAnsiTheme="majorHAnsi"/>
          <w:sz w:val="20"/>
          <w:szCs w:val="20"/>
          <w:lang w:val="en-US"/>
        </w:rPr>
      </w:pPr>
      <w:r w:rsidRPr="007C78BA">
        <w:rPr>
          <w:rStyle w:val="FootnoteReference"/>
          <w:rFonts w:asciiTheme="majorHAnsi" w:hAnsiTheme="majorHAnsi"/>
          <w:sz w:val="20"/>
          <w:szCs w:val="20"/>
        </w:rPr>
        <w:footnoteRef/>
      </w:r>
      <w:r w:rsidRPr="007C78BA">
        <w:rPr>
          <w:rFonts w:asciiTheme="majorHAnsi" w:hAnsiTheme="majorHAnsi"/>
          <w:sz w:val="20"/>
          <w:szCs w:val="20"/>
        </w:rPr>
        <w:t xml:space="preserve"> </w:t>
      </w:r>
      <w:r w:rsidRPr="007C78BA">
        <w:rPr>
          <w:rFonts w:asciiTheme="majorHAnsi" w:hAnsiTheme="majorHAnsi"/>
          <w:i/>
          <w:iCs/>
          <w:sz w:val="20"/>
          <w:szCs w:val="20"/>
        </w:rPr>
        <w:t xml:space="preserve">Zumtobel v  Austria (1994) </w:t>
      </w:r>
      <w:r w:rsidRPr="007C78BA">
        <w:rPr>
          <w:rFonts w:asciiTheme="majorHAnsi" w:hAnsiTheme="majorHAnsi"/>
          <w:iCs/>
          <w:sz w:val="20"/>
          <w:szCs w:val="20"/>
        </w:rPr>
        <w:t>17 EHRR 116</w:t>
      </w:r>
      <w:r w:rsidRPr="007C78BA">
        <w:rPr>
          <w:rFonts w:asciiTheme="majorHAnsi" w:hAnsiTheme="majorHAnsi"/>
          <w:sz w:val="20"/>
          <w:szCs w:val="20"/>
        </w:rPr>
        <w:t>;</w:t>
      </w:r>
      <w:r w:rsidRPr="007C78BA">
        <w:rPr>
          <w:rFonts w:asciiTheme="majorHAnsi" w:hAnsiTheme="majorHAnsi"/>
          <w:i/>
          <w:iCs/>
          <w:sz w:val="20"/>
          <w:szCs w:val="20"/>
        </w:rPr>
        <w:t xml:space="preserve"> Bryan v UK </w:t>
      </w:r>
      <w:r w:rsidRPr="007C78BA">
        <w:rPr>
          <w:rFonts w:asciiTheme="majorHAnsi" w:hAnsiTheme="majorHAnsi" w:cs="Arial"/>
          <w:noProof w:val="0"/>
          <w:sz w:val="20"/>
          <w:szCs w:val="20"/>
          <w:bdr w:val="none" w:sz="0" w:space="0" w:color="auto"/>
          <w:lang w:val="en-US"/>
        </w:rPr>
        <w:t>(1995) 21 EHRR 342</w:t>
      </w:r>
      <w:r w:rsidRPr="007C78BA">
        <w:rPr>
          <w:rFonts w:asciiTheme="majorHAnsi" w:hAnsiTheme="majorHAnsi"/>
          <w:sz w:val="20"/>
          <w:szCs w:val="20"/>
        </w:rPr>
        <w:t xml:space="preserve">; </w:t>
      </w:r>
      <w:r w:rsidRPr="007C78BA">
        <w:rPr>
          <w:rFonts w:asciiTheme="majorHAnsi" w:hAnsiTheme="majorHAnsi"/>
          <w:i/>
          <w:iCs/>
          <w:sz w:val="20"/>
          <w:szCs w:val="20"/>
        </w:rPr>
        <w:t xml:space="preserve">Kingsley v. the United Kingdom </w:t>
      </w:r>
      <w:r w:rsidRPr="007C78BA">
        <w:rPr>
          <w:rFonts w:asciiTheme="majorHAnsi" w:hAnsiTheme="majorHAnsi" w:cs="Arial"/>
          <w:noProof w:val="0"/>
          <w:sz w:val="20"/>
          <w:szCs w:val="20"/>
          <w:bdr w:val="none" w:sz="0" w:space="0" w:color="auto"/>
          <w:lang w:val="en-US"/>
        </w:rPr>
        <w:t>(2002) 35 EHRR 10</w:t>
      </w:r>
      <w:r>
        <w:rPr>
          <w:rFonts w:asciiTheme="majorHAnsi" w:hAnsiTheme="majorHAnsi" w:cs="Arial"/>
          <w:noProof w:val="0"/>
          <w:sz w:val="20"/>
          <w:szCs w:val="20"/>
          <w:bdr w:val="none" w:sz="0" w:space="0" w:color="auto"/>
          <w:lang w:val="en-US"/>
        </w:rPr>
        <w:t xml:space="preserve">; </w:t>
      </w:r>
      <w:r w:rsidRPr="007C78BA">
        <w:rPr>
          <w:rFonts w:asciiTheme="majorHAnsi" w:hAnsiTheme="majorHAnsi"/>
          <w:i/>
          <w:iCs/>
          <w:sz w:val="20"/>
          <w:szCs w:val="20"/>
        </w:rPr>
        <w:t xml:space="preserve">Alatulkkila and Others v. Finland </w:t>
      </w:r>
      <w:r w:rsidRPr="007C78BA">
        <w:rPr>
          <w:rFonts w:asciiTheme="majorHAnsi" w:hAnsiTheme="majorHAnsi" w:cs="Arial"/>
          <w:noProof w:val="0"/>
          <w:sz w:val="20"/>
          <w:szCs w:val="20"/>
          <w:bdr w:val="none" w:sz="0" w:space="0" w:color="auto"/>
          <w:lang w:val="en-US"/>
        </w:rPr>
        <w:t>(2006) 43 EHRR 3;</w:t>
      </w:r>
      <w:r w:rsidRPr="007C78BA">
        <w:rPr>
          <w:rFonts w:asciiTheme="majorHAnsi" w:hAnsiTheme="majorHAnsi"/>
          <w:sz w:val="20"/>
          <w:szCs w:val="20"/>
        </w:rPr>
        <w:t xml:space="preserve"> </w:t>
      </w:r>
      <w:r w:rsidRPr="00FE1A4C">
        <w:rPr>
          <w:rFonts w:asciiTheme="majorHAnsi" w:hAnsiTheme="majorHAnsi"/>
          <w:i/>
          <w:sz w:val="20"/>
          <w:szCs w:val="20"/>
        </w:rPr>
        <w:t>Fazia Ali v UK</w:t>
      </w:r>
      <w:r>
        <w:rPr>
          <w:rFonts w:asciiTheme="majorHAnsi" w:hAnsiTheme="majorHAnsi"/>
          <w:sz w:val="20"/>
          <w:szCs w:val="20"/>
        </w:rPr>
        <w:t>, 2015 (Application 40378/10).</w:t>
      </w:r>
    </w:p>
  </w:footnote>
  <w:footnote w:id="68">
    <w:p w14:paraId="5FFE7A8A" w14:textId="567B252B" w:rsidR="00001499" w:rsidRPr="0023398B" w:rsidRDefault="00001499">
      <w:pPr>
        <w:pStyle w:val="FootnoteText"/>
        <w:rPr>
          <w:rFonts w:asciiTheme="majorHAnsi" w:hAnsiTheme="majorHAnsi"/>
          <w:sz w:val="20"/>
          <w:szCs w:val="20"/>
          <w:lang w:val="en-US"/>
        </w:rPr>
      </w:pPr>
      <w:r w:rsidRPr="0023398B">
        <w:rPr>
          <w:rStyle w:val="FootnoteReference"/>
          <w:rFonts w:asciiTheme="majorHAnsi" w:hAnsiTheme="majorHAnsi"/>
          <w:sz w:val="20"/>
          <w:szCs w:val="20"/>
        </w:rPr>
        <w:footnoteRef/>
      </w:r>
      <w:r w:rsidRPr="0023398B">
        <w:rPr>
          <w:rFonts w:asciiTheme="majorHAnsi" w:hAnsiTheme="majorHAnsi"/>
          <w:sz w:val="20"/>
          <w:szCs w:val="20"/>
        </w:rPr>
        <w:t xml:space="preserve"> </w:t>
      </w:r>
      <w:r w:rsidRPr="0023398B">
        <w:rPr>
          <w:rFonts w:asciiTheme="majorHAnsi" w:hAnsiTheme="majorHAnsi"/>
          <w:sz w:val="20"/>
          <w:szCs w:val="20"/>
          <w:lang w:val="en-US"/>
        </w:rPr>
        <w:t xml:space="preserve">S Halliday and C Scott, </w:t>
      </w:r>
      <w:r w:rsidRPr="0023398B">
        <w:rPr>
          <w:rFonts w:asciiTheme="majorHAnsi" w:hAnsiTheme="majorHAnsi" w:cs="Arial"/>
          <w:bCs/>
          <w:sz w:val="20"/>
          <w:szCs w:val="20"/>
        </w:rPr>
        <w:t xml:space="preserve">‘A Cultural Analysis of Administrative Justice’ in Adler, M (ed) </w:t>
      </w:r>
      <w:r w:rsidRPr="0023398B">
        <w:rPr>
          <w:rFonts w:asciiTheme="majorHAnsi" w:hAnsiTheme="majorHAnsi" w:cs="Arial"/>
          <w:bCs/>
          <w:i/>
          <w:sz w:val="20"/>
          <w:szCs w:val="20"/>
        </w:rPr>
        <w:t>Administrative Justice in Context</w:t>
      </w:r>
      <w:r w:rsidRPr="0023398B">
        <w:rPr>
          <w:rFonts w:asciiTheme="majorHAnsi" w:hAnsiTheme="majorHAnsi" w:cs="Arial"/>
          <w:bCs/>
          <w:sz w:val="20"/>
          <w:szCs w:val="20"/>
        </w:rPr>
        <w:t xml:space="preserve"> (Hart Publishing, 2010)</w:t>
      </w:r>
    </w:p>
  </w:footnote>
  <w:footnote w:id="69">
    <w:p w14:paraId="3E711C6E" w14:textId="430A8B74" w:rsidR="00001499" w:rsidRPr="0023398B" w:rsidRDefault="00001499">
      <w:pPr>
        <w:pStyle w:val="FootnoteText"/>
        <w:rPr>
          <w:rFonts w:asciiTheme="majorHAnsi" w:hAnsiTheme="majorHAnsi"/>
          <w:sz w:val="20"/>
          <w:szCs w:val="20"/>
          <w:lang w:val="en-AU"/>
        </w:rPr>
      </w:pPr>
      <w:r w:rsidRPr="0023398B">
        <w:rPr>
          <w:rStyle w:val="FootnoteReference"/>
          <w:rFonts w:asciiTheme="majorHAnsi" w:hAnsiTheme="majorHAnsi"/>
          <w:sz w:val="20"/>
          <w:szCs w:val="20"/>
        </w:rPr>
        <w:footnoteRef/>
      </w:r>
      <w:r w:rsidRPr="0023398B">
        <w:rPr>
          <w:rFonts w:asciiTheme="majorHAnsi" w:hAnsiTheme="majorHAnsi"/>
          <w:sz w:val="20"/>
          <w:szCs w:val="20"/>
        </w:rPr>
        <w:t xml:space="preserve"> </w:t>
      </w:r>
      <w:r>
        <w:rPr>
          <w:rFonts w:asciiTheme="majorHAnsi" w:hAnsiTheme="majorHAnsi"/>
          <w:sz w:val="20"/>
          <w:szCs w:val="20"/>
        </w:rPr>
        <w:t xml:space="preserve">S </w:t>
      </w:r>
      <w:r w:rsidRPr="0023398B">
        <w:rPr>
          <w:rFonts w:asciiTheme="majorHAnsi" w:hAnsiTheme="majorHAnsi" w:cs="Arial"/>
          <w:sz w:val="20"/>
          <w:szCs w:val="20"/>
        </w:rPr>
        <w:t xml:space="preserve">Halliday, </w:t>
      </w:r>
      <w:r>
        <w:rPr>
          <w:rFonts w:asciiTheme="majorHAnsi" w:hAnsiTheme="majorHAnsi" w:cs="Arial"/>
          <w:sz w:val="20"/>
          <w:szCs w:val="20"/>
        </w:rPr>
        <w:t xml:space="preserve">J Ilan </w:t>
      </w:r>
      <w:r w:rsidRPr="0023398B">
        <w:rPr>
          <w:rFonts w:asciiTheme="majorHAnsi" w:hAnsiTheme="majorHAnsi" w:cs="Arial"/>
          <w:sz w:val="20"/>
          <w:szCs w:val="20"/>
        </w:rPr>
        <w:t xml:space="preserve">and C </w:t>
      </w:r>
      <w:r>
        <w:rPr>
          <w:rFonts w:asciiTheme="majorHAnsi" w:hAnsiTheme="majorHAnsi" w:cs="Arial"/>
          <w:sz w:val="20"/>
          <w:szCs w:val="20"/>
        </w:rPr>
        <w:t>Scott</w:t>
      </w:r>
      <w:r w:rsidRPr="0023398B">
        <w:rPr>
          <w:rFonts w:asciiTheme="majorHAnsi" w:hAnsiTheme="majorHAnsi" w:cs="Arial"/>
          <w:sz w:val="20"/>
          <w:szCs w:val="20"/>
        </w:rPr>
        <w:t xml:space="preserve"> (2012) ‘Street-Level Tort Law: The Bureaucratic Justice of Liability Decision-Making’ </w:t>
      </w:r>
      <w:r w:rsidRPr="0023398B">
        <w:rPr>
          <w:rFonts w:asciiTheme="majorHAnsi" w:hAnsiTheme="majorHAnsi" w:cs="Arial"/>
          <w:i/>
          <w:sz w:val="20"/>
          <w:szCs w:val="20"/>
        </w:rPr>
        <w:t>Modern Law Review</w:t>
      </w:r>
      <w:r w:rsidRPr="0023398B">
        <w:rPr>
          <w:rFonts w:asciiTheme="majorHAnsi" w:hAnsiTheme="majorHAnsi" w:cs="Arial"/>
          <w:sz w:val="20"/>
          <w:szCs w:val="20"/>
        </w:rPr>
        <w:t xml:space="preserve"> 75(3) 647-67</w:t>
      </w:r>
    </w:p>
  </w:footnote>
  <w:footnote w:id="70">
    <w:p w14:paraId="16E7C670" w14:textId="28DADD5A" w:rsidR="00001499" w:rsidRPr="00673402" w:rsidRDefault="00001499">
      <w:pPr>
        <w:pStyle w:val="FootnoteText"/>
        <w:rPr>
          <w:rFonts w:asciiTheme="majorHAnsi" w:hAnsiTheme="majorHAnsi"/>
          <w:sz w:val="20"/>
          <w:szCs w:val="20"/>
          <w:lang w:val="en-AU"/>
        </w:rPr>
      </w:pPr>
      <w:r w:rsidRPr="00673402">
        <w:rPr>
          <w:rStyle w:val="FootnoteReference"/>
          <w:rFonts w:asciiTheme="majorHAnsi" w:hAnsiTheme="majorHAnsi"/>
          <w:sz w:val="20"/>
          <w:szCs w:val="20"/>
        </w:rPr>
        <w:footnoteRef/>
      </w:r>
      <w:r w:rsidRPr="00673402">
        <w:rPr>
          <w:rFonts w:asciiTheme="majorHAnsi" w:hAnsiTheme="majorHAnsi"/>
          <w:sz w:val="20"/>
          <w:szCs w:val="20"/>
        </w:rPr>
        <w:t xml:space="preserve"> </w:t>
      </w:r>
      <w:r w:rsidRPr="00673402">
        <w:rPr>
          <w:rFonts w:asciiTheme="majorHAnsi" w:hAnsiTheme="majorHAnsi"/>
          <w:sz w:val="20"/>
          <w:szCs w:val="20"/>
          <w:lang w:val="en-AU"/>
        </w:rPr>
        <w:t xml:space="preserve">T Tyler </w:t>
      </w:r>
      <w:r w:rsidRPr="00673402">
        <w:rPr>
          <w:rFonts w:asciiTheme="majorHAnsi" w:hAnsiTheme="majorHAnsi" w:cs="Arial"/>
          <w:sz w:val="20"/>
          <w:szCs w:val="20"/>
        </w:rPr>
        <w:t xml:space="preserve">‘What is Procedural Justice?:  Criteria Used by Citizens to Assess the Fairness of Legal Procedures’, (1988) </w:t>
      </w:r>
      <w:r w:rsidRPr="00673402">
        <w:rPr>
          <w:rFonts w:asciiTheme="majorHAnsi" w:hAnsiTheme="majorHAnsi" w:cs="Arial"/>
          <w:i/>
          <w:sz w:val="20"/>
          <w:szCs w:val="20"/>
        </w:rPr>
        <w:t>Law &amp; Society Review</w:t>
      </w:r>
      <w:r w:rsidRPr="00673402">
        <w:rPr>
          <w:rFonts w:asciiTheme="majorHAnsi" w:hAnsiTheme="majorHAnsi" w:cs="Arial"/>
          <w:sz w:val="20"/>
          <w:szCs w:val="20"/>
        </w:rPr>
        <w:t xml:space="preserve"> 22: 103-106</w:t>
      </w:r>
    </w:p>
  </w:footnote>
  <w:footnote w:id="71">
    <w:p w14:paraId="72AD254B" w14:textId="63DC3741" w:rsidR="00001499" w:rsidRPr="00673402" w:rsidRDefault="00001499">
      <w:pPr>
        <w:pStyle w:val="FootnoteText"/>
        <w:rPr>
          <w:lang w:val="en-AU"/>
        </w:rPr>
      </w:pPr>
      <w:r w:rsidRPr="00673402">
        <w:rPr>
          <w:rStyle w:val="FootnoteReference"/>
          <w:rFonts w:asciiTheme="majorHAnsi" w:hAnsiTheme="majorHAnsi"/>
          <w:sz w:val="20"/>
          <w:szCs w:val="20"/>
        </w:rPr>
        <w:footnoteRef/>
      </w:r>
      <w:r w:rsidRPr="00673402">
        <w:rPr>
          <w:rFonts w:asciiTheme="majorHAnsi" w:hAnsiTheme="majorHAnsi"/>
          <w:sz w:val="20"/>
          <w:szCs w:val="20"/>
        </w:rPr>
        <w:t xml:space="preserve"> Lens, V. ‘In the Fair Hearing Room: Resistance and Confrontation in the Welfare Bureaucracy’, (2007)  </w:t>
      </w:r>
      <w:r w:rsidRPr="00673402">
        <w:rPr>
          <w:rFonts w:asciiTheme="majorHAnsi" w:hAnsiTheme="majorHAnsi"/>
          <w:i/>
          <w:sz w:val="20"/>
          <w:szCs w:val="20"/>
        </w:rPr>
        <w:t>Law &amp; Social Inquiry</w:t>
      </w:r>
      <w:r w:rsidRPr="00673402">
        <w:rPr>
          <w:rFonts w:asciiTheme="majorHAnsi" w:hAnsiTheme="majorHAnsi"/>
          <w:sz w:val="20"/>
          <w:szCs w:val="20"/>
        </w:rPr>
        <w:t>, 32: 309-32</w:t>
      </w:r>
    </w:p>
  </w:footnote>
  <w:footnote w:id="72">
    <w:p w14:paraId="34FCC7BC" w14:textId="1DDC56AF" w:rsidR="00001499" w:rsidRPr="00824D56" w:rsidRDefault="00001499" w:rsidP="004B7109">
      <w:pPr>
        <w:pStyle w:val="FootnoteText"/>
        <w:rPr>
          <w:rFonts w:asciiTheme="majorHAnsi" w:hAnsiTheme="majorHAnsi"/>
          <w:sz w:val="20"/>
          <w:szCs w:val="20"/>
          <w:lang w:val="en-US"/>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S </w:t>
      </w:r>
      <w:r w:rsidRPr="00824D56">
        <w:rPr>
          <w:rFonts w:asciiTheme="majorHAnsi" w:hAnsiTheme="majorHAnsi"/>
          <w:sz w:val="20"/>
          <w:szCs w:val="20"/>
          <w:lang w:val="en-US"/>
        </w:rPr>
        <w:t xml:space="preserve">Halliday </w:t>
      </w:r>
      <w:r w:rsidRPr="00824D56">
        <w:rPr>
          <w:rFonts w:asciiTheme="majorHAnsi" w:hAnsiTheme="majorHAnsi"/>
          <w:i/>
          <w:sz w:val="20"/>
          <w:szCs w:val="20"/>
          <w:lang w:val="en-US"/>
        </w:rPr>
        <w:t>Judicial Review and Compliance with Administrative Law</w:t>
      </w:r>
      <w:r w:rsidRPr="00824D56">
        <w:rPr>
          <w:rFonts w:asciiTheme="majorHAnsi" w:hAnsiTheme="majorHAnsi"/>
          <w:sz w:val="20"/>
          <w:szCs w:val="20"/>
          <w:lang w:val="en-US"/>
        </w:rPr>
        <w:t xml:space="preserve"> (Hart Publishing, 2004)</w:t>
      </w:r>
    </w:p>
  </w:footnote>
  <w:footnote w:id="73">
    <w:p w14:paraId="3A32885C" w14:textId="508E80B3" w:rsidR="00001499" w:rsidRPr="00824D56" w:rsidRDefault="00001499">
      <w:pPr>
        <w:pStyle w:val="FootnoteText"/>
        <w:rPr>
          <w:rFonts w:asciiTheme="majorHAnsi" w:hAnsiTheme="majorHAnsi"/>
          <w:sz w:val="20"/>
          <w:szCs w:val="20"/>
          <w:lang w:val="en-US"/>
        </w:rPr>
      </w:pPr>
      <w:r w:rsidRPr="00824D56">
        <w:rPr>
          <w:rStyle w:val="FootnoteReference"/>
          <w:rFonts w:asciiTheme="majorHAnsi" w:hAnsiTheme="majorHAnsi"/>
          <w:sz w:val="20"/>
          <w:szCs w:val="20"/>
        </w:rPr>
        <w:footnoteRef/>
      </w:r>
      <w:r w:rsidRPr="00824D56">
        <w:rPr>
          <w:rFonts w:asciiTheme="majorHAnsi" w:hAnsiTheme="majorHAnsi"/>
          <w:sz w:val="20"/>
          <w:szCs w:val="20"/>
        </w:rPr>
        <w:t xml:space="preserve"> </w:t>
      </w:r>
      <w:r w:rsidRPr="00824D56">
        <w:rPr>
          <w:rFonts w:asciiTheme="majorHAnsi" w:hAnsiTheme="majorHAnsi"/>
          <w:sz w:val="20"/>
          <w:szCs w:val="20"/>
          <w:lang w:val="en-US"/>
        </w:rPr>
        <w:t>ibid</w:t>
      </w:r>
    </w:p>
  </w:footnote>
  <w:footnote w:id="74">
    <w:p w14:paraId="041B7EFB" w14:textId="77777777" w:rsidR="00001499" w:rsidRPr="00A206A1" w:rsidRDefault="00001499" w:rsidP="00905D77">
      <w:pPr>
        <w:pStyle w:val="FootnoteText"/>
        <w:rPr>
          <w:rFonts w:asciiTheme="majorHAnsi" w:hAnsiTheme="majorHAnsi"/>
          <w:sz w:val="20"/>
          <w:szCs w:val="20"/>
          <w:lang w:val="en-AU"/>
        </w:rPr>
      </w:pPr>
      <w:r w:rsidRPr="00A206A1">
        <w:rPr>
          <w:rStyle w:val="FootnoteReference"/>
          <w:rFonts w:asciiTheme="majorHAnsi" w:hAnsiTheme="majorHAnsi"/>
          <w:sz w:val="20"/>
          <w:szCs w:val="20"/>
        </w:rPr>
        <w:footnoteRef/>
      </w:r>
      <w:r w:rsidRPr="00A206A1">
        <w:rPr>
          <w:rFonts w:asciiTheme="majorHAnsi" w:hAnsiTheme="majorHAnsi"/>
          <w:sz w:val="20"/>
          <w:szCs w:val="20"/>
        </w:rPr>
        <w:t xml:space="preserve"> </w:t>
      </w:r>
      <w:r w:rsidRPr="00A206A1">
        <w:rPr>
          <w:rFonts w:asciiTheme="majorHAnsi" w:hAnsiTheme="majorHAnsi"/>
          <w:sz w:val="20"/>
          <w:szCs w:val="20"/>
          <w:lang w:val="en-AU"/>
        </w:rPr>
        <w:t xml:space="preserve">P Takacs, Review of N Lane, </w:t>
      </w:r>
      <w:r w:rsidRPr="00A206A1">
        <w:rPr>
          <w:rFonts w:asciiTheme="majorHAnsi" w:hAnsiTheme="majorHAnsi"/>
          <w:i/>
          <w:sz w:val="20"/>
          <w:szCs w:val="20"/>
          <w:lang w:val="en-AU"/>
        </w:rPr>
        <w:t>The Vital Question: Energy, Evolution and the Origins of Complex Life’</w:t>
      </w:r>
      <w:r w:rsidRPr="00A206A1">
        <w:rPr>
          <w:rFonts w:asciiTheme="majorHAnsi" w:hAnsiTheme="majorHAnsi"/>
          <w:sz w:val="20"/>
          <w:szCs w:val="20"/>
          <w:lang w:val="en-AU"/>
        </w:rPr>
        <w:t xml:space="preserve"> (2016) </w:t>
      </w:r>
      <w:r w:rsidRPr="00A206A1">
        <w:rPr>
          <w:rFonts w:asciiTheme="majorHAnsi" w:hAnsiTheme="majorHAnsi"/>
          <w:i/>
          <w:sz w:val="20"/>
          <w:szCs w:val="20"/>
          <w:lang w:val="en-AU"/>
        </w:rPr>
        <w:t>Quarterly Review of Biology</w:t>
      </w:r>
      <w:r w:rsidRPr="00A206A1">
        <w:rPr>
          <w:rFonts w:asciiTheme="majorHAnsi" w:hAnsiTheme="majorHAnsi"/>
          <w:sz w:val="20"/>
          <w:szCs w:val="20"/>
          <w:lang w:val="en-AU"/>
        </w:rPr>
        <w:t xml:space="preserve"> 91, 203-4.</w:t>
      </w:r>
    </w:p>
  </w:footnote>
  <w:footnote w:id="75">
    <w:p w14:paraId="56149916" w14:textId="77777777" w:rsidR="00A37B29" w:rsidRPr="007438F9" w:rsidRDefault="00A37B29" w:rsidP="00A37B29">
      <w:pPr>
        <w:pStyle w:val="FootnoteText"/>
        <w:rPr>
          <w:rFonts w:asciiTheme="majorHAnsi" w:hAnsiTheme="majorHAnsi"/>
          <w:sz w:val="20"/>
          <w:szCs w:val="20"/>
          <w:lang w:val="en-AU"/>
        </w:rPr>
      </w:pPr>
      <w:r w:rsidRPr="007438F9">
        <w:rPr>
          <w:rStyle w:val="FootnoteReference"/>
          <w:rFonts w:asciiTheme="majorHAnsi" w:hAnsiTheme="majorHAnsi"/>
          <w:sz w:val="20"/>
          <w:szCs w:val="20"/>
        </w:rPr>
        <w:footnoteRef/>
      </w:r>
      <w:r w:rsidRPr="007438F9">
        <w:rPr>
          <w:rFonts w:asciiTheme="majorHAnsi" w:hAnsiTheme="majorHAnsi"/>
          <w:sz w:val="20"/>
          <w:szCs w:val="20"/>
        </w:rPr>
        <w:t xml:space="preserve"> </w:t>
      </w:r>
      <w:r w:rsidRPr="007438F9">
        <w:rPr>
          <w:rFonts w:asciiTheme="majorHAnsi" w:hAnsiTheme="majorHAnsi"/>
          <w:sz w:val="20"/>
          <w:szCs w:val="20"/>
          <w:lang w:val="en-AU"/>
        </w:rPr>
        <w:t xml:space="preserve">See, for example, AI Ahram ‘The Theory and Method of Comparative Area Studies’ (2011) </w:t>
      </w:r>
      <w:r w:rsidRPr="007438F9">
        <w:rPr>
          <w:rFonts w:asciiTheme="majorHAnsi" w:hAnsiTheme="majorHAnsi"/>
          <w:i/>
          <w:sz w:val="20"/>
          <w:szCs w:val="20"/>
          <w:lang w:val="en-AU"/>
        </w:rPr>
        <w:t>Qualitative Research</w:t>
      </w:r>
      <w:r w:rsidRPr="007438F9">
        <w:rPr>
          <w:rFonts w:asciiTheme="majorHAnsi" w:hAnsiTheme="majorHAnsi"/>
          <w:sz w:val="20"/>
          <w:szCs w:val="20"/>
          <w:lang w:val="en-AU"/>
        </w:rPr>
        <w:t xml:space="preserve"> 11(1) 69-90.</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D7A59"/>
    <w:multiLevelType w:val="hybridMultilevel"/>
    <w:tmpl w:val="071E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A54295"/>
    <w:multiLevelType w:val="hybridMultilevel"/>
    <w:tmpl w:val="0B2E6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01542F"/>
    <w:multiLevelType w:val="hybridMultilevel"/>
    <w:tmpl w:val="C3E48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D87713"/>
    <w:multiLevelType w:val="hybridMultilevel"/>
    <w:tmpl w:val="CB02C816"/>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activeWritingStyle w:appName="MSWord" w:lang="en-GB" w:vendorID="64" w:dllVersion="131078" w:nlCheck="1" w:checkStyle="0"/>
  <w:activeWritingStyle w:appName="MSWord" w:lang="en-US" w:vendorID="64" w:dllVersion="131078" w:nlCheck="1" w:checkStyle="0"/>
  <w:activeWritingStyle w:appName="MSWord" w:lang="en-AU"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891"/>
    <w:rsid w:val="00001499"/>
    <w:rsid w:val="00001508"/>
    <w:rsid w:val="000027C7"/>
    <w:rsid w:val="00002B0F"/>
    <w:rsid w:val="00003EFC"/>
    <w:rsid w:val="00011974"/>
    <w:rsid w:val="00016B47"/>
    <w:rsid w:val="000176AD"/>
    <w:rsid w:val="000176CB"/>
    <w:rsid w:val="00023B91"/>
    <w:rsid w:val="00026A72"/>
    <w:rsid w:val="000271AB"/>
    <w:rsid w:val="000307CC"/>
    <w:rsid w:val="0003502C"/>
    <w:rsid w:val="000375DF"/>
    <w:rsid w:val="0005455B"/>
    <w:rsid w:val="000639D8"/>
    <w:rsid w:val="00067915"/>
    <w:rsid w:val="000765EC"/>
    <w:rsid w:val="00085FE0"/>
    <w:rsid w:val="00086748"/>
    <w:rsid w:val="0009205F"/>
    <w:rsid w:val="00095951"/>
    <w:rsid w:val="000A1605"/>
    <w:rsid w:val="000B1DB5"/>
    <w:rsid w:val="000B7F86"/>
    <w:rsid w:val="000C0B30"/>
    <w:rsid w:val="000C4E0C"/>
    <w:rsid w:val="000C645A"/>
    <w:rsid w:val="000C7340"/>
    <w:rsid w:val="000E2CD6"/>
    <w:rsid w:val="000E606A"/>
    <w:rsid w:val="000E78BC"/>
    <w:rsid w:val="000F28DD"/>
    <w:rsid w:val="000F6800"/>
    <w:rsid w:val="000F771C"/>
    <w:rsid w:val="001004AD"/>
    <w:rsid w:val="00107454"/>
    <w:rsid w:val="00107CD7"/>
    <w:rsid w:val="0011280A"/>
    <w:rsid w:val="001140DD"/>
    <w:rsid w:val="00114209"/>
    <w:rsid w:val="001164D9"/>
    <w:rsid w:val="00126ACD"/>
    <w:rsid w:val="00130F93"/>
    <w:rsid w:val="001319F4"/>
    <w:rsid w:val="00133F45"/>
    <w:rsid w:val="00144E88"/>
    <w:rsid w:val="00145163"/>
    <w:rsid w:val="001478A1"/>
    <w:rsid w:val="001537A7"/>
    <w:rsid w:val="00161E32"/>
    <w:rsid w:val="0017040C"/>
    <w:rsid w:val="00172F43"/>
    <w:rsid w:val="00182CFB"/>
    <w:rsid w:val="001856BA"/>
    <w:rsid w:val="00186E4D"/>
    <w:rsid w:val="001874C1"/>
    <w:rsid w:val="001908A2"/>
    <w:rsid w:val="001952A7"/>
    <w:rsid w:val="001A17E9"/>
    <w:rsid w:val="001B0173"/>
    <w:rsid w:val="001B3710"/>
    <w:rsid w:val="001C09B3"/>
    <w:rsid w:val="001C5405"/>
    <w:rsid w:val="001D4216"/>
    <w:rsid w:val="001D6305"/>
    <w:rsid w:val="001F3C88"/>
    <w:rsid w:val="00200EB6"/>
    <w:rsid w:val="00201EE5"/>
    <w:rsid w:val="002020B7"/>
    <w:rsid w:val="00203630"/>
    <w:rsid w:val="00210340"/>
    <w:rsid w:val="0021321E"/>
    <w:rsid w:val="00215EA6"/>
    <w:rsid w:val="00221A98"/>
    <w:rsid w:val="002255E6"/>
    <w:rsid w:val="00226BCE"/>
    <w:rsid w:val="0023389A"/>
    <w:rsid w:val="0023398B"/>
    <w:rsid w:val="0024564E"/>
    <w:rsid w:val="00245C63"/>
    <w:rsid w:val="002520A0"/>
    <w:rsid w:val="00257E37"/>
    <w:rsid w:val="002619EB"/>
    <w:rsid w:val="00270A71"/>
    <w:rsid w:val="00274FF9"/>
    <w:rsid w:val="00275B61"/>
    <w:rsid w:val="002824EC"/>
    <w:rsid w:val="002853FA"/>
    <w:rsid w:val="002866FE"/>
    <w:rsid w:val="002876E9"/>
    <w:rsid w:val="00290849"/>
    <w:rsid w:val="00296CE1"/>
    <w:rsid w:val="002A4C24"/>
    <w:rsid w:val="002B1527"/>
    <w:rsid w:val="002B3A08"/>
    <w:rsid w:val="002B7432"/>
    <w:rsid w:val="002C3F43"/>
    <w:rsid w:val="002D15A5"/>
    <w:rsid w:val="002D385A"/>
    <w:rsid w:val="002D594D"/>
    <w:rsid w:val="002D6391"/>
    <w:rsid w:val="002E18A6"/>
    <w:rsid w:val="002E6ABC"/>
    <w:rsid w:val="002F0C22"/>
    <w:rsid w:val="002F6B39"/>
    <w:rsid w:val="002F7A8F"/>
    <w:rsid w:val="003057D3"/>
    <w:rsid w:val="00314638"/>
    <w:rsid w:val="0031537C"/>
    <w:rsid w:val="003213E7"/>
    <w:rsid w:val="003274FD"/>
    <w:rsid w:val="00327A3E"/>
    <w:rsid w:val="0033035B"/>
    <w:rsid w:val="00333CFF"/>
    <w:rsid w:val="00334E15"/>
    <w:rsid w:val="00335FF3"/>
    <w:rsid w:val="00336B2E"/>
    <w:rsid w:val="00344A8A"/>
    <w:rsid w:val="003523CB"/>
    <w:rsid w:val="00354C9B"/>
    <w:rsid w:val="00374E99"/>
    <w:rsid w:val="00385B10"/>
    <w:rsid w:val="00391FC6"/>
    <w:rsid w:val="00395250"/>
    <w:rsid w:val="003B1333"/>
    <w:rsid w:val="003B193C"/>
    <w:rsid w:val="003B5026"/>
    <w:rsid w:val="003C0206"/>
    <w:rsid w:val="003C24D9"/>
    <w:rsid w:val="003C71A5"/>
    <w:rsid w:val="003C74F6"/>
    <w:rsid w:val="003C755E"/>
    <w:rsid w:val="003D03C9"/>
    <w:rsid w:val="003D0F97"/>
    <w:rsid w:val="003D16A9"/>
    <w:rsid w:val="003D3DD1"/>
    <w:rsid w:val="003D6947"/>
    <w:rsid w:val="003D7635"/>
    <w:rsid w:val="003E252B"/>
    <w:rsid w:val="003E400B"/>
    <w:rsid w:val="003E680E"/>
    <w:rsid w:val="003E6883"/>
    <w:rsid w:val="003E6FE1"/>
    <w:rsid w:val="003F2C75"/>
    <w:rsid w:val="003F356D"/>
    <w:rsid w:val="003F38E6"/>
    <w:rsid w:val="00405595"/>
    <w:rsid w:val="004059A1"/>
    <w:rsid w:val="00407B88"/>
    <w:rsid w:val="004114AF"/>
    <w:rsid w:val="00414D3C"/>
    <w:rsid w:val="004201DE"/>
    <w:rsid w:val="00420511"/>
    <w:rsid w:val="00431E7B"/>
    <w:rsid w:val="004413C9"/>
    <w:rsid w:val="004416CE"/>
    <w:rsid w:val="0044220C"/>
    <w:rsid w:val="00442BEA"/>
    <w:rsid w:val="00446F82"/>
    <w:rsid w:val="00447572"/>
    <w:rsid w:val="0048232C"/>
    <w:rsid w:val="00490C59"/>
    <w:rsid w:val="00495911"/>
    <w:rsid w:val="004B45DB"/>
    <w:rsid w:val="004B4B55"/>
    <w:rsid w:val="004B7109"/>
    <w:rsid w:val="004B7AFC"/>
    <w:rsid w:val="004C002C"/>
    <w:rsid w:val="004C0BE2"/>
    <w:rsid w:val="004C27E7"/>
    <w:rsid w:val="004D567E"/>
    <w:rsid w:val="004D580C"/>
    <w:rsid w:val="004F300C"/>
    <w:rsid w:val="005051AC"/>
    <w:rsid w:val="005150A2"/>
    <w:rsid w:val="005153E8"/>
    <w:rsid w:val="0052120C"/>
    <w:rsid w:val="0052131D"/>
    <w:rsid w:val="005240C9"/>
    <w:rsid w:val="0052489E"/>
    <w:rsid w:val="00525D9B"/>
    <w:rsid w:val="005320B3"/>
    <w:rsid w:val="00534EC9"/>
    <w:rsid w:val="00535ACD"/>
    <w:rsid w:val="00542A2F"/>
    <w:rsid w:val="00544549"/>
    <w:rsid w:val="00547DC4"/>
    <w:rsid w:val="00553DF4"/>
    <w:rsid w:val="005618C0"/>
    <w:rsid w:val="0056543C"/>
    <w:rsid w:val="00565D45"/>
    <w:rsid w:val="00566186"/>
    <w:rsid w:val="0057761A"/>
    <w:rsid w:val="00577698"/>
    <w:rsid w:val="005922AE"/>
    <w:rsid w:val="00597B17"/>
    <w:rsid w:val="005A1A86"/>
    <w:rsid w:val="005C1228"/>
    <w:rsid w:val="005C5DCB"/>
    <w:rsid w:val="005C7A4B"/>
    <w:rsid w:val="005D0CEC"/>
    <w:rsid w:val="005E4F8F"/>
    <w:rsid w:val="005F0BE6"/>
    <w:rsid w:val="005F7C03"/>
    <w:rsid w:val="00601464"/>
    <w:rsid w:val="00603A5D"/>
    <w:rsid w:val="006115B0"/>
    <w:rsid w:val="00611A39"/>
    <w:rsid w:val="00616899"/>
    <w:rsid w:val="00623289"/>
    <w:rsid w:val="006317AF"/>
    <w:rsid w:val="00633EE4"/>
    <w:rsid w:val="00643463"/>
    <w:rsid w:val="00654B5E"/>
    <w:rsid w:val="00655427"/>
    <w:rsid w:val="00664BD3"/>
    <w:rsid w:val="00673402"/>
    <w:rsid w:val="00694220"/>
    <w:rsid w:val="006B4397"/>
    <w:rsid w:val="006B7159"/>
    <w:rsid w:val="006D1A50"/>
    <w:rsid w:val="006D58E1"/>
    <w:rsid w:val="006E4B8B"/>
    <w:rsid w:val="006E4E7F"/>
    <w:rsid w:val="006F6AB0"/>
    <w:rsid w:val="00710CBD"/>
    <w:rsid w:val="00712EFE"/>
    <w:rsid w:val="00737DAF"/>
    <w:rsid w:val="00743504"/>
    <w:rsid w:val="007438F9"/>
    <w:rsid w:val="007464F8"/>
    <w:rsid w:val="00757983"/>
    <w:rsid w:val="007602C7"/>
    <w:rsid w:val="00770A45"/>
    <w:rsid w:val="00774032"/>
    <w:rsid w:val="00775D02"/>
    <w:rsid w:val="0077787D"/>
    <w:rsid w:val="0078056E"/>
    <w:rsid w:val="00783891"/>
    <w:rsid w:val="00797675"/>
    <w:rsid w:val="007A0B6A"/>
    <w:rsid w:val="007A6615"/>
    <w:rsid w:val="007C1D11"/>
    <w:rsid w:val="007C78BA"/>
    <w:rsid w:val="007D1FC0"/>
    <w:rsid w:val="007D2AAF"/>
    <w:rsid w:val="007E7CA7"/>
    <w:rsid w:val="007F4C4A"/>
    <w:rsid w:val="0080257A"/>
    <w:rsid w:val="008144C1"/>
    <w:rsid w:val="00820435"/>
    <w:rsid w:val="0082347E"/>
    <w:rsid w:val="00824D56"/>
    <w:rsid w:val="00825869"/>
    <w:rsid w:val="00831064"/>
    <w:rsid w:val="00832C6B"/>
    <w:rsid w:val="008357F1"/>
    <w:rsid w:val="008409AE"/>
    <w:rsid w:val="00840BDE"/>
    <w:rsid w:val="0084100A"/>
    <w:rsid w:val="008457E6"/>
    <w:rsid w:val="00845ABA"/>
    <w:rsid w:val="00852A75"/>
    <w:rsid w:val="00853D3E"/>
    <w:rsid w:val="00860C01"/>
    <w:rsid w:val="00871299"/>
    <w:rsid w:val="008749F5"/>
    <w:rsid w:val="00891289"/>
    <w:rsid w:val="008B1E48"/>
    <w:rsid w:val="008B5E32"/>
    <w:rsid w:val="008D3591"/>
    <w:rsid w:val="008D389A"/>
    <w:rsid w:val="008D6C60"/>
    <w:rsid w:val="008D78BB"/>
    <w:rsid w:val="008E180B"/>
    <w:rsid w:val="008E194D"/>
    <w:rsid w:val="008E2C1B"/>
    <w:rsid w:val="008F5147"/>
    <w:rsid w:val="00903C7D"/>
    <w:rsid w:val="00905D77"/>
    <w:rsid w:val="00906736"/>
    <w:rsid w:val="009128F5"/>
    <w:rsid w:val="00916EB0"/>
    <w:rsid w:val="009441D1"/>
    <w:rsid w:val="00950ECA"/>
    <w:rsid w:val="009552DF"/>
    <w:rsid w:val="00963D30"/>
    <w:rsid w:val="00971126"/>
    <w:rsid w:val="00983522"/>
    <w:rsid w:val="00990980"/>
    <w:rsid w:val="00990D3E"/>
    <w:rsid w:val="009915E9"/>
    <w:rsid w:val="0099250D"/>
    <w:rsid w:val="00994358"/>
    <w:rsid w:val="00995836"/>
    <w:rsid w:val="009A0DBB"/>
    <w:rsid w:val="009B4651"/>
    <w:rsid w:val="009E6A61"/>
    <w:rsid w:val="009F63C6"/>
    <w:rsid w:val="00A0022E"/>
    <w:rsid w:val="00A007A6"/>
    <w:rsid w:val="00A042F9"/>
    <w:rsid w:val="00A0694B"/>
    <w:rsid w:val="00A10F54"/>
    <w:rsid w:val="00A1224D"/>
    <w:rsid w:val="00A1603F"/>
    <w:rsid w:val="00A206A1"/>
    <w:rsid w:val="00A21799"/>
    <w:rsid w:val="00A218D8"/>
    <w:rsid w:val="00A32757"/>
    <w:rsid w:val="00A37B29"/>
    <w:rsid w:val="00A64087"/>
    <w:rsid w:val="00A65969"/>
    <w:rsid w:val="00A67492"/>
    <w:rsid w:val="00A7153F"/>
    <w:rsid w:val="00A716DE"/>
    <w:rsid w:val="00A741E2"/>
    <w:rsid w:val="00A7569F"/>
    <w:rsid w:val="00A81F03"/>
    <w:rsid w:val="00A946D2"/>
    <w:rsid w:val="00AA0C15"/>
    <w:rsid w:val="00AA42A8"/>
    <w:rsid w:val="00AA72AF"/>
    <w:rsid w:val="00AA76B3"/>
    <w:rsid w:val="00AB47DC"/>
    <w:rsid w:val="00AC5757"/>
    <w:rsid w:val="00AD1C55"/>
    <w:rsid w:val="00AD2E9B"/>
    <w:rsid w:val="00AD43F3"/>
    <w:rsid w:val="00AD7D93"/>
    <w:rsid w:val="00AE5FAA"/>
    <w:rsid w:val="00AE6745"/>
    <w:rsid w:val="00AF183C"/>
    <w:rsid w:val="00AF43D5"/>
    <w:rsid w:val="00AF4A64"/>
    <w:rsid w:val="00B00762"/>
    <w:rsid w:val="00B042D2"/>
    <w:rsid w:val="00B12AC8"/>
    <w:rsid w:val="00B31537"/>
    <w:rsid w:val="00B33978"/>
    <w:rsid w:val="00B4416D"/>
    <w:rsid w:val="00B471A1"/>
    <w:rsid w:val="00B63336"/>
    <w:rsid w:val="00B6403E"/>
    <w:rsid w:val="00B65BA6"/>
    <w:rsid w:val="00B67087"/>
    <w:rsid w:val="00B673AC"/>
    <w:rsid w:val="00B719FB"/>
    <w:rsid w:val="00B81CAE"/>
    <w:rsid w:val="00B83905"/>
    <w:rsid w:val="00B92BBD"/>
    <w:rsid w:val="00B93A2F"/>
    <w:rsid w:val="00BA1D93"/>
    <w:rsid w:val="00BC17DA"/>
    <w:rsid w:val="00BC3AD0"/>
    <w:rsid w:val="00BC6BA4"/>
    <w:rsid w:val="00BD0500"/>
    <w:rsid w:val="00BE2850"/>
    <w:rsid w:val="00BE2D65"/>
    <w:rsid w:val="00BE5896"/>
    <w:rsid w:val="00BE7600"/>
    <w:rsid w:val="00BF2D6A"/>
    <w:rsid w:val="00C11465"/>
    <w:rsid w:val="00C11648"/>
    <w:rsid w:val="00C1221C"/>
    <w:rsid w:val="00C12BF1"/>
    <w:rsid w:val="00C14FC1"/>
    <w:rsid w:val="00C17A4B"/>
    <w:rsid w:val="00C26345"/>
    <w:rsid w:val="00C27CA5"/>
    <w:rsid w:val="00C27CDE"/>
    <w:rsid w:val="00C3726C"/>
    <w:rsid w:val="00C37962"/>
    <w:rsid w:val="00C438BA"/>
    <w:rsid w:val="00C43EB8"/>
    <w:rsid w:val="00C52385"/>
    <w:rsid w:val="00C5337E"/>
    <w:rsid w:val="00C53B86"/>
    <w:rsid w:val="00C60029"/>
    <w:rsid w:val="00C654A4"/>
    <w:rsid w:val="00C677A0"/>
    <w:rsid w:val="00C73448"/>
    <w:rsid w:val="00C761F3"/>
    <w:rsid w:val="00C816E6"/>
    <w:rsid w:val="00C8186D"/>
    <w:rsid w:val="00C827AF"/>
    <w:rsid w:val="00C841F5"/>
    <w:rsid w:val="00C85442"/>
    <w:rsid w:val="00C9195D"/>
    <w:rsid w:val="00C928AF"/>
    <w:rsid w:val="00C95063"/>
    <w:rsid w:val="00CB1376"/>
    <w:rsid w:val="00CD5297"/>
    <w:rsid w:val="00CE1EA1"/>
    <w:rsid w:val="00CE2322"/>
    <w:rsid w:val="00D00C7D"/>
    <w:rsid w:val="00D064B8"/>
    <w:rsid w:val="00D1627A"/>
    <w:rsid w:val="00D208EF"/>
    <w:rsid w:val="00D33037"/>
    <w:rsid w:val="00D33469"/>
    <w:rsid w:val="00D349D4"/>
    <w:rsid w:val="00D452C5"/>
    <w:rsid w:val="00D46A42"/>
    <w:rsid w:val="00D56CB6"/>
    <w:rsid w:val="00D612FA"/>
    <w:rsid w:val="00D662D3"/>
    <w:rsid w:val="00D67ED0"/>
    <w:rsid w:val="00D918FA"/>
    <w:rsid w:val="00D94623"/>
    <w:rsid w:val="00D94BFF"/>
    <w:rsid w:val="00D953B2"/>
    <w:rsid w:val="00D96492"/>
    <w:rsid w:val="00DA09BB"/>
    <w:rsid w:val="00DA58FC"/>
    <w:rsid w:val="00DC29E1"/>
    <w:rsid w:val="00DC2CA8"/>
    <w:rsid w:val="00DD09BE"/>
    <w:rsid w:val="00DD433A"/>
    <w:rsid w:val="00DD5CB0"/>
    <w:rsid w:val="00E02B68"/>
    <w:rsid w:val="00E1075A"/>
    <w:rsid w:val="00E13C8B"/>
    <w:rsid w:val="00E16D9A"/>
    <w:rsid w:val="00E24F26"/>
    <w:rsid w:val="00E43EEF"/>
    <w:rsid w:val="00E53BEA"/>
    <w:rsid w:val="00E63EC7"/>
    <w:rsid w:val="00E71830"/>
    <w:rsid w:val="00E94B0D"/>
    <w:rsid w:val="00EA271F"/>
    <w:rsid w:val="00EB32BB"/>
    <w:rsid w:val="00EB330E"/>
    <w:rsid w:val="00EB4C19"/>
    <w:rsid w:val="00EC1F01"/>
    <w:rsid w:val="00EC1FE0"/>
    <w:rsid w:val="00EC2AF8"/>
    <w:rsid w:val="00EC2CC9"/>
    <w:rsid w:val="00EC523E"/>
    <w:rsid w:val="00EE1238"/>
    <w:rsid w:val="00EE7636"/>
    <w:rsid w:val="00EE77A7"/>
    <w:rsid w:val="00EF3379"/>
    <w:rsid w:val="00EF3E6B"/>
    <w:rsid w:val="00EF4A6C"/>
    <w:rsid w:val="00EF5356"/>
    <w:rsid w:val="00EF5F25"/>
    <w:rsid w:val="00F05CCC"/>
    <w:rsid w:val="00F07F16"/>
    <w:rsid w:val="00F1141A"/>
    <w:rsid w:val="00F15F87"/>
    <w:rsid w:val="00F51D87"/>
    <w:rsid w:val="00F70B9D"/>
    <w:rsid w:val="00F70D90"/>
    <w:rsid w:val="00F70FBD"/>
    <w:rsid w:val="00F82634"/>
    <w:rsid w:val="00F829E1"/>
    <w:rsid w:val="00F83A9A"/>
    <w:rsid w:val="00F96923"/>
    <w:rsid w:val="00FA725F"/>
    <w:rsid w:val="00FB44C6"/>
    <w:rsid w:val="00FB5C76"/>
    <w:rsid w:val="00FC6FA8"/>
    <w:rsid w:val="00FE1A4C"/>
    <w:rsid w:val="00FE348E"/>
    <w:rsid w:val="00FF49BE"/>
    <w:rsid w:val="00FF7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0FD1C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Arial Unicode MS"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7572"/>
    <w:pPr>
      <w:pBdr>
        <w:top w:val="nil"/>
        <w:left w:val="nil"/>
        <w:bottom w:val="nil"/>
        <w:right w:val="nil"/>
        <w:between w:val="nil"/>
        <w:bar w:val="nil"/>
      </w:pBdr>
    </w:pPr>
    <w:rPr>
      <w:rFonts w:ascii="Times New Roman" w:hAnsi="Times New Roman" w:cs="Times New Roman"/>
      <w:noProof/>
      <w:bdr w:val="nil"/>
      <w:lang w:val="en-GB"/>
    </w:rPr>
  </w:style>
  <w:style w:type="paragraph" w:styleId="Heading1">
    <w:name w:val="heading 1"/>
    <w:basedOn w:val="Normal"/>
    <w:next w:val="Normal"/>
    <w:link w:val="Heading1Char"/>
    <w:uiPriority w:val="9"/>
    <w:qFormat/>
    <w:rsid w:val="0078389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54B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C6BA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9552D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outlineLvl w:val="4"/>
    </w:pPr>
    <w:rPr>
      <w:rFonts w:asciiTheme="majorHAnsi" w:eastAsiaTheme="majorEastAsia" w:hAnsiTheme="majorHAnsi" w:cstheme="majorBidi"/>
      <w:noProof w:val="0"/>
      <w:color w:val="243F60" w:themeColor="accent1" w:themeShade="7F"/>
      <w:sz w:val="20"/>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38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3891"/>
    <w:rPr>
      <w:rFonts w:asciiTheme="majorHAnsi" w:eastAsiaTheme="majorEastAsia" w:hAnsiTheme="majorHAnsi" w:cstheme="majorBidi"/>
      <w:noProof/>
      <w:color w:val="17365D" w:themeColor="text2" w:themeShade="BF"/>
      <w:spacing w:val="5"/>
      <w:kern w:val="28"/>
      <w:sz w:val="52"/>
      <w:szCs w:val="52"/>
      <w:bdr w:val="nil"/>
      <w:lang w:val="en-GB"/>
    </w:rPr>
  </w:style>
  <w:style w:type="paragraph" w:styleId="Subtitle">
    <w:name w:val="Subtitle"/>
    <w:basedOn w:val="Normal"/>
    <w:next w:val="Normal"/>
    <w:link w:val="SubtitleChar"/>
    <w:uiPriority w:val="11"/>
    <w:qFormat/>
    <w:rsid w:val="00783891"/>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noProof w:val="0"/>
      <w:color w:val="5A5A5A" w:themeColor="text1" w:themeTint="A5"/>
      <w:spacing w:val="15"/>
      <w:sz w:val="22"/>
      <w:szCs w:val="22"/>
      <w:bdr w:val="none" w:sz="0" w:space="0" w:color="auto"/>
    </w:rPr>
  </w:style>
  <w:style w:type="character" w:customStyle="1" w:styleId="SubtitleChar">
    <w:name w:val="Subtitle Char"/>
    <w:basedOn w:val="DefaultParagraphFont"/>
    <w:link w:val="Subtitle"/>
    <w:uiPriority w:val="11"/>
    <w:rsid w:val="00783891"/>
    <w:rPr>
      <w:rFonts w:eastAsiaTheme="minorEastAsia"/>
      <w:color w:val="5A5A5A" w:themeColor="text1" w:themeTint="A5"/>
      <w:spacing w:val="15"/>
      <w:sz w:val="22"/>
      <w:szCs w:val="22"/>
      <w:lang w:val="en-GB"/>
    </w:rPr>
  </w:style>
  <w:style w:type="character" w:customStyle="1" w:styleId="Heading1Char">
    <w:name w:val="Heading 1 Char"/>
    <w:basedOn w:val="DefaultParagraphFont"/>
    <w:link w:val="Heading1"/>
    <w:uiPriority w:val="9"/>
    <w:rsid w:val="00783891"/>
    <w:rPr>
      <w:rFonts w:asciiTheme="majorHAnsi" w:eastAsiaTheme="majorEastAsia" w:hAnsiTheme="majorHAnsi" w:cstheme="majorBidi"/>
      <w:b/>
      <w:bCs/>
      <w:noProof/>
      <w:color w:val="345A8A" w:themeColor="accent1" w:themeShade="B5"/>
      <w:sz w:val="32"/>
      <w:szCs w:val="32"/>
      <w:bdr w:val="nil"/>
      <w:lang w:val="en-GB"/>
    </w:rPr>
  </w:style>
  <w:style w:type="paragraph" w:styleId="FootnoteText">
    <w:name w:val="footnote text"/>
    <w:basedOn w:val="Normal"/>
    <w:link w:val="FootnoteTextChar"/>
    <w:uiPriority w:val="99"/>
    <w:unhideWhenUsed/>
    <w:rsid w:val="00EC1FE0"/>
  </w:style>
  <w:style w:type="character" w:customStyle="1" w:styleId="FootnoteTextChar">
    <w:name w:val="Footnote Text Char"/>
    <w:basedOn w:val="DefaultParagraphFont"/>
    <w:link w:val="FootnoteText"/>
    <w:uiPriority w:val="99"/>
    <w:rsid w:val="00EC1FE0"/>
    <w:rPr>
      <w:rFonts w:ascii="Times New Roman" w:hAnsi="Times New Roman" w:cs="Times New Roman"/>
      <w:noProof/>
      <w:bdr w:val="nil"/>
      <w:lang w:val="en-GB"/>
    </w:rPr>
  </w:style>
  <w:style w:type="character" w:styleId="FootnoteReference">
    <w:name w:val="footnote reference"/>
    <w:basedOn w:val="DefaultParagraphFont"/>
    <w:uiPriority w:val="99"/>
    <w:unhideWhenUsed/>
    <w:rsid w:val="00EC1FE0"/>
    <w:rPr>
      <w:vertAlign w:val="superscript"/>
    </w:rPr>
  </w:style>
  <w:style w:type="character" w:styleId="CommentReference">
    <w:name w:val="annotation reference"/>
    <w:basedOn w:val="DefaultParagraphFont"/>
    <w:uiPriority w:val="99"/>
    <w:semiHidden/>
    <w:unhideWhenUsed/>
    <w:rsid w:val="00DD5CB0"/>
    <w:rPr>
      <w:sz w:val="16"/>
      <w:szCs w:val="16"/>
    </w:rPr>
  </w:style>
  <w:style w:type="paragraph" w:styleId="CommentText">
    <w:name w:val="annotation text"/>
    <w:basedOn w:val="Normal"/>
    <w:link w:val="CommentTextChar"/>
    <w:uiPriority w:val="99"/>
    <w:semiHidden/>
    <w:unhideWhenUsed/>
    <w:rsid w:val="00DD5CB0"/>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noProof w:val="0"/>
      <w:sz w:val="20"/>
      <w:szCs w:val="20"/>
      <w:bdr w:val="none" w:sz="0" w:space="0" w:color="auto"/>
    </w:rPr>
  </w:style>
  <w:style w:type="character" w:customStyle="1" w:styleId="CommentTextChar">
    <w:name w:val="Comment Text Char"/>
    <w:basedOn w:val="DefaultParagraphFont"/>
    <w:link w:val="CommentText"/>
    <w:uiPriority w:val="99"/>
    <w:semiHidden/>
    <w:rsid w:val="00DD5CB0"/>
    <w:rPr>
      <w:rFonts w:eastAsiaTheme="minorHAnsi"/>
      <w:sz w:val="20"/>
      <w:szCs w:val="20"/>
      <w:lang w:val="en-GB"/>
    </w:rPr>
  </w:style>
  <w:style w:type="paragraph" w:styleId="BalloonText">
    <w:name w:val="Balloon Text"/>
    <w:basedOn w:val="Normal"/>
    <w:link w:val="BalloonTextChar"/>
    <w:uiPriority w:val="99"/>
    <w:semiHidden/>
    <w:unhideWhenUsed/>
    <w:rsid w:val="00DD5C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5CB0"/>
    <w:rPr>
      <w:rFonts w:ascii="Lucida Grande" w:hAnsi="Lucida Grande" w:cs="Lucida Grande"/>
      <w:noProof/>
      <w:sz w:val="18"/>
      <w:szCs w:val="18"/>
      <w:bdr w:val="nil"/>
      <w:lang w:val="en-GB"/>
    </w:rPr>
  </w:style>
  <w:style w:type="character" w:customStyle="1" w:styleId="Heading3Char">
    <w:name w:val="Heading 3 Char"/>
    <w:basedOn w:val="DefaultParagraphFont"/>
    <w:link w:val="Heading3"/>
    <w:uiPriority w:val="9"/>
    <w:semiHidden/>
    <w:rsid w:val="00BC6BA4"/>
    <w:rPr>
      <w:rFonts w:asciiTheme="majorHAnsi" w:eastAsiaTheme="majorEastAsia" w:hAnsiTheme="majorHAnsi" w:cstheme="majorBidi"/>
      <w:b/>
      <w:bCs/>
      <w:noProof/>
      <w:color w:val="4F81BD" w:themeColor="accent1"/>
      <w:bdr w:val="nil"/>
      <w:lang w:val="en-GB"/>
    </w:rPr>
  </w:style>
  <w:style w:type="table" w:styleId="TableGrid">
    <w:name w:val="Table Grid"/>
    <w:basedOn w:val="TableNormal"/>
    <w:uiPriority w:val="59"/>
    <w:rsid w:val="00B471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D349D4"/>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cs="Arial"/>
      <w:sz w:val="22"/>
      <w:bdr w:val="none" w:sz="0" w:space="0" w:color="auto"/>
    </w:rPr>
  </w:style>
  <w:style w:type="character" w:customStyle="1" w:styleId="BodyTextChar">
    <w:name w:val="Body Text Char"/>
    <w:basedOn w:val="DefaultParagraphFont"/>
    <w:link w:val="BodyText"/>
    <w:semiHidden/>
    <w:rsid w:val="00D349D4"/>
    <w:rPr>
      <w:rFonts w:ascii="Arial" w:eastAsia="Times New Roman" w:hAnsi="Arial" w:cs="Arial"/>
      <w:noProof/>
      <w:sz w:val="22"/>
      <w:lang w:val="en-GB"/>
    </w:rPr>
  </w:style>
  <w:style w:type="character" w:customStyle="1" w:styleId="Heading5Char">
    <w:name w:val="Heading 5 Char"/>
    <w:basedOn w:val="DefaultParagraphFont"/>
    <w:link w:val="Heading5"/>
    <w:uiPriority w:val="9"/>
    <w:semiHidden/>
    <w:rsid w:val="009552DF"/>
    <w:rPr>
      <w:rFonts w:asciiTheme="majorHAnsi" w:eastAsiaTheme="majorEastAsia" w:hAnsiTheme="majorHAnsi" w:cstheme="majorBidi"/>
      <w:color w:val="243F60" w:themeColor="accent1" w:themeShade="7F"/>
      <w:sz w:val="20"/>
      <w:szCs w:val="20"/>
      <w:lang w:val="en-GB"/>
    </w:rPr>
  </w:style>
  <w:style w:type="paragraph" w:styleId="NoSpacing">
    <w:name w:val="No Spacing"/>
    <w:uiPriority w:val="1"/>
    <w:qFormat/>
    <w:rsid w:val="00AD2E9B"/>
    <w:pPr>
      <w:pBdr>
        <w:top w:val="nil"/>
        <w:left w:val="nil"/>
        <w:bottom w:val="nil"/>
        <w:right w:val="nil"/>
        <w:between w:val="nil"/>
        <w:bar w:val="nil"/>
      </w:pBdr>
    </w:pPr>
    <w:rPr>
      <w:rFonts w:ascii="Times New Roman" w:hAnsi="Times New Roman" w:cs="Times New Roman"/>
      <w:noProof/>
      <w:bdr w:val="nil"/>
      <w:lang w:val="en-GB"/>
    </w:rPr>
  </w:style>
  <w:style w:type="character" w:customStyle="1" w:styleId="Heading2Char">
    <w:name w:val="Heading 2 Char"/>
    <w:basedOn w:val="DefaultParagraphFont"/>
    <w:link w:val="Heading2"/>
    <w:uiPriority w:val="9"/>
    <w:rsid w:val="00654B5E"/>
    <w:rPr>
      <w:rFonts w:asciiTheme="majorHAnsi" w:eastAsiaTheme="majorEastAsia" w:hAnsiTheme="majorHAnsi" w:cstheme="majorBidi"/>
      <w:b/>
      <w:bCs/>
      <w:noProof/>
      <w:color w:val="4F81BD" w:themeColor="accent1"/>
      <w:sz w:val="26"/>
      <w:szCs w:val="26"/>
      <w:bdr w:val="nil"/>
      <w:lang w:val="en-GB"/>
    </w:rPr>
  </w:style>
  <w:style w:type="paragraph" w:styleId="Footer">
    <w:name w:val="footer"/>
    <w:basedOn w:val="Normal"/>
    <w:link w:val="FooterChar"/>
    <w:uiPriority w:val="99"/>
    <w:unhideWhenUsed/>
    <w:rsid w:val="00C43EB8"/>
    <w:pPr>
      <w:tabs>
        <w:tab w:val="center" w:pos="4320"/>
        <w:tab w:val="right" w:pos="8640"/>
      </w:tabs>
    </w:pPr>
  </w:style>
  <w:style w:type="character" w:customStyle="1" w:styleId="FooterChar">
    <w:name w:val="Footer Char"/>
    <w:basedOn w:val="DefaultParagraphFont"/>
    <w:link w:val="Footer"/>
    <w:uiPriority w:val="99"/>
    <w:rsid w:val="00C43EB8"/>
    <w:rPr>
      <w:rFonts w:ascii="Times New Roman" w:hAnsi="Times New Roman" w:cs="Times New Roman"/>
      <w:noProof/>
      <w:bdr w:val="nil"/>
      <w:lang w:val="en-GB"/>
    </w:rPr>
  </w:style>
  <w:style w:type="character" w:styleId="PageNumber">
    <w:name w:val="page number"/>
    <w:basedOn w:val="DefaultParagraphFont"/>
    <w:uiPriority w:val="99"/>
    <w:semiHidden/>
    <w:unhideWhenUsed/>
    <w:rsid w:val="00C43EB8"/>
  </w:style>
  <w:style w:type="paragraph" w:styleId="ListParagraph">
    <w:name w:val="List Paragraph"/>
    <w:basedOn w:val="Normal"/>
    <w:uiPriority w:val="34"/>
    <w:qFormat/>
    <w:rsid w:val="00EC2AF8"/>
    <w:pPr>
      <w:ind w:left="720"/>
      <w:contextualSpacing/>
    </w:pPr>
  </w:style>
  <w:style w:type="paragraph" w:customStyle="1" w:styleId="Default">
    <w:name w:val="Default"/>
    <w:rsid w:val="00AA76B3"/>
    <w:pPr>
      <w:widowControl w:val="0"/>
      <w:autoSpaceDE w:val="0"/>
      <w:autoSpaceDN w:val="0"/>
      <w:adjustRightInd w:val="0"/>
    </w:pPr>
    <w:rPr>
      <w:rFonts w:ascii="Code" w:hAnsi="Code" w:cs="Code"/>
      <w:color w:val="000000"/>
    </w:rPr>
  </w:style>
  <w:style w:type="character" w:customStyle="1" w:styleId="googqs-tidbit-0">
    <w:name w:val="goog_qs-tidbit-0"/>
    <w:basedOn w:val="DefaultParagraphFont"/>
    <w:rsid w:val="00AA76B3"/>
  </w:style>
  <w:style w:type="character" w:styleId="Hyperlink">
    <w:name w:val="Hyperlink"/>
    <w:basedOn w:val="DefaultParagraphFont"/>
    <w:uiPriority w:val="99"/>
    <w:unhideWhenUsed/>
    <w:rsid w:val="000639D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144C1"/>
    <w:pPr>
      <w:pBdr>
        <w:top w:val="nil"/>
        <w:left w:val="nil"/>
        <w:bottom w:val="nil"/>
        <w:right w:val="nil"/>
        <w:between w:val="nil"/>
        <w:bar w:val="nil"/>
      </w:pBdr>
      <w:spacing w:after="0"/>
    </w:pPr>
    <w:rPr>
      <w:rFonts w:ascii="Times New Roman" w:eastAsia="Arial Unicode MS" w:hAnsi="Times New Roman" w:cs="Times New Roman"/>
      <w:b/>
      <w:bCs/>
      <w:noProof/>
      <w:bdr w:val="nil"/>
    </w:rPr>
  </w:style>
  <w:style w:type="character" w:customStyle="1" w:styleId="CommentSubjectChar">
    <w:name w:val="Comment Subject Char"/>
    <w:basedOn w:val="CommentTextChar"/>
    <w:link w:val="CommentSubject"/>
    <w:uiPriority w:val="99"/>
    <w:semiHidden/>
    <w:rsid w:val="008144C1"/>
    <w:rPr>
      <w:rFonts w:ascii="Times New Roman" w:eastAsiaTheme="minorHAnsi" w:hAnsi="Times New Roman" w:cs="Times New Roman"/>
      <w:b/>
      <w:bCs/>
      <w:noProof/>
      <w:sz w:val="20"/>
      <w:szCs w:val="20"/>
      <w:bdr w:val="nil"/>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Arial Unicode MS"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7572"/>
    <w:pPr>
      <w:pBdr>
        <w:top w:val="nil"/>
        <w:left w:val="nil"/>
        <w:bottom w:val="nil"/>
        <w:right w:val="nil"/>
        <w:between w:val="nil"/>
        <w:bar w:val="nil"/>
      </w:pBdr>
    </w:pPr>
    <w:rPr>
      <w:rFonts w:ascii="Times New Roman" w:hAnsi="Times New Roman" w:cs="Times New Roman"/>
      <w:noProof/>
      <w:bdr w:val="nil"/>
      <w:lang w:val="en-GB"/>
    </w:rPr>
  </w:style>
  <w:style w:type="paragraph" w:styleId="Heading1">
    <w:name w:val="heading 1"/>
    <w:basedOn w:val="Normal"/>
    <w:next w:val="Normal"/>
    <w:link w:val="Heading1Char"/>
    <w:uiPriority w:val="9"/>
    <w:qFormat/>
    <w:rsid w:val="0078389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54B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C6BA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9552DF"/>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200"/>
      <w:outlineLvl w:val="4"/>
    </w:pPr>
    <w:rPr>
      <w:rFonts w:asciiTheme="majorHAnsi" w:eastAsiaTheme="majorEastAsia" w:hAnsiTheme="majorHAnsi" w:cstheme="majorBidi"/>
      <w:noProof w:val="0"/>
      <w:color w:val="243F60" w:themeColor="accent1" w:themeShade="7F"/>
      <w:sz w:val="20"/>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38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3891"/>
    <w:rPr>
      <w:rFonts w:asciiTheme="majorHAnsi" w:eastAsiaTheme="majorEastAsia" w:hAnsiTheme="majorHAnsi" w:cstheme="majorBidi"/>
      <w:noProof/>
      <w:color w:val="17365D" w:themeColor="text2" w:themeShade="BF"/>
      <w:spacing w:val="5"/>
      <w:kern w:val="28"/>
      <w:sz w:val="52"/>
      <w:szCs w:val="52"/>
      <w:bdr w:val="nil"/>
      <w:lang w:val="en-GB"/>
    </w:rPr>
  </w:style>
  <w:style w:type="paragraph" w:styleId="Subtitle">
    <w:name w:val="Subtitle"/>
    <w:basedOn w:val="Normal"/>
    <w:next w:val="Normal"/>
    <w:link w:val="SubtitleChar"/>
    <w:uiPriority w:val="11"/>
    <w:qFormat/>
    <w:rsid w:val="00783891"/>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noProof w:val="0"/>
      <w:color w:val="5A5A5A" w:themeColor="text1" w:themeTint="A5"/>
      <w:spacing w:val="15"/>
      <w:sz w:val="22"/>
      <w:szCs w:val="22"/>
      <w:bdr w:val="none" w:sz="0" w:space="0" w:color="auto"/>
    </w:rPr>
  </w:style>
  <w:style w:type="character" w:customStyle="1" w:styleId="SubtitleChar">
    <w:name w:val="Subtitle Char"/>
    <w:basedOn w:val="DefaultParagraphFont"/>
    <w:link w:val="Subtitle"/>
    <w:uiPriority w:val="11"/>
    <w:rsid w:val="00783891"/>
    <w:rPr>
      <w:rFonts w:eastAsiaTheme="minorEastAsia"/>
      <w:color w:val="5A5A5A" w:themeColor="text1" w:themeTint="A5"/>
      <w:spacing w:val="15"/>
      <w:sz w:val="22"/>
      <w:szCs w:val="22"/>
      <w:lang w:val="en-GB"/>
    </w:rPr>
  </w:style>
  <w:style w:type="character" w:customStyle="1" w:styleId="Heading1Char">
    <w:name w:val="Heading 1 Char"/>
    <w:basedOn w:val="DefaultParagraphFont"/>
    <w:link w:val="Heading1"/>
    <w:uiPriority w:val="9"/>
    <w:rsid w:val="00783891"/>
    <w:rPr>
      <w:rFonts w:asciiTheme="majorHAnsi" w:eastAsiaTheme="majorEastAsia" w:hAnsiTheme="majorHAnsi" w:cstheme="majorBidi"/>
      <w:b/>
      <w:bCs/>
      <w:noProof/>
      <w:color w:val="345A8A" w:themeColor="accent1" w:themeShade="B5"/>
      <w:sz w:val="32"/>
      <w:szCs w:val="32"/>
      <w:bdr w:val="nil"/>
      <w:lang w:val="en-GB"/>
    </w:rPr>
  </w:style>
  <w:style w:type="paragraph" w:styleId="FootnoteText">
    <w:name w:val="footnote text"/>
    <w:basedOn w:val="Normal"/>
    <w:link w:val="FootnoteTextChar"/>
    <w:uiPriority w:val="99"/>
    <w:unhideWhenUsed/>
    <w:rsid w:val="00EC1FE0"/>
  </w:style>
  <w:style w:type="character" w:customStyle="1" w:styleId="FootnoteTextChar">
    <w:name w:val="Footnote Text Char"/>
    <w:basedOn w:val="DefaultParagraphFont"/>
    <w:link w:val="FootnoteText"/>
    <w:uiPriority w:val="99"/>
    <w:rsid w:val="00EC1FE0"/>
    <w:rPr>
      <w:rFonts w:ascii="Times New Roman" w:hAnsi="Times New Roman" w:cs="Times New Roman"/>
      <w:noProof/>
      <w:bdr w:val="nil"/>
      <w:lang w:val="en-GB"/>
    </w:rPr>
  </w:style>
  <w:style w:type="character" w:styleId="FootnoteReference">
    <w:name w:val="footnote reference"/>
    <w:basedOn w:val="DefaultParagraphFont"/>
    <w:uiPriority w:val="99"/>
    <w:unhideWhenUsed/>
    <w:rsid w:val="00EC1FE0"/>
    <w:rPr>
      <w:vertAlign w:val="superscript"/>
    </w:rPr>
  </w:style>
  <w:style w:type="character" w:styleId="CommentReference">
    <w:name w:val="annotation reference"/>
    <w:basedOn w:val="DefaultParagraphFont"/>
    <w:uiPriority w:val="99"/>
    <w:semiHidden/>
    <w:unhideWhenUsed/>
    <w:rsid w:val="00DD5CB0"/>
    <w:rPr>
      <w:sz w:val="16"/>
      <w:szCs w:val="16"/>
    </w:rPr>
  </w:style>
  <w:style w:type="paragraph" w:styleId="CommentText">
    <w:name w:val="annotation text"/>
    <w:basedOn w:val="Normal"/>
    <w:link w:val="CommentTextChar"/>
    <w:uiPriority w:val="99"/>
    <w:semiHidden/>
    <w:unhideWhenUsed/>
    <w:rsid w:val="00DD5CB0"/>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noProof w:val="0"/>
      <w:sz w:val="20"/>
      <w:szCs w:val="20"/>
      <w:bdr w:val="none" w:sz="0" w:space="0" w:color="auto"/>
    </w:rPr>
  </w:style>
  <w:style w:type="character" w:customStyle="1" w:styleId="CommentTextChar">
    <w:name w:val="Comment Text Char"/>
    <w:basedOn w:val="DefaultParagraphFont"/>
    <w:link w:val="CommentText"/>
    <w:uiPriority w:val="99"/>
    <w:semiHidden/>
    <w:rsid w:val="00DD5CB0"/>
    <w:rPr>
      <w:rFonts w:eastAsiaTheme="minorHAnsi"/>
      <w:sz w:val="20"/>
      <w:szCs w:val="20"/>
      <w:lang w:val="en-GB"/>
    </w:rPr>
  </w:style>
  <w:style w:type="paragraph" w:styleId="BalloonText">
    <w:name w:val="Balloon Text"/>
    <w:basedOn w:val="Normal"/>
    <w:link w:val="BalloonTextChar"/>
    <w:uiPriority w:val="99"/>
    <w:semiHidden/>
    <w:unhideWhenUsed/>
    <w:rsid w:val="00DD5C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5CB0"/>
    <w:rPr>
      <w:rFonts w:ascii="Lucida Grande" w:hAnsi="Lucida Grande" w:cs="Lucida Grande"/>
      <w:noProof/>
      <w:sz w:val="18"/>
      <w:szCs w:val="18"/>
      <w:bdr w:val="nil"/>
      <w:lang w:val="en-GB"/>
    </w:rPr>
  </w:style>
  <w:style w:type="character" w:customStyle="1" w:styleId="Heading3Char">
    <w:name w:val="Heading 3 Char"/>
    <w:basedOn w:val="DefaultParagraphFont"/>
    <w:link w:val="Heading3"/>
    <w:uiPriority w:val="9"/>
    <w:semiHidden/>
    <w:rsid w:val="00BC6BA4"/>
    <w:rPr>
      <w:rFonts w:asciiTheme="majorHAnsi" w:eastAsiaTheme="majorEastAsia" w:hAnsiTheme="majorHAnsi" w:cstheme="majorBidi"/>
      <w:b/>
      <w:bCs/>
      <w:noProof/>
      <w:color w:val="4F81BD" w:themeColor="accent1"/>
      <w:bdr w:val="nil"/>
      <w:lang w:val="en-GB"/>
    </w:rPr>
  </w:style>
  <w:style w:type="table" w:styleId="TableGrid">
    <w:name w:val="Table Grid"/>
    <w:basedOn w:val="TableNormal"/>
    <w:uiPriority w:val="59"/>
    <w:rsid w:val="00B471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rsid w:val="00D349D4"/>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cs="Arial"/>
      <w:sz w:val="22"/>
      <w:bdr w:val="none" w:sz="0" w:space="0" w:color="auto"/>
    </w:rPr>
  </w:style>
  <w:style w:type="character" w:customStyle="1" w:styleId="BodyTextChar">
    <w:name w:val="Body Text Char"/>
    <w:basedOn w:val="DefaultParagraphFont"/>
    <w:link w:val="BodyText"/>
    <w:semiHidden/>
    <w:rsid w:val="00D349D4"/>
    <w:rPr>
      <w:rFonts w:ascii="Arial" w:eastAsia="Times New Roman" w:hAnsi="Arial" w:cs="Arial"/>
      <w:noProof/>
      <w:sz w:val="22"/>
      <w:lang w:val="en-GB"/>
    </w:rPr>
  </w:style>
  <w:style w:type="character" w:customStyle="1" w:styleId="Heading5Char">
    <w:name w:val="Heading 5 Char"/>
    <w:basedOn w:val="DefaultParagraphFont"/>
    <w:link w:val="Heading5"/>
    <w:uiPriority w:val="9"/>
    <w:semiHidden/>
    <w:rsid w:val="009552DF"/>
    <w:rPr>
      <w:rFonts w:asciiTheme="majorHAnsi" w:eastAsiaTheme="majorEastAsia" w:hAnsiTheme="majorHAnsi" w:cstheme="majorBidi"/>
      <w:color w:val="243F60" w:themeColor="accent1" w:themeShade="7F"/>
      <w:sz w:val="20"/>
      <w:szCs w:val="20"/>
      <w:lang w:val="en-GB"/>
    </w:rPr>
  </w:style>
  <w:style w:type="paragraph" w:styleId="NoSpacing">
    <w:name w:val="No Spacing"/>
    <w:uiPriority w:val="1"/>
    <w:qFormat/>
    <w:rsid w:val="00AD2E9B"/>
    <w:pPr>
      <w:pBdr>
        <w:top w:val="nil"/>
        <w:left w:val="nil"/>
        <w:bottom w:val="nil"/>
        <w:right w:val="nil"/>
        <w:between w:val="nil"/>
        <w:bar w:val="nil"/>
      </w:pBdr>
    </w:pPr>
    <w:rPr>
      <w:rFonts w:ascii="Times New Roman" w:hAnsi="Times New Roman" w:cs="Times New Roman"/>
      <w:noProof/>
      <w:bdr w:val="nil"/>
      <w:lang w:val="en-GB"/>
    </w:rPr>
  </w:style>
  <w:style w:type="character" w:customStyle="1" w:styleId="Heading2Char">
    <w:name w:val="Heading 2 Char"/>
    <w:basedOn w:val="DefaultParagraphFont"/>
    <w:link w:val="Heading2"/>
    <w:uiPriority w:val="9"/>
    <w:rsid w:val="00654B5E"/>
    <w:rPr>
      <w:rFonts w:asciiTheme="majorHAnsi" w:eastAsiaTheme="majorEastAsia" w:hAnsiTheme="majorHAnsi" w:cstheme="majorBidi"/>
      <w:b/>
      <w:bCs/>
      <w:noProof/>
      <w:color w:val="4F81BD" w:themeColor="accent1"/>
      <w:sz w:val="26"/>
      <w:szCs w:val="26"/>
      <w:bdr w:val="nil"/>
      <w:lang w:val="en-GB"/>
    </w:rPr>
  </w:style>
  <w:style w:type="paragraph" w:styleId="Footer">
    <w:name w:val="footer"/>
    <w:basedOn w:val="Normal"/>
    <w:link w:val="FooterChar"/>
    <w:uiPriority w:val="99"/>
    <w:unhideWhenUsed/>
    <w:rsid w:val="00C43EB8"/>
    <w:pPr>
      <w:tabs>
        <w:tab w:val="center" w:pos="4320"/>
        <w:tab w:val="right" w:pos="8640"/>
      </w:tabs>
    </w:pPr>
  </w:style>
  <w:style w:type="character" w:customStyle="1" w:styleId="FooterChar">
    <w:name w:val="Footer Char"/>
    <w:basedOn w:val="DefaultParagraphFont"/>
    <w:link w:val="Footer"/>
    <w:uiPriority w:val="99"/>
    <w:rsid w:val="00C43EB8"/>
    <w:rPr>
      <w:rFonts w:ascii="Times New Roman" w:hAnsi="Times New Roman" w:cs="Times New Roman"/>
      <w:noProof/>
      <w:bdr w:val="nil"/>
      <w:lang w:val="en-GB"/>
    </w:rPr>
  </w:style>
  <w:style w:type="character" w:styleId="PageNumber">
    <w:name w:val="page number"/>
    <w:basedOn w:val="DefaultParagraphFont"/>
    <w:uiPriority w:val="99"/>
    <w:semiHidden/>
    <w:unhideWhenUsed/>
    <w:rsid w:val="00C43EB8"/>
  </w:style>
  <w:style w:type="paragraph" w:styleId="ListParagraph">
    <w:name w:val="List Paragraph"/>
    <w:basedOn w:val="Normal"/>
    <w:uiPriority w:val="34"/>
    <w:qFormat/>
    <w:rsid w:val="00EC2AF8"/>
    <w:pPr>
      <w:ind w:left="720"/>
      <w:contextualSpacing/>
    </w:pPr>
  </w:style>
  <w:style w:type="paragraph" w:customStyle="1" w:styleId="Default">
    <w:name w:val="Default"/>
    <w:rsid w:val="00AA76B3"/>
    <w:pPr>
      <w:widowControl w:val="0"/>
      <w:autoSpaceDE w:val="0"/>
      <w:autoSpaceDN w:val="0"/>
      <w:adjustRightInd w:val="0"/>
    </w:pPr>
    <w:rPr>
      <w:rFonts w:ascii="Code" w:hAnsi="Code" w:cs="Code"/>
      <w:color w:val="000000"/>
    </w:rPr>
  </w:style>
  <w:style w:type="character" w:customStyle="1" w:styleId="googqs-tidbit-0">
    <w:name w:val="goog_qs-tidbit-0"/>
    <w:basedOn w:val="DefaultParagraphFont"/>
    <w:rsid w:val="00AA76B3"/>
  </w:style>
  <w:style w:type="character" w:styleId="Hyperlink">
    <w:name w:val="Hyperlink"/>
    <w:basedOn w:val="DefaultParagraphFont"/>
    <w:uiPriority w:val="99"/>
    <w:unhideWhenUsed/>
    <w:rsid w:val="000639D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144C1"/>
    <w:pPr>
      <w:pBdr>
        <w:top w:val="nil"/>
        <w:left w:val="nil"/>
        <w:bottom w:val="nil"/>
        <w:right w:val="nil"/>
        <w:between w:val="nil"/>
        <w:bar w:val="nil"/>
      </w:pBdr>
      <w:spacing w:after="0"/>
    </w:pPr>
    <w:rPr>
      <w:rFonts w:ascii="Times New Roman" w:eastAsia="Arial Unicode MS" w:hAnsi="Times New Roman" w:cs="Times New Roman"/>
      <w:b/>
      <w:bCs/>
      <w:noProof/>
      <w:bdr w:val="nil"/>
    </w:rPr>
  </w:style>
  <w:style w:type="character" w:customStyle="1" w:styleId="CommentSubjectChar">
    <w:name w:val="Comment Subject Char"/>
    <w:basedOn w:val="CommentTextChar"/>
    <w:link w:val="CommentSubject"/>
    <w:uiPriority w:val="99"/>
    <w:semiHidden/>
    <w:rsid w:val="008144C1"/>
    <w:rPr>
      <w:rFonts w:ascii="Times New Roman" w:eastAsiaTheme="minorHAnsi" w:hAnsi="Times New Roman" w:cs="Times New Roman"/>
      <w:b/>
      <w:bCs/>
      <w:noProof/>
      <w:sz w:val="20"/>
      <w:szCs w:val="20"/>
      <w:bdr w:val="ni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3481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Layout" Target="diagrams/layout1.xml"/><Relationship Id="rId12" Type="http://schemas.openxmlformats.org/officeDocument/2006/relationships/diagramQuickStyle" Target="diagrams/quickStyle1.xml"/><Relationship Id="rId13" Type="http://schemas.openxmlformats.org/officeDocument/2006/relationships/diagramColors" Target="diagrams/colors1.xml"/><Relationship Id="rId14" Type="http://schemas.microsoft.com/office/2007/relationships/diagramDrawing" Target="diagrams/drawing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hart" Target="charts/chart1.xml"/><Relationship Id="rId10" Type="http://schemas.openxmlformats.org/officeDocument/2006/relationships/diagramData" Target="diagrams/data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statistics/benefit-expenditure-and-caseload-tables-2015" TargetMode="External"/><Relationship Id="rId2" Type="http://schemas.openxmlformats.org/officeDocument/2006/relationships/hyperlink" Target="https://www.gov.uk/government/collections/homelessness-statistics" TargetMode="Externa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1: Homelessness applications</a:t>
            </a:r>
            <a:r>
              <a:rPr lang="en-GB" baseline="0"/>
              <a:t> and acceptances</a:t>
            </a:r>
            <a:endParaRPr lang="en-GB"/>
          </a:p>
        </c:rich>
      </c:tx>
      <c:layout/>
      <c:overlay val="0"/>
      <c:spPr>
        <a:noFill/>
        <a:ln>
          <a:noFill/>
        </a:ln>
        <a:effectLst/>
      </c:spPr>
    </c:title>
    <c:autoTitleDeleted val="0"/>
    <c:plotArea>
      <c:layout/>
      <c:lineChart>
        <c:grouping val="standard"/>
        <c:varyColors val="0"/>
        <c:ser>
          <c:idx val="0"/>
          <c:order val="0"/>
          <c:tx>
            <c:strRef>
              <c:f>Sheet3!$B$1</c:f>
              <c:strCache>
                <c:ptCount val="1"/>
                <c:pt idx="0">
                  <c:v>No of Applications</c:v>
                </c:pt>
              </c:strCache>
            </c:strRef>
          </c:tx>
          <c:spPr>
            <a:ln w="28575" cap="rnd">
              <a:solidFill>
                <a:schemeClr val="accent1"/>
              </a:solidFill>
              <a:round/>
            </a:ln>
            <a:effectLst/>
          </c:spPr>
          <c:marker>
            <c:symbol val="none"/>
          </c:marker>
          <c:cat>
            <c:numRef>
              <c:f>Sheet3!$A$2:$A$18</c:f>
              <c:numCache>
                <c:formatCode>General</c:formatCode>
                <c:ptCount val="17"/>
                <c:pt idx="0">
                  <c:v>1998.0</c:v>
                </c:pt>
                <c:pt idx="1">
                  <c:v>1999.0</c:v>
                </c:pt>
                <c:pt idx="2">
                  <c:v>2000.0</c:v>
                </c:pt>
                <c:pt idx="3">
                  <c:v>2001.0</c:v>
                </c:pt>
                <c:pt idx="4">
                  <c:v>2002.0</c:v>
                </c:pt>
                <c:pt idx="5">
                  <c:v>2003.0</c:v>
                </c:pt>
                <c:pt idx="6">
                  <c:v>2004.0</c:v>
                </c:pt>
                <c:pt idx="7">
                  <c:v>2005.0</c:v>
                </c:pt>
                <c:pt idx="8">
                  <c:v>2006.0</c:v>
                </c:pt>
                <c:pt idx="9">
                  <c:v>2007.0</c:v>
                </c:pt>
                <c:pt idx="10">
                  <c:v>2008.0</c:v>
                </c:pt>
                <c:pt idx="11">
                  <c:v>2009.0</c:v>
                </c:pt>
                <c:pt idx="12">
                  <c:v>2010.0</c:v>
                </c:pt>
                <c:pt idx="13">
                  <c:v>2011.0</c:v>
                </c:pt>
                <c:pt idx="14">
                  <c:v>2012.0</c:v>
                </c:pt>
                <c:pt idx="15">
                  <c:v>2013.0</c:v>
                </c:pt>
                <c:pt idx="16">
                  <c:v>2014.0</c:v>
                </c:pt>
              </c:numCache>
            </c:numRef>
          </c:cat>
          <c:val>
            <c:numRef>
              <c:f>Sheet3!$B$2:$B$18</c:f>
              <c:numCache>
                <c:formatCode>#,##0</c:formatCode>
                <c:ptCount val="17"/>
                <c:pt idx="0">
                  <c:v>245350.0</c:v>
                </c:pt>
                <c:pt idx="1">
                  <c:v>243290.0</c:v>
                </c:pt>
                <c:pt idx="2">
                  <c:v>247190.0</c:v>
                </c:pt>
                <c:pt idx="3">
                  <c:v>255080.0</c:v>
                </c:pt>
                <c:pt idx="4">
                  <c:v>269330.0</c:v>
                </c:pt>
                <c:pt idx="5">
                  <c:v>296970.0</c:v>
                </c:pt>
                <c:pt idx="6">
                  <c:v>281460.0</c:v>
                </c:pt>
                <c:pt idx="7">
                  <c:v>227260.0</c:v>
                </c:pt>
                <c:pt idx="8">
                  <c:v>168530.0</c:v>
                </c:pt>
                <c:pt idx="9">
                  <c:v>137690.0</c:v>
                </c:pt>
                <c:pt idx="10">
                  <c:v>117460.0</c:v>
                </c:pt>
                <c:pt idx="11">
                  <c:v>93600.0</c:v>
                </c:pt>
                <c:pt idx="12">
                  <c:v>97210.0</c:v>
                </c:pt>
                <c:pt idx="13">
                  <c:v>107240.0</c:v>
                </c:pt>
                <c:pt idx="14">
                  <c:v>112880.0</c:v>
                </c:pt>
                <c:pt idx="15">
                  <c:v>113270.0</c:v>
                </c:pt>
                <c:pt idx="16">
                  <c:v>110770.0</c:v>
                </c:pt>
              </c:numCache>
            </c:numRef>
          </c:val>
          <c:smooth val="0"/>
        </c:ser>
        <c:ser>
          <c:idx val="1"/>
          <c:order val="1"/>
          <c:tx>
            <c:strRef>
              <c:f>Sheet3!$C$1</c:f>
              <c:strCache>
                <c:ptCount val="1"/>
                <c:pt idx="0">
                  <c:v>No of successful applications</c:v>
                </c:pt>
              </c:strCache>
            </c:strRef>
          </c:tx>
          <c:spPr>
            <a:ln w="28575" cap="rnd">
              <a:solidFill>
                <a:schemeClr val="accent2"/>
              </a:solidFill>
              <a:round/>
            </a:ln>
            <a:effectLst/>
          </c:spPr>
          <c:marker>
            <c:symbol val="none"/>
          </c:marker>
          <c:cat>
            <c:numRef>
              <c:f>Sheet3!$A$2:$A$18</c:f>
              <c:numCache>
                <c:formatCode>General</c:formatCode>
                <c:ptCount val="17"/>
                <c:pt idx="0">
                  <c:v>1998.0</c:v>
                </c:pt>
                <c:pt idx="1">
                  <c:v>1999.0</c:v>
                </c:pt>
                <c:pt idx="2">
                  <c:v>2000.0</c:v>
                </c:pt>
                <c:pt idx="3">
                  <c:v>2001.0</c:v>
                </c:pt>
                <c:pt idx="4">
                  <c:v>2002.0</c:v>
                </c:pt>
                <c:pt idx="5">
                  <c:v>2003.0</c:v>
                </c:pt>
                <c:pt idx="6">
                  <c:v>2004.0</c:v>
                </c:pt>
                <c:pt idx="7">
                  <c:v>2005.0</c:v>
                </c:pt>
                <c:pt idx="8">
                  <c:v>2006.0</c:v>
                </c:pt>
                <c:pt idx="9">
                  <c:v>2007.0</c:v>
                </c:pt>
                <c:pt idx="10">
                  <c:v>2008.0</c:v>
                </c:pt>
                <c:pt idx="11">
                  <c:v>2009.0</c:v>
                </c:pt>
                <c:pt idx="12">
                  <c:v>2010.0</c:v>
                </c:pt>
                <c:pt idx="13">
                  <c:v>2011.0</c:v>
                </c:pt>
                <c:pt idx="14">
                  <c:v>2012.0</c:v>
                </c:pt>
                <c:pt idx="15">
                  <c:v>2013.0</c:v>
                </c:pt>
                <c:pt idx="16">
                  <c:v>2014.0</c:v>
                </c:pt>
              </c:numCache>
            </c:numRef>
          </c:cat>
          <c:val>
            <c:numRef>
              <c:f>Sheet3!$C$2:$C$18</c:f>
              <c:numCache>
                <c:formatCode>#,##0</c:formatCode>
                <c:ptCount val="17"/>
                <c:pt idx="0">
                  <c:v>104630.0</c:v>
                </c:pt>
                <c:pt idx="1">
                  <c:v>105370.0</c:v>
                </c:pt>
                <c:pt idx="2">
                  <c:v>111340.0</c:v>
                </c:pt>
                <c:pt idx="3">
                  <c:v>117830.0</c:v>
                </c:pt>
                <c:pt idx="4">
                  <c:v>123840.0</c:v>
                </c:pt>
                <c:pt idx="5">
                  <c:v>135590.0</c:v>
                </c:pt>
                <c:pt idx="6">
                  <c:v>127760.0</c:v>
                </c:pt>
                <c:pt idx="7">
                  <c:v>100170.0</c:v>
                </c:pt>
                <c:pt idx="8">
                  <c:v>76860.0</c:v>
                </c:pt>
                <c:pt idx="9">
                  <c:v>64970.0</c:v>
                </c:pt>
                <c:pt idx="10">
                  <c:v>57510.0</c:v>
                </c:pt>
                <c:pt idx="11">
                  <c:v>41780.0</c:v>
                </c:pt>
                <c:pt idx="12">
                  <c:v>42390.0</c:v>
                </c:pt>
                <c:pt idx="13">
                  <c:v>48510.0</c:v>
                </c:pt>
                <c:pt idx="14" formatCode="[$-409]#,##0;[$-409]&quot;(&quot;#,##0&quot;)&quot;">
                  <c:v>53480.0</c:v>
                </c:pt>
                <c:pt idx="15" formatCode="[$-409]#,##0;[$-409]&quot;(&quot;#,##0&quot;)&quot;">
                  <c:v>53150.0</c:v>
                </c:pt>
                <c:pt idx="16">
                  <c:v>53250.0</c:v>
                </c:pt>
              </c:numCache>
            </c:numRef>
          </c:val>
          <c:smooth val="0"/>
        </c:ser>
        <c:dLbls>
          <c:showLegendKey val="0"/>
          <c:showVal val="0"/>
          <c:showCatName val="0"/>
          <c:showSerName val="0"/>
          <c:showPercent val="0"/>
          <c:showBubbleSize val="0"/>
        </c:dLbls>
        <c:marker val="1"/>
        <c:smooth val="0"/>
        <c:axId val="2104093480"/>
        <c:axId val="2124023160"/>
      </c:lineChart>
      <c:catAx>
        <c:axId val="2104093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4023160"/>
        <c:crosses val="autoZero"/>
        <c:auto val="1"/>
        <c:lblAlgn val="ctr"/>
        <c:lblOffset val="100"/>
        <c:noMultiLvlLbl val="0"/>
      </c:catAx>
      <c:valAx>
        <c:axId val="21240231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40934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615262-1B32-B44F-8CD4-CDE9AA9665F2}" type="doc">
      <dgm:prSet loTypeId="urn:microsoft.com/office/officeart/2005/8/layout/venn1" loCatId="" qsTypeId="urn:microsoft.com/office/officeart/2005/8/quickstyle/simple3" qsCatId="simple" csTypeId="urn:microsoft.com/office/officeart/2005/8/colors/accent1_2" csCatId="accent1" phldr="1"/>
      <dgm:spPr/>
      <dgm:t>
        <a:bodyPr/>
        <a:lstStyle/>
        <a:p>
          <a:endParaRPr lang="en-US"/>
        </a:p>
      </dgm:t>
    </dgm:pt>
    <dgm:pt modelId="{D5AD51B6-E062-F049-88D4-324E9C433A5B}">
      <dgm:prSet phldrT="[Text]"/>
      <dgm:spPr/>
      <dgm:t>
        <a:bodyPr/>
        <a:lstStyle/>
        <a:p>
          <a:r>
            <a:rPr lang="en-US" dirty="0" smtClean="0"/>
            <a:t>Illegality</a:t>
          </a:r>
        </a:p>
      </dgm:t>
    </dgm:pt>
    <dgm:pt modelId="{A683D24D-C8E8-5D4F-A692-5D5AA9678A54}" type="parTrans" cxnId="{0095D15E-2BC2-D441-9F3A-7546AFF1C2D6}">
      <dgm:prSet/>
      <dgm:spPr/>
      <dgm:t>
        <a:bodyPr/>
        <a:lstStyle/>
        <a:p>
          <a:endParaRPr lang="en-US"/>
        </a:p>
      </dgm:t>
    </dgm:pt>
    <dgm:pt modelId="{4C1719DF-BD9B-264D-B152-D8526718A8AF}" type="sibTrans" cxnId="{0095D15E-2BC2-D441-9F3A-7546AFF1C2D6}">
      <dgm:prSet/>
      <dgm:spPr/>
      <dgm:t>
        <a:bodyPr/>
        <a:lstStyle/>
        <a:p>
          <a:endParaRPr lang="en-US"/>
        </a:p>
      </dgm:t>
    </dgm:pt>
    <dgm:pt modelId="{3ACD42E4-8576-B542-A5E4-51D0E9509E67}">
      <dgm:prSet phldrT="[Text]"/>
      <dgm:spPr/>
      <dgm:t>
        <a:bodyPr/>
        <a:lstStyle/>
        <a:p>
          <a:r>
            <a:rPr lang="en-US" dirty="0" smtClean="0"/>
            <a:t>Substantive Mistake</a:t>
          </a:r>
        </a:p>
      </dgm:t>
    </dgm:pt>
    <dgm:pt modelId="{5D2745D8-ED2F-384F-B5C4-9D2A2D233902}" type="parTrans" cxnId="{A8526C84-DC64-6448-B8F8-EF96447E44D3}">
      <dgm:prSet/>
      <dgm:spPr/>
      <dgm:t>
        <a:bodyPr/>
        <a:lstStyle/>
        <a:p>
          <a:endParaRPr lang="en-US"/>
        </a:p>
      </dgm:t>
    </dgm:pt>
    <dgm:pt modelId="{2305E8A8-8EE8-9B43-947D-015B56E3F881}" type="sibTrans" cxnId="{A8526C84-DC64-6448-B8F8-EF96447E44D3}">
      <dgm:prSet/>
      <dgm:spPr/>
      <dgm:t>
        <a:bodyPr/>
        <a:lstStyle/>
        <a:p>
          <a:endParaRPr lang="en-US"/>
        </a:p>
      </dgm:t>
    </dgm:pt>
    <dgm:pt modelId="{69518B45-CF72-AF43-AC4A-960AD04EFC37}">
      <dgm:prSet phldrT="[Text]"/>
      <dgm:spPr/>
      <dgm:t>
        <a:bodyPr/>
        <a:lstStyle/>
        <a:p>
          <a:r>
            <a:rPr lang="en-US" dirty="0" smtClean="0"/>
            <a:t>Maladministration</a:t>
          </a:r>
        </a:p>
      </dgm:t>
    </dgm:pt>
    <dgm:pt modelId="{D2D7F296-EA18-0849-B3EC-9A4CD3292C31}" type="parTrans" cxnId="{3B188B11-6051-0949-B840-2BA50FD5E050}">
      <dgm:prSet/>
      <dgm:spPr/>
      <dgm:t>
        <a:bodyPr/>
        <a:lstStyle/>
        <a:p>
          <a:endParaRPr lang="en-US"/>
        </a:p>
      </dgm:t>
    </dgm:pt>
    <dgm:pt modelId="{AFE7D85E-2877-B14A-906B-1D6A5A608CB6}" type="sibTrans" cxnId="{3B188B11-6051-0949-B840-2BA50FD5E050}">
      <dgm:prSet/>
      <dgm:spPr/>
      <dgm:t>
        <a:bodyPr/>
        <a:lstStyle/>
        <a:p>
          <a:endParaRPr lang="en-US"/>
        </a:p>
      </dgm:t>
    </dgm:pt>
    <dgm:pt modelId="{F5C559A0-0457-E647-B5D6-2986BD171D4A}" type="pres">
      <dgm:prSet presAssocID="{83615262-1B32-B44F-8CD4-CDE9AA9665F2}" presName="compositeShape" presStyleCnt="0">
        <dgm:presLayoutVars>
          <dgm:chMax val="7"/>
          <dgm:dir/>
          <dgm:resizeHandles val="exact"/>
        </dgm:presLayoutVars>
      </dgm:prSet>
      <dgm:spPr/>
      <dgm:t>
        <a:bodyPr/>
        <a:lstStyle/>
        <a:p>
          <a:endParaRPr lang="en-US"/>
        </a:p>
      </dgm:t>
    </dgm:pt>
    <dgm:pt modelId="{B66A00C2-7391-634A-B3B2-784BFE42F689}" type="pres">
      <dgm:prSet presAssocID="{D5AD51B6-E062-F049-88D4-324E9C433A5B}" presName="circ1" presStyleLbl="vennNode1" presStyleIdx="0" presStyleCnt="3"/>
      <dgm:spPr/>
      <dgm:t>
        <a:bodyPr/>
        <a:lstStyle/>
        <a:p>
          <a:endParaRPr lang="en-US"/>
        </a:p>
      </dgm:t>
    </dgm:pt>
    <dgm:pt modelId="{FC78933F-EC57-B24B-AD5E-986C2AB6F51D}" type="pres">
      <dgm:prSet presAssocID="{D5AD51B6-E062-F049-88D4-324E9C433A5B}" presName="circ1Tx" presStyleLbl="revTx" presStyleIdx="0" presStyleCnt="0">
        <dgm:presLayoutVars>
          <dgm:chMax val="0"/>
          <dgm:chPref val="0"/>
          <dgm:bulletEnabled val="1"/>
        </dgm:presLayoutVars>
      </dgm:prSet>
      <dgm:spPr/>
      <dgm:t>
        <a:bodyPr/>
        <a:lstStyle/>
        <a:p>
          <a:endParaRPr lang="en-US"/>
        </a:p>
      </dgm:t>
    </dgm:pt>
    <dgm:pt modelId="{4970BF52-EFD8-9349-A0C5-B5EFABE2D593}" type="pres">
      <dgm:prSet presAssocID="{3ACD42E4-8576-B542-A5E4-51D0E9509E67}" presName="circ2" presStyleLbl="vennNode1" presStyleIdx="1" presStyleCnt="3"/>
      <dgm:spPr/>
      <dgm:t>
        <a:bodyPr/>
        <a:lstStyle/>
        <a:p>
          <a:endParaRPr lang="en-US"/>
        </a:p>
      </dgm:t>
    </dgm:pt>
    <dgm:pt modelId="{5018C255-7690-E84C-B369-CBD3C6382CF7}" type="pres">
      <dgm:prSet presAssocID="{3ACD42E4-8576-B542-A5E4-51D0E9509E67}" presName="circ2Tx" presStyleLbl="revTx" presStyleIdx="0" presStyleCnt="0">
        <dgm:presLayoutVars>
          <dgm:chMax val="0"/>
          <dgm:chPref val="0"/>
          <dgm:bulletEnabled val="1"/>
        </dgm:presLayoutVars>
      </dgm:prSet>
      <dgm:spPr/>
      <dgm:t>
        <a:bodyPr/>
        <a:lstStyle/>
        <a:p>
          <a:endParaRPr lang="en-US"/>
        </a:p>
      </dgm:t>
    </dgm:pt>
    <dgm:pt modelId="{C429A0B8-816D-B749-8622-F0CDF10E9C3B}" type="pres">
      <dgm:prSet presAssocID="{69518B45-CF72-AF43-AC4A-960AD04EFC37}" presName="circ3" presStyleLbl="vennNode1" presStyleIdx="2" presStyleCnt="3"/>
      <dgm:spPr/>
      <dgm:t>
        <a:bodyPr/>
        <a:lstStyle/>
        <a:p>
          <a:endParaRPr lang="en-US"/>
        </a:p>
      </dgm:t>
    </dgm:pt>
    <dgm:pt modelId="{5351265F-3850-FE4F-94B2-E09D866D41AB}" type="pres">
      <dgm:prSet presAssocID="{69518B45-CF72-AF43-AC4A-960AD04EFC37}" presName="circ3Tx" presStyleLbl="revTx" presStyleIdx="0" presStyleCnt="0">
        <dgm:presLayoutVars>
          <dgm:chMax val="0"/>
          <dgm:chPref val="0"/>
          <dgm:bulletEnabled val="1"/>
        </dgm:presLayoutVars>
      </dgm:prSet>
      <dgm:spPr/>
      <dgm:t>
        <a:bodyPr/>
        <a:lstStyle/>
        <a:p>
          <a:endParaRPr lang="en-US"/>
        </a:p>
      </dgm:t>
    </dgm:pt>
  </dgm:ptLst>
  <dgm:cxnLst>
    <dgm:cxn modelId="{3B188B11-6051-0949-B840-2BA50FD5E050}" srcId="{83615262-1B32-B44F-8CD4-CDE9AA9665F2}" destId="{69518B45-CF72-AF43-AC4A-960AD04EFC37}" srcOrd="2" destOrd="0" parTransId="{D2D7F296-EA18-0849-B3EC-9A4CD3292C31}" sibTransId="{AFE7D85E-2877-B14A-906B-1D6A5A608CB6}"/>
    <dgm:cxn modelId="{40222313-B578-994A-8515-95F9A56BC751}" type="presOf" srcId="{69518B45-CF72-AF43-AC4A-960AD04EFC37}" destId="{5351265F-3850-FE4F-94B2-E09D866D41AB}" srcOrd="1" destOrd="0" presId="urn:microsoft.com/office/officeart/2005/8/layout/venn1"/>
    <dgm:cxn modelId="{82061BB0-C624-DF47-9135-BD092D8BCF62}" type="presOf" srcId="{D5AD51B6-E062-F049-88D4-324E9C433A5B}" destId="{B66A00C2-7391-634A-B3B2-784BFE42F689}" srcOrd="0" destOrd="0" presId="urn:microsoft.com/office/officeart/2005/8/layout/venn1"/>
    <dgm:cxn modelId="{79316679-FD7A-724B-A712-02F2FBFFFA73}" type="presOf" srcId="{69518B45-CF72-AF43-AC4A-960AD04EFC37}" destId="{C429A0B8-816D-B749-8622-F0CDF10E9C3B}" srcOrd="0" destOrd="0" presId="urn:microsoft.com/office/officeart/2005/8/layout/venn1"/>
    <dgm:cxn modelId="{EEAD8AE4-E845-6340-A8EF-8A5C4D122AA5}" type="presOf" srcId="{3ACD42E4-8576-B542-A5E4-51D0E9509E67}" destId="{4970BF52-EFD8-9349-A0C5-B5EFABE2D593}" srcOrd="0" destOrd="0" presId="urn:microsoft.com/office/officeart/2005/8/layout/venn1"/>
    <dgm:cxn modelId="{F7A9A01D-D507-CA47-9C44-361F38B9623B}" type="presOf" srcId="{3ACD42E4-8576-B542-A5E4-51D0E9509E67}" destId="{5018C255-7690-E84C-B369-CBD3C6382CF7}" srcOrd="1" destOrd="0" presId="urn:microsoft.com/office/officeart/2005/8/layout/venn1"/>
    <dgm:cxn modelId="{46805EE9-1C23-CB4F-ADFF-C1C815A99DE6}" type="presOf" srcId="{83615262-1B32-B44F-8CD4-CDE9AA9665F2}" destId="{F5C559A0-0457-E647-B5D6-2986BD171D4A}" srcOrd="0" destOrd="0" presId="urn:microsoft.com/office/officeart/2005/8/layout/venn1"/>
    <dgm:cxn modelId="{A8526C84-DC64-6448-B8F8-EF96447E44D3}" srcId="{83615262-1B32-B44F-8CD4-CDE9AA9665F2}" destId="{3ACD42E4-8576-B542-A5E4-51D0E9509E67}" srcOrd="1" destOrd="0" parTransId="{5D2745D8-ED2F-384F-B5C4-9D2A2D233902}" sibTransId="{2305E8A8-8EE8-9B43-947D-015B56E3F881}"/>
    <dgm:cxn modelId="{0095D15E-2BC2-D441-9F3A-7546AFF1C2D6}" srcId="{83615262-1B32-B44F-8CD4-CDE9AA9665F2}" destId="{D5AD51B6-E062-F049-88D4-324E9C433A5B}" srcOrd="0" destOrd="0" parTransId="{A683D24D-C8E8-5D4F-A692-5D5AA9678A54}" sibTransId="{4C1719DF-BD9B-264D-B152-D8526718A8AF}"/>
    <dgm:cxn modelId="{7A796D22-7EF9-C647-B37B-79695066351F}" type="presOf" srcId="{D5AD51B6-E062-F049-88D4-324E9C433A5B}" destId="{FC78933F-EC57-B24B-AD5E-986C2AB6F51D}" srcOrd="1" destOrd="0" presId="urn:microsoft.com/office/officeart/2005/8/layout/venn1"/>
    <dgm:cxn modelId="{73D2FBF0-2D75-A64C-B341-C620ECF8429B}" type="presParOf" srcId="{F5C559A0-0457-E647-B5D6-2986BD171D4A}" destId="{B66A00C2-7391-634A-B3B2-784BFE42F689}" srcOrd="0" destOrd="0" presId="urn:microsoft.com/office/officeart/2005/8/layout/venn1"/>
    <dgm:cxn modelId="{91A75BF1-7311-F140-8B8C-A850C7822C79}" type="presParOf" srcId="{F5C559A0-0457-E647-B5D6-2986BD171D4A}" destId="{FC78933F-EC57-B24B-AD5E-986C2AB6F51D}" srcOrd="1" destOrd="0" presId="urn:microsoft.com/office/officeart/2005/8/layout/venn1"/>
    <dgm:cxn modelId="{1756792E-1B1A-5849-89BD-D5715913F037}" type="presParOf" srcId="{F5C559A0-0457-E647-B5D6-2986BD171D4A}" destId="{4970BF52-EFD8-9349-A0C5-B5EFABE2D593}" srcOrd="2" destOrd="0" presId="urn:microsoft.com/office/officeart/2005/8/layout/venn1"/>
    <dgm:cxn modelId="{81B63AAE-2514-F846-9647-F6440F462F6F}" type="presParOf" srcId="{F5C559A0-0457-E647-B5D6-2986BD171D4A}" destId="{5018C255-7690-E84C-B369-CBD3C6382CF7}" srcOrd="3" destOrd="0" presId="urn:microsoft.com/office/officeart/2005/8/layout/venn1"/>
    <dgm:cxn modelId="{D593E95A-F326-414E-AD6A-44F9D030B63F}" type="presParOf" srcId="{F5C559A0-0457-E647-B5D6-2986BD171D4A}" destId="{C429A0B8-816D-B749-8622-F0CDF10E9C3B}" srcOrd="4" destOrd="0" presId="urn:microsoft.com/office/officeart/2005/8/layout/venn1"/>
    <dgm:cxn modelId="{2542D207-75F3-CD45-85F9-DA9101578109}" type="presParOf" srcId="{F5C559A0-0457-E647-B5D6-2986BD171D4A}" destId="{5351265F-3850-FE4F-94B2-E09D866D41AB}" srcOrd="5" destOrd="0" presId="urn:microsoft.com/office/officeart/2005/8/layout/ven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6A00C2-7391-634A-B3B2-784BFE42F689}">
      <dsp:nvSpPr>
        <dsp:cNvPr id="0" name=""/>
        <dsp:cNvSpPr/>
      </dsp:nvSpPr>
      <dsp:spPr>
        <a:xfrm>
          <a:off x="1810956" y="34345"/>
          <a:ext cx="1648587" cy="1648587"/>
        </a:xfrm>
        <a:prstGeom prst="ellipse">
          <a:avLst/>
        </a:prstGeom>
        <a:gradFill rotWithShape="0">
          <a:gsLst>
            <a:gs pos="0">
              <a:schemeClr val="accent1">
                <a:alpha val="50000"/>
                <a:hueOff val="0"/>
                <a:satOff val="0"/>
                <a:lumOff val="0"/>
                <a:alphaOff val="0"/>
                <a:tint val="50000"/>
                <a:satMod val="300000"/>
              </a:schemeClr>
            </a:gs>
            <a:gs pos="35000">
              <a:schemeClr val="accent1">
                <a:alpha val="50000"/>
                <a:hueOff val="0"/>
                <a:satOff val="0"/>
                <a:lumOff val="0"/>
                <a:alphaOff val="0"/>
                <a:tint val="37000"/>
                <a:satMod val="300000"/>
              </a:schemeClr>
            </a:gs>
            <a:gs pos="100000">
              <a:schemeClr val="accent1">
                <a:alpha val="50000"/>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n-US" sz="900" kern="1200" dirty="0" smtClean="0"/>
            <a:t>Illegality</a:t>
          </a:r>
        </a:p>
      </dsp:txBody>
      <dsp:txXfrm>
        <a:off x="2030768" y="322848"/>
        <a:ext cx="1208963" cy="741864"/>
      </dsp:txXfrm>
    </dsp:sp>
    <dsp:sp modelId="{4970BF52-EFD8-9349-A0C5-B5EFABE2D593}">
      <dsp:nvSpPr>
        <dsp:cNvPr id="0" name=""/>
        <dsp:cNvSpPr/>
      </dsp:nvSpPr>
      <dsp:spPr>
        <a:xfrm>
          <a:off x="2405821" y="1064712"/>
          <a:ext cx="1648587" cy="1648587"/>
        </a:xfrm>
        <a:prstGeom prst="ellipse">
          <a:avLst/>
        </a:prstGeom>
        <a:gradFill rotWithShape="0">
          <a:gsLst>
            <a:gs pos="0">
              <a:schemeClr val="accent1">
                <a:alpha val="50000"/>
                <a:hueOff val="0"/>
                <a:satOff val="0"/>
                <a:lumOff val="0"/>
                <a:alphaOff val="0"/>
                <a:tint val="50000"/>
                <a:satMod val="300000"/>
              </a:schemeClr>
            </a:gs>
            <a:gs pos="35000">
              <a:schemeClr val="accent1">
                <a:alpha val="50000"/>
                <a:hueOff val="0"/>
                <a:satOff val="0"/>
                <a:lumOff val="0"/>
                <a:alphaOff val="0"/>
                <a:tint val="37000"/>
                <a:satMod val="300000"/>
              </a:schemeClr>
            </a:gs>
            <a:gs pos="100000">
              <a:schemeClr val="accent1">
                <a:alpha val="50000"/>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n-US" sz="900" kern="1200" dirty="0" smtClean="0"/>
            <a:t>Substantive Mistake</a:t>
          </a:r>
        </a:p>
      </dsp:txBody>
      <dsp:txXfrm>
        <a:off x="2910014" y="1490597"/>
        <a:ext cx="989152" cy="906722"/>
      </dsp:txXfrm>
    </dsp:sp>
    <dsp:sp modelId="{C429A0B8-816D-B749-8622-F0CDF10E9C3B}">
      <dsp:nvSpPr>
        <dsp:cNvPr id="0" name=""/>
        <dsp:cNvSpPr/>
      </dsp:nvSpPr>
      <dsp:spPr>
        <a:xfrm>
          <a:off x="1216091" y="1064712"/>
          <a:ext cx="1648587" cy="1648587"/>
        </a:xfrm>
        <a:prstGeom prst="ellipse">
          <a:avLst/>
        </a:prstGeom>
        <a:gradFill rotWithShape="0">
          <a:gsLst>
            <a:gs pos="0">
              <a:schemeClr val="accent1">
                <a:alpha val="50000"/>
                <a:hueOff val="0"/>
                <a:satOff val="0"/>
                <a:lumOff val="0"/>
                <a:alphaOff val="0"/>
                <a:tint val="50000"/>
                <a:satMod val="300000"/>
              </a:schemeClr>
            </a:gs>
            <a:gs pos="35000">
              <a:schemeClr val="accent1">
                <a:alpha val="50000"/>
                <a:hueOff val="0"/>
                <a:satOff val="0"/>
                <a:lumOff val="0"/>
                <a:alphaOff val="0"/>
                <a:tint val="37000"/>
                <a:satMod val="300000"/>
              </a:schemeClr>
            </a:gs>
            <a:gs pos="100000">
              <a:schemeClr val="accent1">
                <a:alpha val="50000"/>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n-US" sz="900" kern="1200" dirty="0" smtClean="0"/>
            <a:t>Maladministration</a:t>
          </a:r>
        </a:p>
      </dsp:txBody>
      <dsp:txXfrm>
        <a:off x="1371333" y="1490597"/>
        <a:ext cx="989152" cy="906722"/>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A17B5-7269-9745-BECA-7DB35D34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19</Pages>
  <Words>7385</Words>
  <Characters>42100</Characters>
  <Application>Microsoft Macintosh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49387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Halliday</dc:creator>
  <cp:lastModifiedBy>Simon Halliday</cp:lastModifiedBy>
  <cp:revision>34</cp:revision>
  <cp:lastPrinted>2016-05-10T01:06:00Z</cp:lastPrinted>
  <dcterms:created xsi:type="dcterms:W3CDTF">2016-08-01T04:49:00Z</dcterms:created>
  <dcterms:modified xsi:type="dcterms:W3CDTF">2016-08-09T08:04:00Z</dcterms:modified>
</cp:coreProperties>
</file>