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432E3" w14:textId="4770386E" w:rsidR="00854E87" w:rsidRPr="006F1A1F" w:rsidRDefault="00854E87" w:rsidP="008B0431">
      <w:pPr>
        <w:pStyle w:val="Default"/>
        <w:spacing w:line="480" w:lineRule="auto"/>
        <w:jc w:val="both"/>
        <w:rPr>
          <w:rFonts w:cs="Arial"/>
          <w:b/>
          <w:noProof/>
          <w:color w:val="323232"/>
          <w:sz w:val="24"/>
          <w:szCs w:val="24"/>
          <w:u w:val="single"/>
          <w:lang w:val="en-GB"/>
        </w:rPr>
      </w:pPr>
      <w:bookmarkStart w:id="0" w:name="_GoBack"/>
      <w:bookmarkEnd w:id="0"/>
      <w:r w:rsidRPr="006F1A1F">
        <w:rPr>
          <w:rFonts w:cs="Arial"/>
          <w:b/>
          <w:noProof/>
          <w:color w:val="323232"/>
          <w:sz w:val="24"/>
          <w:szCs w:val="24"/>
          <w:u w:val="single"/>
          <w:lang w:val="en-GB"/>
        </w:rPr>
        <w:t>ISME – SHORT COMMUNICATION</w:t>
      </w:r>
    </w:p>
    <w:p w14:paraId="7AB0EAEE" w14:textId="77777777" w:rsidR="002B3D7A" w:rsidRPr="006F1A1F" w:rsidRDefault="002B3D7A" w:rsidP="008B0431">
      <w:pPr>
        <w:pStyle w:val="Default"/>
        <w:spacing w:line="480" w:lineRule="auto"/>
        <w:jc w:val="both"/>
        <w:rPr>
          <w:rFonts w:cs="Arial"/>
          <w:b/>
          <w:noProof/>
          <w:color w:val="323232"/>
          <w:sz w:val="24"/>
          <w:szCs w:val="24"/>
          <w:u w:val="single"/>
          <w:lang w:val="en-GB"/>
        </w:rPr>
      </w:pPr>
    </w:p>
    <w:p w14:paraId="70319CB3" w14:textId="77777777" w:rsidR="00233C17" w:rsidRPr="006F1A1F" w:rsidRDefault="002B3D7A" w:rsidP="008B0431">
      <w:pPr>
        <w:pStyle w:val="Default"/>
        <w:spacing w:line="480" w:lineRule="auto"/>
        <w:jc w:val="both"/>
        <w:rPr>
          <w:rFonts w:cs="Arial"/>
          <w:b/>
          <w:noProof/>
          <w:color w:val="323232"/>
          <w:sz w:val="24"/>
          <w:szCs w:val="24"/>
          <w:lang w:val="en-GB"/>
        </w:rPr>
      </w:pPr>
      <w:r w:rsidRPr="006F1A1F">
        <w:rPr>
          <w:rFonts w:cs="Arial"/>
          <w:b/>
          <w:noProof/>
          <w:color w:val="323232"/>
          <w:sz w:val="24"/>
          <w:szCs w:val="24"/>
          <w:lang w:val="en-GB"/>
        </w:rPr>
        <w:t xml:space="preserve">TITLE: </w:t>
      </w:r>
      <w:r w:rsidR="00746B38" w:rsidRPr="006F1A1F">
        <w:rPr>
          <w:rFonts w:cs="Arial"/>
          <w:b/>
          <w:noProof/>
          <w:color w:val="323232"/>
          <w:sz w:val="24"/>
          <w:szCs w:val="24"/>
          <w:lang w:val="en-GB"/>
        </w:rPr>
        <w:t>Gene mobility promotes</w:t>
      </w:r>
      <w:r w:rsidR="00233C17" w:rsidRPr="006F1A1F">
        <w:rPr>
          <w:rFonts w:cs="Arial"/>
          <w:b/>
          <w:noProof/>
          <w:color w:val="323232"/>
          <w:sz w:val="24"/>
          <w:szCs w:val="24"/>
          <w:lang w:val="en-GB"/>
        </w:rPr>
        <w:t xml:space="preserve"> the spread of resistance in bacterial populations</w:t>
      </w:r>
    </w:p>
    <w:p w14:paraId="3A558320" w14:textId="77777777" w:rsidR="00274AB4" w:rsidRPr="006F1A1F" w:rsidRDefault="00274AB4" w:rsidP="008B0431">
      <w:pPr>
        <w:pStyle w:val="Default"/>
        <w:spacing w:line="480" w:lineRule="auto"/>
        <w:jc w:val="both"/>
        <w:rPr>
          <w:rFonts w:cs="Arial"/>
          <w:b/>
          <w:noProof/>
          <w:color w:val="323232"/>
          <w:sz w:val="24"/>
          <w:szCs w:val="24"/>
          <w:lang w:val="en-GB"/>
        </w:rPr>
      </w:pPr>
    </w:p>
    <w:p w14:paraId="7D944574" w14:textId="77777777" w:rsidR="00233C17" w:rsidRPr="006F1A1F" w:rsidRDefault="002B3D7A" w:rsidP="008B0431">
      <w:pPr>
        <w:pStyle w:val="Default"/>
        <w:spacing w:line="480" w:lineRule="auto"/>
        <w:jc w:val="both"/>
        <w:rPr>
          <w:rFonts w:cs="Arial"/>
          <w:b/>
          <w:noProof/>
          <w:color w:val="323232"/>
          <w:sz w:val="24"/>
          <w:szCs w:val="24"/>
          <w:lang w:val="en-GB"/>
        </w:rPr>
      </w:pPr>
      <w:r w:rsidRPr="006F1A1F">
        <w:rPr>
          <w:rFonts w:cs="Arial"/>
          <w:b/>
          <w:noProof/>
          <w:color w:val="323232"/>
          <w:sz w:val="24"/>
          <w:szCs w:val="24"/>
          <w:lang w:val="en-GB"/>
        </w:rPr>
        <w:t xml:space="preserve">RUNNING TITLE: </w:t>
      </w:r>
      <w:r w:rsidR="003B7B22" w:rsidRPr="006F1A1F">
        <w:rPr>
          <w:rFonts w:cs="Arial"/>
          <w:b/>
          <w:noProof/>
          <w:color w:val="323232"/>
          <w:sz w:val="24"/>
          <w:szCs w:val="24"/>
          <w:lang w:val="en-GB"/>
        </w:rPr>
        <w:t xml:space="preserve">Gene transfer </w:t>
      </w:r>
      <w:r w:rsidR="00746B38" w:rsidRPr="006F1A1F">
        <w:rPr>
          <w:rFonts w:cs="Arial"/>
          <w:b/>
          <w:noProof/>
          <w:color w:val="323232"/>
          <w:sz w:val="24"/>
          <w:szCs w:val="24"/>
          <w:lang w:val="en-GB"/>
        </w:rPr>
        <w:t>promotes</w:t>
      </w:r>
      <w:r w:rsidR="003B7B22" w:rsidRPr="006F1A1F">
        <w:rPr>
          <w:rFonts w:cs="Arial"/>
          <w:b/>
          <w:noProof/>
          <w:color w:val="323232"/>
          <w:sz w:val="24"/>
          <w:szCs w:val="24"/>
          <w:lang w:val="en-GB"/>
        </w:rPr>
        <w:t xml:space="preserve"> spread of resistance</w:t>
      </w:r>
    </w:p>
    <w:p w14:paraId="3C396362" w14:textId="77777777" w:rsidR="00A80A81" w:rsidRPr="006F1A1F" w:rsidRDefault="00A80A81" w:rsidP="008B0431">
      <w:pPr>
        <w:pStyle w:val="Default"/>
        <w:spacing w:line="480" w:lineRule="auto"/>
        <w:jc w:val="both"/>
        <w:rPr>
          <w:rFonts w:cs="Arial"/>
          <w:b/>
          <w:noProof/>
          <w:color w:val="323232"/>
          <w:sz w:val="24"/>
          <w:szCs w:val="24"/>
          <w:lang w:val="en-GB"/>
        </w:rPr>
      </w:pPr>
    </w:p>
    <w:p w14:paraId="00A68457" w14:textId="77777777" w:rsidR="00233C17" w:rsidRPr="006F1A1F" w:rsidRDefault="00233C17" w:rsidP="008B0431">
      <w:pPr>
        <w:pStyle w:val="Default"/>
        <w:spacing w:line="480" w:lineRule="auto"/>
        <w:jc w:val="both"/>
        <w:rPr>
          <w:rFonts w:cs="Arial"/>
          <w:noProof/>
          <w:color w:val="323232"/>
          <w:sz w:val="24"/>
          <w:szCs w:val="24"/>
          <w:vertAlign w:val="superscript"/>
          <w:lang w:val="en-GB"/>
        </w:rPr>
      </w:pPr>
      <w:r w:rsidRPr="006F1A1F">
        <w:rPr>
          <w:rFonts w:cs="Arial"/>
          <w:noProof/>
          <w:color w:val="323232"/>
          <w:sz w:val="24"/>
          <w:szCs w:val="24"/>
          <w:lang w:val="en-GB"/>
        </w:rPr>
        <w:t>Cagla Stevenson</w:t>
      </w:r>
      <w:r w:rsidRPr="006F1A1F">
        <w:rPr>
          <w:rFonts w:cs="Arial"/>
          <w:noProof/>
          <w:color w:val="323232"/>
          <w:sz w:val="24"/>
          <w:szCs w:val="24"/>
          <w:vertAlign w:val="superscript"/>
          <w:lang w:val="en-GB"/>
        </w:rPr>
        <w:t>1</w:t>
      </w:r>
      <w:r w:rsidRPr="006F1A1F">
        <w:rPr>
          <w:rFonts w:cs="Arial"/>
          <w:noProof/>
          <w:color w:val="323232"/>
          <w:sz w:val="24"/>
          <w:szCs w:val="24"/>
          <w:lang w:val="en-GB"/>
        </w:rPr>
        <w:t>, James P. J. Hall</w:t>
      </w:r>
      <w:r w:rsidRPr="006F1A1F">
        <w:rPr>
          <w:rFonts w:cs="Arial"/>
          <w:noProof/>
          <w:color w:val="323232"/>
          <w:sz w:val="24"/>
          <w:szCs w:val="24"/>
          <w:vertAlign w:val="superscript"/>
          <w:lang w:val="en-GB"/>
        </w:rPr>
        <w:t>1</w:t>
      </w:r>
      <w:r w:rsidRPr="006F1A1F">
        <w:rPr>
          <w:rFonts w:cs="Arial"/>
          <w:noProof/>
          <w:color w:val="323232"/>
          <w:sz w:val="24"/>
          <w:szCs w:val="24"/>
          <w:lang w:val="en-GB"/>
        </w:rPr>
        <w:t>, Ellie Harrison</w:t>
      </w:r>
      <w:r w:rsidRPr="006F1A1F">
        <w:rPr>
          <w:rFonts w:cs="Arial"/>
          <w:noProof/>
          <w:color w:val="323232"/>
          <w:sz w:val="24"/>
          <w:szCs w:val="24"/>
          <w:vertAlign w:val="superscript"/>
          <w:lang w:val="en-GB"/>
        </w:rPr>
        <w:t>1</w:t>
      </w:r>
      <w:r w:rsidRPr="006F1A1F">
        <w:rPr>
          <w:rFonts w:cs="Arial"/>
          <w:noProof/>
          <w:color w:val="323232"/>
          <w:sz w:val="24"/>
          <w:szCs w:val="24"/>
          <w:lang w:val="en-GB"/>
        </w:rPr>
        <w:t>, A. Jamie Wood</w:t>
      </w:r>
      <w:r w:rsidRPr="006F1A1F">
        <w:rPr>
          <w:rFonts w:cs="Arial"/>
          <w:noProof/>
          <w:color w:val="323232"/>
          <w:sz w:val="24"/>
          <w:szCs w:val="24"/>
          <w:vertAlign w:val="superscript"/>
          <w:lang w:val="en-GB"/>
        </w:rPr>
        <w:t>1</w:t>
      </w:r>
      <w:r w:rsidR="005619A3" w:rsidRPr="006F1A1F">
        <w:rPr>
          <w:rFonts w:cs="Arial"/>
          <w:noProof/>
          <w:color w:val="323232"/>
          <w:sz w:val="24"/>
          <w:szCs w:val="24"/>
          <w:vertAlign w:val="superscript"/>
          <w:lang w:val="en-GB"/>
        </w:rPr>
        <w:t>,2</w:t>
      </w:r>
      <w:r w:rsidRPr="006F1A1F">
        <w:rPr>
          <w:rFonts w:cs="Arial"/>
          <w:noProof/>
          <w:color w:val="323232"/>
          <w:sz w:val="24"/>
          <w:szCs w:val="24"/>
          <w:lang w:val="en-GB"/>
        </w:rPr>
        <w:t>, Michael A. Brockhurst</w:t>
      </w:r>
      <w:r w:rsidRPr="006F1A1F">
        <w:rPr>
          <w:rFonts w:cs="Arial"/>
          <w:noProof/>
          <w:color w:val="323232"/>
          <w:sz w:val="24"/>
          <w:szCs w:val="24"/>
          <w:vertAlign w:val="superscript"/>
          <w:lang w:val="en-GB"/>
        </w:rPr>
        <w:t>1</w:t>
      </w:r>
    </w:p>
    <w:p w14:paraId="0F2FBA00" w14:textId="77777777" w:rsidR="00233C17" w:rsidRPr="006F1A1F" w:rsidRDefault="00233C17" w:rsidP="008B0431">
      <w:pPr>
        <w:pStyle w:val="Default"/>
        <w:spacing w:line="480" w:lineRule="auto"/>
        <w:jc w:val="both"/>
        <w:rPr>
          <w:rFonts w:cs="Arial"/>
          <w:noProof/>
          <w:color w:val="323232"/>
          <w:sz w:val="24"/>
          <w:szCs w:val="24"/>
          <w:lang w:val="en-GB"/>
        </w:rPr>
      </w:pPr>
      <w:r w:rsidRPr="006F1A1F">
        <w:rPr>
          <w:rFonts w:cs="Arial"/>
          <w:noProof/>
          <w:color w:val="323232"/>
          <w:sz w:val="24"/>
          <w:szCs w:val="24"/>
          <w:vertAlign w:val="superscript"/>
          <w:lang w:val="en-GB"/>
        </w:rPr>
        <w:t xml:space="preserve">1 </w:t>
      </w:r>
      <w:r w:rsidRPr="006F1A1F">
        <w:rPr>
          <w:rFonts w:cs="Arial"/>
          <w:noProof/>
          <w:color w:val="323232"/>
          <w:sz w:val="24"/>
          <w:szCs w:val="24"/>
          <w:lang w:val="en-GB"/>
        </w:rPr>
        <w:t>Department of Biology, University of York, York, UK, Y010 5DD</w:t>
      </w:r>
    </w:p>
    <w:p w14:paraId="34FF54EA" w14:textId="77777777" w:rsidR="005619A3" w:rsidRPr="006F1A1F" w:rsidRDefault="005619A3" w:rsidP="008B0431">
      <w:pPr>
        <w:pStyle w:val="Default"/>
        <w:spacing w:line="480" w:lineRule="auto"/>
        <w:jc w:val="both"/>
        <w:rPr>
          <w:rFonts w:cs="Arial"/>
          <w:noProof/>
          <w:color w:val="323232"/>
          <w:sz w:val="24"/>
          <w:szCs w:val="24"/>
          <w:lang w:val="en-GB"/>
        </w:rPr>
      </w:pPr>
      <w:r w:rsidRPr="006F1A1F">
        <w:rPr>
          <w:rFonts w:cs="Arial"/>
          <w:noProof/>
          <w:color w:val="323232"/>
          <w:sz w:val="24"/>
          <w:szCs w:val="24"/>
          <w:vertAlign w:val="superscript"/>
          <w:lang w:val="en-GB"/>
        </w:rPr>
        <w:t>2</w:t>
      </w:r>
      <w:r w:rsidRPr="006F1A1F">
        <w:rPr>
          <w:rFonts w:cs="Arial"/>
          <w:noProof/>
          <w:color w:val="323232"/>
          <w:sz w:val="24"/>
          <w:szCs w:val="24"/>
          <w:lang w:val="en-GB"/>
        </w:rPr>
        <w:t xml:space="preserve"> Department of Mathematics, University of York, York, UK, YO10 5DD</w:t>
      </w:r>
    </w:p>
    <w:p w14:paraId="42695BDA" w14:textId="77777777" w:rsidR="00233C17" w:rsidRPr="006F1A1F" w:rsidRDefault="00233C17" w:rsidP="008B0431">
      <w:pPr>
        <w:pStyle w:val="Default"/>
        <w:spacing w:line="480" w:lineRule="auto"/>
        <w:jc w:val="both"/>
        <w:rPr>
          <w:rFonts w:cs="Arial"/>
          <w:noProof/>
          <w:color w:val="323232"/>
          <w:sz w:val="24"/>
          <w:szCs w:val="24"/>
          <w:lang w:val="en-GB"/>
        </w:rPr>
      </w:pPr>
    </w:p>
    <w:p w14:paraId="5EF59D49" w14:textId="77777777" w:rsidR="002B3D7A" w:rsidRPr="006F1A1F" w:rsidRDefault="002B3D7A" w:rsidP="008B0431">
      <w:pPr>
        <w:pStyle w:val="Default"/>
        <w:spacing w:line="480" w:lineRule="auto"/>
        <w:jc w:val="both"/>
        <w:rPr>
          <w:rFonts w:cs="Arial"/>
          <w:b/>
          <w:noProof/>
          <w:color w:val="323232"/>
          <w:sz w:val="24"/>
          <w:szCs w:val="24"/>
          <w:lang w:val="en-GB"/>
        </w:rPr>
      </w:pPr>
    </w:p>
    <w:p w14:paraId="0F9FEF03" w14:textId="77777777" w:rsidR="002B3D7A" w:rsidRPr="006F1A1F" w:rsidRDefault="002B3D7A" w:rsidP="008B0431">
      <w:pPr>
        <w:pStyle w:val="Default"/>
        <w:spacing w:line="480" w:lineRule="auto"/>
        <w:jc w:val="both"/>
        <w:rPr>
          <w:rFonts w:cs="Arial"/>
          <w:b/>
          <w:noProof/>
          <w:color w:val="323232"/>
          <w:sz w:val="24"/>
          <w:szCs w:val="24"/>
          <w:lang w:val="en-GB"/>
        </w:rPr>
      </w:pPr>
      <w:r w:rsidRPr="006F1A1F">
        <w:rPr>
          <w:rFonts w:cs="Arial"/>
          <w:b/>
          <w:noProof/>
          <w:color w:val="323232"/>
          <w:sz w:val="24"/>
          <w:szCs w:val="24"/>
          <w:lang w:val="en-GB"/>
        </w:rPr>
        <w:t>AUTHOR FOR CORRESPONDENCE:</w:t>
      </w:r>
    </w:p>
    <w:p w14:paraId="05A0F260" w14:textId="77777777" w:rsidR="002B3D7A" w:rsidRPr="006F1A1F" w:rsidRDefault="002B3D7A" w:rsidP="008B0431">
      <w:pPr>
        <w:pStyle w:val="Default"/>
        <w:spacing w:line="480" w:lineRule="auto"/>
        <w:jc w:val="both"/>
        <w:rPr>
          <w:rFonts w:cs="Arial"/>
          <w:b/>
          <w:noProof/>
          <w:color w:val="323232"/>
          <w:sz w:val="24"/>
          <w:szCs w:val="24"/>
          <w:lang w:val="en-GB"/>
        </w:rPr>
      </w:pPr>
      <w:r w:rsidRPr="006F1A1F">
        <w:rPr>
          <w:rFonts w:cs="Arial"/>
          <w:noProof/>
          <w:color w:val="323232"/>
          <w:sz w:val="24"/>
          <w:szCs w:val="24"/>
          <w:lang w:val="en-GB"/>
        </w:rPr>
        <w:t>Cagla Stevenson</w:t>
      </w:r>
    </w:p>
    <w:p w14:paraId="0A7F0DC4" w14:textId="77777777" w:rsidR="002B3D7A" w:rsidRPr="006F1A1F" w:rsidRDefault="002B3D7A" w:rsidP="008B0431">
      <w:pPr>
        <w:pStyle w:val="Default"/>
        <w:spacing w:line="480" w:lineRule="auto"/>
        <w:jc w:val="both"/>
        <w:rPr>
          <w:rFonts w:cs="Arial"/>
          <w:noProof/>
          <w:color w:val="323232"/>
          <w:sz w:val="24"/>
          <w:szCs w:val="24"/>
          <w:lang w:val="en-GB"/>
        </w:rPr>
      </w:pPr>
      <w:r w:rsidRPr="006F1A1F">
        <w:rPr>
          <w:rFonts w:cs="Arial"/>
          <w:noProof/>
          <w:color w:val="323232"/>
          <w:sz w:val="24"/>
          <w:szCs w:val="24"/>
          <w:lang w:val="en-GB"/>
        </w:rPr>
        <w:t>Department of Biology, University of York, UK, Y010 5DD</w:t>
      </w:r>
    </w:p>
    <w:p w14:paraId="473FD738" w14:textId="77777777" w:rsidR="002B3D7A" w:rsidRPr="006F1A1F" w:rsidRDefault="002B3D7A" w:rsidP="008B0431">
      <w:pPr>
        <w:pStyle w:val="Default"/>
        <w:spacing w:line="480" w:lineRule="auto"/>
        <w:jc w:val="both"/>
        <w:rPr>
          <w:rFonts w:cs="Arial"/>
          <w:noProof/>
          <w:color w:val="323232"/>
          <w:sz w:val="24"/>
          <w:szCs w:val="24"/>
          <w:lang w:val="en-GB"/>
        </w:rPr>
      </w:pPr>
      <w:r w:rsidRPr="006F1A1F">
        <w:rPr>
          <w:rFonts w:cs="Arial"/>
          <w:noProof/>
          <w:color w:val="323232"/>
          <w:sz w:val="24"/>
          <w:szCs w:val="24"/>
          <w:lang w:val="en-GB"/>
        </w:rPr>
        <w:t>chs506@york.ac.uk</w:t>
      </w:r>
    </w:p>
    <w:p w14:paraId="77304FF7" w14:textId="77777777" w:rsidR="002B3D7A" w:rsidRPr="006F1A1F" w:rsidRDefault="002B3D7A" w:rsidP="008B0431">
      <w:pPr>
        <w:pStyle w:val="Default"/>
        <w:spacing w:line="480" w:lineRule="auto"/>
        <w:jc w:val="both"/>
        <w:rPr>
          <w:rFonts w:cs="Arial"/>
          <w:b/>
          <w:noProof/>
          <w:color w:val="323232"/>
          <w:sz w:val="24"/>
          <w:szCs w:val="24"/>
          <w:lang w:val="en-GB"/>
        </w:rPr>
      </w:pPr>
    </w:p>
    <w:p w14:paraId="1378A1A8" w14:textId="77777777" w:rsidR="002B3D7A" w:rsidRPr="006F1A1F" w:rsidRDefault="002B3D7A" w:rsidP="008B0431">
      <w:pPr>
        <w:spacing w:line="480" w:lineRule="auto"/>
        <w:jc w:val="both"/>
        <w:rPr>
          <w:rFonts w:ascii="Helvetica" w:hAnsi="Helvetica" w:cs="Arial"/>
          <w:b/>
          <w:noProof/>
        </w:rPr>
      </w:pPr>
    </w:p>
    <w:p w14:paraId="15DE654D" w14:textId="77777777" w:rsidR="002B3D7A" w:rsidRPr="006F1A1F" w:rsidRDefault="002B3D7A" w:rsidP="008B0431">
      <w:pPr>
        <w:spacing w:line="480" w:lineRule="auto"/>
        <w:jc w:val="both"/>
        <w:rPr>
          <w:rFonts w:ascii="Helvetica" w:hAnsi="Helvetica" w:cs="Arial"/>
          <w:b/>
          <w:noProof/>
        </w:rPr>
      </w:pPr>
      <w:r w:rsidRPr="006F1A1F">
        <w:rPr>
          <w:rFonts w:ascii="Helvetica" w:hAnsi="Helvetica" w:cs="Arial"/>
          <w:b/>
          <w:noProof/>
        </w:rPr>
        <w:t>CONFLICT OF INTEREST:</w:t>
      </w:r>
    </w:p>
    <w:p w14:paraId="0FE10874" w14:textId="77777777" w:rsidR="002B3D7A" w:rsidRPr="006F1A1F" w:rsidRDefault="002B3D7A" w:rsidP="008B0431">
      <w:pPr>
        <w:spacing w:line="480" w:lineRule="auto"/>
        <w:jc w:val="both"/>
        <w:rPr>
          <w:rFonts w:ascii="Helvetica" w:hAnsi="Helvetica" w:cs="Arial"/>
          <w:noProof/>
        </w:rPr>
      </w:pPr>
      <w:r w:rsidRPr="006F1A1F">
        <w:rPr>
          <w:rFonts w:ascii="Helvetica" w:hAnsi="Helvetica" w:cs="Arial"/>
          <w:noProof/>
        </w:rPr>
        <w:t xml:space="preserve">The authors declare no conflict of interest. </w:t>
      </w:r>
    </w:p>
    <w:p w14:paraId="470DF693" w14:textId="77777777" w:rsidR="002B3D7A" w:rsidRPr="006F1A1F" w:rsidRDefault="002B3D7A" w:rsidP="008B0431">
      <w:pPr>
        <w:pStyle w:val="Default"/>
        <w:spacing w:line="480" w:lineRule="auto"/>
        <w:jc w:val="both"/>
        <w:rPr>
          <w:rFonts w:cs="Arial"/>
          <w:b/>
          <w:noProof/>
          <w:color w:val="323232"/>
          <w:sz w:val="24"/>
          <w:szCs w:val="24"/>
          <w:lang w:val="en-GB"/>
        </w:rPr>
      </w:pPr>
    </w:p>
    <w:p w14:paraId="7DB93439" w14:textId="77777777" w:rsidR="002B3D7A" w:rsidRPr="006F1A1F" w:rsidRDefault="002B3D7A" w:rsidP="008B0431">
      <w:pPr>
        <w:pStyle w:val="Default"/>
        <w:spacing w:line="480" w:lineRule="auto"/>
        <w:jc w:val="both"/>
        <w:rPr>
          <w:rFonts w:cs="Arial"/>
          <w:b/>
          <w:noProof/>
          <w:color w:val="323232"/>
          <w:sz w:val="24"/>
          <w:szCs w:val="24"/>
          <w:lang w:val="en-GB"/>
        </w:rPr>
      </w:pPr>
    </w:p>
    <w:p w14:paraId="45157235" w14:textId="77777777" w:rsidR="002B3D7A" w:rsidRPr="006F1A1F" w:rsidRDefault="002B3D7A" w:rsidP="008B0431">
      <w:pPr>
        <w:pStyle w:val="Default"/>
        <w:spacing w:line="480" w:lineRule="auto"/>
        <w:jc w:val="both"/>
        <w:rPr>
          <w:rFonts w:cs="Arial"/>
          <w:b/>
          <w:noProof/>
          <w:color w:val="323232"/>
          <w:sz w:val="24"/>
          <w:szCs w:val="24"/>
          <w:lang w:val="en-GB"/>
        </w:rPr>
      </w:pPr>
    </w:p>
    <w:p w14:paraId="62CB2CB3" w14:textId="77777777" w:rsidR="00233C17" w:rsidRPr="006F1A1F" w:rsidRDefault="00233C17" w:rsidP="008B0431">
      <w:pPr>
        <w:pStyle w:val="Default"/>
        <w:spacing w:line="480" w:lineRule="auto"/>
        <w:jc w:val="both"/>
        <w:rPr>
          <w:rFonts w:cs="Arial"/>
          <w:b/>
          <w:noProof/>
          <w:color w:val="323232"/>
          <w:sz w:val="24"/>
          <w:szCs w:val="24"/>
          <w:lang w:val="en-GB"/>
        </w:rPr>
      </w:pPr>
      <w:r w:rsidRPr="006F1A1F">
        <w:rPr>
          <w:rFonts w:cs="Arial"/>
          <w:b/>
          <w:noProof/>
          <w:color w:val="323232"/>
          <w:sz w:val="24"/>
          <w:szCs w:val="24"/>
          <w:lang w:val="en-GB"/>
        </w:rPr>
        <w:t>ABSTRACT</w:t>
      </w:r>
      <w:r w:rsidR="00EB4DE9" w:rsidRPr="006F1A1F">
        <w:rPr>
          <w:rFonts w:cs="Arial"/>
          <w:b/>
          <w:noProof/>
          <w:color w:val="323232"/>
          <w:sz w:val="24"/>
          <w:szCs w:val="24"/>
          <w:lang w:val="en-GB"/>
        </w:rPr>
        <w:t xml:space="preserve"> </w:t>
      </w:r>
    </w:p>
    <w:p w14:paraId="1FB4454F" w14:textId="77777777" w:rsidR="00AB5A61" w:rsidRPr="006F1A1F" w:rsidRDefault="00AB5A61" w:rsidP="008B0431">
      <w:pPr>
        <w:pStyle w:val="Default"/>
        <w:spacing w:line="480" w:lineRule="auto"/>
        <w:jc w:val="both"/>
        <w:rPr>
          <w:rFonts w:cs="Arial"/>
          <w:noProof/>
          <w:color w:val="323232"/>
          <w:sz w:val="24"/>
          <w:szCs w:val="24"/>
          <w:lang w:val="en-GB"/>
        </w:rPr>
      </w:pPr>
    </w:p>
    <w:p w14:paraId="277EB9E0" w14:textId="77777777" w:rsidR="00B63D87" w:rsidRPr="006F1A1F" w:rsidRDefault="00233C17" w:rsidP="008B0431">
      <w:pPr>
        <w:pStyle w:val="Default"/>
        <w:spacing w:line="480" w:lineRule="auto"/>
        <w:jc w:val="both"/>
        <w:rPr>
          <w:rFonts w:cs="Arial"/>
          <w:noProof/>
          <w:color w:val="323232"/>
          <w:sz w:val="24"/>
          <w:szCs w:val="24"/>
          <w:lang w:val="en-GB"/>
        </w:rPr>
      </w:pPr>
      <w:r w:rsidRPr="006F1A1F">
        <w:rPr>
          <w:rFonts w:cs="Arial"/>
          <w:noProof/>
          <w:color w:val="323232"/>
          <w:sz w:val="24"/>
          <w:szCs w:val="24"/>
          <w:lang w:val="en-GB"/>
        </w:rPr>
        <w:t xml:space="preserve">Theory predicts that horizontal gene transfer </w:t>
      </w:r>
      <w:r w:rsidR="00116A82" w:rsidRPr="006F1A1F">
        <w:rPr>
          <w:rFonts w:cs="Arial"/>
          <w:noProof/>
          <w:color w:val="323232"/>
          <w:sz w:val="24"/>
          <w:szCs w:val="24"/>
          <w:lang w:val="en-GB"/>
        </w:rPr>
        <w:t xml:space="preserve">(HGT) </w:t>
      </w:r>
      <w:r w:rsidRPr="006F1A1F">
        <w:rPr>
          <w:rFonts w:cs="Arial"/>
          <w:noProof/>
          <w:color w:val="323232"/>
          <w:sz w:val="24"/>
          <w:szCs w:val="24"/>
          <w:lang w:val="en-GB"/>
        </w:rPr>
        <w:t>expand</w:t>
      </w:r>
      <w:r w:rsidR="007A025F" w:rsidRPr="006F1A1F">
        <w:rPr>
          <w:rFonts w:cs="Arial"/>
          <w:noProof/>
          <w:color w:val="323232"/>
          <w:sz w:val="24"/>
          <w:szCs w:val="24"/>
          <w:lang w:val="en-GB"/>
        </w:rPr>
        <w:t>s</w:t>
      </w:r>
      <w:r w:rsidRPr="006F1A1F">
        <w:rPr>
          <w:rFonts w:cs="Arial"/>
          <w:noProof/>
          <w:color w:val="323232"/>
          <w:sz w:val="24"/>
          <w:szCs w:val="24"/>
          <w:lang w:val="en-GB"/>
        </w:rPr>
        <w:t xml:space="preserve"> the selective conditions under which genes spread in bacterial populations. Whereas vertically inherited gene</w:t>
      </w:r>
      <w:r w:rsidR="007A025F" w:rsidRPr="006F1A1F">
        <w:rPr>
          <w:rFonts w:cs="Arial"/>
          <w:noProof/>
          <w:color w:val="323232"/>
          <w:sz w:val="24"/>
          <w:szCs w:val="24"/>
          <w:lang w:val="en-GB"/>
        </w:rPr>
        <w:t>s can only spread by positively-</w:t>
      </w:r>
      <w:r w:rsidRPr="006F1A1F">
        <w:rPr>
          <w:rFonts w:cs="Arial"/>
          <w:noProof/>
          <w:color w:val="323232"/>
          <w:sz w:val="24"/>
          <w:szCs w:val="24"/>
          <w:lang w:val="en-GB"/>
        </w:rPr>
        <w:t xml:space="preserve">selected clonal expansion, mobile genetic elements can drive fixation </w:t>
      </w:r>
      <w:r w:rsidR="007A025F" w:rsidRPr="006F1A1F">
        <w:rPr>
          <w:rFonts w:cs="Arial"/>
          <w:noProof/>
          <w:color w:val="323232"/>
          <w:sz w:val="24"/>
          <w:szCs w:val="24"/>
          <w:lang w:val="en-GB"/>
        </w:rPr>
        <w:t>of genes</w:t>
      </w:r>
      <w:r w:rsidRPr="006F1A1F">
        <w:rPr>
          <w:rFonts w:cs="Arial"/>
          <w:noProof/>
          <w:color w:val="323232"/>
          <w:sz w:val="24"/>
          <w:szCs w:val="24"/>
          <w:lang w:val="en-GB"/>
        </w:rPr>
        <w:t xml:space="preserve"> by infectious </w:t>
      </w:r>
      <w:r w:rsidR="007A025F" w:rsidRPr="006F1A1F">
        <w:rPr>
          <w:rFonts w:cs="Arial"/>
          <w:noProof/>
          <w:color w:val="323232"/>
          <w:sz w:val="24"/>
          <w:szCs w:val="24"/>
          <w:lang w:val="en-GB"/>
        </w:rPr>
        <w:t>HGT</w:t>
      </w:r>
      <w:r w:rsidRPr="006F1A1F">
        <w:rPr>
          <w:rFonts w:cs="Arial"/>
          <w:noProof/>
          <w:color w:val="323232"/>
          <w:sz w:val="24"/>
          <w:szCs w:val="24"/>
          <w:lang w:val="en-GB"/>
        </w:rPr>
        <w:t xml:space="preserve">. We tested this using populations of </w:t>
      </w:r>
      <w:r w:rsidRPr="006F1A1F">
        <w:rPr>
          <w:rFonts w:cs="Arial"/>
          <w:i/>
          <w:noProof/>
          <w:color w:val="323232"/>
          <w:sz w:val="24"/>
          <w:szCs w:val="24"/>
          <w:lang w:val="en-GB"/>
        </w:rPr>
        <w:t>Pseudomonas fluorescens</w:t>
      </w:r>
      <w:r w:rsidRPr="006F1A1F">
        <w:rPr>
          <w:rFonts w:cs="Arial"/>
          <w:noProof/>
          <w:color w:val="323232"/>
          <w:sz w:val="24"/>
          <w:szCs w:val="24"/>
          <w:lang w:val="en-GB"/>
        </w:rPr>
        <w:t xml:space="preserve"> and the conjugative mercury resistance (Hg</w:t>
      </w:r>
      <w:r w:rsidRPr="006F1A1F">
        <w:rPr>
          <w:rFonts w:cs="Arial"/>
          <w:noProof/>
          <w:color w:val="323232"/>
          <w:sz w:val="24"/>
          <w:szCs w:val="24"/>
          <w:vertAlign w:val="superscript"/>
          <w:lang w:val="en-GB"/>
        </w:rPr>
        <w:t>R</w:t>
      </w:r>
      <w:r w:rsidRPr="006F1A1F">
        <w:rPr>
          <w:rFonts w:cs="Arial"/>
          <w:noProof/>
          <w:color w:val="323232"/>
          <w:sz w:val="24"/>
          <w:szCs w:val="24"/>
          <w:lang w:val="en-GB"/>
        </w:rPr>
        <w:t xml:space="preserve">) plasmid pQBR57. </w:t>
      </w:r>
      <w:r w:rsidR="007A025F" w:rsidRPr="006F1A1F">
        <w:rPr>
          <w:rFonts w:cs="Arial"/>
          <w:noProof/>
          <w:color w:val="323232"/>
          <w:sz w:val="24"/>
          <w:szCs w:val="24"/>
          <w:lang w:val="en-GB"/>
        </w:rPr>
        <w:t>HGT</w:t>
      </w:r>
      <w:r w:rsidRPr="006F1A1F">
        <w:rPr>
          <w:rFonts w:cs="Arial"/>
          <w:noProof/>
          <w:color w:val="323232"/>
          <w:sz w:val="24"/>
          <w:szCs w:val="24"/>
          <w:lang w:val="en-GB"/>
        </w:rPr>
        <w:t xml:space="preserve"> expanded the selective conditions allowing </w:t>
      </w:r>
      <w:r w:rsidR="0004313F" w:rsidRPr="006F1A1F">
        <w:rPr>
          <w:rFonts w:cs="Arial"/>
          <w:noProof/>
          <w:color w:val="323232"/>
          <w:sz w:val="24"/>
          <w:szCs w:val="24"/>
          <w:lang w:val="en-GB"/>
        </w:rPr>
        <w:t xml:space="preserve">the </w:t>
      </w:r>
      <w:r w:rsidRPr="006F1A1F">
        <w:rPr>
          <w:rFonts w:cs="Arial"/>
          <w:noProof/>
          <w:color w:val="323232"/>
          <w:sz w:val="24"/>
          <w:szCs w:val="24"/>
          <w:lang w:val="en-GB"/>
        </w:rPr>
        <w:t>spread of Hg</w:t>
      </w:r>
      <w:r w:rsidRPr="006F1A1F">
        <w:rPr>
          <w:rFonts w:cs="Arial"/>
          <w:noProof/>
          <w:color w:val="323232"/>
          <w:sz w:val="24"/>
          <w:szCs w:val="24"/>
          <w:vertAlign w:val="superscript"/>
          <w:lang w:val="en-GB"/>
        </w:rPr>
        <w:t>R</w:t>
      </w:r>
      <w:r w:rsidRPr="006F1A1F">
        <w:rPr>
          <w:rFonts w:cs="Arial"/>
          <w:noProof/>
          <w:color w:val="323232"/>
          <w:sz w:val="24"/>
          <w:szCs w:val="24"/>
          <w:lang w:val="en-GB"/>
        </w:rPr>
        <w:t>: Chromosomal Hg</w:t>
      </w:r>
      <w:r w:rsidRPr="006F1A1F">
        <w:rPr>
          <w:rFonts w:cs="Arial"/>
          <w:noProof/>
          <w:color w:val="323232"/>
          <w:sz w:val="24"/>
          <w:szCs w:val="24"/>
          <w:vertAlign w:val="superscript"/>
          <w:lang w:val="en-GB"/>
        </w:rPr>
        <w:t xml:space="preserve">R </w:t>
      </w:r>
      <w:r w:rsidRPr="006F1A1F">
        <w:rPr>
          <w:rFonts w:cs="Arial"/>
          <w:noProof/>
          <w:color w:val="323232"/>
          <w:sz w:val="24"/>
          <w:szCs w:val="24"/>
          <w:lang w:val="en-GB"/>
        </w:rPr>
        <w:t>only increased in frequency under positive selection whereas plasmid-encoded Hg</w:t>
      </w:r>
      <w:r w:rsidRPr="006F1A1F">
        <w:rPr>
          <w:rFonts w:cs="Arial"/>
          <w:noProof/>
          <w:color w:val="323232"/>
          <w:sz w:val="24"/>
          <w:szCs w:val="24"/>
          <w:vertAlign w:val="superscript"/>
          <w:lang w:val="en-GB"/>
        </w:rPr>
        <w:t>R</w:t>
      </w:r>
      <w:r w:rsidRPr="006F1A1F">
        <w:rPr>
          <w:rFonts w:cs="Arial"/>
          <w:noProof/>
          <w:color w:val="323232"/>
          <w:sz w:val="24"/>
          <w:szCs w:val="24"/>
          <w:lang w:val="en-GB"/>
        </w:rPr>
        <w:t xml:space="preserve"> reached fixation with or without positive selection.</w:t>
      </w:r>
      <w:r w:rsidR="00704A91" w:rsidRPr="006F1A1F">
        <w:rPr>
          <w:rFonts w:cs="Arial"/>
          <w:noProof/>
          <w:color w:val="323232"/>
          <w:sz w:val="24"/>
          <w:szCs w:val="24"/>
          <w:lang w:val="en-GB"/>
        </w:rPr>
        <w:t xml:space="preserve"> Tracking plasmid dynamics over </w:t>
      </w:r>
      <w:r w:rsidRPr="006F1A1F">
        <w:rPr>
          <w:rFonts w:cs="Arial"/>
          <w:noProof/>
          <w:color w:val="323232"/>
          <w:sz w:val="24"/>
          <w:szCs w:val="24"/>
          <w:lang w:val="en-GB"/>
        </w:rPr>
        <w:t>time revealed</w:t>
      </w:r>
      <w:r w:rsidR="00620A4D" w:rsidRPr="006F1A1F">
        <w:rPr>
          <w:rFonts w:cs="Arial"/>
          <w:noProof/>
          <w:color w:val="323232"/>
          <w:sz w:val="24"/>
          <w:szCs w:val="24"/>
          <w:lang w:val="en-GB"/>
        </w:rPr>
        <w:t xml:space="preserve"> </w:t>
      </w:r>
      <w:r w:rsidR="00917ACF" w:rsidRPr="006F1A1F">
        <w:rPr>
          <w:rFonts w:cs="Arial"/>
          <w:noProof/>
          <w:color w:val="323232"/>
          <w:sz w:val="24"/>
          <w:szCs w:val="24"/>
          <w:lang w:val="en-GB"/>
        </w:rPr>
        <w:t xml:space="preserve">that </w:t>
      </w:r>
      <w:r w:rsidR="00C465DF" w:rsidRPr="006F1A1F">
        <w:rPr>
          <w:rFonts w:cs="Arial"/>
          <w:noProof/>
          <w:color w:val="323232"/>
          <w:sz w:val="24"/>
          <w:szCs w:val="24"/>
          <w:lang w:val="en-GB"/>
        </w:rPr>
        <w:t>the mode of Hg</w:t>
      </w:r>
      <w:r w:rsidR="00C465DF" w:rsidRPr="006F1A1F">
        <w:rPr>
          <w:rFonts w:cs="Arial"/>
          <w:noProof/>
          <w:color w:val="323232"/>
          <w:sz w:val="24"/>
          <w:szCs w:val="24"/>
          <w:vertAlign w:val="superscript"/>
          <w:lang w:val="en-GB"/>
        </w:rPr>
        <w:t>R</w:t>
      </w:r>
      <w:r w:rsidR="00C465DF" w:rsidRPr="006F1A1F">
        <w:rPr>
          <w:rFonts w:cs="Arial"/>
          <w:noProof/>
          <w:color w:val="323232"/>
          <w:sz w:val="24"/>
          <w:szCs w:val="24"/>
          <w:lang w:val="en-GB"/>
        </w:rPr>
        <w:t xml:space="preserve"> inheritance</w:t>
      </w:r>
      <w:r w:rsidR="00917ACF" w:rsidRPr="006F1A1F">
        <w:rPr>
          <w:rFonts w:cs="Arial"/>
          <w:noProof/>
          <w:color w:val="323232"/>
          <w:sz w:val="24"/>
          <w:szCs w:val="24"/>
          <w:lang w:val="en-GB"/>
        </w:rPr>
        <w:t xml:space="preserve"> varied </w:t>
      </w:r>
      <w:r w:rsidR="00620A4D" w:rsidRPr="006F1A1F">
        <w:rPr>
          <w:rFonts w:cs="Arial"/>
          <w:noProof/>
          <w:color w:val="323232"/>
          <w:sz w:val="24"/>
          <w:szCs w:val="24"/>
          <w:lang w:val="en-GB"/>
        </w:rPr>
        <w:t xml:space="preserve">across </w:t>
      </w:r>
      <w:r w:rsidR="00C465DF" w:rsidRPr="006F1A1F">
        <w:rPr>
          <w:rFonts w:cs="Arial"/>
          <w:noProof/>
          <w:color w:val="323232"/>
          <w:sz w:val="24"/>
          <w:szCs w:val="24"/>
          <w:lang w:val="en-GB"/>
        </w:rPr>
        <w:t xml:space="preserve">mercury </w:t>
      </w:r>
      <w:r w:rsidR="00620A4D" w:rsidRPr="006F1A1F">
        <w:rPr>
          <w:rFonts w:cs="Arial"/>
          <w:noProof/>
          <w:color w:val="323232"/>
          <w:sz w:val="24"/>
          <w:szCs w:val="24"/>
          <w:lang w:val="en-GB"/>
        </w:rPr>
        <w:t>environments.</w:t>
      </w:r>
      <w:r w:rsidRPr="006F1A1F">
        <w:rPr>
          <w:rFonts w:cs="Arial"/>
          <w:noProof/>
          <w:color w:val="323232"/>
          <w:sz w:val="24"/>
          <w:szCs w:val="24"/>
          <w:lang w:val="en-GB"/>
        </w:rPr>
        <w:t xml:space="preserve"> </w:t>
      </w:r>
      <w:r w:rsidR="00917ACF" w:rsidRPr="006F1A1F">
        <w:rPr>
          <w:rFonts w:cs="Arial"/>
          <w:noProof/>
          <w:color w:val="323232"/>
          <w:sz w:val="24"/>
          <w:szCs w:val="24"/>
          <w:lang w:val="en-GB"/>
        </w:rPr>
        <w:t>Under</w:t>
      </w:r>
      <w:r w:rsidRPr="006F1A1F">
        <w:rPr>
          <w:rFonts w:cs="Arial"/>
          <w:noProof/>
          <w:color w:val="323232"/>
          <w:sz w:val="24"/>
          <w:szCs w:val="24"/>
          <w:lang w:val="en-GB"/>
        </w:rPr>
        <w:t xml:space="preserve"> </w:t>
      </w:r>
      <w:r w:rsidR="00C465DF" w:rsidRPr="006F1A1F">
        <w:rPr>
          <w:rFonts w:cs="Arial"/>
          <w:noProof/>
          <w:color w:val="323232"/>
          <w:sz w:val="24"/>
          <w:szCs w:val="24"/>
          <w:lang w:val="en-GB"/>
        </w:rPr>
        <w:t xml:space="preserve">mercury </w:t>
      </w:r>
      <w:r w:rsidRPr="006F1A1F">
        <w:rPr>
          <w:rFonts w:cs="Arial"/>
          <w:noProof/>
          <w:color w:val="323232"/>
          <w:sz w:val="24"/>
          <w:szCs w:val="24"/>
          <w:lang w:val="en-GB"/>
        </w:rPr>
        <w:t xml:space="preserve">selection </w:t>
      </w:r>
      <w:r w:rsidR="00917ACF" w:rsidRPr="006F1A1F">
        <w:rPr>
          <w:rFonts w:cs="Arial"/>
          <w:noProof/>
          <w:color w:val="323232"/>
          <w:sz w:val="24"/>
          <w:szCs w:val="24"/>
          <w:lang w:val="en-GB"/>
        </w:rPr>
        <w:t xml:space="preserve">the spread of </w:t>
      </w:r>
      <w:r w:rsidR="00182620" w:rsidRPr="006F1A1F">
        <w:rPr>
          <w:rFonts w:cs="Arial"/>
          <w:noProof/>
          <w:color w:val="323232"/>
          <w:sz w:val="24"/>
          <w:szCs w:val="24"/>
          <w:lang w:val="en-GB"/>
        </w:rPr>
        <w:t>Hg</w:t>
      </w:r>
      <w:r w:rsidR="00182620" w:rsidRPr="006F1A1F">
        <w:rPr>
          <w:rFonts w:cs="Arial"/>
          <w:noProof/>
          <w:color w:val="323232"/>
          <w:sz w:val="24"/>
          <w:szCs w:val="24"/>
          <w:vertAlign w:val="superscript"/>
          <w:lang w:val="en-GB"/>
        </w:rPr>
        <w:t>R</w:t>
      </w:r>
      <w:r w:rsidR="00182620" w:rsidRPr="006F1A1F">
        <w:rPr>
          <w:rFonts w:cs="Arial"/>
          <w:noProof/>
          <w:color w:val="323232"/>
          <w:sz w:val="24"/>
          <w:szCs w:val="24"/>
          <w:lang w:val="en-GB"/>
        </w:rPr>
        <w:t xml:space="preserve"> </w:t>
      </w:r>
      <w:r w:rsidR="00C465DF" w:rsidRPr="006F1A1F">
        <w:rPr>
          <w:rFonts w:cs="Arial"/>
          <w:noProof/>
          <w:color w:val="323232"/>
          <w:sz w:val="24"/>
          <w:szCs w:val="24"/>
          <w:lang w:val="en-GB"/>
        </w:rPr>
        <w:t>wa</w:t>
      </w:r>
      <w:r w:rsidR="00917ACF" w:rsidRPr="006F1A1F">
        <w:rPr>
          <w:rFonts w:cs="Arial"/>
          <w:noProof/>
          <w:color w:val="323232"/>
          <w:sz w:val="24"/>
          <w:szCs w:val="24"/>
          <w:lang w:val="en-GB"/>
        </w:rPr>
        <w:t xml:space="preserve">s driven primarily by </w:t>
      </w:r>
      <w:r w:rsidRPr="006F1A1F">
        <w:rPr>
          <w:rFonts w:cs="Arial"/>
          <w:noProof/>
          <w:color w:val="323232"/>
          <w:sz w:val="24"/>
          <w:szCs w:val="24"/>
          <w:lang w:val="en-GB"/>
        </w:rPr>
        <w:t xml:space="preserve">clonal expansion </w:t>
      </w:r>
      <w:r w:rsidR="00917ACF" w:rsidRPr="006F1A1F">
        <w:rPr>
          <w:rFonts w:cs="Arial"/>
          <w:noProof/>
          <w:color w:val="323232"/>
          <w:sz w:val="24"/>
          <w:szCs w:val="24"/>
          <w:lang w:val="en-GB"/>
        </w:rPr>
        <w:t>while in the absence of</w:t>
      </w:r>
      <w:r w:rsidRPr="006F1A1F">
        <w:rPr>
          <w:rFonts w:cs="Arial"/>
          <w:noProof/>
          <w:color w:val="323232"/>
          <w:sz w:val="24"/>
          <w:szCs w:val="24"/>
          <w:lang w:val="en-GB"/>
        </w:rPr>
        <w:t xml:space="preserve"> </w:t>
      </w:r>
      <w:r w:rsidR="00C465DF" w:rsidRPr="006F1A1F">
        <w:rPr>
          <w:rFonts w:cs="Arial"/>
          <w:noProof/>
          <w:color w:val="323232"/>
          <w:sz w:val="24"/>
          <w:szCs w:val="24"/>
          <w:lang w:val="en-GB"/>
        </w:rPr>
        <w:t xml:space="preserve">mercury </w:t>
      </w:r>
      <w:r w:rsidR="00182620" w:rsidRPr="006F1A1F">
        <w:rPr>
          <w:rFonts w:cs="Arial"/>
          <w:noProof/>
          <w:color w:val="323232"/>
          <w:sz w:val="24"/>
          <w:szCs w:val="24"/>
          <w:lang w:val="en-GB"/>
        </w:rPr>
        <w:t>Hg</w:t>
      </w:r>
      <w:r w:rsidR="00182620" w:rsidRPr="006F1A1F">
        <w:rPr>
          <w:rFonts w:cs="Arial"/>
          <w:noProof/>
          <w:color w:val="323232"/>
          <w:sz w:val="24"/>
          <w:szCs w:val="24"/>
          <w:vertAlign w:val="superscript"/>
          <w:lang w:val="en-GB"/>
        </w:rPr>
        <w:t>R</w:t>
      </w:r>
      <w:r w:rsidR="00895DC9" w:rsidRPr="006F1A1F">
        <w:rPr>
          <w:rFonts w:cs="Arial"/>
          <w:noProof/>
          <w:color w:val="323232"/>
          <w:sz w:val="24"/>
          <w:szCs w:val="24"/>
          <w:lang w:val="en-GB"/>
        </w:rPr>
        <w:t xml:space="preserve"> dynamics </w:t>
      </w:r>
      <w:r w:rsidR="00C465DF" w:rsidRPr="006F1A1F">
        <w:rPr>
          <w:rFonts w:cs="Arial"/>
          <w:noProof/>
          <w:color w:val="323232"/>
          <w:sz w:val="24"/>
          <w:szCs w:val="24"/>
          <w:lang w:val="en-GB"/>
        </w:rPr>
        <w:t>we</w:t>
      </w:r>
      <w:r w:rsidR="00895DC9" w:rsidRPr="006F1A1F">
        <w:rPr>
          <w:rFonts w:cs="Arial"/>
          <w:noProof/>
          <w:color w:val="323232"/>
          <w:sz w:val="24"/>
          <w:szCs w:val="24"/>
          <w:lang w:val="en-GB"/>
        </w:rPr>
        <w:t>re dominated</w:t>
      </w:r>
      <w:r w:rsidRPr="006F1A1F">
        <w:rPr>
          <w:rFonts w:cs="Arial"/>
          <w:noProof/>
          <w:color w:val="323232"/>
          <w:sz w:val="24"/>
          <w:szCs w:val="24"/>
          <w:lang w:val="en-GB"/>
        </w:rPr>
        <w:t xml:space="preserve"> by infectious transfer</w:t>
      </w:r>
      <w:r w:rsidR="00917ACF" w:rsidRPr="006F1A1F">
        <w:rPr>
          <w:rFonts w:cs="Arial"/>
          <w:noProof/>
          <w:color w:val="323232"/>
          <w:sz w:val="24"/>
          <w:szCs w:val="24"/>
          <w:lang w:val="en-GB"/>
        </w:rPr>
        <w:t xml:space="preserve">. </w:t>
      </w:r>
      <w:r w:rsidR="000F7DB4" w:rsidRPr="006F1A1F">
        <w:rPr>
          <w:rFonts w:cs="Arial"/>
          <w:noProof/>
          <w:color w:val="323232"/>
          <w:sz w:val="24"/>
          <w:szCs w:val="24"/>
          <w:lang w:val="en-GB"/>
        </w:rPr>
        <w:t xml:space="preserve">Thus </w:t>
      </w:r>
      <w:r w:rsidR="007A025F" w:rsidRPr="006F1A1F">
        <w:rPr>
          <w:rFonts w:cs="Arial"/>
          <w:noProof/>
          <w:color w:val="323232"/>
          <w:sz w:val="24"/>
          <w:szCs w:val="24"/>
          <w:lang w:val="en-GB"/>
        </w:rPr>
        <w:t>HGT</w:t>
      </w:r>
      <w:r w:rsidR="00621F8C" w:rsidRPr="006F1A1F">
        <w:rPr>
          <w:rFonts w:cs="Arial"/>
          <w:noProof/>
          <w:color w:val="323232"/>
          <w:sz w:val="24"/>
          <w:szCs w:val="24"/>
          <w:lang w:val="en-GB"/>
        </w:rPr>
        <w:t xml:space="preserve"> </w:t>
      </w:r>
      <w:r w:rsidR="00F762EB" w:rsidRPr="006F1A1F">
        <w:rPr>
          <w:rFonts w:cs="Arial"/>
          <w:noProof/>
          <w:color w:val="323232"/>
          <w:sz w:val="24"/>
          <w:szCs w:val="24"/>
          <w:lang w:val="en-GB"/>
        </w:rPr>
        <w:t xml:space="preserve">is most likely to </w:t>
      </w:r>
      <w:r w:rsidR="007A025F" w:rsidRPr="006F1A1F">
        <w:rPr>
          <w:rFonts w:cs="Arial"/>
          <w:noProof/>
          <w:color w:val="323232"/>
          <w:sz w:val="24"/>
          <w:szCs w:val="24"/>
          <w:lang w:val="en-GB"/>
        </w:rPr>
        <w:t>drive the spread of resistance genes in environments where resistance is useless</w:t>
      </w:r>
      <w:r w:rsidR="00621F8C" w:rsidRPr="006F1A1F">
        <w:rPr>
          <w:rFonts w:cs="Arial"/>
          <w:noProof/>
          <w:color w:val="323232"/>
          <w:sz w:val="24"/>
          <w:szCs w:val="24"/>
          <w:lang w:val="en-GB"/>
        </w:rPr>
        <w:t>.</w:t>
      </w:r>
    </w:p>
    <w:p w14:paraId="43ADA0F7" w14:textId="77777777" w:rsidR="00233C17" w:rsidRPr="006F1A1F" w:rsidRDefault="00233C17" w:rsidP="008B0431">
      <w:pPr>
        <w:pStyle w:val="Default"/>
        <w:spacing w:line="480" w:lineRule="auto"/>
        <w:jc w:val="both"/>
        <w:rPr>
          <w:rFonts w:cs="Arial"/>
          <w:noProof/>
          <w:color w:val="323232"/>
          <w:sz w:val="24"/>
          <w:szCs w:val="24"/>
          <w:lang w:val="en-GB"/>
        </w:rPr>
      </w:pPr>
    </w:p>
    <w:p w14:paraId="7704EE5B" w14:textId="77777777" w:rsidR="00233C17" w:rsidRPr="006F1A1F" w:rsidRDefault="00233C17" w:rsidP="008B0431">
      <w:pPr>
        <w:pStyle w:val="Body"/>
        <w:spacing w:line="480" w:lineRule="auto"/>
        <w:jc w:val="both"/>
        <w:rPr>
          <w:rFonts w:cs="Arial"/>
          <w:noProof/>
          <w:color w:val="323232"/>
          <w:sz w:val="24"/>
          <w:szCs w:val="24"/>
          <w:lang w:val="en-GB"/>
        </w:rPr>
      </w:pPr>
      <w:r w:rsidRPr="006F1A1F">
        <w:rPr>
          <w:rFonts w:cs="Arial"/>
          <w:b/>
          <w:bCs/>
          <w:noProof/>
          <w:sz w:val="24"/>
          <w:szCs w:val="24"/>
          <w:lang w:val="en-GB"/>
        </w:rPr>
        <w:t>MAIN TEXT</w:t>
      </w:r>
      <w:r w:rsidR="00704A91" w:rsidRPr="006F1A1F">
        <w:rPr>
          <w:rFonts w:cs="Arial"/>
          <w:b/>
          <w:bCs/>
          <w:noProof/>
          <w:sz w:val="24"/>
          <w:szCs w:val="24"/>
          <w:lang w:val="en-GB"/>
        </w:rPr>
        <w:t xml:space="preserve"> </w:t>
      </w:r>
    </w:p>
    <w:p w14:paraId="38A20A67" w14:textId="77777777" w:rsidR="00AB5A61" w:rsidRPr="006F1A1F" w:rsidRDefault="00AB5A61" w:rsidP="008B0431">
      <w:pPr>
        <w:pStyle w:val="Body"/>
        <w:spacing w:line="480" w:lineRule="auto"/>
        <w:jc w:val="both"/>
        <w:rPr>
          <w:rFonts w:cs="Arial"/>
          <w:noProof/>
          <w:color w:val="323232"/>
          <w:sz w:val="24"/>
          <w:szCs w:val="24"/>
          <w:lang w:val="en-GB"/>
        </w:rPr>
      </w:pPr>
    </w:p>
    <w:p w14:paraId="133915F8" w14:textId="77777777" w:rsidR="00366FFF" w:rsidRPr="006F1A1F" w:rsidRDefault="00233C17" w:rsidP="008B0431">
      <w:pPr>
        <w:pStyle w:val="Body"/>
        <w:spacing w:line="480" w:lineRule="auto"/>
        <w:jc w:val="both"/>
        <w:rPr>
          <w:rFonts w:cs="Arial"/>
          <w:noProof/>
          <w:color w:val="323232"/>
          <w:sz w:val="24"/>
          <w:szCs w:val="24"/>
          <w:lang w:val="en-GB"/>
        </w:rPr>
      </w:pPr>
      <w:r w:rsidRPr="006F1A1F">
        <w:rPr>
          <w:rFonts w:cs="Arial"/>
          <w:noProof/>
          <w:color w:val="323232"/>
          <w:sz w:val="24"/>
          <w:szCs w:val="24"/>
          <w:lang w:val="en-GB"/>
        </w:rPr>
        <w:t>Microbial populations reproduce clonally by vertical de</w:t>
      </w:r>
      <w:r w:rsidR="00C465DF" w:rsidRPr="006F1A1F">
        <w:rPr>
          <w:rFonts w:cs="Arial"/>
          <w:noProof/>
          <w:color w:val="323232"/>
          <w:sz w:val="24"/>
          <w:szCs w:val="24"/>
          <w:lang w:val="en-GB"/>
        </w:rPr>
        <w:t>s</w:t>
      </w:r>
      <w:r w:rsidRPr="006F1A1F">
        <w:rPr>
          <w:rFonts w:cs="Arial"/>
          <w:noProof/>
          <w:color w:val="323232"/>
          <w:sz w:val="24"/>
          <w:szCs w:val="24"/>
          <w:lang w:val="en-GB"/>
        </w:rPr>
        <w:t xml:space="preserve">cent but can also exchange genes by </w:t>
      </w:r>
      <w:r w:rsidR="005923A6" w:rsidRPr="006F1A1F">
        <w:rPr>
          <w:rFonts w:cs="Arial"/>
          <w:noProof/>
          <w:color w:val="323232"/>
          <w:sz w:val="24"/>
          <w:szCs w:val="24"/>
          <w:lang w:val="en-GB"/>
        </w:rPr>
        <w:t>horizontal gene transfer (HGT)</w:t>
      </w:r>
      <w:r w:rsidRPr="006F1A1F">
        <w:rPr>
          <w:rFonts w:cs="Arial"/>
          <w:noProof/>
          <w:color w:val="323232"/>
          <w:sz w:val="24"/>
          <w:szCs w:val="24"/>
          <w:lang w:val="en-GB"/>
        </w:rPr>
        <w:t xml:space="preserve">. </w:t>
      </w:r>
      <w:r w:rsidR="00116A82" w:rsidRPr="006F1A1F">
        <w:rPr>
          <w:rFonts w:cs="Arial"/>
          <w:noProof/>
          <w:color w:val="323232"/>
          <w:sz w:val="24"/>
          <w:szCs w:val="24"/>
          <w:lang w:val="en-GB"/>
        </w:rPr>
        <w:t>HGT</w:t>
      </w:r>
      <w:r w:rsidRPr="006F1A1F">
        <w:rPr>
          <w:rFonts w:cs="Arial"/>
          <w:noProof/>
          <w:color w:val="323232"/>
          <w:sz w:val="24"/>
          <w:szCs w:val="24"/>
          <w:lang w:val="en-GB"/>
        </w:rPr>
        <w:t xml:space="preserve"> is </w:t>
      </w:r>
      <w:r w:rsidR="007A025F" w:rsidRPr="006F1A1F">
        <w:rPr>
          <w:rFonts w:cs="Arial"/>
          <w:noProof/>
          <w:color w:val="323232"/>
          <w:sz w:val="24"/>
          <w:szCs w:val="24"/>
          <w:lang w:val="en-GB"/>
        </w:rPr>
        <w:t>an important</w:t>
      </w:r>
      <w:r w:rsidRPr="006F1A1F">
        <w:rPr>
          <w:rFonts w:cs="Arial"/>
          <w:noProof/>
          <w:color w:val="323232"/>
          <w:sz w:val="24"/>
          <w:szCs w:val="24"/>
          <w:lang w:val="en-GB"/>
        </w:rPr>
        <w:t xml:space="preserve"> process in bacterial evolution</w:t>
      </w:r>
      <w:r w:rsidR="007A025F" w:rsidRPr="006F1A1F">
        <w:rPr>
          <w:rFonts w:cs="Arial"/>
          <w:noProof/>
          <w:color w:val="323232"/>
          <w:sz w:val="24"/>
          <w:szCs w:val="24"/>
          <w:lang w:val="en-GB"/>
        </w:rPr>
        <w:t>, accelerating adaptation by</w:t>
      </w:r>
      <w:r w:rsidRPr="006F1A1F">
        <w:rPr>
          <w:rFonts w:cs="Arial"/>
          <w:noProof/>
          <w:color w:val="323232"/>
          <w:sz w:val="24"/>
          <w:szCs w:val="24"/>
          <w:lang w:val="en-GB"/>
        </w:rPr>
        <w:t xml:space="preserve"> allowing the spread of ecologically and clinically relevant traits</w:t>
      </w:r>
      <w:r w:rsidR="007A025F" w:rsidRPr="006F1A1F">
        <w:rPr>
          <w:rFonts w:cs="Arial"/>
          <w:noProof/>
          <w:color w:val="323232"/>
          <w:sz w:val="24"/>
          <w:szCs w:val="24"/>
          <w:lang w:val="en-GB"/>
        </w:rPr>
        <w:t xml:space="preserve"> between lineages</w:t>
      </w:r>
      <w:r w:rsidR="00C465DF" w:rsidRPr="006F1A1F">
        <w:rPr>
          <w:rFonts w:cs="Arial"/>
          <w:noProof/>
          <w:color w:val="323232"/>
          <w:sz w:val="24"/>
          <w:szCs w:val="24"/>
          <w:lang w:val="en-GB"/>
        </w:rPr>
        <w:t xml:space="preserve"> </w:t>
      </w:r>
      <w:r w:rsidRPr="006F1A1F">
        <w:rPr>
          <w:rFonts w:cs="Arial"/>
          <w:noProof/>
          <w:color w:val="323232"/>
          <w:sz w:val="24"/>
          <w:szCs w:val="24"/>
          <w:lang w:val="en-GB"/>
        </w:rPr>
        <w:fldChar w:fldCharType="begin" w:fldLock="1"/>
      </w:r>
      <w:r w:rsidR="008D5B37" w:rsidRPr="006F1A1F">
        <w:rPr>
          <w:rFonts w:cs="Arial"/>
          <w:noProof/>
          <w:color w:val="323232"/>
          <w:sz w:val="24"/>
          <w:szCs w:val="24"/>
          <w:lang w:val="en-GB"/>
        </w:rPr>
        <w:instrText>ADDIN CSL_CITATION { "citationItems" : [ { "id" : "ITEM-1", "itemData" : { "DOI" : "10.1038/nrmicro1235", "ISSN" : "1740-1526", "author" : [ { "dropping-particle" : "", "family" : "Frost", "given" : "Laura S.", "non-dropping-particle" : "", "parse-names" : false, "suffix" : "" }, { "dropping-particle" : "", "family" : "Leplae", "given" : "Raphael", "non-dropping-particle" : "", "parse-names" : false, "suffix" : "" }, { "dropping-particle" : "", "family" : "Summers", "given" : "Anne O.", "non-dropping-particle" : "", "parse-names" : false, "suffix" : "" }, { "dropping-particle" : "", "family" : "Toussaint", "given" : "Ariane", "non-dropping-particle" : "", "parse-names" : false, "suffix" : "" } ], "container-title" : "Nature Reviews Microbiology", "id" : "ITEM-1", "issue" : "9", "issued" : { "date-parts" : [ [ "2005", "9" ] ] }, "page" : "722-732", "publisher" : "Nature Publishing Group", "title" : "Mobile genetic elements: the agents of open source evolution", "type" : "article-journal", "volume" : "3" }, "uris" : [ "http://www.mendeley.com/documents/?uuid=8fe391fb-9687-3e25-aba9-24752149663a" ] }, { "id" : "ITEM-2", "itemData" : { "DOI" : "10.1038/nrmicro1234", "ISSN" : "1740-1526", "author" : [ { "dropping-particle" : "", "family" : "Thomas", "given" : "Christopher M.", "non-dropping-particle" : "", "parse-names" : false, "suffix" : "" }, { "dropping-particle" : "", "family" : "Nielsen", "given" : "Kaare M.", "non-dropping-particle" : "", "parse-names" : false, "suffix" : "" } ], "container-title" : "Nature Reviews Microbiology", "id" : "ITEM-2", "issue" : "9", "issued" : { "date-parts" : [ [ "2005", "9" ] ] }, "page" : "711-721", "title" : "Mechanisms of, and Barriers to, Horizontal Gene Transfer between Bacteria", "type" : "article-journal", "volume" : "3" }, "uris" : [ "http://www.mendeley.com/documents/?uuid=e30b711f-a3d5-39ed-a092-7328dbfb9551" ] } ], "mendeley" : { "formattedCitation" : "(Frost &lt;i&gt;et al.&lt;/i&gt;, 2005; Thomas and Nielsen, 2005)", "plainTextFormattedCitation" : "(Frost et al., 2005; Thomas and Nielsen, 2005)", "previouslyFormattedCitation" : "(Frost &lt;i&gt;et al.&lt;/i&gt;, 2005; Thomas and Nielsen, 2005)" }, "properties" : { "noteIndex" : 0 }, "schema" : "https://github.com/citation-style-language/schema/raw/master/csl-citation.json" }</w:instrText>
      </w:r>
      <w:r w:rsidRPr="006F1A1F">
        <w:rPr>
          <w:rFonts w:cs="Arial"/>
          <w:noProof/>
          <w:color w:val="323232"/>
          <w:sz w:val="24"/>
          <w:szCs w:val="24"/>
          <w:lang w:val="en-GB"/>
        </w:rPr>
        <w:fldChar w:fldCharType="separate"/>
      </w:r>
      <w:r w:rsidR="008D5B37" w:rsidRPr="006F1A1F">
        <w:rPr>
          <w:rFonts w:cs="Arial"/>
          <w:noProof/>
          <w:color w:val="323232"/>
          <w:sz w:val="24"/>
          <w:szCs w:val="24"/>
          <w:lang w:val="en-GB"/>
        </w:rPr>
        <w:t xml:space="preserve">(Frost </w:t>
      </w:r>
      <w:r w:rsidR="008D5B37" w:rsidRPr="006F1A1F">
        <w:rPr>
          <w:rFonts w:cs="Arial"/>
          <w:i/>
          <w:noProof/>
          <w:color w:val="323232"/>
          <w:sz w:val="24"/>
          <w:szCs w:val="24"/>
          <w:lang w:val="en-GB"/>
        </w:rPr>
        <w:t>et al.</w:t>
      </w:r>
      <w:r w:rsidR="008D5B37" w:rsidRPr="006F1A1F">
        <w:rPr>
          <w:rFonts w:cs="Arial"/>
          <w:noProof/>
          <w:color w:val="323232"/>
          <w:sz w:val="24"/>
          <w:szCs w:val="24"/>
          <w:lang w:val="en-GB"/>
        </w:rPr>
        <w:t>, 2005; Thomas and Nielsen, 2005)</w:t>
      </w:r>
      <w:r w:rsidRPr="006F1A1F">
        <w:rPr>
          <w:rFonts w:cs="Arial"/>
          <w:noProof/>
          <w:color w:val="323232"/>
          <w:sz w:val="24"/>
          <w:szCs w:val="24"/>
          <w:lang w:val="en-GB"/>
        </w:rPr>
        <w:fldChar w:fldCharType="end"/>
      </w:r>
      <w:r w:rsidRPr="006F1A1F">
        <w:rPr>
          <w:rFonts w:cs="Arial"/>
          <w:noProof/>
          <w:color w:val="323232"/>
          <w:sz w:val="24"/>
          <w:szCs w:val="24"/>
          <w:lang w:val="en-GB"/>
        </w:rPr>
        <w:t xml:space="preserve">. Therefore the </w:t>
      </w:r>
      <w:r w:rsidR="007A025F" w:rsidRPr="006F1A1F">
        <w:rPr>
          <w:rFonts w:cs="Arial"/>
          <w:noProof/>
          <w:color w:val="323232"/>
          <w:sz w:val="24"/>
          <w:szCs w:val="24"/>
          <w:lang w:val="en-GB"/>
        </w:rPr>
        <w:t>balance</w:t>
      </w:r>
      <w:r w:rsidRPr="006F1A1F">
        <w:rPr>
          <w:rFonts w:cs="Arial"/>
          <w:noProof/>
          <w:color w:val="323232"/>
          <w:sz w:val="24"/>
          <w:szCs w:val="24"/>
          <w:lang w:val="en-GB"/>
        </w:rPr>
        <w:t xml:space="preserve"> of vertical versus horizontal inheritance </w:t>
      </w:r>
      <w:r w:rsidR="00360D25" w:rsidRPr="006F1A1F">
        <w:rPr>
          <w:rFonts w:cs="Arial"/>
          <w:noProof/>
          <w:color w:val="323232"/>
          <w:sz w:val="24"/>
          <w:szCs w:val="24"/>
          <w:lang w:val="en-GB"/>
        </w:rPr>
        <w:t>is expected to</w:t>
      </w:r>
      <w:r w:rsidRPr="006F1A1F">
        <w:rPr>
          <w:rFonts w:cs="Arial"/>
          <w:noProof/>
          <w:color w:val="323232"/>
          <w:sz w:val="24"/>
          <w:szCs w:val="24"/>
          <w:lang w:val="en-GB"/>
        </w:rPr>
        <w:t xml:space="preserve"> have important effects on bacterial evolution and</w:t>
      </w:r>
      <w:r w:rsidR="001124DA" w:rsidRPr="006F1A1F">
        <w:rPr>
          <w:rFonts w:cs="Arial"/>
          <w:noProof/>
          <w:color w:val="323232"/>
          <w:sz w:val="24"/>
          <w:szCs w:val="24"/>
          <w:lang w:val="en-GB"/>
        </w:rPr>
        <w:t xml:space="preserve"> thus</w:t>
      </w:r>
      <w:r w:rsidRPr="006F1A1F">
        <w:rPr>
          <w:rFonts w:cs="Arial"/>
          <w:noProof/>
          <w:color w:val="323232"/>
          <w:sz w:val="24"/>
          <w:szCs w:val="24"/>
          <w:lang w:val="en-GB"/>
        </w:rPr>
        <w:t xml:space="preserve"> function</w:t>
      </w:r>
      <w:r w:rsidR="001124DA" w:rsidRPr="006F1A1F">
        <w:rPr>
          <w:rFonts w:cs="Arial"/>
          <w:noProof/>
          <w:color w:val="323232"/>
          <w:sz w:val="24"/>
          <w:szCs w:val="24"/>
          <w:lang w:val="en-GB"/>
        </w:rPr>
        <w:t xml:space="preserve"> </w:t>
      </w:r>
      <w:r w:rsidRPr="006F1A1F">
        <w:rPr>
          <w:rFonts w:cs="Arial"/>
          <w:noProof/>
          <w:color w:val="323232"/>
          <w:sz w:val="24"/>
          <w:szCs w:val="24"/>
          <w:lang w:val="en-GB"/>
        </w:rPr>
        <w:fldChar w:fldCharType="begin" w:fldLock="1"/>
      </w:r>
      <w:r w:rsidR="008F5BA0" w:rsidRPr="006F1A1F">
        <w:rPr>
          <w:rFonts w:cs="Arial"/>
          <w:noProof/>
          <w:color w:val="323232"/>
          <w:sz w:val="24"/>
          <w:szCs w:val="24"/>
          <w:lang w:val="en-GB"/>
        </w:rPr>
        <w:instrText>ADDIN CSL_CITATION { "citationID" : "bvYy9te6", "citationItems" : [ { "id" : "ITEM-1", "itemData" : { "DOI" : "10.1073/PNAS.90.10.4384", "ISSN" : "0027-8424", "PMID" : "8506277", "abstract" : "Data from multilocus enzyme electrophoresis of bacterial populations were analyzed using a statistical test designed to detect associations between genes at different loci. Some species (e.g., Salmonella) were found to be clonal at all levels of analysis. At the other extreme, Neisseria gonorrhoeae is panmictic, with random association between loci. Two intermediate types of population structure were also found. Neisseria meningitidis displays what we have called an \"epidemic\" structure. There is significant association between loci, but this arises only because of the recent, explosive, increase in particular electrophoretic types; when this effect is eliminated the population is found to be effectively panmictic. In contrast, linkage disequilibrium in a population of Rhizobium meliloti exists because the sample consisted of two genetically isolated divisions, often fixed for different alleles: within each division association between loci was almost random. The method of analysis is appropriate whenever there is doubt about the extent of genetic recombination between members of a population. To illustrate this we analyzed data on protozoan parasites and again found panmictic, epidemic, and clonal population structures.", "author" : [ { "dropping-particle" : "", "family" : "Smith", "given" : "J M", "non-dropping-particle" : "", "parse-names" : false, "suffix" : "" }, { "dropping-particle" : "", "family" : "Smith", "given" : "N H", "non-dropping-particle" : "", "parse-names" : false, "suffix" : "" }, { "dropping-particle" : "", "family" : "O'Rourke", "given" : "M", "non-dropping-particle" : "", "parse-names" : false, "suffix" : "" }, { "dropping-particle" : "", "family" : "Spratt", "given" : "B G", "non-dropping-particle" : "", "parse-names" : false, "suffix" : "" } ], "container-title" : "Proceedings of the National Academy of Sciences of the United States of America", "id" : "ITEM-1", "issue" : "10", "issued" : { "date-parts" : [ [ "1993", "5", "15" ] ] }, "page" : "4384-8", "publisher" : "National Academy of Sciences", "title" : "How clonal are bacteria?", "type" : "article-journal", "volume" : "90" }, "uris" : [ "http://www.mendeley.com/documents/?uuid=a988bbd7-b56e-346f-b21b-8e27de2cf2c3" ] }, { "id" : "ITEM-2", "itemData" : { "DOI" : "10.1016/j.mib.2016.03.013", "ISSN" : "13695274", "abstract" : "Bacteria and archaea reproduce clonally (vertical descent), but exchange genes by recombination (horizontal transfer). Recombination allows adaptive mutations or genes to spread rapidly within (or even between) species, and reduces the burden of deleterious mutations. Clonality\u2014defined here as the balance between vertical and horizontal inheritance\u2014is therefore a key microbial trait, determining how quickly a population can adapt and the size of its gene pool. Here, I discuss whether clonality varies over time and if it can be considered a stable trait of a given population. I show that, in some cases, clonality is clearly not static. For example, non-clonal (highly recombining) populations can give rise to clonal expansions, often of pathogens. However, an analysis of time-course metagenomic data from a lake suggests that a bacterial population's past clonality (as measured by its genetic diversity) is a good predictor of its future clonality. Clonality therefore appears to be relatively\u2014but not completely\u2014stable over evolutionary time.", "author" : [ { "dropping-particle" : "", "family" : "Shapiro", "given" : "B Jesse", "non-dropping-particle" : "", "parse-names" : false, "suffix" : "" } ], "container-title" : "Current Opinion in Microbiology", "id" : "ITEM-2", "issued" : { "date-parts" : [ [ "2016" ] ] }, "page" : "116-123", "title" : "How clonal are bacteria over time?", "type" : "article-journal", "volume" : "31" }, "uris" : [ "http://www.mendeley.com/documents/?uuid=31c7b508-2b20-3306-be20-df0471a194c1" ] }, { "id" : "ITEM-3", "itemData" : { "ISSN" : "1740-1526", "abstract" : "Comparisons of closely related microorganisms have shown that individual genomes can be highly diverse in terms of gene content. In this Review, we discuss several studies showing that much of this variation is associated with social and ecological interactions, which have an important role in the population biology of wild populations of bacteria and archaea. These interactions create frequency-dependent selective pressures that can either stabilize gene frequencies at intermediate levels in populations or promote fast gene turnover, which presents as low gene frequencies in genome surveys. Thus, interpretation of gene-content diversity requires the delineation of populations according to cohesive gene flow and ecology, as micro-evolutionary changes arise in response to local selection pressures and population dynamics.", "author" : [ { "dropping-particle" : "", "family" : "Cordero", "given" : "Otto X", "non-dropping-particle" : "", "parse-names" : false, "suffix" : "" }, { "dropping-particle" : "", "family" : "Polz", "given" : "Martin F", "non-dropping-particle" : "", "parse-names" : false, "suffix" : "" } ], "container-title" : "Nat Rev Micro", "id" : "ITEM-3", "issue" : "4", "issued" : { "date-parts" : [ [ "2014", "4" ] ] }, "page" : "263-273", "publisher" : "Nature Publishing Group, a division of Macmillan Publishers Limited. All Rights Reserved.", "title" : "Explaining microbial genomic diversity in light of evolutionary ecology", "type" : "article-journal", "volume" : "12" }, "uris" : [ "http://www.mendeley.com/documents/?uuid=12f580d0-a34f-48fe-94ec-3c21cf789281" ] } ], "mendeley" : { "formattedCitation" : "(Smith &lt;i&gt;et al.&lt;/i&gt;, 1993; Cordero and Polz, 2014; Shapiro, 2016)", "plainTextFormattedCitation" : "(Smith et al., 1993; Cordero and Polz, 2014; Shapiro, 2016)", "previouslyFormattedCitation" : "(Smith &lt;i&gt;et al.&lt;/i&gt;, 1993; Cordero and Polz, 2014; Shapiro, 2016)" }, "properties" : { "formattedCitation" : "{\\rtf \\super 1\\uc0\\u8211{}3\\nosupersub{}}", "noteIndex" : 0, "plainCitation" : "1\u20133" }, "schema" : "https://github.com/citation-style-language/schema/raw/master/csl-citation.json" }</w:instrText>
      </w:r>
      <w:r w:rsidRPr="006F1A1F">
        <w:rPr>
          <w:rFonts w:cs="Arial"/>
          <w:noProof/>
          <w:color w:val="323232"/>
          <w:sz w:val="24"/>
          <w:szCs w:val="24"/>
          <w:lang w:val="en-GB"/>
        </w:rPr>
        <w:fldChar w:fldCharType="separate"/>
      </w:r>
      <w:r w:rsidR="008D5B37" w:rsidRPr="006F1A1F">
        <w:rPr>
          <w:rFonts w:cs="Arial"/>
          <w:noProof/>
          <w:sz w:val="24"/>
          <w:szCs w:val="24"/>
          <w:lang w:val="en-GB"/>
        </w:rPr>
        <w:t xml:space="preserve">(Smith </w:t>
      </w:r>
      <w:r w:rsidR="008D5B37" w:rsidRPr="006F1A1F">
        <w:rPr>
          <w:rFonts w:cs="Arial"/>
          <w:i/>
          <w:noProof/>
          <w:sz w:val="24"/>
          <w:szCs w:val="24"/>
          <w:lang w:val="en-GB"/>
        </w:rPr>
        <w:t>et al.</w:t>
      </w:r>
      <w:r w:rsidR="008D5B37" w:rsidRPr="006F1A1F">
        <w:rPr>
          <w:rFonts w:cs="Arial"/>
          <w:noProof/>
          <w:sz w:val="24"/>
          <w:szCs w:val="24"/>
          <w:lang w:val="en-GB"/>
        </w:rPr>
        <w:t>, 1993; Cordero and Polz, 2014; Shapiro, 2016)</w:t>
      </w:r>
      <w:r w:rsidRPr="006F1A1F">
        <w:rPr>
          <w:rFonts w:cs="Arial"/>
          <w:noProof/>
          <w:color w:val="323232"/>
          <w:sz w:val="24"/>
          <w:szCs w:val="24"/>
          <w:lang w:val="en-GB"/>
        </w:rPr>
        <w:fldChar w:fldCharType="end"/>
      </w:r>
      <w:r w:rsidRPr="006F1A1F">
        <w:rPr>
          <w:rFonts w:cs="Arial"/>
          <w:noProof/>
          <w:color w:val="323232"/>
          <w:sz w:val="24"/>
          <w:szCs w:val="24"/>
          <w:lang w:val="en-GB"/>
        </w:rPr>
        <w:t xml:space="preserve">. Comparative genomics has revealed that bacterial species undergo dramatic shifts in the balance of vertical versus horizontal </w:t>
      </w:r>
      <w:r w:rsidRPr="006F1A1F">
        <w:rPr>
          <w:rFonts w:cs="Arial"/>
          <w:noProof/>
          <w:color w:val="323232"/>
          <w:sz w:val="24"/>
          <w:szCs w:val="24"/>
          <w:lang w:val="en-GB"/>
        </w:rPr>
        <w:lastRenderedPageBreak/>
        <w:t>inheritance over time</w:t>
      </w:r>
      <w:r w:rsidR="0004702E" w:rsidRPr="006F1A1F">
        <w:rPr>
          <w:rFonts w:cs="Arial"/>
          <w:noProof/>
          <w:color w:val="323232"/>
          <w:sz w:val="24"/>
          <w:szCs w:val="24"/>
          <w:lang w:val="en-GB"/>
        </w:rPr>
        <w:t xml:space="preserve"> </w:t>
      </w:r>
      <w:r w:rsidRPr="006F1A1F">
        <w:rPr>
          <w:rFonts w:cs="Arial"/>
          <w:noProof/>
          <w:color w:val="323232"/>
          <w:sz w:val="24"/>
          <w:szCs w:val="24"/>
          <w:lang w:val="en-GB"/>
        </w:rPr>
        <w:fldChar w:fldCharType="begin" w:fldLock="1"/>
      </w:r>
      <w:r w:rsidR="008F5BA0" w:rsidRPr="006F1A1F">
        <w:rPr>
          <w:rFonts w:cs="Arial"/>
          <w:noProof/>
          <w:color w:val="323232"/>
          <w:sz w:val="24"/>
          <w:szCs w:val="24"/>
          <w:lang w:val="en-GB"/>
        </w:rPr>
        <w:instrText>ADDIN CSL_CITATION { "citationID" : "1avcg7ejf3", "citationItems" : [ { "id" : "ITEM-1", "itemData" : { "ISSN" : "1740-1526", "abstract" : "Comparisons of closely related microorganisms have shown that individual genomes can be highly diverse in terms of gene content. In this Review, we discuss several studies showing that much of this variation is associated with social and ecological interactions, which have an important role in the population biology of wild populations of bacteria and archaea. These interactions create frequency-dependent selective pressures that can either stabilize gene frequencies at intermediate levels in populations or promote fast gene turnover, which presents as low gene frequencies in genome surveys. Thus, interpretation of gene-content diversity requires the delineation of populations according to cohesive gene flow and ecology, as micro-evolutionary changes arise in response to local selection pressures and population dynamics.", "author" : [ { "dropping-particle" : "", "family" : "Cordero", "given" : "Otto X", "non-dropping-particle" : "", "parse-names" : false, "suffix" : "" }, { "dropping-particle" : "", "family" : "Polz", "given" : "Martin F", "non-dropping-particle" : "", "parse-names" : false, "suffix" : "" } ], "container-title" : "Nat Rev Micro", "id" : "ITEM-1", "issue" : "4", "issued" : { "date-parts" : [ [ "2014", "4" ] ] }, "page" : "263-273", "publisher" : "Nature Publishing Group, a division of Macmillan Publishers Limited. All Rights Reserved.", "title" : "Explaining microbial genomic diversity in light of evolutionary ecology", "type" : "article-journal", "volume" : "12" }, "uris" : [ "http://www.mendeley.com/documents/?uuid=12f580d0-a34f-48fe-94ec-3c21cf789281" ] } ], "mendeley" : { "formattedCitation" : "(Cordero and Polz, 2014)", "plainTextFormattedCitation" : "(Cordero and Polz, 2014)", "previouslyFormattedCitation" : "(Cordero and Polz, 2014)" }, "properties" : { "formattedCitation" : "{\\rtf \\super 3\\nosupersub{}}", "noteIndex" : 0, "plainCitation" : "3" }, "schema" : "https://github.com/citation-style-language/schema/raw/master/csl-citation.json" }</w:instrText>
      </w:r>
      <w:r w:rsidRPr="006F1A1F">
        <w:rPr>
          <w:rFonts w:cs="Arial"/>
          <w:noProof/>
          <w:color w:val="323232"/>
          <w:sz w:val="24"/>
          <w:szCs w:val="24"/>
          <w:lang w:val="en-GB"/>
        </w:rPr>
        <w:fldChar w:fldCharType="separate"/>
      </w:r>
      <w:r w:rsidR="008D5B37" w:rsidRPr="006F1A1F">
        <w:rPr>
          <w:rFonts w:cs="Arial"/>
          <w:noProof/>
          <w:sz w:val="24"/>
          <w:szCs w:val="24"/>
          <w:lang w:val="en-GB"/>
        </w:rPr>
        <w:t>(Cordero and Polz, 2014)</w:t>
      </w:r>
      <w:r w:rsidRPr="006F1A1F">
        <w:rPr>
          <w:rFonts w:cs="Arial"/>
          <w:noProof/>
          <w:color w:val="323232"/>
          <w:sz w:val="24"/>
          <w:szCs w:val="24"/>
          <w:lang w:val="en-GB"/>
        </w:rPr>
        <w:fldChar w:fldCharType="end"/>
      </w:r>
      <w:r w:rsidRPr="006F1A1F">
        <w:rPr>
          <w:rFonts w:cs="Arial"/>
          <w:noProof/>
          <w:color w:val="323232"/>
          <w:sz w:val="24"/>
          <w:szCs w:val="24"/>
          <w:lang w:val="en-GB"/>
        </w:rPr>
        <w:t xml:space="preserve">. </w:t>
      </w:r>
      <w:r w:rsidR="00736750" w:rsidRPr="006F1A1F">
        <w:rPr>
          <w:rFonts w:cs="Arial"/>
          <w:noProof/>
          <w:color w:val="323232"/>
          <w:sz w:val="24"/>
          <w:szCs w:val="24"/>
          <w:lang w:val="en-GB"/>
        </w:rPr>
        <w:t>These shifts may be due to changes in selection on inherited traits, as t</w:t>
      </w:r>
      <w:r w:rsidRPr="006F1A1F">
        <w:rPr>
          <w:rFonts w:cs="Arial"/>
          <w:noProof/>
          <w:color w:val="323232"/>
          <w:sz w:val="24"/>
          <w:szCs w:val="24"/>
          <w:lang w:val="en-GB"/>
        </w:rPr>
        <w:t>heory predicts that vertical inheritance is favoured by strong positive selection, increasing clonality via genome-wide selective sweeps (i.e. clonal expansion), whereas horizontally inherited genes can spread even in the absence of positive selection</w:t>
      </w:r>
      <w:r w:rsidR="0011324D" w:rsidRPr="006F1A1F">
        <w:rPr>
          <w:rFonts w:cs="Arial"/>
          <w:noProof/>
          <w:color w:val="323232"/>
          <w:sz w:val="24"/>
          <w:szCs w:val="24"/>
          <w:lang w:val="en-GB"/>
        </w:rPr>
        <w:t xml:space="preserve"> </w:t>
      </w:r>
      <w:r w:rsidRPr="006F1A1F">
        <w:rPr>
          <w:rFonts w:cs="Arial"/>
          <w:noProof/>
          <w:color w:val="323232"/>
          <w:sz w:val="24"/>
          <w:szCs w:val="24"/>
          <w:lang w:val="en-GB"/>
        </w:rPr>
        <w:fldChar w:fldCharType="begin" w:fldLock="1"/>
      </w:r>
      <w:r w:rsidR="008D5B37" w:rsidRPr="006F1A1F">
        <w:rPr>
          <w:rFonts w:cs="Arial"/>
          <w:noProof/>
          <w:color w:val="323232"/>
          <w:sz w:val="24"/>
          <w:szCs w:val="24"/>
          <w:lang w:val="en-GB"/>
        </w:rPr>
        <w:instrText>ADDIN CSL_CITATION { "citationID" : "3c0dgfckc", "citationItems" : [ { "id" : "ITEM-1", "itemData" : { "DOI" : "10.1111/evo.12423", "ISSN" : "1558-5646", "abstract" : "Antibiotic resistance provides evolutionary rescue for bacterial populations under the threat of extinction through antibiotics. It can arise de novo through mutation in the population, or be obtained from other bacterial populations via the transfer of a resistance-conferring plasmid. We use stochastic modeling methods to establish whether the most likely source of rescue is via a plasmid or via the chromosome, and show that contrary to what is assumed plasmids are not necessarily beneficial locations for resistance genes. Competition at the plasmid level of selection is of great importance\u2014the spread of a resistant plasmid in the population can be slowed or entirely stopped by a nonresistant version of the same plasmid. We suggest that future studies on antibiotic-resistant plasmids should explicitly consider competition at this level of selection.", "author" : [ { "dropping-particle" : "", "family" : "Tazzyman", "given" : "Samuel J.", "non-dropping-particle" : "", "parse-names" : false, "suffix" : "" }, { "dropping-particle" : "", "family" : "Bonhoeffer", "given" : "Sebastian", "non-dropping-particle" : "", "parse-names" : false, "suffix" : "" } ], "container-title" : "Evolution", "id" : "ITEM-1", "issue" : "7", "issued" : { "date-parts" : [ [ "2014" ] ] }, "language" : "en", "page" : "2066-2078", "title" : "Plasmids and Evolutionary Rescue by Drug Resistance", "type" : "article-journal", "volume" : "68" }, "uris" : [ "http://www.mendeley.com/documents/?uuid=cce49506-95fd-4ddf-ab76-e6d1b1996693" ] } ], "mendeley" : { "formattedCitation" : "(Tazzyman and Bonhoeffer, 2014)", "plainTextFormattedCitation" : "(Tazzyman and Bonhoeffer, 2014)", "previouslyFormattedCitation" : "(Tazzyman and Bonhoeffer, 2014)" }, "properties" : { "formattedCitation" : "{\\rtf \\super 4\\nosupersub{}}", "noteIndex" : 0, "plainCitation" : "4" }, "schema" : "https://github.com/citation-style-language/schema/raw/master/csl-citation.json" }</w:instrText>
      </w:r>
      <w:r w:rsidRPr="006F1A1F">
        <w:rPr>
          <w:rFonts w:cs="Arial"/>
          <w:noProof/>
          <w:color w:val="323232"/>
          <w:sz w:val="24"/>
          <w:szCs w:val="24"/>
          <w:lang w:val="en-GB"/>
        </w:rPr>
        <w:fldChar w:fldCharType="separate"/>
      </w:r>
      <w:r w:rsidR="008D5B37" w:rsidRPr="006F1A1F">
        <w:rPr>
          <w:rFonts w:cs="Arial"/>
          <w:noProof/>
          <w:sz w:val="24"/>
          <w:szCs w:val="24"/>
          <w:lang w:val="en-GB"/>
        </w:rPr>
        <w:t>(Tazzyman and Bonhoeffer, 2014)</w:t>
      </w:r>
      <w:r w:rsidRPr="006F1A1F">
        <w:rPr>
          <w:rFonts w:cs="Arial"/>
          <w:noProof/>
          <w:color w:val="323232"/>
          <w:sz w:val="24"/>
          <w:szCs w:val="24"/>
          <w:lang w:val="en-GB"/>
        </w:rPr>
        <w:fldChar w:fldCharType="end"/>
      </w:r>
      <w:r w:rsidRPr="006F1A1F">
        <w:rPr>
          <w:rFonts w:cs="Arial"/>
          <w:noProof/>
          <w:color w:val="323232"/>
          <w:sz w:val="24"/>
          <w:szCs w:val="24"/>
          <w:lang w:val="en-GB"/>
        </w:rPr>
        <w:t xml:space="preserve">, </w:t>
      </w:r>
      <w:r w:rsidR="007D55A9" w:rsidRPr="006F1A1F">
        <w:rPr>
          <w:rFonts w:cs="Arial"/>
          <w:noProof/>
          <w:color w:val="323232"/>
          <w:sz w:val="24"/>
          <w:szCs w:val="24"/>
          <w:lang w:val="en-GB"/>
        </w:rPr>
        <w:t xml:space="preserve">maintaining population genomic diversity. </w:t>
      </w:r>
      <w:r w:rsidR="000C32D9" w:rsidRPr="006F1A1F">
        <w:rPr>
          <w:rFonts w:cs="Arial"/>
          <w:noProof/>
          <w:color w:val="323232"/>
          <w:sz w:val="24"/>
          <w:szCs w:val="24"/>
          <w:lang w:val="en-GB"/>
        </w:rPr>
        <w:t>However, experimental data addressing this issue are lacking.</w:t>
      </w:r>
    </w:p>
    <w:p w14:paraId="100C76C8" w14:textId="77777777" w:rsidR="00366FFF" w:rsidRPr="006F1A1F" w:rsidRDefault="00366FFF" w:rsidP="008B0431">
      <w:pPr>
        <w:pStyle w:val="Body"/>
        <w:spacing w:line="480" w:lineRule="auto"/>
        <w:jc w:val="both"/>
        <w:rPr>
          <w:rFonts w:cs="Arial"/>
          <w:noProof/>
          <w:color w:val="323232"/>
          <w:sz w:val="24"/>
          <w:szCs w:val="24"/>
          <w:lang w:val="en-GB"/>
        </w:rPr>
      </w:pPr>
    </w:p>
    <w:p w14:paraId="49358629" w14:textId="5AF058E4" w:rsidR="00233C17" w:rsidRPr="006F1A1F" w:rsidRDefault="00366FFF" w:rsidP="008B0431">
      <w:pPr>
        <w:pStyle w:val="Body"/>
        <w:spacing w:line="480" w:lineRule="auto"/>
        <w:jc w:val="both"/>
        <w:rPr>
          <w:rFonts w:cs="Arial"/>
          <w:noProof/>
          <w:sz w:val="24"/>
          <w:szCs w:val="24"/>
          <w:lang w:val="en-GB"/>
        </w:rPr>
      </w:pPr>
      <w:r w:rsidRPr="006F1A1F">
        <w:rPr>
          <w:rFonts w:cs="Arial"/>
          <w:noProof/>
          <w:color w:val="323232"/>
          <w:sz w:val="24"/>
          <w:szCs w:val="24"/>
          <w:lang w:val="en-GB"/>
        </w:rPr>
        <w:t xml:space="preserve">To test </w:t>
      </w:r>
      <w:r w:rsidR="00233C17" w:rsidRPr="006F1A1F">
        <w:rPr>
          <w:rFonts w:cs="Arial"/>
          <w:noProof/>
          <w:color w:val="323232"/>
          <w:sz w:val="24"/>
          <w:szCs w:val="24"/>
          <w:lang w:val="en-GB"/>
        </w:rPr>
        <w:t>how selection alters the balance of vertical versus horizontal transmission of bacterial genes</w:t>
      </w:r>
      <w:r w:rsidR="000C32D9" w:rsidRPr="006F1A1F">
        <w:rPr>
          <w:rFonts w:cs="Arial"/>
          <w:noProof/>
          <w:color w:val="323232"/>
          <w:sz w:val="24"/>
          <w:szCs w:val="24"/>
          <w:lang w:val="en-GB"/>
        </w:rPr>
        <w:t>,</w:t>
      </w:r>
      <w:r w:rsidR="00233C17" w:rsidRPr="006F1A1F">
        <w:rPr>
          <w:rFonts w:cs="Arial"/>
          <w:noProof/>
          <w:sz w:val="24"/>
          <w:szCs w:val="24"/>
          <w:lang w:val="en-GB"/>
        </w:rPr>
        <w:t xml:space="preserve"> we </w:t>
      </w:r>
      <w:r w:rsidR="007A025F" w:rsidRPr="006F1A1F">
        <w:rPr>
          <w:rFonts w:cs="Arial"/>
          <w:noProof/>
          <w:sz w:val="24"/>
          <w:szCs w:val="24"/>
          <w:lang w:val="en-GB"/>
        </w:rPr>
        <w:t>quantified the dynamics of</w:t>
      </w:r>
      <w:r w:rsidR="00233C17" w:rsidRPr="006F1A1F">
        <w:rPr>
          <w:rFonts w:cs="Arial"/>
          <w:noProof/>
          <w:sz w:val="24"/>
          <w:szCs w:val="24"/>
          <w:lang w:val="en-GB"/>
        </w:rPr>
        <w:t xml:space="preserve"> mercury resistance (Hg</w:t>
      </w:r>
      <w:r w:rsidR="00233C17" w:rsidRPr="006F1A1F">
        <w:rPr>
          <w:rFonts w:cs="Arial"/>
          <w:noProof/>
          <w:sz w:val="24"/>
          <w:szCs w:val="24"/>
          <w:vertAlign w:val="superscript"/>
          <w:lang w:val="en-GB"/>
        </w:rPr>
        <w:t>R</w:t>
      </w:r>
      <w:r w:rsidR="00233C17" w:rsidRPr="006F1A1F">
        <w:rPr>
          <w:rFonts w:cs="Arial"/>
          <w:noProof/>
          <w:sz w:val="24"/>
          <w:szCs w:val="24"/>
          <w:lang w:val="en-GB"/>
        </w:rPr>
        <w:t xml:space="preserve">) </w:t>
      </w:r>
      <w:r w:rsidR="007A025F" w:rsidRPr="006F1A1F">
        <w:rPr>
          <w:rFonts w:cs="Arial"/>
          <w:noProof/>
          <w:sz w:val="24"/>
          <w:szCs w:val="24"/>
          <w:lang w:val="en-GB"/>
        </w:rPr>
        <w:t>in</w:t>
      </w:r>
      <w:r w:rsidR="00233C17" w:rsidRPr="006F1A1F">
        <w:rPr>
          <w:rFonts w:cs="Arial"/>
          <w:noProof/>
          <w:sz w:val="24"/>
          <w:szCs w:val="24"/>
          <w:lang w:val="en-GB"/>
        </w:rPr>
        <w:t xml:space="preserve"> populations of the soil bacterium </w:t>
      </w:r>
      <w:r w:rsidR="00233C17" w:rsidRPr="006F1A1F">
        <w:rPr>
          <w:rFonts w:cs="Arial"/>
          <w:i/>
          <w:iCs/>
          <w:noProof/>
          <w:sz w:val="24"/>
          <w:szCs w:val="24"/>
          <w:lang w:val="en-GB"/>
        </w:rPr>
        <w:t xml:space="preserve">Pseudomonas fluorescens </w:t>
      </w:r>
      <w:r w:rsidR="00233C17" w:rsidRPr="006F1A1F">
        <w:rPr>
          <w:rFonts w:cs="Arial"/>
          <w:iCs/>
          <w:noProof/>
          <w:sz w:val="24"/>
          <w:szCs w:val="24"/>
          <w:lang w:val="en-GB"/>
        </w:rPr>
        <w:t>SBW25</w:t>
      </w:r>
      <w:r w:rsidRPr="006F1A1F">
        <w:rPr>
          <w:rFonts w:cs="Arial"/>
          <w:iCs/>
          <w:noProof/>
          <w:sz w:val="24"/>
          <w:szCs w:val="24"/>
          <w:lang w:val="en-GB"/>
        </w:rPr>
        <w:t xml:space="preserve"> </w:t>
      </w:r>
      <w:r w:rsidR="00233C17" w:rsidRPr="006F1A1F">
        <w:rPr>
          <w:rFonts w:cs="Arial"/>
          <w:noProof/>
          <w:sz w:val="24"/>
          <w:szCs w:val="24"/>
          <w:lang w:val="en-GB"/>
        </w:rPr>
        <w:fldChar w:fldCharType="begin" w:fldLock="1"/>
      </w:r>
      <w:r w:rsidR="008D5B37" w:rsidRPr="006F1A1F">
        <w:rPr>
          <w:rFonts w:cs="Arial"/>
          <w:noProof/>
          <w:sz w:val="24"/>
          <w:szCs w:val="24"/>
          <w:lang w:val="en-GB"/>
        </w:rPr>
        <w:instrText>ADDIN CSL_CITATION { "citationID" : "u591hgqc2", "citationItems" : [ { "id" : "ITEM-1", "itemData" : { "ISSN" : "0950-382X", "PMID" : "8830243", "abstract" : "Pseudomonas fluorescens is a saprophytic bacterium commonly isolated from soil, water, and the surfaces and tissues of plants and animals. The species has important applications in biotechnology because it can enhance plant growth and protect crops against disease. A complete physical map of the 6.63 Mbp P. fluorescens SBW25 chromosome was constructed using data obtained from combinations of one- and two-dimensional electrophoresis of completely or partially digested chromosomal DNA with end labelling. In total, 139 restriction sites (15 PacI, 53 SpeI, 71 XbaI) were placed on the physical map and complete maps of the circular chromosome were obtained for both PacI and SpeI; only XbaI fragments linking SpeI fragments were positioned. The average resolution of restriction sites was 48 kbp. A genetic map was derived from the physical map by southern hybridization and 31 genes were positioned including oriC, rDNA operons (rnnA-E), recA, gacA, and pyvD.", "author" : [ { "dropping-particle" : "", "family" : "Rainey", "given" : "P. B.", "non-dropping-particle" : "", "parse-names" : false, "suffix" : "" }, { "dropping-particle" : "", "family" : "Bailey", "given" : "M. J.", "non-dropping-particle" : "", "parse-names" : false, "suffix" : "" } ], "container-title" : "Molecular Microbiology", "id" : "ITEM-1", "issue" : "3", "issued" : { "date-parts" : [ [ "1996", "2" ] ] }, "language" : "eng", "page" : "521-533", "title" : "Physical and genetic map of the Pseudomonas fluorescens SBW25 chromosome", "type" : "article-journal", "volume" : "19" }, "uris" : [ "http://www.mendeley.com/documents/?uuid=0cad29de-ec53-4ba7-aabf-b5845072c84e" ] } ], "mendeley" : { "formattedCitation" : "(Rainey and Bailey, 1996)", "plainTextFormattedCitation" : "(Rainey and Bailey, 1996)", "previouslyFormattedCitation" : "(Rainey and Bailey, 1996)" }, "properties" : { "formattedCitation" : "{\\rtf \\super 5\\nosupersub{}}", "noteIndex" : 0, "plainCitation" : "5" }, "schema" : "https://github.com/citation-style-language/schema/raw/master/csl-citation.json" }</w:instrText>
      </w:r>
      <w:r w:rsidR="00233C17" w:rsidRPr="006F1A1F">
        <w:rPr>
          <w:rFonts w:cs="Arial"/>
          <w:noProof/>
          <w:sz w:val="24"/>
          <w:szCs w:val="24"/>
          <w:lang w:val="en-GB"/>
        </w:rPr>
        <w:fldChar w:fldCharType="separate"/>
      </w:r>
      <w:r w:rsidR="008D5B37" w:rsidRPr="006F1A1F">
        <w:rPr>
          <w:rFonts w:cs="Arial"/>
          <w:noProof/>
          <w:sz w:val="24"/>
          <w:szCs w:val="24"/>
          <w:lang w:val="en-GB"/>
        </w:rPr>
        <w:t>(Rainey and Bailey, 1996)</w:t>
      </w:r>
      <w:r w:rsidR="00233C17" w:rsidRPr="006F1A1F">
        <w:rPr>
          <w:rFonts w:cs="Arial"/>
          <w:noProof/>
          <w:sz w:val="24"/>
          <w:szCs w:val="24"/>
          <w:lang w:val="en-GB"/>
        </w:rPr>
        <w:fldChar w:fldCharType="end"/>
      </w:r>
      <w:r w:rsidR="00233C17" w:rsidRPr="006F1A1F">
        <w:rPr>
          <w:rFonts w:cs="Arial"/>
          <w:noProof/>
          <w:sz w:val="24"/>
          <w:szCs w:val="24"/>
          <w:lang w:val="en-GB"/>
        </w:rPr>
        <w:t xml:space="preserve"> </w:t>
      </w:r>
      <w:r w:rsidR="007A025F" w:rsidRPr="006F1A1F">
        <w:rPr>
          <w:rFonts w:cs="Arial"/>
          <w:noProof/>
          <w:sz w:val="24"/>
          <w:szCs w:val="24"/>
          <w:lang w:val="en-GB"/>
        </w:rPr>
        <w:t xml:space="preserve">with the mercury resistance operon </w:t>
      </w:r>
      <w:r w:rsidR="007A025F" w:rsidRPr="006F1A1F">
        <w:rPr>
          <w:rFonts w:cs="Arial"/>
          <w:i/>
          <w:iCs/>
          <w:noProof/>
          <w:sz w:val="24"/>
          <w:szCs w:val="24"/>
          <w:lang w:val="en-GB"/>
        </w:rPr>
        <w:t>mer</w:t>
      </w:r>
      <w:r w:rsidR="007A025F" w:rsidRPr="006F1A1F">
        <w:rPr>
          <w:rFonts w:cs="Arial"/>
          <w:noProof/>
          <w:sz w:val="24"/>
          <w:szCs w:val="24"/>
          <w:lang w:val="en-GB"/>
        </w:rPr>
        <w:t xml:space="preserve"> encoded either chromosomally or carried on </w:t>
      </w:r>
      <w:r w:rsidR="002845EB" w:rsidRPr="006F1A1F">
        <w:rPr>
          <w:rFonts w:cs="Arial"/>
          <w:noProof/>
          <w:sz w:val="24"/>
          <w:szCs w:val="24"/>
          <w:lang w:val="en-GB"/>
        </w:rPr>
        <w:t>an</w:t>
      </w:r>
      <w:r w:rsidR="00233C17" w:rsidRPr="006F1A1F">
        <w:rPr>
          <w:rFonts w:cs="Arial"/>
          <w:noProof/>
          <w:sz w:val="24"/>
          <w:szCs w:val="24"/>
          <w:lang w:val="en-GB"/>
        </w:rPr>
        <w:t xml:space="preserve"> Hg</w:t>
      </w:r>
      <w:r w:rsidR="00233C17" w:rsidRPr="006F1A1F">
        <w:rPr>
          <w:rFonts w:cs="Arial"/>
          <w:noProof/>
          <w:sz w:val="24"/>
          <w:szCs w:val="24"/>
          <w:vertAlign w:val="superscript"/>
          <w:lang w:val="en-GB"/>
        </w:rPr>
        <w:t xml:space="preserve">R </w:t>
      </w:r>
      <w:r w:rsidR="00233C17" w:rsidRPr="006F1A1F">
        <w:rPr>
          <w:rFonts w:cs="Arial"/>
          <w:noProof/>
          <w:sz w:val="24"/>
          <w:szCs w:val="24"/>
          <w:lang w:val="en-GB"/>
        </w:rPr>
        <w:t>plasmid pQBR57</w:t>
      </w:r>
      <w:r w:rsidR="009570CA" w:rsidRPr="006F1A1F">
        <w:rPr>
          <w:rFonts w:cs="Arial"/>
          <w:noProof/>
          <w:sz w:val="24"/>
          <w:szCs w:val="24"/>
          <w:lang w:val="en-GB"/>
        </w:rPr>
        <w:t xml:space="preserve"> </w:t>
      </w:r>
      <w:r w:rsidR="00233C17" w:rsidRPr="006F1A1F">
        <w:rPr>
          <w:rFonts w:cs="Arial"/>
          <w:noProof/>
          <w:sz w:val="24"/>
          <w:szCs w:val="24"/>
          <w:lang w:val="en-GB"/>
        </w:rPr>
        <w:fldChar w:fldCharType="begin" w:fldLock="1"/>
      </w:r>
      <w:r w:rsidR="008D5B37" w:rsidRPr="006F1A1F">
        <w:rPr>
          <w:rFonts w:cs="Arial"/>
          <w:noProof/>
          <w:sz w:val="24"/>
          <w:szCs w:val="24"/>
          <w:lang w:val="en-GB"/>
        </w:rPr>
        <w:instrText>ADDIN CSL_CITATION { "citationID" : "hrt6ij88d", "citationItems" : [ { "id" : "ITEM-1", "itemData" : { "ISSN" : "0099-2240", "PMID" : "16535580", "abstract" : "The transfer of naturally occurring conjugative plasmids from the indigenous microflora to a genetically modified population of bacteria colonizing the phytospheres of plants has been observed. The marked strain (Pseudomonas fluorescens SBW25EeZY6KX) was introduced as a seed dressing to sugar beets (Beta vulgaris var. Amethyst) as part of a field experiment to assess the ecology and genetic stability of deliberately released bacterial inocula. The sustained populations of the introduced strain, which colonized the phytosphere, were assessed throughout the growing season for the acquisition of plasmids conferring mercury resistance (Hg(supr)). Transconjugants were isolated only from root and leaf samples collected within a narrow temporal window coincident with the midseason maturation of the crop. Conjugal-transfer events were recorded during this defined period in two separate field release experiments conducted over consecutive years. On one occasion seven of nine individual plants sampled supported transconjugant P. fluorescens SBW25EeZY6KX, demonstrating that conjugative gene transfer between bacterial populations in the phytosphere may be a common event under specific environmental conditions. The plasmids acquired in situ by the colonizing inocula were identified as natural variants of restriction digest pattern group I, III, or IV plasmids from five genetically distinct groups of large, conjugative mercury resistance plasmids known to persist in the phytospheres of sugar beets at the field site. These data demonstrate not only that gene transfer may be a common event but also that the genetic and phenotypic stability of inocula released into the natural environment cannot be predicted.", "author" : [ { "dropping-particle" : "", "family" : "Lilley", "given" : "A K", "non-dropping-particle" : "", "parse-names" : false, "suffix" : "" }, { "dropping-particle" : "", "family" : "Bailey", "given" : "M J", "non-dropping-particle" : "", "parse-names" : false, "suffix" : "" } ], "container-title" : "Applied and environmental microbiology", "id" : "ITEM-1", "issue" : "4", "issued" : { "date-parts" : [ [ "1997", "4" ] ] }, "page" : "1577-83", "title" : "The acquisition of indigenous plasmids by a genetically marked pseudomonad population colonizing the sugar beet phytosphere is related to local environmental conditions.", "type" : "article-journal", "volume" : "63" }, "uris" : [ "http://www.mendeley.com/documents/?uuid=589428ae-120f-308d-809d-741ae978c21c" ] } ], "mendeley" : { "formattedCitation" : "(Lilley and Bailey, 1997)", "plainTextFormattedCitation" : "(Lilley and Bailey, 1997)", "previouslyFormattedCitation" : "(Lilley and Bailey, 1997)" }, "properties" : { "formattedCitation" : "{\\rtf \\super 6\\nosupersub{}}", "noteIndex" : 0, "plainCitation" : "6" }, "schema" : "https://github.com/citation-style-language/schema/raw/master/csl-citation.json" }</w:instrText>
      </w:r>
      <w:r w:rsidR="00233C17" w:rsidRPr="006F1A1F">
        <w:rPr>
          <w:rFonts w:cs="Arial"/>
          <w:noProof/>
          <w:sz w:val="24"/>
          <w:szCs w:val="24"/>
          <w:lang w:val="en-GB"/>
        </w:rPr>
        <w:fldChar w:fldCharType="separate"/>
      </w:r>
      <w:r w:rsidR="008D5B37" w:rsidRPr="006F1A1F">
        <w:rPr>
          <w:rFonts w:cs="Arial"/>
          <w:noProof/>
          <w:sz w:val="24"/>
          <w:szCs w:val="24"/>
          <w:lang w:val="en-GB"/>
        </w:rPr>
        <w:t>(Lilley and Bailey, 1997)</w:t>
      </w:r>
      <w:r w:rsidR="00233C17" w:rsidRPr="006F1A1F">
        <w:rPr>
          <w:rFonts w:cs="Arial"/>
          <w:noProof/>
          <w:sz w:val="24"/>
          <w:szCs w:val="24"/>
          <w:lang w:val="en-GB"/>
        </w:rPr>
        <w:fldChar w:fldCharType="end"/>
      </w:r>
      <w:r w:rsidR="00233C17" w:rsidRPr="006F1A1F">
        <w:rPr>
          <w:rFonts w:cs="Arial"/>
          <w:noProof/>
          <w:sz w:val="24"/>
          <w:szCs w:val="24"/>
          <w:lang w:val="en-GB"/>
        </w:rPr>
        <w:t xml:space="preserve">. We established 36 replicate populations of </w:t>
      </w:r>
      <w:r w:rsidR="00233C17" w:rsidRPr="006F1A1F">
        <w:rPr>
          <w:rFonts w:cs="Arial"/>
          <w:iCs/>
          <w:noProof/>
          <w:sz w:val="24"/>
          <w:szCs w:val="24"/>
          <w:lang w:val="en-GB"/>
        </w:rPr>
        <w:t>SBW25</w:t>
      </w:r>
      <w:r w:rsidR="00233C17" w:rsidRPr="006F1A1F">
        <w:rPr>
          <w:rFonts w:cs="Arial"/>
          <w:noProof/>
          <w:sz w:val="24"/>
          <w:szCs w:val="24"/>
          <w:lang w:val="en-GB"/>
        </w:rPr>
        <w:t>, 18 with Hg</w:t>
      </w:r>
      <w:r w:rsidR="00233C17" w:rsidRPr="006F1A1F">
        <w:rPr>
          <w:rFonts w:cs="Arial"/>
          <w:noProof/>
          <w:sz w:val="24"/>
          <w:szCs w:val="24"/>
          <w:vertAlign w:val="superscript"/>
          <w:lang w:val="en-GB"/>
        </w:rPr>
        <w:t>R</w:t>
      </w:r>
      <w:r w:rsidR="00233C17" w:rsidRPr="006F1A1F">
        <w:rPr>
          <w:rFonts w:cs="Arial"/>
          <w:noProof/>
          <w:sz w:val="24"/>
          <w:szCs w:val="24"/>
          <w:lang w:val="en-GB"/>
        </w:rPr>
        <w:t xml:space="preserve"> encoded on their chromosome (i.e. non-horizontally transferable), 18 with Hg</w:t>
      </w:r>
      <w:r w:rsidR="00233C17" w:rsidRPr="006F1A1F">
        <w:rPr>
          <w:rFonts w:cs="Arial"/>
          <w:noProof/>
          <w:sz w:val="24"/>
          <w:szCs w:val="24"/>
          <w:vertAlign w:val="superscript"/>
          <w:lang w:val="en-GB"/>
        </w:rPr>
        <w:t xml:space="preserve">R </w:t>
      </w:r>
      <w:r w:rsidR="00233C17" w:rsidRPr="006F1A1F">
        <w:rPr>
          <w:rFonts w:cs="Arial"/>
          <w:noProof/>
          <w:sz w:val="24"/>
          <w:szCs w:val="24"/>
          <w:lang w:val="en-GB"/>
        </w:rPr>
        <w:t>encoded on pQBR57 (i.e. horizontally transferable). Each population was mixed 50:50 with a mercury-sensitive differentially</w:t>
      </w:r>
      <w:r w:rsidR="000C32D9" w:rsidRPr="006F1A1F">
        <w:rPr>
          <w:rFonts w:cs="Arial"/>
          <w:noProof/>
          <w:sz w:val="24"/>
          <w:szCs w:val="24"/>
          <w:lang w:val="en-GB"/>
        </w:rPr>
        <w:t>-</w:t>
      </w:r>
      <w:r w:rsidR="00233C17" w:rsidRPr="006F1A1F">
        <w:rPr>
          <w:rFonts w:cs="Arial"/>
          <w:noProof/>
          <w:sz w:val="24"/>
          <w:szCs w:val="24"/>
          <w:lang w:val="en-GB"/>
        </w:rPr>
        <w:t>marked SBW25 strain and then propagated by serial transfer every 24 hours for 8 days. Populations were grown in one of three mercury environments, 0, 20 and 40 µM HgCl</w:t>
      </w:r>
      <w:r w:rsidR="00233C17" w:rsidRPr="006F1A1F">
        <w:rPr>
          <w:rFonts w:cs="Arial"/>
          <w:noProof/>
          <w:sz w:val="24"/>
          <w:szCs w:val="24"/>
          <w:vertAlign w:val="subscript"/>
          <w:lang w:val="en-GB"/>
        </w:rPr>
        <w:t xml:space="preserve">2 </w:t>
      </w:r>
      <w:r w:rsidR="00233C17" w:rsidRPr="006F1A1F">
        <w:rPr>
          <w:rFonts w:cs="Arial"/>
          <w:noProof/>
          <w:sz w:val="24"/>
          <w:szCs w:val="24"/>
          <w:lang w:val="en-GB"/>
        </w:rPr>
        <w:t>(i.e. six replicates per treatment); this represents a selective gradient</w:t>
      </w:r>
      <w:r w:rsidR="001D4482" w:rsidRPr="006F1A1F">
        <w:rPr>
          <w:rFonts w:cs="Arial"/>
          <w:noProof/>
          <w:sz w:val="24"/>
          <w:szCs w:val="24"/>
          <w:lang w:val="en-GB"/>
        </w:rPr>
        <w:t xml:space="preserve"> </w:t>
      </w:r>
      <w:r w:rsidR="00233C17" w:rsidRPr="006F1A1F">
        <w:rPr>
          <w:rFonts w:cs="Arial"/>
          <w:noProof/>
          <w:sz w:val="24"/>
          <w:szCs w:val="24"/>
          <w:lang w:val="en-GB"/>
        </w:rPr>
        <w:t>wherein plasmid-enco</w:t>
      </w:r>
      <w:r w:rsidR="001D4482" w:rsidRPr="006F1A1F">
        <w:rPr>
          <w:rFonts w:cs="Arial"/>
          <w:noProof/>
          <w:sz w:val="24"/>
          <w:szCs w:val="24"/>
          <w:lang w:val="en-GB"/>
        </w:rPr>
        <w:t>ded mercury resistance is under,</w:t>
      </w:r>
      <w:r w:rsidR="00233C17" w:rsidRPr="006F1A1F">
        <w:rPr>
          <w:rFonts w:cs="Arial"/>
          <w:noProof/>
          <w:sz w:val="24"/>
          <w:szCs w:val="24"/>
          <w:lang w:val="en-GB"/>
        </w:rPr>
        <w:t xml:space="preserve"> respectively, strong negative selection, weak positive selection and strong positive selection</w:t>
      </w:r>
      <w:r w:rsidR="003C66A2" w:rsidRPr="006F1A1F">
        <w:rPr>
          <w:rFonts w:cs="Arial"/>
          <w:noProof/>
          <w:sz w:val="24"/>
          <w:szCs w:val="24"/>
          <w:lang w:val="en-GB"/>
        </w:rPr>
        <w:t>, due to the balance between the cost of plasmid carriage and the benefits of mercury resistance</w:t>
      </w:r>
      <w:r w:rsidR="00D1694E" w:rsidRPr="006F1A1F">
        <w:rPr>
          <w:rFonts w:cs="Arial"/>
          <w:noProof/>
          <w:sz w:val="24"/>
          <w:szCs w:val="24"/>
          <w:lang w:val="en-GB"/>
        </w:rPr>
        <w:t xml:space="preserve"> (Supplementary F</w:t>
      </w:r>
      <w:r w:rsidR="00C71DD2" w:rsidRPr="006F1A1F">
        <w:rPr>
          <w:rFonts w:cs="Arial"/>
          <w:noProof/>
          <w:sz w:val="24"/>
          <w:szCs w:val="24"/>
          <w:lang w:val="en-GB"/>
        </w:rPr>
        <w:t xml:space="preserve">igure </w:t>
      </w:r>
      <w:r w:rsidR="00D1694E" w:rsidRPr="006F1A1F">
        <w:rPr>
          <w:rFonts w:cs="Arial"/>
          <w:noProof/>
          <w:sz w:val="24"/>
          <w:szCs w:val="24"/>
          <w:lang w:val="en-GB"/>
        </w:rPr>
        <w:t>S</w:t>
      </w:r>
      <w:r w:rsidR="00C71DD2" w:rsidRPr="006F1A1F">
        <w:rPr>
          <w:rFonts w:cs="Arial"/>
          <w:noProof/>
          <w:sz w:val="24"/>
          <w:szCs w:val="24"/>
          <w:lang w:val="en-GB"/>
        </w:rPr>
        <w:t xml:space="preserve">1) </w:t>
      </w:r>
      <w:r w:rsidR="00233C17" w:rsidRPr="006F1A1F">
        <w:rPr>
          <w:rFonts w:cs="Arial"/>
          <w:noProof/>
          <w:sz w:val="24"/>
          <w:szCs w:val="24"/>
          <w:lang w:val="en-GB"/>
        </w:rPr>
        <w:fldChar w:fldCharType="begin" w:fldLock="1"/>
      </w:r>
      <w:r w:rsidR="008D5B37" w:rsidRPr="006F1A1F">
        <w:rPr>
          <w:rFonts w:cs="Arial"/>
          <w:noProof/>
          <w:sz w:val="24"/>
          <w:szCs w:val="24"/>
          <w:lang w:val="en-GB"/>
        </w:rPr>
        <w:instrText>ADDIN CSL_CITATION { "citationItems" : [ { "id" : "ITEM-1", "itemData" : { "DOI" : "10.1111/1462-2920.12901", "ISSN" : "14622912", "author" : [ { "dropping-particle" : "", "family" : "Hall", "given" : "James P.J.", "non-dropping-particle" : "", "parse-names" : false, "suffix" : "" }, { "dropping-particle" : "", "family" : "Harrison", "given" : "Ellie", "non-dropping-particle" : "", "parse-names" : false, "suffix" : "" }, { "dropping-particle" : "", "family" : "Lilley", "given" : "Andrew K.", "non-dropping-particle" : "", "parse-names" : false, "suffix" : "" }, { "dropping-particle" : "", "family" : "Paterson", "given" : "Steve", "non-dropping-particle" : "", "parse-names" : false, "suffix" : "" }, { "dropping-particle" : "", "family" : "Spiers", "given" : "Andrew J.", "non-dropping-particle" : "", "parse-names" : false, "suffix" : "" }, { "dropping-particle" : "", "family" : "Brockhurst", "given" : "Michael A.", "non-dropping-particle" : "", "parse-names" : false, "suffix" : "" } ], "container-title" : "Environmental Microbiology", "id" : "ITEM-1", "issue" : "12", "issued" : { "date-parts" : [ [ "2015", "12" ] ] }, "page" : "5008-5022", "title" : "Environmentally co-occurring mercury resistance plasmids are genetically and phenotypically diverse and confer variable context-dependent fitness effects", "type" : "article-journal", "volume" : "17" }, "uris" : [ "http://www.mendeley.com/documents/?uuid=8f3a40db-3a47-3efd-a189-d3472354ba45" ] } ], "mendeley" : { "formattedCitation" : "(Hall &lt;i&gt;et al.&lt;/i&gt;, 2015)", "plainTextFormattedCitation" : "(Hall et al., 2015)", "previouslyFormattedCitation" : "(Hall &lt;i&gt;et al.&lt;/i&gt;, 2015)" }, "properties" : { "noteIndex" : 0 }, "schema" : "https://github.com/citation-style-language/schema/raw/master/csl-citation.json" }</w:instrText>
      </w:r>
      <w:r w:rsidR="00233C17" w:rsidRPr="006F1A1F">
        <w:rPr>
          <w:rFonts w:cs="Arial"/>
          <w:noProof/>
          <w:sz w:val="24"/>
          <w:szCs w:val="24"/>
          <w:lang w:val="en-GB"/>
        </w:rPr>
        <w:fldChar w:fldCharType="separate"/>
      </w:r>
      <w:r w:rsidR="008D5B37" w:rsidRPr="006F1A1F">
        <w:rPr>
          <w:rFonts w:cs="Arial"/>
          <w:noProof/>
          <w:sz w:val="24"/>
          <w:szCs w:val="24"/>
          <w:lang w:val="en-GB"/>
        </w:rPr>
        <w:t xml:space="preserve">(Hall </w:t>
      </w:r>
      <w:r w:rsidR="008D5B37" w:rsidRPr="006F1A1F">
        <w:rPr>
          <w:rFonts w:cs="Arial"/>
          <w:i/>
          <w:noProof/>
          <w:sz w:val="24"/>
          <w:szCs w:val="24"/>
          <w:lang w:val="en-GB"/>
        </w:rPr>
        <w:t>et al.</w:t>
      </w:r>
      <w:r w:rsidR="008D5B37" w:rsidRPr="006F1A1F">
        <w:rPr>
          <w:rFonts w:cs="Arial"/>
          <w:noProof/>
          <w:sz w:val="24"/>
          <w:szCs w:val="24"/>
          <w:lang w:val="en-GB"/>
        </w:rPr>
        <w:t>, 2015)</w:t>
      </w:r>
      <w:r w:rsidR="00233C17" w:rsidRPr="006F1A1F">
        <w:rPr>
          <w:rFonts w:cs="Arial"/>
          <w:noProof/>
          <w:sz w:val="24"/>
          <w:szCs w:val="24"/>
          <w:lang w:val="en-GB"/>
        </w:rPr>
        <w:fldChar w:fldCharType="end"/>
      </w:r>
      <w:r w:rsidR="00233C17" w:rsidRPr="006F1A1F">
        <w:rPr>
          <w:rFonts w:cs="Arial"/>
          <w:noProof/>
          <w:sz w:val="24"/>
          <w:szCs w:val="24"/>
          <w:lang w:val="en-GB"/>
        </w:rPr>
        <w:t xml:space="preserve">. </w:t>
      </w:r>
      <w:r w:rsidR="00180196" w:rsidRPr="006F1A1F">
        <w:rPr>
          <w:rFonts w:cs="Arial"/>
          <w:noProof/>
          <w:sz w:val="24"/>
          <w:szCs w:val="24"/>
          <w:lang w:val="en-GB"/>
        </w:rPr>
        <w:t>Because p</w:t>
      </w:r>
      <w:r w:rsidR="008F5BA0" w:rsidRPr="006F1A1F">
        <w:rPr>
          <w:rFonts w:cs="Arial"/>
          <w:noProof/>
          <w:sz w:val="24"/>
          <w:szCs w:val="24"/>
          <w:lang w:val="en-GB"/>
        </w:rPr>
        <w:t xml:space="preserve">QBR57 is maintained at low copy number </w:t>
      </w:r>
      <w:r w:rsidR="008F5BA0" w:rsidRPr="006F1A1F">
        <w:rPr>
          <w:rFonts w:cs="Arial"/>
          <w:noProof/>
          <w:sz w:val="24"/>
          <w:szCs w:val="24"/>
          <w:lang w:val="en-GB"/>
        </w:rPr>
        <w:fldChar w:fldCharType="begin" w:fldLock="1"/>
      </w:r>
      <w:r w:rsidR="00FB3FA4" w:rsidRPr="006F1A1F">
        <w:rPr>
          <w:rFonts w:cs="Arial"/>
          <w:noProof/>
          <w:sz w:val="24"/>
          <w:szCs w:val="24"/>
          <w:lang w:val="en-GB"/>
        </w:rPr>
        <w:instrText>ADDIN CSL_CITATION { "citationItems" : [ { "id" : "ITEM-1", "itemData" : { "DOI" : "10.1111/1462-2920.12901", "ISSN" : "14622912", "author" : [ { "dropping-particle" : "", "family" : "Hall", "given" : "James P.J.", "non-dropping-particle" : "", "parse-names" : false, "suffix" : "" }, { "dropping-particle" : "", "family" : "Harrison", "given" : "Ellie", "non-dropping-particle" : "", "parse-names" : false, "suffix" : "" }, { "dropping-particle" : "", "family" : "Lilley", "given" : "Andrew K.", "non-dropping-particle" : "", "parse-names" : false, "suffix" : "" }, { "dropping-particle" : "", "family" : "Paterson", "given" : "Steve", "non-dropping-particle" : "", "parse-names" : false, "suffix" : "" }, { "dropping-particle" : "", "family" : "Spiers", "given" : "Andrew J.", "non-dropping-particle" : "", "parse-names" : false, "suffix" : "" }, { "dropping-particle" : "", "family" : "Brockhurst", "given" : "Michael A.", "non-dropping-particle" : "", "parse-names" : false, "suffix" : "" } ], "container-title" : "Environmental Microbiology", "id" : "ITEM-1", "issue" : "12", "issued" : { "date-parts" : [ [ "2015", "12" ] ] }, "page" : "5008-5022", "title" : "Environmentally co-occurring mercury resistance plasmids are genetically and phenotypically diverse and confer variable context-dependent fitness effects", "type" : "article-journal", "volume" : "17" }, "uris" : [ "http://www.mendeley.com/documents/?uuid=8f3a40db-3a47-3efd-a189-d3472354ba45" ] } ], "mendeley" : { "formattedCitation" : "(Hall &lt;i&gt;et al.&lt;/i&gt;, 2015)", "plainTextFormattedCitation" : "(Hall et al., 2015)", "previouslyFormattedCitation" : "(Hall &lt;i&gt;et al.&lt;/i&gt;, 2015)" }, "properties" : { "noteIndex" : 0 }, "schema" : "https://github.com/citation-style-language/schema/raw/master/csl-citation.json" }</w:instrText>
      </w:r>
      <w:r w:rsidR="008F5BA0" w:rsidRPr="006F1A1F">
        <w:rPr>
          <w:rFonts w:cs="Arial"/>
          <w:noProof/>
          <w:sz w:val="24"/>
          <w:szCs w:val="24"/>
          <w:lang w:val="en-GB"/>
        </w:rPr>
        <w:fldChar w:fldCharType="separate"/>
      </w:r>
      <w:r w:rsidR="008F5BA0" w:rsidRPr="006F1A1F">
        <w:rPr>
          <w:rFonts w:cs="Arial"/>
          <w:noProof/>
          <w:sz w:val="24"/>
          <w:szCs w:val="24"/>
          <w:lang w:val="en-GB"/>
        </w:rPr>
        <w:t xml:space="preserve">(Hall </w:t>
      </w:r>
      <w:r w:rsidR="008F5BA0" w:rsidRPr="006F1A1F">
        <w:rPr>
          <w:rFonts w:cs="Arial"/>
          <w:i/>
          <w:noProof/>
          <w:sz w:val="24"/>
          <w:szCs w:val="24"/>
          <w:lang w:val="en-GB"/>
        </w:rPr>
        <w:t>et al.</w:t>
      </w:r>
      <w:r w:rsidR="008F5BA0" w:rsidRPr="006F1A1F">
        <w:rPr>
          <w:rFonts w:cs="Arial"/>
          <w:noProof/>
          <w:sz w:val="24"/>
          <w:szCs w:val="24"/>
          <w:lang w:val="en-GB"/>
        </w:rPr>
        <w:t>, 2015)</w:t>
      </w:r>
      <w:r w:rsidR="008F5BA0" w:rsidRPr="006F1A1F">
        <w:rPr>
          <w:rFonts w:cs="Arial"/>
          <w:noProof/>
          <w:sz w:val="24"/>
          <w:szCs w:val="24"/>
          <w:lang w:val="en-GB"/>
        </w:rPr>
        <w:fldChar w:fldCharType="end"/>
      </w:r>
      <w:r w:rsidR="00180196" w:rsidRPr="006F1A1F">
        <w:rPr>
          <w:rFonts w:cs="Arial"/>
          <w:noProof/>
          <w:sz w:val="24"/>
          <w:szCs w:val="24"/>
          <w:lang w:val="en-GB"/>
        </w:rPr>
        <w:t>, the</w:t>
      </w:r>
      <w:r w:rsidR="00BB19DC" w:rsidRPr="006F1A1F">
        <w:rPr>
          <w:rFonts w:cs="Arial"/>
          <w:noProof/>
          <w:sz w:val="24"/>
          <w:szCs w:val="24"/>
          <w:lang w:val="en-GB"/>
        </w:rPr>
        <w:t xml:space="preserve"> </w:t>
      </w:r>
      <w:r w:rsidR="00180196" w:rsidRPr="006F1A1F">
        <w:rPr>
          <w:rFonts w:cs="Arial"/>
          <w:noProof/>
          <w:sz w:val="24"/>
          <w:szCs w:val="24"/>
          <w:lang w:val="en-GB"/>
        </w:rPr>
        <w:t>chromosomal and plasmid-encoded Hg</w:t>
      </w:r>
      <w:r w:rsidR="00180196" w:rsidRPr="006F1A1F">
        <w:rPr>
          <w:rFonts w:cs="Arial"/>
          <w:noProof/>
          <w:sz w:val="24"/>
          <w:szCs w:val="24"/>
          <w:vertAlign w:val="superscript"/>
          <w:lang w:val="en-GB"/>
        </w:rPr>
        <w:t>R</w:t>
      </w:r>
      <w:r w:rsidR="00180196" w:rsidRPr="006F1A1F">
        <w:rPr>
          <w:rFonts w:cs="Arial"/>
          <w:noProof/>
          <w:sz w:val="24"/>
          <w:szCs w:val="24"/>
          <w:lang w:val="en-GB"/>
        </w:rPr>
        <w:t xml:space="preserve"> genes provide equivalent levels of resistance</w:t>
      </w:r>
      <w:r w:rsidR="00C46123" w:rsidRPr="006F1A1F">
        <w:rPr>
          <w:rFonts w:cs="Arial"/>
          <w:noProof/>
          <w:sz w:val="24"/>
          <w:szCs w:val="24"/>
          <w:lang w:val="en-GB"/>
        </w:rPr>
        <w:t xml:space="preserve"> (Supplementary Figure S2). </w:t>
      </w:r>
      <w:r w:rsidR="00233C17" w:rsidRPr="006F1A1F">
        <w:rPr>
          <w:rFonts w:cs="Arial"/>
          <w:noProof/>
          <w:sz w:val="24"/>
          <w:szCs w:val="24"/>
          <w:lang w:val="en-GB"/>
        </w:rPr>
        <w:t xml:space="preserve">Every 2 days we </w:t>
      </w:r>
      <w:r w:rsidR="00233C17" w:rsidRPr="006F1A1F">
        <w:rPr>
          <w:rFonts w:cs="Arial"/>
          <w:noProof/>
          <w:sz w:val="24"/>
          <w:szCs w:val="24"/>
          <w:lang w:val="en-GB"/>
        </w:rPr>
        <w:lastRenderedPageBreak/>
        <w:t>determined the proportion of Hg</w:t>
      </w:r>
      <w:r w:rsidR="00233C17" w:rsidRPr="006F1A1F">
        <w:rPr>
          <w:rFonts w:cs="Arial"/>
          <w:noProof/>
          <w:sz w:val="24"/>
          <w:szCs w:val="24"/>
          <w:vertAlign w:val="superscript"/>
          <w:lang w:val="en-GB"/>
        </w:rPr>
        <w:t xml:space="preserve">R </w:t>
      </w:r>
      <w:r w:rsidR="00233C17" w:rsidRPr="006F1A1F">
        <w:rPr>
          <w:rFonts w:cs="Arial"/>
          <w:noProof/>
          <w:sz w:val="24"/>
          <w:szCs w:val="24"/>
          <w:lang w:val="en-GB"/>
        </w:rPr>
        <w:t>cells within each population by plate counts. Furthermore, as our donors and recipients were differentially marked we were able to track the frequency of pQBR57 in both donor and recipient populations</w:t>
      </w:r>
      <w:r w:rsidR="00D1694E" w:rsidRPr="006F1A1F">
        <w:rPr>
          <w:rFonts w:cs="Arial"/>
          <w:noProof/>
          <w:sz w:val="24"/>
          <w:szCs w:val="24"/>
          <w:lang w:val="en-GB"/>
        </w:rPr>
        <w:t xml:space="preserve"> (for full methods see Supplementary Information)</w:t>
      </w:r>
      <w:r w:rsidR="00233C17" w:rsidRPr="006F1A1F">
        <w:rPr>
          <w:rFonts w:cs="Arial"/>
          <w:noProof/>
          <w:sz w:val="24"/>
          <w:szCs w:val="24"/>
          <w:lang w:val="en-GB"/>
        </w:rPr>
        <w:t>.</w:t>
      </w:r>
    </w:p>
    <w:p w14:paraId="2568B2E1" w14:textId="77777777" w:rsidR="00233C17" w:rsidRPr="006F1A1F" w:rsidRDefault="00233C17" w:rsidP="008B0431">
      <w:pPr>
        <w:pStyle w:val="Default"/>
        <w:spacing w:line="480" w:lineRule="auto"/>
        <w:jc w:val="both"/>
        <w:rPr>
          <w:rFonts w:cs="Arial"/>
          <w:noProof/>
          <w:sz w:val="24"/>
          <w:szCs w:val="24"/>
          <w:lang w:val="en-GB"/>
        </w:rPr>
      </w:pPr>
    </w:p>
    <w:p w14:paraId="3CA32F5D" w14:textId="77777777" w:rsidR="00A03C43" w:rsidRPr="006F1A1F" w:rsidRDefault="000C32D9" w:rsidP="008B0431">
      <w:pPr>
        <w:pStyle w:val="Body"/>
        <w:spacing w:line="480" w:lineRule="auto"/>
        <w:jc w:val="both"/>
        <w:rPr>
          <w:rFonts w:cs="Arial"/>
          <w:noProof/>
          <w:sz w:val="24"/>
          <w:szCs w:val="24"/>
          <w:lang w:val="en-GB"/>
        </w:rPr>
      </w:pPr>
      <w:r w:rsidRPr="006F1A1F">
        <w:rPr>
          <w:rFonts w:cs="Arial"/>
          <w:noProof/>
          <w:sz w:val="24"/>
          <w:szCs w:val="24"/>
          <w:lang w:val="en-GB"/>
        </w:rPr>
        <w:t>The endpoint proportion of mercury-resistant (Hg</w:t>
      </w:r>
      <w:r w:rsidRPr="006F1A1F">
        <w:rPr>
          <w:rFonts w:cs="Arial"/>
          <w:noProof/>
          <w:sz w:val="24"/>
          <w:szCs w:val="24"/>
          <w:vertAlign w:val="superscript"/>
          <w:lang w:val="en-GB"/>
        </w:rPr>
        <w:t>R</w:t>
      </w:r>
      <w:r w:rsidRPr="006F1A1F">
        <w:rPr>
          <w:rFonts w:cs="Arial"/>
          <w:noProof/>
          <w:sz w:val="24"/>
          <w:szCs w:val="24"/>
          <w:lang w:val="en-GB"/>
        </w:rPr>
        <w:t>) cells in the population was significantly affected by the horizontal transmissibility of Hg</w:t>
      </w:r>
      <w:r w:rsidRPr="006F1A1F">
        <w:rPr>
          <w:rFonts w:cs="Arial"/>
          <w:noProof/>
          <w:sz w:val="24"/>
          <w:szCs w:val="24"/>
          <w:vertAlign w:val="superscript"/>
          <w:lang w:val="en-GB"/>
        </w:rPr>
        <w:t>R</w:t>
      </w:r>
      <w:r w:rsidRPr="006F1A1F">
        <w:rPr>
          <w:rFonts w:cs="Arial"/>
          <w:noProof/>
          <w:sz w:val="24"/>
          <w:szCs w:val="24"/>
          <w:lang w:val="en-GB"/>
        </w:rPr>
        <w:t xml:space="preserve"> </w:t>
      </w:r>
      <w:r w:rsidR="00233C17" w:rsidRPr="006F1A1F">
        <w:rPr>
          <w:rFonts w:cs="Arial"/>
          <w:noProof/>
          <w:sz w:val="24"/>
          <w:szCs w:val="24"/>
          <w:lang w:val="en-GB"/>
        </w:rPr>
        <w:t xml:space="preserve">(Fig 1; </w:t>
      </w:r>
      <w:r w:rsidR="0076650F" w:rsidRPr="006F1A1F">
        <w:rPr>
          <w:rFonts w:cs="Arial"/>
          <w:noProof/>
          <w:sz w:val="24"/>
          <w:szCs w:val="24"/>
          <w:vertAlign w:val="subscript"/>
          <w:lang w:val="en-GB"/>
        </w:rPr>
        <w:t>MAIN</w:t>
      </w:r>
      <w:r w:rsidR="007D7768" w:rsidRPr="006F1A1F">
        <w:rPr>
          <w:rFonts w:cs="Arial"/>
          <w:noProof/>
          <w:sz w:val="24"/>
          <w:szCs w:val="24"/>
          <w:vertAlign w:val="subscript"/>
          <w:lang w:val="en-GB"/>
        </w:rPr>
        <w:t xml:space="preserve"> EFFECT OF MOBILITY</w:t>
      </w:r>
      <w:r w:rsidR="0076650F" w:rsidRPr="006F1A1F">
        <w:rPr>
          <w:rFonts w:cs="Arial"/>
          <w:noProof/>
          <w:sz w:val="24"/>
          <w:szCs w:val="24"/>
          <w:vertAlign w:val="subscript"/>
          <w:lang w:val="en-GB"/>
        </w:rPr>
        <w:t xml:space="preserve"> AT 0 µM HgCl2</w:t>
      </w:r>
      <w:r w:rsidR="00233C17" w:rsidRPr="006F1A1F">
        <w:rPr>
          <w:rFonts w:cs="Arial"/>
          <w:noProof/>
          <w:sz w:val="24"/>
          <w:szCs w:val="24"/>
          <w:vertAlign w:val="subscript"/>
          <w:lang w:val="en-GB"/>
        </w:rPr>
        <w:t>:</w:t>
      </w:r>
      <w:r w:rsidR="00233C17" w:rsidRPr="006F1A1F">
        <w:rPr>
          <w:rFonts w:cs="Arial"/>
          <w:noProof/>
          <w:sz w:val="24"/>
          <w:szCs w:val="24"/>
          <w:lang w:val="en-GB"/>
        </w:rPr>
        <w:t xml:space="preserve"> </w:t>
      </w:r>
      <w:r w:rsidR="0076650F" w:rsidRPr="006F1A1F">
        <w:rPr>
          <w:rFonts w:cs="Arial"/>
          <w:noProof/>
          <w:sz w:val="24"/>
          <w:szCs w:val="24"/>
          <w:lang w:val="en-GB"/>
        </w:rPr>
        <w:t>F</w:t>
      </w:r>
      <w:r w:rsidR="0076650F" w:rsidRPr="006F1A1F">
        <w:rPr>
          <w:rFonts w:cs="Arial"/>
          <w:noProof/>
          <w:sz w:val="24"/>
          <w:szCs w:val="24"/>
          <w:vertAlign w:val="subscript"/>
          <w:lang w:val="en-GB"/>
        </w:rPr>
        <w:t>1,10</w:t>
      </w:r>
      <w:r w:rsidR="00233C17" w:rsidRPr="006F1A1F">
        <w:rPr>
          <w:rFonts w:cs="Arial"/>
          <w:noProof/>
          <w:sz w:val="24"/>
          <w:szCs w:val="24"/>
          <w:lang w:val="en-GB"/>
        </w:rPr>
        <w:t xml:space="preserve"> = </w:t>
      </w:r>
      <w:r w:rsidR="0076650F" w:rsidRPr="006F1A1F">
        <w:rPr>
          <w:rFonts w:cs="Arial"/>
          <w:noProof/>
          <w:sz w:val="24"/>
          <w:szCs w:val="24"/>
          <w:lang w:val="en-GB"/>
        </w:rPr>
        <w:t>74.34</w:t>
      </w:r>
      <w:r w:rsidR="00233C17" w:rsidRPr="006F1A1F">
        <w:rPr>
          <w:rFonts w:cs="Arial"/>
          <w:noProof/>
          <w:sz w:val="24"/>
          <w:szCs w:val="24"/>
          <w:lang w:val="en-GB"/>
        </w:rPr>
        <w:t xml:space="preserve">, p &lt; 0.001). Where </w:t>
      </w:r>
      <w:r w:rsidR="00233C17" w:rsidRPr="006F1A1F">
        <w:rPr>
          <w:rFonts w:cs="Arial"/>
          <w:noProof/>
          <w:color w:val="323232"/>
          <w:sz w:val="24"/>
          <w:szCs w:val="24"/>
          <w:lang w:val="en-GB"/>
        </w:rPr>
        <w:t>Hg</w:t>
      </w:r>
      <w:r w:rsidR="00233C17" w:rsidRPr="006F1A1F">
        <w:rPr>
          <w:rFonts w:cs="Arial"/>
          <w:noProof/>
          <w:color w:val="323232"/>
          <w:sz w:val="24"/>
          <w:szCs w:val="24"/>
          <w:vertAlign w:val="superscript"/>
          <w:lang w:val="en-GB"/>
        </w:rPr>
        <w:t>R</w:t>
      </w:r>
      <w:r w:rsidR="00233C17" w:rsidRPr="006F1A1F">
        <w:rPr>
          <w:rFonts w:cs="Arial"/>
          <w:noProof/>
          <w:sz w:val="24"/>
          <w:szCs w:val="24"/>
          <w:lang w:val="en-GB"/>
        </w:rPr>
        <w:t xml:space="preserve"> was encoded on the chromosome</w:t>
      </w:r>
      <w:r w:rsidR="002845EB" w:rsidRPr="006F1A1F">
        <w:rPr>
          <w:rFonts w:cs="Arial"/>
          <w:noProof/>
          <w:sz w:val="24"/>
          <w:szCs w:val="24"/>
          <w:lang w:val="en-GB"/>
        </w:rPr>
        <w:t>,</w:t>
      </w:r>
      <w:r w:rsidR="00233C17" w:rsidRPr="006F1A1F">
        <w:rPr>
          <w:rFonts w:cs="Arial"/>
          <w:noProof/>
          <w:sz w:val="24"/>
          <w:szCs w:val="24"/>
          <w:lang w:val="en-GB"/>
        </w:rPr>
        <w:t xml:space="preserve"> positive selection was required to d</w:t>
      </w:r>
      <w:r w:rsidR="00D00B20" w:rsidRPr="006F1A1F">
        <w:rPr>
          <w:rFonts w:cs="Arial"/>
          <w:noProof/>
          <w:sz w:val="24"/>
          <w:szCs w:val="24"/>
          <w:lang w:val="en-GB"/>
        </w:rPr>
        <w:t>rive the spread of resistance</w:t>
      </w:r>
      <w:r w:rsidR="002845EB" w:rsidRPr="006F1A1F">
        <w:rPr>
          <w:rFonts w:cs="Arial"/>
          <w:noProof/>
          <w:sz w:val="24"/>
          <w:szCs w:val="24"/>
          <w:lang w:val="en-GB"/>
        </w:rPr>
        <w:t>:</w:t>
      </w:r>
      <w:r w:rsidR="00D00B20" w:rsidRPr="006F1A1F">
        <w:rPr>
          <w:rFonts w:cs="Arial"/>
          <w:noProof/>
          <w:sz w:val="24"/>
          <w:szCs w:val="24"/>
          <w:lang w:val="en-GB"/>
        </w:rPr>
        <w:t xml:space="preserve"> </w:t>
      </w:r>
      <w:r w:rsidR="00233C17" w:rsidRPr="006F1A1F">
        <w:rPr>
          <w:rFonts w:cs="Arial"/>
          <w:noProof/>
          <w:color w:val="323232"/>
          <w:sz w:val="24"/>
          <w:szCs w:val="24"/>
          <w:lang w:val="en-GB"/>
        </w:rPr>
        <w:t>Hg</w:t>
      </w:r>
      <w:r w:rsidR="00233C17" w:rsidRPr="006F1A1F">
        <w:rPr>
          <w:rFonts w:cs="Arial"/>
          <w:noProof/>
          <w:color w:val="323232"/>
          <w:sz w:val="24"/>
          <w:szCs w:val="24"/>
          <w:vertAlign w:val="superscript"/>
          <w:lang w:val="en-GB"/>
        </w:rPr>
        <w:t>R</w:t>
      </w:r>
      <w:r w:rsidR="00233C17" w:rsidRPr="006F1A1F">
        <w:rPr>
          <w:rFonts w:cs="Arial"/>
          <w:noProof/>
          <w:sz w:val="24"/>
          <w:szCs w:val="24"/>
          <w:lang w:val="en-GB"/>
        </w:rPr>
        <w:t xml:space="preserve"> rapidly </w:t>
      </w:r>
      <w:r w:rsidR="00F31B27" w:rsidRPr="006F1A1F">
        <w:rPr>
          <w:rFonts w:cs="Arial"/>
          <w:noProof/>
          <w:sz w:val="24"/>
          <w:szCs w:val="24"/>
          <w:lang w:val="en-GB"/>
        </w:rPr>
        <w:t>became</w:t>
      </w:r>
      <w:r w:rsidR="00233C17" w:rsidRPr="006F1A1F">
        <w:rPr>
          <w:rFonts w:cs="Arial"/>
          <w:noProof/>
          <w:sz w:val="24"/>
          <w:szCs w:val="24"/>
          <w:lang w:val="en-GB"/>
        </w:rPr>
        <w:t xml:space="preserve"> fix</w:t>
      </w:r>
      <w:r w:rsidR="00F31B27" w:rsidRPr="006F1A1F">
        <w:rPr>
          <w:rFonts w:cs="Arial"/>
          <w:noProof/>
          <w:sz w:val="24"/>
          <w:szCs w:val="24"/>
          <w:lang w:val="en-GB"/>
        </w:rPr>
        <w:t>ed</w:t>
      </w:r>
      <w:r w:rsidR="00233C17" w:rsidRPr="006F1A1F">
        <w:rPr>
          <w:rFonts w:cs="Arial"/>
          <w:noProof/>
          <w:sz w:val="24"/>
          <w:szCs w:val="24"/>
          <w:lang w:val="en-GB"/>
        </w:rPr>
        <w:t xml:space="preserve"> within the population</w:t>
      </w:r>
      <w:r w:rsidR="00D00B20" w:rsidRPr="006F1A1F">
        <w:rPr>
          <w:rFonts w:cs="Arial"/>
          <w:noProof/>
          <w:sz w:val="24"/>
          <w:szCs w:val="24"/>
          <w:lang w:val="en-GB"/>
        </w:rPr>
        <w:t xml:space="preserve"> in the 20 and 40 µM HgCl</w:t>
      </w:r>
      <w:r w:rsidR="00D00B20" w:rsidRPr="006F1A1F">
        <w:rPr>
          <w:rFonts w:cs="Arial"/>
          <w:noProof/>
          <w:sz w:val="24"/>
          <w:szCs w:val="24"/>
          <w:vertAlign w:val="subscript"/>
          <w:lang w:val="en-GB"/>
        </w:rPr>
        <w:t>2</w:t>
      </w:r>
      <w:r w:rsidR="00D00B20" w:rsidRPr="006F1A1F">
        <w:rPr>
          <w:rFonts w:cs="Arial"/>
          <w:noProof/>
          <w:sz w:val="24"/>
          <w:szCs w:val="24"/>
          <w:lang w:val="en-GB"/>
        </w:rPr>
        <w:t xml:space="preserve"> environments</w:t>
      </w:r>
      <w:r w:rsidR="002845EB" w:rsidRPr="006F1A1F">
        <w:rPr>
          <w:rFonts w:cs="Arial"/>
          <w:noProof/>
          <w:sz w:val="24"/>
          <w:szCs w:val="24"/>
          <w:lang w:val="en-GB"/>
        </w:rPr>
        <w:t>,</w:t>
      </w:r>
      <w:r w:rsidR="00D00B20" w:rsidRPr="006F1A1F">
        <w:rPr>
          <w:rFonts w:cs="Arial"/>
          <w:noProof/>
          <w:sz w:val="24"/>
          <w:szCs w:val="24"/>
          <w:lang w:val="en-GB"/>
        </w:rPr>
        <w:t xml:space="preserve"> </w:t>
      </w:r>
      <w:r w:rsidR="002845EB" w:rsidRPr="006F1A1F">
        <w:rPr>
          <w:rFonts w:cs="Arial"/>
          <w:noProof/>
          <w:sz w:val="24"/>
          <w:szCs w:val="24"/>
          <w:lang w:val="en-GB"/>
        </w:rPr>
        <w:t xml:space="preserve">whereas </w:t>
      </w:r>
      <w:r w:rsidR="00F31B27" w:rsidRPr="006F1A1F">
        <w:rPr>
          <w:rFonts w:cs="Arial"/>
          <w:noProof/>
          <w:sz w:val="24"/>
          <w:szCs w:val="24"/>
          <w:lang w:val="en-GB"/>
        </w:rPr>
        <w:t>in the 0 µM HgCl</w:t>
      </w:r>
      <w:r w:rsidR="00F31B27" w:rsidRPr="006F1A1F">
        <w:rPr>
          <w:rFonts w:cs="Arial"/>
          <w:noProof/>
          <w:sz w:val="24"/>
          <w:szCs w:val="24"/>
          <w:vertAlign w:val="subscript"/>
          <w:lang w:val="en-GB"/>
        </w:rPr>
        <w:t>2</w:t>
      </w:r>
      <w:r w:rsidR="002845EB" w:rsidRPr="006F1A1F">
        <w:rPr>
          <w:rFonts w:cs="Arial"/>
          <w:noProof/>
          <w:sz w:val="24"/>
          <w:szCs w:val="24"/>
          <w:lang w:val="en-GB"/>
        </w:rPr>
        <w:t xml:space="preserve"> environment</w:t>
      </w:r>
      <w:r w:rsidR="00F31B27" w:rsidRPr="006F1A1F">
        <w:rPr>
          <w:rFonts w:cs="Arial"/>
          <w:noProof/>
          <w:sz w:val="24"/>
          <w:szCs w:val="24"/>
          <w:lang w:val="en-GB"/>
        </w:rPr>
        <w:t xml:space="preserve"> chromosomal </w:t>
      </w:r>
      <w:r w:rsidR="00F31B27" w:rsidRPr="006F1A1F">
        <w:rPr>
          <w:rFonts w:cs="Arial"/>
          <w:noProof/>
          <w:color w:val="323232"/>
          <w:sz w:val="24"/>
          <w:szCs w:val="24"/>
          <w:lang w:val="en-GB"/>
        </w:rPr>
        <w:t>Hg</w:t>
      </w:r>
      <w:r w:rsidR="00F31B27" w:rsidRPr="006F1A1F">
        <w:rPr>
          <w:rFonts w:cs="Arial"/>
          <w:noProof/>
          <w:color w:val="323232"/>
          <w:sz w:val="24"/>
          <w:szCs w:val="24"/>
          <w:vertAlign w:val="superscript"/>
          <w:lang w:val="en-GB"/>
        </w:rPr>
        <w:t>R</w:t>
      </w:r>
      <w:r w:rsidR="00F31B27" w:rsidRPr="006F1A1F">
        <w:rPr>
          <w:rFonts w:cs="Arial"/>
          <w:noProof/>
          <w:sz w:val="24"/>
          <w:szCs w:val="24"/>
          <w:lang w:val="en-GB"/>
        </w:rPr>
        <w:t xml:space="preserve"> remained at ~50% </w:t>
      </w:r>
      <w:r w:rsidR="002845EB" w:rsidRPr="006F1A1F">
        <w:rPr>
          <w:rFonts w:cs="Arial"/>
          <w:noProof/>
          <w:sz w:val="24"/>
          <w:szCs w:val="24"/>
          <w:lang w:val="en-GB"/>
        </w:rPr>
        <w:t>prevalence</w:t>
      </w:r>
      <w:r w:rsidR="005E4CD7" w:rsidRPr="006F1A1F">
        <w:rPr>
          <w:rFonts w:cs="Arial"/>
          <w:noProof/>
          <w:sz w:val="24"/>
          <w:szCs w:val="24"/>
          <w:lang w:val="en-GB"/>
        </w:rPr>
        <w:t xml:space="preserve">. </w:t>
      </w:r>
      <w:r w:rsidR="002845EB" w:rsidRPr="006F1A1F">
        <w:rPr>
          <w:rFonts w:cs="Arial"/>
          <w:noProof/>
          <w:sz w:val="24"/>
          <w:szCs w:val="24"/>
          <w:lang w:val="en-GB"/>
        </w:rPr>
        <w:t>In contrast</w:t>
      </w:r>
      <w:r w:rsidR="00233C17" w:rsidRPr="006F1A1F">
        <w:rPr>
          <w:rFonts w:cs="Arial"/>
          <w:noProof/>
          <w:sz w:val="24"/>
          <w:szCs w:val="24"/>
          <w:lang w:val="en-GB"/>
        </w:rPr>
        <w:t>, whe</w:t>
      </w:r>
      <w:r w:rsidR="002845EB" w:rsidRPr="006F1A1F">
        <w:rPr>
          <w:rFonts w:cs="Arial"/>
          <w:noProof/>
          <w:sz w:val="24"/>
          <w:szCs w:val="24"/>
          <w:lang w:val="en-GB"/>
        </w:rPr>
        <w:t>n</w:t>
      </w:r>
      <w:r w:rsidR="00233C17" w:rsidRPr="006F1A1F">
        <w:rPr>
          <w:rFonts w:cs="Arial"/>
          <w:noProof/>
          <w:sz w:val="24"/>
          <w:szCs w:val="24"/>
          <w:lang w:val="en-GB"/>
        </w:rPr>
        <w:t xml:space="preserve"> </w:t>
      </w:r>
      <w:r w:rsidR="00233C17" w:rsidRPr="006F1A1F">
        <w:rPr>
          <w:rFonts w:cs="Arial"/>
          <w:noProof/>
          <w:color w:val="323232"/>
          <w:sz w:val="24"/>
          <w:szCs w:val="24"/>
          <w:lang w:val="en-GB"/>
        </w:rPr>
        <w:t>Hg</w:t>
      </w:r>
      <w:r w:rsidR="00233C17" w:rsidRPr="006F1A1F">
        <w:rPr>
          <w:rFonts w:cs="Arial"/>
          <w:noProof/>
          <w:color w:val="323232"/>
          <w:sz w:val="24"/>
          <w:szCs w:val="24"/>
          <w:vertAlign w:val="superscript"/>
          <w:lang w:val="en-GB"/>
        </w:rPr>
        <w:t>R</w:t>
      </w:r>
      <w:r w:rsidR="00233C17" w:rsidRPr="006F1A1F">
        <w:rPr>
          <w:rFonts w:cs="Arial"/>
          <w:noProof/>
          <w:sz w:val="24"/>
          <w:szCs w:val="24"/>
          <w:lang w:val="en-GB"/>
        </w:rPr>
        <w:t xml:space="preserve"> was encoded on the conjugative plasmid pQBR57, and thus horizontally transferable, </w:t>
      </w:r>
      <w:r w:rsidR="00233C17" w:rsidRPr="006F1A1F">
        <w:rPr>
          <w:rFonts w:cs="Arial"/>
          <w:noProof/>
          <w:color w:val="323232"/>
          <w:sz w:val="24"/>
          <w:szCs w:val="24"/>
          <w:lang w:val="en-GB"/>
        </w:rPr>
        <w:t>Hg</w:t>
      </w:r>
      <w:r w:rsidR="00233C17" w:rsidRPr="006F1A1F">
        <w:rPr>
          <w:rFonts w:cs="Arial"/>
          <w:noProof/>
          <w:color w:val="323232"/>
          <w:sz w:val="24"/>
          <w:szCs w:val="24"/>
          <w:vertAlign w:val="superscript"/>
          <w:lang w:val="en-GB"/>
        </w:rPr>
        <w:t>R</w:t>
      </w:r>
      <w:r w:rsidR="00233C17" w:rsidRPr="006F1A1F">
        <w:rPr>
          <w:rFonts w:cs="Arial"/>
          <w:noProof/>
          <w:sz w:val="24"/>
          <w:szCs w:val="24"/>
          <w:lang w:val="en-GB"/>
        </w:rPr>
        <w:t xml:space="preserve"> </w:t>
      </w:r>
      <w:r w:rsidR="002845EB" w:rsidRPr="006F1A1F">
        <w:rPr>
          <w:rFonts w:cs="Arial"/>
          <w:noProof/>
          <w:sz w:val="24"/>
          <w:szCs w:val="24"/>
          <w:lang w:val="en-GB"/>
        </w:rPr>
        <w:t xml:space="preserve">reached </w:t>
      </w:r>
      <w:r w:rsidR="00233C17" w:rsidRPr="006F1A1F">
        <w:rPr>
          <w:rFonts w:cs="Arial"/>
          <w:noProof/>
          <w:sz w:val="24"/>
          <w:szCs w:val="24"/>
          <w:lang w:val="en-GB"/>
        </w:rPr>
        <w:t>high frequencies across all mercury environments (i.e. 0, 20 and 40 µM HgCl</w:t>
      </w:r>
      <w:r w:rsidR="00233C17" w:rsidRPr="006F1A1F">
        <w:rPr>
          <w:rFonts w:cs="Arial"/>
          <w:noProof/>
          <w:sz w:val="24"/>
          <w:szCs w:val="24"/>
          <w:vertAlign w:val="subscript"/>
          <w:lang w:val="en-GB"/>
        </w:rPr>
        <w:t>2</w:t>
      </w:r>
      <w:r w:rsidR="00233C17" w:rsidRPr="006F1A1F">
        <w:rPr>
          <w:rFonts w:cs="Arial"/>
          <w:noProof/>
          <w:sz w:val="24"/>
          <w:szCs w:val="24"/>
          <w:lang w:val="en-GB"/>
        </w:rPr>
        <w:t xml:space="preserve">). </w:t>
      </w:r>
      <w:r w:rsidR="002845EB" w:rsidRPr="006F1A1F">
        <w:rPr>
          <w:rFonts w:cs="Arial"/>
          <w:noProof/>
          <w:sz w:val="24"/>
          <w:szCs w:val="24"/>
          <w:lang w:val="en-GB"/>
        </w:rPr>
        <w:t>Thus</w:t>
      </w:r>
      <w:r w:rsidR="00A03C43" w:rsidRPr="006F1A1F">
        <w:rPr>
          <w:rFonts w:cs="Arial"/>
          <w:noProof/>
          <w:sz w:val="24"/>
          <w:szCs w:val="24"/>
          <w:lang w:val="en-GB"/>
        </w:rPr>
        <w:t xml:space="preserve">, </w:t>
      </w:r>
      <w:r w:rsidR="002845EB" w:rsidRPr="006F1A1F">
        <w:rPr>
          <w:rFonts w:cs="Arial"/>
          <w:noProof/>
          <w:sz w:val="24"/>
          <w:szCs w:val="24"/>
          <w:lang w:val="en-GB"/>
        </w:rPr>
        <w:t xml:space="preserve">the opportunity for </w:t>
      </w:r>
      <w:r w:rsidR="00A03C43" w:rsidRPr="006F1A1F">
        <w:rPr>
          <w:rFonts w:cs="Arial"/>
          <w:noProof/>
          <w:sz w:val="24"/>
          <w:szCs w:val="24"/>
          <w:lang w:val="en-GB"/>
        </w:rPr>
        <w:t>horizontal transfer expanded the selective conditions allow</w:t>
      </w:r>
      <w:r w:rsidR="002845EB" w:rsidRPr="006F1A1F">
        <w:rPr>
          <w:rFonts w:cs="Arial"/>
          <w:noProof/>
          <w:sz w:val="24"/>
          <w:szCs w:val="24"/>
          <w:lang w:val="en-GB"/>
        </w:rPr>
        <w:t>ing</w:t>
      </w:r>
      <w:r w:rsidR="00A03C43" w:rsidRPr="006F1A1F">
        <w:rPr>
          <w:rFonts w:cs="Arial"/>
          <w:noProof/>
          <w:sz w:val="24"/>
          <w:szCs w:val="24"/>
          <w:lang w:val="en-GB"/>
        </w:rPr>
        <w:t xml:space="preserve"> the fixation of</w:t>
      </w:r>
      <w:r w:rsidR="00A03C43" w:rsidRPr="006F1A1F">
        <w:rPr>
          <w:rFonts w:cs="Arial"/>
          <w:noProof/>
          <w:color w:val="323232"/>
          <w:sz w:val="24"/>
          <w:szCs w:val="24"/>
          <w:lang w:val="en-GB"/>
        </w:rPr>
        <w:t xml:space="preserve"> Hg</w:t>
      </w:r>
      <w:r w:rsidR="00A03C43" w:rsidRPr="006F1A1F">
        <w:rPr>
          <w:rFonts w:cs="Arial"/>
          <w:noProof/>
          <w:color w:val="323232"/>
          <w:sz w:val="24"/>
          <w:szCs w:val="24"/>
          <w:vertAlign w:val="superscript"/>
          <w:lang w:val="en-GB"/>
        </w:rPr>
        <w:t>R</w:t>
      </w:r>
      <w:r w:rsidR="002845EB" w:rsidRPr="006F1A1F">
        <w:rPr>
          <w:rFonts w:cs="Arial"/>
          <w:noProof/>
          <w:color w:val="323232"/>
          <w:sz w:val="24"/>
          <w:szCs w:val="24"/>
          <w:lang w:val="en-GB"/>
        </w:rPr>
        <w:t xml:space="preserve"> such that this occurred both with and without positive selection for resistance</w:t>
      </w:r>
      <w:r w:rsidR="00A03C43" w:rsidRPr="006F1A1F">
        <w:rPr>
          <w:rFonts w:cs="Arial"/>
          <w:noProof/>
          <w:sz w:val="24"/>
          <w:szCs w:val="24"/>
          <w:lang w:val="en-GB"/>
        </w:rPr>
        <w:t>.</w:t>
      </w:r>
    </w:p>
    <w:p w14:paraId="5B5CE384" w14:textId="77777777" w:rsidR="00233C17" w:rsidRPr="006F1A1F" w:rsidRDefault="00233C17" w:rsidP="008B0431">
      <w:pPr>
        <w:pStyle w:val="Body"/>
        <w:spacing w:line="480" w:lineRule="auto"/>
        <w:jc w:val="both"/>
        <w:rPr>
          <w:rFonts w:cs="Arial"/>
          <w:noProof/>
          <w:sz w:val="24"/>
          <w:szCs w:val="24"/>
          <w:lang w:val="en-GB"/>
        </w:rPr>
      </w:pPr>
    </w:p>
    <w:p w14:paraId="15912BE7" w14:textId="77777777" w:rsidR="00233C17" w:rsidRPr="006F1A1F" w:rsidRDefault="00233C17" w:rsidP="008B0431">
      <w:pPr>
        <w:spacing w:line="480" w:lineRule="auto"/>
        <w:jc w:val="both"/>
        <w:rPr>
          <w:rFonts w:ascii="Helvetica" w:hAnsi="Helvetica" w:cs="Arial"/>
          <w:noProof/>
        </w:rPr>
      </w:pPr>
      <w:r w:rsidRPr="006F1A1F">
        <w:rPr>
          <w:rFonts w:ascii="Helvetica" w:hAnsi="Helvetica" w:cs="Arial"/>
          <w:noProof/>
        </w:rPr>
        <w:t xml:space="preserve">Tracking plasmid dynamics over time revealed that the strength of positive selection determined the balance of horizontal versus vertical inheritance of plasmid-encoded </w:t>
      </w:r>
      <w:r w:rsidRPr="006F1A1F">
        <w:rPr>
          <w:rFonts w:ascii="Helvetica" w:hAnsi="Helvetica" w:cs="Arial"/>
          <w:noProof/>
          <w:color w:val="323232"/>
        </w:rPr>
        <w:t>Hg</w:t>
      </w:r>
      <w:r w:rsidRPr="006F1A1F">
        <w:rPr>
          <w:rFonts w:ascii="Helvetica" w:hAnsi="Helvetica" w:cs="Arial"/>
          <w:noProof/>
          <w:color w:val="323232"/>
          <w:vertAlign w:val="superscript"/>
        </w:rPr>
        <w:t>R</w:t>
      </w:r>
      <w:r w:rsidRPr="006F1A1F">
        <w:rPr>
          <w:rFonts w:ascii="Helvetica" w:hAnsi="Helvetica" w:cs="Arial"/>
          <w:noProof/>
        </w:rPr>
        <w:t xml:space="preserve"> in bacterial populations. </w:t>
      </w:r>
      <w:r w:rsidR="00116A82" w:rsidRPr="006F1A1F">
        <w:rPr>
          <w:rFonts w:ascii="Helvetica" w:hAnsi="Helvetica" w:cs="Arial"/>
          <w:noProof/>
        </w:rPr>
        <w:t>HGT</w:t>
      </w:r>
      <w:r w:rsidRPr="006F1A1F">
        <w:rPr>
          <w:rFonts w:ascii="Helvetica" w:hAnsi="Helvetica" w:cs="Arial"/>
          <w:noProof/>
        </w:rPr>
        <w:t xml:space="preserve"> played a significantly greater role as the strength of selection decreased</w:t>
      </w:r>
      <w:r w:rsidR="00C8697C" w:rsidRPr="006F1A1F">
        <w:rPr>
          <w:rFonts w:ascii="Helvetica" w:hAnsi="Helvetica" w:cs="Arial"/>
          <w:noProof/>
        </w:rPr>
        <w:t xml:space="preserve"> (Fig 2</w:t>
      </w:r>
      <w:r w:rsidR="00C8697C" w:rsidRPr="006F1A1F">
        <w:rPr>
          <w:rFonts w:ascii="Helvetica" w:hAnsi="Helvetica" w:cs="Arial"/>
          <w:noProof/>
          <w:vertAlign w:val="subscript"/>
        </w:rPr>
        <w:t>; MAIN EFFECT OF MERCURY</w:t>
      </w:r>
      <w:r w:rsidR="00C8697C" w:rsidRPr="006F1A1F">
        <w:rPr>
          <w:rFonts w:ascii="Helvetica" w:hAnsi="Helvetica" w:cs="Arial"/>
          <w:noProof/>
        </w:rPr>
        <w:t>: F</w:t>
      </w:r>
      <w:r w:rsidR="001E2A36" w:rsidRPr="006F1A1F">
        <w:rPr>
          <w:rFonts w:ascii="Helvetica" w:hAnsi="Helvetica" w:cs="Arial"/>
          <w:noProof/>
          <w:vertAlign w:val="subscript"/>
        </w:rPr>
        <w:t>1</w:t>
      </w:r>
      <w:r w:rsidR="00C8697C" w:rsidRPr="006F1A1F">
        <w:rPr>
          <w:rFonts w:ascii="Helvetica" w:hAnsi="Helvetica" w:cs="Arial"/>
          <w:noProof/>
          <w:vertAlign w:val="subscript"/>
        </w:rPr>
        <w:t>,1</w:t>
      </w:r>
      <w:r w:rsidR="00294469" w:rsidRPr="006F1A1F">
        <w:rPr>
          <w:rFonts w:ascii="Helvetica" w:hAnsi="Helvetica" w:cs="Arial"/>
          <w:noProof/>
          <w:vertAlign w:val="subscript"/>
        </w:rPr>
        <w:t>6</w:t>
      </w:r>
      <w:r w:rsidRPr="006F1A1F">
        <w:rPr>
          <w:rFonts w:ascii="Helvetica" w:hAnsi="Helvetica" w:cs="Arial"/>
          <w:noProof/>
        </w:rPr>
        <w:t xml:space="preserve"> </w:t>
      </w:r>
      <w:r w:rsidR="00C8697C" w:rsidRPr="006F1A1F">
        <w:rPr>
          <w:rFonts w:ascii="Helvetica" w:hAnsi="Helvetica" w:cs="Arial"/>
          <w:noProof/>
        </w:rPr>
        <w:t xml:space="preserve">= </w:t>
      </w:r>
      <w:r w:rsidR="00294469" w:rsidRPr="006F1A1F">
        <w:rPr>
          <w:rFonts w:ascii="Helvetica" w:hAnsi="Helvetica" w:cs="Arial"/>
          <w:noProof/>
        </w:rPr>
        <w:t>392.72</w:t>
      </w:r>
      <w:r w:rsidR="00C8697C" w:rsidRPr="006F1A1F">
        <w:rPr>
          <w:rFonts w:ascii="Helvetica" w:hAnsi="Helvetica" w:cs="Arial"/>
          <w:noProof/>
        </w:rPr>
        <w:t>, p &lt; 0.001)</w:t>
      </w:r>
      <w:r w:rsidR="006D4189" w:rsidRPr="006F1A1F">
        <w:rPr>
          <w:rFonts w:ascii="Helvetica" w:hAnsi="Helvetica" w:cs="Arial"/>
          <w:noProof/>
        </w:rPr>
        <w:t>.</w:t>
      </w:r>
      <w:r w:rsidR="00C8697C" w:rsidRPr="006F1A1F">
        <w:rPr>
          <w:rFonts w:ascii="Helvetica" w:hAnsi="Helvetica" w:cs="Arial"/>
          <w:noProof/>
        </w:rPr>
        <w:t xml:space="preserve"> </w:t>
      </w:r>
      <w:r w:rsidRPr="006F1A1F">
        <w:rPr>
          <w:rFonts w:ascii="Helvetica" w:hAnsi="Helvetica" w:cs="Arial"/>
          <w:noProof/>
        </w:rPr>
        <w:t>Under strong positive selection (i.e. 40 µM HgCl</w:t>
      </w:r>
      <w:r w:rsidRPr="006F1A1F">
        <w:rPr>
          <w:rFonts w:ascii="Helvetica" w:hAnsi="Helvetica" w:cs="Arial"/>
          <w:noProof/>
          <w:vertAlign w:val="subscript"/>
        </w:rPr>
        <w:t>2</w:t>
      </w:r>
      <w:r w:rsidRPr="006F1A1F">
        <w:rPr>
          <w:rFonts w:ascii="Helvetica" w:hAnsi="Helvetica" w:cs="Arial"/>
          <w:noProof/>
        </w:rPr>
        <w:t xml:space="preserve">), </w:t>
      </w:r>
      <w:r w:rsidRPr="006F1A1F">
        <w:rPr>
          <w:rFonts w:ascii="Helvetica" w:hAnsi="Helvetica" w:cs="Arial"/>
          <w:noProof/>
          <w:color w:val="323232"/>
        </w:rPr>
        <w:t>Hg</w:t>
      </w:r>
      <w:r w:rsidRPr="006F1A1F">
        <w:rPr>
          <w:rFonts w:ascii="Helvetica" w:hAnsi="Helvetica" w:cs="Arial"/>
          <w:noProof/>
          <w:color w:val="323232"/>
          <w:vertAlign w:val="superscript"/>
        </w:rPr>
        <w:t>R</w:t>
      </w:r>
      <w:r w:rsidRPr="006F1A1F">
        <w:rPr>
          <w:rFonts w:ascii="Helvetica" w:hAnsi="Helvetica" w:cs="Arial"/>
          <w:noProof/>
        </w:rPr>
        <w:t xml:space="preserve"> swept through the population by clonal expansion of the original </w:t>
      </w:r>
      <w:r w:rsidRPr="006F1A1F">
        <w:rPr>
          <w:rFonts w:ascii="Helvetica" w:hAnsi="Helvetica" w:cs="Arial"/>
          <w:noProof/>
          <w:color w:val="323232"/>
        </w:rPr>
        <w:t>Hg</w:t>
      </w:r>
      <w:r w:rsidRPr="006F1A1F">
        <w:rPr>
          <w:rFonts w:ascii="Helvetica" w:hAnsi="Helvetica" w:cs="Arial"/>
          <w:noProof/>
          <w:color w:val="323232"/>
          <w:vertAlign w:val="superscript"/>
        </w:rPr>
        <w:t>R</w:t>
      </w:r>
      <w:r w:rsidRPr="006F1A1F">
        <w:rPr>
          <w:rFonts w:ascii="Helvetica" w:hAnsi="Helvetica" w:cs="Arial"/>
          <w:noProof/>
        </w:rPr>
        <w:t xml:space="preserve"> donor population</w:t>
      </w:r>
      <w:r w:rsidR="0081512F" w:rsidRPr="006F1A1F">
        <w:rPr>
          <w:rFonts w:ascii="Helvetica" w:hAnsi="Helvetica" w:cs="Arial"/>
          <w:noProof/>
        </w:rPr>
        <w:t>. This was presumably due to the</w:t>
      </w:r>
      <w:r w:rsidRPr="006F1A1F">
        <w:rPr>
          <w:rFonts w:ascii="Helvetica" w:hAnsi="Helvetica" w:cs="Arial"/>
          <w:noProof/>
        </w:rPr>
        <w:t xml:space="preserve"> high toxicity of the environment </w:t>
      </w:r>
      <w:r w:rsidR="0081512F" w:rsidRPr="006F1A1F">
        <w:rPr>
          <w:rFonts w:ascii="Helvetica" w:hAnsi="Helvetica" w:cs="Arial"/>
          <w:noProof/>
        </w:rPr>
        <w:t>strongly selecting against plasmid-free recipients, limi</w:t>
      </w:r>
      <w:r w:rsidR="005619A3" w:rsidRPr="006F1A1F">
        <w:rPr>
          <w:rFonts w:ascii="Helvetica" w:hAnsi="Helvetica" w:cs="Arial"/>
          <w:noProof/>
        </w:rPr>
        <w:t>ting</w:t>
      </w:r>
      <w:r w:rsidR="0081512F" w:rsidRPr="006F1A1F">
        <w:rPr>
          <w:rFonts w:ascii="Helvetica" w:hAnsi="Helvetica" w:cs="Arial"/>
          <w:noProof/>
        </w:rPr>
        <w:t xml:space="preserve"> the opportunity for </w:t>
      </w:r>
      <w:r w:rsidR="00FA5712" w:rsidRPr="006F1A1F">
        <w:rPr>
          <w:rFonts w:ascii="Helvetica" w:hAnsi="Helvetica" w:cs="Arial"/>
          <w:noProof/>
        </w:rPr>
        <w:t>HGT</w:t>
      </w:r>
      <w:r w:rsidR="0081512F" w:rsidRPr="006F1A1F">
        <w:rPr>
          <w:rFonts w:ascii="Helvetica" w:hAnsi="Helvetica" w:cs="Arial"/>
          <w:noProof/>
        </w:rPr>
        <w:t xml:space="preserve"> via plasmid conjugation</w:t>
      </w:r>
      <w:r w:rsidR="005619A3" w:rsidRPr="006F1A1F">
        <w:rPr>
          <w:rFonts w:ascii="Helvetica" w:hAnsi="Helvetica" w:cs="Arial"/>
          <w:noProof/>
        </w:rPr>
        <w:t xml:space="preserve"> as a consequence</w:t>
      </w:r>
      <w:r w:rsidRPr="006F1A1F">
        <w:rPr>
          <w:rFonts w:ascii="Helvetica" w:hAnsi="Helvetica" w:cs="Arial"/>
          <w:noProof/>
        </w:rPr>
        <w:t xml:space="preserve">. The </w:t>
      </w:r>
      <w:r w:rsidRPr="006F1A1F">
        <w:rPr>
          <w:rFonts w:ascii="Helvetica" w:hAnsi="Helvetica" w:cs="Arial"/>
          <w:noProof/>
        </w:rPr>
        <w:lastRenderedPageBreak/>
        <w:t>contribution of vertical inheritance to the spread of Hg</w:t>
      </w:r>
      <w:r w:rsidRPr="006F1A1F">
        <w:rPr>
          <w:rFonts w:ascii="Helvetica" w:hAnsi="Helvetica" w:cs="Arial"/>
          <w:noProof/>
          <w:vertAlign w:val="superscript"/>
        </w:rPr>
        <w:t>R</w:t>
      </w:r>
      <w:r w:rsidRPr="006F1A1F">
        <w:rPr>
          <w:rFonts w:ascii="Helvetica" w:hAnsi="Helvetica" w:cs="Arial"/>
          <w:noProof/>
        </w:rPr>
        <w:t xml:space="preserve"> reduced with weakening positive selection. Under weak positive selection (i.e. 20 µM HgCl</w:t>
      </w:r>
      <w:r w:rsidRPr="006F1A1F">
        <w:rPr>
          <w:rFonts w:ascii="Helvetica" w:hAnsi="Helvetica" w:cs="Arial"/>
          <w:noProof/>
          <w:vertAlign w:val="subscript"/>
        </w:rPr>
        <w:t>2</w:t>
      </w:r>
      <w:r w:rsidRPr="006F1A1F">
        <w:rPr>
          <w:rFonts w:ascii="Helvetica" w:hAnsi="Helvetica" w:cs="Arial"/>
          <w:noProof/>
        </w:rPr>
        <w:t xml:space="preserve">), </w:t>
      </w:r>
      <w:r w:rsidRPr="006F1A1F">
        <w:rPr>
          <w:rFonts w:ascii="Helvetica" w:hAnsi="Helvetica" w:cs="Arial"/>
          <w:noProof/>
          <w:color w:val="323232"/>
        </w:rPr>
        <w:t>Hg</w:t>
      </w:r>
      <w:r w:rsidRPr="006F1A1F">
        <w:rPr>
          <w:rFonts w:ascii="Helvetica" w:hAnsi="Helvetica" w:cs="Arial"/>
          <w:noProof/>
          <w:color w:val="323232"/>
          <w:vertAlign w:val="superscript"/>
        </w:rPr>
        <w:t>R</w:t>
      </w:r>
      <w:r w:rsidRPr="006F1A1F">
        <w:rPr>
          <w:rFonts w:ascii="Helvetica" w:hAnsi="Helvetica" w:cs="Arial"/>
          <w:noProof/>
        </w:rPr>
        <w:t xml:space="preserve"> spread through the population by a mixture of vertical clonal expansion of donor cells and horizontal transmission of the plasmid into the recipient subpopulation. Under negative selection (i.e. 0 µM HgCl</w:t>
      </w:r>
      <w:r w:rsidRPr="006F1A1F">
        <w:rPr>
          <w:rFonts w:ascii="Helvetica" w:hAnsi="Helvetica" w:cs="Arial"/>
          <w:noProof/>
          <w:vertAlign w:val="subscript"/>
        </w:rPr>
        <w:t>2</w:t>
      </w:r>
      <w:r w:rsidRPr="006F1A1F">
        <w:rPr>
          <w:rFonts w:ascii="Helvetica" w:hAnsi="Helvetica" w:cs="Arial"/>
          <w:noProof/>
        </w:rPr>
        <w:t xml:space="preserve">) </w:t>
      </w:r>
      <w:r w:rsidRPr="006F1A1F">
        <w:rPr>
          <w:rFonts w:ascii="Helvetica" w:hAnsi="Helvetica" w:cs="Arial"/>
          <w:noProof/>
          <w:color w:val="323232"/>
        </w:rPr>
        <w:t>Hg</w:t>
      </w:r>
      <w:r w:rsidRPr="006F1A1F">
        <w:rPr>
          <w:rFonts w:ascii="Helvetica" w:hAnsi="Helvetica" w:cs="Arial"/>
          <w:noProof/>
          <w:color w:val="323232"/>
          <w:vertAlign w:val="superscript"/>
        </w:rPr>
        <w:t>R</w:t>
      </w:r>
      <w:r w:rsidRPr="006F1A1F">
        <w:rPr>
          <w:rFonts w:ascii="Helvetica" w:hAnsi="Helvetica" w:cs="Arial"/>
          <w:noProof/>
        </w:rPr>
        <w:t xml:space="preserve"> spread by conjugative plasmid transfer into available plasmid-free recipient cells. </w:t>
      </w:r>
      <w:r w:rsidR="005923A6" w:rsidRPr="006F1A1F">
        <w:rPr>
          <w:rFonts w:ascii="Helvetica" w:hAnsi="Helvetica" w:cs="Arial"/>
          <w:noProof/>
        </w:rPr>
        <w:t>Therefore,</w:t>
      </w:r>
      <w:r w:rsidR="0081512F" w:rsidRPr="006F1A1F">
        <w:rPr>
          <w:rFonts w:ascii="Helvetica" w:hAnsi="Helvetica" w:cs="Arial"/>
          <w:noProof/>
        </w:rPr>
        <w:t xml:space="preserve"> w</w:t>
      </w:r>
      <w:r w:rsidRPr="006F1A1F">
        <w:rPr>
          <w:rFonts w:ascii="Helvetica" w:hAnsi="Helvetica" w:cs="Arial"/>
          <w:noProof/>
        </w:rPr>
        <w:t xml:space="preserve">hilst strong positive selection favoured vertical inheritance, the contribution of horizontal transfer to the spread of resistance genes increased as positive selection weakened.  </w:t>
      </w:r>
    </w:p>
    <w:p w14:paraId="7D4DF470" w14:textId="77777777" w:rsidR="00233C17" w:rsidRPr="006F1A1F" w:rsidRDefault="00233C17" w:rsidP="008B0431">
      <w:pPr>
        <w:spacing w:line="480" w:lineRule="auto"/>
        <w:jc w:val="both"/>
        <w:rPr>
          <w:rFonts w:ascii="Helvetica" w:hAnsi="Helvetica" w:cs="Arial"/>
          <w:noProof/>
        </w:rPr>
      </w:pPr>
    </w:p>
    <w:p w14:paraId="32A75D61" w14:textId="19ACD326" w:rsidR="00146318" w:rsidRPr="006F1A1F" w:rsidRDefault="00233C17" w:rsidP="008B0431">
      <w:pPr>
        <w:spacing w:line="480" w:lineRule="auto"/>
        <w:jc w:val="both"/>
        <w:rPr>
          <w:rFonts w:ascii="Helvetica" w:hAnsi="Helvetica" w:cs="Arial"/>
          <w:noProof/>
        </w:rPr>
      </w:pPr>
      <w:r w:rsidRPr="006F1A1F">
        <w:rPr>
          <w:rFonts w:ascii="Helvetica" w:hAnsi="Helvetica" w:cs="Arial"/>
          <w:noProof/>
        </w:rPr>
        <w:t xml:space="preserve">Our data </w:t>
      </w:r>
      <w:r w:rsidR="00134CCC" w:rsidRPr="006F1A1F">
        <w:rPr>
          <w:rFonts w:ascii="Helvetica" w:hAnsi="Helvetica" w:cs="Arial"/>
          <w:noProof/>
        </w:rPr>
        <w:t xml:space="preserve">are consistent with </w:t>
      </w:r>
      <w:r w:rsidRPr="006F1A1F">
        <w:rPr>
          <w:rFonts w:ascii="Helvetica" w:hAnsi="Helvetica" w:cs="Arial"/>
          <w:noProof/>
        </w:rPr>
        <w:t>theory</w:t>
      </w:r>
      <w:r w:rsidR="00F73DAB" w:rsidRPr="006F1A1F">
        <w:rPr>
          <w:rFonts w:ascii="Helvetica" w:hAnsi="Helvetica" w:cs="Arial"/>
          <w:noProof/>
        </w:rPr>
        <w:t xml:space="preserve"> that </w:t>
      </w:r>
      <w:r w:rsidR="00116A82" w:rsidRPr="006F1A1F">
        <w:rPr>
          <w:rFonts w:ascii="Helvetica" w:hAnsi="Helvetica" w:cs="Arial"/>
          <w:noProof/>
        </w:rPr>
        <w:t>HGT</w:t>
      </w:r>
      <w:r w:rsidR="00F73DAB" w:rsidRPr="006F1A1F">
        <w:rPr>
          <w:rFonts w:ascii="Helvetica" w:hAnsi="Helvetica" w:cs="Arial"/>
          <w:noProof/>
        </w:rPr>
        <w:t xml:space="preserve"> can overcome selective barriers to drive the spread of resistance genes in the absence of positive selection, whereas</w:t>
      </w:r>
      <w:r w:rsidRPr="006F1A1F">
        <w:rPr>
          <w:rFonts w:ascii="Helvetica" w:hAnsi="Helvetica" w:cs="Arial"/>
          <w:noProof/>
        </w:rPr>
        <w:t xml:space="preserve"> </w:t>
      </w:r>
      <w:r w:rsidR="00F73DAB" w:rsidRPr="006F1A1F">
        <w:rPr>
          <w:rFonts w:ascii="Helvetica" w:hAnsi="Helvetica" w:cs="Arial"/>
          <w:noProof/>
        </w:rPr>
        <w:t>resistance genes</w:t>
      </w:r>
      <w:r w:rsidRPr="006F1A1F">
        <w:rPr>
          <w:rFonts w:ascii="Helvetica" w:hAnsi="Helvetica" w:cs="Arial"/>
          <w:noProof/>
        </w:rPr>
        <w:t xml:space="preserve"> spread through vertical transmission</w:t>
      </w:r>
      <w:r w:rsidR="00F73DAB" w:rsidRPr="006F1A1F">
        <w:rPr>
          <w:rFonts w:ascii="Helvetica" w:hAnsi="Helvetica" w:cs="Arial"/>
          <w:noProof/>
        </w:rPr>
        <w:t xml:space="preserve"> </w:t>
      </w:r>
      <w:r w:rsidR="002B22B0" w:rsidRPr="006F1A1F">
        <w:rPr>
          <w:rFonts w:ascii="Helvetica" w:hAnsi="Helvetica" w:cs="Arial"/>
          <w:noProof/>
        </w:rPr>
        <w:t xml:space="preserve">only </w:t>
      </w:r>
      <w:r w:rsidR="00F73DAB" w:rsidRPr="006F1A1F">
        <w:rPr>
          <w:rFonts w:ascii="Helvetica" w:hAnsi="Helvetica" w:cs="Arial"/>
          <w:noProof/>
        </w:rPr>
        <w:t xml:space="preserve">under positive selection. Thus </w:t>
      </w:r>
      <w:r w:rsidR="0081512F" w:rsidRPr="006F1A1F">
        <w:rPr>
          <w:rFonts w:ascii="Helvetica" w:hAnsi="Helvetica" w:cs="Arial"/>
          <w:noProof/>
        </w:rPr>
        <w:t xml:space="preserve">whereas </w:t>
      </w:r>
      <w:r w:rsidR="00F73DAB" w:rsidRPr="006F1A1F">
        <w:rPr>
          <w:rFonts w:ascii="Helvetica" w:hAnsi="Helvetica" w:cs="Arial"/>
          <w:noProof/>
        </w:rPr>
        <w:t>positive selection</w:t>
      </w:r>
      <w:r w:rsidR="0081512F" w:rsidRPr="006F1A1F">
        <w:rPr>
          <w:rFonts w:ascii="Helvetica" w:hAnsi="Helvetica" w:cs="Arial"/>
          <w:noProof/>
        </w:rPr>
        <w:t xml:space="preserve"> for resistance</w:t>
      </w:r>
      <w:r w:rsidR="00F73DAB" w:rsidRPr="006F1A1F">
        <w:rPr>
          <w:rFonts w:ascii="Helvetica" w:hAnsi="Helvetica" w:cs="Arial"/>
          <w:noProof/>
        </w:rPr>
        <w:t xml:space="preserve"> </w:t>
      </w:r>
      <w:r w:rsidR="0081512F" w:rsidRPr="006F1A1F">
        <w:rPr>
          <w:rFonts w:ascii="Helvetica" w:hAnsi="Helvetica" w:cs="Arial"/>
          <w:noProof/>
        </w:rPr>
        <w:t>would</w:t>
      </w:r>
      <w:r w:rsidR="00F73DAB" w:rsidRPr="006F1A1F">
        <w:rPr>
          <w:rFonts w:ascii="Helvetica" w:hAnsi="Helvetica" w:cs="Arial"/>
          <w:noProof/>
        </w:rPr>
        <w:t xml:space="preserve"> purge genomic diversity via </w:t>
      </w:r>
      <w:r w:rsidRPr="006F1A1F">
        <w:rPr>
          <w:rFonts w:ascii="Helvetica" w:hAnsi="Helvetica" w:cs="Arial"/>
          <w:noProof/>
        </w:rPr>
        <w:t xml:space="preserve">genome-wide sweeps of </w:t>
      </w:r>
      <w:r w:rsidR="00F73DAB" w:rsidRPr="006F1A1F">
        <w:rPr>
          <w:rFonts w:ascii="Helvetica" w:hAnsi="Helvetica" w:cs="Arial"/>
          <w:noProof/>
        </w:rPr>
        <w:t>resistance</w:t>
      </w:r>
      <w:r w:rsidRPr="006F1A1F">
        <w:rPr>
          <w:rFonts w:ascii="Helvetica" w:hAnsi="Helvetica" w:cs="Arial"/>
          <w:noProof/>
        </w:rPr>
        <w:t xml:space="preserve"> </w:t>
      </w:r>
      <w:r w:rsidRPr="006F1A1F">
        <w:rPr>
          <w:rFonts w:ascii="Helvetica" w:hAnsi="Helvetica" w:cs="Arial"/>
          <w:noProof/>
        </w:rPr>
        <w:fldChar w:fldCharType="begin" w:fldLock="1"/>
      </w:r>
      <w:r w:rsidR="007D05AD" w:rsidRPr="006F1A1F">
        <w:rPr>
          <w:rFonts w:ascii="Helvetica" w:hAnsi="Helvetica" w:cs="Arial"/>
          <w:noProof/>
        </w:rPr>
        <w:instrText>ADDIN CSL_CITATION { "citationItems" : [ { "id" : "ITEM-1", "itemData" : { "DOI" : "10.1111/j.1574-6976.2011.00292.x", "ISBN" : "1574-6976", "ISSN" : "01686445", "PMID" : "21711367", "abstract" : "Horizontal genetic transfer (HGT) has played an important role in bacterial evolution at least since the origins of the bacterial divisions, and HGT still facilitates the origins of bacterial diversity, including diversity based on antibiotic resistance. Adaptive HGT is aided by unique features of genetic exchange in bacteria such as the promiscuity of genetic exchange and the shortness of segments transferred. Genetic exchange rates are limited by the genetic and ecological similarity of organisms. Adaptive transfer of genes is limited to those that can be transferred as a functional unit, provide a niche-transcending adaptation, and are compatible with the architecture and physiology of other organisms. Horizontally transferred adaptations may bring about fitness costs, and natural selection may ameliorate these costs. The origins of ecological diversity can be analyzed by comparing the genomes of recently divergent, ecologically distinct populations, which can be discovered as sequence clusters. Such genome comparisons demonstrate the importance of HGT in ecological diversification. Newly divergent populations cannot be discovered as sequence clusters when their ecological differences are coded by plasmids, as is often the case for antibiotic resistance; the discovery of such populations requires a screen for plasmid-coded functions. This paper reviews the features of bacterial genetics that allow HGT, the similarities between organisms that foster HGT between them, the limits to the kinds of adaptations that can be transferred, and amelioration of fitness costs associated with HGT; the paper also reviews approaches to discover the origins of new, ecologically distinct bacterial populations and the role that HGT plays in their founding.", "author" : [ { "dropping-particle" : "", "family" : "Wiedenbeck", "given" : "Jane", "non-dropping-particle" : "", "parse-names" : false, "suffix" : "" }, { "dropping-particle" : "", "family" : "Cohan", "given" : "Frederick M", "non-dropping-particle" : "", "parse-names" : false, "suffix" : "" } ], "container-title" : "FEMS Microbiology Reviews", "id" : "ITEM-1", "issue" : "5", "issued" : { "date-parts" : [ [ "2011" ] ] }, "page" : "957-976", "title" : "Origins of bacterial diversity through horizontal genetic transfer and adaptation to new ecological niches", "type" : "article", "volume" : "35" }, "uris" : [ "http://www.mendeley.com/documents/?uuid=03305e5a-0c3d-3592-a3c2-c020adf6ac63" ] } ], "mendeley" : { "formattedCitation" : "(Wiedenbeck and Cohan, 2011)", "plainTextFormattedCitation" : "(Wiedenbeck and Cohan, 2011)", "previouslyFormattedCitation" : "(Wiedenbeck and Cohan, 2011)" }, "properties" : { "noteIndex" : 0 }, "schema" : "https://github.com/citation-style-language/schema/raw/master/csl-citation.json" }</w:instrText>
      </w:r>
      <w:r w:rsidRPr="006F1A1F">
        <w:rPr>
          <w:rFonts w:ascii="Helvetica" w:hAnsi="Helvetica" w:cs="Arial"/>
          <w:noProof/>
        </w:rPr>
        <w:fldChar w:fldCharType="separate"/>
      </w:r>
      <w:r w:rsidR="008D5B37" w:rsidRPr="006F1A1F">
        <w:rPr>
          <w:rFonts w:ascii="Helvetica" w:hAnsi="Helvetica" w:cs="Arial"/>
          <w:noProof/>
        </w:rPr>
        <w:t>(Wiedenbeck and Cohan, 2011)</w:t>
      </w:r>
      <w:r w:rsidRPr="006F1A1F">
        <w:rPr>
          <w:rFonts w:ascii="Helvetica" w:hAnsi="Helvetica" w:cs="Arial"/>
          <w:noProof/>
        </w:rPr>
        <w:fldChar w:fldCharType="end"/>
      </w:r>
      <w:r w:rsidR="00F73DAB" w:rsidRPr="006F1A1F">
        <w:rPr>
          <w:rFonts w:ascii="Helvetica" w:hAnsi="Helvetica" w:cs="Arial"/>
          <w:noProof/>
        </w:rPr>
        <w:t>,</w:t>
      </w:r>
      <w:r w:rsidRPr="006F1A1F">
        <w:rPr>
          <w:rFonts w:ascii="Helvetica" w:hAnsi="Helvetica" w:cs="Arial"/>
          <w:noProof/>
        </w:rPr>
        <w:t xml:space="preserve"> </w:t>
      </w:r>
      <w:r w:rsidR="0081512F" w:rsidRPr="006F1A1F">
        <w:rPr>
          <w:rFonts w:ascii="Helvetica" w:hAnsi="Helvetica" w:cs="Arial"/>
          <w:noProof/>
        </w:rPr>
        <w:t>negative selection against resistance coupled with</w:t>
      </w:r>
      <w:r w:rsidRPr="006F1A1F">
        <w:rPr>
          <w:rFonts w:ascii="Helvetica" w:hAnsi="Helvetica" w:cs="Arial"/>
          <w:noProof/>
        </w:rPr>
        <w:t xml:space="preserve"> </w:t>
      </w:r>
      <w:r w:rsidR="0081512F" w:rsidRPr="006F1A1F">
        <w:rPr>
          <w:rFonts w:ascii="Helvetica" w:hAnsi="Helvetica" w:cs="Arial"/>
          <w:noProof/>
        </w:rPr>
        <w:t xml:space="preserve">infectious </w:t>
      </w:r>
      <w:r w:rsidR="00116A82" w:rsidRPr="006F1A1F">
        <w:rPr>
          <w:rFonts w:ascii="Helvetica" w:hAnsi="Helvetica" w:cs="Arial"/>
          <w:noProof/>
        </w:rPr>
        <w:t>HGT</w:t>
      </w:r>
      <w:r w:rsidRPr="006F1A1F">
        <w:rPr>
          <w:rFonts w:ascii="Helvetica" w:hAnsi="Helvetica" w:cs="Arial"/>
          <w:noProof/>
        </w:rPr>
        <w:t xml:space="preserve"> </w:t>
      </w:r>
      <w:r w:rsidR="0081512F" w:rsidRPr="006F1A1F">
        <w:rPr>
          <w:rFonts w:ascii="Helvetica" w:hAnsi="Helvetica" w:cs="Arial"/>
          <w:noProof/>
        </w:rPr>
        <w:t>of resistance genes can</w:t>
      </w:r>
      <w:r w:rsidRPr="006F1A1F">
        <w:rPr>
          <w:rFonts w:ascii="Helvetica" w:hAnsi="Helvetica" w:cs="Arial"/>
          <w:noProof/>
        </w:rPr>
        <w:t xml:space="preserve"> </w:t>
      </w:r>
      <w:r w:rsidR="00F73DAB" w:rsidRPr="006F1A1F">
        <w:rPr>
          <w:rFonts w:ascii="Helvetica" w:hAnsi="Helvetica" w:cs="Arial"/>
          <w:noProof/>
        </w:rPr>
        <w:t>spread</w:t>
      </w:r>
      <w:r w:rsidRPr="006F1A1F">
        <w:rPr>
          <w:rFonts w:ascii="Helvetica" w:hAnsi="Helvetica" w:cs="Arial"/>
          <w:noProof/>
        </w:rPr>
        <w:t xml:space="preserve"> </w:t>
      </w:r>
      <w:r w:rsidR="00F73DAB" w:rsidRPr="006F1A1F">
        <w:rPr>
          <w:rFonts w:ascii="Helvetica" w:hAnsi="Helvetica" w:cs="Arial"/>
          <w:noProof/>
        </w:rPr>
        <w:t xml:space="preserve">resistance genes </w:t>
      </w:r>
      <w:r w:rsidR="0081512F" w:rsidRPr="006F1A1F">
        <w:rPr>
          <w:rFonts w:ascii="Helvetica" w:hAnsi="Helvetica" w:cs="Arial"/>
          <w:noProof/>
        </w:rPr>
        <w:t>in</w:t>
      </w:r>
      <w:r w:rsidR="00F73DAB" w:rsidRPr="006F1A1F">
        <w:rPr>
          <w:rFonts w:ascii="Helvetica" w:hAnsi="Helvetica" w:cs="Arial"/>
          <w:noProof/>
        </w:rPr>
        <w:t>to diverse genomic backgrounds</w:t>
      </w:r>
      <w:r w:rsidRPr="006F1A1F">
        <w:rPr>
          <w:rFonts w:ascii="Helvetica" w:hAnsi="Helvetica" w:cs="Arial"/>
          <w:noProof/>
        </w:rPr>
        <w:t>.</w:t>
      </w:r>
      <w:r w:rsidR="006E4247" w:rsidRPr="006F1A1F">
        <w:rPr>
          <w:rFonts w:ascii="Helvetica" w:hAnsi="Helvetica" w:cs="Arial"/>
          <w:noProof/>
        </w:rPr>
        <w:t xml:space="preserve"> Consequently, </w:t>
      </w:r>
      <w:r w:rsidR="00146318" w:rsidRPr="006F1A1F">
        <w:rPr>
          <w:rFonts w:ascii="Helvetica" w:hAnsi="Helvetica" w:cs="Arial"/>
          <w:noProof/>
        </w:rPr>
        <w:t xml:space="preserve">the sharing of resistance genes between lineages is most likely to occur in environments without positive selection, </w:t>
      </w:r>
      <w:r w:rsidR="00B52263" w:rsidRPr="006F1A1F">
        <w:rPr>
          <w:rFonts w:ascii="Helvetica" w:hAnsi="Helvetica" w:cs="Arial"/>
          <w:noProof/>
        </w:rPr>
        <w:t xml:space="preserve">and therefore </w:t>
      </w:r>
      <w:r w:rsidR="00384B79" w:rsidRPr="006F1A1F">
        <w:rPr>
          <w:rFonts w:ascii="Helvetica" w:hAnsi="Helvetica" w:cs="Arial"/>
          <w:noProof/>
        </w:rPr>
        <w:t xml:space="preserve">where resistance </w:t>
      </w:r>
      <w:r w:rsidR="002B22B0" w:rsidRPr="006F1A1F">
        <w:rPr>
          <w:rFonts w:ascii="Helvetica" w:hAnsi="Helvetica" w:cs="Arial"/>
          <w:noProof/>
        </w:rPr>
        <w:t xml:space="preserve">genes </w:t>
      </w:r>
      <w:r w:rsidR="00B52263" w:rsidRPr="006F1A1F">
        <w:rPr>
          <w:rFonts w:ascii="Helvetica" w:hAnsi="Helvetica" w:cs="Arial"/>
          <w:noProof/>
        </w:rPr>
        <w:t>have little use</w:t>
      </w:r>
      <w:r w:rsidR="002B22B0" w:rsidRPr="006F1A1F">
        <w:rPr>
          <w:rFonts w:ascii="Helvetica" w:hAnsi="Helvetica" w:cs="Arial"/>
          <w:noProof/>
        </w:rPr>
        <w:t xml:space="preserve">.  </w:t>
      </w:r>
      <w:r w:rsidR="00384B79" w:rsidRPr="006F1A1F">
        <w:rPr>
          <w:rFonts w:ascii="Helvetica" w:hAnsi="Helvetica" w:cs="Arial"/>
          <w:noProof/>
        </w:rPr>
        <w:t xml:space="preserve"> </w:t>
      </w:r>
    </w:p>
    <w:p w14:paraId="59B63345" w14:textId="77777777" w:rsidR="00146318" w:rsidRPr="006F1A1F" w:rsidRDefault="00146318" w:rsidP="008B0431">
      <w:pPr>
        <w:spacing w:line="480" w:lineRule="auto"/>
        <w:jc w:val="both"/>
        <w:rPr>
          <w:rFonts w:ascii="Helvetica" w:hAnsi="Helvetica" w:cs="Arial"/>
          <w:noProof/>
        </w:rPr>
      </w:pPr>
    </w:p>
    <w:p w14:paraId="3DD9C086" w14:textId="77777777" w:rsidR="004A6E40" w:rsidRPr="006F1A1F" w:rsidRDefault="004A6E40" w:rsidP="008B0431">
      <w:pPr>
        <w:spacing w:line="480" w:lineRule="auto"/>
        <w:jc w:val="both"/>
        <w:rPr>
          <w:rFonts w:ascii="Helvetica" w:hAnsi="Helvetica" w:cs="Arial"/>
          <w:b/>
          <w:noProof/>
        </w:rPr>
      </w:pPr>
    </w:p>
    <w:p w14:paraId="65BBA214" w14:textId="77777777" w:rsidR="00762910" w:rsidRPr="006F1A1F" w:rsidRDefault="006F58D6" w:rsidP="008B0431">
      <w:pPr>
        <w:spacing w:line="480" w:lineRule="auto"/>
        <w:jc w:val="both"/>
        <w:rPr>
          <w:rFonts w:ascii="Helvetica" w:hAnsi="Helvetica" w:cs="Arial"/>
          <w:b/>
          <w:noProof/>
        </w:rPr>
      </w:pPr>
      <w:r w:rsidRPr="006F1A1F">
        <w:rPr>
          <w:rFonts w:ascii="Helvetica" w:hAnsi="Helvetica" w:cs="Arial"/>
          <w:b/>
          <w:noProof/>
        </w:rPr>
        <w:t>REFERENCES</w:t>
      </w:r>
    </w:p>
    <w:p w14:paraId="484E485C" w14:textId="77777777" w:rsidR="00AB5A61" w:rsidRPr="006F1A1F" w:rsidRDefault="00AB5A61" w:rsidP="008B0431">
      <w:pPr>
        <w:widowControl w:val="0"/>
        <w:autoSpaceDE w:val="0"/>
        <w:autoSpaceDN w:val="0"/>
        <w:adjustRightInd w:val="0"/>
        <w:spacing w:line="480" w:lineRule="auto"/>
        <w:jc w:val="both"/>
        <w:rPr>
          <w:rFonts w:ascii="Helvetica" w:hAnsi="Helvetica" w:cs="Arial"/>
          <w:noProof/>
        </w:rPr>
      </w:pPr>
    </w:p>
    <w:p w14:paraId="31B0B12A" w14:textId="59CFADEB" w:rsidR="007D05AD" w:rsidRPr="006F1A1F" w:rsidRDefault="00762910"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hAnsi="Helvetica" w:cs="Arial"/>
          <w:noProof/>
        </w:rPr>
        <w:fldChar w:fldCharType="begin" w:fldLock="1"/>
      </w:r>
      <w:r w:rsidRPr="006F1A1F">
        <w:rPr>
          <w:rFonts w:ascii="Helvetica" w:hAnsi="Helvetica" w:cs="Arial"/>
          <w:noProof/>
        </w:rPr>
        <w:instrText xml:space="preserve">ADDIN Mendeley Bibliography CSL_BIBLIOGRAPHY </w:instrText>
      </w:r>
      <w:r w:rsidRPr="006F1A1F">
        <w:rPr>
          <w:rFonts w:ascii="Helvetica" w:hAnsi="Helvetica" w:cs="Arial"/>
          <w:noProof/>
        </w:rPr>
        <w:fldChar w:fldCharType="separate"/>
      </w:r>
      <w:r w:rsidR="007D05AD" w:rsidRPr="006F1A1F">
        <w:rPr>
          <w:rFonts w:ascii="Helvetica" w:eastAsia="Times New Roman" w:hAnsi="Helvetica" w:cs="Times New Roman"/>
          <w:noProof/>
        </w:rPr>
        <w:t xml:space="preserve">Cordero, O. X. and Polz, M. F. (2014) ‘Explaining microbial genomic diversity in light of evolutionary ecology’, </w:t>
      </w:r>
      <w:r w:rsidR="007D05AD" w:rsidRPr="006F1A1F">
        <w:rPr>
          <w:rFonts w:ascii="Helvetica" w:eastAsia="Times New Roman" w:hAnsi="Helvetica" w:cs="Times New Roman"/>
          <w:i/>
          <w:iCs/>
          <w:noProof/>
        </w:rPr>
        <w:t>Nat Rev Micro</w:t>
      </w:r>
      <w:r w:rsidR="007D05AD" w:rsidRPr="006F1A1F">
        <w:rPr>
          <w:rFonts w:ascii="Helvetica" w:eastAsia="Times New Roman" w:hAnsi="Helvetica" w:cs="Times New Roman"/>
          <w:noProof/>
        </w:rPr>
        <w:t xml:space="preserve">. Nature Publishing Group, a division of Macmillan Publishers Limited. All Rights Reserved., 12(4), pp. 263–273. </w:t>
      </w:r>
    </w:p>
    <w:p w14:paraId="62896881" w14:textId="6A34F625"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lastRenderedPageBreak/>
        <w:t xml:space="preserve">Frost, L. S., Leplae, R., Summers, A. O. and Toussaint, A. (2005) ‘Mobile genetic elements: the agents of open source evolution’, </w:t>
      </w:r>
      <w:r w:rsidRPr="006F1A1F">
        <w:rPr>
          <w:rFonts w:ascii="Helvetica" w:eastAsia="Times New Roman" w:hAnsi="Helvetica" w:cs="Times New Roman"/>
          <w:i/>
          <w:iCs/>
          <w:noProof/>
        </w:rPr>
        <w:t>Nature Reviews Microbiology</w:t>
      </w:r>
      <w:r w:rsidRPr="006F1A1F">
        <w:rPr>
          <w:rFonts w:ascii="Helvetica" w:eastAsia="Times New Roman" w:hAnsi="Helvetica" w:cs="Times New Roman"/>
          <w:noProof/>
        </w:rPr>
        <w:t xml:space="preserve">. Nature Publishing Group, 3(9), pp. 722–732. </w:t>
      </w:r>
    </w:p>
    <w:p w14:paraId="4C7B0B4F" w14:textId="6AA8D6DB"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t xml:space="preserve">Hall, J. P. J., Harrison, E., Lilley, A. K., Paterson, S., Spiers, A. J. and Brockhurst, M. A. (2015) ‘Environmentally co-occurring mercury resistance plasmids are genetically and phenotypically diverse and confer variable context-dependent fitness effects’, </w:t>
      </w:r>
      <w:r w:rsidRPr="006F1A1F">
        <w:rPr>
          <w:rFonts w:ascii="Helvetica" w:eastAsia="Times New Roman" w:hAnsi="Helvetica" w:cs="Times New Roman"/>
          <w:i/>
          <w:iCs/>
          <w:noProof/>
        </w:rPr>
        <w:t>Environmental Microbiology</w:t>
      </w:r>
      <w:r w:rsidRPr="006F1A1F">
        <w:rPr>
          <w:rFonts w:ascii="Helvetica" w:eastAsia="Times New Roman" w:hAnsi="Helvetica" w:cs="Times New Roman"/>
          <w:noProof/>
        </w:rPr>
        <w:t xml:space="preserve">, 17(12), pp. 5008–5022. </w:t>
      </w:r>
    </w:p>
    <w:p w14:paraId="276DA580" w14:textId="120924BB"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t xml:space="preserve">Lilley, A. K. and Bailey, M. J. (1997) ‘The acquisition of indigenous plasmids by a genetically marked pseudomonad population colonizing the sugar beet phytosphere is related to local environmental conditions.’, </w:t>
      </w:r>
      <w:r w:rsidRPr="006F1A1F">
        <w:rPr>
          <w:rFonts w:ascii="Helvetica" w:eastAsia="Times New Roman" w:hAnsi="Helvetica" w:cs="Times New Roman"/>
          <w:i/>
          <w:iCs/>
          <w:noProof/>
        </w:rPr>
        <w:t>Applied and environmental microbiology</w:t>
      </w:r>
      <w:r w:rsidRPr="006F1A1F">
        <w:rPr>
          <w:rFonts w:ascii="Helvetica" w:eastAsia="Times New Roman" w:hAnsi="Helvetica" w:cs="Times New Roman"/>
          <w:noProof/>
        </w:rPr>
        <w:t xml:space="preserve">, 63(4), pp. 1577–83. </w:t>
      </w:r>
    </w:p>
    <w:p w14:paraId="3472E423" w14:textId="77777777"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t xml:space="preserve">Rainey, P. B. and Bailey, M. J. (1996) ‘Physical and genetic map of the Pseudomonas fluorescens SBW25 chromosome’, </w:t>
      </w:r>
      <w:r w:rsidRPr="006F1A1F">
        <w:rPr>
          <w:rFonts w:ascii="Helvetica" w:eastAsia="Times New Roman" w:hAnsi="Helvetica" w:cs="Times New Roman"/>
          <w:i/>
          <w:iCs/>
          <w:noProof/>
        </w:rPr>
        <w:t>Molecular Microbiology</w:t>
      </w:r>
      <w:r w:rsidRPr="006F1A1F">
        <w:rPr>
          <w:rFonts w:ascii="Helvetica" w:eastAsia="Times New Roman" w:hAnsi="Helvetica" w:cs="Times New Roman"/>
          <w:noProof/>
        </w:rPr>
        <w:t>, 19(3), pp. 521–533.</w:t>
      </w:r>
    </w:p>
    <w:p w14:paraId="36A6D4E1" w14:textId="13B81FE4"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t xml:space="preserve">Shapiro, B. J. (2016) ‘How clonal are bacteria over time?’, </w:t>
      </w:r>
      <w:r w:rsidRPr="006F1A1F">
        <w:rPr>
          <w:rFonts w:ascii="Helvetica" w:eastAsia="Times New Roman" w:hAnsi="Helvetica" w:cs="Times New Roman"/>
          <w:i/>
          <w:iCs/>
          <w:noProof/>
        </w:rPr>
        <w:t>Current Opinion in Microbiology</w:t>
      </w:r>
      <w:r w:rsidRPr="006F1A1F">
        <w:rPr>
          <w:rFonts w:ascii="Helvetica" w:eastAsia="Times New Roman" w:hAnsi="Helvetica" w:cs="Times New Roman"/>
          <w:noProof/>
        </w:rPr>
        <w:t xml:space="preserve">, 31, pp. 116–123. </w:t>
      </w:r>
    </w:p>
    <w:p w14:paraId="39417E20" w14:textId="5386AB73"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t xml:space="preserve">Smith, J. M., Smith, N. H., O’Rourke, M. and Spratt, B. G. (1993) ‘How clonal are bacteria?’, </w:t>
      </w:r>
      <w:r w:rsidRPr="006F1A1F">
        <w:rPr>
          <w:rFonts w:ascii="Helvetica" w:eastAsia="Times New Roman" w:hAnsi="Helvetica" w:cs="Times New Roman"/>
          <w:i/>
          <w:iCs/>
          <w:noProof/>
        </w:rPr>
        <w:t>Proceedings of the National Academy of Sciences of the United States of America</w:t>
      </w:r>
      <w:r w:rsidRPr="006F1A1F">
        <w:rPr>
          <w:rFonts w:ascii="Helvetica" w:eastAsia="Times New Roman" w:hAnsi="Helvetica" w:cs="Times New Roman"/>
          <w:noProof/>
        </w:rPr>
        <w:t xml:space="preserve">. National Academy of Sciences, 90(10), pp. 4384–8. </w:t>
      </w:r>
    </w:p>
    <w:p w14:paraId="209068EB" w14:textId="4165691F"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t xml:space="preserve">Tazzyman, S. J. and Bonhoeffer, S. (2014) ‘Plasmids and Evolutionary Rescue by Drug Resistance’, </w:t>
      </w:r>
      <w:r w:rsidRPr="006F1A1F">
        <w:rPr>
          <w:rFonts w:ascii="Helvetica" w:eastAsia="Times New Roman" w:hAnsi="Helvetica" w:cs="Times New Roman"/>
          <w:i/>
          <w:iCs/>
          <w:noProof/>
        </w:rPr>
        <w:t>Evolution</w:t>
      </w:r>
      <w:r w:rsidRPr="006F1A1F">
        <w:rPr>
          <w:rFonts w:ascii="Helvetica" w:eastAsia="Times New Roman" w:hAnsi="Helvetica" w:cs="Times New Roman"/>
          <w:noProof/>
        </w:rPr>
        <w:t xml:space="preserve">, 68(7), pp. 2066–2078. </w:t>
      </w:r>
    </w:p>
    <w:p w14:paraId="5F15CA4C" w14:textId="36A6D15D" w:rsidR="007D05AD" w:rsidRPr="006F1A1F" w:rsidRDefault="007D05AD" w:rsidP="000B583B">
      <w:pPr>
        <w:widowControl w:val="0"/>
        <w:autoSpaceDE w:val="0"/>
        <w:autoSpaceDN w:val="0"/>
        <w:adjustRightInd w:val="0"/>
        <w:spacing w:line="480" w:lineRule="auto"/>
        <w:jc w:val="both"/>
        <w:rPr>
          <w:rFonts w:ascii="Helvetica" w:eastAsia="Times New Roman" w:hAnsi="Helvetica" w:cs="Times New Roman"/>
          <w:noProof/>
        </w:rPr>
      </w:pPr>
      <w:r w:rsidRPr="006F1A1F">
        <w:rPr>
          <w:rFonts w:ascii="Helvetica" w:eastAsia="Times New Roman" w:hAnsi="Helvetica" w:cs="Times New Roman"/>
          <w:noProof/>
        </w:rPr>
        <w:t xml:space="preserve">Thomas, C. M. and Nielsen, K. M. (2005) ‘Mechanisms of, and Barriers to, Horizontal Gene Transfer between Bacteria’, </w:t>
      </w:r>
      <w:r w:rsidRPr="006F1A1F">
        <w:rPr>
          <w:rFonts w:ascii="Helvetica" w:eastAsia="Times New Roman" w:hAnsi="Helvetica" w:cs="Times New Roman"/>
          <w:i/>
          <w:iCs/>
          <w:noProof/>
        </w:rPr>
        <w:t>Nature Reviews Microbiology</w:t>
      </w:r>
      <w:r w:rsidRPr="006F1A1F">
        <w:rPr>
          <w:rFonts w:ascii="Helvetica" w:eastAsia="Times New Roman" w:hAnsi="Helvetica" w:cs="Times New Roman"/>
          <w:noProof/>
        </w:rPr>
        <w:t xml:space="preserve">, 3(9), pp. 711–721. </w:t>
      </w:r>
    </w:p>
    <w:p w14:paraId="61FEB806" w14:textId="033EAE62" w:rsidR="007D05AD" w:rsidRPr="006F1A1F" w:rsidRDefault="007D05AD" w:rsidP="000B583B">
      <w:pPr>
        <w:widowControl w:val="0"/>
        <w:autoSpaceDE w:val="0"/>
        <w:autoSpaceDN w:val="0"/>
        <w:adjustRightInd w:val="0"/>
        <w:spacing w:line="480" w:lineRule="auto"/>
        <w:jc w:val="both"/>
        <w:rPr>
          <w:rFonts w:ascii="Helvetica" w:hAnsi="Helvetica"/>
          <w:noProof/>
        </w:rPr>
      </w:pPr>
      <w:r w:rsidRPr="006F1A1F">
        <w:rPr>
          <w:rFonts w:ascii="Helvetica" w:eastAsia="Times New Roman" w:hAnsi="Helvetica" w:cs="Times New Roman"/>
          <w:noProof/>
        </w:rPr>
        <w:t xml:space="preserve">Wiedenbeck, J. and Cohan, F. M. (2011) ‘Origins of bacterial diversity through horizontal genetic transfer and adaptation to new ecological niches’, </w:t>
      </w:r>
      <w:r w:rsidRPr="006F1A1F">
        <w:rPr>
          <w:rFonts w:ascii="Helvetica" w:eastAsia="Times New Roman" w:hAnsi="Helvetica" w:cs="Times New Roman"/>
          <w:i/>
          <w:iCs/>
          <w:noProof/>
        </w:rPr>
        <w:t xml:space="preserve">FEMS </w:t>
      </w:r>
      <w:r w:rsidRPr="006F1A1F">
        <w:rPr>
          <w:rFonts w:ascii="Helvetica" w:eastAsia="Times New Roman" w:hAnsi="Helvetica" w:cs="Times New Roman"/>
          <w:i/>
          <w:iCs/>
          <w:noProof/>
        </w:rPr>
        <w:lastRenderedPageBreak/>
        <w:t>Microbiology Reviews</w:t>
      </w:r>
      <w:r w:rsidRPr="006F1A1F">
        <w:rPr>
          <w:rFonts w:ascii="Helvetica" w:eastAsia="Times New Roman" w:hAnsi="Helvetica" w:cs="Times New Roman"/>
          <w:noProof/>
        </w:rPr>
        <w:t xml:space="preserve">, pp. 957–976. </w:t>
      </w:r>
    </w:p>
    <w:p w14:paraId="520D7B60" w14:textId="162D1A12" w:rsidR="00762910" w:rsidRPr="006F1A1F" w:rsidRDefault="00762910" w:rsidP="000B583B">
      <w:pPr>
        <w:widowControl w:val="0"/>
        <w:autoSpaceDE w:val="0"/>
        <w:autoSpaceDN w:val="0"/>
        <w:adjustRightInd w:val="0"/>
        <w:spacing w:line="480" w:lineRule="auto"/>
        <w:jc w:val="both"/>
        <w:rPr>
          <w:rFonts w:ascii="Helvetica" w:hAnsi="Helvetica" w:cs="Arial"/>
          <w:noProof/>
        </w:rPr>
      </w:pPr>
      <w:r w:rsidRPr="006F1A1F">
        <w:rPr>
          <w:rFonts w:ascii="Helvetica" w:hAnsi="Helvetica" w:cs="Arial"/>
          <w:noProof/>
        </w:rPr>
        <w:fldChar w:fldCharType="end"/>
      </w:r>
    </w:p>
    <w:p w14:paraId="6A42E8B7" w14:textId="77777777" w:rsidR="004A6E40" w:rsidRPr="006F1A1F" w:rsidRDefault="004A6E40" w:rsidP="008B0431">
      <w:pPr>
        <w:widowControl w:val="0"/>
        <w:autoSpaceDE w:val="0"/>
        <w:autoSpaceDN w:val="0"/>
        <w:adjustRightInd w:val="0"/>
        <w:spacing w:line="480" w:lineRule="auto"/>
        <w:jc w:val="both"/>
        <w:rPr>
          <w:rFonts w:ascii="Helvetica" w:hAnsi="Helvetica" w:cs="Arial"/>
          <w:b/>
          <w:noProof/>
        </w:rPr>
      </w:pPr>
      <w:r w:rsidRPr="006F1A1F">
        <w:rPr>
          <w:rFonts w:ascii="Helvetica" w:hAnsi="Helvetica" w:cs="Arial"/>
          <w:b/>
          <w:noProof/>
        </w:rPr>
        <w:t>ACKNOWLEDGEMENTS</w:t>
      </w:r>
    </w:p>
    <w:p w14:paraId="6AA2B7CD" w14:textId="77777777" w:rsidR="00AB5A61" w:rsidRPr="006F1A1F" w:rsidRDefault="00AB5A61" w:rsidP="008B0431">
      <w:pPr>
        <w:widowControl w:val="0"/>
        <w:autoSpaceDE w:val="0"/>
        <w:autoSpaceDN w:val="0"/>
        <w:adjustRightInd w:val="0"/>
        <w:spacing w:line="480" w:lineRule="auto"/>
        <w:jc w:val="both"/>
        <w:rPr>
          <w:rFonts w:ascii="Helvetica" w:hAnsi="Helvetica" w:cs="Arial"/>
          <w:noProof/>
        </w:rPr>
      </w:pPr>
    </w:p>
    <w:p w14:paraId="61EE2EEE" w14:textId="1CD9D3BF" w:rsidR="00BB254A" w:rsidRPr="006F1A1F" w:rsidRDefault="000E49E3" w:rsidP="008B0431">
      <w:pPr>
        <w:widowControl w:val="0"/>
        <w:autoSpaceDE w:val="0"/>
        <w:autoSpaceDN w:val="0"/>
        <w:adjustRightInd w:val="0"/>
        <w:spacing w:line="480" w:lineRule="auto"/>
        <w:jc w:val="both"/>
        <w:rPr>
          <w:rFonts w:ascii="Helvetica" w:hAnsi="Helvetica" w:cs="Arial"/>
          <w:noProof/>
        </w:rPr>
      </w:pPr>
      <w:r w:rsidRPr="006F1A1F">
        <w:rPr>
          <w:rFonts w:ascii="Helvetica" w:hAnsi="Helvetica" w:cs="Arial"/>
          <w:noProof/>
        </w:rPr>
        <w:t xml:space="preserve">We thank D. Guymer for technical support, and V. Friman and J. Pitchford for valuable comments. </w:t>
      </w:r>
      <w:r w:rsidR="002272A4" w:rsidRPr="006F1A1F">
        <w:rPr>
          <w:rFonts w:ascii="Helvetica" w:hAnsi="Helvetica" w:cs="Arial"/>
          <w:noProof/>
        </w:rPr>
        <w:t>This work was supported by an ERC Startup Grant</w:t>
      </w:r>
      <w:r w:rsidR="00F41A8E" w:rsidRPr="006F1A1F">
        <w:rPr>
          <w:rFonts w:ascii="Helvetica" w:hAnsi="Helvetica" w:cs="Arial"/>
          <w:noProof/>
        </w:rPr>
        <w:t xml:space="preserve"> from</w:t>
      </w:r>
      <w:r w:rsidR="00BB254A" w:rsidRPr="006F1A1F">
        <w:rPr>
          <w:rFonts w:ascii="Helvetica" w:hAnsi="Helvetica" w:cs="Arial"/>
          <w:noProof/>
        </w:rPr>
        <w:t xml:space="preserve"> the European Research Council awarded to M.A.B</w:t>
      </w:r>
      <w:r w:rsidR="00BB254A" w:rsidRPr="006F1A1F">
        <w:rPr>
          <w:rFonts w:ascii="Helvetica" w:hAnsi="Helvetica" w:cs="Arial"/>
          <w:noProof/>
          <w:color w:val="262526"/>
        </w:rPr>
        <w:t xml:space="preserve"> (StG-2012-311490-COEVOCON), a Leverhulme Prize from the Leverhulme Trust awarded to M.A.B</w:t>
      </w:r>
      <w:r w:rsidR="002272A4" w:rsidRPr="006F1A1F">
        <w:rPr>
          <w:rFonts w:ascii="Helvetica" w:hAnsi="Helvetica" w:cs="Arial"/>
          <w:noProof/>
          <w:color w:val="262526"/>
        </w:rPr>
        <w:t xml:space="preserve"> (PLP-2014-242)</w:t>
      </w:r>
      <w:r w:rsidR="00BB254A" w:rsidRPr="006F1A1F">
        <w:rPr>
          <w:rFonts w:ascii="Helvetica" w:hAnsi="Helvetica" w:cs="Arial"/>
          <w:noProof/>
          <w:color w:val="262526"/>
        </w:rPr>
        <w:t>, the University of York and a NERC studentship</w:t>
      </w:r>
      <w:r w:rsidR="00110FA0" w:rsidRPr="006F1A1F">
        <w:rPr>
          <w:rFonts w:ascii="Helvetica" w:hAnsi="Helvetica" w:cs="Arial"/>
          <w:noProof/>
          <w:color w:val="262526"/>
        </w:rPr>
        <w:t xml:space="preserve"> to C.S</w:t>
      </w:r>
      <w:r w:rsidR="00BB254A" w:rsidRPr="006F1A1F">
        <w:rPr>
          <w:rFonts w:ascii="Helvetica" w:hAnsi="Helvetica" w:cs="Arial"/>
          <w:noProof/>
          <w:color w:val="262526"/>
        </w:rPr>
        <w:t xml:space="preserve"> supervised by M.A.B and A.J.W. </w:t>
      </w:r>
    </w:p>
    <w:p w14:paraId="098B4611" w14:textId="77777777" w:rsidR="004A6E40" w:rsidRPr="006F1A1F" w:rsidRDefault="004A6E40" w:rsidP="008B0431">
      <w:pPr>
        <w:widowControl w:val="0"/>
        <w:autoSpaceDE w:val="0"/>
        <w:autoSpaceDN w:val="0"/>
        <w:adjustRightInd w:val="0"/>
        <w:spacing w:line="480" w:lineRule="auto"/>
        <w:jc w:val="both"/>
        <w:rPr>
          <w:rFonts w:ascii="Helvetica" w:hAnsi="Helvetica" w:cs="Arial"/>
          <w:noProof/>
        </w:rPr>
      </w:pPr>
    </w:p>
    <w:p w14:paraId="3F0BB957" w14:textId="77777777" w:rsidR="008D5B37" w:rsidRPr="006F1A1F" w:rsidRDefault="008D5B37" w:rsidP="008B0431">
      <w:pPr>
        <w:widowControl w:val="0"/>
        <w:autoSpaceDE w:val="0"/>
        <w:autoSpaceDN w:val="0"/>
        <w:adjustRightInd w:val="0"/>
        <w:spacing w:line="480" w:lineRule="auto"/>
        <w:ind w:left="640" w:hanging="640"/>
        <w:jc w:val="both"/>
        <w:rPr>
          <w:rFonts w:ascii="Helvetica" w:hAnsi="Helvetica" w:cs="Arial"/>
          <w:noProof/>
        </w:rPr>
      </w:pPr>
      <w:r w:rsidRPr="006F1A1F">
        <w:rPr>
          <w:rFonts w:ascii="Helvetica" w:hAnsi="Helvetica" w:cs="Arial"/>
          <w:b/>
          <w:noProof/>
        </w:rPr>
        <w:t xml:space="preserve">FIGURES </w:t>
      </w:r>
    </w:p>
    <w:p w14:paraId="4403BAD1" w14:textId="77777777" w:rsidR="00AB5A61" w:rsidRPr="006F1A1F" w:rsidRDefault="00AB5A61" w:rsidP="008B0431">
      <w:pPr>
        <w:spacing w:line="480" w:lineRule="auto"/>
        <w:jc w:val="both"/>
        <w:rPr>
          <w:rFonts w:ascii="Helvetica" w:hAnsi="Helvetica" w:cs="Arial"/>
          <w:b/>
          <w:noProof/>
        </w:rPr>
      </w:pPr>
    </w:p>
    <w:p w14:paraId="7AB5B6EF" w14:textId="77777777" w:rsidR="006F58D6" w:rsidRPr="006F1A1F" w:rsidRDefault="006F58D6" w:rsidP="008B0431">
      <w:pPr>
        <w:spacing w:line="480" w:lineRule="auto"/>
        <w:jc w:val="both"/>
        <w:rPr>
          <w:rFonts w:ascii="Helvetica" w:hAnsi="Helvetica" w:cs="Arial"/>
          <w:noProof/>
        </w:rPr>
      </w:pPr>
      <w:r w:rsidRPr="006F1A1F">
        <w:rPr>
          <w:rFonts w:ascii="Helvetica" w:hAnsi="Helvetica" w:cs="Arial"/>
          <w:b/>
          <w:noProof/>
        </w:rPr>
        <w:t xml:space="preserve">Figure 1. Horizontal transmission had a significant impact on the proportion of </w:t>
      </w:r>
      <w:r w:rsidRPr="006F1A1F">
        <w:rPr>
          <w:rFonts w:ascii="Helvetica" w:hAnsi="Helvetica" w:cs="Arial"/>
          <w:b/>
          <w:noProof/>
          <w:color w:val="323232"/>
        </w:rPr>
        <w:t>Hg</w:t>
      </w:r>
      <w:r w:rsidRPr="006F1A1F">
        <w:rPr>
          <w:rFonts w:ascii="Helvetica" w:hAnsi="Helvetica" w:cs="Arial"/>
          <w:b/>
          <w:noProof/>
          <w:color w:val="323232"/>
          <w:vertAlign w:val="superscript"/>
        </w:rPr>
        <w:t>R</w:t>
      </w:r>
      <w:r w:rsidR="006F7E54" w:rsidRPr="006F1A1F">
        <w:rPr>
          <w:rFonts w:ascii="Helvetica" w:hAnsi="Helvetica" w:cs="Arial"/>
          <w:noProof/>
        </w:rPr>
        <w:t xml:space="preserve">. </w:t>
      </w:r>
      <w:r w:rsidRPr="006F1A1F">
        <w:rPr>
          <w:rFonts w:ascii="Helvetica" w:hAnsi="Helvetica" w:cs="Arial"/>
          <w:noProof/>
        </w:rPr>
        <w:t xml:space="preserve">The proportion of chromosome- and plasmid- encoded </w:t>
      </w:r>
      <w:r w:rsidRPr="006F1A1F">
        <w:rPr>
          <w:rFonts w:ascii="Helvetica" w:hAnsi="Helvetica" w:cs="Arial"/>
          <w:noProof/>
          <w:color w:val="323232"/>
        </w:rPr>
        <w:t>Hg</w:t>
      </w:r>
      <w:r w:rsidRPr="006F1A1F">
        <w:rPr>
          <w:rFonts w:ascii="Helvetica" w:hAnsi="Helvetica" w:cs="Arial"/>
          <w:noProof/>
          <w:color w:val="323232"/>
          <w:vertAlign w:val="superscript"/>
        </w:rPr>
        <w:t>R</w:t>
      </w:r>
      <w:r w:rsidRPr="006F1A1F">
        <w:rPr>
          <w:rFonts w:ascii="Helvetica" w:hAnsi="Helvetica" w:cs="Arial"/>
          <w:noProof/>
        </w:rPr>
        <w:t xml:space="preserve"> was determined over time across the three mercury </w:t>
      </w:r>
      <w:r w:rsidR="006F7E54" w:rsidRPr="006F1A1F">
        <w:rPr>
          <w:rFonts w:ascii="Helvetica" w:hAnsi="Helvetica" w:cs="Arial"/>
          <w:noProof/>
        </w:rPr>
        <w:t xml:space="preserve">treatments </w:t>
      </w:r>
      <w:r w:rsidRPr="006F1A1F">
        <w:rPr>
          <w:rFonts w:ascii="Helvetica" w:hAnsi="Helvetica" w:cs="Arial"/>
          <w:noProof/>
        </w:rPr>
        <w:t>(0, 20 and 40 µM HgCl</w:t>
      </w:r>
      <w:r w:rsidRPr="006F1A1F">
        <w:rPr>
          <w:rFonts w:ascii="Helvetica" w:hAnsi="Helvetica" w:cs="Arial"/>
          <w:noProof/>
          <w:vertAlign w:val="subscript"/>
        </w:rPr>
        <w:t>2</w:t>
      </w:r>
      <w:r w:rsidRPr="006F1A1F">
        <w:rPr>
          <w:rFonts w:ascii="Helvetica" w:hAnsi="Helvetica" w:cs="Arial"/>
          <w:noProof/>
        </w:rPr>
        <w:t>). Points represent replicate populations</w:t>
      </w:r>
      <w:r w:rsidR="00134CCC" w:rsidRPr="006F1A1F">
        <w:rPr>
          <w:rFonts w:ascii="Helvetica" w:hAnsi="Helvetica" w:cs="Arial"/>
          <w:noProof/>
        </w:rPr>
        <w:t xml:space="preserve"> and are slightly offset by treatment on the x-axis to prevent over</w:t>
      </w:r>
      <w:r w:rsidR="00850250" w:rsidRPr="006F1A1F">
        <w:rPr>
          <w:rFonts w:ascii="Helvetica" w:hAnsi="Helvetica" w:cs="Arial"/>
          <w:noProof/>
        </w:rPr>
        <w:t>-</w:t>
      </w:r>
      <w:r w:rsidR="00134CCC" w:rsidRPr="006F1A1F">
        <w:rPr>
          <w:rFonts w:ascii="Helvetica" w:hAnsi="Helvetica" w:cs="Arial"/>
          <w:noProof/>
        </w:rPr>
        <w:t>plotting</w:t>
      </w:r>
      <w:r w:rsidRPr="006F1A1F">
        <w:rPr>
          <w:rFonts w:ascii="Helvetica" w:hAnsi="Helvetica" w:cs="Arial"/>
          <w:noProof/>
        </w:rPr>
        <w:t xml:space="preserve">. Lines represent means (n = 6). </w:t>
      </w:r>
    </w:p>
    <w:p w14:paraId="2837F77F" w14:textId="77777777" w:rsidR="006F58D6" w:rsidRPr="006F1A1F" w:rsidRDefault="006F58D6" w:rsidP="008B0431">
      <w:pPr>
        <w:spacing w:line="480" w:lineRule="auto"/>
        <w:jc w:val="both"/>
        <w:rPr>
          <w:rFonts w:ascii="Helvetica" w:hAnsi="Helvetica" w:cs="Arial"/>
          <w:noProof/>
        </w:rPr>
      </w:pPr>
    </w:p>
    <w:p w14:paraId="061E829B" w14:textId="77777777" w:rsidR="006F58D6" w:rsidRDefault="006F58D6" w:rsidP="008B0431">
      <w:pPr>
        <w:spacing w:line="480" w:lineRule="auto"/>
        <w:jc w:val="both"/>
        <w:rPr>
          <w:rFonts w:ascii="Helvetica" w:hAnsi="Helvetica" w:cs="Arial"/>
          <w:noProof/>
        </w:rPr>
      </w:pPr>
      <w:r w:rsidRPr="006F1A1F">
        <w:rPr>
          <w:rFonts w:ascii="Helvetica" w:hAnsi="Helvetica" w:cs="Arial"/>
          <w:b/>
          <w:noProof/>
        </w:rPr>
        <w:t>Figure 2. Selection determines the balance of horizontal vs. vertical inheritance of plasmid-encoded</w:t>
      </w:r>
      <w:r w:rsidRPr="006F1A1F">
        <w:rPr>
          <w:rFonts w:ascii="Helvetica" w:hAnsi="Helvetica" w:cs="Arial"/>
          <w:noProof/>
          <w:color w:val="323232"/>
        </w:rPr>
        <w:t xml:space="preserve"> </w:t>
      </w:r>
      <w:r w:rsidRPr="006F1A1F">
        <w:rPr>
          <w:rFonts w:ascii="Helvetica" w:hAnsi="Helvetica" w:cs="Arial"/>
          <w:b/>
          <w:noProof/>
          <w:color w:val="323232"/>
        </w:rPr>
        <w:t>Hg</w:t>
      </w:r>
      <w:r w:rsidRPr="006F1A1F">
        <w:rPr>
          <w:rFonts w:ascii="Helvetica" w:hAnsi="Helvetica" w:cs="Arial"/>
          <w:b/>
          <w:noProof/>
          <w:color w:val="323232"/>
          <w:vertAlign w:val="superscript"/>
        </w:rPr>
        <w:t>R</w:t>
      </w:r>
      <w:r w:rsidRPr="006F1A1F">
        <w:rPr>
          <w:rFonts w:ascii="Helvetica" w:hAnsi="Helvetica" w:cs="Arial"/>
          <w:b/>
          <w:noProof/>
        </w:rPr>
        <w:t xml:space="preserve">. </w:t>
      </w:r>
      <w:r w:rsidRPr="006F1A1F">
        <w:rPr>
          <w:rFonts w:ascii="Helvetica" w:hAnsi="Helvetica" w:cs="Arial"/>
          <w:noProof/>
        </w:rPr>
        <w:t>Plasmid transfer</w:t>
      </w:r>
      <w:r w:rsidR="00134CCC" w:rsidRPr="006F1A1F">
        <w:rPr>
          <w:rFonts w:ascii="Helvetica" w:hAnsi="Helvetica" w:cs="Arial"/>
          <w:noProof/>
        </w:rPr>
        <w:t xml:space="preserve"> in</w:t>
      </w:r>
      <w:r w:rsidRPr="006F1A1F">
        <w:rPr>
          <w:rFonts w:ascii="Helvetica" w:hAnsi="Helvetica" w:cs="Arial"/>
          <w:noProof/>
        </w:rPr>
        <w:t xml:space="preserve"> each of six replicate populations was tracked over time across the three mercury </w:t>
      </w:r>
      <w:r w:rsidR="006F7E54" w:rsidRPr="006F1A1F">
        <w:rPr>
          <w:rFonts w:ascii="Helvetica" w:hAnsi="Helvetica" w:cs="Arial"/>
          <w:noProof/>
        </w:rPr>
        <w:t>treatments</w:t>
      </w:r>
      <w:r w:rsidRPr="006F1A1F">
        <w:rPr>
          <w:rFonts w:ascii="Helvetica" w:hAnsi="Helvetica" w:cs="Arial"/>
          <w:noProof/>
        </w:rPr>
        <w:t xml:space="preserve"> (0, 20 and 40 µM HgCl</w:t>
      </w:r>
      <w:r w:rsidRPr="006F1A1F">
        <w:rPr>
          <w:rFonts w:ascii="Helvetica" w:hAnsi="Helvetica" w:cs="Arial"/>
          <w:noProof/>
          <w:vertAlign w:val="subscript"/>
        </w:rPr>
        <w:t>2</w:t>
      </w:r>
      <w:r w:rsidRPr="006F1A1F">
        <w:rPr>
          <w:rFonts w:ascii="Helvetica" w:hAnsi="Helvetica" w:cs="Arial"/>
          <w:noProof/>
        </w:rPr>
        <w:t xml:space="preserve">). </w:t>
      </w:r>
      <w:r w:rsidR="00134CCC" w:rsidRPr="006F1A1F">
        <w:rPr>
          <w:rFonts w:ascii="Helvetica" w:hAnsi="Helvetica" w:cs="Arial"/>
          <w:noProof/>
        </w:rPr>
        <w:t>Dotted lines indicate densities of rec</w:t>
      </w:r>
      <w:r w:rsidR="002B3D7A" w:rsidRPr="006F1A1F">
        <w:rPr>
          <w:rFonts w:ascii="Helvetica" w:hAnsi="Helvetica" w:cs="Arial"/>
          <w:noProof/>
        </w:rPr>
        <w:t xml:space="preserve">ipient populations; solid lines </w:t>
      </w:r>
      <w:r w:rsidR="00134CCC" w:rsidRPr="006F1A1F">
        <w:rPr>
          <w:rFonts w:ascii="Helvetica" w:hAnsi="Helvetica" w:cs="Arial"/>
          <w:noProof/>
        </w:rPr>
        <w:t>indicate densities of donor populations. For each population, s</w:t>
      </w:r>
      <w:r w:rsidRPr="006F1A1F">
        <w:rPr>
          <w:rFonts w:ascii="Helvetica" w:hAnsi="Helvetica" w:cs="Arial"/>
          <w:noProof/>
        </w:rPr>
        <w:t>haded region</w:t>
      </w:r>
      <w:r w:rsidR="00134CCC" w:rsidRPr="006F1A1F">
        <w:rPr>
          <w:rFonts w:ascii="Helvetica" w:hAnsi="Helvetica" w:cs="Arial"/>
          <w:noProof/>
        </w:rPr>
        <w:t>s</w:t>
      </w:r>
      <w:r w:rsidRPr="006F1A1F">
        <w:rPr>
          <w:rFonts w:ascii="Helvetica" w:hAnsi="Helvetica" w:cs="Arial"/>
          <w:noProof/>
        </w:rPr>
        <w:t xml:space="preserve"> represent plasmid </w:t>
      </w:r>
      <w:r w:rsidR="007F1DE3" w:rsidRPr="006F1A1F">
        <w:rPr>
          <w:rFonts w:ascii="Helvetica" w:hAnsi="Helvetica" w:cs="Arial"/>
          <w:noProof/>
        </w:rPr>
        <w:t>prevalence</w:t>
      </w:r>
      <w:r w:rsidRPr="006F1A1F">
        <w:rPr>
          <w:rFonts w:ascii="Helvetica" w:hAnsi="Helvetica" w:cs="Arial"/>
          <w:noProof/>
        </w:rPr>
        <w:t xml:space="preserve"> within donor </w:t>
      </w:r>
      <w:r w:rsidR="00134CCC" w:rsidRPr="006F1A1F">
        <w:rPr>
          <w:rFonts w:ascii="Helvetica" w:hAnsi="Helvetica" w:cs="Arial"/>
          <w:noProof/>
        </w:rPr>
        <w:t xml:space="preserve">(purple) </w:t>
      </w:r>
      <w:r w:rsidRPr="006F1A1F">
        <w:rPr>
          <w:rFonts w:ascii="Helvetica" w:hAnsi="Helvetica" w:cs="Arial"/>
          <w:noProof/>
        </w:rPr>
        <w:t>and recipient</w:t>
      </w:r>
      <w:r w:rsidR="002B3D7A" w:rsidRPr="006F1A1F">
        <w:rPr>
          <w:rFonts w:ascii="Helvetica" w:hAnsi="Helvetica" w:cs="Arial"/>
          <w:noProof/>
        </w:rPr>
        <w:t xml:space="preserve"> (blue</w:t>
      </w:r>
      <w:r w:rsidR="00134CCC" w:rsidRPr="006F1A1F">
        <w:rPr>
          <w:rFonts w:ascii="Helvetica" w:hAnsi="Helvetica" w:cs="Arial"/>
          <w:noProof/>
        </w:rPr>
        <w:t>)</w:t>
      </w:r>
      <w:r w:rsidRPr="006F1A1F">
        <w:rPr>
          <w:rFonts w:ascii="Helvetica" w:hAnsi="Helvetica" w:cs="Arial"/>
          <w:noProof/>
        </w:rPr>
        <w:t xml:space="preserve"> sub-population</w:t>
      </w:r>
      <w:r w:rsidR="00134CCC" w:rsidRPr="006F1A1F">
        <w:rPr>
          <w:rFonts w:ascii="Helvetica" w:hAnsi="Helvetica" w:cs="Arial"/>
          <w:noProof/>
        </w:rPr>
        <w:t xml:space="preserve">s. </w:t>
      </w:r>
    </w:p>
    <w:p w14:paraId="4A7EBD3D" w14:textId="77777777" w:rsidR="008F7164" w:rsidRDefault="008F7164" w:rsidP="008B0431">
      <w:pPr>
        <w:spacing w:line="480" w:lineRule="auto"/>
        <w:jc w:val="both"/>
        <w:rPr>
          <w:rFonts w:ascii="Helvetica" w:hAnsi="Helvetica" w:cs="Arial"/>
          <w:noProof/>
        </w:rPr>
      </w:pPr>
    </w:p>
    <w:p w14:paraId="4C00910A" w14:textId="77777777" w:rsidR="008F7164" w:rsidRDefault="008F7164" w:rsidP="008B0431">
      <w:pPr>
        <w:spacing w:line="480" w:lineRule="auto"/>
        <w:jc w:val="both"/>
        <w:rPr>
          <w:rFonts w:ascii="Helvetica" w:hAnsi="Helvetica" w:cs="Arial"/>
          <w:noProof/>
        </w:rPr>
      </w:pPr>
    </w:p>
    <w:p w14:paraId="5FD40613" w14:textId="53B6581D" w:rsidR="008F7164" w:rsidRPr="008F7164" w:rsidRDefault="008F7164" w:rsidP="008B0431">
      <w:pPr>
        <w:spacing w:line="480" w:lineRule="auto"/>
        <w:jc w:val="both"/>
        <w:rPr>
          <w:rFonts w:ascii="Helvetica" w:hAnsi="Helvetica" w:cs="Arial"/>
          <w:b/>
          <w:noProof/>
        </w:rPr>
      </w:pPr>
      <w:r w:rsidRPr="008F7164">
        <w:rPr>
          <w:rFonts w:ascii="Helvetica" w:hAnsi="Helvetica" w:cs="Arial"/>
          <w:b/>
          <w:noProof/>
        </w:rPr>
        <w:t>Figure 1.</w:t>
      </w:r>
      <w:r w:rsidRPr="008F7164">
        <w:rPr>
          <w:rFonts w:cs="Arial"/>
          <w:b/>
          <w:noProof/>
          <w:color w:val="323232"/>
          <w:u w:val="single"/>
          <w:lang w:eastAsia="en-GB"/>
        </w:rPr>
        <w:drawing>
          <wp:anchor distT="0" distB="0" distL="114300" distR="114300" simplePos="0" relativeHeight="251658240" behindDoc="0" locked="0" layoutInCell="1" allowOverlap="1" wp14:anchorId="14702B16" wp14:editId="17BCE7AF">
            <wp:simplePos x="0" y="0"/>
            <wp:positionH relativeFrom="column">
              <wp:posOffset>167640</wp:posOffset>
            </wp:positionH>
            <wp:positionV relativeFrom="paragraph">
              <wp:posOffset>523875</wp:posOffset>
            </wp:positionV>
            <wp:extent cx="5508625" cy="4039870"/>
            <wp:effectExtent l="0" t="0" r="3175" b="0"/>
            <wp:wrapTight wrapText="bothSides">
              <wp:wrapPolygon edited="0">
                <wp:start x="0" y="0"/>
                <wp:lineTo x="0" y="21457"/>
                <wp:lineTo x="21513" y="21457"/>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08625" cy="4039870"/>
                    </a:xfrm>
                    <a:prstGeom prst="rect">
                      <a:avLst/>
                    </a:prstGeom>
                  </pic:spPr>
                </pic:pic>
              </a:graphicData>
            </a:graphic>
            <wp14:sizeRelH relativeFrom="page">
              <wp14:pctWidth>0</wp14:pctWidth>
            </wp14:sizeRelH>
            <wp14:sizeRelV relativeFrom="page">
              <wp14:pctHeight>0</wp14:pctHeight>
            </wp14:sizeRelV>
          </wp:anchor>
        </w:drawing>
      </w:r>
    </w:p>
    <w:p w14:paraId="70E85A9E" w14:textId="6F9F8147" w:rsidR="008F7164" w:rsidRDefault="008F7164" w:rsidP="008B0431">
      <w:pPr>
        <w:spacing w:line="480" w:lineRule="auto"/>
        <w:jc w:val="both"/>
        <w:rPr>
          <w:rFonts w:ascii="Helvetica" w:hAnsi="Helvetica" w:cs="Arial"/>
          <w:noProof/>
        </w:rPr>
      </w:pPr>
    </w:p>
    <w:p w14:paraId="5C67BC16" w14:textId="77777777" w:rsidR="008F7164" w:rsidRDefault="008F7164" w:rsidP="008B0431">
      <w:pPr>
        <w:spacing w:line="480" w:lineRule="auto"/>
        <w:jc w:val="both"/>
        <w:rPr>
          <w:rFonts w:ascii="Helvetica" w:hAnsi="Helvetica" w:cs="Arial"/>
          <w:noProof/>
        </w:rPr>
      </w:pPr>
    </w:p>
    <w:p w14:paraId="6A0D7432" w14:textId="77777777" w:rsidR="008F7164" w:rsidRDefault="008F7164" w:rsidP="008B0431">
      <w:pPr>
        <w:spacing w:line="480" w:lineRule="auto"/>
        <w:jc w:val="both"/>
        <w:rPr>
          <w:rFonts w:ascii="Helvetica" w:hAnsi="Helvetica" w:cs="Arial"/>
          <w:noProof/>
        </w:rPr>
      </w:pPr>
    </w:p>
    <w:p w14:paraId="5A2FF6F9" w14:textId="008995B5" w:rsidR="008F7164" w:rsidRPr="008F7164" w:rsidRDefault="008F7164" w:rsidP="008B0431">
      <w:pPr>
        <w:spacing w:line="480" w:lineRule="auto"/>
        <w:jc w:val="both"/>
        <w:rPr>
          <w:rFonts w:ascii="Helvetica" w:hAnsi="Helvetica" w:cs="Arial"/>
          <w:b/>
          <w:noProof/>
        </w:rPr>
      </w:pPr>
      <w:r w:rsidRPr="008F7164">
        <w:rPr>
          <w:rFonts w:ascii="Helvetica" w:hAnsi="Helvetica" w:cs="Arial"/>
          <w:b/>
          <w:noProof/>
        </w:rPr>
        <w:t>Figure 2</w:t>
      </w:r>
      <w:r>
        <w:rPr>
          <w:rFonts w:ascii="Helvetica" w:hAnsi="Helvetica" w:cs="Arial"/>
          <w:b/>
          <w:noProof/>
        </w:rPr>
        <w:t>.</w:t>
      </w:r>
    </w:p>
    <w:p w14:paraId="023911E8" w14:textId="77777777" w:rsidR="008F7164" w:rsidRDefault="008F7164" w:rsidP="008B0431">
      <w:pPr>
        <w:spacing w:line="480" w:lineRule="auto"/>
        <w:jc w:val="both"/>
        <w:rPr>
          <w:rFonts w:ascii="Helvetica" w:hAnsi="Helvetica" w:cs="Arial"/>
          <w:noProof/>
        </w:rPr>
      </w:pPr>
    </w:p>
    <w:p w14:paraId="61830C12" w14:textId="72CFD497" w:rsidR="008F7164" w:rsidRPr="006F1A1F" w:rsidRDefault="008F7164" w:rsidP="008B0431">
      <w:pPr>
        <w:spacing w:line="480" w:lineRule="auto"/>
        <w:jc w:val="both"/>
        <w:rPr>
          <w:rFonts w:ascii="Helvetica" w:hAnsi="Helvetica" w:cs="Arial"/>
          <w:noProof/>
        </w:rPr>
      </w:pPr>
      <w:r w:rsidRPr="008F7164">
        <w:rPr>
          <w:rFonts w:ascii="Helvetica" w:hAnsi="Helvetica" w:cs="Arial"/>
          <w:noProof/>
          <w:lang w:eastAsia="en-GB"/>
        </w:rPr>
        <w:lastRenderedPageBreak/>
        <w:drawing>
          <wp:anchor distT="0" distB="0" distL="114300" distR="114300" simplePos="0" relativeHeight="251659264" behindDoc="0" locked="0" layoutInCell="1" allowOverlap="1" wp14:anchorId="0C4810FB" wp14:editId="2CE76198">
            <wp:simplePos x="0" y="0"/>
            <wp:positionH relativeFrom="column">
              <wp:posOffset>0</wp:posOffset>
            </wp:positionH>
            <wp:positionV relativeFrom="paragraph">
              <wp:posOffset>0</wp:posOffset>
            </wp:positionV>
            <wp:extent cx="5727700" cy="3705860"/>
            <wp:effectExtent l="0" t="0" r="12700" b="2540"/>
            <wp:wrapTight wrapText="bothSides">
              <wp:wrapPolygon edited="0">
                <wp:start x="0" y="0"/>
                <wp:lineTo x="0" y="21467"/>
                <wp:lineTo x="21552" y="21467"/>
                <wp:lineTo x="215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27700" cy="3705860"/>
                    </a:xfrm>
                    <a:prstGeom prst="rect">
                      <a:avLst/>
                    </a:prstGeom>
                  </pic:spPr>
                </pic:pic>
              </a:graphicData>
            </a:graphic>
            <wp14:sizeRelH relativeFrom="page">
              <wp14:pctWidth>0</wp14:pctWidth>
            </wp14:sizeRelH>
            <wp14:sizeRelV relativeFrom="page">
              <wp14:pctHeight>0</wp14:pctHeight>
            </wp14:sizeRelV>
          </wp:anchor>
        </w:drawing>
      </w:r>
    </w:p>
    <w:sectPr w:rsidR="008F7164" w:rsidRPr="006F1A1F" w:rsidSect="00854E87">
      <w:pgSz w:w="11900" w:h="16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7"/>
    <w:rsid w:val="0004313F"/>
    <w:rsid w:val="0004702E"/>
    <w:rsid w:val="000940A8"/>
    <w:rsid w:val="000B583B"/>
    <w:rsid w:val="000C2F61"/>
    <w:rsid w:val="000C32D9"/>
    <w:rsid w:val="000D38F0"/>
    <w:rsid w:val="000E49E3"/>
    <w:rsid w:val="000F6DBD"/>
    <w:rsid w:val="000F7DB4"/>
    <w:rsid w:val="00110FA0"/>
    <w:rsid w:val="001124DA"/>
    <w:rsid w:val="0011324D"/>
    <w:rsid w:val="0011583E"/>
    <w:rsid w:val="00116A82"/>
    <w:rsid w:val="00134CCC"/>
    <w:rsid w:val="00146318"/>
    <w:rsid w:val="00180196"/>
    <w:rsid w:val="00182620"/>
    <w:rsid w:val="001A5EEE"/>
    <w:rsid w:val="001B1839"/>
    <w:rsid w:val="001D4482"/>
    <w:rsid w:val="001E2A36"/>
    <w:rsid w:val="00200CF1"/>
    <w:rsid w:val="00215FE4"/>
    <w:rsid w:val="002272A4"/>
    <w:rsid w:val="00233C17"/>
    <w:rsid w:val="00235596"/>
    <w:rsid w:val="00241380"/>
    <w:rsid w:val="00274AB4"/>
    <w:rsid w:val="00277C36"/>
    <w:rsid w:val="002845EB"/>
    <w:rsid w:val="00294469"/>
    <w:rsid w:val="002A1348"/>
    <w:rsid w:val="002A1E5D"/>
    <w:rsid w:val="002B22B0"/>
    <w:rsid w:val="002B3D7A"/>
    <w:rsid w:val="002D3630"/>
    <w:rsid w:val="002F618E"/>
    <w:rsid w:val="002F7161"/>
    <w:rsid w:val="00360D25"/>
    <w:rsid w:val="00366FFF"/>
    <w:rsid w:val="00373285"/>
    <w:rsid w:val="003825F6"/>
    <w:rsid w:val="00384B79"/>
    <w:rsid w:val="00392AFB"/>
    <w:rsid w:val="003B5B35"/>
    <w:rsid w:val="003B7B22"/>
    <w:rsid w:val="003C66A2"/>
    <w:rsid w:val="003E4A5B"/>
    <w:rsid w:val="00412945"/>
    <w:rsid w:val="0041327D"/>
    <w:rsid w:val="00443CCA"/>
    <w:rsid w:val="004A6E40"/>
    <w:rsid w:val="00510EE1"/>
    <w:rsid w:val="005619A3"/>
    <w:rsid w:val="00564B20"/>
    <w:rsid w:val="005923A6"/>
    <w:rsid w:val="005A6ED4"/>
    <w:rsid w:val="005E4CD7"/>
    <w:rsid w:val="005E5D7E"/>
    <w:rsid w:val="005F6287"/>
    <w:rsid w:val="006155A3"/>
    <w:rsid w:val="006167A4"/>
    <w:rsid w:val="00620A4D"/>
    <w:rsid w:val="00621F8C"/>
    <w:rsid w:val="0063001E"/>
    <w:rsid w:val="00666C78"/>
    <w:rsid w:val="006D4189"/>
    <w:rsid w:val="006D44E5"/>
    <w:rsid w:val="006E4247"/>
    <w:rsid w:val="006F1A1F"/>
    <w:rsid w:val="006F564B"/>
    <w:rsid w:val="006F58D6"/>
    <w:rsid w:val="006F7E54"/>
    <w:rsid w:val="00704A91"/>
    <w:rsid w:val="007302DA"/>
    <w:rsid w:val="007318DD"/>
    <w:rsid w:val="00736750"/>
    <w:rsid w:val="00746B38"/>
    <w:rsid w:val="00747B5B"/>
    <w:rsid w:val="007538A9"/>
    <w:rsid w:val="00762910"/>
    <w:rsid w:val="0076650F"/>
    <w:rsid w:val="00776DED"/>
    <w:rsid w:val="007978D7"/>
    <w:rsid w:val="007A025F"/>
    <w:rsid w:val="007A12EE"/>
    <w:rsid w:val="007A13B7"/>
    <w:rsid w:val="007D05AD"/>
    <w:rsid w:val="007D2890"/>
    <w:rsid w:val="007D55A9"/>
    <w:rsid w:val="007D7579"/>
    <w:rsid w:val="007D7768"/>
    <w:rsid w:val="007E537E"/>
    <w:rsid w:val="007F1DE3"/>
    <w:rsid w:val="007F2BD7"/>
    <w:rsid w:val="0081512F"/>
    <w:rsid w:val="00826844"/>
    <w:rsid w:val="00827E03"/>
    <w:rsid w:val="00845B50"/>
    <w:rsid w:val="00850250"/>
    <w:rsid w:val="00854E87"/>
    <w:rsid w:val="008652C0"/>
    <w:rsid w:val="00874BA4"/>
    <w:rsid w:val="00895DC9"/>
    <w:rsid w:val="008A4467"/>
    <w:rsid w:val="008B0431"/>
    <w:rsid w:val="008B5621"/>
    <w:rsid w:val="008D5B37"/>
    <w:rsid w:val="008F5BA0"/>
    <w:rsid w:val="008F7164"/>
    <w:rsid w:val="00905F94"/>
    <w:rsid w:val="00907C93"/>
    <w:rsid w:val="00917ACF"/>
    <w:rsid w:val="009570CA"/>
    <w:rsid w:val="00961FB7"/>
    <w:rsid w:val="009D70BC"/>
    <w:rsid w:val="009E4F2B"/>
    <w:rsid w:val="00A005D0"/>
    <w:rsid w:val="00A03741"/>
    <w:rsid w:val="00A03C43"/>
    <w:rsid w:val="00A1353E"/>
    <w:rsid w:val="00A31964"/>
    <w:rsid w:val="00A47FDD"/>
    <w:rsid w:val="00A542A1"/>
    <w:rsid w:val="00A72325"/>
    <w:rsid w:val="00A80A81"/>
    <w:rsid w:val="00AB23F2"/>
    <w:rsid w:val="00AB5A61"/>
    <w:rsid w:val="00AD5C98"/>
    <w:rsid w:val="00AE05BB"/>
    <w:rsid w:val="00B157E3"/>
    <w:rsid w:val="00B37AA8"/>
    <w:rsid w:val="00B52263"/>
    <w:rsid w:val="00B63D87"/>
    <w:rsid w:val="00B67B1A"/>
    <w:rsid w:val="00B70C9C"/>
    <w:rsid w:val="00B75F00"/>
    <w:rsid w:val="00BB000F"/>
    <w:rsid w:val="00BB19DC"/>
    <w:rsid w:val="00BB254A"/>
    <w:rsid w:val="00BB4D1C"/>
    <w:rsid w:val="00BD5D53"/>
    <w:rsid w:val="00BE62EF"/>
    <w:rsid w:val="00C06381"/>
    <w:rsid w:val="00C37D79"/>
    <w:rsid w:val="00C46123"/>
    <w:rsid w:val="00C465DF"/>
    <w:rsid w:val="00C71DD2"/>
    <w:rsid w:val="00C83AF5"/>
    <w:rsid w:val="00C8697C"/>
    <w:rsid w:val="00C96926"/>
    <w:rsid w:val="00CB53C7"/>
    <w:rsid w:val="00D00528"/>
    <w:rsid w:val="00D00B20"/>
    <w:rsid w:val="00D01B60"/>
    <w:rsid w:val="00D10FB7"/>
    <w:rsid w:val="00D1694E"/>
    <w:rsid w:val="00D218A1"/>
    <w:rsid w:val="00D464F6"/>
    <w:rsid w:val="00D52963"/>
    <w:rsid w:val="00D7397D"/>
    <w:rsid w:val="00D8313D"/>
    <w:rsid w:val="00DA6CE0"/>
    <w:rsid w:val="00DE33D7"/>
    <w:rsid w:val="00E034CC"/>
    <w:rsid w:val="00E17CAF"/>
    <w:rsid w:val="00EB4DE9"/>
    <w:rsid w:val="00ED4F61"/>
    <w:rsid w:val="00EE551C"/>
    <w:rsid w:val="00EF0BE8"/>
    <w:rsid w:val="00F21355"/>
    <w:rsid w:val="00F236B0"/>
    <w:rsid w:val="00F31B27"/>
    <w:rsid w:val="00F401BD"/>
    <w:rsid w:val="00F41A8E"/>
    <w:rsid w:val="00F43302"/>
    <w:rsid w:val="00F56894"/>
    <w:rsid w:val="00F62171"/>
    <w:rsid w:val="00F64CA2"/>
    <w:rsid w:val="00F73DAB"/>
    <w:rsid w:val="00F762EB"/>
    <w:rsid w:val="00FA522B"/>
    <w:rsid w:val="00FA5712"/>
    <w:rsid w:val="00FB3FA4"/>
    <w:rsid w:val="00FD0F5E"/>
    <w:rsid w:val="00FD0FD8"/>
    <w:rsid w:val="00FE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9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1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C1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yperlink">
    <w:name w:val="Hyperlink"/>
    <w:basedOn w:val="DefaultParagraphFont"/>
    <w:uiPriority w:val="99"/>
    <w:unhideWhenUsed/>
    <w:rsid w:val="00233C17"/>
    <w:rPr>
      <w:color w:val="0563C1" w:themeColor="hyperlink"/>
      <w:u w:val="single"/>
    </w:rPr>
  </w:style>
  <w:style w:type="paragraph" w:customStyle="1" w:styleId="Body">
    <w:name w:val="Body"/>
    <w:rsid w:val="00233C17"/>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LineNumber">
    <w:name w:val="line number"/>
    <w:basedOn w:val="DefaultParagraphFont"/>
    <w:uiPriority w:val="99"/>
    <w:semiHidden/>
    <w:unhideWhenUsed/>
    <w:rsid w:val="00854E87"/>
  </w:style>
  <w:style w:type="character" w:styleId="CommentReference">
    <w:name w:val="annotation reference"/>
    <w:basedOn w:val="DefaultParagraphFont"/>
    <w:uiPriority w:val="99"/>
    <w:semiHidden/>
    <w:unhideWhenUsed/>
    <w:rsid w:val="00F64CA2"/>
    <w:rPr>
      <w:sz w:val="18"/>
      <w:szCs w:val="18"/>
    </w:rPr>
  </w:style>
  <w:style w:type="paragraph" w:styleId="CommentText">
    <w:name w:val="annotation text"/>
    <w:basedOn w:val="Normal"/>
    <w:link w:val="CommentTextChar"/>
    <w:uiPriority w:val="99"/>
    <w:semiHidden/>
    <w:unhideWhenUsed/>
    <w:rsid w:val="00F64CA2"/>
  </w:style>
  <w:style w:type="character" w:customStyle="1" w:styleId="CommentTextChar">
    <w:name w:val="Comment Text Char"/>
    <w:basedOn w:val="DefaultParagraphFont"/>
    <w:link w:val="CommentText"/>
    <w:uiPriority w:val="99"/>
    <w:semiHidden/>
    <w:rsid w:val="00F64CA2"/>
    <w:rPr>
      <w:lang w:val="en-GB"/>
    </w:rPr>
  </w:style>
  <w:style w:type="paragraph" w:styleId="CommentSubject">
    <w:name w:val="annotation subject"/>
    <w:basedOn w:val="CommentText"/>
    <w:next w:val="CommentText"/>
    <w:link w:val="CommentSubjectChar"/>
    <w:uiPriority w:val="99"/>
    <w:semiHidden/>
    <w:unhideWhenUsed/>
    <w:rsid w:val="00F64CA2"/>
    <w:rPr>
      <w:b/>
      <w:bCs/>
      <w:sz w:val="20"/>
      <w:szCs w:val="20"/>
    </w:rPr>
  </w:style>
  <w:style w:type="character" w:customStyle="1" w:styleId="CommentSubjectChar">
    <w:name w:val="Comment Subject Char"/>
    <w:basedOn w:val="CommentTextChar"/>
    <w:link w:val="CommentSubject"/>
    <w:uiPriority w:val="99"/>
    <w:semiHidden/>
    <w:rsid w:val="00F64CA2"/>
    <w:rPr>
      <w:b/>
      <w:bCs/>
      <w:sz w:val="20"/>
      <w:szCs w:val="20"/>
      <w:lang w:val="en-GB"/>
    </w:rPr>
  </w:style>
  <w:style w:type="paragraph" w:styleId="BalloonText">
    <w:name w:val="Balloon Text"/>
    <w:basedOn w:val="Normal"/>
    <w:link w:val="BalloonTextChar"/>
    <w:uiPriority w:val="99"/>
    <w:semiHidden/>
    <w:unhideWhenUsed/>
    <w:rsid w:val="00F64C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4CA2"/>
    <w:rPr>
      <w:rFonts w:ascii="Times New Roman" w:hAnsi="Times New Roman"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1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C1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yperlink">
    <w:name w:val="Hyperlink"/>
    <w:basedOn w:val="DefaultParagraphFont"/>
    <w:uiPriority w:val="99"/>
    <w:unhideWhenUsed/>
    <w:rsid w:val="00233C17"/>
    <w:rPr>
      <w:color w:val="0563C1" w:themeColor="hyperlink"/>
      <w:u w:val="single"/>
    </w:rPr>
  </w:style>
  <w:style w:type="paragraph" w:customStyle="1" w:styleId="Body">
    <w:name w:val="Body"/>
    <w:rsid w:val="00233C17"/>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LineNumber">
    <w:name w:val="line number"/>
    <w:basedOn w:val="DefaultParagraphFont"/>
    <w:uiPriority w:val="99"/>
    <w:semiHidden/>
    <w:unhideWhenUsed/>
    <w:rsid w:val="00854E87"/>
  </w:style>
  <w:style w:type="character" w:styleId="CommentReference">
    <w:name w:val="annotation reference"/>
    <w:basedOn w:val="DefaultParagraphFont"/>
    <w:uiPriority w:val="99"/>
    <w:semiHidden/>
    <w:unhideWhenUsed/>
    <w:rsid w:val="00F64CA2"/>
    <w:rPr>
      <w:sz w:val="18"/>
      <w:szCs w:val="18"/>
    </w:rPr>
  </w:style>
  <w:style w:type="paragraph" w:styleId="CommentText">
    <w:name w:val="annotation text"/>
    <w:basedOn w:val="Normal"/>
    <w:link w:val="CommentTextChar"/>
    <w:uiPriority w:val="99"/>
    <w:semiHidden/>
    <w:unhideWhenUsed/>
    <w:rsid w:val="00F64CA2"/>
  </w:style>
  <w:style w:type="character" w:customStyle="1" w:styleId="CommentTextChar">
    <w:name w:val="Comment Text Char"/>
    <w:basedOn w:val="DefaultParagraphFont"/>
    <w:link w:val="CommentText"/>
    <w:uiPriority w:val="99"/>
    <w:semiHidden/>
    <w:rsid w:val="00F64CA2"/>
    <w:rPr>
      <w:lang w:val="en-GB"/>
    </w:rPr>
  </w:style>
  <w:style w:type="paragraph" w:styleId="CommentSubject">
    <w:name w:val="annotation subject"/>
    <w:basedOn w:val="CommentText"/>
    <w:next w:val="CommentText"/>
    <w:link w:val="CommentSubjectChar"/>
    <w:uiPriority w:val="99"/>
    <w:semiHidden/>
    <w:unhideWhenUsed/>
    <w:rsid w:val="00F64CA2"/>
    <w:rPr>
      <w:b/>
      <w:bCs/>
      <w:sz w:val="20"/>
      <w:szCs w:val="20"/>
    </w:rPr>
  </w:style>
  <w:style w:type="character" w:customStyle="1" w:styleId="CommentSubjectChar">
    <w:name w:val="Comment Subject Char"/>
    <w:basedOn w:val="CommentTextChar"/>
    <w:link w:val="CommentSubject"/>
    <w:uiPriority w:val="99"/>
    <w:semiHidden/>
    <w:rsid w:val="00F64CA2"/>
    <w:rPr>
      <w:b/>
      <w:bCs/>
      <w:sz w:val="20"/>
      <w:szCs w:val="20"/>
      <w:lang w:val="en-GB"/>
    </w:rPr>
  </w:style>
  <w:style w:type="paragraph" w:styleId="BalloonText">
    <w:name w:val="Balloon Text"/>
    <w:basedOn w:val="Normal"/>
    <w:link w:val="BalloonTextChar"/>
    <w:uiPriority w:val="99"/>
    <w:semiHidden/>
    <w:unhideWhenUsed/>
    <w:rsid w:val="00F64C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4CA2"/>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15646F-ED74-465C-93A2-D1269705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DF124BF2.dotm</Template>
  <TotalTime>1</TotalTime>
  <Pages>9</Pages>
  <Words>5298</Words>
  <Characters>30199</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Brockhurst</dc:creator>
  <cp:lastModifiedBy>Clare Bilton</cp:lastModifiedBy>
  <cp:revision>2</cp:revision>
  <cp:lastPrinted>2016-10-14T10:30:00Z</cp:lastPrinted>
  <dcterms:created xsi:type="dcterms:W3CDTF">2017-02-15T11:24:00Z</dcterms:created>
  <dcterms:modified xsi:type="dcterms:W3CDTF">2017-02-15T11:24:00Z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31e33fad-96aa-3651-be48-65caba4fa205</vt:lpwstr>
  </property>
  <property fmtid="{D5CDD505-2E9C-101B-9397-08002B2CF9AE}" pid="4" name="Mendeley Citation Style_1">
    <vt:lpwstr>http://www.zotero.org/styles/harvard-cite-them-right</vt:lpwstr>
  </property>
</Properties>
</file>