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2F" w:rsidRDefault="009F21A3">
      <w:pPr>
        <w:rPr>
          <w:b/>
        </w:rPr>
      </w:pPr>
      <w:bookmarkStart w:id="0" w:name="_GoBack"/>
      <w:bookmarkEnd w:id="0"/>
      <w:r w:rsidRPr="009F21A3">
        <w:rPr>
          <w:b/>
        </w:rPr>
        <w:t xml:space="preserve">CHILDREN </w:t>
      </w:r>
      <w:r w:rsidR="000C4294">
        <w:rPr>
          <w:b/>
        </w:rPr>
        <w:t>OF</w:t>
      </w:r>
      <w:r w:rsidRPr="009F21A3">
        <w:rPr>
          <w:b/>
        </w:rPr>
        <w:t xml:space="preserve"> AUSTERITY</w:t>
      </w:r>
    </w:p>
    <w:p w:rsidR="009F21A3" w:rsidRDefault="009F21A3">
      <w:pPr>
        <w:rPr>
          <w:b/>
        </w:rPr>
      </w:pPr>
    </w:p>
    <w:p w:rsidR="009F21A3" w:rsidRPr="009F21A3" w:rsidRDefault="005204DE">
      <w:pPr>
        <w:rPr>
          <w:b/>
        </w:rPr>
      </w:pPr>
      <w:hyperlink r:id="rId8" w:history="1">
        <w:r w:rsidR="009F21A3" w:rsidRPr="009F21A3">
          <w:rPr>
            <w:rStyle w:val="Hyperlink"/>
            <w:b/>
          </w:rPr>
          <w:t>Jonathan Bradshaw</w:t>
        </w:r>
      </w:hyperlink>
    </w:p>
    <w:p w:rsidR="009F21A3" w:rsidRDefault="009F21A3"/>
    <w:p w:rsidR="009F21A3" w:rsidRDefault="009F21A3">
      <w:r>
        <w:t>Thanks to the UNICEF Office for Research a book has been published tracing what happened to children in rich countries following the financial crisis:</w:t>
      </w:r>
    </w:p>
    <w:p w:rsidR="009F21A3" w:rsidRDefault="009F21A3"/>
    <w:p w:rsidR="009F21A3" w:rsidRPr="000C4294" w:rsidRDefault="009F21A3" w:rsidP="009F21A3">
      <w:pPr>
        <w:autoSpaceDE w:val="0"/>
        <w:autoSpaceDN w:val="0"/>
        <w:adjustRightInd w:val="0"/>
        <w:rPr>
          <w:rFonts w:eastAsia="Times New Roman" w:cs="Times New Roman"/>
          <w:b/>
          <w:color w:val="222222"/>
          <w:szCs w:val="24"/>
          <w:shd w:val="clear" w:color="auto" w:fill="FFFFFF"/>
          <w:lang w:val="en-US"/>
        </w:rPr>
      </w:pPr>
      <w:r w:rsidRPr="000C4294">
        <w:rPr>
          <w:rFonts w:eastAsia="Times New Roman" w:cs="Times New Roman"/>
          <w:b/>
          <w:color w:val="222222"/>
          <w:szCs w:val="24"/>
          <w:shd w:val="clear" w:color="auto" w:fill="FFFFFF"/>
          <w:lang w:val="en-US"/>
        </w:rPr>
        <w:t xml:space="preserve">Cantillon, B, Chzhen, Y, </w:t>
      </w:r>
      <w:proofErr w:type="spellStart"/>
      <w:r w:rsidRPr="000C4294">
        <w:rPr>
          <w:rFonts w:eastAsia="Times New Roman" w:cs="Times New Roman"/>
          <w:b/>
          <w:color w:val="222222"/>
          <w:szCs w:val="24"/>
          <w:shd w:val="clear" w:color="auto" w:fill="FFFFFF"/>
          <w:lang w:val="en-US"/>
        </w:rPr>
        <w:t>Handa</w:t>
      </w:r>
      <w:proofErr w:type="spellEnd"/>
      <w:r w:rsidRPr="000C4294">
        <w:rPr>
          <w:rFonts w:eastAsia="Times New Roman" w:cs="Times New Roman"/>
          <w:b/>
          <w:color w:val="222222"/>
          <w:szCs w:val="24"/>
          <w:shd w:val="clear" w:color="auto" w:fill="FFFFFF"/>
          <w:lang w:val="en-US"/>
        </w:rPr>
        <w:t xml:space="preserve">, S. and B Nolan (2017) </w:t>
      </w:r>
      <w:r w:rsidRPr="000C4294">
        <w:rPr>
          <w:rFonts w:eastAsia="Times New Roman" w:cs="Times New Roman"/>
          <w:b/>
          <w:i/>
          <w:color w:val="222222"/>
          <w:szCs w:val="24"/>
          <w:shd w:val="clear" w:color="auto" w:fill="FFFFFF"/>
          <w:lang w:val="en-US"/>
        </w:rPr>
        <w:t>Children of Austerity: Impact of the Great Recession on Child Poverty in Rich Countries</w:t>
      </w:r>
      <w:r w:rsidRPr="000C4294">
        <w:rPr>
          <w:rFonts w:eastAsia="Times New Roman" w:cs="Times New Roman"/>
          <w:b/>
          <w:color w:val="222222"/>
          <w:szCs w:val="24"/>
          <w:shd w:val="clear" w:color="auto" w:fill="FFFFFF"/>
          <w:lang w:val="en-US"/>
        </w:rPr>
        <w:t>. Oxford: OUP.</w:t>
      </w:r>
    </w:p>
    <w:p w:rsidR="009F21A3" w:rsidRDefault="009F21A3" w:rsidP="009F21A3">
      <w:pPr>
        <w:autoSpaceDE w:val="0"/>
        <w:autoSpaceDN w:val="0"/>
        <w:adjustRightInd w:val="0"/>
        <w:rPr>
          <w:rFonts w:eastAsia="Times New Roman" w:cs="Times New Roman"/>
          <w:color w:val="222222"/>
          <w:szCs w:val="24"/>
          <w:shd w:val="clear" w:color="auto" w:fill="FFFFFF"/>
          <w:lang w:val="en-US"/>
        </w:rPr>
      </w:pPr>
    </w:p>
    <w:p w:rsidR="009F21A3" w:rsidRDefault="009F21A3" w:rsidP="009F21A3">
      <w:pPr>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It is published on 13</w:t>
      </w:r>
      <w:r w:rsidRPr="009F21A3">
        <w:rPr>
          <w:rFonts w:eastAsia="Times New Roman" w:cs="Times New Roman"/>
          <w:color w:val="222222"/>
          <w:szCs w:val="24"/>
          <w:shd w:val="clear" w:color="auto" w:fill="FFFFFF"/>
          <w:lang w:val="en-US"/>
        </w:rPr>
        <w:t xml:space="preserve"> April 2017. </w:t>
      </w:r>
      <w:r>
        <w:rPr>
          <w:rFonts w:eastAsia="Times New Roman" w:cs="Times New Roman"/>
          <w:color w:val="222222"/>
          <w:szCs w:val="24"/>
          <w:shd w:val="clear" w:color="auto" w:fill="FFFFFF"/>
          <w:lang w:val="en-US"/>
        </w:rPr>
        <w:t xml:space="preserve">Chapter Nine is a review by </w:t>
      </w:r>
      <w:r w:rsidRPr="009F21A3">
        <w:rPr>
          <w:rFonts w:eastAsia="Times New Roman" w:cs="Times New Roman"/>
          <w:color w:val="222222"/>
          <w:szCs w:val="24"/>
          <w:shd w:val="clear" w:color="auto" w:fill="FFFFFF"/>
          <w:lang w:val="en-US"/>
        </w:rPr>
        <w:t>Bradshaw, J. Chzhen, Y. and Main, G.</w:t>
      </w:r>
      <w:r w:rsidR="00CE5E4A">
        <w:rPr>
          <w:rFonts w:eastAsia="Times New Roman" w:cs="Times New Roman"/>
          <w:color w:val="222222"/>
          <w:szCs w:val="24"/>
          <w:shd w:val="clear" w:color="auto" w:fill="FFFFFF"/>
          <w:lang w:val="en-US"/>
        </w:rPr>
        <w:t xml:space="preserve"> </w:t>
      </w:r>
      <w:r>
        <w:rPr>
          <w:rFonts w:eastAsia="Times New Roman" w:cs="Times New Roman"/>
          <w:color w:val="222222"/>
          <w:szCs w:val="24"/>
          <w:shd w:val="clear" w:color="auto" w:fill="FFFFFF"/>
          <w:lang w:val="en-US"/>
        </w:rPr>
        <w:t xml:space="preserve">(2017) of the impact of the recession on children in the UK. </w:t>
      </w:r>
      <w:r w:rsidRPr="009F21A3">
        <w:rPr>
          <w:rFonts w:eastAsia="Times New Roman" w:cs="Times New Roman"/>
          <w:color w:val="222222"/>
          <w:szCs w:val="24"/>
          <w:shd w:val="clear" w:color="auto" w:fill="FFFFFF"/>
          <w:lang w:val="en-US"/>
        </w:rPr>
        <w:t xml:space="preserve"> </w:t>
      </w:r>
    </w:p>
    <w:p w:rsidR="009F21A3" w:rsidRDefault="009F21A3" w:rsidP="009F21A3">
      <w:pPr>
        <w:rPr>
          <w:rFonts w:eastAsia="Times New Roman" w:cs="Times New Roman"/>
          <w:color w:val="222222"/>
          <w:szCs w:val="24"/>
          <w:shd w:val="clear" w:color="auto" w:fill="FFFFFF"/>
          <w:lang w:val="en-US"/>
        </w:rPr>
      </w:pPr>
    </w:p>
    <w:p w:rsidR="009F21A3" w:rsidRDefault="009F21A3" w:rsidP="009F21A3">
      <w:pPr>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The chapter was inevitably written some time ago. While the conclusion of the chapter still holds this BLOG</w:t>
      </w:r>
      <w:r w:rsidR="005301B3">
        <w:rPr>
          <w:rFonts w:eastAsia="Times New Roman" w:cs="Times New Roman"/>
          <w:color w:val="222222"/>
          <w:szCs w:val="24"/>
          <w:shd w:val="clear" w:color="auto" w:fill="FFFFFF"/>
          <w:lang w:val="en-US"/>
        </w:rPr>
        <w:t xml:space="preserve"> updates s</w:t>
      </w:r>
      <w:r w:rsidR="000C4294">
        <w:rPr>
          <w:rFonts w:eastAsia="Times New Roman" w:cs="Times New Roman"/>
          <w:color w:val="222222"/>
          <w:szCs w:val="24"/>
          <w:shd w:val="clear" w:color="auto" w:fill="FFFFFF"/>
          <w:lang w:val="en-US"/>
        </w:rPr>
        <w:t>ome of the data</w:t>
      </w:r>
      <w:r w:rsidR="005301B3">
        <w:rPr>
          <w:rFonts w:eastAsia="Times New Roman" w:cs="Times New Roman"/>
          <w:color w:val="222222"/>
          <w:szCs w:val="24"/>
          <w:shd w:val="clear" w:color="auto" w:fill="FFFFFF"/>
          <w:lang w:val="en-US"/>
        </w:rPr>
        <w:t xml:space="preserve">. </w:t>
      </w:r>
    </w:p>
    <w:p w:rsidR="005301B3" w:rsidRDefault="005301B3" w:rsidP="005301B3">
      <w:pPr>
        <w:rPr>
          <w:rFonts w:eastAsia="Times New Roman" w:cs="Times New Roman"/>
          <w:color w:val="222222"/>
          <w:szCs w:val="24"/>
          <w:shd w:val="clear" w:color="auto" w:fill="FFFFFF"/>
          <w:lang w:val="en-US"/>
        </w:rPr>
      </w:pPr>
    </w:p>
    <w:p w:rsidR="00FA16FD" w:rsidRDefault="00E716DA" w:rsidP="001A1D25">
      <w:pPr>
        <w:rPr>
          <w:rFonts w:eastAsia="Times New Roman" w:cs="Times New Roman"/>
          <w:color w:val="222222"/>
          <w:szCs w:val="24"/>
          <w:shd w:val="clear" w:color="auto" w:fill="FFFFFF"/>
          <w:lang w:val="en-US"/>
        </w:rPr>
      </w:pPr>
      <w:r w:rsidRPr="00E716DA">
        <w:rPr>
          <w:rFonts w:eastAsia="Times New Roman" w:cs="Times New Roman"/>
          <w:color w:val="222222"/>
          <w:szCs w:val="24"/>
          <w:shd w:val="clear" w:color="auto" w:fill="FFFFFF"/>
          <w:lang w:val="en-US"/>
        </w:rPr>
        <w:t>The deep recession of 2008–09 did not translate into a rise in child poverty rates. Relative child poverty, based on 60 per cent of contemporary national median income (BHC), continued falling between 2007 and 201</w:t>
      </w:r>
      <w:r>
        <w:rPr>
          <w:rFonts w:eastAsia="Times New Roman" w:cs="Times New Roman"/>
          <w:color w:val="222222"/>
          <w:szCs w:val="24"/>
          <w:shd w:val="clear" w:color="auto" w:fill="FFFFFF"/>
          <w:lang w:val="en-US"/>
        </w:rPr>
        <w:t>3</w:t>
      </w:r>
      <w:r w:rsidRPr="00E716DA">
        <w:rPr>
          <w:rFonts w:eastAsia="Times New Roman" w:cs="Times New Roman"/>
          <w:color w:val="222222"/>
          <w:szCs w:val="24"/>
          <w:shd w:val="clear" w:color="auto" w:fill="FFFFFF"/>
          <w:lang w:val="en-US"/>
        </w:rPr>
        <w:t xml:space="preserve">. This is in part the result of median incomes—and therefore the poverty thresholds—falling during this period. However, it also shows that the fiscal stimulus in place at that time cushioned the impact of the economic crisis on households with children. </w:t>
      </w:r>
      <w:r w:rsidR="000C4294">
        <w:rPr>
          <w:rFonts w:eastAsia="Times New Roman" w:cs="Times New Roman"/>
          <w:color w:val="222222"/>
          <w:szCs w:val="24"/>
          <w:shd w:val="clear" w:color="auto" w:fill="FFFFFF"/>
          <w:lang w:val="en-US"/>
        </w:rPr>
        <w:t>Now i</w:t>
      </w:r>
      <w:r w:rsidR="00FA16FD">
        <w:rPr>
          <w:rFonts w:eastAsia="Times New Roman" w:cs="Times New Roman"/>
          <w:color w:val="222222"/>
          <w:szCs w:val="24"/>
          <w:shd w:val="clear" w:color="auto" w:fill="FFFFFF"/>
          <w:lang w:val="en-US"/>
        </w:rPr>
        <w:t xml:space="preserve">n the last two year for which we have data the relative child poverty rate has begun to </w:t>
      </w:r>
      <w:proofErr w:type="gramStart"/>
      <w:r w:rsidR="00FA16FD">
        <w:rPr>
          <w:rFonts w:eastAsia="Times New Roman" w:cs="Times New Roman"/>
          <w:color w:val="222222"/>
          <w:szCs w:val="24"/>
          <w:shd w:val="clear" w:color="auto" w:fill="FFFFFF"/>
          <w:lang w:val="en-US"/>
        </w:rPr>
        <w:t>rise</w:t>
      </w:r>
      <w:proofErr w:type="gramEnd"/>
      <w:r w:rsidR="00FA16FD">
        <w:rPr>
          <w:rFonts w:eastAsia="Times New Roman" w:cs="Times New Roman"/>
          <w:color w:val="222222"/>
          <w:szCs w:val="24"/>
          <w:shd w:val="clear" w:color="auto" w:fill="FFFFFF"/>
          <w:lang w:val="en-US"/>
        </w:rPr>
        <w:t xml:space="preserve"> both before and (see Figure 2) after housing costs.</w:t>
      </w:r>
    </w:p>
    <w:p w:rsidR="00FA16FD" w:rsidRDefault="00FA16FD" w:rsidP="001A1D25">
      <w:pPr>
        <w:rPr>
          <w:rFonts w:eastAsia="Times New Roman" w:cs="Times New Roman"/>
          <w:color w:val="222222"/>
          <w:szCs w:val="24"/>
          <w:shd w:val="clear" w:color="auto" w:fill="FFFFFF"/>
          <w:lang w:val="en-US"/>
        </w:rPr>
      </w:pPr>
    </w:p>
    <w:p w:rsidR="00E716DA" w:rsidRDefault="00E716DA" w:rsidP="001A1D25">
      <w:pPr>
        <w:rPr>
          <w:rFonts w:eastAsia="Times New Roman" w:cs="Times New Roman"/>
          <w:color w:val="222222"/>
          <w:szCs w:val="24"/>
          <w:shd w:val="clear" w:color="auto" w:fill="FFFFFF"/>
          <w:lang w:val="en-US"/>
        </w:rPr>
      </w:pPr>
      <w:r w:rsidRPr="00E716DA">
        <w:rPr>
          <w:rFonts w:eastAsia="Times New Roman" w:cs="Times New Roman"/>
          <w:color w:val="222222"/>
          <w:szCs w:val="24"/>
          <w:shd w:val="clear" w:color="auto" w:fill="FFFFFF"/>
          <w:lang w:val="en-US"/>
        </w:rPr>
        <w:t xml:space="preserve">Anchoring the poverty line at </w:t>
      </w:r>
      <w:r>
        <w:rPr>
          <w:rFonts w:eastAsia="Times New Roman" w:cs="Times New Roman"/>
          <w:color w:val="222222"/>
          <w:szCs w:val="24"/>
          <w:shd w:val="clear" w:color="auto" w:fill="FFFFFF"/>
          <w:lang w:val="en-US"/>
        </w:rPr>
        <w:t xml:space="preserve">2010/11 </w:t>
      </w:r>
      <w:r w:rsidRPr="00E716DA">
        <w:rPr>
          <w:rFonts w:eastAsia="Times New Roman" w:cs="Times New Roman"/>
          <w:color w:val="222222"/>
          <w:szCs w:val="24"/>
          <w:shd w:val="clear" w:color="auto" w:fill="FFFFFF"/>
          <w:lang w:val="en-US"/>
        </w:rPr>
        <w:t>and inflating it with retail price growth helps compare like with like by holding the poverty threshold constant in real terms. Anchored child poverty fell between 2007 and 20</w:t>
      </w:r>
      <w:r>
        <w:rPr>
          <w:rFonts w:eastAsia="Times New Roman" w:cs="Times New Roman"/>
          <w:color w:val="222222"/>
          <w:szCs w:val="24"/>
          <w:shd w:val="clear" w:color="auto" w:fill="FFFFFF"/>
          <w:lang w:val="en-US"/>
        </w:rPr>
        <w:t>10</w:t>
      </w:r>
      <w:r w:rsidR="000C4294">
        <w:rPr>
          <w:rFonts w:eastAsia="Times New Roman" w:cs="Times New Roman"/>
          <w:color w:val="222222"/>
          <w:szCs w:val="24"/>
          <w:shd w:val="clear" w:color="auto" w:fill="FFFFFF"/>
          <w:lang w:val="en-US"/>
        </w:rPr>
        <w:t xml:space="preserve"> (see Figure 1)</w:t>
      </w:r>
      <w:r w:rsidRPr="00E716DA">
        <w:rPr>
          <w:rFonts w:eastAsia="Times New Roman" w:cs="Times New Roman"/>
          <w:color w:val="222222"/>
          <w:szCs w:val="24"/>
          <w:shd w:val="clear" w:color="auto" w:fill="FFFFFF"/>
          <w:lang w:val="en-US"/>
        </w:rPr>
        <w:t xml:space="preserve">, </w:t>
      </w:r>
      <w:r w:rsidR="00FA16FD">
        <w:rPr>
          <w:rFonts w:eastAsia="Times New Roman" w:cs="Times New Roman"/>
          <w:color w:val="222222"/>
          <w:szCs w:val="24"/>
          <w:shd w:val="clear" w:color="auto" w:fill="FFFFFF"/>
          <w:lang w:val="en-US"/>
        </w:rPr>
        <w:t xml:space="preserve">rose and fell again between 2011 and 2014 and then </w:t>
      </w:r>
      <w:r w:rsidR="000C4294">
        <w:rPr>
          <w:rFonts w:eastAsia="Times New Roman" w:cs="Times New Roman"/>
          <w:color w:val="222222"/>
          <w:szCs w:val="24"/>
          <w:shd w:val="clear" w:color="auto" w:fill="FFFFFF"/>
          <w:lang w:val="en-US"/>
        </w:rPr>
        <w:t>flat-lined.</w:t>
      </w:r>
    </w:p>
    <w:p w:rsidR="000C4294" w:rsidRDefault="000C4294" w:rsidP="001A1D25">
      <w:pPr>
        <w:rPr>
          <w:rFonts w:eastAsia="Times New Roman" w:cs="Times New Roman"/>
          <w:color w:val="222222"/>
          <w:szCs w:val="24"/>
          <w:shd w:val="clear" w:color="auto" w:fill="FFFFFF"/>
          <w:lang w:val="en-US"/>
        </w:rPr>
      </w:pPr>
    </w:p>
    <w:p w:rsidR="005204DE" w:rsidRPr="001A1D25" w:rsidRDefault="005204DE" w:rsidP="001A1D25">
      <w:pPr>
        <w:pStyle w:val="ListParagraph"/>
        <w:ind w:left="0"/>
        <w:rPr>
          <w:rFonts w:eastAsia="Times New Roman" w:cs="Times New Roman"/>
          <w:b/>
          <w:color w:val="222222"/>
          <w:szCs w:val="24"/>
          <w:shd w:val="clear" w:color="auto" w:fill="FFFFFF"/>
          <w:lang w:val="en-US"/>
        </w:rPr>
      </w:pPr>
      <w:r w:rsidRPr="001A1D25">
        <w:rPr>
          <w:rFonts w:eastAsia="Times New Roman" w:cs="Times New Roman"/>
          <w:b/>
          <w:color w:val="222222"/>
          <w:szCs w:val="24"/>
          <w:shd w:val="clear" w:color="auto" w:fill="FFFFFF"/>
          <w:lang w:val="en-US"/>
        </w:rPr>
        <w:t>Figure 1: Child poverty rate &lt;60% contemporary median and &lt; 60% anchored 2010/11 median before housing costs</w:t>
      </w:r>
    </w:p>
    <w:p w:rsidR="005204DE" w:rsidRDefault="005204DE" w:rsidP="00D36745">
      <w:pPr>
        <w:pStyle w:val="ListParagraph"/>
        <w:rPr>
          <w:rFonts w:eastAsia="Times New Roman" w:cs="Times New Roman"/>
          <w:color w:val="222222"/>
          <w:szCs w:val="24"/>
          <w:shd w:val="clear" w:color="auto" w:fill="FFFFFF"/>
          <w:lang w:val="en-US"/>
        </w:rPr>
      </w:pPr>
      <w:r>
        <w:rPr>
          <w:noProof/>
          <w:lang w:eastAsia="en-GB"/>
        </w:rPr>
        <w:drawing>
          <wp:inline distT="0" distB="0" distL="0" distR="0" wp14:anchorId="64489A7C" wp14:editId="60C5666A">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6745" w:rsidRDefault="005204DE" w:rsidP="00D36745">
      <w:pPr>
        <w:pStyle w:val="ListParagraph"/>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 xml:space="preserve">Source:  </w:t>
      </w:r>
      <w:hyperlink r:id="rId10" w:history="1">
        <w:r w:rsidRPr="008A32FC">
          <w:rPr>
            <w:rStyle w:val="Hyperlink"/>
            <w:rFonts w:eastAsia="Times New Roman" w:cs="Times New Roman"/>
            <w:szCs w:val="24"/>
            <w:shd w:val="clear" w:color="auto" w:fill="FFFFFF"/>
            <w:lang w:val="en-US"/>
          </w:rPr>
          <w:t>https://www.gov.uk/government/statistics/households-below-average-income-199495-to-201516</w:t>
        </w:r>
      </w:hyperlink>
    </w:p>
    <w:p w:rsidR="001A1D25" w:rsidRDefault="001A1D25">
      <w:pPr>
        <w:rPr>
          <w:rFonts w:eastAsia="Times New Roman" w:cs="Times New Roman"/>
          <w:color w:val="222222"/>
          <w:szCs w:val="24"/>
          <w:shd w:val="clear" w:color="auto" w:fill="FFFFFF"/>
          <w:lang w:val="en-US"/>
        </w:rPr>
      </w:pPr>
    </w:p>
    <w:p w:rsidR="001A1D25" w:rsidRDefault="001A1D25">
      <w:pPr>
        <w:rPr>
          <w:rFonts w:eastAsia="Times New Roman" w:cs="Times New Roman"/>
          <w:b/>
          <w:color w:val="222222"/>
          <w:szCs w:val="24"/>
          <w:shd w:val="clear" w:color="auto" w:fill="FFFFFF"/>
          <w:lang w:val="en-US"/>
        </w:rPr>
      </w:pPr>
      <w:r w:rsidRPr="001A1D25">
        <w:rPr>
          <w:rFonts w:eastAsia="Times New Roman" w:cs="Times New Roman"/>
          <w:b/>
          <w:color w:val="222222"/>
          <w:szCs w:val="24"/>
          <w:shd w:val="clear" w:color="auto" w:fill="FFFFFF"/>
          <w:lang w:val="en-US"/>
        </w:rPr>
        <w:lastRenderedPageBreak/>
        <w:t>Figure 2: Child Poverty rates &lt;60% contemporary median before and after housing costs</w:t>
      </w:r>
    </w:p>
    <w:p w:rsidR="001A1D25" w:rsidRDefault="001A1D25" w:rsidP="00D36745">
      <w:pPr>
        <w:pStyle w:val="ListParagraph"/>
        <w:rPr>
          <w:rFonts w:eastAsia="Times New Roman" w:cs="Times New Roman"/>
          <w:b/>
          <w:color w:val="222222"/>
          <w:szCs w:val="24"/>
          <w:shd w:val="clear" w:color="auto" w:fill="FFFFFF"/>
          <w:lang w:val="en-US"/>
        </w:rPr>
      </w:pPr>
      <w:r>
        <w:rPr>
          <w:noProof/>
          <w:lang w:eastAsia="en-GB"/>
        </w:rPr>
        <w:drawing>
          <wp:inline distT="0" distB="0" distL="0" distR="0" wp14:anchorId="6AB64F38" wp14:editId="6E8CE62E">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1D25" w:rsidRDefault="001A1D25" w:rsidP="001A1D25">
      <w:pPr>
        <w:pStyle w:val="ListParagraph"/>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 xml:space="preserve">Source:  </w:t>
      </w:r>
      <w:hyperlink r:id="rId12" w:history="1">
        <w:r w:rsidRPr="008A32FC">
          <w:rPr>
            <w:rStyle w:val="Hyperlink"/>
            <w:rFonts w:eastAsia="Times New Roman" w:cs="Times New Roman"/>
            <w:szCs w:val="24"/>
            <w:shd w:val="clear" w:color="auto" w:fill="FFFFFF"/>
            <w:lang w:val="en-US"/>
          </w:rPr>
          <w:t>https://www.gov.uk/government/statistics/households-below-average-income-199495-to-201516</w:t>
        </w:r>
      </w:hyperlink>
    </w:p>
    <w:p w:rsidR="001A1D25" w:rsidRDefault="001A1D25" w:rsidP="00D36745">
      <w:pPr>
        <w:pStyle w:val="ListParagraph"/>
        <w:rPr>
          <w:rFonts w:eastAsia="Times New Roman" w:cs="Times New Roman"/>
          <w:b/>
          <w:color w:val="222222"/>
          <w:szCs w:val="24"/>
          <w:shd w:val="clear" w:color="auto" w:fill="FFFFFF"/>
          <w:lang w:val="en-US"/>
        </w:rPr>
      </w:pPr>
    </w:p>
    <w:p w:rsidR="001A1D25" w:rsidRPr="00FA16FD" w:rsidRDefault="001A1D25" w:rsidP="00FA16FD">
      <w:pPr>
        <w:rPr>
          <w:rFonts w:eastAsia="Times New Roman" w:cs="Times New Roman"/>
          <w:color w:val="222222"/>
          <w:szCs w:val="24"/>
          <w:shd w:val="clear" w:color="auto" w:fill="FFFFFF"/>
          <w:lang w:val="en-US"/>
        </w:rPr>
      </w:pPr>
    </w:p>
    <w:p w:rsidR="00FA16FD" w:rsidRDefault="005301B3" w:rsidP="00FA16FD">
      <w:pPr>
        <w:rPr>
          <w:rFonts w:eastAsia="Times New Roman" w:cs="Times New Roman"/>
          <w:color w:val="222222"/>
          <w:szCs w:val="24"/>
          <w:shd w:val="clear" w:color="auto" w:fill="FFFFFF"/>
          <w:lang w:val="en-US"/>
        </w:rPr>
      </w:pPr>
      <w:r w:rsidRPr="00FA16FD">
        <w:rPr>
          <w:rFonts w:eastAsia="Times New Roman" w:cs="Times New Roman"/>
          <w:color w:val="222222"/>
          <w:szCs w:val="24"/>
          <w:shd w:val="clear" w:color="auto" w:fill="FFFFFF"/>
          <w:lang w:val="en-US"/>
        </w:rPr>
        <w:t>The main reasons for this increase in child poverty have been and will continue to be the cuts in in-work benefits. In particular</w:t>
      </w:r>
    </w:p>
    <w:p w:rsidR="00FA16FD" w:rsidRDefault="005301B3" w:rsidP="00FA16FD">
      <w:pPr>
        <w:pStyle w:val="ListParagraph"/>
        <w:numPr>
          <w:ilvl w:val="0"/>
          <w:numId w:val="4"/>
        </w:numPr>
        <w:rPr>
          <w:rFonts w:eastAsia="Times New Roman" w:cs="Times New Roman"/>
          <w:color w:val="222222"/>
          <w:szCs w:val="24"/>
          <w:shd w:val="clear" w:color="auto" w:fill="FFFFFF"/>
          <w:lang w:val="en-US"/>
        </w:rPr>
      </w:pPr>
      <w:r w:rsidRPr="00FA16FD">
        <w:rPr>
          <w:rFonts w:eastAsia="Times New Roman" w:cs="Times New Roman"/>
          <w:color w:val="222222"/>
          <w:szCs w:val="24"/>
          <w:shd w:val="clear" w:color="auto" w:fill="FFFFFF"/>
          <w:lang w:val="en-US"/>
        </w:rPr>
        <w:t>The freezing of the level of most working age benefits until 2020.</w:t>
      </w:r>
    </w:p>
    <w:p w:rsidR="00FA16FD" w:rsidRDefault="005301B3" w:rsidP="00FA16FD">
      <w:pPr>
        <w:pStyle w:val="ListParagraph"/>
        <w:numPr>
          <w:ilvl w:val="0"/>
          <w:numId w:val="4"/>
        </w:numPr>
        <w:rPr>
          <w:rFonts w:eastAsia="Times New Roman" w:cs="Times New Roman"/>
          <w:color w:val="222222"/>
          <w:szCs w:val="24"/>
          <w:shd w:val="clear" w:color="auto" w:fill="FFFFFF"/>
          <w:lang w:val="en-US"/>
        </w:rPr>
      </w:pPr>
      <w:r w:rsidRPr="00FA16FD">
        <w:rPr>
          <w:rFonts w:eastAsia="Times New Roman" w:cs="Times New Roman"/>
          <w:color w:val="222222"/>
          <w:szCs w:val="24"/>
          <w:shd w:val="clear" w:color="auto" w:fill="FFFFFF"/>
          <w:lang w:val="en-US"/>
        </w:rPr>
        <w:t xml:space="preserve">The limits </w:t>
      </w:r>
      <w:r w:rsidR="00D36745" w:rsidRPr="00FA16FD">
        <w:rPr>
          <w:rFonts w:eastAsia="Times New Roman" w:cs="Times New Roman"/>
          <w:color w:val="222222"/>
          <w:szCs w:val="24"/>
          <w:shd w:val="clear" w:color="auto" w:fill="FFFFFF"/>
          <w:lang w:val="en-US"/>
        </w:rPr>
        <w:t>of child tax credits and universal credits to two children only and the many cuts that have undermined universal credit.</w:t>
      </w:r>
    </w:p>
    <w:p w:rsidR="005301B3" w:rsidRPr="00FA16FD" w:rsidRDefault="00D36745" w:rsidP="00FA16FD">
      <w:pPr>
        <w:pStyle w:val="ListParagraph"/>
        <w:numPr>
          <w:ilvl w:val="0"/>
          <w:numId w:val="4"/>
        </w:numPr>
        <w:rPr>
          <w:rFonts w:eastAsia="Times New Roman" w:cs="Times New Roman"/>
          <w:color w:val="222222"/>
          <w:szCs w:val="24"/>
          <w:shd w:val="clear" w:color="auto" w:fill="FFFFFF"/>
          <w:lang w:val="en-US"/>
        </w:rPr>
      </w:pPr>
      <w:r w:rsidRPr="00FA16FD">
        <w:rPr>
          <w:rFonts w:eastAsia="Times New Roman" w:cs="Times New Roman"/>
          <w:color w:val="222222"/>
          <w:szCs w:val="24"/>
          <w:shd w:val="clear" w:color="auto" w:fill="FFFFFF"/>
          <w:lang w:val="en-US"/>
        </w:rPr>
        <w:t>Cuts in support for housing costs, particularly the bedroom tax and local rent limits.</w:t>
      </w:r>
    </w:p>
    <w:p w:rsidR="00D36745" w:rsidRDefault="00D36745" w:rsidP="00D36745">
      <w:pPr>
        <w:rPr>
          <w:rFonts w:eastAsia="Times New Roman" w:cs="Times New Roman"/>
          <w:color w:val="222222"/>
          <w:szCs w:val="24"/>
          <w:shd w:val="clear" w:color="auto" w:fill="FFFFFF"/>
          <w:lang w:val="en-US"/>
        </w:rPr>
      </w:pPr>
    </w:p>
    <w:p w:rsidR="00D36745" w:rsidRDefault="00D36745" w:rsidP="00D36745">
      <w:pPr>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 xml:space="preserve">This has to be set against an improvement in </w:t>
      </w:r>
      <w:r w:rsidR="001E63B6">
        <w:rPr>
          <w:rFonts w:eastAsia="Times New Roman" w:cs="Times New Roman"/>
          <w:color w:val="222222"/>
          <w:szCs w:val="24"/>
          <w:shd w:val="clear" w:color="auto" w:fill="FFFFFF"/>
          <w:lang w:val="en-US"/>
        </w:rPr>
        <w:t>employment</w:t>
      </w:r>
      <w:r>
        <w:rPr>
          <w:rFonts w:eastAsia="Times New Roman" w:cs="Times New Roman"/>
          <w:color w:val="222222"/>
          <w:szCs w:val="24"/>
          <w:shd w:val="clear" w:color="auto" w:fill="FFFFFF"/>
          <w:lang w:val="en-US"/>
        </w:rPr>
        <w:t xml:space="preserve"> such that 67% of children in poverty in the UK now have parent in employment. The introduction of the national living wage </w:t>
      </w:r>
      <w:r w:rsidR="001E63B6">
        <w:rPr>
          <w:rFonts w:eastAsia="Times New Roman" w:cs="Times New Roman"/>
          <w:color w:val="222222"/>
          <w:szCs w:val="24"/>
          <w:shd w:val="clear" w:color="auto" w:fill="FFFFFF"/>
          <w:lang w:val="en-US"/>
        </w:rPr>
        <w:t xml:space="preserve">though welcome </w:t>
      </w:r>
      <w:r>
        <w:rPr>
          <w:rFonts w:eastAsia="Times New Roman" w:cs="Times New Roman"/>
          <w:color w:val="222222"/>
          <w:szCs w:val="24"/>
          <w:shd w:val="clear" w:color="auto" w:fill="FFFFFF"/>
          <w:lang w:val="en-US"/>
        </w:rPr>
        <w:t>will not mitigate the cuts in benefits for families with children. As universal credit replaces tax credits it will further reduce the incomes of families with children – especially low income families.</w:t>
      </w:r>
    </w:p>
    <w:p w:rsidR="001E63B6" w:rsidRDefault="001E63B6" w:rsidP="00D36745">
      <w:pPr>
        <w:rPr>
          <w:rFonts w:eastAsia="Times New Roman" w:cs="Times New Roman"/>
          <w:color w:val="222222"/>
          <w:szCs w:val="24"/>
          <w:shd w:val="clear" w:color="auto" w:fill="FFFFFF"/>
          <w:lang w:val="en-US"/>
        </w:rPr>
      </w:pPr>
    </w:p>
    <w:p w:rsidR="000C4294" w:rsidRDefault="001E63B6" w:rsidP="00D36745">
      <w:pPr>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 xml:space="preserve">By the mid-1980s the UK had one of the highest child poverty rates in all rich countries. After 1997 it managed to reduce child poverty using employment policies but particularly </w:t>
      </w:r>
      <w:r w:rsidR="00CE5E4A">
        <w:rPr>
          <w:rFonts w:eastAsia="Times New Roman" w:cs="Times New Roman"/>
          <w:color w:val="222222"/>
          <w:szCs w:val="24"/>
          <w:shd w:val="clear" w:color="auto" w:fill="FFFFFF"/>
          <w:lang w:val="en-US"/>
        </w:rPr>
        <w:t xml:space="preserve">cash </w:t>
      </w:r>
      <w:r>
        <w:rPr>
          <w:rFonts w:eastAsia="Times New Roman" w:cs="Times New Roman"/>
          <w:color w:val="222222"/>
          <w:szCs w:val="24"/>
          <w:shd w:val="clear" w:color="auto" w:fill="FFFFFF"/>
          <w:lang w:val="en-US"/>
        </w:rPr>
        <w:t xml:space="preserve">benefits. When the crisis struck in 2008 the </w:t>
      </w:r>
      <w:proofErr w:type="spellStart"/>
      <w:r>
        <w:rPr>
          <w:rFonts w:eastAsia="Times New Roman" w:cs="Times New Roman"/>
          <w:color w:val="222222"/>
          <w:szCs w:val="24"/>
          <w:shd w:val="clear" w:color="auto" w:fill="FFFFFF"/>
          <w:lang w:val="en-US"/>
        </w:rPr>
        <w:t>Labour</w:t>
      </w:r>
      <w:proofErr w:type="spellEnd"/>
      <w:r>
        <w:rPr>
          <w:rFonts w:eastAsia="Times New Roman" w:cs="Times New Roman"/>
          <w:color w:val="222222"/>
          <w:szCs w:val="24"/>
          <w:shd w:val="clear" w:color="auto" w:fill="FFFFFF"/>
          <w:lang w:val="en-US"/>
        </w:rPr>
        <w:t xml:space="preserve"> government responded with policies designed to protect families with children. But the Coalition </w:t>
      </w:r>
      <w:r w:rsidR="00CE5E4A">
        <w:rPr>
          <w:rFonts w:eastAsia="Times New Roman" w:cs="Times New Roman"/>
          <w:color w:val="222222"/>
          <w:szCs w:val="24"/>
          <w:shd w:val="clear" w:color="auto" w:fill="FFFFFF"/>
          <w:lang w:val="en-US"/>
        </w:rPr>
        <w:t xml:space="preserve">after 2010 </w:t>
      </w:r>
      <w:r>
        <w:rPr>
          <w:rFonts w:eastAsia="Times New Roman" w:cs="Times New Roman"/>
          <w:color w:val="222222"/>
          <w:szCs w:val="24"/>
          <w:shd w:val="clear" w:color="auto" w:fill="FFFFFF"/>
          <w:lang w:val="en-US"/>
        </w:rPr>
        <w:t xml:space="preserve">adopted austerity measures which especially harmed families with children. Now the Conservative Government </w:t>
      </w:r>
      <w:r w:rsidR="00CE5E4A">
        <w:rPr>
          <w:rFonts w:eastAsia="Times New Roman" w:cs="Times New Roman"/>
          <w:color w:val="222222"/>
          <w:szCs w:val="24"/>
          <w:shd w:val="clear" w:color="auto" w:fill="FFFFFF"/>
          <w:lang w:val="en-US"/>
        </w:rPr>
        <w:t xml:space="preserve">since 2015 </w:t>
      </w:r>
      <w:r>
        <w:rPr>
          <w:rFonts w:eastAsia="Times New Roman" w:cs="Times New Roman"/>
          <w:color w:val="222222"/>
          <w:szCs w:val="24"/>
          <w:shd w:val="clear" w:color="auto" w:fill="FFFFFF"/>
          <w:lang w:val="en-US"/>
        </w:rPr>
        <w:t>is reinforcing these measures</w:t>
      </w:r>
      <w:r w:rsidR="00E628D1">
        <w:rPr>
          <w:rFonts w:eastAsia="Times New Roman" w:cs="Times New Roman"/>
          <w:color w:val="222222"/>
          <w:szCs w:val="24"/>
          <w:shd w:val="clear" w:color="auto" w:fill="FFFFFF"/>
          <w:lang w:val="en-US"/>
        </w:rPr>
        <w:t xml:space="preserve"> with a further £12 billion cuts in working age benefit</w:t>
      </w:r>
      <w:r>
        <w:rPr>
          <w:rFonts w:eastAsia="Times New Roman" w:cs="Times New Roman"/>
          <w:color w:val="222222"/>
          <w:szCs w:val="24"/>
          <w:shd w:val="clear" w:color="auto" w:fill="FFFFFF"/>
          <w:lang w:val="en-US"/>
        </w:rPr>
        <w:t xml:space="preserve">. </w:t>
      </w:r>
    </w:p>
    <w:p w:rsidR="000C4294" w:rsidRDefault="000C4294" w:rsidP="00D36745">
      <w:pPr>
        <w:rPr>
          <w:rFonts w:eastAsia="Times New Roman" w:cs="Times New Roman"/>
          <w:color w:val="222222"/>
          <w:szCs w:val="24"/>
          <w:shd w:val="clear" w:color="auto" w:fill="FFFFFF"/>
          <w:lang w:val="en-US"/>
        </w:rPr>
      </w:pPr>
    </w:p>
    <w:p w:rsidR="001E63B6" w:rsidRDefault="00257CA9" w:rsidP="00D36745">
      <w:pPr>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 xml:space="preserve">The 2010 Child Poverty Act targets have been abandoned and we are no longer on course to achieve any of them (see Figure 3). </w:t>
      </w:r>
      <w:r w:rsidR="001E63B6">
        <w:rPr>
          <w:rFonts w:eastAsia="Times New Roman" w:cs="Times New Roman"/>
          <w:color w:val="222222"/>
          <w:szCs w:val="24"/>
          <w:shd w:val="clear" w:color="auto" w:fill="FFFFFF"/>
          <w:lang w:val="en-US"/>
        </w:rPr>
        <w:t>The UK is set to slide down the international league table.</w:t>
      </w:r>
      <w:r w:rsidR="00E628D1" w:rsidRPr="00E628D1">
        <w:t xml:space="preserve"> </w:t>
      </w:r>
      <w:r w:rsidR="00E628D1" w:rsidRPr="00E628D1">
        <w:rPr>
          <w:rFonts w:eastAsia="Times New Roman" w:cs="Times New Roman"/>
          <w:color w:val="222222"/>
          <w:szCs w:val="24"/>
          <w:shd w:val="clear" w:color="auto" w:fill="FFFFFF"/>
          <w:lang w:val="en-US"/>
        </w:rPr>
        <w:t xml:space="preserve">Now </w:t>
      </w:r>
      <w:r w:rsidR="00E628D1">
        <w:rPr>
          <w:rFonts w:eastAsia="Times New Roman" w:cs="Times New Roman"/>
          <w:color w:val="222222"/>
          <w:szCs w:val="24"/>
          <w:shd w:val="clear" w:color="auto" w:fill="FFFFFF"/>
          <w:lang w:val="en-US"/>
        </w:rPr>
        <w:t xml:space="preserve">the </w:t>
      </w:r>
      <w:hyperlink r:id="rId13" w:history="1">
        <w:r w:rsidR="00E628D1" w:rsidRPr="00B90491">
          <w:rPr>
            <w:rStyle w:val="Hyperlink"/>
            <w:rFonts w:eastAsia="Times New Roman" w:cs="Times New Roman"/>
            <w:szCs w:val="24"/>
            <w:shd w:val="clear" w:color="auto" w:fill="FFFFFF"/>
            <w:lang w:val="en-US"/>
          </w:rPr>
          <w:t>I</w:t>
        </w:r>
        <w:r w:rsidR="00B90491" w:rsidRPr="00B90491">
          <w:rPr>
            <w:rStyle w:val="Hyperlink"/>
            <w:rFonts w:eastAsia="Times New Roman" w:cs="Times New Roman"/>
            <w:szCs w:val="24"/>
            <w:shd w:val="clear" w:color="auto" w:fill="FFFFFF"/>
            <w:lang w:val="en-US"/>
          </w:rPr>
          <w:t>nstitute for Fiscal Studies</w:t>
        </w:r>
      </w:hyperlink>
      <w:r w:rsidR="00E628D1">
        <w:rPr>
          <w:rFonts w:eastAsia="Times New Roman" w:cs="Times New Roman"/>
          <w:color w:val="222222"/>
          <w:szCs w:val="24"/>
          <w:shd w:val="clear" w:color="auto" w:fill="FFFFFF"/>
          <w:lang w:val="en-US"/>
        </w:rPr>
        <w:t xml:space="preserve"> expect</w:t>
      </w:r>
      <w:r w:rsidR="00B90491">
        <w:rPr>
          <w:rFonts w:eastAsia="Times New Roman" w:cs="Times New Roman"/>
          <w:color w:val="222222"/>
          <w:szCs w:val="24"/>
          <w:shd w:val="clear" w:color="auto" w:fill="FFFFFF"/>
          <w:lang w:val="en-US"/>
        </w:rPr>
        <w:t>s</w:t>
      </w:r>
      <w:r w:rsidR="00E628D1">
        <w:rPr>
          <w:rFonts w:eastAsia="Times New Roman" w:cs="Times New Roman"/>
          <w:color w:val="222222"/>
          <w:szCs w:val="24"/>
          <w:shd w:val="clear" w:color="auto" w:fill="FFFFFF"/>
          <w:lang w:val="en-US"/>
        </w:rPr>
        <w:t xml:space="preserve"> </w:t>
      </w:r>
      <w:r w:rsidR="00B90491">
        <w:rPr>
          <w:rFonts w:eastAsia="Times New Roman" w:cs="Times New Roman"/>
          <w:color w:val="222222"/>
          <w:szCs w:val="24"/>
          <w:shd w:val="clear" w:color="auto" w:fill="FFFFFF"/>
          <w:lang w:val="en-US"/>
        </w:rPr>
        <w:t xml:space="preserve">relative child poverty to increase from 18.8% in 2014/15 to 26.6% in 2021/22 before </w:t>
      </w:r>
      <w:r w:rsidR="000C4294">
        <w:rPr>
          <w:rFonts w:eastAsia="Times New Roman" w:cs="Times New Roman"/>
          <w:color w:val="222222"/>
          <w:szCs w:val="24"/>
          <w:shd w:val="clear" w:color="auto" w:fill="FFFFFF"/>
          <w:lang w:val="en-US"/>
        </w:rPr>
        <w:t xml:space="preserve">housing costs and from 29.0% to 35.7% after housing costs. </w:t>
      </w:r>
    </w:p>
    <w:p w:rsidR="00D36745" w:rsidRDefault="00D36745" w:rsidP="00D36745">
      <w:pPr>
        <w:rPr>
          <w:rFonts w:eastAsia="Times New Roman" w:cs="Times New Roman"/>
          <w:color w:val="222222"/>
          <w:szCs w:val="24"/>
          <w:shd w:val="clear" w:color="auto" w:fill="FFFFFF"/>
          <w:lang w:val="en-US"/>
        </w:rPr>
      </w:pPr>
    </w:p>
    <w:p w:rsidR="00257CA9" w:rsidRDefault="00257CA9" w:rsidP="000C4294">
      <w:pPr>
        <w:pStyle w:val="ListParagraph"/>
        <w:ind w:left="0"/>
        <w:rPr>
          <w:rFonts w:eastAsia="Times New Roman" w:cs="Times New Roman"/>
          <w:b/>
          <w:color w:val="222222"/>
          <w:szCs w:val="24"/>
          <w:shd w:val="clear" w:color="auto" w:fill="FFFFFF"/>
          <w:lang w:val="en-US"/>
        </w:rPr>
      </w:pPr>
    </w:p>
    <w:p w:rsidR="000C4294" w:rsidRPr="001A1D25" w:rsidRDefault="000C4294" w:rsidP="000C4294">
      <w:pPr>
        <w:pStyle w:val="ListParagraph"/>
        <w:ind w:left="0"/>
        <w:rPr>
          <w:rFonts w:eastAsia="Times New Roman" w:cs="Times New Roman"/>
          <w:b/>
          <w:color w:val="222222"/>
          <w:szCs w:val="24"/>
          <w:shd w:val="clear" w:color="auto" w:fill="FFFFFF"/>
          <w:lang w:val="en-US"/>
        </w:rPr>
      </w:pPr>
      <w:r w:rsidRPr="001A1D25">
        <w:rPr>
          <w:rFonts w:eastAsia="Times New Roman" w:cs="Times New Roman"/>
          <w:b/>
          <w:color w:val="222222"/>
          <w:szCs w:val="24"/>
          <w:shd w:val="clear" w:color="auto" w:fill="FFFFFF"/>
          <w:lang w:val="en-US"/>
        </w:rPr>
        <w:lastRenderedPageBreak/>
        <w:t>Figure 3: Child Poverty Act 2010 targets. Dotted lines trend needed to meet targets.</w:t>
      </w:r>
    </w:p>
    <w:p w:rsidR="000C4294" w:rsidRDefault="000C4294" w:rsidP="000C4294">
      <w:pPr>
        <w:pStyle w:val="ListParagraph"/>
        <w:rPr>
          <w:rFonts w:eastAsia="Times New Roman" w:cs="Times New Roman"/>
          <w:color w:val="222222"/>
          <w:szCs w:val="24"/>
          <w:shd w:val="clear" w:color="auto" w:fill="FFFFFF"/>
          <w:lang w:val="en-US"/>
        </w:rPr>
      </w:pPr>
      <w:r>
        <w:rPr>
          <w:noProof/>
          <w:lang w:eastAsia="en-GB"/>
        </w:rPr>
        <w:drawing>
          <wp:inline distT="0" distB="0" distL="0" distR="0" wp14:anchorId="6FD695DD" wp14:editId="16402783">
            <wp:extent cx="5731510" cy="3743852"/>
            <wp:effectExtent l="0" t="0" r="2159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4294" w:rsidRDefault="000C4294" w:rsidP="000C4294">
      <w:pPr>
        <w:pStyle w:val="ListParagraph"/>
        <w:rPr>
          <w:rFonts w:eastAsia="Times New Roman" w:cs="Times New Roman"/>
          <w:color w:val="222222"/>
          <w:szCs w:val="24"/>
          <w:shd w:val="clear" w:color="auto" w:fill="FFFFFF"/>
          <w:lang w:val="en-US"/>
        </w:rPr>
      </w:pPr>
      <w:r>
        <w:rPr>
          <w:rFonts w:eastAsia="Times New Roman" w:cs="Times New Roman"/>
          <w:color w:val="222222"/>
          <w:szCs w:val="24"/>
          <w:shd w:val="clear" w:color="auto" w:fill="FFFFFF"/>
          <w:lang w:val="en-US"/>
        </w:rPr>
        <w:t xml:space="preserve">Source:  </w:t>
      </w:r>
      <w:hyperlink r:id="rId15" w:history="1">
        <w:r w:rsidRPr="008A32FC">
          <w:rPr>
            <w:rStyle w:val="Hyperlink"/>
            <w:rFonts w:eastAsia="Times New Roman" w:cs="Times New Roman"/>
            <w:szCs w:val="24"/>
            <w:shd w:val="clear" w:color="auto" w:fill="FFFFFF"/>
            <w:lang w:val="en-US"/>
          </w:rPr>
          <w:t>https://www.gov.uk/government/statistics/households-below-average-income-199495-to-201516</w:t>
        </w:r>
      </w:hyperlink>
    </w:p>
    <w:p w:rsidR="000C4294" w:rsidRDefault="000C4294" w:rsidP="000C4294">
      <w:pPr>
        <w:rPr>
          <w:rFonts w:eastAsia="Times New Roman" w:cs="Times New Roman"/>
          <w:color w:val="222222"/>
          <w:szCs w:val="24"/>
          <w:shd w:val="clear" w:color="auto" w:fill="FFFFFF"/>
          <w:lang w:val="en-US"/>
        </w:rPr>
      </w:pPr>
    </w:p>
    <w:p w:rsidR="000C4294" w:rsidRPr="00D36745" w:rsidRDefault="000C4294" w:rsidP="00D36745">
      <w:pPr>
        <w:rPr>
          <w:rFonts w:eastAsia="Times New Roman" w:cs="Times New Roman"/>
          <w:color w:val="222222"/>
          <w:szCs w:val="24"/>
          <w:shd w:val="clear" w:color="auto" w:fill="FFFFFF"/>
          <w:lang w:val="en-US"/>
        </w:rPr>
      </w:pPr>
    </w:p>
    <w:p w:rsidR="009F21A3" w:rsidRDefault="009F21A3" w:rsidP="009F21A3">
      <w:pPr>
        <w:rPr>
          <w:rFonts w:eastAsia="Times New Roman" w:cs="Times New Roman"/>
          <w:color w:val="222222"/>
          <w:szCs w:val="24"/>
          <w:shd w:val="clear" w:color="auto" w:fill="FFFFFF"/>
          <w:lang w:val="en-US"/>
        </w:rPr>
      </w:pPr>
    </w:p>
    <w:p w:rsidR="009F21A3" w:rsidRPr="009F21A3" w:rsidRDefault="009F21A3" w:rsidP="009F21A3">
      <w:pPr>
        <w:rPr>
          <w:rFonts w:eastAsia="Times New Roman" w:cs="Times New Roman"/>
          <w:color w:val="222222"/>
          <w:szCs w:val="24"/>
          <w:shd w:val="clear" w:color="auto" w:fill="FFFFFF"/>
          <w:lang w:val="en-US"/>
        </w:rPr>
      </w:pPr>
    </w:p>
    <w:p w:rsidR="009F21A3" w:rsidRPr="009F21A3" w:rsidRDefault="009F21A3" w:rsidP="009F21A3">
      <w:pPr>
        <w:autoSpaceDE w:val="0"/>
        <w:autoSpaceDN w:val="0"/>
        <w:adjustRightInd w:val="0"/>
        <w:rPr>
          <w:rFonts w:eastAsia="Times New Roman" w:cs="Times New Roman"/>
          <w:color w:val="222222"/>
          <w:szCs w:val="24"/>
          <w:shd w:val="clear" w:color="auto" w:fill="FFFFFF"/>
          <w:lang w:val="en-US"/>
        </w:rPr>
      </w:pPr>
    </w:p>
    <w:p w:rsidR="009F21A3" w:rsidRDefault="009F21A3"/>
    <w:sectPr w:rsidR="009F21A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A9" w:rsidRDefault="00257CA9" w:rsidP="00257CA9">
      <w:r>
        <w:separator/>
      </w:r>
    </w:p>
  </w:endnote>
  <w:endnote w:type="continuationSeparator" w:id="0">
    <w:p w:rsidR="00257CA9" w:rsidRDefault="00257CA9" w:rsidP="0025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774857"/>
      <w:docPartObj>
        <w:docPartGallery w:val="Page Numbers (Bottom of Page)"/>
        <w:docPartUnique/>
      </w:docPartObj>
    </w:sdtPr>
    <w:sdtEndPr>
      <w:rPr>
        <w:noProof/>
      </w:rPr>
    </w:sdtEndPr>
    <w:sdtContent>
      <w:p w:rsidR="00257CA9" w:rsidRDefault="00257C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57CA9" w:rsidRDefault="00257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A9" w:rsidRDefault="00257CA9" w:rsidP="00257CA9">
      <w:r>
        <w:separator/>
      </w:r>
    </w:p>
  </w:footnote>
  <w:footnote w:type="continuationSeparator" w:id="0">
    <w:p w:rsidR="00257CA9" w:rsidRDefault="00257CA9" w:rsidP="00257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724"/>
    <w:multiLevelType w:val="hybridMultilevel"/>
    <w:tmpl w:val="419C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364973"/>
    <w:multiLevelType w:val="hybridMultilevel"/>
    <w:tmpl w:val="C960DD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FB0A0C"/>
    <w:multiLevelType w:val="hybridMultilevel"/>
    <w:tmpl w:val="35740096"/>
    <w:lvl w:ilvl="0" w:tplc="37341C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1F19B6"/>
    <w:multiLevelType w:val="hybridMultilevel"/>
    <w:tmpl w:val="01B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A3"/>
    <w:rsid w:val="000C4294"/>
    <w:rsid w:val="001A1D25"/>
    <w:rsid w:val="001E63B6"/>
    <w:rsid w:val="00257CA9"/>
    <w:rsid w:val="005204DE"/>
    <w:rsid w:val="005301B3"/>
    <w:rsid w:val="007362E3"/>
    <w:rsid w:val="009F21A3"/>
    <w:rsid w:val="00B90491"/>
    <w:rsid w:val="00C11873"/>
    <w:rsid w:val="00CA712F"/>
    <w:rsid w:val="00CE5E4A"/>
    <w:rsid w:val="00D36745"/>
    <w:rsid w:val="00E628D1"/>
    <w:rsid w:val="00E716DA"/>
    <w:rsid w:val="00FA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1A3"/>
    <w:rPr>
      <w:color w:val="0000FF" w:themeColor="hyperlink"/>
      <w:u w:val="single"/>
    </w:rPr>
  </w:style>
  <w:style w:type="paragraph" w:styleId="ListParagraph">
    <w:name w:val="List Paragraph"/>
    <w:basedOn w:val="Normal"/>
    <w:uiPriority w:val="34"/>
    <w:qFormat/>
    <w:rsid w:val="005301B3"/>
    <w:pPr>
      <w:ind w:left="720"/>
      <w:contextualSpacing/>
    </w:pPr>
  </w:style>
  <w:style w:type="paragraph" w:styleId="BalloonText">
    <w:name w:val="Balloon Text"/>
    <w:basedOn w:val="Normal"/>
    <w:link w:val="BalloonTextChar"/>
    <w:uiPriority w:val="99"/>
    <w:semiHidden/>
    <w:unhideWhenUsed/>
    <w:rsid w:val="005204DE"/>
    <w:rPr>
      <w:rFonts w:ascii="Tahoma" w:hAnsi="Tahoma" w:cs="Tahoma"/>
      <w:sz w:val="16"/>
      <w:szCs w:val="16"/>
    </w:rPr>
  </w:style>
  <w:style w:type="character" w:customStyle="1" w:styleId="BalloonTextChar">
    <w:name w:val="Balloon Text Char"/>
    <w:basedOn w:val="DefaultParagraphFont"/>
    <w:link w:val="BalloonText"/>
    <w:uiPriority w:val="99"/>
    <w:semiHidden/>
    <w:rsid w:val="005204DE"/>
    <w:rPr>
      <w:rFonts w:ascii="Tahoma" w:hAnsi="Tahoma" w:cs="Tahoma"/>
      <w:sz w:val="16"/>
      <w:szCs w:val="16"/>
    </w:rPr>
  </w:style>
  <w:style w:type="paragraph" w:styleId="Header">
    <w:name w:val="header"/>
    <w:basedOn w:val="Normal"/>
    <w:link w:val="HeaderChar"/>
    <w:uiPriority w:val="99"/>
    <w:unhideWhenUsed/>
    <w:rsid w:val="00257CA9"/>
    <w:pPr>
      <w:tabs>
        <w:tab w:val="center" w:pos="4513"/>
        <w:tab w:val="right" w:pos="9026"/>
      </w:tabs>
    </w:pPr>
  </w:style>
  <w:style w:type="character" w:customStyle="1" w:styleId="HeaderChar">
    <w:name w:val="Header Char"/>
    <w:basedOn w:val="DefaultParagraphFont"/>
    <w:link w:val="Header"/>
    <w:uiPriority w:val="99"/>
    <w:rsid w:val="00257CA9"/>
  </w:style>
  <w:style w:type="paragraph" w:styleId="Footer">
    <w:name w:val="footer"/>
    <w:basedOn w:val="Normal"/>
    <w:link w:val="FooterChar"/>
    <w:uiPriority w:val="99"/>
    <w:unhideWhenUsed/>
    <w:rsid w:val="00257CA9"/>
    <w:pPr>
      <w:tabs>
        <w:tab w:val="center" w:pos="4513"/>
        <w:tab w:val="right" w:pos="9026"/>
      </w:tabs>
    </w:pPr>
  </w:style>
  <w:style w:type="character" w:customStyle="1" w:styleId="FooterChar">
    <w:name w:val="Footer Char"/>
    <w:basedOn w:val="DefaultParagraphFont"/>
    <w:link w:val="Footer"/>
    <w:uiPriority w:val="99"/>
    <w:rsid w:val="00257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1A3"/>
    <w:rPr>
      <w:color w:val="0000FF" w:themeColor="hyperlink"/>
      <w:u w:val="single"/>
    </w:rPr>
  </w:style>
  <w:style w:type="paragraph" w:styleId="ListParagraph">
    <w:name w:val="List Paragraph"/>
    <w:basedOn w:val="Normal"/>
    <w:uiPriority w:val="34"/>
    <w:qFormat/>
    <w:rsid w:val="005301B3"/>
    <w:pPr>
      <w:ind w:left="720"/>
      <w:contextualSpacing/>
    </w:pPr>
  </w:style>
  <w:style w:type="paragraph" w:styleId="BalloonText">
    <w:name w:val="Balloon Text"/>
    <w:basedOn w:val="Normal"/>
    <w:link w:val="BalloonTextChar"/>
    <w:uiPriority w:val="99"/>
    <w:semiHidden/>
    <w:unhideWhenUsed/>
    <w:rsid w:val="005204DE"/>
    <w:rPr>
      <w:rFonts w:ascii="Tahoma" w:hAnsi="Tahoma" w:cs="Tahoma"/>
      <w:sz w:val="16"/>
      <w:szCs w:val="16"/>
    </w:rPr>
  </w:style>
  <w:style w:type="character" w:customStyle="1" w:styleId="BalloonTextChar">
    <w:name w:val="Balloon Text Char"/>
    <w:basedOn w:val="DefaultParagraphFont"/>
    <w:link w:val="BalloonText"/>
    <w:uiPriority w:val="99"/>
    <w:semiHidden/>
    <w:rsid w:val="005204DE"/>
    <w:rPr>
      <w:rFonts w:ascii="Tahoma" w:hAnsi="Tahoma" w:cs="Tahoma"/>
      <w:sz w:val="16"/>
      <w:szCs w:val="16"/>
    </w:rPr>
  </w:style>
  <w:style w:type="paragraph" w:styleId="Header">
    <w:name w:val="header"/>
    <w:basedOn w:val="Normal"/>
    <w:link w:val="HeaderChar"/>
    <w:uiPriority w:val="99"/>
    <w:unhideWhenUsed/>
    <w:rsid w:val="00257CA9"/>
    <w:pPr>
      <w:tabs>
        <w:tab w:val="center" w:pos="4513"/>
        <w:tab w:val="right" w:pos="9026"/>
      </w:tabs>
    </w:pPr>
  </w:style>
  <w:style w:type="character" w:customStyle="1" w:styleId="HeaderChar">
    <w:name w:val="Header Char"/>
    <w:basedOn w:val="DefaultParagraphFont"/>
    <w:link w:val="Header"/>
    <w:uiPriority w:val="99"/>
    <w:rsid w:val="00257CA9"/>
  </w:style>
  <w:style w:type="paragraph" w:styleId="Footer">
    <w:name w:val="footer"/>
    <w:basedOn w:val="Normal"/>
    <w:link w:val="FooterChar"/>
    <w:uiPriority w:val="99"/>
    <w:unhideWhenUsed/>
    <w:rsid w:val="00257CA9"/>
    <w:pPr>
      <w:tabs>
        <w:tab w:val="center" w:pos="4513"/>
        <w:tab w:val="right" w:pos="9026"/>
      </w:tabs>
    </w:pPr>
  </w:style>
  <w:style w:type="character" w:customStyle="1" w:styleId="FooterChar">
    <w:name w:val="Footer Char"/>
    <w:basedOn w:val="DefaultParagraphFont"/>
    <w:link w:val="Footer"/>
    <w:uiPriority w:val="99"/>
    <w:rsid w:val="0025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york.ac.uk/portal/en/researchers/jonathan-richard-bradshaw(905fa104-a977-4863-83ff-cf28283fe3a2)/profile.html" TargetMode="External"/><Relationship Id="rId13" Type="http://schemas.openxmlformats.org/officeDocument/2006/relationships/hyperlink" Target="https://www.ifs.org.uk/publications/895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statistics/households-below-average-income-199495-to-2015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gov.uk/government/statistics/households-below-average-income-199495-to-201516" TargetMode="External"/><Relationship Id="rId10" Type="http://schemas.openxmlformats.org/officeDocument/2006/relationships/hyperlink" Target="https://www.gov.uk/government/statistics/households-below-average-income-199495-to-20151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Sheet5!$D$5</c:f>
              <c:strCache>
                <c:ptCount val="1"/>
                <c:pt idx="0">
                  <c:v>&lt;60% contemporary median BHC</c:v>
                </c:pt>
              </c:strCache>
            </c:strRef>
          </c:tx>
          <c:marker>
            <c:symbol val="none"/>
          </c:marker>
          <c:cat>
            <c:strRef>
              <c:f>Sheet5!$C$6:$C$23</c:f>
              <c:strCache>
                <c:ptCount val="18"/>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strCache>
            </c:strRef>
          </c:cat>
          <c:val>
            <c:numRef>
              <c:f>Sheet5!$D$6:$D$23</c:f>
              <c:numCache>
                <c:formatCode>0</c:formatCode>
                <c:ptCount val="18"/>
                <c:pt idx="0">
                  <c:v>26</c:v>
                </c:pt>
                <c:pt idx="1">
                  <c:v>26</c:v>
                </c:pt>
                <c:pt idx="2">
                  <c:v>23</c:v>
                </c:pt>
                <c:pt idx="3">
                  <c:v>23</c:v>
                </c:pt>
                <c:pt idx="4">
                  <c:v>22</c:v>
                </c:pt>
                <c:pt idx="5">
                  <c:v>22</c:v>
                </c:pt>
                <c:pt idx="6">
                  <c:v>21</c:v>
                </c:pt>
                <c:pt idx="7">
                  <c:v>22</c:v>
                </c:pt>
                <c:pt idx="8">
                  <c:v>22</c:v>
                </c:pt>
                <c:pt idx="9">
                  <c:v>23</c:v>
                </c:pt>
                <c:pt idx="10">
                  <c:v>22</c:v>
                </c:pt>
                <c:pt idx="11">
                  <c:v>20</c:v>
                </c:pt>
                <c:pt idx="12">
                  <c:v>18</c:v>
                </c:pt>
                <c:pt idx="13">
                  <c:v>18</c:v>
                </c:pt>
                <c:pt idx="14">
                  <c:v>17</c:v>
                </c:pt>
                <c:pt idx="15">
                  <c:v>17</c:v>
                </c:pt>
                <c:pt idx="16">
                  <c:v>19</c:v>
                </c:pt>
                <c:pt idx="17">
                  <c:v>20</c:v>
                </c:pt>
              </c:numCache>
            </c:numRef>
          </c:val>
          <c:smooth val="0"/>
        </c:ser>
        <c:ser>
          <c:idx val="1"/>
          <c:order val="1"/>
          <c:tx>
            <c:strRef>
              <c:f>Sheet5!$E$5</c:f>
              <c:strCache>
                <c:ptCount val="1"/>
                <c:pt idx="0">
                  <c:v>&lt;60% 2010/11 median income BHC</c:v>
                </c:pt>
              </c:strCache>
            </c:strRef>
          </c:tx>
          <c:marker>
            <c:symbol val="none"/>
          </c:marker>
          <c:cat>
            <c:strRef>
              <c:f>Sheet5!$C$6:$C$23</c:f>
              <c:strCache>
                <c:ptCount val="18"/>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strCache>
            </c:strRef>
          </c:cat>
          <c:val>
            <c:numRef>
              <c:f>Sheet5!$E$6:$E$23</c:f>
              <c:numCache>
                <c:formatCode>0</c:formatCode>
                <c:ptCount val="18"/>
                <c:pt idx="0">
                  <c:v>40</c:v>
                </c:pt>
                <c:pt idx="1">
                  <c:v>37</c:v>
                </c:pt>
                <c:pt idx="2">
                  <c:v>33</c:v>
                </c:pt>
                <c:pt idx="3">
                  <c:v>29</c:v>
                </c:pt>
                <c:pt idx="4">
                  <c:v>26</c:v>
                </c:pt>
                <c:pt idx="5">
                  <c:v>25</c:v>
                </c:pt>
                <c:pt idx="6">
                  <c:v>24</c:v>
                </c:pt>
                <c:pt idx="7">
                  <c:v>24</c:v>
                </c:pt>
                <c:pt idx="8">
                  <c:v>23</c:v>
                </c:pt>
                <c:pt idx="9">
                  <c:v>22</c:v>
                </c:pt>
                <c:pt idx="10">
                  <c:v>21</c:v>
                </c:pt>
                <c:pt idx="11">
                  <c:v>19</c:v>
                </c:pt>
                <c:pt idx="12">
                  <c:v>18</c:v>
                </c:pt>
                <c:pt idx="13">
                  <c:v>19</c:v>
                </c:pt>
                <c:pt idx="14">
                  <c:v>19</c:v>
                </c:pt>
                <c:pt idx="15">
                  <c:v>18</c:v>
                </c:pt>
                <c:pt idx="16">
                  <c:v>17</c:v>
                </c:pt>
                <c:pt idx="17">
                  <c:v>17</c:v>
                </c:pt>
              </c:numCache>
            </c:numRef>
          </c:val>
          <c:smooth val="0"/>
        </c:ser>
        <c:dLbls>
          <c:showLegendKey val="0"/>
          <c:showVal val="0"/>
          <c:showCatName val="0"/>
          <c:showSerName val="0"/>
          <c:showPercent val="0"/>
          <c:showBubbleSize val="0"/>
        </c:dLbls>
        <c:marker val="1"/>
        <c:smooth val="0"/>
        <c:axId val="50232320"/>
        <c:axId val="112858624"/>
      </c:lineChart>
      <c:catAx>
        <c:axId val="50232320"/>
        <c:scaling>
          <c:orientation val="minMax"/>
        </c:scaling>
        <c:delete val="0"/>
        <c:axPos val="b"/>
        <c:majorTickMark val="out"/>
        <c:minorTickMark val="none"/>
        <c:tickLblPos val="nextTo"/>
        <c:crossAx val="112858624"/>
        <c:crosses val="autoZero"/>
        <c:auto val="1"/>
        <c:lblAlgn val="ctr"/>
        <c:lblOffset val="100"/>
        <c:noMultiLvlLbl val="0"/>
      </c:catAx>
      <c:valAx>
        <c:axId val="112858624"/>
        <c:scaling>
          <c:orientation val="minMax"/>
          <c:min val="15"/>
        </c:scaling>
        <c:delete val="0"/>
        <c:axPos val="l"/>
        <c:majorGridlines/>
        <c:numFmt formatCode="0" sourceLinked="1"/>
        <c:majorTickMark val="out"/>
        <c:minorTickMark val="none"/>
        <c:tickLblPos val="nextTo"/>
        <c:crossAx val="502323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Sheet17!$B$1</c:f>
              <c:strCache>
                <c:ptCount val="1"/>
                <c:pt idx="0">
                  <c:v>Before housing costs</c:v>
                </c:pt>
              </c:strCache>
            </c:strRef>
          </c:tx>
          <c:marker>
            <c:symbol val="none"/>
          </c:marker>
          <c:cat>
            <c:strRef>
              <c:f>Sheet17!$A$2:$A$19</c:f>
              <c:strCache>
                <c:ptCount val="18"/>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strCache>
            </c:strRef>
          </c:cat>
          <c:val>
            <c:numRef>
              <c:f>Sheet17!$B$2:$B$19</c:f>
              <c:numCache>
                <c:formatCode>0</c:formatCode>
                <c:ptCount val="18"/>
                <c:pt idx="0">
                  <c:v>26</c:v>
                </c:pt>
                <c:pt idx="1">
                  <c:v>26</c:v>
                </c:pt>
                <c:pt idx="2">
                  <c:v>23</c:v>
                </c:pt>
                <c:pt idx="3">
                  <c:v>23</c:v>
                </c:pt>
                <c:pt idx="4">
                  <c:v>22</c:v>
                </c:pt>
                <c:pt idx="5">
                  <c:v>22</c:v>
                </c:pt>
                <c:pt idx="6">
                  <c:v>21</c:v>
                </c:pt>
                <c:pt idx="7">
                  <c:v>22</c:v>
                </c:pt>
                <c:pt idx="8">
                  <c:v>22</c:v>
                </c:pt>
                <c:pt idx="9">
                  <c:v>23</c:v>
                </c:pt>
                <c:pt idx="10">
                  <c:v>22</c:v>
                </c:pt>
                <c:pt idx="11">
                  <c:v>20</c:v>
                </c:pt>
                <c:pt idx="12">
                  <c:v>18</c:v>
                </c:pt>
                <c:pt idx="13">
                  <c:v>18</c:v>
                </c:pt>
                <c:pt idx="14">
                  <c:v>17</c:v>
                </c:pt>
                <c:pt idx="15">
                  <c:v>17</c:v>
                </c:pt>
                <c:pt idx="16">
                  <c:v>19</c:v>
                </c:pt>
                <c:pt idx="17">
                  <c:v>20</c:v>
                </c:pt>
              </c:numCache>
            </c:numRef>
          </c:val>
          <c:smooth val="0"/>
        </c:ser>
        <c:ser>
          <c:idx val="1"/>
          <c:order val="1"/>
          <c:tx>
            <c:strRef>
              <c:f>Sheet17!$C$1</c:f>
              <c:strCache>
                <c:ptCount val="1"/>
                <c:pt idx="0">
                  <c:v>After housing costs</c:v>
                </c:pt>
              </c:strCache>
            </c:strRef>
          </c:tx>
          <c:marker>
            <c:symbol val="none"/>
          </c:marker>
          <c:cat>
            <c:strRef>
              <c:f>Sheet17!$A$2:$A$19</c:f>
              <c:strCache>
                <c:ptCount val="18"/>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strCache>
            </c:strRef>
          </c:cat>
          <c:val>
            <c:numRef>
              <c:f>Sheet17!$C$2:$C$19</c:f>
              <c:numCache>
                <c:formatCode>0</c:formatCode>
                <c:ptCount val="18"/>
                <c:pt idx="0">
                  <c:v>34</c:v>
                </c:pt>
                <c:pt idx="1">
                  <c:v>33</c:v>
                </c:pt>
                <c:pt idx="2">
                  <c:v>31</c:v>
                </c:pt>
                <c:pt idx="3">
                  <c:v>31</c:v>
                </c:pt>
                <c:pt idx="4">
                  <c:v>29</c:v>
                </c:pt>
                <c:pt idx="5">
                  <c:v>28</c:v>
                </c:pt>
                <c:pt idx="6">
                  <c:v>28</c:v>
                </c:pt>
                <c:pt idx="7">
                  <c:v>30</c:v>
                </c:pt>
                <c:pt idx="8">
                  <c:v>31</c:v>
                </c:pt>
                <c:pt idx="9">
                  <c:v>31</c:v>
                </c:pt>
                <c:pt idx="10">
                  <c:v>30</c:v>
                </c:pt>
                <c:pt idx="11">
                  <c:v>30</c:v>
                </c:pt>
                <c:pt idx="12">
                  <c:v>27</c:v>
                </c:pt>
                <c:pt idx="13">
                  <c:v>27</c:v>
                </c:pt>
                <c:pt idx="14">
                  <c:v>27</c:v>
                </c:pt>
                <c:pt idx="15">
                  <c:v>28</c:v>
                </c:pt>
                <c:pt idx="16">
                  <c:v>29</c:v>
                </c:pt>
                <c:pt idx="17">
                  <c:v>30</c:v>
                </c:pt>
              </c:numCache>
            </c:numRef>
          </c:val>
          <c:smooth val="0"/>
        </c:ser>
        <c:dLbls>
          <c:showLegendKey val="0"/>
          <c:showVal val="0"/>
          <c:showCatName val="0"/>
          <c:showSerName val="0"/>
          <c:showPercent val="0"/>
          <c:showBubbleSize val="0"/>
        </c:dLbls>
        <c:marker val="1"/>
        <c:smooth val="0"/>
        <c:axId val="98678656"/>
        <c:axId val="135712768"/>
      </c:lineChart>
      <c:catAx>
        <c:axId val="98678656"/>
        <c:scaling>
          <c:orientation val="minMax"/>
        </c:scaling>
        <c:delete val="0"/>
        <c:axPos val="b"/>
        <c:majorTickMark val="out"/>
        <c:minorTickMark val="none"/>
        <c:tickLblPos val="nextTo"/>
        <c:crossAx val="135712768"/>
        <c:crosses val="autoZero"/>
        <c:auto val="1"/>
        <c:lblAlgn val="ctr"/>
        <c:lblOffset val="100"/>
        <c:noMultiLvlLbl val="0"/>
      </c:catAx>
      <c:valAx>
        <c:axId val="135712768"/>
        <c:scaling>
          <c:orientation val="minMax"/>
          <c:min val="15"/>
        </c:scaling>
        <c:delete val="0"/>
        <c:axPos val="l"/>
        <c:majorGridlines/>
        <c:numFmt formatCode="0" sourceLinked="1"/>
        <c:majorTickMark val="out"/>
        <c:minorTickMark val="none"/>
        <c:tickLblPos val="nextTo"/>
        <c:crossAx val="9867865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399394843086475E-2"/>
          <c:y val="3.7667581628632298E-2"/>
          <c:w val="0.91823737149135432"/>
          <c:h val="0.58247600729298155"/>
        </c:manualLayout>
      </c:layout>
      <c:lineChart>
        <c:grouping val="standard"/>
        <c:varyColors val="0"/>
        <c:ser>
          <c:idx val="0"/>
          <c:order val="0"/>
          <c:tx>
            <c:strRef>
              <c:f>Sheet5!$D$5</c:f>
              <c:strCache>
                <c:ptCount val="1"/>
                <c:pt idx="0">
                  <c:v>&lt;60% contemporary median BHC</c:v>
                </c:pt>
              </c:strCache>
            </c:strRef>
          </c:tx>
          <c:marker>
            <c:symbol val="none"/>
          </c:marker>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Sheet5!$D$6:$D$28</c:f>
              <c:numCache>
                <c:formatCode>0</c:formatCode>
                <c:ptCount val="23"/>
                <c:pt idx="0">
                  <c:v>26</c:v>
                </c:pt>
                <c:pt idx="1">
                  <c:v>26</c:v>
                </c:pt>
                <c:pt idx="2">
                  <c:v>23</c:v>
                </c:pt>
                <c:pt idx="3">
                  <c:v>23</c:v>
                </c:pt>
                <c:pt idx="4">
                  <c:v>22</c:v>
                </c:pt>
                <c:pt idx="5">
                  <c:v>22</c:v>
                </c:pt>
                <c:pt idx="6">
                  <c:v>21</c:v>
                </c:pt>
                <c:pt idx="7">
                  <c:v>22</c:v>
                </c:pt>
                <c:pt idx="8">
                  <c:v>22</c:v>
                </c:pt>
                <c:pt idx="9">
                  <c:v>23</c:v>
                </c:pt>
                <c:pt idx="10">
                  <c:v>22</c:v>
                </c:pt>
                <c:pt idx="11">
                  <c:v>20</c:v>
                </c:pt>
                <c:pt idx="12">
                  <c:v>18</c:v>
                </c:pt>
                <c:pt idx="13">
                  <c:v>18</c:v>
                </c:pt>
                <c:pt idx="14">
                  <c:v>17</c:v>
                </c:pt>
                <c:pt idx="15">
                  <c:v>17</c:v>
                </c:pt>
                <c:pt idx="16">
                  <c:v>19</c:v>
                </c:pt>
                <c:pt idx="17">
                  <c:v>20</c:v>
                </c:pt>
              </c:numCache>
            </c:numRef>
          </c:val>
          <c:smooth val="0"/>
        </c:ser>
        <c:ser>
          <c:idx val="1"/>
          <c:order val="1"/>
          <c:tx>
            <c:strRef>
              <c:f>Sheet5!$E$5</c:f>
              <c:strCache>
                <c:ptCount val="1"/>
                <c:pt idx="0">
                  <c:v>&lt;60% 2010/11 median income BHC</c:v>
                </c:pt>
              </c:strCache>
            </c:strRef>
          </c:tx>
          <c:marker>
            <c:symbol val="none"/>
          </c:marker>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Sheet5!$E$6:$E$28</c:f>
              <c:numCache>
                <c:formatCode>0</c:formatCode>
                <c:ptCount val="23"/>
                <c:pt idx="0">
                  <c:v>40</c:v>
                </c:pt>
                <c:pt idx="1">
                  <c:v>37</c:v>
                </c:pt>
                <c:pt idx="2">
                  <c:v>33</c:v>
                </c:pt>
                <c:pt idx="3">
                  <c:v>29</c:v>
                </c:pt>
                <c:pt idx="4">
                  <c:v>26</c:v>
                </c:pt>
                <c:pt idx="5">
                  <c:v>25</c:v>
                </c:pt>
                <c:pt idx="6">
                  <c:v>24</c:v>
                </c:pt>
                <c:pt idx="7">
                  <c:v>24</c:v>
                </c:pt>
                <c:pt idx="8">
                  <c:v>23</c:v>
                </c:pt>
                <c:pt idx="9">
                  <c:v>22</c:v>
                </c:pt>
                <c:pt idx="10">
                  <c:v>21</c:v>
                </c:pt>
                <c:pt idx="11">
                  <c:v>19</c:v>
                </c:pt>
                <c:pt idx="12">
                  <c:v>18</c:v>
                </c:pt>
                <c:pt idx="13">
                  <c:v>19</c:v>
                </c:pt>
                <c:pt idx="14">
                  <c:v>19</c:v>
                </c:pt>
                <c:pt idx="15">
                  <c:v>18</c:v>
                </c:pt>
                <c:pt idx="16">
                  <c:v>17</c:v>
                </c:pt>
                <c:pt idx="17">
                  <c:v>17</c:v>
                </c:pt>
              </c:numCache>
            </c:numRef>
          </c:val>
          <c:smooth val="0"/>
        </c:ser>
        <c:ser>
          <c:idx val="2"/>
          <c:order val="2"/>
          <c:tx>
            <c:strRef>
              <c:f>Sheet5!$F$5</c:f>
              <c:strCache>
                <c:ptCount val="1"/>
                <c:pt idx="0">
                  <c:v>Low income and material deprivation</c:v>
                </c:pt>
              </c:strCache>
            </c:strRef>
          </c:tx>
          <c:marker>
            <c:symbol val="none"/>
          </c:marker>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Sheet5!$F$6:$F$28</c:f>
              <c:numCache>
                <c:formatCode>General</c:formatCode>
                <c:ptCount val="23"/>
                <c:pt idx="6" formatCode="0">
                  <c:v>17</c:v>
                </c:pt>
                <c:pt idx="7" formatCode="0">
                  <c:v>16</c:v>
                </c:pt>
                <c:pt idx="8" formatCode="0">
                  <c:v>16</c:v>
                </c:pt>
                <c:pt idx="9" formatCode="0">
                  <c:v>17</c:v>
                </c:pt>
                <c:pt idx="10" formatCode="0">
                  <c:v>17</c:v>
                </c:pt>
                <c:pt idx="11" formatCode="0">
                  <c:v>16</c:v>
                </c:pt>
                <c:pt idx="12" formatCode="0">
                  <c:v>13</c:v>
                </c:pt>
                <c:pt idx="13" formatCode="0">
                  <c:v>12</c:v>
                </c:pt>
                <c:pt idx="14" formatCode="0">
                  <c:v>13</c:v>
                </c:pt>
                <c:pt idx="15" formatCode="0">
                  <c:v>13</c:v>
                </c:pt>
                <c:pt idx="16" formatCode="0">
                  <c:v>13</c:v>
                </c:pt>
                <c:pt idx="17" formatCode="0">
                  <c:v>12</c:v>
                </c:pt>
              </c:numCache>
            </c:numRef>
          </c:val>
          <c:smooth val="0"/>
        </c:ser>
        <c:ser>
          <c:idx val="3"/>
          <c:order val="3"/>
          <c:tx>
            <c:strRef>
              <c:f>Sheet5!$G$5</c:f>
              <c:strCache>
                <c:ptCount val="1"/>
                <c:pt idx="0">
                  <c:v>Persistent poverty BHC</c:v>
                </c:pt>
              </c:strCache>
            </c:strRef>
          </c:tx>
          <c:marker>
            <c:symbol val="none"/>
          </c:marker>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Sheet5!$G$6:$G$28</c:f>
              <c:numCache>
                <c:formatCode>0</c:formatCode>
                <c:ptCount val="23"/>
                <c:pt idx="0">
                  <c:v>17</c:v>
                </c:pt>
                <c:pt idx="1">
                  <c:v>17</c:v>
                </c:pt>
                <c:pt idx="2">
                  <c:v>17</c:v>
                </c:pt>
                <c:pt idx="3">
                  <c:v>17</c:v>
                </c:pt>
                <c:pt idx="4">
                  <c:v>16</c:v>
                </c:pt>
                <c:pt idx="5">
                  <c:v>14</c:v>
                </c:pt>
                <c:pt idx="6">
                  <c:v>12</c:v>
                </c:pt>
                <c:pt idx="7">
                  <c:v>11</c:v>
                </c:pt>
                <c:pt idx="8">
                  <c:v>10</c:v>
                </c:pt>
                <c:pt idx="9">
                  <c:v>10</c:v>
                </c:pt>
                <c:pt idx="10">
                  <c:v>12.8</c:v>
                </c:pt>
                <c:pt idx="11">
                  <c:v>10.9</c:v>
                </c:pt>
                <c:pt idx="12">
                  <c:v>11</c:v>
                </c:pt>
                <c:pt idx="13">
                  <c:v>11</c:v>
                </c:pt>
                <c:pt idx="14">
                  <c:v>11</c:v>
                </c:pt>
                <c:pt idx="15">
                  <c:v>11</c:v>
                </c:pt>
                <c:pt idx="16">
                  <c:v>11</c:v>
                </c:pt>
                <c:pt idx="17">
                  <c:v>11</c:v>
                </c:pt>
              </c:numCache>
            </c:numRef>
          </c:val>
          <c:smooth val="0"/>
        </c:ser>
        <c:ser>
          <c:idx val="4"/>
          <c:order val="4"/>
          <c:tx>
            <c:strRef>
              <c:f>Sheet5!$H$5</c:f>
              <c:strCache>
                <c:ptCount val="1"/>
                <c:pt idx="0">
                  <c:v>Severe low income and material deprivation</c:v>
                </c:pt>
              </c:strCache>
            </c:strRef>
          </c:tx>
          <c:marker>
            <c:symbol val="none"/>
          </c:marker>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Sheet5!$H$6:$H$28</c:f>
              <c:numCache>
                <c:formatCode>General</c:formatCode>
                <c:ptCount val="23"/>
                <c:pt idx="6" formatCode="0">
                  <c:v>6</c:v>
                </c:pt>
                <c:pt idx="7" formatCode="0">
                  <c:v>6</c:v>
                </c:pt>
                <c:pt idx="8" formatCode="0">
                  <c:v>6</c:v>
                </c:pt>
                <c:pt idx="9" formatCode="0">
                  <c:v>6</c:v>
                </c:pt>
                <c:pt idx="10" formatCode="0">
                  <c:v>6</c:v>
                </c:pt>
                <c:pt idx="11" formatCode="0">
                  <c:v>5</c:v>
                </c:pt>
                <c:pt idx="12" formatCode="0">
                  <c:v>4</c:v>
                </c:pt>
                <c:pt idx="13" formatCode="0">
                  <c:v>3</c:v>
                </c:pt>
                <c:pt idx="14" formatCode="0">
                  <c:v>4</c:v>
                </c:pt>
                <c:pt idx="15" formatCode="0">
                  <c:v>4</c:v>
                </c:pt>
                <c:pt idx="16" formatCode="0">
                  <c:v>4</c:v>
                </c:pt>
                <c:pt idx="17" formatCode="0">
                  <c:v>4</c:v>
                </c:pt>
              </c:numCache>
            </c:numRef>
          </c:val>
          <c:smooth val="0"/>
        </c:ser>
        <c:ser>
          <c:idx val="5"/>
          <c:order val="5"/>
          <c:tx>
            <c:strRef>
              <c:f>Sheet5!$I$5</c:f>
              <c:strCache>
                <c:ptCount val="1"/>
              </c:strCache>
            </c:strRef>
          </c:tx>
          <c:spPr>
            <a:ln>
              <a:solidFill>
                <a:schemeClr val="accent1"/>
              </a:solidFill>
              <a:prstDash val="sysDash"/>
            </a:ln>
          </c:spPr>
          <c:marker>
            <c:symbol val="none"/>
          </c:marker>
          <c:dPt>
            <c:idx val="22"/>
            <c:bubble3D val="0"/>
          </c:dPt>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Sheet5!$I$6:$I$28</c:f>
              <c:numCache>
                <c:formatCode>General</c:formatCode>
                <c:ptCount val="23"/>
                <c:pt idx="17">
                  <c:v>20</c:v>
                </c:pt>
                <c:pt idx="22">
                  <c:v>10</c:v>
                </c:pt>
              </c:numCache>
            </c:numRef>
          </c:val>
          <c:smooth val="0"/>
        </c:ser>
        <c:ser>
          <c:idx val="6"/>
          <c:order val="6"/>
          <c:tx>
            <c:strRef>
              <c:f>Sheet5!$J$5</c:f>
              <c:strCache>
                <c:ptCount val="1"/>
              </c:strCache>
            </c:strRef>
          </c:tx>
          <c:spPr>
            <a:ln>
              <a:solidFill>
                <a:schemeClr val="accent2"/>
              </a:solidFill>
              <a:prstDash val="dash"/>
            </a:ln>
          </c:spPr>
          <c:marker>
            <c:symbol val="none"/>
          </c:marker>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Sheet5!$J$6:$J$28</c:f>
              <c:numCache>
                <c:formatCode>General</c:formatCode>
                <c:ptCount val="23"/>
                <c:pt idx="17">
                  <c:v>17</c:v>
                </c:pt>
                <c:pt idx="22">
                  <c:v>5</c:v>
                </c:pt>
              </c:numCache>
            </c:numRef>
          </c:val>
          <c:smooth val="0"/>
        </c:ser>
        <c:ser>
          <c:idx val="7"/>
          <c:order val="7"/>
          <c:tx>
            <c:strRef>
              <c:f>Sheet5!$K$5</c:f>
              <c:strCache>
                <c:ptCount val="1"/>
              </c:strCache>
            </c:strRef>
          </c:tx>
          <c:spPr>
            <a:ln>
              <a:solidFill>
                <a:schemeClr val="accent3"/>
              </a:solidFill>
              <a:prstDash val="dash"/>
            </a:ln>
          </c:spPr>
          <c:marker>
            <c:symbol val="none"/>
          </c:marker>
          <c:dPt>
            <c:idx val="22"/>
            <c:bubble3D val="0"/>
          </c:dPt>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Sheet5!$K$6:$K$28</c:f>
              <c:numCache>
                <c:formatCode>General</c:formatCode>
                <c:ptCount val="23"/>
                <c:pt idx="17">
                  <c:v>12</c:v>
                </c:pt>
                <c:pt idx="22">
                  <c:v>5</c:v>
                </c:pt>
              </c:numCache>
            </c:numRef>
          </c:val>
          <c:smooth val="0"/>
        </c:ser>
        <c:ser>
          <c:idx val="8"/>
          <c:order val="8"/>
          <c:tx>
            <c:strRef>
              <c:f>Sheet5!$L$5</c:f>
              <c:strCache>
                <c:ptCount val="1"/>
              </c:strCache>
            </c:strRef>
          </c:tx>
          <c:spPr>
            <a:ln>
              <a:solidFill>
                <a:schemeClr val="accent4"/>
              </a:solidFill>
              <a:prstDash val="sysDash"/>
            </a:ln>
          </c:spPr>
          <c:marker>
            <c:symbol val="none"/>
          </c:marker>
          <c:dPt>
            <c:idx val="22"/>
            <c:bubble3D val="0"/>
          </c:dPt>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Sheet5!$L$6:$L$28</c:f>
              <c:numCache>
                <c:formatCode>General</c:formatCode>
                <c:ptCount val="23"/>
                <c:pt idx="17">
                  <c:v>11</c:v>
                </c:pt>
                <c:pt idx="22">
                  <c:v>7</c:v>
                </c:pt>
              </c:numCache>
            </c:numRef>
          </c:val>
          <c:smooth val="0"/>
        </c:ser>
        <c:ser>
          <c:idx val="9"/>
          <c:order val="9"/>
          <c:tx>
            <c:strRef>
              <c:f>Sheet5!$M$5</c:f>
              <c:strCache>
                <c:ptCount val="1"/>
              </c:strCache>
            </c:strRef>
          </c:tx>
          <c:spPr>
            <a:ln>
              <a:solidFill>
                <a:schemeClr val="accent5"/>
              </a:solidFill>
              <a:prstDash val="sysDash"/>
            </a:ln>
          </c:spPr>
          <c:marker>
            <c:symbol val="none"/>
          </c:marker>
          <c:cat>
            <c:strRef>
              <c:f>Sheet5!$C$6:$C$28</c:f>
              <c:strCache>
                <c:ptCount val="23"/>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strCache>
            </c:strRef>
          </c:cat>
          <c:val>
            <c:numRef>
              <c:f>Sheet5!$M$6:$M$28</c:f>
              <c:numCache>
                <c:formatCode>General</c:formatCode>
                <c:ptCount val="23"/>
                <c:pt idx="17">
                  <c:v>4</c:v>
                </c:pt>
                <c:pt idx="22">
                  <c:v>0</c:v>
                </c:pt>
              </c:numCache>
            </c:numRef>
          </c:val>
          <c:smooth val="0"/>
        </c:ser>
        <c:dLbls>
          <c:showLegendKey val="0"/>
          <c:showVal val="0"/>
          <c:showCatName val="0"/>
          <c:showSerName val="0"/>
          <c:showPercent val="0"/>
          <c:showBubbleSize val="0"/>
        </c:dLbls>
        <c:marker val="1"/>
        <c:smooth val="0"/>
        <c:axId val="253892864"/>
        <c:axId val="255918080"/>
      </c:lineChart>
      <c:catAx>
        <c:axId val="253892864"/>
        <c:scaling>
          <c:orientation val="minMax"/>
        </c:scaling>
        <c:delete val="0"/>
        <c:axPos val="b"/>
        <c:majorTickMark val="out"/>
        <c:minorTickMark val="none"/>
        <c:tickLblPos val="nextTo"/>
        <c:crossAx val="255918080"/>
        <c:crosses val="autoZero"/>
        <c:auto val="1"/>
        <c:lblAlgn val="ctr"/>
        <c:lblOffset val="100"/>
        <c:noMultiLvlLbl val="0"/>
      </c:catAx>
      <c:valAx>
        <c:axId val="255918080"/>
        <c:scaling>
          <c:orientation val="minMax"/>
        </c:scaling>
        <c:delete val="0"/>
        <c:axPos val="l"/>
        <c:majorGridlines/>
        <c:numFmt formatCode="0" sourceLinked="1"/>
        <c:majorTickMark val="out"/>
        <c:minorTickMark val="none"/>
        <c:tickLblPos val="nextTo"/>
        <c:crossAx val="253892864"/>
        <c:crosses val="autoZero"/>
        <c:crossBetween val="between"/>
      </c:valAx>
    </c:plotArea>
    <c:legend>
      <c:legendPos val="b"/>
      <c:layout>
        <c:manualLayout>
          <c:xMode val="edge"/>
          <c:yMode val="edge"/>
          <c:x val="2.4810215807003513E-4"/>
          <c:y val="0.77863877702310114"/>
          <c:w val="0.97502271518385786"/>
          <c:h val="0.20100498888020674"/>
        </c:manualLayout>
      </c:layout>
      <c:overlay val="0"/>
    </c:legend>
    <c:plotVisOnly val="1"/>
    <c:dispBlanksAs val="span"/>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BD4B2B4.dotm</Template>
  <TotalTime>0</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 Bradshaw</cp:lastModifiedBy>
  <cp:revision>2</cp:revision>
  <dcterms:created xsi:type="dcterms:W3CDTF">2017-03-24T13:23:00Z</dcterms:created>
  <dcterms:modified xsi:type="dcterms:W3CDTF">2017-03-24T13:23:00Z</dcterms:modified>
</cp:coreProperties>
</file>