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4F8" w:rsidRDefault="002B04F8" w:rsidP="002B04F8">
      <w:pPr>
        <w:spacing w:line="360" w:lineRule="auto"/>
        <w:rPr>
          <w:rFonts w:ascii="Calibri" w:hAnsi="Calibri"/>
          <w:b/>
          <w:bCs/>
          <w:color w:val="000000"/>
          <w:shd w:val="clear" w:color="auto" w:fill="FFFFFF"/>
        </w:rPr>
      </w:pPr>
      <w:r>
        <w:rPr>
          <w:rFonts w:ascii="Calibri" w:hAnsi="Calibri"/>
          <w:b/>
          <w:bCs/>
          <w:color w:val="000000"/>
          <w:shd w:val="clear" w:color="auto" w:fill="FFFFFF"/>
        </w:rPr>
        <w:t>Outcomes and inequalities in diabetes from 2004/5 to 2011/12: English longitudinal study</w:t>
      </w:r>
    </w:p>
    <w:p w:rsidR="002B04F8" w:rsidRPr="00C55369" w:rsidRDefault="002B04F8" w:rsidP="002B04F8">
      <w:pPr>
        <w:spacing w:line="360" w:lineRule="auto"/>
      </w:pPr>
    </w:p>
    <w:p w:rsidR="002B04F8" w:rsidRDefault="002B04F8" w:rsidP="002B04F8">
      <w:pPr>
        <w:spacing w:line="360" w:lineRule="auto"/>
      </w:pPr>
      <w:r>
        <w:t xml:space="preserve">Robert </w:t>
      </w:r>
      <w:proofErr w:type="spellStart"/>
      <w:r>
        <w:t>Fleetcroft</w:t>
      </w:r>
      <w:proofErr w:type="spellEnd"/>
      <w:r>
        <w:t xml:space="preserve">, Honorary Senior Fellow, Norwich Medical School, University of East Anglia, Norwich, UK  01493 717796  </w:t>
      </w:r>
      <w:hyperlink r:id="rId7" w:history="1">
        <w:r>
          <w:rPr>
            <w:rStyle w:val="Hyperlink"/>
          </w:rPr>
          <w:t>robert.fleetcroft@nhs.net</w:t>
        </w:r>
      </w:hyperlink>
    </w:p>
    <w:p w:rsidR="002B04F8" w:rsidRDefault="002B04F8" w:rsidP="002B04F8">
      <w:pPr>
        <w:spacing w:line="360" w:lineRule="auto"/>
      </w:pPr>
    </w:p>
    <w:p w:rsidR="002B04F8" w:rsidRDefault="002B04F8" w:rsidP="002B04F8">
      <w:pPr>
        <w:spacing w:line="360" w:lineRule="auto"/>
        <w:rPr>
          <w:rStyle w:val="Hyperlink"/>
          <w:lang w:val="en"/>
        </w:rPr>
      </w:pPr>
      <w:proofErr w:type="spellStart"/>
      <w:r>
        <w:t>Miqdad</w:t>
      </w:r>
      <w:proofErr w:type="spellEnd"/>
      <w:r>
        <w:t xml:space="preserve"> </w:t>
      </w:r>
      <w:proofErr w:type="spellStart"/>
      <w:r>
        <w:t>Asaria</w:t>
      </w:r>
      <w:proofErr w:type="spellEnd"/>
      <w:r>
        <w:t>, Research Fellow, Centre for Health Economics, University of York, York, UK</w:t>
      </w:r>
    </w:p>
    <w:p w:rsidR="002B04F8" w:rsidRDefault="002B04F8" w:rsidP="002B04F8">
      <w:pPr>
        <w:spacing w:line="360" w:lineRule="auto"/>
      </w:pPr>
      <w:r>
        <w:rPr>
          <w:rStyle w:val="Hyperlink"/>
          <w:color w:val="auto"/>
          <w:u w:val="none"/>
          <w:lang w:val="en"/>
        </w:rPr>
        <w:t>Tel 0</w:t>
      </w:r>
      <w:r>
        <w:rPr>
          <w:rStyle w:val="value"/>
          <w:lang w:val="en"/>
        </w:rPr>
        <w:t xml:space="preserve">1904 </w:t>
      </w:r>
      <w:proofErr w:type="gramStart"/>
      <w:r>
        <w:rPr>
          <w:rStyle w:val="value"/>
          <w:lang w:val="en"/>
        </w:rPr>
        <w:t xml:space="preserve">321401  </w:t>
      </w:r>
      <w:proofErr w:type="gramEnd"/>
      <w:r>
        <w:fldChar w:fldCharType="begin"/>
      </w:r>
      <w:r>
        <w:instrText xml:space="preserve"> HYPERLINK "mailto:miqdad.asaria@york.ac.uk" </w:instrText>
      </w:r>
      <w:r>
        <w:fldChar w:fldCharType="separate"/>
      </w:r>
      <w:r>
        <w:rPr>
          <w:rStyle w:val="Hyperlink"/>
        </w:rPr>
        <w:t>miqdad.asaria@york.ac.uk</w:t>
      </w:r>
      <w:r>
        <w:rPr>
          <w:rStyle w:val="Hyperlink"/>
        </w:rPr>
        <w:fldChar w:fldCharType="end"/>
      </w:r>
      <w:r>
        <w:t xml:space="preserve"> </w:t>
      </w:r>
    </w:p>
    <w:p w:rsidR="002B04F8" w:rsidRDefault="002B04F8" w:rsidP="002B04F8">
      <w:pPr>
        <w:spacing w:line="360" w:lineRule="auto"/>
      </w:pPr>
    </w:p>
    <w:p w:rsidR="002B04F8" w:rsidRDefault="002B04F8" w:rsidP="002B04F8">
      <w:pPr>
        <w:spacing w:line="360" w:lineRule="auto"/>
      </w:pPr>
      <w:proofErr w:type="spellStart"/>
      <w:r>
        <w:t>Shehzad</w:t>
      </w:r>
      <w:proofErr w:type="spellEnd"/>
      <w:r>
        <w:t xml:space="preserve"> Ali, Research Fellow, Centre for Health Economics, University of York, York, UK</w:t>
      </w:r>
    </w:p>
    <w:p w:rsidR="002B04F8" w:rsidRDefault="002B04F8" w:rsidP="002B04F8">
      <w:pPr>
        <w:spacing w:line="360" w:lineRule="auto"/>
      </w:pPr>
      <w:r>
        <w:rPr>
          <w:rStyle w:val="Hyperlink"/>
          <w:color w:val="auto"/>
          <w:u w:val="none"/>
          <w:lang w:val="en"/>
        </w:rPr>
        <w:t>Tel 0</w:t>
      </w:r>
      <w:r>
        <w:rPr>
          <w:rStyle w:val="value"/>
          <w:lang w:val="en"/>
        </w:rPr>
        <w:t xml:space="preserve">1904 </w:t>
      </w:r>
      <w:proofErr w:type="gramStart"/>
      <w:r>
        <w:rPr>
          <w:rStyle w:val="value"/>
          <w:lang w:val="en"/>
        </w:rPr>
        <w:t xml:space="preserve">321401 </w:t>
      </w:r>
      <w:r>
        <w:rPr>
          <w:lang w:val="en"/>
        </w:rPr>
        <w:t xml:space="preserve"> </w:t>
      </w:r>
      <w:proofErr w:type="gramEnd"/>
      <w:r>
        <w:fldChar w:fldCharType="begin"/>
      </w:r>
      <w:r>
        <w:instrText xml:space="preserve"> HYPERLINK "mailto:shehzad.ali@york.ac.uk" </w:instrText>
      </w:r>
      <w:r>
        <w:fldChar w:fldCharType="separate"/>
      </w:r>
      <w:r>
        <w:rPr>
          <w:rStyle w:val="Hyperlink"/>
        </w:rPr>
        <w:t>shehzad.ali@york.ac.uk</w:t>
      </w:r>
      <w:r>
        <w:rPr>
          <w:rStyle w:val="Hyperlink"/>
        </w:rPr>
        <w:fldChar w:fldCharType="end"/>
      </w:r>
      <w:r>
        <w:t xml:space="preserve"> </w:t>
      </w:r>
    </w:p>
    <w:p w:rsidR="002B04F8" w:rsidRDefault="002B04F8" w:rsidP="002B04F8">
      <w:pPr>
        <w:spacing w:line="360" w:lineRule="auto"/>
      </w:pPr>
    </w:p>
    <w:p w:rsidR="002B04F8" w:rsidRDefault="002B04F8" w:rsidP="002B04F8">
      <w:pPr>
        <w:spacing w:line="360" w:lineRule="auto"/>
      </w:pPr>
      <w:r>
        <w:t>Richard Cookson, Professor, Centre for Health Economics, University of York, York, UK</w:t>
      </w:r>
    </w:p>
    <w:p w:rsidR="002B04F8" w:rsidRDefault="002B04F8" w:rsidP="002B04F8">
      <w:pPr>
        <w:spacing w:line="360" w:lineRule="auto"/>
      </w:pPr>
      <w:r>
        <w:rPr>
          <w:rStyle w:val="Hyperlink"/>
          <w:color w:val="auto"/>
          <w:u w:val="none"/>
          <w:lang w:val="en"/>
        </w:rPr>
        <w:t>Tel 0</w:t>
      </w:r>
      <w:r>
        <w:rPr>
          <w:rStyle w:val="value"/>
          <w:lang w:val="en"/>
        </w:rPr>
        <w:t xml:space="preserve">1904 </w:t>
      </w:r>
      <w:proofErr w:type="gramStart"/>
      <w:r>
        <w:rPr>
          <w:rStyle w:val="value"/>
          <w:lang w:val="en"/>
        </w:rPr>
        <w:t xml:space="preserve">321401 </w:t>
      </w:r>
      <w:r>
        <w:rPr>
          <w:lang w:val="en"/>
        </w:rPr>
        <w:t xml:space="preserve"> </w:t>
      </w:r>
      <w:proofErr w:type="gramEnd"/>
      <w:r>
        <w:fldChar w:fldCharType="begin"/>
      </w:r>
      <w:r>
        <w:instrText xml:space="preserve"> HYPERLINK "mailto:richard.cookson@york.ac.uk" </w:instrText>
      </w:r>
      <w:r>
        <w:fldChar w:fldCharType="separate"/>
      </w:r>
      <w:r>
        <w:rPr>
          <w:rStyle w:val="Hyperlink"/>
        </w:rPr>
        <w:t>richard.cookson@york.ac.uk</w:t>
      </w:r>
      <w:r>
        <w:rPr>
          <w:rStyle w:val="Hyperlink"/>
        </w:rPr>
        <w:fldChar w:fldCharType="end"/>
      </w:r>
      <w:r>
        <w:t xml:space="preserve"> </w:t>
      </w:r>
    </w:p>
    <w:p w:rsidR="002B04F8" w:rsidRDefault="002B04F8" w:rsidP="002B04F8">
      <w:pPr>
        <w:spacing w:line="360" w:lineRule="auto"/>
      </w:pPr>
    </w:p>
    <w:p w:rsidR="002B04F8" w:rsidRDefault="002B04F8" w:rsidP="002B04F8">
      <w:pPr>
        <w:spacing w:line="360" w:lineRule="auto"/>
      </w:pPr>
      <w:r>
        <w:t xml:space="preserve">Corresponding author, Robert </w:t>
      </w:r>
      <w:proofErr w:type="spellStart"/>
      <w:r>
        <w:t>Fleetcroft</w:t>
      </w:r>
      <w:proofErr w:type="spellEnd"/>
      <w:r>
        <w:t xml:space="preserve"> </w:t>
      </w:r>
    </w:p>
    <w:p w:rsidR="002B04F8" w:rsidRDefault="002B04F8" w:rsidP="002B04F8">
      <w:pPr>
        <w:spacing w:line="360" w:lineRule="auto"/>
      </w:pPr>
      <w:r>
        <w:t xml:space="preserve"> </w:t>
      </w:r>
      <w:hyperlink r:id="rId8" w:history="1">
        <w:r>
          <w:rPr>
            <w:rStyle w:val="Hyperlink"/>
          </w:rPr>
          <w:t>robert.fleetcroft@nhs.net</w:t>
        </w:r>
      </w:hyperlink>
      <w:r>
        <w:t xml:space="preserve"> </w:t>
      </w:r>
    </w:p>
    <w:p w:rsidR="002B04F8" w:rsidRPr="00C55369" w:rsidRDefault="002B04F8" w:rsidP="002B04F8">
      <w:pPr>
        <w:spacing w:line="360" w:lineRule="auto"/>
      </w:pPr>
      <w:r w:rsidRPr="00C55369">
        <w:t xml:space="preserve"> </w:t>
      </w:r>
    </w:p>
    <w:p w:rsidR="002B04F8" w:rsidRPr="00C55369" w:rsidRDefault="002B04F8" w:rsidP="002B04F8">
      <w:pPr>
        <w:spacing w:line="360" w:lineRule="auto"/>
      </w:pPr>
    </w:p>
    <w:p w:rsidR="002B04F8" w:rsidRPr="00C55369" w:rsidRDefault="002B04F8" w:rsidP="002B04F8">
      <w:pPr>
        <w:spacing w:line="360" w:lineRule="auto"/>
      </w:pPr>
    </w:p>
    <w:p w:rsidR="002B04F8" w:rsidRPr="00C55369" w:rsidRDefault="002B04F8" w:rsidP="002B04F8">
      <w:pPr>
        <w:spacing w:line="360" w:lineRule="auto"/>
      </w:pPr>
    </w:p>
    <w:p w:rsidR="002B04F8" w:rsidRPr="00C55369" w:rsidRDefault="002B04F8" w:rsidP="002B04F8">
      <w:pPr>
        <w:spacing w:line="360" w:lineRule="auto"/>
      </w:pPr>
    </w:p>
    <w:p w:rsidR="002B04F8" w:rsidRPr="00C55369" w:rsidRDefault="002B04F8" w:rsidP="002B04F8">
      <w:pPr>
        <w:spacing w:line="360" w:lineRule="auto"/>
      </w:pPr>
    </w:p>
    <w:p w:rsidR="002B04F8" w:rsidRDefault="002B04F8" w:rsidP="002B04F8">
      <w:pPr>
        <w:spacing w:line="360" w:lineRule="auto"/>
      </w:pPr>
    </w:p>
    <w:p w:rsidR="002B04F8" w:rsidRPr="00C55369" w:rsidRDefault="002B04F8" w:rsidP="002B04F8">
      <w:pPr>
        <w:spacing w:line="360" w:lineRule="auto"/>
      </w:pPr>
    </w:p>
    <w:p w:rsidR="002B04F8" w:rsidRPr="00C55369" w:rsidRDefault="002B04F8" w:rsidP="002B04F8">
      <w:pPr>
        <w:spacing w:line="360" w:lineRule="auto"/>
        <w:rPr>
          <w:b/>
        </w:rPr>
      </w:pPr>
      <w:r w:rsidRPr="00C55369">
        <w:rPr>
          <w:b/>
        </w:rPr>
        <w:lastRenderedPageBreak/>
        <w:t xml:space="preserve">Abstract </w:t>
      </w:r>
    </w:p>
    <w:p w:rsidR="002B04F8" w:rsidRPr="00C55369" w:rsidRDefault="002B04F8" w:rsidP="002B04F8">
      <w:pPr>
        <w:spacing w:line="360" w:lineRule="auto"/>
        <w:rPr>
          <w:b/>
        </w:rPr>
      </w:pPr>
      <w:r w:rsidRPr="00C55369">
        <w:rPr>
          <w:b/>
        </w:rPr>
        <w:t>Background</w:t>
      </w:r>
    </w:p>
    <w:p w:rsidR="002B04F8" w:rsidRPr="00C55369" w:rsidRDefault="002B04F8" w:rsidP="002B04F8">
      <w:pPr>
        <w:spacing w:line="360" w:lineRule="auto"/>
      </w:pPr>
      <w:r w:rsidRPr="00C55369">
        <w:t>Outcomes of diabetes care are unequal and the NHS has a duty to consider reducing inequality in healthcare outcomes.</w:t>
      </w:r>
    </w:p>
    <w:p w:rsidR="002B04F8" w:rsidRPr="00C55369" w:rsidRDefault="002B04F8" w:rsidP="002B04F8">
      <w:pPr>
        <w:spacing w:line="360" w:lineRule="auto"/>
        <w:rPr>
          <w:b/>
        </w:rPr>
      </w:pPr>
      <w:r w:rsidRPr="00C55369">
        <w:rPr>
          <w:b/>
        </w:rPr>
        <w:t>Aim</w:t>
      </w:r>
    </w:p>
    <w:p w:rsidR="002B04F8" w:rsidRPr="00C55369" w:rsidRDefault="002B04F8" w:rsidP="002B04F8">
      <w:pPr>
        <w:spacing w:line="360" w:lineRule="auto"/>
      </w:pPr>
      <w:proofErr w:type="gramStart"/>
      <w:r w:rsidRPr="00C55369">
        <w:t>To quantify trends in socioeconomic inequality in diabetes outcomes.</w:t>
      </w:r>
      <w:proofErr w:type="gramEnd"/>
    </w:p>
    <w:p w:rsidR="002B04F8" w:rsidRPr="00C55369" w:rsidRDefault="002B04F8" w:rsidP="002B04F8">
      <w:pPr>
        <w:spacing w:line="360" w:lineRule="auto"/>
        <w:rPr>
          <w:b/>
        </w:rPr>
      </w:pPr>
      <w:r w:rsidRPr="00C55369">
        <w:rPr>
          <w:b/>
        </w:rPr>
        <w:t>Design and Setting</w:t>
      </w:r>
    </w:p>
    <w:p w:rsidR="002B04F8" w:rsidRPr="00C55369" w:rsidRDefault="002B04F8" w:rsidP="002B04F8">
      <w:pPr>
        <w:spacing w:line="360" w:lineRule="auto"/>
      </w:pPr>
      <w:proofErr w:type="gramStart"/>
      <w:r w:rsidRPr="00C55369">
        <w:t>Whole-population longitudinal study of 32,482 neighbourhoods (Lower Layer Super Output Areas) in England between 2004/5 and 2011/12.</w:t>
      </w:r>
      <w:proofErr w:type="gramEnd"/>
    </w:p>
    <w:p w:rsidR="002B04F8" w:rsidRPr="00C55369" w:rsidRDefault="002B04F8" w:rsidP="002B04F8">
      <w:pPr>
        <w:spacing w:line="360" w:lineRule="auto"/>
        <w:rPr>
          <w:b/>
        </w:rPr>
      </w:pPr>
      <w:r w:rsidRPr="00C55369">
        <w:rPr>
          <w:b/>
        </w:rPr>
        <w:t>Method</w:t>
      </w:r>
    </w:p>
    <w:p w:rsidR="002B04F8" w:rsidRPr="00C55369" w:rsidRDefault="002B04F8" w:rsidP="002B04F8">
      <w:pPr>
        <w:spacing w:line="360" w:lineRule="auto"/>
      </w:pPr>
      <w:r w:rsidRPr="00C55369">
        <w:t>Slope indices of inequality between more and less deprived neighbourhoods measured annually for: (</w:t>
      </w:r>
      <w:proofErr w:type="spellStart"/>
      <w:r w:rsidRPr="00C55369">
        <w:t>i</w:t>
      </w:r>
      <w:proofErr w:type="spellEnd"/>
      <w:r w:rsidRPr="00C55369">
        <w:t xml:space="preserve">) glycated haemoglobin control in diabetics, (ii) emergency hospitalisation for diabetes and (iii) mortality from diabetes. </w:t>
      </w:r>
    </w:p>
    <w:p w:rsidR="002B04F8" w:rsidRPr="00C55369" w:rsidRDefault="002B04F8" w:rsidP="002B04F8">
      <w:pPr>
        <w:spacing w:line="360" w:lineRule="auto"/>
        <w:rPr>
          <w:b/>
        </w:rPr>
      </w:pPr>
      <w:r w:rsidRPr="00C55369">
        <w:rPr>
          <w:b/>
        </w:rPr>
        <w:t xml:space="preserve">Results </w:t>
      </w:r>
    </w:p>
    <w:p w:rsidR="002B04F8" w:rsidRPr="00C55369" w:rsidRDefault="002B04F8" w:rsidP="002B04F8">
      <w:pPr>
        <w:spacing w:line="360" w:lineRule="auto"/>
      </w:pPr>
      <w:r w:rsidRPr="00C55369">
        <w:t>Between 2004/5 to 2011/12 glycaemic control improved in all social groups, although inequality was unchanged as measured by the SII (0.04, 95% CI -0.43 to 0.52). Diabetes mortality improved in all social groups, with faster mortality declines in more deprived neighbourhoods. Inequality in diabetes mortality improved, with the SII falling by 2.68 (95% CI 1.93 to 3.43) resulting in 594 (95% CI 420 to 767) fewer deaths. In contrast emergency hospitalisations for diabetes increased in all social groups, with faster growth in more deprived neighbourhoods. The socioeconomic gradient increased with the SII widening by 19.59 admissions for diabetes per 100,000 (95% CI 16.00 to 23.17) resulting in an increase in excess admissions associated with socioeconomic inequality of 5,991 (95% CI 5,084 to 6,899) compared to 2004/5.</w:t>
      </w:r>
    </w:p>
    <w:p w:rsidR="002B04F8" w:rsidRPr="00C55369" w:rsidRDefault="002B04F8" w:rsidP="002B04F8">
      <w:pPr>
        <w:spacing w:line="360" w:lineRule="auto"/>
        <w:rPr>
          <w:b/>
        </w:rPr>
      </w:pPr>
      <w:r w:rsidRPr="00C55369">
        <w:rPr>
          <w:b/>
        </w:rPr>
        <w:t>Conclusion</w:t>
      </w:r>
    </w:p>
    <w:p w:rsidR="002B04F8" w:rsidRPr="00C55369" w:rsidRDefault="002B04F8" w:rsidP="002B04F8">
      <w:pPr>
        <w:spacing w:line="360" w:lineRule="auto"/>
      </w:pPr>
      <w:r w:rsidRPr="00C55369">
        <w:t>In diabetes mortality declined faster, but emergency hospitalisation grew faster in more deprived neighbourhoods. Unequal growth in hospitalisation for diabetes is partly due to increased diabetes prevalence and patients living longer, but may also be due to over-use of glycaemic control medication.</w:t>
      </w:r>
    </w:p>
    <w:p w:rsidR="002B04F8" w:rsidRPr="00C55369" w:rsidRDefault="002B04F8" w:rsidP="002B04F8">
      <w:pPr>
        <w:spacing w:line="360" w:lineRule="auto"/>
      </w:pPr>
      <w:r w:rsidRPr="00C55369">
        <w:lastRenderedPageBreak/>
        <w:t>Keywords</w:t>
      </w:r>
    </w:p>
    <w:p w:rsidR="002B04F8" w:rsidRPr="00C55369" w:rsidRDefault="002B04F8" w:rsidP="002B04F8">
      <w:pPr>
        <w:spacing w:line="360" w:lineRule="auto"/>
      </w:pPr>
      <w:proofErr w:type="gramStart"/>
      <w:r w:rsidRPr="00C55369">
        <w:t>Diabetes mellitus, socioeconomic factors, quality of healthcare, mortality, emergency medicine, patient admission.</w:t>
      </w:r>
      <w:proofErr w:type="gramEnd"/>
    </w:p>
    <w:p w:rsidR="002B04F8" w:rsidRPr="00C55369" w:rsidRDefault="002B04F8" w:rsidP="002B04F8">
      <w:pPr>
        <w:spacing w:line="360" w:lineRule="auto"/>
      </w:pPr>
    </w:p>
    <w:p w:rsidR="002B04F8" w:rsidRPr="00C55369" w:rsidRDefault="002B04F8" w:rsidP="002B04F8">
      <w:pPr>
        <w:spacing w:line="360" w:lineRule="auto"/>
      </w:pPr>
      <w:r w:rsidRPr="00C55369">
        <w:rPr>
          <w:b/>
        </w:rPr>
        <w:t xml:space="preserve">How this fits in </w:t>
      </w:r>
    </w:p>
    <w:p w:rsidR="002B04F8" w:rsidRPr="00C55369" w:rsidRDefault="002B04F8" w:rsidP="002B04F8">
      <w:pPr>
        <w:spacing w:line="360" w:lineRule="auto"/>
      </w:pPr>
      <w:r w:rsidRPr="00C55369">
        <w:t>More than 2.7 million adults in the UK had a diagnosis of diabetes in 2013, 90% of which is type II diabetes.</w:t>
      </w:r>
    </w:p>
    <w:p w:rsidR="002B04F8" w:rsidRPr="00C55369" w:rsidRDefault="002B04F8" w:rsidP="002B04F8">
      <w:pPr>
        <w:spacing w:line="360" w:lineRule="auto"/>
      </w:pPr>
      <w:r w:rsidRPr="00C55369">
        <w:t xml:space="preserve">Type II diabetes is socially patterned with prevalence 50% higher in the most deprived fifth of the population compared with the least deprived fifth. </w:t>
      </w:r>
    </w:p>
    <w:p w:rsidR="002B04F8" w:rsidRPr="00C55369" w:rsidRDefault="002B04F8" w:rsidP="002B04F8">
      <w:pPr>
        <w:spacing w:line="360" w:lineRule="auto"/>
      </w:pPr>
      <w:r w:rsidRPr="00C55369">
        <w:t xml:space="preserve">Our research found that mortality from diabetes improved faster in more deprived neighbourhoods between 2004/5 and 2011/12, inequalities in glycaemic control were unchanged, while inequalities in emergency hospitalisations for diabetes complications increased faster. </w:t>
      </w:r>
    </w:p>
    <w:p w:rsidR="002B04F8" w:rsidRPr="00C55369" w:rsidRDefault="002B04F8" w:rsidP="002B04F8">
      <w:pPr>
        <w:spacing w:line="360" w:lineRule="auto"/>
      </w:pPr>
    </w:p>
    <w:p w:rsidR="002B04F8" w:rsidRPr="00C55369" w:rsidRDefault="002B04F8" w:rsidP="002B04F8">
      <w:pPr>
        <w:spacing w:line="360" w:lineRule="auto"/>
      </w:pPr>
    </w:p>
    <w:p w:rsidR="002B04F8" w:rsidRPr="00C55369" w:rsidRDefault="002B04F8" w:rsidP="002B04F8">
      <w:pPr>
        <w:spacing w:line="360" w:lineRule="auto"/>
      </w:pPr>
    </w:p>
    <w:p w:rsidR="002B04F8" w:rsidRPr="00C55369" w:rsidRDefault="002B04F8" w:rsidP="002B04F8">
      <w:pPr>
        <w:spacing w:line="360" w:lineRule="auto"/>
      </w:pPr>
    </w:p>
    <w:p w:rsidR="002B04F8" w:rsidRPr="00C55369" w:rsidRDefault="002B04F8" w:rsidP="002B04F8">
      <w:pPr>
        <w:spacing w:line="360" w:lineRule="auto"/>
      </w:pPr>
      <w:r w:rsidRPr="00C55369">
        <w:t xml:space="preserve"> </w:t>
      </w:r>
    </w:p>
    <w:p w:rsidR="002B04F8" w:rsidRPr="00C55369" w:rsidRDefault="002B04F8" w:rsidP="002B04F8">
      <w:pPr>
        <w:spacing w:line="360" w:lineRule="auto"/>
        <w:rPr>
          <w:b/>
        </w:rPr>
      </w:pPr>
    </w:p>
    <w:p w:rsidR="002B04F8" w:rsidRPr="00C55369" w:rsidRDefault="002B04F8" w:rsidP="002B04F8">
      <w:pPr>
        <w:spacing w:line="360" w:lineRule="auto"/>
        <w:rPr>
          <w:b/>
        </w:rPr>
      </w:pPr>
    </w:p>
    <w:p w:rsidR="002B04F8" w:rsidRPr="00C55369" w:rsidRDefault="002B04F8" w:rsidP="002B04F8">
      <w:pPr>
        <w:spacing w:line="360" w:lineRule="auto"/>
        <w:rPr>
          <w:b/>
        </w:rPr>
      </w:pPr>
    </w:p>
    <w:p w:rsidR="002B04F8" w:rsidRPr="00C55369" w:rsidRDefault="002B04F8" w:rsidP="002B04F8">
      <w:pPr>
        <w:spacing w:line="360" w:lineRule="auto"/>
        <w:rPr>
          <w:b/>
        </w:rPr>
      </w:pPr>
    </w:p>
    <w:p w:rsidR="002B04F8" w:rsidRPr="00C55369" w:rsidRDefault="002B04F8" w:rsidP="002B04F8">
      <w:pPr>
        <w:spacing w:line="360" w:lineRule="auto"/>
        <w:rPr>
          <w:b/>
        </w:rPr>
      </w:pPr>
    </w:p>
    <w:p w:rsidR="002B04F8" w:rsidRPr="00C55369" w:rsidRDefault="002B04F8" w:rsidP="002B04F8">
      <w:pPr>
        <w:spacing w:line="360" w:lineRule="auto"/>
        <w:rPr>
          <w:b/>
        </w:rPr>
      </w:pPr>
    </w:p>
    <w:p w:rsidR="002B04F8" w:rsidRPr="00C55369" w:rsidRDefault="002B04F8" w:rsidP="002B04F8">
      <w:pPr>
        <w:spacing w:line="360" w:lineRule="auto"/>
        <w:rPr>
          <w:b/>
        </w:rPr>
      </w:pPr>
    </w:p>
    <w:p w:rsidR="002B04F8" w:rsidRPr="00C55369" w:rsidRDefault="002B04F8" w:rsidP="002B04F8">
      <w:pPr>
        <w:spacing w:line="360" w:lineRule="auto"/>
        <w:rPr>
          <w:b/>
        </w:rPr>
      </w:pPr>
    </w:p>
    <w:p w:rsidR="002B04F8" w:rsidRPr="00C55369" w:rsidRDefault="002B04F8" w:rsidP="002B04F8">
      <w:pPr>
        <w:spacing w:line="360" w:lineRule="auto"/>
        <w:rPr>
          <w:b/>
        </w:rPr>
      </w:pPr>
      <w:r w:rsidRPr="00C55369">
        <w:rPr>
          <w:b/>
        </w:rPr>
        <w:lastRenderedPageBreak/>
        <w:t>Introduction</w:t>
      </w:r>
    </w:p>
    <w:p w:rsidR="002B04F8" w:rsidRPr="00C55369" w:rsidRDefault="002B04F8" w:rsidP="002B04F8">
      <w:pPr>
        <w:spacing w:line="360" w:lineRule="auto"/>
      </w:pPr>
      <w:r w:rsidRPr="00C55369">
        <w:t xml:space="preserve">In 2013, 2.7 million adults over the age of 17 were diagnosed with </w:t>
      </w:r>
      <w:r>
        <w:t>diabetes in the UK.[1]</w:t>
      </w:r>
      <w:r w:rsidRPr="00C55369">
        <w:t xml:space="preserve"> 10% had type </w:t>
      </w:r>
      <w:r>
        <w:t>I diabetes [2] and</w:t>
      </w:r>
      <w:r w:rsidRPr="00C55369">
        <w:t xml:space="preserve"> 90% had type II diabetes</w:t>
      </w:r>
      <w:r>
        <w:t>,</w:t>
      </w:r>
      <w:r w:rsidRPr="00C55369">
        <w:t xml:space="preserve"> which is more likely to be influenced by lifestyle factors.[3] Type II diabetes is socially patterned, with prevalence approximately 50% higher in the most deprived compared with the least deprived quintile group.[4] Both types of diabetes have potentially serious complications decreasing both quality and length of life.[3] The NHS in England spent £3.9 million on diabetes services in 2009-10, approximately 4% of the NHS budget. [5] One important aspect of diabetes management is the control of HbA1c (glycated haemoglobin) levels, which reduces the risk of complications, hospitalisation and mortality. [6] </w:t>
      </w:r>
    </w:p>
    <w:p w:rsidR="002B04F8" w:rsidRPr="00C55369" w:rsidRDefault="002B04F8" w:rsidP="002B04F8">
      <w:pPr>
        <w:spacing w:line="360" w:lineRule="auto"/>
      </w:pPr>
      <w:r w:rsidRPr="00C55369">
        <w:t>In 2003, the UK Government made reducing health inequality a key priority of national health policy. [7, 8]  This was supported by several major investments with potential impact on reducing inequalities. Firstly, the Quality and Outcomes Framework (QOF) pay-for-performance programme introduced in 2004.[9] The QOF contains financial incentives for a</w:t>
      </w:r>
      <w:r>
        <w:t>chieving clinical targets in</w:t>
      </w:r>
      <w:r w:rsidRPr="00C55369">
        <w:t xml:space="preserve"> control</w:t>
      </w:r>
      <w:r>
        <w:t xml:space="preserve">ling </w:t>
      </w:r>
      <w:r w:rsidRPr="00C55369">
        <w:t>glycaemia, cholesterol levels, and blood pr</w:t>
      </w:r>
      <w:r>
        <w:t>essure; and also for the</w:t>
      </w:r>
      <w:r w:rsidRPr="00C55369">
        <w:t xml:space="preserve"> recording of retinal screening, foot examination, neuropathy testing, and urine examination for microalbuminuria. Secondly, the ‘Equitable Access to Primary Care’ programme rolled out in 2008 invested £250 million in the 25% most under doctored primary care trusts (PCTs), providing over 100 new general practices and an additional GP-led health centre in each PCT.[10, 11] Thirdly, targeted support for effective primary care interventions for chronic conditions (including diabetes) in disadvantaged adults from 2007 to 2009.[12] In 2012, the NHS Health and Social Care Act gave the NHS an explicit duty to consider reducing  inequalities in healthcare outcomes.[13] In this study we examine NHS equity performance in tackling inequalities in diabetes outcomes during this key period.</w:t>
      </w:r>
    </w:p>
    <w:p w:rsidR="002B04F8" w:rsidRPr="00C55369" w:rsidRDefault="002B04F8" w:rsidP="002B04F8">
      <w:pPr>
        <w:spacing w:line="360" w:lineRule="auto"/>
      </w:pPr>
    </w:p>
    <w:p w:rsidR="002B04F8" w:rsidRPr="00C55369" w:rsidRDefault="002B04F8" w:rsidP="002B04F8">
      <w:pPr>
        <w:spacing w:line="360" w:lineRule="auto"/>
        <w:rPr>
          <w:b/>
        </w:rPr>
      </w:pPr>
      <w:r w:rsidRPr="00C55369">
        <w:rPr>
          <w:b/>
        </w:rPr>
        <w:t xml:space="preserve">Methods </w:t>
      </w:r>
    </w:p>
    <w:p w:rsidR="002B04F8" w:rsidRPr="00C55369" w:rsidRDefault="002B04F8" w:rsidP="002B04F8">
      <w:pPr>
        <w:spacing w:line="360" w:lineRule="auto"/>
      </w:pPr>
      <w:r w:rsidRPr="00C55369">
        <w:t xml:space="preserve">We identified three indicators to track socioeconomic inequality in the outcomes of care for diabetes along the patient pathway. These indicators were developed using an iterative process involving the public, public health experts and NHS experts including those from primary and secondary care. [8] </w:t>
      </w:r>
    </w:p>
    <w:p w:rsidR="002B04F8" w:rsidRPr="00C55369" w:rsidRDefault="002B04F8" w:rsidP="002B04F8">
      <w:pPr>
        <w:spacing w:line="360" w:lineRule="auto"/>
      </w:pPr>
      <w:r w:rsidRPr="00C55369">
        <w:t xml:space="preserve">The first indicator was the achievement of good glycaemic control in patients with diabetes </w:t>
      </w:r>
      <w:r>
        <w:t>using</w:t>
      </w:r>
      <w:r w:rsidRPr="00C55369">
        <w:t xml:space="preserve"> the lower threshold target for HbA1c from QOF. We compared the</w:t>
      </w:r>
      <w:r>
        <w:t xml:space="preserve"> number of people achieving this </w:t>
      </w:r>
      <w:r w:rsidRPr="00C55369">
        <w:t xml:space="preserve">threshold with the number of people registered as having diabetes at GP practice level. The </w:t>
      </w:r>
      <w:r w:rsidRPr="00C55369">
        <w:lastRenderedPageBreak/>
        <w:t>threshold has changed on various occasions since the inception of QOF in 2004/5 as detailed in Table 1 and we used the relevant threshold for each period.</w:t>
      </w:r>
    </w:p>
    <w:p w:rsidR="002B04F8" w:rsidRPr="00C55369" w:rsidRDefault="002B04F8" w:rsidP="002B04F8">
      <w:pPr>
        <w:spacing w:line="360" w:lineRule="auto"/>
      </w:pPr>
      <w:r w:rsidRPr="00C55369">
        <w:t>The second indicator was preventable emergency hospitalisation for diabetes. We counted the number of people per 100,000 population having one or more emergency hospitalisations for those diabetes complications that are defined as being preventable by the NHS outcomes framework. [</w:t>
      </w:r>
      <w:r>
        <w:t xml:space="preserve">14] </w:t>
      </w:r>
      <w:r w:rsidRPr="00C55369">
        <w:t>The ICD-codes for these comp</w:t>
      </w:r>
      <w:r>
        <w:t>lications are listed in Table 2</w:t>
      </w:r>
      <w:r w:rsidRPr="00C55369">
        <w:t>.</w:t>
      </w:r>
    </w:p>
    <w:p w:rsidR="002B04F8" w:rsidRPr="00C55369" w:rsidRDefault="002B04F8" w:rsidP="002B04F8">
      <w:pPr>
        <w:spacing w:line="360" w:lineRule="auto"/>
      </w:pPr>
      <w:r w:rsidRPr="00C55369">
        <w:t xml:space="preserve">The final indicator was amenable mortality from diabetes related causes. This was defined as the number of deaths in a given year  per 100,000 population under the age of 75 from diabetes related causes considered amenable to health care by the ONS (primary cause of death ICD-10 codes E10 to E14).[15] </w:t>
      </w:r>
    </w:p>
    <w:p w:rsidR="002B04F8" w:rsidRPr="00C55369" w:rsidRDefault="002B04F8" w:rsidP="002B04F8">
      <w:pPr>
        <w:spacing w:line="360" w:lineRule="auto"/>
      </w:pPr>
      <w:r w:rsidRPr="00C55369">
        <w:t xml:space="preserve">For glycaemic control, we started with QOF achievement data which was available at GP practice-level. We then used the ‘NHS Attribution Data Set’ of GP-registered populations to attribute glycaemic control data from practice to neighbourhood level using lower layer super output areas (LSOAs). Where LSOAs were attributed to more than one practice a population weighted average of glycaemic control scores from the relevant practices were used, assuming that the same level of glycaemic control was achieved across all practice patients independent of their LSOA of residence. There are 32,482 LSOAs in England each consisting of approximately 1,500 people (minimum 1,000, maximum 3,000). The index of multiple </w:t>
      </w:r>
      <w:proofErr w:type="gramStart"/>
      <w:r w:rsidRPr="00C55369">
        <w:t>deprivation</w:t>
      </w:r>
      <w:proofErr w:type="gramEnd"/>
      <w:r w:rsidRPr="00C55369">
        <w:t xml:space="preserve"> (IMD 2010) overall rank was used to assign deprivation ranks to LSOAs. Each indicator was calculated at LSOA level for each period between 2004/5 and 2011/12 inclusive with each period running from the beginning of April to the end of March the following year.</w:t>
      </w:r>
    </w:p>
    <w:p w:rsidR="002B04F8" w:rsidRPr="00C55369" w:rsidRDefault="002B04F8" w:rsidP="002B04F8">
      <w:pPr>
        <w:spacing w:line="360" w:lineRule="auto"/>
      </w:pPr>
      <w:r w:rsidRPr="00C55369">
        <w:t>For the emergency</w:t>
      </w:r>
      <w:r>
        <w:t xml:space="preserve"> hospitalisation outcome</w:t>
      </w:r>
      <w:r w:rsidRPr="00C55369">
        <w:t xml:space="preserve"> we used the Hospital Episodes Statistics (HES) dataset provided by the Health and Social Care Information Centre (HSCIC). For</w:t>
      </w:r>
      <w:r>
        <w:t xml:space="preserve"> the amenable mortality outcome</w:t>
      </w:r>
      <w:r w:rsidRPr="00C55369">
        <w:t xml:space="preserve"> we used the Office of National Statistics (ONS) mortality dataset. These outcomes are available at LSOA-level and were indirectly standardised for age and sex at small area level.</w:t>
      </w:r>
    </w:p>
    <w:p w:rsidR="002B04F8" w:rsidRDefault="002B04F8" w:rsidP="002B04F8">
      <w:pPr>
        <w:spacing w:line="360" w:lineRule="auto"/>
      </w:pPr>
      <w:r w:rsidRPr="00C55369">
        <w:t xml:space="preserve">We measured absolute and relative inequality in these indicators using the slope index of inequality (SII) and relative index of inequality (RII) respectively. The SII was computed for each year by estimating an ordinary least squares regression of the LSOA level indicator value against the LSOA level deprivation fractional rank (measured on a 0-1 scale where 0 is the least deprived neighbourhood and 1 is the most deprived). The RII was calculated by expressing the SII as a proportion of the national mean level of the indicator. The SII can be interpreted as the modelled difference in event count between the least deprived and most deprived LSOAs in the country, </w:t>
      </w:r>
      <w:r w:rsidRPr="00C55369">
        <w:lastRenderedPageBreak/>
        <w:t>taking into account the distribution of event counts across the deprivation range.  The RII can be interpreted as the proportional gap between the most and least deprived areas. For emergency hospitalisation and amenable mortality, where “more is worse”, a positive association implies “pro-rich” inequality whilst a negative association implies “pro-poor” inequality. To ease comparison with the glycaemic control indicator, where “more is better”, we multiplied the SII by minus one, so that a positive sign also indicates “pro-rich” inequality. The area under the SII line was used to estimate the excess number of people experiencing the outcome measured by the indicator associated with socio-economic inequality – the “real inequality gap”. The assumption being that the level of the outcome observed in the least deprived area was the optimal level of the outcome and anything above this level for bad outcomes and below this level for good outcomes represented the excess associated with socio-economic inequality.</w:t>
      </w:r>
    </w:p>
    <w:p w:rsidR="002B04F8" w:rsidRPr="00C55369" w:rsidRDefault="002B04F8" w:rsidP="002B04F8">
      <w:pPr>
        <w:spacing w:line="360" w:lineRule="auto"/>
      </w:pPr>
      <w:r w:rsidRPr="00C55369">
        <w:t>Linear regression models were computed using pooled data for the first and last years, including interaction terms between year and deprivation, to determine the magnitude and statistical significance of changes in inequality between the beginning and end of the analysis period. All statistical analysis was carried out using R (version 3.2.3).</w:t>
      </w:r>
    </w:p>
    <w:p w:rsidR="002B04F8" w:rsidRPr="00C55369" w:rsidRDefault="002B04F8" w:rsidP="002B04F8">
      <w:pPr>
        <w:spacing w:line="360" w:lineRule="auto"/>
      </w:pPr>
    </w:p>
    <w:p w:rsidR="002B04F8" w:rsidRPr="00C55369" w:rsidRDefault="002B04F8" w:rsidP="002B04F8">
      <w:pPr>
        <w:spacing w:line="360" w:lineRule="auto"/>
        <w:rPr>
          <w:b/>
        </w:rPr>
      </w:pPr>
      <w:r w:rsidRPr="00C55369">
        <w:rPr>
          <w:b/>
        </w:rPr>
        <w:t xml:space="preserve">Results </w:t>
      </w:r>
    </w:p>
    <w:p w:rsidR="002B04F8" w:rsidRPr="00C55369" w:rsidRDefault="002B04F8" w:rsidP="002B04F8">
      <w:pPr>
        <w:spacing w:line="360" w:lineRule="auto"/>
      </w:pPr>
      <w:r w:rsidRPr="00C55369">
        <w:t xml:space="preserve">In 2004/5 there were substantial socioeconomic gradients in both mortality and preventable hospitalisation for diabetes, and a smaller socioeconomic gradient in glycaemic control, with outcomes less favourable in more deprived neighbourhoods (figure 1). Figure 2 displays the trends from 2004/5 to 2011/12 comparing the most deprived (Q1) and least deprived (Q5) quintile groups of small areas in England. By 2011/12 substantial inequalities still remained and were associated with a deficit of 1.90 (95% CI 1.74 to 2.06) percentage points in diabetes related primary care quality (table 3), 22,189 (95% CI 21,498 to 22,881) excess preventable hospitalisations for diabetes related causes and 582 (95% CI 478 to 687) excess avoidable deaths due to diabetes related causes. </w:t>
      </w:r>
    </w:p>
    <w:p w:rsidR="002B04F8" w:rsidRPr="00C55369" w:rsidRDefault="002B04F8" w:rsidP="002B04F8">
      <w:pPr>
        <w:spacing w:line="360" w:lineRule="auto"/>
        <w:rPr>
          <w:i/>
        </w:rPr>
      </w:pPr>
      <w:r w:rsidRPr="00C55369">
        <w:rPr>
          <w:i/>
        </w:rPr>
        <w:t>Glycaemic control (table 3)</w:t>
      </w:r>
    </w:p>
    <w:p w:rsidR="002B04F8" w:rsidRPr="00C55369" w:rsidRDefault="002B04F8" w:rsidP="002B04F8">
      <w:pPr>
        <w:spacing w:line="360" w:lineRule="auto"/>
      </w:pPr>
      <w:r w:rsidRPr="00C55369">
        <w:t xml:space="preserve">In 2004/5 mean glycaemic control performance in England was 58.64% (95% CI 58.63 to 68.64). The SII was 3.76 (95% CI 3.40 to 4.11) indicating that the most deprived patients are nearly four percentage points less likely to achieve good glycaemic control than the least deprived patients. Between 2004/5 to 2011/12 there was an improvement in mean glycaemic control performance of 3.72 percentage points (95% CI 3.72 to 3.72). However, inequality in glycaemic control was unchanged over the period according to both absolute and relative indices of inequality (SII </w:t>
      </w:r>
      <w:r w:rsidRPr="00C55369">
        <w:lastRenderedPageBreak/>
        <w:t xml:space="preserve">difference 0.04, 95% CI -0.43 to 0.52). There was an improvement in primary care quality in between 2010/11 and 2011/12 which may be the result of change in the HbA1C target from &lt;7 to &lt;7.5 that year. This also may have reduced hospitalisation (especially hypoglycaemia) due to less intensive treatment.  </w:t>
      </w:r>
    </w:p>
    <w:p w:rsidR="002B04F8" w:rsidRPr="00C55369" w:rsidRDefault="002B04F8" w:rsidP="002B04F8">
      <w:pPr>
        <w:spacing w:line="360" w:lineRule="auto"/>
        <w:rPr>
          <w:i/>
        </w:rPr>
      </w:pPr>
      <w:r w:rsidRPr="00C55369">
        <w:rPr>
          <w:i/>
        </w:rPr>
        <w:t>Emergency hospitalisation (Table 3 and appendix 1)</w:t>
      </w:r>
    </w:p>
    <w:p w:rsidR="002B04F8" w:rsidRPr="00C55369" w:rsidRDefault="002B04F8" w:rsidP="002B04F8">
      <w:pPr>
        <w:spacing w:line="360" w:lineRule="auto"/>
      </w:pPr>
      <w:r w:rsidRPr="00C55369">
        <w:t>In 2004/5 the mean rate of preventable hospitalisation for diabetes was 59.84 (95% CI: 59.83 to 59.85) admissions per 100,000 population. The SII was 64.66 (95% CI: 62.22 to 67.11) and socioeconomic inequality was associated with an excess of 16,199 (95% CI: 15,587 to 16,810) admissions. Between 2004/5 and 2011/12 admissions increased by 11.4 (95% CI 11.38 to 11.41) per 100,000 population. The socioeconomic gradient also widened in both absolute and relative terms, with the SII widening by 19.59 admissions for diabetes per 100,000 (95% CI 16.00 to 23.17) resulting in an increase in excess admissions associated with socioeconomic inequality of 5,991 (95% CI 5,084 to 6,899) compared to 2004/5. There was a fall in admissions between 2010/11 and 2011/12 which may be the result of change in the HbA1C target from &lt;7 to &lt;7.5 that year leading to less hypoglycaemia.</w:t>
      </w:r>
    </w:p>
    <w:p w:rsidR="002B04F8" w:rsidRPr="00C55369" w:rsidRDefault="002B04F8" w:rsidP="002B04F8">
      <w:pPr>
        <w:spacing w:line="360" w:lineRule="auto"/>
      </w:pPr>
      <w:r w:rsidRPr="00C55369">
        <w:t xml:space="preserve">The largest increases in numbers of  admissions were for unspecified hypoglycaemia (from 7476 to 11564), type 2 diabetes without complications (from 6662 to 8401), type 1 diabetes with ketoacidosis without coma (from 6271 to 8841) and type 2 diabetes with ketoacidosis (from 1342 to 2278). </w:t>
      </w:r>
    </w:p>
    <w:p w:rsidR="002B04F8" w:rsidRPr="00C55369" w:rsidRDefault="002B04F8" w:rsidP="002B04F8">
      <w:pPr>
        <w:spacing w:line="360" w:lineRule="auto"/>
        <w:rPr>
          <w:i/>
        </w:rPr>
      </w:pPr>
      <w:r w:rsidRPr="00C55369">
        <w:rPr>
          <w:i/>
        </w:rPr>
        <w:t>Diabetes mortality (Table 3 and appendix 2)</w:t>
      </w:r>
    </w:p>
    <w:p w:rsidR="002B04F8" w:rsidRPr="00C55369" w:rsidRDefault="002B04F8" w:rsidP="002B04F8">
      <w:pPr>
        <w:spacing w:line="360" w:lineRule="auto"/>
      </w:pPr>
      <w:r w:rsidRPr="00C55369">
        <w:t xml:space="preserve">In 2004/5 the mean rate of mortality from diabetes-related causes was 3.62 (95% CI 3.57 to 3.67) deaths per 100,000 </w:t>
      </w:r>
      <w:proofErr w:type="gramStart"/>
      <w:r w:rsidRPr="00C55369">
        <w:t>population</w:t>
      </w:r>
      <w:proofErr w:type="gramEnd"/>
      <w:r w:rsidRPr="00C55369">
        <w:t>. The SII was 5.10 (95% CI 4.49 to 5.71) and socioeconomic inequality was associated with an excess of 1,176 (95% CI 1,036 to 1,306) deaths. The most common causes of mortality were unspecified diabetes without</w:t>
      </w:r>
      <w:r>
        <w:t xml:space="preserve"> complications, and</w:t>
      </w:r>
      <w:r w:rsidRPr="00C55369">
        <w:t xml:space="preserve"> unspecified diabetes mellitus with peripheral circulatory complications</w:t>
      </w:r>
      <w:r>
        <w:t>.</w:t>
      </w:r>
      <w:r w:rsidRPr="00C55369">
        <w:t xml:space="preserve"> </w:t>
      </w:r>
    </w:p>
    <w:p w:rsidR="002B04F8" w:rsidRPr="00C55369" w:rsidRDefault="002B04F8" w:rsidP="002B04F8">
      <w:pPr>
        <w:spacing w:line="360" w:lineRule="auto"/>
      </w:pPr>
      <w:r w:rsidRPr="00C55369">
        <w:t>Between 2004/5 and 2011/12 average mortality fell by 1.57 (95% CI 1.49 to 1.65) deaths per 100,000 population. Inequality in diabetes mortality as measured by the SII also improved, falling by 2.68 (95% CI 1.93 to 3.43) resulting in 594 (95% CI 420 to 767) fewer deaths. The main sub-categories of mortality reduction were unspecified diabetes without complications which fell from 810 to 320 deaths, and unspecified diabetes mellitus with peripheral circulatory complications which fell from 257 to 139 deaths. In contrast, there was a rise in deaths in unspecified diabetes with ketoacidosis from 84 to 155 deaths.</w:t>
      </w:r>
    </w:p>
    <w:p w:rsidR="002B04F8" w:rsidRPr="00C55369" w:rsidRDefault="002B04F8" w:rsidP="002B04F8">
      <w:pPr>
        <w:spacing w:line="360" w:lineRule="auto"/>
        <w:rPr>
          <w:b/>
        </w:rPr>
      </w:pPr>
      <w:r w:rsidRPr="00C55369">
        <w:rPr>
          <w:b/>
        </w:rPr>
        <w:lastRenderedPageBreak/>
        <w:t xml:space="preserve">Discussion </w:t>
      </w:r>
    </w:p>
    <w:p w:rsidR="002B04F8" w:rsidRPr="00C55369" w:rsidRDefault="002B04F8" w:rsidP="002B04F8">
      <w:pPr>
        <w:spacing w:line="360" w:lineRule="auto"/>
        <w:rPr>
          <w:i/>
        </w:rPr>
      </w:pPr>
      <w:r w:rsidRPr="00C55369">
        <w:rPr>
          <w:i/>
        </w:rPr>
        <w:t xml:space="preserve">Summary </w:t>
      </w:r>
    </w:p>
    <w:p w:rsidR="002B04F8" w:rsidRPr="00C55369" w:rsidRDefault="002B04F8" w:rsidP="002B04F8">
      <w:pPr>
        <w:spacing w:line="360" w:lineRule="auto"/>
      </w:pPr>
      <w:r w:rsidRPr="00C55369">
        <w:t xml:space="preserve">This is the first study to examine how the NHS performed in reducing socioeconomic inequalities in diabetes outcomes from 2004/5 to 2011/12. During this period, healthcare outcomes improved in all social groups for glycaemic control and mortality from diabetes, with larger and faster mortality reductions in more deprived social groups. By contrast, both average outcomes and inequalities deteriorated in relation to preventable emergency hospitalisation for diabetes-related complications.  The fall in diabetes-related mortality is a remarkable achievement, given that diabetes prevalence is rising and the targeting of NHS resources often does not promote health equity. [16] This finding is consistent with other UK literature and a sign of NHS success with improving the quality of healthcare for  diabetes, and more importantly improving the quality of healthcare for coronary heart disease and other co-morbidities which contribute to diabetic mortality.[17]  Falling mortality may be partly due to the increase in prescribing of statins in diabetes patients and more aggressive control of blood pressure, lipid levels and hyperglycaemia, which has been shown to reduce morbidity and mortality.[18] By contrast, the growth in emergency admissions for diabetes is worrying. It is partly explained by better disease detection by the recent addition of the HbA1c test to diagnose diabetes, and increasing prevalence of diabetes rising from 3.3% in 2004/5 to 5.8% in 2011/12. [19,20,21] There will also be an “unhealthy survivor” effect, whereby people with diabetes no longer die prematurely but instead survive long enough to have additional admissions for diabetes complications.[22] </w:t>
      </w:r>
    </w:p>
    <w:p w:rsidR="002B04F8" w:rsidRPr="00C55369" w:rsidRDefault="002B04F8" w:rsidP="002B04F8">
      <w:pPr>
        <w:spacing w:line="360" w:lineRule="auto"/>
      </w:pPr>
      <w:r w:rsidRPr="00C55369">
        <w:t xml:space="preserve">It is also possible that over-use of glucose control medication may be leading to more preventable hospitalisation with hypoglycaemic attacks, </w:t>
      </w:r>
      <w:r>
        <w:t xml:space="preserve">which have </w:t>
      </w:r>
      <w:r w:rsidRPr="00C55369">
        <w:t xml:space="preserve">increased by 50% over this time period. Data from randomised clinical trials report that intensive glycaemic control immediately increases the risk of severe hypoglycaemia 1.5- to 3-fold. [23] Financial incentives in primary care for reaching targets for HbA1c have increased from 27 points in 2004/5 to 35 points in 2011/12, the target for one indicator has been lowered from HbA1C &lt;10 to HbA1C &lt;9, and an additional indicator has been introduced with a target of HbA1c &lt;8.  </w:t>
      </w:r>
    </w:p>
    <w:p w:rsidR="002B04F8" w:rsidRPr="00C55369" w:rsidRDefault="002B04F8" w:rsidP="002B04F8">
      <w:pPr>
        <w:spacing w:line="360" w:lineRule="auto"/>
        <w:rPr>
          <w:i/>
        </w:rPr>
      </w:pPr>
      <w:r w:rsidRPr="00C55369">
        <w:rPr>
          <w:i/>
        </w:rPr>
        <w:t>Strengths and limitations</w:t>
      </w:r>
    </w:p>
    <w:p w:rsidR="002B04F8" w:rsidRPr="00C55369" w:rsidRDefault="002B04F8" w:rsidP="002B04F8">
      <w:pPr>
        <w:spacing w:line="360" w:lineRule="auto"/>
      </w:pPr>
      <w:r w:rsidRPr="00C55369">
        <w:t xml:space="preserve">This study used ten years of data including outcome data on virtually all individuals with diabetes in England, although the findings are limited to the period of this study. It examined three important outcome of diabetes care at different stages of the patient pathway. It also used both absolute and relative inequality measures based on the entire socioeconomic gradient of all 32,482 LSOAs in </w:t>
      </w:r>
      <w:r w:rsidRPr="00C55369">
        <w:lastRenderedPageBreak/>
        <w:t xml:space="preserve">England. There were changes in the definition of the indicator of good glycaemic control over time, especially for the two years 2009/10 and 2010/11, which complicate the interpretation of trends in this indicator.  However, there is no particular reason to think this would impact on the relative differences between deprived and affluent neighbourhoods, and so the relative index of inequality (RII) remains a fairly robust indicator of inequality trends in glycaemic control. </w:t>
      </w:r>
    </w:p>
    <w:p w:rsidR="002B04F8" w:rsidRPr="00C55369" w:rsidRDefault="002B04F8" w:rsidP="002B04F8">
      <w:pPr>
        <w:spacing w:line="360" w:lineRule="auto"/>
        <w:rPr>
          <w:i/>
        </w:rPr>
      </w:pPr>
    </w:p>
    <w:p w:rsidR="002B04F8" w:rsidRPr="00C55369" w:rsidRDefault="002B04F8" w:rsidP="002B04F8">
      <w:pPr>
        <w:spacing w:line="360" w:lineRule="auto"/>
        <w:rPr>
          <w:i/>
        </w:rPr>
      </w:pPr>
      <w:r w:rsidRPr="00C55369">
        <w:rPr>
          <w:i/>
        </w:rPr>
        <w:t>Comparison with existing literature</w:t>
      </w:r>
    </w:p>
    <w:p w:rsidR="002B04F8" w:rsidRPr="00C55369" w:rsidRDefault="002B04F8" w:rsidP="002B04F8">
      <w:pPr>
        <w:spacing w:line="360" w:lineRule="auto"/>
      </w:pPr>
      <w:r w:rsidRPr="00C55369">
        <w:t xml:space="preserve">Our findings of an increase in preventable hospitalisations for diabetes complications concur with and extend those of </w:t>
      </w:r>
      <w:proofErr w:type="spellStart"/>
      <w:r w:rsidRPr="00C55369">
        <w:t>Dusheiko</w:t>
      </w:r>
      <w:proofErr w:type="spellEnd"/>
      <w:r w:rsidRPr="00C55369">
        <w:t xml:space="preserve"> and colleagues, who reported an increasing trend in all English GP practices from 2004/5 to 2006/7.[24]  </w:t>
      </w:r>
      <w:proofErr w:type="spellStart"/>
      <w:r w:rsidRPr="00C55369">
        <w:t>Calderón-Larrañaga</w:t>
      </w:r>
      <w:proofErr w:type="spellEnd"/>
      <w:r w:rsidRPr="00C55369">
        <w:t xml:space="preserve"> however, reported a fall in diabetes related preventable hospitalisation in the years 2004 to 2009.[25] These differences may be explained by the fact that </w:t>
      </w:r>
      <w:proofErr w:type="spellStart"/>
      <w:r w:rsidRPr="00C55369">
        <w:t>Calderón-Larrañaga</w:t>
      </w:r>
      <w:proofErr w:type="spellEnd"/>
      <w:r w:rsidRPr="00C55369">
        <w:t xml:space="preserve"> adjusted the rate of preventable hospitalisation for the prevalence of diabetes, whereas </w:t>
      </w:r>
      <w:proofErr w:type="spellStart"/>
      <w:r w:rsidRPr="00C55369">
        <w:t>Dusheiko</w:t>
      </w:r>
      <w:proofErr w:type="spellEnd"/>
      <w:r w:rsidRPr="00C55369">
        <w:t xml:space="preserve"> adjusted the rate of preventable hospitalisation by population count, age and sex alone as we have done in our analysis. Both approaches have their merits, since although diabetes is becoming more common the increase in prevalence may be over-estimated due to better case finding. [19] Our findings of an increase in the proportion of patients meeting targets for HbA1c are similar to findings in </w:t>
      </w:r>
      <w:proofErr w:type="gramStart"/>
      <w:r w:rsidRPr="00C55369">
        <w:t>Australia,</w:t>
      </w:r>
      <w:proofErr w:type="gramEnd"/>
      <w:r w:rsidRPr="00C55369">
        <w:t xml:space="preserve"> however contrast with findings in the USA where no significant change occurred between 2007 and 2012. [26, 27] Our findings of a fall in mortality for diabetes are similar to the USA, but contrast with findings in Australia where mortality rates have been unchanged from 1997 to 2012. [27, 28] Our findings of increased admissions are similar to both Australia and the USA. [27, 29] The increasing admissions for diabetic ketoacidosis in type 2 diabetes may be a side effect of newer diabetic drugs. [30]</w:t>
      </w:r>
    </w:p>
    <w:p w:rsidR="002B04F8" w:rsidRPr="00C55369" w:rsidRDefault="002B04F8" w:rsidP="002B04F8">
      <w:pPr>
        <w:spacing w:line="360" w:lineRule="auto"/>
      </w:pPr>
    </w:p>
    <w:p w:rsidR="002B04F8" w:rsidRPr="00C55369" w:rsidRDefault="002B04F8" w:rsidP="002B04F8">
      <w:pPr>
        <w:spacing w:line="360" w:lineRule="auto"/>
        <w:rPr>
          <w:i/>
        </w:rPr>
      </w:pPr>
      <w:r w:rsidRPr="00C55369">
        <w:rPr>
          <w:i/>
        </w:rPr>
        <w:t>Implications for research and practice</w:t>
      </w:r>
    </w:p>
    <w:p w:rsidR="002B04F8" w:rsidRPr="00756E59" w:rsidRDefault="002B04F8" w:rsidP="002B04F8">
      <w:pPr>
        <w:spacing w:line="360" w:lineRule="auto"/>
      </w:pPr>
      <w:r w:rsidRPr="00C55369">
        <w:t>The causes of the increase in preventable admissions for hypoglycaemia and ketoacidosis</w:t>
      </w:r>
      <w:r>
        <w:t xml:space="preserve"> in both </w:t>
      </w:r>
      <w:proofErr w:type="gramStart"/>
      <w:r>
        <w:t>type</w:t>
      </w:r>
      <w:proofErr w:type="gramEnd"/>
      <w:r>
        <w:t xml:space="preserve"> I and type II diabetes</w:t>
      </w:r>
      <w:r w:rsidRPr="00C55369">
        <w:t xml:space="preserve"> and increasing inequalities need further research</w:t>
      </w:r>
      <w:r>
        <w:t>.</w:t>
      </w:r>
      <w:r w:rsidRPr="00C55369">
        <w:t xml:space="preserve"> [31] Reducing </w:t>
      </w:r>
      <w:r>
        <w:t xml:space="preserve">inequalities in diabetes </w:t>
      </w:r>
      <w:r w:rsidRPr="00C55369">
        <w:t>is likely to require complex interventions to improve the coordination of care between multiple providers of care both within and</w:t>
      </w:r>
      <w:r>
        <w:t xml:space="preserve"> outside the healthcare system. </w:t>
      </w:r>
      <w:r>
        <w:rPr>
          <w:rFonts w:ascii="Calibri" w:hAnsi="Calibri"/>
          <w:color w:val="000000"/>
          <w:shd w:val="clear" w:color="auto" w:fill="FFFFFF"/>
        </w:rPr>
        <w:t xml:space="preserve">GPs need to be aware of socioeconomic inequalities in diabetes care. NICE should review the current target HbA1C of 7.0 </w:t>
      </w:r>
      <w:proofErr w:type="spellStart"/>
      <w:r>
        <w:rPr>
          <w:rFonts w:ascii="Calibri" w:hAnsi="Calibri"/>
          <w:color w:val="000000"/>
          <w:shd w:val="clear" w:color="auto" w:fill="FFFFFF"/>
        </w:rPr>
        <w:t>mmol</w:t>
      </w:r>
      <w:proofErr w:type="spellEnd"/>
      <w:r>
        <w:rPr>
          <w:rFonts w:ascii="Calibri" w:hAnsi="Calibri"/>
          <w:color w:val="000000"/>
          <w:shd w:val="clear" w:color="auto" w:fill="FFFFFF"/>
        </w:rPr>
        <w:t xml:space="preserve"> in light of increasing emergency admissions with hypoglycaemia. GPs should follow NICE recommendations in patients who have experienced hypoglycaemia and have an individualised </w:t>
      </w:r>
      <w:r>
        <w:rPr>
          <w:rFonts w:ascii="Calibri" w:hAnsi="Calibri"/>
          <w:color w:val="000000"/>
          <w:shd w:val="clear" w:color="auto" w:fill="FFFFFF"/>
        </w:rPr>
        <w:lastRenderedPageBreak/>
        <w:t>HbA1C target for these patients. [2] GPs need to be alert to the risk of DKA in patients taking SGLT2 inhibitors. [30]</w:t>
      </w:r>
    </w:p>
    <w:p w:rsidR="002B04F8" w:rsidRPr="00C55369" w:rsidRDefault="002B04F8" w:rsidP="002B04F8">
      <w:pPr>
        <w:spacing w:line="360" w:lineRule="auto"/>
      </w:pPr>
      <w:r w:rsidRPr="00C55369">
        <w:t xml:space="preserve">Ethical approval: not required. </w:t>
      </w:r>
    </w:p>
    <w:p w:rsidR="002B04F8" w:rsidRPr="00C55369" w:rsidRDefault="002B04F8" w:rsidP="002B04F8">
      <w:pPr>
        <w:spacing w:line="360" w:lineRule="auto"/>
      </w:pPr>
    </w:p>
    <w:p w:rsidR="002B04F8" w:rsidRPr="00C55369" w:rsidRDefault="002B04F8" w:rsidP="002B04F8">
      <w:pPr>
        <w:spacing w:line="360" w:lineRule="auto"/>
      </w:pPr>
      <w:r w:rsidRPr="00C55369">
        <w:t>Competing interests: none</w:t>
      </w:r>
    </w:p>
    <w:p w:rsidR="002B04F8" w:rsidRPr="00C55369" w:rsidRDefault="002B04F8" w:rsidP="002B04F8">
      <w:pPr>
        <w:spacing w:line="360" w:lineRule="auto"/>
      </w:pPr>
    </w:p>
    <w:p w:rsidR="002B04F8" w:rsidRPr="00C55369" w:rsidRDefault="002B04F8" w:rsidP="002B04F8">
      <w:pPr>
        <w:spacing w:line="360" w:lineRule="auto"/>
      </w:pPr>
      <w:r w:rsidRPr="00C55369">
        <w:t xml:space="preserve">Acknowledgements: NHS Attribution Data Set data on GP-registered populations was obtained under license from the Department of Health; GMS statistics data on GP supply and hospital episode statistics data were obtained under license from the Health and Social Care Information Centre, and mortality data were obtained under license from the Office of National Statistics.  Richard Cookson and </w:t>
      </w:r>
      <w:proofErr w:type="spellStart"/>
      <w:r w:rsidRPr="00C55369">
        <w:t>Miqdad</w:t>
      </w:r>
      <w:proofErr w:type="spellEnd"/>
      <w:r w:rsidRPr="00C55369">
        <w:t xml:space="preserve"> </w:t>
      </w:r>
      <w:proofErr w:type="spellStart"/>
      <w:r w:rsidRPr="00C55369">
        <w:t>Asaria</w:t>
      </w:r>
      <w:proofErr w:type="spellEnd"/>
      <w:r w:rsidRPr="00C55369">
        <w:t xml:space="preserve"> are supported by the National Institute for Health Research (Senior Research Fellowship, Dr Richard Cookson, </w:t>
      </w:r>
      <w:proofErr w:type="gramStart"/>
      <w:r w:rsidRPr="00C55369">
        <w:t>SRF</w:t>
      </w:r>
      <w:proofErr w:type="gramEnd"/>
      <w:r w:rsidRPr="00C55369">
        <w:t xml:space="preserve">-2013-06-015). The views expressed in this publication are those of the author(s) and not necessarily those of the NHS, the National Institute for Health Research or the Department  </w:t>
      </w:r>
    </w:p>
    <w:p w:rsidR="002B04F8" w:rsidRDefault="002B04F8" w:rsidP="002B04F8">
      <w:pPr>
        <w:spacing w:line="360" w:lineRule="auto"/>
      </w:pPr>
    </w:p>
    <w:p w:rsidR="002B04F8" w:rsidRDefault="002B04F8" w:rsidP="002B04F8">
      <w:pPr>
        <w:spacing w:line="360" w:lineRule="auto"/>
      </w:pPr>
    </w:p>
    <w:p w:rsidR="002B04F8" w:rsidRDefault="002B04F8" w:rsidP="002B04F8">
      <w:pPr>
        <w:spacing w:line="360" w:lineRule="auto"/>
      </w:pPr>
    </w:p>
    <w:p w:rsidR="002B04F8" w:rsidRDefault="002B04F8" w:rsidP="002B04F8">
      <w:pPr>
        <w:spacing w:line="360" w:lineRule="auto"/>
      </w:pPr>
    </w:p>
    <w:p w:rsidR="002B04F8" w:rsidRPr="00C55369" w:rsidRDefault="002B04F8" w:rsidP="002B04F8">
      <w:pPr>
        <w:spacing w:line="360" w:lineRule="auto"/>
      </w:pPr>
    </w:p>
    <w:p w:rsidR="002B04F8" w:rsidRDefault="002B04F8" w:rsidP="002B04F8">
      <w:pPr>
        <w:spacing w:line="360" w:lineRule="auto"/>
        <w:rPr>
          <w:b/>
        </w:rPr>
      </w:pPr>
    </w:p>
    <w:p w:rsidR="002B04F8" w:rsidRDefault="002B04F8" w:rsidP="002B04F8">
      <w:pPr>
        <w:spacing w:line="360" w:lineRule="auto"/>
        <w:rPr>
          <w:b/>
        </w:rPr>
      </w:pPr>
    </w:p>
    <w:p w:rsidR="002B04F8" w:rsidRDefault="002B04F8" w:rsidP="002B04F8">
      <w:pPr>
        <w:spacing w:line="360" w:lineRule="auto"/>
        <w:rPr>
          <w:b/>
        </w:rPr>
      </w:pPr>
    </w:p>
    <w:p w:rsidR="002B04F8" w:rsidRDefault="002B04F8" w:rsidP="002B04F8">
      <w:pPr>
        <w:spacing w:line="360" w:lineRule="auto"/>
        <w:rPr>
          <w:b/>
        </w:rPr>
      </w:pPr>
    </w:p>
    <w:p w:rsidR="002B04F8" w:rsidRDefault="002B04F8" w:rsidP="002B04F8">
      <w:pPr>
        <w:spacing w:line="360" w:lineRule="auto"/>
        <w:rPr>
          <w:b/>
        </w:rPr>
      </w:pPr>
    </w:p>
    <w:p w:rsidR="002B04F8" w:rsidRDefault="002B04F8" w:rsidP="002B04F8">
      <w:pPr>
        <w:spacing w:line="360" w:lineRule="auto"/>
        <w:rPr>
          <w:b/>
        </w:rPr>
      </w:pPr>
    </w:p>
    <w:p w:rsidR="002B04F8" w:rsidRDefault="002B04F8" w:rsidP="002B04F8">
      <w:pPr>
        <w:spacing w:line="360" w:lineRule="auto"/>
        <w:rPr>
          <w:b/>
        </w:rPr>
      </w:pPr>
    </w:p>
    <w:p w:rsidR="002B04F8" w:rsidRPr="00C55369" w:rsidRDefault="002B04F8" w:rsidP="002B04F8">
      <w:pPr>
        <w:spacing w:line="360" w:lineRule="auto"/>
        <w:rPr>
          <w:b/>
        </w:rPr>
      </w:pPr>
      <w:r w:rsidRPr="00C55369">
        <w:rPr>
          <w:b/>
        </w:rPr>
        <w:lastRenderedPageBreak/>
        <w:t>References</w:t>
      </w:r>
    </w:p>
    <w:p w:rsidR="002B04F8" w:rsidRPr="00C55369" w:rsidRDefault="002B04F8" w:rsidP="002B04F8">
      <w:pPr>
        <w:spacing w:line="360" w:lineRule="auto"/>
      </w:pPr>
      <w:r w:rsidRPr="00C55369">
        <w:t>1.</w:t>
      </w:r>
      <w:r w:rsidRPr="00C55369">
        <w:tab/>
        <w:t xml:space="preserve">Health and Social Care Information Centre: Quality and Outcomes Framework (QOF) for April 2012 - March 2013, England. </w:t>
      </w:r>
      <w:proofErr w:type="gramStart"/>
      <w:r w:rsidRPr="00C55369">
        <w:t>In. Leeds; 2013.</w:t>
      </w:r>
      <w:proofErr w:type="gramEnd"/>
    </w:p>
    <w:p w:rsidR="002B04F8" w:rsidRPr="00C55369" w:rsidRDefault="002B04F8" w:rsidP="002B04F8">
      <w:pPr>
        <w:spacing w:line="360" w:lineRule="auto"/>
      </w:pPr>
      <w:r w:rsidRPr="00C55369">
        <w:t>2.</w:t>
      </w:r>
      <w:r w:rsidRPr="00C55369">
        <w:tab/>
        <w:t xml:space="preserve">National institute for Health and Care Excellence: Type </w:t>
      </w:r>
      <w:proofErr w:type="gramStart"/>
      <w:r w:rsidRPr="00C55369">
        <w:t>1 diabetes</w:t>
      </w:r>
      <w:proofErr w:type="gramEnd"/>
      <w:r w:rsidRPr="00C55369">
        <w:t xml:space="preserve"> in adults: diagnosis and management. In. London: National institute for Health and Care Excellence; 2015.</w:t>
      </w:r>
    </w:p>
    <w:p w:rsidR="002B04F8" w:rsidRPr="00C55369" w:rsidRDefault="002B04F8" w:rsidP="002B04F8">
      <w:pPr>
        <w:spacing w:line="360" w:lineRule="auto"/>
      </w:pPr>
      <w:r w:rsidRPr="00C55369">
        <w:t>3.</w:t>
      </w:r>
      <w:r w:rsidRPr="00C55369">
        <w:tab/>
        <w:t xml:space="preserve">National Institute for Health and Care Excellence: Type </w:t>
      </w:r>
      <w:proofErr w:type="gramStart"/>
      <w:r w:rsidRPr="00C55369">
        <w:t>2 diabetes in adults</w:t>
      </w:r>
      <w:proofErr w:type="gramEnd"/>
      <w:r w:rsidRPr="00C55369">
        <w:t>: management. In. London: NICE; 2015.</w:t>
      </w:r>
    </w:p>
    <w:p w:rsidR="002B04F8" w:rsidRPr="00C55369" w:rsidRDefault="002B04F8" w:rsidP="002B04F8">
      <w:pPr>
        <w:spacing w:line="360" w:lineRule="auto"/>
      </w:pPr>
      <w:r w:rsidRPr="00C55369">
        <w:t>4.</w:t>
      </w:r>
      <w:r w:rsidRPr="00C55369">
        <w:tab/>
        <w:t>Connolly V, Unwin N, Sherriff P, et al: Diabetes prevalence and socioeconomic status: a population based study showing increased prevalence of type 2 diabetes mellitus in deprived areas. Journal of epidemiology and community health 2000, 54(3):173-177.</w:t>
      </w:r>
    </w:p>
    <w:p w:rsidR="002B04F8" w:rsidRPr="00C55369" w:rsidRDefault="002B04F8" w:rsidP="002B04F8">
      <w:pPr>
        <w:spacing w:line="360" w:lineRule="auto"/>
      </w:pPr>
      <w:r w:rsidRPr="00C55369">
        <w:t>5.</w:t>
      </w:r>
      <w:r w:rsidRPr="00C55369">
        <w:tab/>
        <w:t>Department of Health: The management of adult diabetes services in the NHS. In.: The Stationery Office; 2012.</w:t>
      </w:r>
    </w:p>
    <w:p w:rsidR="002B04F8" w:rsidRPr="00C55369" w:rsidRDefault="002B04F8" w:rsidP="002B04F8">
      <w:pPr>
        <w:spacing w:line="360" w:lineRule="auto"/>
      </w:pPr>
      <w:r w:rsidRPr="00C55369">
        <w:t>6.</w:t>
      </w:r>
      <w:r w:rsidRPr="00C55369">
        <w:tab/>
        <w:t>UK Prospective Diabetes Study (UKPDS) Group: Effect of intensive blood-glucose control with metformin on complications in overweight patients with type 2 diabetes (UKPDS 34).  Lancet 1998, 352(9131):854-865.</w:t>
      </w:r>
    </w:p>
    <w:p w:rsidR="002B04F8" w:rsidRPr="00C55369" w:rsidRDefault="002B04F8" w:rsidP="002B04F8">
      <w:pPr>
        <w:spacing w:line="360" w:lineRule="auto"/>
      </w:pPr>
      <w:r w:rsidRPr="00C55369">
        <w:t>7.</w:t>
      </w:r>
      <w:r w:rsidRPr="00C55369">
        <w:tab/>
        <w:t xml:space="preserve">Department of Health: Tackling Health Inequalities: a Programme for Action. </w:t>
      </w:r>
      <w:proofErr w:type="gramStart"/>
      <w:r w:rsidRPr="00C55369">
        <w:t>In. London; 2003.</w:t>
      </w:r>
      <w:proofErr w:type="gramEnd"/>
    </w:p>
    <w:p w:rsidR="002B04F8" w:rsidRPr="00C55369" w:rsidRDefault="002B04F8" w:rsidP="002B04F8">
      <w:pPr>
        <w:spacing w:line="360" w:lineRule="auto"/>
      </w:pPr>
      <w:r w:rsidRPr="00C55369">
        <w:t>8.</w:t>
      </w:r>
      <w:r w:rsidRPr="00C55369">
        <w:tab/>
      </w:r>
      <w:proofErr w:type="spellStart"/>
      <w:r w:rsidRPr="00C55369">
        <w:t>Asaria</w:t>
      </w:r>
      <w:proofErr w:type="spellEnd"/>
      <w:r w:rsidRPr="00C55369">
        <w:t xml:space="preserve"> M, Ali S, Doran T, et al: How a universal health system reduces inequalities: lessons from England. </w:t>
      </w:r>
      <w:proofErr w:type="gramStart"/>
      <w:r w:rsidRPr="00C55369">
        <w:t>Journal of epidemiology and community health 2016.</w:t>
      </w:r>
      <w:proofErr w:type="gramEnd"/>
    </w:p>
    <w:p w:rsidR="002B04F8" w:rsidRPr="00C55369" w:rsidRDefault="002B04F8" w:rsidP="002B04F8">
      <w:pPr>
        <w:spacing w:line="360" w:lineRule="auto"/>
      </w:pPr>
      <w:r w:rsidRPr="00C55369">
        <w:t>9.</w:t>
      </w:r>
      <w:r w:rsidRPr="00C55369">
        <w:tab/>
        <w:t>NHS Employers: Introducing QOF 2004. In. Leeds: NHS Employers; 2010.</w:t>
      </w:r>
    </w:p>
    <w:p w:rsidR="002B04F8" w:rsidRPr="00C55369" w:rsidRDefault="002B04F8" w:rsidP="002B04F8">
      <w:pPr>
        <w:spacing w:line="360" w:lineRule="auto"/>
      </w:pPr>
      <w:r w:rsidRPr="00C55369">
        <w:t>10.</w:t>
      </w:r>
      <w:r w:rsidRPr="00C55369">
        <w:tab/>
        <w:t>Department of Health: Equitable Access to Primary Medical Care services. In. London: Department of Health; 2007.</w:t>
      </w:r>
    </w:p>
    <w:p w:rsidR="002B04F8" w:rsidRPr="00C55369" w:rsidRDefault="002B04F8" w:rsidP="002B04F8">
      <w:pPr>
        <w:spacing w:line="360" w:lineRule="auto"/>
      </w:pPr>
      <w:r w:rsidRPr="00C55369">
        <w:t>11.</w:t>
      </w:r>
      <w:r w:rsidRPr="00C55369">
        <w:tab/>
      </w:r>
      <w:proofErr w:type="spellStart"/>
      <w:r w:rsidRPr="00C55369">
        <w:t>Asaria</w:t>
      </w:r>
      <w:proofErr w:type="spellEnd"/>
      <w:r w:rsidRPr="00C55369">
        <w:t xml:space="preserve"> M, Cookson R, </w:t>
      </w:r>
      <w:proofErr w:type="spellStart"/>
      <w:proofErr w:type="gramStart"/>
      <w:r w:rsidRPr="00C55369">
        <w:t>Fleetcroft</w:t>
      </w:r>
      <w:proofErr w:type="spellEnd"/>
      <w:proofErr w:type="gramEnd"/>
      <w:r w:rsidRPr="00C55369">
        <w:t xml:space="preserve"> R, Ali S: Unequal socioeconomic distribution of the primary care workforce: whole-population small area longitudinal study. BMJ open 2016, 6(1):e008783.</w:t>
      </w:r>
    </w:p>
    <w:p w:rsidR="002B04F8" w:rsidRPr="00C55369" w:rsidRDefault="002B04F8" w:rsidP="002B04F8">
      <w:pPr>
        <w:spacing w:line="360" w:lineRule="auto"/>
      </w:pPr>
      <w:r w:rsidRPr="00C55369">
        <w:t>12.</w:t>
      </w:r>
      <w:r w:rsidRPr="00C55369">
        <w:tab/>
        <w:t xml:space="preserve">The National Audit Office: Tackling inequalities in life expectancy in areas with the worst health and deprivation. In. London: The Stationery </w:t>
      </w:r>
      <w:proofErr w:type="spellStart"/>
      <w:r w:rsidRPr="00C55369">
        <w:t>Offi</w:t>
      </w:r>
      <w:proofErr w:type="spellEnd"/>
      <w:r w:rsidRPr="00C55369">
        <w:t xml:space="preserve"> </w:t>
      </w:r>
      <w:proofErr w:type="spellStart"/>
      <w:proofErr w:type="gramStart"/>
      <w:r w:rsidRPr="00C55369">
        <w:t>ce</w:t>
      </w:r>
      <w:proofErr w:type="spellEnd"/>
      <w:proofErr w:type="gramEnd"/>
      <w:r w:rsidRPr="00C55369">
        <w:t>; 2010.</w:t>
      </w:r>
    </w:p>
    <w:p w:rsidR="002B04F8" w:rsidRPr="00C55369" w:rsidRDefault="002B04F8" w:rsidP="002B04F8">
      <w:pPr>
        <w:spacing w:line="360" w:lineRule="auto"/>
      </w:pPr>
      <w:r w:rsidRPr="00C55369">
        <w:t>13.</w:t>
      </w:r>
      <w:r w:rsidRPr="00C55369">
        <w:tab/>
        <w:t>HM Government: Health and Social Care Act 2012. In. London: The Stationary Office; 2012.</w:t>
      </w:r>
    </w:p>
    <w:p w:rsidR="002B04F8" w:rsidRPr="00C55369" w:rsidRDefault="002B04F8" w:rsidP="002B04F8">
      <w:pPr>
        <w:spacing w:line="360" w:lineRule="auto"/>
      </w:pPr>
      <w:r w:rsidRPr="00C55369">
        <w:lastRenderedPageBreak/>
        <w:t>14.</w:t>
      </w:r>
      <w:r w:rsidRPr="00C55369">
        <w:tab/>
        <w:t>Health and Social Care Information Centre: NHS Outcomes Framework: Domain 2 Enhancing quality of life for people with long-term conditions—Indicator specifications version 1.5. 2015. In. Leeds: HSCIC; 2015.</w:t>
      </w:r>
    </w:p>
    <w:p w:rsidR="002B04F8" w:rsidRPr="00C55369" w:rsidRDefault="002B04F8" w:rsidP="002B04F8">
      <w:pPr>
        <w:spacing w:line="360" w:lineRule="auto"/>
      </w:pPr>
      <w:r w:rsidRPr="00C55369">
        <w:t>15.</w:t>
      </w:r>
      <w:r w:rsidRPr="00C55369">
        <w:tab/>
        <w:t>Health and Social Care Information Centre: NHS Outcomes Framework: Domain 1 Preventing people from dying prematurely—Indicator specifications version 1.5. In. Leeds: HSCIC; 2015.</w:t>
      </w:r>
    </w:p>
    <w:p w:rsidR="002B04F8" w:rsidRPr="00C55369" w:rsidRDefault="002B04F8" w:rsidP="002B04F8">
      <w:pPr>
        <w:spacing w:line="360" w:lineRule="auto"/>
      </w:pPr>
      <w:r w:rsidRPr="00C55369">
        <w:t>16.</w:t>
      </w:r>
      <w:r w:rsidRPr="00C55369">
        <w:tab/>
        <w:t xml:space="preserve">Asthana S, Gibson S, Halliday J.  The medicalisation of health inequalities and the English NHS: the role of resource allocation. </w:t>
      </w:r>
      <w:proofErr w:type="gramStart"/>
      <w:r w:rsidRPr="00C55369">
        <w:t>Health Economics, Policy and Law, 2012.</w:t>
      </w:r>
      <w:proofErr w:type="gramEnd"/>
      <w:r w:rsidRPr="00C55369">
        <w:t xml:space="preserve"> pp 1 17</w:t>
      </w:r>
    </w:p>
    <w:p w:rsidR="002B04F8" w:rsidRPr="00C55369" w:rsidRDefault="002B04F8" w:rsidP="002B04F8">
      <w:pPr>
        <w:spacing w:line="360" w:lineRule="auto"/>
      </w:pPr>
      <w:r w:rsidRPr="00C55369">
        <w:t>17.</w:t>
      </w:r>
      <w:r w:rsidRPr="00C55369">
        <w:tab/>
        <w:t xml:space="preserve">Lind M, Garcia-Rodriguez LA, Booth GL, et al: Mortality trends in patients with and without diabetes in Ontario, Canada and the UK from 1996 to 2009: a population-based study. </w:t>
      </w:r>
      <w:proofErr w:type="spellStart"/>
      <w:r w:rsidRPr="00C55369">
        <w:t>Diabetologia</w:t>
      </w:r>
      <w:proofErr w:type="spellEnd"/>
      <w:r w:rsidRPr="00C55369">
        <w:t xml:space="preserve"> 2013, 56(12):2601-2608.</w:t>
      </w:r>
    </w:p>
    <w:p w:rsidR="002B04F8" w:rsidRPr="00C55369" w:rsidRDefault="002B04F8" w:rsidP="002B04F8">
      <w:pPr>
        <w:spacing w:line="360" w:lineRule="auto"/>
      </w:pPr>
      <w:r w:rsidRPr="00C55369">
        <w:t>18.</w:t>
      </w:r>
      <w:r w:rsidRPr="00C55369">
        <w:tab/>
        <w:t xml:space="preserve">Cholesterol Treatment </w:t>
      </w:r>
      <w:proofErr w:type="spellStart"/>
      <w:r w:rsidRPr="00C55369">
        <w:t>Trialists</w:t>
      </w:r>
      <w:proofErr w:type="spellEnd"/>
      <w:r w:rsidRPr="00C55369">
        <w:t xml:space="preserve"> Collaboration: Efficacy of cholesterol-lowering therapy in 18,686 people with diabetes in 14 randomised trials of statins: a meta-analysis. Lancet 2008, 371(9607):117-125.</w:t>
      </w:r>
    </w:p>
    <w:p w:rsidR="002B04F8" w:rsidRPr="00C55369" w:rsidRDefault="002B04F8" w:rsidP="002B04F8">
      <w:pPr>
        <w:spacing w:line="360" w:lineRule="auto"/>
      </w:pPr>
      <w:r w:rsidRPr="00C55369">
        <w:t>19.</w:t>
      </w:r>
      <w:r w:rsidRPr="00C55369">
        <w:tab/>
        <w:t xml:space="preserve">Jeon JY, </w:t>
      </w:r>
      <w:proofErr w:type="spellStart"/>
      <w:r w:rsidRPr="00C55369">
        <w:t>Ko</w:t>
      </w:r>
      <w:proofErr w:type="spellEnd"/>
      <w:r w:rsidRPr="00C55369">
        <w:t xml:space="preserve"> SH, Kwon HS, et al: Prevalence of Diabetes and Prediabetes according to Fasting Plasma Glucose and HbA1c. Diabetes &amp; metabolism journal 2013, 37(5):349-357.</w:t>
      </w:r>
    </w:p>
    <w:p w:rsidR="002B04F8" w:rsidRPr="00C55369" w:rsidRDefault="002B04F8" w:rsidP="002B04F8">
      <w:pPr>
        <w:spacing w:line="360" w:lineRule="auto"/>
      </w:pPr>
      <w:r w:rsidRPr="00C55369">
        <w:t>20.</w:t>
      </w:r>
      <w:r w:rsidRPr="00C55369">
        <w:tab/>
        <w:t xml:space="preserve">Department of Health: Quality and Outcomes Framework Statistics - England, 2004-05. </w:t>
      </w:r>
      <w:proofErr w:type="gramStart"/>
      <w:r w:rsidRPr="00C55369">
        <w:t>In. Leeds; 2005.</w:t>
      </w:r>
      <w:proofErr w:type="gramEnd"/>
    </w:p>
    <w:p w:rsidR="002B04F8" w:rsidRPr="00C55369" w:rsidRDefault="002B04F8" w:rsidP="002B04F8">
      <w:pPr>
        <w:spacing w:line="360" w:lineRule="auto"/>
      </w:pPr>
      <w:r w:rsidRPr="00C55369">
        <w:t>21.</w:t>
      </w:r>
      <w:r w:rsidRPr="00C55369">
        <w:tab/>
        <w:t>Department of Health: Quality and Outcomes Framework 2011-2012. In. Leeds: Health &amp; Social Care Information Centre; 2012.</w:t>
      </w:r>
    </w:p>
    <w:p w:rsidR="002B04F8" w:rsidRPr="00C55369" w:rsidRDefault="002B04F8" w:rsidP="002B04F8">
      <w:pPr>
        <w:spacing w:line="360" w:lineRule="auto"/>
      </w:pPr>
      <w:r w:rsidRPr="00C55369">
        <w:t>22.</w:t>
      </w:r>
      <w:r w:rsidRPr="00C55369">
        <w:tab/>
      </w:r>
      <w:proofErr w:type="spellStart"/>
      <w:r w:rsidRPr="00C55369">
        <w:t>Laudicella</w:t>
      </w:r>
      <w:proofErr w:type="spellEnd"/>
      <w:r w:rsidRPr="00C55369">
        <w:t xml:space="preserve"> M, Li </w:t>
      </w:r>
      <w:proofErr w:type="spellStart"/>
      <w:r w:rsidRPr="00C55369">
        <w:t>Donni</w:t>
      </w:r>
      <w:proofErr w:type="spellEnd"/>
      <w:r w:rsidRPr="00C55369">
        <w:t xml:space="preserve"> P, </w:t>
      </w:r>
      <w:proofErr w:type="gramStart"/>
      <w:r w:rsidRPr="00C55369">
        <w:t>Smith</w:t>
      </w:r>
      <w:proofErr w:type="gramEnd"/>
      <w:r w:rsidRPr="00C55369">
        <w:t xml:space="preserve"> PC: Hospital readmission rates: signal of failure or success? Journal of health economics 2013, 32(5):909-921.</w:t>
      </w:r>
    </w:p>
    <w:p w:rsidR="002B04F8" w:rsidRPr="00C55369" w:rsidRDefault="002B04F8" w:rsidP="002B04F8">
      <w:pPr>
        <w:spacing w:line="360" w:lineRule="auto"/>
      </w:pPr>
      <w:r w:rsidRPr="00C55369">
        <w:t xml:space="preserve">23.     </w:t>
      </w:r>
      <w:proofErr w:type="spellStart"/>
      <w:r w:rsidRPr="00C55369">
        <w:t>Lipska</w:t>
      </w:r>
      <w:proofErr w:type="spellEnd"/>
      <w:r w:rsidRPr="00C55369">
        <w:t xml:space="preserve"> K, </w:t>
      </w:r>
      <w:proofErr w:type="spellStart"/>
      <w:r w:rsidRPr="00C55369">
        <w:t>Krumholz</w:t>
      </w:r>
      <w:proofErr w:type="spellEnd"/>
      <w:r w:rsidRPr="00C55369">
        <w:t xml:space="preserve"> H, </w:t>
      </w:r>
      <w:proofErr w:type="spellStart"/>
      <w:r w:rsidRPr="00C55369">
        <w:t>Soones</w:t>
      </w:r>
      <w:proofErr w:type="spellEnd"/>
      <w:r w:rsidRPr="00C55369">
        <w:t xml:space="preserve"> T, Lee SJ. Polypharmacy in the Aging Patient: A review of glycaemic control in older patients with Type 2 Diabetes. </w:t>
      </w:r>
      <w:proofErr w:type="gramStart"/>
      <w:r w:rsidRPr="00C55369">
        <w:t>JAMA.</w:t>
      </w:r>
      <w:proofErr w:type="gramEnd"/>
      <w:r w:rsidRPr="00C55369">
        <w:t xml:space="preserve"> 2016 March 8; 315(10): 1034–1045</w:t>
      </w:r>
    </w:p>
    <w:p w:rsidR="002B04F8" w:rsidRPr="00C55369" w:rsidRDefault="002B04F8" w:rsidP="002B04F8">
      <w:pPr>
        <w:spacing w:line="360" w:lineRule="auto"/>
      </w:pPr>
      <w:r w:rsidRPr="00C55369">
        <w:t>24.</w:t>
      </w:r>
      <w:r w:rsidRPr="00C55369">
        <w:tab/>
      </w:r>
      <w:proofErr w:type="spellStart"/>
      <w:r w:rsidRPr="00C55369">
        <w:t>Dusheiko</w:t>
      </w:r>
      <w:proofErr w:type="spellEnd"/>
      <w:r w:rsidRPr="00C55369">
        <w:t xml:space="preserve"> M, Doran T, </w:t>
      </w:r>
      <w:proofErr w:type="spellStart"/>
      <w:r w:rsidRPr="00C55369">
        <w:t>Gravelle</w:t>
      </w:r>
      <w:proofErr w:type="spellEnd"/>
      <w:r w:rsidRPr="00C55369">
        <w:t xml:space="preserve"> H, et al: Does higher quality of diabetes management in family practice reduce unplanned hospital admissions? Health services research 2011, 46(1 Pt 1):27-46.</w:t>
      </w:r>
    </w:p>
    <w:p w:rsidR="002B04F8" w:rsidRPr="00C55369" w:rsidRDefault="002B04F8" w:rsidP="002B04F8">
      <w:pPr>
        <w:spacing w:line="360" w:lineRule="auto"/>
      </w:pPr>
      <w:r w:rsidRPr="00C55369">
        <w:t>25.</w:t>
      </w:r>
      <w:r w:rsidRPr="00C55369">
        <w:tab/>
        <w:t>Calderon-</w:t>
      </w:r>
      <w:proofErr w:type="spellStart"/>
      <w:r w:rsidRPr="00C55369">
        <w:t>Larranaga</w:t>
      </w:r>
      <w:proofErr w:type="spellEnd"/>
      <w:r w:rsidRPr="00C55369">
        <w:t xml:space="preserve"> A, </w:t>
      </w:r>
      <w:proofErr w:type="spellStart"/>
      <w:r w:rsidRPr="00C55369">
        <w:t>Soljak</w:t>
      </w:r>
      <w:proofErr w:type="spellEnd"/>
      <w:r w:rsidRPr="00C55369">
        <w:t xml:space="preserve"> M, Cecil E, et al: Does higher quality of primary healthcare reduce hospital admissions for diabetes complications? </w:t>
      </w:r>
      <w:proofErr w:type="gramStart"/>
      <w:r w:rsidRPr="00C55369">
        <w:t>A national observational study.</w:t>
      </w:r>
      <w:proofErr w:type="gramEnd"/>
      <w:r w:rsidRPr="00C55369">
        <w:t xml:space="preserve"> </w:t>
      </w:r>
      <w:proofErr w:type="spellStart"/>
      <w:r w:rsidRPr="00C55369">
        <w:t>Diabet</w:t>
      </w:r>
      <w:proofErr w:type="spellEnd"/>
      <w:r w:rsidRPr="00C55369">
        <w:t xml:space="preserve"> Med 2014, 31(6):657-665.</w:t>
      </w:r>
    </w:p>
    <w:p w:rsidR="002B04F8" w:rsidRPr="00C55369" w:rsidRDefault="002B04F8" w:rsidP="002B04F8">
      <w:pPr>
        <w:spacing w:line="360" w:lineRule="auto"/>
      </w:pPr>
      <w:proofErr w:type="gramStart"/>
      <w:r w:rsidRPr="00C55369">
        <w:lastRenderedPageBreak/>
        <w:t>26.      Carrington MJ, Stewart S, Gerber T and Cohen N. Bittersweet findings of blood glucose levels in 467,955 patients in primary care.</w:t>
      </w:r>
      <w:proofErr w:type="gramEnd"/>
      <w:r w:rsidRPr="00C55369">
        <w:t xml:space="preserve"> </w:t>
      </w:r>
      <w:proofErr w:type="gramStart"/>
      <w:r w:rsidRPr="00C55369">
        <w:t>June 2015, Baker IDI Heart and Diabetes Institute, Melbourne.</w:t>
      </w:r>
      <w:proofErr w:type="gramEnd"/>
    </w:p>
    <w:p w:rsidR="002B04F8" w:rsidRPr="00C55369" w:rsidRDefault="002B04F8" w:rsidP="002B04F8">
      <w:pPr>
        <w:spacing w:line="360" w:lineRule="auto"/>
      </w:pPr>
      <w:r w:rsidRPr="00C55369">
        <w:t xml:space="preserve">27.    </w:t>
      </w:r>
      <w:proofErr w:type="spellStart"/>
      <w:r w:rsidRPr="00C55369">
        <w:t>Lipska</w:t>
      </w:r>
      <w:proofErr w:type="spellEnd"/>
      <w:r w:rsidRPr="00C55369">
        <w:t xml:space="preserve"> K, </w:t>
      </w:r>
      <w:proofErr w:type="spellStart"/>
      <w:r w:rsidRPr="00C55369">
        <w:t>Rosss</w:t>
      </w:r>
      <w:proofErr w:type="spellEnd"/>
      <w:r w:rsidRPr="00C55369">
        <w:t xml:space="preserve"> J, Wang Y, </w:t>
      </w:r>
      <w:proofErr w:type="spellStart"/>
      <w:r w:rsidRPr="00C55369">
        <w:t>Inucchi</w:t>
      </w:r>
      <w:proofErr w:type="spellEnd"/>
      <w:r w:rsidRPr="00C55369">
        <w:t xml:space="preserve"> S, Minges K, Karter A et al. National Trends in US Hospital Admissions for </w:t>
      </w:r>
      <w:proofErr w:type="spellStart"/>
      <w:r w:rsidRPr="00C55369">
        <w:t>Hyperglycemia</w:t>
      </w:r>
      <w:proofErr w:type="spellEnd"/>
      <w:r w:rsidRPr="00C55369">
        <w:t xml:space="preserve"> and </w:t>
      </w:r>
      <w:proofErr w:type="spellStart"/>
      <w:r w:rsidRPr="00C55369">
        <w:t>Hypoglycemia</w:t>
      </w:r>
      <w:proofErr w:type="spellEnd"/>
      <w:r w:rsidRPr="00C55369">
        <w:t xml:space="preserve"> Among Medicare Beneficiaries, 1999 to 2011. JAMA Intern Med. 2014 July; 174(7): 1116–1124.</w:t>
      </w:r>
    </w:p>
    <w:p w:rsidR="002B04F8" w:rsidRPr="00C55369" w:rsidRDefault="002B04F8" w:rsidP="002B04F8">
      <w:pPr>
        <w:spacing w:line="360" w:lineRule="auto"/>
        <w:contextualSpacing/>
      </w:pPr>
      <w:r w:rsidRPr="00C55369">
        <w:t xml:space="preserve">28.    Australian Institute of Health and Welfare. </w:t>
      </w:r>
      <w:proofErr w:type="gramStart"/>
      <w:r w:rsidRPr="00C55369">
        <w:t>Deaths from Diabetes.</w:t>
      </w:r>
      <w:proofErr w:type="gramEnd"/>
      <w:r w:rsidRPr="00C55369">
        <w:t xml:space="preserve"> 2016. Australian Government available at </w:t>
      </w:r>
      <w:hyperlink r:id="rId9" w:history="1">
        <w:r w:rsidRPr="00C55369">
          <w:rPr>
            <w:rStyle w:val="Hyperlink"/>
            <w:sz w:val="24"/>
            <w:szCs w:val="24"/>
          </w:rPr>
          <w:t>http://www.aihw.gov.au/diabetes/deaths/</w:t>
        </w:r>
      </w:hyperlink>
      <w:r w:rsidRPr="00C55369">
        <w:rPr>
          <w:sz w:val="24"/>
          <w:szCs w:val="24"/>
        </w:rPr>
        <w:t xml:space="preserve"> </w:t>
      </w:r>
      <w:r w:rsidRPr="00C55369">
        <w:t>accessed 25 July 2016</w:t>
      </w:r>
    </w:p>
    <w:p w:rsidR="002B04F8" w:rsidRPr="00C55369" w:rsidRDefault="002B04F8" w:rsidP="002B04F8">
      <w:pPr>
        <w:spacing w:line="360" w:lineRule="auto"/>
        <w:contextualSpacing/>
        <w:rPr>
          <w:sz w:val="24"/>
          <w:szCs w:val="24"/>
        </w:rPr>
      </w:pPr>
    </w:p>
    <w:p w:rsidR="002B04F8" w:rsidRPr="00C55369" w:rsidRDefault="002B04F8" w:rsidP="002B04F8">
      <w:pPr>
        <w:spacing w:line="360" w:lineRule="auto"/>
      </w:pPr>
      <w:r w:rsidRPr="00C55369">
        <w:t xml:space="preserve">29.   </w:t>
      </w:r>
      <w:proofErr w:type="spellStart"/>
      <w:r w:rsidRPr="00C55369">
        <w:t>Venkatesh</w:t>
      </w:r>
      <w:proofErr w:type="spellEnd"/>
      <w:r w:rsidRPr="00C55369">
        <w:t xml:space="preserve"> B, Pilcher D, </w:t>
      </w:r>
      <w:proofErr w:type="spellStart"/>
      <w:r w:rsidRPr="00C55369">
        <w:t>Prins</w:t>
      </w:r>
      <w:proofErr w:type="spellEnd"/>
      <w:r w:rsidRPr="00C55369">
        <w:t xml:space="preserve"> J, </w:t>
      </w:r>
      <w:proofErr w:type="spellStart"/>
      <w:r w:rsidRPr="00C55369">
        <w:t>Bellomo</w:t>
      </w:r>
      <w:proofErr w:type="spellEnd"/>
      <w:r w:rsidRPr="00C55369">
        <w:t xml:space="preserve"> R, Morgan TJ, Bailey M. Incidence and outcome of adults with diabetic ketoacidosis admitted to ICUs in Australia and New Zealand. Critical Care 2015, 19:451</w:t>
      </w:r>
    </w:p>
    <w:p w:rsidR="002B04F8" w:rsidRPr="00C55369" w:rsidRDefault="002B04F8" w:rsidP="002B04F8">
      <w:pPr>
        <w:spacing w:line="360" w:lineRule="auto"/>
      </w:pPr>
      <w:r w:rsidRPr="00C55369">
        <w:t xml:space="preserve">30.    Medicines and Healthcare products Regulatory Agency. SGLT2 inhibitors: updated advice on the risk of diabetic ketoacidosis GOV.UK 2016 available at </w:t>
      </w:r>
      <w:hyperlink r:id="rId10" w:history="1">
        <w:r w:rsidRPr="00C55369">
          <w:rPr>
            <w:rStyle w:val="Hyperlink"/>
          </w:rPr>
          <w:t>https://www.gov.uk/drug-safety-update/sglt2-inhibitors-updated-advice-on-the-risk-of-diabetic-ketoacidosis</w:t>
        </w:r>
      </w:hyperlink>
      <w:r w:rsidRPr="00C55369">
        <w:t xml:space="preserve">  accessed 25 July 2016.</w:t>
      </w:r>
    </w:p>
    <w:p w:rsidR="002B04F8" w:rsidRDefault="002B04F8" w:rsidP="002B04F8">
      <w:pPr>
        <w:spacing w:line="360" w:lineRule="auto"/>
      </w:pPr>
      <w:r w:rsidRPr="00C55369">
        <w:t xml:space="preserve">31.    </w:t>
      </w:r>
      <w:proofErr w:type="spellStart"/>
      <w:r w:rsidRPr="00C55369">
        <w:t>Misra</w:t>
      </w:r>
      <w:proofErr w:type="spellEnd"/>
      <w:r w:rsidRPr="00C55369">
        <w:t xml:space="preserve"> S, Oliver N, </w:t>
      </w:r>
      <w:proofErr w:type="spellStart"/>
      <w:r w:rsidRPr="00C55369">
        <w:t>Dornhorst</w:t>
      </w:r>
      <w:proofErr w:type="spellEnd"/>
      <w:r w:rsidRPr="00C55369">
        <w:t xml:space="preserve"> A: Diabetic ketoacidosis: not always due to type 1 diabetes. BMJ 2013,344 346:f3501.</w:t>
      </w:r>
    </w:p>
    <w:p w:rsidR="002B04F8" w:rsidRDefault="002B04F8" w:rsidP="002B04F8">
      <w:pPr>
        <w:spacing w:line="360" w:lineRule="auto"/>
      </w:pPr>
    </w:p>
    <w:p w:rsidR="00CB5FFF" w:rsidRDefault="00CB5FFF" w:rsidP="003E4EE6">
      <w:pPr>
        <w:spacing w:line="360" w:lineRule="auto"/>
        <w:contextualSpacing/>
        <w:rPr>
          <w:rFonts w:ascii="Arial" w:hAnsi="Arial" w:cs="Arial"/>
          <w:b/>
          <w:sz w:val="24"/>
          <w:szCs w:val="24"/>
        </w:rPr>
      </w:pPr>
    </w:p>
    <w:p w:rsidR="00CB5FFF" w:rsidRDefault="00CB5FFF" w:rsidP="003E4EE6">
      <w:pPr>
        <w:spacing w:line="360" w:lineRule="auto"/>
        <w:contextualSpacing/>
        <w:rPr>
          <w:rFonts w:ascii="Arial" w:hAnsi="Arial" w:cs="Arial"/>
          <w:b/>
          <w:sz w:val="24"/>
          <w:szCs w:val="24"/>
        </w:rPr>
      </w:pPr>
    </w:p>
    <w:p w:rsidR="00CB5FFF" w:rsidRDefault="00CB5FFF" w:rsidP="003E4EE6">
      <w:pPr>
        <w:spacing w:line="360" w:lineRule="auto"/>
        <w:contextualSpacing/>
        <w:rPr>
          <w:rFonts w:ascii="Arial" w:hAnsi="Arial" w:cs="Arial"/>
          <w:b/>
          <w:sz w:val="24"/>
          <w:szCs w:val="24"/>
        </w:rPr>
      </w:pPr>
    </w:p>
    <w:p w:rsidR="00CB5FFF" w:rsidRDefault="00CB5FFF" w:rsidP="003E4EE6">
      <w:pPr>
        <w:spacing w:line="360" w:lineRule="auto"/>
        <w:contextualSpacing/>
        <w:rPr>
          <w:rFonts w:ascii="Arial" w:hAnsi="Arial" w:cs="Arial"/>
          <w:b/>
          <w:sz w:val="24"/>
          <w:szCs w:val="24"/>
        </w:rPr>
      </w:pPr>
    </w:p>
    <w:p w:rsidR="00CB5FFF" w:rsidRDefault="00CB5FFF" w:rsidP="003E4EE6">
      <w:pPr>
        <w:spacing w:line="360" w:lineRule="auto"/>
        <w:contextualSpacing/>
        <w:rPr>
          <w:rFonts w:ascii="Arial" w:hAnsi="Arial" w:cs="Arial"/>
          <w:b/>
          <w:sz w:val="24"/>
          <w:szCs w:val="24"/>
        </w:rPr>
      </w:pPr>
    </w:p>
    <w:p w:rsidR="00CB5FFF" w:rsidRDefault="00CB5FFF" w:rsidP="003E4EE6">
      <w:pPr>
        <w:spacing w:line="360" w:lineRule="auto"/>
        <w:contextualSpacing/>
        <w:rPr>
          <w:rFonts w:ascii="Arial" w:hAnsi="Arial" w:cs="Arial"/>
          <w:b/>
          <w:sz w:val="24"/>
          <w:szCs w:val="24"/>
        </w:rPr>
      </w:pPr>
    </w:p>
    <w:p w:rsidR="00CB5FFF" w:rsidRDefault="00CB5FFF" w:rsidP="003E4EE6">
      <w:pPr>
        <w:spacing w:line="360" w:lineRule="auto"/>
        <w:contextualSpacing/>
        <w:rPr>
          <w:rFonts w:ascii="Arial" w:hAnsi="Arial" w:cs="Arial"/>
          <w:b/>
          <w:sz w:val="24"/>
          <w:szCs w:val="24"/>
        </w:rPr>
      </w:pPr>
    </w:p>
    <w:p w:rsidR="00CB5FFF" w:rsidRDefault="00CB5FFF" w:rsidP="003E4EE6">
      <w:pPr>
        <w:spacing w:line="360" w:lineRule="auto"/>
        <w:contextualSpacing/>
        <w:rPr>
          <w:rFonts w:ascii="Arial" w:hAnsi="Arial" w:cs="Arial"/>
          <w:b/>
          <w:sz w:val="24"/>
          <w:szCs w:val="24"/>
        </w:rPr>
      </w:pPr>
    </w:p>
    <w:p w:rsidR="00CB5FFF" w:rsidRDefault="00CB5FFF" w:rsidP="003E4EE6">
      <w:pPr>
        <w:spacing w:line="360" w:lineRule="auto"/>
        <w:contextualSpacing/>
        <w:rPr>
          <w:rFonts w:ascii="Arial" w:hAnsi="Arial" w:cs="Arial"/>
          <w:b/>
          <w:sz w:val="24"/>
          <w:szCs w:val="24"/>
        </w:rPr>
      </w:pPr>
    </w:p>
    <w:p w:rsidR="00CB5FFF" w:rsidRDefault="00CB5FFF" w:rsidP="003E4EE6">
      <w:pPr>
        <w:spacing w:line="360" w:lineRule="auto"/>
        <w:contextualSpacing/>
        <w:rPr>
          <w:rFonts w:ascii="Arial" w:hAnsi="Arial" w:cs="Arial"/>
          <w:b/>
          <w:sz w:val="24"/>
          <w:szCs w:val="24"/>
        </w:rPr>
      </w:pPr>
    </w:p>
    <w:p w:rsidR="00CB5FFF" w:rsidRDefault="00CB5FFF" w:rsidP="003E4EE6">
      <w:pPr>
        <w:spacing w:line="360" w:lineRule="auto"/>
        <w:contextualSpacing/>
        <w:rPr>
          <w:rFonts w:ascii="Arial" w:hAnsi="Arial" w:cs="Arial"/>
          <w:b/>
          <w:sz w:val="24"/>
          <w:szCs w:val="24"/>
        </w:rPr>
      </w:pPr>
    </w:p>
    <w:p w:rsidR="00CB5FFF" w:rsidRDefault="00CB5FFF" w:rsidP="003E4EE6">
      <w:pPr>
        <w:spacing w:line="360" w:lineRule="auto"/>
        <w:contextualSpacing/>
        <w:rPr>
          <w:rFonts w:ascii="Arial" w:hAnsi="Arial" w:cs="Arial"/>
          <w:b/>
          <w:sz w:val="24"/>
          <w:szCs w:val="24"/>
        </w:rPr>
      </w:pPr>
    </w:p>
    <w:p w:rsidR="00CB5FFF" w:rsidRDefault="00CB5FFF" w:rsidP="003E4EE6">
      <w:pPr>
        <w:spacing w:line="360" w:lineRule="auto"/>
        <w:contextualSpacing/>
        <w:rPr>
          <w:rFonts w:ascii="Arial" w:hAnsi="Arial" w:cs="Arial"/>
          <w:b/>
          <w:sz w:val="24"/>
          <w:szCs w:val="24"/>
        </w:rPr>
      </w:pPr>
    </w:p>
    <w:p w:rsidR="002B04F8" w:rsidRDefault="002B04F8" w:rsidP="003E4EE6">
      <w:pPr>
        <w:spacing w:line="360" w:lineRule="auto"/>
        <w:contextualSpacing/>
        <w:rPr>
          <w:rFonts w:ascii="Arial" w:hAnsi="Arial" w:cs="Arial"/>
          <w:b/>
          <w:sz w:val="24"/>
          <w:szCs w:val="24"/>
        </w:rPr>
      </w:pPr>
    </w:p>
    <w:p w:rsidR="003E4EE6" w:rsidRPr="00FD0F1C" w:rsidRDefault="003E4EE6" w:rsidP="003E4EE6">
      <w:pPr>
        <w:spacing w:line="360" w:lineRule="auto"/>
        <w:contextualSpacing/>
        <w:rPr>
          <w:rFonts w:ascii="Arial" w:hAnsi="Arial" w:cs="Arial"/>
          <w:sz w:val="24"/>
          <w:szCs w:val="24"/>
        </w:rPr>
      </w:pPr>
      <w:r w:rsidRPr="00FD0F1C">
        <w:rPr>
          <w:rFonts w:ascii="Arial" w:hAnsi="Arial" w:cs="Arial"/>
          <w:b/>
          <w:sz w:val="24"/>
          <w:szCs w:val="24"/>
        </w:rPr>
        <w:lastRenderedPageBreak/>
        <w:t>Table 1</w:t>
      </w:r>
      <w:r w:rsidRPr="00FD0F1C">
        <w:rPr>
          <w:rFonts w:ascii="Arial" w:hAnsi="Arial" w:cs="Arial"/>
          <w:sz w:val="24"/>
          <w:szCs w:val="24"/>
        </w:rPr>
        <w:t xml:space="preserve"> </w:t>
      </w:r>
      <w:r w:rsidRPr="00FD0F1C">
        <w:rPr>
          <w:rFonts w:ascii="Arial" w:hAnsi="Arial" w:cs="Arial"/>
          <w:b/>
          <w:bCs/>
          <w:sz w:val="24"/>
          <w:szCs w:val="24"/>
        </w:rPr>
        <w:t xml:space="preserve">QOF target for glycated haemoglobin (HbA1c) level </w:t>
      </w:r>
      <w:r w:rsidRPr="004B1BE3">
        <w:rPr>
          <w:rFonts w:ascii="Arial" w:hAnsi="Arial" w:cs="Arial"/>
          <w:b/>
          <w:bCs/>
          <w:sz w:val="24"/>
          <w:szCs w:val="24"/>
        </w:rPr>
        <w:fldChar w:fldCharType="begin"/>
      </w:r>
      <w:r w:rsidRPr="00FD0F1C">
        <w:rPr>
          <w:rFonts w:ascii="Arial" w:hAnsi="Arial" w:cs="Arial"/>
          <w:b/>
          <w:bCs/>
          <w:sz w:val="24"/>
          <w:szCs w:val="24"/>
        </w:rPr>
        <w:instrText xml:space="preserve"> ADDIN EN.CITE &lt;EndNote&gt;&lt;Cite&gt;&lt;Author&gt;NHS Employers&lt;/Author&gt;&lt;Year&gt;2010&lt;/Year&gt;&lt;RecNum&gt;3040&lt;/RecNum&gt;&lt;DisplayText&gt;[9]&lt;/DisplayText&gt;&lt;record&gt;&lt;rec-number&gt;3040&lt;/rec-number&gt;&lt;foreign-keys&gt;&lt;key app="EN" db-id="9r2a22ewqzzzxfe2z235rssx2atxvxrwxv99"&gt;3040&lt;/key&gt;&lt;/foreign-keys&gt;&lt;ref-type name="Electronic Article"&gt;43&lt;/ref-type&gt;&lt;contributors&gt;&lt;authors&gt;&lt;author&gt;NHS Employers,&lt;/author&gt;&lt;/authors&gt;&lt;/contributors&gt;&lt;titles&gt;&lt;title&gt;Introducing QOF 2004&lt;/title&gt;&lt;/titles&gt;&lt;dates&gt;&lt;year&gt;2010&lt;/year&gt;&lt;pub-dates&gt;&lt;date&gt;01/02/2016&lt;/date&gt;&lt;/pub-dates&gt;&lt;/dates&gt;&lt;pub-location&gt;Leeds&lt;/pub-location&gt;&lt;publisher&gt;NHS Employers,&lt;/publisher&gt;&lt;urls&gt;&lt;related-urls&gt;&lt;url&gt;http://www.nhsemployers.org/your-workforce/primary-care-contacts/general-medical-services/quality-and-outcomes-framework/introducing-qof-2004&lt;/url&gt;&lt;/related-urls&gt;&lt;/urls&gt;&lt;/record&gt;&lt;/Cite&gt;&lt;/EndNote&gt;</w:instrText>
      </w:r>
      <w:r w:rsidRPr="004B1BE3">
        <w:rPr>
          <w:rFonts w:ascii="Arial" w:hAnsi="Arial" w:cs="Arial"/>
          <w:b/>
          <w:bCs/>
          <w:sz w:val="24"/>
          <w:szCs w:val="24"/>
        </w:rPr>
        <w:fldChar w:fldCharType="separate"/>
      </w:r>
      <w:r w:rsidRPr="00FD0F1C">
        <w:rPr>
          <w:rFonts w:ascii="Arial" w:hAnsi="Arial" w:cs="Arial"/>
          <w:b/>
          <w:bCs/>
          <w:sz w:val="24"/>
          <w:szCs w:val="24"/>
        </w:rPr>
        <w:t>[</w:t>
      </w:r>
      <w:hyperlink w:anchor="_ENREF_9" w:tooltip="NHS Employers, 2010 #3040" w:history="1">
        <w:r w:rsidRPr="004B1BE3">
          <w:rPr>
            <w:rStyle w:val="Hyperlink"/>
            <w:rFonts w:ascii="Arial" w:hAnsi="Arial" w:cs="Arial"/>
            <w:b/>
            <w:bCs/>
            <w:color w:val="auto"/>
            <w:sz w:val="24"/>
            <w:szCs w:val="24"/>
          </w:rPr>
          <w:t>9</w:t>
        </w:r>
      </w:hyperlink>
      <w:r w:rsidRPr="00FD0F1C">
        <w:rPr>
          <w:rFonts w:ascii="Arial" w:hAnsi="Arial" w:cs="Arial"/>
          <w:b/>
          <w:bCs/>
          <w:sz w:val="24"/>
          <w:szCs w:val="24"/>
        </w:rPr>
        <w:t>]</w:t>
      </w:r>
      <w:r w:rsidRPr="004B1BE3">
        <w:rPr>
          <w:rFonts w:ascii="Arial" w:hAnsi="Arial" w:cs="Arial"/>
          <w:b/>
          <w:bCs/>
          <w:sz w:val="24"/>
          <w:szCs w:val="24"/>
        </w:rPr>
        <w:fldChar w:fldCharType="end"/>
      </w:r>
    </w:p>
    <w:tbl>
      <w:tblPr>
        <w:tblW w:w="0" w:type="auto"/>
        <w:tblBorders>
          <w:bottom w:val="single" w:sz="4" w:space="0" w:color="auto"/>
        </w:tblBorders>
        <w:tblLook w:val="04A0" w:firstRow="1" w:lastRow="0" w:firstColumn="1" w:lastColumn="0" w:noHBand="0" w:noVBand="1"/>
      </w:tblPr>
      <w:tblGrid>
        <w:gridCol w:w="2790"/>
        <w:gridCol w:w="3086"/>
        <w:gridCol w:w="2133"/>
      </w:tblGrid>
      <w:tr w:rsidR="003E4EE6" w:rsidRPr="00FD0F1C" w:rsidTr="00806320">
        <w:trPr>
          <w:trHeight w:val="321"/>
        </w:trPr>
        <w:tc>
          <w:tcPr>
            <w:tcW w:w="0" w:type="auto"/>
            <w:tcBorders>
              <w:top w:val="single" w:sz="4" w:space="0" w:color="auto"/>
              <w:bottom w:val="single" w:sz="4" w:space="0" w:color="auto"/>
            </w:tcBorders>
            <w:shd w:val="clear" w:color="auto" w:fill="auto"/>
            <w:vAlign w:val="bottom"/>
          </w:tcPr>
          <w:p w:rsidR="003E4EE6" w:rsidRPr="00FD0F1C" w:rsidRDefault="003E4EE6" w:rsidP="00806320">
            <w:pPr>
              <w:contextualSpacing/>
              <w:jc w:val="center"/>
              <w:rPr>
                <w:rFonts w:ascii="Arial" w:hAnsi="Arial" w:cs="Arial"/>
                <w:sz w:val="24"/>
                <w:szCs w:val="24"/>
              </w:rPr>
            </w:pPr>
            <w:r w:rsidRPr="00FD0F1C">
              <w:rPr>
                <w:rFonts w:ascii="Arial" w:hAnsi="Arial" w:cs="Arial"/>
                <w:b/>
                <w:bCs/>
                <w:sz w:val="24"/>
                <w:szCs w:val="24"/>
              </w:rPr>
              <w:t>Indicator name in QOF</w:t>
            </w:r>
          </w:p>
        </w:tc>
        <w:tc>
          <w:tcPr>
            <w:tcW w:w="0" w:type="auto"/>
            <w:tcBorders>
              <w:top w:val="single" w:sz="4" w:space="0" w:color="auto"/>
              <w:bottom w:val="single" w:sz="4" w:space="0" w:color="auto"/>
            </w:tcBorders>
            <w:shd w:val="clear" w:color="auto" w:fill="auto"/>
            <w:vAlign w:val="bottom"/>
          </w:tcPr>
          <w:p w:rsidR="003E4EE6" w:rsidRPr="00FD0F1C" w:rsidRDefault="003E4EE6" w:rsidP="00806320">
            <w:pPr>
              <w:contextualSpacing/>
              <w:jc w:val="center"/>
              <w:rPr>
                <w:rFonts w:ascii="Arial" w:hAnsi="Arial" w:cs="Arial"/>
                <w:sz w:val="24"/>
                <w:szCs w:val="24"/>
              </w:rPr>
            </w:pPr>
            <w:r w:rsidRPr="00FD0F1C">
              <w:rPr>
                <w:rFonts w:ascii="Arial" w:hAnsi="Arial" w:cs="Arial"/>
                <w:b/>
                <w:bCs/>
                <w:sz w:val="24"/>
                <w:szCs w:val="24"/>
              </w:rPr>
              <w:t>Years</w:t>
            </w:r>
          </w:p>
        </w:tc>
        <w:tc>
          <w:tcPr>
            <w:tcW w:w="2133" w:type="dxa"/>
            <w:tcBorders>
              <w:top w:val="single" w:sz="4" w:space="0" w:color="auto"/>
              <w:bottom w:val="single" w:sz="4" w:space="0" w:color="auto"/>
            </w:tcBorders>
            <w:shd w:val="clear" w:color="auto" w:fill="auto"/>
            <w:vAlign w:val="bottom"/>
          </w:tcPr>
          <w:p w:rsidR="003E4EE6" w:rsidRPr="00FD0F1C" w:rsidRDefault="003E4EE6" w:rsidP="00806320">
            <w:pPr>
              <w:contextualSpacing/>
              <w:jc w:val="center"/>
              <w:rPr>
                <w:rFonts w:ascii="Arial" w:hAnsi="Arial" w:cs="Arial"/>
                <w:sz w:val="24"/>
                <w:szCs w:val="24"/>
              </w:rPr>
            </w:pPr>
            <w:r w:rsidRPr="00FD0F1C">
              <w:rPr>
                <w:rFonts w:ascii="Arial" w:hAnsi="Arial" w:cs="Arial"/>
                <w:b/>
                <w:bCs/>
                <w:sz w:val="24"/>
                <w:szCs w:val="24"/>
              </w:rPr>
              <w:t>Glycated haemoglobin (HbA1c) threshold</w:t>
            </w:r>
          </w:p>
        </w:tc>
      </w:tr>
      <w:tr w:rsidR="003E4EE6" w:rsidRPr="00FD0F1C" w:rsidTr="00806320">
        <w:trPr>
          <w:trHeight w:val="109"/>
        </w:trPr>
        <w:tc>
          <w:tcPr>
            <w:tcW w:w="0" w:type="auto"/>
            <w:tcBorders>
              <w:top w:val="single" w:sz="4" w:space="0" w:color="auto"/>
            </w:tcBorders>
            <w:shd w:val="clear" w:color="auto" w:fill="auto"/>
          </w:tcPr>
          <w:p w:rsidR="003E4EE6" w:rsidRPr="00FD0F1C" w:rsidRDefault="003E4EE6" w:rsidP="00806320">
            <w:pPr>
              <w:ind w:left="851"/>
              <w:contextualSpacing/>
              <w:rPr>
                <w:rFonts w:ascii="Arial" w:hAnsi="Arial" w:cs="Arial"/>
                <w:sz w:val="24"/>
                <w:szCs w:val="24"/>
              </w:rPr>
            </w:pPr>
            <w:r w:rsidRPr="00FD0F1C">
              <w:rPr>
                <w:rFonts w:ascii="Arial" w:hAnsi="Arial" w:cs="Arial"/>
                <w:sz w:val="24"/>
                <w:szCs w:val="24"/>
              </w:rPr>
              <w:t xml:space="preserve">DM6 </w:t>
            </w:r>
          </w:p>
        </w:tc>
        <w:tc>
          <w:tcPr>
            <w:tcW w:w="0" w:type="auto"/>
            <w:tcBorders>
              <w:top w:val="single" w:sz="4" w:space="0" w:color="auto"/>
            </w:tcBorders>
            <w:shd w:val="clear" w:color="auto" w:fill="auto"/>
          </w:tcPr>
          <w:p w:rsidR="003E4EE6" w:rsidRPr="00FD0F1C" w:rsidRDefault="003E4EE6" w:rsidP="00806320">
            <w:pPr>
              <w:ind w:left="401"/>
              <w:contextualSpacing/>
              <w:rPr>
                <w:rFonts w:ascii="Arial" w:hAnsi="Arial" w:cs="Arial"/>
                <w:sz w:val="24"/>
                <w:szCs w:val="24"/>
              </w:rPr>
            </w:pPr>
            <w:r w:rsidRPr="00FD0F1C">
              <w:rPr>
                <w:rFonts w:ascii="Arial" w:hAnsi="Arial" w:cs="Arial"/>
                <w:sz w:val="24"/>
                <w:szCs w:val="24"/>
              </w:rPr>
              <w:t xml:space="preserve">2004/5; 2005/6 </w:t>
            </w:r>
          </w:p>
        </w:tc>
        <w:tc>
          <w:tcPr>
            <w:tcW w:w="2133" w:type="dxa"/>
            <w:tcBorders>
              <w:top w:val="single" w:sz="4" w:space="0" w:color="auto"/>
            </w:tcBorders>
            <w:shd w:val="clear" w:color="auto" w:fill="auto"/>
          </w:tcPr>
          <w:p w:rsidR="003E4EE6" w:rsidRPr="00FD0F1C" w:rsidRDefault="003E4EE6" w:rsidP="00806320">
            <w:pPr>
              <w:ind w:left="756"/>
              <w:contextualSpacing/>
              <w:rPr>
                <w:rFonts w:ascii="Arial" w:hAnsi="Arial" w:cs="Arial"/>
                <w:sz w:val="24"/>
                <w:szCs w:val="24"/>
              </w:rPr>
            </w:pPr>
            <w:r w:rsidRPr="00FD0F1C">
              <w:rPr>
                <w:rFonts w:ascii="Arial" w:hAnsi="Arial" w:cs="Arial"/>
                <w:sz w:val="24"/>
                <w:szCs w:val="24"/>
              </w:rPr>
              <w:t xml:space="preserve">≤ 7.4% </w:t>
            </w:r>
          </w:p>
        </w:tc>
      </w:tr>
      <w:tr w:rsidR="003E4EE6" w:rsidRPr="00FD0F1C" w:rsidTr="00806320">
        <w:trPr>
          <w:trHeight w:val="315"/>
        </w:trPr>
        <w:tc>
          <w:tcPr>
            <w:tcW w:w="0" w:type="auto"/>
            <w:shd w:val="clear" w:color="auto" w:fill="auto"/>
          </w:tcPr>
          <w:p w:rsidR="003E4EE6" w:rsidRPr="00FD0F1C" w:rsidRDefault="003E4EE6" w:rsidP="00806320">
            <w:pPr>
              <w:ind w:left="851"/>
              <w:contextualSpacing/>
              <w:rPr>
                <w:rFonts w:ascii="Arial" w:hAnsi="Arial" w:cs="Arial"/>
                <w:sz w:val="24"/>
                <w:szCs w:val="24"/>
              </w:rPr>
            </w:pPr>
            <w:r w:rsidRPr="00FD0F1C">
              <w:rPr>
                <w:rFonts w:ascii="Arial" w:hAnsi="Arial" w:cs="Arial"/>
                <w:sz w:val="24"/>
                <w:szCs w:val="24"/>
              </w:rPr>
              <w:t xml:space="preserve">DM20 </w:t>
            </w:r>
          </w:p>
        </w:tc>
        <w:tc>
          <w:tcPr>
            <w:tcW w:w="0" w:type="auto"/>
            <w:shd w:val="clear" w:color="auto" w:fill="auto"/>
          </w:tcPr>
          <w:p w:rsidR="003E4EE6" w:rsidRPr="00FD0F1C" w:rsidRDefault="003E4EE6" w:rsidP="00806320">
            <w:pPr>
              <w:ind w:left="401"/>
              <w:contextualSpacing/>
              <w:rPr>
                <w:rFonts w:ascii="Arial" w:hAnsi="Arial" w:cs="Arial"/>
                <w:sz w:val="24"/>
                <w:szCs w:val="24"/>
              </w:rPr>
            </w:pPr>
            <w:r w:rsidRPr="00FD0F1C">
              <w:rPr>
                <w:rFonts w:ascii="Arial" w:hAnsi="Arial" w:cs="Arial"/>
                <w:sz w:val="24"/>
                <w:szCs w:val="24"/>
              </w:rPr>
              <w:t xml:space="preserve">2006/7; 2007/8; 2008/9 </w:t>
            </w:r>
          </w:p>
          <w:p w:rsidR="003E4EE6" w:rsidRPr="00FD0F1C" w:rsidRDefault="003E4EE6" w:rsidP="00806320">
            <w:pPr>
              <w:ind w:left="401"/>
              <w:contextualSpacing/>
              <w:rPr>
                <w:rFonts w:ascii="Arial" w:hAnsi="Arial" w:cs="Arial"/>
                <w:sz w:val="24"/>
                <w:szCs w:val="24"/>
              </w:rPr>
            </w:pPr>
            <w:r w:rsidRPr="00FD0F1C">
              <w:rPr>
                <w:rFonts w:ascii="Arial" w:hAnsi="Arial" w:cs="Arial"/>
                <w:sz w:val="24"/>
                <w:szCs w:val="24"/>
              </w:rPr>
              <w:t xml:space="preserve">(replaced DM6) </w:t>
            </w:r>
          </w:p>
        </w:tc>
        <w:tc>
          <w:tcPr>
            <w:tcW w:w="2133" w:type="dxa"/>
            <w:shd w:val="clear" w:color="auto" w:fill="auto"/>
          </w:tcPr>
          <w:p w:rsidR="003E4EE6" w:rsidRPr="00FD0F1C" w:rsidRDefault="003E4EE6" w:rsidP="00806320">
            <w:pPr>
              <w:ind w:left="756"/>
              <w:contextualSpacing/>
              <w:rPr>
                <w:rFonts w:ascii="Arial" w:hAnsi="Arial" w:cs="Arial"/>
                <w:sz w:val="24"/>
                <w:szCs w:val="24"/>
              </w:rPr>
            </w:pPr>
            <w:r w:rsidRPr="00FD0F1C">
              <w:rPr>
                <w:rFonts w:ascii="Arial" w:hAnsi="Arial" w:cs="Arial"/>
                <w:sz w:val="24"/>
                <w:szCs w:val="24"/>
              </w:rPr>
              <w:t xml:space="preserve">≤ 7.5% </w:t>
            </w:r>
          </w:p>
        </w:tc>
      </w:tr>
      <w:tr w:rsidR="003E4EE6" w:rsidRPr="00FD0F1C" w:rsidTr="00806320">
        <w:trPr>
          <w:trHeight w:val="315"/>
        </w:trPr>
        <w:tc>
          <w:tcPr>
            <w:tcW w:w="0" w:type="auto"/>
            <w:shd w:val="clear" w:color="auto" w:fill="auto"/>
          </w:tcPr>
          <w:p w:rsidR="003E4EE6" w:rsidRPr="00FD0F1C" w:rsidRDefault="003E4EE6" w:rsidP="00806320">
            <w:pPr>
              <w:ind w:left="851"/>
              <w:contextualSpacing/>
              <w:rPr>
                <w:rFonts w:ascii="Arial" w:hAnsi="Arial" w:cs="Arial"/>
                <w:sz w:val="24"/>
                <w:szCs w:val="24"/>
              </w:rPr>
            </w:pPr>
            <w:r w:rsidRPr="00FD0F1C">
              <w:rPr>
                <w:rFonts w:ascii="Arial" w:hAnsi="Arial" w:cs="Arial"/>
                <w:sz w:val="24"/>
                <w:szCs w:val="24"/>
              </w:rPr>
              <w:t xml:space="preserve">DM23 </w:t>
            </w:r>
          </w:p>
        </w:tc>
        <w:tc>
          <w:tcPr>
            <w:tcW w:w="0" w:type="auto"/>
            <w:shd w:val="clear" w:color="auto" w:fill="auto"/>
          </w:tcPr>
          <w:p w:rsidR="003E4EE6" w:rsidRPr="00FD0F1C" w:rsidRDefault="003E4EE6" w:rsidP="00806320">
            <w:pPr>
              <w:ind w:left="401"/>
              <w:contextualSpacing/>
              <w:rPr>
                <w:rFonts w:ascii="Arial" w:hAnsi="Arial" w:cs="Arial"/>
                <w:sz w:val="24"/>
                <w:szCs w:val="24"/>
              </w:rPr>
            </w:pPr>
            <w:r w:rsidRPr="00FD0F1C">
              <w:rPr>
                <w:rFonts w:ascii="Arial" w:hAnsi="Arial" w:cs="Arial"/>
                <w:sz w:val="24"/>
                <w:szCs w:val="24"/>
              </w:rPr>
              <w:t xml:space="preserve">2009/10; 2010/11 </w:t>
            </w:r>
          </w:p>
          <w:p w:rsidR="003E4EE6" w:rsidRPr="00FD0F1C" w:rsidRDefault="003E4EE6" w:rsidP="00806320">
            <w:pPr>
              <w:ind w:left="401"/>
              <w:contextualSpacing/>
              <w:rPr>
                <w:rFonts w:ascii="Arial" w:hAnsi="Arial" w:cs="Arial"/>
                <w:sz w:val="24"/>
                <w:szCs w:val="24"/>
              </w:rPr>
            </w:pPr>
            <w:r w:rsidRPr="00FD0F1C">
              <w:rPr>
                <w:rFonts w:ascii="Arial" w:hAnsi="Arial" w:cs="Arial"/>
                <w:sz w:val="24"/>
                <w:szCs w:val="24"/>
              </w:rPr>
              <w:t xml:space="preserve">(replaced DM20) </w:t>
            </w:r>
          </w:p>
        </w:tc>
        <w:tc>
          <w:tcPr>
            <w:tcW w:w="2133" w:type="dxa"/>
            <w:shd w:val="clear" w:color="auto" w:fill="auto"/>
          </w:tcPr>
          <w:p w:rsidR="003E4EE6" w:rsidRPr="00FD0F1C" w:rsidRDefault="003E4EE6" w:rsidP="00806320">
            <w:pPr>
              <w:ind w:left="756"/>
              <w:contextualSpacing/>
              <w:rPr>
                <w:rFonts w:ascii="Arial" w:hAnsi="Arial" w:cs="Arial"/>
                <w:sz w:val="24"/>
                <w:szCs w:val="24"/>
              </w:rPr>
            </w:pPr>
            <w:r w:rsidRPr="00FD0F1C">
              <w:rPr>
                <w:rFonts w:ascii="Arial" w:hAnsi="Arial" w:cs="Arial"/>
                <w:sz w:val="24"/>
                <w:szCs w:val="24"/>
              </w:rPr>
              <w:t xml:space="preserve">≤ 7% </w:t>
            </w:r>
          </w:p>
        </w:tc>
      </w:tr>
      <w:tr w:rsidR="003E4EE6" w:rsidRPr="00FD0F1C" w:rsidTr="00806320">
        <w:trPr>
          <w:trHeight w:val="315"/>
        </w:trPr>
        <w:tc>
          <w:tcPr>
            <w:tcW w:w="0" w:type="auto"/>
            <w:shd w:val="clear" w:color="auto" w:fill="auto"/>
          </w:tcPr>
          <w:p w:rsidR="003E4EE6" w:rsidRPr="00FD0F1C" w:rsidRDefault="003E4EE6" w:rsidP="00806320">
            <w:pPr>
              <w:ind w:left="851"/>
              <w:contextualSpacing/>
              <w:rPr>
                <w:rFonts w:ascii="Arial" w:hAnsi="Arial" w:cs="Arial"/>
                <w:sz w:val="24"/>
                <w:szCs w:val="24"/>
              </w:rPr>
            </w:pPr>
            <w:r w:rsidRPr="00FD0F1C">
              <w:rPr>
                <w:rFonts w:ascii="Arial" w:hAnsi="Arial" w:cs="Arial"/>
                <w:sz w:val="24"/>
                <w:szCs w:val="24"/>
              </w:rPr>
              <w:t xml:space="preserve">DM26 </w:t>
            </w:r>
          </w:p>
        </w:tc>
        <w:tc>
          <w:tcPr>
            <w:tcW w:w="0" w:type="auto"/>
            <w:shd w:val="clear" w:color="auto" w:fill="auto"/>
          </w:tcPr>
          <w:p w:rsidR="003E4EE6" w:rsidRPr="00FD0F1C" w:rsidRDefault="003E4EE6" w:rsidP="00806320">
            <w:pPr>
              <w:ind w:left="401"/>
              <w:contextualSpacing/>
              <w:rPr>
                <w:rFonts w:ascii="Arial" w:hAnsi="Arial" w:cs="Arial"/>
                <w:sz w:val="24"/>
                <w:szCs w:val="24"/>
              </w:rPr>
            </w:pPr>
            <w:r w:rsidRPr="00FD0F1C">
              <w:rPr>
                <w:rFonts w:ascii="Arial" w:hAnsi="Arial" w:cs="Arial"/>
                <w:sz w:val="24"/>
                <w:szCs w:val="24"/>
              </w:rPr>
              <w:t xml:space="preserve">2011/12 onward </w:t>
            </w:r>
          </w:p>
          <w:p w:rsidR="003E4EE6" w:rsidRPr="00FD0F1C" w:rsidRDefault="003E4EE6" w:rsidP="00806320">
            <w:pPr>
              <w:ind w:left="401"/>
              <w:contextualSpacing/>
              <w:rPr>
                <w:rFonts w:ascii="Arial" w:hAnsi="Arial" w:cs="Arial"/>
                <w:sz w:val="24"/>
                <w:szCs w:val="24"/>
              </w:rPr>
            </w:pPr>
            <w:r w:rsidRPr="00FD0F1C">
              <w:rPr>
                <w:rFonts w:ascii="Arial" w:hAnsi="Arial" w:cs="Arial"/>
                <w:sz w:val="24"/>
                <w:szCs w:val="24"/>
              </w:rPr>
              <w:t xml:space="preserve">(replaced DM23) </w:t>
            </w:r>
          </w:p>
        </w:tc>
        <w:tc>
          <w:tcPr>
            <w:tcW w:w="2133" w:type="dxa"/>
            <w:shd w:val="clear" w:color="auto" w:fill="auto"/>
          </w:tcPr>
          <w:p w:rsidR="003E4EE6" w:rsidRPr="00FD0F1C" w:rsidRDefault="003E4EE6" w:rsidP="00806320">
            <w:pPr>
              <w:ind w:left="756"/>
              <w:contextualSpacing/>
              <w:rPr>
                <w:rFonts w:ascii="Arial" w:hAnsi="Arial" w:cs="Arial"/>
                <w:sz w:val="24"/>
                <w:szCs w:val="24"/>
              </w:rPr>
            </w:pPr>
            <w:r w:rsidRPr="00FD0F1C">
              <w:rPr>
                <w:rFonts w:ascii="Arial" w:hAnsi="Arial" w:cs="Arial"/>
                <w:sz w:val="24"/>
                <w:szCs w:val="24"/>
              </w:rPr>
              <w:t xml:space="preserve">≤ 7.5% </w:t>
            </w:r>
          </w:p>
        </w:tc>
      </w:tr>
    </w:tbl>
    <w:p w:rsidR="003E4EE6" w:rsidRPr="00FD0F1C" w:rsidRDefault="003E4EE6" w:rsidP="003E4EE6"/>
    <w:p w:rsidR="003E4EE6" w:rsidRDefault="003E4EE6" w:rsidP="00D35534">
      <w:pPr>
        <w:spacing w:line="360" w:lineRule="auto"/>
      </w:pPr>
    </w:p>
    <w:p w:rsidR="003E4EE6" w:rsidRDefault="003E4EE6" w:rsidP="00D35534">
      <w:pPr>
        <w:spacing w:line="360" w:lineRule="auto"/>
      </w:pPr>
    </w:p>
    <w:p w:rsidR="003E4EE6" w:rsidRDefault="003E4EE6" w:rsidP="00D35534">
      <w:pPr>
        <w:spacing w:line="360" w:lineRule="auto"/>
      </w:pPr>
    </w:p>
    <w:p w:rsidR="003E4EE6" w:rsidRDefault="003E4EE6" w:rsidP="00D35534">
      <w:pPr>
        <w:spacing w:line="360" w:lineRule="auto"/>
      </w:pPr>
    </w:p>
    <w:p w:rsidR="003E4EE6" w:rsidRDefault="003E4EE6" w:rsidP="00D35534">
      <w:pPr>
        <w:spacing w:line="360" w:lineRule="auto"/>
      </w:pPr>
    </w:p>
    <w:p w:rsidR="003E4EE6" w:rsidRDefault="003E4EE6" w:rsidP="00D35534">
      <w:pPr>
        <w:spacing w:line="360" w:lineRule="auto"/>
      </w:pPr>
    </w:p>
    <w:p w:rsidR="003E4EE6" w:rsidRDefault="003E4EE6" w:rsidP="00D35534">
      <w:pPr>
        <w:spacing w:line="360" w:lineRule="auto"/>
      </w:pPr>
    </w:p>
    <w:p w:rsidR="003E4EE6" w:rsidRDefault="003E4EE6" w:rsidP="00D35534">
      <w:pPr>
        <w:spacing w:line="360" w:lineRule="auto"/>
      </w:pPr>
    </w:p>
    <w:p w:rsidR="003E4EE6" w:rsidRDefault="003E4EE6" w:rsidP="00D35534">
      <w:pPr>
        <w:spacing w:line="360" w:lineRule="auto"/>
      </w:pPr>
    </w:p>
    <w:p w:rsidR="003E4EE6" w:rsidRDefault="003E4EE6" w:rsidP="00D35534">
      <w:pPr>
        <w:spacing w:line="360" w:lineRule="auto"/>
      </w:pPr>
    </w:p>
    <w:p w:rsidR="003E4EE6" w:rsidRDefault="003E4EE6" w:rsidP="00D35534">
      <w:pPr>
        <w:spacing w:line="360" w:lineRule="auto"/>
      </w:pPr>
    </w:p>
    <w:p w:rsidR="003E4EE6" w:rsidRDefault="003E4EE6" w:rsidP="00D35534">
      <w:pPr>
        <w:spacing w:line="360" w:lineRule="auto"/>
      </w:pPr>
    </w:p>
    <w:p w:rsidR="003E4EE6" w:rsidRDefault="003E4EE6" w:rsidP="00D35534">
      <w:pPr>
        <w:spacing w:line="360" w:lineRule="auto"/>
      </w:pPr>
    </w:p>
    <w:p w:rsidR="003E4EE6" w:rsidRDefault="003E4EE6" w:rsidP="00D35534">
      <w:pPr>
        <w:spacing w:line="360" w:lineRule="auto"/>
      </w:pPr>
    </w:p>
    <w:p w:rsidR="003E4EE6" w:rsidRDefault="003E4EE6" w:rsidP="00D35534">
      <w:pPr>
        <w:spacing w:line="360" w:lineRule="auto"/>
      </w:pPr>
    </w:p>
    <w:p w:rsidR="003E4EE6" w:rsidRDefault="003E4EE6" w:rsidP="00D35534">
      <w:pPr>
        <w:spacing w:line="360" w:lineRule="auto"/>
      </w:pPr>
    </w:p>
    <w:p w:rsidR="003E4EE6" w:rsidRPr="00EE2C95" w:rsidRDefault="003E4EE6" w:rsidP="003E4EE6">
      <w:pPr>
        <w:spacing w:line="360" w:lineRule="auto"/>
        <w:contextualSpacing/>
        <w:rPr>
          <w:rFonts w:ascii="Arial" w:hAnsi="Arial" w:cs="Arial"/>
          <w:sz w:val="24"/>
          <w:szCs w:val="24"/>
        </w:rPr>
      </w:pPr>
      <w:r w:rsidRPr="00EE2C95">
        <w:rPr>
          <w:rFonts w:ascii="Arial" w:hAnsi="Arial" w:cs="Arial"/>
          <w:b/>
          <w:sz w:val="24"/>
          <w:szCs w:val="24"/>
        </w:rPr>
        <w:lastRenderedPageBreak/>
        <w:t>Table 2</w:t>
      </w:r>
      <w:r w:rsidRPr="00EE2C95">
        <w:rPr>
          <w:rFonts w:ascii="Arial" w:hAnsi="Arial" w:cs="Arial"/>
          <w:sz w:val="24"/>
          <w:szCs w:val="24"/>
        </w:rPr>
        <w:t xml:space="preserve"> </w:t>
      </w:r>
      <w:r w:rsidRPr="00EE2C95">
        <w:rPr>
          <w:rFonts w:ascii="Arial" w:hAnsi="Arial" w:cs="Arial"/>
          <w:b/>
          <w:sz w:val="24"/>
          <w:szCs w:val="24"/>
        </w:rPr>
        <w:t>Office for Nat</w:t>
      </w:r>
      <w:bookmarkStart w:id="0" w:name="_GoBack"/>
      <w:bookmarkEnd w:id="0"/>
      <w:r w:rsidRPr="00EE2C95">
        <w:rPr>
          <w:rFonts w:ascii="Arial" w:hAnsi="Arial" w:cs="Arial"/>
          <w:b/>
          <w:sz w:val="24"/>
          <w:szCs w:val="24"/>
        </w:rPr>
        <w:t xml:space="preserve">ional Statistics </w:t>
      </w:r>
      <w:r w:rsidRPr="00EE2C95">
        <w:rPr>
          <w:rFonts w:ascii="Arial" w:hAnsi="Arial" w:cs="Arial"/>
          <w:b/>
          <w:bCs/>
          <w:sz w:val="24"/>
          <w:szCs w:val="24"/>
        </w:rPr>
        <w:t xml:space="preserve">classification of preventable diabetes admissions (all codes) and amenable deaths </w:t>
      </w:r>
    </w:p>
    <w:tbl>
      <w:tblPr>
        <w:tblW w:w="0" w:type="auto"/>
        <w:tblLook w:val="04A0" w:firstRow="1" w:lastRow="0" w:firstColumn="1" w:lastColumn="0" w:noHBand="0" w:noVBand="1"/>
      </w:tblPr>
      <w:tblGrid>
        <w:gridCol w:w="2376"/>
        <w:gridCol w:w="6866"/>
      </w:tblGrid>
      <w:tr w:rsidR="003E4EE6" w:rsidRPr="00EE2C95" w:rsidTr="00806320">
        <w:tc>
          <w:tcPr>
            <w:tcW w:w="2376" w:type="dxa"/>
            <w:tcBorders>
              <w:top w:val="single" w:sz="4" w:space="0" w:color="auto"/>
              <w:bottom w:val="single" w:sz="4" w:space="0" w:color="auto"/>
            </w:tcBorders>
            <w:shd w:val="clear" w:color="auto" w:fill="auto"/>
          </w:tcPr>
          <w:p w:rsidR="003E4EE6" w:rsidRPr="00EE2C95" w:rsidRDefault="003E4EE6" w:rsidP="00806320">
            <w:pPr>
              <w:pStyle w:val="Default"/>
              <w:contextualSpacing/>
              <w:rPr>
                <w:rFonts w:ascii="Arial" w:hAnsi="Arial" w:cs="Arial"/>
              </w:rPr>
            </w:pPr>
            <w:r w:rsidRPr="00EE2C95">
              <w:rPr>
                <w:rFonts w:ascii="Arial" w:hAnsi="Arial" w:cs="Arial"/>
                <w:b/>
                <w:bCs/>
              </w:rPr>
              <w:t xml:space="preserve">Type of complication </w:t>
            </w:r>
          </w:p>
        </w:tc>
        <w:tc>
          <w:tcPr>
            <w:tcW w:w="6866" w:type="dxa"/>
            <w:tcBorders>
              <w:top w:val="single" w:sz="4" w:space="0" w:color="auto"/>
              <w:bottom w:val="single" w:sz="4" w:space="0" w:color="auto"/>
            </w:tcBorders>
            <w:shd w:val="clear" w:color="auto" w:fill="auto"/>
          </w:tcPr>
          <w:p w:rsidR="003E4EE6" w:rsidRPr="00EE2C95" w:rsidRDefault="003E4EE6" w:rsidP="00806320">
            <w:pPr>
              <w:pStyle w:val="Default"/>
              <w:contextualSpacing/>
              <w:rPr>
                <w:rFonts w:ascii="Arial" w:hAnsi="Arial" w:cs="Arial"/>
              </w:rPr>
            </w:pPr>
            <w:r w:rsidRPr="00EE2C95">
              <w:rPr>
                <w:rFonts w:ascii="Arial" w:hAnsi="Arial" w:cs="Arial"/>
                <w:b/>
                <w:bCs/>
              </w:rPr>
              <w:t xml:space="preserve">ICD-10 </w:t>
            </w:r>
          </w:p>
        </w:tc>
      </w:tr>
      <w:tr w:rsidR="003E4EE6" w:rsidRPr="00EE2C95" w:rsidTr="00806320">
        <w:tc>
          <w:tcPr>
            <w:tcW w:w="2376" w:type="dxa"/>
            <w:tcBorders>
              <w:top w:val="single" w:sz="4" w:space="0" w:color="auto"/>
            </w:tcBorders>
            <w:shd w:val="clear" w:color="auto" w:fill="auto"/>
          </w:tcPr>
          <w:p w:rsidR="003E4EE6" w:rsidRPr="00EE2C95" w:rsidRDefault="003E4EE6" w:rsidP="00806320">
            <w:pPr>
              <w:pStyle w:val="Default"/>
              <w:contextualSpacing/>
              <w:rPr>
                <w:rFonts w:ascii="Arial" w:hAnsi="Arial" w:cs="Arial"/>
              </w:rPr>
            </w:pPr>
            <w:r w:rsidRPr="00EE2C95">
              <w:rPr>
                <w:rFonts w:ascii="Arial" w:hAnsi="Arial" w:cs="Arial"/>
              </w:rPr>
              <w:t>Preventable admissions codes</w:t>
            </w:r>
          </w:p>
        </w:tc>
        <w:tc>
          <w:tcPr>
            <w:tcW w:w="6866" w:type="dxa"/>
            <w:tcBorders>
              <w:top w:val="single" w:sz="4" w:space="0" w:color="auto"/>
            </w:tcBorders>
            <w:shd w:val="clear" w:color="auto" w:fill="auto"/>
          </w:tcPr>
          <w:p w:rsidR="003E4EE6" w:rsidRPr="00EE2C95" w:rsidRDefault="003E4EE6" w:rsidP="00806320">
            <w:pPr>
              <w:pStyle w:val="Default"/>
              <w:contextualSpacing/>
              <w:rPr>
                <w:rFonts w:ascii="Arial" w:hAnsi="Arial" w:cs="Arial"/>
              </w:rPr>
            </w:pPr>
            <w:r w:rsidRPr="00EE2C95">
              <w:rPr>
                <w:rFonts w:ascii="Arial" w:hAnsi="Arial" w:cs="Arial"/>
              </w:rPr>
              <w:t xml:space="preserve">E100, E101, E107, E108, E109,E110, E111, E117, E118,E119, E120, E121, E127, E128, E129, E130, E131, E137, E138, E139, E140, E141, </w:t>
            </w:r>
          </w:p>
          <w:p w:rsidR="003E4EE6" w:rsidRPr="00EE2C95" w:rsidRDefault="003E4EE6" w:rsidP="00806320">
            <w:pPr>
              <w:pStyle w:val="Default"/>
              <w:contextualSpacing/>
              <w:rPr>
                <w:rFonts w:ascii="Arial" w:hAnsi="Arial" w:cs="Arial"/>
              </w:rPr>
            </w:pPr>
            <w:r w:rsidRPr="00EE2C95">
              <w:rPr>
                <w:rFonts w:ascii="Arial" w:hAnsi="Arial" w:cs="Arial"/>
              </w:rPr>
              <w:t xml:space="preserve">E147, E148, E149, E162, </w:t>
            </w:r>
          </w:p>
          <w:p w:rsidR="003E4EE6" w:rsidRPr="00EE2C95" w:rsidRDefault="003E4EE6" w:rsidP="00806320">
            <w:pPr>
              <w:pStyle w:val="Default"/>
              <w:contextualSpacing/>
              <w:rPr>
                <w:rFonts w:ascii="Arial" w:hAnsi="Arial" w:cs="Arial"/>
              </w:rPr>
            </w:pPr>
          </w:p>
        </w:tc>
      </w:tr>
      <w:tr w:rsidR="003E4EE6" w:rsidRPr="00EE2C95" w:rsidTr="00806320">
        <w:tc>
          <w:tcPr>
            <w:tcW w:w="2376" w:type="dxa"/>
            <w:tcBorders>
              <w:bottom w:val="single" w:sz="4" w:space="0" w:color="auto"/>
            </w:tcBorders>
            <w:shd w:val="clear" w:color="auto" w:fill="auto"/>
          </w:tcPr>
          <w:p w:rsidR="003E4EE6" w:rsidRDefault="003E4EE6" w:rsidP="00806320">
            <w:pPr>
              <w:pStyle w:val="Default"/>
              <w:contextualSpacing/>
              <w:rPr>
                <w:rFonts w:ascii="Arial" w:hAnsi="Arial" w:cs="Arial"/>
              </w:rPr>
            </w:pPr>
            <w:r w:rsidRPr="00EE2C95">
              <w:rPr>
                <w:rFonts w:ascii="Arial" w:hAnsi="Arial" w:cs="Arial"/>
              </w:rPr>
              <w:t>Amenable mortality codes</w:t>
            </w:r>
          </w:p>
          <w:p w:rsidR="003E4EE6" w:rsidRPr="00EE2C95" w:rsidRDefault="003E4EE6" w:rsidP="00806320">
            <w:pPr>
              <w:pStyle w:val="Default"/>
              <w:contextualSpacing/>
              <w:rPr>
                <w:rFonts w:ascii="Arial" w:hAnsi="Arial" w:cs="Arial"/>
              </w:rPr>
            </w:pPr>
          </w:p>
        </w:tc>
        <w:tc>
          <w:tcPr>
            <w:tcW w:w="6866" w:type="dxa"/>
            <w:tcBorders>
              <w:bottom w:val="single" w:sz="4" w:space="0" w:color="auto"/>
            </w:tcBorders>
            <w:shd w:val="clear" w:color="auto" w:fill="auto"/>
          </w:tcPr>
          <w:p w:rsidR="003E4EE6" w:rsidRPr="00EE2C95" w:rsidRDefault="003E4EE6" w:rsidP="00806320">
            <w:pPr>
              <w:pStyle w:val="Default"/>
              <w:contextualSpacing/>
              <w:rPr>
                <w:rFonts w:ascii="Arial" w:hAnsi="Arial" w:cs="Arial"/>
              </w:rPr>
            </w:pPr>
            <w:r w:rsidRPr="00EE2C95">
              <w:rPr>
                <w:rFonts w:ascii="Arial" w:hAnsi="Arial" w:cs="Arial"/>
              </w:rPr>
              <w:t>All ICD-10 codes E10 to E14</w:t>
            </w:r>
          </w:p>
        </w:tc>
      </w:tr>
      <w:tr w:rsidR="003E4EE6" w:rsidRPr="00EE2C95" w:rsidTr="00806320">
        <w:tc>
          <w:tcPr>
            <w:tcW w:w="2376" w:type="dxa"/>
            <w:tcBorders>
              <w:top w:val="single" w:sz="4" w:space="0" w:color="auto"/>
              <w:bottom w:val="single" w:sz="4" w:space="0" w:color="auto"/>
            </w:tcBorders>
            <w:shd w:val="clear" w:color="auto" w:fill="auto"/>
          </w:tcPr>
          <w:p w:rsidR="003E4EE6" w:rsidRPr="00EE2C95" w:rsidRDefault="003E4EE6" w:rsidP="00806320">
            <w:pPr>
              <w:pStyle w:val="Default"/>
              <w:contextualSpacing/>
              <w:rPr>
                <w:rFonts w:ascii="Arial" w:hAnsi="Arial" w:cs="Arial"/>
              </w:rPr>
            </w:pPr>
            <w:r w:rsidRPr="00EE2C95">
              <w:rPr>
                <w:rFonts w:ascii="Arial" w:hAnsi="Arial" w:cs="Arial"/>
                <w:b/>
                <w:bCs/>
              </w:rPr>
              <w:t xml:space="preserve">Code type </w:t>
            </w:r>
          </w:p>
        </w:tc>
        <w:tc>
          <w:tcPr>
            <w:tcW w:w="6866" w:type="dxa"/>
            <w:tcBorders>
              <w:top w:val="single" w:sz="4" w:space="0" w:color="auto"/>
              <w:bottom w:val="single" w:sz="4" w:space="0" w:color="auto"/>
            </w:tcBorders>
            <w:shd w:val="clear" w:color="auto" w:fill="auto"/>
          </w:tcPr>
          <w:p w:rsidR="003E4EE6" w:rsidRPr="00EE2C95" w:rsidRDefault="003E4EE6" w:rsidP="00806320">
            <w:pPr>
              <w:pStyle w:val="Default"/>
              <w:contextualSpacing/>
              <w:rPr>
                <w:rFonts w:ascii="Arial" w:hAnsi="Arial" w:cs="Arial"/>
              </w:rPr>
            </w:pPr>
            <w:r w:rsidRPr="00EE2C95">
              <w:rPr>
                <w:rFonts w:ascii="Arial" w:hAnsi="Arial" w:cs="Arial"/>
                <w:b/>
                <w:bCs/>
              </w:rPr>
              <w:t xml:space="preserve">Definition </w:t>
            </w:r>
          </w:p>
        </w:tc>
      </w:tr>
      <w:tr w:rsidR="003E4EE6" w:rsidRPr="00EE2C95" w:rsidTr="00806320">
        <w:tc>
          <w:tcPr>
            <w:tcW w:w="2376" w:type="dxa"/>
            <w:tcBorders>
              <w:top w:val="single" w:sz="4" w:space="0" w:color="auto"/>
            </w:tcBorders>
            <w:shd w:val="clear" w:color="auto" w:fill="auto"/>
          </w:tcPr>
          <w:p w:rsidR="003E4EE6" w:rsidRPr="00EE2C95" w:rsidRDefault="003E4EE6" w:rsidP="00806320">
            <w:pPr>
              <w:pStyle w:val="Default"/>
              <w:contextualSpacing/>
              <w:rPr>
                <w:rFonts w:ascii="Arial" w:hAnsi="Arial" w:cs="Arial"/>
              </w:rPr>
            </w:pPr>
            <w:r w:rsidRPr="00EE2C95">
              <w:rPr>
                <w:rFonts w:ascii="Arial" w:hAnsi="Arial" w:cs="Arial"/>
                <w:b/>
                <w:bCs/>
              </w:rPr>
              <w:t xml:space="preserve">ICD-10 codes </w:t>
            </w:r>
          </w:p>
        </w:tc>
        <w:tc>
          <w:tcPr>
            <w:tcW w:w="6866" w:type="dxa"/>
            <w:tcBorders>
              <w:top w:val="single" w:sz="4" w:space="0" w:color="auto"/>
            </w:tcBorders>
            <w:shd w:val="clear" w:color="auto" w:fill="auto"/>
          </w:tcPr>
          <w:p w:rsidR="003E4EE6" w:rsidRPr="00EE2C95" w:rsidRDefault="003E4EE6" w:rsidP="00806320">
            <w:pPr>
              <w:pStyle w:val="Default"/>
              <w:contextualSpacing/>
              <w:rPr>
                <w:rFonts w:ascii="Arial" w:hAnsi="Arial" w:cs="Arial"/>
              </w:rPr>
            </w:pPr>
            <w:r w:rsidRPr="00EE2C95">
              <w:rPr>
                <w:rFonts w:ascii="Arial" w:hAnsi="Arial" w:cs="Arial"/>
              </w:rPr>
              <w:t xml:space="preserve">E10: Insulin-dependent diabetes mellitus </w:t>
            </w:r>
          </w:p>
          <w:p w:rsidR="003E4EE6" w:rsidRPr="00EE2C95" w:rsidRDefault="003E4EE6" w:rsidP="00806320">
            <w:pPr>
              <w:pStyle w:val="Default"/>
              <w:contextualSpacing/>
              <w:rPr>
                <w:rFonts w:ascii="Arial" w:hAnsi="Arial" w:cs="Arial"/>
              </w:rPr>
            </w:pPr>
            <w:r w:rsidRPr="00EE2C95">
              <w:rPr>
                <w:rFonts w:ascii="Arial" w:hAnsi="Arial" w:cs="Arial"/>
              </w:rPr>
              <w:t xml:space="preserve">E11: Non-insulin-dependent diabetes mellitus </w:t>
            </w:r>
          </w:p>
          <w:p w:rsidR="003E4EE6" w:rsidRPr="00EE2C95" w:rsidRDefault="003E4EE6" w:rsidP="00806320">
            <w:pPr>
              <w:pStyle w:val="Default"/>
              <w:contextualSpacing/>
              <w:rPr>
                <w:rFonts w:ascii="Arial" w:hAnsi="Arial" w:cs="Arial"/>
              </w:rPr>
            </w:pPr>
            <w:r w:rsidRPr="00EE2C95">
              <w:rPr>
                <w:rFonts w:ascii="Arial" w:hAnsi="Arial" w:cs="Arial"/>
              </w:rPr>
              <w:t xml:space="preserve">E13: Other specified diabetes mellitus </w:t>
            </w:r>
          </w:p>
          <w:p w:rsidR="003E4EE6" w:rsidRPr="00EE2C95" w:rsidRDefault="003E4EE6" w:rsidP="00806320">
            <w:pPr>
              <w:pStyle w:val="Default"/>
              <w:contextualSpacing/>
              <w:rPr>
                <w:rFonts w:ascii="Arial" w:hAnsi="Arial" w:cs="Arial"/>
              </w:rPr>
            </w:pPr>
            <w:r w:rsidRPr="00EE2C95">
              <w:rPr>
                <w:rFonts w:ascii="Arial" w:hAnsi="Arial" w:cs="Arial"/>
              </w:rPr>
              <w:t xml:space="preserve">E14: Unspecified diabetes mellitus </w:t>
            </w:r>
          </w:p>
          <w:p w:rsidR="003E4EE6" w:rsidRPr="00EE2C95" w:rsidRDefault="003E4EE6" w:rsidP="00806320">
            <w:pPr>
              <w:pStyle w:val="Default"/>
              <w:contextualSpacing/>
              <w:rPr>
                <w:rFonts w:ascii="Arial" w:hAnsi="Arial" w:cs="Arial"/>
              </w:rPr>
            </w:pPr>
          </w:p>
        </w:tc>
      </w:tr>
      <w:tr w:rsidR="003E4EE6" w:rsidRPr="00EE2C95" w:rsidTr="00806320">
        <w:tc>
          <w:tcPr>
            <w:tcW w:w="2376" w:type="dxa"/>
            <w:tcBorders>
              <w:bottom w:val="single" w:sz="4" w:space="0" w:color="auto"/>
            </w:tcBorders>
            <w:shd w:val="clear" w:color="auto" w:fill="auto"/>
          </w:tcPr>
          <w:p w:rsidR="003E4EE6" w:rsidRPr="00EE2C95" w:rsidRDefault="003E4EE6" w:rsidP="00806320">
            <w:pPr>
              <w:pStyle w:val="Default"/>
              <w:contextualSpacing/>
              <w:rPr>
                <w:rFonts w:ascii="Arial" w:hAnsi="Arial" w:cs="Arial"/>
              </w:rPr>
            </w:pPr>
            <w:r w:rsidRPr="00EE2C95">
              <w:rPr>
                <w:rFonts w:ascii="Arial" w:hAnsi="Arial" w:cs="Arial"/>
                <w:b/>
                <w:bCs/>
              </w:rPr>
              <w:t xml:space="preserve">ICD-10 extension </w:t>
            </w:r>
          </w:p>
        </w:tc>
        <w:tc>
          <w:tcPr>
            <w:tcW w:w="6866" w:type="dxa"/>
            <w:tcBorders>
              <w:bottom w:val="single" w:sz="4" w:space="0" w:color="auto"/>
            </w:tcBorders>
            <w:shd w:val="clear" w:color="auto" w:fill="auto"/>
          </w:tcPr>
          <w:p w:rsidR="003E4EE6" w:rsidRPr="00EE2C95" w:rsidRDefault="003E4EE6" w:rsidP="00806320">
            <w:pPr>
              <w:pStyle w:val="Default"/>
              <w:contextualSpacing/>
              <w:rPr>
                <w:rFonts w:ascii="Arial" w:hAnsi="Arial" w:cs="Arial"/>
              </w:rPr>
            </w:pPr>
            <w:r w:rsidRPr="00EE2C95">
              <w:rPr>
                <w:rFonts w:ascii="Arial" w:hAnsi="Arial" w:cs="Arial"/>
              </w:rPr>
              <w:t xml:space="preserve">0: With coma </w:t>
            </w:r>
          </w:p>
          <w:p w:rsidR="003E4EE6" w:rsidRPr="00EE2C95" w:rsidRDefault="003E4EE6" w:rsidP="00806320">
            <w:pPr>
              <w:pStyle w:val="Default"/>
              <w:contextualSpacing/>
              <w:rPr>
                <w:rFonts w:ascii="Arial" w:hAnsi="Arial" w:cs="Arial"/>
              </w:rPr>
            </w:pPr>
            <w:r w:rsidRPr="00EE2C95">
              <w:rPr>
                <w:rFonts w:ascii="Arial" w:hAnsi="Arial" w:cs="Arial"/>
              </w:rPr>
              <w:t xml:space="preserve">1: With ketoacidosis </w:t>
            </w:r>
          </w:p>
          <w:p w:rsidR="003E4EE6" w:rsidRPr="00EE2C95" w:rsidRDefault="003E4EE6" w:rsidP="00806320">
            <w:pPr>
              <w:pStyle w:val="Default"/>
              <w:contextualSpacing/>
              <w:rPr>
                <w:rFonts w:ascii="Arial" w:hAnsi="Arial" w:cs="Arial"/>
              </w:rPr>
            </w:pPr>
            <w:r w:rsidRPr="00EE2C95">
              <w:rPr>
                <w:rFonts w:ascii="Arial" w:hAnsi="Arial" w:cs="Arial"/>
              </w:rPr>
              <w:t xml:space="preserve">7: With multiple complications </w:t>
            </w:r>
          </w:p>
          <w:p w:rsidR="003E4EE6" w:rsidRPr="00EE2C95" w:rsidRDefault="003E4EE6" w:rsidP="00806320">
            <w:pPr>
              <w:pStyle w:val="Default"/>
              <w:contextualSpacing/>
              <w:rPr>
                <w:rFonts w:ascii="Arial" w:hAnsi="Arial" w:cs="Arial"/>
              </w:rPr>
            </w:pPr>
            <w:r w:rsidRPr="00EE2C95">
              <w:rPr>
                <w:rFonts w:ascii="Arial" w:hAnsi="Arial" w:cs="Arial"/>
              </w:rPr>
              <w:t xml:space="preserve">8: With unspecified complications </w:t>
            </w:r>
          </w:p>
          <w:p w:rsidR="003E4EE6" w:rsidRPr="00EE2C95" w:rsidRDefault="003E4EE6" w:rsidP="00806320">
            <w:pPr>
              <w:pStyle w:val="Default"/>
              <w:contextualSpacing/>
              <w:rPr>
                <w:rFonts w:ascii="Arial" w:hAnsi="Arial" w:cs="Arial"/>
              </w:rPr>
            </w:pPr>
            <w:r w:rsidRPr="00EE2C95">
              <w:rPr>
                <w:rFonts w:ascii="Arial" w:hAnsi="Arial" w:cs="Arial"/>
              </w:rPr>
              <w:t xml:space="preserve">9: Without complications </w:t>
            </w:r>
          </w:p>
        </w:tc>
      </w:tr>
    </w:tbl>
    <w:p w:rsidR="003E4EE6" w:rsidRPr="00EE2C95" w:rsidRDefault="003E4EE6" w:rsidP="003E4EE6">
      <w:pPr>
        <w:spacing w:line="360" w:lineRule="auto"/>
        <w:contextualSpacing/>
        <w:rPr>
          <w:rFonts w:ascii="Arial" w:hAnsi="Arial" w:cs="Arial"/>
          <w:sz w:val="24"/>
          <w:szCs w:val="24"/>
        </w:rPr>
      </w:pPr>
    </w:p>
    <w:p w:rsidR="003E4EE6" w:rsidRPr="00EE2C95" w:rsidRDefault="003E4EE6" w:rsidP="003E4EE6">
      <w:pPr>
        <w:spacing w:line="360" w:lineRule="auto"/>
        <w:contextualSpacing/>
        <w:rPr>
          <w:rFonts w:ascii="Arial" w:hAnsi="Arial" w:cs="Arial"/>
          <w:sz w:val="24"/>
          <w:szCs w:val="24"/>
        </w:rPr>
      </w:pPr>
    </w:p>
    <w:p w:rsidR="003E4EE6" w:rsidRPr="00EE2C95" w:rsidRDefault="003E4EE6" w:rsidP="003E4EE6">
      <w:pPr>
        <w:spacing w:line="360" w:lineRule="auto"/>
        <w:contextualSpacing/>
        <w:rPr>
          <w:rFonts w:ascii="Arial" w:hAnsi="Arial" w:cs="Arial"/>
          <w:sz w:val="24"/>
          <w:szCs w:val="24"/>
        </w:rPr>
      </w:pPr>
    </w:p>
    <w:p w:rsidR="003E4EE6" w:rsidRPr="00EE2C95" w:rsidRDefault="003E4EE6" w:rsidP="003E4EE6">
      <w:pPr>
        <w:rPr>
          <w:sz w:val="24"/>
          <w:szCs w:val="24"/>
        </w:rPr>
      </w:pPr>
    </w:p>
    <w:p w:rsidR="003E4EE6" w:rsidRDefault="003E4EE6" w:rsidP="00D35534">
      <w:pPr>
        <w:spacing w:line="360" w:lineRule="auto"/>
      </w:pPr>
    </w:p>
    <w:p w:rsidR="003E4EE6" w:rsidRDefault="003E4EE6" w:rsidP="00D35534">
      <w:pPr>
        <w:spacing w:line="360" w:lineRule="auto"/>
      </w:pPr>
    </w:p>
    <w:p w:rsidR="003E4EE6" w:rsidRDefault="003E4EE6" w:rsidP="00D35534">
      <w:pPr>
        <w:spacing w:line="360" w:lineRule="auto"/>
      </w:pPr>
    </w:p>
    <w:p w:rsidR="003E4EE6" w:rsidRDefault="003E4EE6" w:rsidP="00D35534">
      <w:pPr>
        <w:spacing w:line="360" w:lineRule="auto"/>
      </w:pPr>
    </w:p>
    <w:p w:rsidR="003E4EE6" w:rsidRDefault="003E4EE6" w:rsidP="00D35534">
      <w:pPr>
        <w:spacing w:line="360" w:lineRule="auto"/>
      </w:pPr>
    </w:p>
    <w:p w:rsidR="003E4EE6" w:rsidRDefault="003E4EE6" w:rsidP="00D35534">
      <w:pPr>
        <w:spacing w:line="360" w:lineRule="auto"/>
      </w:pPr>
    </w:p>
    <w:p w:rsidR="003E4EE6" w:rsidRDefault="003E4EE6" w:rsidP="00D35534">
      <w:pPr>
        <w:spacing w:line="360" w:lineRule="auto"/>
      </w:pPr>
    </w:p>
    <w:p w:rsidR="003E4EE6" w:rsidRDefault="003E4EE6" w:rsidP="00D35534">
      <w:pPr>
        <w:spacing w:line="360" w:lineRule="auto"/>
      </w:pPr>
    </w:p>
    <w:p w:rsidR="003E4EE6" w:rsidRDefault="003E4EE6" w:rsidP="00D35534">
      <w:pPr>
        <w:spacing w:line="360" w:lineRule="auto"/>
        <w:sectPr w:rsidR="003E4EE6">
          <w:pgSz w:w="11906" w:h="16838"/>
          <w:pgMar w:top="1440" w:right="1440" w:bottom="1440" w:left="1440" w:header="708" w:footer="708" w:gutter="0"/>
          <w:cols w:space="708"/>
          <w:docGrid w:linePitch="360"/>
        </w:sectPr>
      </w:pPr>
    </w:p>
    <w:p w:rsidR="003E4EE6" w:rsidRPr="005415AA" w:rsidRDefault="003E4EE6" w:rsidP="003E4EE6">
      <w:pPr>
        <w:rPr>
          <w:rFonts w:ascii="Arial" w:hAnsi="Arial" w:cs="Arial"/>
          <w:b/>
        </w:rPr>
      </w:pPr>
      <w:r w:rsidRPr="005415AA">
        <w:rPr>
          <w:rFonts w:ascii="Arial" w:hAnsi="Arial" w:cs="Arial"/>
          <w:b/>
        </w:rPr>
        <w:lastRenderedPageBreak/>
        <w:t>Table 3 Socioeconomic healthcare inequalities in England, comparing 2004/2005 with 2011/2012</w:t>
      </w: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1080"/>
        <w:gridCol w:w="1170"/>
        <w:gridCol w:w="1080"/>
        <w:gridCol w:w="1080"/>
        <w:gridCol w:w="1350"/>
        <w:gridCol w:w="990"/>
        <w:gridCol w:w="990"/>
        <w:gridCol w:w="1080"/>
        <w:gridCol w:w="1170"/>
        <w:gridCol w:w="1080"/>
        <w:gridCol w:w="1080"/>
        <w:gridCol w:w="1011"/>
      </w:tblGrid>
      <w:tr w:rsidR="003E4EE6" w:rsidRPr="003E2BAE" w:rsidTr="00806320">
        <w:trPr>
          <w:trHeight w:val="300"/>
          <w:jc w:val="center"/>
        </w:trPr>
        <w:tc>
          <w:tcPr>
            <w:tcW w:w="1723" w:type="dxa"/>
            <w:shd w:val="clear" w:color="auto" w:fill="auto"/>
            <w:noWrap/>
            <w:vAlign w:val="bottom"/>
            <w:hideMark/>
          </w:tcPr>
          <w:p w:rsidR="003E4EE6" w:rsidRPr="003E2BAE" w:rsidRDefault="003E4EE6" w:rsidP="00806320">
            <w:pPr>
              <w:spacing w:after="0" w:line="240" w:lineRule="auto"/>
              <w:rPr>
                <w:rFonts w:ascii="Arial" w:eastAsia="Times New Roman" w:hAnsi="Arial" w:cs="Arial"/>
                <w:b/>
                <w:bCs/>
                <w:color w:val="000000"/>
                <w:sz w:val="20"/>
                <w:szCs w:val="20"/>
                <w:lang w:eastAsia="en-GB"/>
              </w:rPr>
            </w:pPr>
            <w:r w:rsidRPr="003E2BAE">
              <w:rPr>
                <w:rFonts w:ascii="Arial" w:eastAsia="Times New Roman" w:hAnsi="Arial" w:cs="Arial"/>
                <w:b/>
                <w:bCs/>
                <w:color w:val="000000"/>
                <w:sz w:val="20"/>
                <w:szCs w:val="20"/>
                <w:lang w:eastAsia="en-GB"/>
              </w:rPr>
              <w:t>Indicator</w:t>
            </w:r>
          </w:p>
        </w:tc>
        <w:tc>
          <w:tcPr>
            <w:tcW w:w="3330" w:type="dxa"/>
            <w:gridSpan w:val="3"/>
            <w:shd w:val="clear" w:color="auto" w:fill="auto"/>
            <w:noWrap/>
            <w:vAlign w:val="bottom"/>
            <w:hideMark/>
          </w:tcPr>
          <w:p w:rsidR="003E4EE6" w:rsidRPr="003E2BAE" w:rsidRDefault="003E4EE6" w:rsidP="00806320">
            <w:pPr>
              <w:spacing w:after="0" w:line="240" w:lineRule="auto"/>
              <w:jc w:val="center"/>
              <w:rPr>
                <w:rFonts w:ascii="Arial" w:eastAsia="Times New Roman" w:hAnsi="Arial" w:cs="Arial"/>
                <w:b/>
                <w:bCs/>
                <w:color w:val="000000"/>
                <w:sz w:val="20"/>
                <w:szCs w:val="20"/>
                <w:lang w:eastAsia="en-GB"/>
              </w:rPr>
            </w:pPr>
            <w:r w:rsidRPr="003E2BAE">
              <w:rPr>
                <w:rFonts w:ascii="Arial" w:eastAsia="Times New Roman" w:hAnsi="Arial" w:cs="Arial"/>
                <w:b/>
                <w:bCs/>
                <w:color w:val="000000"/>
                <w:sz w:val="20"/>
                <w:szCs w:val="20"/>
                <w:lang w:eastAsia="en-GB"/>
              </w:rPr>
              <w:t>England Mean (95% CI)</w:t>
            </w:r>
          </w:p>
        </w:tc>
        <w:tc>
          <w:tcPr>
            <w:tcW w:w="3420" w:type="dxa"/>
            <w:gridSpan w:val="3"/>
            <w:shd w:val="clear" w:color="auto" w:fill="auto"/>
            <w:noWrap/>
            <w:vAlign w:val="bottom"/>
          </w:tcPr>
          <w:p w:rsidR="003E4EE6" w:rsidRPr="003E2BAE" w:rsidRDefault="003E4EE6" w:rsidP="00806320">
            <w:pPr>
              <w:spacing w:after="0" w:line="240" w:lineRule="auto"/>
              <w:jc w:val="center"/>
              <w:rPr>
                <w:rFonts w:ascii="Arial" w:eastAsia="Times New Roman" w:hAnsi="Arial" w:cs="Arial"/>
                <w:b/>
                <w:bCs/>
                <w:color w:val="000000"/>
                <w:sz w:val="20"/>
                <w:szCs w:val="20"/>
                <w:lang w:eastAsia="en-GB"/>
              </w:rPr>
            </w:pPr>
            <w:r w:rsidRPr="003E2BAE">
              <w:rPr>
                <w:rFonts w:ascii="Arial" w:eastAsia="Times New Roman" w:hAnsi="Arial" w:cs="Arial"/>
                <w:b/>
                <w:bCs/>
                <w:color w:val="000000"/>
                <w:sz w:val="20"/>
                <w:szCs w:val="20"/>
                <w:lang w:eastAsia="en-GB"/>
              </w:rPr>
              <w:t>SII (95% CI)</w:t>
            </w:r>
          </w:p>
        </w:tc>
        <w:tc>
          <w:tcPr>
            <w:tcW w:w="3240" w:type="dxa"/>
            <w:gridSpan w:val="3"/>
            <w:shd w:val="clear" w:color="auto" w:fill="auto"/>
            <w:noWrap/>
            <w:vAlign w:val="bottom"/>
          </w:tcPr>
          <w:p w:rsidR="003E4EE6" w:rsidRPr="003E2BAE" w:rsidRDefault="003E4EE6" w:rsidP="00806320">
            <w:pPr>
              <w:spacing w:after="0" w:line="240" w:lineRule="auto"/>
              <w:jc w:val="center"/>
              <w:rPr>
                <w:rFonts w:ascii="Arial" w:eastAsia="Times New Roman" w:hAnsi="Arial" w:cs="Arial"/>
                <w:b/>
                <w:bCs/>
                <w:color w:val="000000"/>
                <w:sz w:val="20"/>
                <w:szCs w:val="20"/>
                <w:lang w:eastAsia="en-GB"/>
              </w:rPr>
            </w:pPr>
            <w:r w:rsidRPr="003E2BAE">
              <w:rPr>
                <w:rFonts w:ascii="Arial" w:eastAsia="Times New Roman" w:hAnsi="Arial" w:cs="Arial"/>
                <w:b/>
                <w:bCs/>
                <w:color w:val="000000"/>
                <w:sz w:val="20"/>
                <w:szCs w:val="20"/>
                <w:lang w:eastAsia="en-GB"/>
              </w:rPr>
              <w:t>RII (95% CI)</w:t>
            </w:r>
          </w:p>
        </w:tc>
        <w:tc>
          <w:tcPr>
            <w:tcW w:w="3171" w:type="dxa"/>
            <w:gridSpan w:val="3"/>
            <w:shd w:val="clear" w:color="auto" w:fill="auto"/>
            <w:noWrap/>
            <w:vAlign w:val="bottom"/>
            <w:hideMark/>
          </w:tcPr>
          <w:p w:rsidR="003E4EE6" w:rsidRPr="003E2BAE" w:rsidRDefault="003E4EE6" w:rsidP="00806320">
            <w:pPr>
              <w:spacing w:after="0" w:line="240" w:lineRule="auto"/>
              <w:jc w:val="center"/>
              <w:rPr>
                <w:rFonts w:ascii="Arial" w:eastAsia="Times New Roman" w:hAnsi="Arial" w:cs="Arial"/>
                <w:b/>
                <w:bCs/>
                <w:color w:val="000000"/>
                <w:sz w:val="20"/>
                <w:szCs w:val="20"/>
                <w:lang w:eastAsia="en-GB"/>
              </w:rPr>
            </w:pPr>
            <w:r w:rsidRPr="003E2BAE">
              <w:rPr>
                <w:rFonts w:ascii="Arial" w:eastAsia="Times New Roman" w:hAnsi="Arial" w:cs="Arial"/>
                <w:b/>
                <w:bCs/>
                <w:color w:val="000000"/>
                <w:sz w:val="20"/>
                <w:szCs w:val="20"/>
                <w:lang w:eastAsia="en-GB"/>
              </w:rPr>
              <w:t>Real Inequality Gap (95% CI)</w:t>
            </w:r>
          </w:p>
        </w:tc>
      </w:tr>
      <w:tr w:rsidR="003E4EE6" w:rsidRPr="003E2BAE" w:rsidTr="00806320">
        <w:trPr>
          <w:trHeight w:val="300"/>
          <w:jc w:val="center"/>
        </w:trPr>
        <w:tc>
          <w:tcPr>
            <w:tcW w:w="1723" w:type="dxa"/>
            <w:shd w:val="clear" w:color="auto" w:fill="auto"/>
            <w:noWrap/>
            <w:vAlign w:val="bottom"/>
            <w:hideMark/>
          </w:tcPr>
          <w:p w:rsidR="003E4EE6" w:rsidRPr="003E2BAE" w:rsidRDefault="003E4EE6" w:rsidP="00806320">
            <w:pPr>
              <w:spacing w:after="0" w:line="240" w:lineRule="auto"/>
              <w:jc w:val="center"/>
              <w:rPr>
                <w:rFonts w:ascii="Arial" w:eastAsia="Times New Roman" w:hAnsi="Arial" w:cs="Arial"/>
                <w:b/>
                <w:bCs/>
                <w:color w:val="000000"/>
                <w:sz w:val="20"/>
                <w:szCs w:val="20"/>
                <w:lang w:eastAsia="en-GB"/>
              </w:rPr>
            </w:pPr>
          </w:p>
        </w:tc>
        <w:tc>
          <w:tcPr>
            <w:tcW w:w="1080" w:type="dxa"/>
            <w:shd w:val="clear" w:color="auto" w:fill="auto"/>
            <w:noWrap/>
            <w:hideMark/>
          </w:tcPr>
          <w:p w:rsidR="003E4EE6" w:rsidRPr="003E2BAE" w:rsidRDefault="003E4EE6" w:rsidP="00806320">
            <w:pPr>
              <w:spacing w:after="0" w:line="240" w:lineRule="auto"/>
              <w:jc w:val="center"/>
              <w:rPr>
                <w:rFonts w:ascii="Arial" w:eastAsia="Times New Roman" w:hAnsi="Arial" w:cs="Arial"/>
                <w:b/>
                <w:color w:val="000000"/>
                <w:sz w:val="20"/>
                <w:szCs w:val="20"/>
                <w:lang w:eastAsia="en-GB"/>
              </w:rPr>
            </w:pPr>
            <w:r w:rsidRPr="003E2BAE">
              <w:rPr>
                <w:rFonts w:ascii="Arial" w:eastAsia="Times New Roman" w:hAnsi="Arial" w:cs="Arial"/>
                <w:b/>
                <w:color w:val="000000"/>
                <w:sz w:val="20"/>
                <w:szCs w:val="20"/>
                <w:lang w:eastAsia="en-GB"/>
              </w:rPr>
              <w:t>2004</w:t>
            </w:r>
          </w:p>
        </w:tc>
        <w:tc>
          <w:tcPr>
            <w:tcW w:w="1170" w:type="dxa"/>
            <w:shd w:val="clear" w:color="auto" w:fill="auto"/>
            <w:noWrap/>
            <w:hideMark/>
          </w:tcPr>
          <w:p w:rsidR="003E4EE6" w:rsidRPr="003E2BAE" w:rsidRDefault="003E4EE6" w:rsidP="00806320">
            <w:pPr>
              <w:spacing w:after="0" w:line="240" w:lineRule="auto"/>
              <w:jc w:val="center"/>
              <w:rPr>
                <w:rFonts w:ascii="Arial" w:eastAsia="Times New Roman" w:hAnsi="Arial" w:cs="Arial"/>
                <w:b/>
                <w:color w:val="000000"/>
                <w:sz w:val="20"/>
                <w:szCs w:val="20"/>
                <w:lang w:eastAsia="en-GB"/>
              </w:rPr>
            </w:pPr>
            <w:r w:rsidRPr="003E2BAE">
              <w:rPr>
                <w:rFonts w:ascii="Arial" w:eastAsia="Times New Roman" w:hAnsi="Arial" w:cs="Arial"/>
                <w:b/>
                <w:color w:val="000000"/>
                <w:sz w:val="20"/>
                <w:szCs w:val="20"/>
                <w:lang w:eastAsia="en-GB"/>
              </w:rPr>
              <w:t>2011</w:t>
            </w:r>
          </w:p>
        </w:tc>
        <w:tc>
          <w:tcPr>
            <w:tcW w:w="1080" w:type="dxa"/>
            <w:shd w:val="clear" w:color="auto" w:fill="auto"/>
            <w:noWrap/>
            <w:hideMark/>
          </w:tcPr>
          <w:p w:rsidR="003E4EE6" w:rsidRPr="003E2BAE" w:rsidRDefault="003E4EE6" w:rsidP="00806320">
            <w:pPr>
              <w:spacing w:after="0" w:line="240" w:lineRule="auto"/>
              <w:jc w:val="center"/>
              <w:rPr>
                <w:rFonts w:ascii="Arial" w:eastAsia="Times New Roman" w:hAnsi="Arial" w:cs="Arial"/>
                <w:b/>
                <w:color w:val="000000"/>
                <w:sz w:val="20"/>
                <w:szCs w:val="20"/>
                <w:lang w:eastAsia="en-GB"/>
              </w:rPr>
            </w:pPr>
            <w:r w:rsidRPr="003E2BAE">
              <w:rPr>
                <w:rFonts w:ascii="Arial" w:eastAsia="Times New Roman" w:hAnsi="Arial" w:cs="Arial"/>
                <w:b/>
                <w:color w:val="000000"/>
                <w:sz w:val="20"/>
                <w:szCs w:val="20"/>
                <w:lang w:eastAsia="en-GB"/>
              </w:rPr>
              <w:t>Change</w:t>
            </w:r>
          </w:p>
        </w:tc>
        <w:tc>
          <w:tcPr>
            <w:tcW w:w="1080" w:type="dxa"/>
            <w:shd w:val="clear" w:color="auto" w:fill="auto"/>
            <w:noWrap/>
          </w:tcPr>
          <w:p w:rsidR="003E4EE6" w:rsidRPr="003E2BAE" w:rsidRDefault="003E4EE6" w:rsidP="00806320">
            <w:pPr>
              <w:spacing w:after="0" w:line="240" w:lineRule="auto"/>
              <w:jc w:val="center"/>
              <w:rPr>
                <w:rFonts w:ascii="Arial" w:eastAsia="Times New Roman" w:hAnsi="Arial" w:cs="Arial"/>
                <w:b/>
                <w:color w:val="000000"/>
                <w:sz w:val="20"/>
                <w:szCs w:val="20"/>
                <w:lang w:eastAsia="en-GB"/>
              </w:rPr>
            </w:pPr>
            <w:r w:rsidRPr="003E2BAE">
              <w:rPr>
                <w:rFonts w:ascii="Arial" w:eastAsia="Times New Roman" w:hAnsi="Arial" w:cs="Arial"/>
                <w:b/>
                <w:color w:val="000000"/>
                <w:sz w:val="20"/>
                <w:szCs w:val="20"/>
                <w:lang w:eastAsia="en-GB"/>
              </w:rPr>
              <w:t>2004</w:t>
            </w:r>
          </w:p>
        </w:tc>
        <w:tc>
          <w:tcPr>
            <w:tcW w:w="1350" w:type="dxa"/>
            <w:shd w:val="clear" w:color="auto" w:fill="auto"/>
            <w:noWrap/>
          </w:tcPr>
          <w:p w:rsidR="003E4EE6" w:rsidRPr="003E2BAE" w:rsidRDefault="003E4EE6" w:rsidP="00806320">
            <w:pPr>
              <w:spacing w:after="0" w:line="240" w:lineRule="auto"/>
              <w:jc w:val="center"/>
              <w:rPr>
                <w:rFonts w:ascii="Arial" w:eastAsia="Times New Roman" w:hAnsi="Arial" w:cs="Arial"/>
                <w:b/>
                <w:color w:val="000000"/>
                <w:sz w:val="20"/>
                <w:szCs w:val="20"/>
                <w:lang w:eastAsia="en-GB"/>
              </w:rPr>
            </w:pPr>
            <w:r w:rsidRPr="003E2BAE">
              <w:rPr>
                <w:rFonts w:ascii="Arial" w:eastAsia="Times New Roman" w:hAnsi="Arial" w:cs="Arial"/>
                <w:b/>
                <w:color w:val="000000"/>
                <w:sz w:val="20"/>
                <w:szCs w:val="20"/>
                <w:lang w:eastAsia="en-GB"/>
              </w:rPr>
              <w:t>2011</w:t>
            </w:r>
          </w:p>
        </w:tc>
        <w:tc>
          <w:tcPr>
            <w:tcW w:w="990" w:type="dxa"/>
            <w:shd w:val="clear" w:color="auto" w:fill="auto"/>
            <w:noWrap/>
          </w:tcPr>
          <w:p w:rsidR="003E4EE6" w:rsidRPr="003E2BAE" w:rsidRDefault="003E4EE6" w:rsidP="00806320">
            <w:pPr>
              <w:spacing w:after="0" w:line="240" w:lineRule="auto"/>
              <w:jc w:val="center"/>
              <w:rPr>
                <w:rFonts w:ascii="Arial" w:eastAsia="Times New Roman" w:hAnsi="Arial" w:cs="Arial"/>
                <w:b/>
                <w:color w:val="000000"/>
                <w:sz w:val="20"/>
                <w:szCs w:val="20"/>
                <w:lang w:eastAsia="en-GB"/>
              </w:rPr>
            </w:pPr>
            <w:r w:rsidRPr="003E2BAE">
              <w:rPr>
                <w:rFonts w:ascii="Arial" w:eastAsia="Times New Roman" w:hAnsi="Arial" w:cs="Arial"/>
                <w:b/>
                <w:color w:val="000000"/>
                <w:sz w:val="20"/>
                <w:szCs w:val="20"/>
                <w:lang w:eastAsia="en-GB"/>
              </w:rPr>
              <w:t>Change</w:t>
            </w:r>
          </w:p>
        </w:tc>
        <w:tc>
          <w:tcPr>
            <w:tcW w:w="990" w:type="dxa"/>
            <w:shd w:val="clear" w:color="auto" w:fill="auto"/>
            <w:noWrap/>
          </w:tcPr>
          <w:p w:rsidR="003E4EE6" w:rsidRPr="003E2BAE" w:rsidRDefault="003E4EE6" w:rsidP="00806320">
            <w:pPr>
              <w:spacing w:after="0" w:line="240" w:lineRule="auto"/>
              <w:jc w:val="center"/>
              <w:rPr>
                <w:rFonts w:ascii="Arial" w:eastAsia="Times New Roman" w:hAnsi="Arial" w:cs="Arial"/>
                <w:b/>
                <w:color w:val="000000"/>
                <w:sz w:val="20"/>
                <w:szCs w:val="20"/>
                <w:lang w:eastAsia="en-GB"/>
              </w:rPr>
            </w:pPr>
            <w:r w:rsidRPr="003E2BAE">
              <w:rPr>
                <w:rFonts w:ascii="Arial" w:eastAsia="Times New Roman" w:hAnsi="Arial" w:cs="Arial"/>
                <w:b/>
                <w:color w:val="000000"/>
                <w:sz w:val="20"/>
                <w:szCs w:val="20"/>
                <w:lang w:eastAsia="en-GB"/>
              </w:rPr>
              <w:t>2004</w:t>
            </w:r>
          </w:p>
        </w:tc>
        <w:tc>
          <w:tcPr>
            <w:tcW w:w="1080" w:type="dxa"/>
            <w:shd w:val="clear" w:color="auto" w:fill="auto"/>
            <w:noWrap/>
          </w:tcPr>
          <w:p w:rsidR="003E4EE6" w:rsidRPr="003E2BAE" w:rsidRDefault="003E4EE6" w:rsidP="00806320">
            <w:pPr>
              <w:spacing w:after="0" w:line="240" w:lineRule="auto"/>
              <w:jc w:val="center"/>
              <w:rPr>
                <w:rFonts w:ascii="Arial" w:eastAsia="Times New Roman" w:hAnsi="Arial" w:cs="Arial"/>
                <w:b/>
                <w:color w:val="000000"/>
                <w:sz w:val="20"/>
                <w:szCs w:val="20"/>
                <w:lang w:eastAsia="en-GB"/>
              </w:rPr>
            </w:pPr>
            <w:r w:rsidRPr="003E2BAE">
              <w:rPr>
                <w:rFonts w:ascii="Arial" w:eastAsia="Times New Roman" w:hAnsi="Arial" w:cs="Arial"/>
                <w:b/>
                <w:color w:val="000000"/>
                <w:sz w:val="20"/>
                <w:szCs w:val="20"/>
                <w:lang w:eastAsia="en-GB"/>
              </w:rPr>
              <w:t>2011</w:t>
            </w:r>
          </w:p>
        </w:tc>
        <w:tc>
          <w:tcPr>
            <w:tcW w:w="1170" w:type="dxa"/>
            <w:shd w:val="clear" w:color="auto" w:fill="auto"/>
            <w:noWrap/>
          </w:tcPr>
          <w:p w:rsidR="003E4EE6" w:rsidRPr="003E2BAE" w:rsidRDefault="003E4EE6" w:rsidP="00806320">
            <w:pPr>
              <w:spacing w:after="0" w:line="240" w:lineRule="auto"/>
              <w:jc w:val="center"/>
              <w:rPr>
                <w:rFonts w:ascii="Arial" w:eastAsia="Times New Roman" w:hAnsi="Arial" w:cs="Arial"/>
                <w:b/>
                <w:color w:val="000000"/>
                <w:sz w:val="20"/>
                <w:szCs w:val="20"/>
                <w:lang w:eastAsia="en-GB"/>
              </w:rPr>
            </w:pPr>
            <w:r w:rsidRPr="003E2BAE">
              <w:rPr>
                <w:rFonts w:ascii="Arial" w:eastAsia="Times New Roman" w:hAnsi="Arial" w:cs="Arial"/>
                <w:b/>
                <w:color w:val="000000"/>
                <w:sz w:val="20"/>
                <w:szCs w:val="20"/>
                <w:lang w:eastAsia="en-GB"/>
              </w:rPr>
              <w:t>Change</w:t>
            </w:r>
          </w:p>
        </w:tc>
        <w:tc>
          <w:tcPr>
            <w:tcW w:w="1080" w:type="dxa"/>
            <w:shd w:val="clear" w:color="auto" w:fill="auto"/>
            <w:noWrap/>
            <w:hideMark/>
          </w:tcPr>
          <w:p w:rsidR="003E4EE6" w:rsidRPr="003E2BAE" w:rsidRDefault="003E4EE6" w:rsidP="00806320">
            <w:pPr>
              <w:spacing w:after="0" w:line="240" w:lineRule="auto"/>
              <w:jc w:val="center"/>
              <w:rPr>
                <w:rFonts w:ascii="Arial" w:eastAsia="Times New Roman" w:hAnsi="Arial" w:cs="Arial"/>
                <w:b/>
                <w:color w:val="000000"/>
                <w:sz w:val="20"/>
                <w:szCs w:val="20"/>
                <w:lang w:eastAsia="en-GB"/>
              </w:rPr>
            </w:pPr>
            <w:r w:rsidRPr="003E2BAE">
              <w:rPr>
                <w:rFonts w:ascii="Arial" w:eastAsia="Times New Roman" w:hAnsi="Arial" w:cs="Arial"/>
                <w:b/>
                <w:color w:val="000000"/>
                <w:sz w:val="20"/>
                <w:szCs w:val="20"/>
                <w:lang w:eastAsia="en-GB"/>
              </w:rPr>
              <w:t>2004</w:t>
            </w:r>
          </w:p>
        </w:tc>
        <w:tc>
          <w:tcPr>
            <w:tcW w:w="1080" w:type="dxa"/>
            <w:shd w:val="clear" w:color="auto" w:fill="auto"/>
            <w:noWrap/>
            <w:hideMark/>
          </w:tcPr>
          <w:p w:rsidR="003E4EE6" w:rsidRPr="003E2BAE" w:rsidRDefault="003E4EE6" w:rsidP="00806320">
            <w:pPr>
              <w:spacing w:after="0" w:line="240" w:lineRule="auto"/>
              <w:jc w:val="center"/>
              <w:rPr>
                <w:rFonts w:ascii="Arial" w:eastAsia="Times New Roman" w:hAnsi="Arial" w:cs="Arial"/>
                <w:b/>
                <w:color w:val="000000"/>
                <w:sz w:val="20"/>
                <w:szCs w:val="20"/>
                <w:lang w:eastAsia="en-GB"/>
              </w:rPr>
            </w:pPr>
            <w:r w:rsidRPr="003E2BAE">
              <w:rPr>
                <w:rFonts w:ascii="Arial" w:eastAsia="Times New Roman" w:hAnsi="Arial" w:cs="Arial"/>
                <w:b/>
                <w:color w:val="000000"/>
                <w:sz w:val="20"/>
                <w:szCs w:val="20"/>
                <w:lang w:eastAsia="en-GB"/>
              </w:rPr>
              <w:t>2011</w:t>
            </w:r>
          </w:p>
        </w:tc>
        <w:tc>
          <w:tcPr>
            <w:tcW w:w="1011" w:type="dxa"/>
            <w:shd w:val="clear" w:color="auto" w:fill="auto"/>
            <w:noWrap/>
            <w:hideMark/>
          </w:tcPr>
          <w:p w:rsidR="003E4EE6" w:rsidRPr="003E2BAE" w:rsidRDefault="003E4EE6" w:rsidP="00806320">
            <w:pPr>
              <w:spacing w:after="0" w:line="240" w:lineRule="auto"/>
              <w:jc w:val="center"/>
              <w:rPr>
                <w:rFonts w:ascii="Arial" w:eastAsia="Times New Roman" w:hAnsi="Arial" w:cs="Arial"/>
                <w:b/>
                <w:color w:val="000000"/>
                <w:sz w:val="20"/>
                <w:szCs w:val="20"/>
                <w:lang w:eastAsia="en-GB"/>
              </w:rPr>
            </w:pPr>
            <w:r w:rsidRPr="003E2BAE">
              <w:rPr>
                <w:rFonts w:ascii="Arial" w:eastAsia="Times New Roman" w:hAnsi="Arial" w:cs="Arial"/>
                <w:b/>
                <w:color w:val="000000"/>
                <w:sz w:val="20"/>
                <w:szCs w:val="20"/>
                <w:lang w:eastAsia="en-GB"/>
              </w:rPr>
              <w:t>Change</w:t>
            </w:r>
          </w:p>
        </w:tc>
      </w:tr>
      <w:tr w:rsidR="003E4EE6" w:rsidRPr="003E2BAE" w:rsidTr="00806320">
        <w:trPr>
          <w:trHeight w:val="570"/>
          <w:jc w:val="center"/>
        </w:trPr>
        <w:tc>
          <w:tcPr>
            <w:tcW w:w="1723" w:type="dxa"/>
            <w:shd w:val="clear" w:color="auto" w:fill="auto"/>
            <w:noWrap/>
            <w:vAlign w:val="bottom"/>
            <w:hideMark/>
          </w:tcPr>
          <w:p w:rsidR="003E4EE6" w:rsidRDefault="003E4EE6" w:rsidP="00806320">
            <w:pPr>
              <w:spacing w:after="0" w:line="240" w:lineRule="auto"/>
              <w:rPr>
                <w:rFonts w:ascii="Arial" w:eastAsia="Times New Roman" w:hAnsi="Arial" w:cs="Arial"/>
                <w:b/>
                <w:color w:val="000000"/>
                <w:sz w:val="20"/>
                <w:szCs w:val="20"/>
                <w:lang w:eastAsia="en-GB"/>
              </w:rPr>
            </w:pPr>
            <w:r w:rsidRPr="003E2BAE">
              <w:rPr>
                <w:rFonts w:ascii="Arial" w:eastAsia="Times New Roman" w:hAnsi="Arial" w:cs="Arial"/>
                <w:b/>
                <w:color w:val="000000"/>
                <w:sz w:val="20"/>
                <w:szCs w:val="20"/>
                <w:lang w:eastAsia="en-GB"/>
              </w:rPr>
              <w:t>Diabetes Primary Care Quality</w:t>
            </w:r>
          </w:p>
          <w:p w:rsidR="003E4EE6" w:rsidRPr="003E2BAE" w:rsidRDefault="003E4EE6" w:rsidP="00806320">
            <w:pPr>
              <w:spacing w:after="0" w:line="240" w:lineRule="auto"/>
              <w:rPr>
                <w:rFonts w:ascii="Arial" w:eastAsia="Times New Roman" w:hAnsi="Arial" w:cs="Arial"/>
                <w:b/>
                <w:color w:val="000000"/>
                <w:sz w:val="20"/>
                <w:szCs w:val="20"/>
                <w:lang w:eastAsia="en-GB"/>
              </w:rPr>
            </w:pPr>
          </w:p>
        </w:tc>
        <w:tc>
          <w:tcPr>
            <w:tcW w:w="1080" w:type="dxa"/>
            <w:shd w:val="clear" w:color="auto" w:fill="auto"/>
            <w:noWrap/>
            <w:hideMark/>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58.64 (58.63 to 58.64)</w:t>
            </w:r>
          </w:p>
        </w:tc>
        <w:tc>
          <w:tcPr>
            <w:tcW w:w="1170" w:type="dxa"/>
            <w:shd w:val="clear" w:color="auto" w:fill="auto"/>
            <w:noWrap/>
            <w:hideMark/>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62.36 (62.35 to 62.36)</w:t>
            </w:r>
          </w:p>
        </w:tc>
        <w:tc>
          <w:tcPr>
            <w:tcW w:w="1080" w:type="dxa"/>
            <w:shd w:val="clear" w:color="auto" w:fill="auto"/>
            <w:noWrap/>
            <w:hideMark/>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 xml:space="preserve">3.72 </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(3.72 to 3.72)</w:t>
            </w:r>
          </w:p>
        </w:tc>
        <w:tc>
          <w:tcPr>
            <w:tcW w:w="1080" w:type="dxa"/>
            <w:shd w:val="clear" w:color="auto" w:fill="auto"/>
            <w:noWrap/>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 xml:space="preserve">3.76 </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(3.4 to 4.11)</w:t>
            </w:r>
          </w:p>
        </w:tc>
        <w:tc>
          <w:tcPr>
            <w:tcW w:w="1350" w:type="dxa"/>
            <w:shd w:val="clear" w:color="auto" w:fill="auto"/>
            <w:noWrap/>
          </w:tcPr>
          <w:p w:rsidR="003E4EE6"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3.8</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(3.48 to 4.11)</w:t>
            </w:r>
          </w:p>
        </w:tc>
        <w:tc>
          <w:tcPr>
            <w:tcW w:w="990" w:type="dxa"/>
            <w:shd w:val="clear" w:color="auto" w:fill="auto"/>
            <w:noWrap/>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 xml:space="preserve">0.04 </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(-0.43 to 0.52)</w:t>
            </w:r>
          </w:p>
        </w:tc>
        <w:tc>
          <w:tcPr>
            <w:tcW w:w="990" w:type="dxa"/>
            <w:shd w:val="clear" w:color="auto" w:fill="auto"/>
            <w:noWrap/>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 xml:space="preserve">0.06 </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(0.06 to 0.07)</w:t>
            </w:r>
          </w:p>
        </w:tc>
        <w:tc>
          <w:tcPr>
            <w:tcW w:w="1080" w:type="dxa"/>
            <w:shd w:val="clear" w:color="auto" w:fill="auto"/>
            <w:noWrap/>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 xml:space="preserve">0.06 </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(0.06 to 0.07)</w:t>
            </w:r>
          </w:p>
        </w:tc>
        <w:tc>
          <w:tcPr>
            <w:tcW w:w="1170" w:type="dxa"/>
            <w:shd w:val="clear" w:color="auto" w:fill="auto"/>
            <w:noWrap/>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 xml:space="preserve">0 </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(-0.01 to 0)</w:t>
            </w:r>
          </w:p>
        </w:tc>
        <w:tc>
          <w:tcPr>
            <w:tcW w:w="1080" w:type="dxa"/>
            <w:shd w:val="clear" w:color="auto" w:fill="auto"/>
            <w:noWrap/>
            <w:hideMark/>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 xml:space="preserve">1.88 </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(1.7 to 2.05)</w:t>
            </w:r>
          </w:p>
        </w:tc>
        <w:tc>
          <w:tcPr>
            <w:tcW w:w="1080" w:type="dxa"/>
            <w:shd w:val="clear" w:color="auto" w:fill="auto"/>
            <w:noWrap/>
            <w:hideMark/>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 xml:space="preserve">1.9 </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(1.74 to 2.06)</w:t>
            </w:r>
          </w:p>
        </w:tc>
        <w:tc>
          <w:tcPr>
            <w:tcW w:w="1011" w:type="dxa"/>
            <w:shd w:val="clear" w:color="auto" w:fill="auto"/>
            <w:noWrap/>
            <w:hideMark/>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 xml:space="preserve">0.02 </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(-0.21 to 0.25)</w:t>
            </w:r>
          </w:p>
        </w:tc>
      </w:tr>
      <w:tr w:rsidR="003E4EE6" w:rsidRPr="003E2BAE" w:rsidTr="00806320">
        <w:trPr>
          <w:trHeight w:val="600"/>
          <w:jc w:val="center"/>
        </w:trPr>
        <w:tc>
          <w:tcPr>
            <w:tcW w:w="1723" w:type="dxa"/>
            <w:shd w:val="clear" w:color="auto" w:fill="auto"/>
            <w:noWrap/>
            <w:vAlign w:val="bottom"/>
            <w:hideMark/>
          </w:tcPr>
          <w:p w:rsidR="003E4EE6" w:rsidRPr="003E2BAE" w:rsidRDefault="003E4EE6" w:rsidP="00806320">
            <w:pPr>
              <w:spacing w:after="0" w:line="240" w:lineRule="auto"/>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Preventable E</w:t>
            </w:r>
            <w:r w:rsidRPr="003E2BAE">
              <w:rPr>
                <w:rFonts w:ascii="Arial" w:eastAsia="Times New Roman" w:hAnsi="Arial" w:cs="Arial"/>
                <w:b/>
                <w:color w:val="000000"/>
                <w:sz w:val="20"/>
                <w:szCs w:val="20"/>
                <w:lang w:eastAsia="en-GB"/>
              </w:rPr>
              <w:t>mergency Hospitalisation for diabetes</w:t>
            </w:r>
          </w:p>
        </w:tc>
        <w:tc>
          <w:tcPr>
            <w:tcW w:w="1080" w:type="dxa"/>
            <w:shd w:val="clear" w:color="auto" w:fill="auto"/>
            <w:noWrap/>
            <w:hideMark/>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59.84 (59.83 to 59.85)</w:t>
            </w:r>
          </w:p>
        </w:tc>
        <w:tc>
          <w:tcPr>
            <w:tcW w:w="1170" w:type="dxa"/>
            <w:shd w:val="clear" w:color="auto" w:fill="auto"/>
            <w:noWrap/>
            <w:hideMark/>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71.23 (71.22 to 71.25)</w:t>
            </w:r>
          </w:p>
        </w:tc>
        <w:tc>
          <w:tcPr>
            <w:tcW w:w="1080" w:type="dxa"/>
            <w:shd w:val="clear" w:color="auto" w:fill="auto"/>
            <w:noWrap/>
            <w:hideMark/>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11.4 (11.38 to 11.41)</w:t>
            </w:r>
          </w:p>
        </w:tc>
        <w:tc>
          <w:tcPr>
            <w:tcW w:w="1080" w:type="dxa"/>
            <w:shd w:val="clear" w:color="auto" w:fill="auto"/>
            <w:noWrap/>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64.66 (62.22 to 67.11)</w:t>
            </w:r>
          </w:p>
        </w:tc>
        <w:tc>
          <w:tcPr>
            <w:tcW w:w="1350" w:type="dxa"/>
            <w:shd w:val="clear" w:color="auto" w:fill="auto"/>
            <w:noWrap/>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84.25 (81.62 to 86.88)</w:t>
            </w:r>
          </w:p>
        </w:tc>
        <w:tc>
          <w:tcPr>
            <w:tcW w:w="990" w:type="dxa"/>
            <w:shd w:val="clear" w:color="auto" w:fill="auto"/>
            <w:noWrap/>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19.59 (16.00 to 23.17)</w:t>
            </w:r>
          </w:p>
        </w:tc>
        <w:tc>
          <w:tcPr>
            <w:tcW w:w="990" w:type="dxa"/>
            <w:shd w:val="clear" w:color="auto" w:fill="auto"/>
            <w:noWrap/>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 xml:space="preserve">1.08 </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(1.04 to</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1.12)</w:t>
            </w:r>
          </w:p>
        </w:tc>
        <w:tc>
          <w:tcPr>
            <w:tcW w:w="1080" w:type="dxa"/>
            <w:shd w:val="clear" w:color="auto" w:fill="auto"/>
            <w:noWrap/>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 xml:space="preserve">1.18 </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(1.15 to 1.22)</w:t>
            </w:r>
          </w:p>
        </w:tc>
        <w:tc>
          <w:tcPr>
            <w:tcW w:w="1170" w:type="dxa"/>
            <w:shd w:val="clear" w:color="auto" w:fill="auto"/>
            <w:noWrap/>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 xml:space="preserve">0.1 </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(0.05 to 0.16)</w:t>
            </w:r>
          </w:p>
        </w:tc>
        <w:tc>
          <w:tcPr>
            <w:tcW w:w="1080" w:type="dxa"/>
            <w:shd w:val="clear" w:color="auto" w:fill="auto"/>
            <w:noWrap/>
            <w:hideMark/>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16199 (15587 to</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16810)</w:t>
            </w:r>
          </w:p>
        </w:tc>
        <w:tc>
          <w:tcPr>
            <w:tcW w:w="1080" w:type="dxa"/>
            <w:shd w:val="clear" w:color="auto" w:fill="auto"/>
            <w:noWrap/>
            <w:hideMark/>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22189 (21498 to 22881)</w:t>
            </w:r>
          </w:p>
        </w:tc>
        <w:tc>
          <w:tcPr>
            <w:tcW w:w="1011" w:type="dxa"/>
            <w:shd w:val="clear" w:color="auto" w:fill="auto"/>
            <w:noWrap/>
            <w:hideMark/>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5991 (5084 to 6899)</w:t>
            </w:r>
          </w:p>
        </w:tc>
      </w:tr>
      <w:tr w:rsidR="003E4EE6" w:rsidRPr="003E2BAE" w:rsidTr="00806320">
        <w:trPr>
          <w:trHeight w:val="555"/>
          <w:jc w:val="center"/>
        </w:trPr>
        <w:tc>
          <w:tcPr>
            <w:tcW w:w="1723" w:type="dxa"/>
            <w:shd w:val="clear" w:color="auto" w:fill="auto"/>
            <w:noWrap/>
            <w:vAlign w:val="bottom"/>
            <w:hideMark/>
          </w:tcPr>
          <w:p w:rsidR="003E4EE6" w:rsidRPr="003E2BAE" w:rsidRDefault="003E4EE6" w:rsidP="00806320">
            <w:pPr>
              <w:spacing w:after="0" w:line="240" w:lineRule="auto"/>
              <w:rPr>
                <w:rFonts w:ascii="Arial" w:eastAsia="Times New Roman" w:hAnsi="Arial" w:cs="Arial"/>
                <w:b/>
                <w:color w:val="000000"/>
                <w:sz w:val="20"/>
                <w:szCs w:val="20"/>
                <w:lang w:eastAsia="en-GB"/>
              </w:rPr>
            </w:pPr>
            <w:r w:rsidRPr="003E2BAE">
              <w:rPr>
                <w:rFonts w:ascii="Arial" w:eastAsia="Times New Roman" w:hAnsi="Arial" w:cs="Arial"/>
                <w:b/>
                <w:color w:val="000000"/>
                <w:sz w:val="20"/>
                <w:szCs w:val="20"/>
                <w:lang w:eastAsia="en-GB"/>
              </w:rPr>
              <w:t>Amenable Mortality from diabetes</w:t>
            </w:r>
          </w:p>
        </w:tc>
        <w:tc>
          <w:tcPr>
            <w:tcW w:w="1080" w:type="dxa"/>
            <w:shd w:val="clear" w:color="auto" w:fill="auto"/>
            <w:noWrap/>
            <w:hideMark/>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3.62 (3.57 to 3.67)</w:t>
            </w:r>
          </w:p>
        </w:tc>
        <w:tc>
          <w:tcPr>
            <w:tcW w:w="1170" w:type="dxa"/>
            <w:shd w:val="clear" w:color="auto" w:fill="auto"/>
            <w:noWrap/>
            <w:hideMark/>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2.04 (1.98 to 2.11)</w:t>
            </w:r>
          </w:p>
        </w:tc>
        <w:tc>
          <w:tcPr>
            <w:tcW w:w="1080" w:type="dxa"/>
            <w:shd w:val="clear" w:color="auto" w:fill="auto"/>
            <w:noWrap/>
            <w:hideMark/>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-1.57</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(-1.65 to</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 xml:space="preserve"> -1.49)</w:t>
            </w:r>
          </w:p>
        </w:tc>
        <w:tc>
          <w:tcPr>
            <w:tcW w:w="1080" w:type="dxa"/>
            <w:shd w:val="clear" w:color="auto" w:fill="auto"/>
            <w:noWrap/>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 xml:space="preserve">5.1 </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(4.49 to 5.71)</w:t>
            </w:r>
          </w:p>
        </w:tc>
        <w:tc>
          <w:tcPr>
            <w:tcW w:w="1350" w:type="dxa"/>
            <w:shd w:val="clear" w:color="auto" w:fill="auto"/>
            <w:noWrap/>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 xml:space="preserve">2.42 </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 xml:space="preserve">(1.98 to 2.85) </w:t>
            </w:r>
          </w:p>
        </w:tc>
        <w:tc>
          <w:tcPr>
            <w:tcW w:w="990" w:type="dxa"/>
            <w:shd w:val="clear" w:color="auto" w:fill="auto"/>
            <w:noWrap/>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-2.68</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 xml:space="preserve">(-3.43 to </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-1.93)</w:t>
            </w:r>
          </w:p>
        </w:tc>
        <w:tc>
          <w:tcPr>
            <w:tcW w:w="990" w:type="dxa"/>
            <w:shd w:val="clear" w:color="auto" w:fill="auto"/>
            <w:noWrap/>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1.41 (1.24 to 1.58)</w:t>
            </w:r>
          </w:p>
        </w:tc>
        <w:tc>
          <w:tcPr>
            <w:tcW w:w="1080" w:type="dxa"/>
            <w:shd w:val="clear" w:color="auto" w:fill="auto"/>
            <w:noWrap/>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 xml:space="preserve">1.18 </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(0.97 to 1.39)</w:t>
            </w:r>
          </w:p>
        </w:tc>
        <w:tc>
          <w:tcPr>
            <w:tcW w:w="1170" w:type="dxa"/>
            <w:shd w:val="clear" w:color="auto" w:fill="auto"/>
            <w:noWrap/>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 xml:space="preserve">-0.23 </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(-0.5 to 0.04)</w:t>
            </w:r>
          </w:p>
        </w:tc>
        <w:tc>
          <w:tcPr>
            <w:tcW w:w="1080" w:type="dxa"/>
            <w:shd w:val="clear" w:color="auto" w:fill="auto"/>
            <w:noWrap/>
            <w:hideMark/>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1176 (1036 to 1316)</w:t>
            </w:r>
          </w:p>
        </w:tc>
        <w:tc>
          <w:tcPr>
            <w:tcW w:w="1080" w:type="dxa"/>
            <w:shd w:val="clear" w:color="auto" w:fill="auto"/>
            <w:noWrap/>
            <w:hideMark/>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 xml:space="preserve">582 </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(478 to 687)</w:t>
            </w:r>
          </w:p>
        </w:tc>
        <w:tc>
          <w:tcPr>
            <w:tcW w:w="1011" w:type="dxa"/>
            <w:shd w:val="clear" w:color="auto" w:fill="auto"/>
            <w:noWrap/>
            <w:hideMark/>
          </w:tcPr>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 xml:space="preserve">-594 </w:t>
            </w:r>
          </w:p>
          <w:p w:rsidR="003E4EE6"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 xml:space="preserve">(-767 to </w:t>
            </w:r>
          </w:p>
          <w:p w:rsidR="003E4EE6" w:rsidRPr="003E2BAE" w:rsidRDefault="003E4EE6" w:rsidP="00806320">
            <w:pPr>
              <w:spacing w:after="0" w:line="240" w:lineRule="auto"/>
              <w:rPr>
                <w:rFonts w:ascii="Arial" w:eastAsia="Times New Roman" w:hAnsi="Arial" w:cs="Arial"/>
                <w:color w:val="000000"/>
                <w:sz w:val="20"/>
                <w:szCs w:val="20"/>
                <w:lang w:eastAsia="en-GB"/>
              </w:rPr>
            </w:pPr>
            <w:r w:rsidRPr="003E2BAE">
              <w:rPr>
                <w:rFonts w:ascii="Arial" w:eastAsia="Times New Roman" w:hAnsi="Arial" w:cs="Arial"/>
                <w:color w:val="000000"/>
                <w:sz w:val="20"/>
                <w:szCs w:val="20"/>
                <w:lang w:eastAsia="en-GB"/>
              </w:rPr>
              <w:t>-420)</w:t>
            </w:r>
          </w:p>
        </w:tc>
      </w:tr>
    </w:tbl>
    <w:p w:rsidR="003E4EE6" w:rsidRPr="005415AA" w:rsidRDefault="003E4EE6" w:rsidP="003E4EE6">
      <w:pPr>
        <w:rPr>
          <w:rFonts w:ascii="Arial" w:hAnsi="Arial" w:cs="Arial"/>
        </w:rPr>
      </w:pPr>
    </w:p>
    <w:p w:rsidR="003E4EE6" w:rsidRPr="005415AA" w:rsidRDefault="003E4EE6" w:rsidP="003E4EE6">
      <w:pPr>
        <w:rPr>
          <w:rFonts w:ascii="Arial" w:hAnsi="Arial" w:cs="Arial"/>
          <w:i/>
        </w:rPr>
      </w:pPr>
      <w:r w:rsidRPr="005415AA">
        <w:rPr>
          <w:rFonts w:ascii="Arial" w:hAnsi="Arial" w:cs="Arial"/>
          <w:i/>
        </w:rPr>
        <w:t xml:space="preserve">The England means and the SII indices are measured in terms of average primary care quality, preventable hospitalisation per 100,000, and amenable mortality per 100,000. The RII indices are the SII indices as a proportion of the England means. The inequality gaps refer to the average quality loss attributable to inequality, the total excess hospitalisations attributable to inequality, and the total excess mortality attributable to inequality. </w:t>
      </w:r>
      <w:proofErr w:type="gramStart"/>
      <w:r w:rsidRPr="005415AA">
        <w:rPr>
          <w:rFonts w:ascii="Arial" w:hAnsi="Arial" w:cs="Arial"/>
          <w:i/>
        </w:rPr>
        <w:t>(RII, relative index of inequality; SII, slope index of inequality.)</w:t>
      </w:r>
      <w:proofErr w:type="gramEnd"/>
    </w:p>
    <w:p w:rsidR="003E4EE6" w:rsidRDefault="003E4EE6" w:rsidP="003E4EE6"/>
    <w:p w:rsidR="003E4EE6" w:rsidRDefault="003E4EE6" w:rsidP="00D35534">
      <w:pPr>
        <w:spacing w:line="360" w:lineRule="auto"/>
        <w:sectPr w:rsidR="003E4EE6" w:rsidSect="003E4EE6">
          <w:pgSz w:w="16838" w:h="11906" w:orient="landscape"/>
          <w:pgMar w:top="1440" w:right="1440" w:bottom="1440" w:left="1440" w:header="708" w:footer="708" w:gutter="0"/>
          <w:cols w:space="708"/>
          <w:docGrid w:linePitch="360"/>
        </w:sectPr>
      </w:pPr>
    </w:p>
    <w:p w:rsidR="003E4EE6" w:rsidRDefault="00C678DD" w:rsidP="003E4EE6">
      <w:pPr>
        <w:autoSpaceDE w:val="0"/>
        <w:autoSpaceDN w:val="0"/>
        <w:adjustRightInd w:val="0"/>
        <w:spacing w:after="0" w:line="240" w:lineRule="auto"/>
        <w:rPr>
          <w:rFonts w:ascii="AdobePiStd" w:hAnsi="AdobePiStd" w:cs="AdobePiStd"/>
          <w:sz w:val="14"/>
          <w:szCs w:val="14"/>
        </w:rPr>
      </w:pPr>
      <w:r>
        <w:rPr>
          <w:rFonts w:ascii="AdobePiStd" w:hAnsi="AdobePiStd" w:cs="AdobePiStd"/>
          <w:noProof/>
          <w:sz w:val="14"/>
          <w:szCs w:val="14"/>
          <w:lang w:eastAsia="en-GB"/>
        </w:rPr>
        <w:lastRenderedPageBreak/>
        <w:drawing>
          <wp:inline distT="0" distB="0" distL="0" distR="0">
            <wp:extent cx="6400800" cy="65038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1096" cy="6504159"/>
                    </a:xfrm>
                    <a:prstGeom prst="rect">
                      <a:avLst/>
                    </a:prstGeom>
                    <a:noFill/>
                    <a:ln>
                      <a:noFill/>
                    </a:ln>
                  </pic:spPr>
                </pic:pic>
              </a:graphicData>
            </a:graphic>
          </wp:inline>
        </w:drawing>
      </w:r>
    </w:p>
    <w:p w:rsidR="003E4EE6" w:rsidRPr="003E4EE6" w:rsidRDefault="003E4EE6" w:rsidP="003E4EE6">
      <w:pPr>
        <w:rPr>
          <w:rFonts w:ascii="AdobePiStd" w:hAnsi="AdobePiStd" w:cs="AdobePiStd"/>
          <w:sz w:val="14"/>
          <w:szCs w:val="14"/>
        </w:rPr>
      </w:pPr>
    </w:p>
    <w:p w:rsidR="003E4EE6" w:rsidRPr="003E4EE6" w:rsidRDefault="003E4EE6" w:rsidP="003E4EE6">
      <w:pPr>
        <w:rPr>
          <w:rFonts w:ascii="AdobePiStd" w:hAnsi="AdobePiStd" w:cs="AdobePiStd"/>
          <w:sz w:val="14"/>
          <w:szCs w:val="14"/>
        </w:rPr>
      </w:pPr>
    </w:p>
    <w:p w:rsidR="003E4EE6" w:rsidRPr="003E4EE6" w:rsidRDefault="003E4EE6" w:rsidP="003E4EE6">
      <w:pPr>
        <w:rPr>
          <w:rFonts w:ascii="AdobePiStd" w:hAnsi="AdobePiStd" w:cs="AdobePiStd"/>
          <w:sz w:val="14"/>
          <w:szCs w:val="14"/>
        </w:rPr>
      </w:pPr>
    </w:p>
    <w:p w:rsidR="003E4EE6" w:rsidRPr="003E4EE6" w:rsidRDefault="003E4EE6" w:rsidP="003E4EE6">
      <w:pPr>
        <w:rPr>
          <w:rFonts w:ascii="AdobePiStd" w:hAnsi="AdobePiStd" w:cs="AdobePiStd"/>
          <w:sz w:val="14"/>
          <w:szCs w:val="14"/>
        </w:rPr>
      </w:pPr>
    </w:p>
    <w:p w:rsidR="003E4EE6" w:rsidRPr="003E4EE6" w:rsidRDefault="003E4EE6" w:rsidP="003E4EE6">
      <w:pPr>
        <w:rPr>
          <w:rFonts w:ascii="AdobePiStd" w:hAnsi="AdobePiStd" w:cs="AdobePiStd"/>
          <w:sz w:val="14"/>
          <w:szCs w:val="14"/>
        </w:rPr>
      </w:pPr>
    </w:p>
    <w:p w:rsidR="003E4EE6" w:rsidRPr="003E4EE6" w:rsidRDefault="003E4EE6" w:rsidP="003E4EE6">
      <w:pPr>
        <w:rPr>
          <w:rFonts w:ascii="AdobePiStd" w:hAnsi="AdobePiStd" w:cs="AdobePiStd"/>
          <w:sz w:val="14"/>
          <w:szCs w:val="14"/>
        </w:rPr>
      </w:pPr>
    </w:p>
    <w:p w:rsidR="003E4EE6" w:rsidRDefault="003E4EE6" w:rsidP="003E4EE6">
      <w:pPr>
        <w:rPr>
          <w:rFonts w:ascii="AdobePiStd" w:hAnsi="AdobePiStd" w:cs="AdobePiStd"/>
          <w:sz w:val="14"/>
          <w:szCs w:val="14"/>
        </w:rPr>
      </w:pPr>
    </w:p>
    <w:p w:rsidR="003E4EE6" w:rsidRDefault="003E4EE6" w:rsidP="003E4EE6">
      <w:pPr>
        <w:tabs>
          <w:tab w:val="left" w:pos="4042"/>
        </w:tabs>
        <w:rPr>
          <w:rFonts w:ascii="AdobePiStd" w:hAnsi="AdobePiStd" w:cs="AdobePiStd"/>
          <w:sz w:val="14"/>
          <w:szCs w:val="14"/>
        </w:rPr>
        <w:sectPr w:rsidR="003E4EE6" w:rsidSect="003E4EE6">
          <w:pgSz w:w="11906" w:h="16838"/>
          <w:pgMar w:top="720" w:right="720" w:bottom="720" w:left="720" w:header="708" w:footer="708" w:gutter="0"/>
          <w:cols w:space="708"/>
          <w:docGrid w:linePitch="360"/>
        </w:sectPr>
      </w:pPr>
      <w:r>
        <w:rPr>
          <w:rFonts w:ascii="AdobePiStd" w:hAnsi="AdobePiStd" w:cs="AdobePiStd"/>
          <w:sz w:val="14"/>
          <w:szCs w:val="14"/>
        </w:rPr>
        <w:tab/>
      </w:r>
    </w:p>
    <w:p w:rsidR="00337C4D" w:rsidRDefault="003E4EE6" w:rsidP="003E4EE6">
      <w:pPr>
        <w:tabs>
          <w:tab w:val="left" w:pos="4042"/>
        </w:tabs>
        <w:rPr>
          <w:rFonts w:ascii="AdobePiStd" w:hAnsi="AdobePiStd" w:cs="AdobePiStd"/>
          <w:sz w:val="14"/>
          <w:szCs w:val="14"/>
        </w:rPr>
        <w:sectPr w:rsidR="00337C4D" w:rsidSect="003E4EE6">
          <w:pgSz w:w="16838" w:h="11906" w:orient="landscape"/>
          <w:pgMar w:top="720" w:right="720" w:bottom="720" w:left="720" w:header="708" w:footer="708" w:gutter="0"/>
          <w:cols w:space="708"/>
          <w:docGrid w:linePitch="360"/>
        </w:sectPr>
      </w:pPr>
      <w:r>
        <w:rPr>
          <w:rFonts w:ascii="AdobePiStd" w:hAnsi="AdobePiStd" w:cs="AdobePiStd"/>
          <w:noProof/>
          <w:sz w:val="14"/>
          <w:szCs w:val="14"/>
          <w:lang w:eastAsia="en-GB"/>
        </w:rPr>
        <w:lastRenderedPageBreak/>
        <w:drawing>
          <wp:inline distT="0" distB="0" distL="0" distR="0">
            <wp:extent cx="8317735" cy="6459172"/>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17913" cy="6459310"/>
                    </a:xfrm>
                    <a:prstGeom prst="rect">
                      <a:avLst/>
                    </a:prstGeom>
                    <a:noFill/>
                    <a:ln>
                      <a:noFill/>
                    </a:ln>
                  </pic:spPr>
                </pic:pic>
              </a:graphicData>
            </a:graphic>
          </wp:inline>
        </w:drawing>
      </w:r>
    </w:p>
    <w:p w:rsidR="00337C4D" w:rsidRDefault="00337C4D" w:rsidP="00337C4D">
      <w:pPr>
        <w:contextualSpacing/>
        <w:rPr>
          <w:rFonts w:ascii="Arial" w:hAnsi="Arial" w:cs="Arial"/>
          <w:b/>
        </w:rPr>
      </w:pPr>
      <w:r>
        <w:rPr>
          <w:rFonts w:ascii="Arial" w:hAnsi="Arial" w:cs="Arial"/>
          <w:b/>
        </w:rPr>
        <w:lastRenderedPageBreak/>
        <w:t>Appendix 1: preventable emergency hospitalisation</w:t>
      </w:r>
      <w:r w:rsidRPr="005415AA">
        <w:rPr>
          <w:rFonts w:ascii="Arial" w:hAnsi="Arial" w:cs="Arial"/>
          <w:b/>
        </w:rPr>
        <w:t xml:space="preserve"> for diabetes</w:t>
      </w:r>
      <w:r>
        <w:rPr>
          <w:rFonts w:ascii="Arial" w:hAnsi="Arial" w:cs="Arial"/>
          <w:b/>
        </w:rPr>
        <w:t xml:space="preserve"> </w:t>
      </w:r>
    </w:p>
    <w:tbl>
      <w:tblPr>
        <w:tblW w:w="14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0"/>
        <w:gridCol w:w="960"/>
        <w:gridCol w:w="960"/>
        <w:gridCol w:w="960"/>
        <w:gridCol w:w="960"/>
        <w:gridCol w:w="960"/>
        <w:gridCol w:w="960"/>
        <w:gridCol w:w="960"/>
        <w:gridCol w:w="960"/>
        <w:gridCol w:w="960"/>
      </w:tblGrid>
      <w:tr w:rsidR="00337C4D" w:rsidRPr="003E2BAE" w:rsidTr="00806320">
        <w:trPr>
          <w:trHeight w:val="495"/>
        </w:trPr>
        <w:tc>
          <w:tcPr>
            <w:tcW w:w="6020" w:type="dxa"/>
            <w:shd w:val="clear" w:color="auto" w:fill="auto"/>
            <w:vAlign w:val="center"/>
            <w:hideMark/>
          </w:tcPr>
          <w:p w:rsidR="00337C4D" w:rsidRPr="00AB1310" w:rsidRDefault="00337C4D" w:rsidP="00806320">
            <w:pPr>
              <w:spacing w:after="0" w:line="240" w:lineRule="auto"/>
              <w:contextualSpacing/>
              <w:rPr>
                <w:rFonts w:ascii="Arial" w:eastAsia="Times New Roman" w:hAnsi="Arial" w:cs="Arial"/>
                <w:b/>
                <w:color w:val="000000"/>
                <w:lang w:eastAsia="en-GB"/>
              </w:rPr>
            </w:pPr>
            <w:r w:rsidRPr="00AB1310">
              <w:rPr>
                <w:rFonts w:ascii="Arial" w:eastAsia="Times New Roman" w:hAnsi="Arial" w:cs="Arial"/>
                <w:b/>
                <w:color w:val="000000"/>
                <w:lang w:eastAsia="en-GB"/>
              </w:rPr>
              <w:t>ICD-10 code</w:t>
            </w:r>
          </w:p>
        </w:tc>
        <w:tc>
          <w:tcPr>
            <w:tcW w:w="2880" w:type="dxa"/>
            <w:gridSpan w:val="3"/>
            <w:shd w:val="clear" w:color="auto" w:fill="auto"/>
            <w:vAlign w:val="center"/>
            <w:hideMark/>
          </w:tcPr>
          <w:p w:rsidR="00337C4D" w:rsidRPr="00AB1310" w:rsidRDefault="00337C4D" w:rsidP="00806320">
            <w:pPr>
              <w:spacing w:after="0" w:line="240" w:lineRule="auto"/>
              <w:contextualSpacing/>
              <w:rPr>
                <w:rFonts w:ascii="Times New Roman" w:eastAsia="Times New Roman" w:hAnsi="Times New Roman"/>
                <w:b/>
                <w:color w:val="000000"/>
                <w:lang w:eastAsia="en-GB"/>
              </w:rPr>
            </w:pPr>
            <w:r w:rsidRPr="00AB1310">
              <w:rPr>
                <w:rFonts w:ascii="Times New Roman" w:eastAsia="Times New Roman" w:hAnsi="Times New Roman"/>
                <w:b/>
                <w:color w:val="000000"/>
                <w:lang w:eastAsia="en-GB"/>
              </w:rPr>
              <w:t>Q1 (most deprived); % of total admissions for ICD-10 code</w:t>
            </w:r>
          </w:p>
        </w:tc>
        <w:tc>
          <w:tcPr>
            <w:tcW w:w="2880" w:type="dxa"/>
            <w:gridSpan w:val="3"/>
            <w:shd w:val="clear" w:color="auto" w:fill="auto"/>
            <w:vAlign w:val="center"/>
            <w:hideMark/>
          </w:tcPr>
          <w:p w:rsidR="00337C4D" w:rsidRPr="00AB1310" w:rsidRDefault="00337C4D" w:rsidP="00806320">
            <w:pPr>
              <w:spacing w:after="0" w:line="240" w:lineRule="auto"/>
              <w:contextualSpacing/>
              <w:rPr>
                <w:rFonts w:ascii="Times New Roman" w:eastAsia="Times New Roman" w:hAnsi="Times New Roman"/>
                <w:b/>
                <w:color w:val="000000"/>
                <w:lang w:eastAsia="en-GB"/>
              </w:rPr>
            </w:pPr>
            <w:r w:rsidRPr="00AB1310">
              <w:rPr>
                <w:rFonts w:ascii="Times New Roman" w:eastAsia="Times New Roman" w:hAnsi="Times New Roman"/>
                <w:b/>
                <w:color w:val="000000"/>
                <w:lang w:eastAsia="en-GB"/>
              </w:rPr>
              <w:t>Q5 (most affluent): % of total admissions for that ICD-10</w:t>
            </w:r>
          </w:p>
        </w:tc>
        <w:tc>
          <w:tcPr>
            <w:tcW w:w="2880" w:type="dxa"/>
            <w:gridSpan w:val="3"/>
            <w:shd w:val="clear" w:color="auto" w:fill="auto"/>
            <w:vAlign w:val="center"/>
            <w:hideMark/>
          </w:tcPr>
          <w:p w:rsidR="00337C4D" w:rsidRPr="00AB1310" w:rsidRDefault="00337C4D" w:rsidP="00806320">
            <w:pPr>
              <w:spacing w:after="0" w:line="240" w:lineRule="auto"/>
              <w:contextualSpacing/>
              <w:rPr>
                <w:rFonts w:ascii="Times New Roman" w:eastAsia="Times New Roman" w:hAnsi="Times New Roman"/>
                <w:b/>
                <w:color w:val="000000"/>
                <w:lang w:eastAsia="en-GB"/>
              </w:rPr>
            </w:pPr>
            <w:r w:rsidRPr="00AB1310">
              <w:rPr>
                <w:rFonts w:ascii="Times New Roman" w:eastAsia="Times New Roman" w:hAnsi="Times New Roman"/>
                <w:b/>
                <w:color w:val="000000"/>
                <w:lang w:eastAsia="en-GB"/>
              </w:rPr>
              <w:t>Overall numbers of admissions for ICD-10 code</w:t>
            </w:r>
          </w:p>
        </w:tc>
      </w:tr>
      <w:tr w:rsidR="00337C4D" w:rsidRPr="003E2BAE" w:rsidTr="00806320">
        <w:trPr>
          <w:trHeight w:val="300"/>
        </w:trPr>
        <w:tc>
          <w:tcPr>
            <w:tcW w:w="6020" w:type="dxa"/>
            <w:shd w:val="clear" w:color="auto" w:fill="auto"/>
            <w:vAlign w:val="center"/>
            <w:hideMark/>
          </w:tcPr>
          <w:p w:rsidR="00337C4D" w:rsidRPr="003E2BAE" w:rsidRDefault="00337C4D" w:rsidP="00806320">
            <w:pPr>
              <w:spacing w:after="0" w:line="240" w:lineRule="auto"/>
              <w:contextualSpacing/>
              <w:rPr>
                <w:rFonts w:ascii="Arial" w:eastAsia="Times New Roman" w:hAnsi="Arial" w:cs="Arial"/>
                <w:color w:val="000000"/>
                <w:lang w:eastAsia="en-GB"/>
              </w:rPr>
            </w:pPr>
          </w:p>
        </w:tc>
        <w:tc>
          <w:tcPr>
            <w:tcW w:w="960" w:type="dxa"/>
            <w:shd w:val="clear" w:color="auto" w:fill="auto"/>
            <w:vAlign w:val="center"/>
            <w:hideMark/>
          </w:tcPr>
          <w:p w:rsidR="00337C4D" w:rsidRPr="003E2BAE" w:rsidRDefault="00337C4D" w:rsidP="00806320">
            <w:pPr>
              <w:spacing w:after="0" w:line="240" w:lineRule="auto"/>
              <w:contextualSpacing/>
              <w:rPr>
                <w:rFonts w:ascii="Times New Roman" w:eastAsia="Times New Roman" w:hAnsi="Times New Roman"/>
                <w:color w:val="000000"/>
                <w:lang w:eastAsia="en-GB"/>
              </w:rPr>
            </w:pPr>
            <w:r w:rsidRPr="003E2BAE">
              <w:rPr>
                <w:rFonts w:ascii="Times New Roman" w:eastAsia="Times New Roman" w:hAnsi="Times New Roman"/>
                <w:color w:val="000000"/>
                <w:lang w:eastAsia="en-GB"/>
              </w:rPr>
              <w:t>2004/5</w:t>
            </w:r>
          </w:p>
        </w:tc>
        <w:tc>
          <w:tcPr>
            <w:tcW w:w="960" w:type="dxa"/>
            <w:shd w:val="clear" w:color="auto" w:fill="auto"/>
            <w:vAlign w:val="center"/>
            <w:hideMark/>
          </w:tcPr>
          <w:p w:rsidR="00337C4D" w:rsidRPr="003E2BAE" w:rsidRDefault="00337C4D" w:rsidP="00806320">
            <w:pPr>
              <w:spacing w:after="0" w:line="240" w:lineRule="auto"/>
              <w:contextualSpacing/>
              <w:rPr>
                <w:rFonts w:ascii="Times New Roman" w:eastAsia="Times New Roman" w:hAnsi="Times New Roman"/>
                <w:color w:val="000000"/>
                <w:lang w:eastAsia="en-GB"/>
              </w:rPr>
            </w:pPr>
            <w:r w:rsidRPr="003E2BAE">
              <w:rPr>
                <w:rFonts w:ascii="Times New Roman" w:eastAsia="Times New Roman" w:hAnsi="Times New Roman"/>
                <w:color w:val="000000"/>
                <w:lang w:eastAsia="en-GB"/>
              </w:rPr>
              <w:t>2011/12</w:t>
            </w:r>
          </w:p>
        </w:tc>
        <w:tc>
          <w:tcPr>
            <w:tcW w:w="960" w:type="dxa"/>
            <w:shd w:val="clear" w:color="auto" w:fill="auto"/>
            <w:vAlign w:val="center"/>
            <w:hideMark/>
          </w:tcPr>
          <w:p w:rsidR="00337C4D" w:rsidRPr="003E2BAE" w:rsidRDefault="00337C4D" w:rsidP="00806320">
            <w:pPr>
              <w:spacing w:after="0" w:line="240" w:lineRule="auto"/>
              <w:contextualSpacing/>
              <w:rPr>
                <w:rFonts w:ascii="Times New Roman" w:eastAsia="Times New Roman" w:hAnsi="Times New Roman"/>
                <w:color w:val="000000"/>
                <w:lang w:eastAsia="en-GB"/>
              </w:rPr>
            </w:pPr>
            <w:r w:rsidRPr="003E2BAE">
              <w:rPr>
                <w:rFonts w:ascii="Times New Roman" w:eastAsia="Times New Roman" w:hAnsi="Times New Roman"/>
                <w:color w:val="000000"/>
                <w:lang w:eastAsia="en-GB"/>
              </w:rPr>
              <w:t>Change</w:t>
            </w:r>
          </w:p>
        </w:tc>
        <w:tc>
          <w:tcPr>
            <w:tcW w:w="960" w:type="dxa"/>
            <w:shd w:val="clear" w:color="auto" w:fill="auto"/>
            <w:vAlign w:val="center"/>
            <w:hideMark/>
          </w:tcPr>
          <w:p w:rsidR="00337C4D" w:rsidRPr="003E2BAE" w:rsidRDefault="00337C4D" w:rsidP="00806320">
            <w:pPr>
              <w:spacing w:after="0" w:line="240" w:lineRule="auto"/>
              <w:contextualSpacing/>
              <w:rPr>
                <w:rFonts w:ascii="Times New Roman" w:eastAsia="Times New Roman" w:hAnsi="Times New Roman"/>
                <w:color w:val="000000"/>
                <w:lang w:eastAsia="en-GB"/>
              </w:rPr>
            </w:pPr>
            <w:r w:rsidRPr="003E2BAE">
              <w:rPr>
                <w:rFonts w:ascii="Times New Roman" w:eastAsia="Times New Roman" w:hAnsi="Times New Roman"/>
                <w:color w:val="000000"/>
                <w:lang w:eastAsia="en-GB"/>
              </w:rPr>
              <w:t>2004/5</w:t>
            </w:r>
          </w:p>
        </w:tc>
        <w:tc>
          <w:tcPr>
            <w:tcW w:w="960" w:type="dxa"/>
            <w:shd w:val="clear" w:color="auto" w:fill="auto"/>
            <w:vAlign w:val="center"/>
            <w:hideMark/>
          </w:tcPr>
          <w:p w:rsidR="00337C4D" w:rsidRPr="003E2BAE" w:rsidRDefault="00337C4D" w:rsidP="00806320">
            <w:pPr>
              <w:spacing w:after="0" w:line="240" w:lineRule="auto"/>
              <w:contextualSpacing/>
              <w:rPr>
                <w:rFonts w:ascii="Times New Roman" w:eastAsia="Times New Roman" w:hAnsi="Times New Roman"/>
                <w:color w:val="000000"/>
                <w:lang w:eastAsia="en-GB"/>
              </w:rPr>
            </w:pPr>
            <w:r w:rsidRPr="003E2BAE">
              <w:rPr>
                <w:rFonts w:ascii="Times New Roman" w:eastAsia="Times New Roman" w:hAnsi="Times New Roman"/>
                <w:color w:val="000000"/>
                <w:lang w:eastAsia="en-GB"/>
              </w:rPr>
              <w:t>2011/12</w:t>
            </w:r>
          </w:p>
        </w:tc>
        <w:tc>
          <w:tcPr>
            <w:tcW w:w="960" w:type="dxa"/>
            <w:shd w:val="clear" w:color="auto" w:fill="auto"/>
            <w:vAlign w:val="center"/>
            <w:hideMark/>
          </w:tcPr>
          <w:p w:rsidR="00337C4D" w:rsidRPr="003E2BAE" w:rsidRDefault="00337C4D" w:rsidP="00806320">
            <w:pPr>
              <w:spacing w:after="0" w:line="240" w:lineRule="auto"/>
              <w:contextualSpacing/>
              <w:rPr>
                <w:rFonts w:ascii="Times New Roman" w:eastAsia="Times New Roman" w:hAnsi="Times New Roman"/>
                <w:color w:val="000000"/>
                <w:lang w:eastAsia="en-GB"/>
              </w:rPr>
            </w:pPr>
            <w:r w:rsidRPr="003E2BAE">
              <w:rPr>
                <w:rFonts w:ascii="Times New Roman" w:eastAsia="Times New Roman" w:hAnsi="Times New Roman"/>
                <w:color w:val="000000"/>
                <w:lang w:eastAsia="en-GB"/>
              </w:rPr>
              <w:t>Change</w:t>
            </w:r>
          </w:p>
        </w:tc>
        <w:tc>
          <w:tcPr>
            <w:tcW w:w="960" w:type="dxa"/>
            <w:shd w:val="clear" w:color="auto" w:fill="auto"/>
            <w:vAlign w:val="center"/>
            <w:hideMark/>
          </w:tcPr>
          <w:p w:rsidR="00337C4D" w:rsidRPr="003E2BAE" w:rsidRDefault="00337C4D" w:rsidP="00806320">
            <w:pPr>
              <w:spacing w:after="0" w:line="240" w:lineRule="auto"/>
              <w:contextualSpacing/>
              <w:rPr>
                <w:rFonts w:ascii="Times New Roman" w:eastAsia="Times New Roman" w:hAnsi="Times New Roman"/>
                <w:color w:val="000000"/>
                <w:lang w:eastAsia="en-GB"/>
              </w:rPr>
            </w:pPr>
            <w:r w:rsidRPr="003E2BAE">
              <w:rPr>
                <w:rFonts w:ascii="Times New Roman" w:eastAsia="Times New Roman" w:hAnsi="Times New Roman"/>
                <w:color w:val="000000"/>
                <w:lang w:eastAsia="en-GB"/>
              </w:rPr>
              <w:t>2004/5</w:t>
            </w:r>
          </w:p>
        </w:tc>
        <w:tc>
          <w:tcPr>
            <w:tcW w:w="960" w:type="dxa"/>
            <w:shd w:val="clear" w:color="auto" w:fill="auto"/>
            <w:vAlign w:val="center"/>
            <w:hideMark/>
          </w:tcPr>
          <w:p w:rsidR="00337C4D" w:rsidRPr="003E2BAE" w:rsidRDefault="00337C4D" w:rsidP="00806320">
            <w:pPr>
              <w:spacing w:after="0" w:line="240" w:lineRule="auto"/>
              <w:contextualSpacing/>
              <w:rPr>
                <w:rFonts w:ascii="Times New Roman" w:eastAsia="Times New Roman" w:hAnsi="Times New Roman"/>
                <w:color w:val="000000"/>
                <w:lang w:eastAsia="en-GB"/>
              </w:rPr>
            </w:pPr>
            <w:r w:rsidRPr="003E2BAE">
              <w:rPr>
                <w:rFonts w:ascii="Times New Roman" w:eastAsia="Times New Roman" w:hAnsi="Times New Roman"/>
                <w:color w:val="000000"/>
                <w:lang w:eastAsia="en-GB"/>
              </w:rPr>
              <w:t>2011/12</w:t>
            </w:r>
          </w:p>
        </w:tc>
        <w:tc>
          <w:tcPr>
            <w:tcW w:w="960" w:type="dxa"/>
            <w:shd w:val="clear" w:color="auto" w:fill="auto"/>
            <w:vAlign w:val="center"/>
            <w:hideMark/>
          </w:tcPr>
          <w:p w:rsidR="00337C4D" w:rsidRPr="003E2BAE" w:rsidRDefault="00337C4D" w:rsidP="00806320">
            <w:pPr>
              <w:spacing w:after="0" w:line="240" w:lineRule="auto"/>
              <w:contextualSpacing/>
              <w:rPr>
                <w:rFonts w:ascii="Times New Roman" w:eastAsia="Times New Roman" w:hAnsi="Times New Roman"/>
                <w:color w:val="000000"/>
                <w:lang w:eastAsia="en-GB"/>
              </w:rPr>
            </w:pPr>
            <w:r w:rsidRPr="003E2BAE">
              <w:rPr>
                <w:rFonts w:ascii="Times New Roman" w:eastAsia="Times New Roman" w:hAnsi="Times New Roman"/>
                <w:color w:val="000000"/>
                <w:lang w:eastAsia="en-GB"/>
              </w:rPr>
              <w:t>Change</w:t>
            </w:r>
          </w:p>
        </w:tc>
      </w:tr>
      <w:tr w:rsidR="00337C4D" w:rsidRPr="003E2BAE" w:rsidTr="00806320">
        <w:trPr>
          <w:trHeight w:val="300"/>
        </w:trPr>
        <w:tc>
          <w:tcPr>
            <w:tcW w:w="6020" w:type="dxa"/>
            <w:shd w:val="clear" w:color="auto" w:fill="auto"/>
            <w:noWrap/>
            <w:vAlign w:val="center"/>
            <w:hideMark/>
          </w:tcPr>
          <w:p w:rsidR="00337C4D" w:rsidRPr="00AB1310"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 xml:space="preserve">E100 </w:t>
            </w:r>
            <w:r w:rsidRPr="00AB1310">
              <w:rPr>
                <w:rFonts w:ascii="Arial" w:eastAsia="Times New Roman" w:hAnsi="Arial" w:cs="Arial"/>
                <w:color w:val="000000"/>
                <w:lang w:eastAsia="en-GB"/>
              </w:rPr>
              <w:t>type 1 diabetes with coma</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27%</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28%</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14%</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16%</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640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313</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-327</w:t>
            </w:r>
          </w:p>
        </w:tc>
      </w:tr>
      <w:tr w:rsidR="00337C4D" w:rsidRPr="003E2BAE" w:rsidTr="00806320">
        <w:trPr>
          <w:trHeight w:val="300"/>
        </w:trPr>
        <w:tc>
          <w:tcPr>
            <w:tcW w:w="6020" w:type="dxa"/>
            <w:shd w:val="clear" w:color="auto" w:fill="auto"/>
            <w:noWrap/>
            <w:vAlign w:val="center"/>
            <w:hideMark/>
          </w:tcPr>
          <w:p w:rsidR="00337C4D" w:rsidRPr="00AB1310"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E101</w:t>
            </w:r>
            <w:r w:rsidRPr="00AB1310">
              <w:rPr>
                <w:rFonts w:ascii="Arial" w:eastAsia="Times New Roman" w:hAnsi="Arial" w:cs="Arial"/>
                <w:color w:val="000000"/>
                <w:lang w:eastAsia="en-GB"/>
              </w:rPr>
              <w:t xml:space="preserve"> type 1 diabetes with ketoacidosis without coma</w:t>
            </w:r>
            <w:r>
              <w:rPr>
                <w:rFonts w:ascii="Arial" w:eastAsia="Times New Roman" w:hAnsi="Arial" w:cs="Arial"/>
                <w:color w:val="000000"/>
                <w:lang w:eastAsia="en-GB"/>
              </w:rPr>
              <w:t xml:space="preserve"> </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31%</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31%</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13%</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6271</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8841</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2570</w:t>
            </w:r>
          </w:p>
        </w:tc>
      </w:tr>
      <w:tr w:rsidR="00337C4D" w:rsidRPr="003E2BAE" w:rsidTr="00806320">
        <w:trPr>
          <w:trHeight w:val="300"/>
        </w:trPr>
        <w:tc>
          <w:tcPr>
            <w:tcW w:w="6020" w:type="dxa"/>
            <w:shd w:val="clear" w:color="auto" w:fill="auto"/>
            <w:noWrap/>
            <w:vAlign w:val="center"/>
            <w:hideMark/>
          </w:tcPr>
          <w:p w:rsidR="00337C4D" w:rsidRPr="00AB1310"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E107</w:t>
            </w:r>
            <w:r w:rsidRPr="00AB1310">
              <w:rPr>
                <w:rFonts w:ascii="Arial" w:eastAsia="Times New Roman" w:hAnsi="Arial" w:cs="Arial"/>
                <w:color w:val="000000"/>
                <w:lang w:eastAsia="en-GB"/>
              </w:rPr>
              <w:t xml:space="preserve"> type 1 diabetes, multiple complications</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34%</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-34%</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21%</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42%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21%</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53</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-41</w:t>
            </w:r>
          </w:p>
        </w:tc>
      </w:tr>
      <w:tr w:rsidR="00337C4D" w:rsidRPr="003E2BAE" w:rsidTr="00806320">
        <w:trPr>
          <w:trHeight w:val="300"/>
        </w:trPr>
        <w:tc>
          <w:tcPr>
            <w:tcW w:w="6020" w:type="dxa"/>
            <w:shd w:val="clear" w:color="auto" w:fill="auto"/>
            <w:noWrap/>
            <w:vAlign w:val="center"/>
            <w:hideMark/>
          </w:tcPr>
          <w:p w:rsidR="00337C4D" w:rsidRPr="00AB1310"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E108</w:t>
            </w:r>
            <w:r w:rsidRPr="00AB1310">
              <w:rPr>
                <w:rFonts w:ascii="Arial" w:eastAsia="Times New Roman" w:hAnsi="Arial" w:cs="Arial"/>
                <w:color w:val="000000"/>
                <w:lang w:eastAsia="en-GB"/>
              </w:rPr>
              <w:t xml:space="preserve"> type 1 diabetes with unspecified complications</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28%</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21%</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-7%</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14%</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310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39</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-271</w:t>
            </w:r>
          </w:p>
        </w:tc>
      </w:tr>
      <w:tr w:rsidR="00337C4D" w:rsidRPr="003E2BAE" w:rsidTr="00806320">
        <w:trPr>
          <w:trHeight w:val="300"/>
        </w:trPr>
        <w:tc>
          <w:tcPr>
            <w:tcW w:w="6020" w:type="dxa"/>
            <w:shd w:val="clear" w:color="auto" w:fill="auto"/>
            <w:noWrap/>
            <w:vAlign w:val="center"/>
            <w:hideMark/>
          </w:tcPr>
          <w:p w:rsidR="00337C4D" w:rsidRPr="00AB1310"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E109</w:t>
            </w:r>
            <w:r w:rsidRPr="00AB1310">
              <w:rPr>
                <w:rFonts w:ascii="Arial" w:eastAsia="Times New Roman" w:hAnsi="Arial" w:cs="Arial"/>
                <w:color w:val="000000"/>
                <w:lang w:eastAsia="en-GB"/>
              </w:rPr>
              <w:t xml:space="preserve"> type 1 diabetes without complications</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26%</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28%</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16%</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15%</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6831</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6527</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-304</w:t>
            </w:r>
          </w:p>
        </w:tc>
      </w:tr>
      <w:tr w:rsidR="00337C4D" w:rsidRPr="003E2BAE" w:rsidTr="00806320">
        <w:trPr>
          <w:trHeight w:val="300"/>
        </w:trPr>
        <w:tc>
          <w:tcPr>
            <w:tcW w:w="6020" w:type="dxa"/>
            <w:shd w:val="clear" w:color="auto" w:fill="auto"/>
            <w:noWrap/>
            <w:vAlign w:val="center"/>
            <w:hideMark/>
          </w:tcPr>
          <w:p w:rsidR="00337C4D" w:rsidRPr="00AB1310"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E110</w:t>
            </w:r>
            <w:r w:rsidRPr="00AB1310">
              <w:rPr>
                <w:rFonts w:ascii="Arial" w:eastAsia="Times New Roman" w:hAnsi="Arial" w:cs="Arial"/>
                <w:color w:val="000000"/>
                <w:lang w:eastAsia="en-GB"/>
              </w:rPr>
              <w:t xml:space="preserve"> type 2 diabetes with coma</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29%</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828</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774</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-54</w:t>
            </w:r>
          </w:p>
        </w:tc>
      </w:tr>
      <w:tr w:rsidR="00337C4D" w:rsidRPr="003E2BAE" w:rsidTr="00806320">
        <w:trPr>
          <w:trHeight w:val="300"/>
        </w:trPr>
        <w:tc>
          <w:tcPr>
            <w:tcW w:w="6020" w:type="dxa"/>
            <w:shd w:val="clear" w:color="auto" w:fill="auto"/>
            <w:noWrap/>
            <w:vAlign w:val="center"/>
            <w:hideMark/>
          </w:tcPr>
          <w:p w:rsidR="00337C4D" w:rsidRPr="00AB1310"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E111</w:t>
            </w:r>
            <w:r w:rsidRPr="00AB1310">
              <w:rPr>
                <w:rFonts w:ascii="Arial" w:eastAsia="Times New Roman" w:hAnsi="Arial" w:cs="Arial"/>
                <w:color w:val="000000"/>
                <w:lang w:eastAsia="en-GB"/>
              </w:rPr>
              <w:t xml:space="preserve"> type 2 diabetes with ketoacidosis</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11%</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1342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2278</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936</w:t>
            </w:r>
          </w:p>
        </w:tc>
      </w:tr>
      <w:tr w:rsidR="00337C4D" w:rsidRPr="003E2BAE" w:rsidTr="00806320">
        <w:trPr>
          <w:trHeight w:val="300"/>
        </w:trPr>
        <w:tc>
          <w:tcPr>
            <w:tcW w:w="6020" w:type="dxa"/>
            <w:shd w:val="clear" w:color="auto" w:fill="auto"/>
            <w:noWrap/>
            <w:vAlign w:val="center"/>
            <w:hideMark/>
          </w:tcPr>
          <w:p w:rsidR="00337C4D" w:rsidRPr="00AB1310"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E117</w:t>
            </w:r>
            <w:r w:rsidRPr="00AB1310">
              <w:rPr>
                <w:rFonts w:ascii="Arial" w:eastAsia="Times New Roman" w:hAnsi="Arial" w:cs="Arial"/>
                <w:color w:val="000000"/>
                <w:lang w:eastAsia="en-GB"/>
              </w:rPr>
              <w:t xml:space="preserve"> type 2 diabetes with multiple complications</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14%</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37</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9</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-28</w:t>
            </w:r>
          </w:p>
        </w:tc>
      </w:tr>
      <w:tr w:rsidR="00337C4D" w:rsidRPr="003E2BAE" w:rsidTr="00806320">
        <w:trPr>
          <w:trHeight w:val="300"/>
        </w:trPr>
        <w:tc>
          <w:tcPr>
            <w:tcW w:w="6020" w:type="dxa"/>
            <w:shd w:val="clear" w:color="auto" w:fill="auto"/>
            <w:noWrap/>
            <w:vAlign w:val="center"/>
            <w:hideMark/>
          </w:tcPr>
          <w:p w:rsidR="00337C4D" w:rsidRPr="00AB1310"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E118</w:t>
            </w:r>
            <w:r w:rsidRPr="00AB1310">
              <w:rPr>
                <w:rFonts w:ascii="Arial" w:eastAsia="Times New Roman" w:hAnsi="Arial" w:cs="Arial"/>
                <w:color w:val="000000"/>
                <w:lang w:eastAsia="en-GB"/>
              </w:rPr>
              <w:t xml:space="preserve"> type 2 diabetes with unspecified complications</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34%</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8%</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11%</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220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76</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-144</w:t>
            </w:r>
          </w:p>
        </w:tc>
      </w:tr>
      <w:tr w:rsidR="00337C4D" w:rsidRPr="003E2BAE" w:rsidTr="00806320">
        <w:trPr>
          <w:trHeight w:val="300"/>
        </w:trPr>
        <w:tc>
          <w:tcPr>
            <w:tcW w:w="6020" w:type="dxa"/>
            <w:shd w:val="clear" w:color="auto" w:fill="auto"/>
            <w:noWrap/>
            <w:vAlign w:val="center"/>
            <w:hideMark/>
          </w:tcPr>
          <w:p w:rsidR="00337C4D" w:rsidRPr="00AB1310"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E119</w:t>
            </w:r>
            <w:r w:rsidRPr="00AB1310">
              <w:rPr>
                <w:rFonts w:ascii="Arial" w:eastAsia="Times New Roman" w:hAnsi="Arial" w:cs="Arial"/>
                <w:color w:val="000000"/>
                <w:lang w:eastAsia="en-GB"/>
              </w:rPr>
              <w:t xml:space="preserve"> type 2 diabetes without complications</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6662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8401</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1739</w:t>
            </w:r>
          </w:p>
        </w:tc>
      </w:tr>
      <w:tr w:rsidR="00337C4D" w:rsidRPr="003E2BAE" w:rsidTr="00806320">
        <w:trPr>
          <w:trHeight w:val="300"/>
        </w:trPr>
        <w:tc>
          <w:tcPr>
            <w:tcW w:w="6020" w:type="dxa"/>
            <w:shd w:val="clear" w:color="auto" w:fill="auto"/>
            <w:noWrap/>
            <w:vAlign w:val="center"/>
            <w:hideMark/>
          </w:tcPr>
          <w:p w:rsidR="00337C4D" w:rsidRPr="00AB1310"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E121</w:t>
            </w:r>
            <w:r w:rsidRPr="00AB1310">
              <w:rPr>
                <w:rFonts w:ascii="Arial" w:eastAsia="Times New Roman" w:hAnsi="Arial" w:cs="Arial"/>
                <w:color w:val="000000"/>
                <w:lang w:eastAsia="en-GB"/>
              </w:rPr>
              <w:t xml:space="preserve"> malnutrition related diabetes with ketoacidosis</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r>
      <w:tr w:rsidR="00337C4D" w:rsidRPr="003E2BAE" w:rsidTr="00806320">
        <w:trPr>
          <w:trHeight w:val="300"/>
        </w:trPr>
        <w:tc>
          <w:tcPr>
            <w:tcW w:w="6020" w:type="dxa"/>
            <w:shd w:val="clear" w:color="auto" w:fill="auto"/>
            <w:noWrap/>
            <w:vAlign w:val="center"/>
            <w:hideMark/>
          </w:tcPr>
          <w:p w:rsidR="00337C4D" w:rsidRPr="00AB1310"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E129</w:t>
            </w:r>
            <w:r w:rsidRPr="00AB1310">
              <w:rPr>
                <w:rFonts w:ascii="Arial" w:eastAsia="Times New Roman" w:hAnsi="Arial" w:cs="Arial"/>
                <w:color w:val="000000"/>
                <w:lang w:eastAsia="en-GB"/>
              </w:rPr>
              <w:t xml:space="preserve"> malnutrition related diabetes no complications</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0</w:t>
            </w:r>
          </w:p>
        </w:tc>
      </w:tr>
      <w:tr w:rsidR="00337C4D" w:rsidRPr="003E2BAE" w:rsidTr="00806320">
        <w:trPr>
          <w:trHeight w:val="300"/>
        </w:trPr>
        <w:tc>
          <w:tcPr>
            <w:tcW w:w="6020" w:type="dxa"/>
            <w:shd w:val="clear" w:color="auto" w:fill="auto"/>
            <w:noWrap/>
            <w:vAlign w:val="center"/>
            <w:hideMark/>
          </w:tcPr>
          <w:p w:rsidR="00337C4D" w:rsidRPr="00AB1310"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E130</w:t>
            </w:r>
            <w:r w:rsidRPr="00AB1310">
              <w:rPr>
                <w:rFonts w:ascii="Arial" w:eastAsia="Times New Roman" w:hAnsi="Arial" w:cs="Arial"/>
                <w:color w:val="000000"/>
                <w:lang w:eastAsia="en-GB"/>
              </w:rPr>
              <w:t xml:space="preserve"> other specified diabetes with coma</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6</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r>
      <w:tr w:rsidR="00337C4D" w:rsidRPr="003E2BAE" w:rsidTr="00806320">
        <w:trPr>
          <w:trHeight w:val="300"/>
        </w:trPr>
        <w:tc>
          <w:tcPr>
            <w:tcW w:w="6020" w:type="dxa"/>
            <w:shd w:val="clear" w:color="auto" w:fill="auto"/>
            <w:noWrap/>
            <w:vAlign w:val="center"/>
            <w:hideMark/>
          </w:tcPr>
          <w:p w:rsidR="00337C4D" w:rsidRPr="00AB1310"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E131</w:t>
            </w:r>
            <w:r w:rsidRPr="00AB1310">
              <w:rPr>
                <w:rFonts w:ascii="Arial" w:eastAsia="Times New Roman" w:hAnsi="Arial" w:cs="Arial"/>
                <w:color w:val="000000"/>
                <w:lang w:eastAsia="en-GB"/>
              </w:rPr>
              <w:t xml:space="preserve"> other specified diabetes with ketoacidosis</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47%</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096A11">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13</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43</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30</w:t>
            </w:r>
          </w:p>
        </w:tc>
      </w:tr>
      <w:tr w:rsidR="00337C4D" w:rsidRPr="003E2BAE" w:rsidTr="00806320">
        <w:trPr>
          <w:trHeight w:val="300"/>
        </w:trPr>
        <w:tc>
          <w:tcPr>
            <w:tcW w:w="6020" w:type="dxa"/>
            <w:shd w:val="clear" w:color="auto" w:fill="auto"/>
            <w:noWrap/>
            <w:vAlign w:val="center"/>
            <w:hideMark/>
          </w:tcPr>
          <w:p w:rsidR="00337C4D" w:rsidRPr="00AB1310"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E137</w:t>
            </w:r>
            <w:r w:rsidRPr="00AB1310">
              <w:rPr>
                <w:rFonts w:ascii="Arial" w:eastAsia="Times New Roman" w:hAnsi="Arial" w:cs="Arial"/>
                <w:color w:val="000000"/>
                <w:lang w:eastAsia="en-GB"/>
              </w:rPr>
              <w:t xml:space="preserve"> other specified diabetes, multiple complications</w:t>
            </w:r>
          </w:p>
        </w:tc>
        <w:tc>
          <w:tcPr>
            <w:tcW w:w="960" w:type="dxa"/>
            <w:shd w:val="clear" w:color="auto" w:fill="auto"/>
            <w:noWrap/>
            <w:vAlign w:val="bottom"/>
            <w:hideMark/>
          </w:tcPr>
          <w:p w:rsidR="00337C4D" w:rsidRPr="003E2BAE" w:rsidRDefault="00337C4D" w:rsidP="00806320">
            <w:pPr>
              <w:spacing w:after="0" w:line="240" w:lineRule="auto"/>
              <w:contextualSpacing/>
              <w:jc w:val="center"/>
              <w:rPr>
                <w:rFonts w:eastAsia="Times New Roman"/>
                <w:color w:val="000000"/>
                <w:lang w:eastAsia="en-GB"/>
              </w:rPr>
            </w:pPr>
            <w:r>
              <w:rPr>
                <w:rFonts w:eastAsia="Times New Roman"/>
                <w:color w:val="000000"/>
                <w:lang w:eastAsia="en-GB"/>
              </w:rPr>
              <w:t xml:space="preserve">         </w:t>
            </w:r>
            <w:r w:rsidRPr="003E2BAE">
              <w:rPr>
                <w:rFonts w:eastAsia="Times New Roman"/>
                <w:color w:val="000000"/>
                <w:lang w:eastAsia="en-GB"/>
              </w:rPr>
              <w:t>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B26969">
              <w:rPr>
                <w:rFonts w:eastAsia="Times New Roman"/>
                <w:color w:val="000000"/>
                <w:lang w:eastAsia="en-GB"/>
              </w:rPr>
              <w:t>*</w:t>
            </w:r>
          </w:p>
        </w:tc>
      </w:tr>
      <w:tr w:rsidR="00337C4D" w:rsidRPr="003E2BAE" w:rsidTr="00806320">
        <w:trPr>
          <w:trHeight w:val="300"/>
        </w:trPr>
        <w:tc>
          <w:tcPr>
            <w:tcW w:w="6020" w:type="dxa"/>
            <w:shd w:val="clear" w:color="auto" w:fill="auto"/>
            <w:noWrap/>
            <w:vAlign w:val="center"/>
            <w:hideMark/>
          </w:tcPr>
          <w:p w:rsidR="00337C4D" w:rsidRPr="00AB1310"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E138</w:t>
            </w:r>
            <w:r w:rsidRPr="00AB1310">
              <w:rPr>
                <w:rFonts w:ascii="Arial" w:eastAsia="Times New Roman" w:hAnsi="Arial" w:cs="Arial"/>
                <w:color w:val="000000"/>
                <w:lang w:eastAsia="en-GB"/>
              </w:rPr>
              <w:t xml:space="preserve"> other specified diabetes, unspecified complications</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r>
      <w:tr w:rsidR="00337C4D" w:rsidRPr="003E2BAE" w:rsidTr="00806320">
        <w:trPr>
          <w:trHeight w:val="300"/>
        </w:trPr>
        <w:tc>
          <w:tcPr>
            <w:tcW w:w="6020" w:type="dxa"/>
            <w:shd w:val="clear" w:color="auto" w:fill="auto"/>
            <w:noWrap/>
            <w:vAlign w:val="center"/>
            <w:hideMark/>
          </w:tcPr>
          <w:p w:rsidR="00337C4D" w:rsidRPr="00AB1310"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E139</w:t>
            </w:r>
            <w:r w:rsidRPr="00AB1310">
              <w:rPr>
                <w:rFonts w:ascii="Arial" w:eastAsia="Times New Roman" w:hAnsi="Arial" w:cs="Arial"/>
                <w:color w:val="000000"/>
                <w:lang w:eastAsia="en-GB"/>
              </w:rPr>
              <w:t xml:space="preserve"> other specified diabetes without complications</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24%</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18%</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16%</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134</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225</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91</w:t>
            </w:r>
          </w:p>
        </w:tc>
      </w:tr>
      <w:tr w:rsidR="00337C4D" w:rsidRPr="003E2BAE" w:rsidTr="00806320">
        <w:trPr>
          <w:trHeight w:val="300"/>
        </w:trPr>
        <w:tc>
          <w:tcPr>
            <w:tcW w:w="6020" w:type="dxa"/>
            <w:shd w:val="clear" w:color="auto" w:fill="auto"/>
            <w:noWrap/>
            <w:vAlign w:val="center"/>
            <w:hideMark/>
          </w:tcPr>
          <w:p w:rsidR="00337C4D" w:rsidRPr="00AB1310"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E140</w:t>
            </w:r>
            <w:r w:rsidRPr="00AB1310">
              <w:rPr>
                <w:rFonts w:ascii="Arial" w:eastAsia="Times New Roman" w:hAnsi="Arial" w:cs="Arial"/>
                <w:color w:val="000000"/>
                <w:lang w:eastAsia="en-GB"/>
              </w:rPr>
              <w:t xml:space="preserve"> unspecified diabetes with coma</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26%</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24%</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91</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25</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-66</w:t>
            </w:r>
          </w:p>
        </w:tc>
      </w:tr>
      <w:tr w:rsidR="00337C4D" w:rsidRPr="003E2BAE" w:rsidTr="00806320">
        <w:trPr>
          <w:trHeight w:val="300"/>
        </w:trPr>
        <w:tc>
          <w:tcPr>
            <w:tcW w:w="6020" w:type="dxa"/>
            <w:shd w:val="clear" w:color="auto" w:fill="auto"/>
            <w:noWrap/>
            <w:vAlign w:val="center"/>
            <w:hideMark/>
          </w:tcPr>
          <w:p w:rsidR="00337C4D" w:rsidRPr="00AB1310"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E141</w:t>
            </w:r>
            <w:r w:rsidRPr="00AB1310">
              <w:rPr>
                <w:rFonts w:ascii="Arial" w:eastAsia="Times New Roman" w:hAnsi="Arial" w:cs="Arial"/>
                <w:color w:val="000000"/>
                <w:lang w:eastAsia="en-GB"/>
              </w:rPr>
              <w:t xml:space="preserve"> unspecified diabetes with ketoacidosis</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28%</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4%</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13%</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19%</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6%</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432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209</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-223</w:t>
            </w:r>
          </w:p>
        </w:tc>
      </w:tr>
      <w:tr w:rsidR="00337C4D" w:rsidRPr="003E2BAE" w:rsidTr="00806320">
        <w:trPr>
          <w:trHeight w:val="300"/>
        </w:trPr>
        <w:tc>
          <w:tcPr>
            <w:tcW w:w="6020" w:type="dxa"/>
            <w:shd w:val="clear" w:color="auto" w:fill="auto"/>
            <w:noWrap/>
            <w:vAlign w:val="center"/>
            <w:hideMark/>
          </w:tcPr>
          <w:p w:rsidR="00337C4D" w:rsidRPr="00AB1310"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E147</w:t>
            </w:r>
            <w:r w:rsidRPr="00AB1310">
              <w:rPr>
                <w:rFonts w:ascii="Arial" w:eastAsia="Times New Roman" w:hAnsi="Arial" w:cs="Arial"/>
                <w:color w:val="000000"/>
                <w:lang w:eastAsia="en-GB"/>
              </w:rPr>
              <w:t xml:space="preserve"> unspecified diabetes with multiple complications</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0</w:t>
            </w:r>
          </w:p>
        </w:tc>
      </w:tr>
      <w:tr w:rsidR="00337C4D" w:rsidRPr="003E2BAE" w:rsidTr="00806320">
        <w:trPr>
          <w:trHeight w:val="300"/>
        </w:trPr>
        <w:tc>
          <w:tcPr>
            <w:tcW w:w="6020" w:type="dxa"/>
            <w:shd w:val="clear" w:color="auto" w:fill="auto"/>
            <w:noWrap/>
            <w:vAlign w:val="center"/>
            <w:hideMark/>
          </w:tcPr>
          <w:p w:rsidR="00337C4D" w:rsidRPr="00AB1310"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E148</w:t>
            </w:r>
            <w:r w:rsidRPr="00AB1310">
              <w:rPr>
                <w:rFonts w:ascii="Arial" w:eastAsia="Times New Roman" w:hAnsi="Arial" w:cs="Arial"/>
                <w:color w:val="000000"/>
                <w:lang w:eastAsia="en-GB"/>
              </w:rPr>
              <w:t xml:space="preserve"> unspecified diabetes with unspecified complications</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40%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Pr>
                <w:rFonts w:eastAsia="Times New Roman"/>
                <w:color w:val="000000"/>
                <w:lang w:eastAsia="en-GB"/>
              </w:rPr>
              <w:t>*</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6</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-24</w:t>
            </w:r>
          </w:p>
        </w:tc>
      </w:tr>
      <w:tr w:rsidR="00337C4D" w:rsidRPr="003E2BAE" w:rsidTr="00806320">
        <w:trPr>
          <w:trHeight w:val="300"/>
        </w:trPr>
        <w:tc>
          <w:tcPr>
            <w:tcW w:w="6020" w:type="dxa"/>
            <w:shd w:val="clear" w:color="auto" w:fill="auto"/>
            <w:noWrap/>
            <w:vAlign w:val="center"/>
            <w:hideMark/>
          </w:tcPr>
          <w:p w:rsidR="00337C4D" w:rsidRPr="00AB1310"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E149</w:t>
            </w:r>
            <w:r w:rsidRPr="00AB1310">
              <w:rPr>
                <w:rFonts w:ascii="Arial" w:eastAsia="Times New Roman" w:hAnsi="Arial" w:cs="Arial"/>
                <w:color w:val="000000"/>
                <w:lang w:eastAsia="en-GB"/>
              </w:rPr>
              <w:t xml:space="preserve"> unspecified diabetes without complications</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29%</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31%</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16%</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-4%</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657</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443</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-214</w:t>
            </w:r>
          </w:p>
        </w:tc>
      </w:tr>
      <w:tr w:rsidR="00337C4D" w:rsidRPr="003E2BAE" w:rsidTr="00806320">
        <w:trPr>
          <w:trHeight w:val="345"/>
        </w:trPr>
        <w:tc>
          <w:tcPr>
            <w:tcW w:w="6020" w:type="dxa"/>
            <w:shd w:val="clear" w:color="auto" w:fill="auto"/>
            <w:noWrap/>
            <w:vAlign w:val="center"/>
            <w:hideMark/>
          </w:tcPr>
          <w:p w:rsidR="00337C4D" w:rsidRPr="00AB1310"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E162</w:t>
            </w:r>
            <w:r w:rsidRPr="00AB1310">
              <w:rPr>
                <w:rFonts w:ascii="Arial" w:eastAsia="Times New Roman" w:hAnsi="Arial" w:cs="Arial"/>
                <w:color w:val="000000"/>
                <w:lang w:eastAsia="en-GB"/>
              </w:rPr>
              <w:t xml:space="preserve"> hypoglycaemia, unspecified</w:t>
            </w:r>
            <w:r>
              <w:rPr>
                <w:rFonts w:ascii="Arial" w:eastAsia="Times New Roman" w:hAnsi="Arial" w:cs="Arial"/>
                <w:color w:val="000000"/>
                <w:lang w:eastAsia="en-GB"/>
              </w:rPr>
              <w:t xml:space="preserve"> </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30%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0%</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12%</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13%</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7476</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11564</w:t>
            </w:r>
          </w:p>
        </w:tc>
        <w:tc>
          <w:tcPr>
            <w:tcW w:w="960" w:type="dxa"/>
            <w:shd w:val="clear" w:color="auto" w:fill="auto"/>
            <w:noWrap/>
            <w:vAlign w:val="bottom"/>
            <w:hideMark/>
          </w:tcPr>
          <w:p w:rsidR="00337C4D" w:rsidRPr="003E2BAE" w:rsidRDefault="00337C4D" w:rsidP="00806320">
            <w:pPr>
              <w:spacing w:after="0" w:line="240" w:lineRule="auto"/>
              <w:contextualSpacing/>
              <w:jc w:val="right"/>
              <w:rPr>
                <w:rFonts w:eastAsia="Times New Roman"/>
                <w:color w:val="000000"/>
                <w:lang w:eastAsia="en-GB"/>
              </w:rPr>
            </w:pPr>
            <w:r w:rsidRPr="003E2BAE">
              <w:rPr>
                <w:rFonts w:eastAsia="Times New Roman"/>
                <w:color w:val="000000"/>
                <w:lang w:eastAsia="en-GB"/>
              </w:rPr>
              <w:t>4088</w:t>
            </w:r>
          </w:p>
        </w:tc>
      </w:tr>
    </w:tbl>
    <w:p w:rsidR="00337C4D" w:rsidRDefault="00337C4D" w:rsidP="00337C4D">
      <w:pPr>
        <w:contextualSpacing/>
        <w:rPr>
          <w:rFonts w:ascii="Arial" w:eastAsia="Times New Roman" w:hAnsi="Arial" w:cs="Arial"/>
          <w:b/>
          <w:color w:val="000000"/>
          <w:lang w:eastAsia="en-GB"/>
        </w:rPr>
      </w:pPr>
      <w:r>
        <w:rPr>
          <w:rFonts w:ascii="Arial" w:eastAsia="Times New Roman" w:hAnsi="Arial" w:cs="Arial"/>
          <w:b/>
          <w:color w:val="000000"/>
          <w:lang w:eastAsia="en-GB"/>
        </w:rPr>
        <w:t>Notes: A</w:t>
      </w:r>
      <w:r w:rsidRPr="004E5398">
        <w:rPr>
          <w:rFonts w:ascii="Arial" w:eastAsia="Times New Roman" w:hAnsi="Arial" w:cs="Arial"/>
          <w:b/>
          <w:color w:val="000000"/>
          <w:lang w:eastAsia="en-GB"/>
        </w:rPr>
        <w:t>ll numbers are presented as a percentage of the t</w:t>
      </w:r>
      <w:r>
        <w:rPr>
          <w:rFonts w:ascii="Arial" w:eastAsia="Times New Roman" w:hAnsi="Arial" w:cs="Arial"/>
          <w:b/>
          <w:color w:val="000000"/>
          <w:lang w:eastAsia="en-GB"/>
        </w:rPr>
        <w:t xml:space="preserve">otal overall </w:t>
      </w:r>
      <w:r w:rsidRPr="004E5398">
        <w:rPr>
          <w:rFonts w:ascii="Arial" w:eastAsia="Times New Roman" w:hAnsi="Arial" w:cs="Arial"/>
          <w:b/>
          <w:color w:val="000000"/>
          <w:lang w:eastAsia="en-GB"/>
        </w:rPr>
        <w:t>hospitalisations for that ICD-10 code</w:t>
      </w:r>
    </w:p>
    <w:p w:rsidR="00337C4D" w:rsidRPr="004E5398" w:rsidRDefault="00337C4D" w:rsidP="00337C4D">
      <w:pPr>
        <w:contextualSpacing/>
        <w:rPr>
          <w:rFonts w:ascii="Arial" w:hAnsi="Arial" w:cs="Arial"/>
          <w:b/>
        </w:rPr>
      </w:pPr>
      <w:r>
        <w:rPr>
          <w:rFonts w:ascii="Arial" w:eastAsia="Times New Roman" w:hAnsi="Arial" w:cs="Arial"/>
          <w:b/>
          <w:color w:val="000000"/>
          <w:lang w:eastAsia="en-GB"/>
        </w:rPr>
        <w:t xml:space="preserve">            Data derived from patient numbers between 1 and 4 are omitted for confidentiality purposes, and displayed as </w:t>
      </w:r>
      <w:r w:rsidRPr="00B26969">
        <w:rPr>
          <w:rFonts w:eastAsia="Times New Roman"/>
          <w:b/>
          <w:color w:val="000000"/>
          <w:lang w:eastAsia="en-GB"/>
        </w:rPr>
        <w:t>*</w:t>
      </w:r>
    </w:p>
    <w:p w:rsidR="00337C4D" w:rsidRDefault="00337C4D" w:rsidP="00337C4D">
      <w:pPr>
        <w:contextualSpacing/>
      </w:pPr>
    </w:p>
    <w:p w:rsidR="003E4EE6" w:rsidRDefault="003E4EE6" w:rsidP="003E4EE6">
      <w:pPr>
        <w:tabs>
          <w:tab w:val="left" w:pos="4042"/>
        </w:tabs>
        <w:rPr>
          <w:rFonts w:ascii="AdobePiStd" w:hAnsi="AdobePiStd" w:cs="AdobePiStd"/>
          <w:sz w:val="14"/>
          <w:szCs w:val="14"/>
        </w:rPr>
      </w:pPr>
    </w:p>
    <w:p w:rsidR="00337C4D" w:rsidRDefault="00337C4D" w:rsidP="003E4EE6">
      <w:pPr>
        <w:tabs>
          <w:tab w:val="left" w:pos="4042"/>
        </w:tabs>
        <w:rPr>
          <w:rFonts w:ascii="AdobePiStd" w:hAnsi="AdobePiStd" w:cs="AdobePiStd"/>
          <w:sz w:val="14"/>
          <w:szCs w:val="14"/>
        </w:rPr>
      </w:pPr>
    </w:p>
    <w:p w:rsidR="00337C4D" w:rsidRDefault="00337C4D" w:rsidP="003E4EE6">
      <w:pPr>
        <w:tabs>
          <w:tab w:val="left" w:pos="4042"/>
        </w:tabs>
        <w:rPr>
          <w:rFonts w:ascii="AdobePiStd" w:hAnsi="AdobePiStd" w:cs="AdobePiStd"/>
          <w:sz w:val="14"/>
          <w:szCs w:val="14"/>
        </w:rPr>
      </w:pPr>
    </w:p>
    <w:p w:rsidR="00337C4D" w:rsidRDefault="00337C4D" w:rsidP="00337C4D">
      <w:pPr>
        <w:contextualSpacing/>
        <w:rPr>
          <w:rFonts w:ascii="Arial" w:hAnsi="Arial" w:cs="Arial"/>
          <w:b/>
        </w:rPr>
      </w:pPr>
      <w:r>
        <w:rPr>
          <w:rFonts w:ascii="Arial" w:hAnsi="Arial" w:cs="Arial"/>
          <w:b/>
        </w:rPr>
        <w:lastRenderedPageBreak/>
        <w:t xml:space="preserve">Appendix 2: Amenable deaths from diabetes  </w:t>
      </w:r>
    </w:p>
    <w:tbl>
      <w:tblPr>
        <w:tblW w:w="15980" w:type="dxa"/>
        <w:tblInd w:w="113" w:type="dxa"/>
        <w:tblLook w:val="04A0" w:firstRow="1" w:lastRow="0" w:firstColumn="1" w:lastColumn="0" w:noHBand="0" w:noVBand="1"/>
      </w:tblPr>
      <w:tblGrid>
        <w:gridCol w:w="6516"/>
        <w:gridCol w:w="1216"/>
        <w:gridCol w:w="1012"/>
        <w:gridCol w:w="1238"/>
        <w:gridCol w:w="889"/>
        <w:gridCol w:w="1012"/>
        <w:gridCol w:w="1209"/>
        <w:gridCol w:w="889"/>
        <w:gridCol w:w="1012"/>
        <w:gridCol w:w="987"/>
      </w:tblGrid>
      <w:tr w:rsidR="00337C4D" w:rsidRPr="003E2BAE" w:rsidTr="00806320">
        <w:trPr>
          <w:trHeight w:val="600"/>
        </w:trPr>
        <w:tc>
          <w:tcPr>
            <w:tcW w:w="65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3E2BAE">
              <w:rPr>
                <w:rFonts w:ascii="Arial" w:eastAsia="Times New Roman" w:hAnsi="Arial" w:cs="Arial"/>
                <w:color w:val="000000"/>
                <w:lang w:eastAsia="en-GB"/>
              </w:rPr>
              <w:t>ICD Code</w:t>
            </w:r>
          </w:p>
        </w:tc>
        <w:tc>
          <w:tcPr>
            <w:tcW w:w="3466" w:type="dxa"/>
            <w:gridSpan w:val="3"/>
            <w:tcBorders>
              <w:top w:val="single" w:sz="4" w:space="0" w:color="auto"/>
              <w:left w:val="nil"/>
              <w:bottom w:val="single" w:sz="4" w:space="0" w:color="auto"/>
              <w:right w:val="single" w:sz="4" w:space="0" w:color="auto"/>
            </w:tcBorders>
            <w:shd w:val="clear" w:color="auto" w:fill="auto"/>
            <w:vAlign w:val="center"/>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3E2BAE">
              <w:rPr>
                <w:rFonts w:ascii="Arial" w:eastAsia="Times New Roman" w:hAnsi="Arial" w:cs="Arial"/>
                <w:color w:val="000000"/>
                <w:lang w:eastAsia="en-GB"/>
              </w:rPr>
              <w:t>Q1 (most deprived); % of total deaths for that ICD-10</w:t>
            </w:r>
          </w:p>
        </w:tc>
        <w:tc>
          <w:tcPr>
            <w:tcW w:w="3110" w:type="dxa"/>
            <w:gridSpan w:val="3"/>
            <w:tcBorders>
              <w:top w:val="single" w:sz="4" w:space="0" w:color="auto"/>
              <w:left w:val="nil"/>
              <w:bottom w:val="single" w:sz="4" w:space="0" w:color="auto"/>
              <w:right w:val="single" w:sz="4" w:space="0" w:color="auto"/>
            </w:tcBorders>
            <w:shd w:val="clear" w:color="auto" w:fill="auto"/>
            <w:vAlign w:val="center"/>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3E2BAE">
              <w:rPr>
                <w:rFonts w:ascii="Arial" w:eastAsia="Times New Roman" w:hAnsi="Arial" w:cs="Arial"/>
                <w:color w:val="000000"/>
                <w:lang w:eastAsia="en-GB"/>
              </w:rPr>
              <w:t>Q5 (most affluent): % of total deaths for that ICD-10</w:t>
            </w:r>
          </w:p>
        </w:tc>
        <w:tc>
          <w:tcPr>
            <w:tcW w:w="2888" w:type="dxa"/>
            <w:gridSpan w:val="3"/>
            <w:tcBorders>
              <w:top w:val="single" w:sz="4" w:space="0" w:color="auto"/>
              <w:left w:val="nil"/>
              <w:bottom w:val="single" w:sz="4" w:space="0" w:color="auto"/>
              <w:right w:val="single" w:sz="4" w:space="0" w:color="auto"/>
            </w:tcBorders>
            <w:shd w:val="clear" w:color="auto" w:fill="auto"/>
            <w:vAlign w:val="center"/>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3E2BAE">
              <w:rPr>
                <w:rFonts w:ascii="Arial" w:eastAsia="Times New Roman" w:hAnsi="Arial" w:cs="Arial"/>
                <w:color w:val="000000"/>
                <w:lang w:eastAsia="en-GB"/>
              </w:rPr>
              <w:t>Overall numbers of deaths for that ICD-`10</w:t>
            </w:r>
          </w:p>
        </w:tc>
      </w:tr>
      <w:tr w:rsidR="00337C4D" w:rsidRPr="003E2BAE" w:rsidTr="00806320">
        <w:trPr>
          <w:trHeight w:val="300"/>
        </w:trPr>
        <w:tc>
          <w:tcPr>
            <w:tcW w:w="6516" w:type="dxa"/>
            <w:vMerge/>
            <w:tcBorders>
              <w:top w:val="single" w:sz="4" w:space="0" w:color="auto"/>
              <w:left w:val="single" w:sz="4" w:space="0" w:color="auto"/>
              <w:bottom w:val="single" w:sz="4" w:space="0" w:color="auto"/>
              <w:right w:val="single" w:sz="4" w:space="0" w:color="auto"/>
            </w:tcBorders>
            <w:vAlign w:val="center"/>
            <w:hideMark/>
          </w:tcPr>
          <w:p w:rsidR="00337C4D" w:rsidRPr="003E2BAE" w:rsidRDefault="00337C4D" w:rsidP="00806320">
            <w:pPr>
              <w:spacing w:after="0" w:line="240" w:lineRule="auto"/>
              <w:contextualSpacing/>
              <w:rPr>
                <w:rFonts w:ascii="Arial" w:eastAsia="Times New Roman" w:hAnsi="Arial" w:cs="Arial"/>
                <w:color w:val="000000"/>
                <w:lang w:eastAsia="en-GB"/>
              </w:rPr>
            </w:pPr>
          </w:p>
        </w:tc>
        <w:tc>
          <w:tcPr>
            <w:tcW w:w="1216" w:type="dxa"/>
            <w:tcBorders>
              <w:top w:val="nil"/>
              <w:left w:val="nil"/>
              <w:bottom w:val="single" w:sz="4" w:space="0" w:color="auto"/>
              <w:right w:val="single" w:sz="4" w:space="0" w:color="auto"/>
            </w:tcBorders>
            <w:shd w:val="clear" w:color="auto" w:fill="auto"/>
            <w:vAlign w:val="center"/>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3E2BAE">
              <w:rPr>
                <w:rFonts w:ascii="Arial" w:eastAsia="Times New Roman" w:hAnsi="Arial" w:cs="Arial"/>
                <w:color w:val="000000"/>
                <w:lang w:eastAsia="en-GB"/>
              </w:rPr>
              <w:t>2004/5</w:t>
            </w:r>
          </w:p>
        </w:tc>
        <w:tc>
          <w:tcPr>
            <w:tcW w:w="1012" w:type="dxa"/>
            <w:tcBorders>
              <w:top w:val="nil"/>
              <w:left w:val="nil"/>
              <w:bottom w:val="single" w:sz="4" w:space="0" w:color="auto"/>
              <w:right w:val="single" w:sz="4" w:space="0" w:color="auto"/>
            </w:tcBorders>
            <w:shd w:val="clear" w:color="auto" w:fill="auto"/>
            <w:vAlign w:val="center"/>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3E2BAE">
              <w:rPr>
                <w:rFonts w:ascii="Arial" w:eastAsia="Times New Roman" w:hAnsi="Arial" w:cs="Arial"/>
                <w:color w:val="000000"/>
                <w:lang w:eastAsia="en-GB"/>
              </w:rPr>
              <w:t>2011/12</w:t>
            </w:r>
          </w:p>
        </w:tc>
        <w:tc>
          <w:tcPr>
            <w:tcW w:w="1238" w:type="dxa"/>
            <w:tcBorders>
              <w:top w:val="nil"/>
              <w:left w:val="nil"/>
              <w:bottom w:val="single" w:sz="4" w:space="0" w:color="auto"/>
              <w:right w:val="single" w:sz="4" w:space="0" w:color="auto"/>
            </w:tcBorders>
            <w:shd w:val="clear" w:color="auto" w:fill="auto"/>
            <w:vAlign w:val="center"/>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3E2BAE">
              <w:rPr>
                <w:rFonts w:ascii="Arial" w:eastAsia="Times New Roman" w:hAnsi="Arial" w:cs="Arial"/>
                <w:color w:val="000000"/>
                <w:lang w:eastAsia="en-GB"/>
              </w:rPr>
              <w:t>Change</w:t>
            </w:r>
          </w:p>
        </w:tc>
        <w:tc>
          <w:tcPr>
            <w:tcW w:w="889" w:type="dxa"/>
            <w:tcBorders>
              <w:top w:val="nil"/>
              <w:left w:val="nil"/>
              <w:bottom w:val="single" w:sz="4" w:space="0" w:color="auto"/>
              <w:right w:val="single" w:sz="4" w:space="0" w:color="auto"/>
            </w:tcBorders>
            <w:shd w:val="clear" w:color="auto" w:fill="auto"/>
            <w:vAlign w:val="center"/>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3E2BAE">
              <w:rPr>
                <w:rFonts w:ascii="Arial" w:eastAsia="Times New Roman" w:hAnsi="Arial" w:cs="Arial"/>
                <w:color w:val="000000"/>
                <w:lang w:eastAsia="en-GB"/>
              </w:rPr>
              <w:t>2004/5</w:t>
            </w:r>
          </w:p>
        </w:tc>
        <w:tc>
          <w:tcPr>
            <w:tcW w:w="1012" w:type="dxa"/>
            <w:tcBorders>
              <w:top w:val="nil"/>
              <w:left w:val="nil"/>
              <w:bottom w:val="single" w:sz="4" w:space="0" w:color="auto"/>
              <w:right w:val="single" w:sz="4" w:space="0" w:color="auto"/>
            </w:tcBorders>
            <w:shd w:val="clear" w:color="auto" w:fill="auto"/>
            <w:vAlign w:val="center"/>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3E2BAE">
              <w:rPr>
                <w:rFonts w:ascii="Arial" w:eastAsia="Times New Roman" w:hAnsi="Arial" w:cs="Arial"/>
                <w:color w:val="000000"/>
                <w:lang w:eastAsia="en-GB"/>
              </w:rPr>
              <w:t>2011/12</w:t>
            </w:r>
          </w:p>
        </w:tc>
        <w:tc>
          <w:tcPr>
            <w:tcW w:w="1209" w:type="dxa"/>
            <w:tcBorders>
              <w:top w:val="nil"/>
              <w:left w:val="nil"/>
              <w:bottom w:val="single" w:sz="4" w:space="0" w:color="auto"/>
              <w:right w:val="single" w:sz="4" w:space="0" w:color="auto"/>
            </w:tcBorders>
            <w:shd w:val="clear" w:color="auto" w:fill="auto"/>
            <w:vAlign w:val="center"/>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3E2BAE">
              <w:rPr>
                <w:rFonts w:ascii="Arial" w:eastAsia="Times New Roman" w:hAnsi="Arial" w:cs="Arial"/>
                <w:color w:val="000000"/>
                <w:lang w:eastAsia="en-GB"/>
              </w:rPr>
              <w:t>Change</w:t>
            </w:r>
          </w:p>
        </w:tc>
        <w:tc>
          <w:tcPr>
            <w:tcW w:w="889" w:type="dxa"/>
            <w:tcBorders>
              <w:top w:val="nil"/>
              <w:left w:val="nil"/>
              <w:bottom w:val="single" w:sz="4" w:space="0" w:color="auto"/>
              <w:right w:val="single" w:sz="4" w:space="0" w:color="auto"/>
            </w:tcBorders>
            <w:shd w:val="clear" w:color="auto" w:fill="auto"/>
            <w:vAlign w:val="center"/>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3E2BAE">
              <w:rPr>
                <w:rFonts w:ascii="Arial" w:eastAsia="Times New Roman" w:hAnsi="Arial" w:cs="Arial"/>
                <w:color w:val="000000"/>
                <w:lang w:eastAsia="en-GB"/>
              </w:rPr>
              <w:t>2004/5</w:t>
            </w:r>
          </w:p>
        </w:tc>
        <w:tc>
          <w:tcPr>
            <w:tcW w:w="1012" w:type="dxa"/>
            <w:tcBorders>
              <w:top w:val="nil"/>
              <w:left w:val="nil"/>
              <w:bottom w:val="single" w:sz="4" w:space="0" w:color="auto"/>
              <w:right w:val="single" w:sz="4" w:space="0" w:color="auto"/>
            </w:tcBorders>
            <w:shd w:val="clear" w:color="auto" w:fill="auto"/>
            <w:vAlign w:val="center"/>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3E2BAE">
              <w:rPr>
                <w:rFonts w:ascii="Arial" w:eastAsia="Times New Roman" w:hAnsi="Arial" w:cs="Arial"/>
                <w:color w:val="000000"/>
                <w:lang w:eastAsia="en-GB"/>
              </w:rPr>
              <w:t>2011/12</w:t>
            </w:r>
          </w:p>
        </w:tc>
        <w:tc>
          <w:tcPr>
            <w:tcW w:w="987" w:type="dxa"/>
            <w:tcBorders>
              <w:top w:val="nil"/>
              <w:left w:val="nil"/>
              <w:bottom w:val="single" w:sz="4" w:space="0" w:color="auto"/>
              <w:right w:val="single" w:sz="4" w:space="0" w:color="auto"/>
            </w:tcBorders>
            <w:shd w:val="clear" w:color="auto" w:fill="auto"/>
            <w:vAlign w:val="center"/>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3E2BAE">
              <w:rPr>
                <w:rFonts w:ascii="Arial" w:eastAsia="Times New Roman" w:hAnsi="Arial" w:cs="Arial"/>
                <w:color w:val="000000"/>
                <w:lang w:eastAsia="en-GB"/>
              </w:rPr>
              <w:t>Change</w:t>
            </w:r>
          </w:p>
        </w:tc>
      </w:tr>
      <w:tr w:rsidR="00337C4D" w:rsidRPr="003E2BAE" w:rsidTr="00806320">
        <w:trPr>
          <w:trHeight w:val="285"/>
        </w:trPr>
        <w:tc>
          <w:tcPr>
            <w:tcW w:w="6516" w:type="dxa"/>
            <w:tcBorders>
              <w:top w:val="nil"/>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E100</w:t>
            </w:r>
            <w:r w:rsidRPr="003E2BAE">
              <w:rPr>
                <w:rFonts w:ascii="Arial" w:eastAsia="Times New Roman" w:hAnsi="Arial" w:cs="Arial"/>
                <w:color w:val="000000"/>
                <w:lang w:eastAsia="en-GB"/>
              </w:rPr>
              <w:t xml:space="preserve"> type 1 diabetes with coma</w:t>
            </w:r>
          </w:p>
        </w:tc>
        <w:tc>
          <w:tcPr>
            <w:tcW w:w="1216"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238"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20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6</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987"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r>
      <w:tr w:rsidR="00337C4D" w:rsidRPr="003E2BAE" w:rsidTr="00806320">
        <w:trPr>
          <w:trHeight w:val="315"/>
        </w:trPr>
        <w:tc>
          <w:tcPr>
            <w:tcW w:w="6516" w:type="dxa"/>
            <w:tcBorders>
              <w:top w:val="nil"/>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E101</w:t>
            </w:r>
            <w:r w:rsidRPr="003E2BAE">
              <w:rPr>
                <w:rFonts w:ascii="Arial" w:eastAsia="Times New Roman" w:hAnsi="Arial" w:cs="Arial"/>
                <w:color w:val="000000"/>
                <w:lang w:eastAsia="en-GB"/>
              </w:rPr>
              <w:t xml:space="preserve"> type 1 diabetes with ketoacidosis without coma</w:t>
            </w:r>
          </w:p>
        </w:tc>
        <w:tc>
          <w:tcPr>
            <w:tcW w:w="1216"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56%</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40%</w:t>
            </w:r>
          </w:p>
        </w:tc>
        <w:tc>
          <w:tcPr>
            <w:tcW w:w="1238"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-16%</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13%</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20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16</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30</w:t>
            </w:r>
          </w:p>
        </w:tc>
        <w:tc>
          <w:tcPr>
            <w:tcW w:w="987"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14</w:t>
            </w:r>
          </w:p>
        </w:tc>
      </w:tr>
      <w:tr w:rsidR="00337C4D" w:rsidRPr="003E2BAE" w:rsidTr="00806320">
        <w:trPr>
          <w:trHeight w:val="269"/>
        </w:trPr>
        <w:tc>
          <w:tcPr>
            <w:tcW w:w="6516" w:type="dxa"/>
            <w:tcBorders>
              <w:top w:val="nil"/>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E102</w:t>
            </w:r>
            <w:r>
              <w:rPr>
                <w:rFonts w:ascii="Arial" w:eastAsia="Times New Roman" w:hAnsi="Arial" w:cs="Arial"/>
                <w:color w:val="000000"/>
                <w:lang w:eastAsia="en-GB"/>
              </w:rPr>
              <w:t xml:space="preserve"> t</w:t>
            </w:r>
            <w:r w:rsidRPr="003E2BAE">
              <w:rPr>
                <w:rFonts w:ascii="Arial" w:eastAsia="Times New Roman" w:hAnsi="Arial" w:cs="Arial"/>
                <w:color w:val="000000"/>
                <w:lang w:eastAsia="en-GB"/>
              </w:rPr>
              <w:t>ype 1 diabetes with renal complications</w:t>
            </w:r>
          </w:p>
        </w:tc>
        <w:tc>
          <w:tcPr>
            <w:tcW w:w="1216"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238"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20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13</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11</w:t>
            </w:r>
          </w:p>
        </w:tc>
        <w:tc>
          <w:tcPr>
            <w:tcW w:w="987"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-2</w:t>
            </w:r>
          </w:p>
        </w:tc>
      </w:tr>
      <w:tr w:rsidR="00337C4D" w:rsidRPr="003E2BAE" w:rsidTr="00806320">
        <w:trPr>
          <w:trHeight w:val="315"/>
        </w:trPr>
        <w:tc>
          <w:tcPr>
            <w:tcW w:w="6516" w:type="dxa"/>
            <w:tcBorders>
              <w:top w:val="nil"/>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E104</w:t>
            </w:r>
            <w:r w:rsidRPr="003E2BAE">
              <w:rPr>
                <w:rFonts w:ascii="Arial" w:eastAsia="Times New Roman" w:hAnsi="Arial" w:cs="Arial"/>
                <w:color w:val="000000"/>
                <w:lang w:eastAsia="en-GB"/>
              </w:rPr>
              <w:t xml:space="preserve"> </w:t>
            </w:r>
            <w:r>
              <w:rPr>
                <w:rFonts w:ascii="Arial" w:eastAsia="Times New Roman" w:hAnsi="Arial" w:cs="Arial"/>
                <w:color w:val="000000"/>
                <w:lang w:eastAsia="en-GB"/>
              </w:rPr>
              <w:t>t</w:t>
            </w:r>
            <w:r w:rsidRPr="003E2BAE">
              <w:rPr>
                <w:rFonts w:ascii="Arial" w:eastAsia="Times New Roman" w:hAnsi="Arial" w:cs="Arial"/>
                <w:color w:val="000000"/>
                <w:lang w:eastAsia="en-GB"/>
              </w:rPr>
              <w:t>ype 1 diabetes with neurological complications</w:t>
            </w:r>
          </w:p>
        </w:tc>
        <w:tc>
          <w:tcPr>
            <w:tcW w:w="1216"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238"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20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987"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r>
      <w:tr w:rsidR="00337C4D" w:rsidRPr="003E2BAE" w:rsidTr="00806320">
        <w:trPr>
          <w:trHeight w:val="300"/>
        </w:trPr>
        <w:tc>
          <w:tcPr>
            <w:tcW w:w="6516" w:type="dxa"/>
            <w:tcBorders>
              <w:top w:val="nil"/>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E105</w:t>
            </w:r>
            <w:r w:rsidRPr="003E2BAE">
              <w:rPr>
                <w:rFonts w:ascii="Arial" w:eastAsia="Times New Roman" w:hAnsi="Arial" w:cs="Arial"/>
                <w:color w:val="000000"/>
                <w:lang w:eastAsia="en-GB"/>
              </w:rPr>
              <w:t xml:space="preserve"> </w:t>
            </w:r>
            <w:r>
              <w:rPr>
                <w:rFonts w:ascii="Arial" w:eastAsia="Times New Roman" w:hAnsi="Arial" w:cs="Arial"/>
                <w:color w:val="000000"/>
                <w:lang w:eastAsia="en-GB"/>
              </w:rPr>
              <w:t>t</w:t>
            </w:r>
            <w:r w:rsidRPr="003E2BAE">
              <w:rPr>
                <w:rFonts w:ascii="Arial" w:eastAsia="Times New Roman" w:hAnsi="Arial" w:cs="Arial"/>
                <w:color w:val="000000"/>
                <w:lang w:eastAsia="en-GB"/>
              </w:rPr>
              <w:t>ype 1 diabetes with peripheral circulatory complications</w:t>
            </w:r>
          </w:p>
        </w:tc>
        <w:tc>
          <w:tcPr>
            <w:tcW w:w="1216"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33%</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238"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20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18</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18</w:t>
            </w:r>
          </w:p>
        </w:tc>
        <w:tc>
          <w:tcPr>
            <w:tcW w:w="987"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r>
      <w:tr w:rsidR="00337C4D" w:rsidRPr="003E2BAE" w:rsidTr="00806320">
        <w:trPr>
          <w:trHeight w:val="285"/>
        </w:trPr>
        <w:tc>
          <w:tcPr>
            <w:tcW w:w="6516" w:type="dxa"/>
            <w:tcBorders>
              <w:top w:val="nil"/>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E106</w:t>
            </w:r>
            <w:r w:rsidRPr="003E2BAE">
              <w:rPr>
                <w:rFonts w:ascii="Arial" w:eastAsia="Times New Roman" w:hAnsi="Arial" w:cs="Arial"/>
                <w:color w:val="000000"/>
                <w:lang w:eastAsia="en-GB"/>
              </w:rPr>
              <w:t xml:space="preserve"> </w:t>
            </w:r>
            <w:r>
              <w:rPr>
                <w:rFonts w:ascii="Arial" w:eastAsia="Times New Roman" w:hAnsi="Arial" w:cs="Arial"/>
                <w:color w:val="000000"/>
                <w:lang w:eastAsia="en-GB"/>
              </w:rPr>
              <w:t>t</w:t>
            </w:r>
            <w:r w:rsidRPr="003E2BAE">
              <w:rPr>
                <w:rFonts w:ascii="Arial" w:eastAsia="Times New Roman" w:hAnsi="Arial" w:cs="Arial"/>
                <w:color w:val="000000"/>
                <w:lang w:eastAsia="en-GB"/>
              </w:rPr>
              <w:t>ype 1 diabetes with other specified complications</w:t>
            </w:r>
          </w:p>
        </w:tc>
        <w:tc>
          <w:tcPr>
            <w:tcW w:w="1216"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238"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20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987"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r>
      <w:tr w:rsidR="00337C4D" w:rsidRPr="003E2BAE" w:rsidTr="00806320">
        <w:trPr>
          <w:trHeight w:val="330"/>
        </w:trPr>
        <w:tc>
          <w:tcPr>
            <w:tcW w:w="6516" w:type="dxa"/>
            <w:tcBorders>
              <w:top w:val="nil"/>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AB1310">
              <w:rPr>
                <w:rFonts w:ascii="Arial" w:eastAsia="Times New Roman" w:hAnsi="Arial" w:cs="Arial"/>
                <w:b/>
                <w:color w:val="000000"/>
                <w:lang w:eastAsia="en-GB"/>
              </w:rPr>
              <w:t>E107</w:t>
            </w:r>
            <w:r w:rsidRPr="003E2BAE">
              <w:rPr>
                <w:rFonts w:ascii="Arial" w:eastAsia="Times New Roman" w:hAnsi="Arial" w:cs="Arial"/>
                <w:color w:val="000000"/>
                <w:lang w:eastAsia="en-GB"/>
              </w:rPr>
              <w:t xml:space="preserve"> type 1 diabetes, multiple complications</w:t>
            </w:r>
          </w:p>
        </w:tc>
        <w:tc>
          <w:tcPr>
            <w:tcW w:w="1216"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238"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20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6</w:t>
            </w:r>
          </w:p>
        </w:tc>
        <w:tc>
          <w:tcPr>
            <w:tcW w:w="987"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r>
      <w:tr w:rsidR="00337C4D" w:rsidRPr="003E2BAE" w:rsidTr="00806320">
        <w:trPr>
          <w:trHeight w:val="300"/>
        </w:trPr>
        <w:tc>
          <w:tcPr>
            <w:tcW w:w="6516" w:type="dxa"/>
            <w:tcBorders>
              <w:top w:val="nil"/>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A11E5B">
              <w:rPr>
                <w:rFonts w:ascii="Arial" w:eastAsia="Times New Roman" w:hAnsi="Arial" w:cs="Arial"/>
                <w:b/>
                <w:color w:val="000000"/>
                <w:lang w:eastAsia="en-GB"/>
              </w:rPr>
              <w:t>E109</w:t>
            </w:r>
            <w:r w:rsidRPr="003E2BAE">
              <w:rPr>
                <w:rFonts w:ascii="Arial" w:eastAsia="Times New Roman" w:hAnsi="Arial" w:cs="Arial"/>
                <w:color w:val="000000"/>
                <w:lang w:eastAsia="en-GB"/>
              </w:rPr>
              <w:t xml:space="preserve"> type 1 diabetes without complications</w:t>
            </w:r>
          </w:p>
        </w:tc>
        <w:tc>
          <w:tcPr>
            <w:tcW w:w="1216"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31%</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30%</w:t>
            </w:r>
          </w:p>
        </w:tc>
        <w:tc>
          <w:tcPr>
            <w:tcW w:w="1238"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15%</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17%</w:t>
            </w:r>
          </w:p>
        </w:tc>
        <w:tc>
          <w:tcPr>
            <w:tcW w:w="120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2%</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102</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64</w:t>
            </w:r>
          </w:p>
        </w:tc>
        <w:tc>
          <w:tcPr>
            <w:tcW w:w="987"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-38</w:t>
            </w:r>
          </w:p>
        </w:tc>
      </w:tr>
      <w:tr w:rsidR="00337C4D" w:rsidRPr="003E2BAE" w:rsidTr="00806320">
        <w:trPr>
          <w:trHeight w:val="300"/>
        </w:trPr>
        <w:tc>
          <w:tcPr>
            <w:tcW w:w="6516" w:type="dxa"/>
            <w:tcBorders>
              <w:top w:val="nil"/>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A11E5B">
              <w:rPr>
                <w:rFonts w:ascii="Arial" w:eastAsia="Times New Roman" w:hAnsi="Arial" w:cs="Arial"/>
                <w:b/>
                <w:color w:val="000000"/>
                <w:lang w:eastAsia="en-GB"/>
              </w:rPr>
              <w:t xml:space="preserve">E110 </w:t>
            </w:r>
            <w:r w:rsidRPr="003E2BAE">
              <w:rPr>
                <w:rFonts w:ascii="Arial" w:eastAsia="Times New Roman" w:hAnsi="Arial" w:cs="Arial"/>
                <w:color w:val="000000"/>
                <w:lang w:eastAsia="en-GB"/>
              </w:rPr>
              <w:t>type 2 diabetes with coma</w:t>
            </w:r>
          </w:p>
        </w:tc>
        <w:tc>
          <w:tcPr>
            <w:tcW w:w="1216"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238"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20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5</w:t>
            </w:r>
          </w:p>
        </w:tc>
        <w:tc>
          <w:tcPr>
            <w:tcW w:w="987"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r>
      <w:tr w:rsidR="00337C4D" w:rsidRPr="003E2BAE" w:rsidTr="00806320">
        <w:trPr>
          <w:trHeight w:val="255"/>
        </w:trPr>
        <w:tc>
          <w:tcPr>
            <w:tcW w:w="6516" w:type="dxa"/>
            <w:tcBorders>
              <w:top w:val="nil"/>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A11E5B">
              <w:rPr>
                <w:rFonts w:ascii="Arial" w:eastAsia="Times New Roman" w:hAnsi="Arial" w:cs="Arial"/>
                <w:b/>
                <w:color w:val="000000"/>
                <w:lang w:eastAsia="en-GB"/>
              </w:rPr>
              <w:t>E111</w:t>
            </w:r>
            <w:r w:rsidRPr="003E2BAE">
              <w:rPr>
                <w:rFonts w:ascii="Arial" w:eastAsia="Times New Roman" w:hAnsi="Arial" w:cs="Arial"/>
                <w:color w:val="000000"/>
                <w:lang w:eastAsia="en-GB"/>
              </w:rPr>
              <w:t xml:space="preserve"> type 2 diabetes with ketoacidosis</w:t>
            </w:r>
          </w:p>
        </w:tc>
        <w:tc>
          <w:tcPr>
            <w:tcW w:w="1216"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60%</w:t>
            </w:r>
          </w:p>
        </w:tc>
        <w:tc>
          <w:tcPr>
            <w:tcW w:w="1238"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20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10</w:t>
            </w:r>
          </w:p>
        </w:tc>
        <w:tc>
          <w:tcPr>
            <w:tcW w:w="987"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r>
      <w:tr w:rsidR="00337C4D" w:rsidRPr="003E2BAE" w:rsidTr="00806320">
        <w:trPr>
          <w:trHeight w:val="270"/>
        </w:trPr>
        <w:tc>
          <w:tcPr>
            <w:tcW w:w="6516" w:type="dxa"/>
            <w:tcBorders>
              <w:top w:val="nil"/>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A11E5B">
              <w:rPr>
                <w:rFonts w:ascii="Arial" w:eastAsia="Times New Roman" w:hAnsi="Arial" w:cs="Arial"/>
                <w:b/>
                <w:color w:val="000000"/>
                <w:lang w:eastAsia="en-GB"/>
              </w:rPr>
              <w:t>E112</w:t>
            </w:r>
            <w:r w:rsidRPr="003E2BAE">
              <w:rPr>
                <w:rFonts w:ascii="Arial" w:eastAsia="Times New Roman" w:hAnsi="Arial" w:cs="Arial"/>
                <w:color w:val="000000"/>
                <w:lang w:eastAsia="en-GB"/>
              </w:rPr>
              <w:t xml:space="preserve"> type 2 diabetes with renal complications</w:t>
            </w:r>
          </w:p>
        </w:tc>
        <w:tc>
          <w:tcPr>
            <w:tcW w:w="1216"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42%</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28%</w:t>
            </w:r>
          </w:p>
        </w:tc>
        <w:tc>
          <w:tcPr>
            <w:tcW w:w="1238"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-14%</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20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19</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39</w:t>
            </w:r>
          </w:p>
        </w:tc>
        <w:tc>
          <w:tcPr>
            <w:tcW w:w="987"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20</w:t>
            </w:r>
          </w:p>
        </w:tc>
      </w:tr>
      <w:tr w:rsidR="00337C4D" w:rsidRPr="003E2BAE" w:rsidTr="00806320">
        <w:trPr>
          <w:trHeight w:val="300"/>
        </w:trPr>
        <w:tc>
          <w:tcPr>
            <w:tcW w:w="6516" w:type="dxa"/>
            <w:tcBorders>
              <w:top w:val="nil"/>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A11E5B">
              <w:rPr>
                <w:rFonts w:ascii="Arial" w:eastAsia="Times New Roman" w:hAnsi="Arial" w:cs="Arial"/>
                <w:b/>
                <w:color w:val="000000"/>
                <w:lang w:eastAsia="en-GB"/>
              </w:rPr>
              <w:t>E114</w:t>
            </w:r>
            <w:r w:rsidRPr="003E2BAE">
              <w:rPr>
                <w:rFonts w:ascii="Arial" w:eastAsia="Times New Roman" w:hAnsi="Arial" w:cs="Arial"/>
                <w:color w:val="000000"/>
                <w:lang w:eastAsia="en-GB"/>
              </w:rPr>
              <w:t xml:space="preserve"> </w:t>
            </w:r>
            <w:r>
              <w:rPr>
                <w:rFonts w:ascii="Arial" w:eastAsia="Times New Roman" w:hAnsi="Arial" w:cs="Arial"/>
                <w:color w:val="000000"/>
                <w:lang w:eastAsia="en-GB"/>
              </w:rPr>
              <w:t>t</w:t>
            </w:r>
            <w:r w:rsidRPr="003E2BAE">
              <w:rPr>
                <w:rFonts w:ascii="Arial" w:eastAsia="Times New Roman" w:hAnsi="Arial" w:cs="Arial"/>
                <w:color w:val="000000"/>
                <w:lang w:eastAsia="en-GB"/>
              </w:rPr>
              <w:t xml:space="preserve">ype 2 diabetes with neurological complications </w:t>
            </w:r>
          </w:p>
        </w:tc>
        <w:tc>
          <w:tcPr>
            <w:tcW w:w="1216"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238"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20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6</w:t>
            </w:r>
          </w:p>
        </w:tc>
        <w:tc>
          <w:tcPr>
            <w:tcW w:w="987"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r>
      <w:tr w:rsidR="00337C4D" w:rsidRPr="003E2BAE" w:rsidTr="00806320">
        <w:trPr>
          <w:trHeight w:val="255"/>
        </w:trPr>
        <w:tc>
          <w:tcPr>
            <w:tcW w:w="6516" w:type="dxa"/>
            <w:tcBorders>
              <w:top w:val="nil"/>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A11E5B">
              <w:rPr>
                <w:rFonts w:ascii="Arial" w:eastAsia="Times New Roman" w:hAnsi="Arial" w:cs="Arial"/>
                <w:b/>
                <w:color w:val="000000"/>
                <w:lang w:eastAsia="en-GB"/>
              </w:rPr>
              <w:t>E115</w:t>
            </w:r>
            <w:r w:rsidRPr="003E2BAE">
              <w:rPr>
                <w:rFonts w:ascii="Arial" w:eastAsia="Times New Roman" w:hAnsi="Arial" w:cs="Arial"/>
                <w:color w:val="000000"/>
                <w:lang w:eastAsia="en-GB"/>
              </w:rPr>
              <w:t xml:space="preserve"> </w:t>
            </w:r>
            <w:r>
              <w:rPr>
                <w:rFonts w:ascii="Arial" w:eastAsia="Times New Roman" w:hAnsi="Arial" w:cs="Arial"/>
                <w:color w:val="000000"/>
                <w:lang w:eastAsia="en-GB"/>
              </w:rPr>
              <w:t>t</w:t>
            </w:r>
            <w:r w:rsidRPr="003E2BAE">
              <w:rPr>
                <w:rFonts w:ascii="Arial" w:eastAsia="Times New Roman" w:hAnsi="Arial" w:cs="Arial"/>
                <w:color w:val="000000"/>
                <w:lang w:eastAsia="en-GB"/>
              </w:rPr>
              <w:t>ype 2 diabetes</w:t>
            </w:r>
            <w:r>
              <w:rPr>
                <w:rFonts w:ascii="Arial" w:eastAsia="Times New Roman" w:hAnsi="Arial" w:cs="Arial"/>
                <w:color w:val="000000"/>
                <w:lang w:eastAsia="en-GB"/>
              </w:rPr>
              <w:t xml:space="preserve">, </w:t>
            </w:r>
            <w:r w:rsidRPr="003E2BAE">
              <w:rPr>
                <w:rFonts w:ascii="Arial" w:eastAsia="Times New Roman" w:hAnsi="Arial" w:cs="Arial"/>
                <w:color w:val="000000"/>
                <w:lang w:eastAsia="en-GB"/>
              </w:rPr>
              <w:t>peripheral circulatory complications</w:t>
            </w:r>
          </w:p>
        </w:tc>
        <w:tc>
          <w:tcPr>
            <w:tcW w:w="1216"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25%</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34%</w:t>
            </w:r>
          </w:p>
        </w:tc>
        <w:tc>
          <w:tcPr>
            <w:tcW w:w="1238"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9%</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13%</w:t>
            </w:r>
          </w:p>
        </w:tc>
        <w:tc>
          <w:tcPr>
            <w:tcW w:w="120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61</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83</w:t>
            </w:r>
          </w:p>
        </w:tc>
        <w:tc>
          <w:tcPr>
            <w:tcW w:w="987"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22</w:t>
            </w:r>
          </w:p>
        </w:tc>
      </w:tr>
      <w:tr w:rsidR="00337C4D" w:rsidRPr="003E2BAE" w:rsidTr="00806320">
        <w:trPr>
          <w:trHeight w:val="300"/>
        </w:trPr>
        <w:tc>
          <w:tcPr>
            <w:tcW w:w="6516" w:type="dxa"/>
            <w:tcBorders>
              <w:top w:val="nil"/>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A11E5B">
              <w:rPr>
                <w:rFonts w:ascii="Arial" w:eastAsia="Times New Roman" w:hAnsi="Arial" w:cs="Arial"/>
                <w:b/>
                <w:color w:val="000000"/>
                <w:lang w:eastAsia="en-GB"/>
              </w:rPr>
              <w:t>E116</w:t>
            </w:r>
            <w:r w:rsidRPr="003E2BAE">
              <w:rPr>
                <w:rFonts w:ascii="Arial" w:eastAsia="Times New Roman" w:hAnsi="Arial" w:cs="Arial"/>
                <w:color w:val="000000"/>
                <w:lang w:eastAsia="en-GB"/>
              </w:rPr>
              <w:t xml:space="preserve"> </w:t>
            </w:r>
            <w:r>
              <w:rPr>
                <w:rFonts w:ascii="Arial" w:eastAsia="Times New Roman" w:hAnsi="Arial" w:cs="Arial"/>
                <w:color w:val="000000"/>
                <w:lang w:eastAsia="en-GB"/>
              </w:rPr>
              <w:t>t</w:t>
            </w:r>
            <w:r w:rsidRPr="003E2BAE">
              <w:rPr>
                <w:rFonts w:ascii="Arial" w:eastAsia="Times New Roman" w:hAnsi="Arial" w:cs="Arial"/>
                <w:color w:val="000000"/>
                <w:lang w:eastAsia="en-GB"/>
              </w:rPr>
              <w:t>ype 2 diabetes with other specified complications</w:t>
            </w:r>
          </w:p>
        </w:tc>
        <w:tc>
          <w:tcPr>
            <w:tcW w:w="1216"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238"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20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987"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r>
      <w:tr w:rsidR="00337C4D" w:rsidRPr="003E2BAE" w:rsidTr="00806320">
        <w:trPr>
          <w:trHeight w:val="315"/>
        </w:trPr>
        <w:tc>
          <w:tcPr>
            <w:tcW w:w="6516" w:type="dxa"/>
            <w:tcBorders>
              <w:top w:val="nil"/>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A11E5B">
              <w:rPr>
                <w:rFonts w:ascii="Arial" w:eastAsia="Times New Roman" w:hAnsi="Arial" w:cs="Arial"/>
                <w:b/>
                <w:color w:val="000000"/>
                <w:lang w:eastAsia="en-GB"/>
              </w:rPr>
              <w:t xml:space="preserve">E117 </w:t>
            </w:r>
            <w:r w:rsidRPr="003E2BAE">
              <w:rPr>
                <w:rFonts w:ascii="Arial" w:eastAsia="Times New Roman" w:hAnsi="Arial" w:cs="Arial"/>
                <w:color w:val="000000"/>
                <w:lang w:eastAsia="en-GB"/>
              </w:rPr>
              <w:t>type 2 diabetes with multiple complications</w:t>
            </w:r>
          </w:p>
        </w:tc>
        <w:tc>
          <w:tcPr>
            <w:tcW w:w="1216"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36%</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29%</w:t>
            </w:r>
          </w:p>
        </w:tc>
        <w:tc>
          <w:tcPr>
            <w:tcW w:w="1238"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-7%</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20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14</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17</w:t>
            </w:r>
          </w:p>
        </w:tc>
        <w:tc>
          <w:tcPr>
            <w:tcW w:w="987"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3</w:t>
            </w:r>
          </w:p>
        </w:tc>
      </w:tr>
      <w:tr w:rsidR="00337C4D" w:rsidRPr="003E2BAE" w:rsidTr="00806320">
        <w:trPr>
          <w:trHeight w:val="315"/>
        </w:trPr>
        <w:tc>
          <w:tcPr>
            <w:tcW w:w="6516" w:type="dxa"/>
            <w:tcBorders>
              <w:top w:val="nil"/>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A11E5B">
              <w:rPr>
                <w:rFonts w:ascii="Arial" w:eastAsia="Times New Roman" w:hAnsi="Arial" w:cs="Arial"/>
                <w:b/>
                <w:color w:val="000000"/>
                <w:lang w:eastAsia="en-GB"/>
              </w:rPr>
              <w:t xml:space="preserve">E119 </w:t>
            </w:r>
            <w:r w:rsidRPr="003E2BAE">
              <w:rPr>
                <w:rFonts w:ascii="Arial" w:eastAsia="Times New Roman" w:hAnsi="Arial" w:cs="Arial"/>
                <w:color w:val="000000"/>
                <w:lang w:eastAsia="en-GB"/>
              </w:rPr>
              <w:t>type 2 diabetes without complications</w:t>
            </w:r>
          </w:p>
        </w:tc>
        <w:tc>
          <w:tcPr>
            <w:tcW w:w="1216"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32%</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23%</w:t>
            </w:r>
          </w:p>
        </w:tc>
        <w:tc>
          <w:tcPr>
            <w:tcW w:w="1238"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-9%</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10%</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12%</w:t>
            </w:r>
          </w:p>
        </w:tc>
        <w:tc>
          <w:tcPr>
            <w:tcW w:w="120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2%</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188</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146</w:t>
            </w:r>
          </w:p>
        </w:tc>
        <w:tc>
          <w:tcPr>
            <w:tcW w:w="987"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-42</w:t>
            </w:r>
          </w:p>
        </w:tc>
      </w:tr>
      <w:tr w:rsidR="00337C4D" w:rsidRPr="003E2BAE" w:rsidTr="00806320">
        <w:trPr>
          <w:trHeight w:val="300"/>
        </w:trPr>
        <w:tc>
          <w:tcPr>
            <w:tcW w:w="6516" w:type="dxa"/>
            <w:tcBorders>
              <w:top w:val="nil"/>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A11E5B">
              <w:rPr>
                <w:rFonts w:ascii="Arial" w:eastAsia="Times New Roman" w:hAnsi="Arial" w:cs="Arial"/>
                <w:b/>
                <w:color w:val="000000"/>
                <w:lang w:eastAsia="en-GB"/>
              </w:rPr>
              <w:t>E140</w:t>
            </w:r>
            <w:r w:rsidRPr="003E2BAE">
              <w:rPr>
                <w:rFonts w:ascii="Arial" w:eastAsia="Times New Roman" w:hAnsi="Arial" w:cs="Arial"/>
                <w:color w:val="000000"/>
                <w:lang w:eastAsia="en-GB"/>
              </w:rPr>
              <w:t xml:space="preserve"> unspecified diabetes with coma</w:t>
            </w:r>
          </w:p>
        </w:tc>
        <w:tc>
          <w:tcPr>
            <w:tcW w:w="1216"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37%</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238"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20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27</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15</w:t>
            </w:r>
          </w:p>
        </w:tc>
        <w:tc>
          <w:tcPr>
            <w:tcW w:w="987"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-12</w:t>
            </w:r>
          </w:p>
        </w:tc>
      </w:tr>
      <w:tr w:rsidR="00337C4D" w:rsidRPr="003E2BAE" w:rsidTr="00806320">
        <w:trPr>
          <w:trHeight w:val="300"/>
        </w:trPr>
        <w:tc>
          <w:tcPr>
            <w:tcW w:w="6516" w:type="dxa"/>
            <w:tcBorders>
              <w:top w:val="nil"/>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A11E5B">
              <w:rPr>
                <w:rFonts w:ascii="Arial" w:eastAsia="Times New Roman" w:hAnsi="Arial" w:cs="Arial"/>
                <w:b/>
                <w:color w:val="000000"/>
                <w:lang w:eastAsia="en-GB"/>
              </w:rPr>
              <w:t>E141</w:t>
            </w:r>
            <w:r w:rsidRPr="003E2BAE">
              <w:rPr>
                <w:rFonts w:ascii="Arial" w:eastAsia="Times New Roman" w:hAnsi="Arial" w:cs="Arial"/>
                <w:color w:val="000000"/>
                <w:lang w:eastAsia="en-GB"/>
              </w:rPr>
              <w:t xml:space="preserve"> unspecified diabetes with ketoacidosis</w:t>
            </w:r>
          </w:p>
        </w:tc>
        <w:tc>
          <w:tcPr>
            <w:tcW w:w="1216"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36%</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42%</w:t>
            </w:r>
          </w:p>
        </w:tc>
        <w:tc>
          <w:tcPr>
            <w:tcW w:w="1238"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6%</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20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84</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155</w:t>
            </w:r>
          </w:p>
        </w:tc>
        <w:tc>
          <w:tcPr>
            <w:tcW w:w="987"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71</w:t>
            </w:r>
          </w:p>
        </w:tc>
      </w:tr>
      <w:tr w:rsidR="00337C4D" w:rsidRPr="003E2BAE" w:rsidTr="00806320">
        <w:trPr>
          <w:trHeight w:val="300"/>
        </w:trPr>
        <w:tc>
          <w:tcPr>
            <w:tcW w:w="6516" w:type="dxa"/>
            <w:tcBorders>
              <w:top w:val="nil"/>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A11E5B">
              <w:rPr>
                <w:rFonts w:ascii="Arial" w:eastAsia="Times New Roman" w:hAnsi="Arial" w:cs="Arial"/>
                <w:b/>
                <w:color w:val="000000"/>
                <w:lang w:eastAsia="en-GB"/>
              </w:rPr>
              <w:t>E142</w:t>
            </w:r>
            <w:r w:rsidRPr="003E2BAE">
              <w:rPr>
                <w:rFonts w:ascii="Arial" w:eastAsia="Times New Roman" w:hAnsi="Arial" w:cs="Arial"/>
                <w:color w:val="000000"/>
                <w:lang w:eastAsia="en-GB"/>
              </w:rPr>
              <w:t xml:space="preserve"> </w:t>
            </w:r>
            <w:r>
              <w:rPr>
                <w:rFonts w:ascii="Arial" w:eastAsia="Times New Roman" w:hAnsi="Arial" w:cs="Arial"/>
                <w:color w:val="000000"/>
                <w:lang w:eastAsia="en-GB"/>
              </w:rPr>
              <w:t>unsp</w:t>
            </w:r>
            <w:r w:rsidRPr="003E2BAE">
              <w:rPr>
                <w:rFonts w:ascii="Arial" w:eastAsia="Times New Roman" w:hAnsi="Arial" w:cs="Arial"/>
                <w:color w:val="000000"/>
                <w:lang w:eastAsia="en-GB"/>
              </w:rPr>
              <w:t>ecified diabetes</w:t>
            </w:r>
            <w:r>
              <w:rPr>
                <w:rFonts w:ascii="Arial" w:eastAsia="Times New Roman" w:hAnsi="Arial" w:cs="Arial"/>
                <w:color w:val="000000"/>
                <w:lang w:eastAsia="en-GB"/>
              </w:rPr>
              <w:t>,</w:t>
            </w:r>
            <w:r w:rsidRPr="003E2BAE">
              <w:rPr>
                <w:rFonts w:ascii="Arial" w:eastAsia="Times New Roman" w:hAnsi="Arial" w:cs="Arial"/>
                <w:color w:val="000000"/>
                <w:lang w:eastAsia="en-GB"/>
              </w:rPr>
              <w:t xml:space="preserve"> renal complications</w:t>
            </w:r>
          </w:p>
        </w:tc>
        <w:tc>
          <w:tcPr>
            <w:tcW w:w="1216"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28%</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21%</w:t>
            </w:r>
          </w:p>
        </w:tc>
        <w:tc>
          <w:tcPr>
            <w:tcW w:w="1238"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-7%</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13%</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14%</w:t>
            </w:r>
          </w:p>
        </w:tc>
        <w:tc>
          <w:tcPr>
            <w:tcW w:w="120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92</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91</w:t>
            </w:r>
          </w:p>
        </w:tc>
        <w:tc>
          <w:tcPr>
            <w:tcW w:w="987"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w:t>
            </w:r>
          </w:p>
        </w:tc>
      </w:tr>
      <w:tr w:rsidR="00337C4D" w:rsidRPr="003E2BAE" w:rsidTr="00806320">
        <w:trPr>
          <w:trHeight w:val="300"/>
        </w:trPr>
        <w:tc>
          <w:tcPr>
            <w:tcW w:w="6516" w:type="dxa"/>
            <w:tcBorders>
              <w:top w:val="nil"/>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A11E5B">
              <w:rPr>
                <w:rFonts w:ascii="Arial" w:eastAsia="Times New Roman" w:hAnsi="Arial" w:cs="Arial"/>
                <w:b/>
                <w:color w:val="000000"/>
                <w:lang w:eastAsia="en-GB"/>
              </w:rPr>
              <w:t>E144</w:t>
            </w:r>
            <w:r>
              <w:rPr>
                <w:rFonts w:ascii="Arial" w:eastAsia="Times New Roman" w:hAnsi="Arial" w:cs="Arial"/>
                <w:color w:val="000000"/>
                <w:lang w:eastAsia="en-GB"/>
              </w:rPr>
              <w:t xml:space="preserve"> u</w:t>
            </w:r>
            <w:r w:rsidRPr="003E2BAE">
              <w:rPr>
                <w:rFonts w:ascii="Arial" w:eastAsia="Times New Roman" w:hAnsi="Arial" w:cs="Arial"/>
                <w:color w:val="000000"/>
                <w:lang w:eastAsia="en-GB"/>
              </w:rPr>
              <w:t>nspecified diabetes</w:t>
            </w:r>
            <w:r>
              <w:rPr>
                <w:rFonts w:ascii="Arial" w:eastAsia="Times New Roman" w:hAnsi="Arial" w:cs="Arial"/>
                <w:color w:val="000000"/>
                <w:lang w:eastAsia="en-GB"/>
              </w:rPr>
              <w:t>,</w:t>
            </w:r>
            <w:r w:rsidRPr="003E2BAE">
              <w:rPr>
                <w:rFonts w:ascii="Arial" w:eastAsia="Times New Roman" w:hAnsi="Arial" w:cs="Arial"/>
                <w:color w:val="000000"/>
                <w:lang w:eastAsia="en-GB"/>
              </w:rPr>
              <w:t xml:space="preserve"> neurological complications</w:t>
            </w:r>
          </w:p>
        </w:tc>
        <w:tc>
          <w:tcPr>
            <w:tcW w:w="1216"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238"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20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6</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987"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r>
      <w:tr w:rsidR="00337C4D" w:rsidRPr="003E2BAE" w:rsidTr="00806320">
        <w:trPr>
          <w:trHeight w:val="330"/>
        </w:trPr>
        <w:tc>
          <w:tcPr>
            <w:tcW w:w="6516" w:type="dxa"/>
            <w:tcBorders>
              <w:top w:val="nil"/>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A11E5B">
              <w:rPr>
                <w:rFonts w:ascii="Arial" w:eastAsia="Times New Roman" w:hAnsi="Arial" w:cs="Arial"/>
                <w:b/>
                <w:color w:val="000000"/>
                <w:lang w:eastAsia="en-GB"/>
              </w:rPr>
              <w:t>E145</w:t>
            </w:r>
            <w:r>
              <w:rPr>
                <w:rFonts w:ascii="Arial" w:eastAsia="Times New Roman" w:hAnsi="Arial" w:cs="Arial"/>
                <w:color w:val="000000"/>
                <w:lang w:eastAsia="en-GB"/>
              </w:rPr>
              <w:t xml:space="preserve"> u</w:t>
            </w:r>
            <w:r w:rsidRPr="003E2BAE">
              <w:rPr>
                <w:rFonts w:ascii="Arial" w:eastAsia="Times New Roman" w:hAnsi="Arial" w:cs="Arial"/>
                <w:color w:val="000000"/>
                <w:lang w:eastAsia="en-GB"/>
              </w:rPr>
              <w:t>n</w:t>
            </w:r>
            <w:r>
              <w:rPr>
                <w:rFonts w:ascii="Arial" w:eastAsia="Times New Roman" w:hAnsi="Arial" w:cs="Arial"/>
                <w:color w:val="000000"/>
                <w:lang w:eastAsia="en-GB"/>
              </w:rPr>
              <w:t>specified diabetes,</w:t>
            </w:r>
            <w:r w:rsidRPr="003E2BAE">
              <w:rPr>
                <w:rFonts w:ascii="Arial" w:eastAsia="Times New Roman" w:hAnsi="Arial" w:cs="Arial"/>
                <w:color w:val="000000"/>
                <w:lang w:eastAsia="en-GB"/>
              </w:rPr>
              <w:t xml:space="preserve"> peri</w:t>
            </w:r>
            <w:r>
              <w:rPr>
                <w:rFonts w:ascii="Arial" w:eastAsia="Times New Roman" w:hAnsi="Arial" w:cs="Arial"/>
                <w:color w:val="000000"/>
                <w:lang w:eastAsia="en-GB"/>
              </w:rPr>
              <w:t>pheral circulatory comps.</w:t>
            </w:r>
          </w:p>
        </w:tc>
        <w:tc>
          <w:tcPr>
            <w:tcW w:w="1216"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36%</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29%</w:t>
            </w:r>
          </w:p>
        </w:tc>
        <w:tc>
          <w:tcPr>
            <w:tcW w:w="1238"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-7%</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11%</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13%</w:t>
            </w:r>
          </w:p>
        </w:tc>
        <w:tc>
          <w:tcPr>
            <w:tcW w:w="120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2%</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257</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139</w:t>
            </w:r>
          </w:p>
        </w:tc>
        <w:tc>
          <w:tcPr>
            <w:tcW w:w="987"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-118</w:t>
            </w:r>
          </w:p>
        </w:tc>
      </w:tr>
      <w:tr w:rsidR="00337C4D" w:rsidRPr="003E2BAE" w:rsidTr="00806320">
        <w:trPr>
          <w:trHeight w:val="330"/>
        </w:trPr>
        <w:tc>
          <w:tcPr>
            <w:tcW w:w="6516" w:type="dxa"/>
            <w:tcBorders>
              <w:top w:val="nil"/>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Pr>
                <w:rFonts w:ascii="Arial" w:eastAsia="Times New Roman" w:hAnsi="Arial" w:cs="Arial"/>
                <w:b/>
                <w:color w:val="000000"/>
                <w:lang w:eastAsia="en-GB"/>
              </w:rPr>
              <w:t>E</w:t>
            </w:r>
            <w:r w:rsidRPr="00A11E5B">
              <w:rPr>
                <w:rFonts w:ascii="Arial" w:eastAsia="Times New Roman" w:hAnsi="Arial" w:cs="Arial"/>
                <w:b/>
                <w:color w:val="000000"/>
                <w:lang w:eastAsia="en-GB"/>
              </w:rPr>
              <w:t xml:space="preserve">146 </w:t>
            </w:r>
            <w:r>
              <w:rPr>
                <w:rFonts w:ascii="Arial" w:eastAsia="Times New Roman" w:hAnsi="Arial" w:cs="Arial"/>
                <w:color w:val="000000"/>
                <w:lang w:eastAsia="en-GB"/>
              </w:rPr>
              <w:t>u</w:t>
            </w:r>
            <w:r w:rsidRPr="003E2BAE">
              <w:rPr>
                <w:rFonts w:ascii="Arial" w:eastAsia="Times New Roman" w:hAnsi="Arial" w:cs="Arial"/>
                <w:color w:val="000000"/>
                <w:lang w:eastAsia="en-GB"/>
              </w:rPr>
              <w:t>ns</w:t>
            </w:r>
            <w:r>
              <w:rPr>
                <w:rFonts w:ascii="Arial" w:eastAsia="Times New Roman" w:hAnsi="Arial" w:cs="Arial"/>
                <w:color w:val="000000"/>
                <w:lang w:eastAsia="en-GB"/>
              </w:rPr>
              <w:t xml:space="preserve">pecified diabetes, </w:t>
            </w:r>
            <w:r w:rsidRPr="003E2BAE">
              <w:rPr>
                <w:rFonts w:ascii="Arial" w:eastAsia="Times New Roman" w:hAnsi="Arial" w:cs="Arial"/>
                <w:color w:val="000000"/>
                <w:lang w:eastAsia="en-GB"/>
              </w:rPr>
              <w:t>other specified complications</w:t>
            </w:r>
          </w:p>
        </w:tc>
        <w:tc>
          <w:tcPr>
            <w:tcW w:w="1216"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238"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120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0</w:t>
            </w:r>
          </w:p>
        </w:tc>
        <w:tc>
          <w:tcPr>
            <w:tcW w:w="987"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r>
      <w:tr w:rsidR="00337C4D" w:rsidRPr="003E2BAE" w:rsidTr="00806320">
        <w:trPr>
          <w:trHeight w:val="300"/>
        </w:trPr>
        <w:tc>
          <w:tcPr>
            <w:tcW w:w="6516" w:type="dxa"/>
            <w:tcBorders>
              <w:top w:val="nil"/>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A11E5B">
              <w:rPr>
                <w:rFonts w:ascii="Arial" w:eastAsia="Times New Roman" w:hAnsi="Arial" w:cs="Arial"/>
                <w:b/>
                <w:color w:val="000000"/>
                <w:lang w:eastAsia="en-GB"/>
              </w:rPr>
              <w:t>E147</w:t>
            </w:r>
            <w:r w:rsidRPr="003E2BAE">
              <w:rPr>
                <w:rFonts w:ascii="Arial" w:eastAsia="Times New Roman" w:hAnsi="Arial" w:cs="Arial"/>
                <w:color w:val="000000"/>
                <w:lang w:eastAsia="en-GB"/>
              </w:rPr>
              <w:t xml:space="preserve"> unspecified diabetes with multiple complications</w:t>
            </w:r>
          </w:p>
        </w:tc>
        <w:tc>
          <w:tcPr>
            <w:tcW w:w="1216"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24%</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238"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15%</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120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Pr>
                <w:rFonts w:eastAsia="Times New Roman"/>
                <w:color w:val="000000"/>
                <w:lang w:eastAsia="en-GB"/>
              </w:rPr>
              <w:t>*</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46</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32</w:t>
            </w:r>
          </w:p>
        </w:tc>
        <w:tc>
          <w:tcPr>
            <w:tcW w:w="987"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-14</w:t>
            </w:r>
          </w:p>
        </w:tc>
      </w:tr>
      <w:tr w:rsidR="00337C4D" w:rsidRPr="003E2BAE" w:rsidTr="00806320">
        <w:trPr>
          <w:trHeight w:val="300"/>
        </w:trPr>
        <w:tc>
          <w:tcPr>
            <w:tcW w:w="6516" w:type="dxa"/>
            <w:tcBorders>
              <w:top w:val="nil"/>
              <w:left w:val="single" w:sz="4" w:space="0" w:color="auto"/>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rPr>
                <w:rFonts w:ascii="Arial" w:eastAsia="Times New Roman" w:hAnsi="Arial" w:cs="Arial"/>
                <w:color w:val="000000"/>
                <w:lang w:eastAsia="en-GB"/>
              </w:rPr>
            </w:pPr>
            <w:r w:rsidRPr="00A11E5B">
              <w:rPr>
                <w:rFonts w:ascii="Arial" w:eastAsia="Times New Roman" w:hAnsi="Arial" w:cs="Arial"/>
                <w:b/>
                <w:color w:val="000000"/>
                <w:lang w:eastAsia="en-GB"/>
              </w:rPr>
              <w:t>E149</w:t>
            </w:r>
            <w:r w:rsidRPr="003E2BAE">
              <w:rPr>
                <w:rFonts w:ascii="Arial" w:eastAsia="Times New Roman" w:hAnsi="Arial" w:cs="Arial"/>
                <w:color w:val="000000"/>
                <w:lang w:eastAsia="en-GB"/>
              </w:rPr>
              <w:t xml:space="preserve"> unspecified diabetes without complications</w:t>
            </w:r>
          </w:p>
        </w:tc>
        <w:tc>
          <w:tcPr>
            <w:tcW w:w="1216"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32%</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39%</w:t>
            </w:r>
          </w:p>
        </w:tc>
        <w:tc>
          <w:tcPr>
            <w:tcW w:w="1238"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7%</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12%</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10%</w:t>
            </w:r>
          </w:p>
        </w:tc>
        <w:tc>
          <w:tcPr>
            <w:tcW w:w="120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-2%</w:t>
            </w:r>
          </w:p>
        </w:tc>
        <w:tc>
          <w:tcPr>
            <w:tcW w:w="889"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810</w:t>
            </w:r>
          </w:p>
        </w:tc>
        <w:tc>
          <w:tcPr>
            <w:tcW w:w="1012"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320</w:t>
            </w:r>
          </w:p>
        </w:tc>
        <w:tc>
          <w:tcPr>
            <w:tcW w:w="987" w:type="dxa"/>
            <w:tcBorders>
              <w:top w:val="nil"/>
              <w:left w:val="nil"/>
              <w:bottom w:val="single" w:sz="4" w:space="0" w:color="auto"/>
              <w:right w:val="single" w:sz="4" w:space="0" w:color="auto"/>
            </w:tcBorders>
            <w:shd w:val="clear" w:color="auto" w:fill="auto"/>
            <w:hideMark/>
          </w:tcPr>
          <w:p w:rsidR="00337C4D" w:rsidRPr="003E2BAE" w:rsidRDefault="00337C4D" w:rsidP="00806320">
            <w:pPr>
              <w:spacing w:after="0" w:line="240" w:lineRule="auto"/>
              <w:contextualSpacing/>
              <w:jc w:val="center"/>
              <w:rPr>
                <w:rFonts w:ascii="Arial" w:eastAsia="Times New Roman" w:hAnsi="Arial" w:cs="Arial"/>
                <w:color w:val="000000"/>
                <w:lang w:eastAsia="en-GB"/>
              </w:rPr>
            </w:pPr>
            <w:r w:rsidRPr="003E2BAE">
              <w:rPr>
                <w:rFonts w:ascii="Arial" w:eastAsia="Times New Roman" w:hAnsi="Arial" w:cs="Arial"/>
                <w:color w:val="000000"/>
                <w:lang w:eastAsia="en-GB"/>
              </w:rPr>
              <w:t>-490</w:t>
            </w:r>
          </w:p>
        </w:tc>
      </w:tr>
    </w:tbl>
    <w:p w:rsidR="00337C4D" w:rsidRDefault="00337C4D" w:rsidP="00337C4D">
      <w:pPr>
        <w:contextualSpacing/>
        <w:rPr>
          <w:rFonts w:ascii="Arial" w:eastAsia="Times New Roman" w:hAnsi="Arial" w:cs="Arial"/>
          <w:b/>
          <w:color w:val="000000"/>
          <w:lang w:eastAsia="en-GB"/>
        </w:rPr>
      </w:pPr>
      <w:r>
        <w:rPr>
          <w:rFonts w:ascii="Arial" w:eastAsia="Times New Roman" w:hAnsi="Arial" w:cs="Arial"/>
          <w:b/>
          <w:color w:val="000000"/>
          <w:lang w:eastAsia="en-GB"/>
        </w:rPr>
        <w:t>Notes: A</w:t>
      </w:r>
      <w:r w:rsidRPr="004E5398">
        <w:rPr>
          <w:rFonts w:ascii="Arial" w:eastAsia="Times New Roman" w:hAnsi="Arial" w:cs="Arial"/>
          <w:b/>
          <w:color w:val="000000"/>
          <w:lang w:eastAsia="en-GB"/>
        </w:rPr>
        <w:t>ll numbers are presented as a percentage of the total</w:t>
      </w:r>
      <w:r>
        <w:rPr>
          <w:rFonts w:ascii="Arial" w:eastAsia="Times New Roman" w:hAnsi="Arial" w:cs="Arial"/>
          <w:b/>
          <w:color w:val="000000"/>
          <w:lang w:eastAsia="en-GB"/>
        </w:rPr>
        <w:t xml:space="preserve"> overall deaths</w:t>
      </w:r>
      <w:r w:rsidRPr="004E5398">
        <w:rPr>
          <w:rFonts w:ascii="Arial" w:eastAsia="Times New Roman" w:hAnsi="Arial" w:cs="Arial"/>
          <w:b/>
          <w:color w:val="000000"/>
          <w:lang w:eastAsia="en-GB"/>
        </w:rPr>
        <w:t xml:space="preserve"> for that ICD-10 code</w:t>
      </w:r>
    </w:p>
    <w:p w:rsidR="00337C4D" w:rsidRPr="004E5398" w:rsidRDefault="00337C4D" w:rsidP="00337C4D">
      <w:pPr>
        <w:contextualSpacing/>
        <w:rPr>
          <w:rFonts w:ascii="Arial" w:hAnsi="Arial" w:cs="Arial"/>
          <w:b/>
        </w:rPr>
      </w:pPr>
      <w:r>
        <w:rPr>
          <w:rFonts w:ascii="Arial" w:eastAsia="Times New Roman" w:hAnsi="Arial" w:cs="Arial"/>
          <w:b/>
          <w:color w:val="000000"/>
          <w:lang w:eastAsia="en-GB"/>
        </w:rPr>
        <w:t xml:space="preserve">            Data derived from patient numbers between 1 and 4 are omitted for confidentiality purposes, and displayed as </w:t>
      </w:r>
      <w:r w:rsidRPr="00B26969">
        <w:rPr>
          <w:rFonts w:eastAsia="Times New Roman"/>
          <w:b/>
          <w:color w:val="000000"/>
          <w:lang w:eastAsia="en-GB"/>
        </w:rPr>
        <w:t>*</w:t>
      </w:r>
    </w:p>
    <w:p w:rsidR="00337C4D" w:rsidRDefault="00337C4D" w:rsidP="00337C4D">
      <w:pPr>
        <w:contextualSpacing/>
        <w:rPr>
          <w:rFonts w:ascii="Arial" w:eastAsia="Times New Roman" w:hAnsi="Arial" w:cs="Arial"/>
          <w:b/>
          <w:color w:val="000000"/>
          <w:lang w:eastAsia="en-GB"/>
        </w:rPr>
      </w:pPr>
    </w:p>
    <w:p w:rsidR="00337C4D" w:rsidRDefault="00337C4D" w:rsidP="00337C4D">
      <w:pPr>
        <w:contextualSpacing/>
      </w:pPr>
    </w:p>
    <w:p w:rsidR="00337C4D" w:rsidRPr="003E4EE6" w:rsidRDefault="00337C4D" w:rsidP="003E4EE6">
      <w:pPr>
        <w:tabs>
          <w:tab w:val="left" w:pos="4042"/>
        </w:tabs>
        <w:rPr>
          <w:rFonts w:ascii="AdobePiStd" w:hAnsi="AdobePiStd" w:cs="AdobePiStd"/>
          <w:sz w:val="14"/>
          <w:szCs w:val="14"/>
        </w:rPr>
      </w:pPr>
    </w:p>
    <w:sectPr w:rsidR="00337C4D" w:rsidRPr="003E4EE6" w:rsidSect="004F47A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455" w:rsidRDefault="00FD4455" w:rsidP="003E4EE6">
      <w:pPr>
        <w:spacing w:after="0" w:line="240" w:lineRule="auto"/>
      </w:pPr>
      <w:r>
        <w:separator/>
      </w:r>
    </w:p>
  </w:endnote>
  <w:endnote w:type="continuationSeparator" w:id="0">
    <w:p w:rsidR="00FD4455" w:rsidRDefault="00FD4455" w:rsidP="003E4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dobePiSt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455" w:rsidRDefault="00FD4455" w:rsidP="003E4EE6">
      <w:pPr>
        <w:spacing w:after="0" w:line="240" w:lineRule="auto"/>
      </w:pPr>
      <w:r>
        <w:separator/>
      </w:r>
    </w:p>
  </w:footnote>
  <w:footnote w:type="continuationSeparator" w:id="0">
    <w:p w:rsidR="00FD4455" w:rsidRDefault="00FD4455" w:rsidP="003E4E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91E"/>
    <w:rsid w:val="001263D1"/>
    <w:rsid w:val="00171244"/>
    <w:rsid w:val="00253025"/>
    <w:rsid w:val="002B04F8"/>
    <w:rsid w:val="00337C4D"/>
    <w:rsid w:val="003E4EE6"/>
    <w:rsid w:val="004A1ABD"/>
    <w:rsid w:val="005B5ADE"/>
    <w:rsid w:val="006D7F34"/>
    <w:rsid w:val="007264B0"/>
    <w:rsid w:val="00792C34"/>
    <w:rsid w:val="007C6FFE"/>
    <w:rsid w:val="00836440"/>
    <w:rsid w:val="00863ACF"/>
    <w:rsid w:val="008C07AB"/>
    <w:rsid w:val="009167BF"/>
    <w:rsid w:val="0095019F"/>
    <w:rsid w:val="00955615"/>
    <w:rsid w:val="009D4A41"/>
    <w:rsid w:val="009F6BC1"/>
    <w:rsid w:val="00A47B48"/>
    <w:rsid w:val="00A531C5"/>
    <w:rsid w:val="00AA2727"/>
    <w:rsid w:val="00B6668B"/>
    <w:rsid w:val="00C147FF"/>
    <w:rsid w:val="00C55369"/>
    <w:rsid w:val="00C678DD"/>
    <w:rsid w:val="00C937CD"/>
    <w:rsid w:val="00CB5FFF"/>
    <w:rsid w:val="00CD091E"/>
    <w:rsid w:val="00D35534"/>
    <w:rsid w:val="00DA0809"/>
    <w:rsid w:val="00E77DF1"/>
    <w:rsid w:val="00FD4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534"/>
    <w:rPr>
      <w:color w:val="0000FF" w:themeColor="hyperlink"/>
      <w:u w:val="single"/>
    </w:rPr>
  </w:style>
  <w:style w:type="character" w:styleId="CommentReference">
    <w:name w:val="annotation reference"/>
    <w:basedOn w:val="DefaultParagraphFont"/>
    <w:uiPriority w:val="99"/>
    <w:semiHidden/>
    <w:unhideWhenUsed/>
    <w:rsid w:val="00171244"/>
    <w:rPr>
      <w:sz w:val="16"/>
      <w:szCs w:val="16"/>
    </w:rPr>
  </w:style>
  <w:style w:type="paragraph" w:styleId="CommentText">
    <w:name w:val="annotation text"/>
    <w:basedOn w:val="Normal"/>
    <w:link w:val="CommentTextChar"/>
    <w:uiPriority w:val="99"/>
    <w:semiHidden/>
    <w:unhideWhenUsed/>
    <w:rsid w:val="00171244"/>
    <w:pPr>
      <w:spacing w:line="240" w:lineRule="auto"/>
    </w:pPr>
    <w:rPr>
      <w:sz w:val="20"/>
      <w:szCs w:val="20"/>
    </w:rPr>
  </w:style>
  <w:style w:type="character" w:customStyle="1" w:styleId="CommentTextChar">
    <w:name w:val="Comment Text Char"/>
    <w:basedOn w:val="DefaultParagraphFont"/>
    <w:link w:val="CommentText"/>
    <w:uiPriority w:val="99"/>
    <w:semiHidden/>
    <w:rsid w:val="00171244"/>
    <w:rPr>
      <w:sz w:val="20"/>
      <w:szCs w:val="20"/>
    </w:rPr>
  </w:style>
  <w:style w:type="paragraph" w:styleId="CommentSubject">
    <w:name w:val="annotation subject"/>
    <w:basedOn w:val="CommentText"/>
    <w:next w:val="CommentText"/>
    <w:link w:val="CommentSubjectChar"/>
    <w:uiPriority w:val="99"/>
    <w:semiHidden/>
    <w:unhideWhenUsed/>
    <w:rsid w:val="00171244"/>
    <w:rPr>
      <w:b/>
      <w:bCs/>
    </w:rPr>
  </w:style>
  <w:style w:type="character" w:customStyle="1" w:styleId="CommentSubjectChar">
    <w:name w:val="Comment Subject Char"/>
    <w:basedOn w:val="CommentTextChar"/>
    <w:link w:val="CommentSubject"/>
    <w:uiPriority w:val="99"/>
    <w:semiHidden/>
    <w:rsid w:val="00171244"/>
    <w:rPr>
      <w:b/>
      <w:bCs/>
      <w:sz w:val="20"/>
      <w:szCs w:val="20"/>
    </w:rPr>
  </w:style>
  <w:style w:type="paragraph" w:styleId="BalloonText">
    <w:name w:val="Balloon Text"/>
    <w:basedOn w:val="Normal"/>
    <w:link w:val="BalloonTextChar"/>
    <w:uiPriority w:val="99"/>
    <w:semiHidden/>
    <w:unhideWhenUsed/>
    <w:rsid w:val="00171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244"/>
    <w:rPr>
      <w:rFonts w:ascii="Tahoma" w:hAnsi="Tahoma" w:cs="Tahoma"/>
      <w:sz w:val="16"/>
      <w:szCs w:val="16"/>
    </w:rPr>
  </w:style>
  <w:style w:type="character" w:customStyle="1" w:styleId="value">
    <w:name w:val="value"/>
    <w:basedOn w:val="DefaultParagraphFont"/>
    <w:rsid w:val="00955615"/>
  </w:style>
  <w:style w:type="paragraph" w:customStyle="1" w:styleId="Default">
    <w:name w:val="Default"/>
    <w:rsid w:val="003E4EE6"/>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Header">
    <w:name w:val="header"/>
    <w:basedOn w:val="Normal"/>
    <w:link w:val="HeaderChar"/>
    <w:uiPriority w:val="99"/>
    <w:unhideWhenUsed/>
    <w:rsid w:val="003E4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EE6"/>
  </w:style>
  <w:style w:type="paragraph" w:styleId="Footer">
    <w:name w:val="footer"/>
    <w:basedOn w:val="Normal"/>
    <w:link w:val="FooterChar"/>
    <w:uiPriority w:val="99"/>
    <w:unhideWhenUsed/>
    <w:rsid w:val="003E4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E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534"/>
    <w:rPr>
      <w:color w:val="0000FF" w:themeColor="hyperlink"/>
      <w:u w:val="single"/>
    </w:rPr>
  </w:style>
  <w:style w:type="character" w:styleId="CommentReference">
    <w:name w:val="annotation reference"/>
    <w:basedOn w:val="DefaultParagraphFont"/>
    <w:uiPriority w:val="99"/>
    <w:semiHidden/>
    <w:unhideWhenUsed/>
    <w:rsid w:val="00171244"/>
    <w:rPr>
      <w:sz w:val="16"/>
      <w:szCs w:val="16"/>
    </w:rPr>
  </w:style>
  <w:style w:type="paragraph" w:styleId="CommentText">
    <w:name w:val="annotation text"/>
    <w:basedOn w:val="Normal"/>
    <w:link w:val="CommentTextChar"/>
    <w:uiPriority w:val="99"/>
    <w:semiHidden/>
    <w:unhideWhenUsed/>
    <w:rsid w:val="00171244"/>
    <w:pPr>
      <w:spacing w:line="240" w:lineRule="auto"/>
    </w:pPr>
    <w:rPr>
      <w:sz w:val="20"/>
      <w:szCs w:val="20"/>
    </w:rPr>
  </w:style>
  <w:style w:type="character" w:customStyle="1" w:styleId="CommentTextChar">
    <w:name w:val="Comment Text Char"/>
    <w:basedOn w:val="DefaultParagraphFont"/>
    <w:link w:val="CommentText"/>
    <w:uiPriority w:val="99"/>
    <w:semiHidden/>
    <w:rsid w:val="00171244"/>
    <w:rPr>
      <w:sz w:val="20"/>
      <w:szCs w:val="20"/>
    </w:rPr>
  </w:style>
  <w:style w:type="paragraph" w:styleId="CommentSubject">
    <w:name w:val="annotation subject"/>
    <w:basedOn w:val="CommentText"/>
    <w:next w:val="CommentText"/>
    <w:link w:val="CommentSubjectChar"/>
    <w:uiPriority w:val="99"/>
    <w:semiHidden/>
    <w:unhideWhenUsed/>
    <w:rsid w:val="00171244"/>
    <w:rPr>
      <w:b/>
      <w:bCs/>
    </w:rPr>
  </w:style>
  <w:style w:type="character" w:customStyle="1" w:styleId="CommentSubjectChar">
    <w:name w:val="Comment Subject Char"/>
    <w:basedOn w:val="CommentTextChar"/>
    <w:link w:val="CommentSubject"/>
    <w:uiPriority w:val="99"/>
    <w:semiHidden/>
    <w:rsid w:val="00171244"/>
    <w:rPr>
      <w:b/>
      <w:bCs/>
      <w:sz w:val="20"/>
      <w:szCs w:val="20"/>
    </w:rPr>
  </w:style>
  <w:style w:type="paragraph" w:styleId="BalloonText">
    <w:name w:val="Balloon Text"/>
    <w:basedOn w:val="Normal"/>
    <w:link w:val="BalloonTextChar"/>
    <w:uiPriority w:val="99"/>
    <w:semiHidden/>
    <w:unhideWhenUsed/>
    <w:rsid w:val="00171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244"/>
    <w:rPr>
      <w:rFonts w:ascii="Tahoma" w:hAnsi="Tahoma" w:cs="Tahoma"/>
      <w:sz w:val="16"/>
      <w:szCs w:val="16"/>
    </w:rPr>
  </w:style>
  <w:style w:type="character" w:customStyle="1" w:styleId="value">
    <w:name w:val="value"/>
    <w:basedOn w:val="DefaultParagraphFont"/>
    <w:rsid w:val="00955615"/>
  </w:style>
  <w:style w:type="paragraph" w:customStyle="1" w:styleId="Default">
    <w:name w:val="Default"/>
    <w:rsid w:val="003E4EE6"/>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Header">
    <w:name w:val="header"/>
    <w:basedOn w:val="Normal"/>
    <w:link w:val="HeaderChar"/>
    <w:uiPriority w:val="99"/>
    <w:unhideWhenUsed/>
    <w:rsid w:val="003E4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EE6"/>
  </w:style>
  <w:style w:type="paragraph" w:styleId="Footer">
    <w:name w:val="footer"/>
    <w:basedOn w:val="Normal"/>
    <w:link w:val="FooterChar"/>
    <w:uiPriority w:val="99"/>
    <w:unhideWhenUsed/>
    <w:rsid w:val="003E4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7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fleetcroft@nh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ert.fleetcroft@nhs.net" TargetMode="External"/><Relationship Id="rId12"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https://www.gov.uk/drug-safety-update/sglt2-inhibitors-updated-advice-on-the-risk-of-diabetic-ketoacidosis" TargetMode="External"/><Relationship Id="rId4" Type="http://schemas.openxmlformats.org/officeDocument/2006/relationships/webSettings" Target="webSettings.xml"/><Relationship Id="rId9" Type="http://schemas.openxmlformats.org/officeDocument/2006/relationships/hyperlink" Target="http://www.aihw.gov.au/diabetes/death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5118</Words>
  <Characters>29173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3</cp:revision>
  <dcterms:created xsi:type="dcterms:W3CDTF">2016-08-24T12:40:00Z</dcterms:created>
  <dcterms:modified xsi:type="dcterms:W3CDTF">2016-08-24T12:41:00Z</dcterms:modified>
</cp:coreProperties>
</file>