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F55123" w:rsidRPr="00AC3FD6" w:rsidTr="007406BB">
        <w:trPr>
          <w:jc w:val="center"/>
        </w:trPr>
        <w:tc>
          <w:tcPr>
            <w:tcW w:w="9360" w:type="dxa"/>
            <w:gridSpan w:val="5"/>
          </w:tcPr>
          <w:p w:rsidR="00F55123" w:rsidRPr="00AC3FD6" w:rsidRDefault="00F55123" w:rsidP="00FE431D">
            <w:pPr>
              <w:rPr>
                <w:rFonts w:cs="Times New Roman"/>
                <w:b/>
                <w:sz w:val="20"/>
                <w:szCs w:val="20"/>
              </w:rPr>
            </w:pPr>
            <w:r w:rsidRPr="00AC3FD6">
              <w:rPr>
                <w:rFonts w:cs="Times New Roman"/>
                <w:b/>
                <w:sz w:val="20"/>
                <w:szCs w:val="20"/>
              </w:rPr>
              <w:t>T</w:t>
            </w:r>
            <w:r w:rsidR="00FE431D">
              <w:rPr>
                <w:rFonts w:cs="Times New Roman"/>
                <w:b/>
                <w:sz w:val="20"/>
                <w:szCs w:val="20"/>
              </w:rPr>
              <w:t>able</w:t>
            </w:r>
            <w:r w:rsidRPr="00AC3FD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C3FD6" w:rsidRPr="00AC3FD6">
              <w:rPr>
                <w:rFonts w:cs="Times New Roman"/>
                <w:b/>
                <w:sz w:val="20"/>
                <w:szCs w:val="20"/>
              </w:rPr>
              <w:t>3</w:t>
            </w:r>
            <w:r w:rsidRPr="00AC3FD6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="00222CEF" w:rsidRPr="00AC3FD6">
              <w:rPr>
                <w:rFonts w:cs="Times New Roman"/>
                <w:b/>
                <w:sz w:val="20"/>
                <w:szCs w:val="20"/>
              </w:rPr>
              <w:t>The country value</w:t>
            </w:r>
            <w:r w:rsidR="00577B5F" w:rsidRPr="00AC3FD6">
              <w:rPr>
                <w:rFonts w:cs="Times New Roman"/>
                <w:b/>
                <w:sz w:val="20"/>
                <w:szCs w:val="20"/>
              </w:rPr>
              <w:t xml:space="preserve">s </w:t>
            </w:r>
            <w:r w:rsidR="00222CEF" w:rsidRPr="00AC3FD6">
              <w:rPr>
                <w:rFonts w:cs="Times New Roman"/>
                <w:b/>
                <w:sz w:val="20"/>
                <w:szCs w:val="20"/>
              </w:rPr>
              <w:t>of median earnings</w:t>
            </w:r>
            <w:r w:rsidRPr="00AC3FD6">
              <w:rPr>
                <w:rFonts w:cs="Times New Roman"/>
                <w:b/>
                <w:sz w:val="20"/>
                <w:szCs w:val="20"/>
              </w:rPr>
              <w:t xml:space="preserve">, housing costs, and poverty thresholds used </w:t>
            </w:r>
            <w:r w:rsidR="00577B5F" w:rsidRPr="00AC3FD6">
              <w:rPr>
                <w:rFonts w:cs="Times New Roman"/>
                <w:b/>
                <w:sz w:val="20"/>
                <w:szCs w:val="20"/>
              </w:rPr>
              <w:t xml:space="preserve">in </w:t>
            </w:r>
            <w:r w:rsidR="00222CEF" w:rsidRPr="00AC3FD6">
              <w:rPr>
                <w:rFonts w:cs="Times New Roman"/>
                <w:b/>
                <w:sz w:val="20"/>
                <w:szCs w:val="20"/>
              </w:rPr>
              <w:t xml:space="preserve">calculating total incomes </w:t>
            </w:r>
            <w:r w:rsidRPr="00AC3FD6">
              <w:rPr>
                <w:rFonts w:cs="Times New Roman"/>
                <w:b/>
                <w:sz w:val="20"/>
                <w:szCs w:val="20"/>
              </w:rPr>
              <w:t xml:space="preserve">in </w:t>
            </w:r>
            <w:r w:rsidR="00222CEF" w:rsidRPr="00AC3FD6">
              <w:rPr>
                <w:rFonts w:cs="Times New Roman"/>
                <w:b/>
                <w:sz w:val="20"/>
                <w:szCs w:val="20"/>
              </w:rPr>
              <w:t xml:space="preserve">the 10 scenarios in the </w:t>
            </w:r>
            <w:r w:rsidRPr="00AC3FD6">
              <w:rPr>
                <w:rFonts w:cs="Times New Roman"/>
                <w:b/>
                <w:sz w:val="20"/>
                <w:szCs w:val="20"/>
              </w:rPr>
              <w:t>vignette</w:t>
            </w:r>
            <w:r w:rsidR="00222CEF" w:rsidRPr="00AC3FD6">
              <w:rPr>
                <w:rFonts w:cs="Times New Roman"/>
                <w:b/>
                <w:sz w:val="20"/>
                <w:szCs w:val="20"/>
              </w:rPr>
              <w:t xml:space="preserve"> family </w:t>
            </w:r>
          </w:p>
        </w:tc>
      </w:tr>
      <w:tr w:rsidR="00F55123" w:rsidRPr="00AC3FD6" w:rsidTr="007406BB">
        <w:trPr>
          <w:jc w:val="center"/>
        </w:trPr>
        <w:tc>
          <w:tcPr>
            <w:tcW w:w="3600" w:type="dxa"/>
            <w:tcBorders>
              <w:top w:val="single" w:sz="12" w:space="0" w:color="auto"/>
              <w:bottom w:val="single" w:sz="8" w:space="0" w:color="auto"/>
            </w:tcBorders>
          </w:tcPr>
          <w:p w:rsidR="00F55123" w:rsidRPr="00AC3FD6" w:rsidRDefault="00F55123" w:rsidP="007406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55123" w:rsidRPr="00AC3FD6" w:rsidRDefault="00F55123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United Kingdom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55123" w:rsidRPr="00AC3FD6" w:rsidRDefault="00F55123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United States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55123" w:rsidRPr="00AC3FD6" w:rsidRDefault="00F55123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55123" w:rsidRPr="00AC3FD6" w:rsidRDefault="00F55123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New Zealand</w:t>
            </w:r>
          </w:p>
        </w:tc>
      </w:tr>
      <w:tr w:rsidR="00F55123" w:rsidRPr="00AC3FD6" w:rsidTr="007406BB">
        <w:trPr>
          <w:jc w:val="center"/>
        </w:trPr>
        <w:tc>
          <w:tcPr>
            <w:tcW w:w="3600" w:type="dxa"/>
            <w:tcBorders>
              <w:top w:val="single" w:sz="8" w:space="0" w:color="auto"/>
            </w:tcBorders>
          </w:tcPr>
          <w:p w:rsidR="00F55123" w:rsidRPr="00AC3FD6" w:rsidRDefault="00F55123" w:rsidP="007406BB">
            <w:pPr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Median female full-time earnings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23,600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33,747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37,804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37,804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53,300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36,256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47,008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33,137</w:t>
            </w:r>
          </w:p>
        </w:tc>
      </w:tr>
      <w:tr w:rsidR="00F55123" w:rsidRPr="00AC3FD6" w:rsidTr="007406BB">
        <w:trPr>
          <w:jc w:val="center"/>
        </w:trPr>
        <w:tc>
          <w:tcPr>
            <w:tcW w:w="3600" w:type="dxa"/>
          </w:tcPr>
          <w:p w:rsidR="00F55123" w:rsidRPr="00AC3FD6" w:rsidRDefault="00F55123" w:rsidP="007406BB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AC3FD6">
              <w:rPr>
                <w:rFonts w:cs="Times New Roman"/>
                <w:sz w:val="20"/>
                <w:szCs w:val="20"/>
              </w:rPr>
              <w:t>Median part-time female earnings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8,736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12,492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14,148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14,148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23,972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16,306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17,950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12,653</w:t>
            </w:r>
          </w:p>
        </w:tc>
      </w:tr>
      <w:tr w:rsidR="00F55123" w:rsidRPr="00AC3FD6" w:rsidTr="007406BB">
        <w:trPr>
          <w:jc w:val="center"/>
        </w:trPr>
        <w:tc>
          <w:tcPr>
            <w:tcW w:w="3600" w:type="dxa"/>
          </w:tcPr>
          <w:p w:rsidR="00F55123" w:rsidRPr="00AC3FD6" w:rsidRDefault="00F55123" w:rsidP="007406BB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AC3FD6">
              <w:rPr>
                <w:rFonts w:cs="Times New Roman"/>
                <w:sz w:val="20"/>
                <w:szCs w:val="20"/>
              </w:rPr>
              <w:t>Median male full-time earnings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29,300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41,898</w:t>
            </w:r>
          </w:p>
        </w:tc>
        <w:tc>
          <w:tcPr>
            <w:tcW w:w="1440" w:type="dxa"/>
            <w:shd w:val="clear" w:color="auto" w:fill="auto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47,316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47,316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65,000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44,215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54,860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38,672</w:t>
            </w:r>
          </w:p>
        </w:tc>
      </w:tr>
      <w:tr w:rsidR="00F55123" w:rsidRPr="00AC3FD6" w:rsidTr="007406BB">
        <w:trPr>
          <w:jc w:val="center"/>
        </w:trPr>
        <w:tc>
          <w:tcPr>
            <w:tcW w:w="3600" w:type="dxa"/>
          </w:tcPr>
          <w:p w:rsidR="00F55123" w:rsidRPr="00AC3FD6" w:rsidRDefault="00F55123" w:rsidP="00470391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Annual rent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8,316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11,891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9,936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9,936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13,936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9,480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14,560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10,264</w:t>
            </w:r>
          </w:p>
        </w:tc>
      </w:tr>
      <w:tr w:rsidR="00F55123" w:rsidRPr="00AC3FD6" w:rsidTr="007406BB">
        <w:trPr>
          <w:jc w:val="center"/>
        </w:trPr>
        <w:tc>
          <w:tcPr>
            <w:tcW w:w="3600" w:type="dxa"/>
            <w:tcBorders>
              <w:bottom w:val="single" w:sz="8" w:space="0" w:color="auto"/>
            </w:tcBorders>
          </w:tcPr>
          <w:p w:rsidR="00F55123" w:rsidRPr="00AC3FD6" w:rsidRDefault="00F55123" w:rsidP="007406BB">
            <w:pPr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Poverty threshold, family of two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 xml:space="preserve">13,680 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19,562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25,757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25,757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38,736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26,349</w:t>
            </w:r>
          </w:p>
        </w:tc>
        <w:tc>
          <w:tcPr>
            <w:tcW w:w="1440" w:type="dxa"/>
          </w:tcPr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sz w:val="20"/>
                <w:szCs w:val="20"/>
              </w:rPr>
              <w:t>31,365</w:t>
            </w:r>
          </w:p>
          <w:p w:rsidR="00F55123" w:rsidRPr="00AC3FD6" w:rsidRDefault="00F55123" w:rsidP="007406BB">
            <w:pPr>
              <w:tabs>
                <w:tab w:val="decimal" w:pos="875"/>
              </w:tabs>
              <w:rPr>
                <w:rFonts w:cs="Times New Roman"/>
                <w:i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22,110</w:t>
            </w:r>
          </w:p>
        </w:tc>
      </w:tr>
      <w:tr w:rsidR="00F55123" w:rsidRPr="00AC3FD6" w:rsidTr="007406BB">
        <w:trPr>
          <w:jc w:val="center"/>
        </w:trPr>
        <w:tc>
          <w:tcPr>
            <w:tcW w:w="9360" w:type="dxa"/>
            <w:gridSpan w:val="5"/>
            <w:tcBorders>
              <w:top w:val="single" w:sz="8" w:space="0" w:color="auto"/>
            </w:tcBorders>
          </w:tcPr>
          <w:p w:rsidR="00F55123" w:rsidRPr="00AC3FD6" w:rsidRDefault="00F55123" w:rsidP="007406BB">
            <w:pPr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Notes</w:t>
            </w:r>
            <w:r w:rsidRPr="00AC3FD6">
              <w:rPr>
                <w:rFonts w:cs="Times New Roman"/>
                <w:sz w:val="20"/>
                <w:szCs w:val="20"/>
              </w:rPr>
              <w:t>: The first figure in each cell is</w:t>
            </w:r>
            <w:r w:rsidR="00222CEF" w:rsidRPr="00AC3FD6">
              <w:rPr>
                <w:rFonts w:cs="Times New Roman"/>
                <w:sz w:val="20"/>
                <w:szCs w:val="20"/>
              </w:rPr>
              <w:t xml:space="preserve"> in each country’s own currency</w:t>
            </w:r>
            <w:r w:rsidRPr="00AC3FD6">
              <w:rPr>
                <w:rFonts w:cs="Times New Roman"/>
                <w:sz w:val="20"/>
                <w:szCs w:val="20"/>
              </w:rPr>
              <w:t>; the second figures (italicized) are in purchasing power parity-adjusted US dollars for 2014 (authors’ calculations).</w:t>
            </w:r>
          </w:p>
          <w:p w:rsidR="00577B5F" w:rsidRPr="00AC3FD6" w:rsidRDefault="00F55123" w:rsidP="00577B5F">
            <w:pPr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Sourc</w:t>
            </w:r>
            <w:r w:rsidR="00577B5F" w:rsidRPr="00AC3FD6">
              <w:rPr>
                <w:rFonts w:cs="Times New Roman"/>
                <w:i/>
                <w:sz w:val="20"/>
                <w:szCs w:val="20"/>
              </w:rPr>
              <w:t>e fo</w:t>
            </w:r>
            <w:r w:rsidR="006E697E" w:rsidRPr="00AC3FD6">
              <w:rPr>
                <w:rFonts w:cs="Times New Roman"/>
                <w:i/>
                <w:sz w:val="20"/>
                <w:szCs w:val="20"/>
              </w:rPr>
              <w:t>r earnings values</w:t>
            </w:r>
            <w:r w:rsidR="00577B5F" w:rsidRPr="00AC3FD6">
              <w:rPr>
                <w:rFonts w:cs="Times New Roman"/>
                <w:i/>
                <w:sz w:val="20"/>
                <w:szCs w:val="20"/>
              </w:rPr>
              <w:t>:</w:t>
            </w:r>
            <w:r w:rsidRPr="00AC3FD6">
              <w:rPr>
                <w:rFonts w:cs="Times New Roman"/>
                <w:sz w:val="20"/>
                <w:szCs w:val="20"/>
              </w:rPr>
              <w:t xml:space="preserve"> UK Office</w:t>
            </w:r>
            <w:r w:rsidR="006E697E" w:rsidRPr="00AC3FD6">
              <w:rPr>
                <w:rFonts w:cs="Times New Roman"/>
                <w:sz w:val="20"/>
                <w:szCs w:val="20"/>
              </w:rPr>
              <w:t xml:space="preserve"> for National Statistics, 2013</w:t>
            </w:r>
            <w:r w:rsidR="00577B5F" w:rsidRPr="00AC3FD6">
              <w:rPr>
                <w:rFonts w:cs="Times New Roman"/>
                <w:sz w:val="20"/>
                <w:szCs w:val="20"/>
              </w:rPr>
              <w:t xml:space="preserve">; US Bureau of </w:t>
            </w:r>
            <w:proofErr w:type="spellStart"/>
            <w:r w:rsidR="00577B5F" w:rsidRPr="00AC3FD6">
              <w:rPr>
                <w:rFonts w:cs="Times New Roman"/>
                <w:sz w:val="20"/>
                <w:szCs w:val="20"/>
              </w:rPr>
              <w:t>Labor</w:t>
            </w:r>
            <w:proofErr w:type="spellEnd"/>
            <w:r w:rsidR="00577B5F" w:rsidRPr="00AC3FD6">
              <w:rPr>
                <w:rFonts w:cs="Times New Roman"/>
                <w:sz w:val="20"/>
                <w:szCs w:val="20"/>
              </w:rPr>
              <w:t xml:space="preserve"> Statistics, 2013; Australian Bureau of Statistics, 2013; Statistics New Zealand, 2014.</w:t>
            </w:r>
            <w:r w:rsidRPr="00AC3FD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77B5F" w:rsidRPr="00AC3FD6" w:rsidRDefault="00577B5F" w:rsidP="00577B5F">
            <w:pPr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>Rental Values:</w:t>
            </w:r>
            <w:r w:rsidRPr="00AC3FD6">
              <w:rPr>
                <w:rFonts w:cs="Times New Roman"/>
                <w:sz w:val="20"/>
                <w:szCs w:val="20"/>
              </w:rPr>
              <w:t xml:space="preserve"> these were calculated separately for each country based on ‘typical’ mid-range private rental cost</w:t>
            </w:r>
            <w:r w:rsidR="006E697E" w:rsidRPr="00AC3FD6">
              <w:rPr>
                <w:rFonts w:cs="Times New Roman"/>
                <w:sz w:val="20"/>
                <w:szCs w:val="20"/>
              </w:rPr>
              <w:t>s</w:t>
            </w:r>
            <w:r w:rsidRPr="00AC3FD6">
              <w:rPr>
                <w:rFonts w:cs="Times New Roman"/>
                <w:sz w:val="20"/>
                <w:szCs w:val="20"/>
              </w:rPr>
              <w:t xml:space="preserve"> for a two bedroomed apartment in an urban area. </w:t>
            </w:r>
          </w:p>
          <w:p w:rsidR="006E697E" w:rsidRPr="00AC3FD6" w:rsidRDefault="006E697E" w:rsidP="006E697E">
            <w:pPr>
              <w:rPr>
                <w:rFonts w:cs="Times New Roman"/>
                <w:sz w:val="20"/>
                <w:szCs w:val="20"/>
              </w:rPr>
            </w:pPr>
            <w:r w:rsidRPr="00AC3FD6">
              <w:rPr>
                <w:rFonts w:cs="Times New Roman"/>
                <w:i/>
                <w:sz w:val="20"/>
                <w:szCs w:val="20"/>
              </w:rPr>
              <w:t xml:space="preserve">Poverty Threshold: </w:t>
            </w:r>
            <w:r w:rsidRPr="00AC3FD6">
              <w:rPr>
                <w:rFonts w:cs="Times New Roman"/>
                <w:sz w:val="20"/>
                <w:szCs w:val="20"/>
              </w:rPr>
              <w:t xml:space="preserve">based on 60 per cent of the </w:t>
            </w:r>
            <w:proofErr w:type="spellStart"/>
            <w:r w:rsidRPr="00AC3FD6">
              <w:rPr>
                <w:rFonts w:cs="Times New Roman"/>
                <w:sz w:val="20"/>
                <w:szCs w:val="20"/>
              </w:rPr>
              <w:t>equivalised</w:t>
            </w:r>
            <w:proofErr w:type="spellEnd"/>
            <w:r w:rsidRPr="00AC3FD6">
              <w:rPr>
                <w:rFonts w:cs="Times New Roman"/>
                <w:sz w:val="20"/>
                <w:szCs w:val="20"/>
              </w:rPr>
              <w:t xml:space="preserve"> net income for a family of two.</w:t>
            </w:r>
          </w:p>
          <w:p w:rsidR="00F55123" w:rsidRPr="00AC3FD6" w:rsidRDefault="00F55123" w:rsidP="006E697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B5CE3" w:rsidRPr="00222CEF" w:rsidRDefault="002B5CE3">
      <w:pPr>
        <w:rPr>
          <w:sz w:val="20"/>
          <w:szCs w:val="20"/>
        </w:rPr>
      </w:pPr>
    </w:p>
    <w:sectPr w:rsidR="002B5CE3" w:rsidRPr="00222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112871"/>
    <w:rsid w:val="00222CEF"/>
    <w:rsid w:val="002B5CE3"/>
    <w:rsid w:val="003C6853"/>
    <w:rsid w:val="003E0441"/>
    <w:rsid w:val="00470391"/>
    <w:rsid w:val="00577B5F"/>
    <w:rsid w:val="006E697E"/>
    <w:rsid w:val="00AC3FD6"/>
    <w:rsid w:val="00AC702F"/>
    <w:rsid w:val="00C36CD1"/>
    <w:rsid w:val="00D17DB3"/>
    <w:rsid w:val="00F55123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23"/>
    <w:pPr>
      <w:spacing w:line="240" w:lineRule="auto"/>
    </w:pPr>
    <w:rPr>
      <w:rFonts w:eastAsiaTheme="minorEastAsi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123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CEF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CEF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EF"/>
    <w:rPr>
      <w:rFonts w:ascii="Tahoma" w:eastAsiaTheme="minorEastAs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23"/>
    <w:pPr>
      <w:spacing w:line="240" w:lineRule="auto"/>
    </w:pPr>
    <w:rPr>
      <w:rFonts w:eastAsiaTheme="minorEastAsi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123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CEF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CEF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EF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2016-04-10T14:26:00Z</cp:lastPrinted>
  <dcterms:created xsi:type="dcterms:W3CDTF">2016-06-07T08:46:00Z</dcterms:created>
  <dcterms:modified xsi:type="dcterms:W3CDTF">2016-06-21T10:04:00Z</dcterms:modified>
</cp:coreProperties>
</file>