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EE6336" w14:textId="77777777" w:rsidR="00342477" w:rsidRPr="00D9090F" w:rsidRDefault="007340FA" w:rsidP="00342477">
      <w:pPr>
        <w:spacing w:line="360" w:lineRule="auto"/>
        <w:jc w:val="both"/>
        <w:rPr>
          <w:rFonts w:ascii="Arial" w:hAnsi="Arial" w:cs="Arial"/>
          <w:b/>
          <w:sz w:val="20"/>
          <w:szCs w:val="20"/>
        </w:rPr>
      </w:pPr>
      <w:bookmarkStart w:id="0" w:name="_GoBack"/>
      <w:bookmarkEnd w:id="0"/>
      <w:r>
        <w:rPr>
          <w:rFonts w:ascii="Arial" w:hAnsi="Arial" w:cs="Arial"/>
          <w:b/>
          <w:sz w:val="20"/>
          <w:szCs w:val="20"/>
        </w:rPr>
        <w:t xml:space="preserve">Viewpoint: </w:t>
      </w:r>
      <w:r w:rsidR="00342477">
        <w:rPr>
          <w:rFonts w:ascii="Arial" w:hAnsi="Arial" w:cs="Arial"/>
          <w:b/>
          <w:sz w:val="20"/>
          <w:szCs w:val="20"/>
        </w:rPr>
        <w:t>I</w:t>
      </w:r>
      <w:r w:rsidR="00342477" w:rsidRPr="00D9090F">
        <w:rPr>
          <w:rFonts w:ascii="Arial" w:hAnsi="Arial" w:cs="Arial"/>
          <w:b/>
          <w:sz w:val="20"/>
          <w:szCs w:val="20"/>
        </w:rPr>
        <w:t>ntegrati</w:t>
      </w:r>
      <w:r w:rsidR="00342477">
        <w:rPr>
          <w:rFonts w:ascii="Arial" w:hAnsi="Arial" w:cs="Arial"/>
          <w:b/>
          <w:sz w:val="20"/>
          <w:szCs w:val="20"/>
        </w:rPr>
        <w:t>ng</w:t>
      </w:r>
      <w:r w:rsidR="00342477" w:rsidRPr="00D9090F">
        <w:rPr>
          <w:rFonts w:ascii="Arial" w:hAnsi="Arial" w:cs="Arial"/>
          <w:b/>
          <w:sz w:val="20"/>
          <w:szCs w:val="20"/>
        </w:rPr>
        <w:t xml:space="preserve"> </w:t>
      </w:r>
      <w:r w:rsidR="00342477">
        <w:rPr>
          <w:rFonts w:ascii="Arial" w:hAnsi="Arial" w:cs="Arial"/>
          <w:b/>
          <w:sz w:val="20"/>
          <w:szCs w:val="20"/>
        </w:rPr>
        <w:t xml:space="preserve">safety concepts in </w:t>
      </w:r>
      <w:r w:rsidR="00342477" w:rsidRPr="00D9090F">
        <w:rPr>
          <w:rFonts w:ascii="Arial" w:hAnsi="Arial" w:cs="Arial"/>
          <w:b/>
          <w:sz w:val="20"/>
          <w:szCs w:val="20"/>
        </w:rPr>
        <w:t>health and social care</w:t>
      </w:r>
      <w:r w:rsidR="00342477">
        <w:rPr>
          <w:rFonts w:ascii="Arial" w:hAnsi="Arial" w:cs="Arial"/>
          <w:b/>
          <w:sz w:val="20"/>
          <w:szCs w:val="20"/>
        </w:rPr>
        <w:t xml:space="preserve"> </w:t>
      </w:r>
    </w:p>
    <w:p w14:paraId="556115C9" w14:textId="77777777" w:rsidR="00342477" w:rsidRDefault="00342477" w:rsidP="00AD4C58">
      <w:pPr>
        <w:spacing w:line="480" w:lineRule="auto"/>
        <w:rPr>
          <w:rFonts w:ascii="Arial" w:hAnsi="Arial" w:cs="Arial"/>
          <w:b/>
          <w:sz w:val="20"/>
          <w:szCs w:val="20"/>
        </w:rPr>
      </w:pPr>
    </w:p>
    <w:p w14:paraId="088DB3F0" w14:textId="77777777" w:rsidR="00AC3E03" w:rsidRDefault="00AC3E03" w:rsidP="00AD4C58">
      <w:pPr>
        <w:spacing w:line="480" w:lineRule="auto"/>
        <w:rPr>
          <w:rFonts w:ascii="Arial" w:hAnsi="Arial" w:cs="Arial"/>
          <w:b/>
          <w:sz w:val="20"/>
          <w:szCs w:val="20"/>
        </w:rPr>
      </w:pPr>
      <w:r>
        <w:rPr>
          <w:rFonts w:ascii="Arial" w:hAnsi="Arial" w:cs="Arial"/>
          <w:b/>
          <w:sz w:val="20"/>
          <w:szCs w:val="20"/>
        </w:rPr>
        <w:t xml:space="preserve">Abstract </w:t>
      </w:r>
    </w:p>
    <w:p w14:paraId="3F3CB197" w14:textId="77777777" w:rsidR="00AC3E03" w:rsidRDefault="00AC3E03" w:rsidP="00AD4C58">
      <w:pPr>
        <w:spacing w:line="480" w:lineRule="auto"/>
        <w:rPr>
          <w:rFonts w:ascii="Arial" w:hAnsi="Arial" w:cs="Arial"/>
          <w:b/>
          <w:sz w:val="20"/>
          <w:szCs w:val="20"/>
        </w:rPr>
      </w:pPr>
      <w:r>
        <w:rPr>
          <w:rFonts w:ascii="Arial" w:hAnsi="Arial" w:cs="Arial"/>
          <w:b/>
          <w:sz w:val="20"/>
          <w:szCs w:val="20"/>
        </w:rPr>
        <w:t>Purpose</w:t>
      </w:r>
    </w:p>
    <w:p w14:paraId="1675B890" w14:textId="77777777" w:rsidR="00CC51DA" w:rsidRDefault="00CC51DA" w:rsidP="00AD4C58">
      <w:pPr>
        <w:spacing w:line="480" w:lineRule="auto"/>
        <w:rPr>
          <w:rFonts w:ascii="Arial" w:hAnsi="Arial" w:cs="Arial"/>
          <w:sz w:val="20"/>
          <w:szCs w:val="20"/>
        </w:rPr>
      </w:pPr>
      <w:r w:rsidRPr="00D9090F">
        <w:rPr>
          <w:rFonts w:ascii="Arial" w:hAnsi="Arial" w:cs="Arial"/>
          <w:sz w:val="20"/>
          <w:szCs w:val="20"/>
        </w:rPr>
        <w:t>Keeping individuals safe from harm and exploitation is a clearly articulated goal within both the health and social care sectors</w:t>
      </w:r>
      <w:r>
        <w:rPr>
          <w:rFonts w:ascii="Arial" w:hAnsi="Arial" w:cs="Arial"/>
          <w:sz w:val="20"/>
          <w:szCs w:val="20"/>
        </w:rPr>
        <w:t xml:space="preserve">. </w:t>
      </w:r>
      <w:r w:rsidRPr="00D9090F">
        <w:rPr>
          <w:rFonts w:ascii="Arial" w:hAnsi="Arial" w:cs="Arial"/>
          <w:sz w:val="20"/>
          <w:szCs w:val="20"/>
        </w:rPr>
        <w:t xml:space="preserve">Two key concepts associated with achieving this common </w:t>
      </w:r>
      <w:r>
        <w:rPr>
          <w:rFonts w:ascii="Arial" w:hAnsi="Arial" w:cs="Arial"/>
          <w:sz w:val="20"/>
          <w:szCs w:val="20"/>
        </w:rPr>
        <w:t xml:space="preserve">aim are safety and safeguarding. The purpose of this paper is to critically appraise </w:t>
      </w:r>
      <w:r w:rsidRPr="00D9090F">
        <w:rPr>
          <w:rFonts w:ascii="Arial" w:hAnsi="Arial" w:cs="Arial"/>
          <w:sz w:val="20"/>
          <w:szCs w:val="20"/>
        </w:rPr>
        <w:t>the differences in safety terminology used in health and social care</w:t>
      </w:r>
      <w:r>
        <w:rPr>
          <w:rFonts w:ascii="Arial" w:hAnsi="Arial" w:cs="Arial"/>
          <w:sz w:val="20"/>
          <w:szCs w:val="20"/>
        </w:rPr>
        <w:t>, including</w:t>
      </w:r>
      <w:r w:rsidRPr="00D9090F">
        <w:rPr>
          <w:rFonts w:ascii="Arial" w:hAnsi="Arial" w:cs="Arial"/>
          <w:sz w:val="20"/>
          <w:szCs w:val="20"/>
        </w:rPr>
        <w:t xml:space="preserve"> </w:t>
      </w:r>
      <w:r>
        <w:rPr>
          <w:rFonts w:ascii="Arial" w:hAnsi="Arial" w:cs="Arial"/>
          <w:sz w:val="20"/>
          <w:szCs w:val="20"/>
        </w:rPr>
        <w:t>o</w:t>
      </w:r>
      <w:r w:rsidRPr="00D9090F">
        <w:rPr>
          <w:rFonts w:ascii="Arial" w:hAnsi="Arial" w:cs="Arial"/>
          <w:sz w:val="20"/>
          <w:szCs w:val="20"/>
        </w:rPr>
        <w:t xml:space="preserve">pportunities and challenges for greater integration of safety systems </w:t>
      </w:r>
      <w:r>
        <w:rPr>
          <w:rFonts w:ascii="Arial" w:hAnsi="Arial" w:cs="Arial"/>
          <w:sz w:val="20"/>
          <w:szCs w:val="20"/>
        </w:rPr>
        <w:t>across</w:t>
      </w:r>
      <w:r w:rsidRPr="00D9090F">
        <w:rPr>
          <w:rFonts w:ascii="Arial" w:hAnsi="Arial" w:cs="Arial"/>
          <w:sz w:val="20"/>
          <w:szCs w:val="20"/>
        </w:rPr>
        <w:t xml:space="preserve"> health and social care in England</w:t>
      </w:r>
      <w:r>
        <w:rPr>
          <w:rFonts w:ascii="Arial" w:hAnsi="Arial" w:cs="Arial"/>
          <w:sz w:val="20"/>
          <w:szCs w:val="20"/>
        </w:rPr>
        <w:t>.</w:t>
      </w:r>
    </w:p>
    <w:p w14:paraId="3D362376" w14:textId="77777777" w:rsidR="00185605" w:rsidRPr="004E4592" w:rsidRDefault="00185605" w:rsidP="00AD4C58">
      <w:pPr>
        <w:spacing w:line="480" w:lineRule="auto"/>
        <w:rPr>
          <w:rFonts w:ascii="Arial" w:hAnsi="Arial" w:cs="Arial"/>
          <w:sz w:val="20"/>
          <w:szCs w:val="20"/>
        </w:rPr>
      </w:pPr>
    </w:p>
    <w:p w14:paraId="60FB33B7" w14:textId="77777777" w:rsidR="00AC3E03" w:rsidRDefault="00AC3E03" w:rsidP="00AD4C58">
      <w:pPr>
        <w:spacing w:line="480" w:lineRule="auto"/>
        <w:rPr>
          <w:rFonts w:ascii="Arial" w:hAnsi="Arial" w:cs="Arial"/>
          <w:b/>
          <w:sz w:val="20"/>
          <w:szCs w:val="20"/>
        </w:rPr>
      </w:pPr>
      <w:r>
        <w:rPr>
          <w:rFonts w:ascii="Arial" w:hAnsi="Arial" w:cs="Arial"/>
          <w:b/>
          <w:sz w:val="20"/>
          <w:szCs w:val="20"/>
        </w:rPr>
        <w:t>Approach</w:t>
      </w:r>
    </w:p>
    <w:p w14:paraId="1FFBE91F" w14:textId="77777777" w:rsidR="004E4592" w:rsidRDefault="00CC51DA" w:rsidP="00AD4C58">
      <w:pPr>
        <w:spacing w:line="480" w:lineRule="auto"/>
        <w:rPr>
          <w:rFonts w:ascii="Arial" w:hAnsi="Arial" w:cs="Arial"/>
          <w:sz w:val="20"/>
          <w:szCs w:val="20"/>
        </w:rPr>
      </w:pPr>
      <w:r>
        <w:rPr>
          <w:rFonts w:ascii="Arial" w:hAnsi="Arial" w:cs="Arial"/>
          <w:sz w:val="20"/>
          <w:szCs w:val="20"/>
        </w:rPr>
        <w:t>This paper presents the authors’ viewpoint based on personal, professional and research experience.</w:t>
      </w:r>
    </w:p>
    <w:p w14:paraId="1E2B047C" w14:textId="77777777" w:rsidR="00CC51DA" w:rsidRPr="004E4592" w:rsidRDefault="00CC51DA" w:rsidP="00AD4C58">
      <w:pPr>
        <w:spacing w:line="480" w:lineRule="auto"/>
        <w:rPr>
          <w:rFonts w:ascii="Arial" w:hAnsi="Arial" w:cs="Arial"/>
          <w:sz w:val="20"/>
          <w:szCs w:val="20"/>
        </w:rPr>
      </w:pPr>
    </w:p>
    <w:p w14:paraId="7357C1B1" w14:textId="77777777" w:rsidR="00AC3E03" w:rsidRDefault="00AC3E03" w:rsidP="00AD4C58">
      <w:pPr>
        <w:spacing w:line="480" w:lineRule="auto"/>
        <w:rPr>
          <w:rFonts w:ascii="Arial" w:hAnsi="Arial" w:cs="Arial"/>
          <w:b/>
          <w:sz w:val="20"/>
          <w:szCs w:val="20"/>
        </w:rPr>
      </w:pPr>
      <w:r>
        <w:rPr>
          <w:rFonts w:ascii="Arial" w:hAnsi="Arial" w:cs="Arial"/>
          <w:b/>
          <w:sz w:val="20"/>
          <w:szCs w:val="20"/>
        </w:rPr>
        <w:t>Findings</w:t>
      </w:r>
    </w:p>
    <w:p w14:paraId="08AE896F" w14:textId="77777777" w:rsidR="00351F98" w:rsidRDefault="00351F98" w:rsidP="00AD4C58">
      <w:pPr>
        <w:spacing w:line="480" w:lineRule="auto"/>
        <w:rPr>
          <w:rFonts w:ascii="Arial" w:hAnsi="Arial" w:cs="Arial"/>
          <w:sz w:val="20"/>
          <w:szCs w:val="20"/>
        </w:rPr>
      </w:pPr>
      <w:r w:rsidRPr="00D9090F">
        <w:rPr>
          <w:rFonts w:ascii="Arial" w:hAnsi="Arial" w:cs="Arial"/>
          <w:sz w:val="20"/>
          <w:szCs w:val="20"/>
        </w:rPr>
        <w:t>In healthcare, safety is usually conceptualised as the management of error, with risk considered on a universal level. In social care, the safeguarding process balances choice and control with individualised approaches to keeping adults safe</w:t>
      </w:r>
      <w:r>
        <w:rPr>
          <w:rFonts w:ascii="Arial" w:hAnsi="Arial" w:cs="Arial"/>
          <w:sz w:val="20"/>
          <w:szCs w:val="20"/>
        </w:rPr>
        <w:t>,</w:t>
      </w:r>
      <w:r w:rsidRPr="00D9090F">
        <w:rPr>
          <w:rFonts w:ascii="Arial" w:hAnsi="Arial" w:cs="Arial"/>
          <w:sz w:val="20"/>
          <w:szCs w:val="20"/>
        </w:rPr>
        <w:t xml:space="preserve"> but lacks the established reporting pathways to capture</w:t>
      </w:r>
      <w:r w:rsidRPr="00D9090F">
        <w:rPr>
          <w:rFonts w:ascii="Arial" w:eastAsiaTheme="majorEastAsia" w:hAnsi="Arial" w:cs="Arial"/>
          <w:bCs/>
          <w:sz w:val="20"/>
          <w:szCs w:val="20"/>
          <w:lang w:eastAsia="en-US"/>
        </w:rPr>
        <w:t xml:space="preserve"> </w:t>
      </w:r>
      <w:r>
        <w:rPr>
          <w:rFonts w:ascii="Arial" w:eastAsiaTheme="majorEastAsia" w:hAnsi="Arial" w:cs="Arial"/>
          <w:bCs/>
          <w:sz w:val="20"/>
          <w:szCs w:val="20"/>
          <w:lang w:eastAsia="en-US"/>
        </w:rPr>
        <w:t>safety incidents</w:t>
      </w:r>
      <w:r w:rsidRPr="00D9090F">
        <w:rPr>
          <w:rFonts w:ascii="Arial" w:hAnsi="Arial" w:cs="Arial"/>
          <w:sz w:val="20"/>
          <w:szCs w:val="20"/>
        </w:rPr>
        <w:t>.</w:t>
      </w:r>
      <w:r w:rsidRPr="00D9090F" w:rsidDel="00196D5F">
        <w:rPr>
          <w:rFonts w:ascii="Arial" w:hAnsi="Arial" w:cs="Arial"/>
          <w:sz w:val="20"/>
          <w:szCs w:val="20"/>
        </w:rPr>
        <w:t xml:space="preserve"> </w:t>
      </w:r>
      <w:r w:rsidRPr="00D9090F">
        <w:rPr>
          <w:rFonts w:ascii="Arial" w:hAnsi="Arial" w:cs="Arial"/>
          <w:sz w:val="20"/>
          <w:szCs w:val="20"/>
        </w:rPr>
        <w:t xml:space="preserve">Efforts to safely integrate health and social care services are currently constrained by a lack of shared understanding of the concepts of safety and safeguarding without further consideration of how these approaches to </w:t>
      </w:r>
      <w:r>
        <w:rPr>
          <w:rFonts w:ascii="Arial" w:hAnsi="Arial" w:cs="Arial"/>
          <w:sz w:val="20"/>
          <w:szCs w:val="20"/>
        </w:rPr>
        <w:t xml:space="preserve">keeping people </w:t>
      </w:r>
      <w:r w:rsidRPr="00D9090F">
        <w:rPr>
          <w:rFonts w:ascii="Arial" w:hAnsi="Arial" w:cs="Arial"/>
          <w:sz w:val="20"/>
          <w:szCs w:val="20"/>
        </w:rPr>
        <w:t>safe can be better aligned.</w:t>
      </w:r>
      <w:r>
        <w:rPr>
          <w:rFonts w:ascii="Arial" w:hAnsi="Arial" w:cs="Arial"/>
          <w:sz w:val="20"/>
          <w:szCs w:val="20"/>
        </w:rPr>
        <w:t xml:space="preserve"> As such, there is a need for a single, unified discourse of patient safety that cuts across the patient safety and safeguarding concepts and their associated frameworks in health and social care settings. </w:t>
      </w:r>
    </w:p>
    <w:p w14:paraId="2ADB0A9E" w14:textId="77777777" w:rsidR="00351F98" w:rsidRDefault="00351F98" w:rsidP="00AD4C58">
      <w:pPr>
        <w:spacing w:line="480" w:lineRule="auto"/>
        <w:rPr>
          <w:rFonts w:ascii="Arial" w:hAnsi="Arial" w:cs="Arial"/>
          <w:b/>
          <w:sz w:val="20"/>
          <w:szCs w:val="20"/>
        </w:rPr>
      </w:pPr>
    </w:p>
    <w:p w14:paraId="30331815" w14:textId="77777777" w:rsidR="004E4592" w:rsidRDefault="00351F98" w:rsidP="00AD4C58">
      <w:pPr>
        <w:spacing w:line="480" w:lineRule="auto"/>
        <w:rPr>
          <w:rFonts w:ascii="Arial" w:hAnsi="Arial" w:cs="Arial"/>
          <w:b/>
          <w:sz w:val="20"/>
          <w:szCs w:val="20"/>
        </w:rPr>
      </w:pPr>
      <w:r>
        <w:rPr>
          <w:rFonts w:ascii="Arial" w:hAnsi="Arial" w:cs="Arial"/>
          <w:b/>
          <w:sz w:val="20"/>
          <w:szCs w:val="20"/>
        </w:rPr>
        <w:t>Value</w:t>
      </w:r>
    </w:p>
    <w:p w14:paraId="332F9873" w14:textId="77777777" w:rsidR="00AC3E03" w:rsidRDefault="00351F98" w:rsidP="00AD4C58">
      <w:pPr>
        <w:spacing w:line="480" w:lineRule="auto"/>
        <w:rPr>
          <w:rFonts w:ascii="Arial" w:hAnsi="Arial" w:cs="Arial"/>
          <w:b/>
          <w:sz w:val="20"/>
          <w:szCs w:val="20"/>
        </w:rPr>
      </w:pPr>
      <w:r>
        <w:rPr>
          <w:rFonts w:ascii="Arial" w:hAnsi="Arial" w:cs="Arial"/>
          <w:sz w:val="20"/>
          <w:szCs w:val="20"/>
        </w:rPr>
        <w:t>A single unified concept of safety in health and social care c</w:t>
      </w:r>
      <w:r w:rsidRPr="00D9090F">
        <w:rPr>
          <w:rFonts w:ascii="Arial" w:hAnsi="Arial" w:cs="Arial"/>
          <w:sz w:val="20"/>
          <w:szCs w:val="20"/>
        </w:rPr>
        <w:t>ould coincide with an integrated approach to the del</w:t>
      </w:r>
      <w:r>
        <w:rPr>
          <w:rFonts w:ascii="Arial" w:hAnsi="Arial" w:cs="Arial"/>
          <w:sz w:val="20"/>
          <w:szCs w:val="20"/>
        </w:rPr>
        <w:t xml:space="preserve">ivery of health and social care, improving the care of patients transitioning between services. </w:t>
      </w:r>
      <w:r w:rsidRPr="00D9090F">
        <w:rPr>
          <w:rFonts w:ascii="Arial" w:hAnsi="Arial" w:cs="Arial"/>
          <w:sz w:val="20"/>
          <w:szCs w:val="20"/>
        </w:rPr>
        <w:t xml:space="preserve"> </w:t>
      </w:r>
      <w:r w:rsidR="00AC3E03">
        <w:rPr>
          <w:rFonts w:ascii="Arial" w:hAnsi="Arial" w:cs="Arial"/>
          <w:b/>
          <w:sz w:val="20"/>
          <w:szCs w:val="20"/>
        </w:rPr>
        <w:br w:type="page"/>
      </w:r>
    </w:p>
    <w:p w14:paraId="43F83DCE" w14:textId="77777777" w:rsidR="00E00841" w:rsidRDefault="007340FA" w:rsidP="00E00841">
      <w:pPr>
        <w:spacing w:line="360" w:lineRule="auto"/>
        <w:jc w:val="both"/>
        <w:rPr>
          <w:rFonts w:ascii="Arial" w:hAnsi="Arial" w:cs="Arial"/>
          <w:b/>
          <w:sz w:val="20"/>
          <w:szCs w:val="20"/>
        </w:rPr>
      </w:pPr>
      <w:r>
        <w:rPr>
          <w:rFonts w:ascii="Arial" w:hAnsi="Arial" w:cs="Arial"/>
          <w:b/>
          <w:sz w:val="20"/>
          <w:szCs w:val="20"/>
        </w:rPr>
        <w:lastRenderedPageBreak/>
        <w:t xml:space="preserve">Viewpoint: </w:t>
      </w:r>
      <w:r w:rsidR="00E00841">
        <w:rPr>
          <w:rFonts w:ascii="Arial" w:hAnsi="Arial" w:cs="Arial"/>
          <w:b/>
          <w:sz w:val="20"/>
          <w:szCs w:val="20"/>
        </w:rPr>
        <w:t>I</w:t>
      </w:r>
      <w:r w:rsidR="00E00841" w:rsidRPr="00D9090F">
        <w:rPr>
          <w:rFonts w:ascii="Arial" w:hAnsi="Arial" w:cs="Arial"/>
          <w:b/>
          <w:sz w:val="20"/>
          <w:szCs w:val="20"/>
        </w:rPr>
        <w:t>ntegrati</w:t>
      </w:r>
      <w:r w:rsidR="00E00841">
        <w:rPr>
          <w:rFonts w:ascii="Arial" w:hAnsi="Arial" w:cs="Arial"/>
          <w:b/>
          <w:sz w:val="20"/>
          <w:szCs w:val="20"/>
        </w:rPr>
        <w:t>ng</w:t>
      </w:r>
      <w:r w:rsidR="00E00841" w:rsidRPr="00D9090F">
        <w:rPr>
          <w:rFonts w:ascii="Arial" w:hAnsi="Arial" w:cs="Arial"/>
          <w:b/>
          <w:sz w:val="20"/>
          <w:szCs w:val="20"/>
        </w:rPr>
        <w:t xml:space="preserve"> </w:t>
      </w:r>
      <w:r w:rsidR="00E00841">
        <w:rPr>
          <w:rFonts w:ascii="Arial" w:hAnsi="Arial" w:cs="Arial"/>
          <w:b/>
          <w:sz w:val="20"/>
          <w:szCs w:val="20"/>
        </w:rPr>
        <w:t xml:space="preserve">safety concepts in </w:t>
      </w:r>
      <w:r w:rsidR="00E00841" w:rsidRPr="00D9090F">
        <w:rPr>
          <w:rFonts w:ascii="Arial" w:hAnsi="Arial" w:cs="Arial"/>
          <w:b/>
          <w:sz w:val="20"/>
          <w:szCs w:val="20"/>
        </w:rPr>
        <w:t>health and social care</w:t>
      </w:r>
      <w:r w:rsidR="00E00841">
        <w:rPr>
          <w:rFonts w:ascii="Arial" w:hAnsi="Arial" w:cs="Arial"/>
          <w:b/>
          <w:sz w:val="20"/>
          <w:szCs w:val="20"/>
        </w:rPr>
        <w:t xml:space="preserve"> </w:t>
      </w:r>
    </w:p>
    <w:p w14:paraId="2567F35C" w14:textId="77777777" w:rsidR="007340FA" w:rsidRPr="00D9090F" w:rsidRDefault="007340FA" w:rsidP="00E00841">
      <w:pPr>
        <w:spacing w:line="360" w:lineRule="auto"/>
        <w:jc w:val="both"/>
        <w:rPr>
          <w:rFonts w:ascii="Arial" w:hAnsi="Arial" w:cs="Arial"/>
          <w:b/>
          <w:sz w:val="20"/>
          <w:szCs w:val="20"/>
        </w:rPr>
      </w:pPr>
    </w:p>
    <w:p w14:paraId="412CA106" w14:textId="42A987CE" w:rsidR="00626AF6" w:rsidRDefault="00893AA0" w:rsidP="00D843B4">
      <w:pPr>
        <w:spacing w:line="480" w:lineRule="auto"/>
        <w:jc w:val="both"/>
        <w:rPr>
          <w:rFonts w:ascii="Arial" w:hAnsi="Arial" w:cs="Arial"/>
          <w:sz w:val="20"/>
          <w:szCs w:val="20"/>
        </w:rPr>
      </w:pPr>
      <w:r w:rsidRPr="00D9090F">
        <w:rPr>
          <w:rFonts w:ascii="Arial" w:hAnsi="Arial" w:cs="Arial"/>
          <w:sz w:val="20"/>
          <w:szCs w:val="20"/>
        </w:rPr>
        <w:t xml:space="preserve">Keeping individuals safe from harm and exploitation is a clearly articulated goal within both the health and social care sectors. Two key concepts associated with achieving this common aim are </w:t>
      </w:r>
      <w:r w:rsidR="00615A8B">
        <w:rPr>
          <w:rFonts w:ascii="Arial" w:hAnsi="Arial" w:cs="Arial"/>
          <w:sz w:val="20"/>
          <w:szCs w:val="20"/>
        </w:rPr>
        <w:t>‘</w:t>
      </w:r>
      <w:r w:rsidRPr="00D9090F">
        <w:rPr>
          <w:rFonts w:ascii="Arial" w:hAnsi="Arial" w:cs="Arial"/>
          <w:sz w:val="20"/>
          <w:szCs w:val="20"/>
        </w:rPr>
        <w:t>safety</w:t>
      </w:r>
      <w:r w:rsidR="00615A8B">
        <w:rPr>
          <w:rFonts w:ascii="Arial" w:hAnsi="Arial" w:cs="Arial"/>
          <w:sz w:val="20"/>
          <w:szCs w:val="20"/>
        </w:rPr>
        <w:t>’</w:t>
      </w:r>
      <w:r w:rsidRPr="00D9090F">
        <w:rPr>
          <w:rFonts w:ascii="Arial" w:hAnsi="Arial" w:cs="Arial"/>
          <w:sz w:val="20"/>
          <w:szCs w:val="20"/>
        </w:rPr>
        <w:t xml:space="preserve"> and </w:t>
      </w:r>
      <w:r w:rsidR="00615A8B">
        <w:rPr>
          <w:rFonts w:ascii="Arial" w:hAnsi="Arial" w:cs="Arial"/>
          <w:sz w:val="20"/>
          <w:szCs w:val="20"/>
        </w:rPr>
        <w:t>‘</w:t>
      </w:r>
      <w:r w:rsidRPr="00D9090F">
        <w:rPr>
          <w:rFonts w:ascii="Arial" w:hAnsi="Arial" w:cs="Arial"/>
          <w:sz w:val="20"/>
          <w:szCs w:val="20"/>
        </w:rPr>
        <w:t>safeguarding</w:t>
      </w:r>
      <w:r w:rsidR="00615A8B">
        <w:rPr>
          <w:rFonts w:ascii="Arial" w:hAnsi="Arial" w:cs="Arial"/>
          <w:sz w:val="20"/>
          <w:szCs w:val="20"/>
        </w:rPr>
        <w:t>’</w:t>
      </w:r>
      <w:r w:rsidRPr="00D9090F">
        <w:rPr>
          <w:rFonts w:ascii="Arial" w:hAnsi="Arial" w:cs="Arial"/>
          <w:sz w:val="20"/>
          <w:szCs w:val="20"/>
        </w:rPr>
        <w:t>, with each addressed through distinct frameworks and regulatory systems that differ by country</w:t>
      </w:r>
      <w:r w:rsidR="002B5345">
        <w:rPr>
          <w:rFonts w:ascii="Arial" w:hAnsi="Arial" w:cs="Arial"/>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&lt;EndNote&gt;&lt;Cite&gt;&lt;Author&gt;Daniel Schweppenstedde&lt;/Author&gt;&lt;Year&gt;2014&lt;/Year&gt;&lt;RecNum&gt;1018&lt;/RecNum&gt;&lt;DisplayText&gt;(Schweppenstedde&lt;style face="italic"&gt; et al.&lt;/style&gt;, 2014)&lt;/DisplayText&gt;&lt;record&gt;&lt;rec-number&gt;1018&lt;/rec-number&gt;&lt;foreign-keys&gt;&lt;key app="EN" db-id="rfwaf2tw3df0viedd07x0t91ex5rxwd552av" timestamp="1452685179"&gt;1018&lt;/key&gt;&lt;/foreign-keys&gt;&lt;ref-type name="Electronic Book"&gt;44&lt;/ref-type&gt;&lt;contributors&gt;&lt;authors&gt;&lt;author&gt;Daniel Schweppenstedde&lt;/author&gt;&lt;author&gt;Saba Hinrichs&lt;/author&gt;&lt;author&gt;Uzor C. Ogbu &lt;/author&gt;&lt;author&gt;Eric C. Schneider&lt;/author&gt;&lt;author&gt;Dionne S. Kringos&lt;/author&gt;&lt;author&gt;Niek S. Klazinga&lt;/author&gt;&lt;author&gt;Judith Healy&lt;/author&gt;&lt;author&gt;Lauri Vuorenkoski&lt;/author&gt;&lt;author&gt;Reinhard Busse&lt;/author&gt;&lt;author&gt;Benoit Guerin&lt;/author&gt;&lt;author&gt;Emma Pitchforth&lt;/author&gt;&lt;author&gt;Ellen Nolte&lt;/author&gt;&lt;/authors&gt;&lt;/contributors&gt;&lt;titles&gt;&lt;title&gt;Regulating quality and safety of health and social care: International experiences&lt;/title&gt;&lt;/titles&gt;&lt;dates&gt;&lt;year&gt;2014&lt;/year&gt;&lt;pub-dates&gt;&lt;date&gt;13th January 2016&lt;/date&gt;&lt;/pub-dates&gt;&lt;/dates&gt;&lt;publisher&gt;RAND Europe&lt;/publisher&gt;&lt;urls&gt;&lt;related-urls&gt;&lt;url&gt;http://www.rand.org/pubs/research_reports/RR561.html&lt;/url&gt;&lt;/related-urls&gt;&lt;/urls&gt;&lt;/record&gt;&lt;/Cite&gt;&lt;/EndNote&gt;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17" w:tooltip="Schweppenstedde, 2014 #1018" w:history="1">
        <w:r w:rsidR="00DC5920">
          <w:rPr>
            <w:rFonts w:ascii="Arial" w:hAnsi="Arial" w:cs="Arial"/>
            <w:noProof/>
            <w:sz w:val="20"/>
            <w:szCs w:val="20"/>
          </w:rPr>
          <w:t>Schweppenstedde</w:t>
        </w:r>
        <w:r w:rsidR="00DC5920" w:rsidRPr="002B5345">
          <w:rPr>
            <w:rFonts w:ascii="Arial" w:hAnsi="Arial" w:cs="Arial"/>
            <w:i/>
            <w:noProof/>
            <w:sz w:val="20"/>
            <w:szCs w:val="20"/>
          </w:rPr>
          <w:t xml:space="preserve"> et al.</w:t>
        </w:r>
        <w:r w:rsidR="00DC5920">
          <w:rPr>
            <w:rFonts w:ascii="Arial" w:hAnsi="Arial" w:cs="Arial"/>
            <w:noProof/>
            <w:sz w:val="20"/>
            <w:szCs w:val="20"/>
          </w:rPr>
          <w:t>, 2014</w:t>
        </w:r>
      </w:hyperlink>
      <w:r w:rsidR="002B5345">
        <w:rPr>
          <w:rFonts w:ascii="Arial" w:hAnsi="Arial" w:cs="Arial"/>
          <w:noProof/>
          <w:sz w:val="20"/>
          <w:szCs w:val="20"/>
        </w:rPr>
        <w:t>)</w:t>
      </w:r>
      <w:r w:rsidRPr="00D9090F">
        <w:rPr>
          <w:rFonts w:ascii="Arial" w:hAnsi="Arial" w:cs="Arial"/>
          <w:sz w:val="20"/>
          <w:szCs w:val="20"/>
        </w:rPr>
        <w:fldChar w:fldCharType="end"/>
      </w:r>
      <w:r w:rsidR="002B5345">
        <w:rPr>
          <w:rFonts w:ascii="Arial" w:hAnsi="Arial" w:cs="Arial"/>
          <w:sz w:val="20"/>
          <w:szCs w:val="20"/>
        </w:rPr>
        <w:t>.</w:t>
      </w:r>
      <w:r w:rsidRPr="00D9090F">
        <w:rPr>
          <w:rFonts w:ascii="Arial" w:hAnsi="Arial" w:cs="Arial"/>
          <w:sz w:val="20"/>
          <w:szCs w:val="20"/>
        </w:rPr>
        <w:t xml:space="preserve"> </w:t>
      </w:r>
      <w:r w:rsidR="008C5E39" w:rsidRPr="008C5E39">
        <w:rPr>
          <w:rFonts w:ascii="Arial" w:hAnsi="Arial" w:cs="Arial"/>
          <w:sz w:val="20"/>
          <w:szCs w:val="20"/>
        </w:rPr>
        <w:t xml:space="preserve">At their most fundamental level, whether in health or social care, these safety concepts appear to have the same objective of improving the safety of people who </w:t>
      </w:r>
      <w:r w:rsidR="00270D0B">
        <w:rPr>
          <w:rFonts w:ascii="Arial" w:hAnsi="Arial" w:cs="Arial"/>
          <w:sz w:val="20"/>
          <w:szCs w:val="20"/>
        </w:rPr>
        <w:t xml:space="preserve">interact with and </w:t>
      </w:r>
      <w:r w:rsidR="008C5E39" w:rsidRPr="008C5E39">
        <w:rPr>
          <w:rFonts w:ascii="Arial" w:hAnsi="Arial" w:cs="Arial"/>
          <w:sz w:val="20"/>
          <w:szCs w:val="20"/>
        </w:rPr>
        <w:t>use services. However, the way that they are approached in terms of how safety is defined, how threats to safety are identified, and how safety is promoted or assured differ between health care and social care</w:t>
      </w:r>
      <w:r w:rsidR="008C5E39">
        <w:rPr>
          <w:rFonts w:ascii="Arial" w:hAnsi="Arial" w:cs="Arial"/>
          <w:sz w:val="20"/>
          <w:szCs w:val="20"/>
        </w:rPr>
        <w:t xml:space="preserve">. </w:t>
      </w:r>
      <w:r w:rsidR="00D843B4">
        <w:rPr>
          <w:rFonts w:ascii="Arial" w:hAnsi="Arial" w:cs="Arial"/>
          <w:sz w:val="20"/>
          <w:szCs w:val="20"/>
        </w:rPr>
        <w:t>This is particularly challenging when boundaries between health and social care are blurred, such as care at home,</w:t>
      </w:r>
      <w:r w:rsidR="00096D3F">
        <w:rPr>
          <w:rFonts w:ascii="Arial" w:hAnsi="Arial" w:cs="Arial"/>
          <w:sz w:val="20"/>
          <w:szCs w:val="20"/>
        </w:rPr>
        <w:t xml:space="preserve"> as the two different approaches to safety may operate </w:t>
      </w:r>
      <w:r w:rsidR="00DC5920">
        <w:rPr>
          <w:rFonts w:ascii="Arial" w:hAnsi="Arial" w:cs="Arial"/>
          <w:sz w:val="20"/>
          <w:szCs w:val="20"/>
        </w:rPr>
        <w:t xml:space="preserve">independently of one-another, </w:t>
      </w:r>
      <w:r w:rsidR="00096D3F">
        <w:rPr>
          <w:rFonts w:ascii="Arial" w:hAnsi="Arial" w:cs="Arial"/>
          <w:sz w:val="20"/>
          <w:szCs w:val="20"/>
        </w:rPr>
        <w:t xml:space="preserve">hindering their potential for producing beneficial outcomes. </w:t>
      </w:r>
    </w:p>
    <w:p w14:paraId="38C9CB19" w14:textId="77777777" w:rsidR="00626AF6" w:rsidRDefault="00626AF6">
      <w:pPr>
        <w:spacing w:line="480" w:lineRule="auto"/>
        <w:jc w:val="both"/>
        <w:rPr>
          <w:rFonts w:ascii="Arial" w:hAnsi="Arial" w:cs="Arial"/>
          <w:sz w:val="20"/>
          <w:szCs w:val="20"/>
        </w:rPr>
      </w:pPr>
    </w:p>
    <w:p w14:paraId="3F5AA240" w14:textId="5707E580" w:rsidR="00096D3F" w:rsidRDefault="000217E8">
      <w:pPr>
        <w:spacing w:line="480" w:lineRule="auto"/>
        <w:jc w:val="both"/>
        <w:rPr>
          <w:rFonts w:ascii="Arial" w:hAnsi="Arial" w:cs="Arial"/>
          <w:sz w:val="20"/>
          <w:szCs w:val="20"/>
        </w:rPr>
      </w:pPr>
      <w:r>
        <w:rPr>
          <w:rFonts w:ascii="Arial" w:hAnsi="Arial" w:cs="Arial"/>
          <w:sz w:val="20"/>
          <w:szCs w:val="20"/>
        </w:rPr>
        <w:t>In t</w:t>
      </w:r>
      <w:r w:rsidR="00893AA0" w:rsidRPr="00D9090F">
        <w:rPr>
          <w:rFonts w:ascii="Arial" w:hAnsi="Arial" w:cs="Arial"/>
          <w:sz w:val="20"/>
          <w:szCs w:val="20"/>
        </w:rPr>
        <w:t>his paper the differences in safety terminology used in health and social care</w:t>
      </w:r>
      <w:r w:rsidR="00AD4C58">
        <w:rPr>
          <w:rFonts w:ascii="Arial" w:hAnsi="Arial" w:cs="Arial"/>
          <w:sz w:val="20"/>
          <w:szCs w:val="20"/>
        </w:rPr>
        <w:t xml:space="preserve"> are critically appraised</w:t>
      </w:r>
      <w:r w:rsidR="00893AA0" w:rsidRPr="00D9090F">
        <w:rPr>
          <w:rFonts w:ascii="Arial" w:hAnsi="Arial" w:cs="Arial"/>
          <w:sz w:val="20"/>
          <w:szCs w:val="20"/>
        </w:rPr>
        <w:t xml:space="preserve">, </w:t>
      </w:r>
      <w:r w:rsidR="00AD4C58">
        <w:rPr>
          <w:rFonts w:ascii="Arial" w:hAnsi="Arial" w:cs="Arial"/>
          <w:sz w:val="20"/>
          <w:szCs w:val="20"/>
        </w:rPr>
        <w:t xml:space="preserve">including </w:t>
      </w:r>
      <w:r w:rsidR="00893AA0" w:rsidRPr="00D9090F">
        <w:rPr>
          <w:rFonts w:ascii="Arial" w:hAnsi="Arial" w:cs="Arial"/>
          <w:sz w:val="20"/>
          <w:szCs w:val="20"/>
        </w:rPr>
        <w:t xml:space="preserve">opportunities and challenges for </w:t>
      </w:r>
      <w:r w:rsidR="00AD4C58">
        <w:rPr>
          <w:rFonts w:ascii="Arial" w:hAnsi="Arial" w:cs="Arial"/>
          <w:sz w:val="20"/>
          <w:szCs w:val="20"/>
        </w:rPr>
        <w:t xml:space="preserve">the </w:t>
      </w:r>
      <w:r w:rsidR="00893AA0" w:rsidRPr="00D9090F">
        <w:rPr>
          <w:rFonts w:ascii="Arial" w:hAnsi="Arial" w:cs="Arial"/>
          <w:sz w:val="20"/>
          <w:szCs w:val="20"/>
        </w:rPr>
        <w:t xml:space="preserve">greater integration of safety systems </w:t>
      </w:r>
      <w:r w:rsidR="002E2FE0">
        <w:rPr>
          <w:rFonts w:ascii="Arial" w:hAnsi="Arial" w:cs="Arial"/>
          <w:sz w:val="20"/>
          <w:szCs w:val="20"/>
        </w:rPr>
        <w:t>across</w:t>
      </w:r>
      <w:r w:rsidR="002E2FE0" w:rsidRPr="00D9090F">
        <w:rPr>
          <w:rFonts w:ascii="Arial" w:hAnsi="Arial" w:cs="Arial"/>
          <w:sz w:val="20"/>
          <w:szCs w:val="20"/>
        </w:rPr>
        <w:t xml:space="preserve"> </w:t>
      </w:r>
      <w:r w:rsidR="00893AA0" w:rsidRPr="00D9090F">
        <w:rPr>
          <w:rFonts w:ascii="Arial" w:hAnsi="Arial" w:cs="Arial"/>
          <w:sz w:val="20"/>
          <w:szCs w:val="20"/>
        </w:rPr>
        <w:t>health and social care in England</w:t>
      </w:r>
      <w:r w:rsidR="00AD4C58">
        <w:rPr>
          <w:rFonts w:ascii="Arial" w:hAnsi="Arial" w:cs="Arial"/>
          <w:sz w:val="20"/>
          <w:szCs w:val="20"/>
        </w:rPr>
        <w:t>.</w:t>
      </w:r>
      <w:r w:rsidR="00893AA0" w:rsidRPr="00D9090F">
        <w:rPr>
          <w:rFonts w:ascii="Arial" w:hAnsi="Arial" w:cs="Arial"/>
          <w:sz w:val="20"/>
          <w:szCs w:val="20"/>
        </w:rPr>
        <w:t xml:space="preserve"> </w:t>
      </w:r>
      <w:r w:rsidR="00AD4C58">
        <w:rPr>
          <w:rFonts w:ascii="Arial" w:hAnsi="Arial" w:cs="Arial"/>
          <w:sz w:val="20"/>
          <w:szCs w:val="20"/>
        </w:rPr>
        <w:t xml:space="preserve">In particular, the differences in safety terminology are explored in the context of </w:t>
      </w:r>
      <w:r w:rsidR="00893AA0" w:rsidRPr="00D9090F">
        <w:rPr>
          <w:rFonts w:ascii="Arial" w:hAnsi="Arial" w:cs="Arial"/>
          <w:color w:val="000000"/>
          <w:sz w:val="20"/>
          <w:szCs w:val="20"/>
        </w:rPr>
        <w:t>potential challenges and solutions to the conceptual differences</w:t>
      </w:r>
      <w:r>
        <w:rPr>
          <w:rFonts w:ascii="Arial" w:hAnsi="Arial" w:cs="Arial"/>
          <w:color w:val="000000"/>
          <w:sz w:val="20"/>
          <w:szCs w:val="20"/>
        </w:rPr>
        <w:t xml:space="preserve"> between safety and safeguarding</w:t>
      </w:r>
      <w:r w:rsidR="00DC5920">
        <w:rPr>
          <w:rFonts w:ascii="Arial" w:hAnsi="Arial" w:cs="Arial"/>
          <w:color w:val="000000"/>
          <w:sz w:val="20"/>
          <w:szCs w:val="20"/>
        </w:rPr>
        <w:t xml:space="preserve">, including the recommendation </w:t>
      </w:r>
      <w:r w:rsidR="00DC5920" w:rsidRPr="00D9090F" w:rsidDel="00182C84">
        <w:rPr>
          <w:rFonts w:ascii="Arial" w:hAnsi="Arial" w:cs="Arial"/>
          <w:sz w:val="20"/>
          <w:szCs w:val="20"/>
          <w:lang w:eastAsia="en-US"/>
        </w:rPr>
        <w:t>for a unified approach to safety in health and social care</w:t>
      </w:r>
      <w:r w:rsidR="00893AA0" w:rsidRPr="00D9090F">
        <w:rPr>
          <w:rFonts w:ascii="Arial" w:hAnsi="Arial" w:cs="Arial"/>
          <w:color w:val="000000"/>
          <w:sz w:val="20"/>
          <w:szCs w:val="20"/>
        </w:rPr>
        <w:t>.</w:t>
      </w:r>
    </w:p>
    <w:p w14:paraId="4FFE14E7" w14:textId="77777777" w:rsidR="00976A00" w:rsidRDefault="00976A00">
      <w:pPr>
        <w:spacing w:line="480" w:lineRule="auto"/>
        <w:jc w:val="both"/>
        <w:rPr>
          <w:rFonts w:ascii="Arial" w:hAnsi="Arial" w:cs="Arial"/>
          <w:sz w:val="20"/>
          <w:szCs w:val="20"/>
        </w:rPr>
      </w:pPr>
    </w:p>
    <w:p w14:paraId="6174BBD5" w14:textId="77777777" w:rsidR="00976A00" w:rsidRPr="00D9090F" w:rsidRDefault="00893AA0">
      <w:pPr>
        <w:spacing w:line="480" w:lineRule="auto"/>
        <w:jc w:val="both"/>
        <w:rPr>
          <w:rFonts w:ascii="Arial" w:hAnsi="Arial" w:cs="Arial"/>
          <w:b/>
          <w:sz w:val="20"/>
          <w:szCs w:val="20"/>
        </w:rPr>
      </w:pPr>
      <w:r w:rsidRPr="00D9090F">
        <w:rPr>
          <w:rFonts w:ascii="Arial" w:hAnsi="Arial" w:cs="Arial"/>
          <w:b/>
          <w:sz w:val="20"/>
          <w:szCs w:val="20"/>
        </w:rPr>
        <w:t>Safety in Healthcare</w:t>
      </w:r>
    </w:p>
    <w:p w14:paraId="5656B305" w14:textId="3DE20092" w:rsidR="00976A00" w:rsidRPr="00D9090F" w:rsidRDefault="00893AA0">
      <w:pPr>
        <w:spacing w:line="480" w:lineRule="auto"/>
        <w:jc w:val="both"/>
        <w:rPr>
          <w:rFonts w:ascii="Arial" w:hAnsi="Arial" w:cs="Arial"/>
          <w:sz w:val="20"/>
          <w:szCs w:val="20"/>
        </w:rPr>
      </w:pPr>
      <w:r w:rsidRPr="00D9090F">
        <w:rPr>
          <w:rFonts w:ascii="Arial" w:hAnsi="Arial" w:cs="Arial"/>
          <w:i/>
          <w:sz w:val="20"/>
          <w:szCs w:val="20"/>
        </w:rPr>
        <w:t>An Organisation with a Memory</w:t>
      </w:r>
      <w:r w:rsidR="002B5345">
        <w:rPr>
          <w:rFonts w:ascii="Arial" w:hAnsi="Arial" w:cs="Arial"/>
          <w:i/>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&lt;EndNote&gt;&lt;Cite&gt;&lt;Author&gt;Department of Health&lt;/Author&gt;&lt;Year&gt;2000&lt;/Year&gt;&lt;RecNum&gt;88&lt;/RecNum&gt;&lt;DisplayText&gt;(Department of Health, 2000b)&lt;/DisplayText&gt;&lt;record&gt;&lt;rec-number&gt;88&lt;/rec-number&gt;&lt;foreign-keys&gt;&lt;key app="EN" db-id="rfwaf2tw3df0viedd07x0t91ex5rxwd552av" timestamp="0"&gt;88&lt;/key&gt;&lt;/foreign-keys&gt;&lt;ref-type name="Book"&gt;6&lt;/ref-type&gt;&lt;contributors&gt;&lt;authors&gt;&lt;author&gt;Department of Health,&lt;/author&gt;&lt;/authors&gt;&lt;/contributors&gt;&lt;titles&gt;&lt;title&gt;An organisation with a memory: Report of an expert group on learning from adverse events in the NHS&lt;/title&gt;&lt;/titles&gt;&lt;keywords&gt;&lt;keyword&gt;government&lt;/keyword&gt;&lt;/keywords&gt;&lt;dates&gt;&lt;year&gt;2000&lt;/year&gt;&lt;/dates&gt;&lt;pub-location&gt;London&lt;/pub-location&gt;&lt;publisher&gt;Department of Health&lt;/publisher&gt;&lt;urls&gt;&lt;related-urls&gt;&lt;url&gt;http://www.dh.gov.uk/en/Publicationsandstatistics/Publications/PublicationsPolicyAndGuidance/DH_4065083&lt;/url&gt;&lt;/related-urls&gt;&lt;/urls&gt;&lt;/record&gt;&lt;/Cite&gt;&lt;/EndNote&gt;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7" w:tooltip="Department of Health, 2000 #88" w:history="1">
        <w:r w:rsidR="00DC5920">
          <w:rPr>
            <w:rFonts w:ascii="Arial" w:hAnsi="Arial" w:cs="Arial"/>
            <w:noProof/>
            <w:sz w:val="20"/>
            <w:szCs w:val="20"/>
          </w:rPr>
          <w:t>Department of Health, 2000b</w:t>
        </w:r>
      </w:hyperlink>
      <w:r w:rsidR="002B5345">
        <w:rPr>
          <w:rFonts w:ascii="Arial" w:hAnsi="Arial" w:cs="Arial"/>
          <w:noProof/>
          <w:sz w:val="20"/>
          <w:szCs w:val="20"/>
        </w:rPr>
        <w:t>)</w:t>
      </w:r>
      <w:r w:rsidRPr="00D9090F">
        <w:rPr>
          <w:rFonts w:ascii="Arial" w:hAnsi="Arial" w:cs="Arial"/>
          <w:sz w:val="20"/>
          <w:szCs w:val="20"/>
        </w:rPr>
        <w:fldChar w:fldCharType="end"/>
      </w:r>
      <w:r w:rsidRPr="00D9090F">
        <w:rPr>
          <w:rFonts w:ascii="Arial" w:hAnsi="Arial" w:cs="Arial"/>
          <w:sz w:val="20"/>
          <w:szCs w:val="20"/>
        </w:rPr>
        <w:t xml:space="preserve"> and </w:t>
      </w:r>
      <w:r w:rsidRPr="00D9090F">
        <w:rPr>
          <w:rFonts w:ascii="Arial" w:hAnsi="Arial" w:cs="Arial"/>
          <w:i/>
          <w:sz w:val="20"/>
          <w:szCs w:val="20"/>
        </w:rPr>
        <w:t>To Err is Human</w:t>
      </w:r>
      <w:r w:rsidR="002B5345">
        <w:rPr>
          <w:rFonts w:ascii="Arial" w:hAnsi="Arial" w:cs="Arial"/>
          <w:i/>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&lt;EndNote&gt;&lt;Cite&gt;&lt;Author&gt;Kohn&lt;/Author&gt;&lt;Year&gt;2000&lt;/Year&gt;&lt;RecNum&gt;179&lt;/RecNum&gt;&lt;DisplayText&gt;(Kohn, Corrigan, &amp;amp; Donaldson, 2000)&lt;/DisplayText&gt;&lt;record&gt;&lt;rec-number&gt;179&lt;/rec-number&gt;&lt;foreign-keys&gt;&lt;key app="EN" db-id="rfwaf2tw3df0viedd07x0t91ex5rxwd552av" timestamp="1248436681"&gt;179&lt;/key&gt;&lt;/foreign-keys&gt;&lt;ref-type name="Book"&gt;6&lt;/ref-type&gt;&lt;contributors&gt;&lt;authors&gt;&lt;author&gt;Linda T. Kohn&lt;/author&gt;&lt;author&gt;Janet M. Corrigan&lt;/author&gt;&lt;author&gt;Molla S. Donaldson&lt;/author&gt;&lt;/authors&gt;&lt;/contributors&gt;&lt;titles&gt;&lt;title&gt;To err is human: building a safer health system&lt;/title&gt;&lt;/titles&gt;&lt;dates&gt;&lt;year&gt;2000&lt;/year&gt;&lt;/dates&gt;&lt;pub-location&gt;Washington, DC&lt;/pub-location&gt;&lt;publisher&gt;National Academies Press&lt;/publisher&gt;&lt;urls&gt;&lt;/urls&gt;&lt;/record&gt;&lt;/Cite&gt;&lt;/EndNote&gt;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10" w:tooltip="Kohn, 2000 #179" w:history="1">
        <w:r w:rsidR="00DC5920">
          <w:rPr>
            <w:rFonts w:ascii="Arial" w:hAnsi="Arial" w:cs="Arial"/>
            <w:noProof/>
            <w:sz w:val="20"/>
            <w:szCs w:val="20"/>
          </w:rPr>
          <w:t>Kohn, Corrigan, &amp; Donaldson, 2000</w:t>
        </w:r>
      </w:hyperlink>
      <w:r w:rsidR="002B5345">
        <w:rPr>
          <w:rFonts w:ascii="Arial" w:hAnsi="Arial" w:cs="Arial"/>
          <w:noProof/>
          <w:sz w:val="20"/>
          <w:szCs w:val="20"/>
        </w:rPr>
        <w:t>)</w:t>
      </w:r>
      <w:r w:rsidRPr="00D9090F">
        <w:rPr>
          <w:rFonts w:ascii="Arial" w:hAnsi="Arial" w:cs="Arial"/>
          <w:sz w:val="20"/>
          <w:szCs w:val="20"/>
        </w:rPr>
        <w:fldChar w:fldCharType="end"/>
      </w:r>
      <w:r w:rsidRPr="00D9090F">
        <w:rPr>
          <w:rFonts w:ascii="Arial" w:hAnsi="Arial" w:cs="Arial"/>
          <w:sz w:val="20"/>
          <w:szCs w:val="20"/>
        </w:rPr>
        <w:t xml:space="preserve"> were seminal publications in the healthcare patient safety movement, expanding awareness of patient safety and the levels of harm that exist within healthcare systems internationally. The new approach</w:t>
      </w:r>
      <w:r w:rsidR="000217E8">
        <w:rPr>
          <w:rFonts w:ascii="Arial" w:hAnsi="Arial" w:cs="Arial"/>
          <w:sz w:val="20"/>
          <w:szCs w:val="20"/>
        </w:rPr>
        <w:t xml:space="preserve"> to patient safety</w:t>
      </w:r>
      <w:r w:rsidRPr="00D9090F">
        <w:rPr>
          <w:rFonts w:ascii="Arial" w:hAnsi="Arial" w:cs="Arial"/>
          <w:sz w:val="20"/>
          <w:szCs w:val="20"/>
        </w:rPr>
        <w:t xml:space="preserve"> promoted by these and subsequent reports has been informed by concepts and theories found within social psychology</w:t>
      </w:r>
      <w:r w:rsidR="000217E8">
        <w:rPr>
          <w:rFonts w:ascii="Arial" w:hAnsi="Arial" w:cs="Arial"/>
          <w:sz w:val="20"/>
          <w:szCs w:val="20"/>
        </w:rPr>
        <w:t>, critical sociology,</w:t>
      </w:r>
      <w:r w:rsidRPr="00D9090F">
        <w:rPr>
          <w:rFonts w:ascii="Arial" w:hAnsi="Arial" w:cs="Arial"/>
          <w:sz w:val="20"/>
          <w:szCs w:val="20"/>
        </w:rPr>
        <w:t xml:space="preserve"> and </w:t>
      </w:r>
      <w:r w:rsidR="00871742" w:rsidRPr="00D9090F">
        <w:rPr>
          <w:rFonts w:ascii="Arial" w:hAnsi="Arial" w:cs="Arial"/>
          <w:sz w:val="20"/>
          <w:szCs w:val="20"/>
        </w:rPr>
        <w:t>h</w:t>
      </w:r>
      <w:r w:rsidRPr="00D9090F">
        <w:rPr>
          <w:rFonts w:ascii="Arial" w:hAnsi="Arial" w:cs="Arial"/>
          <w:sz w:val="20"/>
          <w:szCs w:val="20"/>
        </w:rPr>
        <w:t xml:space="preserve">uman </w:t>
      </w:r>
      <w:r w:rsidR="00871742" w:rsidRPr="00D9090F">
        <w:rPr>
          <w:rFonts w:ascii="Arial" w:hAnsi="Arial" w:cs="Arial"/>
          <w:sz w:val="20"/>
          <w:szCs w:val="20"/>
        </w:rPr>
        <w:t>f</w:t>
      </w:r>
      <w:r w:rsidRPr="00D9090F">
        <w:rPr>
          <w:rFonts w:ascii="Arial" w:hAnsi="Arial" w:cs="Arial"/>
          <w:sz w:val="20"/>
          <w:szCs w:val="20"/>
        </w:rPr>
        <w:t>actors, which show that human error is enabled or conditioned by factors located in the work environme</w:t>
      </w:r>
      <w:r w:rsidR="00463397">
        <w:rPr>
          <w:rFonts w:ascii="Arial" w:hAnsi="Arial" w:cs="Arial"/>
          <w:sz w:val="20"/>
          <w:szCs w:val="20"/>
        </w:rPr>
        <w:t>nt or organisation. As a result</w:t>
      </w:r>
      <w:r w:rsidRPr="00D9090F">
        <w:rPr>
          <w:rFonts w:ascii="Arial" w:hAnsi="Arial" w:cs="Arial"/>
          <w:sz w:val="20"/>
          <w:szCs w:val="20"/>
        </w:rPr>
        <w:t xml:space="preserve"> patient safety, defined </w:t>
      </w:r>
      <w:r w:rsidR="002B5345">
        <w:rPr>
          <w:rFonts w:ascii="Arial" w:hAnsi="Arial" w:cs="Arial"/>
          <w:sz w:val="20"/>
          <w:szCs w:val="20"/>
        </w:rPr>
        <w:t xml:space="preserve">by </w:t>
      </w:r>
      <w:hyperlink w:anchor="_ENREF_16" w:tooltip="Runciman, 2009 #103" w:history="1">
        <w:r w:rsidR="00DC5920" w:rsidRPr="00D9090F">
          <w:rPr>
            <w:rFonts w:ascii="Arial" w:hAnsi="Arial" w:cs="Arial"/>
            <w:sz w:val="20"/>
            <w:szCs w:val="20"/>
          </w:rPr>
          <w:fldChar w:fldCharType="begin"/>
        </w:r>
        <w:r w:rsidR="00DC5920">
          <w:rPr>
            <w:rFonts w:ascii="Arial" w:hAnsi="Arial" w:cs="Arial"/>
            <w:sz w:val="20"/>
            <w:szCs w:val="20"/>
          </w:rPr>
          <w:instrText xml:space="preserve"> ADDIN EN.CITE &lt;EndNote&gt;&lt;Cite AuthorYear="1"&gt;&lt;Author&gt;Runciman&lt;/Author&gt;&lt;Year&gt;2009&lt;/Year&gt;&lt;RecNum&gt;103&lt;/RecNum&gt;&lt;DisplayText&gt;Runciman&lt;style face="italic"&gt; et al.&lt;/style&gt; (2009)&lt;/DisplayText&gt;&lt;record&gt;&lt;rec-number&gt;103&lt;/rec-number&gt;&lt;foreign-keys&gt;&lt;key app="EN" db-id="rfwaf2tw3df0viedd07x0t91ex5rxwd552av" timestamp="0"&gt;103&lt;/key&gt;&lt;/foreign-keys&gt;&lt;ref-type name="Journal Article"&gt;17&lt;/ref-type&gt;&lt;contributors&gt;&lt;authors&gt;&lt;author&gt;Runciman, William B&lt;/author&gt;&lt;author&gt;Hibbert, Peter&lt;/author&gt;&lt;author&gt;Thomson, Richard&lt;/author&gt;&lt;author&gt;Van Der Schaaf, Tjerk&lt;/author&gt;&lt;author&gt;Sherman, Heather&lt;/author&gt;&lt;author&gt;Lewalle, Pierre&lt;/author&gt;&lt;/authors&gt;&lt;/contributors&gt;&lt;titles&gt;&lt;title&gt;Towards an international classification for patient safety: key concepts and terms&lt;/title&gt;&lt;secondary-title&gt;International Journal for Quality in Health Care&lt;/secondary-title&gt;&lt;/titles&gt;&lt;periodical&gt;&lt;full-title&gt;International Journal for Quality in Health Care&lt;/full-title&gt;&lt;abbr-1&gt;Int J Qual Health Care&lt;/abbr-1&gt;&lt;/periodical&gt;&lt;pages&gt;18-26&lt;/pages&gt;&lt;volume&gt;21&lt;/volume&gt;&lt;number&gt;1&lt;/number&gt;&lt;keywords&gt;&lt;keyword&gt;definition&lt;/keyword&gt;&lt;/keywords&gt;&lt;dates&gt;&lt;year&gt;2009&lt;/year&gt;&lt;pub-dates&gt;&lt;date&gt;February 1, 2009&lt;/date&gt;&lt;/pub-dates&gt;&lt;/dates&gt;&lt;urls&gt;&lt;related-urls&gt;&lt;url&gt;http://intqhc.oxfordjournals.org/cgi/content/abstract/21/1/18 &lt;/url&gt;&lt;/related-urls&gt;&lt;/urls&gt;&lt;electronic-resource-num&gt;10.1093/intqhc/mzn057&lt;/electronic-resource-num&gt;&lt;/record&gt;&lt;/Cite&gt;&lt;/EndNote&gt;</w:instrText>
        </w:r>
        <w:r w:rsidR="00DC5920" w:rsidRPr="00D9090F">
          <w:rPr>
            <w:rFonts w:ascii="Arial" w:hAnsi="Arial" w:cs="Arial"/>
            <w:sz w:val="20"/>
            <w:szCs w:val="20"/>
          </w:rPr>
          <w:fldChar w:fldCharType="separate"/>
        </w:r>
        <w:r w:rsidR="00DC5920">
          <w:rPr>
            <w:rFonts w:ascii="Arial" w:hAnsi="Arial" w:cs="Arial"/>
            <w:noProof/>
            <w:sz w:val="20"/>
            <w:szCs w:val="20"/>
          </w:rPr>
          <w:t>Runciman</w:t>
        </w:r>
        <w:r w:rsidR="00DC5920" w:rsidRPr="002B5345">
          <w:rPr>
            <w:rFonts w:ascii="Arial" w:hAnsi="Arial" w:cs="Arial"/>
            <w:i/>
            <w:noProof/>
            <w:sz w:val="20"/>
            <w:szCs w:val="20"/>
          </w:rPr>
          <w:t xml:space="preserve"> et al.</w:t>
        </w:r>
        <w:r w:rsidR="00DC5920">
          <w:rPr>
            <w:rFonts w:ascii="Arial" w:hAnsi="Arial" w:cs="Arial"/>
            <w:noProof/>
            <w:sz w:val="20"/>
            <w:szCs w:val="20"/>
          </w:rPr>
          <w:t xml:space="preserve"> (2009)</w:t>
        </w:r>
        <w:r w:rsidR="00DC5920" w:rsidRPr="00D9090F">
          <w:rPr>
            <w:rFonts w:ascii="Arial" w:hAnsi="Arial" w:cs="Arial"/>
            <w:sz w:val="20"/>
            <w:szCs w:val="20"/>
          </w:rPr>
          <w:fldChar w:fldCharType="end"/>
        </w:r>
      </w:hyperlink>
      <w:r w:rsidRPr="00D9090F">
        <w:rPr>
          <w:rFonts w:ascii="Arial" w:hAnsi="Arial" w:cs="Arial"/>
          <w:sz w:val="20"/>
          <w:szCs w:val="20"/>
        </w:rPr>
        <w:t xml:space="preserve"> </w:t>
      </w:r>
      <w:r w:rsidR="002B5345" w:rsidRPr="00D9090F">
        <w:rPr>
          <w:rFonts w:ascii="Arial" w:hAnsi="Arial" w:cs="Arial"/>
          <w:sz w:val="20"/>
          <w:szCs w:val="20"/>
        </w:rPr>
        <w:t>as ‘the reduction of risk of unnecessary harm associated with healthcare to an acceptable minimum’</w:t>
      </w:r>
      <w:r w:rsidR="002B5345">
        <w:rPr>
          <w:rFonts w:ascii="Arial" w:hAnsi="Arial" w:cs="Arial"/>
          <w:sz w:val="20"/>
          <w:szCs w:val="20"/>
        </w:rPr>
        <w:t xml:space="preserve"> (p.19)</w:t>
      </w:r>
      <w:r w:rsidR="002B5345" w:rsidRPr="00D9090F">
        <w:rPr>
          <w:rFonts w:ascii="Arial" w:hAnsi="Arial" w:cs="Arial"/>
          <w:sz w:val="20"/>
          <w:szCs w:val="20"/>
        </w:rPr>
        <w:t>,</w:t>
      </w:r>
      <w:r w:rsidR="002B5345">
        <w:rPr>
          <w:rFonts w:ascii="Arial" w:hAnsi="Arial" w:cs="Arial"/>
          <w:sz w:val="20"/>
          <w:szCs w:val="20"/>
        </w:rPr>
        <w:t xml:space="preserve"> </w:t>
      </w:r>
      <w:r w:rsidRPr="00D9090F">
        <w:rPr>
          <w:rFonts w:ascii="Arial" w:hAnsi="Arial" w:cs="Arial"/>
          <w:sz w:val="20"/>
          <w:szCs w:val="20"/>
        </w:rPr>
        <w:t xml:space="preserve">has focused on </w:t>
      </w:r>
      <w:r w:rsidR="004C4644">
        <w:rPr>
          <w:rFonts w:ascii="Arial" w:hAnsi="Arial" w:cs="Arial"/>
          <w:sz w:val="20"/>
          <w:szCs w:val="20"/>
        </w:rPr>
        <w:t>identifying</w:t>
      </w:r>
      <w:r w:rsidRPr="00D9090F">
        <w:rPr>
          <w:rFonts w:ascii="Arial" w:hAnsi="Arial" w:cs="Arial"/>
          <w:sz w:val="20"/>
          <w:szCs w:val="20"/>
        </w:rPr>
        <w:t xml:space="preserve"> adverse events and associated active and latent factors with the aim of fixing the systems in which they occur. For this approach to be successful</w:t>
      </w:r>
      <w:r w:rsidR="004C4644">
        <w:rPr>
          <w:rFonts w:ascii="Arial" w:hAnsi="Arial" w:cs="Arial"/>
          <w:sz w:val="20"/>
          <w:szCs w:val="20"/>
        </w:rPr>
        <w:t>,</w:t>
      </w:r>
      <w:r w:rsidRPr="00D9090F">
        <w:rPr>
          <w:rFonts w:ascii="Arial" w:hAnsi="Arial" w:cs="Arial"/>
          <w:sz w:val="20"/>
          <w:szCs w:val="20"/>
        </w:rPr>
        <w:t xml:space="preserve"> there is a requirement to accurately identify </w:t>
      </w:r>
      <w:r w:rsidRPr="00D9090F">
        <w:rPr>
          <w:rFonts w:ascii="Arial" w:hAnsi="Arial" w:cs="Arial"/>
          <w:sz w:val="20"/>
          <w:szCs w:val="20"/>
        </w:rPr>
        <w:lastRenderedPageBreak/>
        <w:t>patient safety incidents so that their systemic causes can be identified and safety improvements introduced</w:t>
      </w:r>
      <w:r w:rsidR="00E33866">
        <w:rPr>
          <w:rFonts w:ascii="Arial" w:hAnsi="Arial" w:cs="Arial"/>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&lt;EndNote&gt;&lt;Cite&gt;&lt;Author&gt;Reason&lt;/Author&gt;&lt;Year&gt;2000&lt;/Year&gt;&lt;RecNum&gt;285&lt;/RecNum&gt;&lt;DisplayText&gt;(Reason, 2000a)&lt;/DisplayText&gt;&lt;record&gt;&lt;rec-number&gt;285&lt;/rec-number&gt;&lt;foreign-keys&gt;&lt;key app="EN" db-id="rfwaf2tw3df0viedd07x0t91ex5rxwd552av" timestamp="1277371420"&gt;285&lt;/key&gt;&lt;/foreign-keys&gt;&lt;ref-type name="Journal Article"&gt;17&lt;/ref-type&gt;&lt;contributors&gt;&lt;authors&gt;&lt;author&gt;Reason, James&lt;/author&gt;&lt;/authors&gt;&lt;/contributors&gt;&lt;titles&gt;&lt;title&gt;Human error: models and management&lt;/title&gt;&lt;secondary-title&gt;BMJ&lt;/secondary-title&gt;&lt;/titles&gt;&lt;periodical&gt;&lt;full-title&gt;BMJ&lt;/full-title&gt;&lt;abbr-1&gt;BMJ&lt;/abbr-1&gt;&lt;/periodical&gt;&lt;pages&gt;768-770&lt;/pages&gt;&lt;volume&gt;320&lt;/volume&gt;&lt;number&gt;7237&lt;/number&gt;&lt;dates&gt;&lt;year&gt;2000&lt;/year&gt;&lt;pub-dates&gt;&lt;date&gt;March 18, 2000&lt;/date&gt;&lt;/pub-dates&gt;&lt;/dates&gt;&lt;urls&gt;&lt;related-urls&gt;&lt;url&gt;http://www.bmj.com/cgi/content/full/320/7237/768&lt;/url&gt;&lt;/related-urls&gt;&lt;/urls&gt;&lt;electronic-resource-num&gt;10.1136/bmj.320.7237.768&lt;/electronic-resource-num&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13" w:tooltip="Reason, 2000 #285" w:history="1">
        <w:r w:rsidR="00DC5920">
          <w:rPr>
            <w:rFonts w:ascii="Arial" w:hAnsi="Arial" w:cs="Arial"/>
            <w:noProof/>
            <w:sz w:val="20"/>
            <w:szCs w:val="20"/>
          </w:rPr>
          <w:t>Reason, 2000a</w:t>
        </w:r>
      </w:hyperlink>
      <w:r w:rsidR="002B5345">
        <w:rPr>
          <w:rFonts w:ascii="Arial" w:hAnsi="Arial" w:cs="Arial"/>
          <w:noProof/>
          <w:sz w:val="20"/>
          <w:szCs w:val="20"/>
        </w:rPr>
        <w:t>)</w:t>
      </w:r>
      <w:r w:rsidRPr="00D9090F">
        <w:rPr>
          <w:rFonts w:ascii="Arial" w:hAnsi="Arial" w:cs="Arial"/>
          <w:sz w:val="20"/>
          <w:szCs w:val="20"/>
        </w:rPr>
        <w:fldChar w:fldCharType="end"/>
      </w:r>
      <w:r w:rsidR="00E33866">
        <w:rPr>
          <w:rFonts w:ascii="Arial" w:hAnsi="Arial" w:cs="Arial"/>
          <w:sz w:val="20"/>
          <w:szCs w:val="20"/>
        </w:rPr>
        <w:t>.</w:t>
      </w:r>
      <w:r w:rsidRPr="00D9090F">
        <w:rPr>
          <w:rFonts w:ascii="Arial" w:hAnsi="Arial" w:cs="Arial"/>
          <w:sz w:val="20"/>
          <w:szCs w:val="20"/>
        </w:rPr>
        <w:t xml:space="preserve"> In turn this requires </w:t>
      </w:r>
      <w:r w:rsidR="00463397">
        <w:rPr>
          <w:rFonts w:ascii="Arial" w:hAnsi="Arial" w:cs="Arial"/>
          <w:sz w:val="20"/>
          <w:szCs w:val="20"/>
        </w:rPr>
        <w:t xml:space="preserve">a just </w:t>
      </w:r>
      <w:r w:rsidRPr="00D9090F">
        <w:rPr>
          <w:rFonts w:ascii="Arial" w:hAnsi="Arial" w:cs="Arial"/>
          <w:sz w:val="20"/>
          <w:szCs w:val="20"/>
        </w:rPr>
        <w:t>culture</w:t>
      </w:r>
      <w:r w:rsidR="00463397">
        <w:rPr>
          <w:rFonts w:ascii="Arial" w:hAnsi="Arial" w:cs="Arial"/>
          <w:sz w:val="20"/>
          <w:szCs w:val="20"/>
        </w:rPr>
        <w:t xml:space="preserve">, which </w:t>
      </w:r>
      <w:r w:rsidRPr="00D9090F">
        <w:rPr>
          <w:rFonts w:ascii="Arial" w:hAnsi="Arial" w:cs="Arial"/>
          <w:sz w:val="20"/>
          <w:szCs w:val="20"/>
        </w:rPr>
        <w:t xml:space="preserve">promotes awareness of risk and </w:t>
      </w:r>
      <w:r w:rsidR="00120A59" w:rsidRPr="00D9090F">
        <w:rPr>
          <w:rFonts w:ascii="Arial" w:hAnsi="Arial" w:cs="Arial"/>
          <w:sz w:val="20"/>
          <w:szCs w:val="20"/>
        </w:rPr>
        <w:t>openness</w:t>
      </w:r>
      <w:r w:rsidRPr="00D9090F">
        <w:rPr>
          <w:rFonts w:ascii="Arial" w:hAnsi="Arial" w:cs="Arial"/>
          <w:sz w:val="20"/>
          <w:szCs w:val="20"/>
        </w:rPr>
        <w:t xml:space="preserve"> to individual and organisational learning</w:t>
      </w:r>
      <w:r w:rsidR="000F6653">
        <w:rPr>
          <w:rFonts w:ascii="Arial" w:hAnsi="Arial" w:cs="Arial"/>
          <w:sz w:val="20"/>
          <w:szCs w:val="20"/>
        </w:rPr>
        <w:t>, while at the same time ensuring that individuals are accountable where safety violations occur</w:t>
      </w:r>
      <w:r w:rsidRPr="00D9090F">
        <w:rPr>
          <w:rFonts w:ascii="Arial" w:hAnsi="Arial" w:cs="Arial"/>
          <w:sz w:val="20"/>
          <w:szCs w:val="20"/>
        </w:rPr>
        <w:t>.</w:t>
      </w:r>
      <w:r w:rsidR="00463397">
        <w:rPr>
          <w:rFonts w:ascii="Arial" w:hAnsi="Arial" w:cs="Arial"/>
          <w:sz w:val="20"/>
          <w:szCs w:val="20"/>
        </w:rPr>
        <w:t xml:space="preserve"> </w:t>
      </w:r>
    </w:p>
    <w:p w14:paraId="571E9C15" w14:textId="77777777" w:rsidR="00976A00" w:rsidRPr="00D9090F" w:rsidRDefault="00976A00">
      <w:pPr>
        <w:spacing w:line="480" w:lineRule="auto"/>
        <w:jc w:val="both"/>
        <w:rPr>
          <w:rFonts w:ascii="Arial" w:hAnsi="Arial" w:cs="Arial"/>
          <w:sz w:val="20"/>
          <w:szCs w:val="20"/>
        </w:rPr>
      </w:pPr>
    </w:p>
    <w:p w14:paraId="4C56C697" w14:textId="5B9D0443" w:rsidR="00976A00" w:rsidRPr="00D9090F" w:rsidRDefault="00893AA0">
      <w:pPr>
        <w:spacing w:line="480" w:lineRule="auto"/>
        <w:jc w:val="both"/>
        <w:rPr>
          <w:rFonts w:ascii="Arial" w:hAnsi="Arial" w:cs="Arial"/>
          <w:sz w:val="20"/>
          <w:szCs w:val="20"/>
        </w:rPr>
      </w:pPr>
      <w:r w:rsidRPr="00D9090F">
        <w:rPr>
          <w:rFonts w:ascii="Arial" w:hAnsi="Arial" w:cs="Arial"/>
          <w:sz w:val="20"/>
          <w:szCs w:val="20"/>
        </w:rPr>
        <w:t>There are numerous approaches to identifying incidents, each providing a unique lens on the number of patients harmed or potentially harmed within healthcare. Medical record reviews are perceived to be one of the most rigorous methods, identify</w:t>
      </w:r>
      <w:r w:rsidR="00871742" w:rsidRPr="00D9090F">
        <w:rPr>
          <w:rFonts w:ascii="Arial" w:hAnsi="Arial" w:cs="Arial"/>
          <w:sz w:val="20"/>
          <w:szCs w:val="20"/>
        </w:rPr>
        <w:t>ing</w:t>
      </w:r>
      <w:r w:rsidRPr="00D9090F">
        <w:rPr>
          <w:rFonts w:ascii="Arial" w:hAnsi="Arial" w:cs="Arial"/>
          <w:sz w:val="20"/>
          <w:szCs w:val="20"/>
        </w:rPr>
        <w:t xml:space="preserve"> that around 10% of patients are harmed by their healthcare with half being preventable</w:t>
      </w:r>
      <w:r w:rsidR="00E33866">
        <w:rPr>
          <w:rFonts w:ascii="Arial" w:hAnsi="Arial" w:cs="Arial"/>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&lt;EndNote&gt;&lt;Cite&gt;&lt;Author&gt;Department of Health&lt;/Author&gt;&lt;Year&gt;2000&lt;/Year&gt;&lt;RecNum&gt;88&lt;/RecNum&gt;&lt;DisplayText&gt;(Department of Health, 2000b)&lt;/DisplayText&gt;&lt;record&gt;&lt;rec-number&gt;88&lt;/rec-number&gt;&lt;foreign-keys&gt;&lt;key app="EN" db-id="rfwaf2tw3df0viedd07x0t91ex5rxwd552av" timestamp="0"&gt;88&lt;/key&gt;&lt;/foreign-keys&gt;&lt;ref-type name="Book"&gt;6&lt;/ref-type&gt;&lt;contributors&gt;&lt;authors&gt;&lt;author&gt;Department of Health,&lt;/author&gt;&lt;/authors&gt;&lt;/contributors&gt;&lt;titles&gt;&lt;title&gt;An organisation with a memory: Report of an expert group on learning from adverse events in the NHS&lt;/title&gt;&lt;/titles&gt;&lt;keywords&gt;&lt;keyword&gt;government&lt;/keyword&gt;&lt;/keywords&gt;&lt;dates&gt;&lt;year&gt;2000&lt;/year&gt;&lt;/dates&gt;&lt;pub-location&gt;London&lt;/pub-location&gt;&lt;publisher&gt;Department of Health&lt;/publisher&gt;&lt;urls&gt;&lt;related-urls&gt;&lt;url&gt;http://www.dh.gov.uk/en/Publicationsandstatistics/Publications/PublicationsPolicyAndGuidance/DH_4065083&lt;/url&gt;&lt;/related-urls&gt;&lt;/urls&gt;&lt;/record&gt;&lt;/Cite&gt;&lt;/EndNote&gt;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7" w:tooltip="Department of Health, 2000 #88" w:history="1">
        <w:r w:rsidR="00DC5920">
          <w:rPr>
            <w:rFonts w:ascii="Arial" w:hAnsi="Arial" w:cs="Arial"/>
            <w:noProof/>
            <w:sz w:val="20"/>
            <w:szCs w:val="20"/>
          </w:rPr>
          <w:t>Department of Health, 2000b</w:t>
        </w:r>
      </w:hyperlink>
      <w:r w:rsidR="002B5345">
        <w:rPr>
          <w:rFonts w:ascii="Arial" w:hAnsi="Arial" w:cs="Arial"/>
          <w:noProof/>
          <w:sz w:val="20"/>
          <w:szCs w:val="20"/>
        </w:rPr>
        <w:t>)</w:t>
      </w:r>
      <w:r w:rsidRPr="00D9090F">
        <w:rPr>
          <w:rFonts w:ascii="Arial" w:hAnsi="Arial" w:cs="Arial"/>
          <w:sz w:val="20"/>
          <w:szCs w:val="20"/>
        </w:rPr>
        <w:fldChar w:fldCharType="end"/>
      </w:r>
      <w:r w:rsidR="00E33866">
        <w:rPr>
          <w:rFonts w:ascii="Arial" w:hAnsi="Arial" w:cs="Arial"/>
          <w:sz w:val="20"/>
          <w:szCs w:val="20"/>
        </w:rPr>
        <w:t>.</w:t>
      </w:r>
      <w:r w:rsidRPr="00D9090F">
        <w:rPr>
          <w:rFonts w:ascii="Arial" w:hAnsi="Arial" w:cs="Arial"/>
          <w:sz w:val="20"/>
          <w:szCs w:val="20"/>
        </w:rPr>
        <w:t xml:space="preserve"> Other approaches can contribute to a wider understanding of levels of harm through staff reporting of safety incidents via locally or nationally based systems, such as the National Reporting and Learning System in the UK, and broader indicators of safety such as global trigger tools and early warning tools</w:t>
      </w:r>
      <w:r w:rsidR="00270D0B">
        <w:rPr>
          <w:rFonts w:ascii="Arial" w:hAnsi="Arial" w:cs="Arial"/>
          <w:sz w:val="20"/>
          <w:szCs w:val="20"/>
        </w:rPr>
        <w:t xml:space="preserve">. This has led to a measure and manage orthodoxy with growing use of tools to identify, measure and control risks </w:t>
      </w:r>
      <w:r w:rsidR="00270D0B">
        <w:rPr>
          <w:rFonts w:ascii="Arial" w:hAnsi="Arial" w:cs="Arial"/>
          <w:sz w:val="20"/>
          <w:szCs w:val="20"/>
        </w:rPr>
        <w:fldChar w:fldCharType="begin"/>
      </w:r>
      <w:r w:rsidR="00626AF6">
        <w:rPr>
          <w:rFonts w:ascii="Arial" w:hAnsi="Arial" w:cs="Arial"/>
          <w:sz w:val="20"/>
          <w:szCs w:val="20"/>
        </w:rPr>
        <w:instrText xml:space="preserve"> ADDIN EN.CITE &lt;EndNote&gt;&lt;Cite&gt;&lt;Author&gt;Waring&lt;/Author&gt;&lt;Year&gt;2016&lt;/Year&gt;&lt;RecNum&gt;1009&lt;/RecNum&gt;&lt;DisplayText&gt;(Waring&lt;style face="italic"&gt; et al.&lt;/style&gt;, 2016a)&lt;/DisplayText&gt;&lt;record&gt;&lt;rec-number&gt;1009&lt;/rec-number&gt;&lt;foreign-keys&gt;&lt;key app="EN" db-id="rfwaf2tw3df0viedd07x0t91ex5rxwd552av" timestamp="1450691811"&gt;1009&lt;/key&gt;&lt;/foreign-keys&gt;&lt;ref-type name="Journal Article"&gt;17&lt;/ref-type&gt;&lt;contributors&gt;&lt;authors&gt;&lt;author&gt;Waring, Justin&lt;/author&gt;&lt;author&gt;Allen, Davina&lt;/author&gt;&lt;author&gt;Braithwaite, Jeffrey&lt;/author&gt;&lt;author&gt;Sandall, Jane&lt;/author&gt;&lt;/authors&gt;&lt;/contributors&gt;&lt;titles&gt;&lt;title&gt;Healthcare quality and safety: a review of policy, practice and research&lt;/title&gt;&lt;secondary-title&gt;Sociology of Health &amp;amp; Illness&lt;/secondary-title&gt;&lt;/titles&gt;&lt;periodical&gt;&lt;full-title&gt;Sociology of Health &amp;amp; Illness&lt;/full-title&gt;&lt;/periodical&gt;&lt;pages&gt;198-215&lt;/pages&gt;&lt;volume&gt;38&lt;/volume&gt;&lt;number&gt;2&lt;/number&gt;&lt;keywords&gt;&lt;keyword&gt;quality&lt;/keyword&gt;&lt;keyword&gt;safety&lt;/keyword&gt;&lt;keyword&gt;human factors&lt;/keyword&gt;&lt;keyword&gt;social factors&lt;/keyword&gt;&lt;keyword&gt;sociology&lt;/keyword&gt;&lt;keyword&gt;socio-cultural&lt;/keyword&gt;&lt;/keywords&gt;&lt;dates&gt;&lt;year&gt;2016&lt;/year&gt;&lt;/dates&gt;&lt;isbn&gt;1467-9566&lt;/isbn&gt;&lt;urls&gt;&lt;related-urls&gt;&lt;url&gt;http://dx.doi.org/10.1111/1467-9566.12391&lt;/url&gt;&lt;/related-urls&gt;&lt;/urls&gt;&lt;electronic-resource-num&gt;10.1111/1467-9566.12391&lt;/electronic-resource-num&gt;&lt;/record&gt;&lt;/Cite&gt;&lt;/EndNote&gt;</w:instrText>
      </w:r>
      <w:r w:rsidR="00270D0B">
        <w:rPr>
          <w:rFonts w:ascii="Arial" w:hAnsi="Arial" w:cs="Arial"/>
          <w:sz w:val="20"/>
          <w:szCs w:val="20"/>
        </w:rPr>
        <w:fldChar w:fldCharType="separate"/>
      </w:r>
      <w:r w:rsidR="00626AF6">
        <w:rPr>
          <w:rFonts w:ascii="Arial" w:hAnsi="Arial" w:cs="Arial"/>
          <w:noProof/>
          <w:sz w:val="20"/>
          <w:szCs w:val="20"/>
        </w:rPr>
        <w:t>(</w:t>
      </w:r>
      <w:hyperlink w:anchor="_ENREF_19" w:tooltip="Waring, 2016 #1009" w:history="1">
        <w:r w:rsidR="00DC5920">
          <w:rPr>
            <w:rFonts w:ascii="Arial" w:hAnsi="Arial" w:cs="Arial"/>
            <w:noProof/>
            <w:sz w:val="20"/>
            <w:szCs w:val="20"/>
          </w:rPr>
          <w:t>Waring</w:t>
        </w:r>
        <w:r w:rsidR="00DC5920" w:rsidRPr="00626AF6">
          <w:rPr>
            <w:rFonts w:ascii="Arial" w:hAnsi="Arial" w:cs="Arial"/>
            <w:i/>
            <w:noProof/>
            <w:sz w:val="20"/>
            <w:szCs w:val="20"/>
          </w:rPr>
          <w:t xml:space="preserve"> et al.</w:t>
        </w:r>
        <w:r w:rsidR="00DC5920">
          <w:rPr>
            <w:rFonts w:ascii="Arial" w:hAnsi="Arial" w:cs="Arial"/>
            <w:noProof/>
            <w:sz w:val="20"/>
            <w:szCs w:val="20"/>
          </w:rPr>
          <w:t>, 2016a</w:t>
        </w:r>
      </w:hyperlink>
      <w:r w:rsidR="00626AF6">
        <w:rPr>
          <w:rFonts w:ascii="Arial" w:hAnsi="Arial" w:cs="Arial"/>
          <w:noProof/>
          <w:sz w:val="20"/>
          <w:szCs w:val="20"/>
        </w:rPr>
        <w:t>)</w:t>
      </w:r>
      <w:r w:rsidR="00270D0B">
        <w:rPr>
          <w:rFonts w:ascii="Arial" w:hAnsi="Arial" w:cs="Arial"/>
          <w:sz w:val="20"/>
          <w:szCs w:val="20"/>
        </w:rPr>
        <w:fldChar w:fldCharType="end"/>
      </w:r>
      <w:r w:rsidRPr="00D9090F">
        <w:rPr>
          <w:rFonts w:ascii="Arial" w:hAnsi="Arial" w:cs="Arial"/>
          <w:sz w:val="20"/>
          <w:szCs w:val="20"/>
        </w:rPr>
        <w:t xml:space="preserve">. The developing field of patient involvement provides an additional lens, </w:t>
      </w:r>
      <w:r w:rsidR="00E33866">
        <w:rPr>
          <w:rFonts w:ascii="Arial" w:hAnsi="Arial" w:cs="Arial"/>
          <w:sz w:val="20"/>
          <w:szCs w:val="20"/>
        </w:rPr>
        <w:t>with studies theorising</w:t>
      </w:r>
      <w:r w:rsidR="00E33866" w:rsidRPr="00D9090F">
        <w:rPr>
          <w:rFonts w:ascii="Arial" w:hAnsi="Arial" w:cs="Arial"/>
          <w:sz w:val="20"/>
          <w:szCs w:val="20"/>
        </w:rPr>
        <w:t xml:space="preserve"> </w:t>
      </w:r>
      <w:r w:rsidRPr="00D9090F">
        <w:rPr>
          <w:rFonts w:ascii="Arial" w:hAnsi="Arial" w:cs="Arial"/>
          <w:sz w:val="20"/>
          <w:szCs w:val="20"/>
        </w:rPr>
        <w:t>patients’ perspectives of safety</w:t>
      </w:r>
      <w:r w:rsidR="00E33866">
        <w:rPr>
          <w:rFonts w:ascii="Arial" w:hAnsi="Arial" w:cs="Arial"/>
          <w:sz w:val="20"/>
          <w:szCs w:val="20"/>
        </w:rPr>
        <w:t xml:space="preserve"> </w:t>
      </w:r>
      <w:r w:rsidRPr="00D9090F">
        <w:rPr>
          <w:rFonts w:ascii="Arial" w:hAnsi="Arial" w:cs="Arial"/>
          <w:sz w:val="20"/>
          <w:szCs w:val="20"/>
        </w:rPr>
        <w:t xml:space="preserve">can lead to the identification and reporting of safety concerns </w:t>
      </w:r>
      <w:r w:rsidR="00E33866" w:rsidRPr="00D9090F">
        <w:rPr>
          <w:rFonts w:ascii="Arial" w:hAnsi="Arial" w:cs="Arial"/>
          <w:sz w:val="20"/>
          <w:szCs w:val="20"/>
        </w:rPr>
        <w:fldChar w:fldCharType="begin"/>
      </w:r>
      <w:r w:rsidR="00E33866">
        <w:rPr>
          <w:rFonts w:ascii="Arial" w:hAnsi="Arial" w:cs="Arial"/>
          <w:sz w:val="20"/>
          <w:szCs w:val="20"/>
        </w:rPr>
        <w:instrText xml:space="preserve"> ADDIN EN.CITE &lt;EndNote&gt;&lt;Cite&gt;&lt;Author&gt;Scott&lt;/Author&gt;&lt;Year&gt;2012&lt;/Year&gt;&lt;RecNum&gt;723&lt;/RecNum&gt;&lt;DisplayText&gt;(Scott, Dawson, &amp;amp; Jones, 2012)&lt;/DisplayText&gt;&lt;record&gt;&lt;rec-number&gt;723&lt;/rec-number&gt;&lt;foreign-keys&gt;&lt;key app="EN" db-id="rfwaf2tw3df0viedd07x0t91ex5rxwd552av" timestamp="1317666442"&gt;723&lt;/key&gt;&lt;/foreign-keys&gt;&lt;ref-type name="Journal Article"&gt;17&lt;/ref-type&gt;&lt;contributors&gt;&lt;authors&gt;&lt;author&gt;Scott, Jason&lt;/author&gt;&lt;author&gt;Dawson, Pamela&lt;/author&gt;&lt;author&gt;Jones, Diana&lt;/author&gt;&lt;/authors&gt;&lt;/contributors&gt;&lt;titles&gt;&lt;title&gt;Do older patients&amp;apos; perceptions of safety highlight barriers that could make their care safer during organisational care transfers?&lt;/title&gt;&lt;secondary-title&gt;BMJ Quality &amp;amp; Safety&lt;/secondary-title&gt;&lt;/titles&gt;&lt;periodical&gt;&lt;full-title&gt;BMJ Quality &amp;amp; Safety&lt;/full-title&gt;&lt;abbr-1&gt;BMJ Qual Saf&lt;/abbr-1&gt;&lt;/periodical&gt;&lt;pages&gt;112-117&lt;/pages&gt;&lt;volume&gt;21&lt;/volume&gt;&lt;dates&gt;&lt;year&gt;2012&lt;/year&gt;&lt;/dates&gt;&lt;urls&gt;&lt;/urls&gt;&lt;electronic-resource-num&gt;10.1136/bmjqs-2011-000300&lt;/electronic-resource-num&gt;&lt;/record&gt;&lt;/Cite&gt;&lt;/EndNote&gt;</w:instrText>
      </w:r>
      <w:r w:rsidR="00E33866" w:rsidRPr="00D9090F">
        <w:rPr>
          <w:rFonts w:ascii="Arial" w:hAnsi="Arial" w:cs="Arial"/>
          <w:sz w:val="20"/>
          <w:szCs w:val="20"/>
        </w:rPr>
        <w:fldChar w:fldCharType="separate"/>
      </w:r>
      <w:r w:rsidR="00E33866">
        <w:rPr>
          <w:rFonts w:ascii="Arial" w:hAnsi="Arial" w:cs="Arial"/>
          <w:noProof/>
          <w:sz w:val="20"/>
          <w:szCs w:val="20"/>
        </w:rPr>
        <w:t>(</w:t>
      </w:r>
      <w:hyperlink w:anchor="_ENREF_18" w:tooltip="Scott, 2012 #723" w:history="1">
        <w:r w:rsidR="00DC5920">
          <w:rPr>
            <w:rFonts w:ascii="Arial" w:hAnsi="Arial" w:cs="Arial"/>
            <w:noProof/>
            <w:sz w:val="20"/>
            <w:szCs w:val="20"/>
          </w:rPr>
          <w:t>Scott, Dawson, &amp; Jones, 2012</w:t>
        </w:r>
      </w:hyperlink>
      <w:r w:rsidR="00E33866">
        <w:rPr>
          <w:rFonts w:ascii="Arial" w:hAnsi="Arial" w:cs="Arial"/>
          <w:noProof/>
          <w:sz w:val="20"/>
          <w:szCs w:val="20"/>
        </w:rPr>
        <w:t>)</w:t>
      </w:r>
      <w:r w:rsidR="00E33866" w:rsidRPr="00D9090F">
        <w:rPr>
          <w:rFonts w:ascii="Arial" w:hAnsi="Arial" w:cs="Arial"/>
          <w:sz w:val="20"/>
          <w:szCs w:val="20"/>
        </w:rPr>
        <w:fldChar w:fldCharType="end"/>
      </w:r>
      <w:r w:rsidR="00E33866">
        <w:rPr>
          <w:rFonts w:ascii="Arial" w:hAnsi="Arial" w:cs="Arial"/>
          <w:sz w:val="20"/>
          <w:szCs w:val="20"/>
        </w:rPr>
        <w:t>; in particular</w:t>
      </w:r>
      <w:r w:rsidR="004C4644">
        <w:rPr>
          <w:rFonts w:ascii="Arial" w:hAnsi="Arial" w:cs="Arial"/>
          <w:sz w:val="20"/>
          <w:szCs w:val="20"/>
        </w:rPr>
        <w:t>,</w:t>
      </w:r>
      <w:r w:rsidR="00E33866">
        <w:rPr>
          <w:rFonts w:ascii="Arial" w:hAnsi="Arial" w:cs="Arial"/>
          <w:sz w:val="20"/>
          <w:szCs w:val="20"/>
        </w:rPr>
        <w:t xml:space="preserve"> where </w:t>
      </w:r>
      <w:r w:rsidR="004C4644">
        <w:rPr>
          <w:rFonts w:ascii="Arial" w:hAnsi="Arial" w:cs="Arial"/>
          <w:sz w:val="20"/>
          <w:szCs w:val="20"/>
        </w:rPr>
        <w:t xml:space="preserve">it has been demonstrated that </w:t>
      </w:r>
      <w:r w:rsidRPr="00D9090F">
        <w:rPr>
          <w:rFonts w:ascii="Arial" w:hAnsi="Arial" w:cs="Arial"/>
          <w:sz w:val="20"/>
          <w:szCs w:val="20"/>
        </w:rPr>
        <w:t xml:space="preserve">incidents </w:t>
      </w:r>
      <w:r w:rsidR="004C4644">
        <w:rPr>
          <w:rFonts w:ascii="Arial" w:hAnsi="Arial" w:cs="Arial"/>
          <w:sz w:val="20"/>
          <w:szCs w:val="20"/>
        </w:rPr>
        <w:t>are</w:t>
      </w:r>
      <w:r w:rsidR="00E33866">
        <w:rPr>
          <w:rFonts w:ascii="Arial" w:hAnsi="Arial" w:cs="Arial"/>
          <w:sz w:val="20"/>
          <w:szCs w:val="20"/>
        </w:rPr>
        <w:t xml:space="preserve"> </w:t>
      </w:r>
      <w:r w:rsidRPr="00D9090F">
        <w:rPr>
          <w:rFonts w:ascii="Arial" w:hAnsi="Arial" w:cs="Arial"/>
          <w:sz w:val="20"/>
          <w:szCs w:val="20"/>
        </w:rPr>
        <w:t>not easily captured via medical record review</w:t>
      </w:r>
      <w:r w:rsidR="00E33866">
        <w:rPr>
          <w:rFonts w:ascii="Arial" w:hAnsi="Arial" w:cs="Arial"/>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&lt;EndNote&gt;&lt;Cite&gt;&lt;Author&gt;Weissman&lt;/Author&gt;&lt;Year&gt;2008&lt;/Year&gt;&lt;RecNum&gt;7&lt;/RecNum&gt;&lt;DisplayText&gt;(Weissman&lt;style face="italic"&gt; et al.&lt;/style&gt;, 2008)&lt;/DisplayText&gt;&lt;record&gt;&lt;rec-number&gt;7&lt;/rec-number&gt;&lt;foreign-keys&gt;&lt;key app="EN" db-id="rfwaf2tw3df0viedd07x0t91ex5rxwd552av" timestamp="0"&gt;7&lt;/key&gt;&lt;/foreign-keys&gt;&lt;ref-type name="Journal Article"&gt;17&lt;/ref-type&gt;&lt;contributors&gt;&lt;authors&gt;&lt;author&gt;Weissman, Joel S.&lt;/author&gt;&lt;author&gt;Schneider, Eric C.&lt;/author&gt;&lt;author&gt;Weingart, Saul N.&lt;/author&gt;&lt;author&gt;Epstein, Arnold M.&lt;/author&gt;&lt;author&gt;David-Kasdan, JoAnn&lt;/author&gt;&lt;author&gt;Feibelmann, Sandra&lt;/author&gt;&lt;author&gt;Annas, Catherine L.&lt;/author&gt;&lt;author&gt;Ridley, Nancy&lt;/author&gt;&lt;author&gt;Kirle, Leslie&lt;/author&gt;&lt;author&gt;Gatsonis, Constantine&lt;/author&gt;&lt;/authors&gt;&lt;/contributors&gt;&lt;titles&gt;&lt;title&gt;Comparing patient-reported hospital adverse events with medical record review: Do patients know something that hospitals do not?&lt;/title&gt;&lt;secondary-title&gt;Annals of Internal Medicine&lt;/secondary-title&gt;&lt;/titles&gt;&lt;periodical&gt;&lt;full-title&gt;Annals of Internal Medicine&lt;/full-title&gt;&lt;abbr-1&gt;Ann Intern Med&lt;/abbr-1&gt;&lt;/periodical&gt;&lt;pages&gt;100-108&lt;/pages&gt;&lt;volume&gt;149&lt;/volume&gt;&lt;number&gt;2&lt;/number&gt;&lt;keywords&gt;&lt;keyword&gt;patient views&lt;/keyword&gt;&lt;keyword&gt;measurement&lt;/keyword&gt;&lt;keyword&gt;reporting systems&lt;/keyword&gt;&lt;/keywords&gt;&lt;dates&gt;&lt;year&gt;2008&lt;/year&gt;&lt;/dates&gt;&lt;urls&gt;&lt;/urls&gt;&lt;/record&gt;&lt;/Cite&gt;&lt;/EndNote&gt;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21" w:tooltip="Weissman, 2008 #7" w:history="1">
        <w:r w:rsidR="00DC5920">
          <w:rPr>
            <w:rFonts w:ascii="Arial" w:hAnsi="Arial" w:cs="Arial"/>
            <w:noProof/>
            <w:sz w:val="20"/>
            <w:szCs w:val="20"/>
          </w:rPr>
          <w:t>Weissman</w:t>
        </w:r>
        <w:r w:rsidR="00DC5920" w:rsidRPr="002B5345">
          <w:rPr>
            <w:rFonts w:ascii="Arial" w:hAnsi="Arial" w:cs="Arial"/>
            <w:i/>
            <w:noProof/>
            <w:sz w:val="20"/>
            <w:szCs w:val="20"/>
          </w:rPr>
          <w:t xml:space="preserve"> et al.</w:t>
        </w:r>
        <w:r w:rsidR="00DC5920">
          <w:rPr>
            <w:rFonts w:ascii="Arial" w:hAnsi="Arial" w:cs="Arial"/>
            <w:noProof/>
            <w:sz w:val="20"/>
            <w:szCs w:val="20"/>
          </w:rPr>
          <w:t>, 2008</w:t>
        </w:r>
      </w:hyperlink>
      <w:r w:rsidR="002B5345">
        <w:rPr>
          <w:rFonts w:ascii="Arial" w:hAnsi="Arial" w:cs="Arial"/>
          <w:noProof/>
          <w:sz w:val="20"/>
          <w:szCs w:val="20"/>
        </w:rPr>
        <w:t>)</w:t>
      </w:r>
      <w:r w:rsidRPr="00D9090F">
        <w:rPr>
          <w:rFonts w:ascii="Arial" w:hAnsi="Arial" w:cs="Arial"/>
          <w:sz w:val="20"/>
          <w:szCs w:val="20"/>
        </w:rPr>
        <w:fldChar w:fldCharType="end"/>
      </w:r>
      <w:r w:rsidR="00E33866">
        <w:rPr>
          <w:rFonts w:ascii="Arial" w:hAnsi="Arial" w:cs="Arial"/>
          <w:sz w:val="20"/>
          <w:szCs w:val="20"/>
        </w:rPr>
        <w:t>.</w:t>
      </w:r>
    </w:p>
    <w:p w14:paraId="380D7D73" w14:textId="77777777" w:rsidR="00976A00" w:rsidRPr="00D9090F" w:rsidRDefault="00976A00">
      <w:pPr>
        <w:spacing w:line="480" w:lineRule="auto"/>
        <w:jc w:val="both"/>
        <w:rPr>
          <w:rFonts w:ascii="Arial" w:hAnsi="Arial" w:cs="Arial"/>
          <w:sz w:val="20"/>
          <w:szCs w:val="20"/>
        </w:rPr>
      </w:pPr>
    </w:p>
    <w:p w14:paraId="78928282" w14:textId="77777777" w:rsidR="00803794" w:rsidRPr="00D9090F" w:rsidRDefault="00893AA0">
      <w:pPr>
        <w:spacing w:line="480" w:lineRule="auto"/>
        <w:jc w:val="both"/>
        <w:rPr>
          <w:rFonts w:ascii="Arial" w:hAnsi="Arial" w:cs="Arial"/>
          <w:sz w:val="20"/>
          <w:szCs w:val="20"/>
        </w:rPr>
      </w:pPr>
      <w:r w:rsidRPr="00D9090F">
        <w:rPr>
          <w:rFonts w:ascii="Arial" w:hAnsi="Arial" w:cs="Arial"/>
          <w:sz w:val="20"/>
          <w:szCs w:val="20"/>
        </w:rPr>
        <w:t>The established approach</w:t>
      </w:r>
      <w:r w:rsidR="00E55B3C" w:rsidRPr="00D9090F">
        <w:rPr>
          <w:rFonts w:ascii="Arial" w:hAnsi="Arial" w:cs="Arial"/>
          <w:sz w:val="20"/>
          <w:szCs w:val="20"/>
        </w:rPr>
        <w:t xml:space="preserve"> to creating safe care</w:t>
      </w:r>
      <w:r w:rsidRPr="00D9090F">
        <w:rPr>
          <w:rFonts w:ascii="Arial" w:hAnsi="Arial" w:cs="Arial"/>
          <w:sz w:val="20"/>
          <w:szCs w:val="20"/>
        </w:rPr>
        <w:t>, sometimes referred to as Safety-I, is largely concerned with the absence of safety or experience of harm, and is concern</w:t>
      </w:r>
      <w:r w:rsidR="00E55B3C" w:rsidRPr="00D9090F">
        <w:rPr>
          <w:rFonts w:ascii="Arial" w:hAnsi="Arial" w:cs="Arial"/>
          <w:sz w:val="20"/>
          <w:szCs w:val="20"/>
        </w:rPr>
        <w:t>ed</w:t>
      </w:r>
      <w:r w:rsidRPr="00D9090F">
        <w:rPr>
          <w:rFonts w:ascii="Arial" w:hAnsi="Arial" w:cs="Arial"/>
          <w:sz w:val="20"/>
          <w:szCs w:val="20"/>
        </w:rPr>
        <w:t xml:space="preserve"> with how these harms can be measured and managed. </w:t>
      </w:r>
      <w:r w:rsidR="00803794" w:rsidRPr="00D9090F">
        <w:rPr>
          <w:rFonts w:ascii="Arial" w:hAnsi="Arial" w:cs="Arial"/>
          <w:sz w:val="20"/>
          <w:szCs w:val="20"/>
        </w:rPr>
        <w:t xml:space="preserve">Safety-I is </w:t>
      </w:r>
      <w:r w:rsidRPr="00D9090F">
        <w:rPr>
          <w:rFonts w:ascii="Arial" w:hAnsi="Arial" w:cs="Arial"/>
          <w:sz w:val="20"/>
          <w:szCs w:val="20"/>
        </w:rPr>
        <w:t>associated with retrospective learning systems and error management. Although not often explicit,</w:t>
      </w:r>
      <w:r w:rsidR="000217E8">
        <w:rPr>
          <w:rFonts w:ascii="Arial" w:hAnsi="Arial" w:cs="Arial"/>
          <w:sz w:val="20"/>
          <w:szCs w:val="20"/>
        </w:rPr>
        <w:t xml:space="preserve"> </w:t>
      </w:r>
      <w:r w:rsidR="00AD4C58">
        <w:rPr>
          <w:rFonts w:ascii="Arial" w:hAnsi="Arial" w:cs="Arial"/>
          <w:sz w:val="20"/>
          <w:szCs w:val="20"/>
        </w:rPr>
        <w:t xml:space="preserve">this can be </w:t>
      </w:r>
      <w:r w:rsidR="000217E8">
        <w:rPr>
          <w:rFonts w:ascii="Arial" w:hAnsi="Arial" w:cs="Arial"/>
          <w:sz w:val="20"/>
          <w:szCs w:val="20"/>
        </w:rPr>
        <w:t>interpret</w:t>
      </w:r>
      <w:r w:rsidR="00AD4C58">
        <w:rPr>
          <w:rFonts w:ascii="Arial" w:hAnsi="Arial" w:cs="Arial"/>
          <w:sz w:val="20"/>
          <w:szCs w:val="20"/>
        </w:rPr>
        <w:t>ed</w:t>
      </w:r>
      <w:r w:rsidRPr="00D9090F">
        <w:rPr>
          <w:rFonts w:ascii="Arial" w:hAnsi="Arial" w:cs="Arial"/>
          <w:sz w:val="20"/>
          <w:szCs w:val="20"/>
        </w:rPr>
        <w:t xml:space="preserve"> </w:t>
      </w:r>
      <w:r w:rsidR="000217E8">
        <w:rPr>
          <w:rFonts w:ascii="Arial" w:hAnsi="Arial" w:cs="Arial"/>
          <w:sz w:val="20"/>
          <w:szCs w:val="20"/>
        </w:rPr>
        <w:t xml:space="preserve">as </w:t>
      </w:r>
      <w:r w:rsidRPr="00D9090F">
        <w:rPr>
          <w:rFonts w:ascii="Arial" w:hAnsi="Arial" w:cs="Arial"/>
          <w:sz w:val="20"/>
          <w:szCs w:val="20"/>
        </w:rPr>
        <w:t>encourag</w:t>
      </w:r>
      <w:r w:rsidR="000217E8">
        <w:rPr>
          <w:rFonts w:ascii="Arial" w:hAnsi="Arial" w:cs="Arial"/>
          <w:sz w:val="20"/>
          <w:szCs w:val="20"/>
        </w:rPr>
        <w:t>ing</w:t>
      </w:r>
      <w:r w:rsidRPr="00D9090F">
        <w:rPr>
          <w:rFonts w:ascii="Arial" w:hAnsi="Arial" w:cs="Arial"/>
          <w:sz w:val="20"/>
          <w:szCs w:val="20"/>
        </w:rPr>
        <w:t xml:space="preserve"> a narrative of vulnerability that is applied universally to all patients. </w:t>
      </w:r>
    </w:p>
    <w:p w14:paraId="27A5BE59" w14:textId="77777777" w:rsidR="00803794" w:rsidRPr="00D9090F" w:rsidRDefault="00803794">
      <w:pPr>
        <w:spacing w:line="480" w:lineRule="auto"/>
        <w:jc w:val="both"/>
        <w:rPr>
          <w:rFonts w:ascii="Arial" w:hAnsi="Arial" w:cs="Arial"/>
          <w:sz w:val="20"/>
          <w:szCs w:val="20"/>
        </w:rPr>
      </w:pPr>
    </w:p>
    <w:p w14:paraId="1C841F65" w14:textId="0FEE0F00" w:rsidR="00976A00" w:rsidRPr="00D9090F" w:rsidRDefault="00803794">
      <w:pPr>
        <w:spacing w:line="480" w:lineRule="auto"/>
        <w:jc w:val="both"/>
        <w:rPr>
          <w:rFonts w:ascii="Arial" w:hAnsi="Arial" w:cs="Arial"/>
          <w:sz w:val="20"/>
          <w:szCs w:val="20"/>
          <w:lang w:eastAsia="en-US"/>
        </w:rPr>
      </w:pPr>
      <w:r w:rsidRPr="00D9090F">
        <w:rPr>
          <w:rFonts w:ascii="Arial" w:hAnsi="Arial" w:cs="Arial"/>
          <w:sz w:val="20"/>
          <w:szCs w:val="20"/>
        </w:rPr>
        <w:t xml:space="preserve">Safety-I </w:t>
      </w:r>
      <w:r w:rsidR="00893AA0" w:rsidRPr="00D9090F">
        <w:rPr>
          <w:rFonts w:ascii="Arial" w:hAnsi="Arial" w:cs="Arial"/>
          <w:sz w:val="20"/>
          <w:szCs w:val="20"/>
        </w:rPr>
        <w:t>assumes t</w:t>
      </w:r>
      <w:r w:rsidR="00893AA0" w:rsidRPr="00D9090F">
        <w:rPr>
          <w:rFonts w:ascii="Arial" w:hAnsi="Arial" w:cs="Arial"/>
          <w:sz w:val="20"/>
          <w:szCs w:val="20"/>
          <w:lang w:eastAsia="en-US"/>
        </w:rPr>
        <w:t xml:space="preserve">asks can be clearly specified </w:t>
      </w:r>
      <w:r w:rsidR="00893AA0" w:rsidRPr="00D9090F">
        <w:rPr>
          <w:rFonts w:ascii="Arial" w:hAnsi="Arial" w:cs="Arial"/>
          <w:sz w:val="20"/>
          <w:szCs w:val="20"/>
        </w:rPr>
        <w:t xml:space="preserve">and that care can </w:t>
      </w:r>
      <w:r w:rsidR="00893AA0" w:rsidRPr="00D9090F">
        <w:rPr>
          <w:rFonts w:ascii="Arial" w:hAnsi="Arial" w:cs="Arial"/>
          <w:sz w:val="20"/>
          <w:szCs w:val="20"/>
          <w:lang w:eastAsia="en-US"/>
        </w:rPr>
        <w:t xml:space="preserve">conform </w:t>
      </w:r>
      <w:r w:rsidR="00F11740" w:rsidRPr="00D9090F">
        <w:rPr>
          <w:rFonts w:ascii="Arial" w:hAnsi="Arial" w:cs="Arial"/>
          <w:sz w:val="20"/>
          <w:szCs w:val="20"/>
          <w:lang w:eastAsia="en-US"/>
        </w:rPr>
        <w:t xml:space="preserve">reliably </w:t>
      </w:r>
      <w:r w:rsidR="00893AA0" w:rsidRPr="00D9090F">
        <w:rPr>
          <w:rFonts w:ascii="Arial" w:hAnsi="Arial" w:cs="Arial"/>
          <w:sz w:val="20"/>
          <w:szCs w:val="20"/>
          <w:lang w:eastAsia="en-US"/>
        </w:rPr>
        <w:t>to standard procedures</w:t>
      </w:r>
      <w:r w:rsidR="005A4A92">
        <w:rPr>
          <w:rFonts w:ascii="Arial" w:hAnsi="Arial" w:cs="Arial"/>
          <w:sz w:val="20"/>
          <w:szCs w:val="20"/>
          <w:lang w:eastAsia="en-US"/>
        </w:rPr>
        <w:t xml:space="preserve">, reducing </w:t>
      </w:r>
      <w:r w:rsidR="00035A35">
        <w:rPr>
          <w:rFonts w:ascii="Arial" w:hAnsi="Arial" w:cs="Arial"/>
          <w:sz w:val="20"/>
          <w:szCs w:val="20"/>
          <w:lang w:eastAsia="en-US"/>
        </w:rPr>
        <w:t xml:space="preserve">variation in practice </w:t>
      </w:r>
      <w:r w:rsidR="005A4A92">
        <w:rPr>
          <w:rFonts w:ascii="Arial" w:hAnsi="Arial" w:cs="Arial"/>
          <w:sz w:val="20"/>
          <w:szCs w:val="20"/>
          <w:lang w:eastAsia="en-US"/>
        </w:rPr>
        <w:t>in an attempt to eliminate errors caused by human factors</w:t>
      </w:r>
      <w:r w:rsidR="00F11740" w:rsidRPr="00D9090F">
        <w:rPr>
          <w:rFonts w:ascii="Arial" w:hAnsi="Arial" w:cs="Arial"/>
          <w:sz w:val="20"/>
          <w:szCs w:val="20"/>
          <w:lang w:eastAsia="en-US"/>
        </w:rPr>
        <w:t>.</w:t>
      </w:r>
      <w:r w:rsidR="00893AA0" w:rsidRPr="00D9090F">
        <w:rPr>
          <w:rFonts w:ascii="Arial" w:hAnsi="Arial" w:cs="Arial"/>
          <w:sz w:val="20"/>
          <w:szCs w:val="20"/>
          <w:lang w:eastAsia="en-US"/>
        </w:rPr>
        <w:t xml:space="preserve"> However, there is growing recognition that the delivery of healthcare, particularly in the community</w:t>
      </w:r>
      <w:r w:rsidR="000217E8">
        <w:rPr>
          <w:rFonts w:ascii="Arial" w:hAnsi="Arial" w:cs="Arial"/>
          <w:sz w:val="20"/>
          <w:szCs w:val="20"/>
          <w:lang w:eastAsia="en-US"/>
        </w:rPr>
        <w:t xml:space="preserve"> but also in all care settings</w:t>
      </w:r>
      <w:r w:rsidR="00893AA0" w:rsidRPr="00D9090F">
        <w:rPr>
          <w:rFonts w:ascii="Arial" w:hAnsi="Arial" w:cs="Arial"/>
          <w:sz w:val="20"/>
          <w:szCs w:val="20"/>
          <w:lang w:eastAsia="en-US"/>
        </w:rPr>
        <w:t>, cannot be carried out with such predictability and precision. In recent years an alternative, more flexible and prospective approach to safety management</w:t>
      </w:r>
      <w:r w:rsidR="00E33866">
        <w:rPr>
          <w:rFonts w:ascii="Arial" w:hAnsi="Arial" w:cs="Arial"/>
          <w:sz w:val="20"/>
          <w:szCs w:val="20"/>
          <w:lang w:eastAsia="en-US"/>
        </w:rPr>
        <w:t xml:space="preserve"> proposed by </w:t>
      </w:r>
      <w:hyperlink w:anchor="_ENREF_9" w:tooltip="Hollnagel, 2013 #280" w:history="1">
        <w:r w:rsidR="00DC5920" w:rsidRPr="00D9090F">
          <w:rPr>
            <w:rFonts w:ascii="Arial" w:hAnsi="Arial" w:cs="Arial"/>
            <w:sz w:val="20"/>
            <w:szCs w:val="20"/>
            <w:lang w:eastAsia="en-US"/>
          </w:rPr>
          <w:fldChar w:fldCharType="begin"/>
        </w:r>
        <w:r w:rsidR="00DC5920">
          <w:rPr>
            <w:rFonts w:ascii="Arial" w:hAnsi="Arial" w:cs="Arial"/>
            <w:sz w:val="20"/>
            <w:szCs w:val="20"/>
            <w:lang w:eastAsia="en-US"/>
          </w:rPr>
          <w:instrText xml:space="preserve"> ADDIN EN.CITE &lt;EndNote&gt;&lt;Cite AuthorYear="1"&gt;&lt;Author&gt;Hollnagel&lt;/Author&gt;&lt;Year&gt;2013&lt;/Year&gt;&lt;RecNum&gt;280&lt;/RecNum&gt;&lt;DisplayText&gt;Hollnagel, Braithwaite, and Wears (2013)&lt;/DisplayText&gt;&lt;record&gt;&lt;rec-number&gt;280&lt;/rec-number&gt;&lt;foreign-keys&gt;&lt;key app="EN" db-id="avadx9v2hps0xsevx5o52v070axfsvxexvw9" timestamp="1450700942"&gt;280&lt;/key&gt;&lt;/foreign-keys&gt;&lt;ref-type name="Book"&gt;6&lt;/ref-type&gt;&lt;contributors&gt;&lt;authors&gt;&lt;author&gt;Hollnagel, E.&lt;/author&gt;&lt;author&gt;Braithwaite, J.&lt;/author&gt;&lt;author&gt;Wears, R. L.&lt;/author&gt;&lt;/authors&gt;&lt;/contributors&gt;&lt;titles&gt;&lt;title&gt;Resilient Health Care&lt;/title&gt;&lt;/titles&gt;&lt;dates&gt;&lt;year&gt;2013&lt;/year&gt;&lt;/dates&gt;&lt;pub-location&gt;Farnham, UK&lt;/pub-location&gt;&lt;publisher&gt;Ashgate&lt;/publisher&gt;&lt;urls&gt;&lt;/urls&gt;&lt;/record&gt;&lt;/Cite&gt;&lt;/EndNote&gt;</w:instrText>
        </w:r>
        <w:r w:rsidR="00DC5920" w:rsidRPr="00D9090F">
          <w:rPr>
            <w:rFonts w:ascii="Arial" w:hAnsi="Arial" w:cs="Arial"/>
            <w:sz w:val="20"/>
            <w:szCs w:val="20"/>
            <w:lang w:eastAsia="en-US"/>
          </w:rPr>
          <w:fldChar w:fldCharType="separate"/>
        </w:r>
        <w:r w:rsidR="00DC5920">
          <w:rPr>
            <w:rFonts w:ascii="Arial" w:hAnsi="Arial" w:cs="Arial"/>
            <w:noProof/>
            <w:sz w:val="20"/>
            <w:szCs w:val="20"/>
            <w:lang w:eastAsia="en-US"/>
          </w:rPr>
          <w:t>Hollnagel, Braithwaite, and Wears (2013)</w:t>
        </w:r>
        <w:r w:rsidR="00DC5920" w:rsidRPr="00D9090F">
          <w:rPr>
            <w:rFonts w:ascii="Arial" w:hAnsi="Arial" w:cs="Arial"/>
            <w:sz w:val="20"/>
            <w:szCs w:val="20"/>
            <w:lang w:eastAsia="en-US"/>
          </w:rPr>
          <w:fldChar w:fldCharType="end"/>
        </w:r>
      </w:hyperlink>
      <w:r w:rsidR="00893AA0" w:rsidRPr="00D9090F">
        <w:rPr>
          <w:rFonts w:ascii="Arial" w:hAnsi="Arial" w:cs="Arial"/>
          <w:sz w:val="20"/>
          <w:szCs w:val="20"/>
          <w:lang w:eastAsia="en-US"/>
        </w:rPr>
        <w:t>, commonly referred to as Safety-II</w:t>
      </w:r>
      <w:r w:rsidR="00E33866">
        <w:rPr>
          <w:rFonts w:ascii="Arial" w:hAnsi="Arial" w:cs="Arial"/>
          <w:sz w:val="20"/>
          <w:szCs w:val="20"/>
          <w:lang w:eastAsia="en-US"/>
        </w:rPr>
        <w:t>,</w:t>
      </w:r>
      <w:r w:rsidR="00893AA0" w:rsidRPr="00D9090F">
        <w:rPr>
          <w:rFonts w:ascii="Arial" w:hAnsi="Arial" w:cs="Arial"/>
          <w:sz w:val="20"/>
          <w:szCs w:val="20"/>
          <w:lang w:eastAsia="en-US"/>
        </w:rPr>
        <w:t xml:space="preserve"> has been </w:t>
      </w:r>
      <w:r w:rsidR="00871742" w:rsidRPr="00D9090F">
        <w:rPr>
          <w:rFonts w:ascii="Arial" w:hAnsi="Arial" w:cs="Arial"/>
          <w:sz w:val="20"/>
          <w:szCs w:val="20"/>
          <w:lang w:eastAsia="en-US"/>
        </w:rPr>
        <w:t>advocated</w:t>
      </w:r>
      <w:r w:rsidR="00893AA0" w:rsidRPr="00D9090F">
        <w:rPr>
          <w:rFonts w:ascii="Arial" w:hAnsi="Arial" w:cs="Arial"/>
          <w:sz w:val="20"/>
          <w:szCs w:val="20"/>
          <w:lang w:eastAsia="en-US"/>
        </w:rPr>
        <w:t xml:space="preserve">. </w:t>
      </w:r>
      <w:r w:rsidRPr="00D9090F">
        <w:rPr>
          <w:rFonts w:ascii="Arial" w:hAnsi="Arial" w:cs="Arial"/>
          <w:sz w:val="20"/>
          <w:szCs w:val="20"/>
          <w:lang w:eastAsia="en-US"/>
        </w:rPr>
        <w:t xml:space="preserve">Safety-II </w:t>
      </w:r>
      <w:r w:rsidR="00893AA0" w:rsidRPr="00D9090F">
        <w:rPr>
          <w:rFonts w:ascii="Arial" w:hAnsi="Arial" w:cs="Arial"/>
          <w:sz w:val="20"/>
          <w:szCs w:val="20"/>
          <w:lang w:eastAsia="en-US"/>
        </w:rPr>
        <w:t xml:space="preserve">aims </w:t>
      </w:r>
      <w:r w:rsidR="00893AA0" w:rsidRPr="00D9090F">
        <w:rPr>
          <w:rFonts w:ascii="Arial" w:hAnsi="Arial" w:cs="Arial"/>
          <w:sz w:val="20"/>
          <w:szCs w:val="20"/>
          <w:lang w:eastAsia="en-US"/>
        </w:rPr>
        <w:lastRenderedPageBreak/>
        <w:t xml:space="preserve">to build resilience to variation and risk, rather than </w:t>
      </w:r>
      <w:r w:rsidR="00871742" w:rsidRPr="00D9090F">
        <w:rPr>
          <w:rFonts w:ascii="Arial" w:hAnsi="Arial" w:cs="Arial"/>
          <w:sz w:val="20"/>
          <w:szCs w:val="20"/>
          <w:lang w:eastAsia="en-US"/>
        </w:rPr>
        <w:t xml:space="preserve">adherence to prescribed and </w:t>
      </w:r>
      <w:r w:rsidR="00893AA0" w:rsidRPr="00D9090F">
        <w:rPr>
          <w:rFonts w:ascii="Arial" w:hAnsi="Arial" w:cs="Arial"/>
          <w:sz w:val="20"/>
          <w:szCs w:val="20"/>
          <w:lang w:eastAsia="en-US"/>
        </w:rPr>
        <w:t>specifi</w:t>
      </w:r>
      <w:r w:rsidR="00871742" w:rsidRPr="00D9090F">
        <w:rPr>
          <w:rFonts w:ascii="Arial" w:hAnsi="Arial" w:cs="Arial"/>
          <w:sz w:val="20"/>
          <w:szCs w:val="20"/>
          <w:lang w:eastAsia="en-US"/>
        </w:rPr>
        <w:t>ed</w:t>
      </w:r>
      <w:r w:rsidR="00893AA0" w:rsidRPr="00D9090F">
        <w:rPr>
          <w:rFonts w:ascii="Arial" w:hAnsi="Arial" w:cs="Arial"/>
          <w:sz w:val="20"/>
          <w:szCs w:val="20"/>
          <w:lang w:eastAsia="en-US"/>
        </w:rPr>
        <w:t xml:space="preserve"> actions. </w:t>
      </w:r>
      <w:r w:rsidR="00893AA0" w:rsidRPr="00D9090F">
        <w:rPr>
          <w:rFonts w:ascii="Arial" w:hAnsi="Arial" w:cs="Arial"/>
          <w:sz w:val="20"/>
          <w:szCs w:val="20"/>
        </w:rPr>
        <w:t>In recognition of the paradox of measuring safety by its absence</w:t>
      </w:r>
      <w:r w:rsidR="00E33866">
        <w:rPr>
          <w:rFonts w:ascii="Arial" w:hAnsi="Arial" w:cs="Arial"/>
          <w:sz w:val="20"/>
          <w:szCs w:val="20"/>
        </w:rPr>
        <w:t xml:space="preserve"> first identified by </w:t>
      </w:r>
      <w:hyperlink w:anchor="_ENREF_14" w:tooltip="Reason, 2000 #763" w:history="1">
        <w:r w:rsidR="00DC5920" w:rsidRPr="00D9090F">
          <w:rPr>
            <w:rFonts w:ascii="Arial" w:hAnsi="Arial" w:cs="Arial"/>
            <w:sz w:val="20"/>
            <w:szCs w:val="20"/>
          </w:rPr>
          <w:fldChar w:fldCharType="begin"/>
        </w:r>
        <w:r w:rsidR="00DC5920">
          <w:rPr>
            <w:rFonts w:ascii="Arial" w:hAnsi="Arial" w:cs="Arial"/>
            <w:sz w:val="20"/>
            <w:szCs w:val="20"/>
          </w:rPr>
          <w:instrText xml:space="preserve"> ADDIN EN.CITE &lt;EndNote&gt;&lt;Cite AuthorYear="1"&gt;&lt;Author&gt;Reason&lt;/Author&gt;&lt;Year&gt;2000&lt;/Year&gt;&lt;RecNum&gt;763&lt;/RecNum&gt;&lt;DisplayText&gt;Reason (2000b)&lt;/DisplayText&gt;&lt;record&gt;&lt;rec-number&gt;763&lt;/rec-number&gt;&lt;foreign-keys&gt;&lt;key app="EN" db-id="rfwaf2tw3df0viedd07x0t91ex5rxwd552av" timestamp="1355737438"&gt;763&lt;/key&gt;&lt;/foreign-keys&gt;&lt;ref-type name="Journal Article"&gt;17&lt;/ref-type&gt;&lt;contributors&gt;&lt;authors&gt;&lt;author&gt;James Reason&lt;/author&gt;&lt;/authors&gt;&lt;/contributors&gt;&lt;titles&gt;&lt;title&gt;Safety paradoxes and safety culture&lt;/title&gt;&lt;secondary-title&gt;Injury Control and Safety Promotion&lt;/secondary-title&gt;&lt;/titles&gt;&lt;periodical&gt;&lt;full-title&gt;Injury Control and Safety Promotion&lt;/full-title&gt;&lt;/periodical&gt;&lt;pages&gt;3-14&lt;/pages&gt;&lt;volume&gt;7&lt;/volume&gt;&lt;number&gt;1&lt;/number&gt;&lt;dates&gt;&lt;year&gt;2000&lt;/year&gt;&lt;/dates&gt;&lt;urls&gt;&lt;/urls&gt;&lt;/record&gt;&lt;/Cite&gt;&lt;/EndNote&gt;</w:instrText>
        </w:r>
        <w:r w:rsidR="00DC5920" w:rsidRPr="00D9090F">
          <w:rPr>
            <w:rFonts w:ascii="Arial" w:hAnsi="Arial" w:cs="Arial"/>
            <w:sz w:val="20"/>
            <w:szCs w:val="20"/>
          </w:rPr>
          <w:fldChar w:fldCharType="separate"/>
        </w:r>
        <w:r w:rsidR="00DC5920">
          <w:rPr>
            <w:rFonts w:ascii="Arial" w:hAnsi="Arial" w:cs="Arial"/>
            <w:noProof/>
            <w:sz w:val="20"/>
            <w:szCs w:val="20"/>
          </w:rPr>
          <w:t>Reason (2000b)</w:t>
        </w:r>
        <w:r w:rsidR="00DC5920" w:rsidRPr="00D9090F">
          <w:rPr>
            <w:rFonts w:ascii="Arial" w:hAnsi="Arial" w:cs="Arial"/>
            <w:sz w:val="20"/>
            <w:szCs w:val="20"/>
          </w:rPr>
          <w:fldChar w:fldCharType="end"/>
        </w:r>
      </w:hyperlink>
      <w:r w:rsidR="00E33866">
        <w:rPr>
          <w:rFonts w:ascii="Arial" w:hAnsi="Arial" w:cs="Arial"/>
          <w:sz w:val="20"/>
          <w:szCs w:val="20"/>
        </w:rPr>
        <w:t>,</w:t>
      </w:r>
      <w:r w:rsidR="00893AA0" w:rsidRPr="00D9090F">
        <w:rPr>
          <w:rFonts w:ascii="Arial" w:hAnsi="Arial" w:cs="Arial"/>
          <w:sz w:val="20"/>
          <w:szCs w:val="20"/>
        </w:rPr>
        <w:t xml:space="preserve"> Safety-II emphasis</w:t>
      </w:r>
      <w:r w:rsidR="00871742" w:rsidRPr="00D9090F">
        <w:rPr>
          <w:rFonts w:ascii="Arial" w:hAnsi="Arial" w:cs="Arial"/>
          <w:sz w:val="20"/>
          <w:szCs w:val="20"/>
        </w:rPr>
        <w:t>es</w:t>
      </w:r>
      <w:r w:rsidR="00893AA0" w:rsidRPr="00D9090F">
        <w:rPr>
          <w:rFonts w:ascii="Arial" w:hAnsi="Arial" w:cs="Arial"/>
          <w:sz w:val="20"/>
          <w:szCs w:val="20"/>
        </w:rPr>
        <w:t xml:space="preserve"> proactive approaches to safety</w:t>
      </w:r>
      <w:r w:rsidR="00871742" w:rsidRPr="00D9090F">
        <w:rPr>
          <w:rFonts w:ascii="Arial" w:hAnsi="Arial" w:cs="Arial"/>
          <w:sz w:val="20"/>
          <w:szCs w:val="20"/>
        </w:rPr>
        <w:t xml:space="preserve"> by </w:t>
      </w:r>
      <w:r w:rsidR="00893AA0" w:rsidRPr="00D9090F">
        <w:rPr>
          <w:rFonts w:ascii="Arial" w:hAnsi="Arial" w:cs="Arial"/>
          <w:sz w:val="20"/>
          <w:szCs w:val="20"/>
        </w:rPr>
        <w:t>focusing upon what makes patients safe in an attempt to learn from success rather than failure.</w:t>
      </w:r>
      <w:r w:rsidR="005A4A92">
        <w:rPr>
          <w:rFonts w:ascii="Arial" w:hAnsi="Arial" w:cs="Arial"/>
          <w:sz w:val="20"/>
          <w:szCs w:val="20"/>
        </w:rPr>
        <w:t xml:space="preserve"> It also recognises </w:t>
      </w:r>
      <w:r w:rsidR="00855E36">
        <w:rPr>
          <w:rFonts w:ascii="Arial" w:hAnsi="Arial" w:cs="Arial"/>
          <w:sz w:val="20"/>
          <w:szCs w:val="20"/>
        </w:rPr>
        <w:t xml:space="preserve">that flexible systems and agency amongst healthcare staff can create the conditions for safe care that would not otherwise be available when strictly following Safety-I approaches. </w:t>
      </w:r>
      <w:r w:rsidR="00E33866">
        <w:rPr>
          <w:rFonts w:ascii="Arial" w:hAnsi="Arial" w:cs="Arial"/>
          <w:sz w:val="20"/>
          <w:szCs w:val="20"/>
        </w:rPr>
        <w:t>Whilst t</w:t>
      </w:r>
      <w:r w:rsidR="000217E8">
        <w:rPr>
          <w:rFonts w:ascii="Arial" w:hAnsi="Arial" w:cs="Arial"/>
          <w:sz w:val="20"/>
          <w:szCs w:val="20"/>
        </w:rPr>
        <w:t xml:space="preserve">his begins to shift the narrative away from universal vulnerability and risk, </w:t>
      </w:r>
      <w:r w:rsidR="008F5B53">
        <w:rPr>
          <w:rFonts w:ascii="Arial" w:hAnsi="Arial" w:cs="Arial"/>
          <w:sz w:val="20"/>
          <w:szCs w:val="20"/>
        </w:rPr>
        <w:t xml:space="preserve">differences in the ways in which safety is conceptualised and operationalised are </w:t>
      </w:r>
      <w:r w:rsidR="000217E8">
        <w:rPr>
          <w:rFonts w:ascii="Arial" w:hAnsi="Arial" w:cs="Arial"/>
          <w:sz w:val="20"/>
          <w:szCs w:val="20"/>
        </w:rPr>
        <w:t xml:space="preserve">still </w:t>
      </w:r>
      <w:r w:rsidR="008F5B53">
        <w:rPr>
          <w:rFonts w:ascii="Arial" w:hAnsi="Arial" w:cs="Arial"/>
          <w:sz w:val="20"/>
          <w:szCs w:val="20"/>
        </w:rPr>
        <w:t xml:space="preserve">apparent between health and social care </w:t>
      </w:r>
      <w:r w:rsidR="000217E8">
        <w:rPr>
          <w:rFonts w:ascii="Arial" w:hAnsi="Arial" w:cs="Arial"/>
          <w:sz w:val="20"/>
          <w:szCs w:val="20"/>
        </w:rPr>
        <w:t xml:space="preserve">settings. </w:t>
      </w:r>
    </w:p>
    <w:p w14:paraId="13B52EF9" w14:textId="77777777" w:rsidR="00976A00" w:rsidRPr="00D9090F" w:rsidRDefault="00976A00">
      <w:pPr>
        <w:spacing w:line="480" w:lineRule="auto"/>
        <w:jc w:val="both"/>
        <w:rPr>
          <w:rFonts w:ascii="Arial" w:hAnsi="Arial" w:cs="Arial"/>
          <w:sz w:val="20"/>
          <w:szCs w:val="20"/>
        </w:rPr>
      </w:pPr>
    </w:p>
    <w:p w14:paraId="28D7D2A9" w14:textId="77777777" w:rsidR="00976A00" w:rsidRPr="00D9090F" w:rsidRDefault="00893AA0">
      <w:pPr>
        <w:spacing w:line="480" w:lineRule="auto"/>
        <w:jc w:val="both"/>
        <w:rPr>
          <w:rFonts w:ascii="Arial" w:hAnsi="Arial" w:cs="Arial"/>
          <w:b/>
          <w:sz w:val="20"/>
          <w:szCs w:val="20"/>
        </w:rPr>
      </w:pPr>
      <w:r w:rsidRPr="00D9090F">
        <w:rPr>
          <w:rFonts w:ascii="Arial" w:hAnsi="Arial" w:cs="Arial"/>
          <w:b/>
          <w:sz w:val="20"/>
          <w:szCs w:val="20"/>
        </w:rPr>
        <w:t>Safety in Social Care</w:t>
      </w:r>
    </w:p>
    <w:p w14:paraId="7AB96CD1" w14:textId="3C7F5980" w:rsidR="00976A00" w:rsidRPr="00D9090F" w:rsidRDefault="00893AA0">
      <w:pPr>
        <w:spacing w:line="480" w:lineRule="auto"/>
        <w:jc w:val="both"/>
        <w:rPr>
          <w:rFonts w:ascii="Arial" w:hAnsi="Arial" w:cs="Arial"/>
          <w:sz w:val="20"/>
          <w:szCs w:val="20"/>
        </w:rPr>
      </w:pPr>
      <w:r w:rsidRPr="00D9090F">
        <w:rPr>
          <w:rFonts w:ascii="Arial" w:hAnsi="Arial" w:cs="Arial"/>
          <w:i/>
          <w:sz w:val="20"/>
          <w:szCs w:val="20"/>
        </w:rPr>
        <w:t>No Secrets</w:t>
      </w:r>
      <w:r w:rsidR="00E33866">
        <w:rPr>
          <w:rFonts w:ascii="Arial" w:hAnsi="Arial" w:cs="Arial"/>
          <w:i/>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&lt;EndNote&gt;&lt;Cite&gt;&lt;Author&gt;Department of Health&lt;/Author&gt;&lt;Year&gt;2000&lt;/Year&gt;&lt;RecNum&gt;915&lt;/RecNum&gt;&lt;DisplayText&gt;(Department of Health, 2000a)&lt;/DisplayText&gt;&lt;record&gt;&lt;rec-number&gt;915&lt;/rec-number&gt;&lt;foreign-keys&gt;&lt;key app="EN" db-id="rfwaf2tw3df0viedd07x0t91ex5rxwd552av" timestamp="1429878396"&gt;915&lt;/key&gt;&lt;/foreign-keys&gt;&lt;ref-type name="Book"&gt;6&lt;/ref-type&gt;&lt;contributors&gt;&lt;authors&gt;&lt;author&gt;Department of Health,&lt;/author&gt;&lt;/authors&gt;&lt;/contributors&gt;&lt;titles&gt;&lt;title&gt;No secrets: Guidance on developing and implementing multi-agency policies and procedures to protect vulnerable adults from abuse&lt;/title&gt;&lt;/titles&gt;&lt;dates&gt;&lt;year&gt;2000&lt;/year&gt;&lt;/dates&gt;&lt;pub-location&gt;London&lt;/pub-location&gt;&lt;publisher&gt;Department of Health&lt;/publisher&gt;&lt;urls&gt;&lt;/urls&gt;&lt;/record&gt;&lt;/Cite&gt;&lt;/EndNote&gt;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6" w:tooltip="Department of Health, 2000 #915" w:history="1">
        <w:r w:rsidR="00DC5920">
          <w:rPr>
            <w:rFonts w:ascii="Arial" w:hAnsi="Arial" w:cs="Arial"/>
            <w:noProof/>
            <w:sz w:val="20"/>
            <w:szCs w:val="20"/>
          </w:rPr>
          <w:t>Department of Health, 2000a</w:t>
        </w:r>
      </w:hyperlink>
      <w:r w:rsidR="002B5345">
        <w:rPr>
          <w:rFonts w:ascii="Arial" w:hAnsi="Arial" w:cs="Arial"/>
          <w:noProof/>
          <w:sz w:val="20"/>
          <w:szCs w:val="20"/>
        </w:rPr>
        <w:t>)</w:t>
      </w:r>
      <w:r w:rsidRPr="00D9090F">
        <w:rPr>
          <w:rFonts w:ascii="Arial" w:hAnsi="Arial" w:cs="Arial"/>
          <w:sz w:val="20"/>
          <w:szCs w:val="20"/>
        </w:rPr>
        <w:fldChar w:fldCharType="end"/>
      </w:r>
      <w:r w:rsidR="00E33866">
        <w:rPr>
          <w:rFonts w:ascii="Arial" w:hAnsi="Arial" w:cs="Arial"/>
          <w:sz w:val="20"/>
          <w:szCs w:val="20"/>
        </w:rPr>
        <w:t>,</w:t>
      </w:r>
      <w:r w:rsidRPr="00D9090F">
        <w:rPr>
          <w:rFonts w:ascii="Arial" w:hAnsi="Arial" w:cs="Arial"/>
          <w:sz w:val="20"/>
          <w:szCs w:val="20"/>
        </w:rPr>
        <w:t xml:space="preserve"> published at a similar time to </w:t>
      </w:r>
      <w:r w:rsidRPr="00D9090F">
        <w:rPr>
          <w:rFonts w:ascii="Arial" w:hAnsi="Arial" w:cs="Arial"/>
          <w:i/>
          <w:sz w:val="20"/>
          <w:szCs w:val="20"/>
        </w:rPr>
        <w:t>An Organisation with a Memory</w:t>
      </w:r>
      <w:r w:rsidR="00E33866">
        <w:rPr>
          <w:rFonts w:ascii="Arial" w:hAnsi="Arial" w:cs="Arial"/>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&lt;EndNote&gt;&lt;Cite&gt;&lt;Author&gt;Department of Health&lt;/Author&gt;&lt;Year&gt;2000&lt;/Year&gt;&lt;RecNum&gt;88&lt;/RecNum&gt;&lt;DisplayText&gt;(Department of Health, 2000b)&lt;/DisplayText&gt;&lt;record&gt;&lt;rec-number&gt;88&lt;/rec-number&gt;&lt;foreign-keys&gt;&lt;key app="EN" db-id="rfwaf2tw3df0viedd07x0t91ex5rxwd552av" timestamp="0"&gt;88&lt;/key&gt;&lt;/foreign-keys&gt;&lt;ref-type name="Book"&gt;6&lt;/ref-type&gt;&lt;contributors&gt;&lt;authors&gt;&lt;author&gt;Department of Health,&lt;/author&gt;&lt;/authors&gt;&lt;/contributors&gt;&lt;titles&gt;&lt;title&gt;An organisation with a memory: Report of an expert group on learning from adverse events in the NHS&lt;/title&gt;&lt;/titles&gt;&lt;keywords&gt;&lt;keyword&gt;government&lt;/keyword&gt;&lt;/keywords&gt;&lt;dates&gt;&lt;year&gt;2000&lt;/year&gt;&lt;/dates&gt;&lt;pub-location&gt;London&lt;/pub-location&gt;&lt;publisher&gt;Department of Health&lt;/publisher&gt;&lt;urls&gt;&lt;related-urls&gt;&lt;url&gt;http://www.dh.gov.uk/en/Publicationsandstatistics/Publications/PublicationsPolicyAndGuidance/DH_4065083&lt;/url&gt;&lt;/related-urls&gt;&lt;/urls&gt;&lt;/record&gt;&lt;/Cite&gt;&lt;/EndNote&gt;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7" w:tooltip="Department of Health, 2000 #88" w:history="1">
        <w:r w:rsidR="00DC5920">
          <w:rPr>
            <w:rFonts w:ascii="Arial" w:hAnsi="Arial" w:cs="Arial"/>
            <w:noProof/>
            <w:sz w:val="20"/>
            <w:szCs w:val="20"/>
          </w:rPr>
          <w:t>Department of Health, 2000b</w:t>
        </w:r>
      </w:hyperlink>
      <w:r w:rsidR="002B5345">
        <w:rPr>
          <w:rFonts w:ascii="Arial" w:hAnsi="Arial" w:cs="Arial"/>
          <w:noProof/>
          <w:sz w:val="20"/>
          <w:szCs w:val="20"/>
        </w:rPr>
        <w:t>)</w:t>
      </w:r>
      <w:r w:rsidRPr="00D9090F">
        <w:rPr>
          <w:rFonts w:ascii="Arial" w:hAnsi="Arial" w:cs="Arial"/>
          <w:sz w:val="20"/>
          <w:szCs w:val="20"/>
        </w:rPr>
        <w:fldChar w:fldCharType="end"/>
      </w:r>
      <w:r w:rsidR="00E33866">
        <w:rPr>
          <w:rFonts w:ascii="Arial" w:hAnsi="Arial" w:cs="Arial"/>
          <w:sz w:val="20"/>
          <w:szCs w:val="20"/>
        </w:rPr>
        <w:t>,</w:t>
      </w:r>
      <w:r w:rsidRPr="00D9090F">
        <w:rPr>
          <w:rFonts w:ascii="Arial" w:hAnsi="Arial" w:cs="Arial"/>
          <w:sz w:val="20"/>
          <w:szCs w:val="20"/>
        </w:rPr>
        <w:t xml:space="preserve"> outlined the need to protect vulnerable adults from institutional abuse. This includes instances of poor care resulting from neglect or poor professional practice, which may range from isolated through to pervasive incidents, demonstrating that harm can result from the lack of appropriate and responsive organisational systems and processes. The approach taken in social care focuses governance of safety on professional and individual risk,</w:t>
      </w:r>
      <w:r w:rsidR="00270D0B">
        <w:rPr>
          <w:rFonts w:ascii="Arial" w:hAnsi="Arial" w:cs="Arial"/>
          <w:sz w:val="20"/>
          <w:szCs w:val="20"/>
        </w:rPr>
        <w:t xml:space="preserve"> such as expectations on social workers to appropriately identify people at risk and arrange appropriate interventions, </w:t>
      </w:r>
      <w:r w:rsidRPr="00D9090F">
        <w:rPr>
          <w:rFonts w:ascii="Arial" w:hAnsi="Arial" w:cs="Arial"/>
          <w:sz w:val="20"/>
          <w:szCs w:val="20"/>
        </w:rPr>
        <w:t>which fundamentally differs to the systems approach of safety (organisationally-driven risk management) in healthcare. In social care, more emphasis is placed on an individual’s ability to respond to risk and links risk assessments more explicitly with the legal requirements of the Mental Health Act 2007</w:t>
      </w:r>
      <w:r w:rsidR="00E33866">
        <w:rPr>
          <w:rFonts w:ascii="Arial" w:hAnsi="Arial" w:cs="Arial"/>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&lt;EndNote&gt;&lt;Cite&gt;&lt;Author&gt;Department of Health&lt;/Author&gt;&lt;Year&gt;2007&lt;/Year&gt;&lt;RecNum&gt;1020&lt;/RecNum&gt;&lt;DisplayText&gt;(Department of Health, 2007)&lt;/DisplayText&gt;&lt;record&gt;&lt;rec-number&gt;1020&lt;/rec-number&gt;&lt;foreign-keys&gt;&lt;key app="EN" db-id="rfwaf2tw3df0viedd07x0t91ex5rxwd552av" timestamp="1453903457"&gt;1020&lt;/key&gt;&lt;/foreign-keys&gt;&lt;ref-type name="Book"&gt;6&lt;/ref-type&gt;&lt;contributors&gt;&lt;authors&gt;&lt;author&gt;Department of Health,&lt;/author&gt;&lt;/authors&gt;&lt;/contributors&gt;&lt;titles&gt;&lt;title&gt;Mental Health Act&lt;/title&gt;&lt;/titles&gt;&lt;dates&gt;&lt;year&gt;2007&lt;/year&gt;&lt;/dates&gt;&lt;pub-location&gt;London&lt;/pub-location&gt;&lt;publisher&gt;HMSO&lt;/publisher&gt;&lt;urls&gt;&lt;/urls&gt;&lt;/record&gt;&lt;/Cite&gt;&lt;/EndNote&gt;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8" w:tooltip="Department of Health, 2007 #1020" w:history="1">
        <w:r w:rsidR="00DC5920">
          <w:rPr>
            <w:rFonts w:ascii="Arial" w:hAnsi="Arial" w:cs="Arial"/>
            <w:noProof/>
            <w:sz w:val="20"/>
            <w:szCs w:val="20"/>
          </w:rPr>
          <w:t>Department of Health, 2007</w:t>
        </w:r>
      </w:hyperlink>
      <w:r w:rsidR="002B5345">
        <w:rPr>
          <w:rFonts w:ascii="Arial" w:hAnsi="Arial" w:cs="Arial"/>
          <w:noProof/>
          <w:sz w:val="20"/>
          <w:szCs w:val="20"/>
        </w:rPr>
        <w:t>)</w:t>
      </w:r>
      <w:r w:rsidRPr="00D9090F">
        <w:rPr>
          <w:rFonts w:ascii="Arial" w:hAnsi="Arial" w:cs="Arial"/>
          <w:sz w:val="20"/>
          <w:szCs w:val="20"/>
        </w:rPr>
        <w:fldChar w:fldCharType="end"/>
      </w:r>
      <w:r w:rsidR="00E33866">
        <w:rPr>
          <w:rFonts w:ascii="Arial" w:hAnsi="Arial" w:cs="Arial"/>
          <w:sz w:val="20"/>
          <w:szCs w:val="20"/>
        </w:rPr>
        <w:t>,</w:t>
      </w:r>
      <w:r w:rsidRPr="00D9090F">
        <w:rPr>
          <w:rFonts w:ascii="Arial" w:hAnsi="Arial" w:cs="Arial"/>
          <w:sz w:val="20"/>
          <w:szCs w:val="20"/>
        </w:rPr>
        <w:t xml:space="preserve"> </w:t>
      </w:r>
      <w:r w:rsidR="00871742" w:rsidRPr="00D9090F">
        <w:rPr>
          <w:rFonts w:ascii="Arial" w:hAnsi="Arial" w:cs="Arial"/>
          <w:sz w:val="20"/>
          <w:szCs w:val="20"/>
        </w:rPr>
        <w:t xml:space="preserve">meaning </w:t>
      </w:r>
      <w:r w:rsidRPr="00D9090F">
        <w:rPr>
          <w:rFonts w:ascii="Arial" w:hAnsi="Arial" w:cs="Arial"/>
          <w:sz w:val="20"/>
          <w:szCs w:val="20"/>
        </w:rPr>
        <w:t xml:space="preserve">that the individual’s responsibility often falls under the umbrella of safeguarding rather than safety. Safeguarding covers a range of activities that aim to uphold the right of individuals who are at risk of abuse or neglect to be safe and free from harm when in receipt of care services. Common types of abuse include physical, sexual, psychological, financial or material, and discriminatory, any of which can be perpetrated as a result of deliberate intent, negligence or ignorance. </w:t>
      </w:r>
    </w:p>
    <w:p w14:paraId="36907C72" w14:textId="77777777" w:rsidR="00976A00" w:rsidRPr="00D9090F" w:rsidRDefault="00976A00">
      <w:pPr>
        <w:spacing w:line="480" w:lineRule="auto"/>
        <w:jc w:val="both"/>
        <w:rPr>
          <w:rFonts w:ascii="Arial" w:hAnsi="Arial" w:cs="Arial"/>
          <w:sz w:val="20"/>
          <w:szCs w:val="20"/>
        </w:rPr>
      </w:pPr>
    </w:p>
    <w:p w14:paraId="6002F841" w14:textId="0DFC3065" w:rsidR="00976A00" w:rsidRPr="00D9090F" w:rsidRDefault="00893AA0">
      <w:pPr>
        <w:spacing w:line="480" w:lineRule="auto"/>
        <w:jc w:val="both"/>
        <w:rPr>
          <w:rFonts w:ascii="Arial" w:hAnsi="Arial" w:cs="Arial"/>
          <w:sz w:val="20"/>
          <w:szCs w:val="20"/>
        </w:rPr>
      </w:pPr>
      <w:r w:rsidRPr="00D9090F">
        <w:rPr>
          <w:rFonts w:ascii="Arial" w:hAnsi="Arial" w:cs="Arial"/>
          <w:i/>
          <w:sz w:val="20"/>
          <w:szCs w:val="20"/>
        </w:rPr>
        <w:t>The Care Act 2014</w:t>
      </w:r>
      <w:r w:rsidR="00E33866">
        <w:rPr>
          <w:rFonts w:ascii="Arial" w:hAnsi="Arial" w:cs="Arial"/>
          <w:i/>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&lt;EndNote&gt;&lt;Cite&gt;&lt;RecNum&gt;918&lt;/RecNum&gt;&lt;DisplayText&gt;(Ahmed, Burt, &amp;amp; Roland, 2014)&lt;/DisplayText&gt;&lt;record&gt;&lt;rec-number&gt;918&lt;/rec-number&gt;&lt;foreign-keys&gt;&lt;key app="EN" db-id="rfwaf2tw3df0viedd07x0t91ex5rxwd552av" timestamp="1409739626"&gt;918&lt;/key&gt;&lt;/foreign-keys&gt;&lt;ref-type name="Journal Article"&gt;17&lt;/ref-type&gt;&lt;contributors&gt;&lt;authors&gt;&lt;author&gt;Ahmed, Faraz&lt;/author&gt;&lt;author&gt;Burt, Jenni&lt;/author&gt;&lt;author&gt;Roland, Martin&lt;/author&gt;&lt;/authors&gt;&lt;/contributors&gt;&lt;titles&gt;&lt;title&gt;Measuring Patient Experience: Concepts and Methods&lt;/title&gt;&lt;secondary-title&gt;The Patient - Patient-Centered Outcomes Research&lt;/secondary-title&gt;&lt;alt-title&gt;Patient&lt;/alt-title&gt;&lt;/titles&gt;&lt;periodical&gt;&lt;full-title&gt;The Patient - Patient-Centered Outcomes Research&lt;/full-title&gt;&lt;abbr-1&gt;Patient&lt;/abbr-1&gt;&lt;/periodical&gt;&lt;alt-periodical&gt;&lt;full-title&gt;The Patient - Patient-Centered Outcomes Research&lt;/full-title&gt;&lt;abbr-1&gt;Patient&lt;/abbr-1&gt;&lt;/alt-periodical&gt;&lt;pages&gt;235-241&lt;/pages&gt;&lt;volume&gt;7&lt;/volume&gt;&lt;number&gt;3&lt;/number&gt;&lt;dates&gt;&lt;year&gt;2014&lt;/year&gt;&lt;pub-dates&gt;&lt;date&gt;2014/09/01&lt;/date&gt;&lt;/pub-dates&gt;&lt;/dates&gt;&lt;publisher&gt;Springer International Publishing&lt;/publisher&gt;&lt;isbn&gt;1178-1653&lt;/isbn&gt;&lt;urls&gt;&lt;related-urls&gt;&lt;url&gt;http://dx.doi.org/10.1007/s40271-014-0060-5&lt;/url&gt;&lt;/related-urls&gt;&lt;/urls&gt;&lt;electronic-resource-num&gt;10.1007/s40271-014-0060-5&lt;/electronic-resource-num&gt;&lt;language&gt;English&lt;/language&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1" w:tooltip="Ahmed, 2014 #918" w:history="1">
        <w:r w:rsidR="00DC5920">
          <w:rPr>
            <w:rFonts w:ascii="Arial" w:hAnsi="Arial" w:cs="Arial"/>
            <w:noProof/>
            <w:sz w:val="20"/>
            <w:szCs w:val="20"/>
          </w:rPr>
          <w:t>Ahmed, Burt, &amp; Roland, 2014</w:t>
        </w:r>
      </w:hyperlink>
      <w:r w:rsidR="002B5345">
        <w:rPr>
          <w:rFonts w:ascii="Arial" w:hAnsi="Arial" w:cs="Arial"/>
          <w:noProof/>
          <w:sz w:val="20"/>
          <w:szCs w:val="20"/>
        </w:rPr>
        <w:t>)</w:t>
      </w:r>
      <w:r w:rsidRPr="00D9090F">
        <w:rPr>
          <w:rFonts w:ascii="Arial" w:hAnsi="Arial" w:cs="Arial"/>
          <w:sz w:val="20"/>
          <w:szCs w:val="20"/>
        </w:rPr>
        <w:fldChar w:fldCharType="end"/>
      </w:r>
      <w:r w:rsidRPr="00D9090F">
        <w:rPr>
          <w:rFonts w:ascii="Arial" w:hAnsi="Arial" w:cs="Arial"/>
          <w:sz w:val="20"/>
          <w:szCs w:val="20"/>
        </w:rPr>
        <w:t xml:space="preserve"> also places emphasis on vulnerable adults (or ‘adults at risk’), in particular those who are unable to protect themselves against abuse or neglect. It also reiterates the social care governance system in which safety exists, by giving local councils with social service responsibilities (CASSRs) the lead role in hosting multi-agency Safeguarding Adults Boards (SABs) and by requiring providers of social care to provide information and advice about raising concerns when the safety of an ‘adult at risk’ is compromised. Safety is deemed to be compromised where abuse or neglect is known or suspected by the SAB to result in death, or if the SAB knows or suspects serious abuse or neglect for adults still alive. </w:t>
      </w:r>
      <w:r w:rsidR="00871742" w:rsidRPr="00D9090F">
        <w:rPr>
          <w:rFonts w:ascii="Arial" w:hAnsi="Arial" w:cs="Arial"/>
          <w:sz w:val="20"/>
          <w:szCs w:val="20"/>
        </w:rPr>
        <w:t xml:space="preserve">By defining the compromise of safety (thus unsafe care) at </w:t>
      </w:r>
      <w:r w:rsidR="00A0170A">
        <w:rPr>
          <w:rFonts w:ascii="Arial" w:hAnsi="Arial" w:cs="Arial"/>
          <w:sz w:val="20"/>
          <w:szCs w:val="20"/>
        </w:rPr>
        <w:t xml:space="preserve">this high </w:t>
      </w:r>
      <w:r w:rsidR="00871742" w:rsidRPr="00D9090F">
        <w:rPr>
          <w:rFonts w:ascii="Arial" w:hAnsi="Arial" w:cs="Arial"/>
          <w:sz w:val="20"/>
          <w:szCs w:val="20"/>
        </w:rPr>
        <w:t>level</w:t>
      </w:r>
      <w:r w:rsidR="00A0170A">
        <w:rPr>
          <w:rFonts w:ascii="Arial" w:hAnsi="Arial" w:cs="Arial"/>
          <w:sz w:val="20"/>
          <w:szCs w:val="20"/>
        </w:rPr>
        <w:t xml:space="preserve"> rather than all types of harm or potential harm, </w:t>
      </w:r>
      <w:r w:rsidR="00871742" w:rsidRPr="00D9090F">
        <w:rPr>
          <w:rFonts w:ascii="Arial" w:hAnsi="Arial" w:cs="Arial"/>
          <w:sz w:val="20"/>
          <w:szCs w:val="20"/>
        </w:rPr>
        <w:t xml:space="preserve">the </w:t>
      </w:r>
      <w:r w:rsidR="00A0170A">
        <w:rPr>
          <w:rFonts w:ascii="Arial" w:hAnsi="Arial" w:cs="Arial"/>
          <w:sz w:val="20"/>
          <w:szCs w:val="20"/>
        </w:rPr>
        <w:t xml:space="preserve">possibility of </w:t>
      </w:r>
      <w:r w:rsidR="00871742" w:rsidRPr="00D9090F">
        <w:rPr>
          <w:rFonts w:ascii="Arial" w:hAnsi="Arial" w:cs="Arial"/>
          <w:sz w:val="20"/>
          <w:szCs w:val="20"/>
        </w:rPr>
        <w:t>learn</w:t>
      </w:r>
      <w:r w:rsidR="00A0170A">
        <w:rPr>
          <w:rFonts w:ascii="Arial" w:hAnsi="Arial" w:cs="Arial"/>
          <w:sz w:val="20"/>
          <w:szCs w:val="20"/>
        </w:rPr>
        <w:t>ing</w:t>
      </w:r>
      <w:r w:rsidR="00871742" w:rsidRPr="00D9090F">
        <w:rPr>
          <w:rFonts w:ascii="Arial" w:hAnsi="Arial" w:cs="Arial"/>
          <w:sz w:val="20"/>
          <w:szCs w:val="20"/>
        </w:rPr>
        <w:t xml:space="preserve"> from near-misses or cases of lower harm is diminished. </w:t>
      </w:r>
    </w:p>
    <w:p w14:paraId="6CFAC375" w14:textId="77777777" w:rsidR="00976A00" w:rsidRPr="00D9090F" w:rsidRDefault="00976A00">
      <w:pPr>
        <w:spacing w:line="480" w:lineRule="auto"/>
        <w:jc w:val="both"/>
        <w:rPr>
          <w:rFonts w:ascii="Arial" w:hAnsi="Arial" w:cs="Arial"/>
          <w:sz w:val="20"/>
          <w:szCs w:val="20"/>
        </w:rPr>
      </w:pPr>
    </w:p>
    <w:p w14:paraId="6B294448" w14:textId="7B546AD3" w:rsidR="00976A00" w:rsidRPr="00D9090F" w:rsidRDefault="00893AA0" w:rsidP="00855E36">
      <w:pPr>
        <w:spacing w:line="480" w:lineRule="auto"/>
        <w:jc w:val="both"/>
        <w:rPr>
          <w:rFonts w:ascii="Arial" w:hAnsi="Arial" w:cs="Arial"/>
          <w:sz w:val="20"/>
          <w:szCs w:val="20"/>
        </w:rPr>
      </w:pPr>
      <w:r w:rsidRPr="00D9090F">
        <w:rPr>
          <w:rFonts w:ascii="Arial" w:hAnsi="Arial" w:cs="Arial"/>
          <w:sz w:val="20"/>
          <w:szCs w:val="20"/>
        </w:rPr>
        <w:t>This is not to say that safety is not measured on a universal level in social care</w:t>
      </w:r>
      <w:r w:rsidR="00D33947">
        <w:rPr>
          <w:rFonts w:ascii="Arial" w:hAnsi="Arial" w:cs="Arial"/>
          <w:sz w:val="20"/>
          <w:szCs w:val="20"/>
        </w:rPr>
        <w:t>,</w:t>
      </w:r>
      <w:r w:rsidRPr="00D9090F">
        <w:rPr>
          <w:rFonts w:ascii="Arial" w:hAnsi="Arial" w:cs="Arial"/>
          <w:sz w:val="20"/>
          <w:szCs w:val="20"/>
        </w:rPr>
        <w:t xml:space="preserve"> as demonstrated by studies on the prevalence of safety issues. For example, a review of medications in care homes </w:t>
      </w:r>
      <w:r w:rsidR="00E33866">
        <w:rPr>
          <w:rFonts w:ascii="Arial" w:hAnsi="Arial" w:cs="Arial"/>
          <w:sz w:val="20"/>
          <w:szCs w:val="20"/>
        </w:rPr>
        <w:t xml:space="preserve">by </w:t>
      </w:r>
      <w:hyperlink w:anchor="_ENREF_2" w:tooltip="Barber, 2009 #224" w:history="1">
        <w:r w:rsidR="00DC5920" w:rsidRPr="00D9090F">
          <w:rPr>
            <w:rFonts w:ascii="Arial" w:hAnsi="Arial" w:cs="Arial"/>
            <w:sz w:val="20"/>
            <w:szCs w:val="20"/>
          </w:rPr>
          <w:fldChar w:fldCharType="begin"/>
        </w:r>
        <w:r w:rsidR="00DC5920">
          <w:rPr>
            <w:rFonts w:ascii="Arial" w:hAnsi="Arial" w:cs="Arial"/>
            <w:sz w:val="20"/>
            <w:szCs w:val="20"/>
          </w:rPr>
          <w:instrText xml:space="preserve"> ADDIN EN.CITE &lt;EndNote&gt;&lt;Cite AuthorYear="1"&gt;&lt;Author&gt;Barber&lt;/Author&gt;&lt;Year&gt;2009&lt;/Year&gt;&lt;RecNum&gt;224&lt;/RecNum&gt;&lt;DisplayText&gt;Barber&lt;style face="italic"&gt; et al.&lt;/style&gt; (2009)&lt;/DisplayText&gt;&lt;record&gt;&lt;rec-number&gt;224&lt;/rec-number&gt;&lt;foreign-keys&gt;&lt;key app="EN" db-id="rfwaf2tw3df0viedd07x0t91ex5rxwd552av" timestamp="1257262965"&gt;224&lt;/key&gt;&lt;/foreign-keys&gt;&lt;ref-type name="Journal Article"&gt;17&lt;/ref-type&gt;&lt;contributors&gt;&lt;authors&gt;&lt;author&gt;Barber, N D&lt;/author&gt;&lt;author&gt;Alldred, D P&lt;/author&gt;&lt;author&gt;Raynor, D K&lt;/author&gt;&lt;author&gt;Dickinson, R&lt;/author&gt;&lt;author&gt;Garfield, S&lt;/author&gt;&lt;author&gt;Jesson, B&lt;/author&gt;&lt;author&gt;Lim, R&lt;/author&gt;&lt;author&gt;Savage, I&lt;/author&gt;&lt;author&gt;Standage, C&lt;/author&gt;&lt;author&gt;Buckle, P&lt;/author&gt;&lt;author&gt;Carpenter, J&lt;/author&gt;&lt;author&gt;Franklin, B&lt;/author&gt;&lt;author&gt;Woloshynowych, M&lt;/author&gt;&lt;author&gt;Zermansky, A G&lt;/author&gt;&lt;/authors&gt;&lt;/contributors&gt;&lt;titles&gt;&lt;title&gt;Care homes&amp;apos; use of medicines study: prevalence, causes and potential harm of medication errors in care homes for older people&lt;/title&gt;&lt;secondary-title&gt;Quality and Safety in Health Care&lt;/secondary-title&gt;&lt;/titles&gt;&lt;periodical&gt;&lt;full-title&gt;Quality and Safety in Health Care&lt;/full-title&gt;&lt;abbr-1&gt;Qual Saf Health Care&lt;/abbr-1&gt;&lt;/periodical&gt;&lt;pages&gt;341-346&lt;/pages&gt;&lt;volume&gt;18&lt;/volume&gt;&lt;number&gt;5&lt;/number&gt;&lt;dates&gt;&lt;year&gt;2009&lt;/year&gt;&lt;pub-dates&gt;&lt;date&gt;October 2009&lt;/date&gt;&lt;/pub-dates&gt;&lt;/dates&gt;&lt;urls&gt;&lt;related-urls&gt;&lt;url&gt;http://qshc.bmj.com/content/18/5/341.abstract&lt;/url&gt;&lt;/related-urls&gt;&lt;/urls&gt;&lt;electronic-resource-num&gt;10.1136/qshc.2009.034231&lt;/electronic-resource-num&gt;&lt;/record&gt;&lt;/Cite&gt;&lt;/EndNote&gt;</w:instrText>
        </w:r>
        <w:r w:rsidR="00DC5920" w:rsidRPr="00D9090F">
          <w:rPr>
            <w:rFonts w:ascii="Arial" w:hAnsi="Arial" w:cs="Arial"/>
            <w:sz w:val="20"/>
            <w:szCs w:val="20"/>
          </w:rPr>
          <w:fldChar w:fldCharType="separate"/>
        </w:r>
        <w:r w:rsidR="00DC5920">
          <w:rPr>
            <w:rFonts w:ascii="Arial" w:hAnsi="Arial" w:cs="Arial"/>
            <w:noProof/>
            <w:sz w:val="20"/>
            <w:szCs w:val="20"/>
          </w:rPr>
          <w:t>Barber</w:t>
        </w:r>
        <w:r w:rsidR="00DC5920" w:rsidRPr="00E33866">
          <w:rPr>
            <w:rFonts w:ascii="Arial" w:hAnsi="Arial" w:cs="Arial"/>
            <w:i/>
            <w:noProof/>
            <w:sz w:val="20"/>
            <w:szCs w:val="20"/>
          </w:rPr>
          <w:t xml:space="preserve"> et al.</w:t>
        </w:r>
        <w:r w:rsidR="00DC5920">
          <w:rPr>
            <w:rFonts w:ascii="Arial" w:hAnsi="Arial" w:cs="Arial"/>
            <w:noProof/>
            <w:sz w:val="20"/>
            <w:szCs w:val="20"/>
          </w:rPr>
          <w:t xml:space="preserve"> (2009)</w:t>
        </w:r>
        <w:r w:rsidR="00DC5920" w:rsidRPr="00D9090F">
          <w:rPr>
            <w:rFonts w:ascii="Arial" w:hAnsi="Arial" w:cs="Arial"/>
            <w:sz w:val="20"/>
            <w:szCs w:val="20"/>
          </w:rPr>
          <w:fldChar w:fldCharType="end"/>
        </w:r>
      </w:hyperlink>
      <w:r w:rsidR="00E33866">
        <w:rPr>
          <w:rFonts w:ascii="Arial" w:hAnsi="Arial" w:cs="Arial"/>
          <w:sz w:val="20"/>
          <w:szCs w:val="20"/>
        </w:rPr>
        <w:t xml:space="preserve"> </w:t>
      </w:r>
      <w:r w:rsidRPr="00D9090F">
        <w:rPr>
          <w:rFonts w:ascii="Arial" w:hAnsi="Arial" w:cs="Arial"/>
          <w:sz w:val="20"/>
          <w:szCs w:val="20"/>
        </w:rPr>
        <w:t>identified that two</w:t>
      </w:r>
      <w:r w:rsidR="00EF7FB3" w:rsidRPr="00D9090F">
        <w:rPr>
          <w:rFonts w:ascii="Arial" w:hAnsi="Arial" w:cs="Arial"/>
          <w:sz w:val="20"/>
          <w:szCs w:val="20"/>
        </w:rPr>
        <w:t>-</w:t>
      </w:r>
      <w:r w:rsidRPr="00D9090F">
        <w:rPr>
          <w:rFonts w:ascii="Arial" w:hAnsi="Arial" w:cs="Arial"/>
          <w:sz w:val="20"/>
          <w:szCs w:val="20"/>
        </w:rPr>
        <w:t>thirds of residents were exposed to one or more medication errors.</w:t>
      </w:r>
      <w:r w:rsidR="000217E8">
        <w:rPr>
          <w:rFonts w:ascii="Arial" w:hAnsi="Arial" w:cs="Arial"/>
          <w:sz w:val="20"/>
          <w:szCs w:val="20"/>
        </w:rPr>
        <w:t xml:space="preserve"> However, this is an example of research as opposed to routine practice on a scale large enough to identify trends.</w:t>
      </w:r>
      <w:r w:rsidRPr="00D9090F">
        <w:rPr>
          <w:rFonts w:ascii="Arial" w:hAnsi="Arial" w:cs="Arial"/>
          <w:sz w:val="20"/>
          <w:szCs w:val="20"/>
        </w:rPr>
        <w:t xml:space="preserve"> Likewise</w:t>
      </w:r>
      <w:r w:rsidR="004C4644">
        <w:rPr>
          <w:rFonts w:ascii="Arial" w:hAnsi="Arial" w:cs="Arial"/>
          <w:sz w:val="20"/>
          <w:szCs w:val="20"/>
        </w:rPr>
        <w:t>,</w:t>
      </w:r>
      <w:r w:rsidRPr="00D9090F">
        <w:rPr>
          <w:rFonts w:ascii="Arial" w:hAnsi="Arial" w:cs="Arial"/>
          <w:sz w:val="20"/>
          <w:szCs w:val="20"/>
        </w:rPr>
        <w:t xml:space="preserve"> </w:t>
      </w:r>
      <w:r w:rsidRPr="00D9090F">
        <w:rPr>
          <w:rFonts w:ascii="Arial" w:hAnsi="Arial" w:cs="Arial"/>
          <w:color w:val="000000"/>
          <w:sz w:val="20"/>
          <w:szCs w:val="20"/>
        </w:rPr>
        <w:t xml:space="preserve">a specific concept of </w:t>
      </w:r>
      <w:r w:rsidRPr="00D9090F">
        <w:rPr>
          <w:rFonts w:ascii="Arial" w:hAnsi="Arial" w:cs="Arial"/>
          <w:sz w:val="20"/>
          <w:szCs w:val="20"/>
        </w:rPr>
        <w:t>safeguarding does exist in healthcare and is not unique to the social care setting, but</w:t>
      </w:r>
      <w:r w:rsidR="00D33947">
        <w:rPr>
          <w:rFonts w:ascii="Arial" w:hAnsi="Arial" w:cs="Arial"/>
          <w:sz w:val="20"/>
          <w:szCs w:val="20"/>
        </w:rPr>
        <w:t xml:space="preserve"> </w:t>
      </w:r>
      <w:r w:rsidR="00855E36">
        <w:rPr>
          <w:rFonts w:ascii="Arial" w:hAnsi="Arial" w:cs="Arial"/>
          <w:sz w:val="20"/>
          <w:szCs w:val="20"/>
        </w:rPr>
        <w:t xml:space="preserve">where </w:t>
      </w:r>
      <w:r w:rsidR="00D33947">
        <w:rPr>
          <w:rFonts w:ascii="Arial" w:hAnsi="Arial" w:cs="Arial"/>
          <w:sz w:val="20"/>
          <w:szCs w:val="20"/>
        </w:rPr>
        <w:t>the em</w:t>
      </w:r>
      <w:r w:rsidR="00855E36">
        <w:rPr>
          <w:rFonts w:ascii="Arial" w:hAnsi="Arial" w:cs="Arial"/>
          <w:sz w:val="20"/>
          <w:szCs w:val="20"/>
        </w:rPr>
        <w:t>phasis</w:t>
      </w:r>
      <w:r w:rsidR="00D33947">
        <w:rPr>
          <w:rFonts w:ascii="Arial" w:hAnsi="Arial" w:cs="Arial"/>
          <w:sz w:val="20"/>
          <w:szCs w:val="20"/>
        </w:rPr>
        <w:t xml:space="preserve"> </w:t>
      </w:r>
      <w:r w:rsidR="00855E36">
        <w:rPr>
          <w:rFonts w:ascii="Arial" w:hAnsi="Arial" w:cs="Arial"/>
          <w:sz w:val="20"/>
          <w:szCs w:val="20"/>
        </w:rPr>
        <w:t xml:space="preserve">of </w:t>
      </w:r>
      <w:r w:rsidR="00D33947">
        <w:rPr>
          <w:rFonts w:ascii="Arial" w:hAnsi="Arial" w:cs="Arial"/>
          <w:sz w:val="20"/>
          <w:szCs w:val="20"/>
        </w:rPr>
        <w:t xml:space="preserve">each system </w:t>
      </w:r>
      <w:r w:rsidR="00855E36">
        <w:rPr>
          <w:rFonts w:ascii="Arial" w:hAnsi="Arial" w:cs="Arial"/>
          <w:sz w:val="20"/>
          <w:szCs w:val="20"/>
        </w:rPr>
        <w:t xml:space="preserve">is placed produces prominent differences in approaches </w:t>
      </w:r>
      <w:r w:rsidR="00D33947">
        <w:rPr>
          <w:rFonts w:ascii="Arial" w:hAnsi="Arial" w:cs="Arial"/>
          <w:sz w:val="20"/>
          <w:szCs w:val="20"/>
        </w:rPr>
        <w:t>to the management of safety and risk</w:t>
      </w:r>
      <w:r w:rsidRPr="00D9090F">
        <w:rPr>
          <w:rFonts w:ascii="Arial" w:hAnsi="Arial" w:cs="Arial"/>
          <w:sz w:val="20"/>
          <w:szCs w:val="20"/>
        </w:rPr>
        <w:t xml:space="preserve">. </w:t>
      </w:r>
    </w:p>
    <w:p w14:paraId="292D63D6" w14:textId="77777777" w:rsidR="00976A00" w:rsidRPr="00D9090F" w:rsidRDefault="00976A00">
      <w:pPr>
        <w:spacing w:line="480" w:lineRule="auto"/>
        <w:jc w:val="both"/>
        <w:rPr>
          <w:rFonts w:ascii="Arial" w:hAnsi="Arial" w:cs="Arial"/>
          <w:sz w:val="20"/>
          <w:szCs w:val="20"/>
        </w:rPr>
      </w:pPr>
    </w:p>
    <w:p w14:paraId="4D5BCEF3" w14:textId="77777777" w:rsidR="00976A00" w:rsidRPr="00D9090F" w:rsidDel="00182C84" w:rsidRDefault="00893AA0">
      <w:pPr>
        <w:spacing w:line="480" w:lineRule="auto"/>
        <w:jc w:val="both"/>
        <w:rPr>
          <w:rFonts w:ascii="Arial" w:hAnsi="Arial" w:cs="Arial"/>
          <w:sz w:val="20"/>
          <w:szCs w:val="20"/>
        </w:rPr>
      </w:pPr>
      <w:r w:rsidRPr="00D9090F" w:rsidDel="00182C84">
        <w:rPr>
          <w:rFonts w:ascii="Arial" w:hAnsi="Arial" w:cs="Arial"/>
          <w:b/>
          <w:sz w:val="20"/>
          <w:szCs w:val="20"/>
        </w:rPr>
        <w:t>Comparing safety in health and social care</w:t>
      </w:r>
    </w:p>
    <w:p w14:paraId="561F21AF" w14:textId="3074D033" w:rsidR="00486BA7" w:rsidRDefault="00893AA0" w:rsidP="00486BA7">
      <w:pPr>
        <w:spacing w:line="480" w:lineRule="auto"/>
        <w:jc w:val="both"/>
        <w:rPr>
          <w:rFonts w:ascii="Arial" w:hAnsi="Arial" w:cs="Arial"/>
          <w:sz w:val="20"/>
          <w:szCs w:val="20"/>
        </w:rPr>
      </w:pPr>
      <w:r w:rsidRPr="00D9090F" w:rsidDel="00182C84">
        <w:rPr>
          <w:rFonts w:ascii="Arial" w:hAnsi="Arial" w:cs="Arial"/>
          <w:sz w:val="20"/>
          <w:szCs w:val="20"/>
        </w:rPr>
        <w:t>The difference in the narratives of risk and vulnerability is one of the main departure points in the understanding and governance of safety in health and social care</w:t>
      </w:r>
      <w:r w:rsidR="00C17F44" w:rsidRPr="00D9090F" w:rsidDel="00182C84">
        <w:rPr>
          <w:rFonts w:ascii="Arial" w:hAnsi="Arial" w:cs="Arial"/>
          <w:sz w:val="20"/>
          <w:szCs w:val="20"/>
        </w:rPr>
        <w:t xml:space="preserve"> (see </w:t>
      </w:r>
      <w:r w:rsidR="00537A3A" w:rsidDel="00182C84">
        <w:rPr>
          <w:rFonts w:ascii="Arial" w:hAnsi="Arial" w:cs="Arial"/>
          <w:sz w:val="20"/>
          <w:szCs w:val="20"/>
        </w:rPr>
        <w:t>Figure</w:t>
      </w:r>
      <w:r w:rsidR="00011244" w:rsidRPr="00D9090F" w:rsidDel="00182C84">
        <w:rPr>
          <w:rFonts w:ascii="Arial" w:hAnsi="Arial" w:cs="Arial"/>
          <w:sz w:val="20"/>
          <w:szCs w:val="20"/>
        </w:rPr>
        <w:t xml:space="preserve"> for a comparison)</w:t>
      </w:r>
      <w:r w:rsidRPr="00D9090F" w:rsidDel="00182C84">
        <w:rPr>
          <w:rFonts w:ascii="Arial" w:hAnsi="Arial" w:cs="Arial"/>
          <w:sz w:val="20"/>
          <w:szCs w:val="20"/>
        </w:rPr>
        <w:t xml:space="preserve">. </w:t>
      </w:r>
      <w:r w:rsidR="00B41666" w:rsidDel="00182C84">
        <w:rPr>
          <w:rFonts w:ascii="Arial" w:hAnsi="Arial" w:cs="Arial"/>
          <w:sz w:val="20"/>
          <w:szCs w:val="20"/>
        </w:rPr>
        <w:t>There are also many grey areas in between, where the assessment of risk varies from location to location and not necessarily distinguished by a single, distinct health or social care boundary, such as care at home.</w:t>
      </w:r>
      <w:r w:rsidR="00B56400" w:rsidDel="00182C84">
        <w:rPr>
          <w:rFonts w:ascii="Arial" w:hAnsi="Arial" w:cs="Arial"/>
          <w:sz w:val="20"/>
          <w:szCs w:val="20"/>
        </w:rPr>
        <w:t xml:space="preserve"> </w:t>
      </w:r>
      <w:r w:rsidR="00486BA7" w:rsidRPr="00D9090F" w:rsidDel="00182C84">
        <w:rPr>
          <w:rFonts w:ascii="Arial" w:hAnsi="Arial" w:cs="Arial"/>
          <w:sz w:val="20"/>
          <w:szCs w:val="20"/>
        </w:rPr>
        <w:t xml:space="preserve">The different approaches suggest that the systems approach prominent in healthcare is not aligned with the safeguarding approach adopted in social care. This means that when, or if, both approaches operate in tandem, their potential for producing beneficial outcomes could be hindered. Where </w:t>
      </w:r>
      <w:r w:rsidR="00486BA7" w:rsidRPr="00D9090F" w:rsidDel="00182C84">
        <w:rPr>
          <w:rFonts w:ascii="Arial" w:hAnsi="Arial" w:cs="Arial"/>
          <w:sz w:val="20"/>
          <w:szCs w:val="20"/>
          <w:lang w:eastAsia="en-US"/>
        </w:rPr>
        <w:t>the focus is mainly on the individual, the opportunity to learn from systematically ca</w:t>
      </w:r>
      <w:r w:rsidR="00466BDE" w:rsidDel="00182C84">
        <w:rPr>
          <w:rFonts w:ascii="Arial" w:hAnsi="Arial" w:cs="Arial"/>
          <w:sz w:val="20"/>
          <w:szCs w:val="20"/>
          <w:lang w:eastAsia="en-US"/>
        </w:rPr>
        <w:t>pturing or anticipating error can be</w:t>
      </w:r>
      <w:r w:rsidR="00486BA7" w:rsidRPr="00D9090F" w:rsidDel="00182C84">
        <w:rPr>
          <w:rFonts w:ascii="Arial" w:hAnsi="Arial" w:cs="Arial"/>
          <w:sz w:val="20"/>
          <w:szCs w:val="20"/>
          <w:lang w:eastAsia="en-US"/>
        </w:rPr>
        <w:t xml:space="preserve"> missed. </w:t>
      </w:r>
      <w:r w:rsidR="00C17F44" w:rsidRPr="00D9090F" w:rsidDel="00182C84">
        <w:rPr>
          <w:rFonts w:ascii="Arial" w:hAnsi="Arial" w:cs="Arial"/>
          <w:sz w:val="20"/>
          <w:szCs w:val="20"/>
          <w:lang w:eastAsia="en-US"/>
        </w:rPr>
        <w:t>As such</w:t>
      </w:r>
      <w:r w:rsidR="004C4644" w:rsidDel="00182C84">
        <w:rPr>
          <w:rFonts w:ascii="Arial" w:hAnsi="Arial" w:cs="Arial"/>
          <w:sz w:val="20"/>
          <w:szCs w:val="20"/>
          <w:lang w:eastAsia="en-US"/>
        </w:rPr>
        <w:t>,</w:t>
      </w:r>
      <w:r w:rsidR="00C17F44" w:rsidRPr="00D9090F" w:rsidDel="00182C84">
        <w:rPr>
          <w:rFonts w:ascii="Arial" w:hAnsi="Arial" w:cs="Arial"/>
          <w:sz w:val="20"/>
          <w:szCs w:val="20"/>
          <w:lang w:eastAsia="en-US"/>
        </w:rPr>
        <w:t xml:space="preserve"> there is a need for a unified approach to safety in health and social care, which we refer to as</w:t>
      </w:r>
      <w:r w:rsidR="00096D3F">
        <w:rPr>
          <w:rFonts w:ascii="Arial" w:hAnsi="Arial" w:cs="Arial"/>
          <w:sz w:val="20"/>
          <w:szCs w:val="20"/>
          <w:lang w:eastAsia="en-US"/>
        </w:rPr>
        <w:t xml:space="preserve"> </w:t>
      </w:r>
      <w:r w:rsidR="000217E8" w:rsidDel="00182C84">
        <w:rPr>
          <w:rFonts w:ascii="Arial" w:hAnsi="Arial" w:cs="Arial"/>
          <w:sz w:val="20"/>
          <w:szCs w:val="20"/>
          <w:lang w:eastAsia="en-US"/>
        </w:rPr>
        <w:t>‘</w:t>
      </w:r>
      <w:r w:rsidR="00C17F44" w:rsidRPr="00D9090F" w:rsidDel="00182C84">
        <w:rPr>
          <w:rFonts w:ascii="Arial" w:hAnsi="Arial" w:cs="Arial"/>
          <w:sz w:val="20"/>
          <w:szCs w:val="20"/>
          <w:lang w:eastAsia="en-US"/>
        </w:rPr>
        <w:t>care safety</w:t>
      </w:r>
      <w:r w:rsidR="000217E8" w:rsidDel="00182C84">
        <w:rPr>
          <w:rFonts w:ascii="Arial" w:hAnsi="Arial" w:cs="Arial"/>
          <w:sz w:val="20"/>
          <w:szCs w:val="20"/>
          <w:lang w:eastAsia="en-US"/>
        </w:rPr>
        <w:t>’</w:t>
      </w:r>
      <w:r w:rsidR="00C17F44" w:rsidRPr="00D9090F" w:rsidDel="00182C84">
        <w:rPr>
          <w:rFonts w:ascii="Arial" w:hAnsi="Arial" w:cs="Arial"/>
          <w:sz w:val="20"/>
          <w:szCs w:val="20"/>
          <w:lang w:eastAsia="en-US"/>
        </w:rPr>
        <w:t xml:space="preserve">. </w:t>
      </w:r>
      <w:r w:rsidR="00D9090F" w:rsidDel="00182C84">
        <w:rPr>
          <w:rFonts w:ascii="Arial" w:hAnsi="Arial" w:cs="Arial"/>
          <w:sz w:val="20"/>
          <w:szCs w:val="20"/>
          <w:lang w:eastAsia="en-US"/>
        </w:rPr>
        <w:t>F</w:t>
      </w:r>
      <w:r w:rsidR="00C17F44" w:rsidRPr="00D9090F" w:rsidDel="00182C84">
        <w:rPr>
          <w:rFonts w:ascii="Arial" w:hAnsi="Arial" w:cs="Arial"/>
          <w:sz w:val="20"/>
          <w:szCs w:val="20"/>
          <w:lang w:eastAsia="en-US"/>
        </w:rPr>
        <w:t xml:space="preserve">or care safety to be </w:t>
      </w:r>
      <w:r w:rsidR="00C17F44" w:rsidRPr="00D9090F" w:rsidDel="00182C84">
        <w:rPr>
          <w:rFonts w:ascii="Arial" w:hAnsi="Arial" w:cs="Arial"/>
          <w:sz w:val="20"/>
          <w:szCs w:val="20"/>
        </w:rPr>
        <w:t>put into effect</w:t>
      </w:r>
      <w:r w:rsidR="00D9090F" w:rsidDel="00182C84">
        <w:rPr>
          <w:rFonts w:ascii="Arial" w:hAnsi="Arial" w:cs="Arial"/>
          <w:sz w:val="20"/>
          <w:szCs w:val="20"/>
        </w:rPr>
        <w:t>,</w:t>
      </w:r>
      <w:r w:rsidR="00C17F44" w:rsidRPr="00D9090F" w:rsidDel="00182C84">
        <w:rPr>
          <w:rFonts w:ascii="Arial" w:hAnsi="Arial" w:cs="Arial"/>
          <w:sz w:val="20"/>
          <w:szCs w:val="20"/>
        </w:rPr>
        <w:t xml:space="preserve"> and for health and social care services to efficiently learn and share responsibility for the safety of service users, patients or clients</w:t>
      </w:r>
      <w:r w:rsidR="0031260F" w:rsidRPr="00D9090F" w:rsidDel="00182C84">
        <w:rPr>
          <w:rFonts w:ascii="Arial" w:hAnsi="Arial" w:cs="Arial"/>
          <w:sz w:val="20"/>
          <w:szCs w:val="20"/>
        </w:rPr>
        <w:t xml:space="preserve">, it is first necessary to </w:t>
      </w:r>
      <w:r w:rsidR="00D9090F" w:rsidDel="00182C84">
        <w:rPr>
          <w:rFonts w:ascii="Arial" w:hAnsi="Arial" w:cs="Arial"/>
          <w:sz w:val="20"/>
          <w:szCs w:val="20"/>
        </w:rPr>
        <w:t xml:space="preserve">recognise where </w:t>
      </w:r>
      <w:r w:rsidR="0031260F" w:rsidRPr="00D9090F" w:rsidDel="00182C84">
        <w:rPr>
          <w:rFonts w:ascii="Arial" w:hAnsi="Arial" w:cs="Arial"/>
          <w:sz w:val="20"/>
          <w:szCs w:val="20"/>
        </w:rPr>
        <w:t xml:space="preserve">gaps in the delivery of </w:t>
      </w:r>
      <w:r w:rsidR="00D9090F" w:rsidDel="00182C84">
        <w:rPr>
          <w:rFonts w:ascii="Arial" w:hAnsi="Arial" w:cs="Arial"/>
          <w:sz w:val="20"/>
          <w:szCs w:val="20"/>
        </w:rPr>
        <w:t xml:space="preserve">integrated </w:t>
      </w:r>
      <w:r w:rsidR="0031260F" w:rsidRPr="00D9090F" w:rsidDel="00182C84">
        <w:rPr>
          <w:rFonts w:ascii="Arial" w:hAnsi="Arial" w:cs="Arial"/>
          <w:sz w:val="20"/>
          <w:szCs w:val="20"/>
        </w:rPr>
        <w:t>health and social care</w:t>
      </w:r>
      <w:r w:rsidR="00D9090F" w:rsidDel="00182C84">
        <w:rPr>
          <w:rFonts w:ascii="Arial" w:hAnsi="Arial" w:cs="Arial"/>
          <w:sz w:val="20"/>
          <w:szCs w:val="20"/>
        </w:rPr>
        <w:t xml:space="preserve"> exist</w:t>
      </w:r>
      <w:r w:rsidR="0031260F" w:rsidRPr="00D9090F" w:rsidDel="00182C84">
        <w:rPr>
          <w:rFonts w:ascii="Arial" w:hAnsi="Arial" w:cs="Arial"/>
          <w:sz w:val="20"/>
          <w:szCs w:val="20"/>
        </w:rPr>
        <w:t>.</w:t>
      </w:r>
    </w:p>
    <w:p w14:paraId="035C1583" w14:textId="77777777" w:rsidR="00803794" w:rsidRPr="00D9090F" w:rsidDel="00182C84" w:rsidRDefault="00803794">
      <w:pPr>
        <w:spacing w:line="480" w:lineRule="auto"/>
        <w:jc w:val="both"/>
        <w:rPr>
          <w:rFonts w:ascii="Arial" w:hAnsi="Arial" w:cs="Arial"/>
          <w:sz w:val="20"/>
          <w:szCs w:val="20"/>
        </w:rPr>
      </w:pPr>
    </w:p>
    <w:p w14:paraId="7EB1FB62" w14:textId="77777777" w:rsidR="00342477" w:rsidRDefault="00342477" w:rsidP="00342477">
      <w:pPr>
        <w:spacing w:line="480" w:lineRule="auto"/>
        <w:jc w:val="both"/>
        <w:rPr>
          <w:rFonts w:ascii="Arial" w:hAnsi="Arial" w:cs="Arial"/>
          <w:b/>
          <w:sz w:val="20"/>
          <w:szCs w:val="20"/>
        </w:rPr>
      </w:pPr>
      <w:r w:rsidDel="00182C84">
        <w:rPr>
          <w:rFonts w:ascii="Arial" w:hAnsi="Arial" w:cs="Arial"/>
          <w:b/>
          <w:sz w:val="20"/>
          <w:szCs w:val="20"/>
        </w:rPr>
        <w:t>&lt;Insert figure around here. Figure legend: Comparison of approaches to safety in health and social care and their implications&gt;</w:t>
      </w:r>
    </w:p>
    <w:p w14:paraId="0D05D2AB" w14:textId="77777777" w:rsidR="00035A35" w:rsidDel="00182C84" w:rsidRDefault="00035A35" w:rsidP="00342477">
      <w:pPr>
        <w:spacing w:line="480" w:lineRule="auto"/>
        <w:jc w:val="both"/>
        <w:rPr>
          <w:rFonts w:ascii="Arial" w:hAnsi="Arial" w:cs="Arial"/>
          <w:b/>
          <w:sz w:val="20"/>
          <w:szCs w:val="20"/>
        </w:rPr>
      </w:pPr>
    </w:p>
    <w:p w14:paraId="336FAB89" w14:textId="77777777" w:rsidR="00976A00" w:rsidRPr="00D9090F" w:rsidRDefault="00893AA0">
      <w:pPr>
        <w:spacing w:line="480" w:lineRule="auto"/>
        <w:jc w:val="both"/>
        <w:rPr>
          <w:rFonts w:ascii="Arial" w:hAnsi="Arial" w:cs="Arial"/>
          <w:b/>
          <w:sz w:val="20"/>
          <w:szCs w:val="20"/>
        </w:rPr>
      </w:pPr>
      <w:r w:rsidRPr="00D9090F">
        <w:rPr>
          <w:rFonts w:ascii="Arial" w:hAnsi="Arial" w:cs="Arial"/>
          <w:b/>
          <w:sz w:val="20"/>
          <w:szCs w:val="20"/>
        </w:rPr>
        <w:t>Bridging the gap</w:t>
      </w:r>
      <w:r w:rsidR="0031260F" w:rsidRPr="00D9090F">
        <w:rPr>
          <w:rFonts w:ascii="Arial" w:hAnsi="Arial" w:cs="Arial"/>
          <w:b/>
          <w:sz w:val="20"/>
          <w:szCs w:val="20"/>
        </w:rPr>
        <w:t>s</w:t>
      </w:r>
      <w:r w:rsidRPr="00D9090F">
        <w:rPr>
          <w:rFonts w:ascii="Arial" w:hAnsi="Arial" w:cs="Arial"/>
          <w:b/>
          <w:sz w:val="20"/>
          <w:szCs w:val="20"/>
        </w:rPr>
        <w:t xml:space="preserve"> </w:t>
      </w:r>
      <w:r w:rsidR="00F11740" w:rsidRPr="00D9090F">
        <w:rPr>
          <w:rFonts w:ascii="Arial" w:hAnsi="Arial" w:cs="Arial"/>
          <w:b/>
          <w:sz w:val="20"/>
          <w:szCs w:val="20"/>
        </w:rPr>
        <w:t xml:space="preserve">in </w:t>
      </w:r>
      <w:r w:rsidR="00D9090F">
        <w:rPr>
          <w:rFonts w:ascii="Arial" w:hAnsi="Arial" w:cs="Arial"/>
          <w:b/>
          <w:sz w:val="20"/>
          <w:szCs w:val="20"/>
        </w:rPr>
        <w:t xml:space="preserve">the delivery of safe, integrated </w:t>
      </w:r>
      <w:r w:rsidRPr="00D9090F">
        <w:rPr>
          <w:rFonts w:ascii="Arial" w:hAnsi="Arial" w:cs="Arial"/>
          <w:b/>
          <w:sz w:val="20"/>
          <w:szCs w:val="20"/>
        </w:rPr>
        <w:t xml:space="preserve">health and social care </w:t>
      </w:r>
    </w:p>
    <w:p w14:paraId="5E147033" w14:textId="7A17B3F8" w:rsidR="00D9090F" w:rsidRDefault="00893AA0" w:rsidP="00FB1373">
      <w:pPr>
        <w:spacing w:line="480" w:lineRule="auto"/>
        <w:jc w:val="both"/>
        <w:rPr>
          <w:rFonts w:ascii="Arial" w:hAnsi="Arial" w:cs="Arial"/>
          <w:sz w:val="20"/>
          <w:szCs w:val="20"/>
        </w:rPr>
      </w:pPr>
      <w:r w:rsidRPr="00D9090F">
        <w:rPr>
          <w:rFonts w:ascii="Arial" w:hAnsi="Arial" w:cs="Arial"/>
          <w:sz w:val="20"/>
          <w:szCs w:val="20"/>
        </w:rPr>
        <w:t xml:space="preserve">Health and social care in England has changed rapidly in the recent past, with greater emphasis </w:t>
      </w:r>
      <w:r w:rsidR="00EF7FB3" w:rsidRPr="00D9090F">
        <w:rPr>
          <w:rFonts w:ascii="Arial" w:hAnsi="Arial" w:cs="Arial"/>
          <w:sz w:val="20"/>
          <w:szCs w:val="20"/>
        </w:rPr>
        <w:t xml:space="preserve">being placed </w:t>
      </w:r>
      <w:r w:rsidRPr="00D9090F">
        <w:rPr>
          <w:rFonts w:ascii="Arial" w:hAnsi="Arial" w:cs="Arial"/>
          <w:sz w:val="20"/>
          <w:szCs w:val="20"/>
        </w:rPr>
        <w:t>on integration of care services</w:t>
      </w:r>
      <w:r w:rsidR="00FB1373" w:rsidRPr="00D9090F">
        <w:rPr>
          <w:rFonts w:ascii="Arial" w:hAnsi="Arial" w:cs="Arial"/>
          <w:sz w:val="20"/>
          <w:szCs w:val="20"/>
        </w:rPr>
        <w:t>. Attempts to achieve</w:t>
      </w:r>
      <w:r w:rsidR="000217E8">
        <w:rPr>
          <w:rFonts w:ascii="Arial" w:hAnsi="Arial" w:cs="Arial"/>
          <w:sz w:val="20"/>
          <w:szCs w:val="20"/>
        </w:rPr>
        <w:t xml:space="preserve"> both horizontal and vertical</w:t>
      </w:r>
      <w:r w:rsidR="00FB1373" w:rsidRPr="00D9090F">
        <w:rPr>
          <w:rFonts w:ascii="Arial" w:hAnsi="Arial" w:cs="Arial"/>
          <w:sz w:val="20"/>
          <w:szCs w:val="20"/>
        </w:rPr>
        <w:t xml:space="preserve"> </w:t>
      </w:r>
      <w:r w:rsidR="000217E8">
        <w:rPr>
          <w:rFonts w:ascii="Arial" w:hAnsi="Arial" w:cs="Arial"/>
          <w:sz w:val="20"/>
          <w:szCs w:val="20"/>
        </w:rPr>
        <w:t>integrat</w:t>
      </w:r>
      <w:r w:rsidR="007173CE">
        <w:rPr>
          <w:rFonts w:ascii="Arial" w:hAnsi="Arial" w:cs="Arial"/>
          <w:sz w:val="20"/>
          <w:szCs w:val="20"/>
        </w:rPr>
        <w:t xml:space="preserve">ion </w:t>
      </w:r>
      <w:r w:rsidR="00FB1373" w:rsidRPr="00D9090F">
        <w:rPr>
          <w:rFonts w:ascii="Arial" w:hAnsi="Arial" w:cs="Arial"/>
          <w:sz w:val="20"/>
          <w:szCs w:val="20"/>
        </w:rPr>
        <w:t>have focused on reducing unnecessary</w:t>
      </w:r>
      <w:r w:rsidR="00EF7FB3" w:rsidRPr="00D9090F">
        <w:rPr>
          <w:rFonts w:ascii="Arial" w:hAnsi="Arial" w:cs="Arial"/>
          <w:sz w:val="20"/>
          <w:szCs w:val="20"/>
        </w:rPr>
        <w:t xml:space="preserve"> gaps and duplication between services, in particular by designing and delivering services around patient needs rather </w:t>
      </w:r>
      <w:r w:rsidR="00FB1373" w:rsidRPr="00D9090F">
        <w:rPr>
          <w:rFonts w:ascii="Arial" w:hAnsi="Arial" w:cs="Arial"/>
          <w:sz w:val="20"/>
          <w:szCs w:val="20"/>
        </w:rPr>
        <w:t xml:space="preserve">than strict observation of </w:t>
      </w:r>
      <w:r w:rsidR="00EF7FB3" w:rsidRPr="00D9090F">
        <w:rPr>
          <w:rFonts w:ascii="Arial" w:hAnsi="Arial" w:cs="Arial"/>
          <w:sz w:val="20"/>
          <w:szCs w:val="20"/>
        </w:rPr>
        <w:t>organisational boundaries</w:t>
      </w:r>
      <w:r w:rsidRPr="00D9090F">
        <w:rPr>
          <w:rFonts w:ascii="Arial" w:hAnsi="Arial" w:cs="Arial"/>
          <w:sz w:val="20"/>
          <w:szCs w:val="20"/>
        </w:rPr>
        <w:t xml:space="preserve">. </w:t>
      </w:r>
      <w:r w:rsidR="00D9090F">
        <w:rPr>
          <w:rFonts w:ascii="Arial" w:hAnsi="Arial" w:cs="Arial"/>
          <w:sz w:val="20"/>
          <w:szCs w:val="20"/>
        </w:rPr>
        <w:t>T</w:t>
      </w:r>
      <w:r w:rsidR="00D9090F" w:rsidRPr="00D9090F">
        <w:rPr>
          <w:rFonts w:ascii="Arial" w:hAnsi="Arial" w:cs="Arial"/>
          <w:sz w:val="20"/>
          <w:szCs w:val="20"/>
        </w:rPr>
        <w:t>he Better Care Fund</w:t>
      </w:r>
      <w:r w:rsidR="00E33866">
        <w:rPr>
          <w:rFonts w:ascii="Arial" w:hAnsi="Arial" w:cs="Arial"/>
          <w:sz w:val="20"/>
          <w:szCs w:val="20"/>
        </w:rPr>
        <w:t xml:space="preserve"> </w:t>
      </w:r>
      <w:r w:rsidR="00D9090F"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&lt;EndNote&gt;&lt;Cite&gt;&lt;Author&gt;Bennett&lt;/Author&gt;&lt;Year&gt;2014&lt;/Year&gt;&lt;RecNum&gt;4&lt;/RecNum&gt;&lt;DisplayText&gt;(Bennett &amp;amp; Humphries, 2014)&lt;/DisplayText&gt;&lt;record&gt;&lt;rec-number&gt;4&lt;/rec-number&gt;&lt;foreign-keys&gt;&lt;key app="EN" db-id="tfp2wdzpczvd2ze5557v9ppvxfvr02a2verf" timestamp="1455112412"&gt;4&lt;/key&gt;&lt;/foreign-keys&gt;&lt;ref-type name="Book"&gt;6&lt;/ref-type&gt;&lt;contributors&gt;&lt;authors&gt;&lt;author&gt;Laura Bennett&lt;/author&gt;&lt;author&gt;Richard Humphries&lt;/author&gt;&lt;/authors&gt;&lt;/contributors&gt;&lt;titles&gt;&lt;title&gt;Making best use of the Better Care Fund: Spending to save?&lt;/title&gt;&lt;/titles&gt;&lt;dates&gt;&lt;year&gt;2014&lt;/year&gt;&lt;/dates&gt;&lt;pub-location&gt;London&lt;/pub-location&gt;&lt;publisher&gt;The King&amp;apos;s Fund&lt;/publisher&gt;&lt;urls&gt;&lt;/urls&gt;&lt;/record&gt;&lt;/Cite&gt;&lt;/EndNote&gt;</w:instrText>
      </w:r>
      <w:r w:rsidR="00D9090F" w:rsidRPr="00D9090F">
        <w:rPr>
          <w:rFonts w:ascii="Arial" w:hAnsi="Arial" w:cs="Arial"/>
          <w:sz w:val="20"/>
          <w:szCs w:val="20"/>
        </w:rPr>
        <w:fldChar w:fldCharType="separate"/>
      </w:r>
      <w:r w:rsidR="002B5345">
        <w:rPr>
          <w:rFonts w:ascii="Arial" w:hAnsi="Arial" w:cs="Arial"/>
          <w:noProof/>
          <w:sz w:val="20"/>
          <w:szCs w:val="20"/>
        </w:rPr>
        <w:t>(</w:t>
      </w:r>
      <w:hyperlink w:anchor="_ENREF_4" w:tooltip="Bennett, 2014 #4" w:history="1">
        <w:r w:rsidR="00DC5920">
          <w:rPr>
            <w:rFonts w:ascii="Arial" w:hAnsi="Arial" w:cs="Arial"/>
            <w:noProof/>
            <w:sz w:val="20"/>
            <w:szCs w:val="20"/>
          </w:rPr>
          <w:t>Bennett &amp; Humphries, 2014</w:t>
        </w:r>
      </w:hyperlink>
      <w:r w:rsidR="002B5345">
        <w:rPr>
          <w:rFonts w:ascii="Arial" w:hAnsi="Arial" w:cs="Arial"/>
          <w:noProof/>
          <w:sz w:val="20"/>
          <w:szCs w:val="20"/>
        </w:rPr>
        <w:t>)</w:t>
      </w:r>
      <w:r w:rsidR="00D9090F" w:rsidRPr="00D9090F">
        <w:rPr>
          <w:rFonts w:ascii="Arial" w:hAnsi="Arial" w:cs="Arial"/>
          <w:sz w:val="20"/>
          <w:szCs w:val="20"/>
        </w:rPr>
        <w:fldChar w:fldCharType="end"/>
      </w:r>
      <w:r w:rsidR="00D9090F" w:rsidRPr="00D9090F">
        <w:rPr>
          <w:rFonts w:ascii="Arial" w:hAnsi="Arial" w:cs="Arial"/>
          <w:sz w:val="20"/>
          <w:szCs w:val="20"/>
        </w:rPr>
        <w:t xml:space="preserve"> is the latest strategy</w:t>
      </w:r>
      <w:r w:rsidR="007173CE">
        <w:rPr>
          <w:rFonts w:ascii="Arial" w:hAnsi="Arial" w:cs="Arial"/>
          <w:sz w:val="20"/>
          <w:szCs w:val="20"/>
        </w:rPr>
        <w:t xml:space="preserve"> in England</w:t>
      </w:r>
      <w:r w:rsidR="00D9090F" w:rsidRPr="00D9090F">
        <w:rPr>
          <w:rFonts w:ascii="Arial" w:hAnsi="Arial" w:cs="Arial"/>
          <w:sz w:val="20"/>
          <w:szCs w:val="20"/>
        </w:rPr>
        <w:t xml:space="preserve"> to incentivise NHS services and local government to work together by pooling budgets.</w:t>
      </w:r>
      <w:r w:rsidR="00D9090F">
        <w:rPr>
          <w:rFonts w:ascii="Arial" w:hAnsi="Arial" w:cs="Arial"/>
          <w:sz w:val="20"/>
          <w:szCs w:val="20"/>
        </w:rPr>
        <w:t xml:space="preserve"> </w:t>
      </w:r>
    </w:p>
    <w:p w14:paraId="51212EAA" w14:textId="77777777" w:rsidR="00D9090F" w:rsidRDefault="00D9090F" w:rsidP="00FB1373">
      <w:pPr>
        <w:spacing w:line="480" w:lineRule="auto"/>
        <w:jc w:val="both"/>
        <w:rPr>
          <w:rFonts w:ascii="Arial" w:hAnsi="Arial" w:cs="Arial"/>
          <w:sz w:val="20"/>
          <w:szCs w:val="20"/>
        </w:rPr>
      </w:pPr>
    </w:p>
    <w:p w14:paraId="01081D4F" w14:textId="16FCAA71" w:rsidR="00976A00" w:rsidRPr="00D9090F" w:rsidRDefault="00466BDE" w:rsidP="00EF7FB3">
      <w:pPr>
        <w:spacing w:line="480" w:lineRule="auto"/>
        <w:jc w:val="both"/>
        <w:rPr>
          <w:rFonts w:ascii="Arial" w:hAnsi="Arial" w:cs="Arial"/>
          <w:sz w:val="20"/>
          <w:szCs w:val="20"/>
        </w:rPr>
      </w:pPr>
      <w:r>
        <w:rPr>
          <w:rFonts w:ascii="Arial" w:hAnsi="Arial" w:cs="Arial"/>
          <w:sz w:val="20"/>
          <w:szCs w:val="20"/>
        </w:rPr>
        <w:t>The need for financial organisational alignment was identified by the Barker Commission</w:t>
      </w:r>
      <w:r w:rsidR="00E33866">
        <w:rPr>
          <w:rFonts w:ascii="Arial" w:hAnsi="Arial" w:cs="Arial"/>
          <w:sz w:val="20"/>
          <w:szCs w:val="20"/>
        </w:rPr>
        <w:t xml:space="preserve"> </w:t>
      </w:r>
      <w:r w:rsidR="00E33866" w:rsidRPr="00D9090F">
        <w:rPr>
          <w:rFonts w:ascii="Arial" w:hAnsi="Arial" w:cs="Arial"/>
          <w:sz w:val="20"/>
          <w:szCs w:val="20"/>
        </w:rPr>
        <w:fldChar w:fldCharType="begin"/>
      </w:r>
      <w:r w:rsidR="00E33866">
        <w:rPr>
          <w:rFonts w:ascii="Arial" w:hAnsi="Arial" w:cs="Arial"/>
          <w:sz w:val="20"/>
          <w:szCs w:val="20"/>
        </w:rPr>
        <w:instrText xml:space="preserve"> ADDIN EN.CITE &lt;EndNote&gt;&lt;Cite&gt;&lt;Author&gt;Barker&lt;/Author&gt;&lt;Year&gt;2014&lt;/Year&gt;&lt;RecNum&gt;919&lt;/RecNum&gt;&lt;DisplayText&gt;(Barker, 2014)&lt;/DisplayText&gt;&lt;record&gt;&lt;rec-number&gt;919&lt;/rec-number&gt;&lt;foreign-keys&gt;&lt;key app="EN" db-id="rfwaf2tw3df0viedd07x0t91ex5rxwd552av" timestamp="1409819414"&gt;919&lt;/key&gt;&lt;/foreign-keys&gt;&lt;ref-type name="Book"&gt;6&lt;/ref-type&gt;&lt;contributors&gt;&lt;authors&gt;&lt;author&gt;Barker, K.&lt;/author&gt;&lt;/authors&gt;&lt;/contributors&gt;&lt;titles&gt;&lt;title&gt;A new settlement for health and social care&lt;/title&gt;&lt;/titles&gt;&lt;dates&gt;&lt;year&gt;2014&lt;/year&gt;&lt;/dates&gt;&lt;pub-location&gt;London&lt;/pub-location&gt;&lt;publisher&gt;The King&amp;apos;s Fund&lt;/publisher&gt;&lt;urls&gt;&lt;/urls&gt;&lt;/record&gt;&lt;/Cite&gt;&lt;/EndNote&gt;</w:instrText>
      </w:r>
      <w:r w:rsidR="00E33866" w:rsidRPr="00D9090F">
        <w:rPr>
          <w:rFonts w:ascii="Arial" w:hAnsi="Arial" w:cs="Arial"/>
          <w:sz w:val="20"/>
          <w:szCs w:val="20"/>
        </w:rPr>
        <w:fldChar w:fldCharType="separate"/>
      </w:r>
      <w:r w:rsidR="00E33866">
        <w:rPr>
          <w:rFonts w:ascii="Arial" w:hAnsi="Arial" w:cs="Arial"/>
          <w:noProof/>
          <w:sz w:val="20"/>
          <w:szCs w:val="20"/>
        </w:rPr>
        <w:t>(</w:t>
      </w:r>
      <w:hyperlink w:anchor="_ENREF_3" w:tooltip="Barker, 2014 #919" w:history="1">
        <w:r w:rsidR="00DC5920">
          <w:rPr>
            <w:rFonts w:ascii="Arial" w:hAnsi="Arial" w:cs="Arial"/>
            <w:noProof/>
            <w:sz w:val="20"/>
            <w:szCs w:val="20"/>
          </w:rPr>
          <w:t>Barker, 2014</w:t>
        </w:r>
      </w:hyperlink>
      <w:r w:rsidR="00E33866">
        <w:rPr>
          <w:rFonts w:ascii="Arial" w:hAnsi="Arial" w:cs="Arial"/>
          <w:noProof/>
          <w:sz w:val="20"/>
          <w:szCs w:val="20"/>
        </w:rPr>
        <w:t>)</w:t>
      </w:r>
      <w:r w:rsidR="00E33866" w:rsidRPr="00D9090F">
        <w:rPr>
          <w:rFonts w:ascii="Arial" w:hAnsi="Arial" w:cs="Arial"/>
          <w:sz w:val="20"/>
          <w:szCs w:val="20"/>
        </w:rPr>
        <w:fldChar w:fldCharType="end"/>
      </w:r>
      <w:r>
        <w:rPr>
          <w:rFonts w:ascii="Arial" w:hAnsi="Arial" w:cs="Arial"/>
          <w:sz w:val="20"/>
          <w:szCs w:val="20"/>
        </w:rPr>
        <w:t xml:space="preserve">, which identified a lack of </w:t>
      </w:r>
      <w:r w:rsidR="00893AA0" w:rsidRPr="00D9090F">
        <w:rPr>
          <w:rFonts w:ascii="Arial" w:hAnsi="Arial" w:cs="Arial"/>
          <w:sz w:val="20"/>
          <w:szCs w:val="20"/>
        </w:rPr>
        <w:t>alignment between health and social care organisations</w:t>
      </w:r>
      <w:r w:rsidR="008522EC" w:rsidRPr="00D9090F">
        <w:rPr>
          <w:rFonts w:ascii="Arial" w:hAnsi="Arial" w:cs="Arial"/>
          <w:sz w:val="20"/>
          <w:szCs w:val="20"/>
        </w:rPr>
        <w:t xml:space="preserve"> and commissioning</w:t>
      </w:r>
      <w:r w:rsidR="00893AA0" w:rsidRPr="00D9090F">
        <w:rPr>
          <w:rFonts w:ascii="Arial" w:hAnsi="Arial" w:cs="Arial"/>
          <w:sz w:val="20"/>
          <w:szCs w:val="20"/>
        </w:rPr>
        <w:t xml:space="preserve">. </w:t>
      </w:r>
      <w:r w:rsidR="003E3177" w:rsidRPr="00D9090F">
        <w:rPr>
          <w:rFonts w:ascii="Arial" w:hAnsi="Arial" w:cs="Arial"/>
          <w:sz w:val="20"/>
          <w:szCs w:val="20"/>
        </w:rPr>
        <w:t xml:space="preserve">The </w:t>
      </w:r>
      <w:hyperlink w:anchor="_ENREF_12" w:tooltip="NHS England, 2014 #937" w:history="1">
        <w:r w:rsidR="00DC5920" w:rsidRPr="00D9090F">
          <w:rPr>
            <w:rFonts w:ascii="Arial" w:hAnsi="Arial" w:cs="Arial"/>
            <w:sz w:val="20"/>
            <w:szCs w:val="20"/>
          </w:rPr>
          <w:fldChar w:fldCharType="begin"/>
        </w:r>
        <w:r w:rsidR="00DC5920">
          <w:rPr>
            <w:rFonts w:ascii="Arial" w:hAnsi="Arial" w:cs="Arial"/>
            <w:sz w:val="20"/>
            <w:szCs w:val="20"/>
          </w:rPr>
          <w:instrText xml:space="preserve"> ADDIN EN.CITE &lt;EndNote&gt;&lt;Cite AuthorYear="1"&gt;&lt;Author&gt;NHS England&lt;/Author&gt;&lt;Year&gt;2014&lt;/Year&gt;&lt;RecNum&gt;937&lt;/RecNum&gt;&lt;DisplayText&gt;NHS England (2014)&lt;/DisplayText&gt;&lt;record&gt;&lt;rec-number&gt;937&lt;/rec-number&gt;&lt;foreign-keys&gt;&lt;key app="EN" db-id="rfwaf2tw3df0viedd07x0t91ex5rxwd552av" timestamp="1414418879"&gt;937&lt;/key&gt;&lt;/foreign-keys&gt;&lt;ref-type name="Book"&gt;6&lt;/ref-type&gt;&lt;contributors&gt;&lt;authors&gt;&lt;author&gt;NHS England,&lt;/author&gt;&lt;/authors&gt;&lt;/contributors&gt;&lt;titles&gt;&lt;title&gt;Five Year Forward View&lt;/title&gt;&lt;/titles&gt;&lt;dates&gt;&lt;year&gt;2014&lt;/year&gt;&lt;/dates&gt;&lt;urls&gt;&lt;/urls&gt;&lt;/record&gt;&lt;/Cite&gt;&lt;/EndNote&gt;</w:instrText>
        </w:r>
        <w:r w:rsidR="00DC5920" w:rsidRPr="00D9090F">
          <w:rPr>
            <w:rFonts w:ascii="Arial" w:hAnsi="Arial" w:cs="Arial"/>
            <w:sz w:val="20"/>
            <w:szCs w:val="20"/>
          </w:rPr>
          <w:fldChar w:fldCharType="separate"/>
        </w:r>
        <w:r w:rsidR="00DC5920">
          <w:rPr>
            <w:rFonts w:ascii="Arial" w:hAnsi="Arial" w:cs="Arial"/>
            <w:noProof/>
            <w:sz w:val="20"/>
            <w:szCs w:val="20"/>
          </w:rPr>
          <w:t>NHS England (2014)</w:t>
        </w:r>
        <w:r w:rsidR="00DC5920" w:rsidRPr="00D9090F">
          <w:rPr>
            <w:rFonts w:ascii="Arial" w:hAnsi="Arial" w:cs="Arial"/>
            <w:sz w:val="20"/>
            <w:szCs w:val="20"/>
          </w:rPr>
          <w:fldChar w:fldCharType="end"/>
        </w:r>
      </w:hyperlink>
      <w:r w:rsidR="00E33866">
        <w:rPr>
          <w:rFonts w:ascii="Arial" w:hAnsi="Arial" w:cs="Arial"/>
          <w:sz w:val="20"/>
          <w:szCs w:val="20"/>
        </w:rPr>
        <w:t xml:space="preserve"> </w:t>
      </w:r>
      <w:r w:rsidR="003E3177" w:rsidRPr="00D9090F">
        <w:rPr>
          <w:rFonts w:ascii="Arial" w:hAnsi="Arial" w:cs="Arial"/>
          <w:sz w:val="20"/>
          <w:szCs w:val="20"/>
        </w:rPr>
        <w:t xml:space="preserve">Five Year Forward View, </w:t>
      </w:r>
      <w:r w:rsidR="00893AA0" w:rsidRPr="00D9090F">
        <w:rPr>
          <w:rFonts w:ascii="Arial" w:hAnsi="Arial" w:cs="Arial"/>
          <w:sz w:val="20"/>
          <w:szCs w:val="20"/>
        </w:rPr>
        <w:t xml:space="preserve">which sets out how health and social care services can adapt to funding constraints, </w:t>
      </w:r>
      <w:r>
        <w:rPr>
          <w:rFonts w:ascii="Arial" w:hAnsi="Arial" w:cs="Arial"/>
          <w:sz w:val="20"/>
          <w:szCs w:val="20"/>
        </w:rPr>
        <w:t xml:space="preserve">also </w:t>
      </w:r>
      <w:r w:rsidR="00893AA0" w:rsidRPr="00D9090F">
        <w:rPr>
          <w:rFonts w:ascii="Arial" w:hAnsi="Arial" w:cs="Arial"/>
          <w:sz w:val="20"/>
          <w:szCs w:val="20"/>
        </w:rPr>
        <w:t>states that barriers between National Health Service</w:t>
      </w:r>
      <w:r w:rsidR="00632622">
        <w:rPr>
          <w:rFonts w:ascii="Arial" w:hAnsi="Arial" w:cs="Arial"/>
          <w:sz w:val="20"/>
          <w:szCs w:val="20"/>
        </w:rPr>
        <w:t>s</w:t>
      </w:r>
      <w:r w:rsidR="00893AA0" w:rsidRPr="00D9090F">
        <w:rPr>
          <w:rFonts w:ascii="Arial" w:hAnsi="Arial" w:cs="Arial"/>
          <w:sz w:val="20"/>
          <w:szCs w:val="20"/>
        </w:rPr>
        <w:t xml:space="preserve"> (NHS) and social care</w:t>
      </w:r>
      <w:r w:rsidR="008522EC" w:rsidRPr="00D9090F">
        <w:rPr>
          <w:rFonts w:ascii="Arial" w:hAnsi="Arial" w:cs="Arial"/>
          <w:sz w:val="20"/>
          <w:szCs w:val="20"/>
        </w:rPr>
        <w:t xml:space="preserve"> services will be broken down</w:t>
      </w:r>
      <w:r w:rsidR="00893AA0" w:rsidRPr="00D9090F">
        <w:rPr>
          <w:rFonts w:ascii="Arial" w:hAnsi="Arial" w:cs="Arial"/>
          <w:sz w:val="20"/>
          <w:szCs w:val="20"/>
        </w:rPr>
        <w:t>. Both of these reports reflect a move towards greater integration of care that is widely anticipated to improve the quality of care that patients receive as care becomes centred around the patient</w:t>
      </w:r>
      <w:r>
        <w:rPr>
          <w:rFonts w:ascii="Arial" w:hAnsi="Arial" w:cs="Arial"/>
          <w:sz w:val="20"/>
          <w:szCs w:val="20"/>
        </w:rPr>
        <w:t xml:space="preserve">. </w:t>
      </w:r>
      <w:r w:rsidR="008522EC" w:rsidRPr="00D9090F">
        <w:rPr>
          <w:rFonts w:ascii="Arial" w:hAnsi="Arial" w:cs="Arial"/>
          <w:sz w:val="20"/>
          <w:szCs w:val="20"/>
        </w:rPr>
        <w:t>Aligning with these calls for increased integration, the CQC has recently established a clinical governance framework for both the health and social care sectors and, within England</w:t>
      </w:r>
      <w:r w:rsidR="00FB1373" w:rsidRPr="00D9090F">
        <w:rPr>
          <w:rFonts w:ascii="Arial" w:hAnsi="Arial" w:cs="Arial"/>
          <w:sz w:val="20"/>
          <w:szCs w:val="20"/>
        </w:rPr>
        <w:t>, applying the same national standards for safety to health and social care settings</w:t>
      </w:r>
      <w:r w:rsidR="000217E8">
        <w:rPr>
          <w:rFonts w:ascii="Arial" w:hAnsi="Arial" w:cs="Arial"/>
          <w:sz w:val="20"/>
          <w:szCs w:val="20"/>
        </w:rPr>
        <w:t>; an effort limited by</w:t>
      </w:r>
      <w:r w:rsidR="008522EC" w:rsidRPr="00D9090F">
        <w:rPr>
          <w:rFonts w:ascii="Arial" w:hAnsi="Arial" w:cs="Arial"/>
          <w:sz w:val="20"/>
          <w:szCs w:val="20"/>
        </w:rPr>
        <w:t xml:space="preserve"> </w:t>
      </w:r>
      <w:r w:rsidR="000217E8">
        <w:rPr>
          <w:rFonts w:ascii="Arial" w:hAnsi="Arial" w:cs="Arial"/>
          <w:sz w:val="20"/>
          <w:szCs w:val="20"/>
        </w:rPr>
        <w:t xml:space="preserve">the different approaches taken to provide safe care. </w:t>
      </w:r>
    </w:p>
    <w:p w14:paraId="2F59023E" w14:textId="77777777" w:rsidR="00976A00" w:rsidRPr="00D9090F" w:rsidRDefault="00976A00">
      <w:pPr>
        <w:spacing w:line="480" w:lineRule="auto"/>
        <w:jc w:val="both"/>
        <w:rPr>
          <w:rFonts w:ascii="Arial" w:hAnsi="Arial" w:cs="Arial"/>
          <w:sz w:val="20"/>
          <w:szCs w:val="20"/>
        </w:rPr>
      </w:pPr>
    </w:p>
    <w:p w14:paraId="04B7D441" w14:textId="2823BC41" w:rsidR="00976A00" w:rsidRPr="00D9090F" w:rsidRDefault="00893AA0">
      <w:pPr>
        <w:spacing w:line="480" w:lineRule="auto"/>
        <w:jc w:val="both"/>
        <w:rPr>
          <w:rFonts w:ascii="Arial" w:hAnsi="Arial" w:cs="Arial"/>
          <w:sz w:val="20"/>
          <w:szCs w:val="20"/>
        </w:rPr>
      </w:pPr>
      <w:r w:rsidRPr="00D9090F">
        <w:rPr>
          <w:rFonts w:ascii="Arial" w:hAnsi="Arial" w:cs="Arial"/>
          <w:sz w:val="20"/>
          <w:szCs w:val="20"/>
        </w:rPr>
        <w:t>Despite these attempts to provide greater integration between services</w:t>
      </w:r>
      <w:r w:rsidRPr="00D9090F">
        <w:rPr>
          <w:rFonts w:ascii="Arial" w:hAnsi="Arial" w:cs="Arial"/>
          <w:color w:val="000000"/>
          <w:sz w:val="20"/>
          <w:szCs w:val="20"/>
        </w:rPr>
        <w:t xml:space="preserve"> a number </w:t>
      </w:r>
      <w:r w:rsidR="008522EC" w:rsidRPr="00D9090F">
        <w:rPr>
          <w:rFonts w:ascii="Arial" w:hAnsi="Arial" w:cs="Arial"/>
          <w:color w:val="000000"/>
          <w:sz w:val="20"/>
          <w:szCs w:val="20"/>
        </w:rPr>
        <w:t>o</w:t>
      </w:r>
      <w:r w:rsidRPr="00D9090F">
        <w:rPr>
          <w:rFonts w:ascii="Arial" w:hAnsi="Arial" w:cs="Arial"/>
          <w:color w:val="000000"/>
          <w:sz w:val="20"/>
          <w:szCs w:val="20"/>
        </w:rPr>
        <w:t>f factors have increased rather than decreased organisational boundaries including i</w:t>
      </w:r>
      <w:r w:rsidRPr="00D9090F">
        <w:rPr>
          <w:rFonts w:ascii="Arial" w:hAnsi="Arial" w:cs="Arial"/>
          <w:sz w:val="20"/>
          <w:szCs w:val="20"/>
        </w:rPr>
        <w:t>ncreased specialisation of care, technological advances</w:t>
      </w:r>
      <w:r w:rsidR="006A2644">
        <w:rPr>
          <w:rFonts w:ascii="Arial" w:hAnsi="Arial" w:cs="Arial"/>
          <w:sz w:val="20"/>
          <w:szCs w:val="20"/>
        </w:rPr>
        <w:t xml:space="preserve"> and</w:t>
      </w:r>
      <w:r w:rsidRPr="00D9090F">
        <w:rPr>
          <w:rFonts w:ascii="Arial" w:hAnsi="Arial" w:cs="Arial"/>
          <w:sz w:val="20"/>
          <w:szCs w:val="20"/>
        </w:rPr>
        <w:t xml:space="preserve"> changes to where care is delivered</w:t>
      </w:r>
      <w:r w:rsidR="00E33866">
        <w:rPr>
          <w:rFonts w:ascii="Arial" w:hAnsi="Arial" w:cs="Arial"/>
          <w:sz w:val="20"/>
          <w:szCs w:val="20"/>
        </w:rPr>
        <w:t xml:space="preserve"> </w:t>
      </w:r>
      <w:r w:rsidRPr="00D9090F">
        <w:rPr>
          <w:rFonts w:ascii="Arial" w:hAnsi="Arial" w:cs="Arial"/>
          <w:sz w:val="20"/>
          <w:szCs w:val="20"/>
        </w:rPr>
        <w:fldChar w:fldCharType="begin"/>
      </w:r>
      <w:r w:rsidR="002B5345">
        <w:rPr>
          <w:rFonts w:ascii="Arial" w:hAnsi="Arial" w:cs="Arial"/>
          <w:sz w:val="20"/>
          <w:szCs w:val="20"/>
        </w:rPr>
        <w:instrText xml:space="preserve"> ADDIN EN.CITE &lt;EndNote&gt;&lt;Cite&gt;&lt;Author&gt;Reid&lt;/Author&gt;&lt;Year&gt;2002&lt;/Year&gt;&lt;RecNum&gt;973&lt;/RecNum&gt;&lt;DisplayText&gt;(Reid, Haggerty, &amp;amp; McKendry, 2002)&lt;/DisplayText&gt;&lt;record&gt;&lt;rec-number&gt;973&lt;/rec-number&gt;&lt;foreign-keys&gt;&lt;key app="EN" db-id="rfwaf2tw3df0viedd07x0t91ex5rxwd552av" timestamp="1429124231"&gt;973&lt;/key&gt;&lt;/foreign-keys&gt;&lt;ref-type name="Book"&gt;6&lt;/ref-type&gt;&lt;contributors&gt;&lt;authors&gt;&lt;author&gt;Reid, R.&lt;/author&gt;&lt;author&gt;Haggerty, J.&lt;/author&gt;&lt;author&gt;McKendry, R.&lt;/author&gt;&lt;/authors&gt;&lt;/contributors&gt;&lt;titles&gt;&lt;title&gt;Defusing the confusion: Concepts and measures of continuity in healthcare&lt;/title&gt;&lt;/titles&gt;&lt;dates&gt;&lt;year&gt;2002&lt;/year&gt;&lt;/dates&gt;&lt;pub-location&gt;Ottawa&lt;/pub-location&gt;&lt;publisher&gt;Canadian Health Services Research Foundation&lt;/publisher&gt;&lt;urls&gt;&lt;/urls&gt;&lt;/record&gt;&lt;/Cite&gt;&lt;/EndNote&gt;</w:instrText>
      </w:r>
      <w:r w:rsidRPr="00D9090F">
        <w:rPr>
          <w:rFonts w:ascii="Arial" w:hAnsi="Arial" w:cs="Arial"/>
          <w:sz w:val="20"/>
          <w:szCs w:val="20"/>
        </w:rPr>
        <w:fldChar w:fldCharType="separate"/>
      </w:r>
      <w:r w:rsidR="002B5345">
        <w:rPr>
          <w:rFonts w:ascii="Arial" w:hAnsi="Arial" w:cs="Arial"/>
          <w:noProof/>
          <w:sz w:val="20"/>
          <w:szCs w:val="20"/>
        </w:rPr>
        <w:t>(</w:t>
      </w:r>
      <w:hyperlink w:anchor="_ENREF_15" w:tooltip="Reid, 2002 #973" w:history="1">
        <w:r w:rsidR="00DC5920">
          <w:rPr>
            <w:rFonts w:ascii="Arial" w:hAnsi="Arial" w:cs="Arial"/>
            <w:noProof/>
            <w:sz w:val="20"/>
            <w:szCs w:val="20"/>
          </w:rPr>
          <w:t>Reid, Haggerty, &amp; McKendry, 2002</w:t>
        </w:r>
      </w:hyperlink>
      <w:r w:rsidR="002B5345">
        <w:rPr>
          <w:rFonts w:ascii="Arial" w:hAnsi="Arial" w:cs="Arial"/>
          <w:noProof/>
          <w:sz w:val="20"/>
          <w:szCs w:val="20"/>
        </w:rPr>
        <w:t>)</w:t>
      </w:r>
      <w:r w:rsidRPr="00D9090F">
        <w:rPr>
          <w:rFonts w:ascii="Arial" w:hAnsi="Arial" w:cs="Arial"/>
          <w:sz w:val="20"/>
          <w:szCs w:val="20"/>
        </w:rPr>
        <w:fldChar w:fldCharType="end"/>
      </w:r>
      <w:r w:rsidR="00E33866">
        <w:rPr>
          <w:rFonts w:ascii="Arial" w:hAnsi="Arial" w:cs="Arial"/>
          <w:sz w:val="20"/>
          <w:szCs w:val="20"/>
        </w:rPr>
        <w:t>.</w:t>
      </w:r>
      <w:r w:rsidRPr="00D9090F">
        <w:rPr>
          <w:rFonts w:ascii="Arial" w:hAnsi="Arial" w:cs="Arial"/>
          <w:sz w:val="20"/>
          <w:szCs w:val="20"/>
        </w:rPr>
        <w:t xml:space="preserve"> As such, providing integrated care within an increasingly complex environment is becoming more difficult to negotiate</w:t>
      </w:r>
      <w:r w:rsidR="00FF7D1C">
        <w:rPr>
          <w:rFonts w:ascii="Arial" w:hAnsi="Arial" w:cs="Arial"/>
          <w:sz w:val="20"/>
          <w:szCs w:val="20"/>
        </w:rPr>
        <w:t xml:space="preserve">, as demonstrated by </w:t>
      </w:r>
      <w:hyperlink w:anchor="_ENREF_11" w:tooltip="Lewis, 2015 #1213" w:history="1">
        <w:r w:rsidR="00DC5920">
          <w:rPr>
            <w:rFonts w:ascii="Arial" w:hAnsi="Arial" w:cs="Arial"/>
            <w:sz w:val="20"/>
            <w:szCs w:val="20"/>
          </w:rPr>
          <w:fldChar w:fldCharType="begin"/>
        </w:r>
        <w:r w:rsidR="00DC5920">
          <w:rPr>
            <w:rFonts w:ascii="Arial" w:hAnsi="Arial" w:cs="Arial"/>
            <w:sz w:val="20"/>
            <w:szCs w:val="20"/>
          </w:rPr>
          <w:instrText xml:space="preserve"> ADDIN EN.CITE &lt;EndNote&gt;&lt;Cite AuthorYear="1"&gt;&lt;Author&gt;Jane&lt;/Author&gt;&lt;Year&gt;2015&lt;/Year&gt;&lt;RecNum&gt;1213&lt;/RecNum&gt;&lt;DisplayText&gt;Lewis&lt;style face="italic"&gt; et al.&lt;/style&gt; (2015)&lt;/DisplayText&gt;&lt;record&gt;&lt;rec-number&gt;1213&lt;/rec-number&gt;&lt;foreign-keys&gt;&lt;key app="EN" db-id="rfwaf2tw3df0viedd07x0t91ex5rxwd552av" timestamp="1469108442"&gt;1213&lt;/key&gt;&lt;/foreign-keys&gt;&lt;ref-type name="Journal Article"&gt;17&lt;/ref-type&gt;&lt;contributors&gt;&lt;authors&gt;&lt;author&gt;Jane Lewis&lt;/author&gt;&lt;author&gt;Jane Greenstock&lt;/author&gt;&lt;author&gt;Kim Caldwell&lt;/author&gt;&lt;author&gt;Beth Anderson&lt;/author&gt;&lt;/authors&gt;&lt;/contributors&gt;&lt;titles&gt;&lt;title&gt;Working together to identify child maltreatment: social work and acute healthcare&lt;/title&gt;&lt;secondary-title&gt;Journal of Integrated Care&lt;/secondary-title&gt;&lt;/titles&gt;&lt;periodical&gt;&lt;full-title&gt;Journal of Integrated Care&lt;/full-title&gt;&lt;/periodical&gt;&lt;pages&gt;302-312&lt;/pages&gt;&lt;volume&gt;23&lt;/volume&gt;&lt;number&gt;5&lt;/number&gt;&lt;keywords&gt;&lt;keyword&gt;Partnership working,Healthcare management,Interagency working,Social work,Acute care,Child maltreatment&lt;/keyword&gt;&lt;/keywords&gt;&lt;dates&gt;&lt;year&gt;2015&lt;/year&gt;&lt;/dates&gt;&lt;urls&gt;&lt;related-urls&gt;&lt;url&gt;http://www.emeraldinsight.com/doi/abs/10.1108/JICA-08-2015-0032&lt;/url&gt;&lt;/related-urls&gt;&lt;/urls&gt;&lt;electronic-resource-num&gt;doi:10.1108/JICA-08-2015-0032&lt;/electronic-resource-num&gt;&lt;/record&gt;&lt;/Cite&gt;&lt;/EndNote&gt;</w:instrText>
        </w:r>
        <w:r w:rsidR="00DC5920">
          <w:rPr>
            <w:rFonts w:ascii="Arial" w:hAnsi="Arial" w:cs="Arial"/>
            <w:sz w:val="20"/>
            <w:szCs w:val="20"/>
          </w:rPr>
          <w:fldChar w:fldCharType="separate"/>
        </w:r>
        <w:r w:rsidR="00DC5920">
          <w:rPr>
            <w:rFonts w:ascii="Arial" w:hAnsi="Arial" w:cs="Arial"/>
            <w:noProof/>
            <w:sz w:val="20"/>
            <w:szCs w:val="20"/>
          </w:rPr>
          <w:t>Lewis</w:t>
        </w:r>
        <w:r w:rsidR="00DC5920" w:rsidRPr="002B5345">
          <w:rPr>
            <w:rFonts w:ascii="Arial" w:hAnsi="Arial" w:cs="Arial"/>
            <w:i/>
            <w:noProof/>
            <w:sz w:val="20"/>
            <w:szCs w:val="20"/>
          </w:rPr>
          <w:t xml:space="preserve"> et al.</w:t>
        </w:r>
        <w:r w:rsidR="00DC5920">
          <w:rPr>
            <w:rFonts w:ascii="Arial" w:hAnsi="Arial" w:cs="Arial"/>
            <w:noProof/>
            <w:sz w:val="20"/>
            <w:szCs w:val="20"/>
          </w:rPr>
          <w:t xml:space="preserve"> (2015)</w:t>
        </w:r>
        <w:r w:rsidR="00DC5920">
          <w:rPr>
            <w:rFonts w:ascii="Arial" w:hAnsi="Arial" w:cs="Arial"/>
            <w:sz w:val="20"/>
            <w:szCs w:val="20"/>
          </w:rPr>
          <w:fldChar w:fldCharType="end"/>
        </w:r>
      </w:hyperlink>
      <w:r w:rsidR="00E33866">
        <w:rPr>
          <w:rFonts w:ascii="Arial" w:hAnsi="Arial" w:cs="Arial"/>
          <w:sz w:val="20"/>
          <w:szCs w:val="20"/>
        </w:rPr>
        <w:t xml:space="preserve"> </w:t>
      </w:r>
      <w:r w:rsidR="006458EE">
        <w:rPr>
          <w:rFonts w:ascii="Arial" w:hAnsi="Arial" w:cs="Arial"/>
          <w:sz w:val="20"/>
          <w:szCs w:val="20"/>
        </w:rPr>
        <w:t xml:space="preserve">in </w:t>
      </w:r>
      <w:r w:rsidR="00FF7D1C">
        <w:rPr>
          <w:rFonts w:ascii="Arial" w:hAnsi="Arial" w:cs="Arial"/>
          <w:sz w:val="20"/>
          <w:szCs w:val="20"/>
        </w:rPr>
        <w:t>case studies on identifying child mistreatment as a safeguarding function within healthcare</w:t>
      </w:r>
      <w:r w:rsidRPr="00D9090F">
        <w:rPr>
          <w:rFonts w:ascii="Arial" w:hAnsi="Arial" w:cs="Arial"/>
          <w:sz w:val="20"/>
          <w:szCs w:val="20"/>
        </w:rPr>
        <w:t xml:space="preserve">. </w:t>
      </w:r>
      <w:r w:rsidR="00626AF6">
        <w:rPr>
          <w:rFonts w:ascii="Arial" w:hAnsi="Arial" w:cs="Arial"/>
          <w:sz w:val="20"/>
          <w:szCs w:val="20"/>
        </w:rPr>
        <w:t xml:space="preserve">Other examples include the challenge of safe discharge from healthcare (secondary care) to social care </w:t>
      </w:r>
      <w:r w:rsidR="00626AF6">
        <w:rPr>
          <w:rFonts w:ascii="Arial" w:hAnsi="Arial" w:cs="Arial"/>
          <w:sz w:val="20"/>
          <w:szCs w:val="20"/>
        </w:rPr>
        <w:fldChar w:fldCharType="begin"/>
      </w:r>
      <w:r w:rsidR="00626AF6">
        <w:rPr>
          <w:rFonts w:ascii="Arial" w:hAnsi="Arial" w:cs="Arial"/>
          <w:sz w:val="20"/>
          <w:szCs w:val="20"/>
        </w:rPr>
        <w:instrText xml:space="preserve"> ADDIN EN.CITE &lt;EndNote&gt;&lt;Cite&gt;&lt;Author&gt;Waring&lt;/Author&gt;&lt;Year&gt;2016&lt;/Year&gt;&lt;RecNum&gt;1214&lt;/RecNum&gt;&lt;DisplayText&gt;(Waring, Bishop, &amp;amp; Marshall, 2016b)&lt;/DisplayText&gt;&lt;record&gt;&lt;rec-number&gt;1214&lt;/rec-number&gt;&lt;foreign-keys&gt;&lt;key app="EN" db-id="rfwaf2tw3df0viedd07x0t91ex5rxwd552av" timestamp="1469530153"&gt;1214&lt;/key&gt;&lt;/foreign-keys&gt;&lt;ref-type name="Journal Article"&gt;17&lt;/ref-type&gt;&lt;contributors&gt;&lt;authors&gt;&lt;author&gt;Waring, Justin&lt;/author&gt;&lt;author&gt;Bishop, Simon&lt;/author&gt;&lt;author&gt;Marshall, Fiona&lt;/author&gt;&lt;/authors&gt;&lt;/contributors&gt;&lt;titles&gt;&lt;title&gt;A qualitative study of professional and carer perceptions of the threats to safe hospital discharge for stroke and hip fracture patients in the English National Health Service&lt;/title&gt;&lt;secondary-title&gt;BMC Health Services Research&lt;/secondary-title&gt;&lt;/titles&gt;&lt;periodical&gt;&lt;full-title&gt;BMC Health Services Research&lt;/full-title&gt;&lt;abbr-1&gt;BMC Health Serv Res&lt;/abbr-1&gt;&lt;/periodical&gt;&lt;pages&gt;1-14&lt;/pages&gt;&lt;volume&gt;16&lt;/volume&gt;&lt;number&gt;1&lt;/number&gt;&lt;dates&gt;&lt;year&gt;2016&lt;/year&gt;&lt;/dates&gt;&lt;isbn&gt;1472-6963&lt;/isbn&gt;&lt;label&gt;Waring2016&lt;/label&gt;&lt;work-type&gt;journal article&lt;/work-type&gt;&lt;urls&gt;&lt;related-urls&gt;&lt;url&gt;http://dx.doi.org/10.1186/s12913-016-1568-2&lt;/url&gt;&lt;/related-urls&gt;&lt;/urls&gt;&lt;electronic-resource-num&gt;10.1186/s12913-016-1568-2&lt;/electronic-resource-num&gt;&lt;/record&gt;&lt;/Cite&gt;&lt;/EndNote&gt;</w:instrText>
      </w:r>
      <w:r w:rsidR="00626AF6">
        <w:rPr>
          <w:rFonts w:ascii="Arial" w:hAnsi="Arial" w:cs="Arial"/>
          <w:sz w:val="20"/>
          <w:szCs w:val="20"/>
        </w:rPr>
        <w:fldChar w:fldCharType="separate"/>
      </w:r>
      <w:r w:rsidR="00626AF6">
        <w:rPr>
          <w:rFonts w:ascii="Arial" w:hAnsi="Arial" w:cs="Arial"/>
          <w:noProof/>
          <w:sz w:val="20"/>
          <w:szCs w:val="20"/>
        </w:rPr>
        <w:t>(</w:t>
      </w:r>
      <w:hyperlink w:anchor="_ENREF_20" w:tooltip="Waring, 2016 #1214" w:history="1">
        <w:r w:rsidR="00DC5920">
          <w:rPr>
            <w:rFonts w:ascii="Arial" w:hAnsi="Arial" w:cs="Arial"/>
            <w:noProof/>
            <w:sz w:val="20"/>
            <w:szCs w:val="20"/>
          </w:rPr>
          <w:t>Waring, Bishop, &amp; Marshall, 2016b</w:t>
        </w:r>
      </w:hyperlink>
      <w:r w:rsidR="00626AF6">
        <w:rPr>
          <w:rFonts w:ascii="Arial" w:hAnsi="Arial" w:cs="Arial"/>
          <w:noProof/>
          <w:sz w:val="20"/>
          <w:szCs w:val="20"/>
        </w:rPr>
        <w:t>)</w:t>
      </w:r>
      <w:r w:rsidR="00626AF6">
        <w:rPr>
          <w:rFonts w:ascii="Arial" w:hAnsi="Arial" w:cs="Arial"/>
          <w:sz w:val="20"/>
          <w:szCs w:val="20"/>
        </w:rPr>
        <w:fldChar w:fldCharType="end"/>
      </w:r>
      <w:r w:rsidR="00626AF6">
        <w:rPr>
          <w:rFonts w:ascii="Arial" w:hAnsi="Arial" w:cs="Arial"/>
          <w:sz w:val="20"/>
          <w:szCs w:val="20"/>
        </w:rPr>
        <w:t xml:space="preserve">, and of involving patients in the reporting of safety experiences following discharge </w:t>
      </w:r>
      <w:r w:rsidR="00626AF6">
        <w:rPr>
          <w:rFonts w:ascii="Arial" w:hAnsi="Arial" w:cs="Arial"/>
          <w:sz w:val="20"/>
          <w:szCs w:val="20"/>
        </w:rPr>
        <w:fldChar w:fldCharType="begin"/>
      </w:r>
      <w:r w:rsidR="00DC5920">
        <w:rPr>
          <w:rFonts w:ascii="Arial" w:hAnsi="Arial" w:cs="Arial"/>
          <w:sz w:val="20"/>
          <w:szCs w:val="20"/>
        </w:rPr>
        <w:instrText xml:space="preserve"> ADDIN EN.CITE &lt;EndNote&gt;&lt;Cite&gt;&lt;Author&gt;De Brún&lt;/Author&gt;&lt;Year&gt;2016&lt;/Year&gt;&lt;RecNum&gt;1385&lt;/RecNum&gt;&lt;DisplayText&gt;(De Brún&lt;style face="italic"&gt; et al.&lt;/style&gt;, 2016)&lt;/DisplayText&gt;&lt;record&gt;&lt;rec-number&gt;1385&lt;/rec-number&gt;&lt;foreign-keys&gt;&lt;key app="EN" db-id="rfwaf2tw3df0viedd07x0t91ex5rxwd552av" timestamp="1480351092"&gt;1385&lt;/key&gt;&lt;/foreign-keys&gt;&lt;ref-type name="Journal Article"&gt;17&lt;/ref-type&gt;&lt;contributors&gt;&lt;authors&gt;&lt;author&gt;De Brún, Aoife&lt;/author&gt;&lt;author&gt;Heavey, Emily&lt;/author&gt;&lt;author&gt;Waring, Justin&lt;/author&gt;&lt;author&gt;Dawson, Pamela&lt;/author&gt;&lt;author&gt;Scott, Jason&lt;/author&gt;&lt;/authors&gt;&lt;/contributors&gt;&lt;titles&gt;&lt;title&gt;PReSaFe: A model of barriers and facilitators to patients providing feedback on experiences of safety&lt;/title&gt;&lt;secondary-title&gt;Health Expectations&lt;/secondary-title&gt;&lt;/titles&gt;&lt;periodical&gt;&lt;full-title&gt;Health Expectations&lt;/full-title&gt;&lt;abbr-1&gt;Health Expect&lt;/abbr-1&gt;&lt;/periodical&gt;&lt;keywords&gt;&lt;keyword&gt;patient experience&lt;/keyword&gt;&lt;keyword&gt;patient reporting&lt;/keyword&gt;&lt;keyword&gt;patient safety&lt;/keyword&gt;&lt;keyword&gt;qualitative research&lt;/keyword&gt;&lt;/keywords&gt;&lt;dates&gt;&lt;year&gt;2016&lt;/year&gt;&lt;/dates&gt;&lt;isbn&gt;1369-7625&lt;/isbn&gt;&lt;urls&gt;&lt;related-urls&gt;&lt;url&gt;http://dx.doi.org/10.1111/hex.12516&lt;/url&gt;&lt;/related-urls&gt;&lt;/urls&gt;&lt;electronic-resource-num&gt;10.1111/hex.12516&lt;/electronic-resource-num&gt;&lt;/record&gt;&lt;/Cite&gt;&lt;/EndNote&gt;</w:instrText>
      </w:r>
      <w:r w:rsidR="00626AF6">
        <w:rPr>
          <w:rFonts w:ascii="Arial" w:hAnsi="Arial" w:cs="Arial"/>
          <w:sz w:val="20"/>
          <w:szCs w:val="20"/>
        </w:rPr>
        <w:fldChar w:fldCharType="separate"/>
      </w:r>
      <w:r w:rsidR="00626AF6">
        <w:rPr>
          <w:rFonts w:ascii="Arial" w:hAnsi="Arial" w:cs="Arial"/>
          <w:noProof/>
          <w:sz w:val="20"/>
          <w:szCs w:val="20"/>
        </w:rPr>
        <w:t>(</w:t>
      </w:r>
      <w:hyperlink w:anchor="_ENREF_5" w:tooltip="De Brún, 2016 #1385" w:history="1">
        <w:r w:rsidR="00DC5920">
          <w:rPr>
            <w:rFonts w:ascii="Arial" w:hAnsi="Arial" w:cs="Arial"/>
            <w:noProof/>
            <w:sz w:val="20"/>
            <w:szCs w:val="20"/>
          </w:rPr>
          <w:t>De Brún</w:t>
        </w:r>
        <w:r w:rsidR="00DC5920" w:rsidRPr="00626AF6">
          <w:rPr>
            <w:rFonts w:ascii="Arial" w:hAnsi="Arial" w:cs="Arial"/>
            <w:i/>
            <w:noProof/>
            <w:sz w:val="20"/>
            <w:szCs w:val="20"/>
          </w:rPr>
          <w:t xml:space="preserve"> et al.</w:t>
        </w:r>
        <w:r w:rsidR="00DC5920">
          <w:rPr>
            <w:rFonts w:ascii="Arial" w:hAnsi="Arial" w:cs="Arial"/>
            <w:noProof/>
            <w:sz w:val="20"/>
            <w:szCs w:val="20"/>
          </w:rPr>
          <w:t>, 2016</w:t>
        </w:r>
      </w:hyperlink>
      <w:r w:rsidR="00626AF6">
        <w:rPr>
          <w:rFonts w:ascii="Arial" w:hAnsi="Arial" w:cs="Arial"/>
          <w:noProof/>
          <w:sz w:val="20"/>
          <w:szCs w:val="20"/>
        </w:rPr>
        <w:t>)</w:t>
      </w:r>
      <w:r w:rsidR="00626AF6">
        <w:rPr>
          <w:rFonts w:ascii="Arial" w:hAnsi="Arial" w:cs="Arial"/>
          <w:sz w:val="20"/>
          <w:szCs w:val="20"/>
        </w:rPr>
        <w:fldChar w:fldCharType="end"/>
      </w:r>
      <w:r w:rsidR="00626AF6">
        <w:rPr>
          <w:rFonts w:ascii="Arial" w:hAnsi="Arial" w:cs="Arial"/>
          <w:sz w:val="20"/>
          <w:szCs w:val="20"/>
        </w:rPr>
        <w:t xml:space="preserve">. </w:t>
      </w:r>
      <w:r w:rsidR="000A4A39" w:rsidRPr="00D9090F">
        <w:rPr>
          <w:rFonts w:ascii="Arial" w:hAnsi="Arial" w:cs="Arial"/>
          <w:sz w:val="20"/>
          <w:szCs w:val="20"/>
        </w:rPr>
        <w:t>Thus</w:t>
      </w:r>
      <w:r w:rsidR="007173CE">
        <w:rPr>
          <w:rFonts w:ascii="Arial" w:hAnsi="Arial" w:cs="Arial"/>
          <w:sz w:val="20"/>
          <w:szCs w:val="20"/>
        </w:rPr>
        <w:t>,</w:t>
      </w:r>
      <w:r w:rsidR="000A4A39" w:rsidRPr="00D9090F">
        <w:rPr>
          <w:rFonts w:ascii="Arial" w:hAnsi="Arial" w:cs="Arial"/>
          <w:sz w:val="20"/>
          <w:szCs w:val="20"/>
        </w:rPr>
        <w:t xml:space="preserve"> attempts to keep people safe within this </w:t>
      </w:r>
      <w:r w:rsidR="00B120A8">
        <w:rPr>
          <w:rFonts w:ascii="Arial" w:hAnsi="Arial" w:cs="Arial"/>
          <w:sz w:val="20"/>
          <w:szCs w:val="20"/>
        </w:rPr>
        <w:t xml:space="preserve">increasingly complex </w:t>
      </w:r>
      <w:r w:rsidR="000A4A39" w:rsidRPr="00D9090F">
        <w:rPr>
          <w:rFonts w:ascii="Arial" w:hAnsi="Arial" w:cs="Arial"/>
          <w:sz w:val="20"/>
          <w:szCs w:val="20"/>
        </w:rPr>
        <w:t xml:space="preserve">context </w:t>
      </w:r>
      <w:r w:rsidR="00B120A8">
        <w:rPr>
          <w:rFonts w:ascii="Arial" w:hAnsi="Arial" w:cs="Arial"/>
          <w:sz w:val="20"/>
          <w:szCs w:val="20"/>
        </w:rPr>
        <w:t xml:space="preserve">which </w:t>
      </w:r>
      <w:r w:rsidRPr="00D9090F">
        <w:rPr>
          <w:rFonts w:ascii="Arial" w:hAnsi="Arial" w:cs="Arial"/>
          <w:sz w:val="20"/>
          <w:szCs w:val="20"/>
        </w:rPr>
        <w:t>lack</w:t>
      </w:r>
      <w:r w:rsidR="00B120A8">
        <w:rPr>
          <w:rFonts w:ascii="Arial" w:hAnsi="Arial" w:cs="Arial"/>
          <w:sz w:val="20"/>
          <w:szCs w:val="20"/>
        </w:rPr>
        <w:t>s</w:t>
      </w:r>
      <w:r w:rsidRPr="00D9090F">
        <w:rPr>
          <w:rFonts w:ascii="Arial" w:hAnsi="Arial" w:cs="Arial"/>
          <w:sz w:val="20"/>
          <w:szCs w:val="20"/>
        </w:rPr>
        <w:t xml:space="preserve"> a </w:t>
      </w:r>
      <w:r w:rsidR="00B120A8">
        <w:rPr>
          <w:rFonts w:ascii="Arial" w:hAnsi="Arial" w:cs="Arial"/>
          <w:sz w:val="20"/>
          <w:szCs w:val="20"/>
        </w:rPr>
        <w:t xml:space="preserve">shared </w:t>
      </w:r>
      <w:r w:rsidRPr="00D9090F">
        <w:rPr>
          <w:rFonts w:ascii="Arial" w:hAnsi="Arial" w:cs="Arial"/>
          <w:sz w:val="20"/>
          <w:szCs w:val="20"/>
        </w:rPr>
        <w:t>understanding and approach to safety, and the lack of integration between health and social care services more generally</w:t>
      </w:r>
      <w:r w:rsidR="00B120A8">
        <w:rPr>
          <w:rFonts w:ascii="Arial" w:hAnsi="Arial" w:cs="Arial"/>
          <w:sz w:val="20"/>
          <w:szCs w:val="20"/>
        </w:rPr>
        <w:t>,</w:t>
      </w:r>
      <w:r w:rsidRPr="00D9090F">
        <w:rPr>
          <w:rFonts w:ascii="Arial" w:hAnsi="Arial" w:cs="Arial"/>
          <w:sz w:val="20"/>
          <w:szCs w:val="20"/>
        </w:rPr>
        <w:t xml:space="preserve"> may create a</w:t>
      </w:r>
      <w:r w:rsidRPr="00D9090F">
        <w:rPr>
          <w:rFonts w:ascii="Arial" w:hAnsi="Arial" w:cs="Arial"/>
          <w:color w:val="000000"/>
          <w:sz w:val="20"/>
          <w:szCs w:val="20"/>
        </w:rPr>
        <w:t xml:space="preserve"> situation</w:t>
      </w:r>
      <w:r w:rsidRPr="00D9090F">
        <w:rPr>
          <w:rFonts w:ascii="Arial" w:hAnsi="Arial" w:cs="Arial"/>
          <w:sz w:val="20"/>
          <w:szCs w:val="20"/>
        </w:rPr>
        <w:t xml:space="preserve"> </w:t>
      </w:r>
      <w:r w:rsidRPr="00D9090F">
        <w:rPr>
          <w:rFonts w:ascii="Arial" w:hAnsi="Arial" w:cs="Arial"/>
          <w:color w:val="000000"/>
          <w:sz w:val="20"/>
          <w:szCs w:val="20"/>
        </w:rPr>
        <w:t>where</w:t>
      </w:r>
      <w:r w:rsidRPr="00D9090F">
        <w:rPr>
          <w:rFonts w:ascii="Arial" w:hAnsi="Arial" w:cs="Arial"/>
          <w:sz w:val="20"/>
          <w:szCs w:val="20"/>
        </w:rPr>
        <w:t xml:space="preserve"> any knowledge and learning about the factors that could prevent or lead to preventable harm may </w:t>
      </w:r>
      <w:r w:rsidRPr="00D9090F">
        <w:rPr>
          <w:rFonts w:ascii="Arial" w:hAnsi="Arial" w:cs="Arial"/>
          <w:color w:val="000000"/>
          <w:sz w:val="20"/>
          <w:szCs w:val="20"/>
        </w:rPr>
        <w:t xml:space="preserve">fail to </w:t>
      </w:r>
      <w:r w:rsidR="000A4A39" w:rsidRPr="00D9090F">
        <w:rPr>
          <w:rFonts w:ascii="Arial" w:hAnsi="Arial" w:cs="Arial"/>
          <w:color w:val="000000"/>
          <w:sz w:val="20"/>
          <w:szCs w:val="20"/>
        </w:rPr>
        <w:t xml:space="preserve">be captured, </w:t>
      </w:r>
      <w:r w:rsidRPr="00D9090F">
        <w:rPr>
          <w:rFonts w:ascii="Arial" w:hAnsi="Arial" w:cs="Arial"/>
          <w:sz w:val="20"/>
          <w:szCs w:val="20"/>
        </w:rPr>
        <w:t xml:space="preserve">as illustrated in </w:t>
      </w:r>
      <w:r w:rsidR="007173CE">
        <w:rPr>
          <w:rFonts w:ascii="Arial" w:hAnsi="Arial" w:cs="Arial"/>
          <w:sz w:val="20"/>
          <w:szCs w:val="20"/>
        </w:rPr>
        <w:t>B</w:t>
      </w:r>
      <w:r w:rsidRPr="00D9090F">
        <w:rPr>
          <w:rFonts w:ascii="Arial" w:hAnsi="Arial" w:cs="Arial"/>
          <w:sz w:val="20"/>
          <w:szCs w:val="20"/>
        </w:rPr>
        <w:t>ox</w:t>
      </w:r>
      <w:r w:rsidR="00803794" w:rsidRPr="00D9090F">
        <w:rPr>
          <w:rFonts w:ascii="Arial" w:hAnsi="Arial" w:cs="Arial"/>
          <w:sz w:val="20"/>
          <w:szCs w:val="20"/>
        </w:rPr>
        <w:t xml:space="preserve"> </w:t>
      </w:r>
      <w:r w:rsidR="00C17F44" w:rsidRPr="00D9090F">
        <w:rPr>
          <w:rFonts w:ascii="Arial" w:hAnsi="Arial" w:cs="Arial"/>
          <w:sz w:val="20"/>
          <w:szCs w:val="20"/>
        </w:rPr>
        <w:t>1</w:t>
      </w:r>
      <w:r w:rsidR="00803794" w:rsidRPr="00D9090F">
        <w:rPr>
          <w:rFonts w:ascii="Arial" w:hAnsi="Arial" w:cs="Arial"/>
          <w:sz w:val="20"/>
          <w:szCs w:val="20"/>
        </w:rPr>
        <w:t>.</w:t>
      </w:r>
      <w:r w:rsidRPr="00D9090F">
        <w:rPr>
          <w:rFonts w:ascii="Arial" w:hAnsi="Arial" w:cs="Arial"/>
          <w:sz w:val="20"/>
          <w:szCs w:val="20"/>
        </w:rPr>
        <w:t xml:space="preserve"> </w:t>
      </w:r>
    </w:p>
    <w:p w14:paraId="1B56646C" w14:textId="77777777" w:rsidR="00976A00" w:rsidRPr="00D9090F" w:rsidRDefault="00976A00">
      <w:pPr>
        <w:spacing w:line="480" w:lineRule="auto"/>
        <w:jc w:val="both"/>
        <w:rPr>
          <w:rFonts w:ascii="Arial" w:hAnsi="Arial" w:cs="Arial"/>
          <w:sz w:val="20"/>
          <w:szCs w:val="20"/>
        </w:rPr>
      </w:pPr>
    </w:p>
    <w:p w14:paraId="1B813645" w14:textId="5768E2D7" w:rsidR="00242723" w:rsidRDefault="00893AA0">
      <w:pPr>
        <w:spacing w:line="480" w:lineRule="auto"/>
        <w:jc w:val="both"/>
        <w:rPr>
          <w:rFonts w:ascii="Arial" w:hAnsi="Arial" w:cs="Arial"/>
          <w:sz w:val="20"/>
          <w:szCs w:val="20"/>
        </w:rPr>
      </w:pPr>
      <w:r w:rsidRPr="00D9090F">
        <w:rPr>
          <w:rFonts w:ascii="Arial" w:hAnsi="Arial" w:cs="Arial"/>
          <w:color w:val="000000"/>
          <w:sz w:val="20"/>
          <w:szCs w:val="20"/>
        </w:rPr>
        <w:t xml:space="preserve">In order to address the </w:t>
      </w:r>
      <w:r w:rsidR="0016177D">
        <w:rPr>
          <w:rFonts w:ascii="Arial" w:hAnsi="Arial" w:cs="Arial"/>
          <w:color w:val="000000"/>
          <w:sz w:val="20"/>
          <w:szCs w:val="20"/>
        </w:rPr>
        <w:t>differences</w:t>
      </w:r>
      <w:r w:rsidRPr="00D9090F">
        <w:rPr>
          <w:rFonts w:ascii="Arial" w:hAnsi="Arial" w:cs="Arial"/>
          <w:sz w:val="20"/>
          <w:szCs w:val="20"/>
        </w:rPr>
        <w:t xml:space="preserve"> that exist</w:t>
      </w:r>
      <w:r w:rsidRPr="00D9090F">
        <w:rPr>
          <w:rFonts w:ascii="Arial" w:hAnsi="Arial" w:cs="Arial"/>
          <w:color w:val="000000"/>
          <w:sz w:val="20"/>
          <w:szCs w:val="20"/>
        </w:rPr>
        <w:t xml:space="preserve"> </w:t>
      </w:r>
      <w:r w:rsidRPr="00D9090F">
        <w:rPr>
          <w:rFonts w:ascii="Arial" w:hAnsi="Arial" w:cs="Arial"/>
          <w:sz w:val="20"/>
          <w:szCs w:val="20"/>
        </w:rPr>
        <w:t xml:space="preserve">between health and social care services, there are two areas that require further understanding. The first is </w:t>
      </w:r>
      <w:r w:rsidR="0016177D">
        <w:rPr>
          <w:rFonts w:ascii="Arial" w:hAnsi="Arial" w:cs="Arial"/>
          <w:sz w:val="20"/>
          <w:szCs w:val="20"/>
        </w:rPr>
        <w:t xml:space="preserve">a lack of understanding about safety from </w:t>
      </w:r>
      <w:r w:rsidRPr="00D9090F">
        <w:rPr>
          <w:rFonts w:ascii="Arial" w:hAnsi="Arial" w:cs="Arial"/>
          <w:sz w:val="20"/>
          <w:szCs w:val="20"/>
        </w:rPr>
        <w:t>the patient</w:t>
      </w:r>
      <w:r w:rsidR="0016177D">
        <w:rPr>
          <w:rFonts w:ascii="Arial" w:hAnsi="Arial" w:cs="Arial"/>
          <w:sz w:val="20"/>
          <w:szCs w:val="20"/>
        </w:rPr>
        <w:t>’s</w:t>
      </w:r>
      <w:r w:rsidR="003A0160">
        <w:rPr>
          <w:rFonts w:ascii="Arial" w:hAnsi="Arial" w:cs="Arial"/>
          <w:sz w:val="20"/>
          <w:szCs w:val="20"/>
        </w:rPr>
        <w:t xml:space="preserve"> or client’s</w:t>
      </w:r>
      <w:r w:rsidRPr="00D9090F">
        <w:rPr>
          <w:rFonts w:ascii="Arial" w:hAnsi="Arial" w:cs="Arial"/>
          <w:sz w:val="20"/>
          <w:szCs w:val="20"/>
        </w:rPr>
        <w:t xml:space="preserve"> </w:t>
      </w:r>
      <w:r w:rsidR="0016177D">
        <w:rPr>
          <w:rFonts w:ascii="Arial" w:hAnsi="Arial" w:cs="Arial"/>
          <w:sz w:val="20"/>
          <w:szCs w:val="20"/>
        </w:rPr>
        <w:t>perspective</w:t>
      </w:r>
      <w:r w:rsidRPr="00D9090F">
        <w:rPr>
          <w:rFonts w:ascii="Arial" w:hAnsi="Arial" w:cs="Arial"/>
          <w:sz w:val="20"/>
          <w:szCs w:val="20"/>
        </w:rPr>
        <w:t>, including the types and meaning of harm in both health and social care and</w:t>
      </w:r>
      <w:r w:rsidR="00E55B3C" w:rsidRPr="00D9090F">
        <w:rPr>
          <w:rFonts w:ascii="Arial" w:hAnsi="Arial" w:cs="Arial"/>
          <w:sz w:val="20"/>
          <w:szCs w:val="20"/>
        </w:rPr>
        <w:t>,</w:t>
      </w:r>
      <w:r w:rsidRPr="00D9090F">
        <w:rPr>
          <w:rFonts w:ascii="Arial" w:hAnsi="Arial" w:cs="Arial"/>
          <w:sz w:val="20"/>
          <w:szCs w:val="20"/>
        </w:rPr>
        <w:t xml:space="preserve"> in particular</w:t>
      </w:r>
      <w:r w:rsidR="00E55B3C" w:rsidRPr="00D9090F">
        <w:rPr>
          <w:rFonts w:ascii="Arial" w:hAnsi="Arial" w:cs="Arial"/>
          <w:sz w:val="20"/>
          <w:szCs w:val="20"/>
        </w:rPr>
        <w:t>,</w:t>
      </w:r>
      <w:r w:rsidRPr="00D9090F">
        <w:rPr>
          <w:rFonts w:ascii="Arial" w:hAnsi="Arial" w:cs="Arial"/>
          <w:sz w:val="20"/>
          <w:szCs w:val="20"/>
        </w:rPr>
        <w:t xml:space="preserve"> when patients</w:t>
      </w:r>
      <w:r w:rsidR="003A0160">
        <w:rPr>
          <w:rFonts w:ascii="Arial" w:hAnsi="Arial" w:cs="Arial"/>
          <w:sz w:val="20"/>
          <w:szCs w:val="20"/>
        </w:rPr>
        <w:t xml:space="preserve"> or clients</w:t>
      </w:r>
      <w:r w:rsidRPr="00D9090F">
        <w:rPr>
          <w:rFonts w:ascii="Arial" w:hAnsi="Arial" w:cs="Arial"/>
          <w:sz w:val="20"/>
          <w:szCs w:val="20"/>
        </w:rPr>
        <w:t xml:space="preserve"> cross care boundaries. The second is </w:t>
      </w:r>
      <w:r w:rsidR="0016177D">
        <w:rPr>
          <w:rFonts w:ascii="Arial" w:hAnsi="Arial" w:cs="Arial"/>
          <w:sz w:val="20"/>
          <w:szCs w:val="20"/>
        </w:rPr>
        <w:t xml:space="preserve">how safety is constructed at an </w:t>
      </w:r>
      <w:r w:rsidRPr="00D9090F">
        <w:rPr>
          <w:rFonts w:ascii="Arial" w:hAnsi="Arial" w:cs="Arial"/>
          <w:sz w:val="20"/>
          <w:szCs w:val="20"/>
        </w:rPr>
        <w:t>organisational level</w:t>
      </w:r>
      <w:r w:rsidR="0016177D">
        <w:rPr>
          <w:rFonts w:ascii="Arial" w:hAnsi="Arial" w:cs="Arial"/>
          <w:sz w:val="20"/>
          <w:szCs w:val="20"/>
        </w:rPr>
        <w:t xml:space="preserve"> when care crosses boundaries</w:t>
      </w:r>
      <w:r w:rsidRPr="00D9090F">
        <w:rPr>
          <w:rFonts w:ascii="Arial" w:hAnsi="Arial" w:cs="Arial"/>
          <w:sz w:val="20"/>
          <w:szCs w:val="20"/>
        </w:rPr>
        <w:t>, which encompasses the cultures and governance frameworks in health and social care</w:t>
      </w:r>
      <w:r w:rsidR="00242723">
        <w:rPr>
          <w:rFonts w:ascii="Arial" w:hAnsi="Arial" w:cs="Arial"/>
          <w:sz w:val="20"/>
          <w:szCs w:val="20"/>
        </w:rPr>
        <w:t>.</w:t>
      </w:r>
      <w:r w:rsidRPr="00D9090F">
        <w:rPr>
          <w:rFonts w:ascii="Arial" w:hAnsi="Arial" w:cs="Arial"/>
          <w:sz w:val="20"/>
          <w:szCs w:val="20"/>
        </w:rPr>
        <w:t xml:space="preserve"> </w:t>
      </w:r>
      <w:r w:rsidR="00242723">
        <w:rPr>
          <w:rFonts w:ascii="Arial" w:hAnsi="Arial" w:cs="Arial"/>
          <w:sz w:val="20"/>
          <w:szCs w:val="20"/>
        </w:rPr>
        <w:t xml:space="preserve">This </w:t>
      </w:r>
      <w:r w:rsidRPr="00D9090F">
        <w:rPr>
          <w:rFonts w:ascii="Arial" w:hAnsi="Arial" w:cs="Arial"/>
          <w:sz w:val="20"/>
          <w:szCs w:val="20"/>
        </w:rPr>
        <w:t>can be structured in terms of macro, meso and micro levels</w:t>
      </w:r>
      <w:r w:rsidR="00242723">
        <w:rPr>
          <w:rFonts w:ascii="Arial" w:hAnsi="Arial" w:cs="Arial"/>
          <w:sz w:val="20"/>
          <w:szCs w:val="20"/>
        </w:rPr>
        <w:t xml:space="preserve">, and includes how safety is </w:t>
      </w:r>
      <w:r w:rsidR="00096D3F">
        <w:rPr>
          <w:rFonts w:ascii="Arial" w:hAnsi="Arial" w:cs="Arial"/>
          <w:sz w:val="20"/>
          <w:szCs w:val="20"/>
        </w:rPr>
        <w:t xml:space="preserve">portrayed, </w:t>
      </w:r>
      <w:r w:rsidR="00242723">
        <w:rPr>
          <w:rFonts w:ascii="Arial" w:hAnsi="Arial" w:cs="Arial"/>
          <w:sz w:val="20"/>
          <w:szCs w:val="20"/>
        </w:rPr>
        <w:t>u</w:t>
      </w:r>
      <w:r w:rsidR="00096D3F">
        <w:rPr>
          <w:rFonts w:ascii="Arial" w:hAnsi="Arial" w:cs="Arial"/>
          <w:sz w:val="20"/>
          <w:szCs w:val="20"/>
        </w:rPr>
        <w:t>nderstood</w:t>
      </w:r>
      <w:r w:rsidR="00242723">
        <w:rPr>
          <w:rFonts w:ascii="Arial" w:hAnsi="Arial" w:cs="Arial"/>
          <w:sz w:val="20"/>
          <w:szCs w:val="20"/>
        </w:rPr>
        <w:t xml:space="preserve"> </w:t>
      </w:r>
      <w:r w:rsidR="00096D3F">
        <w:rPr>
          <w:rFonts w:ascii="Arial" w:hAnsi="Arial" w:cs="Arial"/>
          <w:sz w:val="20"/>
          <w:szCs w:val="20"/>
        </w:rPr>
        <w:t xml:space="preserve">and created </w:t>
      </w:r>
      <w:r w:rsidR="00242723">
        <w:rPr>
          <w:rFonts w:ascii="Arial" w:hAnsi="Arial" w:cs="Arial"/>
          <w:sz w:val="20"/>
          <w:szCs w:val="20"/>
        </w:rPr>
        <w:t xml:space="preserve">within health and social care policy, across organisational boundaries, </w:t>
      </w:r>
      <w:r w:rsidR="00096D3F">
        <w:rPr>
          <w:rFonts w:ascii="Arial" w:hAnsi="Arial" w:cs="Arial"/>
          <w:sz w:val="20"/>
          <w:szCs w:val="20"/>
        </w:rPr>
        <w:t xml:space="preserve">and amongst </w:t>
      </w:r>
      <w:r w:rsidR="00242723">
        <w:rPr>
          <w:rFonts w:ascii="Arial" w:hAnsi="Arial" w:cs="Arial"/>
          <w:sz w:val="20"/>
          <w:szCs w:val="20"/>
        </w:rPr>
        <w:t xml:space="preserve">individuals </w:t>
      </w:r>
      <w:r w:rsidR="00096D3F">
        <w:rPr>
          <w:rFonts w:ascii="Arial" w:hAnsi="Arial" w:cs="Arial"/>
          <w:sz w:val="20"/>
          <w:szCs w:val="20"/>
        </w:rPr>
        <w:t xml:space="preserve">working within and across the health and social care systems. </w:t>
      </w:r>
    </w:p>
    <w:p w14:paraId="181E6E43" w14:textId="77777777" w:rsidR="00976A00" w:rsidRPr="00D9090F" w:rsidRDefault="00976A00">
      <w:pPr>
        <w:spacing w:line="48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016"/>
      </w:tblGrid>
      <w:tr w:rsidR="00976A00" w:rsidRPr="00D9090F" w14:paraId="1FF2AA7C" w14:textId="77777777">
        <w:tc>
          <w:tcPr>
            <w:tcW w:w="9016" w:type="dxa"/>
          </w:tcPr>
          <w:p w14:paraId="6278C7F8" w14:textId="77777777" w:rsidR="00976A00" w:rsidRPr="00D9090F" w:rsidRDefault="00893AA0">
            <w:pPr>
              <w:spacing w:line="480" w:lineRule="auto"/>
              <w:jc w:val="both"/>
              <w:rPr>
                <w:rFonts w:ascii="Arial" w:hAnsi="Arial" w:cs="Arial"/>
                <w:b/>
                <w:sz w:val="20"/>
                <w:szCs w:val="20"/>
              </w:rPr>
            </w:pPr>
            <w:r w:rsidRPr="00D9090F">
              <w:rPr>
                <w:rFonts w:ascii="Arial" w:hAnsi="Arial" w:cs="Arial"/>
                <w:b/>
                <w:sz w:val="20"/>
                <w:szCs w:val="20"/>
              </w:rPr>
              <w:t>Patient illustration 1: Discharge from hospital to care home (medication)</w:t>
            </w:r>
          </w:p>
          <w:p w14:paraId="4E9C67CF" w14:textId="77777777" w:rsidR="00976A00" w:rsidRPr="00D9090F" w:rsidRDefault="00893AA0">
            <w:pPr>
              <w:spacing w:line="480" w:lineRule="auto"/>
              <w:rPr>
                <w:rFonts w:ascii="Arial" w:hAnsi="Arial" w:cs="Arial"/>
                <w:sz w:val="20"/>
                <w:szCs w:val="20"/>
              </w:rPr>
            </w:pPr>
            <w:r w:rsidRPr="00D9090F">
              <w:rPr>
                <w:rFonts w:ascii="Arial" w:hAnsi="Arial" w:cs="Arial"/>
                <w:sz w:val="20"/>
                <w:szCs w:val="20"/>
              </w:rPr>
              <w:t xml:space="preserve">An 85 year old </w:t>
            </w:r>
            <w:r w:rsidR="007C4F84">
              <w:rPr>
                <w:rFonts w:ascii="Arial" w:hAnsi="Arial" w:cs="Arial"/>
                <w:sz w:val="20"/>
                <w:szCs w:val="20"/>
              </w:rPr>
              <w:t>individual</w:t>
            </w:r>
            <w:r w:rsidRPr="00D9090F">
              <w:rPr>
                <w:rFonts w:ascii="Arial" w:hAnsi="Arial" w:cs="Arial"/>
                <w:sz w:val="20"/>
                <w:szCs w:val="20"/>
              </w:rPr>
              <w:t xml:space="preserve"> with moderate disability was admitted to hospital with atrial fibrillation (abnormal heart rhythm) and is prescribed an anti-coagulant (Warfarin) to reduce risk of stroke. The patient is ready to be discharged back to their care home, and no </w:t>
            </w:r>
            <w:r w:rsidR="00E55B3C" w:rsidRPr="00D9090F">
              <w:rPr>
                <w:rFonts w:ascii="Arial" w:hAnsi="Arial" w:cs="Arial"/>
                <w:sz w:val="20"/>
                <w:szCs w:val="20"/>
              </w:rPr>
              <w:t xml:space="preserve">specific </w:t>
            </w:r>
            <w:r w:rsidRPr="00D9090F">
              <w:rPr>
                <w:rFonts w:ascii="Arial" w:hAnsi="Arial" w:cs="Arial"/>
                <w:sz w:val="20"/>
                <w:szCs w:val="20"/>
              </w:rPr>
              <w:t>safeguarding risks have been identified. Due to an error at the point of discharge, the patient is dispensed an incorrect dosage that is not identified during the discharge process or subsequent administration by staff upon arrival at the care home. The patient subsequently experiences a severe acute ischaemic stroke, leaving the patient with permanent and severe physical disability, which significantly reduces their quality of life. The adverse event</w:t>
            </w:r>
            <w:r w:rsidR="00E55B3C" w:rsidRPr="00D9090F">
              <w:rPr>
                <w:rFonts w:ascii="Arial" w:hAnsi="Arial" w:cs="Arial"/>
                <w:sz w:val="20"/>
                <w:szCs w:val="20"/>
              </w:rPr>
              <w:t xml:space="preserve"> is not reported</w:t>
            </w:r>
            <w:r w:rsidRPr="00D9090F">
              <w:rPr>
                <w:rFonts w:ascii="Arial" w:hAnsi="Arial" w:cs="Arial"/>
                <w:sz w:val="20"/>
                <w:szCs w:val="20"/>
              </w:rPr>
              <w:t xml:space="preserve">, </w:t>
            </w:r>
            <w:r w:rsidR="00923CF9">
              <w:rPr>
                <w:rFonts w:ascii="Arial" w:hAnsi="Arial" w:cs="Arial"/>
                <w:sz w:val="20"/>
                <w:szCs w:val="20"/>
              </w:rPr>
              <w:t>meaning that</w:t>
            </w:r>
            <w:r w:rsidRPr="00D9090F">
              <w:rPr>
                <w:rFonts w:ascii="Arial" w:hAnsi="Arial" w:cs="Arial"/>
                <w:sz w:val="20"/>
                <w:szCs w:val="20"/>
              </w:rPr>
              <w:t xml:space="preserve"> neither the discharging hospital nor the nursing home were able to learn from the incident. </w:t>
            </w:r>
          </w:p>
          <w:p w14:paraId="61474D8F" w14:textId="77777777" w:rsidR="00976A00" w:rsidRPr="00D9090F" w:rsidRDefault="00976A00">
            <w:pPr>
              <w:spacing w:line="480" w:lineRule="auto"/>
              <w:rPr>
                <w:rFonts w:ascii="Arial" w:hAnsi="Arial" w:cs="Arial"/>
                <w:sz w:val="20"/>
                <w:szCs w:val="20"/>
              </w:rPr>
            </w:pPr>
          </w:p>
          <w:p w14:paraId="07774D3B" w14:textId="77777777" w:rsidR="00976A00" w:rsidRPr="00D9090F" w:rsidRDefault="00893AA0">
            <w:pPr>
              <w:spacing w:line="480" w:lineRule="auto"/>
              <w:rPr>
                <w:rFonts w:ascii="Arial" w:hAnsi="Arial" w:cs="Arial"/>
                <w:b/>
                <w:sz w:val="20"/>
                <w:szCs w:val="20"/>
              </w:rPr>
            </w:pPr>
            <w:r w:rsidRPr="00D9090F">
              <w:rPr>
                <w:rFonts w:ascii="Arial" w:hAnsi="Arial" w:cs="Arial"/>
                <w:b/>
                <w:sz w:val="20"/>
                <w:szCs w:val="20"/>
              </w:rPr>
              <w:t>Patient illustration 2: Admission to hospital (pressure ulcer)</w:t>
            </w:r>
          </w:p>
          <w:p w14:paraId="06DA8197" w14:textId="77777777" w:rsidR="00976A00" w:rsidRDefault="00893AA0">
            <w:pPr>
              <w:spacing w:line="480" w:lineRule="auto"/>
              <w:rPr>
                <w:rFonts w:ascii="Arial" w:hAnsi="Arial" w:cs="Arial"/>
                <w:sz w:val="20"/>
                <w:szCs w:val="20"/>
              </w:rPr>
            </w:pPr>
            <w:r w:rsidRPr="00D9090F">
              <w:rPr>
                <w:rFonts w:ascii="Arial" w:hAnsi="Arial" w:cs="Arial"/>
                <w:sz w:val="20"/>
                <w:szCs w:val="20"/>
              </w:rPr>
              <w:t xml:space="preserve">A 60 year old </w:t>
            </w:r>
            <w:r w:rsidR="007C4F84">
              <w:rPr>
                <w:rFonts w:ascii="Arial" w:hAnsi="Arial" w:cs="Arial"/>
                <w:sz w:val="20"/>
                <w:szCs w:val="20"/>
              </w:rPr>
              <w:t>individual</w:t>
            </w:r>
            <w:r w:rsidRPr="00D9090F">
              <w:rPr>
                <w:rFonts w:ascii="Arial" w:hAnsi="Arial" w:cs="Arial"/>
                <w:sz w:val="20"/>
                <w:szCs w:val="20"/>
              </w:rPr>
              <w:t xml:space="preserve"> is admitted to hospital from a care home for a routine operation with a superficial (grade 2) pressure ulcer (PU), which is only identified during admission. The hospital is required to report the PU within their own safety reporting systems, and the PU is attributed to the ward that the patient is admitted to. During discharge, the patient’s care home is made aware of the PU, and a risk assessment takes place at the care home. Procedures are adapted for this individual patient now that they are deemed vulnerable or a person at risk, within a safeguarding framework. No organisational learning takes place as the number and types of safety incidents relating to PUs are not recorded and analysed systematically. Whilst this individual patient’s risk of a PU has reduced, overall risk of PUs for other patients does not change. </w:t>
            </w:r>
          </w:p>
          <w:p w14:paraId="07AA3754" w14:textId="77777777" w:rsidR="006A2644" w:rsidRDefault="006A2644">
            <w:pPr>
              <w:spacing w:line="480" w:lineRule="auto"/>
              <w:rPr>
                <w:rFonts w:ascii="Arial" w:hAnsi="Arial" w:cs="Arial"/>
                <w:sz w:val="20"/>
                <w:szCs w:val="20"/>
              </w:rPr>
            </w:pPr>
          </w:p>
          <w:p w14:paraId="28195135" w14:textId="77777777" w:rsidR="00FF6D77" w:rsidRDefault="006A2644" w:rsidP="007C4F84">
            <w:pPr>
              <w:spacing w:line="480" w:lineRule="auto"/>
              <w:rPr>
                <w:rFonts w:ascii="Arial" w:hAnsi="Arial" w:cs="Arial"/>
                <w:b/>
                <w:sz w:val="20"/>
                <w:szCs w:val="20"/>
              </w:rPr>
            </w:pPr>
            <w:r w:rsidRPr="00FF6D77">
              <w:rPr>
                <w:rFonts w:ascii="Arial" w:hAnsi="Arial" w:cs="Arial"/>
                <w:b/>
                <w:sz w:val="20"/>
                <w:szCs w:val="20"/>
              </w:rPr>
              <w:t xml:space="preserve">Patient illustration 3: Care at home </w:t>
            </w:r>
            <w:r w:rsidR="007C4F84">
              <w:rPr>
                <w:rFonts w:ascii="Arial" w:hAnsi="Arial" w:cs="Arial"/>
                <w:b/>
                <w:sz w:val="20"/>
                <w:szCs w:val="20"/>
              </w:rPr>
              <w:t>(catheter care)</w:t>
            </w:r>
          </w:p>
          <w:p w14:paraId="6E4D20DD" w14:textId="77777777" w:rsidR="006A2644" w:rsidRPr="006A2644" w:rsidRDefault="007C4F84" w:rsidP="007C4F84">
            <w:pPr>
              <w:spacing w:line="480" w:lineRule="auto"/>
              <w:rPr>
                <w:rFonts w:ascii="Arial" w:hAnsi="Arial" w:cs="Arial"/>
                <w:sz w:val="20"/>
                <w:szCs w:val="20"/>
              </w:rPr>
            </w:pPr>
            <w:r>
              <w:rPr>
                <w:rFonts w:ascii="Arial" w:hAnsi="Arial" w:cs="Arial"/>
                <w:sz w:val="20"/>
                <w:szCs w:val="20"/>
              </w:rPr>
              <w:t xml:space="preserve">A 75 year old individual has a urinary catheter in situ. </w:t>
            </w:r>
            <w:r w:rsidR="005D0CF9">
              <w:rPr>
                <w:rFonts w:ascii="Arial" w:hAnsi="Arial" w:cs="Arial"/>
                <w:sz w:val="20"/>
                <w:szCs w:val="20"/>
              </w:rPr>
              <w:t xml:space="preserve">Repeated infections occur and after a serious infection the individual is admitted to hospital to deal with both infection and the resultant confused state caused by the infection. The infection is treated and the confusion resolves. A series of infections in hospital wards or in care homes would </w:t>
            </w:r>
            <w:r w:rsidR="00CB4FE6">
              <w:rPr>
                <w:rFonts w:ascii="Arial" w:hAnsi="Arial" w:cs="Arial"/>
                <w:sz w:val="20"/>
                <w:szCs w:val="20"/>
              </w:rPr>
              <w:t>be captured using infection control audit tools.</w:t>
            </w:r>
            <w:r w:rsidR="005D0CF9">
              <w:rPr>
                <w:rFonts w:ascii="Arial" w:hAnsi="Arial" w:cs="Arial"/>
                <w:sz w:val="20"/>
                <w:szCs w:val="20"/>
              </w:rPr>
              <w:t xml:space="preserve"> </w:t>
            </w:r>
            <w:r w:rsidR="00E34D4C">
              <w:rPr>
                <w:rFonts w:ascii="Arial" w:hAnsi="Arial" w:cs="Arial"/>
                <w:sz w:val="20"/>
                <w:szCs w:val="20"/>
              </w:rPr>
              <w:t>While the occurrence of a confused state may trigger a safeguarding alert t</w:t>
            </w:r>
            <w:r w:rsidR="005D0CF9">
              <w:rPr>
                <w:rFonts w:ascii="Arial" w:hAnsi="Arial" w:cs="Arial"/>
                <w:sz w:val="20"/>
                <w:szCs w:val="20"/>
              </w:rPr>
              <w:t xml:space="preserve">he previous infections and this infection are not </w:t>
            </w:r>
            <w:r w:rsidR="00715D12">
              <w:rPr>
                <w:rFonts w:ascii="Arial" w:hAnsi="Arial" w:cs="Arial"/>
                <w:sz w:val="20"/>
                <w:szCs w:val="20"/>
              </w:rPr>
              <w:t xml:space="preserve">likely to be </w:t>
            </w:r>
            <w:r w:rsidR="005D0CF9">
              <w:rPr>
                <w:rFonts w:ascii="Arial" w:hAnsi="Arial" w:cs="Arial"/>
                <w:sz w:val="20"/>
                <w:szCs w:val="20"/>
              </w:rPr>
              <w:t>part of any alerts to managers of home care staff</w:t>
            </w:r>
            <w:r w:rsidR="00E34D4C">
              <w:rPr>
                <w:rFonts w:ascii="Arial" w:hAnsi="Arial" w:cs="Arial"/>
                <w:sz w:val="20"/>
                <w:szCs w:val="20"/>
              </w:rPr>
              <w:t xml:space="preserve"> and would not be considered a safeguarding issue</w:t>
            </w:r>
            <w:r w:rsidR="005D0CF9">
              <w:rPr>
                <w:rFonts w:ascii="Arial" w:hAnsi="Arial" w:cs="Arial"/>
                <w:sz w:val="20"/>
                <w:szCs w:val="20"/>
              </w:rPr>
              <w:t>. The pattern is repeated both in this individual and across the population of people cared for by the home care agency but due to a lack of a reporting system to capture incidence of catheter related infection the pattern of infections goes undetected and fails to highlight the fact that the home care workers from this particular agency have not received adequate training in changing or managing urinary catheters.</w:t>
            </w:r>
          </w:p>
        </w:tc>
      </w:tr>
    </w:tbl>
    <w:p w14:paraId="3B83159D" w14:textId="77777777" w:rsidR="00FF6D77" w:rsidRDefault="00FF6D77">
      <w:pPr>
        <w:spacing w:line="480" w:lineRule="auto"/>
        <w:jc w:val="both"/>
        <w:rPr>
          <w:rFonts w:ascii="Arial" w:hAnsi="Arial" w:cs="Arial"/>
          <w:b/>
          <w:sz w:val="20"/>
          <w:szCs w:val="20"/>
        </w:rPr>
      </w:pPr>
    </w:p>
    <w:p w14:paraId="2EE0F536" w14:textId="77777777" w:rsidR="00976A00" w:rsidRPr="00D9090F" w:rsidRDefault="00893AA0">
      <w:pPr>
        <w:spacing w:line="480" w:lineRule="auto"/>
        <w:jc w:val="both"/>
        <w:rPr>
          <w:rFonts w:ascii="Arial" w:hAnsi="Arial" w:cs="Arial"/>
          <w:b/>
          <w:sz w:val="20"/>
          <w:szCs w:val="20"/>
        </w:rPr>
      </w:pPr>
      <w:r w:rsidRPr="00D9090F">
        <w:rPr>
          <w:rFonts w:ascii="Arial" w:hAnsi="Arial" w:cs="Arial"/>
          <w:b/>
          <w:sz w:val="20"/>
          <w:szCs w:val="20"/>
        </w:rPr>
        <w:t xml:space="preserve">Box </w:t>
      </w:r>
      <w:r w:rsidR="00C17F44" w:rsidRPr="00D9090F">
        <w:rPr>
          <w:rFonts w:ascii="Arial" w:hAnsi="Arial" w:cs="Arial"/>
          <w:b/>
          <w:sz w:val="20"/>
          <w:szCs w:val="20"/>
        </w:rPr>
        <w:t>1</w:t>
      </w:r>
      <w:r w:rsidRPr="00D9090F">
        <w:rPr>
          <w:rFonts w:ascii="Arial" w:hAnsi="Arial" w:cs="Arial"/>
          <w:b/>
          <w:sz w:val="20"/>
          <w:szCs w:val="20"/>
        </w:rPr>
        <w:t xml:space="preserve">: Hypothetical case illustrations of the differences in approaches to safety in health and social care sectors. </w:t>
      </w:r>
    </w:p>
    <w:p w14:paraId="072BF5E8" w14:textId="77777777" w:rsidR="00976A00" w:rsidRPr="00D9090F" w:rsidRDefault="00976A00">
      <w:pPr>
        <w:spacing w:line="480" w:lineRule="auto"/>
        <w:jc w:val="both"/>
        <w:rPr>
          <w:rFonts w:ascii="Arial" w:hAnsi="Arial" w:cs="Arial"/>
          <w:b/>
          <w:sz w:val="20"/>
          <w:szCs w:val="20"/>
        </w:rPr>
      </w:pPr>
    </w:p>
    <w:p w14:paraId="3C857E3A" w14:textId="77777777" w:rsidR="00976A00" w:rsidRPr="00D9090F" w:rsidRDefault="00893AA0">
      <w:pPr>
        <w:spacing w:line="480" w:lineRule="auto"/>
        <w:jc w:val="both"/>
        <w:rPr>
          <w:rFonts w:ascii="Arial" w:hAnsi="Arial" w:cs="Arial"/>
          <w:sz w:val="20"/>
          <w:szCs w:val="20"/>
        </w:rPr>
      </w:pPr>
      <w:r w:rsidRPr="00D9090F">
        <w:rPr>
          <w:rFonts w:ascii="Arial" w:hAnsi="Arial" w:cs="Arial"/>
          <w:b/>
          <w:sz w:val="20"/>
          <w:szCs w:val="20"/>
        </w:rPr>
        <w:t>Conclusion</w:t>
      </w:r>
    </w:p>
    <w:p w14:paraId="684852B5" w14:textId="5D20C85B" w:rsidR="00976A00" w:rsidRPr="00D9090F" w:rsidRDefault="00893AA0">
      <w:pPr>
        <w:spacing w:line="480" w:lineRule="auto"/>
        <w:jc w:val="both"/>
        <w:rPr>
          <w:rFonts w:ascii="Arial" w:hAnsi="Arial" w:cs="Arial"/>
          <w:sz w:val="20"/>
          <w:szCs w:val="20"/>
        </w:rPr>
      </w:pPr>
      <w:r w:rsidRPr="00D9090F">
        <w:rPr>
          <w:rFonts w:ascii="Arial" w:hAnsi="Arial" w:cs="Arial"/>
          <w:sz w:val="20"/>
          <w:szCs w:val="20"/>
        </w:rPr>
        <w:t>In healthcare, safety is usually conceptualised as the management of error, with risk considered on a universal level</w:t>
      </w:r>
      <w:r w:rsidR="00855E36">
        <w:rPr>
          <w:rFonts w:ascii="Arial" w:hAnsi="Arial" w:cs="Arial"/>
          <w:sz w:val="20"/>
          <w:szCs w:val="20"/>
        </w:rPr>
        <w:t>, and an increasing acknowledgement of the importance of variability and agency amongst healthcare staff to produce safe care</w:t>
      </w:r>
      <w:r w:rsidRPr="00D9090F">
        <w:rPr>
          <w:rFonts w:ascii="Arial" w:hAnsi="Arial" w:cs="Arial"/>
          <w:sz w:val="20"/>
          <w:szCs w:val="20"/>
        </w:rPr>
        <w:t xml:space="preserve">. In social care, </w:t>
      </w:r>
      <w:r w:rsidR="00196D5F" w:rsidRPr="00D9090F">
        <w:rPr>
          <w:rFonts w:ascii="Arial" w:hAnsi="Arial" w:cs="Arial"/>
          <w:sz w:val="20"/>
          <w:szCs w:val="20"/>
        </w:rPr>
        <w:t>the safeguarding process balances choice</w:t>
      </w:r>
      <w:r w:rsidR="00855E36">
        <w:rPr>
          <w:rFonts w:ascii="Arial" w:hAnsi="Arial" w:cs="Arial"/>
          <w:sz w:val="20"/>
          <w:szCs w:val="20"/>
        </w:rPr>
        <w:t>,</w:t>
      </w:r>
      <w:r w:rsidR="00196D5F" w:rsidRPr="00D9090F">
        <w:rPr>
          <w:rFonts w:ascii="Arial" w:hAnsi="Arial" w:cs="Arial"/>
          <w:sz w:val="20"/>
          <w:szCs w:val="20"/>
        </w:rPr>
        <w:t xml:space="preserve"> control </w:t>
      </w:r>
      <w:r w:rsidR="00855E36">
        <w:rPr>
          <w:rFonts w:ascii="Arial" w:hAnsi="Arial" w:cs="Arial"/>
          <w:sz w:val="20"/>
          <w:szCs w:val="20"/>
        </w:rPr>
        <w:t xml:space="preserve">and agency </w:t>
      </w:r>
      <w:r w:rsidR="00196D5F" w:rsidRPr="00D9090F">
        <w:rPr>
          <w:rFonts w:ascii="Arial" w:hAnsi="Arial" w:cs="Arial"/>
          <w:sz w:val="20"/>
          <w:szCs w:val="20"/>
        </w:rPr>
        <w:t>with individualised approaches to keeping adults safe</w:t>
      </w:r>
      <w:r w:rsidR="00FF7D1C">
        <w:rPr>
          <w:rFonts w:ascii="Arial" w:hAnsi="Arial" w:cs="Arial"/>
          <w:sz w:val="20"/>
          <w:szCs w:val="20"/>
        </w:rPr>
        <w:t>,</w:t>
      </w:r>
      <w:r w:rsidR="00196D5F" w:rsidRPr="00D9090F">
        <w:rPr>
          <w:rFonts w:ascii="Arial" w:hAnsi="Arial" w:cs="Arial"/>
          <w:sz w:val="20"/>
          <w:szCs w:val="20"/>
        </w:rPr>
        <w:t xml:space="preserve"> but lacks the established reporting pathways to capture</w:t>
      </w:r>
      <w:r w:rsidR="00196D5F" w:rsidRPr="00D9090F">
        <w:rPr>
          <w:rFonts w:ascii="Arial" w:eastAsiaTheme="majorEastAsia" w:hAnsi="Arial" w:cs="Arial"/>
          <w:bCs/>
          <w:sz w:val="20"/>
          <w:szCs w:val="20"/>
          <w:lang w:eastAsia="en-US"/>
        </w:rPr>
        <w:t xml:space="preserve"> events such as medication errors, equipment failures and </w:t>
      </w:r>
      <w:r w:rsidR="00E34D4C">
        <w:rPr>
          <w:rFonts w:ascii="Arial" w:eastAsiaTheme="majorEastAsia" w:hAnsi="Arial" w:cs="Arial"/>
          <w:bCs/>
          <w:sz w:val="20"/>
          <w:szCs w:val="20"/>
          <w:lang w:eastAsia="en-US"/>
        </w:rPr>
        <w:t>other events such as falls or infection</w:t>
      </w:r>
      <w:r w:rsidR="00196D5F" w:rsidRPr="00D9090F">
        <w:rPr>
          <w:rFonts w:ascii="Arial" w:hAnsi="Arial" w:cs="Arial"/>
          <w:sz w:val="20"/>
          <w:szCs w:val="20"/>
        </w:rPr>
        <w:t>.</w:t>
      </w:r>
      <w:r w:rsidR="00196D5F" w:rsidRPr="00D9090F" w:rsidDel="00196D5F">
        <w:rPr>
          <w:rFonts w:ascii="Arial" w:hAnsi="Arial" w:cs="Arial"/>
          <w:sz w:val="20"/>
          <w:szCs w:val="20"/>
        </w:rPr>
        <w:t xml:space="preserve"> </w:t>
      </w:r>
      <w:r w:rsidRPr="00D9090F">
        <w:rPr>
          <w:rFonts w:ascii="Arial" w:hAnsi="Arial" w:cs="Arial"/>
          <w:sz w:val="20"/>
          <w:szCs w:val="20"/>
        </w:rPr>
        <w:t xml:space="preserve">Efforts to safely integrate health and social care services are </w:t>
      </w:r>
      <w:r w:rsidR="00196D5F" w:rsidRPr="00D9090F">
        <w:rPr>
          <w:rFonts w:ascii="Arial" w:hAnsi="Arial" w:cs="Arial"/>
          <w:sz w:val="20"/>
          <w:szCs w:val="20"/>
        </w:rPr>
        <w:t>currently</w:t>
      </w:r>
      <w:r w:rsidRPr="00D9090F">
        <w:rPr>
          <w:rFonts w:ascii="Arial" w:hAnsi="Arial" w:cs="Arial"/>
          <w:sz w:val="20"/>
          <w:szCs w:val="20"/>
        </w:rPr>
        <w:t xml:space="preserve"> constrained </w:t>
      </w:r>
      <w:r w:rsidR="00196D5F" w:rsidRPr="00D9090F">
        <w:rPr>
          <w:rFonts w:ascii="Arial" w:hAnsi="Arial" w:cs="Arial"/>
          <w:sz w:val="20"/>
          <w:szCs w:val="20"/>
        </w:rPr>
        <w:t xml:space="preserve">by a lack of shared understanding of the concepts of safety and safeguarding </w:t>
      </w:r>
      <w:r w:rsidRPr="00D9090F">
        <w:rPr>
          <w:rFonts w:ascii="Arial" w:hAnsi="Arial" w:cs="Arial"/>
          <w:sz w:val="20"/>
          <w:szCs w:val="20"/>
        </w:rPr>
        <w:t xml:space="preserve">without further consideration of how these approaches to </w:t>
      </w:r>
      <w:r w:rsidR="00E34D4C">
        <w:rPr>
          <w:rFonts w:ascii="Arial" w:hAnsi="Arial" w:cs="Arial"/>
          <w:sz w:val="20"/>
          <w:szCs w:val="20"/>
        </w:rPr>
        <w:t xml:space="preserve">keeping people </w:t>
      </w:r>
      <w:r w:rsidRPr="00D9090F">
        <w:rPr>
          <w:rFonts w:ascii="Arial" w:hAnsi="Arial" w:cs="Arial"/>
          <w:sz w:val="20"/>
          <w:szCs w:val="20"/>
        </w:rPr>
        <w:t xml:space="preserve">safe can be better aligned. </w:t>
      </w:r>
      <w:r w:rsidR="00196D5F" w:rsidRPr="00D9090F">
        <w:rPr>
          <w:rFonts w:ascii="Arial" w:hAnsi="Arial" w:cs="Arial"/>
          <w:sz w:val="20"/>
          <w:szCs w:val="20"/>
        </w:rPr>
        <w:t>W</w:t>
      </w:r>
      <w:r w:rsidRPr="00D9090F">
        <w:rPr>
          <w:rFonts w:ascii="Arial" w:hAnsi="Arial" w:cs="Arial"/>
          <w:sz w:val="20"/>
          <w:szCs w:val="20"/>
        </w:rPr>
        <w:t>e propose a common discourse of care safety that cuts across the patient safety and safeguarding concepts and their associated frameworks.</w:t>
      </w:r>
      <w:r w:rsidR="00691DA9" w:rsidRPr="00D9090F">
        <w:rPr>
          <w:rFonts w:ascii="Arial" w:hAnsi="Arial" w:cs="Arial"/>
          <w:sz w:val="20"/>
          <w:szCs w:val="20"/>
        </w:rPr>
        <w:t xml:space="preserve"> A number of steps are required in order for a common discourse of care safety to be adopted in health and social care (</w:t>
      </w:r>
      <w:r w:rsidR="00923CF9">
        <w:rPr>
          <w:rFonts w:ascii="Arial" w:hAnsi="Arial" w:cs="Arial"/>
          <w:sz w:val="20"/>
          <w:szCs w:val="20"/>
        </w:rPr>
        <w:t>B</w:t>
      </w:r>
      <w:r w:rsidR="00691DA9" w:rsidRPr="00D9090F">
        <w:rPr>
          <w:rFonts w:ascii="Arial" w:hAnsi="Arial" w:cs="Arial"/>
          <w:sz w:val="20"/>
          <w:szCs w:val="20"/>
        </w:rPr>
        <w:t xml:space="preserve">ox </w:t>
      </w:r>
      <w:r w:rsidR="00C17F44" w:rsidRPr="00D9090F">
        <w:rPr>
          <w:rFonts w:ascii="Arial" w:hAnsi="Arial" w:cs="Arial"/>
          <w:sz w:val="20"/>
          <w:szCs w:val="20"/>
        </w:rPr>
        <w:t>2</w:t>
      </w:r>
      <w:r w:rsidR="00691DA9" w:rsidRPr="00D9090F">
        <w:rPr>
          <w:rFonts w:ascii="Arial" w:hAnsi="Arial" w:cs="Arial"/>
          <w:sz w:val="20"/>
          <w:szCs w:val="20"/>
        </w:rPr>
        <w:t>)</w:t>
      </w:r>
      <w:r w:rsidR="00263381" w:rsidRPr="00D9090F">
        <w:rPr>
          <w:rFonts w:ascii="Arial" w:hAnsi="Arial" w:cs="Arial"/>
          <w:sz w:val="20"/>
          <w:szCs w:val="20"/>
        </w:rPr>
        <w:t>.</w:t>
      </w:r>
    </w:p>
    <w:p w14:paraId="3999C937" w14:textId="77777777" w:rsidR="00FF6D77" w:rsidRPr="00D9090F" w:rsidRDefault="00FF6D77" w:rsidP="00FF6D77">
      <w:pPr>
        <w:spacing w:line="480" w:lineRule="auto"/>
        <w:jc w:val="both"/>
        <w:rPr>
          <w:rFonts w:ascii="Arial" w:hAnsi="Arial" w:cs="Arial"/>
          <w:sz w:val="20"/>
          <w:szCs w:val="20"/>
        </w:rPr>
      </w:pPr>
    </w:p>
    <w:tbl>
      <w:tblPr>
        <w:tblStyle w:val="TableGrid"/>
        <w:tblW w:w="0" w:type="auto"/>
        <w:tblLook w:val="04A0" w:firstRow="1" w:lastRow="0" w:firstColumn="1" w:lastColumn="0" w:noHBand="0" w:noVBand="1"/>
      </w:tblPr>
      <w:tblGrid>
        <w:gridCol w:w="9016"/>
      </w:tblGrid>
      <w:tr w:rsidR="00FF6D77" w:rsidRPr="00D9090F" w14:paraId="108E4DC2" w14:textId="77777777" w:rsidTr="00785724">
        <w:tc>
          <w:tcPr>
            <w:tcW w:w="9016" w:type="dxa"/>
          </w:tcPr>
          <w:p w14:paraId="5BC90631" w14:textId="77777777" w:rsidR="00FF6D77" w:rsidRPr="00D9090F" w:rsidRDefault="00FF6D77" w:rsidP="00785724">
            <w:pPr>
              <w:spacing w:line="480" w:lineRule="auto"/>
              <w:jc w:val="both"/>
              <w:rPr>
                <w:rFonts w:ascii="Arial" w:hAnsi="Arial" w:cs="Arial"/>
                <w:sz w:val="20"/>
                <w:szCs w:val="20"/>
              </w:rPr>
            </w:pPr>
            <w:r w:rsidRPr="00D9090F">
              <w:rPr>
                <w:rFonts w:ascii="Arial" w:hAnsi="Arial" w:cs="Arial"/>
                <w:sz w:val="20"/>
                <w:szCs w:val="20"/>
              </w:rPr>
              <w:t>As organisations and service provision become more integrated, it is essential that:</w:t>
            </w:r>
          </w:p>
          <w:p w14:paraId="49FF5D04" w14:textId="77777777" w:rsidR="00FF6D77" w:rsidRPr="00D9090F" w:rsidRDefault="00FF6D77" w:rsidP="00785724">
            <w:pPr>
              <w:pStyle w:val="ListParagraph"/>
              <w:numPr>
                <w:ilvl w:val="0"/>
                <w:numId w:val="3"/>
              </w:numPr>
              <w:spacing w:line="480" w:lineRule="auto"/>
              <w:jc w:val="both"/>
              <w:rPr>
                <w:rFonts w:ascii="Arial" w:hAnsi="Arial" w:cs="Arial"/>
                <w:sz w:val="20"/>
                <w:szCs w:val="20"/>
              </w:rPr>
            </w:pPr>
            <w:r w:rsidRPr="00D9090F">
              <w:rPr>
                <w:rFonts w:ascii="Arial" w:hAnsi="Arial" w:cs="Arial"/>
                <w:sz w:val="20"/>
                <w:szCs w:val="20"/>
              </w:rPr>
              <w:t xml:space="preserve">A common concept of care safety should be recognised and developed that </w:t>
            </w:r>
            <w:r>
              <w:rPr>
                <w:rFonts w:ascii="Arial" w:hAnsi="Arial" w:cs="Arial"/>
                <w:sz w:val="20"/>
                <w:szCs w:val="20"/>
              </w:rPr>
              <w:t xml:space="preserve">traverses </w:t>
            </w:r>
            <w:r w:rsidRPr="00D9090F">
              <w:rPr>
                <w:rFonts w:ascii="Arial" w:hAnsi="Arial" w:cs="Arial"/>
                <w:sz w:val="20"/>
                <w:szCs w:val="20"/>
              </w:rPr>
              <w:t>and looks to bridge the gap between the current concepts of safety and safeguarding across the health and social care sectors</w:t>
            </w:r>
          </w:p>
          <w:p w14:paraId="64A04CC6" w14:textId="77777777" w:rsidR="00FF6D77" w:rsidRPr="00D9090F" w:rsidRDefault="00FF6D77" w:rsidP="00785724">
            <w:pPr>
              <w:pStyle w:val="ListParagraph"/>
              <w:spacing w:line="480" w:lineRule="auto"/>
              <w:jc w:val="both"/>
              <w:rPr>
                <w:rFonts w:ascii="Arial" w:hAnsi="Arial" w:cs="Arial"/>
                <w:sz w:val="20"/>
                <w:szCs w:val="20"/>
              </w:rPr>
            </w:pPr>
          </w:p>
          <w:p w14:paraId="74AE3E77" w14:textId="77777777" w:rsidR="00FF6D77" w:rsidRPr="00D9090F" w:rsidRDefault="00FF6D77" w:rsidP="00785724">
            <w:pPr>
              <w:pStyle w:val="ListParagraph"/>
              <w:numPr>
                <w:ilvl w:val="0"/>
                <w:numId w:val="3"/>
              </w:numPr>
              <w:spacing w:line="480" w:lineRule="auto"/>
              <w:jc w:val="both"/>
              <w:rPr>
                <w:rFonts w:ascii="Arial" w:hAnsi="Arial" w:cs="Arial"/>
                <w:sz w:val="20"/>
                <w:szCs w:val="20"/>
              </w:rPr>
            </w:pPr>
            <w:r w:rsidRPr="00D9090F">
              <w:rPr>
                <w:rFonts w:ascii="Arial" w:hAnsi="Arial" w:cs="Arial"/>
                <w:sz w:val="20"/>
                <w:szCs w:val="20"/>
              </w:rPr>
              <w:t xml:space="preserve">Governance frameworks, in particular those related to safety, require a single concept that is able to span both health and social care if these services are to be integrated. </w:t>
            </w:r>
          </w:p>
          <w:p w14:paraId="5B9F42B5" w14:textId="77777777" w:rsidR="00FF6D77" w:rsidRPr="00D9090F" w:rsidRDefault="00FF6D77" w:rsidP="00785724">
            <w:pPr>
              <w:spacing w:line="480" w:lineRule="auto"/>
              <w:jc w:val="both"/>
              <w:rPr>
                <w:rFonts w:ascii="Arial" w:hAnsi="Arial" w:cs="Arial"/>
                <w:sz w:val="20"/>
                <w:szCs w:val="20"/>
              </w:rPr>
            </w:pPr>
          </w:p>
          <w:p w14:paraId="07CEEDC1" w14:textId="77777777" w:rsidR="00FF6D77" w:rsidRPr="00D9090F" w:rsidRDefault="00FF6D77" w:rsidP="00785724">
            <w:pPr>
              <w:pStyle w:val="ListParagraph"/>
              <w:numPr>
                <w:ilvl w:val="0"/>
                <w:numId w:val="3"/>
              </w:numPr>
              <w:spacing w:line="480" w:lineRule="auto"/>
              <w:jc w:val="both"/>
              <w:rPr>
                <w:rFonts w:ascii="Arial" w:hAnsi="Arial" w:cs="Arial"/>
                <w:sz w:val="20"/>
                <w:szCs w:val="20"/>
              </w:rPr>
            </w:pPr>
            <w:r w:rsidRPr="00D9090F">
              <w:rPr>
                <w:rFonts w:ascii="Arial" w:hAnsi="Arial" w:cs="Arial"/>
                <w:sz w:val="20"/>
                <w:szCs w:val="20"/>
              </w:rPr>
              <w:t>Differences between safety and safeguarding exist for genuine reasons and these should be accounted for in the new concept of safety</w:t>
            </w:r>
          </w:p>
          <w:p w14:paraId="2883A9FB" w14:textId="77777777" w:rsidR="00FF6D77" w:rsidRPr="00D9090F" w:rsidRDefault="00FF6D77" w:rsidP="00785724">
            <w:pPr>
              <w:spacing w:line="480" w:lineRule="auto"/>
              <w:jc w:val="both"/>
              <w:rPr>
                <w:rFonts w:ascii="Arial" w:hAnsi="Arial" w:cs="Arial"/>
                <w:sz w:val="20"/>
                <w:szCs w:val="20"/>
              </w:rPr>
            </w:pPr>
          </w:p>
          <w:p w14:paraId="5E1CC3BF" w14:textId="77777777" w:rsidR="00FF6D77" w:rsidRPr="004D3D04" w:rsidRDefault="00FF6D77" w:rsidP="00785724">
            <w:pPr>
              <w:pStyle w:val="ListParagraph"/>
              <w:numPr>
                <w:ilvl w:val="0"/>
                <w:numId w:val="3"/>
              </w:numPr>
              <w:spacing w:line="480" w:lineRule="auto"/>
              <w:jc w:val="both"/>
              <w:rPr>
                <w:rFonts w:ascii="Arial" w:hAnsi="Arial" w:cs="Arial"/>
                <w:sz w:val="20"/>
                <w:szCs w:val="20"/>
              </w:rPr>
            </w:pPr>
            <w:r>
              <w:rPr>
                <w:rFonts w:ascii="Arial" w:hAnsi="Arial" w:cs="Arial"/>
                <w:sz w:val="20"/>
                <w:szCs w:val="20"/>
              </w:rPr>
              <w:t xml:space="preserve">Opportunities for improved organisational learning are exploited by adopting a systems approach to safety across all care sectors and settings. </w:t>
            </w:r>
          </w:p>
        </w:tc>
      </w:tr>
    </w:tbl>
    <w:p w14:paraId="3E49B703" w14:textId="77777777" w:rsidR="00FF6D77" w:rsidRPr="00D9090F" w:rsidRDefault="00FF6D77" w:rsidP="00FF6D77">
      <w:pPr>
        <w:spacing w:line="480" w:lineRule="auto"/>
        <w:jc w:val="both"/>
        <w:rPr>
          <w:rFonts w:ascii="Arial" w:hAnsi="Arial" w:cs="Arial"/>
          <w:sz w:val="20"/>
          <w:szCs w:val="20"/>
        </w:rPr>
      </w:pPr>
    </w:p>
    <w:p w14:paraId="2CFEB606" w14:textId="77777777" w:rsidR="00FF6D77" w:rsidRPr="00D9090F" w:rsidRDefault="00FF6D77" w:rsidP="00FF6D77">
      <w:pPr>
        <w:spacing w:line="480" w:lineRule="auto"/>
        <w:jc w:val="both"/>
        <w:rPr>
          <w:rFonts w:ascii="Arial" w:hAnsi="Arial" w:cs="Arial"/>
          <w:b/>
          <w:sz w:val="20"/>
          <w:szCs w:val="20"/>
        </w:rPr>
      </w:pPr>
      <w:r w:rsidRPr="00D9090F">
        <w:rPr>
          <w:rFonts w:ascii="Arial" w:hAnsi="Arial" w:cs="Arial"/>
          <w:b/>
          <w:sz w:val="20"/>
          <w:szCs w:val="20"/>
        </w:rPr>
        <w:t>Box 2:</w:t>
      </w:r>
      <w:r w:rsidRPr="00D9090F">
        <w:rPr>
          <w:rFonts w:ascii="Arial" w:hAnsi="Arial" w:cs="Arial"/>
          <w:b/>
          <w:i/>
          <w:sz w:val="20"/>
          <w:szCs w:val="20"/>
        </w:rPr>
        <w:t xml:space="preserve"> </w:t>
      </w:r>
      <w:r w:rsidRPr="00D9090F">
        <w:rPr>
          <w:rFonts w:ascii="Arial" w:hAnsi="Arial" w:cs="Arial"/>
          <w:b/>
          <w:sz w:val="20"/>
          <w:szCs w:val="20"/>
        </w:rPr>
        <w:t>Summary of recommendations for integrating a unified approach to safety in health and social care</w:t>
      </w:r>
    </w:p>
    <w:p w14:paraId="4299C60B" w14:textId="77777777" w:rsidR="00FF6D77" w:rsidRDefault="00FF6D77">
      <w:pPr>
        <w:spacing w:line="480" w:lineRule="auto"/>
        <w:jc w:val="both"/>
        <w:rPr>
          <w:rFonts w:ascii="Arial" w:hAnsi="Arial" w:cs="Arial"/>
          <w:sz w:val="20"/>
          <w:szCs w:val="20"/>
        </w:rPr>
      </w:pPr>
    </w:p>
    <w:p w14:paraId="204F60E0" w14:textId="132C787B" w:rsidR="00976A00" w:rsidRPr="00D9090F" w:rsidRDefault="00893AA0">
      <w:pPr>
        <w:spacing w:line="480" w:lineRule="auto"/>
        <w:jc w:val="both"/>
        <w:rPr>
          <w:rFonts w:ascii="Arial" w:hAnsi="Arial" w:cs="Arial"/>
          <w:sz w:val="20"/>
          <w:szCs w:val="20"/>
        </w:rPr>
      </w:pPr>
      <w:r w:rsidRPr="00D9090F">
        <w:rPr>
          <w:rFonts w:ascii="Arial" w:hAnsi="Arial" w:cs="Arial"/>
          <w:sz w:val="20"/>
          <w:szCs w:val="20"/>
        </w:rPr>
        <w:t>This single concept of care safety has the potential to foster collaboration and mutual learning between care sectors</w:t>
      </w:r>
      <w:r w:rsidR="006E77B5">
        <w:rPr>
          <w:rFonts w:ascii="Arial" w:hAnsi="Arial" w:cs="Arial"/>
          <w:sz w:val="20"/>
          <w:szCs w:val="20"/>
        </w:rPr>
        <w:t xml:space="preserve"> where care tasks may be undertaken by both health and social care </w:t>
      </w:r>
      <w:r w:rsidR="00DC40C4">
        <w:rPr>
          <w:rFonts w:ascii="Arial" w:hAnsi="Arial" w:cs="Arial"/>
          <w:sz w:val="20"/>
          <w:szCs w:val="20"/>
        </w:rPr>
        <w:t>employees</w:t>
      </w:r>
      <w:r w:rsidRPr="00D9090F">
        <w:rPr>
          <w:rFonts w:ascii="Arial" w:hAnsi="Arial" w:cs="Arial"/>
          <w:sz w:val="20"/>
          <w:szCs w:val="20"/>
        </w:rPr>
        <w:t>. By developing a shared understanding of safety and safeguarding, with the support of governance structures, there will be a better understanding of safety on both individual and organisational levels. For example governance structures that link safety in health and social care sectors could facilitate quality improvement initiatives to further improve communication relating to transitions in patients’ care</w:t>
      </w:r>
      <w:r w:rsidR="00DC40C4">
        <w:rPr>
          <w:rFonts w:ascii="Arial" w:hAnsi="Arial" w:cs="Arial"/>
          <w:sz w:val="20"/>
          <w:szCs w:val="20"/>
        </w:rPr>
        <w:t>;</w:t>
      </w:r>
      <w:r w:rsidRPr="00D9090F">
        <w:rPr>
          <w:rFonts w:ascii="Arial" w:hAnsi="Arial" w:cs="Arial"/>
          <w:sz w:val="20"/>
          <w:szCs w:val="20"/>
        </w:rPr>
        <w:t xml:space="preserve"> often cited </w:t>
      </w:r>
      <w:r w:rsidR="00DC40C4">
        <w:rPr>
          <w:rFonts w:ascii="Arial" w:hAnsi="Arial" w:cs="Arial"/>
          <w:sz w:val="20"/>
          <w:szCs w:val="20"/>
        </w:rPr>
        <w:t>as</w:t>
      </w:r>
      <w:r w:rsidRPr="00D9090F">
        <w:rPr>
          <w:rFonts w:ascii="Arial" w:hAnsi="Arial" w:cs="Arial"/>
          <w:sz w:val="20"/>
          <w:szCs w:val="20"/>
        </w:rPr>
        <w:t xml:space="preserve"> one of the greatest </w:t>
      </w:r>
      <w:r w:rsidR="00DC40C4">
        <w:rPr>
          <w:rFonts w:ascii="Arial" w:hAnsi="Arial" w:cs="Arial"/>
          <w:sz w:val="20"/>
          <w:szCs w:val="20"/>
        </w:rPr>
        <w:t>challenges</w:t>
      </w:r>
      <w:r w:rsidRPr="00D9090F">
        <w:rPr>
          <w:rFonts w:ascii="Arial" w:hAnsi="Arial" w:cs="Arial"/>
          <w:sz w:val="20"/>
          <w:szCs w:val="20"/>
        </w:rPr>
        <w:t xml:space="preserve"> to patient safety and results in excessive hospital readmissions</w:t>
      </w:r>
      <w:r w:rsidR="006458EE">
        <w:rPr>
          <w:rFonts w:ascii="Arial" w:hAnsi="Arial" w:cs="Arial"/>
          <w:sz w:val="20"/>
          <w:szCs w:val="20"/>
        </w:rPr>
        <w:t xml:space="preserve">, as demonstrated by </w:t>
      </w:r>
      <w:hyperlink w:anchor="_ENREF_22" w:tooltip="Witherington, 2008 #1021" w:history="1">
        <w:r w:rsidR="00DC5920" w:rsidRPr="00D9090F">
          <w:rPr>
            <w:rFonts w:ascii="Arial" w:hAnsi="Arial" w:cs="Arial"/>
            <w:sz w:val="20"/>
            <w:szCs w:val="20"/>
          </w:rPr>
          <w:fldChar w:fldCharType="begin"/>
        </w:r>
        <w:r w:rsidR="00DC5920">
          <w:rPr>
            <w:rFonts w:ascii="Arial" w:hAnsi="Arial" w:cs="Arial"/>
            <w:sz w:val="20"/>
            <w:szCs w:val="20"/>
          </w:rPr>
          <w:instrText xml:space="preserve"> ADDIN EN.CITE &lt;EndNote&gt;&lt;Cite AuthorYear="1"&gt;&lt;Author&gt;Witherington&lt;/Author&gt;&lt;Year&gt;2008&lt;/Year&gt;&lt;RecNum&gt;1021&lt;/RecNum&gt;&lt;DisplayText&gt;Witherington, Pirzada, and Avery (2008)&lt;/DisplayText&gt;&lt;record&gt;&lt;rec-number&gt;1021&lt;/rec-number&gt;&lt;foreign-keys&gt;&lt;key app="EN" db-id="rfwaf2tw3df0viedd07x0t91ex5rxwd552av" timestamp="1453908380"&gt;1021&lt;/key&gt;&lt;/foreign-keys&gt;&lt;ref-type name="Journal Article"&gt;17&lt;/ref-type&gt;&lt;contributors&gt;&lt;authors&gt;&lt;author&gt;Witherington, E. M. A.&lt;/author&gt;&lt;author&gt;Pirzada, O. M.&lt;/author&gt;&lt;author&gt;Avery, A. J.&lt;/author&gt;&lt;/authors&gt;&lt;/contributors&gt;&lt;titles&gt;&lt;title&gt;Communication gaps and readmissions to hospital for patients aged 75 years and older: observational study&lt;/title&gt;&lt;secondary-title&gt;Quality and Safety in Health Care&lt;/secondary-title&gt;&lt;/titles&gt;&lt;periodical&gt;&lt;full-title&gt;Quality and Safety in Health Care&lt;/full-title&gt;&lt;abbr-1&gt;Qual Saf Health Care&lt;/abbr-1&gt;&lt;/periodical&gt;&lt;pages&gt;71-75&lt;/pages&gt;&lt;volume&gt;17&lt;/volume&gt;&lt;number&gt;1&lt;/number&gt;&lt;dates&gt;&lt;year&gt;2008&lt;/year&gt;&lt;pub-dates&gt;&lt;date&gt;February 1, 2008&lt;/date&gt;&lt;/pub-dates&gt;&lt;/dates&gt;&lt;urls&gt;&lt;related-urls&gt;&lt;url&gt;http://qualitysafety.bmj.com/content/17/1/71.abstract&lt;/url&gt;&lt;/related-urls&gt;&lt;/urls&gt;&lt;electronic-resource-num&gt;10.1136/qshc.2006.020842&lt;/electronic-resource-num&gt;&lt;/record&gt;&lt;/Cite&gt;&lt;/EndNote&gt;</w:instrText>
        </w:r>
        <w:r w:rsidR="00DC5920" w:rsidRPr="00D9090F">
          <w:rPr>
            <w:rFonts w:ascii="Arial" w:hAnsi="Arial" w:cs="Arial"/>
            <w:sz w:val="20"/>
            <w:szCs w:val="20"/>
          </w:rPr>
          <w:fldChar w:fldCharType="separate"/>
        </w:r>
        <w:r w:rsidR="00DC5920">
          <w:rPr>
            <w:rFonts w:ascii="Arial" w:hAnsi="Arial" w:cs="Arial"/>
            <w:noProof/>
            <w:sz w:val="20"/>
            <w:szCs w:val="20"/>
          </w:rPr>
          <w:t>Witherington, Pirzada, and Avery (2008)</w:t>
        </w:r>
        <w:r w:rsidR="00DC5920" w:rsidRPr="00D9090F">
          <w:rPr>
            <w:rFonts w:ascii="Arial" w:hAnsi="Arial" w:cs="Arial"/>
            <w:sz w:val="20"/>
            <w:szCs w:val="20"/>
          </w:rPr>
          <w:fldChar w:fldCharType="end"/>
        </w:r>
      </w:hyperlink>
      <w:r w:rsidR="00FF6D77">
        <w:rPr>
          <w:rFonts w:ascii="Arial" w:hAnsi="Arial" w:cs="Arial"/>
          <w:sz w:val="20"/>
          <w:szCs w:val="20"/>
        </w:rPr>
        <w:t>.</w:t>
      </w:r>
    </w:p>
    <w:p w14:paraId="204432CA" w14:textId="77777777" w:rsidR="00976A00" w:rsidRPr="00D9090F" w:rsidRDefault="00976A00">
      <w:pPr>
        <w:spacing w:line="480" w:lineRule="auto"/>
        <w:jc w:val="both"/>
        <w:rPr>
          <w:rFonts w:ascii="Arial" w:hAnsi="Arial" w:cs="Arial"/>
          <w:sz w:val="20"/>
          <w:szCs w:val="20"/>
        </w:rPr>
      </w:pPr>
    </w:p>
    <w:p w14:paraId="735D38CF" w14:textId="6E0B4CAC" w:rsidR="00DC40C4" w:rsidRPr="00D9090F" w:rsidRDefault="00893AA0" w:rsidP="00DC40C4">
      <w:pPr>
        <w:spacing w:line="480" w:lineRule="auto"/>
        <w:jc w:val="both"/>
        <w:rPr>
          <w:rFonts w:ascii="Arial" w:hAnsi="Arial" w:cs="Arial"/>
          <w:sz w:val="20"/>
          <w:szCs w:val="20"/>
        </w:rPr>
      </w:pPr>
      <w:r w:rsidRPr="00D9090F">
        <w:rPr>
          <w:rFonts w:ascii="Arial" w:hAnsi="Arial" w:cs="Arial"/>
          <w:sz w:val="20"/>
          <w:szCs w:val="20"/>
        </w:rPr>
        <w:t xml:space="preserve">Care safety would also offer a common and shared understanding that focuses on harm to the individual but also draws upon the best elements </w:t>
      </w:r>
      <w:r w:rsidR="00923CF9">
        <w:rPr>
          <w:rFonts w:ascii="Arial" w:hAnsi="Arial" w:cs="Arial"/>
          <w:sz w:val="20"/>
          <w:szCs w:val="20"/>
        </w:rPr>
        <w:t xml:space="preserve">from across </w:t>
      </w:r>
      <w:r w:rsidRPr="00D9090F">
        <w:rPr>
          <w:rFonts w:ascii="Arial" w:hAnsi="Arial" w:cs="Arial"/>
          <w:sz w:val="20"/>
          <w:szCs w:val="20"/>
        </w:rPr>
        <w:t>health and social care</w:t>
      </w:r>
      <w:r w:rsidR="00923CF9">
        <w:rPr>
          <w:rFonts w:ascii="Arial" w:hAnsi="Arial" w:cs="Arial"/>
          <w:sz w:val="20"/>
          <w:szCs w:val="20"/>
        </w:rPr>
        <w:t xml:space="preserve"> sectors</w:t>
      </w:r>
      <w:r w:rsidRPr="00D9090F">
        <w:rPr>
          <w:rFonts w:ascii="Arial" w:hAnsi="Arial" w:cs="Arial"/>
          <w:sz w:val="20"/>
          <w:szCs w:val="20"/>
        </w:rPr>
        <w:t xml:space="preserve">, where one is systems focused but largely retrospective and the other is prospective but individualised. </w:t>
      </w:r>
      <w:r w:rsidR="00DC40C4">
        <w:rPr>
          <w:rFonts w:ascii="Arial" w:hAnsi="Arial" w:cs="Arial"/>
          <w:sz w:val="20"/>
          <w:szCs w:val="20"/>
        </w:rPr>
        <w:t>These recommendations c</w:t>
      </w:r>
      <w:r w:rsidR="00DC40C4" w:rsidRPr="00D9090F">
        <w:rPr>
          <w:rFonts w:ascii="Arial" w:hAnsi="Arial" w:cs="Arial"/>
          <w:sz w:val="20"/>
          <w:szCs w:val="20"/>
        </w:rPr>
        <w:t>ould facilitate the move towards an integrated approach to safety that can coincide with an integrated approach to the del</w:t>
      </w:r>
      <w:r w:rsidR="00DC40C4">
        <w:rPr>
          <w:rFonts w:ascii="Arial" w:hAnsi="Arial" w:cs="Arial"/>
          <w:sz w:val="20"/>
          <w:szCs w:val="20"/>
        </w:rPr>
        <w:t xml:space="preserve">ivery of health and social care. </w:t>
      </w:r>
      <w:r w:rsidR="00DC40C4" w:rsidRPr="00D9090F">
        <w:rPr>
          <w:rFonts w:ascii="Arial" w:hAnsi="Arial" w:cs="Arial"/>
          <w:sz w:val="20"/>
          <w:szCs w:val="20"/>
        </w:rPr>
        <w:t xml:space="preserve"> </w:t>
      </w:r>
      <w:r w:rsidR="00DC40C4">
        <w:rPr>
          <w:rFonts w:ascii="Arial" w:hAnsi="Arial" w:cs="Arial"/>
          <w:sz w:val="20"/>
          <w:szCs w:val="20"/>
        </w:rPr>
        <w:t>This shared approach would need to respond to differences in how care is organised and provided in different organisational contexts</w:t>
      </w:r>
      <w:r w:rsidR="00DC40C4" w:rsidRPr="00DC40C4">
        <w:rPr>
          <w:rFonts w:ascii="Arial" w:hAnsi="Arial" w:cs="Arial"/>
          <w:sz w:val="20"/>
          <w:szCs w:val="20"/>
        </w:rPr>
        <w:t xml:space="preserve"> </w:t>
      </w:r>
      <w:r w:rsidR="00DC40C4">
        <w:rPr>
          <w:rFonts w:ascii="Arial" w:hAnsi="Arial" w:cs="Arial"/>
          <w:sz w:val="20"/>
          <w:szCs w:val="20"/>
        </w:rPr>
        <w:t xml:space="preserve">whilst maintaining the principles of </w:t>
      </w:r>
      <w:r w:rsidR="00FF6D77">
        <w:rPr>
          <w:rFonts w:ascii="Arial" w:hAnsi="Arial" w:cs="Arial"/>
          <w:sz w:val="20"/>
          <w:szCs w:val="20"/>
        </w:rPr>
        <w:t>openness with a just culture</w:t>
      </w:r>
      <w:r w:rsidR="00DC40C4">
        <w:rPr>
          <w:rFonts w:ascii="Arial" w:hAnsi="Arial" w:cs="Arial"/>
          <w:sz w:val="20"/>
          <w:szCs w:val="20"/>
        </w:rPr>
        <w:t>.</w:t>
      </w:r>
    </w:p>
    <w:p w14:paraId="5A595DB3" w14:textId="77777777" w:rsidR="00976A00" w:rsidRPr="00D9090F" w:rsidRDefault="00976A00">
      <w:pPr>
        <w:spacing w:after="200" w:line="480" w:lineRule="auto"/>
        <w:rPr>
          <w:rFonts w:ascii="Arial" w:hAnsi="Arial" w:cs="Arial"/>
          <w:b/>
          <w:sz w:val="20"/>
          <w:szCs w:val="20"/>
        </w:rPr>
      </w:pPr>
    </w:p>
    <w:p w14:paraId="316C89A6" w14:textId="77777777" w:rsidR="00976A00" w:rsidRPr="00DC5920" w:rsidRDefault="00893AA0" w:rsidP="00DC5920">
      <w:pPr>
        <w:spacing w:after="200" w:line="276" w:lineRule="auto"/>
        <w:jc w:val="both"/>
        <w:rPr>
          <w:rFonts w:ascii="Arial" w:hAnsi="Arial" w:cs="Arial"/>
          <w:b/>
          <w:sz w:val="20"/>
          <w:szCs w:val="20"/>
        </w:rPr>
      </w:pPr>
      <w:r w:rsidRPr="00DC5920">
        <w:rPr>
          <w:rFonts w:ascii="Arial" w:hAnsi="Arial" w:cs="Arial"/>
          <w:b/>
          <w:sz w:val="20"/>
          <w:szCs w:val="20"/>
        </w:rPr>
        <w:t>References</w:t>
      </w:r>
    </w:p>
    <w:p w14:paraId="57B9DB18" w14:textId="77777777" w:rsidR="00DC5920" w:rsidRPr="00DC5920" w:rsidRDefault="003E3177" w:rsidP="00DC5920">
      <w:pPr>
        <w:pStyle w:val="EndNoteBibliography"/>
        <w:ind w:left="720" w:hanging="720"/>
        <w:rPr>
          <w:rFonts w:ascii="Arial" w:hAnsi="Arial" w:cs="Arial"/>
          <w:sz w:val="20"/>
          <w:szCs w:val="20"/>
        </w:rPr>
      </w:pPr>
      <w:r w:rsidRPr="00DC5920">
        <w:rPr>
          <w:rFonts w:ascii="Arial" w:hAnsi="Arial" w:cs="Arial"/>
          <w:sz w:val="20"/>
          <w:szCs w:val="20"/>
        </w:rPr>
        <w:fldChar w:fldCharType="begin"/>
      </w:r>
      <w:r w:rsidRPr="00DC5920">
        <w:rPr>
          <w:rFonts w:ascii="Arial" w:hAnsi="Arial" w:cs="Arial"/>
          <w:sz w:val="20"/>
          <w:szCs w:val="20"/>
        </w:rPr>
        <w:instrText xml:space="preserve"> ADDIN EN.REFLIST </w:instrText>
      </w:r>
      <w:r w:rsidRPr="00DC5920">
        <w:rPr>
          <w:rFonts w:ascii="Arial" w:hAnsi="Arial" w:cs="Arial"/>
          <w:sz w:val="20"/>
          <w:szCs w:val="20"/>
        </w:rPr>
        <w:fldChar w:fldCharType="separate"/>
      </w:r>
      <w:bookmarkStart w:id="1" w:name="_ENREF_1"/>
      <w:r w:rsidR="00DC5920" w:rsidRPr="00DC5920">
        <w:rPr>
          <w:rFonts w:ascii="Arial" w:hAnsi="Arial" w:cs="Arial"/>
          <w:sz w:val="20"/>
          <w:szCs w:val="20"/>
        </w:rPr>
        <w:t xml:space="preserve">Ahmed, F., Burt, J., &amp; Roland, M. (2014). Measuring Patient Experience: Concepts and Methods. </w:t>
      </w:r>
      <w:r w:rsidR="00DC5920" w:rsidRPr="00DC5920">
        <w:rPr>
          <w:rFonts w:ascii="Arial" w:hAnsi="Arial" w:cs="Arial"/>
          <w:i/>
          <w:sz w:val="20"/>
          <w:szCs w:val="20"/>
        </w:rPr>
        <w:t>The Patient - Patient-Centered Outcomes Research, 7</w:t>
      </w:r>
      <w:r w:rsidR="00DC5920" w:rsidRPr="00DC5920">
        <w:rPr>
          <w:rFonts w:ascii="Arial" w:hAnsi="Arial" w:cs="Arial"/>
          <w:sz w:val="20"/>
          <w:szCs w:val="20"/>
        </w:rPr>
        <w:t>(3), 235-241. doi: 10.1007/s40271-014-0060-5</w:t>
      </w:r>
      <w:bookmarkEnd w:id="1"/>
    </w:p>
    <w:p w14:paraId="556686BF" w14:textId="77777777" w:rsidR="00DC5920" w:rsidRPr="00DC5920" w:rsidRDefault="00DC5920" w:rsidP="00DC5920">
      <w:pPr>
        <w:pStyle w:val="EndNoteBibliography"/>
        <w:ind w:left="720" w:hanging="720"/>
        <w:rPr>
          <w:rFonts w:ascii="Arial" w:hAnsi="Arial" w:cs="Arial"/>
          <w:sz w:val="20"/>
          <w:szCs w:val="20"/>
        </w:rPr>
      </w:pPr>
      <w:bookmarkStart w:id="2" w:name="_ENREF_2"/>
      <w:r w:rsidRPr="00DC5920">
        <w:rPr>
          <w:rFonts w:ascii="Arial" w:hAnsi="Arial" w:cs="Arial"/>
          <w:sz w:val="20"/>
          <w:szCs w:val="20"/>
        </w:rPr>
        <w:t xml:space="preserve">Barber, N. D., Alldred, D. P., Raynor, D. K., Dickinson, R., Garfield, S., Jesson, B., . . . Zermansky, A. G. (2009). Care homes' use of medicines study: prevalence, causes and potential harm of medication errors in care homes for older people. </w:t>
      </w:r>
      <w:r w:rsidRPr="00DC5920">
        <w:rPr>
          <w:rFonts w:ascii="Arial" w:hAnsi="Arial" w:cs="Arial"/>
          <w:i/>
          <w:sz w:val="20"/>
          <w:szCs w:val="20"/>
        </w:rPr>
        <w:t>Quality and Safety in Health Care, 18</w:t>
      </w:r>
      <w:r w:rsidRPr="00DC5920">
        <w:rPr>
          <w:rFonts w:ascii="Arial" w:hAnsi="Arial" w:cs="Arial"/>
          <w:sz w:val="20"/>
          <w:szCs w:val="20"/>
        </w:rPr>
        <w:t>(5), 341-346. doi: 10.1136/qshc.2009.034231</w:t>
      </w:r>
      <w:bookmarkEnd w:id="2"/>
    </w:p>
    <w:p w14:paraId="5C5E0D27" w14:textId="77777777" w:rsidR="00DC5920" w:rsidRPr="00DC5920" w:rsidRDefault="00DC5920" w:rsidP="00DC5920">
      <w:pPr>
        <w:pStyle w:val="EndNoteBibliography"/>
        <w:ind w:left="720" w:hanging="720"/>
        <w:rPr>
          <w:rFonts w:ascii="Arial" w:hAnsi="Arial" w:cs="Arial"/>
          <w:sz w:val="20"/>
          <w:szCs w:val="20"/>
        </w:rPr>
      </w:pPr>
      <w:bookmarkStart w:id="3" w:name="_ENREF_3"/>
      <w:r w:rsidRPr="00DC5920">
        <w:rPr>
          <w:rFonts w:ascii="Arial" w:hAnsi="Arial" w:cs="Arial"/>
          <w:sz w:val="20"/>
          <w:szCs w:val="20"/>
        </w:rPr>
        <w:t xml:space="preserve">Barker, K. (2014). </w:t>
      </w:r>
      <w:r w:rsidRPr="00DC5920">
        <w:rPr>
          <w:rFonts w:ascii="Arial" w:hAnsi="Arial" w:cs="Arial"/>
          <w:i/>
          <w:sz w:val="20"/>
          <w:szCs w:val="20"/>
        </w:rPr>
        <w:t>A new settlement for health and social care</w:t>
      </w:r>
      <w:r w:rsidRPr="00DC5920">
        <w:rPr>
          <w:rFonts w:ascii="Arial" w:hAnsi="Arial" w:cs="Arial"/>
          <w:sz w:val="20"/>
          <w:szCs w:val="20"/>
        </w:rPr>
        <w:t>. London: The King's Fund.</w:t>
      </w:r>
      <w:bookmarkEnd w:id="3"/>
    </w:p>
    <w:p w14:paraId="5F3C42D4" w14:textId="77777777" w:rsidR="00DC5920" w:rsidRPr="00DC5920" w:rsidRDefault="00DC5920" w:rsidP="00DC5920">
      <w:pPr>
        <w:pStyle w:val="EndNoteBibliography"/>
        <w:ind w:left="720" w:hanging="720"/>
        <w:rPr>
          <w:rFonts w:ascii="Arial" w:hAnsi="Arial" w:cs="Arial"/>
          <w:sz w:val="20"/>
          <w:szCs w:val="20"/>
        </w:rPr>
      </w:pPr>
      <w:bookmarkStart w:id="4" w:name="_ENREF_4"/>
      <w:r w:rsidRPr="00DC5920">
        <w:rPr>
          <w:rFonts w:ascii="Arial" w:hAnsi="Arial" w:cs="Arial"/>
          <w:sz w:val="20"/>
          <w:szCs w:val="20"/>
        </w:rPr>
        <w:t xml:space="preserve">Bennett, L., &amp; Humphries, R. (2014). </w:t>
      </w:r>
      <w:r w:rsidRPr="00DC5920">
        <w:rPr>
          <w:rFonts w:ascii="Arial" w:hAnsi="Arial" w:cs="Arial"/>
          <w:i/>
          <w:sz w:val="20"/>
          <w:szCs w:val="20"/>
        </w:rPr>
        <w:t>Making best use of the Better Care Fund: Spending to save?</w:t>
      </w:r>
      <w:r w:rsidRPr="00DC5920">
        <w:rPr>
          <w:rFonts w:ascii="Arial" w:hAnsi="Arial" w:cs="Arial"/>
          <w:sz w:val="20"/>
          <w:szCs w:val="20"/>
        </w:rPr>
        <w:t xml:space="preserve"> London: The King's Fund.</w:t>
      </w:r>
      <w:bookmarkEnd w:id="4"/>
    </w:p>
    <w:p w14:paraId="05B123D6" w14:textId="77777777" w:rsidR="00DC5920" w:rsidRPr="00DC5920" w:rsidRDefault="00DC5920" w:rsidP="00DC5920">
      <w:pPr>
        <w:pStyle w:val="EndNoteBibliography"/>
        <w:ind w:left="720" w:hanging="720"/>
        <w:rPr>
          <w:rFonts w:ascii="Arial" w:hAnsi="Arial" w:cs="Arial"/>
          <w:sz w:val="20"/>
          <w:szCs w:val="20"/>
        </w:rPr>
      </w:pPr>
      <w:bookmarkStart w:id="5" w:name="_ENREF_5"/>
      <w:r w:rsidRPr="00DC5920">
        <w:rPr>
          <w:rFonts w:ascii="Arial" w:hAnsi="Arial" w:cs="Arial"/>
          <w:sz w:val="20"/>
          <w:szCs w:val="20"/>
        </w:rPr>
        <w:t xml:space="preserve">De Brún, A., Heavey, E., Waring, J., Dawson, P., &amp; Scott, J. (2016). PReSaFe: A model of barriers and facilitators to patients providing feedback on experiences of safety. </w:t>
      </w:r>
      <w:r w:rsidRPr="00DC5920">
        <w:rPr>
          <w:rFonts w:ascii="Arial" w:hAnsi="Arial" w:cs="Arial"/>
          <w:i/>
          <w:sz w:val="20"/>
          <w:szCs w:val="20"/>
        </w:rPr>
        <w:t>Health Expectations</w:t>
      </w:r>
      <w:r w:rsidRPr="00DC5920">
        <w:rPr>
          <w:rFonts w:ascii="Arial" w:hAnsi="Arial" w:cs="Arial"/>
          <w:sz w:val="20"/>
          <w:szCs w:val="20"/>
        </w:rPr>
        <w:t>. doi: 10.1111/hex.12516</w:t>
      </w:r>
      <w:bookmarkEnd w:id="5"/>
    </w:p>
    <w:p w14:paraId="50F333E0" w14:textId="77777777" w:rsidR="00DC5920" w:rsidRPr="00DC5920" w:rsidRDefault="00DC5920" w:rsidP="00DC5920">
      <w:pPr>
        <w:pStyle w:val="EndNoteBibliography"/>
        <w:ind w:left="720" w:hanging="720"/>
        <w:rPr>
          <w:rFonts w:ascii="Arial" w:hAnsi="Arial" w:cs="Arial"/>
          <w:sz w:val="20"/>
          <w:szCs w:val="20"/>
        </w:rPr>
      </w:pPr>
      <w:bookmarkStart w:id="6" w:name="_ENREF_6"/>
      <w:r w:rsidRPr="00DC5920">
        <w:rPr>
          <w:rFonts w:ascii="Arial" w:hAnsi="Arial" w:cs="Arial"/>
          <w:sz w:val="20"/>
          <w:szCs w:val="20"/>
        </w:rPr>
        <w:t xml:space="preserve">Department of Health. (2000a). </w:t>
      </w:r>
      <w:r w:rsidRPr="00DC5920">
        <w:rPr>
          <w:rFonts w:ascii="Arial" w:hAnsi="Arial" w:cs="Arial"/>
          <w:i/>
          <w:sz w:val="20"/>
          <w:szCs w:val="20"/>
        </w:rPr>
        <w:t>No secrets: Guidance on developing and implementing multi-agency policies and procedures to protect vulnerable adults from abuse</w:t>
      </w:r>
      <w:r w:rsidRPr="00DC5920">
        <w:rPr>
          <w:rFonts w:ascii="Arial" w:hAnsi="Arial" w:cs="Arial"/>
          <w:sz w:val="20"/>
          <w:szCs w:val="20"/>
        </w:rPr>
        <w:t>. London: Department of Health.</w:t>
      </w:r>
      <w:bookmarkEnd w:id="6"/>
    </w:p>
    <w:p w14:paraId="565B347E" w14:textId="77777777" w:rsidR="00DC5920" w:rsidRPr="00DC5920" w:rsidRDefault="00DC5920" w:rsidP="00DC5920">
      <w:pPr>
        <w:pStyle w:val="EndNoteBibliography"/>
        <w:ind w:left="720" w:hanging="720"/>
        <w:rPr>
          <w:rFonts w:ascii="Arial" w:hAnsi="Arial" w:cs="Arial"/>
          <w:sz w:val="20"/>
          <w:szCs w:val="20"/>
        </w:rPr>
      </w:pPr>
      <w:bookmarkStart w:id="7" w:name="_ENREF_7"/>
      <w:r w:rsidRPr="00DC5920">
        <w:rPr>
          <w:rFonts w:ascii="Arial" w:hAnsi="Arial" w:cs="Arial"/>
          <w:sz w:val="20"/>
          <w:szCs w:val="20"/>
        </w:rPr>
        <w:t xml:space="preserve">Department of Health. (2000b). </w:t>
      </w:r>
      <w:r w:rsidRPr="00DC5920">
        <w:rPr>
          <w:rFonts w:ascii="Arial" w:hAnsi="Arial" w:cs="Arial"/>
          <w:i/>
          <w:sz w:val="20"/>
          <w:szCs w:val="20"/>
        </w:rPr>
        <w:t>An organisation with a memory: Report of an expert group on learning from adverse events in the NHS</w:t>
      </w:r>
      <w:r w:rsidRPr="00DC5920">
        <w:rPr>
          <w:rFonts w:ascii="Arial" w:hAnsi="Arial" w:cs="Arial"/>
          <w:sz w:val="20"/>
          <w:szCs w:val="20"/>
        </w:rPr>
        <w:t>. London: Department of Health.</w:t>
      </w:r>
      <w:bookmarkEnd w:id="7"/>
    </w:p>
    <w:p w14:paraId="1A9DF983" w14:textId="77777777" w:rsidR="00DC5920" w:rsidRPr="00DC5920" w:rsidRDefault="00DC5920" w:rsidP="00DC5920">
      <w:pPr>
        <w:pStyle w:val="EndNoteBibliography"/>
        <w:ind w:left="720" w:hanging="720"/>
        <w:rPr>
          <w:rFonts w:ascii="Arial" w:hAnsi="Arial" w:cs="Arial"/>
          <w:sz w:val="20"/>
          <w:szCs w:val="20"/>
        </w:rPr>
      </w:pPr>
      <w:bookmarkStart w:id="8" w:name="_ENREF_8"/>
      <w:r w:rsidRPr="00DC5920">
        <w:rPr>
          <w:rFonts w:ascii="Arial" w:hAnsi="Arial" w:cs="Arial"/>
          <w:sz w:val="20"/>
          <w:szCs w:val="20"/>
        </w:rPr>
        <w:t xml:space="preserve">Department of Health. (2007). </w:t>
      </w:r>
      <w:r w:rsidRPr="00DC5920">
        <w:rPr>
          <w:rFonts w:ascii="Arial" w:hAnsi="Arial" w:cs="Arial"/>
          <w:i/>
          <w:sz w:val="20"/>
          <w:szCs w:val="20"/>
        </w:rPr>
        <w:t>Mental Health Act</w:t>
      </w:r>
      <w:r w:rsidRPr="00DC5920">
        <w:rPr>
          <w:rFonts w:ascii="Arial" w:hAnsi="Arial" w:cs="Arial"/>
          <w:sz w:val="20"/>
          <w:szCs w:val="20"/>
        </w:rPr>
        <w:t>. London: HMSO.</w:t>
      </w:r>
      <w:bookmarkEnd w:id="8"/>
    </w:p>
    <w:p w14:paraId="1138551E" w14:textId="77777777" w:rsidR="00DC5920" w:rsidRPr="00DC5920" w:rsidRDefault="00DC5920" w:rsidP="00DC5920">
      <w:pPr>
        <w:pStyle w:val="EndNoteBibliography"/>
        <w:ind w:left="720" w:hanging="720"/>
        <w:rPr>
          <w:rFonts w:ascii="Arial" w:hAnsi="Arial" w:cs="Arial"/>
          <w:sz w:val="20"/>
          <w:szCs w:val="20"/>
        </w:rPr>
      </w:pPr>
      <w:bookmarkStart w:id="9" w:name="_ENREF_9"/>
      <w:r w:rsidRPr="00DC5920">
        <w:rPr>
          <w:rFonts w:ascii="Arial" w:hAnsi="Arial" w:cs="Arial"/>
          <w:sz w:val="20"/>
          <w:szCs w:val="20"/>
        </w:rPr>
        <w:t xml:space="preserve">Hollnagel, E., Braithwaite, J., &amp; Wears, R. L. (2013). </w:t>
      </w:r>
      <w:r w:rsidRPr="00DC5920">
        <w:rPr>
          <w:rFonts w:ascii="Arial" w:hAnsi="Arial" w:cs="Arial"/>
          <w:i/>
          <w:sz w:val="20"/>
          <w:szCs w:val="20"/>
        </w:rPr>
        <w:t>Resilient Health Care</w:t>
      </w:r>
      <w:r w:rsidRPr="00DC5920">
        <w:rPr>
          <w:rFonts w:ascii="Arial" w:hAnsi="Arial" w:cs="Arial"/>
          <w:sz w:val="20"/>
          <w:szCs w:val="20"/>
        </w:rPr>
        <w:t>. Farnham, UK: Ashgate.</w:t>
      </w:r>
      <w:bookmarkEnd w:id="9"/>
    </w:p>
    <w:p w14:paraId="15D4F135" w14:textId="77777777" w:rsidR="00DC5920" w:rsidRPr="00DC5920" w:rsidRDefault="00DC5920" w:rsidP="00DC5920">
      <w:pPr>
        <w:pStyle w:val="EndNoteBibliography"/>
        <w:ind w:left="720" w:hanging="720"/>
        <w:rPr>
          <w:rFonts w:ascii="Arial" w:hAnsi="Arial" w:cs="Arial"/>
          <w:sz w:val="20"/>
          <w:szCs w:val="20"/>
        </w:rPr>
      </w:pPr>
      <w:bookmarkStart w:id="10" w:name="_ENREF_10"/>
      <w:r w:rsidRPr="00DC5920">
        <w:rPr>
          <w:rFonts w:ascii="Arial" w:hAnsi="Arial" w:cs="Arial"/>
          <w:sz w:val="20"/>
          <w:szCs w:val="20"/>
        </w:rPr>
        <w:t xml:space="preserve">Kohn, L. T., Corrigan, J. M., &amp; Donaldson, M. S. (2000). </w:t>
      </w:r>
      <w:r w:rsidRPr="00DC5920">
        <w:rPr>
          <w:rFonts w:ascii="Arial" w:hAnsi="Arial" w:cs="Arial"/>
          <w:i/>
          <w:sz w:val="20"/>
          <w:szCs w:val="20"/>
        </w:rPr>
        <w:t>To err is human: building a safer health system</w:t>
      </w:r>
      <w:r w:rsidRPr="00DC5920">
        <w:rPr>
          <w:rFonts w:ascii="Arial" w:hAnsi="Arial" w:cs="Arial"/>
          <w:sz w:val="20"/>
          <w:szCs w:val="20"/>
        </w:rPr>
        <w:t>. Washington, DC: National Academies Press.</w:t>
      </w:r>
      <w:bookmarkEnd w:id="10"/>
    </w:p>
    <w:p w14:paraId="3DDE106B" w14:textId="77777777" w:rsidR="00DC5920" w:rsidRPr="00DC5920" w:rsidRDefault="00DC5920" w:rsidP="00DC5920">
      <w:pPr>
        <w:pStyle w:val="EndNoteBibliography"/>
        <w:ind w:left="720" w:hanging="720"/>
        <w:rPr>
          <w:rFonts w:ascii="Arial" w:hAnsi="Arial" w:cs="Arial"/>
          <w:sz w:val="20"/>
          <w:szCs w:val="20"/>
        </w:rPr>
      </w:pPr>
      <w:bookmarkStart w:id="11" w:name="_ENREF_11"/>
      <w:r w:rsidRPr="00DC5920">
        <w:rPr>
          <w:rFonts w:ascii="Arial" w:hAnsi="Arial" w:cs="Arial"/>
          <w:sz w:val="20"/>
          <w:szCs w:val="20"/>
        </w:rPr>
        <w:t xml:space="preserve">Lewis, J., Greenstock, J., Caldwell, K., &amp; Anderson, B. (2015). Working together to identify child maltreatment: social work and acute healthcare. </w:t>
      </w:r>
      <w:r w:rsidRPr="00DC5920">
        <w:rPr>
          <w:rFonts w:ascii="Arial" w:hAnsi="Arial" w:cs="Arial"/>
          <w:i/>
          <w:sz w:val="20"/>
          <w:szCs w:val="20"/>
        </w:rPr>
        <w:t>Journal of Integrated Care, 23</w:t>
      </w:r>
      <w:r w:rsidRPr="00DC5920">
        <w:rPr>
          <w:rFonts w:ascii="Arial" w:hAnsi="Arial" w:cs="Arial"/>
          <w:sz w:val="20"/>
          <w:szCs w:val="20"/>
        </w:rPr>
        <w:t>(5), 302-312. doi: doi:10.1108/JICA-08-2015-0032</w:t>
      </w:r>
      <w:bookmarkEnd w:id="11"/>
    </w:p>
    <w:p w14:paraId="334E6270" w14:textId="77777777" w:rsidR="00DC5920" w:rsidRPr="00DC5920" w:rsidRDefault="00DC5920" w:rsidP="00DC5920">
      <w:pPr>
        <w:pStyle w:val="EndNoteBibliography"/>
        <w:ind w:left="720" w:hanging="720"/>
        <w:rPr>
          <w:rFonts w:ascii="Arial" w:hAnsi="Arial" w:cs="Arial"/>
          <w:sz w:val="20"/>
          <w:szCs w:val="20"/>
        </w:rPr>
      </w:pPr>
      <w:bookmarkStart w:id="12" w:name="_ENREF_12"/>
      <w:r w:rsidRPr="00DC5920">
        <w:rPr>
          <w:rFonts w:ascii="Arial" w:hAnsi="Arial" w:cs="Arial"/>
          <w:sz w:val="20"/>
          <w:szCs w:val="20"/>
        </w:rPr>
        <w:t xml:space="preserve">NHS England. (2014). </w:t>
      </w:r>
      <w:r w:rsidRPr="00DC5920">
        <w:rPr>
          <w:rFonts w:ascii="Arial" w:hAnsi="Arial" w:cs="Arial"/>
          <w:i/>
          <w:sz w:val="20"/>
          <w:szCs w:val="20"/>
        </w:rPr>
        <w:t>Five Year Forward View</w:t>
      </w:r>
      <w:r w:rsidRPr="00DC5920">
        <w:rPr>
          <w:rFonts w:ascii="Arial" w:hAnsi="Arial" w:cs="Arial"/>
          <w:sz w:val="20"/>
          <w:szCs w:val="20"/>
        </w:rPr>
        <w:t>.</w:t>
      </w:r>
      <w:bookmarkEnd w:id="12"/>
    </w:p>
    <w:p w14:paraId="1D1B5825" w14:textId="77777777" w:rsidR="00DC5920" w:rsidRPr="00DC5920" w:rsidRDefault="00DC5920" w:rsidP="00DC5920">
      <w:pPr>
        <w:pStyle w:val="EndNoteBibliography"/>
        <w:ind w:left="720" w:hanging="720"/>
        <w:rPr>
          <w:rFonts w:ascii="Arial" w:hAnsi="Arial" w:cs="Arial"/>
          <w:sz w:val="20"/>
          <w:szCs w:val="20"/>
        </w:rPr>
      </w:pPr>
      <w:bookmarkStart w:id="13" w:name="_ENREF_13"/>
      <w:r w:rsidRPr="00DC5920">
        <w:rPr>
          <w:rFonts w:ascii="Arial" w:hAnsi="Arial" w:cs="Arial"/>
          <w:sz w:val="20"/>
          <w:szCs w:val="20"/>
        </w:rPr>
        <w:t xml:space="preserve">Reason, J. (2000a). Human error: models and management. </w:t>
      </w:r>
      <w:r w:rsidRPr="00DC5920">
        <w:rPr>
          <w:rFonts w:ascii="Arial" w:hAnsi="Arial" w:cs="Arial"/>
          <w:i/>
          <w:sz w:val="20"/>
          <w:szCs w:val="20"/>
        </w:rPr>
        <w:t>BMJ, 320</w:t>
      </w:r>
      <w:r w:rsidRPr="00DC5920">
        <w:rPr>
          <w:rFonts w:ascii="Arial" w:hAnsi="Arial" w:cs="Arial"/>
          <w:sz w:val="20"/>
          <w:szCs w:val="20"/>
        </w:rPr>
        <w:t>(7237), 768-770. doi: 10.1136/bmj.320.7237.768</w:t>
      </w:r>
      <w:bookmarkEnd w:id="13"/>
    </w:p>
    <w:p w14:paraId="4D269B3F" w14:textId="77777777" w:rsidR="00DC5920" w:rsidRPr="00DC5920" w:rsidRDefault="00DC5920" w:rsidP="00DC5920">
      <w:pPr>
        <w:pStyle w:val="EndNoteBibliography"/>
        <w:ind w:left="720" w:hanging="720"/>
        <w:rPr>
          <w:rFonts w:ascii="Arial" w:hAnsi="Arial" w:cs="Arial"/>
          <w:sz w:val="20"/>
          <w:szCs w:val="20"/>
        </w:rPr>
      </w:pPr>
      <w:bookmarkStart w:id="14" w:name="_ENREF_14"/>
      <w:r w:rsidRPr="00DC5920">
        <w:rPr>
          <w:rFonts w:ascii="Arial" w:hAnsi="Arial" w:cs="Arial"/>
          <w:sz w:val="20"/>
          <w:szCs w:val="20"/>
        </w:rPr>
        <w:t xml:space="preserve">Reason, J. (2000b). Safety paradoxes and safety culture. </w:t>
      </w:r>
      <w:r w:rsidRPr="00DC5920">
        <w:rPr>
          <w:rFonts w:ascii="Arial" w:hAnsi="Arial" w:cs="Arial"/>
          <w:i/>
          <w:sz w:val="20"/>
          <w:szCs w:val="20"/>
        </w:rPr>
        <w:t>Injury Control and Safety Promotion, 7</w:t>
      </w:r>
      <w:r w:rsidRPr="00DC5920">
        <w:rPr>
          <w:rFonts w:ascii="Arial" w:hAnsi="Arial" w:cs="Arial"/>
          <w:sz w:val="20"/>
          <w:szCs w:val="20"/>
        </w:rPr>
        <w:t xml:space="preserve">(1), 3-14. </w:t>
      </w:r>
      <w:bookmarkEnd w:id="14"/>
    </w:p>
    <w:p w14:paraId="7AE23BE5" w14:textId="77777777" w:rsidR="00DC5920" w:rsidRPr="00DC5920" w:rsidRDefault="00DC5920" w:rsidP="00DC5920">
      <w:pPr>
        <w:pStyle w:val="EndNoteBibliography"/>
        <w:ind w:left="720" w:hanging="720"/>
        <w:rPr>
          <w:rFonts w:ascii="Arial" w:hAnsi="Arial" w:cs="Arial"/>
          <w:sz w:val="20"/>
          <w:szCs w:val="20"/>
        </w:rPr>
      </w:pPr>
      <w:bookmarkStart w:id="15" w:name="_ENREF_15"/>
      <w:r w:rsidRPr="00DC5920">
        <w:rPr>
          <w:rFonts w:ascii="Arial" w:hAnsi="Arial" w:cs="Arial"/>
          <w:sz w:val="20"/>
          <w:szCs w:val="20"/>
        </w:rPr>
        <w:t xml:space="preserve">Reid, R., Haggerty, J., &amp; McKendry, R. (2002). </w:t>
      </w:r>
      <w:r w:rsidRPr="00DC5920">
        <w:rPr>
          <w:rFonts w:ascii="Arial" w:hAnsi="Arial" w:cs="Arial"/>
          <w:i/>
          <w:sz w:val="20"/>
          <w:szCs w:val="20"/>
        </w:rPr>
        <w:t>Defusing the confusion: Concepts and measures of continuity in healthcare</w:t>
      </w:r>
      <w:r w:rsidRPr="00DC5920">
        <w:rPr>
          <w:rFonts w:ascii="Arial" w:hAnsi="Arial" w:cs="Arial"/>
          <w:sz w:val="20"/>
          <w:szCs w:val="20"/>
        </w:rPr>
        <w:t>. Ottawa: Canadian Health Services Research Foundation.</w:t>
      </w:r>
      <w:bookmarkEnd w:id="15"/>
    </w:p>
    <w:p w14:paraId="0CAFD2F1" w14:textId="77777777" w:rsidR="00DC5920" w:rsidRPr="00DC5920" w:rsidRDefault="00DC5920" w:rsidP="00DC5920">
      <w:pPr>
        <w:pStyle w:val="EndNoteBibliography"/>
        <w:ind w:left="720" w:hanging="720"/>
        <w:rPr>
          <w:rFonts w:ascii="Arial" w:hAnsi="Arial" w:cs="Arial"/>
          <w:sz w:val="20"/>
          <w:szCs w:val="20"/>
        </w:rPr>
      </w:pPr>
      <w:bookmarkStart w:id="16" w:name="_ENREF_16"/>
      <w:r w:rsidRPr="00DC5920">
        <w:rPr>
          <w:rFonts w:ascii="Arial" w:hAnsi="Arial" w:cs="Arial"/>
          <w:sz w:val="20"/>
          <w:szCs w:val="20"/>
        </w:rPr>
        <w:t xml:space="preserve">Runciman, W. B., Hibbert, P., Thomson, R., Van Der Schaaf, T., Sherman, H., &amp; Lewalle, P. (2009). Towards an international classification for patient safety: key concepts and terms. </w:t>
      </w:r>
      <w:r w:rsidRPr="00DC5920">
        <w:rPr>
          <w:rFonts w:ascii="Arial" w:hAnsi="Arial" w:cs="Arial"/>
          <w:i/>
          <w:sz w:val="20"/>
          <w:szCs w:val="20"/>
        </w:rPr>
        <w:t>International Journal for Quality in Health Care, 21</w:t>
      </w:r>
      <w:r w:rsidRPr="00DC5920">
        <w:rPr>
          <w:rFonts w:ascii="Arial" w:hAnsi="Arial" w:cs="Arial"/>
          <w:sz w:val="20"/>
          <w:szCs w:val="20"/>
        </w:rPr>
        <w:t>(1), 18-26. doi: 10.1093/intqhc/mzn057</w:t>
      </w:r>
      <w:bookmarkEnd w:id="16"/>
    </w:p>
    <w:p w14:paraId="2D167523" w14:textId="4F4E53BE" w:rsidR="00DC5920" w:rsidRPr="00DC5920" w:rsidRDefault="00DC5920" w:rsidP="00DC5920">
      <w:pPr>
        <w:pStyle w:val="EndNoteBibliography"/>
        <w:ind w:left="720" w:hanging="720"/>
        <w:rPr>
          <w:rFonts w:ascii="Arial" w:hAnsi="Arial" w:cs="Arial"/>
          <w:sz w:val="20"/>
          <w:szCs w:val="20"/>
        </w:rPr>
      </w:pPr>
      <w:bookmarkStart w:id="17" w:name="_ENREF_17"/>
      <w:r w:rsidRPr="00DC5920">
        <w:rPr>
          <w:rFonts w:ascii="Arial" w:hAnsi="Arial" w:cs="Arial"/>
          <w:sz w:val="20"/>
          <w:szCs w:val="20"/>
        </w:rPr>
        <w:t xml:space="preserve">Schweppenstedde, D., Hinrichs, S., Ogbu, U. C., Schneider, E. C., Kringos, D. S., Klazinga, N. S., . . . Nolte, E. (2014). </w:t>
      </w:r>
      <w:r w:rsidRPr="00DC5920">
        <w:rPr>
          <w:rFonts w:ascii="Arial" w:hAnsi="Arial" w:cs="Arial"/>
          <w:i/>
          <w:sz w:val="20"/>
          <w:szCs w:val="20"/>
        </w:rPr>
        <w:t xml:space="preserve">Regulating quality and safety of health and social care: International experiences </w:t>
      </w:r>
      <w:r w:rsidRPr="00DC5920">
        <w:rPr>
          <w:rFonts w:ascii="Arial" w:hAnsi="Arial" w:cs="Arial"/>
          <w:sz w:val="20"/>
          <w:szCs w:val="20"/>
        </w:rPr>
        <w:t xml:space="preserve">  Retrieved from </w:t>
      </w:r>
      <w:hyperlink r:id="rId8" w:history="1">
        <w:r w:rsidRPr="00DC5920">
          <w:rPr>
            <w:rStyle w:val="Hyperlink"/>
            <w:rFonts w:ascii="Arial" w:hAnsi="Arial" w:cs="Arial"/>
            <w:sz w:val="20"/>
            <w:szCs w:val="20"/>
          </w:rPr>
          <w:t>http://www.rand.org/pubs/research_reports/RR561.html</w:t>
        </w:r>
      </w:hyperlink>
      <w:r w:rsidRPr="00DC5920">
        <w:rPr>
          <w:rFonts w:ascii="Arial" w:hAnsi="Arial" w:cs="Arial"/>
          <w:sz w:val="20"/>
          <w:szCs w:val="20"/>
        </w:rPr>
        <w:t xml:space="preserve"> </w:t>
      </w:r>
      <w:bookmarkEnd w:id="17"/>
    </w:p>
    <w:p w14:paraId="6DA28869" w14:textId="77777777" w:rsidR="00DC5920" w:rsidRPr="00DC5920" w:rsidRDefault="00DC5920" w:rsidP="00DC5920">
      <w:pPr>
        <w:pStyle w:val="EndNoteBibliography"/>
        <w:ind w:left="720" w:hanging="720"/>
        <w:rPr>
          <w:rFonts w:ascii="Arial" w:hAnsi="Arial" w:cs="Arial"/>
          <w:sz w:val="20"/>
          <w:szCs w:val="20"/>
        </w:rPr>
      </w:pPr>
      <w:bookmarkStart w:id="18" w:name="_ENREF_18"/>
      <w:r w:rsidRPr="00DC5920">
        <w:rPr>
          <w:rFonts w:ascii="Arial" w:hAnsi="Arial" w:cs="Arial"/>
          <w:sz w:val="20"/>
          <w:szCs w:val="20"/>
        </w:rPr>
        <w:t xml:space="preserve">Scott, J., Dawson, P., &amp; Jones, D. (2012). Do older patients' perceptions of safety highlight barriers that could make their care safer during organisational care transfers? </w:t>
      </w:r>
      <w:r w:rsidRPr="00DC5920">
        <w:rPr>
          <w:rFonts w:ascii="Arial" w:hAnsi="Arial" w:cs="Arial"/>
          <w:i/>
          <w:sz w:val="20"/>
          <w:szCs w:val="20"/>
        </w:rPr>
        <w:t>BMJ Quality &amp; Safety, 21</w:t>
      </w:r>
      <w:r w:rsidRPr="00DC5920">
        <w:rPr>
          <w:rFonts w:ascii="Arial" w:hAnsi="Arial" w:cs="Arial"/>
          <w:sz w:val="20"/>
          <w:szCs w:val="20"/>
        </w:rPr>
        <w:t>, 112-117. doi: 10.1136/bmjqs-2011-000300</w:t>
      </w:r>
      <w:bookmarkEnd w:id="18"/>
    </w:p>
    <w:p w14:paraId="4197319A" w14:textId="77777777" w:rsidR="00DC5920" w:rsidRPr="00DC5920" w:rsidRDefault="00DC5920" w:rsidP="00DC5920">
      <w:pPr>
        <w:pStyle w:val="EndNoteBibliography"/>
        <w:ind w:left="720" w:hanging="720"/>
        <w:rPr>
          <w:rFonts w:ascii="Arial" w:hAnsi="Arial" w:cs="Arial"/>
          <w:sz w:val="20"/>
          <w:szCs w:val="20"/>
        </w:rPr>
      </w:pPr>
      <w:bookmarkStart w:id="19" w:name="_ENREF_19"/>
      <w:r w:rsidRPr="00DC5920">
        <w:rPr>
          <w:rFonts w:ascii="Arial" w:hAnsi="Arial" w:cs="Arial"/>
          <w:sz w:val="20"/>
          <w:szCs w:val="20"/>
        </w:rPr>
        <w:t xml:space="preserve">Waring, J., Allen, D., Braithwaite, J., &amp; Sandall, J. (2016a). Healthcare quality and safety: a review of policy, practice and research. </w:t>
      </w:r>
      <w:r w:rsidRPr="00DC5920">
        <w:rPr>
          <w:rFonts w:ascii="Arial" w:hAnsi="Arial" w:cs="Arial"/>
          <w:i/>
          <w:sz w:val="20"/>
          <w:szCs w:val="20"/>
        </w:rPr>
        <w:t>Sociology of Health &amp; Illness, 38</w:t>
      </w:r>
      <w:r w:rsidRPr="00DC5920">
        <w:rPr>
          <w:rFonts w:ascii="Arial" w:hAnsi="Arial" w:cs="Arial"/>
          <w:sz w:val="20"/>
          <w:szCs w:val="20"/>
        </w:rPr>
        <w:t>(2), 198-215. doi: 10.1111/1467-9566.12391</w:t>
      </w:r>
      <w:bookmarkEnd w:id="19"/>
    </w:p>
    <w:p w14:paraId="5F6F5206" w14:textId="77777777" w:rsidR="00DC5920" w:rsidRPr="00DC5920" w:rsidRDefault="00DC5920" w:rsidP="00DC5920">
      <w:pPr>
        <w:pStyle w:val="EndNoteBibliography"/>
        <w:ind w:left="720" w:hanging="720"/>
        <w:rPr>
          <w:rFonts w:ascii="Arial" w:hAnsi="Arial" w:cs="Arial"/>
          <w:sz w:val="20"/>
          <w:szCs w:val="20"/>
        </w:rPr>
      </w:pPr>
      <w:bookmarkStart w:id="20" w:name="_ENREF_20"/>
      <w:r w:rsidRPr="00DC5920">
        <w:rPr>
          <w:rFonts w:ascii="Arial" w:hAnsi="Arial" w:cs="Arial"/>
          <w:sz w:val="20"/>
          <w:szCs w:val="20"/>
        </w:rPr>
        <w:t xml:space="preserve">Waring, J., Bishop, S., &amp; Marshall, F. (2016b). A qualitative study of professional and carer perceptions of the threats to safe hospital discharge for stroke and hip fracture patients in the English National Health Service. </w:t>
      </w:r>
      <w:r w:rsidRPr="00DC5920">
        <w:rPr>
          <w:rFonts w:ascii="Arial" w:hAnsi="Arial" w:cs="Arial"/>
          <w:i/>
          <w:sz w:val="20"/>
          <w:szCs w:val="20"/>
        </w:rPr>
        <w:t>BMC Health Services Research, 16</w:t>
      </w:r>
      <w:r w:rsidRPr="00DC5920">
        <w:rPr>
          <w:rFonts w:ascii="Arial" w:hAnsi="Arial" w:cs="Arial"/>
          <w:sz w:val="20"/>
          <w:szCs w:val="20"/>
        </w:rPr>
        <w:t>(1), 1-14. doi: 10.1186/s12913-016-1568-2</w:t>
      </w:r>
      <w:bookmarkEnd w:id="20"/>
    </w:p>
    <w:p w14:paraId="787BD028" w14:textId="77777777" w:rsidR="00DC5920" w:rsidRPr="00DC5920" w:rsidRDefault="00DC5920" w:rsidP="00DC5920">
      <w:pPr>
        <w:pStyle w:val="EndNoteBibliography"/>
        <w:ind w:left="720" w:hanging="720"/>
        <w:rPr>
          <w:rFonts w:ascii="Arial" w:hAnsi="Arial" w:cs="Arial"/>
          <w:sz w:val="20"/>
          <w:szCs w:val="20"/>
        </w:rPr>
      </w:pPr>
      <w:bookmarkStart w:id="21" w:name="_ENREF_21"/>
      <w:r w:rsidRPr="00DC5920">
        <w:rPr>
          <w:rFonts w:ascii="Arial" w:hAnsi="Arial" w:cs="Arial"/>
          <w:sz w:val="20"/>
          <w:szCs w:val="20"/>
        </w:rPr>
        <w:t xml:space="preserve">Weissman, J. S., Schneider, E. C., Weingart, S. N., Epstein, A. M., David-Kasdan, J., Feibelmann, S., . . . Gatsonis, C. (2008). Comparing patient-reported hospital adverse events with medical record review: Do patients know something that hospitals do not? </w:t>
      </w:r>
      <w:r w:rsidRPr="00DC5920">
        <w:rPr>
          <w:rFonts w:ascii="Arial" w:hAnsi="Arial" w:cs="Arial"/>
          <w:i/>
          <w:sz w:val="20"/>
          <w:szCs w:val="20"/>
        </w:rPr>
        <w:t>Annals of Internal Medicine, 149</w:t>
      </w:r>
      <w:r w:rsidRPr="00DC5920">
        <w:rPr>
          <w:rFonts w:ascii="Arial" w:hAnsi="Arial" w:cs="Arial"/>
          <w:sz w:val="20"/>
          <w:szCs w:val="20"/>
        </w:rPr>
        <w:t xml:space="preserve">(2), 100-108. </w:t>
      </w:r>
      <w:bookmarkEnd w:id="21"/>
    </w:p>
    <w:p w14:paraId="67003319" w14:textId="77777777" w:rsidR="00DC5920" w:rsidRPr="00DC5920" w:rsidRDefault="00DC5920" w:rsidP="00DC5920">
      <w:pPr>
        <w:pStyle w:val="EndNoteBibliography"/>
        <w:ind w:left="720" w:hanging="720"/>
        <w:rPr>
          <w:rFonts w:ascii="Arial" w:hAnsi="Arial" w:cs="Arial"/>
          <w:sz w:val="20"/>
          <w:szCs w:val="20"/>
        </w:rPr>
      </w:pPr>
      <w:bookmarkStart w:id="22" w:name="_ENREF_22"/>
      <w:r w:rsidRPr="00DC5920">
        <w:rPr>
          <w:rFonts w:ascii="Arial" w:hAnsi="Arial" w:cs="Arial"/>
          <w:sz w:val="20"/>
          <w:szCs w:val="20"/>
        </w:rPr>
        <w:t xml:space="preserve">Witherington, E. M. A., Pirzada, O. M., &amp; Avery, A. J. (2008). Communication gaps and readmissions to hospital for patients aged 75 years and older: observational study. </w:t>
      </w:r>
      <w:r w:rsidRPr="00DC5920">
        <w:rPr>
          <w:rFonts w:ascii="Arial" w:hAnsi="Arial" w:cs="Arial"/>
          <w:i/>
          <w:sz w:val="20"/>
          <w:szCs w:val="20"/>
        </w:rPr>
        <w:t>Quality and Safety in Health Care, 17</w:t>
      </w:r>
      <w:r w:rsidRPr="00DC5920">
        <w:rPr>
          <w:rFonts w:ascii="Arial" w:hAnsi="Arial" w:cs="Arial"/>
          <w:sz w:val="20"/>
          <w:szCs w:val="20"/>
        </w:rPr>
        <w:t>(1), 71-75. doi: 10.1136/qshc.2006.020842</w:t>
      </w:r>
      <w:bookmarkEnd w:id="22"/>
    </w:p>
    <w:p w14:paraId="256A5F36" w14:textId="7C3CF1BD" w:rsidR="00976A00" w:rsidRPr="00DC5920" w:rsidRDefault="003E3177" w:rsidP="00DC5920">
      <w:pPr>
        <w:spacing w:line="480" w:lineRule="auto"/>
        <w:jc w:val="both"/>
        <w:rPr>
          <w:rFonts w:ascii="Arial" w:hAnsi="Arial" w:cs="Arial"/>
          <w:sz w:val="20"/>
          <w:szCs w:val="20"/>
        </w:rPr>
      </w:pPr>
      <w:r w:rsidRPr="00DC5920">
        <w:rPr>
          <w:rFonts w:ascii="Arial" w:hAnsi="Arial" w:cs="Arial"/>
          <w:sz w:val="20"/>
          <w:szCs w:val="20"/>
        </w:rPr>
        <w:fldChar w:fldCharType="end"/>
      </w:r>
    </w:p>
    <w:sectPr w:rsidR="00976A00" w:rsidRPr="00DC592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27399" w14:textId="77777777" w:rsidR="00A65DDC" w:rsidRDefault="00A65DDC" w:rsidP="000912AC">
      <w:r>
        <w:separator/>
      </w:r>
    </w:p>
  </w:endnote>
  <w:endnote w:type="continuationSeparator" w:id="0">
    <w:p w14:paraId="2E7BF626" w14:textId="77777777" w:rsidR="00A65DDC" w:rsidRDefault="00A65DDC" w:rsidP="0009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9016644"/>
      <w:docPartObj>
        <w:docPartGallery w:val="Page Numbers (Bottom of Page)"/>
        <w:docPartUnique/>
      </w:docPartObj>
    </w:sdtPr>
    <w:sdtEndPr>
      <w:rPr>
        <w:noProof/>
      </w:rPr>
    </w:sdtEndPr>
    <w:sdtContent>
      <w:p w14:paraId="358C8A00" w14:textId="2E1A411F" w:rsidR="00871742" w:rsidRDefault="00871742">
        <w:pPr>
          <w:pStyle w:val="Footer"/>
          <w:jc w:val="right"/>
        </w:pPr>
        <w:r>
          <w:fldChar w:fldCharType="begin"/>
        </w:r>
        <w:r>
          <w:instrText xml:space="preserve"> PAGE   \* MERGEFORMAT </w:instrText>
        </w:r>
        <w:r>
          <w:fldChar w:fldCharType="separate"/>
        </w:r>
        <w:r w:rsidR="00732612">
          <w:rPr>
            <w:noProof/>
          </w:rPr>
          <w:t>1</w:t>
        </w:r>
        <w:r>
          <w:rPr>
            <w:noProof/>
          </w:rPr>
          <w:fldChar w:fldCharType="end"/>
        </w:r>
      </w:p>
    </w:sdtContent>
  </w:sdt>
  <w:p w14:paraId="6B96FE89" w14:textId="77777777" w:rsidR="00871742" w:rsidRDefault="008717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6FECE1" w14:textId="77777777" w:rsidR="00A65DDC" w:rsidRDefault="00A65DDC" w:rsidP="000912AC">
      <w:r>
        <w:separator/>
      </w:r>
    </w:p>
  </w:footnote>
  <w:footnote w:type="continuationSeparator" w:id="0">
    <w:p w14:paraId="63CC092D" w14:textId="77777777" w:rsidR="00A65DDC" w:rsidRDefault="00A65DDC" w:rsidP="00091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61FE3"/>
    <w:multiLevelType w:val="hybridMultilevel"/>
    <w:tmpl w:val="116CD5F8"/>
    <w:lvl w:ilvl="0" w:tplc="DBACF072">
      <w:start w:val="1"/>
      <w:numFmt w:val="bullet"/>
      <w:lvlText w:val=""/>
      <w:lvlJc w:val="left"/>
      <w:pPr>
        <w:ind w:left="360" w:hanging="360"/>
      </w:pPr>
      <w:rPr>
        <w:rFonts w:ascii="Symbol" w:hAnsi="Symbol"/>
      </w:rPr>
    </w:lvl>
    <w:lvl w:ilvl="1" w:tplc="DF787900">
      <w:start w:val="1"/>
      <w:numFmt w:val="bullet"/>
      <w:lvlText w:val="o"/>
      <w:lvlJc w:val="left"/>
      <w:pPr>
        <w:ind w:left="1080" w:hanging="360"/>
      </w:pPr>
      <w:rPr>
        <w:rFonts w:ascii="Courier New" w:hAnsi="Courier New"/>
      </w:rPr>
    </w:lvl>
    <w:lvl w:ilvl="2" w:tplc="603AF0AA">
      <w:start w:val="1"/>
      <w:numFmt w:val="bullet"/>
      <w:lvlText w:val=""/>
      <w:lvlJc w:val="left"/>
      <w:pPr>
        <w:ind w:left="1800" w:hanging="360"/>
      </w:pPr>
      <w:rPr>
        <w:rFonts w:ascii="Wingdings" w:hAnsi="Wingdings"/>
      </w:rPr>
    </w:lvl>
    <w:lvl w:ilvl="3" w:tplc="727A42D4">
      <w:start w:val="1"/>
      <w:numFmt w:val="bullet"/>
      <w:lvlText w:val=""/>
      <w:lvlJc w:val="left"/>
      <w:pPr>
        <w:ind w:left="2520" w:hanging="360"/>
      </w:pPr>
      <w:rPr>
        <w:rFonts w:ascii="Symbol" w:hAnsi="Symbol"/>
      </w:rPr>
    </w:lvl>
    <w:lvl w:ilvl="4" w:tplc="2140FC62">
      <w:start w:val="1"/>
      <w:numFmt w:val="bullet"/>
      <w:lvlText w:val="o"/>
      <w:lvlJc w:val="left"/>
      <w:pPr>
        <w:ind w:left="3240" w:hanging="360"/>
      </w:pPr>
      <w:rPr>
        <w:rFonts w:ascii="Courier New" w:hAnsi="Courier New"/>
      </w:rPr>
    </w:lvl>
    <w:lvl w:ilvl="5" w:tplc="CEE4963E">
      <w:start w:val="1"/>
      <w:numFmt w:val="bullet"/>
      <w:lvlText w:val=""/>
      <w:lvlJc w:val="left"/>
      <w:pPr>
        <w:ind w:left="3960" w:hanging="360"/>
      </w:pPr>
      <w:rPr>
        <w:rFonts w:ascii="Wingdings" w:hAnsi="Wingdings"/>
      </w:rPr>
    </w:lvl>
    <w:lvl w:ilvl="6" w:tplc="6BBA1C3C">
      <w:start w:val="1"/>
      <w:numFmt w:val="bullet"/>
      <w:lvlText w:val=""/>
      <w:lvlJc w:val="left"/>
      <w:pPr>
        <w:ind w:left="4680" w:hanging="360"/>
      </w:pPr>
      <w:rPr>
        <w:rFonts w:ascii="Symbol" w:hAnsi="Symbol"/>
      </w:rPr>
    </w:lvl>
    <w:lvl w:ilvl="7" w:tplc="78B2BD18">
      <w:start w:val="1"/>
      <w:numFmt w:val="bullet"/>
      <w:lvlText w:val="o"/>
      <w:lvlJc w:val="left"/>
      <w:pPr>
        <w:ind w:left="5400" w:hanging="360"/>
      </w:pPr>
      <w:rPr>
        <w:rFonts w:ascii="Courier New" w:hAnsi="Courier New"/>
      </w:rPr>
    </w:lvl>
    <w:lvl w:ilvl="8" w:tplc="F934C2DC">
      <w:start w:val="1"/>
      <w:numFmt w:val="bullet"/>
      <w:lvlText w:val=""/>
      <w:lvlJc w:val="left"/>
      <w:pPr>
        <w:ind w:left="6120" w:hanging="360"/>
      </w:pPr>
      <w:rPr>
        <w:rFonts w:ascii="Wingdings" w:hAnsi="Wingdings"/>
      </w:rPr>
    </w:lvl>
  </w:abstractNum>
  <w:abstractNum w:abstractNumId="1" w15:restartNumberingAfterBreak="0">
    <w:nsid w:val="05E3727B"/>
    <w:multiLevelType w:val="hybridMultilevel"/>
    <w:tmpl w:val="C3D2F84C"/>
    <w:lvl w:ilvl="0" w:tplc="C24C6CCC">
      <w:start w:val="1"/>
      <w:numFmt w:val="decimal"/>
      <w:lvlText w:val="%1."/>
      <w:lvlJc w:val="left"/>
      <w:pPr>
        <w:ind w:left="720" w:hanging="360"/>
      </w:pPr>
    </w:lvl>
    <w:lvl w:ilvl="1" w:tplc="64EC4108">
      <w:start w:val="1"/>
      <w:numFmt w:val="lowerLetter"/>
      <w:lvlText w:val="%2."/>
      <w:lvlJc w:val="left"/>
      <w:pPr>
        <w:ind w:left="1440" w:hanging="360"/>
      </w:pPr>
    </w:lvl>
    <w:lvl w:ilvl="2" w:tplc="2392E206">
      <w:start w:val="1"/>
      <w:numFmt w:val="lowerRoman"/>
      <w:lvlText w:val="%3."/>
      <w:lvlJc w:val="right"/>
      <w:pPr>
        <w:ind w:left="2160" w:hanging="180"/>
      </w:pPr>
    </w:lvl>
    <w:lvl w:ilvl="3" w:tplc="B2E20362">
      <w:start w:val="1"/>
      <w:numFmt w:val="decimal"/>
      <w:lvlText w:val="%4."/>
      <w:lvlJc w:val="left"/>
      <w:pPr>
        <w:ind w:left="2880" w:hanging="360"/>
      </w:pPr>
    </w:lvl>
    <w:lvl w:ilvl="4" w:tplc="258A7C06">
      <w:start w:val="1"/>
      <w:numFmt w:val="lowerLetter"/>
      <w:lvlText w:val="%5."/>
      <w:lvlJc w:val="left"/>
      <w:pPr>
        <w:ind w:left="3600" w:hanging="360"/>
      </w:pPr>
    </w:lvl>
    <w:lvl w:ilvl="5" w:tplc="7BBAEBB2">
      <w:start w:val="1"/>
      <w:numFmt w:val="lowerRoman"/>
      <w:lvlText w:val="%6."/>
      <w:lvlJc w:val="right"/>
      <w:pPr>
        <w:ind w:left="4320" w:hanging="180"/>
      </w:pPr>
    </w:lvl>
    <w:lvl w:ilvl="6" w:tplc="D1E83F82">
      <w:start w:val="1"/>
      <w:numFmt w:val="decimal"/>
      <w:lvlText w:val="%7."/>
      <w:lvlJc w:val="left"/>
      <w:pPr>
        <w:ind w:left="5040" w:hanging="360"/>
      </w:pPr>
    </w:lvl>
    <w:lvl w:ilvl="7" w:tplc="A8D2EA24">
      <w:start w:val="1"/>
      <w:numFmt w:val="lowerLetter"/>
      <w:lvlText w:val="%8."/>
      <w:lvlJc w:val="left"/>
      <w:pPr>
        <w:ind w:left="5760" w:hanging="360"/>
      </w:pPr>
    </w:lvl>
    <w:lvl w:ilvl="8" w:tplc="132A8C16">
      <w:start w:val="1"/>
      <w:numFmt w:val="lowerRoman"/>
      <w:lvlText w:val="%9."/>
      <w:lvlJc w:val="right"/>
      <w:pPr>
        <w:ind w:left="6480" w:hanging="180"/>
      </w:pPr>
    </w:lvl>
  </w:abstractNum>
  <w:abstractNum w:abstractNumId="2" w15:restartNumberingAfterBreak="0">
    <w:nsid w:val="12BC713B"/>
    <w:multiLevelType w:val="hybridMultilevel"/>
    <w:tmpl w:val="43DCC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1B393A"/>
    <w:multiLevelType w:val="hybridMultilevel"/>
    <w:tmpl w:val="9CD65F96"/>
    <w:lvl w:ilvl="0" w:tplc="8CA285B8">
      <w:start w:val="1"/>
      <w:numFmt w:val="bullet"/>
      <w:lvlText w:val=""/>
      <w:lvlJc w:val="left"/>
      <w:pPr>
        <w:ind w:left="720" w:hanging="360"/>
      </w:pPr>
      <w:rPr>
        <w:rFonts w:ascii="Symbol" w:hAnsi="Symbol"/>
      </w:rPr>
    </w:lvl>
    <w:lvl w:ilvl="1" w:tplc="6204C2CC">
      <w:start w:val="1"/>
      <w:numFmt w:val="bullet"/>
      <w:lvlText w:val="o"/>
      <w:lvlJc w:val="left"/>
      <w:pPr>
        <w:ind w:left="1440" w:hanging="360"/>
      </w:pPr>
      <w:rPr>
        <w:rFonts w:ascii="Courier New" w:hAnsi="Courier New"/>
      </w:rPr>
    </w:lvl>
    <w:lvl w:ilvl="2" w:tplc="B900A640">
      <w:start w:val="1"/>
      <w:numFmt w:val="bullet"/>
      <w:lvlText w:val=""/>
      <w:lvlJc w:val="left"/>
      <w:pPr>
        <w:ind w:left="2160" w:hanging="360"/>
      </w:pPr>
      <w:rPr>
        <w:rFonts w:ascii="Wingdings" w:hAnsi="Wingdings"/>
      </w:rPr>
    </w:lvl>
    <w:lvl w:ilvl="3" w:tplc="90383EB4">
      <w:start w:val="1"/>
      <w:numFmt w:val="bullet"/>
      <w:lvlText w:val=""/>
      <w:lvlJc w:val="left"/>
      <w:pPr>
        <w:ind w:left="2880" w:hanging="360"/>
      </w:pPr>
      <w:rPr>
        <w:rFonts w:ascii="Symbol" w:hAnsi="Symbol"/>
      </w:rPr>
    </w:lvl>
    <w:lvl w:ilvl="4" w:tplc="CCC42C6A">
      <w:start w:val="1"/>
      <w:numFmt w:val="bullet"/>
      <w:lvlText w:val="o"/>
      <w:lvlJc w:val="left"/>
      <w:pPr>
        <w:ind w:left="3600" w:hanging="360"/>
      </w:pPr>
      <w:rPr>
        <w:rFonts w:ascii="Courier New" w:hAnsi="Courier New"/>
      </w:rPr>
    </w:lvl>
    <w:lvl w:ilvl="5" w:tplc="42E6CB1E">
      <w:start w:val="1"/>
      <w:numFmt w:val="bullet"/>
      <w:lvlText w:val=""/>
      <w:lvlJc w:val="left"/>
      <w:pPr>
        <w:ind w:left="4320" w:hanging="360"/>
      </w:pPr>
      <w:rPr>
        <w:rFonts w:ascii="Wingdings" w:hAnsi="Wingdings"/>
      </w:rPr>
    </w:lvl>
    <w:lvl w:ilvl="6" w:tplc="EA5A2A60">
      <w:start w:val="1"/>
      <w:numFmt w:val="bullet"/>
      <w:lvlText w:val=""/>
      <w:lvlJc w:val="left"/>
      <w:pPr>
        <w:ind w:left="5040" w:hanging="360"/>
      </w:pPr>
      <w:rPr>
        <w:rFonts w:ascii="Symbol" w:hAnsi="Symbol"/>
      </w:rPr>
    </w:lvl>
    <w:lvl w:ilvl="7" w:tplc="1D523082">
      <w:start w:val="1"/>
      <w:numFmt w:val="bullet"/>
      <w:lvlText w:val="o"/>
      <w:lvlJc w:val="left"/>
      <w:pPr>
        <w:ind w:left="5760" w:hanging="360"/>
      </w:pPr>
      <w:rPr>
        <w:rFonts w:ascii="Courier New" w:hAnsi="Courier New"/>
      </w:rPr>
    </w:lvl>
    <w:lvl w:ilvl="8" w:tplc="735C2FA4">
      <w:start w:val="1"/>
      <w:numFmt w:val="bullet"/>
      <w:lvlText w:val=""/>
      <w:lvlJc w:val="left"/>
      <w:pPr>
        <w:ind w:left="6480" w:hanging="360"/>
      </w:pPr>
      <w:rPr>
        <w:rFonts w:ascii="Wingdings" w:hAnsi="Wingdings"/>
      </w:rPr>
    </w:lvl>
  </w:abstractNum>
  <w:abstractNum w:abstractNumId="4" w15:restartNumberingAfterBreak="0">
    <w:nsid w:val="1FDE30B6"/>
    <w:multiLevelType w:val="hybridMultilevel"/>
    <w:tmpl w:val="E7682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112C6"/>
    <w:multiLevelType w:val="hybridMultilevel"/>
    <w:tmpl w:val="F4A0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A7BA6"/>
    <w:multiLevelType w:val="multilevel"/>
    <w:tmpl w:val="D870D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9B5E05"/>
    <w:multiLevelType w:val="hybridMultilevel"/>
    <w:tmpl w:val="1B42FFB8"/>
    <w:lvl w:ilvl="0" w:tplc="3A009D9E">
      <w:start w:val="1"/>
      <w:numFmt w:val="bullet"/>
      <w:lvlText w:val=""/>
      <w:lvlJc w:val="left"/>
      <w:pPr>
        <w:ind w:left="720" w:hanging="360"/>
      </w:pPr>
      <w:rPr>
        <w:rFonts w:ascii="Symbol" w:hAnsi="Symbol"/>
      </w:rPr>
    </w:lvl>
    <w:lvl w:ilvl="1" w:tplc="38DA87F8">
      <w:start w:val="1"/>
      <w:numFmt w:val="bullet"/>
      <w:lvlText w:val="o"/>
      <w:lvlJc w:val="left"/>
      <w:pPr>
        <w:ind w:left="1440" w:hanging="360"/>
      </w:pPr>
      <w:rPr>
        <w:rFonts w:ascii="Courier New" w:hAnsi="Courier New"/>
      </w:rPr>
    </w:lvl>
    <w:lvl w:ilvl="2" w:tplc="A030E92E">
      <w:start w:val="1"/>
      <w:numFmt w:val="bullet"/>
      <w:lvlText w:val=""/>
      <w:lvlJc w:val="left"/>
      <w:pPr>
        <w:ind w:left="2160" w:hanging="360"/>
      </w:pPr>
      <w:rPr>
        <w:rFonts w:ascii="Wingdings" w:hAnsi="Wingdings"/>
      </w:rPr>
    </w:lvl>
    <w:lvl w:ilvl="3" w:tplc="454E1D72">
      <w:start w:val="1"/>
      <w:numFmt w:val="bullet"/>
      <w:lvlText w:val=""/>
      <w:lvlJc w:val="left"/>
      <w:pPr>
        <w:ind w:left="2880" w:hanging="360"/>
      </w:pPr>
      <w:rPr>
        <w:rFonts w:ascii="Symbol" w:hAnsi="Symbol"/>
      </w:rPr>
    </w:lvl>
    <w:lvl w:ilvl="4" w:tplc="E2069D36">
      <w:start w:val="1"/>
      <w:numFmt w:val="bullet"/>
      <w:lvlText w:val="o"/>
      <w:lvlJc w:val="left"/>
      <w:pPr>
        <w:ind w:left="3600" w:hanging="360"/>
      </w:pPr>
      <w:rPr>
        <w:rFonts w:ascii="Courier New" w:hAnsi="Courier New"/>
      </w:rPr>
    </w:lvl>
    <w:lvl w:ilvl="5" w:tplc="8A9C1568">
      <w:start w:val="1"/>
      <w:numFmt w:val="bullet"/>
      <w:lvlText w:val=""/>
      <w:lvlJc w:val="left"/>
      <w:pPr>
        <w:ind w:left="4320" w:hanging="360"/>
      </w:pPr>
      <w:rPr>
        <w:rFonts w:ascii="Wingdings" w:hAnsi="Wingdings"/>
      </w:rPr>
    </w:lvl>
    <w:lvl w:ilvl="6" w:tplc="A3F8ED46">
      <w:start w:val="1"/>
      <w:numFmt w:val="bullet"/>
      <w:lvlText w:val=""/>
      <w:lvlJc w:val="left"/>
      <w:pPr>
        <w:ind w:left="5040" w:hanging="360"/>
      </w:pPr>
      <w:rPr>
        <w:rFonts w:ascii="Symbol" w:hAnsi="Symbol"/>
      </w:rPr>
    </w:lvl>
    <w:lvl w:ilvl="7" w:tplc="4DAE5A92">
      <w:start w:val="1"/>
      <w:numFmt w:val="bullet"/>
      <w:lvlText w:val="o"/>
      <w:lvlJc w:val="left"/>
      <w:pPr>
        <w:ind w:left="5760" w:hanging="360"/>
      </w:pPr>
      <w:rPr>
        <w:rFonts w:ascii="Courier New" w:hAnsi="Courier New"/>
      </w:rPr>
    </w:lvl>
    <w:lvl w:ilvl="8" w:tplc="E6F83918">
      <w:start w:val="1"/>
      <w:numFmt w:val="bullet"/>
      <w:lvlText w:val=""/>
      <w:lvlJc w:val="left"/>
      <w:pPr>
        <w:ind w:left="6480" w:hanging="360"/>
      </w:pPr>
      <w:rPr>
        <w:rFonts w:ascii="Wingdings" w:hAnsi="Wingdings"/>
      </w:rPr>
    </w:lvl>
  </w:abstractNum>
  <w:abstractNum w:abstractNumId="8" w15:restartNumberingAfterBreak="0">
    <w:nsid w:val="539E1575"/>
    <w:multiLevelType w:val="hybridMultilevel"/>
    <w:tmpl w:val="88964C24"/>
    <w:lvl w:ilvl="0" w:tplc="7E0E7782">
      <w:start w:val="1"/>
      <w:numFmt w:val="bullet"/>
      <w:lvlText w:val=""/>
      <w:lvlJc w:val="left"/>
      <w:pPr>
        <w:ind w:left="360" w:hanging="360"/>
      </w:pPr>
      <w:rPr>
        <w:rFonts w:ascii="Symbol" w:hAnsi="Symbol"/>
      </w:rPr>
    </w:lvl>
    <w:lvl w:ilvl="1" w:tplc="3C641DF0">
      <w:start w:val="1"/>
      <w:numFmt w:val="bullet"/>
      <w:lvlText w:val="o"/>
      <w:lvlJc w:val="left"/>
      <w:pPr>
        <w:ind w:left="1080" w:hanging="360"/>
      </w:pPr>
      <w:rPr>
        <w:rFonts w:ascii="Courier New" w:hAnsi="Courier New"/>
      </w:rPr>
    </w:lvl>
    <w:lvl w:ilvl="2" w:tplc="F20C5272">
      <w:start w:val="1"/>
      <w:numFmt w:val="bullet"/>
      <w:lvlText w:val=""/>
      <w:lvlJc w:val="left"/>
      <w:pPr>
        <w:ind w:left="1800" w:hanging="360"/>
      </w:pPr>
      <w:rPr>
        <w:rFonts w:ascii="Wingdings" w:hAnsi="Wingdings"/>
      </w:rPr>
    </w:lvl>
    <w:lvl w:ilvl="3" w:tplc="534E4D22">
      <w:start w:val="1"/>
      <w:numFmt w:val="bullet"/>
      <w:lvlText w:val=""/>
      <w:lvlJc w:val="left"/>
      <w:pPr>
        <w:ind w:left="2520" w:hanging="360"/>
      </w:pPr>
      <w:rPr>
        <w:rFonts w:ascii="Symbol" w:hAnsi="Symbol"/>
      </w:rPr>
    </w:lvl>
    <w:lvl w:ilvl="4" w:tplc="70583E96">
      <w:start w:val="1"/>
      <w:numFmt w:val="bullet"/>
      <w:lvlText w:val="o"/>
      <w:lvlJc w:val="left"/>
      <w:pPr>
        <w:ind w:left="3240" w:hanging="360"/>
      </w:pPr>
      <w:rPr>
        <w:rFonts w:ascii="Courier New" w:hAnsi="Courier New"/>
      </w:rPr>
    </w:lvl>
    <w:lvl w:ilvl="5" w:tplc="772E9120">
      <w:start w:val="1"/>
      <w:numFmt w:val="bullet"/>
      <w:lvlText w:val=""/>
      <w:lvlJc w:val="left"/>
      <w:pPr>
        <w:ind w:left="3960" w:hanging="360"/>
      </w:pPr>
      <w:rPr>
        <w:rFonts w:ascii="Wingdings" w:hAnsi="Wingdings"/>
      </w:rPr>
    </w:lvl>
    <w:lvl w:ilvl="6" w:tplc="0CBA7AA2">
      <w:start w:val="1"/>
      <w:numFmt w:val="bullet"/>
      <w:lvlText w:val=""/>
      <w:lvlJc w:val="left"/>
      <w:pPr>
        <w:ind w:left="4680" w:hanging="360"/>
      </w:pPr>
      <w:rPr>
        <w:rFonts w:ascii="Symbol" w:hAnsi="Symbol"/>
      </w:rPr>
    </w:lvl>
    <w:lvl w:ilvl="7" w:tplc="0762AA60">
      <w:start w:val="1"/>
      <w:numFmt w:val="bullet"/>
      <w:lvlText w:val="o"/>
      <w:lvlJc w:val="left"/>
      <w:pPr>
        <w:ind w:left="5400" w:hanging="360"/>
      </w:pPr>
      <w:rPr>
        <w:rFonts w:ascii="Courier New" w:hAnsi="Courier New"/>
      </w:rPr>
    </w:lvl>
    <w:lvl w:ilvl="8" w:tplc="90C67D3A">
      <w:start w:val="1"/>
      <w:numFmt w:val="bullet"/>
      <w:lvlText w:val=""/>
      <w:lvlJc w:val="left"/>
      <w:pPr>
        <w:ind w:left="6120" w:hanging="360"/>
      </w:pPr>
      <w:rPr>
        <w:rFonts w:ascii="Wingdings" w:hAnsi="Wingdings"/>
      </w:rPr>
    </w:lvl>
  </w:abstractNum>
  <w:abstractNum w:abstractNumId="9" w15:restartNumberingAfterBreak="0">
    <w:nsid w:val="66755239"/>
    <w:multiLevelType w:val="hybridMultilevel"/>
    <w:tmpl w:val="EC1A31B4"/>
    <w:lvl w:ilvl="0" w:tplc="F84C176E">
      <w:start w:val="1"/>
      <w:numFmt w:val="bullet"/>
      <w:lvlText w:val=""/>
      <w:lvlJc w:val="left"/>
      <w:pPr>
        <w:ind w:left="720" w:hanging="360"/>
      </w:pPr>
      <w:rPr>
        <w:rFonts w:ascii="Symbol" w:hAnsi="Symbol"/>
      </w:rPr>
    </w:lvl>
    <w:lvl w:ilvl="1" w:tplc="1936898A">
      <w:start w:val="1"/>
      <w:numFmt w:val="bullet"/>
      <w:lvlText w:val="o"/>
      <w:lvlJc w:val="left"/>
      <w:pPr>
        <w:ind w:left="1440" w:hanging="360"/>
      </w:pPr>
      <w:rPr>
        <w:rFonts w:ascii="Courier New" w:hAnsi="Courier New"/>
      </w:rPr>
    </w:lvl>
    <w:lvl w:ilvl="2" w:tplc="0E402FA8">
      <w:start w:val="1"/>
      <w:numFmt w:val="bullet"/>
      <w:lvlText w:val=""/>
      <w:lvlJc w:val="left"/>
      <w:pPr>
        <w:ind w:left="2160" w:hanging="360"/>
      </w:pPr>
      <w:rPr>
        <w:rFonts w:ascii="Wingdings" w:hAnsi="Wingdings"/>
      </w:rPr>
    </w:lvl>
    <w:lvl w:ilvl="3" w:tplc="C4E874EC">
      <w:start w:val="1"/>
      <w:numFmt w:val="bullet"/>
      <w:lvlText w:val=""/>
      <w:lvlJc w:val="left"/>
      <w:pPr>
        <w:ind w:left="2880" w:hanging="360"/>
      </w:pPr>
      <w:rPr>
        <w:rFonts w:ascii="Symbol" w:hAnsi="Symbol"/>
      </w:rPr>
    </w:lvl>
    <w:lvl w:ilvl="4" w:tplc="F65E35D4">
      <w:start w:val="1"/>
      <w:numFmt w:val="bullet"/>
      <w:lvlText w:val="o"/>
      <w:lvlJc w:val="left"/>
      <w:pPr>
        <w:ind w:left="3600" w:hanging="360"/>
      </w:pPr>
      <w:rPr>
        <w:rFonts w:ascii="Courier New" w:hAnsi="Courier New"/>
      </w:rPr>
    </w:lvl>
    <w:lvl w:ilvl="5" w:tplc="5776B8C4">
      <w:start w:val="1"/>
      <w:numFmt w:val="bullet"/>
      <w:lvlText w:val=""/>
      <w:lvlJc w:val="left"/>
      <w:pPr>
        <w:ind w:left="4320" w:hanging="360"/>
      </w:pPr>
      <w:rPr>
        <w:rFonts w:ascii="Wingdings" w:hAnsi="Wingdings"/>
      </w:rPr>
    </w:lvl>
    <w:lvl w:ilvl="6" w:tplc="AEA0C89A">
      <w:start w:val="1"/>
      <w:numFmt w:val="bullet"/>
      <w:lvlText w:val=""/>
      <w:lvlJc w:val="left"/>
      <w:pPr>
        <w:ind w:left="5040" w:hanging="360"/>
      </w:pPr>
      <w:rPr>
        <w:rFonts w:ascii="Symbol" w:hAnsi="Symbol"/>
      </w:rPr>
    </w:lvl>
    <w:lvl w:ilvl="7" w:tplc="6D04B464">
      <w:start w:val="1"/>
      <w:numFmt w:val="bullet"/>
      <w:lvlText w:val="o"/>
      <w:lvlJc w:val="left"/>
      <w:pPr>
        <w:ind w:left="5760" w:hanging="360"/>
      </w:pPr>
      <w:rPr>
        <w:rFonts w:ascii="Courier New" w:hAnsi="Courier New"/>
      </w:rPr>
    </w:lvl>
    <w:lvl w:ilvl="8" w:tplc="CF3CEB1A">
      <w:start w:val="1"/>
      <w:numFmt w:val="bullet"/>
      <w:lvlText w:val=""/>
      <w:lvlJc w:val="left"/>
      <w:pPr>
        <w:ind w:left="6480" w:hanging="360"/>
      </w:pPr>
      <w:rPr>
        <w:rFonts w:ascii="Wingdings" w:hAnsi="Wingdings"/>
      </w:rPr>
    </w:lvl>
  </w:abstractNum>
  <w:abstractNum w:abstractNumId="10" w15:restartNumberingAfterBreak="0">
    <w:nsid w:val="6AD66057"/>
    <w:multiLevelType w:val="hybridMultilevel"/>
    <w:tmpl w:val="7006F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243482"/>
    <w:multiLevelType w:val="hybridMultilevel"/>
    <w:tmpl w:val="57A0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0"/>
  </w:num>
  <w:num w:numId="5">
    <w:abstractNumId w:val="8"/>
  </w:num>
  <w:num w:numId="6">
    <w:abstractNumId w:val="1"/>
  </w:num>
  <w:num w:numId="7">
    <w:abstractNumId w:val="5"/>
  </w:num>
  <w:num w:numId="8">
    <w:abstractNumId w:val="4"/>
  </w:num>
  <w:num w:numId="9">
    <w:abstractNumId w:val="11"/>
  </w:num>
  <w:num w:numId="10">
    <w:abstractNumId w:val="2"/>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Jason&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fwaf2tw3df0viedd07x0t91ex5rxwd552av&quot;&gt;All&lt;record-ids&gt;&lt;item&gt;7&lt;/item&gt;&lt;item&gt;88&lt;/item&gt;&lt;item&gt;103&lt;/item&gt;&lt;item&gt;179&lt;/item&gt;&lt;item&gt;224&lt;/item&gt;&lt;item&gt;285&lt;/item&gt;&lt;item&gt;723&lt;/item&gt;&lt;item&gt;763&lt;/item&gt;&lt;item&gt;918&lt;/item&gt;&lt;item&gt;919&lt;/item&gt;&lt;item&gt;937&lt;/item&gt;&lt;item&gt;973&lt;/item&gt;&lt;item&gt;1009&lt;/item&gt;&lt;item&gt;1018&lt;/item&gt;&lt;item&gt;1020&lt;/item&gt;&lt;item&gt;1021&lt;/item&gt;&lt;item&gt;1213&lt;/item&gt;&lt;item&gt;1214&lt;/item&gt;&lt;item&gt;1385&lt;/item&gt;&lt;/record-ids&gt;&lt;/item&gt;&lt;/Libraries&gt;"/>
  </w:docVars>
  <w:rsids>
    <w:rsidRoot w:val="00521C0D"/>
    <w:rsid w:val="00004F8B"/>
    <w:rsid w:val="00011244"/>
    <w:rsid w:val="0001256E"/>
    <w:rsid w:val="000217E8"/>
    <w:rsid w:val="00024242"/>
    <w:rsid w:val="00025D45"/>
    <w:rsid w:val="000261C7"/>
    <w:rsid w:val="000272E7"/>
    <w:rsid w:val="0003192E"/>
    <w:rsid w:val="00035A35"/>
    <w:rsid w:val="000373DE"/>
    <w:rsid w:val="000408D6"/>
    <w:rsid w:val="00045F92"/>
    <w:rsid w:val="00046B43"/>
    <w:rsid w:val="00054781"/>
    <w:rsid w:val="00061F24"/>
    <w:rsid w:val="00074DE5"/>
    <w:rsid w:val="00086D8F"/>
    <w:rsid w:val="00090F8F"/>
    <w:rsid w:val="000912AC"/>
    <w:rsid w:val="00096D3F"/>
    <w:rsid w:val="000A0093"/>
    <w:rsid w:val="000A479F"/>
    <w:rsid w:val="000A4A39"/>
    <w:rsid w:val="000B1633"/>
    <w:rsid w:val="000B2E7C"/>
    <w:rsid w:val="000B4C10"/>
    <w:rsid w:val="000B6189"/>
    <w:rsid w:val="000B7EB7"/>
    <w:rsid w:val="000C18B3"/>
    <w:rsid w:val="000C6A73"/>
    <w:rsid w:val="000D6A24"/>
    <w:rsid w:val="000F6653"/>
    <w:rsid w:val="001016EA"/>
    <w:rsid w:val="00102D75"/>
    <w:rsid w:val="00104301"/>
    <w:rsid w:val="00104B63"/>
    <w:rsid w:val="00115F92"/>
    <w:rsid w:val="00120A59"/>
    <w:rsid w:val="001214D3"/>
    <w:rsid w:val="00123053"/>
    <w:rsid w:val="00132F16"/>
    <w:rsid w:val="0013368A"/>
    <w:rsid w:val="00144446"/>
    <w:rsid w:val="001517F6"/>
    <w:rsid w:val="00154155"/>
    <w:rsid w:val="001543E5"/>
    <w:rsid w:val="001558EC"/>
    <w:rsid w:val="0016177D"/>
    <w:rsid w:val="00175317"/>
    <w:rsid w:val="001756D4"/>
    <w:rsid w:val="00175F55"/>
    <w:rsid w:val="00181B39"/>
    <w:rsid w:val="00182C84"/>
    <w:rsid w:val="00183EC8"/>
    <w:rsid w:val="00185605"/>
    <w:rsid w:val="00191A26"/>
    <w:rsid w:val="00196D5F"/>
    <w:rsid w:val="001B4610"/>
    <w:rsid w:val="001B64BF"/>
    <w:rsid w:val="001C4F7E"/>
    <w:rsid w:val="001C6F19"/>
    <w:rsid w:val="001D0981"/>
    <w:rsid w:val="001D1647"/>
    <w:rsid w:val="002026D9"/>
    <w:rsid w:val="00212D88"/>
    <w:rsid w:val="002200ED"/>
    <w:rsid w:val="002267DC"/>
    <w:rsid w:val="0023247F"/>
    <w:rsid w:val="002342FE"/>
    <w:rsid w:val="0023625C"/>
    <w:rsid w:val="00242723"/>
    <w:rsid w:val="002510C7"/>
    <w:rsid w:val="0025644F"/>
    <w:rsid w:val="00263381"/>
    <w:rsid w:val="00265337"/>
    <w:rsid w:val="00265B40"/>
    <w:rsid w:val="00270D0B"/>
    <w:rsid w:val="002816CD"/>
    <w:rsid w:val="002832BE"/>
    <w:rsid w:val="0029293C"/>
    <w:rsid w:val="0029570C"/>
    <w:rsid w:val="00297849"/>
    <w:rsid w:val="0029786B"/>
    <w:rsid w:val="002A6699"/>
    <w:rsid w:val="002A6B96"/>
    <w:rsid w:val="002B3498"/>
    <w:rsid w:val="002B5345"/>
    <w:rsid w:val="002B7465"/>
    <w:rsid w:val="002E01FF"/>
    <w:rsid w:val="002E1400"/>
    <w:rsid w:val="002E2FE0"/>
    <w:rsid w:val="0031260F"/>
    <w:rsid w:val="0031432C"/>
    <w:rsid w:val="0031688B"/>
    <w:rsid w:val="00317A80"/>
    <w:rsid w:val="003211DD"/>
    <w:rsid w:val="00331364"/>
    <w:rsid w:val="003318E4"/>
    <w:rsid w:val="00336518"/>
    <w:rsid w:val="00336D28"/>
    <w:rsid w:val="003370C4"/>
    <w:rsid w:val="003400B1"/>
    <w:rsid w:val="0034108F"/>
    <w:rsid w:val="00342477"/>
    <w:rsid w:val="00343582"/>
    <w:rsid w:val="003460CE"/>
    <w:rsid w:val="00351F98"/>
    <w:rsid w:val="00355567"/>
    <w:rsid w:val="0035562D"/>
    <w:rsid w:val="00362870"/>
    <w:rsid w:val="00366026"/>
    <w:rsid w:val="00371582"/>
    <w:rsid w:val="003827D4"/>
    <w:rsid w:val="003851F7"/>
    <w:rsid w:val="003934CE"/>
    <w:rsid w:val="003A0160"/>
    <w:rsid w:val="003A404C"/>
    <w:rsid w:val="003A42B6"/>
    <w:rsid w:val="003B1496"/>
    <w:rsid w:val="003B43C3"/>
    <w:rsid w:val="003E3177"/>
    <w:rsid w:val="003E64AB"/>
    <w:rsid w:val="003F5F82"/>
    <w:rsid w:val="004036DB"/>
    <w:rsid w:val="004109DB"/>
    <w:rsid w:val="004117A4"/>
    <w:rsid w:val="004204B6"/>
    <w:rsid w:val="00441206"/>
    <w:rsid w:val="00447761"/>
    <w:rsid w:val="0045511D"/>
    <w:rsid w:val="00455564"/>
    <w:rsid w:val="00463397"/>
    <w:rsid w:val="00466BDE"/>
    <w:rsid w:val="00474212"/>
    <w:rsid w:val="00475785"/>
    <w:rsid w:val="00484534"/>
    <w:rsid w:val="00486BA7"/>
    <w:rsid w:val="00493C3C"/>
    <w:rsid w:val="004943F4"/>
    <w:rsid w:val="004A5B67"/>
    <w:rsid w:val="004A5CF8"/>
    <w:rsid w:val="004C4644"/>
    <w:rsid w:val="004C7DF0"/>
    <w:rsid w:val="004D3D04"/>
    <w:rsid w:val="004D6C47"/>
    <w:rsid w:val="004D7FDD"/>
    <w:rsid w:val="004E2E33"/>
    <w:rsid w:val="004E2EA5"/>
    <w:rsid w:val="004E4592"/>
    <w:rsid w:val="004F2D28"/>
    <w:rsid w:val="004F4A1C"/>
    <w:rsid w:val="00501249"/>
    <w:rsid w:val="005041C4"/>
    <w:rsid w:val="00510044"/>
    <w:rsid w:val="00511674"/>
    <w:rsid w:val="00512764"/>
    <w:rsid w:val="005176D9"/>
    <w:rsid w:val="00520425"/>
    <w:rsid w:val="00521C0D"/>
    <w:rsid w:val="005262E0"/>
    <w:rsid w:val="005263F3"/>
    <w:rsid w:val="0053014B"/>
    <w:rsid w:val="00532365"/>
    <w:rsid w:val="00537A3A"/>
    <w:rsid w:val="00542DA6"/>
    <w:rsid w:val="0054683A"/>
    <w:rsid w:val="00547413"/>
    <w:rsid w:val="005521F7"/>
    <w:rsid w:val="005628F2"/>
    <w:rsid w:val="00562D68"/>
    <w:rsid w:val="00572C97"/>
    <w:rsid w:val="005740D4"/>
    <w:rsid w:val="00576825"/>
    <w:rsid w:val="005800B0"/>
    <w:rsid w:val="00586335"/>
    <w:rsid w:val="00586A3D"/>
    <w:rsid w:val="00587415"/>
    <w:rsid w:val="00595D65"/>
    <w:rsid w:val="005A3BEF"/>
    <w:rsid w:val="005A4A92"/>
    <w:rsid w:val="005B1669"/>
    <w:rsid w:val="005B251E"/>
    <w:rsid w:val="005C6964"/>
    <w:rsid w:val="005D0CF9"/>
    <w:rsid w:val="005D1EE1"/>
    <w:rsid w:val="005D59C7"/>
    <w:rsid w:val="005E2197"/>
    <w:rsid w:val="005E44B9"/>
    <w:rsid w:val="005E6B59"/>
    <w:rsid w:val="005E756A"/>
    <w:rsid w:val="00602891"/>
    <w:rsid w:val="00615A8B"/>
    <w:rsid w:val="0062350B"/>
    <w:rsid w:val="00626AF6"/>
    <w:rsid w:val="006319EC"/>
    <w:rsid w:val="00632622"/>
    <w:rsid w:val="00636A7C"/>
    <w:rsid w:val="006458EE"/>
    <w:rsid w:val="00653D68"/>
    <w:rsid w:val="00661BE2"/>
    <w:rsid w:val="006620E5"/>
    <w:rsid w:val="006647D4"/>
    <w:rsid w:val="00691DA9"/>
    <w:rsid w:val="006A255B"/>
    <w:rsid w:val="006A2644"/>
    <w:rsid w:val="006B511A"/>
    <w:rsid w:val="006C27E5"/>
    <w:rsid w:val="006E0B04"/>
    <w:rsid w:val="006E3926"/>
    <w:rsid w:val="006E77B5"/>
    <w:rsid w:val="006F16D3"/>
    <w:rsid w:val="006F3C1F"/>
    <w:rsid w:val="0070075C"/>
    <w:rsid w:val="00712D16"/>
    <w:rsid w:val="00715D12"/>
    <w:rsid w:val="007173CE"/>
    <w:rsid w:val="00727FEC"/>
    <w:rsid w:val="00732612"/>
    <w:rsid w:val="007340FA"/>
    <w:rsid w:val="00746013"/>
    <w:rsid w:val="007605C0"/>
    <w:rsid w:val="00760C5C"/>
    <w:rsid w:val="00785724"/>
    <w:rsid w:val="00790BF3"/>
    <w:rsid w:val="007961E2"/>
    <w:rsid w:val="007A18AD"/>
    <w:rsid w:val="007C3FDB"/>
    <w:rsid w:val="007C4F84"/>
    <w:rsid w:val="007D4802"/>
    <w:rsid w:val="007D4EF6"/>
    <w:rsid w:val="007E05F2"/>
    <w:rsid w:val="007E7C3A"/>
    <w:rsid w:val="007F6DDB"/>
    <w:rsid w:val="00803794"/>
    <w:rsid w:val="00807A1E"/>
    <w:rsid w:val="00810439"/>
    <w:rsid w:val="00827330"/>
    <w:rsid w:val="00832313"/>
    <w:rsid w:val="00841DA5"/>
    <w:rsid w:val="0084735D"/>
    <w:rsid w:val="008522EC"/>
    <w:rsid w:val="00853B45"/>
    <w:rsid w:val="0085419F"/>
    <w:rsid w:val="00855E36"/>
    <w:rsid w:val="00860CEB"/>
    <w:rsid w:val="00871742"/>
    <w:rsid w:val="00874D05"/>
    <w:rsid w:val="0088273A"/>
    <w:rsid w:val="00887BA3"/>
    <w:rsid w:val="00893AA0"/>
    <w:rsid w:val="00896515"/>
    <w:rsid w:val="008C232D"/>
    <w:rsid w:val="008C5E39"/>
    <w:rsid w:val="008F1C06"/>
    <w:rsid w:val="008F58BD"/>
    <w:rsid w:val="008F5B53"/>
    <w:rsid w:val="009133AB"/>
    <w:rsid w:val="00915655"/>
    <w:rsid w:val="00920C99"/>
    <w:rsid w:val="00923CF9"/>
    <w:rsid w:val="0094423E"/>
    <w:rsid w:val="00947BDA"/>
    <w:rsid w:val="009542FE"/>
    <w:rsid w:val="009558F6"/>
    <w:rsid w:val="0095769A"/>
    <w:rsid w:val="0097094B"/>
    <w:rsid w:val="0097275B"/>
    <w:rsid w:val="00976A00"/>
    <w:rsid w:val="00982C03"/>
    <w:rsid w:val="00995805"/>
    <w:rsid w:val="009B0049"/>
    <w:rsid w:val="009B5FC9"/>
    <w:rsid w:val="009C3728"/>
    <w:rsid w:val="009C38BC"/>
    <w:rsid w:val="009C6F52"/>
    <w:rsid w:val="009D396D"/>
    <w:rsid w:val="009D64D3"/>
    <w:rsid w:val="009E1E86"/>
    <w:rsid w:val="009E5B07"/>
    <w:rsid w:val="009E6616"/>
    <w:rsid w:val="009F3059"/>
    <w:rsid w:val="00A0170A"/>
    <w:rsid w:val="00A02CDC"/>
    <w:rsid w:val="00A06B03"/>
    <w:rsid w:val="00A160CE"/>
    <w:rsid w:val="00A17C03"/>
    <w:rsid w:val="00A21462"/>
    <w:rsid w:val="00A248D3"/>
    <w:rsid w:val="00A263BF"/>
    <w:rsid w:val="00A345A6"/>
    <w:rsid w:val="00A37D90"/>
    <w:rsid w:val="00A47819"/>
    <w:rsid w:val="00A51A7E"/>
    <w:rsid w:val="00A54B5F"/>
    <w:rsid w:val="00A65DDC"/>
    <w:rsid w:val="00A7192E"/>
    <w:rsid w:val="00A746E5"/>
    <w:rsid w:val="00A87F54"/>
    <w:rsid w:val="00A93F59"/>
    <w:rsid w:val="00A96835"/>
    <w:rsid w:val="00AA0AAF"/>
    <w:rsid w:val="00AA642B"/>
    <w:rsid w:val="00AC1FC0"/>
    <w:rsid w:val="00AC3E03"/>
    <w:rsid w:val="00AD39AD"/>
    <w:rsid w:val="00AD472E"/>
    <w:rsid w:val="00AD4932"/>
    <w:rsid w:val="00AD4C58"/>
    <w:rsid w:val="00AD4EDF"/>
    <w:rsid w:val="00AD6123"/>
    <w:rsid w:val="00AD62E5"/>
    <w:rsid w:val="00AF13A5"/>
    <w:rsid w:val="00AF70D4"/>
    <w:rsid w:val="00B03B34"/>
    <w:rsid w:val="00B06B08"/>
    <w:rsid w:val="00B120A8"/>
    <w:rsid w:val="00B135EE"/>
    <w:rsid w:val="00B351A1"/>
    <w:rsid w:val="00B35B79"/>
    <w:rsid w:val="00B37BA1"/>
    <w:rsid w:val="00B408A6"/>
    <w:rsid w:val="00B41666"/>
    <w:rsid w:val="00B55254"/>
    <w:rsid w:val="00B56400"/>
    <w:rsid w:val="00B6385F"/>
    <w:rsid w:val="00B70EFB"/>
    <w:rsid w:val="00B71E3B"/>
    <w:rsid w:val="00B73ED9"/>
    <w:rsid w:val="00B76D0F"/>
    <w:rsid w:val="00BA38F5"/>
    <w:rsid w:val="00BB27E0"/>
    <w:rsid w:val="00BB4660"/>
    <w:rsid w:val="00BB6698"/>
    <w:rsid w:val="00BB7A2B"/>
    <w:rsid w:val="00BC20C9"/>
    <w:rsid w:val="00BD14B9"/>
    <w:rsid w:val="00BD2977"/>
    <w:rsid w:val="00BD38BE"/>
    <w:rsid w:val="00BD4A5A"/>
    <w:rsid w:val="00BE0AC3"/>
    <w:rsid w:val="00BE574E"/>
    <w:rsid w:val="00C01940"/>
    <w:rsid w:val="00C050D5"/>
    <w:rsid w:val="00C14C4B"/>
    <w:rsid w:val="00C1570E"/>
    <w:rsid w:val="00C17F44"/>
    <w:rsid w:val="00C36137"/>
    <w:rsid w:val="00C421F5"/>
    <w:rsid w:val="00C51E76"/>
    <w:rsid w:val="00C54B8A"/>
    <w:rsid w:val="00C56392"/>
    <w:rsid w:val="00C56E21"/>
    <w:rsid w:val="00C6334D"/>
    <w:rsid w:val="00C64890"/>
    <w:rsid w:val="00C67236"/>
    <w:rsid w:val="00C76367"/>
    <w:rsid w:val="00C763AE"/>
    <w:rsid w:val="00C83A86"/>
    <w:rsid w:val="00C85A5B"/>
    <w:rsid w:val="00C92B30"/>
    <w:rsid w:val="00CA49BC"/>
    <w:rsid w:val="00CB0115"/>
    <w:rsid w:val="00CB04C6"/>
    <w:rsid w:val="00CB4FE6"/>
    <w:rsid w:val="00CC51DA"/>
    <w:rsid w:val="00CC71CD"/>
    <w:rsid w:val="00CD06B6"/>
    <w:rsid w:val="00CD3F9C"/>
    <w:rsid w:val="00CF069C"/>
    <w:rsid w:val="00CF1E0E"/>
    <w:rsid w:val="00D041DD"/>
    <w:rsid w:val="00D047B1"/>
    <w:rsid w:val="00D057B1"/>
    <w:rsid w:val="00D10689"/>
    <w:rsid w:val="00D13606"/>
    <w:rsid w:val="00D14547"/>
    <w:rsid w:val="00D15317"/>
    <w:rsid w:val="00D22BF8"/>
    <w:rsid w:val="00D24C5E"/>
    <w:rsid w:val="00D261DC"/>
    <w:rsid w:val="00D33947"/>
    <w:rsid w:val="00D445B8"/>
    <w:rsid w:val="00D473F6"/>
    <w:rsid w:val="00D51554"/>
    <w:rsid w:val="00D52D35"/>
    <w:rsid w:val="00D55432"/>
    <w:rsid w:val="00D720F9"/>
    <w:rsid w:val="00D77EEA"/>
    <w:rsid w:val="00D8113F"/>
    <w:rsid w:val="00D81DEF"/>
    <w:rsid w:val="00D843B4"/>
    <w:rsid w:val="00D9090F"/>
    <w:rsid w:val="00D979F9"/>
    <w:rsid w:val="00DB16DF"/>
    <w:rsid w:val="00DB4EB4"/>
    <w:rsid w:val="00DB5340"/>
    <w:rsid w:val="00DB615A"/>
    <w:rsid w:val="00DC40C4"/>
    <w:rsid w:val="00DC5920"/>
    <w:rsid w:val="00DD58D9"/>
    <w:rsid w:val="00DD6575"/>
    <w:rsid w:val="00DE7149"/>
    <w:rsid w:val="00DF619F"/>
    <w:rsid w:val="00E00841"/>
    <w:rsid w:val="00E0190C"/>
    <w:rsid w:val="00E05E9A"/>
    <w:rsid w:val="00E122F0"/>
    <w:rsid w:val="00E17726"/>
    <w:rsid w:val="00E2047F"/>
    <w:rsid w:val="00E2519C"/>
    <w:rsid w:val="00E33866"/>
    <w:rsid w:val="00E34D4C"/>
    <w:rsid w:val="00E43A5C"/>
    <w:rsid w:val="00E4449A"/>
    <w:rsid w:val="00E462CC"/>
    <w:rsid w:val="00E55B3C"/>
    <w:rsid w:val="00E57EB8"/>
    <w:rsid w:val="00E808EF"/>
    <w:rsid w:val="00E816B4"/>
    <w:rsid w:val="00EA0521"/>
    <w:rsid w:val="00EA2FF2"/>
    <w:rsid w:val="00EA3E6B"/>
    <w:rsid w:val="00EA4849"/>
    <w:rsid w:val="00EB6D9D"/>
    <w:rsid w:val="00EC077B"/>
    <w:rsid w:val="00EC77BB"/>
    <w:rsid w:val="00ED5657"/>
    <w:rsid w:val="00ED6274"/>
    <w:rsid w:val="00EE3274"/>
    <w:rsid w:val="00EE7F71"/>
    <w:rsid w:val="00EF28B9"/>
    <w:rsid w:val="00EF57FB"/>
    <w:rsid w:val="00EF7FB3"/>
    <w:rsid w:val="00F11740"/>
    <w:rsid w:val="00F24FB4"/>
    <w:rsid w:val="00F26256"/>
    <w:rsid w:val="00F42CC0"/>
    <w:rsid w:val="00F43BE7"/>
    <w:rsid w:val="00F442A6"/>
    <w:rsid w:val="00F53F74"/>
    <w:rsid w:val="00F5476F"/>
    <w:rsid w:val="00F73F0C"/>
    <w:rsid w:val="00F80141"/>
    <w:rsid w:val="00F932D5"/>
    <w:rsid w:val="00F96BEE"/>
    <w:rsid w:val="00FA4926"/>
    <w:rsid w:val="00FB1373"/>
    <w:rsid w:val="00FE0250"/>
    <w:rsid w:val="00FE13E8"/>
    <w:rsid w:val="00FF1B86"/>
    <w:rsid w:val="00FF2976"/>
    <w:rsid w:val="00FF35F2"/>
    <w:rsid w:val="00FF6D77"/>
    <w:rsid w:val="00FF7D08"/>
    <w:rsid w:val="00FF7D1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65C1B"/>
  <w15:docId w15:val="{FC65793F-74B0-486D-852F-57688AA12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6F52"/>
    <w:pPr>
      <w:spacing w:after="0" w:line="240" w:lineRule="auto"/>
    </w:pPr>
    <w:rPr>
      <w:rFonts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0261C7"/>
    <w:pPr>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261C7"/>
    <w:rPr>
      <w:rFonts w:ascii="Calibri" w:hAnsi="Calibri" w:cs="Times New Roman"/>
      <w:noProof/>
      <w:sz w:val="24"/>
      <w:szCs w:val="24"/>
      <w:lang w:eastAsia="en-GB"/>
    </w:rPr>
  </w:style>
  <w:style w:type="paragraph" w:customStyle="1" w:styleId="EndNoteBibliography">
    <w:name w:val="EndNote Bibliography"/>
    <w:basedOn w:val="Normal"/>
    <w:link w:val="EndNoteBibliographyChar"/>
    <w:rsid w:val="000261C7"/>
    <w:rPr>
      <w:rFonts w:ascii="Calibri" w:hAnsi="Calibri"/>
      <w:noProof/>
    </w:rPr>
  </w:style>
  <w:style w:type="character" w:customStyle="1" w:styleId="EndNoteBibliographyChar">
    <w:name w:val="EndNote Bibliography Char"/>
    <w:basedOn w:val="DefaultParagraphFont"/>
    <w:link w:val="EndNoteBibliography"/>
    <w:rsid w:val="000261C7"/>
    <w:rPr>
      <w:rFonts w:ascii="Calibri" w:hAnsi="Calibri" w:cs="Times New Roman"/>
      <w:noProof/>
      <w:sz w:val="24"/>
      <w:szCs w:val="24"/>
      <w:lang w:eastAsia="en-GB"/>
    </w:rPr>
  </w:style>
  <w:style w:type="character" w:styleId="Hyperlink">
    <w:name w:val="Hyperlink"/>
    <w:basedOn w:val="DefaultParagraphFont"/>
    <w:uiPriority w:val="99"/>
    <w:unhideWhenUsed/>
    <w:rsid w:val="000261C7"/>
    <w:rPr>
      <w:color w:val="0000FF" w:themeColor="hyperlink"/>
      <w:u w:val="single"/>
    </w:rPr>
  </w:style>
  <w:style w:type="table" w:styleId="TableGrid">
    <w:name w:val="Table Grid"/>
    <w:basedOn w:val="TableNormal"/>
    <w:uiPriority w:val="59"/>
    <w:rsid w:val="00026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251E"/>
    <w:rPr>
      <w:sz w:val="16"/>
      <w:szCs w:val="16"/>
    </w:rPr>
  </w:style>
  <w:style w:type="paragraph" w:styleId="CommentText">
    <w:name w:val="annotation text"/>
    <w:basedOn w:val="Normal"/>
    <w:link w:val="CommentTextChar"/>
    <w:uiPriority w:val="99"/>
    <w:unhideWhenUsed/>
    <w:rsid w:val="005B251E"/>
    <w:rPr>
      <w:sz w:val="20"/>
      <w:szCs w:val="20"/>
    </w:rPr>
  </w:style>
  <w:style w:type="character" w:customStyle="1" w:styleId="CommentTextChar">
    <w:name w:val="Comment Text Char"/>
    <w:basedOn w:val="DefaultParagraphFont"/>
    <w:link w:val="CommentText"/>
    <w:uiPriority w:val="99"/>
    <w:rsid w:val="005B251E"/>
    <w:rPr>
      <w:rFont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B251E"/>
    <w:rPr>
      <w:b/>
      <w:bCs/>
    </w:rPr>
  </w:style>
  <w:style w:type="character" w:customStyle="1" w:styleId="CommentSubjectChar">
    <w:name w:val="Comment Subject Char"/>
    <w:basedOn w:val="CommentTextChar"/>
    <w:link w:val="CommentSubject"/>
    <w:uiPriority w:val="99"/>
    <w:semiHidden/>
    <w:rsid w:val="005B251E"/>
    <w:rPr>
      <w:rFonts w:cs="Times New Roman"/>
      <w:b/>
      <w:bCs/>
      <w:sz w:val="20"/>
      <w:szCs w:val="20"/>
      <w:lang w:eastAsia="en-GB"/>
    </w:rPr>
  </w:style>
  <w:style w:type="paragraph" w:styleId="BalloonText">
    <w:name w:val="Balloon Text"/>
    <w:basedOn w:val="Normal"/>
    <w:link w:val="BalloonTextChar"/>
    <w:uiPriority w:val="99"/>
    <w:semiHidden/>
    <w:unhideWhenUsed/>
    <w:rsid w:val="005B251E"/>
    <w:rPr>
      <w:rFonts w:ascii="Tahoma" w:hAnsi="Tahoma" w:cs="Tahoma"/>
      <w:sz w:val="16"/>
      <w:szCs w:val="16"/>
    </w:rPr>
  </w:style>
  <w:style w:type="character" w:customStyle="1" w:styleId="BalloonTextChar">
    <w:name w:val="Balloon Text Char"/>
    <w:basedOn w:val="DefaultParagraphFont"/>
    <w:link w:val="BalloonText"/>
    <w:uiPriority w:val="99"/>
    <w:semiHidden/>
    <w:rsid w:val="005B251E"/>
    <w:rPr>
      <w:rFonts w:ascii="Tahoma" w:hAnsi="Tahoma" w:cs="Tahoma"/>
      <w:sz w:val="16"/>
      <w:szCs w:val="16"/>
      <w:lang w:eastAsia="en-GB"/>
    </w:rPr>
  </w:style>
  <w:style w:type="paragraph" w:styleId="ListParagraph">
    <w:name w:val="List Paragraph"/>
    <w:basedOn w:val="Normal"/>
    <w:uiPriority w:val="34"/>
    <w:qFormat/>
    <w:rsid w:val="00D8113F"/>
    <w:pPr>
      <w:ind w:left="720"/>
      <w:contextualSpacing/>
    </w:pPr>
  </w:style>
  <w:style w:type="paragraph" w:styleId="Revision">
    <w:name w:val="Revision"/>
    <w:hidden/>
    <w:uiPriority w:val="99"/>
    <w:semiHidden/>
    <w:rsid w:val="004F4A1C"/>
    <w:pPr>
      <w:spacing w:after="0" w:line="240" w:lineRule="auto"/>
    </w:pPr>
    <w:rPr>
      <w:rFonts w:cs="Times New Roman"/>
      <w:sz w:val="24"/>
      <w:szCs w:val="24"/>
      <w:lang w:eastAsia="en-GB"/>
    </w:rPr>
  </w:style>
  <w:style w:type="paragraph" w:styleId="Header">
    <w:name w:val="header"/>
    <w:basedOn w:val="Normal"/>
    <w:link w:val="HeaderChar"/>
    <w:uiPriority w:val="99"/>
    <w:unhideWhenUsed/>
    <w:rsid w:val="000912AC"/>
    <w:pPr>
      <w:tabs>
        <w:tab w:val="center" w:pos="4513"/>
        <w:tab w:val="right" w:pos="9026"/>
      </w:tabs>
    </w:pPr>
  </w:style>
  <w:style w:type="character" w:customStyle="1" w:styleId="HeaderChar">
    <w:name w:val="Header Char"/>
    <w:basedOn w:val="DefaultParagraphFont"/>
    <w:link w:val="Header"/>
    <w:uiPriority w:val="99"/>
    <w:rsid w:val="000912AC"/>
    <w:rPr>
      <w:rFonts w:cs="Times New Roman"/>
      <w:sz w:val="24"/>
      <w:szCs w:val="24"/>
      <w:lang w:eastAsia="en-GB"/>
    </w:rPr>
  </w:style>
  <w:style w:type="paragraph" w:styleId="Footer">
    <w:name w:val="footer"/>
    <w:basedOn w:val="Normal"/>
    <w:link w:val="FooterChar"/>
    <w:uiPriority w:val="99"/>
    <w:unhideWhenUsed/>
    <w:rsid w:val="000912AC"/>
    <w:pPr>
      <w:tabs>
        <w:tab w:val="center" w:pos="4513"/>
        <w:tab w:val="right" w:pos="9026"/>
      </w:tabs>
    </w:pPr>
  </w:style>
  <w:style w:type="character" w:customStyle="1" w:styleId="FooterChar">
    <w:name w:val="Footer Char"/>
    <w:basedOn w:val="DefaultParagraphFont"/>
    <w:link w:val="Footer"/>
    <w:uiPriority w:val="99"/>
    <w:rsid w:val="000912AC"/>
    <w:rPr>
      <w:rFonts w:cs="Times New Roman"/>
      <w:sz w:val="24"/>
      <w:szCs w:val="24"/>
      <w:lang w:eastAsia="en-GB"/>
    </w:rPr>
  </w:style>
  <w:style w:type="paragraph" w:customStyle="1" w:styleId="legclearfix">
    <w:name w:val="legclearfix"/>
    <w:basedOn w:val="Normal"/>
    <w:rsid w:val="00455564"/>
    <w:pPr>
      <w:spacing w:before="100" w:beforeAutospacing="1" w:after="100" w:afterAutospacing="1"/>
    </w:pPr>
    <w:rPr>
      <w:rFonts w:ascii="Times New Roman" w:hAnsi="Times New Roman"/>
    </w:rPr>
  </w:style>
  <w:style w:type="character" w:customStyle="1" w:styleId="legds">
    <w:name w:val="legds"/>
    <w:basedOn w:val="DefaultParagraphFont"/>
    <w:rsid w:val="0045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95884">
      <w:bodyDiv w:val="1"/>
      <w:marLeft w:val="0"/>
      <w:marRight w:val="0"/>
      <w:marTop w:val="0"/>
      <w:marBottom w:val="0"/>
      <w:divBdr>
        <w:top w:val="none" w:sz="0" w:space="0" w:color="auto"/>
        <w:left w:val="none" w:sz="0" w:space="0" w:color="auto"/>
        <w:bottom w:val="none" w:sz="0" w:space="0" w:color="auto"/>
        <w:right w:val="none" w:sz="0" w:space="0" w:color="auto"/>
      </w:divBdr>
    </w:div>
    <w:div w:id="321616573">
      <w:bodyDiv w:val="1"/>
      <w:marLeft w:val="0"/>
      <w:marRight w:val="0"/>
      <w:marTop w:val="0"/>
      <w:marBottom w:val="0"/>
      <w:divBdr>
        <w:top w:val="none" w:sz="0" w:space="0" w:color="auto"/>
        <w:left w:val="none" w:sz="0" w:space="0" w:color="auto"/>
        <w:bottom w:val="none" w:sz="0" w:space="0" w:color="auto"/>
        <w:right w:val="none" w:sz="0" w:space="0" w:color="auto"/>
      </w:divBdr>
    </w:div>
    <w:div w:id="603613215">
      <w:bodyDiv w:val="1"/>
      <w:marLeft w:val="0"/>
      <w:marRight w:val="0"/>
      <w:marTop w:val="0"/>
      <w:marBottom w:val="0"/>
      <w:divBdr>
        <w:top w:val="none" w:sz="0" w:space="0" w:color="auto"/>
        <w:left w:val="none" w:sz="0" w:space="0" w:color="auto"/>
        <w:bottom w:val="none" w:sz="0" w:space="0" w:color="auto"/>
        <w:right w:val="none" w:sz="0" w:space="0" w:color="auto"/>
      </w:divBdr>
    </w:div>
    <w:div w:id="1045135135">
      <w:bodyDiv w:val="1"/>
      <w:marLeft w:val="0"/>
      <w:marRight w:val="0"/>
      <w:marTop w:val="0"/>
      <w:marBottom w:val="0"/>
      <w:divBdr>
        <w:top w:val="none" w:sz="0" w:space="0" w:color="auto"/>
        <w:left w:val="none" w:sz="0" w:space="0" w:color="auto"/>
        <w:bottom w:val="none" w:sz="0" w:space="0" w:color="auto"/>
        <w:right w:val="none" w:sz="0" w:space="0" w:color="auto"/>
      </w:divBdr>
      <w:divsChild>
        <w:div w:id="6061556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org/pubs/research_reports/RR56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7DB13-7508-4B99-BBC4-2B48C9148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719F0ACA.dotm</Template>
  <TotalTime>1</TotalTime>
  <Pages>18</Pages>
  <Words>7736</Words>
  <Characters>44096</Characters>
  <Application>Microsoft Office Word</Application>
  <DocSecurity>4</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51729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Scott</dc:creator>
  <cp:lastModifiedBy>Matthew Wigzell</cp:lastModifiedBy>
  <cp:revision>2</cp:revision>
  <cp:lastPrinted>2016-10-03T09:29:00Z</cp:lastPrinted>
  <dcterms:created xsi:type="dcterms:W3CDTF">2017-01-25T09:32:00Z</dcterms:created>
  <dcterms:modified xsi:type="dcterms:W3CDTF">2017-01-25T09:32:00Z</dcterms:modified>
</cp:coreProperties>
</file>