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D7D52" w14:textId="4B5D39E5" w:rsidR="004471D4" w:rsidRPr="00882286" w:rsidRDefault="00882286" w:rsidP="00882286">
      <w:pPr>
        <w:pStyle w:val="BodyText"/>
        <w:rPr>
          <w:rFonts w:asciiTheme="minorHAnsi" w:hAnsiTheme="minorHAnsi"/>
        </w:rPr>
      </w:pPr>
      <w:bookmarkStart w:id="0" w:name="_GoBack"/>
      <w:bookmarkEnd w:id="0"/>
      <w:r w:rsidRPr="00882286">
        <w:rPr>
          <w:rFonts w:asciiTheme="minorHAnsi" w:hAnsiTheme="minorHAnsi"/>
        </w:rPr>
        <w:t xml:space="preserve">Use of </w:t>
      </w:r>
      <w:r w:rsidR="00334297" w:rsidRPr="00882286">
        <w:rPr>
          <w:rFonts w:asciiTheme="minorHAnsi" w:hAnsiTheme="minorHAnsi"/>
        </w:rPr>
        <w:t>Population Exposure Frequency Distribution</w:t>
      </w:r>
      <w:r>
        <w:rPr>
          <w:rFonts w:asciiTheme="minorHAnsi" w:hAnsiTheme="minorHAnsi"/>
        </w:rPr>
        <w:t>s</w:t>
      </w:r>
      <w:r w:rsidR="00334297" w:rsidRPr="00882286">
        <w:rPr>
          <w:rFonts w:asciiTheme="minorHAnsi" w:hAnsiTheme="minorHAnsi"/>
        </w:rPr>
        <w:t xml:space="preserve"> </w:t>
      </w:r>
      <w:r w:rsidRPr="00882286">
        <w:rPr>
          <w:rFonts w:asciiTheme="minorHAnsi" w:hAnsiTheme="minorHAnsi"/>
        </w:rPr>
        <w:t xml:space="preserve">to simulate </w:t>
      </w:r>
      <w:r w:rsidR="008C5D4B">
        <w:rPr>
          <w:rFonts w:asciiTheme="minorHAnsi" w:hAnsiTheme="minorHAnsi"/>
        </w:rPr>
        <w:t>effects o</w:t>
      </w:r>
      <w:r w:rsidR="00C17107">
        <w:rPr>
          <w:rFonts w:asciiTheme="minorHAnsi" w:hAnsiTheme="minorHAnsi"/>
        </w:rPr>
        <w:t>f</w:t>
      </w:r>
      <w:r w:rsidR="008C5D4B">
        <w:rPr>
          <w:rFonts w:asciiTheme="minorHAnsi" w:hAnsiTheme="minorHAnsi"/>
        </w:rPr>
        <w:t xml:space="preserve"> policy interventions on </w:t>
      </w:r>
      <w:r w:rsidR="003A7DED" w:rsidRPr="00882286">
        <w:rPr>
          <w:rFonts w:asciiTheme="minorHAnsi" w:hAnsiTheme="minorHAnsi"/>
        </w:rPr>
        <w:t>NO</w:t>
      </w:r>
      <w:r w:rsidR="003A7DED" w:rsidRPr="00882286">
        <w:rPr>
          <w:rFonts w:asciiTheme="minorHAnsi" w:hAnsiTheme="minorHAnsi"/>
          <w:vertAlign w:val="subscript"/>
        </w:rPr>
        <w:t>2</w:t>
      </w:r>
      <w:r w:rsidR="003A7DED" w:rsidRPr="00882286">
        <w:rPr>
          <w:rFonts w:asciiTheme="minorHAnsi" w:hAnsiTheme="minorHAnsi"/>
        </w:rPr>
        <w:t xml:space="preserve"> </w:t>
      </w:r>
      <w:r w:rsidRPr="00882286">
        <w:rPr>
          <w:rFonts w:asciiTheme="minorHAnsi" w:hAnsiTheme="minorHAnsi"/>
        </w:rPr>
        <w:t xml:space="preserve">exposure </w:t>
      </w:r>
    </w:p>
    <w:p w14:paraId="3FBD8C1B" w14:textId="77777777" w:rsidR="004471D4" w:rsidRDefault="004471D4" w:rsidP="00BA29F9">
      <w:pPr>
        <w:tabs>
          <w:tab w:val="left" w:pos="1635"/>
        </w:tabs>
        <w:autoSpaceDE w:val="0"/>
        <w:autoSpaceDN w:val="0"/>
        <w:adjustRightInd w:val="0"/>
        <w:jc w:val="center"/>
        <w:rPr>
          <w:rFonts w:asciiTheme="minorHAnsi" w:hAnsiTheme="minorHAnsi"/>
          <w:szCs w:val="22"/>
        </w:rPr>
      </w:pPr>
    </w:p>
    <w:p w14:paraId="65B4AF10" w14:textId="77777777" w:rsidR="003107A6" w:rsidRDefault="003107A6" w:rsidP="00BA29F9">
      <w:pPr>
        <w:tabs>
          <w:tab w:val="left" w:pos="1635"/>
        </w:tabs>
        <w:autoSpaceDE w:val="0"/>
        <w:autoSpaceDN w:val="0"/>
        <w:adjustRightInd w:val="0"/>
        <w:jc w:val="center"/>
        <w:rPr>
          <w:rFonts w:asciiTheme="minorHAnsi" w:hAnsiTheme="minorHAnsi"/>
          <w:szCs w:val="22"/>
        </w:rPr>
      </w:pPr>
    </w:p>
    <w:p w14:paraId="5FACEF0C" w14:textId="77777777" w:rsidR="003107A6" w:rsidRPr="00CF4818" w:rsidRDefault="003107A6" w:rsidP="00BA29F9">
      <w:pPr>
        <w:tabs>
          <w:tab w:val="left" w:pos="1635"/>
        </w:tabs>
        <w:autoSpaceDE w:val="0"/>
        <w:autoSpaceDN w:val="0"/>
        <w:adjustRightInd w:val="0"/>
        <w:jc w:val="center"/>
        <w:rPr>
          <w:rFonts w:asciiTheme="minorHAnsi" w:hAnsiTheme="minorHAnsi"/>
          <w:szCs w:val="22"/>
        </w:rPr>
      </w:pPr>
    </w:p>
    <w:p w14:paraId="085B9154" w14:textId="6E951A35" w:rsidR="004471D4" w:rsidRPr="00CF4818" w:rsidRDefault="004471D4" w:rsidP="00BA29F9">
      <w:pPr>
        <w:autoSpaceDE w:val="0"/>
        <w:autoSpaceDN w:val="0"/>
        <w:adjustRightInd w:val="0"/>
        <w:jc w:val="center"/>
        <w:rPr>
          <w:rFonts w:asciiTheme="minorHAnsi" w:hAnsiTheme="minorHAnsi"/>
          <w:szCs w:val="22"/>
        </w:rPr>
      </w:pPr>
      <w:r w:rsidRPr="00CF4818">
        <w:rPr>
          <w:rFonts w:asciiTheme="minorHAnsi" w:hAnsiTheme="minorHAnsi"/>
          <w:szCs w:val="22"/>
        </w:rPr>
        <w:t>C. DIMITROULOPOULOU</w:t>
      </w:r>
      <w:r w:rsidRPr="00CF4818">
        <w:rPr>
          <w:rFonts w:asciiTheme="minorHAnsi" w:hAnsiTheme="minorHAnsi"/>
          <w:szCs w:val="22"/>
          <w:vertAlign w:val="superscript"/>
        </w:rPr>
        <w:t>1</w:t>
      </w:r>
      <w:r w:rsidRPr="00CF4818">
        <w:rPr>
          <w:rFonts w:asciiTheme="minorHAnsi" w:hAnsiTheme="minorHAnsi"/>
          <w:szCs w:val="22"/>
        </w:rPr>
        <w:t>, M.R.ASHMORE</w:t>
      </w:r>
      <w:r w:rsidRPr="00CF4818">
        <w:rPr>
          <w:rFonts w:asciiTheme="minorHAnsi" w:hAnsiTheme="minorHAnsi"/>
          <w:szCs w:val="22"/>
          <w:vertAlign w:val="superscript"/>
        </w:rPr>
        <w:t>2*</w:t>
      </w:r>
      <w:r w:rsidRPr="00CF4818">
        <w:rPr>
          <w:rFonts w:asciiTheme="minorHAnsi" w:hAnsiTheme="minorHAnsi"/>
          <w:szCs w:val="22"/>
        </w:rPr>
        <w:t>, A.</w:t>
      </w:r>
      <w:r w:rsidR="00140CCA">
        <w:rPr>
          <w:rFonts w:asciiTheme="minorHAnsi" w:hAnsiTheme="minorHAnsi"/>
          <w:szCs w:val="22"/>
        </w:rPr>
        <w:t>C</w:t>
      </w:r>
      <w:r w:rsidRPr="00CF4818">
        <w:rPr>
          <w:rFonts w:asciiTheme="minorHAnsi" w:hAnsiTheme="minorHAnsi"/>
          <w:szCs w:val="22"/>
        </w:rPr>
        <w:t xml:space="preserve"> TERRY</w:t>
      </w:r>
      <w:r w:rsidRPr="00CF4818">
        <w:rPr>
          <w:rFonts w:asciiTheme="minorHAnsi" w:hAnsiTheme="minorHAnsi"/>
          <w:szCs w:val="22"/>
          <w:vertAlign w:val="superscript"/>
        </w:rPr>
        <w:t>2</w:t>
      </w:r>
    </w:p>
    <w:p w14:paraId="3BE3018F" w14:textId="77777777" w:rsidR="004471D4" w:rsidRPr="00CF4818" w:rsidRDefault="004471D4" w:rsidP="00BA29F9">
      <w:pPr>
        <w:autoSpaceDE w:val="0"/>
        <w:autoSpaceDN w:val="0"/>
        <w:adjustRightInd w:val="0"/>
        <w:jc w:val="center"/>
        <w:rPr>
          <w:rFonts w:asciiTheme="minorHAnsi" w:hAnsiTheme="minorHAnsi"/>
          <w:szCs w:val="22"/>
        </w:rPr>
      </w:pPr>
    </w:p>
    <w:p w14:paraId="65AC52E3" w14:textId="320E9164" w:rsidR="003D59F1" w:rsidRPr="003D59F1" w:rsidRDefault="004471D4" w:rsidP="008C5D4B">
      <w:pPr>
        <w:autoSpaceDE w:val="0"/>
        <w:autoSpaceDN w:val="0"/>
        <w:adjustRightInd w:val="0"/>
        <w:jc w:val="center"/>
        <w:rPr>
          <w:rFonts w:asciiTheme="minorHAnsi" w:eastAsiaTheme="minorEastAsia" w:hAnsiTheme="minorHAnsi"/>
          <w:noProof/>
          <w:color w:val="000000" w:themeColor="text1"/>
        </w:rPr>
      </w:pPr>
      <w:r w:rsidRPr="00CF4818">
        <w:rPr>
          <w:rFonts w:asciiTheme="minorHAnsi" w:hAnsiTheme="minorHAnsi"/>
          <w:szCs w:val="22"/>
        </w:rPr>
        <w:t xml:space="preserve">1: </w:t>
      </w:r>
      <w:r w:rsidR="005106AF" w:rsidRPr="005106AF">
        <w:rPr>
          <w:rFonts w:asciiTheme="minorHAnsi" w:hAnsiTheme="minorHAnsi"/>
        </w:rPr>
        <w:t>Environmental Change Department, Centre for Radiation, Chemical and Environmental Hazards, Public Health England</w:t>
      </w:r>
      <w:r w:rsidR="003D59F1" w:rsidRPr="005106AF">
        <w:rPr>
          <w:rFonts w:asciiTheme="minorHAnsi" w:hAnsiTheme="minorHAnsi"/>
          <w:szCs w:val="22"/>
        </w:rPr>
        <w:t>,</w:t>
      </w:r>
      <w:r w:rsidR="003D59F1" w:rsidRPr="003D59F1">
        <w:rPr>
          <w:rFonts w:asciiTheme="minorHAnsi" w:hAnsiTheme="minorHAnsi"/>
          <w:szCs w:val="22"/>
        </w:rPr>
        <w:t xml:space="preserve"> </w:t>
      </w:r>
      <w:r w:rsidR="003D59F1" w:rsidRPr="003D59F1">
        <w:rPr>
          <w:rFonts w:asciiTheme="minorHAnsi" w:eastAsiaTheme="minorEastAsia" w:hAnsiTheme="minorHAnsi"/>
          <w:noProof/>
          <w:color w:val="000000" w:themeColor="text1"/>
        </w:rPr>
        <w:t>Chilton, OX11 0RQ</w:t>
      </w:r>
    </w:p>
    <w:p w14:paraId="1EF4AB27" w14:textId="77777777" w:rsidR="004471D4" w:rsidRPr="00CF4818" w:rsidRDefault="004471D4" w:rsidP="003D59F1">
      <w:pPr>
        <w:autoSpaceDE w:val="0"/>
        <w:autoSpaceDN w:val="0"/>
        <w:adjustRightInd w:val="0"/>
        <w:rPr>
          <w:rFonts w:asciiTheme="minorHAnsi" w:hAnsiTheme="minorHAnsi"/>
          <w:szCs w:val="22"/>
        </w:rPr>
      </w:pPr>
    </w:p>
    <w:p w14:paraId="2B56C518" w14:textId="622A03ED" w:rsidR="004471D4" w:rsidRPr="00CF4818" w:rsidRDefault="004471D4" w:rsidP="00BA29F9">
      <w:pPr>
        <w:jc w:val="center"/>
        <w:rPr>
          <w:rFonts w:asciiTheme="minorHAnsi" w:hAnsiTheme="minorHAnsi"/>
          <w:szCs w:val="22"/>
        </w:rPr>
      </w:pPr>
      <w:r w:rsidRPr="00CF4818">
        <w:rPr>
          <w:rFonts w:asciiTheme="minorHAnsi" w:hAnsiTheme="minorHAnsi"/>
          <w:szCs w:val="22"/>
        </w:rPr>
        <w:t>2.</w:t>
      </w:r>
      <w:r w:rsidR="00C17107">
        <w:rPr>
          <w:rFonts w:asciiTheme="minorHAnsi" w:hAnsiTheme="minorHAnsi"/>
          <w:szCs w:val="22"/>
        </w:rPr>
        <w:t xml:space="preserve">  St</w:t>
      </w:r>
      <w:r w:rsidR="00305659">
        <w:rPr>
          <w:rFonts w:asciiTheme="minorHAnsi" w:hAnsiTheme="minorHAnsi"/>
          <w:szCs w:val="22"/>
        </w:rPr>
        <w:t>ockholm Environment Institute</w:t>
      </w:r>
      <w:r w:rsidRPr="00CF4818">
        <w:rPr>
          <w:rFonts w:asciiTheme="minorHAnsi" w:hAnsiTheme="minorHAnsi"/>
          <w:szCs w:val="22"/>
        </w:rPr>
        <w:t xml:space="preserve">, </w:t>
      </w:r>
      <w:r w:rsidR="00DB5FBF">
        <w:rPr>
          <w:rFonts w:asciiTheme="minorHAnsi" w:hAnsiTheme="minorHAnsi"/>
          <w:szCs w:val="22"/>
        </w:rPr>
        <w:t xml:space="preserve">Environment Building, Wentworth Way, </w:t>
      </w:r>
      <w:r w:rsidRPr="00CF4818">
        <w:rPr>
          <w:rFonts w:asciiTheme="minorHAnsi" w:hAnsiTheme="minorHAnsi"/>
          <w:szCs w:val="22"/>
        </w:rPr>
        <w:t>Un</w:t>
      </w:r>
      <w:r w:rsidR="001A36B0" w:rsidRPr="00CF4818">
        <w:rPr>
          <w:rFonts w:asciiTheme="minorHAnsi" w:hAnsiTheme="minorHAnsi"/>
          <w:szCs w:val="22"/>
        </w:rPr>
        <w:t>iversity of York, York YO10 5</w:t>
      </w:r>
      <w:r w:rsidR="00DB5FBF">
        <w:rPr>
          <w:rFonts w:asciiTheme="minorHAnsi" w:hAnsiTheme="minorHAnsi"/>
          <w:szCs w:val="22"/>
        </w:rPr>
        <w:t>NG</w:t>
      </w:r>
      <w:r w:rsidR="001A36B0" w:rsidRPr="00CF4818">
        <w:rPr>
          <w:rFonts w:asciiTheme="minorHAnsi" w:hAnsiTheme="minorHAnsi"/>
          <w:szCs w:val="22"/>
        </w:rPr>
        <w:t>, UK</w:t>
      </w:r>
    </w:p>
    <w:p w14:paraId="3AD3FFF6" w14:textId="77777777" w:rsidR="004471D4" w:rsidRPr="00CF4818" w:rsidRDefault="004471D4" w:rsidP="00BA29F9">
      <w:pPr>
        <w:jc w:val="center"/>
        <w:rPr>
          <w:rFonts w:asciiTheme="minorHAnsi" w:hAnsiTheme="minorHAnsi"/>
          <w:szCs w:val="22"/>
        </w:rPr>
      </w:pPr>
    </w:p>
    <w:p w14:paraId="23A6FBBD" w14:textId="77777777" w:rsidR="004471D4" w:rsidRPr="00CF4818" w:rsidRDefault="004471D4" w:rsidP="00BA29F9">
      <w:pPr>
        <w:autoSpaceDE w:val="0"/>
        <w:autoSpaceDN w:val="0"/>
        <w:adjustRightInd w:val="0"/>
        <w:jc w:val="center"/>
        <w:rPr>
          <w:rFonts w:asciiTheme="minorHAnsi" w:hAnsiTheme="minorHAnsi"/>
          <w:szCs w:val="22"/>
        </w:rPr>
      </w:pPr>
    </w:p>
    <w:p w14:paraId="58143D9A" w14:textId="77777777" w:rsidR="004471D4" w:rsidRPr="00CF4818" w:rsidRDefault="004471D4" w:rsidP="00BA29F9">
      <w:pPr>
        <w:pStyle w:val="Header"/>
        <w:tabs>
          <w:tab w:val="clear" w:pos="4153"/>
          <w:tab w:val="clear" w:pos="8306"/>
        </w:tabs>
        <w:ind w:left="360"/>
        <w:jc w:val="center"/>
        <w:outlineLvl w:val="0"/>
        <w:rPr>
          <w:rFonts w:asciiTheme="minorHAnsi" w:hAnsiTheme="minorHAnsi"/>
          <w:sz w:val="22"/>
          <w:szCs w:val="22"/>
        </w:rPr>
      </w:pPr>
      <w:r w:rsidRPr="00CF4818">
        <w:rPr>
          <w:rFonts w:asciiTheme="minorHAnsi" w:hAnsiTheme="minorHAnsi"/>
          <w:sz w:val="22"/>
          <w:szCs w:val="22"/>
        </w:rPr>
        <w:t>*corresponding author: e-mail:</w:t>
      </w:r>
      <w:r w:rsidR="009C74F1">
        <w:rPr>
          <w:rFonts w:asciiTheme="minorHAnsi" w:hAnsiTheme="minorHAnsi"/>
          <w:sz w:val="22"/>
          <w:szCs w:val="22"/>
        </w:rPr>
        <w:t>mike.ashmore</w:t>
      </w:r>
      <w:r w:rsidRPr="00CF4818">
        <w:rPr>
          <w:rFonts w:asciiTheme="minorHAnsi" w:hAnsiTheme="minorHAnsi"/>
          <w:sz w:val="22"/>
          <w:szCs w:val="22"/>
        </w:rPr>
        <w:t>@york.ac.uk;</w:t>
      </w:r>
    </w:p>
    <w:p w14:paraId="1B8C22C7" w14:textId="77777777" w:rsidR="004471D4" w:rsidRPr="00CF4818" w:rsidRDefault="004471D4" w:rsidP="00BA29F9">
      <w:pPr>
        <w:pStyle w:val="Header"/>
        <w:tabs>
          <w:tab w:val="clear" w:pos="4153"/>
          <w:tab w:val="clear" w:pos="8306"/>
        </w:tabs>
        <w:ind w:left="360"/>
        <w:jc w:val="center"/>
        <w:outlineLvl w:val="0"/>
        <w:rPr>
          <w:rFonts w:asciiTheme="minorHAnsi" w:hAnsiTheme="minorHAnsi"/>
          <w:color w:val="FF0000"/>
          <w:sz w:val="22"/>
          <w:szCs w:val="22"/>
        </w:rPr>
      </w:pPr>
      <w:r w:rsidRPr="00CF4818">
        <w:rPr>
          <w:rFonts w:asciiTheme="minorHAnsi" w:hAnsiTheme="minorHAnsi"/>
          <w:sz w:val="22"/>
          <w:szCs w:val="22"/>
        </w:rPr>
        <w:t>tel: 00-44-</w:t>
      </w:r>
      <w:r w:rsidR="009C74F1">
        <w:rPr>
          <w:rFonts w:asciiTheme="minorHAnsi" w:hAnsiTheme="minorHAnsi"/>
          <w:sz w:val="22"/>
          <w:szCs w:val="22"/>
        </w:rPr>
        <w:t>1</w:t>
      </w:r>
      <w:r w:rsidRPr="00CF4818">
        <w:rPr>
          <w:rFonts w:asciiTheme="minorHAnsi" w:hAnsiTheme="minorHAnsi"/>
          <w:sz w:val="22"/>
          <w:szCs w:val="22"/>
        </w:rPr>
        <w:t>904-</w:t>
      </w:r>
      <w:r w:rsidR="009C74F1">
        <w:rPr>
          <w:rFonts w:asciiTheme="minorHAnsi" w:hAnsiTheme="minorHAnsi"/>
          <w:sz w:val="22"/>
          <w:szCs w:val="22"/>
        </w:rPr>
        <w:t>324744</w:t>
      </w:r>
    </w:p>
    <w:p w14:paraId="6A1ED9FF" w14:textId="77777777" w:rsidR="005E0405" w:rsidRPr="00CF4818" w:rsidRDefault="005E0405" w:rsidP="00BA29F9">
      <w:pPr>
        <w:pStyle w:val="Heading2"/>
        <w:jc w:val="center"/>
        <w:rPr>
          <w:rFonts w:asciiTheme="minorHAnsi" w:hAnsiTheme="minorHAnsi"/>
          <w:sz w:val="22"/>
          <w:szCs w:val="22"/>
        </w:rPr>
      </w:pPr>
    </w:p>
    <w:p w14:paraId="3C9E0432" w14:textId="77777777" w:rsidR="005E0405" w:rsidRPr="00CF4818" w:rsidRDefault="005E0405" w:rsidP="00BA29F9">
      <w:pPr>
        <w:pStyle w:val="Heading2"/>
        <w:jc w:val="center"/>
        <w:rPr>
          <w:rFonts w:asciiTheme="minorHAnsi" w:hAnsiTheme="minorHAnsi"/>
          <w:sz w:val="22"/>
          <w:szCs w:val="22"/>
        </w:rPr>
      </w:pPr>
    </w:p>
    <w:p w14:paraId="1513D5F9" w14:textId="77777777" w:rsidR="005E0405" w:rsidRPr="00CF4818" w:rsidRDefault="005E0405" w:rsidP="00BA29F9">
      <w:pPr>
        <w:pStyle w:val="Heading2"/>
        <w:jc w:val="center"/>
        <w:rPr>
          <w:rFonts w:asciiTheme="minorHAnsi" w:hAnsiTheme="minorHAnsi"/>
          <w:sz w:val="22"/>
          <w:szCs w:val="22"/>
        </w:rPr>
      </w:pPr>
    </w:p>
    <w:p w14:paraId="350462D6" w14:textId="77777777" w:rsidR="004471D4" w:rsidRPr="00CF4818" w:rsidRDefault="004471D4" w:rsidP="00BA29F9">
      <w:pPr>
        <w:pStyle w:val="Heading2"/>
        <w:rPr>
          <w:rFonts w:asciiTheme="minorHAnsi" w:hAnsiTheme="minorHAnsi"/>
          <w:sz w:val="22"/>
          <w:szCs w:val="22"/>
        </w:rPr>
      </w:pPr>
      <w:r w:rsidRPr="00CF4818">
        <w:rPr>
          <w:rFonts w:asciiTheme="minorHAnsi" w:hAnsiTheme="minorHAnsi"/>
          <w:sz w:val="22"/>
          <w:szCs w:val="22"/>
        </w:rPr>
        <w:t>Abstract</w:t>
      </w:r>
    </w:p>
    <w:p w14:paraId="04507A1F" w14:textId="77777777" w:rsidR="004471D4" w:rsidRPr="00CF4818" w:rsidRDefault="004471D4" w:rsidP="00BA29F9">
      <w:pPr>
        <w:autoSpaceDE w:val="0"/>
        <w:autoSpaceDN w:val="0"/>
        <w:adjustRightInd w:val="0"/>
        <w:jc w:val="both"/>
        <w:rPr>
          <w:rFonts w:asciiTheme="minorHAnsi" w:hAnsiTheme="minorHAnsi"/>
          <w:szCs w:val="22"/>
        </w:rPr>
      </w:pPr>
    </w:p>
    <w:p w14:paraId="1E69AA97" w14:textId="6BBE595D" w:rsidR="004471D4" w:rsidRPr="00CF4818" w:rsidRDefault="005106AF" w:rsidP="00BA29F9">
      <w:pPr>
        <w:autoSpaceDE w:val="0"/>
        <w:autoSpaceDN w:val="0"/>
        <w:adjustRightInd w:val="0"/>
        <w:jc w:val="both"/>
        <w:rPr>
          <w:rFonts w:asciiTheme="minorHAnsi" w:hAnsiTheme="minorHAnsi"/>
          <w:color w:val="FF0000"/>
          <w:szCs w:val="22"/>
        </w:rPr>
      </w:pPr>
      <w:r>
        <w:rPr>
          <w:rFonts w:asciiTheme="minorHAnsi" w:hAnsiTheme="minorHAnsi"/>
          <w:szCs w:val="22"/>
        </w:rPr>
        <w:t>Health e</w:t>
      </w:r>
      <w:r w:rsidR="008E686E">
        <w:rPr>
          <w:rFonts w:asciiTheme="minorHAnsi" w:hAnsiTheme="minorHAnsi"/>
          <w:szCs w:val="22"/>
        </w:rPr>
        <w:t>ffects of air pollution on individuals depend on their personal exposure, but few modelling tools are available which can predict how the distribution of personal exposures within a city will change in response to policies to reduce emissions both indoors and outdoors. We describe a n</w:t>
      </w:r>
      <w:r w:rsidR="004471D4" w:rsidRPr="00CF4818">
        <w:rPr>
          <w:rFonts w:asciiTheme="minorHAnsi" w:hAnsiTheme="minorHAnsi"/>
          <w:szCs w:val="22"/>
        </w:rPr>
        <w:t>ew probabilistic modell</w:t>
      </w:r>
      <w:r w:rsidR="00BC3B4C">
        <w:rPr>
          <w:rFonts w:asciiTheme="minorHAnsi" w:hAnsiTheme="minorHAnsi"/>
          <w:szCs w:val="22"/>
        </w:rPr>
        <w:t>ing framework (INDAIR-2/EXPAIR</w:t>
      </w:r>
      <w:r w:rsidR="004471D4" w:rsidRPr="00CF4818">
        <w:rPr>
          <w:rFonts w:asciiTheme="minorHAnsi" w:hAnsiTheme="minorHAnsi"/>
          <w:szCs w:val="22"/>
        </w:rPr>
        <w:t>)</w:t>
      </w:r>
      <w:r w:rsidR="00894489">
        <w:rPr>
          <w:rFonts w:asciiTheme="minorHAnsi" w:hAnsiTheme="minorHAnsi"/>
          <w:szCs w:val="22"/>
        </w:rPr>
        <w:t>,</w:t>
      </w:r>
      <w:r w:rsidR="004471D4" w:rsidRPr="00CF4818">
        <w:rPr>
          <w:rFonts w:asciiTheme="minorHAnsi" w:hAnsiTheme="minorHAnsi"/>
          <w:szCs w:val="22"/>
        </w:rPr>
        <w:t xml:space="preserve"> </w:t>
      </w:r>
      <w:r w:rsidR="008E686E">
        <w:rPr>
          <w:rFonts w:asciiTheme="minorHAnsi" w:hAnsiTheme="minorHAnsi"/>
          <w:szCs w:val="22"/>
        </w:rPr>
        <w:t xml:space="preserve">which </w:t>
      </w:r>
      <w:r w:rsidR="00B75C50">
        <w:rPr>
          <w:rFonts w:asciiTheme="minorHAnsi" w:hAnsiTheme="minorHAnsi"/>
          <w:szCs w:val="22"/>
        </w:rPr>
        <w:t>provide</w:t>
      </w:r>
      <w:r w:rsidR="008E686E">
        <w:rPr>
          <w:rFonts w:asciiTheme="minorHAnsi" w:hAnsiTheme="minorHAnsi"/>
          <w:szCs w:val="22"/>
        </w:rPr>
        <w:t xml:space="preserve">s predictions of the </w:t>
      </w:r>
      <w:r w:rsidR="008E686E" w:rsidRPr="00CF4818">
        <w:rPr>
          <w:rFonts w:asciiTheme="minorHAnsi" w:hAnsiTheme="minorHAnsi"/>
          <w:szCs w:val="22"/>
        </w:rPr>
        <w:t>personal exposure frequency distribution (PEFD)</w:t>
      </w:r>
      <w:r w:rsidR="008E686E">
        <w:rPr>
          <w:rFonts w:asciiTheme="minorHAnsi" w:hAnsiTheme="minorHAnsi"/>
          <w:szCs w:val="22"/>
        </w:rPr>
        <w:t xml:space="preserve"> across a city to assess the effects of both reduced emissions from home sources and reduced roadside concentrations</w:t>
      </w:r>
      <w:r w:rsidR="00894489">
        <w:rPr>
          <w:rFonts w:asciiTheme="minorHAnsi" w:hAnsiTheme="minorHAnsi"/>
          <w:szCs w:val="22"/>
        </w:rPr>
        <w:t xml:space="preserve"> on population exposure</w:t>
      </w:r>
      <w:r w:rsidR="008E686E">
        <w:rPr>
          <w:rFonts w:asciiTheme="minorHAnsi" w:hAnsiTheme="minorHAnsi"/>
          <w:szCs w:val="22"/>
        </w:rPr>
        <w:t xml:space="preserve">. </w:t>
      </w:r>
      <w:r w:rsidR="004471D4" w:rsidRPr="00CF4818">
        <w:rPr>
          <w:rFonts w:asciiTheme="minorHAnsi" w:hAnsiTheme="minorHAnsi"/>
          <w:szCs w:val="22"/>
        </w:rPr>
        <w:t>The model uses a national time activity database</w:t>
      </w:r>
      <w:r w:rsidR="00894489">
        <w:rPr>
          <w:rFonts w:asciiTheme="minorHAnsi" w:hAnsiTheme="minorHAnsi"/>
          <w:szCs w:val="22"/>
        </w:rPr>
        <w:t>,</w:t>
      </w:r>
      <w:r w:rsidR="004471D4" w:rsidRPr="00CF4818">
        <w:rPr>
          <w:rFonts w:asciiTheme="minorHAnsi" w:hAnsiTheme="minorHAnsi"/>
          <w:szCs w:val="22"/>
        </w:rPr>
        <w:t xml:space="preserve"> which gives the percentage of each </w:t>
      </w:r>
      <w:r w:rsidR="001D696D" w:rsidRPr="00CF4818">
        <w:rPr>
          <w:rFonts w:asciiTheme="minorHAnsi" w:hAnsiTheme="minorHAnsi"/>
          <w:szCs w:val="22"/>
        </w:rPr>
        <w:t xml:space="preserve">population </w:t>
      </w:r>
      <w:r w:rsidR="004471D4" w:rsidRPr="00CF4818">
        <w:rPr>
          <w:rFonts w:asciiTheme="minorHAnsi" w:hAnsiTheme="minorHAnsi"/>
          <w:szCs w:val="22"/>
        </w:rPr>
        <w:t xml:space="preserve">group in </w:t>
      </w:r>
      <w:r w:rsidR="008E686E">
        <w:rPr>
          <w:rFonts w:asciiTheme="minorHAnsi" w:hAnsiTheme="minorHAnsi"/>
          <w:szCs w:val="22"/>
        </w:rPr>
        <w:t xml:space="preserve">different </w:t>
      </w:r>
      <w:r w:rsidR="004471D4" w:rsidRPr="00CF4818">
        <w:rPr>
          <w:rFonts w:asciiTheme="minorHAnsi" w:hAnsiTheme="minorHAnsi"/>
          <w:szCs w:val="22"/>
        </w:rPr>
        <w:t>residential and non-residential micro-environments</w:t>
      </w:r>
      <w:r w:rsidR="008E686E">
        <w:rPr>
          <w:rFonts w:asciiTheme="minorHAnsi" w:hAnsiTheme="minorHAnsi"/>
          <w:szCs w:val="22"/>
        </w:rPr>
        <w:t>, and links this, for</w:t>
      </w:r>
      <w:r w:rsidR="004471D4" w:rsidRPr="00CF4818">
        <w:rPr>
          <w:rFonts w:asciiTheme="minorHAnsi" w:hAnsiTheme="minorHAnsi"/>
          <w:szCs w:val="22"/>
        </w:rPr>
        <w:t xml:space="preserve"> the home</w:t>
      </w:r>
      <w:r w:rsidR="00B75C50">
        <w:rPr>
          <w:rFonts w:asciiTheme="minorHAnsi" w:hAnsiTheme="minorHAnsi"/>
          <w:szCs w:val="22"/>
        </w:rPr>
        <w:t>,</w:t>
      </w:r>
      <w:r w:rsidR="008E686E">
        <w:rPr>
          <w:rFonts w:asciiTheme="minorHAnsi" w:hAnsiTheme="minorHAnsi"/>
          <w:szCs w:val="22"/>
        </w:rPr>
        <w:t xml:space="preserve"> to predictions of concentration</w:t>
      </w:r>
      <w:r w:rsidR="00634B78">
        <w:rPr>
          <w:rFonts w:asciiTheme="minorHAnsi" w:hAnsiTheme="minorHAnsi"/>
          <w:szCs w:val="22"/>
        </w:rPr>
        <w:t>s</w:t>
      </w:r>
      <w:r w:rsidR="008E686E">
        <w:rPr>
          <w:rFonts w:asciiTheme="minorHAnsi" w:hAnsiTheme="minorHAnsi"/>
          <w:szCs w:val="22"/>
        </w:rPr>
        <w:t xml:space="preserve"> from a </w:t>
      </w:r>
      <w:r w:rsidR="00B75C50" w:rsidRPr="00CD6E9A">
        <w:rPr>
          <w:rFonts w:asciiTheme="minorHAnsi" w:hAnsiTheme="minorHAnsi"/>
          <w:color w:val="FF0000"/>
          <w:szCs w:val="22"/>
        </w:rPr>
        <w:t xml:space="preserve">three-compartment </w:t>
      </w:r>
      <w:r w:rsidR="004471D4" w:rsidRPr="00CD6E9A">
        <w:rPr>
          <w:rFonts w:asciiTheme="minorHAnsi" w:hAnsiTheme="minorHAnsi"/>
          <w:color w:val="FF0000"/>
          <w:szCs w:val="22"/>
        </w:rPr>
        <w:t>model</w:t>
      </w:r>
      <w:r w:rsidR="008E686E">
        <w:rPr>
          <w:rFonts w:asciiTheme="minorHAnsi" w:hAnsiTheme="minorHAnsi"/>
          <w:szCs w:val="22"/>
        </w:rPr>
        <w:t xml:space="preserve">, and for </w:t>
      </w:r>
      <w:r w:rsidR="004471D4" w:rsidRPr="00CF4818">
        <w:rPr>
          <w:rFonts w:asciiTheme="minorHAnsi" w:hAnsiTheme="minorHAnsi"/>
          <w:szCs w:val="22"/>
        </w:rPr>
        <w:t xml:space="preserve">non-residential </w:t>
      </w:r>
      <w:r w:rsidR="005B278D">
        <w:rPr>
          <w:rFonts w:asciiTheme="minorHAnsi" w:hAnsiTheme="minorHAnsi"/>
          <w:szCs w:val="22"/>
        </w:rPr>
        <w:t xml:space="preserve">microenvironments to empirical indoor/outdoor ratios. </w:t>
      </w:r>
      <w:r w:rsidR="001D696D" w:rsidRPr="00CF4818">
        <w:rPr>
          <w:rFonts w:asciiTheme="minorHAnsi" w:hAnsiTheme="minorHAnsi"/>
          <w:szCs w:val="22"/>
        </w:rPr>
        <w:t xml:space="preserve">This paper presents </w:t>
      </w:r>
      <w:r w:rsidR="005B278D">
        <w:rPr>
          <w:rFonts w:asciiTheme="minorHAnsi" w:hAnsiTheme="minorHAnsi"/>
          <w:szCs w:val="22"/>
        </w:rPr>
        <w:t xml:space="preserve">modelled PEFDs for </w:t>
      </w:r>
      <w:r w:rsidR="001D696D" w:rsidRPr="00CF4818">
        <w:rPr>
          <w:rFonts w:asciiTheme="minorHAnsi" w:hAnsiTheme="minorHAnsi"/>
          <w:szCs w:val="22"/>
        </w:rPr>
        <w:t>NO</w:t>
      </w:r>
      <w:r w:rsidR="001D696D" w:rsidRPr="00CF4818">
        <w:rPr>
          <w:rFonts w:asciiTheme="minorHAnsi" w:hAnsiTheme="minorHAnsi"/>
          <w:szCs w:val="22"/>
          <w:vertAlign w:val="subscript"/>
        </w:rPr>
        <w:t>2</w:t>
      </w:r>
      <w:r w:rsidR="001D696D" w:rsidRPr="00CF4818">
        <w:rPr>
          <w:rFonts w:asciiTheme="minorHAnsi" w:hAnsiTheme="minorHAnsi"/>
          <w:szCs w:val="22"/>
        </w:rPr>
        <w:t xml:space="preserve"> </w:t>
      </w:r>
      <w:r w:rsidR="005B278D">
        <w:rPr>
          <w:rFonts w:asciiTheme="minorHAnsi" w:hAnsiTheme="minorHAnsi"/>
          <w:szCs w:val="22"/>
        </w:rPr>
        <w:t xml:space="preserve">in the city of Leicester, for children, the elderly, and office workers, comparing results in different seasons and on different days of the week. </w:t>
      </w:r>
      <w:r w:rsidR="00B75C50">
        <w:rPr>
          <w:rFonts w:asciiTheme="minorHAnsi" w:hAnsiTheme="minorHAnsi"/>
          <w:szCs w:val="22"/>
        </w:rPr>
        <w:t>While the mean NO</w:t>
      </w:r>
      <w:r w:rsidR="00B75C50" w:rsidRPr="00B75C50">
        <w:rPr>
          <w:rFonts w:asciiTheme="minorHAnsi" w:hAnsiTheme="minorHAnsi"/>
          <w:szCs w:val="22"/>
          <w:vertAlign w:val="subscript"/>
        </w:rPr>
        <w:t>2</w:t>
      </w:r>
      <w:r w:rsidR="00B75C50">
        <w:rPr>
          <w:rFonts w:asciiTheme="minorHAnsi" w:hAnsiTheme="minorHAnsi"/>
          <w:szCs w:val="22"/>
        </w:rPr>
        <w:t xml:space="preserve"> population exposure was close to, or below the urban background concentration, the 95%ile of the PEFD was well above the urban background concentration. The relationship between both mean and 95%ile PEFD and urban background concentrations was strongly influenced by air exchange rate. </w:t>
      </w:r>
      <w:r w:rsidR="005B278D">
        <w:rPr>
          <w:rFonts w:asciiTheme="minorHAnsi" w:hAnsiTheme="minorHAnsi"/>
          <w:szCs w:val="22"/>
        </w:rPr>
        <w:t xml:space="preserve">The 24h mean PEFD showed relative small differences between the population groups, with both removal of home sources and reductions of roadside concentrations on roads with a high traffic density having similar effects in reducing mean exposure. In contrast, the 1h maximum of the PEFD was significantly higher for children and the elderly than for office workers, </w:t>
      </w:r>
      <w:r w:rsidR="00D86A37">
        <w:rPr>
          <w:rFonts w:asciiTheme="minorHAnsi" w:hAnsiTheme="minorHAnsi"/>
          <w:szCs w:val="22"/>
        </w:rPr>
        <w:t>and showed a much greater response to reduced home emissions in these groups. The results demonstrate the importance of understanding the dynamics of NO</w:t>
      </w:r>
      <w:r w:rsidR="00D86A37" w:rsidRPr="00164CF9">
        <w:rPr>
          <w:rFonts w:asciiTheme="minorHAnsi" w:hAnsiTheme="minorHAnsi"/>
          <w:szCs w:val="22"/>
          <w:vertAlign w:val="subscript"/>
        </w:rPr>
        <w:t>2</w:t>
      </w:r>
      <w:r w:rsidR="00D86A37">
        <w:rPr>
          <w:rFonts w:asciiTheme="minorHAnsi" w:hAnsiTheme="minorHAnsi"/>
          <w:szCs w:val="22"/>
        </w:rPr>
        <w:t xml:space="preserve"> exposure at a population level</w:t>
      </w:r>
      <w:r w:rsidR="00B75C50">
        <w:rPr>
          <w:rFonts w:asciiTheme="minorHAnsi" w:hAnsiTheme="minorHAnsi"/>
          <w:szCs w:val="22"/>
        </w:rPr>
        <w:t xml:space="preserve"> </w:t>
      </w:r>
      <w:r w:rsidR="00D86A37">
        <w:rPr>
          <w:rFonts w:asciiTheme="minorHAnsi" w:hAnsiTheme="minorHAnsi"/>
          <w:szCs w:val="22"/>
        </w:rPr>
        <w:t>with</w:t>
      </w:r>
      <w:r w:rsidR="00B75C50">
        <w:rPr>
          <w:rFonts w:asciiTheme="minorHAnsi" w:hAnsiTheme="minorHAnsi"/>
          <w:szCs w:val="22"/>
        </w:rPr>
        <w:t>in</w:t>
      </w:r>
      <w:r w:rsidR="00D86A37">
        <w:rPr>
          <w:rFonts w:asciiTheme="minorHAnsi" w:hAnsiTheme="minorHAnsi"/>
          <w:szCs w:val="22"/>
        </w:rPr>
        <w:t xml:space="preserve"> different groups, if the benefits of policy interventions are to be accurately assessed. </w:t>
      </w:r>
      <w:r w:rsidR="005B278D">
        <w:rPr>
          <w:rFonts w:asciiTheme="minorHAnsi" w:hAnsiTheme="minorHAnsi"/>
          <w:szCs w:val="22"/>
        </w:rPr>
        <w:t xml:space="preserve"> </w:t>
      </w:r>
    </w:p>
    <w:p w14:paraId="56C22697" w14:textId="77777777" w:rsidR="004471D4" w:rsidRPr="00CF4818" w:rsidRDefault="004471D4" w:rsidP="00BA29F9">
      <w:pPr>
        <w:autoSpaceDE w:val="0"/>
        <w:autoSpaceDN w:val="0"/>
        <w:adjustRightInd w:val="0"/>
        <w:jc w:val="both"/>
        <w:rPr>
          <w:rFonts w:asciiTheme="minorHAnsi" w:hAnsiTheme="minorHAnsi"/>
          <w:szCs w:val="22"/>
        </w:rPr>
      </w:pPr>
    </w:p>
    <w:p w14:paraId="714F507C" w14:textId="323CF34D" w:rsidR="004471D4" w:rsidRDefault="004471D4" w:rsidP="00BA29F9">
      <w:pPr>
        <w:autoSpaceDE w:val="0"/>
        <w:autoSpaceDN w:val="0"/>
        <w:adjustRightInd w:val="0"/>
        <w:jc w:val="both"/>
        <w:rPr>
          <w:rFonts w:asciiTheme="minorHAnsi" w:hAnsiTheme="minorHAnsi"/>
          <w:szCs w:val="22"/>
        </w:rPr>
      </w:pPr>
      <w:r w:rsidRPr="00CF4818">
        <w:rPr>
          <w:rFonts w:asciiTheme="minorHAnsi" w:hAnsiTheme="minorHAnsi"/>
          <w:b/>
          <w:szCs w:val="22"/>
        </w:rPr>
        <w:t>Key words</w:t>
      </w:r>
      <w:r w:rsidRPr="00CF4818">
        <w:rPr>
          <w:rFonts w:asciiTheme="minorHAnsi" w:hAnsiTheme="minorHAnsi"/>
          <w:szCs w:val="22"/>
        </w:rPr>
        <w:t xml:space="preserve">:  </w:t>
      </w:r>
      <w:r w:rsidR="004A2F8E">
        <w:rPr>
          <w:rFonts w:asciiTheme="minorHAnsi" w:hAnsiTheme="minorHAnsi"/>
          <w:szCs w:val="22"/>
        </w:rPr>
        <w:t xml:space="preserve">personal exposure, </w:t>
      </w:r>
      <w:r w:rsidRPr="00CF4818">
        <w:rPr>
          <w:rFonts w:asciiTheme="minorHAnsi" w:hAnsiTheme="minorHAnsi"/>
          <w:szCs w:val="22"/>
        </w:rPr>
        <w:t>indoor air pollution, modelling; nitrogen dioxide</w:t>
      </w:r>
    </w:p>
    <w:p w14:paraId="0D280697" w14:textId="77777777" w:rsidR="004A2F8E" w:rsidRDefault="004A2F8E" w:rsidP="00BA29F9">
      <w:pPr>
        <w:autoSpaceDE w:val="0"/>
        <w:autoSpaceDN w:val="0"/>
        <w:adjustRightInd w:val="0"/>
        <w:jc w:val="both"/>
        <w:rPr>
          <w:rFonts w:asciiTheme="minorHAnsi" w:hAnsiTheme="minorHAnsi"/>
          <w:szCs w:val="22"/>
        </w:rPr>
      </w:pPr>
    </w:p>
    <w:p w14:paraId="53918301" w14:textId="77777777" w:rsidR="004A2F8E" w:rsidRDefault="004A2F8E" w:rsidP="00BA29F9">
      <w:pPr>
        <w:autoSpaceDE w:val="0"/>
        <w:autoSpaceDN w:val="0"/>
        <w:adjustRightInd w:val="0"/>
        <w:jc w:val="both"/>
        <w:rPr>
          <w:rFonts w:asciiTheme="minorHAnsi" w:hAnsiTheme="minorHAnsi"/>
          <w:szCs w:val="22"/>
        </w:rPr>
      </w:pPr>
    </w:p>
    <w:p w14:paraId="72E63250" w14:textId="77777777" w:rsidR="00762695" w:rsidRDefault="00762695">
      <w:pPr>
        <w:rPr>
          <w:rFonts w:asciiTheme="minorHAnsi" w:hAnsiTheme="minorHAnsi"/>
          <w:b/>
          <w:szCs w:val="22"/>
        </w:rPr>
      </w:pPr>
      <w:r>
        <w:rPr>
          <w:rFonts w:asciiTheme="minorHAnsi" w:hAnsiTheme="minorHAnsi"/>
          <w:b/>
          <w:szCs w:val="22"/>
        </w:rPr>
        <w:br w:type="page"/>
      </w:r>
    </w:p>
    <w:p w14:paraId="105BA764" w14:textId="5487A588" w:rsidR="004A2F8E" w:rsidRPr="004A2F8E" w:rsidRDefault="004A2F8E" w:rsidP="00BA29F9">
      <w:pPr>
        <w:autoSpaceDE w:val="0"/>
        <w:autoSpaceDN w:val="0"/>
        <w:adjustRightInd w:val="0"/>
        <w:jc w:val="both"/>
        <w:rPr>
          <w:rFonts w:asciiTheme="minorHAnsi" w:hAnsiTheme="minorHAnsi"/>
          <w:b/>
          <w:szCs w:val="22"/>
        </w:rPr>
      </w:pPr>
      <w:r w:rsidRPr="004A2F8E">
        <w:rPr>
          <w:rFonts w:asciiTheme="minorHAnsi" w:hAnsiTheme="minorHAnsi"/>
          <w:b/>
          <w:szCs w:val="22"/>
        </w:rPr>
        <w:lastRenderedPageBreak/>
        <w:t>Highlights</w:t>
      </w:r>
    </w:p>
    <w:p w14:paraId="27315BA1" w14:textId="77777777" w:rsidR="004A2F8E" w:rsidRDefault="004A2F8E" w:rsidP="00BA29F9">
      <w:pPr>
        <w:autoSpaceDE w:val="0"/>
        <w:autoSpaceDN w:val="0"/>
        <w:adjustRightInd w:val="0"/>
        <w:jc w:val="both"/>
        <w:rPr>
          <w:rFonts w:asciiTheme="minorHAnsi" w:hAnsiTheme="minorHAnsi"/>
          <w:szCs w:val="22"/>
        </w:rPr>
      </w:pPr>
    </w:p>
    <w:p w14:paraId="3485BA80" w14:textId="209BFCFC" w:rsidR="008329B8" w:rsidRPr="00CD6E9A" w:rsidRDefault="008329B8" w:rsidP="00CD6E9A">
      <w:pPr>
        <w:pStyle w:val="ListParagraph"/>
        <w:numPr>
          <w:ilvl w:val="0"/>
          <w:numId w:val="42"/>
        </w:numPr>
        <w:autoSpaceDE w:val="0"/>
        <w:autoSpaceDN w:val="0"/>
        <w:adjustRightInd w:val="0"/>
        <w:jc w:val="both"/>
        <w:rPr>
          <w:rFonts w:asciiTheme="minorHAnsi" w:hAnsiTheme="minorHAnsi"/>
          <w:szCs w:val="22"/>
        </w:rPr>
      </w:pPr>
      <w:r w:rsidRPr="00CD6E9A">
        <w:rPr>
          <w:rFonts w:asciiTheme="minorHAnsi" w:hAnsiTheme="minorHAnsi"/>
          <w:szCs w:val="22"/>
        </w:rPr>
        <w:t>A new model predicts personal exposure frequency distributions (PEFD) across a city</w:t>
      </w:r>
    </w:p>
    <w:p w14:paraId="078A6037" w14:textId="77777777" w:rsidR="00CD6E9A" w:rsidRPr="00CD6E9A" w:rsidRDefault="00CD6E9A" w:rsidP="00CD6E9A">
      <w:pPr>
        <w:autoSpaceDE w:val="0"/>
        <w:autoSpaceDN w:val="0"/>
        <w:adjustRightInd w:val="0"/>
        <w:jc w:val="both"/>
        <w:rPr>
          <w:rFonts w:asciiTheme="minorHAnsi" w:hAnsiTheme="minorHAnsi"/>
          <w:szCs w:val="22"/>
        </w:rPr>
      </w:pPr>
    </w:p>
    <w:p w14:paraId="3B38CE13" w14:textId="3671E9AD" w:rsidR="008329B8" w:rsidRPr="00CD6E9A" w:rsidRDefault="008329B8" w:rsidP="00CD6E9A">
      <w:pPr>
        <w:pStyle w:val="ListParagraph"/>
        <w:numPr>
          <w:ilvl w:val="0"/>
          <w:numId w:val="42"/>
        </w:numPr>
        <w:autoSpaceDE w:val="0"/>
        <w:autoSpaceDN w:val="0"/>
        <w:adjustRightInd w:val="0"/>
        <w:jc w:val="both"/>
        <w:rPr>
          <w:rFonts w:asciiTheme="minorHAnsi" w:hAnsiTheme="minorHAnsi"/>
          <w:color w:val="FF0000"/>
          <w:szCs w:val="22"/>
        </w:rPr>
      </w:pPr>
      <w:r w:rsidRPr="00CD6E9A">
        <w:rPr>
          <w:rFonts w:asciiTheme="minorHAnsi" w:hAnsiTheme="minorHAnsi"/>
          <w:color w:val="FF0000"/>
          <w:szCs w:val="22"/>
        </w:rPr>
        <w:t xml:space="preserve">It links a </w:t>
      </w:r>
      <w:r w:rsidR="00CD6E9A" w:rsidRPr="00CD6E9A">
        <w:rPr>
          <w:rFonts w:asciiTheme="minorHAnsi" w:hAnsiTheme="minorHAnsi"/>
          <w:color w:val="FF0000"/>
          <w:szCs w:val="22"/>
        </w:rPr>
        <w:t>microenvironmental</w:t>
      </w:r>
      <w:r w:rsidRPr="00CD6E9A">
        <w:rPr>
          <w:rFonts w:asciiTheme="minorHAnsi" w:hAnsiTheme="minorHAnsi"/>
          <w:color w:val="FF0000"/>
          <w:szCs w:val="22"/>
        </w:rPr>
        <w:t xml:space="preserve"> model of the home to time-activity patterns </w:t>
      </w:r>
    </w:p>
    <w:p w14:paraId="09D1312F" w14:textId="77777777" w:rsidR="00CD6E9A" w:rsidRPr="00CD6E9A" w:rsidRDefault="00CD6E9A" w:rsidP="00CD6E9A">
      <w:pPr>
        <w:pStyle w:val="ListParagraph"/>
        <w:rPr>
          <w:rFonts w:asciiTheme="minorHAnsi" w:hAnsiTheme="minorHAnsi"/>
          <w:szCs w:val="22"/>
        </w:rPr>
      </w:pPr>
    </w:p>
    <w:p w14:paraId="4BB4F6FC" w14:textId="47541EEC" w:rsidR="008329B8" w:rsidRPr="00CD6E9A" w:rsidRDefault="008329B8" w:rsidP="00CD6E9A">
      <w:pPr>
        <w:pStyle w:val="ListParagraph"/>
        <w:numPr>
          <w:ilvl w:val="0"/>
          <w:numId w:val="42"/>
        </w:numPr>
        <w:autoSpaceDE w:val="0"/>
        <w:autoSpaceDN w:val="0"/>
        <w:adjustRightInd w:val="0"/>
        <w:jc w:val="both"/>
        <w:rPr>
          <w:rFonts w:asciiTheme="minorHAnsi" w:hAnsiTheme="minorHAnsi"/>
          <w:szCs w:val="22"/>
        </w:rPr>
      </w:pPr>
      <w:r w:rsidRPr="00CD6E9A">
        <w:rPr>
          <w:rFonts w:asciiTheme="minorHAnsi" w:hAnsiTheme="minorHAnsi"/>
          <w:szCs w:val="22"/>
        </w:rPr>
        <w:t xml:space="preserve">We applied the model to simulate PEFDs for nitrogen dioxide in </w:t>
      </w:r>
      <w:r w:rsidR="00762695" w:rsidRPr="00CD6E9A">
        <w:rPr>
          <w:rFonts w:asciiTheme="minorHAnsi" w:hAnsiTheme="minorHAnsi"/>
          <w:szCs w:val="22"/>
        </w:rPr>
        <w:t xml:space="preserve">the city of </w:t>
      </w:r>
      <w:r w:rsidRPr="00CD6E9A">
        <w:rPr>
          <w:rFonts w:asciiTheme="minorHAnsi" w:hAnsiTheme="minorHAnsi"/>
          <w:szCs w:val="22"/>
        </w:rPr>
        <w:t>Leicester</w:t>
      </w:r>
    </w:p>
    <w:p w14:paraId="0D8A2BF1" w14:textId="77777777" w:rsidR="00D36EC4" w:rsidRPr="00D36EC4" w:rsidRDefault="00D36EC4" w:rsidP="00CD6E9A">
      <w:pPr>
        <w:pStyle w:val="ListParagraph"/>
        <w:rPr>
          <w:rFonts w:asciiTheme="minorHAnsi" w:hAnsiTheme="minorHAnsi"/>
          <w:szCs w:val="22"/>
        </w:rPr>
      </w:pPr>
    </w:p>
    <w:p w14:paraId="4B0112BA" w14:textId="77777777" w:rsidR="00D36EC4" w:rsidRPr="00CD6E9A" w:rsidRDefault="00D36EC4" w:rsidP="00CD6E9A">
      <w:pPr>
        <w:pStyle w:val="ListParagraph"/>
        <w:numPr>
          <w:ilvl w:val="0"/>
          <w:numId w:val="42"/>
        </w:numPr>
        <w:autoSpaceDE w:val="0"/>
        <w:autoSpaceDN w:val="0"/>
        <w:adjustRightInd w:val="0"/>
        <w:jc w:val="both"/>
        <w:rPr>
          <w:rFonts w:asciiTheme="minorHAnsi" w:hAnsiTheme="minorHAnsi"/>
          <w:szCs w:val="22"/>
        </w:rPr>
      </w:pPr>
      <w:r w:rsidRPr="00CD6E9A">
        <w:rPr>
          <w:rFonts w:asciiTheme="minorHAnsi" w:hAnsiTheme="minorHAnsi"/>
          <w:szCs w:val="22"/>
        </w:rPr>
        <w:t>The mean of the PEFD was similar to, or below, urban background concentrations</w:t>
      </w:r>
    </w:p>
    <w:p w14:paraId="0ACF98E4" w14:textId="77777777" w:rsidR="004471D4" w:rsidRPr="00CF4818" w:rsidRDefault="004471D4" w:rsidP="00CD6E9A">
      <w:pPr>
        <w:autoSpaceDE w:val="0"/>
        <w:autoSpaceDN w:val="0"/>
        <w:adjustRightInd w:val="0"/>
        <w:jc w:val="both"/>
        <w:rPr>
          <w:rFonts w:asciiTheme="minorHAnsi" w:hAnsiTheme="minorHAnsi"/>
          <w:b/>
          <w:szCs w:val="22"/>
        </w:rPr>
      </w:pPr>
    </w:p>
    <w:p w14:paraId="59290F69" w14:textId="4C5C2BED" w:rsidR="004471D4" w:rsidRPr="00CD6E9A" w:rsidRDefault="00D36EC4" w:rsidP="00CD6E9A">
      <w:pPr>
        <w:pStyle w:val="ListParagraph"/>
        <w:numPr>
          <w:ilvl w:val="0"/>
          <w:numId w:val="42"/>
        </w:numPr>
        <w:autoSpaceDE w:val="0"/>
        <w:autoSpaceDN w:val="0"/>
        <w:adjustRightInd w:val="0"/>
        <w:jc w:val="both"/>
        <w:rPr>
          <w:rFonts w:asciiTheme="minorHAnsi" w:hAnsiTheme="minorHAnsi"/>
          <w:szCs w:val="22"/>
        </w:rPr>
      </w:pPr>
      <w:r w:rsidRPr="00CD6E9A">
        <w:rPr>
          <w:rFonts w:asciiTheme="minorHAnsi" w:hAnsiTheme="minorHAnsi"/>
          <w:szCs w:val="22"/>
        </w:rPr>
        <w:t>The 95%ile PEFD was more strongly influenced by indoor and outdoor emission peaks</w:t>
      </w:r>
    </w:p>
    <w:p w14:paraId="17410BE9" w14:textId="77777777" w:rsidR="00646ED1" w:rsidRDefault="00646ED1">
      <w:pPr>
        <w:rPr>
          <w:rFonts w:asciiTheme="minorHAnsi" w:hAnsiTheme="minorHAnsi"/>
          <w:b/>
          <w:szCs w:val="22"/>
        </w:rPr>
      </w:pPr>
      <w:r>
        <w:rPr>
          <w:rFonts w:asciiTheme="minorHAnsi" w:hAnsiTheme="minorHAnsi"/>
          <w:b/>
          <w:szCs w:val="22"/>
        </w:rPr>
        <w:br w:type="page"/>
      </w:r>
    </w:p>
    <w:p w14:paraId="3572982D" w14:textId="77777777" w:rsidR="004471D4" w:rsidRPr="00CF4818" w:rsidRDefault="004471D4" w:rsidP="00BA29F9">
      <w:pPr>
        <w:autoSpaceDE w:val="0"/>
        <w:autoSpaceDN w:val="0"/>
        <w:adjustRightInd w:val="0"/>
        <w:jc w:val="both"/>
        <w:rPr>
          <w:rFonts w:asciiTheme="minorHAnsi" w:hAnsiTheme="minorHAnsi"/>
          <w:b/>
          <w:szCs w:val="22"/>
        </w:rPr>
      </w:pPr>
      <w:r w:rsidRPr="00CF4818">
        <w:rPr>
          <w:rFonts w:asciiTheme="minorHAnsi" w:hAnsiTheme="minorHAnsi"/>
          <w:b/>
          <w:szCs w:val="22"/>
        </w:rPr>
        <w:lastRenderedPageBreak/>
        <w:t>1. Introduction</w:t>
      </w:r>
    </w:p>
    <w:p w14:paraId="0844C879" w14:textId="77777777" w:rsidR="00717CE7" w:rsidRDefault="00717CE7" w:rsidP="006A7360">
      <w:pPr>
        <w:autoSpaceDE w:val="0"/>
        <w:autoSpaceDN w:val="0"/>
        <w:adjustRightInd w:val="0"/>
        <w:jc w:val="both"/>
        <w:rPr>
          <w:rFonts w:asciiTheme="minorHAnsi" w:hAnsiTheme="minorHAnsi"/>
          <w:szCs w:val="22"/>
        </w:rPr>
      </w:pPr>
    </w:p>
    <w:p w14:paraId="58846184" w14:textId="4864F9F5" w:rsidR="006278F0" w:rsidRDefault="006278F0" w:rsidP="00164CF9">
      <w:pPr>
        <w:jc w:val="both"/>
        <w:rPr>
          <w:rFonts w:asciiTheme="minorHAnsi" w:hAnsiTheme="minorHAnsi"/>
          <w:snapToGrid w:val="0"/>
          <w:szCs w:val="22"/>
          <w:lang w:val="en-AU" w:eastAsia="en-US"/>
        </w:rPr>
      </w:pPr>
      <w:r w:rsidRPr="0020199E">
        <w:rPr>
          <w:rFonts w:asciiTheme="minorHAnsi" w:hAnsiTheme="minorHAnsi"/>
          <w:szCs w:val="22"/>
        </w:rPr>
        <w:t xml:space="preserve">Over the past two decades, the short-term and long-term adverse effects on human health of </w:t>
      </w:r>
      <w:r w:rsidR="00D96F10">
        <w:rPr>
          <w:rFonts w:asciiTheme="minorHAnsi" w:hAnsiTheme="minorHAnsi"/>
          <w:szCs w:val="22"/>
        </w:rPr>
        <w:t xml:space="preserve">exposure to </w:t>
      </w:r>
      <w:r w:rsidRPr="0020199E">
        <w:rPr>
          <w:rFonts w:asciiTheme="minorHAnsi" w:hAnsiTheme="minorHAnsi"/>
          <w:szCs w:val="22"/>
        </w:rPr>
        <w:t>relatively small concentrations of particulates have been established and quantified</w:t>
      </w:r>
      <w:r>
        <w:rPr>
          <w:rFonts w:asciiTheme="minorHAnsi" w:hAnsiTheme="minorHAnsi"/>
          <w:szCs w:val="22"/>
        </w:rPr>
        <w:t xml:space="preserve"> (e.g. COMEAP 2010</w:t>
      </w:r>
      <w:r w:rsidR="000376E9">
        <w:rPr>
          <w:rFonts w:asciiTheme="minorHAnsi" w:hAnsiTheme="minorHAnsi"/>
          <w:szCs w:val="22"/>
        </w:rPr>
        <w:t>; Atkinson et al., 2014a</w:t>
      </w:r>
      <w:r w:rsidR="00624E97">
        <w:rPr>
          <w:rFonts w:asciiTheme="minorHAnsi" w:hAnsiTheme="minorHAnsi"/>
          <w:szCs w:val="22"/>
        </w:rPr>
        <w:t>;</w:t>
      </w:r>
      <w:r w:rsidR="000376E9">
        <w:rPr>
          <w:rFonts w:asciiTheme="minorHAnsi" w:hAnsiTheme="minorHAnsi"/>
          <w:szCs w:val="22"/>
        </w:rPr>
        <w:t>b</w:t>
      </w:r>
      <w:r>
        <w:rPr>
          <w:rFonts w:asciiTheme="minorHAnsi" w:hAnsiTheme="minorHAnsi"/>
          <w:szCs w:val="22"/>
        </w:rPr>
        <w:t>)</w:t>
      </w:r>
      <w:r w:rsidRPr="0020199E">
        <w:rPr>
          <w:rFonts w:asciiTheme="minorHAnsi" w:hAnsiTheme="minorHAnsi"/>
          <w:szCs w:val="22"/>
        </w:rPr>
        <w:t>, but there is now increasing evidence of the effects of nitrogen dioxide (NO</w:t>
      </w:r>
      <w:r w:rsidRPr="0020199E">
        <w:rPr>
          <w:rFonts w:asciiTheme="minorHAnsi" w:hAnsiTheme="minorHAnsi"/>
          <w:szCs w:val="22"/>
          <w:vertAlign w:val="subscript"/>
        </w:rPr>
        <w:t>2</w:t>
      </w:r>
      <w:r w:rsidRPr="0020199E">
        <w:rPr>
          <w:rFonts w:asciiTheme="minorHAnsi" w:hAnsiTheme="minorHAnsi"/>
          <w:szCs w:val="22"/>
        </w:rPr>
        <w:t xml:space="preserve">), </w:t>
      </w:r>
      <w:r w:rsidRPr="0020199E">
        <w:rPr>
          <w:rFonts w:asciiTheme="minorHAnsi" w:hAnsiTheme="minorHAnsi"/>
          <w:snapToGrid w:val="0"/>
          <w:szCs w:val="22"/>
          <w:lang w:val="en-AU" w:eastAsia="en-US"/>
        </w:rPr>
        <w:t>both in the home (e.g. Logue et al., 2011) an</w:t>
      </w:r>
      <w:r>
        <w:rPr>
          <w:rFonts w:asciiTheme="minorHAnsi" w:hAnsiTheme="minorHAnsi"/>
          <w:snapToGrid w:val="0"/>
          <w:szCs w:val="22"/>
          <w:lang w:val="en-AU" w:eastAsia="en-US"/>
        </w:rPr>
        <w:t>d outside (e.g. Faustini et al.</w:t>
      </w:r>
      <w:r w:rsidRPr="0020199E">
        <w:rPr>
          <w:rFonts w:asciiTheme="minorHAnsi" w:hAnsiTheme="minorHAnsi"/>
          <w:snapToGrid w:val="0"/>
          <w:szCs w:val="22"/>
          <w:lang w:val="en-AU" w:eastAsia="en-US"/>
        </w:rPr>
        <w:t>, 2014;</w:t>
      </w:r>
      <w:r>
        <w:rPr>
          <w:rFonts w:asciiTheme="minorHAnsi" w:hAnsiTheme="minorHAnsi"/>
          <w:snapToGrid w:val="0"/>
          <w:szCs w:val="22"/>
          <w:lang w:val="en-AU" w:eastAsia="en-US"/>
        </w:rPr>
        <w:t xml:space="preserve"> </w:t>
      </w:r>
      <w:r w:rsidRPr="0020199E">
        <w:rPr>
          <w:rFonts w:asciiTheme="minorHAnsi" w:hAnsiTheme="minorHAnsi"/>
          <w:snapToGrid w:val="0"/>
          <w:szCs w:val="22"/>
          <w:lang w:val="en-AU" w:eastAsia="en-US"/>
        </w:rPr>
        <w:t>Mills et al., 2015).</w:t>
      </w:r>
      <w:r>
        <w:rPr>
          <w:rFonts w:asciiTheme="minorHAnsi" w:hAnsiTheme="minorHAnsi"/>
          <w:szCs w:val="22"/>
        </w:rPr>
        <w:t xml:space="preserve"> </w:t>
      </w:r>
      <w:r w:rsidR="00717CE7">
        <w:rPr>
          <w:rFonts w:asciiTheme="minorHAnsi" w:hAnsiTheme="minorHAnsi"/>
          <w:snapToGrid w:val="0"/>
          <w:szCs w:val="22"/>
          <w:lang w:val="en-AU" w:eastAsia="en-US"/>
        </w:rPr>
        <w:t>Indoor and outdoor exposure to NO</w:t>
      </w:r>
      <w:r w:rsidR="00717CE7" w:rsidRPr="007D12B5">
        <w:rPr>
          <w:rFonts w:asciiTheme="minorHAnsi" w:hAnsiTheme="minorHAnsi"/>
          <w:snapToGrid w:val="0"/>
          <w:szCs w:val="22"/>
          <w:vertAlign w:val="subscript"/>
          <w:lang w:val="en-AU" w:eastAsia="en-US"/>
        </w:rPr>
        <w:t>2</w:t>
      </w:r>
      <w:r w:rsidR="00717CE7">
        <w:rPr>
          <w:rFonts w:asciiTheme="minorHAnsi" w:hAnsiTheme="minorHAnsi"/>
          <w:snapToGrid w:val="0"/>
          <w:szCs w:val="22"/>
          <w:lang w:val="en-AU" w:eastAsia="en-US"/>
        </w:rPr>
        <w:t xml:space="preserve"> can </w:t>
      </w:r>
      <w:r w:rsidR="00A3092E">
        <w:rPr>
          <w:rFonts w:asciiTheme="minorHAnsi" w:hAnsiTheme="minorHAnsi"/>
          <w:snapToGrid w:val="0"/>
          <w:szCs w:val="22"/>
          <w:lang w:val="en-AU" w:eastAsia="en-US"/>
        </w:rPr>
        <w:t>affect</w:t>
      </w:r>
      <w:r w:rsidR="00717CE7">
        <w:rPr>
          <w:rFonts w:asciiTheme="minorHAnsi" w:hAnsiTheme="minorHAnsi"/>
          <w:snapToGrid w:val="0"/>
          <w:szCs w:val="22"/>
          <w:lang w:val="en-AU" w:eastAsia="en-US"/>
        </w:rPr>
        <w:t xml:space="preserve"> the health of children</w:t>
      </w:r>
      <w:r w:rsidR="00A3092E">
        <w:rPr>
          <w:rFonts w:asciiTheme="minorHAnsi" w:hAnsiTheme="minorHAnsi"/>
          <w:snapToGrid w:val="0"/>
          <w:szCs w:val="22"/>
          <w:lang w:val="en-AU" w:eastAsia="en-US"/>
        </w:rPr>
        <w:t xml:space="preserve"> </w:t>
      </w:r>
      <w:r w:rsidR="00717CE7">
        <w:rPr>
          <w:rFonts w:asciiTheme="minorHAnsi" w:hAnsiTheme="minorHAnsi"/>
          <w:snapToGrid w:val="0"/>
          <w:szCs w:val="22"/>
          <w:lang w:val="en-AU" w:eastAsia="en-US"/>
        </w:rPr>
        <w:t>and the elderly in particular</w:t>
      </w:r>
      <w:r w:rsidR="00583952">
        <w:rPr>
          <w:rFonts w:asciiTheme="minorHAnsi" w:hAnsiTheme="minorHAnsi"/>
          <w:snapToGrid w:val="0"/>
          <w:szCs w:val="22"/>
          <w:lang w:val="en-AU" w:eastAsia="en-US"/>
        </w:rPr>
        <w:t xml:space="preserve"> </w:t>
      </w:r>
      <w:r w:rsidR="00583952" w:rsidRPr="00583952">
        <w:rPr>
          <w:rFonts w:ascii="Calibri" w:hAnsi="Calibri"/>
          <w:snapToGrid w:val="0"/>
          <w:szCs w:val="22"/>
          <w:lang w:val="en-AU" w:eastAsia="en-US"/>
        </w:rPr>
        <w:t xml:space="preserve">(e.g. </w:t>
      </w:r>
      <w:r w:rsidR="009A77BD" w:rsidRPr="009A77BD">
        <w:rPr>
          <w:rFonts w:asciiTheme="minorHAnsi" w:hAnsiTheme="minorHAnsi"/>
          <w:szCs w:val="22"/>
        </w:rPr>
        <w:t>Breysse</w:t>
      </w:r>
      <w:r w:rsidR="009A77BD">
        <w:rPr>
          <w:rFonts w:asciiTheme="minorHAnsi" w:hAnsiTheme="minorHAnsi"/>
          <w:szCs w:val="22"/>
        </w:rPr>
        <w:t xml:space="preserve"> et al.,</w:t>
      </w:r>
      <w:r w:rsidR="003C6D8D">
        <w:rPr>
          <w:rFonts w:asciiTheme="minorHAnsi" w:hAnsiTheme="minorHAnsi"/>
          <w:szCs w:val="22"/>
        </w:rPr>
        <w:t xml:space="preserve"> 2010;</w:t>
      </w:r>
      <w:r w:rsidR="009A77BD">
        <w:rPr>
          <w:rFonts w:asciiTheme="minorHAnsi" w:hAnsiTheme="minorHAnsi"/>
          <w:szCs w:val="22"/>
        </w:rPr>
        <w:t xml:space="preserve"> </w:t>
      </w:r>
      <w:r w:rsidR="007B3E8F">
        <w:rPr>
          <w:rFonts w:ascii="Calibri" w:hAnsi="Calibri" w:cs="AdvTTb5929f4c"/>
          <w:color w:val="131413"/>
          <w:szCs w:val="22"/>
        </w:rPr>
        <w:t>Favarato et al., 2014; USEPA, 2016</w:t>
      </w:r>
      <w:r w:rsidR="0016639F">
        <w:rPr>
          <w:rFonts w:ascii="Calibri" w:hAnsi="Calibri" w:cs="AdvTTb5929f4c"/>
          <w:color w:val="131413"/>
          <w:szCs w:val="22"/>
        </w:rPr>
        <w:t>; RCP, 2016</w:t>
      </w:r>
      <w:r w:rsidR="00583952" w:rsidRPr="00583952">
        <w:rPr>
          <w:rFonts w:ascii="Calibri" w:hAnsi="Calibri" w:cs="AdvTTb5929f4c"/>
          <w:color w:val="131413"/>
          <w:szCs w:val="22"/>
        </w:rPr>
        <w:t>)</w:t>
      </w:r>
      <w:r w:rsidR="00717CE7" w:rsidRPr="00583952">
        <w:rPr>
          <w:rFonts w:ascii="Calibri" w:hAnsi="Calibri"/>
          <w:snapToGrid w:val="0"/>
          <w:szCs w:val="22"/>
          <w:lang w:val="en-AU" w:eastAsia="en-US"/>
        </w:rPr>
        <w:t>.</w:t>
      </w:r>
      <w:r w:rsidR="00717CE7">
        <w:rPr>
          <w:rFonts w:asciiTheme="minorHAnsi" w:hAnsiTheme="minorHAnsi"/>
          <w:snapToGrid w:val="0"/>
          <w:szCs w:val="22"/>
          <w:lang w:val="en-AU" w:eastAsia="en-US"/>
        </w:rPr>
        <w:t xml:space="preserve"> A recent meta-analysis (Lin et al., 2013) confirmed that both gas cooking and elevated indoor NO</w:t>
      </w:r>
      <w:r w:rsidR="00717CE7" w:rsidRPr="00005C48">
        <w:rPr>
          <w:rFonts w:asciiTheme="minorHAnsi" w:hAnsiTheme="minorHAnsi"/>
          <w:snapToGrid w:val="0"/>
          <w:szCs w:val="22"/>
          <w:vertAlign w:val="subscript"/>
          <w:lang w:val="en-AU" w:eastAsia="en-US"/>
        </w:rPr>
        <w:t>2</w:t>
      </w:r>
      <w:r w:rsidR="00717CE7">
        <w:rPr>
          <w:rFonts w:asciiTheme="minorHAnsi" w:hAnsiTheme="minorHAnsi"/>
          <w:snapToGrid w:val="0"/>
          <w:szCs w:val="22"/>
          <w:lang w:val="en-AU" w:eastAsia="en-US"/>
        </w:rPr>
        <w:t xml:space="preserve"> concentrations were associated with a higher prevalence of childhood asthma and wheeze; furthermore, there is evidence that the threshold for increased symptoms in asthmatic children</w:t>
      </w:r>
      <w:r w:rsidR="00D47F6A">
        <w:rPr>
          <w:rFonts w:asciiTheme="minorHAnsi" w:hAnsiTheme="minorHAnsi"/>
          <w:snapToGrid w:val="0"/>
          <w:szCs w:val="22"/>
          <w:lang w:val="en-AU" w:eastAsia="en-US"/>
        </w:rPr>
        <w:t xml:space="preserve">, as a result of </w:t>
      </w:r>
      <w:r w:rsidR="00DB79D9">
        <w:rPr>
          <w:rFonts w:asciiTheme="minorHAnsi" w:hAnsiTheme="minorHAnsi"/>
          <w:snapToGrid w:val="0"/>
          <w:szCs w:val="22"/>
          <w:lang w:val="en-AU" w:eastAsia="en-US"/>
        </w:rPr>
        <w:t xml:space="preserve">long-term exposure, </w:t>
      </w:r>
      <w:r w:rsidR="00717CE7">
        <w:rPr>
          <w:rFonts w:asciiTheme="minorHAnsi" w:hAnsiTheme="minorHAnsi"/>
          <w:snapToGrid w:val="0"/>
          <w:szCs w:val="22"/>
          <w:lang w:val="en-AU" w:eastAsia="en-US"/>
        </w:rPr>
        <w:t xml:space="preserve">lies below 10ppb i.e. below current </w:t>
      </w:r>
      <w:r w:rsidR="00D47F6A">
        <w:rPr>
          <w:rFonts w:asciiTheme="minorHAnsi" w:hAnsiTheme="minorHAnsi"/>
          <w:snapToGrid w:val="0"/>
          <w:szCs w:val="22"/>
          <w:lang w:val="en-AU" w:eastAsia="en-US"/>
        </w:rPr>
        <w:t xml:space="preserve">annual </w:t>
      </w:r>
      <w:r w:rsidR="00717CE7">
        <w:rPr>
          <w:rFonts w:asciiTheme="minorHAnsi" w:hAnsiTheme="minorHAnsi"/>
          <w:snapToGrid w:val="0"/>
          <w:szCs w:val="22"/>
          <w:lang w:val="en-AU" w:eastAsia="en-US"/>
        </w:rPr>
        <w:t xml:space="preserve">air quality guidelines (Belanger et al., 2013). In adults, increased bronchial responsiveness has been associated with gas cooking for individuals without a gene which increases oxidant stress detoxification (Amaral et al., 2014). </w:t>
      </w:r>
    </w:p>
    <w:p w14:paraId="6AEE6718" w14:textId="1CB4717D" w:rsidR="006278F0" w:rsidRDefault="00FB0E1A" w:rsidP="00164CF9">
      <w:pPr>
        <w:autoSpaceDE w:val="0"/>
        <w:autoSpaceDN w:val="0"/>
        <w:adjustRightInd w:val="0"/>
        <w:spacing w:before="240"/>
        <w:jc w:val="both"/>
        <w:rPr>
          <w:rFonts w:asciiTheme="minorHAnsi" w:hAnsiTheme="minorHAnsi"/>
          <w:szCs w:val="22"/>
        </w:rPr>
      </w:pPr>
      <w:r>
        <w:rPr>
          <w:rFonts w:asciiTheme="minorHAnsi" w:hAnsiTheme="minorHAnsi"/>
          <w:szCs w:val="22"/>
        </w:rPr>
        <w:t xml:space="preserve">The evidence associating </w:t>
      </w:r>
      <w:r w:rsidRPr="00E50781">
        <w:rPr>
          <w:rFonts w:asciiTheme="minorHAnsi" w:eastAsiaTheme="minorHAnsi" w:hAnsiTheme="minorHAnsi" w:cs="ArialMT"/>
          <w:szCs w:val="22"/>
          <w:lang w:eastAsia="en-US"/>
        </w:rPr>
        <w:t>NO</w:t>
      </w:r>
      <w:r w:rsidRPr="00164CF9">
        <w:rPr>
          <w:rFonts w:asciiTheme="minorHAnsi" w:eastAsiaTheme="minorHAnsi" w:hAnsiTheme="minorHAnsi" w:cs="ArialMT"/>
          <w:szCs w:val="22"/>
          <w:vertAlign w:val="subscript"/>
          <w:lang w:eastAsia="en-US"/>
        </w:rPr>
        <w:t>2</w:t>
      </w:r>
      <w:r w:rsidRPr="00E50781">
        <w:rPr>
          <w:rFonts w:asciiTheme="minorHAnsi" w:eastAsiaTheme="minorHAnsi" w:hAnsiTheme="minorHAnsi" w:cs="ArialMT"/>
          <w:szCs w:val="22"/>
          <w:lang w:eastAsia="en-US"/>
        </w:rPr>
        <w:t xml:space="preserve"> </w:t>
      </w:r>
      <w:r>
        <w:rPr>
          <w:rFonts w:asciiTheme="minorHAnsi" w:hAnsiTheme="minorHAnsi"/>
          <w:szCs w:val="22"/>
        </w:rPr>
        <w:t xml:space="preserve">exposure with health effects has strengthened substantially in recent years </w:t>
      </w:r>
      <w:r w:rsidR="006278F0" w:rsidRPr="00924A13">
        <w:rPr>
          <w:rFonts w:asciiTheme="minorHAnsi" w:eastAsia="Calibri" w:hAnsiTheme="minorHAnsi" w:cs="Arial"/>
          <w:bCs/>
          <w:color w:val="000000"/>
          <w:szCs w:val="22"/>
          <w:lang w:eastAsia="en-US"/>
        </w:rPr>
        <w:t>(</w:t>
      </w:r>
      <w:r w:rsidR="006278F0">
        <w:rPr>
          <w:rFonts w:asciiTheme="minorHAnsi" w:eastAsia="Calibri" w:hAnsiTheme="minorHAnsi" w:cs="Arial"/>
          <w:bCs/>
          <w:color w:val="000000"/>
          <w:szCs w:val="22"/>
          <w:lang w:eastAsia="en-US"/>
        </w:rPr>
        <w:t xml:space="preserve">COMEAP, </w:t>
      </w:r>
      <w:r w:rsidR="006278F0" w:rsidRPr="00924A13">
        <w:rPr>
          <w:rFonts w:asciiTheme="minorHAnsi" w:eastAsia="Calibri" w:hAnsiTheme="minorHAnsi" w:cs="Arial"/>
          <w:bCs/>
          <w:color w:val="000000"/>
          <w:szCs w:val="22"/>
          <w:lang w:eastAsia="en-US"/>
        </w:rPr>
        <w:t>2015).</w:t>
      </w:r>
      <w:r w:rsidR="006278F0" w:rsidRPr="0012582F">
        <w:rPr>
          <w:rFonts w:eastAsia="Calibri" w:cs="Arial"/>
          <w:bCs/>
          <w:color w:val="000000"/>
          <w:lang w:eastAsia="en-US"/>
        </w:rPr>
        <w:t xml:space="preserve"> </w:t>
      </w:r>
      <w:r w:rsidR="006278F0">
        <w:rPr>
          <w:rFonts w:asciiTheme="minorHAnsi" w:hAnsiTheme="minorHAnsi"/>
          <w:szCs w:val="22"/>
        </w:rPr>
        <w:t>T</w:t>
      </w:r>
      <w:r w:rsidR="006278F0" w:rsidRPr="00E50781">
        <w:rPr>
          <w:rFonts w:asciiTheme="minorHAnsi" w:hAnsiTheme="minorHAnsi"/>
          <w:szCs w:val="22"/>
        </w:rPr>
        <w:t>hree authoritative</w:t>
      </w:r>
      <w:r w:rsidR="006278F0" w:rsidRPr="00E50781">
        <w:rPr>
          <w:rFonts w:asciiTheme="minorHAnsi" w:eastAsiaTheme="minorHAnsi" w:hAnsiTheme="minorHAnsi" w:cs="ArialMT"/>
          <w:szCs w:val="22"/>
          <w:lang w:eastAsia="en-US"/>
        </w:rPr>
        <w:t xml:space="preserve"> reviews on the health effects from exposure to NO</w:t>
      </w:r>
      <w:r w:rsidR="006278F0" w:rsidRPr="00164CF9">
        <w:rPr>
          <w:rFonts w:asciiTheme="minorHAnsi" w:eastAsiaTheme="minorHAnsi" w:hAnsiTheme="minorHAnsi" w:cs="ArialMT"/>
          <w:szCs w:val="22"/>
          <w:vertAlign w:val="subscript"/>
          <w:lang w:eastAsia="en-US"/>
        </w:rPr>
        <w:t>2</w:t>
      </w:r>
      <w:r w:rsidR="006278F0" w:rsidRPr="00E50781">
        <w:rPr>
          <w:rFonts w:asciiTheme="minorHAnsi" w:eastAsiaTheme="minorHAnsi" w:hAnsiTheme="minorHAnsi" w:cs="ArialMT"/>
          <w:szCs w:val="22"/>
          <w:lang w:eastAsia="en-US"/>
        </w:rPr>
        <w:t xml:space="preserve"> have been carried out</w:t>
      </w:r>
      <w:r w:rsidR="006278F0" w:rsidRPr="00E50781">
        <w:rPr>
          <w:rFonts w:asciiTheme="minorHAnsi" w:hAnsiTheme="minorHAnsi"/>
          <w:szCs w:val="22"/>
        </w:rPr>
        <w:t xml:space="preserve">: a </w:t>
      </w:r>
      <w:r w:rsidR="00164CF9">
        <w:rPr>
          <w:rFonts w:asciiTheme="minorHAnsi" w:eastAsiaTheme="minorHAnsi" w:hAnsiTheme="minorHAnsi" w:cs="Arial"/>
          <w:iCs/>
          <w:szCs w:val="22"/>
          <w:lang w:eastAsia="en-US"/>
        </w:rPr>
        <w:t>s</w:t>
      </w:r>
      <w:r w:rsidR="006278F0" w:rsidRPr="00E50781">
        <w:rPr>
          <w:rFonts w:asciiTheme="minorHAnsi" w:eastAsiaTheme="minorHAnsi" w:hAnsiTheme="minorHAnsi" w:cs="Arial"/>
          <w:iCs/>
          <w:szCs w:val="22"/>
          <w:lang w:eastAsia="en-US"/>
        </w:rPr>
        <w:t>tatement on the quantification of the effects of long-term exposure to NO</w:t>
      </w:r>
      <w:r w:rsidR="006278F0" w:rsidRPr="005106AF">
        <w:rPr>
          <w:rFonts w:asciiTheme="minorHAnsi" w:eastAsiaTheme="minorHAnsi" w:hAnsiTheme="minorHAnsi" w:cs="Arial"/>
          <w:iCs/>
          <w:szCs w:val="22"/>
          <w:vertAlign w:val="subscript"/>
          <w:lang w:eastAsia="en-US"/>
        </w:rPr>
        <w:t>2</w:t>
      </w:r>
      <w:r w:rsidR="006278F0" w:rsidRPr="00E50781">
        <w:rPr>
          <w:rFonts w:asciiTheme="minorHAnsi" w:eastAsiaTheme="minorHAnsi" w:hAnsiTheme="minorHAnsi" w:cs="Arial"/>
          <w:iCs/>
          <w:szCs w:val="22"/>
          <w:lang w:eastAsia="en-US"/>
        </w:rPr>
        <w:t xml:space="preserve"> on respiratory morbidity in children </w:t>
      </w:r>
      <w:r w:rsidR="006278F0" w:rsidRPr="00E50781">
        <w:rPr>
          <w:rFonts w:asciiTheme="minorHAnsi" w:hAnsiTheme="minorHAnsi"/>
          <w:szCs w:val="22"/>
        </w:rPr>
        <w:t xml:space="preserve">by COMEAP (2009), the </w:t>
      </w:r>
      <w:r w:rsidR="006278F0" w:rsidRPr="00E50781">
        <w:rPr>
          <w:rFonts w:asciiTheme="minorHAnsi" w:eastAsiaTheme="minorHAnsi" w:hAnsiTheme="minorHAnsi" w:cs="ArialMT"/>
          <w:szCs w:val="22"/>
          <w:lang w:eastAsia="en-US"/>
        </w:rPr>
        <w:t xml:space="preserve">updated Integrated Science </w:t>
      </w:r>
      <w:r w:rsidR="00386371">
        <w:rPr>
          <w:rFonts w:asciiTheme="minorHAnsi" w:eastAsiaTheme="minorHAnsi" w:hAnsiTheme="minorHAnsi" w:cs="ArialMT"/>
          <w:szCs w:val="22"/>
          <w:lang w:eastAsia="en-US"/>
        </w:rPr>
        <w:t>Assessment by US EPA (2013, 2016</w:t>
      </w:r>
      <w:r w:rsidR="006278F0" w:rsidRPr="00E50781">
        <w:rPr>
          <w:rFonts w:asciiTheme="minorHAnsi" w:eastAsiaTheme="minorHAnsi" w:hAnsiTheme="minorHAnsi" w:cs="ArialMT"/>
          <w:szCs w:val="22"/>
          <w:lang w:eastAsia="en-US"/>
        </w:rPr>
        <w:t xml:space="preserve">), and the Review of Evidence on Health Aspects of Air Pollution-REVIHAAP by WHO (2013). </w:t>
      </w:r>
      <w:r w:rsidR="00164CF9">
        <w:rPr>
          <w:rFonts w:asciiTheme="minorHAnsi" w:eastAsiaTheme="minorHAnsi" w:hAnsiTheme="minorHAnsi" w:cs="ArialMT"/>
          <w:szCs w:val="22"/>
          <w:lang w:eastAsia="en-US"/>
        </w:rPr>
        <w:t xml:space="preserve">In addition, recent </w:t>
      </w:r>
      <w:r>
        <w:rPr>
          <w:rFonts w:asciiTheme="minorHAnsi" w:eastAsiaTheme="minorHAnsi" w:hAnsiTheme="minorHAnsi" w:cs="ArialMT"/>
          <w:szCs w:val="22"/>
          <w:lang w:eastAsia="en-US"/>
        </w:rPr>
        <w:t xml:space="preserve">studies, including </w:t>
      </w:r>
      <w:r w:rsidR="006278F0" w:rsidRPr="00532940">
        <w:rPr>
          <w:rFonts w:asciiTheme="minorHAnsi" w:eastAsiaTheme="minorHAnsi" w:hAnsiTheme="minorHAnsi" w:cs="ArialMT"/>
          <w:szCs w:val="22"/>
          <w:lang w:eastAsia="en-US"/>
        </w:rPr>
        <w:t>the ESCAPE study (</w:t>
      </w:r>
      <w:r w:rsidR="006278F0">
        <w:rPr>
          <w:rFonts w:asciiTheme="minorHAnsi" w:eastAsiaTheme="minorHAnsi" w:hAnsiTheme="minorHAnsi" w:cs="ArialMT"/>
          <w:szCs w:val="22"/>
          <w:lang w:eastAsia="en-US"/>
        </w:rPr>
        <w:t>Beelen et al.</w:t>
      </w:r>
      <w:r w:rsidR="006278F0" w:rsidRPr="00532940">
        <w:rPr>
          <w:rFonts w:asciiTheme="minorHAnsi" w:eastAsiaTheme="minorHAnsi" w:hAnsiTheme="minorHAnsi" w:cs="ArialMT"/>
          <w:szCs w:val="22"/>
          <w:lang w:eastAsia="en-US"/>
        </w:rPr>
        <w:t>, 2014)</w:t>
      </w:r>
      <w:r w:rsidR="00DC7A97">
        <w:rPr>
          <w:rFonts w:asciiTheme="minorHAnsi" w:eastAsiaTheme="minorHAnsi" w:hAnsiTheme="minorHAnsi" w:cs="ArialMT"/>
          <w:szCs w:val="22"/>
          <w:lang w:eastAsia="en-US"/>
        </w:rPr>
        <w:t xml:space="preserve">, </w:t>
      </w:r>
      <w:r w:rsidR="006278F0">
        <w:rPr>
          <w:rFonts w:asciiTheme="minorHAnsi" w:eastAsiaTheme="minorHAnsi" w:hAnsiTheme="minorHAnsi" w:cs="ArialMT"/>
          <w:szCs w:val="22"/>
          <w:lang w:eastAsia="en-US"/>
        </w:rPr>
        <w:t xml:space="preserve">the DUELS study </w:t>
      </w:r>
      <w:r w:rsidR="006278F0" w:rsidRPr="00F805FD">
        <w:rPr>
          <w:rFonts w:asciiTheme="minorHAnsi" w:eastAsiaTheme="minorHAnsi" w:hAnsiTheme="minorHAnsi" w:cs="ArialMT"/>
          <w:szCs w:val="22"/>
          <w:lang w:eastAsia="en-US"/>
        </w:rPr>
        <w:t>(</w:t>
      </w:r>
      <w:r w:rsidR="006278F0" w:rsidRPr="00F805FD">
        <w:rPr>
          <w:rFonts w:asciiTheme="minorHAnsi" w:hAnsiTheme="minorHAnsi"/>
          <w:szCs w:val="22"/>
        </w:rPr>
        <w:t>Fischer et al</w:t>
      </w:r>
      <w:r w:rsidR="006278F0">
        <w:rPr>
          <w:rFonts w:asciiTheme="minorHAnsi" w:hAnsiTheme="minorHAnsi"/>
          <w:szCs w:val="22"/>
        </w:rPr>
        <w:t>.,</w:t>
      </w:r>
      <w:r w:rsidR="006278F0" w:rsidRPr="00F805FD">
        <w:rPr>
          <w:rFonts w:asciiTheme="minorHAnsi" w:hAnsiTheme="minorHAnsi"/>
          <w:szCs w:val="22"/>
        </w:rPr>
        <w:t xml:space="preserve"> 2015</w:t>
      </w:r>
      <w:r w:rsidR="006278F0" w:rsidRPr="00F805FD">
        <w:rPr>
          <w:rFonts w:asciiTheme="minorHAnsi" w:eastAsiaTheme="minorHAnsi" w:hAnsiTheme="minorHAnsi" w:cs="ArialMT"/>
          <w:szCs w:val="22"/>
          <w:lang w:eastAsia="en-US"/>
        </w:rPr>
        <w:t>)</w:t>
      </w:r>
      <w:r>
        <w:rPr>
          <w:rFonts w:asciiTheme="minorHAnsi" w:eastAsiaTheme="minorHAnsi" w:hAnsiTheme="minorHAnsi" w:cs="ArialMT"/>
          <w:szCs w:val="22"/>
          <w:lang w:eastAsia="en-US"/>
        </w:rPr>
        <w:t>,</w:t>
      </w:r>
      <w:r w:rsidR="00DC7A97">
        <w:rPr>
          <w:rFonts w:asciiTheme="minorHAnsi" w:eastAsiaTheme="minorHAnsi" w:hAnsiTheme="minorHAnsi" w:cs="ArialMT"/>
          <w:szCs w:val="22"/>
          <w:lang w:eastAsia="en-US"/>
        </w:rPr>
        <w:t xml:space="preserve"> </w:t>
      </w:r>
      <w:r w:rsidR="00DC7A97" w:rsidRPr="00CD6E9A">
        <w:rPr>
          <w:rFonts w:asciiTheme="minorHAnsi" w:eastAsiaTheme="minorHAnsi" w:hAnsiTheme="minorHAnsi" w:cs="ArialMT"/>
          <w:szCs w:val="22"/>
          <w:lang w:eastAsia="en-US"/>
        </w:rPr>
        <w:t>a study following the RoLS cohort in Rome (</w:t>
      </w:r>
      <w:r w:rsidR="00DC7A97" w:rsidRPr="00CD6E9A">
        <w:rPr>
          <w:rFonts w:asciiTheme="minorHAnsi" w:hAnsiTheme="minorHAnsi"/>
          <w:szCs w:val="22"/>
        </w:rPr>
        <w:t>Cesaroni et al., 2013)</w:t>
      </w:r>
      <w:r w:rsidR="00DC7A97" w:rsidRPr="00CD6E9A">
        <w:rPr>
          <w:rFonts w:asciiTheme="minorHAnsi" w:eastAsiaTheme="minorHAnsi" w:hAnsiTheme="minorHAnsi" w:cs="ArialMT"/>
          <w:szCs w:val="22"/>
          <w:lang w:eastAsia="en-US"/>
        </w:rPr>
        <w:t xml:space="preserve"> </w:t>
      </w:r>
      <w:r w:rsidR="006278F0" w:rsidRPr="00CD6E9A">
        <w:rPr>
          <w:rFonts w:asciiTheme="minorHAnsi" w:eastAsiaTheme="minorHAnsi" w:hAnsiTheme="minorHAnsi" w:cs="ArialMT"/>
          <w:szCs w:val="22"/>
          <w:lang w:eastAsia="en-US"/>
        </w:rPr>
        <w:t>and a meta-anal</w:t>
      </w:r>
      <w:r w:rsidR="00242EEC" w:rsidRPr="00CD6E9A">
        <w:rPr>
          <w:rFonts w:asciiTheme="minorHAnsi" w:eastAsiaTheme="minorHAnsi" w:hAnsiTheme="minorHAnsi" w:cs="ArialMT"/>
          <w:szCs w:val="22"/>
          <w:lang w:eastAsia="en-US"/>
        </w:rPr>
        <w:t>ysis of long-term s</w:t>
      </w:r>
      <w:r w:rsidR="00242EEC">
        <w:rPr>
          <w:rFonts w:asciiTheme="minorHAnsi" w:eastAsiaTheme="minorHAnsi" w:hAnsiTheme="minorHAnsi" w:cs="ArialMT"/>
          <w:szCs w:val="22"/>
          <w:lang w:eastAsia="en-US"/>
        </w:rPr>
        <w:t>tudies on NO</w:t>
      </w:r>
      <w:r w:rsidR="00242EEC">
        <w:rPr>
          <w:rFonts w:asciiTheme="minorHAnsi" w:eastAsiaTheme="minorHAnsi" w:hAnsiTheme="minorHAnsi" w:cs="ArialMT"/>
          <w:szCs w:val="22"/>
          <w:vertAlign w:val="subscript"/>
          <w:lang w:eastAsia="en-US"/>
        </w:rPr>
        <w:t>2</w:t>
      </w:r>
      <w:r w:rsidR="006278F0" w:rsidRPr="00532940">
        <w:rPr>
          <w:rFonts w:asciiTheme="minorHAnsi" w:eastAsiaTheme="minorHAnsi" w:hAnsiTheme="minorHAnsi" w:cs="ArialMT"/>
          <w:szCs w:val="22"/>
          <w:lang w:eastAsia="en-US"/>
        </w:rPr>
        <w:t xml:space="preserve"> (Faustini et al, 2014)</w:t>
      </w:r>
      <w:r>
        <w:rPr>
          <w:rFonts w:asciiTheme="minorHAnsi" w:eastAsiaTheme="minorHAnsi" w:hAnsiTheme="minorHAnsi" w:cs="ArialMT"/>
          <w:szCs w:val="22"/>
          <w:lang w:eastAsia="en-US"/>
        </w:rPr>
        <w:t>,</w:t>
      </w:r>
      <w:r w:rsidR="006278F0" w:rsidRPr="00E07CDC">
        <w:rPr>
          <w:rFonts w:asciiTheme="minorHAnsi" w:eastAsiaTheme="minorHAnsi" w:hAnsiTheme="minorHAnsi" w:cs="ArialMT"/>
          <w:szCs w:val="22"/>
          <w:lang w:eastAsia="en-US"/>
        </w:rPr>
        <w:t xml:space="preserve"> show associations </w:t>
      </w:r>
      <w:r w:rsidR="00164CF9">
        <w:rPr>
          <w:rFonts w:asciiTheme="minorHAnsi" w:eastAsiaTheme="minorHAnsi" w:hAnsiTheme="minorHAnsi" w:cs="ArialMT"/>
          <w:szCs w:val="22"/>
          <w:lang w:eastAsia="en-US"/>
        </w:rPr>
        <w:t>between</w:t>
      </w:r>
      <w:r w:rsidR="00242EEC">
        <w:rPr>
          <w:rFonts w:asciiTheme="minorHAnsi" w:eastAsiaTheme="minorHAnsi" w:hAnsiTheme="minorHAnsi" w:cs="ArialMT"/>
          <w:szCs w:val="22"/>
          <w:lang w:eastAsia="en-US"/>
        </w:rPr>
        <w:t xml:space="preserve"> long-term exposure to NO</w:t>
      </w:r>
      <w:r w:rsidR="00242EEC">
        <w:rPr>
          <w:rFonts w:asciiTheme="minorHAnsi" w:eastAsiaTheme="minorHAnsi" w:hAnsiTheme="minorHAnsi" w:cs="ArialMT"/>
          <w:szCs w:val="22"/>
          <w:vertAlign w:val="subscript"/>
          <w:lang w:eastAsia="en-US"/>
        </w:rPr>
        <w:t>2</w:t>
      </w:r>
      <w:r w:rsidR="006278F0" w:rsidRPr="00E07CDC">
        <w:rPr>
          <w:rFonts w:asciiTheme="minorHAnsi" w:eastAsiaTheme="minorHAnsi" w:hAnsiTheme="minorHAnsi" w:cs="ArialMT"/>
          <w:szCs w:val="22"/>
          <w:lang w:eastAsia="en-US"/>
        </w:rPr>
        <w:t xml:space="preserve"> </w:t>
      </w:r>
      <w:r w:rsidR="00164CF9">
        <w:rPr>
          <w:rFonts w:asciiTheme="minorHAnsi" w:eastAsiaTheme="minorHAnsi" w:hAnsiTheme="minorHAnsi" w:cs="ArialMT"/>
          <w:szCs w:val="22"/>
          <w:lang w:eastAsia="en-US"/>
        </w:rPr>
        <w:t xml:space="preserve">and </w:t>
      </w:r>
      <w:r w:rsidR="006278F0" w:rsidRPr="00E07CDC">
        <w:rPr>
          <w:rFonts w:asciiTheme="minorHAnsi" w:eastAsiaTheme="minorHAnsi" w:hAnsiTheme="minorHAnsi" w:cs="ArialMT"/>
          <w:szCs w:val="22"/>
          <w:lang w:eastAsia="en-US"/>
        </w:rPr>
        <w:t>all-cause, respiratory and cardiovascular mortality, children’s respiratory symptoms and lung function. Furthermore, there are positive associations be</w:t>
      </w:r>
      <w:r w:rsidR="00242EEC">
        <w:rPr>
          <w:rFonts w:asciiTheme="minorHAnsi" w:eastAsiaTheme="minorHAnsi" w:hAnsiTheme="minorHAnsi" w:cs="ArialMT"/>
          <w:szCs w:val="22"/>
          <w:lang w:eastAsia="en-US"/>
        </w:rPr>
        <w:t>tween short-term exposure to NO</w:t>
      </w:r>
      <w:r w:rsidR="00242EEC">
        <w:rPr>
          <w:rFonts w:asciiTheme="minorHAnsi" w:eastAsiaTheme="minorHAnsi" w:hAnsiTheme="minorHAnsi" w:cs="ArialMT"/>
          <w:szCs w:val="22"/>
          <w:vertAlign w:val="subscript"/>
          <w:lang w:eastAsia="en-US"/>
        </w:rPr>
        <w:t>2</w:t>
      </w:r>
      <w:r w:rsidR="006278F0" w:rsidRPr="00E07CDC">
        <w:rPr>
          <w:rFonts w:asciiTheme="minorHAnsi" w:eastAsiaTheme="minorHAnsi" w:hAnsiTheme="minorHAnsi" w:cs="ArialMT"/>
          <w:szCs w:val="22"/>
          <w:lang w:eastAsia="en-US"/>
        </w:rPr>
        <w:t xml:space="preserve"> and hospital admissions and emergency room visits for cardiovascular and/or cardiac diagnoses. Positive and statistically significant associations of short-te</w:t>
      </w:r>
      <w:r w:rsidR="00242EEC">
        <w:rPr>
          <w:rFonts w:asciiTheme="minorHAnsi" w:eastAsiaTheme="minorHAnsi" w:hAnsiTheme="minorHAnsi" w:cs="ArialMT"/>
          <w:szCs w:val="22"/>
          <w:lang w:eastAsia="en-US"/>
        </w:rPr>
        <w:t>rm ambient concentrations of NO</w:t>
      </w:r>
      <w:r w:rsidR="00242EEC">
        <w:rPr>
          <w:rFonts w:asciiTheme="minorHAnsi" w:eastAsiaTheme="minorHAnsi" w:hAnsiTheme="minorHAnsi" w:cs="ArialMT"/>
          <w:szCs w:val="22"/>
          <w:vertAlign w:val="subscript"/>
          <w:lang w:eastAsia="en-US"/>
        </w:rPr>
        <w:t>2</w:t>
      </w:r>
      <w:r w:rsidR="006278F0" w:rsidRPr="00E07CDC">
        <w:rPr>
          <w:rFonts w:asciiTheme="minorHAnsi" w:eastAsiaTheme="minorHAnsi" w:hAnsiTheme="minorHAnsi" w:cs="ArialMT"/>
          <w:szCs w:val="22"/>
          <w:lang w:eastAsia="en-US"/>
        </w:rPr>
        <w:t xml:space="preserve"> with all-cause and cau</w:t>
      </w:r>
      <w:r w:rsidR="006278F0">
        <w:rPr>
          <w:rFonts w:asciiTheme="minorHAnsi" w:eastAsiaTheme="minorHAnsi" w:hAnsiTheme="minorHAnsi" w:cs="ArialMT"/>
          <w:szCs w:val="22"/>
          <w:lang w:eastAsia="en-US"/>
        </w:rPr>
        <w:t>se-specific mortality have also been reported. Although the evidence for short-term effects is stronger</w:t>
      </w:r>
      <w:r w:rsidR="006278F0" w:rsidRPr="00E50781">
        <w:rPr>
          <w:rFonts w:asciiTheme="minorHAnsi" w:eastAsiaTheme="minorHAnsi" w:hAnsiTheme="minorHAnsi" w:cs="ArialMT"/>
          <w:szCs w:val="22"/>
          <w:lang w:eastAsia="en-US"/>
        </w:rPr>
        <w:t xml:space="preserve">, </w:t>
      </w:r>
      <w:r w:rsidR="006278F0">
        <w:rPr>
          <w:rFonts w:asciiTheme="minorHAnsi" w:eastAsiaTheme="minorHAnsi" w:hAnsiTheme="minorHAnsi" w:cs="AdvTT00bc0be2"/>
          <w:color w:val="000000"/>
          <w:szCs w:val="22"/>
          <w:lang w:eastAsia="en-US"/>
        </w:rPr>
        <w:t>w</w:t>
      </w:r>
      <w:r w:rsidR="006278F0" w:rsidRPr="00924A13">
        <w:rPr>
          <w:rFonts w:asciiTheme="minorHAnsi" w:eastAsiaTheme="minorHAnsi" w:hAnsiTheme="minorHAnsi" w:cs="AdvTT00bc0be2"/>
          <w:color w:val="000000"/>
          <w:szCs w:val="22"/>
          <w:lang w:eastAsia="en-US"/>
        </w:rPr>
        <w:t>hether these associations re</w:t>
      </w:r>
      <w:r w:rsidR="006278F0" w:rsidRPr="00924A13">
        <w:rPr>
          <w:rFonts w:asciiTheme="minorHAnsi" w:eastAsiaTheme="minorHAnsi" w:hAnsiTheme="minorHAnsi" w:cs="AdvTT00bc0be2+fb"/>
          <w:color w:val="000000"/>
          <w:szCs w:val="22"/>
          <w:lang w:eastAsia="en-US"/>
        </w:rPr>
        <w:t>fl</w:t>
      </w:r>
      <w:r w:rsidR="006278F0" w:rsidRPr="00924A13">
        <w:rPr>
          <w:rFonts w:asciiTheme="minorHAnsi" w:eastAsiaTheme="minorHAnsi" w:hAnsiTheme="minorHAnsi" w:cs="AdvTT00bc0be2"/>
          <w:color w:val="000000"/>
          <w:szCs w:val="22"/>
          <w:lang w:eastAsia="en-US"/>
        </w:rPr>
        <w:t xml:space="preserve">ect adverse health effects of </w:t>
      </w:r>
      <w:r w:rsidR="006278F0">
        <w:rPr>
          <w:rFonts w:asciiTheme="minorHAnsi" w:eastAsiaTheme="minorHAnsi" w:hAnsiTheme="minorHAnsi" w:cs="AdvTT00bc0be2"/>
          <w:color w:val="000000"/>
          <w:szCs w:val="22"/>
          <w:lang w:eastAsia="en-US"/>
        </w:rPr>
        <w:t>long-term exposure to</w:t>
      </w:r>
      <w:r w:rsidR="00DB52AC">
        <w:rPr>
          <w:rFonts w:asciiTheme="minorHAnsi" w:eastAsiaTheme="minorHAnsi" w:hAnsiTheme="minorHAnsi" w:cs="AdvTT00bc0be2"/>
          <w:color w:val="000000"/>
          <w:szCs w:val="22"/>
          <w:lang w:eastAsia="en-US"/>
        </w:rPr>
        <w:t xml:space="preserve"> NO</w:t>
      </w:r>
      <w:r w:rsidR="00DB52AC">
        <w:rPr>
          <w:rFonts w:asciiTheme="minorHAnsi" w:eastAsiaTheme="minorHAnsi" w:hAnsiTheme="minorHAnsi" w:cs="AdvTT00bc0be2"/>
          <w:color w:val="000000"/>
          <w:szCs w:val="22"/>
          <w:vertAlign w:val="subscript"/>
          <w:lang w:eastAsia="en-US"/>
        </w:rPr>
        <w:t>2</w:t>
      </w:r>
      <w:r w:rsidR="006278F0">
        <w:rPr>
          <w:rFonts w:asciiTheme="minorHAnsi" w:eastAsiaTheme="minorHAnsi" w:hAnsiTheme="minorHAnsi" w:cs="ArialMT"/>
          <w:szCs w:val="22"/>
          <w:lang w:eastAsia="en-US"/>
        </w:rPr>
        <w:t xml:space="preserve"> or </w:t>
      </w:r>
      <w:r w:rsidR="006278F0" w:rsidRPr="00E50781">
        <w:rPr>
          <w:rFonts w:asciiTheme="minorHAnsi" w:eastAsiaTheme="minorHAnsi" w:hAnsiTheme="minorHAnsi" w:cs="ArialMT"/>
          <w:szCs w:val="22"/>
          <w:lang w:eastAsia="en-US"/>
        </w:rPr>
        <w:t>other pollutants emitted by the</w:t>
      </w:r>
      <w:r w:rsidR="006278F0" w:rsidRPr="00E50781">
        <w:rPr>
          <w:rFonts w:asciiTheme="minorHAnsi" w:hAnsiTheme="minorHAnsi"/>
          <w:szCs w:val="22"/>
        </w:rPr>
        <w:t xml:space="preserve"> </w:t>
      </w:r>
      <w:r w:rsidR="006278F0" w:rsidRPr="00E50781">
        <w:rPr>
          <w:rFonts w:asciiTheme="minorHAnsi" w:eastAsiaTheme="minorHAnsi" w:hAnsiTheme="minorHAnsi" w:cs="ArialMT"/>
          <w:szCs w:val="22"/>
          <w:lang w:eastAsia="en-US"/>
        </w:rPr>
        <w:t>same sources, such as traffic</w:t>
      </w:r>
      <w:r w:rsidR="006278F0">
        <w:rPr>
          <w:rFonts w:asciiTheme="minorHAnsi" w:eastAsiaTheme="minorHAnsi" w:hAnsiTheme="minorHAnsi" w:cs="ArialMT"/>
          <w:szCs w:val="22"/>
          <w:lang w:eastAsia="en-US"/>
        </w:rPr>
        <w:t xml:space="preserve">, </w:t>
      </w:r>
      <w:r w:rsidR="006278F0" w:rsidRPr="00924A13">
        <w:rPr>
          <w:rFonts w:asciiTheme="minorHAnsi" w:eastAsiaTheme="minorHAnsi" w:hAnsiTheme="minorHAnsi" w:cs="AdvTT00bc0be2"/>
          <w:color w:val="000000"/>
          <w:szCs w:val="22"/>
          <w:lang w:eastAsia="en-US"/>
        </w:rPr>
        <w:t>has been a matter of debate</w:t>
      </w:r>
      <w:r w:rsidR="006278F0" w:rsidRPr="00E50781">
        <w:rPr>
          <w:rFonts w:asciiTheme="minorHAnsi" w:eastAsiaTheme="minorHAnsi" w:hAnsiTheme="minorHAnsi" w:cs="ArialMT"/>
          <w:szCs w:val="22"/>
          <w:lang w:eastAsia="en-US"/>
        </w:rPr>
        <w:t xml:space="preserve"> </w:t>
      </w:r>
      <w:r w:rsidR="006278F0">
        <w:rPr>
          <w:rFonts w:asciiTheme="minorHAnsi" w:eastAsiaTheme="minorHAnsi" w:hAnsiTheme="minorHAnsi" w:cs="ArialMT"/>
          <w:szCs w:val="22"/>
          <w:lang w:eastAsia="en-US"/>
        </w:rPr>
        <w:t>(</w:t>
      </w:r>
      <w:r w:rsidR="006278F0" w:rsidRPr="00E50781">
        <w:rPr>
          <w:rFonts w:asciiTheme="minorHAnsi" w:hAnsiTheme="minorHAnsi"/>
          <w:szCs w:val="22"/>
        </w:rPr>
        <w:t>COMEAP, 2015).</w:t>
      </w:r>
      <w:r w:rsidR="006278F0">
        <w:rPr>
          <w:rFonts w:asciiTheme="minorHAnsi" w:hAnsiTheme="minorHAnsi"/>
          <w:szCs w:val="22"/>
        </w:rPr>
        <w:t xml:space="preserve"> </w:t>
      </w:r>
    </w:p>
    <w:p w14:paraId="2C84BA3B" w14:textId="77777777" w:rsidR="00DC7A97" w:rsidRDefault="00DC7A97" w:rsidP="00717CE7">
      <w:pPr>
        <w:autoSpaceDE w:val="0"/>
        <w:autoSpaceDN w:val="0"/>
        <w:adjustRightInd w:val="0"/>
        <w:jc w:val="both"/>
        <w:rPr>
          <w:rFonts w:asciiTheme="minorHAnsi" w:hAnsiTheme="minorHAnsi"/>
          <w:szCs w:val="22"/>
        </w:rPr>
      </w:pPr>
    </w:p>
    <w:p w14:paraId="1D6F0615" w14:textId="07BDA6BD" w:rsidR="00717CE7" w:rsidRDefault="0078121C" w:rsidP="00717CE7">
      <w:pPr>
        <w:autoSpaceDE w:val="0"/>
        <w:autoSpaceDN w:val="0"/>
        <w:adjustRightInd w:val="0"/>
        <w:jc w:val="both"/>
        <w:rPr>
          <w:rFonts w:asciiTheme="minorHAnsi" w:hAnsiTheme="minorHAnsi"/>
          <w:snapToGrid w:val="0"/>
          <w:szCs w:val="22"/>
          <w:lang w:val="en-AU" w:eastAsia="en-US"/>
        </w:rPr>
      </w:pPr>
      <w:r>
        <w:rPr>
          <w:rFonts w:asciiTheme="minorHAnsi" w:hAnsiTheme="minorHAnsi"/>
          <w:szCs w:val="22"/>
        </w:rPr>
        <w:t>Although some epidemiological studies of the effects of indoor NO</w:t>
      </w:r>
      <w:r w:rsidRPr="00CB2A0C">
        <w:rPr>
          <w:rFonts w:asciiTheme="minorHAnsi" w:hAnsiTheme="minorHAnsi"/>
          <w:szCs w:val="22"/>
          <w:vertAlign w:val="subscript"/>
        </w:rPr>
        <w:t>2</w:t>
      </w:r>
      <w:r>
        <w:rPr>
          <w:rFonts w:asciiTheme="minorHAnsi" w:hAnsiTheme="minorHAnsi"/>
          <w:szCs w:val="22"/>
        </w:rPr>
        <w:t xml:space="preserve"> </w:t>
      </w:r>
      <w:r w:rsidR="00B74AB9">
        <w:rPr>
          <w:rFonts w:asciiTheme="minorHAnsi" w:hAnsiTheme="minorHAnsi"/>
          <w:szCs w:val="22"/>
        </w:rPr>
        <w:t xml:space="preserve">exposure </w:t>
      </w:r>
      <w:r>
        <w:rPr>
          <w:rFonts w:asciiTheme="minorHAnsi" w:hAnsiTheme="minorHAnsi"/>
          <w:szCs w:val="22"/>
        </w:rPr>
        <w:t xml:space="preserve">use </w:t>
      </w:r>
      <w:r w:rsidR="00C40916">
        <w:rPr>
          <w:rFonts w:asciiTheme="minorHAnsi" w:hAnsiTheme="minorHAnsi"/>
          <w:szCs w:val="22"/>
        </w:rPr>
        <w:t xml:space="preserve">direct </w:t>
      </w:r>
      <w:r>
        <w:rPr>
          <w:rFonts w:asciiTheme="minorHAnsi" w:hAnsiTheme="minorHAnsi"/>
          <w:szCs w:val="22"/>
        </w:rPr>
        <w:t xml:space="preserve">measurements in the home, </w:t>
      </w:r>
      <w:r w:rsidR="00C40916">
        <w:rPr>
          <w:rFonts w:asciiTheme="minorHAnsi" w:hAnsiTheme="minorHAnsi"/>
          <w:szCs w:val="22"/>
        </w:rPr>
        <w:t xml:space="preserve">most </w:t>
      </w:r>
      <w:r>
        <w:rPr>
          <w:rFonts w:asciiTheme="minorHAnsi" w:hAnsiTheme="minorHAnsi"/>
          <w:szCs w:val="22"/>
        </w:rPr>
        <w:t>outdoor s</w:t>
      </w:r>
      <w:r w:rsidRPr="00CF4818">
        <w:rPr>
          <w:rFonts w:asciiTheme="minorHAnsi" w:hAnsiTheme="minorHAnsi"/>
          <w:szCs w:val="22"/>
        </w:rPr>
        <w:t xml:space="preserve">tudies have </w:t>
      </w:r>
      <w:r>
        <w:rPr>
          <w:rFonts w:asciiTheme="minorHAnsi" w:hAnsiTheme="minorHAnsi"/>
          <w:szCs w:val="22"/>
        </w:rPr>
        <w:t>either assumed</w:t>
      </w:r>
      <w:r w:rsidRPr="00CF4818">
        <w:rPr>
          <w:rFonts w:asciiTheme="minorHAnsi" w:hAnsiTheme="minorHAnsi"/>
          <w:szCs w:val="22"/>
        </w:rPr>
        <w:t xml:space="preserve"> that exposure of the study populations</w:t>
      </w:r>
      <w:r>
        <w:rPr>
          <w:rFonts w:asciiTheme="minorHAnsi" w:hAnsiTheme="minorHAnsi"/>
          <w:szCs w:val="22"/>
        </w:rPr>
        <w:t xml:space="preserve"> </w:t>
      </w:r>
      <w:r w:rsidRPr="00CF4818">
        <w:rPr>
          <w:rFonts w:asciiTheme="minorHAnsi" w:hAnsiTheme="minorHAnsi"/>
          <w:szCs w:val="22"/>
        </w:rPr>
        <w:t xml:space="preserve">can be represented by measurements made at fixed central monitoring sites, or </w:t>
      </w:r>
      <w:r>
        <w:rPr>
          <w:rFonts w:asciiTheme="minorHAnsi" w:hAnsiTheme="minorHAnsi"/>
          <w:szCs w:val="22"/>
        </w:rPr>
        <w:t xml:space="preserve">have used appropriate predictive models to estimate the outdoor concentrations at the place of residence. </w:t>
      </w:r>
      <w:r w:rsidR="00717CE7">
        <w:rPr>
          <w:rFonts w:asciiTheme="minorHAnsi" w:hAnsiTheme="minorHAnsi" w:cs="AdvOT863180fb"/>
          <w:color w:val="000000"/>
          <w:szCs w:val="22"/>
        </w:rPr>
        <w:t xml:space="preserve">However, </w:t>
      </w:r>
      <w:r>
        <w:rPr>
          <w:rFonts w:asciiTheme="minorHAnsi" w:hAnsiTheme="minorHAnsi" w:cs="AdvOT863180fb"/>
          <w:color w:val="000000"/>
          <w:szCs w:val="22"/>
        </w:rPr>
        <w:t>h</w:t>
      </w:r>
      <w:r>
        <w:rPr>
          <w:rFonts w:asciiTheme="minorHAnsi" w:hAnsiTheme="minorHAnsi"/>
          <w:szCs w:val="22"/>
        </w:rPr>
        <w:t>ealth outcomes are most directly related to the personal exposure of individuals,</w:t>
      </w:r>
      <w:r>
        <w:rPr>
          <w:rFonts w:asciiTheme="minorHAnsi" w:hAnsiTheme="minorHAnsi" w:cs="AdvOT863180fb"/>
          <w:color w:val="000000"/>
          <w:szCs w:val="22"/>
        </w:rPr>
        <w:t xml:space="preserve"> </w:t>
      </w:r>
      <w:r w:rsidRPr="00CF4818">
        <w:rPr>
          <w:rFonts w:asciiTheme="minorHAnsi" w:hAnsiTheme="minorHAnsi"/>
          <w:snapToGrid w:val="0"/>
          <w:szCs w:val="22"/>
          <w:lang w:val="en-AU" w:eastAsia="en-US"/>
        </w:rPr>
        <w:t xml:space="preserve">and </w:t>
      </w:r>
      <w:r>
        <w:rPr>
          <w:rFonts w:asciiTheme="minorHAnsi" w:hAnsiTheme="minorHAnsi"/>
          <w:snapToGrid w:val="0"/>
          <w:szCs w:val="22"/>
          <w:lang w:val="en-AU" w:eastAsia="en-US"/>
        </w:rPr>
        <w:t xml:space="preserve">there is </w:t>
      </w:r>
      <w:r w:rsidRPr="00CF4818">
        <w:rPr>
          <w:rFonts w:asciiTheme="minorHAnsi" w:hAnsiTheme="minorHAnsi"/>
          <w:snapToGrid w:val="0"/>
          <w:szCs w:val="22"/>
          <w:lang w:val="en-AU" w:eastAsia="en-US"/>
        </w:rPr>
        <w:t xml:space="preserve">evidence </w:t>
      </w:r>
      <w:r>
        <w:rPr>
          <w:rFonts w:asciiTheme="minorHAnsi" w:hAnsiTheme="minorHAnsi"/>
          <w:snapToGrid w:val="0"/>
          <w:szCs w:val="22"/>
          <w:lang w:val="en-AU" w:eastAsia="en-US"/>
        </w:rPr>
        <w:t>t</w:t>
      </w:r>
      <w:r w:rsidRPr="00CF4818">
        <w:rPr>
          <w:rFonts w:asciiTheme="minorHAnsi" w:hAnsiTheme="minorHAnsi"/>
          <w:snapToGrid w:val="0"/>
          <w:szCs w:val="22"/>
          <w:lang w:val="en-AU" w:eastAsia="en-US"/>
        </w:rPr>
        <w:t>hat day-to</w:t>
      </w:r>
      <w:r w:rsidR="00B74AB9">
        <w:rPr>
          <w:rFonts w:asciiTheme="minorHAnsi" w:hAnsiTheme="minorHAnsi"/>
          <w:snapToGrid w:val="0"/>
          <w:szCs w:val="22"/>
          <w:lang w:val="en-AU" w:eastAsia="en-US"/>
        </w:rPr>
        <w:t>-</w:t>
      </w:r>
      <w:r w:rsidRPr="00CF4818">
        <w:rPr>
          <w:rFonts w:asciiTheme="minorHAnsi" w:hAnsiTheme="minorHAnsi"/>
          <w:snapToGrid w:val="0"/>
          <w:szCs w:val="22"/>
          <w:lang w:val="en-AU" w:eastAsia="en-US"/>
        </w:rPr>
        <w:t>day variation in symptoms is more closely related to measured personal exposure than to data from fixed-site monitors (e.g. Spira-Cohen et al., 2011; Brook et al., 2011).</w:t>
      </w:r>
      <w:r w:rsidR="00F76C98">
        <w:rPr>
          <w:rFonts w:asciiTheme="minorHAnsi" w:hAnsiTheme="minorHAnsi"/>
          <w:snapToGrid w:val="0"/>
          <w:szCs w:val="22"/>
          <w:lang w:val="en-AU" w:eastAsia="en-US"/>
        </w:rPr>
        <w:t xml:space="preserve"> </w:t>
      </w:r>
      <w:r w:rsidR="00717CE7">
        <w:rPr>
          <w:rFonts w:asciiTheme="minorHAnsi" w:hAnsiTheme="minorHAnsi" w:cs="AdvOT863180fb"/>
          <w:color w:val="000000"/>
          <w:szCs w:val="22"/>
        </w:rPr>
        <w:t>Several studies o</w:t>
      </w:r>
      <w:r w:rsidR="00C40916">
        <w:rPr>
          <w:rFonts w:asciiTheme="minorHAnsi" w:hAnsiTheme="minorHAnsi" w:cs="AdvOT863180fb"/>
          <w:color w:val="000000"/>
          <w:szCs w:val="22"/>
        </w:rPr>
        <w:t>f</w:t>
      </w:r>
      <w:r w:rsidR="00717CE7">
        <w:rPr>
          <w:rFonts w:asciiTheme="minorHAnsi" w:hAnsiTheme="minorHAnsi" w:cs="AdvOT863180fb"/>
          <w:color w:val="000000"/>
          <w:szCs w:val="22"/>
        </w:rPr>
        <w:t xml:space="preserve"> NO</w:t>
      </w:r>
      <w:r w:rsidR="00717CE7">
        <w:rPr>
          <w:rFonts w:asciiTheme="minorHAnsi" w:hAnsiTheme="minorHAnsi" w:cs="AdvOT863180fb"/>
          <w:color w:val="000000"/>
          <w:szCs w:val="22"/>
          <w:vertAlign w:val="subscript"/>
        </w:rPr>
        <w:t>2</w:t>
      </w:r>
      <w:r w:rsidR="00717CE7">
        <w:rPr>
          <w:rFonts w:asciiTheme="minorHAnsi" w:hAnsiTheme="minorHAnsi" w:cs="AdvOT863180fb"/>
          <w:color w:val="000000"/>
          <w:szCs w:val="22"/>
        </w:rPr>
        <w:t xml:space="preserve"> exposure assessment </w:t>
      </w:r>
      <w:r w:rsidR="00C40916">
        <w:rPr>
          <w:rFonts w:asciiTheme="minorHAnsi" w:hAnsiTheme="minorHAnsi" w:cs="AdvOT863180fb"/>
          <w:color w:val="000000"/>
          <w:szCs w:val="22"/>
        </w:rPr>
        <w:t xml:space="preserve">have </w:t>
      </w:r>
      <w:r w:rsidR="00717CE7" w:rsidRPr="000F450E">
        <w:rPr>
          <w:rFonts w:asciiTheme="minorHAnsi" w:hAnsiTheme="minorHAnsi" w:cs="AdvOT863180fb"/>
          <w:color w:val="000000"/>
          <w:szCs w:val="22"/>
        </w:rPr>
        <w:t xml:space="preserve">examined factors </w:t>
      </w:r>
      <w:r w:rsidR="00717CE7">
        <w:rPr>
          <w:rFonts w:asciiTheme="minorHAnsi" w:hAnsiTheme="minorHAnsi" w:cs="AdvOT863180fb"/>
          <w:color w:val="000000"/>
          <w:szCs w:val="22"/>
        </w:rPr>
        <w:t xml:space="preserve">that </w:t>
      </w:r>
      <w:r w:rsidR="00717CE7" w:rsidRPr="000F450E">
        <w:rPr>
          <w:rFonts w:asciiTheme="minorHAnsi" w:hAnsiTheme="minorHAnsi" w:cs="AdvOT863180fb"/>
          <w:color w:val="000000"/>
          <w:szCs w:val="22"/>
        </w:rPr>
        <w:t>affect the</w:t>
      </w:r>
      <w:r w:rsidR="00717CE7">
        <w:rPr>
          <w:rFonts w:asciiTheme="minorHAnsi" w:hAnsiTheme="minorHAnsi" w:cs="AdvOT863180fb"/>
          <w:color w:val="000000"/>
          <w:szCs w:val="22"/>
        </w:rPr>
        <w:t xml:space="preserve"> </w:t>
      </w:r>
      <w:r w:rsidR="00717CE7" w:rsidRPr="000F450E">
        <w:rPr>
          <w:rFonts w:asciiTheme="minorHAnsi" w:hAnsiTheme="minorHAnsi" w:cs="AdvOT863180fb"/>
          <w:color w:val="000000"/>
          <w:szCs w:val="22"/>
        </w:rPr>
        <w:t>reliability of NO</w:t>
      </w:r>
      <w:r w:rsidR="00717CE7" w:rsidRPr="00172AA1">
        <w:rPr>
          <w:rFonts w:asciiTheme="minorHAnsi" w:hAnsiTheme="minorHAnsi" w:cs="AdvOT863180fb"/>
          <w:color w:val="000000"/>
          <w:szCs w:val="22"/>
          <w:vertAlign w:val="subscript"/>
        </w:rPr>
        <w:t xml:space="preserve">2 </w:t>
      </w:r>
      <w:r w:rsidR="00717CE7" w:rsidRPr="000F450E">
        <w:rPr>
          <w:rFonts w:asciiTheme="minorHAnsi" w:hAnsiTheme="minorHAnsi" w:cs="AdvOT863180fb"/>
          <w:color w:val="000000"/>
          <w:szCs w:val="22"/>
        </w:rPr>
        <w:t xml:space="preserve">ambient monitors </w:t>
      </w:r>
      <w:r w:rsidR="00717CE7">
        <w:rPr>
          <w:rFonts w:asciiTheme="minorHAnsi" w:hAnsiTheme="minorHAnsi" w:cs="AdvOT863180fb"/>
          <w:color w:val="000000"/>
          <w:szCs w:val="22"/>
        </w:rPr>
        <w:t xml:space="preserve">to act </w:t>
      </w:r>
      <w:r w:rsidR="00717CE7" w:rsidRPr="000F450E">
        <w:rPr>
          <w:rFonts w:asciiTheme="minorHAnsi" w:hAnsiTheme="minorHAnsi" w:cs="AdvOT863180fb"/>
          <w:color w:val="000000"/>
          <w:szCs w:val="22"/>
        </w:rPr>
        <w:t>as a surrogate</w:t>
      </w:r>
      <w:r w:rsidR="00717CE7">
        <w:rPr>
          <w:rFonts w:asciiTheme="minorHAnsi" w:hAnsiTheme="minorHAnsi" w:cs="AdvOT863180fb"/>
          <w:color w:val="000000"/>
          <w:szCs w:val="22"/>
        </w:rPr>
        <w:t xml:space="preserve"> </w:t>
      </w:r>
      <w:r w:rsidR="00717CE7" w:rsidRPr="000F450E">
        <w:rPr>
          <w:rFonts w:asciiTheme="minorHAnsi" w:hAnsiTheme="minorHAnsi" w:cs="AdvOT863180fb"/>
          <w:color w:val="000000"/>
          <w:szCs w:val="22"/>
        </w:rPr>
        <w:t>for personal</w:t>
      </w:r>
      <w:r w:rsidR="00717CE7">
        <w:rPr>
          <w:rFonts w:asciiTheme="minorHAnsi" w:hAnsiTheme="minorHAnsi" w:cs="AdvOT863180fb"/>
          <w:color w:val="000000"/>
          <w:szCs w:val="22"/>
        </w:rPr>
        <w:t xml:space="preserve"> NO</w:t>
      </w:r>
      <w:r w:rsidR="00717CE7">
        <w:rPr>
          <w:rFonts w:asciiTheme="minorHAnsi" w:hAnsiTheme="minorHAnsi" w:cs="AdvOT863180fb"/>
          <w:color w:val="000000"/>
          <w:szCs w:val="22"/>
          <w:vertAlign w:val="subscript"/>
        </w:rPr>
        <w:t>2</w:t>
      </w:r>
      <w:r w:rsidR="00717CE7" w:rsidRPr="000F450E">
        <w:rPr>
          <w:rFonts w:asciiTheme="minorHAnsi" w:hAnsiTheme="minorHAnsi" w:cs="AdvOT863180fb"/>
          <w:color w:val="000000"/>
          <w:szCs w:val="22"/>
        </w:rPr>
        <w:t xml:space="preserve"> exposure</w:t>
      </w:r>
      <w:r w:rsidR="00717CE7">
        <w:rPr>
          <w:rFonts w:asciiTheme="minorHAnsi" w:hAnsiTheme="minorHAnsi" w:cs="AdvOT863180fb"/>
          <w:color w:val="000000"/>
          <w:szCs w:val="22"/>
        </w:rPr>
        <w:t xml:space="preserve">s </w:t>
      </w:r>
      <w:r w:rsidR="00717CE7" w:rsidRPr="000F450E">
        <w:rPr>
          <w:rFonts w:asciiTheme="minorHAnsi" w:hAnsiTheme="minorHAnsi" w:cs="AdvOT863180fb"/>
          <w:color w:val="000000"/>
          <w:szCs w:val="22"/>
        </w:rPr>
        <w:t>in epidemiologic</w:t>
      </w:r>
      <w:r w:rsidR="00E349EF">
        <w:rPr>
          <w:rFonts w:asciiTheme="minorHAnsi" w:hAnsiTheme="minorHAnsi" w:cs="AdvOT863180fb"/>
          <w:color w:val="000000"/>
          <w:szCs w:val="22"/>
        </w:rPr>
        <w:t>al</w:t>
      </w:r>
      <w:r w:rsidR="00717CE7" w:rsidRPr="000F450E">
        <w:rPr>
          <w:rFonts w:asciiTheme="minorHAnsi" w:hAnsiTheme="minorHAnsi" w:cs="AdvOT863180fb"/>
          <w:color w:val="000000"/>
          <w:szCs w:val="22"/>
        </w:rPr>
        <w:t xml:space="preserve"> studies</w:t>
      </w:r>
      <w:r w:rsidR="00717CE7">
        <w:rPr>
          <w:rFonts w:asciiTheme="minorHAnsi" w:hAnsiTheme="minorHAnsi" w:cs="AdvOT863180fb"/>
          <w:color w:val="000000"/>
          <w:szCs w:val="22"/>
        </w:rPr>
        <w:t>, given that the</w:t>
      </w:r>
      <w:r w:rsidR="00717CE7" w:rsidRPr="00420EAB">
        <w:rPr>
          <w:rFonts w:asciiTheme="minorHAnsi" w:hAnsiTheme="minorHAnsi" w:cs="AdvOT863180fb"/>
          <w:color w:val="000000"/>
          <w:szCs w:val="22"/>
        </w:rPr>
        <w:t xml:space="preserve"> </w:t>
      </w:r>
      <w:r w:rsidR="00717CE7" w:rsidRPr="000F450E">
        <w:rPr>
          <w:rFonts w:asciiTheme="minorHAnsi" w:hAnsiTheme="minorHAnsi" w:cs="AdvOT863180fb"/>
          <w:color w:val="000000"/>
          <w:szCs w:val="22"/>
        </w:rPr>
        <w:t xml:space="preserve">strength of </w:t>
      </w:r>
      <w:r w:rsidR="00717CE7" w:rsidRPr="00B40D28">
        <w:rPr>
          <w:rFonts w:asciiTheme="minorHAnsi" w:hAnsiTheme="minorHAnsi" w:cs="AdvOT863180fb"/>
          <w:szCs w:val="22"/>
        </w:rPr>
        <w:t>the association between ambient NO</w:t>
      </w:r>
      <w:r w:rsidR="00717CE7" w:rsidRPr="00B40D28">
        <w:rPr>
          <w:rFonts w:asciiTheme="minorHAnsi" w:hAnsiTheme="minorHAnsi" w:cs="AdvOT863180fb"/>
          <w:szCs w:val="22"/>
          <w:vertAlign w:val="subscript"/>
        </w:rPr>
        <w:t>2</w:t>
      </w:r>
      <w:r w:rsidR="00717CE7" w:rsidRPr="00B40D28">
        <w:rPr>
          <w:rFonts w:asciiTheme="minorHAnsi" w:hAnsiTheme="minorHAnsi" w:cs="AdvOT863180fb"/>
          <w:szCs w:val="22"/>
        </w:rPr>
        <w:t xml:space="preserve"> and personal NO</w:t>
      </w:r>
      <w:r w:rsidR="00717CE7" w:rsidRPr="00B40D28">
        <w:rPr>
          <w:rFonts w:asciiTheme="minorHAnsi" w:hAnsiTheme="minorHAnsi" w:cs="AdvOT863180fb"/>
          <w:szCs w:val="22"/>
          <w:vertAlign w:val="subscript"/>
        </w:rPr>
        <w:t>2</w:t>
      </w:r>
      <w:r w:rsidR="00717CE7" w:rsidRPr="00B40D28">
        <w:rPr>
          <w:rFonts w:asciiTheme="minorHAnsi" w:hAnsiTheme="minorHAnsi" w:cs="AdvOT863180fb"/>
          <w:szCs w:val="22"/>
        </w:rPr>
        <w:t xml:space="preserve"> exposure contributes to exposure error (e.g. </w:t>
      </w:r>
      <w:r w:rsidR="00485A9B">
        <w:rPr>
          <w:rFonts w:asciiTheme="minorHAnsi" w:hAnsiTheme="minorHAnsi" w:cs="AdvOT863180fb"/>
          <w:szCs w:val="22"/>
        </w:rPr>
        <w:t xml:space="preserve">Vardoulakis et al., 2011; </w:t>
      </w:r>
      <w:r w:rsidR="00717CE7" w:rsidRPr="00B40D28">
        <w:rPr>
          <w:rFonts w:asciiTheme="minorHAnsi" w:hAnsiTheme="minorHAnsi" w:cs="AdvOT863180fb"/>
          <w:szCs w:val="22"/>
        </w:rPr>
        <w:t>Brown et al., 2009; Del</w:t>
      </w:r>
      <w:r w:rsidR="00717CE7" w:rsidRPr="00B40D28">
        <w:rPr>
          <w:rFonts w:asciiTheme="minorHAnsi" w:hAnsiTheme="minorHAnsi" w:cs="AdvOT863180fb+fb"/>
          <w:szCs w:val="22"/>
        </w:rPr>
        <w:t>fi</w:t>
      </w:r>
      <w:r w:rsidR="00717CE7" w:rsidRPr="00B40D28">
        <w:rPr>
          <w:rFonts w:asciiTheme="minorHAnsi" w:hAnsiTheme="minorHAnsi" w:cs="AdvOT863180fb"/>
          <w:szCs w:val="22"/>
        </w:rPr>
        <w:t xml:space="preserve">no et al., 2008; Kim et al., 2006). </w:t>
      </w:r>
      <w:r w:rsidR="008C5D4B">
        <w:rPr>
          <w:rFonts w:asciiTheme="minorHAnsi" w:hAnsiTheme="minorHAnsi" w:cs="AdvOT863180fb"/>
          <w:szCs w:val="22"/>
        </w:rPr>
        <w:t>In some cases,</w:t>
      </w:r>
      <w:r w:rsidR="00E349EF" w:rsidRPr="00CF4818">
        <w:rPr>
          <w:rFonts w:asciiTheme="minorHAnsi" w:hAnsiTheme="minorHAnsi"/>
          <w:snapToGrid w:val="0"/>
          <w:szCs w:val="22"/>
          <w:lang w:val="en-AU" w:eastAsia="en-US"/>
        </w:rPr>
        <w:t xml:space="preserve"> </w:t>
      </w:r>
      <w:r w:rsidR="00E349EF" w:rsidRPr="00CF4818">
        <w:rPr>
          <w:rFonts w:asciiTheme="minorHAnsi" w:hAnsiTheme="minorHAnsi"/>
          <w:szCs w:val="22"/>
        </w:rPr>
        <w:t>data from fixed monitoring stations explain only a fraction of variation in personal NO</w:t>
      </w:r>
      <w:r w:rsidR="00E349EF" w:rsidRPr="00CF4818">
        <w:rPr>
          <w:rFonts w:asciiTheme="minorHAnsi" w:hAnsiTheme="minorHAnsi"/>
          <w:szCs w:val="22"/>
          <w:vertAlign w:val="subscript"/>
        </w:rPr>
        <w:t>2</w:t>
      </w:r>
      <w:r w:rsidR="00E349EF" w:rsidRPr="00CF4818">
        <w:rPr>
          <w:rFonts w:asciiTheme="minorHAnsi" w:hAnsiTheme="minorHAnsi"/>
          <w:szCs w:val="22"/>
        </w:rPr>
        <w:t xml:space="preserve"> exposures, which are more </w:t>
      </w:r>
      <w:r w:rsidR="00B74AB9">
        <w:rPr>
          <w:rFonts w:asciiTheme="minorHAnsi" w:hAnsiTheme="minorHAnsi"/>
          <w:szCs w:val="22"/>
        </w:rPr>
        <w:t>strongly</w:t>
      </w:r>
      <w:r w:rsidR="00E349EF" w:rsidRPr="00CF4818">
        <w:rPr>
          <w:rFonts w:asciiTheme="minorHAnsi" w:hAnsiTheme="minorHAnsi"/>
          <w:szCs w:val="22"/>
        </w:rPr>
        <w:t xml:space="preserve"> associated with the NO</w:t>
      </w:r>
      <w:r w:rsidR="00E349EF" w:rsidRPr="00CF4818">
        <w:rPr>
          <w:rFonts w:asciiTheme="minorHAnsi" w:hAnsiTheme="minorHAnsi"/>
          <w:szCs w:val="22"/>
          <w:vertAlign w:val="subscript"/>
        </w:rPr>
        <w:t>2</w:t>
      </w:r>
      <w:r w:rsidR="00E349EF" w:rsidRPr="00CF4818">
        <w:rPr>
          <w:rFonts w:asciiTheme="minorHAnsi" w:hAnsiTheme="minorHAnsi"/>
          <w:szCs w:val="22"/>
        </w:rPr>
        <w:t xml:space="preserve"> indoor residential and workplace concentrations (</w:t>
      </w:r>
      <w:r w:rsidR="00E349EF">
        <w:rPr>
          <w:rFonts w:asciiTheme="minorHAnsi" w:hAnsiTheme="minorHAnsi"/>
          <w:szCs w:val="22"/>
        </w:rPr>
        <w:t xml:space="preserve">e.g. </w:t>
      </w:r>
      <w:r w:rsidR="00E349EF" w:rsidRPr="00CF4818">
        <w:rPr>
          <w:rFonts w:asciiTheme="minorHAnsi" w:hAnsiTheme="minorHAnsi"/>
          <w:szCs w:val="22"/>
        </w:rPr>
        <w:t>Kousa et al., 2001; Alm et al., 1998).</w:t>
      </w:r>
      <w:r w:rsidR="00E349EF">
        <w:rPr>
          <w:rFonts w:asciiTheme="minorHAnsi" w:hAnsiTheme="minorHAnsi"/>
          <w:szCs w:val="22"/>
        </w:rPr>
        <w:t xml:space="preserve"> </w:t>
      </w:r>
      <w:r w:rsidR="00717CE7" w:rsidRPr="0063752D">
        <w:rPr>
          <w:rFonts w:asciiTheme="minorHAnsi" w:hAnsiTheme="minorHAnsi"/>
          <w:szCs w:val="22"/>
        </w:rPr>
        <w:t>Meng et al. (2012)</w:t>
      </w:r>
      <w:r w:rsidR="00717CE7">
        <w:rPr>
          <w:rFonts w:asciiTheme="minorHAnsi" w:hAnsiTheme="minorHAnsi"/>
          <w:szCs w:val="22"/>
        </w:rPr>
        <w:t>,</w:t>
      </w:r>
      <w:r w:rsidR="00717CE7" w:rsidRPr="0063752D">
        <w:rPr>
          <w:rFonts w:asciiTheme="minorHAnsi" w:hAnsiTheme="minorHAnsi"/>
          <w:szCs w:val="22"/>
        </w:rPr>
        <w:t xml:space="preserve"> in </w:t>
      </w:r>
      <w:r w:rsidR="00717CE7" w:rsidRPr="0063752D">
        <w:rPr>
          <w:rFonts w:asciiTheme="minorHAnsi" w:hAnsiTheme="minorHAnsi" w:cs="AdvOT863180fb"/>
          <w:szCs w:val="22"/>
        </w:rPr>
        <w:t>a meta-analysis of studies carried out over the p</w:t>
      </w:r>
      <w:r w:rsidR="00B74AB9">
        <w:rPr>
          <w:rFonts w:asciiTheme="minorHAnsi" w:hAnsiTheme="minorHAnsi" w:cs="AdvOT863180fb"/>
          <w:szCs w:val="22"/>
        </w:rPr>
        <w:t>revious</w:t>
      </w:r>
      <w:r w:rsidR="00717CE7" w:rsidRPr="0063752D">
        <w:rPr>
          <w:rFonts w:asciiTheme="minorHAnsi" w:hAnsiTheme="minorHAnsi" w:cs="AdvOT863180fb"/>
          <w:szCs w:val="22"/>
        </w:rPr>
        <w:t xml:space="preserve"> 30 years, concluded that the strength of the associations between personal NO</w:t>
      </w:r>
      <w:r w:rsidR="00717CE7" w:rsidRPr="000F450E">
        <w:rPr>
          <w:rFonts w:asciiTheme="minorHAnsi" w:hAnsiTheme="minorHAnsi" w:cs="AdvOT863180fb"/>
          <w:szCs w:val="22"/>
          <w:vertAlign w:val="subscript"/>
        </w:rPr>
        <w:t>2</w:t>
      </w:r>
      <w:r w:rsidR="00717CE7" w:rsidRPr="0063752D">
        <w:rPr>
          <w:rFonts w:asciiTheme="minorHAnsi" w:hAnsiTheme="minorHAnsi" w:cs="AdvOT863180fb"/>
          <w:szCs w:val="22"/>
        </w:rPr>
        <w:t xml:space="preserve"> expo</w:t>
      </w:r>
      <w:r w:rsidR="00717CE7">
        <w:rPr>
          <w:rFonts w:asciiTheme="minorHAnsi" w:hAnsiTheme="minorHAnsi" w:cs="AdvOT863180fb"/>
          <w:szCs w:val="22"/>
        </w:rPr>
        <w:t xml:space="preserve">sure and </w:t>
      </w:r>
      <w:r w:rsidR="008C5D4B">
        <w:rPr>
          <w:rFonts w:asciiTheme="minorHAnsi" w:hAnsiTheme="minorHAnsi" w:cs="AdvOT863180fb"/>
          <w:szCs w:val="22"/>
        </w:rPr>
        <w:t>outdoor</w:t>
      </w:r>
      <w:r w:rsidR="00717CE7">
        <w:rPr>
          <w:rFonts w:asciiTheme="minorHAnsi" w:hAnsiTheme="minorHAnsi" w:cs="AdvOT863180fb"/>
          <w:szCs w:val="22"/>
        </w:rPr>
        <w:t xml:space="preserve"> concentrations, although positive</w:t>
      </w:r>
      <w:r w:rsidR="00CB2A0C">
        <w:rPr>
          <w:rFonts w:asciiTheme="minorHAnsi" w:hAnsiTheme="minorHAnsi" w:cs="AdvOT863180fb"/>
          <w:szCs w:val="22"/>
        </w:rPr>
        <w:t xml:space="preserve"> overall</w:t>
      </w:r>
      <w:r w:rsidR="00717CE7">
        <w:rPr>
          <w:rFonts w:asciiTheme="minorHAnsi" w:hAnsiTheme="minorHAnsi" w:cs="AdvOT863180fb"/>
          <w:szCs w:val="22"/>
        </w:rPr>
        <w:t xml:space="preserve">, </w:t>
      </w:r>
      <w:r w:rsidR="00717CE7" w:rsidRPr="0063752D">
        <w:rPr>
          <w:rFonts w:asciiTheme="minorHAnsi" w:hAnsiTheme="minorHAnsi" w:cs="AdvOT863180fb"/>
          <w:szCs w:val="22"/>
        </w:rPr>
        <w:t>varied among studies</w:t>
      </w:r>
      <w:r w:rsidR="00E349EF">
        <w:rPr>
          <w:rFonts w:asciiTheme="minorHAnsi" w:hAnsiTheme="minorHAnsi" w:cs="AdvOT863180fb"/>
          <w:szCs w:val="22"/>
        </w:rPr>
        <w:t xml:space="preserve">, with </w:t>
      </w:r>
      <w:r w:rsidR="00717CE7" w:rsidRPr="0063752D">
        <w:rPr>
          <w:rFonts w:asciiTheme="minorHAnsi" w:hAnsiTheme="minorHAnsi" w:cs="AdvOT863180fb"/>
          <w:szCs w:val="22"/>
        </w:rPr>
        <w:t>dif</w:t>
      </w:r>
      <w:r w:rsidR="00717CE7">
        <w:rPr>
          <w:rFonts w:asciiTheme="minorHAnsi" w:hAnsiTheme="minorHAnsi" w:cs="AdvOT863180fb"/>
          <w:szCs w:val="22"/>
        </w:rPr>
        <w:t xml:space="preserve">ferences </w:t>
      </w:r>
      <w:r w:rsidR="00E349EF">
        <w:rPr>
          <w:rFonts w:asciiTheme="minorHAnsi" w:hAnsiTheme="minorHAnsi" w:cs="AdvOT863180fb"/>
          <w:szCs w:val="22"/>
        </w:rPr>
        <w:t>related to</w:t>
      </w:r>
      <w:r w:rsidR="00717CE7">
        <w:rPr>
          <w:rFonts w:asciiTheme="minorHAnsi" w:hAnsiTheme="minorHAnsi" w:cs="AdvOT863180fb"/>
          <w:szCs w:val="22"/>
        </w:rPr>
        <w:t xml:space="preserve"> study design and </w:t>
      </w:r>
      <w:r w:rsidR="00717CE7" w:rsidRPr="0063752D">
        <w:rPr>
          <w:rFonts w:asciiTheme="minorHAnsi" w:hAnsiTheme="minorHAnsi" w:cs="AdvOT863180fb"/>
          <w:szCs w:val="22"/>
        </w:rPr>
        <w:t>exposure factors</w:t>
      </w:r>
      <w:r w:rsidR="00B74AB9">
        <w:rPr>
          <w:rFonts w:asciiTheme="minorHAnsi" w:hAnsiTheme="minorHAnsi" w:cs="AdvOT863180fb"/>
          <w:szCs w:val="22"/>
        </w:rPr>
        <w:t>.</w:t>
      </w:r>
      <w:r w:rsidR="00717CE7" w:rsidRPr="0063752D">
        <w:rPr>
          <w:rFonts w:asciiTheme="minorHAnsi" w:hAnsiTheme="minorHAnsi" w:cs="AdvOT863180fb"/>
          <w:szCs w:val="22"/>
        </w:rPr>
        <w:t xml:space="preserve"> </w:t>
      </w:r>
    </w:p>
    <w:p w14:paraId="47490D06" w14:textId="77777777" w:rsidR="00DD1CBC" w:rsidRDefault="00DD1CBC" w:rsidP="006A7360">
      <w:pPr>
        <w:autoSpaceDE w:val="0"/>
        <w:autoSpaceDN w:val="0"/>
        <w:adjustRightInd w:val="0"/>
        <w:jc w:val="both"/>
        <w:rPr>
          <w:rFonts w:asciiTheme="minorHAnsi" w:hAnsiTheme="minorHAnsi"/>
          <w:szCs w:val="22"/>
          <w:lang w:eastAsia="el-GR"/>
        </w:rPr>
      </w:pPr>
    </w:p>
    <w:p w14:paraId="58857E43" w14:textId="1F8C391B" w:rsidR="00B12970" w:rsidRDefault="00EB6B54" w:rsidP="006B2E7F">
      <w:pPr>
        <w:autoSpaceDE w:val="0"/>
        <w:autoSpaceDN w:val="0"/>
        <w:adjustRightInd w:val="0"/>
        <w:jc w:val="both"/>
        <w:rPr>
          <w:rFonts w:asciiTheme="minorHAnsi" w:hAnsiTheme="minorHAnsi"/>
          <w:szCs w:val="22"/>
          <w:lang w:val="en-AU" w:eastAsia="en-US"/>
        </w:rPr>
      </w:pPr>
      <w:r>
        <w:rPr>
          <w:rFonts w:asciiTheme="minorHAnsi" w:hAnsiTheme="minorHAnsi"/>
          <w:szCs w:val="22"/>
        </w:rPr>
        <w:t xml:space="preserve">Furthermore, </w:t>
      </w:r>
      <w:r w:rsidR="006B2E7F">
        <w:rPr>
          <w:rFonts w:asciiTheme="minorHAnsi" w:hAnsiTheme="minorHAnsi"/>
          <w:szCs w:val="22"/>
        </w:rPr>
        <w:t>f</w:t>
      </w:r>
      <w:r w:rsidR="002A4806" w:rsidRPr="00CF4818">
        <w:rPr>
          <w:rFonts w:asciiTheme="minorHAnsi" w:hAnsiTheme="minorHAnsi"/>
          <w:szCs w:val="22"/>
        </w:rPr>
        <w:t xml:space="preserve">or a given </w:t>
      </w:r>
      <w:r w:rsidR="00DD1CBC">
        <w:rPr>
          <w:rFonts w:asciiTheme="minorHAnsi" w:hAnsiTheme="minorHAnsi"/>
          <w:szCs w:val="22"/>
        </w:rPr>
        <w:t>outdoor</w:t>
      </w:r>
      <w:r w:rsidR="002A4806" w:rsidRPr="00CF4818">
        <w:rPr>
          <w:rFonts w:asciiTheme="minorHAnsi" w:hAnsiTheme="minorHAnsi"/>
          <w:szCs w:val="22"/>
        </w:rPr>
        <w:t xml:space="preserve"> pollutant concentration </w:t>
      </w:r>
      <w:r>
        <w:rPr>
          <w:rFonts w:asciiTheme="minorHAnsi" w:hAnsiTheme="minorHAnsi"/>
          <w:szCs w:val="22"/>
        </w:rPr>
        <w:t>field across a city</w:t>
      </w:r>
      <w:r w:rsidR="002A4806" w:rsidRPr="00CF4818">
        <w:rPr>
          <w:rFonts w:asciiTheme="minorHAnsi" w:hAnsiTheme="minorHAnsi"/>
          <w:szCs w:val="22"/>
        </w:rPr>
        <w:t xml:space="preserve">, there will be a wide range of </w:t>
      </w:r>
      <w:r w:rsidR="00C40916">
        <w:rPr>
          <w:rFonts w:asciiTheme="minorHAnsi" w:hAnsiTheme="minorHAnsi"/>
          <w:szCs w:val="22"/>
        </w:rPr>
        <w:t xml:space="preserve">individual </w:t>
      </w:r>
      <w:r w:rsidR="002A4806" w:rsidRPr="00CF4818">
        <w:rPr>
          <w:rFonts w:asciiTheme="minorHAnsi" w:hAnsiTheme="minorHAnsi"/>
          <w:szCs w:val="22"/>
        </w:rPr>
        <w:t xml:space="preserve">personal exposures within the population, due </w:t>
      </w:r>
      <w:r>
        <w:rPr>
          <w:rFonts w:asciiTheme="minorHAnsi" w:hAnsiTheme="minorHAnsi"/>
          <w:szCs w:val="22"/>
        </w:rPr>
        <w:t xml:space="preserve">to the effects of exposure in different indoor micro-environments, and variations in </w:t>
      </w:r>
      <w:r w:rsidRPr="00CF4818">
        <w:rPr>
          <w:rFonts w:asciiTheme="minorHAnsi" w:hAnsiTheme="minorHAnsi"/>
          <w:szCs w:val="22"/>
        </w:rPr>
        <w:t>people’s activity</w:t>
      </w:r>
      <w:r w:rsidR="00C40916">
        <w:rPr>
          <w:rFonts w:asciiTheme="minorHAnsi" w:hAnsiTheme="minorHAnsi"/>
          <w:szCs w:val="22"/>
        </w:rPr>
        <w:t>,</w:t>
      </w:r>
      <w:r>
        <w:rPr>
          <w:rFonts w:asciiTheme="minorHAnsi" w:hAnsiTheme="minorHAnsi"/>
          <w:szCs w:val="22"/>
        </w:rPr>
        <w:t xml:space="preserve"> added to spatial</w:t>
      </w:r>
      <w:r w:rsidR="00DD1CBC">
        <w:rPr>
          <w:rFonts w:asciiTheme="minorHAnsi" w:hAnsiTheme="minorHAnsi"/>
          <w:szCs w:val="22"/>
        </w:rPr>
        <w:t xml:space="preserve"> </w:t>
      </w:r>
      <w:r w:rsidR="006B2E7F">
        <w:rPr>
          <w:rFonts w:asciiTheme="minorHAnsi" w:hAnsiTheme="minorHAnsi"/>
          <w:szCs w:val="22"/>
        </w:rPr>
        <w:t xml:space="preserve">variation </w:t>
      </w:r>
      <w:r w:rsidR="00DD1CBC">
        <w:rPr>
          <w:rFonts w:asciiTheme="minorHAnsi" w:hAnsiTheme="minorHAnsi"/>
          <w:szCs w:val="22"/>
        </w:rPr>
        <w:t xml:space="preserve">in </w:t>
      </w:r>
      <w:r w:rsidR="002A4806" w:rsidRPr="00CF4818">
        <w:rPr>
          <w:rFonts w:asciiTheme="minorHAnsi" w:hAnsiTheme="minorHAnsi"/>
          <w:szCs w:val="22"/>
        </w:rPr>
        <w:t xml:space="preserve">outdoor </w:t>
      </w:r>
      <w:r>
        <w:rPr>
          <w:rFonts w:asciiTheme="minorHAnsi" w:hAnsiTheme="minorHAnsi"/>
          <w:szCs w:val="22"/>
        </w:rPr>
        <w:t>concentrations.</w:t>
      </w:r>
      <w:r w:rsidR="00DD1CBC">
        <w:rPr>
          <w:rFonts w:asciiTheme="minorHAnsi" w:hAnsiTheme="minorHAnsi"/>
          <w:szCs w:val="22"/>
        </w:rPr>
        <w:t xml:space="preserve"> </w:t>
      </w:r>
      <w:r w:rsidR="002A4806" w:rsidRPr="00CF4818">
        <w:rPr>
          <w:rFonts w:asciiTheme="minorHAnsi" w:hAnsiTheme="minorHAnsi"/>
          <w:szCs w:val="22"/>
          <w:lang w:val="en-AU" w:eastAsia="en-US"/>
        </w:rPr>
        <w:t xml:space="preserve">Personal exposures can be determined directly by measurement, or indirectly using computer models. </w:t>
      </w:r>
      <w:r w:rsidR="006B2E7F">
        <w:rPr>
          <w:rFonts w:asciiTheme="minorHAnsi" w:hAnsiTheme="minorHAnsi"/>
          <w:szCs w:val="22"/>
          <w:lang w:val="en-AU" w:eastAsia="en-US"/>
        </w:rPr>
        <w:t>W</w:t>
      </w:r>
      <w:r w:rsidR="002A4806" w:rsidRPr="00CF4818">
        <w:rPr>
          <w:rFonts w:asciiTheme="minorHAnsi" w:hAnsiTheme="minorHAnsi"/>
          <w:szCs w:val="22"/>
          <w:lang w:val="en-AU" w:eastAsia="en-US"/>
        </w:rPr>
        <w:t xml:space="preserve">hen the aim is to assess the effect of different policy interventions on population exposure, models offer significant advantages over direct measurement methods, as they allow the relative contributions of different indoor and outdoor sources to population exposure to be assessed, and the benefits of different policy measures to be compared (Dimitroulopoulou et al., 2001). Furthermore, when the distribution of exposures within a population is of interest, a very large number of exposure measurements </w:t>
      </w:r>
      <w:r w:rsidR="002A4806">
        <w:rPr>
          <w:rFonts w:asciiTheme="minorHAnsi" w:hAnsiTheme="minorHAnsi"/>
          <w:szCs w:val="22"/>
          <w:lang w:val="en-AU" w:eastAsia="en-US"/>
        </w:rPr>
        <w:t>are</w:t>
      </w:r>
      <w:r w:rsidR="002A4806" w:rsidRPr="00CF4818">
        <w:rPr>
          <w:rFonts w:asciiTheme="minorHAnsi" w:hAnsiTheme="minorHAnsi"/>
          <w:szCs w:val="22"/>
          <w:lang w:val="en-AU" w:eastAsia="en-US"/>
        </w:rPr>
        <w:t xml:space="preserve"> required. </w:t>
      </w:r>
      <w:r w:rsidR="002A4806" w:rsidRPr="00CF4818">
        <w:rPr>
          <w:rFonts w:asciiTheme="minorHAnsi" w:hAnsiTheme="minorHAnsi"/>
          <w:szCs w:val="22"/>
          <w:lang w:eastAsia="en-US"/>
        </w:rPr>
        <w:t>T</w:t>
      </w:r>
      <w:r w:rsidR="002A4806" w:rsidRPr="00CF4818">
        <w:rPr>
          <w:rFonts w:asciiTheme="minorHAnsi" w:hAnsiTheme="minorHAnsi"/>
          <w:szCs w:val="22"/>
          <w:lang w:val="en-AU" w:eastAsia="en-US"/>
        </w:rPr>
        <w:t xml:space="preserve">he upper </w:t>
      </w:r>
      <w:r w:rsidR="00B74AB9">
        <w:rPr>
          <w:rFonts w:asciiTheme="minorHAnsi" w:hAnsiTheme="minorHAnsi"/>
          <w:szCs w:val="22"/>
          <w:lang w:val="en-AU" w:eastAsia="en-US"/>
        </w:rPr>
        <w:t xml:space="preserve">percentile </w:t>
      </w:r>
      <w:r w:rsidR="002A4806" w:rsidRPr="00CF4818">
        <w:rPr>
          <w:rFonts w:asciiTheme="minorHAnsi" w:hAnsiTheme="minorHAnsi"/>
          <w:szCs w:val="22"/>
          <w:lang w:val="en-AU" w:eastAsia="en-US"/>
        </w:rPr>
        <w:t xml:space="preserve">of these exposure distributions is </w:t>
      </w:r>
      <w:r w:rsidR="00B74AB9">
        <w:rPr>
          <w:rFonts w:asciiTheme="minorHAnsi" w:hAnsiTheme="minorHAnsi"/>
          <w:szCs w:val="22"/>
          <w:lang w:val="en-AU" w:eastAsia="en-US"/>
        </w:rPr>
        <w:t>of</w:t>
      </w:r>
      <w:r w:rsidR="002A4806" w:rsidRPr="00CF4818">
        <w:rPr>
          <w:rFonts w:asciiTheme="minorHAnsi" w:hAnsiTheme="minorHAnsi"/>
          <w:szCs w:val="22"/>
          <w:lang w:val="en-AU" w:eastAsia="en-US"/>
        </w:rPr>
        <w:t xml:space="preserve"> particular </w:t>
      </w:r>
      <w:r w:rsidR="00B74AB9">
        <w:rPr>
          <w:rFonts w:asciiTheme="minorHAnsi" w:hAnsiTheme="minorHAnsi"/>
          <w:szCs w:val="22"/>
          <w:lang w:val="en-AU" w:eastAsia="en-US"/>
        </w:rPr>
        <w:t>interest, as they may ex</w:t>
      </w:r>
      <w:r w:rsidR="002A4806" w:rsidRPr="00CF4818">
        <w:rPr>
          <w:rFonts w:asciiTheme="minorHAnsi" w:hAnsiTheme="minorHAnsi"/>
          <w:szCs w:val="22"/>
          <w:lang w:val="en-AU" w:eastAsia="en-US"/>
        </w:rPr>
        <w:t>perience the greatest effects on health</w:t>
      </w:r>
      <w:r w:rsidR="00B74AB9">
        <w:rPr>
          <w:rFonts w:asciiTheme="minorHAnsi" w:hAnsiTheme="minorHAnsi"/>
          <w:szCs w:val="22"/>
          <w:lang w:val="en-AU" w:eastAsia="en-US"/>
        </w:rPr>
        <w:t>. Furthermore</w:t>
      </w:r>
      <w:r w:rsidR="002A4806" w:rsidRPr="00CF4818">
        <w:rPr>
          <w:rFonts w:asciiTheme="minorHAnsi" w:hAnsiTheme="minorHAnsi"/>
          <w:szCs w:val="22"/>
          <w:lang w:val="en-AU" w:eastAsia="en-US"/>
        </w:rPr>
        <w:t xml:space="preserve">, policies that </w:t>
      </w:r>
      <w:r w:rsidR="00C40916">
        <w:rPr>
          <w:rFonts w:asciiTheme="minorHAnsi" w:hAnsiTheme="minorHAnsi"/>
          <w:szCs w:val="22"/>
          <w:lang w:val="en-AU" w:eastAsia="en-US"/>
        </w:rPr>
        <w:t>aim to</w:t>
      </w:r>
      <w:r w:rsidR="002A4806" w:rsidRPr="00CF4818">
        <w:rPr>
          <w:rFonts w:asciiTheme="minorHAnsi" w:hAnsiTheme="minorHAnsi"/>
          <w:szCs w:val="22"/>
          <w:lang w:val="en-AU" w:eastAsia="en-US"/>
        </w:rPr>
        <w:t xml:space="preserve"> reduc</w:t>
      </w:r>
      <w:r w:rsidR="00140CCA">
        <w:rPr>
          <w:rFonts w:asciiTheme="minorHAnsi" w:hAnsiTheme="minorHAnsi"/>
          <w:szCs w:val="22"/>
          <w:lang w:val="en-AU" w:eastAsia="en-US"/>
        </w:rPr>
        <w:t>e</w:t>
      </w:r>
      <w:r w:rsidR="002A4806" w:rsidRPr="00CF4818">
        <w:rPr>
          <w:rFonts w:asciiTheme="minorHAnsi" w:hAnsiTheme="minorHAnsi"/>
          <w:szCs w:val="22"/>
          <w:lang w:val="en-AU" w:eastAsia="en-US"/>
        </w:rPr>
        <w:t xml:space="preserve"> mean population exposure </w:t>
      </w:r>
      <w:r w:rsidR="00B74AB9">
        <w:rPr>
          <w:rFonts w:asciiTheme="minorHAnsi" w:hAnsiTheme="minorHAnsi"/>
          <w:szCs w:val="22"/>
          <w:lang w:val="en-AU" w:eastAsia="en-US"/>
        </w:rPr>
        <w:t xml:space="preserve">may not necessarily address the specific exposure sources that affect this upper percentile group </w:t>
      </w:r>
      <w:r w:rsidR="002A4806" w:rsidRPr="00CF4818">
        <w:rPr>
          <w:rFonts w:asciiTheme="minorHAnsi" w:hAnsiTheme="minorHAnsi"/>
          <w:szCs w:val="22"/>
          <w:lang w:val="en-AU" w:eastAsia="en-US"/>
        </w:rPr>
        <w:t xml:space="preserve">(Edwards et al., 2005; Edwards and Jantunen, 2009). Hence, </w:t>
      </w:r>
      <w:r w:rsidR="006B2E7F">
        <w:rPr>
          <w:rFonts w:asciiTheme="minorHAnsi" w:hAnsiTheme="minorHAnsi"/>
          <w:szCs w:val="22"/>
          <w:lang w:val="en-AU" w:eastAsia="en-US"/>
        </w:rPr>
        <w:t xml:space="preserve">analysis of </w:t>
      </w:r>
      <w:r w:rsidR="002A4806" w:rsidRPr="00CF4818">
        <w:rPr>
          <w:rFonts w:asciiTheme="minorHAnsi" w:hAnsiTheme="minorHAnsi"/>
          <w:szCs w:val="22"/>
          <w:lang w:val="en-AU" w:eastAsia="en-US"/>
        </w:rPr>
        <w:t>what we term the Population Exposure Frequency Distribution (PEFD) is central to understanding the vari</w:t>
      </w:r>
      <w:r w:rsidR="006B2E7F">
        <w:rPr>
          <w:rFonts w:asciiTheme="minorHAnsi" w:hAnsiTheme="minorHAnsi"/>
          <w:szCs w:val="22"/>
          <w:lang w:val="en-AU" w:eastAsia="en-US"/>
        </w:rPr>
        <w:t>able</w:t>
      </w:r>
      <w:r w:rsidR="002A4806" w:rsidRPr="00CF4818">
        <w:rPr>
          <w:rFonts w:asciiTheme="minorHAnsi" w:hAnsiTheme="minorHAnsi"/>
          <w:szCs w:val="22"/>
          <w:lang w:val="en-AU" w:eastAsia="en-US"/>
        </w:rPr>
        <w:t xml:space="preserve"> patterns of exposure in different locations</w:t>
      </w:r>
      <w:r w:rsidR="00C40916">
        <w:rPr>
          <w:rFonts w:asciiTheme="minorHAnsi" w:hAnsiTheme="minorHAnsi"/>
          <w:szCs w:val="22"/>
          <w:lang w:val="en-AU" w:eastAsia="en-US"/>
        </w:rPr>
        <w:t>,</w:t>
      </w:r>
      <w:r w:rsidR="002A4806" w:rsidRPr="00CF4818">
        <w:rPr>
          <w:rFonts w:asciiTheme="minorHAnsi" w:hAnsiTheme="minorHAnsi"/>
          <w:szCs w:val="22"/>
          <w:lang w:val="en-AU" w:eastAsia="en-US"/>
        </w:rPr>
        <w:t xml:space="preserve"> and within different population groups, and the impact of different policy interventions. </w:t>
      </w:r>
    </w:p>
    <w:p w14:paraId="1449BD70" w14:textId="77777777" w:rsidR="00B12970" w:rsidRDefault="00B12970" w:rsidP="006B2E7F">
      <w:pPr>
        <w:autoSpaceDE w:val="0"/>
        <w:autoSpaceDN w:val="0"/>
        <w:adjustRightInd w:val="0"/>
        <w:jc w:val="both"/>
        <w:rPr>
          <w:rFonts w:asciiTheme="minorHAnsi" w:hAnsiTheme="minorHAnsi"/>
          <w:szCs w:val="22"/>
          <w:lang w:val="en-AU" w:eastAsia="en-US"/>
        </w:rPr>
      </w:pPr>
    </w:p>
    <w:p w14:paraId="6BF53725" w14:textId="77777777" w:rsidR="00FC5FE5" w:rsidRPr="00CF4818" w:rsidRDefault="00931E0C" w:rsidP="006B2E7F">
      <w:pPr>
        <w:autoSpaceDE w:val="0"/>
        <w:autoSpaceDN w:val="0"/>
        <w:adjustRightInd w:val="0"/>
        <w:jc w:val="both"/>
        <w:rPr>
          <w:rFonts w:asciiTheme="minorHAnsi" w:hAnsiTheme="minorHAnsi"/>
          <w:szCs w:val="22"/>
        </w:rPr>
      </w:pPr>
      <w:r w:rsidRPr="00CF4818">
        <w:rPr>
          <w:rFonts w:asciiTheme="minorHAnsi" w:hAnsiTheme="minorHAnsi"/>
          <w:szCs w:val="22"/>
          <w:lang w:eastAsia="el-GR"/>
        </w:rPr>
        <w:t xml:space="preserve">In order to assess </w:t>
      </w:r>
      <w:r w:rsidR="000C7174" w:rsidRPr="00CF4818">
        <w:rPr>
          <w:rFonts w:asciiTheme="minorHAnsi" w:hAnsiTheme="minorHAnsi"/>
          <w:szCs w:val="22"/>
          <w:lang w:eastAsia="el-GR"/>
        </w:rPr>
        <w:t xml:space="preserve">the </w:t>
      </w:r>
      <w:r w:rsidRPr="00CF4818">
        <w:rPr>
          <w:rFonts w:asciiTheme="minorHAnsi" w:hAnsiTheme="minorHAnsi"/>
          <w:szCs w:val="22"/>
          <w:lang w:eastAsia="el-GR"/>
        </w:rPr>
        <w:t xml:space="preserve">benefits of policy interventions </w:t>
      </w:r>
      <w:r w:rsidR="00C358C3" w:rsidRPr="00CF4818">
        <w:rPr>
          <w:rFonts w:asciiTheme="minorHAnsi" w:hAnsiTheme="minorHAnsi"/>
          <w:szCs w:val="22"/>
          <w:lang w:eastAsia="el-GR"/>
        </w:rPr>
        <w:t xml:space="preserve">both indoors and outdoors </w:t>
      </w:r>
      <w:r w:rsidRPr="00CF4818">
        <w:rPr>
          <w:rFonts w:asciiTheme="minorHAnsi" w:hAnsiTheme="minorHAnsi"/>
          <w:szCs w:val="22"/>
          <w:lang w:eastAsia="el-GR"/>
        </w:rPr>
        <w:t>in terms of the</w:t>
      </w:r>
      <w:r w:rsidR="0017501A">
        <w:rPr>
          <w:rFonts w:asciiTheme="minorHAnsi" w:hAnsiTheme="minorHAnsi"/>
          <w:szCs w:val="22"/>
          <w:lang w:eastAsia="el-GR"/>
        </w:rPr>
        <w:t xml:space="preserve"> PEFD</w:t>
      </w:r>
      <w:r w:rsidRPr="00CF4818">
        <w:rPr>
          <w:rFonts w:asciiTheme="minorHAnsi" w:hAnsiTheme="minorHAnsi"/>
          <w:szCs w:val="22"/>
          <w:lang w:eastAsia="el-GR"/>
        </w:rPr>
        <w:t>, a modelling approach is needed that integrates personal activity profiles with models of indoor concentrations, and specifically those within the home environment, as well as data on outdoor concentrations</w:t>
      </w:r>
      <w:r w:rsidR="005B50D5" w:rsidRPr="00CF4818">
        <w:rPr>
          <w:rFonts w:asciiTheme="minorHAnsi" w:hAnsiTheme="minorHAnsi"/>
          <w:szCs w:val="22"/>
          <w:lang w:eastAsia="el-GR"/>
        </w:rPr>
        <w:t xml:space="preserve"> in different locations</w:t>
      </w:r>
      <w:r w:rsidR="008D1D4E" w:rsidRPr="00CF4818">
        <w:rPr>
          <w:rFonts w:asciiTheme="minorHAnsi" w:hAnsiTheme="minorHAnsi"/>
          <w:szCs w:val="22"/>
          <w:lang w:eastAsia="el-GR"/>
        </w:rPr>
        <w:t xml:space="preserve"> </w:t>
      </w:r>
      <w:r w:rsidR="008D1D4E" w:rsidRPr="00CF4818">
        <w:rPr>
          <w:rFonts w:asciiTheme="minorHAnsi" w:hAnsiTheme="minorHAnsi"/>
          <w:szCs w:val="22"/>
        </w:rPr>
        <w:t>(e.g. Wu et al., 2005</w:t>
      </w:r>
      <w:r w:rsidR="001F070D">
        <w:rPr>
          <w:rFonts w:asciiTheme="minorHAnsi" w:hAnsiTheme="minorHAnsi"/>
          <w:szCs w:val="22"/>
        </w:rPr>
        <w:t>; Physick et al., 2011</w:t>
      </w:r>
      <w:r w:rsidR="008D1D4E" w:rsidRPr="00CF4818">
        <w:rPr>
          <w:rFonts w:asciiTheme="minorHAnsi" w:hAnsiTheme="minorHAnsi"/>
          <w:szCs w:val="22"/>
        </w:rPr>
        <w:t>)</w:t>
      </w:r>
      <w:r w:rsidRPr="00CF4818">
        <w:rPr>
          <w:rFonts w:asciiTheme="minorHAnsi" w:hAnsiTheme="minorHAnsi"/>
          <w:szCs w:val="22"/>
          <w:lang w:eastAsia="el-GR"/>
        </w:rPr>
        <w:t xml:space="preserve">. </w:t>
      </w:r>
      <w:r w:rsidR="00B12970" w:rsidRPr="00CF4818">
        <w:rPr>
          <w:rFonts w:asciiTheme="minorHAnsi" w:hAnsiTheme="minorHAnsi"/>
          <w:szCs w:val="22"/>
        </w:rPr>
        <w:t>I</w:t>
      </w:r>
      <w:r w:rsidR="00B12970" w:rsidRPr="00CF4818">
        <w:rPr>
          <w:rFonts w:asciiTheme="minorHAnsi" w:hAnsiTheme="minorHAnsi"/>
          <w:snapToGrid w:val="0"/>
          <w:szCs w:val="22"/>
          <w:lang w:val="en-AU" w:eastAsia="en-US"/>
        </w:rPr>
        <w:t>n most western societies, people typically spend over 90% of their time indoors, much of it at home</w:t>
      </w:r>
      <w:r w:rsidR="00B12970">
        <w:rPr>
          <w:rFonts w:asciiTheme="minorHAnsi" w:hAnsiTheme="minorHAnsi"/>
          <w:snapToGrid w:val="0"/>
          <w:szCs w:val="22"/>
          <w:lang w:val="en-AU" w:eastAsia="en-US"/>
        </w:rPr>
        <w:t>, and therefore u</w:t>
      </w:r>
      <w:r w:rsidR="00B12970" w:rsidRPr="00CF4818">
        <w:rPr>
          <w:rFonts w:asciiTheme="minorHAnsi" w:hAnsiTheme="minorHAnsi"/>
          <w:snapToGrid w:val="0"/>
          <w:szCs w:val="22"/>
          <w:lang w:val="en-AU" w:eastAsia="en-US"/>
        </w:rPr>
        <w:t>nderstanding of the processes controlling indoor concentrations</w:t>
      </w:r>
      <w:r w:rsidR="0017501A">
        <w:rPr>
          <w:rFonts w:asciiTheme="minorHAnsi" w:hAnsiTheme="minorHAnsi"/>
          <w:snapToGrid w:val="0"/>
          <w:szCs w:val="22"/>
          <w:lang w:val="en-AU" w:eastAsia="en-US"/>
        </w:rPr>
        <w:t>, and their relationship to outdoor concentrations,</w:t>
      </w:r>
      <w:r w:rsidR="00B12970" w:rsidRPr="00CF4818">
        <w:rPr>
          <w:rFonts w:asciiTheme="minorHAnsi" w:hAnsiTheme="minorHAnsi"/>
          <w:snapToGrid w:val="0"/>
          <w:szCs w:val="22"/>
          <w:lang w:val="en-AU" w:eastAsia="en-US"/>
        </w:rPr>
        <w:t xml:space="preserve"> is essential if personal exposures are to be predicted with any degree of certainty.</w:t>
      </w:r>
      <w:r w:rsidR="0017501A">
        <w:rPr>
          <w:rFonts w:asciiTheme="minorHAnsi" w:hAnsiTheme="minorHAnsi"/>
          <w:snapToGrid w:val="0"/>
          <w:szCs w:val="22"/>
          <w:lang w:val="en-AU" w:eastAsia="en-US"/>
        </w:rPr>
        <w:t xml:space="preserve"> </w:t>
      </w:r>
      <w:r w:rsidR="00C41EA6">
        <w:rPr>
          <w:rFonts w:asciiTheme="minorHAnsi" w:hAnsiTheme="minorHAnsi"/>
          <w:szCs w:val="22"/>
        </w:rPr>
        <w:t>Va</w:t>
      </w:r>
      <w:r w:rsidR="008C3D83" w:rsidRPr="008C3D83">
        <w:rPr>
          <w:rFonts w:asciiTheme="minorHAnsi" w:hAnsiTheme="minorHAnsi" w:cs="AdvTT5235d5a9"/>
          <w:szCs w:val="22"/>
        </w:rPr>
        <w:t>rious indoor exposure</w:t>
      </w:r>
      <w:r w:rsidR="008C3D83">
        <w:rPr>
          <w:rFonts w:asciiTheme="minorHAnsi" w:hAnsiTheme="minorHAnsi" w:cs="AdvTT5235d5a9"/>
          <w:szCs w:val="22"/>
        </w:rPr>
        <w:t xml:space="preserve"> </w:t>
      </w:r>
      <w:r w:rsidR="008C3D83" w:rsidRPr="008C3D83">
        <w:rPr>
          <w:rFonts w:asciiTheme="minorHAnsi" w:hAnsiTheme="minorHAnsi" w:cs="AdvTT5235d5a9"/>
          <w:szCs w:val="22"/>
        </w:rPr>
        <w:t xml:space="preserve">modelling techniques </w:t>
      </w:r>
      <w:r w:rsidR="008C3D83">
        <w:rPr>
          <w:rFonts w:asciiTheme="minorHAnsi" w:hAnsiTheme="minorHAnsi" w:cs="AdvTT5235d5a9"/>
          <w:szCs w:val="22"/>
        </w:rPr>
        <w:t>are available</w:t>
      </w:r>
      <w:r w:rsidR="00C41EA6">
        <w:rPr>
          <w:rFonts w:asciiTheme="minorHAnsi" w:hAnsiTheme="minorHAnsi" w:cs="AdvTT5235d5a9"/>
          <w:szCs w:val="22"/>
        </w:rPr>
        <w:t>,</w:t>
      </w:r>
      <w:r w:rsidR="008C3D83">
        <w:rPr>
          <w:rFonts w:asciiTheme="minorHAnsi" w:hAnsiTheme="minorHAnsi" w:cs="AdvTT5235d5a9"/>
          <w:szCs w:val="22"/>
        </w:rPr>
        <w:t xml:space="preserve"> </w:t>
      </w:r>
      <w:r w:rsidR="00C41EA6">
        <w:rPr>
          <w:rFonts w:asciiTheme="minorHAnsi" w:hAnsiTheme="minorHAnsi" w:cs="AdvTT5235d5a9"/>
          <w:szCs w:val="22"/>
        </w:rPr>
        <w:t>r</w:t>
      </w:r>
      <w:r w:rsidR="008C3D83">
        <w:rPr>
          <w:rFonts w:asciiTheme="minorHAnsi" w:hAnsiTheme="minorHAnsi" w:cs="AdvTT5235d5a9"/>
          <w:szCs w:val="22"/>
        </w:rPr>
        <w:t>ang</w:t>
      </w:r>
      <w:r w:rsidR="00C41EA6">
        <w:rPr>
          <w:rFonts w:asciiTheme="minorHAnsi" w:hAnsiTheme="minorHAnsi" w:cs="AdvTT5235d5a9"/>
          <w:szCs w:val="22"/>
        </w:rPr>
        <w:t>ing</w:t>
      </w:r>
      <w:r w:rsidR="008C3D83">
        <w:rPr>
          <w:rFonts w:asciiTheme="minorHAnsi" w:hAnsiTheme="minorHAnsi" w:cs="AdvTT5235d5a9"/>
          <w:szCs w:val="22"/>
        </w:rPr>
        <w:t xml:space="preserve"> </w:t>
      </w:r>
      <w:r w:rsidR="008C3D83" w:rsidRPr="008C3D83">
        <w:rPr>
          <w:rFonts w:asciiTheme="minorHAnsi" w:hAnsiTheme="minorHAnsi" w:cs="AdvTT5235d5a9"/>
          <w:szCs w:val="22"/>
        </w:rPr>
        <w:t>from</w:t>
      </w:r>
      <w:r w:rsidR="008C3D83">
        <w:rPr>
          <w:rFonts w:asciiTheme="minorHAnsi" w:hAnsiTheme="minorHAnsi" w:cs="AdvTT5235d5a9"/>
          <w:szCs w:val="22"/>
        </w:rPr>
        <w:t xml:space="preserve"> </w:t>
      </w:r>
      <w:r w:rsidR="008C3D83" w:rsidRPr="008C3D83">
        <w:rPr>
          <w:rFonts w:asciiTheme="minorHAnsi" w:hAnsiTheme="minorHAnsi" w:cs="AdvTT5235d5a9"/>
          <w:szCs w:val="22"/>
        </w:rPr>
        <w:t>simple statistical regression and mass</w:t>
      </w:r>
      <w:r w:rsidR="008C3D83">
        <w:rPr>
          <w:rFonts w:asciiTheme="minorHAnsi" w:hAnsiTheme="minorHAnsi" w:cs="AdvTT5235d5a9"/>
          <w:szCs w:val="22"/>
        </w:rPr>
        <w:t xml:space="preserve"> </w:t>
      </w:r>
      <w:r w:rsidR="008C3D83" w:rsidRPr="008C3D83">
        <w:rPr>
          <w:rFonts w:asciiTheme="minorHAnsi" w:hAnsiTheme="minorHAnsi" w:cs="AdvTT5235d5a9"/>
          <w:szCs w:val="22"/>
        </w:rPr>
        <w:t>balance</w:t>
      </w:r>
      <w:r w:rsidR="008C3D83">
        <w:rPr>
          <w:rFonts w:asciiTheme="minorHAnsi" w:hAnsiTheme="minorHAnsi"/>
          <w:szCs w:val="22"/>
        </w:rPr>
        <w:t xml:space="preserve"> </w:t>
      </w:r>
      <w:r w:rsidR="008C3D83" w:rsidRPr="008C3D83">
        <w:rPr>
          <w:rFonts w:asciiTheme="minorHAnsi" w:hAnsiTheme="minorHAnsi" w:cs="AdvTT5235d5a9"/>
          <w:szCs w:val="22"/>
        </w:rPr>
        <w:t>approaches, to more complex multi</w:t>
      </w:r>
      <w:r w:rsidR="00C41EA6">
        <w:rPr>
          <w:rFonts w:asciiTheme="minorHAnsi" w:hAnsiTheme="minorHAnsi" w:cs="AdvTT5235d5a9"/>
          <w:szCs w:val="22"/>
        </w:rPr>
        <w:t>-</w:t>
      </w:r>
      <w:r w:rsidR="008C3D83" w:rsidRPr="008C3D83">
        <w:rPr>
          <w:rFonts w:asciiTheme="minorHAnsi" w:hAnsiTheme="minorHAnsi" w:cs="AdvTT5235d5a9"/>
          <w:szCs w:val="22"/>
        </w:rPr>
        <w:t xml:space="preserve">zone and computational </w:t>
      </w:r>
      <w:r w:rsidR="008C3D83" w:rsidRPr="008C3D83">
        <w:rPr>
          <w:rFonts w:asciiTheme="minorHAnsi" w:hAnsiTheme="minorHAnsi" w:cs="AdvTT5235d5a9+fb"/>
          <w:szCs w:val="22"/>
        </w:rPr>
        <w:t>fl</w:t>
      </w:r>
      <w:r w:rsidR="008C3D83" w:rsidRPr="008C3D83">
        <w:rPr>
          <w:rFonts w:asciiTheme="minorHAnsi" w:hAnsiTheme="minorHAnsi" w:cs="AdvTT5235d5a9"/>
          <w:szCs w:val="22"/>
        </w:rPr>
        <w:t>uid dynamics tools</w:t>
      </w:r>
      <w:r w:rsidR="002574C6">
        <w:rPr>
          <w:rFonts w:asciiTheme="minorHAnsi" w:hAnsiTheme="minorHAnsi" w:cs="AdvTT5235d5a9"/>
          <w:szCs w:val="22"/>
        </w:rPr>
        <w:t xml:space="preserve"> (e.g. Fabian et al., 2012; Milner et al., 2011)</w:t>
      </w:r>
      <w:r w:rsidR="008C3D83">
        <w:rPr>
          <w:rFonts w:asciiTheme="minorHAnsi" w:hAnsiTheme="minorHAnsi" w:cs="AdvTT5235d5a9"/>
          <w:szCs w:val="22"/>
        </w:rPr>
        <w:t xml:space="preserve">. </w:t>
      </w:r>
    </w:p>
    <w:p w14:paraId="26D1902B" w14:textId="77777777" w:rsidR="00514B93" w:rsidRDefault="00514B93" w:rsidP="00D074F0">
      <w:pPr>
        <w:autoSpaceDE w:val="0"/>
        <w:autoSpaceDN w:val="0"/>
        <w:adjustRightInd w:val="0"/>
        <w:rPr>
          <w:rFonts w:asciiTheme="minorHAnsi" w:hAnsiTheme="minorHAnsi"/>
          <w:szCs w:val="22"/>
          <w:lang w:eastAsia="el-GR"/>
        </w:rPr>
      </w:pPr>
    </w:p>
    <w:p w14:paraId="39516EE4" w14:textId="794918BA" w:rsidR="00D977D2" w:rsidRDefault="0017501A" w:rsidP="00140CCA">
      <w:pPr>
        <w:autoSpaceDE w:val="0"/>
        <w:autoSpaceDN w:val="0"/>
        <w:adjustRightInd w:val="0"/>
        <w:jc w:val="both"/>
        <w:rPr>
          <w:rFonts w:asciiTheme="minorHAnsi" w:hAnsiTheme="minorHAnsi" w:cs="Arial"/>
          <w:color w:val="000000"/>
          <w:szCs w:val="22"/>
        </w:rPr>
      </w:pPr>
      <w:r w:rsidRPr="00C40916">
        <w:rPr>
          <w:rFonts w:asciiTheme="minorHAnsi" w:hAnsiTheme="minorHAnsi"/>
          <w:szCs w:val="22"/>
          <w:lang w:eastAsia="el-GR"/>
        </w:rPr>
        <w:t xml:space="preserve">Over the past two decades, </w:t>
      </w:r>
      <w:r w:rsidR="007D12B5" w:rsidRPr="00C40916">
        <w:rPr>
          <w:rFonts w:asciiTheme="minorHAnsi" w:hAnsiTheme="minorHAnsi"/>
          <w:szCs w:val="22"/>
          <w:lang w:eastAsia="el-GR"/>
        </w:rPr>
        <w:t xml:space="preserve">several </w:t>
      </w:r>
      <w:r w:rsidR="00A44CE2" w:rsidRPr="00C40916">
        <w:rPr>
          <w:rFonts w:asciiTheme="minorHAnsi" w:hAnsiTheme="minorHAnsi"/>
          <w:szCs w:val="22"/>
          <w:lang w:eastAsia="el-GR"/>
        </w:rPr>
        <w:t xml:space="preserve">probabilistic </w:t>
      </w:r>
      <w:r w:rsidR="00E47151" w:rsidRPr="00C40916">
        <w:rPr>
          <w:rFonts w:asciiTheme="minorHAnsi" w:hAnsiTheme="minorHAnsi"/>
          <w:szCs w:val="22"/>
          <w:lang w:eastAsia="el-GR"/>
        </w:rPr>
        <w:t xml:space="preserve">micro-environmental </w:t>
      </w:r>
      <w:r w:rsidR="00A44CE2" w:rsidRPr="00C40916">
        <w:rPr>
          <w:rFonts w:asciiTheme="minorHAnsi" w:hAnsiTheme="minorHAnsi"/>
          <w:szCs w:val="22"/>
          <w:lang w:eastAsia="el-GR"/>
        </w:rPr>
        <w:t xml:space="preserve">models </w:t>
      </w:r>
      <w:r w:rsidR="00EF2691" w:rsidRPr="00C40916">
        <w:rPr>
          <w:rFonts w:asciiTheme="minorHAnsi" w:hAnsiTheme="minorHAnsi"/>
          <w:szCs w:val="22"/>
          <w:lang w:eastAsia="el-GR"/>
        </w:rPr>
        <w:t xml:space="preserve">of population </w:t>
      </w:r>
      <w:r w:rsidR="00EF2691" w:rsidRPr="00D074F0">
        <w:rPr>
          <w:rFonts w:asciiTheme="minorHAnsi" w:hAnsiTheme="minorHAnsi" w:cs="Arial"/>
          <w:szCs w:val="22"/>
          <w:lang w:eastAsia="el-GR"/>
        </w:rPr>
        <w:t xml:space="preserve">exposure </w:t>
      </w:r>
      <w:r w:rsidRPr="00D074F0">
        <w:rPr>
          <w:rFonts w:asciiTheme="minorHAnsi" w:hAnsiTheme="minorHAnsi" w:cs="Arial"/>
          <w:szCs w:val="22"/>
          <w:lang w:eastAsia="el-GR"/>
        </w:rPr>
        <w:t xml:space="preserve">across a city </w:t>
      </w:r>
      <w:r w:rsidR="00A44CE2" w:rsidRPr="00D074F0">
        <w:rPr>
          <w:rFonts w:asciiTheme="minorHAnsi" w:hAnsiTheme="minorHAnsi" w:cs="Arial"/>
          <w:szCs w:val="22"/>
          <w:lang w:eastAsia="el-GR"/>
        </w:rPr>
        <w:t>have been developed</w:t>
      </w:r>
      <w:r w:rsidR="00E47151" w:rsidRPr="00D074F0">
        <w:rPr>
          <w:rFonts w:asciiTheme="minorHAnsi" w:hAnsiTheme="minorHAnsi" w:cs="Arial"/>
          <w:szCs w:val="22"/>
          <w:lang w:eastAsia="el-GR"/>
        </w:rPr>
        <w:t xml:space="preserve">, including </w:t>
      </w:r>
      <w:r w:rsidR="005B50D5" w:rsidRPr="00D074F0">
        <w:rPr>
          <w:rFonts w:asciiTheme="minorHAnsi" w:hAnsiTheme="minorHAnsi" w:cs="Arial"/>
          <w:szCs w:val="22"/>
        </w:rPr>
        <w:t>the probabilistic SHEDS-PM model, which estimated population distributions of PM</w:t>
      </w:r>
      <w:r w:rsidR="005B50D5" w:rsidRPr="00D074F0">
        <w:rPr>
          <w:rFonts w:asciiTheme="minorHAnsi" w:hAnsiTheme="minorHAnsi" w:cs="Arial"/>
          <w:szCs w:val="22"/>
          <w:vertAlign w:val="subscript"/>
        </w:rPr>
        <w:t>2.5</w:t>
      </w:r>
      <w:r w:rsidR="005B50D5" w:rsidRPr="00D074F0">
        <w:rPr>
          <w:rFonts w:asciiTheme="minorHAnsi" w:hAnsiTheme="minorHAnsi" w:cs="Arial"/>
          <w:szCs w:val="22"/>
        </w:rPr>
        <w:t xml:space="preserve"> exposures in Philadelphia </w:t>
      </w:r>
      <w:r w:rsidR="005B50D5" w:rsidRPr="00D074F0">
        <w:rPr>
          <w:rFonts w:asciiTheme="minorHAnsi" w:hAnsiTheme="minorHAnsi" w:cs="Arial"/>
          <w:szCs w:val="22"/>
          <w:lang w:eastAsia="el-GR"/>
        </w:rPr>
        <w:t>(Burke et al., 2001),</w:t>
      </w:r>
      <w:r w:rsidR="00E47151" w:rsidRPr="00C40916">
        <w:rPr>
          <w:rFonts w:asciiTheme="minorHAnsi" w:hAnsiTheme="minorHAnsi"/>
          <w:szCs w:val="22"/>
          <w:lang w:eastAsia="el-GR"/>
        </w:rPr>
        <w:t xml:space="preserve"> </w:t>
      </w:r>
      <w:r w:rsidR="005B50D5" w:rsidRPr="00C40916">
        <w:rPr>
          <w:rFonts w:asciiTheme="minorHAnsi" w:hAnsiTheme="minorHAnsi"/>
          <w:szCs w:val="22"/>
          <w:lang w:eastAsia="el-GR"/>
        </w:rPr>
        <w:t xml:space="preserve">the models derived from the </w:t>
      </w:r>
      <w:r w:rsidR="00E47151" w:rsidRPr="00CD6E9A">
        <w:rPr>
          <w:rFonts w:asciiTheme="minorHAnsi" w:hAnsiTheme="minorHAnsi"/>
          <w:szCs w:val="22"/>
          <w:lang w:eastAsia="el-GR"/>
        </w:rPr>
        <w:t xml:space="preserve">European </w:t>
      </w:r>
      <w:r w:rsidR="005B50D5" w:rsidRPr="00CD6E9A">
        <w:rPr>
          <w:rFonts w:asciiTheme="minorHAnsi" w:hAnsiTheme="minorHAnsi"/>
          <w:szCs w:val="22"/>
          <w:lang w:eastAsia="el-GR"/>
        </w:rPr>
        <w:t>EXPOLIS stud</w:t>
      </w:r>
      <w:r w:rsidR="0062122E" w:rsidRPr="00CD6E9A">
        <w:rPr>
          <w:rFonts w:asciiTheme="minorHAnsi" w:hAnsiTheme="minorHAnsi"/>
          <w:szCs w:val="22"/>
          <w:lang w:eastAsia="el-GR"/>
        </w:rPr>
        <w:t>y (e.g. Kruize et al., 2003; Ha</w:t>
      </w:r>
      <w:r w:rsidR="005B50D5" w:rsidRPr="00CD6E9A">
        <w:rPr>
          <w:rFonts w:asciiTheme="minorHAnsi" w:hAnsiTheme="minorHAnsi"/>
          <w:szCs w:val="22"/>
          <w:lang w:eastAsia="el-GR"/>
        </w:rPr>
        <w:t>nninen et al., 2003)</w:t>
      </w:r>
      <w:r w:rsidR="00514B93" w:rsidRPr="00CD6E9A">
        <w:rPr>
          <w:rFonts w:asciiTheme="minorHAnsi" w:hAnsiTheme="minorHAnsi"/>
          <w:szCs w:val="22"/>
          <w:lang w:eastAsia="el-GR"/>
        </w:rPr>
        <w:t xml:space="preserve">, </w:t>
      </w:r>
      <w:r w:rsidR="00514B93" w:rsidRPr="00CD6E9A">
        <w:rPr>
          <w:rFonts w:asciiTheme="minorHAnsi" w:hAnsiTheme="minorHAnsi" w:cs="Arial"/>
          <w:szCs w:val="22"/>
          <w:lang w:eastAsia="el-GR"/>
        </w:rPr>
        <w:t xml:space="preserve">and a recent probabilistic </w:t>
      </w:r>
      <w:r w:rsidR="00514B93" w:rsidRPr="00CD6E9A">
        <w:rPr>
          <w:rFonts w:asciiTheme="minorHAnsi" w:hAnsiTheme="minorHAnsi" w:cs="Arial"/>
          <w:szCs w:val="22"/>
        </w:rPr>
        <w:t>exposure model that predicts distributions of children and elderly PAH exposures in Rome (Gariazzo et al., 2015).</w:t>
      </w:r>
      <w:r w:rsidR="00514B93" w:rsidRPr="00CD6E9A">
        <w:rPr>
          <w:rFonts w:ascii="AdvOT863180fb" w:hAnsi="AdvOT863180fb" w:cs="AdvOT863180fb"/>
          <w:sz w:val="16"/>
          <w:szCs w:val="16"/>
        </w:rPr>
        <w:t xml:space="preserve"> </w:t>
      </w:r>
      <w:r w:rsidR="007D12B5" w:rsidRPr="00CD6E9A">
        <w:rPr>
          <w:rFonts w:asciiTheme="minorHAnsi" w:hAnsiTheme="minorHAnsi"/>
          <w:szCs w:val="22"/>
          <w:lang w:eastAsia="el-GR"/>
        </w:rPr>
        <w:t>However</w:t>
      </w:r>
      <w:r w:rsidR="007D12B5" w:rsidRPr="00C40916">
        <w:rPr>
          <w:rFonts w:asciiTheme="minorHAnsi" w:hAnsiTheme="minorHAnsi"/>
          <w:szCs w:val="22"/>
          <w:lang w:eastAsia="el-GR"/>
        </w:rPr>
        <w:t>, t</w:t>
      </w:r>
      <w:r w:rsidR="00E47151" w:rsidRPr="00C40916">
        <w:rPr>
          <w:rFonts w:asciiTheme="minorHAnsi" w:hAnsiTheme="minorHAnsi"/>
          <w:szCs w:val="22"/>
        </w:rPr>
        <w:t xml:space="preserve">hese models </w:t>
      </w:r>
      <w:r w:rsidR="00EF2691" w:rsidRPr="00C40916">
        <w:rPr>
          <w:rFonts w:asciiTheme="minorHAnsi" w:hAnsiTheme="minorHAnsi"/>
          <w:szCs w:val="22"/>
        </w:rPr>
        <w:t xml:space="preserve">generally </w:t>
      </w:r>
      <w:r w:rsidR="00E47151" w:rsidRPr="00C40916">
        <w:rPr>
          <w:rFonts w:asciiTheme="minorHAnsi" w:hAnsiTheme="minorHAnsi"/>
          <w:szCs w:val="22"/>
        </w:rPr>
        <w:t xml:space="preserve">use an empirical approach to modelling indoor concentrations, </w:t>
      </w:r>
      <w:r w:rsidR="007D12B5" w:rsidRPr="00C40916">
        <w:rPr>
          <w:rFonts w:asciiTheme="minorHAnsi" w:hAnsiTheme="minorHAnsi"/>
          <w:szCs w:val="22"/>
        </w:rPr>
        <w:t>and do not</w:t>
      </w:r>
      <w:r w:rsidR="00E47151" w:rsidRPr="00C40916">
        <w:rPr>
          <w:rFonts w:asciiTheme="minorHAnsi" w:hAnsiTheme="minorHAnsi"/>
          <w:szCs w:val="22"/>
        </w:rPr>
        <w:t xml:space="preserve"> explicitly simulate the effects of </w:t>
      </w:r>
      <w:r w:rsidR="00EF2691" w:rsidRPr="00C40916">
        <w:rPr>
          <w:rFonts w:asciiTheme="minorHAnsi" w:hAnsiTheme="minorHAnsi"/>
          <w:szCs w:val="22"/>
        </w:rPr>
        <w:t xml:space="preserve">specific </w:t>
      </w:r>
      <w:r w:rsidR="00E47151" w:rsidRPr="00C40916">
        <w:rPr>
          <w:rFonts w:asciiTheme="minorHAnsi" w:hAnsiTheme="minorHAnsi"/>
          <w:szCs w:val="22"/>
        </w:rPr>
        <w:t xml:space="preserve">indoor sources. For example, Borrego et al. (2009) predicted </w:t>
      </w:r>
      <w:r w:rsidR="00EF2691" w:rsidRPr="00C40916">
        <w:rPr>
          <w:rFonts w:asciiTheme="minorHAnsi" w:hAnsiTheme="minorHAnsi"/>
          <w:szCs w:val="22"/>
        </w:rPr>
        <w:t xml:space="preserve">spatial patterns of </w:t>
      </w:r>
      <w:r w:rsidR="00E47151" w:rsidRPr="00C40916">
        <w:rPr>
          <w:rFonts w:asciiTheme="minorHAnsi" w:hAnsiTheme="minorHAnsi"/>
          <w:szCs w:val="22"/>
        </w:rPr>
        <w:t>human exposure to ozone, NO</w:t>
      </w:r>
      <w:r w:rsidR="00E47151" w:rsidRPr="00C40916">
        <w:rPr>
          <w:rFonts w:asciiTheme="minorHAnsi" w:hAnsiTheme="minorHAnsi"/>
          <w:szCs w:val="22"/>
          <w:vertAlign w:val="subscript"/>
        </w:rPr>
        <w:t>2</w:t>
      </w:r>
      <w:r w:rsidR="00E47151" w:rsidRPr="00C40916">
        <w:rPr>
          <w:rFonts w:asciiTheme="minorHAnsi" w:hAnsiTheme="minorHAnsi"/>
          <w:szCs w:val="22"/>
        </w:rPr>
        <w:t xml:space="preserve"> and PM across Portugal us</w:t>
      </w:r>
      <w:r w:rsidRPr="00C40916">
        <w:rPr>
          <w:rFonts w:asciiTheme="minorHAnsi" w:hAnsiTheme="minorHAnsi"/>
          <w:szCs w:val="22"/>
        </w:rPr>
        <w:t>ing</w:t>
      </w:r>
      <w:r w:rsidR="00E47151" w:rsidRPr="00C40916">
        <w:rPr>
          <w:rFonts w:asciiTheme="minorHAnsi" w:hAnsiTheme="minorHAnsi"/>
          <w:szCs w:val="22"/>
        </w:rPr>
        <w:t xml:space="preserve"> a single indoor-outdoor ratio to predict indoor concentrations; such an approach </w:t>
      </w:r>
      <w:r w:rsidR="007D12B5" w:rsidRPr="00C40916">
        <w:rPr>
          <w:rFonts w:asciiTheme="minorHAnsi" w:hAnsiTheme="minorHAnsi"/>
          <w:szCs w:val="22"/>
        </w:rPr>
        <w:t>cannot</w:t>
      </w:r>
      <w:r w:rsidR="00E47151" w:rsidRPr="00C40916">
        <w:rPr>
          <w:rFonts w:asciiTheme="minorHAnsi" w:hAnsiTheme="minorHAnsi"/>
          <w:szCs w:val="22"/>
        </w:rPr>
        <w:t xml:space="preserve"> account for the wide variation in </w:t>
      </w:r>
      <w:r w:rsidR="00EF185F" w:rsidRPr="00C40916">
        <w:rPr>
          <w:rFonts w:asciiTheme="minorHAnsi" w:hAnsiTheme="minorHAnsi"/>
          <w:szCs w:val="22"/>
        </w:rPr>
        <w:t xml:space="preserve">indoor concentrations depending on differing building characteristics, time of day, and indoor emission sources. </w:t>
      </w:r>
      <w:r w:rsidR="005B50D5" w:rsidRPr="00C40916">
        <w:rPr>
          <w:rFonts w:asciiTheme="minorHAnsi" w:hAnsiTheme="minorHAnsi"/>
          <w:szCs w:val="22"/>
        </w:rPr>
        <w:t xml:space="preserve">More recently, </w:t>
      </w:r>
      <w:r w:rsidR="00B74AB9">
        <w:rPr>
          <w:rFonts w:asciiTheme="minorHAnsi" w:hAnsiTheme="minorHAnsi"/>
          <w:szCs w:val="22"/>
        </w:rPr>
        <w:t>p</w:t>
      </w:r>
      <w:r w:rsidR="002574C6" w:rsidRPr="00C40916">
        <w:rPr>
          <w:rFonts w:asciiTheme="minorHAnsi" w:hAnsiTheme="minorHAnsi"/>
          <w:szCs w:val="22"/>
        </w:rPr>
        <w:t>robabilistic models of residential concentrations of NO</w:t>
      </w:r>
      <w:r w:rsidR="002574C6" w:rsidRPr="00C40916">
        <w:rPr>
          <w:rFonts w:asciiTheme="minorHAnsi" w:hAnsiTheme="minorHAnsi"/>
          <w:szCs w:val="22"/>
          <w:vertAlign w:val="subscript"/>
        </w:rPr>
        <w:t>2</w:t>
      </w:r>
      <w:r w:rsidR="002574C6" w:rsidRPr="00C40916">
        <w:rPr>
          <w:rFonts w:asciiTheme="minorHAnsi" w:hAnsiTheme="minorHAnsi"/>
          <w:szCs w:val="22"/>
        </w:rPr>
        <w:t xml:space="preserve"> and other pollutants across a city have been described (e.g. Logue et al., 2014</w:t>
      </w:r>
      <w:r w:rsidR="00B74AB9">
        <w:rPr>
          <w:rFonts w:asciiTheme="minorHAnsi" w:hAnsiTheme="minorHAnsi"/>
          <w:szCs w:val="22"/>
        </w:rPr>
        <w:t>), which</w:t>
      </w:r>
      <w:r w:rsidR="00EF185F" w:rsidRPr="00C40916">
        <w:rPr>
          <w:rFonts w:asciiTheme="minorHAnsi" w:hAnsiTheme="minorHAnsi"/>
          <w:szCs w:val="22"/>
        </w:rPr>
        <w:t xml:space="preserve"> </w:t>
      </w:r>
      <w:r w:rsidR="002574C6" w:rsidRPr="00C40916">
        <w:rPr>
          <w:rFonts w:asciiTheme="minorHAnsi" w:hAnsiTheme="minorHAnsi"/>
          <w:szCs w:val="22"/>
        </w:rPr>
        <w:t xml:space="preserve">typically treat the home as a single micro-environment </w:t>
      </w:r>
      <w:r w:rsidR="00EF185F" w:rsidRPr="00C40916">
        <w:rPr>
          <w:rFonts w:asciiTheme="minorHAnsi" w:hAnsiTheme="minorHAnsi"/>
          <w:szCs w:val="22"/>
        </w:rPr>
        <w:t>us</w:t>
      </w:r>
      <w:r w:rsidR="002574C6" w:rsidRPr="00C40916">
        <w:rPr>
          <w:rFonts w:asciiTheme="minorHAnsi" w:hAnsiTheme="minorHAnsi"/>
          <w:szCs w:val="22"/>
        </w:rPr>
        <w:t>ing</w:t>
      </w:r>
      <w:r w:rsidR="00EF185F" w:rsidRPr="00C40916">
        <w:rPr>
          <w:rFonts w:asciiTheme="minorHAnsi" w:hAnsiTheme="minorHAnsi"/>
          <w:szCs w:val="22"/>
        </w:rPr>
        <w:t xml:space="preserve"> a mass balance</w:t>
      </w:r>
      <w:r w:rsidR="00C40916">
        <w:rPr>
          <w:rFonts w:asciiTheme="minorHAnsi" w:hAnsiTheme="minorHAnsi"/>
          <w:szCs w:val="22"/>
        </w:rPr>
        <w:t xml:space="preserve"> approach</w:t>
      </w:r>
      <w:r w:rsidR="008C5D4B">
        <w:rPr>
          <w:rFonts w:asciiTheme="minorHAnsi" w:hAnsiTheme="minorHAnsi"/>
          <w:szCs w:val="22"/>
        </w:rPr>
        <w:t xml:space="preserve">; however, </w:t>
      </w:r>
      <w:r w:rsidR="00D977D2" w:rsidRPr="00C40916">
        <w:rPr>
          <w:rFonts w:asciiTheme="minorHAnsi" w:hAnsiTheme="minorHAnsi"/>
          <w:szCs w:val="22"/>
        </w:rPr>
        <w:t xml:space="preserve"> </w:t>
      </w:r>
      <w:r w:rsidRPr="00C40916">
        <w:rPr>
          <w:rFonts w:asciiTheme="minorHAnsi" w:hAnsiTheme="minorHAnsi"/>
          <w:szCs w:val="22"/>
        </w:rPr>
        <w:t>NO</w:t>
      </w:r>
      <w:r w:rsidRPr="00C40916">
        <w:rPr>
          <w:rFonts w:asciiTheme="minorHAnsi" w:hAnsiTheme="minorHAnsi"/>
          <w:szCs w:val="22"/>
          <w:vertAlign w:val="subscript"/>
        </w:rPr>
        <w:t>2</w:t>
      </w:r>
      <w:r w:rsidR="00D977D2" w:rsidRPr="00C40916">
        <w:rPr>
          <w:rFonts w:asciiTheme="minorHAnsi" w:hAnsiTheme="minorHAnsi"/>
          <w:szCs w:val="22"/>
        </w:rPr>
        <w:t xml:space="preserve"> concentrations in kitchens, bedrooms and living rooms vary significantly, as does the time spent in each room by different population groups</w:t>
      </w:r>
      <w:r w:rsidR="00D977D2" w:rsidRPr="00C40916">
        <w:rPr>
          <w:rFonts w:asciiTheme="minorHAnsi" w:hAnsiTheme="minorHAnsi" w:cs="Arial"/>
          <w:color w:val="000000"/>
          <w:szCs w:val="22"/>
        </w:rPr>
        <w:t>.</w:t>
      </w:r>
    </w:p>
    <w:p w14:paraId="57BBB9F9" w14:textId="77777777" w:rsidR="00514B93" w:rsidRPr="00514B93" w:rsidRDefault="00514B93" w:rsidP="00140CCA">
      <w:pPr>
        <w:autoSpaceDE w:val="0"/>
        <w:autoSpaceDN w:val="0"/>
        <w:adjustRightInd w:val="0"/>
        <w:jc w:val="both"/>
        <w:rPr>
          <w:rFonts w:ascii="AdvOT863180fb" w:hAnsi="AdvOT863180fb" w:cs="AdvOT863180fb"/>
          <w:sz w:val="16"/>
          <w:szCs w:val="16"/>
        </w:rPr>
      </w:pPr>
    </w:p>
    <w:p w14:paraId="041802C3" w14:textId="06FCE0F6" w:rsidR="007D12B5" w:rsidRPr="00CD6E9A" w:rsidRDefault="00837542" w:rsidP="00140CCA">
      <w:pPr>
        <w:jc w:val="both"/>
        <w:rPr>
          <w:rFonts w:asciiTheme="minorHAnsi" w:hAnsiTheme="minorHAnsi"/>
          <w:snapToGrid w:val="0"/>
          <w:szCs w:val="22"/>
          <w:lang w:val="en-AU" w:eastAsia="en-US"/>
        </w:rPr>
      </w:pPr>
      <w:r w:rsidRPr="00CD6E9A">
        <w:rPr>
          <w:rFonts w:asciiTheme="minorHAnsi" w:hAnsiTheme="minorHAnsi"/>
          <w:snapToGrid w:val="0"/>
          <w:szCs w:val="22"/>
          <w:lang w:val="en-AU" w:eastAsia="en-US"/>
        </w:rPr>
        <w:t xml:space="preserve">The aim of </w:t>
      </w:r>
      <w:r w:rsidR="002574C6" w:rsidRPr="00CD6E9A">
        <w:rPr>
          <w:rFonts w:asciiTheme="minorHAnsi" w:hAnsiTheme="minorHAnsi"/>
          <w:snapToGrid w:val="0"/>
          <w:szCs w:val="22"/>
          <w:lang w:val="en-AU" w:eastAsia="en-US"/>
        </w:rPr>
        <w:t>our</w:t>
      </w:r>
      <w:r w:rsidR="007D12B5" w:rsidRPr="00CD6E9A">
        <w:rPr>
          <w:rFonts w:asciiTheme="minorHAnsi" w:hAnsiTheme="minorHAnsi"/>
          <w:snapToGrid w:val="0"/>
          <w:szCs w:val="22"/>
          <w:lang w:val="en-AU" w:eastAsia="en-US"/>
        </w:rPr>
        <w:t xml:space="preserve"> study </w:t>
      </w:r>
      <w:r w:rsidR="00C40916" w:rsidRPr="00CD6E9A">
        <w:rPr>
          <w:rFonts w:asciiTheme="minorHAnsi" w:hAnsiTheme="minorHAnsi"/>
          <w:snapToGrid w:val="0"/>
          <w:szCs w:val="22"/>
          <w:lang w:val="en-AU" w:eastAsia="en-US"/>
        </w:rPr>
        <w:t>wa</w:t>
      </w:r>
      <w:r w:rsidR="007D12B5" w:rsidRPr="00CD6E9A">
        <w:rPr>
          <w:rFonts w:asciiTheme="minorHAnsi" w:hAnsiTheme="minorHAnsi"/>
          <w:snapToGrid w:val="0"/>
          <w:szCs w:val="22"/>
          <w:lang w:val="en-AU" w:eastAsia="en-US"/>
        </w:rPr>
        <w:t>s</w:t>
      </w:r>
      <w:r w:rsidR="00231CAD" w:rsidRPr="00CD6E9A">
        <w:rPr>
          <w:rFonts w:asciiTheme="minorHAnsi" w:hAnsiTheme="minorHAnsi"/>
          <w:snapToGrid w:val="0"/>
          <w:szCs w:val="22"/>
          <w:lang w:val="en-AU" w:eastAsia="en-US"/>
        </w:rPr>
        <w:t xml:space="preserve"> to develop and apply </w:t>
      </w:r>
      <w:r w:rsidR="004471D4" w:rsidRPr="00CD6E9A">
        <w:rPr>
          <w:rFonts w:asciiTheme="minorHAnsi" w:hAnsiTheme="minorHAnsi"/>
          <w:snapToGrid w:val="0"/>
          <w:szCs w:val="22"/>
          <w:lang w:val="en-AU" w:eastAsia="en-US"/>
        </w:rPr>
        <w:t>a</w:t>
      </w:r>
      <w:r w:rsidR="00AB3224" w:rsidRPr="00CD6E9A">
        <w:rPr>
          <w:rFonts w:asciiTheme="minorHAnsi" w:hAnsiTheme="minorHAnsi"/>
          <w:snapToGrid w:val="0"/>
          <w:szCs w:val="22"/>
          <w:lang w:val="en-AU" w:eastAsia="en-US"/>
        </w:rPr>
        <w:t xml:space="preserve"> </w:t>
      </w:r>
      <w:r w:rsidR="005B50D5" w:rsidRPr="00CD6E9A">
        <w:rPr>
          <w:rFonts w:asciiTheme="minorHAnsi" w:hAnsiTheme="minorHAnsi"/>
          <w:snapToGrid w:val="0"/>
          <w:szCs w:val="22"/>
          <w:lang w:val="en-AU" w:eastAsia="en-US"/>
        </w:rPr>
        <w:t xml:space="preserve">novel </w:t>
      </w:r>
      <w:r w:rsidR="0043623B" w:rsidRPr="00CD6E9A">
        <w:rPr>
          <w:rFonts w:asciiTheme="minorHAnsi" w:hAnsiTheme="minorHAnsi"/>
          <w:snapToGrid w:val="0"/>
          <w:szCs w:val="22"/>
          <w:lang w:val="en-AU" w:eastAsia="en-US"/>
        </w:rPr>
        <w:t>population</w:t>
      </w:r>
      <w:r w:rsidR="004471D4" w:rsidRPr="00CD6E9A">
        <w:rPr>
          <w:rFonts w:asciiTheme="minorHAnsi" w:hAnsiTheme="minorHAnsi"/>
          <w:snapToGrid w:val="0"/>
          <w:szCs w:val="22"/>
          <w:lang w:val="en-AU" w:eastAsia="en-US"/>
        </w:rPr>
        <w:t xml:space="preserve"> exposure model (EXPAIR)</w:t>
      </w:r>
      <w:r w:rsidR="004471D4" w:rsidRPr="00CD6E9A">
        <w:rPr>
          <w:rFonts w:asciiTheme="minorHAnsi" w:hAnsiTheme="minorHAnsi"/>
          <w:szCs w:val="22"/>
        </w:rPr>
        <w:t xml:space="preserve"> to </w:t>
      </w:r>
      <w:r w:rsidR="00477326" w:rsidRPr="00CD6E9A">
        <w:rPr>
          <w:rFonts w:asciiTheme="minorHAnsi" w:hAnsiTheme="minorHAnsi"/>
          <w:szCs w:val="22"/>
        </w:rPr>
        <w:t xml:space="preserve">simulate the </w:t>
      </w:r>
      <w:r w:rsidRPr="00CD6E9A">
        <w:rPr>
          <w:rFonts w:asciiTheme="minorHAnsi" w:hAnsiTheme="minorHAnsi"/>
          <w:szCs w:val="22"/>
        </w:rPr>
        <w:t>population exposure frequency distribution (</w:t>
      </w:r>
      <w:r w:rsidR="00C358C3" w:rsidRPr="00CD6E9A">
        <w:rPr>
          <w:rFonts w:asciiTheme="minorHAnsi" w:hAnsiTheme="minorHAnsi"/>
          <w:szCs w:val="22"/>
        </w:rPr>
        <w:t>P</w:t>
      </w:r>
      <w:r w:rsidR="00477326" w:rsidRPr="00CD6E9A">
        <w:rPr>
          <w:rFonts w:asciiTheme="minorHAnsi" w:hAnsiTheme="minorHAnsi"/>
          <w:szCs w:val="22"/>
        </w:rPr>
        <w:t>EFD</w:t>
      </w:r>
      <w:r w:rsidRPr="00CD6E9A">
        <w:rPr>
          <w:rFonts w:asciiTheme="minorHAnsi" w:hAnsiTheme="minorHAnsi"/>
          <w:szCs w:val="22"/>
        </w:rPr>
        <w:t>)</w:t>
      </w:r>
      <w:r w:rsidR="002574C6" w:rsidRPr="00CD6E9A">
        <w:rPr>
          <w:rFonts w:asciiTheme="minorHAnsi" w:hAnsiTheme="minorHAnsi"/>
          <w:szCs w:val="22"/>
        </w:rPr>
        <w:t xml:space="preserve"> to NO</w:t>
      </w:r>
      <w:r w:rsidR="002574C6" w:rsidRPr="00CD6E9A">
        <w:rPr>
          <w:rFonts w:asciiTheme="minorHAnsi" w:hAnsiTheme="minorHAnsi"/>
          <w:szCs w:val="22"/>
          <w:vertAlign w:val="subscript"/>
        </w:rPr>
        <w:t>2</w:t>
      </w:r>
      <w:r w:rsidR="00477326" w:rsidRPr="00CD6E9A">
        <w:rPr>
          <w:rFonts w:asciiTheme="minorHAnsi" w:hAnsiTheme="minorHAnsi"/>
          <w:szCs w:val="22"/>
        </w:rPr>
        <w:t>, and its variation with time</w:t>
      </w:r>
      <w:r w:rsidR="00B74AB9" w:rsidRPr="00CD6E9A">
        <w:rPr>
          <w:rFonts w:asciiTheme="minorHAnsi" w:hAnsiTheme="minorHAnsi"/>
          <w:szCs w:val="22"/>
        </w:rPr>
        <w:t>; unlike other models, we aimed specifically to simulate the effect of indoor sources in different rooms within the home and on population groups with contrasting time-activity profiles.</w:t>
      </w:r>
      <w:r w:rsidR="00477326" w:rsidRPr="00CD6E9A">
        <w:rPr>
          <w:rFonts w:asciiTheme="minorHAnsi" w:hAnsiTheme="minorHAnsi"/>
          <w:szCs w:val="22"/>
        </w:rPr>
        <w:t xml:space="preserve"> </w:t>
      </w:r>
      <w:r w:rsidR="00187A62" w:rsidRPr="00CD6E9A">
        <w:rPr>
          <w:rFonts w:asciiTheme="minorHAnsi" w:hAnsiTheme="minorHAnsi"/>
          <w:szCs w:val="22"/>
        </w:rPr>
        <w:t>We also aimed to assess the effect of policy interventions both outdoors</w:t>
      </w:r>
      <w:r w:rsidR="00004452" w:rsidRPr="00CD6E9A">
        <w:rPr>
          <w:rFonts w:asciiTheme="minorHAnsi" w:hAnsiTheme="minorHAnsi"/>
          <w:szCs w:val="22"/>
        </w:rPr>
        <w:t xml:space="preserve"> (</w:t>
      </w:r>
      <w:r w:rsidR="008E3A46" w:rsidRPr="00CD6E9A">
        <w:rPr>
          <w:rFonts w:asciiTheme="minorHAnsi" w:hAnsiTheme="minorHAnsi"/>
          <w:szCs w:val="22"/>
        </w:rPr>
        <w:t>i.e.</w:t>
      </w:r>
      <w:r w:rsidR="00004452" w:rsidRPr="00CD6E9A">
        <w:rPr>
          <w:rFonts w:asciiTheme="minorHAnsi" w:hAnsiTheme="minorHAnsi"/>
          <w:szCs w:val="22"/>
        </w:rPr>
        <w:t xml:space="preserve"> </w:t>
      </w:r>
      <w:r w:rsidR="00004452" w:rsidRPr="00CD6E9A">
        <w:rPr>
          <w:rFonts w:asciiTheme="minorHAnsi" w:hAnsiTheme="minorHAnsi"/>
          <w:snapToGrid w:val="0"/>
          <w:szCs w:val="22"/>
          <w:lang w:val="en-AU" w:eastAsia="en-US"/>
        </w:rPr>
        <w:t xml:space="preserve">reductions in </w:t>
      </w:r>
      <w:r w:rsidR="00004452" w:rsidRPr="00CD6E9A">
        <w:rPr>
          <w:rFonts w:asciiTheme="minorHAnsi" w:hAnsiTheme="minorHAnsi"/>
          <w:snapToGrid w:val="0"/>
          <w:szCs w:val="22"/>
          <w:lang w:val="en-AU" w:eastAsia="en-US"/>
        </w:rPr>
        <w:lastRenderedPageBreak/>
        <w:t>outdoor NO</w:t>
      </w:r>
      <w:r w:rsidR="00004452" w:rsidRPr="00CD6E9A">
        <w:rPr>
          <w:rFonts w:asciiTheme="minorHAnsi" w:hAnsiTheme="minorHAnsi"/>
          <w:snapToGrid w:val="0"/>
          <w:szCs w:val="22"/>
          <w:vertAlign w:val="subscript"/>
          <w:lang w:val="en-AU" w:eastAsia="en-US"/>
        </w:rPr>
        <w:t>2</w:t>
      </w:r>
      <w:r w:rsidR="00004452" w:rsidRPr="00CD6E9A">
        <w:rPr>
          <w:rFonts w:asciiTheme="minorHAnsi" w:hAnsiTheme="minorHAnsi"/>
          <w:snapToGrid w:val="0"/>
          <w:szCs w:val="22"/>
          <w:lang w:val="en-AU" w:eastAsia="en-US"/>
        </w:rPr>
        <w:t xml:space="preserve"> concentrations within air quality management areas)</w:t>
      </w:r>
      <w:r w:rsidR="00187A62" w:rsidRPr="00CD6E9A">
        <w:rPr>
          <w:rFonts w:asciiTheme="minorHAnsi" w:hAnsiTheme="minorHAnsi"/>
          <w:szCs w:val="22"/>
        </w:rPr>
        <w:t xml:space="preserve"> and indoors</w:t>
      </w:r>
      <w:r w:rsidR="008E3A46" w:rsidRPr="00CD6E9A">
        <w:rPr>
          <w:rFonts w:asciiTheme="minorHAnsi" w:hAnsiTheme="minorHAnsi"/>
          <w:szCs w:val="22"/>
        </w:rPr>
        <w:t xml:space="preserve"> (i.e.</w:t>
      </w:r>
      <w:r w:rsidR="00004452" w:rsidRPr="00CD6E9A">
        <w:rPr>
          <w:rFonts w:asciiTheme="minorHAnsi" w:hAnsiTheme="minorHAnsi"/>
          <w:szCs w:val="22"/>
        </w:rPr>
        <w:t xml:space="preserve"> </w:t>
      </w:r>
      <w:r w:rsidR="00004452" w:rsidRPr="00CD6E9A">
        <w:rPr>
          <w:rFonts w:asciiTheme="minorHAnsi" w:hAnsiTheme="minorHAnsi"/>
          <w:snapToGrid w:val="0"/>
          <w:szCs w:val="22"/>
          <w:lang w:val="en-AU" w:eastAsia="en-US"/>
        </w:rPr>
        <w:t>reduced indoor emissions from gas cooking)</w:t>
      </w:r>
      <w:r w:rsidR="00187A62" w:rsidRPr="00CD6E9A">
        <w:rPr>
          <w:rFonts w:asciiTheme="minorHAnsi" w:hAnsiTheme="minorHAnsi"/>
          <w:szCs w:val="22"/>
        </w:rPr>
        <w:t xml:space="preserve"> </w:t>
      </w:r>
      <w:r w:rsidR="00004452" w:rsidRPr="00CD6E9A">
        <w:rPr>
          <w:rFonts w:asciiTheme="minorHAnsi" w:hAnsiTheme="minorHAnsi"/>
          <w:snapToGrid w:val="0"/>
          <w:szCs w:val="22"/>
          <w:lang w:val="en-AU" w:eastAsia="en-US"/>
        </w:rPr>
        <w:t>on modelled distributions of population exposures</w:t>
      </w:r>
      <w:r w:rsidR="0043623B" w:rsidRPr="00CD6E9A">
        <w:rPr>
          <w:rFonts w:asciiTheme="minorHAnsi" w:hAnsiTheme="minorHAnsi"/>
          <w:snapToGrid w:val="0"/>
          <w:szCs w:val="22"/>
          <w:lang w:val="en-AU" w:eastAsia="en-US"/>
        </w:rPr>
        <w:t>,</w:t>
      </w:r>
      <w:r w:rsidR="00004452" w:rsidRPr="00CD6E9A">
        <w:rPr>
          <w:rFonts w:asciiTheme="minorHAnsi" w:hAnsiTheme="minorHAnsi"/>
          <w:snapToGrid w:val="0"/>
          <w:szCs w:val="22"/>
          <w:lang w:val="en-AU" w:eastAsia="en-US"/>
        </w:rPr>
        <w:t xml:space="preserve"> </w:t>
      </w:r>
      <w:r w:rsidR="00140CCA" w:rsidRPr="00CD6E9A">
        <w:rPr>
          <w:rFonts w:asciiTheme="minorHAnsi" w:hAnsiTheme="minorHAnsi"/>
          <w:snapToGrid w:val="0"/>
          <w:szCs w:val="22"/>
          <w:lang w:val="en-AU" w:eastAsia="en-US"/>
        </w:rPr>
        <w:t>using data from the</w:t>
      </w:r>
      <w:r w:rsidR="00004452" w:rsidRPr="00CD6E9A">
        <w:rPr>
          <w:rFonts w:asciiTheme="minorHAnsi" w:hAnsiTheme="minorHAnsi"/>
          <w:snapToGrid w:val="0"/>
          <w:szCs w:val="22"/>
          <w:lang w:val="en-AU" w:eastAsia="en-US"/>
        </w:rPr>
        <w:t xml:space="preserve"> UK city of Leicester</w:t>
      </w:r>
      <w:r w:rsidR="00187A62" w:rsidRPr="00CD6E9A">
        <w:rPr>
          <w:rFonts w:asciiTheme="minorHAnsi" w:hAnsiTheme="minorHAnsi"/>
          <w:szCs w:val="22"/>
        </w:rPr>
        <w:t>.</w:t>
      </w:r>
    </w:p>
    <w:p w14:paraId="282EB5D4" w14:textId="77777777" w:rsidR="004715BC" w:rsidRPr="00CD6E9A" w:rsidRDefault="004715BC" w:rsidP="00D73D2C">
      <w:pPr>
        <w:jc w:val="both"/>
        <w:rPr>
          <w:rFonts w:asciiTheme="minorHAnsi" w:hAnsiTheme="minorHAnsi"/>
          <w:snapToGrid w:val="0"/>
          <w:szCs w:val="22"/>
          <w:lang w:val="en-AU" w:eastAsia="en-US"/>
        </w:rPr>
      </w:pPr>
    </w:p>
    <w:p w14:paraId="23024854" w14:textId="77777777" w:rsidR="004471D4" w:rsidRPr="006574F0" w:rsidRDefault="004471D4" w:rsidP="00BA29F9">
      <w:pPr>
        <w:autoSpaceDE w:val="0"/>
        <w:autoSpaceDN w:val="0"/>
        <w:adjustRightInd w:val="0"/>
        <w:jc w:val="both"/>
        <w:rPr>
          <w:rFonts w:asciiTheme="minorHAnsi" w:hAnsiTheme="minorHAnsi"/>
          <w:b/>
          <w:szCs w:val="22"/>
          <w:lang w:val="en"/>
        </w:rPr>
      </w:pPr>
    </w:p>
    <w:p w14:paraId="299D8ED7" w14:textId="77777777" w:rsidR="004471D4" w:rsidRPr="00CF4818" w:rsidRDefault="004471D4" w:rsidP="00BA29F9">
      <w:pPr>
        <w:autoSpaceDE w:val="0"/>
        <w:autoSpaceDN w:val="0"/>
        <w:adjustRightInd w:val="0"/>
        <w:jc w:val="both"/>
        <w:rPr>
          <w:rFonts w:asciiTheme="minorHAnsi" w:hAnsiTheme="minorHAnsi"/>
          <w:b/>
          <w:szCs w:val="22"/>
        </w:rPr>
      </w:pPr>
      <w:r w:rsidRPr="00CF4818">
        <w:rPr>
          <w:rFonts w:asciiTheme="minorHAnsi" w:hAnsiTheme="minorHAnsi"/>
          <w:b/>
          <w:szCs w:val="22"/>
        </w:rPr>
        <w:t xml:space="preserve">2. </w:t>
      </w:r>
      <w:r w:rsidR="00F57CFF" w:rsidRPr="00CF4818">
        <w:rPr>
          <w:rFonts w:asciiTheme="minorHAnsi" w:hAnsiTheme="minorHAnsi"/>
          <w:b/>
          <w:szCs w:val="22"/>
        </w:rPr>
        <w:tab/>
      </w:r>
      <w:r w:rsidRPr="00CF4818">
        <w:rPr>
          <w:rFonts w:asciiTheme="minorHAnsi" w:hAnsiTheme="minorHAnsi"/>
          <w:b/>
          <w:szCs w:val="22"/>
        </w:rPr>
        <w:t>Methods</w:t>
      </w:r>
    </w:p>
    <w:p w14:paraId="1C7D9D28" w14:textId="77777777" w:rsidR="004471D4" w:rsidRPr="00CF4818" w:rsidRDefault="004471D4" w:rsidP="00BA29F9">
      <w:pPr>
        <w:jc w:val="both"/>
        <w:rPr>
          <w:rFonts w:asciiTheme="minorHAnsi" w:hAnsiTheme="minorHAnsi"/>
          <w:b/>
          <w:szCs w:val="22"/>
        </w:rPr>
      </w:pPr>
    </w:p>
    <w:p w14:paraId="1A02D336" w14:textId="77777777" w:rsidR="004471D4" w:rsidRPr="00CF4818" w:rsidRDefault="004471D4" w:rsidP="0029470C">
      <w:pPr>
        <w:jc w:val="both"/>
        <w:rPr>
          <w:rFonts w:asciiTheme="minorHAnsi" w:hAnsiTheme="minorHAnsi"/>
          <w:b/>
          <w:szCs w:val="22"/>
        </w:rPr>
      </w:pPr>
      <w:r w:rsidRPr="00CF4818">
        <w:rPr>
          <w:rFonts w:asciiTheme="minorHAnsi" w:hAnsiTheme="minorHAnsi"/>
          <w:b/>
          <w:szCs w:val="22"/>
        </w:rPr>
        <w:t xml:space="preserve">2.1 </w:t>
      </w:r>
      <w:r w:rsidR="00F57CFF" w:rsidRPr="00CF4818">
        <w:rPr>
          <w:rFonts w:asciiTheme="minorHAnsi" w:hAnsiTheme="minorHAnsi"/>
          <w:b/>
          <w:szCs w:val="22"/>
        </w:rPr>
        <w:tab/>
      </w:r>
      <w:r w:rsidR="0029470C" w:rsidRPr="00CF4818">
        <w:rPr>
          <w:rFonts w:asciiTheme="minorHAnsi" w:hAnsiTheme="minorHAnsi"/>
          <w:b/>
          <w:szCs w:val="22"/>
        </w:rPr>
        <w:t xml:space="preserve">Overview </w:t>
      </w:r>
      <w:r w:rsidR="00704B8E">
        <w:rPr>
          <w:rFonts w:asciiTheme="minorHAnsi" w:hAnsiTheme="minorHAnsi"/>
          <w:b/>
          <w:szCs w:val="22"/>
        </w:rPr>
        <w:t>of exposure model (EXPAIR)</w:t>
      </w:r>
    </w:p>
    <w:p w14:paraId="796D839F" w14:textId="77777777" w:rsidR="0029470C" w:rsidRPr="00CF4818" w:rsidRDefault="0029470C" w:rsidP="0029470C">
      <w:pPr>
        <w:jc w:val="both"/>
        <w:rPr>
          <w:rFonts w:asciiTheme="minorHAnsi" w:hAnsiTheme="minorHAnsi"/>
          <w:szCs w:val="22"/>
        </w:rPr>
      </w:pPr>
    </w:p>
    <w:p w14:paraId="795F7620" w14:textId="2243E763" w:rsidR="004471D4" w:rsidRPr="00CD6E9A" w:rsidRDefault="0043623B" w:rsidP="00BA29F9">
      <w:pPr>
        <w:autoSpaceDE w:val="0"/>
        <w:autoSpaceDN w:val="0"/>
        <w:adjustRightInd w:val="0"/>
        <w:jc w:val="both"/>
        <w:rPr>
          <w:rFonts w:asciiTheme="minorHAnsi" w:hAnsiTheme="minorHAnsi"/>
          <w:szCs w:val="22"/>
        </w:rPr>
      </w:pPr>
      <w:r w:rsidRPr="00CD6E9A">
        <w:rPr>
          <w:rFonts w:asciiTheme="minorHAnsi" w:hAnsiTheme="minorHAnsi"/>
          <w:szCs w:val="22"/>
        </w:rPr>
        <w:t xml:space="preserve">The probabilistic population exposure model EXPAIR combines the outputs from the probabilistic </w:t>
      </w:r>
      <w:r w:rsidRPr="00CD6E9A">
        <w:rPr>
          <w:rFonts w:asciiTheme="minorHAnsi" w:hAnsiTheme="minorHAnsi"/>
          <w:snapToGrid w:val="0"/>
          <w:szCs w:val="22"/>
          <w:lang w:val="en-AU" w:eastAsia="en-US"/>
        </w:rPr>
        <w:t xml:space="preserve">micro-environmental model INDAIR-2 with </w:t>
      </w:r>
      <w:r w:rsidR="00A94299" w:rsidRPr="00CD6E9A">
        <w:rPr>
          <w:rFonts w:asciiTheme="minorHAnsi" w:hAnsiTheme="minorHAnsi"/>
          <w:snapToGrid w:val="0"/>
          <w:szCs w:val="22"/>
          <w:lang w:val="en-AU" w:eastAsia="en-US"/>
        </w:rPr>
        <w:t xml:space="preserve">the </w:t>
      </w:r>
      <w:r w:rsidRPr="00CD6E9A">
        <w:rPr>
          <w:rFonts w:asciiTheme="minorHAnsi" w:hAnsiTheme="minorHAnsi"/>
          <w:snapToGrid w:val="0"/>
          <w:szCs w:val="22"/>
          <w:lang w:val="en-AU" w:eastAsia="en-US"/>
        </w:rPr>
        <w:t>time</w:t>
      </w:r>
      <w:r w:rsidR="00BD730C" w:rsidRPr="00CD6E9A">
        <w:rPr>
          <w:rFonts w:asciiTheme="minorHAnsi" w:hAnsiTheme="minorHAnsi"/>
          <w:snapToGrid w:val="0"/>
          <w:szCs w:val="22"/>
          <w:lang w:val="en-AU" w:eastAsia="en-US"/>
        </w:rPr>
        <w:t>-</w:t>
      </w:r>
      <w:r w:rsidRPr="00CD6E9A">
        <w:rPr>
          <w:rFonts w:asciiTheme="minorHAnsi" w:hAnsiTheme="minorHAnsi"/>
          <w:snapToGrid w:val="0"/>
          <w:szCs w:val="22"/>
          <w:lang w:val="en-AU" w:eastAsia="en-US"/>
        </w:rPr>
        <w:t>activity</w:t>
      </w:r>
      <w:r w:rsidR="00BD730C" w:rsidRPr="00CD6E9A">
        <w:rPr>
          <w:rFonts w:asciiTheme="minorHAnsi" w:hAnsiTheme="minorHAnsi"/>
          <w:snapToGrid w:val="0"/>
          <w:szCs w:val="22"/>
          <w:lang w:val="en-AU" w:eastAsia="en-US"/>
        </w:rPr>
        <w:t>-location</w:t>
      </w:r>
      <w:r w:rsidRPr="00CD6E9A">
        <w:rPr>
          <w:rFonts w:asciiTheme="minorHAnsi" w:hAnsiTheme="minorHAnsi"/>
          <w:snapToGrid w:val="0"/>
          <w:szCs w:val="22"/>
          <w:lang w:val="en-AU" w:eastAsia="en-US"/>
        </w:rPr>
        <w:t xml:space="preserve"> profiles</w:t>
      </w:r>
      <w:r w:rsidR="00A94299" w:rsidRPr="00CD6E9A">
        <w:rPr>
          <w:rFonts w:asciiTheme="minorHAnsi" w:hAnsiTheme="minorHAnsi"/>
          <w:snapToGrid w:val="0"/>
          <w:szCs w:val="22"/>
          <w:lang w:val="en-AU" w:eastAsia="en-US"/>
        </w:rPr>
        <w:t xml:space="preserve"> of population groups</w:t>
      </w:r>
      <w:r w:rsidR="00BD730C" w:rsidRPr="00CD6E9A">
        <w:rPr>
          <w:rFonts w:asciiTheme="minorHAnsi" w:hAnsiTheme="minorHAnsi"/>
          <w:snapToGrid w:val="0"/>
          <w:szCs w:val="22"/>
          <w:lang w:val="en-AU" w:eastAsia="en-US"/>
        </w:rPr>
        <w:t xml:space="preserve"> within a city</w:t>
      </w:r>
      <w:r w:rsidRPr="00CD6E9A">
        <w:rPr>
          <w:rFonts w:asciiTheme="minorHAnsi" w:hAnsiTheme="minorHAnsi"/>
          <w:snapToGrid w:val="0"/>
          <w:szCs w:val="22"/>
          <w:lang w:val="en-AU" w:eastAsia="en-US"/>
        </w:rPr>
        <w:t>. Thus t</w:t>
      </w:r>
      <w:r w:rsidR="004471D4" w:rsidRPr="00CD6E9A">
        <w:rPr>
          <w:rFonts w:asciiTheme="minorHAnsi" w:hAnsiTheme="minorHAnsi"/>
          <w:szCs w:val="22"/>
        </w:rPr>
        <w:t>he inputs to EXPAIR are:</w:t>
      </w:r>
      <w:r w:rsidR="00F10DB7" w:rsidRPr="00CD6E9A">
        <w:rPr>
          <w:rFonts w:asciiTheme="minorHAnsi" w:hAnsiTheme="minorHAnsi"/>
          <w:szCs w:val="22"/>
        </w:rPr>
        <w:t>-</w:t>
      </w:r>
    </w:p>
    <w:p w14:paraId="5DF79B93" w14:textId="1AE8564C" w:rsidR="00974D79" w:rsidRPr="00CD6E9A" w:rsidRDefault="00140CCA" w:rsidP="00974D79">
      <w:pPr>
        <w:numPr>
          <w:ilvl w:val="0"/>
          <w:numId w:val="2"/>
        </w:numPr>
        <w:jc w:val="both"/>
        <w:rPr>
          <w:rFonts w:asciiTheme="minorHAnsi" w:hAnsiTheme="minorHAnsi"/>
          <w:snapToGrid w:val="0"/>
          <w:szCs w:val="22"/>
          <w:lang w:val="en-AU" w:eastAsia="en-US"/>
        </w:rPr>
      </w:pPr>
      <w:r w:rsidRPr="00CD6E9A">
        <w:rPr>
          <w:rFonts w:asciiTheme="minorHAnsi" w:hAnsiTheme="minorHAnsi"/>
          <w:snapToGrid w:val="0"/>
          <w:szCs w:val="22"/>
          <w:lang w:val="en-AU" w:eastAsia="en-US"/>
        </w:rPr>
        <w:t>A</w:t>
      </w:r>
      <w:r w:rsidR="00974D79" w:rsidRPr="00CD6E9A">
        <w:rPr>
          <w:rFonts w:asciiTheme="minorHAnsi" w:hAnsiTheme="minorHAnsi"/>
          <w:snapToGrid w:val="0"/>
          <w:szCs w:val="22"/>
          <w:lang w:val="en-AU" w:eastAsia="en-US"/>
        </w:rPr>
        <w:t xml:space="preserve">ir pollutant concentrations </w:t>
      </w:r>
      <w:r w:rsidRPr="00CD6E9A">
        <w:rPr>
          <w:rFonts w:asciiTheme="minorHAnsi" w:hAnsiTheme="minorHAnsi"/>
          <w:snapToGrid w:val="0"/>
          <w:szCs w:val="22"/>
          <w:lang w:val="en-AU" w:eastAsia="en-US"/>
        </w:rPr>
        <w:t>in</w:t>
      </w:r>
      <w:r w:rsidR="00974D79" w:rsidRPr="00CD6E9A">
        <w:rPr>
          <w:rFonts w:asciiTheme="minorHAnsi" w:hAnsiTheme="minorHAnsi"/>
          <w:snapToGrid w:val="0"/>
          <w:szCs w:val="22"/>
          <w:lang w:val="en-AU" w:eastAsia="en-US"/>
        </w:rPr>
        <w:t xml:space="preserve"> the MEs in which this particular group is located, throughout the day, as generated by the microenvironmental INDAIR-2 model, divided by day of the week (weekdays/weekends) and season (summer/winter)</w:t>
      </w:r>
      <w:r w:rsidR="00265C2B" w:rsidRPr="00CD6E9A">
        <w:rPr>
          <w:rFonts w:asciiTheme="minorHAnsi" w:hAnsiTheme="minorHAnsi"/>
          <w:snapToGrid w:val="0"/>
          <w:szCs w:val="22"/>
          <w:lang w:val="en-AU" w:eastAsia="en-US"/>
        </w:rPr>
        <w:t>. See below, and Section 3.1 for the specific methods for generating these profiles</w:t>
      </w:r>
      <w:r w:rsidR="00974D79" w:rsidRPr="00CD6E9A">
        <w:rPr>
          <w:rFonts w:asciiTheme="minorHAnsi" w:hAnsiTheme="minorHAnsi"/>
          <w:snapToGrid w:val="0"/>
          <w:szCs w:val="22"/>
          <w:lang w:val="en-AU" w:eastAsia="en-US"/>
        </w:rPr>
        <w:t>.</w:t>
      </w:r>
    </w:p>
    <w:p w14:paraId="5E43A422" w14:textId="1291B643" w:rsidR="004471D4" w:rsidRPr="00CD6E9A" w:rsidRDefault="004471D4" w:rsidP="00BA29F9">
      <w:pPr>
        <w:numPr>
          <w:ilvl w:val="0"/>
          <w:numId w:val="2"/>
        </w:numPr>
        <w:jc w:val="both"/>
        <w:rPr>
          <w:rFonts w:asciiTheme="minorHAnsi" w:hAnsiTheme="minorHAnsi"/>
          <w:snapToGrid w:val="0"/>
          <w:szCs w:val="22"/>
          <w:lang w:val="en-AU" w:eastAsia="en-US"/>
        </w:rPr>
      </w:pPr>
      <w:r w:rsidRPr="00CD6E9A">
        <w:rPr>
          <w:rFonts w:asciiTheme="minorHAnsi" w:hAnsiTheme="minorHAnsi"/>
          <w:snapToGrid w:val="0"/>
          <w:szCs w:val="22"/>
          <w:lang w:eastAsia="en-US"/>
        </w:rPr>
        <w:t>T</w:t>
      </w:r>
      <w:r w:rsidRPr="00CD6E9A">
        <w:rPr>
          <w:rFonts w:asciiTheme="minorHAnsi" w:hAnsiTheme="minorHAnsi"/>
          <w:snapToGrid w:val="0"/>
          <w:szCs w:val="22"/>
          <w:lang w:val="en-AU" w:eastAsia="en-US"/>
        </w:rPr>
        <w:t>ime-activity</w:t>
      </w:r>
      <w:r w:rsidR="00BD730C" w:rsidRPr="00CD6E9A">
        <w:rPr>
          <w:rFonts w:asciiTheme="minorHAnsi" w:hAnsiTheme="minorHAnsi"/>
          <w:snapToGrid w:val="0"/>
          <w:szCs w:val="22"/>
          <w:lang w:val="en-AU" w:eastAsia="en-US"/>
        </w:rPr>
        <w:t>-location</w:t>
      </w:r>
      <w:r w:rsidRPr="00CD6E9A">
        <w:rPr>
          <w:rFonts w:asciiTheme="minorHAnsi" w:hAnsiTheme="minorHAnsi"/>
          <w:snapToGrid w:val="0"/>
          <w:szCs w:val="22"/>
          <w:lang w:val="en-AU" w:eastAsia="en-US"/>
        </w:rPr>
        <w:t xml:space="preserve"> patterns </w:t>
      </w:r>
      <w:r w:rsidR="00BD730C" w:rsidRPr="00CD6E9A">
        <w:rPr>
          <w:rFonts w:asciiTheme="minorHAnsi" w:hAnsiTheme="minorHAnsi"/>
          <w:snapToGrid w:val="0"/>
          <w:szCs w:val="22"/>
          <w:lang w:val="en-AU" w:eastAsia="en-US"/>
        </w:rPr>
        <w:t xml:space="preserve">over the course of a day </w:t>
      </w:r>
      <w:r w:rsidRPr="00CD6E9A">
        <w:rPr>
          <w:rFonts w:asciiTheme="minorHAnsi" w:hAnsiTheme="minorHAnsi"/>
          <w:snapToGrid w:val="0"/>
          <w:szCs w:val="22"/>
          <w:lang w:val="en-AU" w:eastAsia="en-US"/>
        </w:rPr>
        <w:t>for each population gro</w:t>
      </w:r>
      <w:r w:rsidR="00E03C5D" w:rsidRPr="00CD6E9A">
        <w:rPr>
          <w:rFonts w:asciiTheme="minorHAnsi" w:hAnsiTheme="minorHAnsi"/>
          <w:snapToGrid w:val="0"/>
          <w:szCs w:val="22"/>
          <w:lang w:val="en-AU" w:eastAsia="en-US"/>
        </w:rPr>
        <w:t xml:space="preserve">up, </w:t>
      </w:r>
      <w:r w:rsidR="00BD730C" w:rsidRPr="00CD6E9A">
        <w:rPr>
          <w:rFonts w:asciiTheme="minorHAnsi" w:hAnsiTheme="minorHAnsi"/>
          <w:snapToGrid w:val="0"/>
          <w:szCs w:val="22"/>
          <w:lang w:val="en-AU" w:eastAsia="en-US"/>
        </w:rPr>
        <w:t>divided by day of the week (</w:t>
      </w:r>
      <w:r w:rsidRPr="00CD6E9A">
        <w:rPr>
          <w:rFonts w:asciiTheme="minorHAnsi" w:hAnsiTheme="minorHAnsi"/>
          <w:snapToGrid w:val="0"/>
          <w:szCs w:val="22"/>
          <w:lang w:val="en-AU" w:eastAsia="en-US"/>
        </w:rPr>
        <w:t>weekday</w:t>
      </w:r>
      <w:r w:rsidR="00E03C5D" w:rsidRPr="00CD6E9A">
        <w:rPr>
          <w:rFonts w:asciiTheme="minorHAnsi" w:hAnsiTheme="minorHAnsi"/>
          <w:snapToGrid w:val="0"/>
          <w:szCs w:val="22"/>
          <w:lang w:val="en-AU" w:eastAsia="en-US"/>
        </w:rPr>
        <w:t>s /weekends</w:t>
      </w:r>
      <w:r w:rsidR="00BD730C" w:rsidRPr="00CD6E9A">
        <w:rPr>
          <w:rFonts w:asciiTheme="minorHAnsi" w:hAnsiTheme="minorHAnsi"/>
          <w:snapToGrid w:val="0"/>
          <w:szCs w:val="22"/>
          <w:lang w:val="en-AU" w:eastAsia="en-US"/>
        </w:rPr>
        <w:t>), and season</w:t>
      </w:r>
      <w:r w:rsidRPr="00CD6E9A">
        <w:rPr>
          <w:rFonts w:asciiTheme="minorHAnsi" w:hAnsiTheme="minorHAnsi"/>
          <w:snapToGrid w:val="0"/>
          <w:szCs w:val="22"/>
          <w:lang w:val="en-AU" w:eastAsia="en-US"/>
        </w:rPr>
        <w:t xml:space="preserve"> </w:t>
      </w:r>
      <w:r w:rsidR="00BD730C" w:rsidRPr="00CD6E9A">
        <w:rPr>
          <w:rFonts w:asciiTheme="minorHAnsi" w:hAnsiTheme="minorHAnsi"/>
          <w:snapToGrid w:val="0"/>
          <w:szCs w:val="22"/>
          <w:lang w:val="en-AU" w:eastAsia="en-US"/>
        </w:rPr>
        <w:t>(</w:t>
      </w:r>
      <w:r w:rsidRPr="00CD6E9A">
        <w:rPr>
          <w:rFonts w:asciiTheme="minorHAnsi" w:hAnsiTheme="minorHAnsi"/>
          <w:snapToGrid w:val="0"/>
          <w:szCs w:val="22"/>
          <w:lang w:val="en-AU" w:eastAsia="en-US"/>
        </w:rPr>
        <w:t>winter and summer</w:t>
      </w:r>
      <w:r w:rsidR="00BD730C" w:rsidRPr="00CD6E9A">
        <w:rPr>
          <w:rFonts w:asciiTheme="minorHAnsi" w:hAnsiTheme="minorHAnsi"/>
          <w:snapToGrid w:val="0"/>
          <w:szCs w:val="22"/>
          <w:lang w:val="en-AU" w:eastAsia="en-US"/>
        </w:rPr>
        <w:t>)</w:t>
      </w:r>
      <w:r w:rsidRPr="00CD6E9A">
        <w:rPr>
          <w:rFonts w:asciiTheme="minorHAnsi" w:hAnsiTheme="minorHAnsi"/>
          <w:snapToGrid w:val="0"/>
          <w:szCs w:val="22"/>
          <w:lang w:val="en-AU" w:eastAsia="en-US"/>
        </w:rPr>
        <w:t xml:space="preserve">, for </w:t>
      </w:r>
      <w:r w:rsidR="00BD730C" w:rsidRPr="00CD6E9A">
        <w:rPr>
          <w:rFonts w:asciiTheme="minorHAnsi" w:hAnsiTheme="minorHAnsi"/>
          <w:snapToGrid w:val="0"/>
          <w:szCs w:val="22"/>
          <w:lang w:val="en-AU" w:eastAsia="en-US"/>
        </w:rPr>
        <w:t xml:space="preserve">the </w:t>
      </w:r>
      <w:r w:rsidRPr="00CD6E9A">
        <w:rPr>
          <w:rFonts w:asciiTheme="minorHAnsi" w:hAnsiTheme="minorHAnsi"/>
          <w:snapToGrid w:val="0"/>
          <w:szCs w:val="22"/>
          <w:lang w:val="en-AU" w:eastAsia="en-US"/>
        </w:rPr>
        <w:t xml:space="preserve">selected </w:t>
      </w:r>
      <w:r w:rsidR="001C1378" w:rsidRPr="00CD6E9A">
        <w:rPr>
          <w:rFonts w:asciiTheme="minorHAnsi" w:hAnsiTheme="minorHAnsi"/>
          <w:snapToGrid w:val="0"/>
          <w:szCs w:val="22"/>
          <w:lang w:val="en-AU" w:eastAsia="en-US"/>
        </w:rPr>
        <w:t xml:space="preserve">micro-environments </w:t>
      </w:r>
      <w:r w:rsidRPr="00CD6E9A">
        <w:rPr>
          <w:rFonts w:asciiTheme="minorHAnsi" w:hAnsiTheme="minorHAnsi"/>
          <w:snapToGrid w:val="0"/>
          <w:szCs w:val="22"/>
          <w:lang w:val="en-AU" w:eastAsia="en-US"/>
        </w:rPr>
        <w:t>(MEs)</w:t>
      </w:r>
      <w:r w:rsidR="002B19D1" w:rsidRPr="00CD6E9A">
        <w:rPr>
          <w:rFonts w:asciiTheme="minorHAnsi" w:hAnsiTheme="minorHAnsi"/>
          <w:snapToGrid w:val="0"/>
          <w:szCs w:val="22"/>
          <w:lang w:val="en-AU" w:eastAsia="en-US"/>
        </w:rPr>
        <w:t xml:space="preserve"> (see</w:t>
      </w:r>
      <w:r w:rsidR="00F9379C" w:rsidRPr="00CD6E9A">
        <w:rPr>
          <w:rFonts w:asciiTheme="minorHAnsi" w:hAnsiTheme="minorHAnsi"/>
          <w:snapToGrid w:val="0"/>
          <w:szCs w:val="22"/>
          <w:lang w:val="en-AU" w:eastAsia="en-US"/>
        </w:rPr>
        <w:t xml:space="preserve"> </w:t>
      </w:r>
      <w:r w:rsidR="002B19D1" w:rsidRPr="00CD6E9A">
        <w:rPr>
          <w:rFonts w:asciiTheme="minorHAnsi" w:hAnsiTheme="minorHAnsi"/>
          <w:snapToGrid w:val="0"/>
          <w:szCs w:val="22"/>
          <w:lang w:val="en-AU" w:eastAsia="en-US"/>
        </w:rPr>
        <w:t>Sec</w:t>
      </w:r>
      <w:r w:rsidR="00F9379C" w:rsidRPr="00CD6E9A">
        <w:rPr>
          <w:rFonts w:asciiTheme="minorHAnsi" w:hAnsiTheme="minorHAnsi"/>
          <w:snapToGrid w:val="0"/>
          <w:szCs w:val="22"/>
          <w:lang w:val="en-AU" w:eastAsia="en-US"/>
        </w:rPr>
        <w:t>t</w:t>
      </w:r>
      <w:r w:rsidR="000559A9" w:rsidRPr="00CD6E9A">
        <w:rPr>
          <w:rFonts w:asciiTheme="minorHAnsi" w:hAnsiTheme="minorHAnsi"/>
          <w:snapToGrid w:val="0"/>
          <w:szCs w:val="22"/>
          <w:lang w:val="en-AU" w:eastAsia="en-US"/>
        </w:rPr>
        <w:t>i</w:t>
      </w:r>
      <w:r w:rsidR="002B19D1" w:rsidRPr="00CD6E9A">
        <w:rPr>
          <w:rFonts w:asciiTheme="minorHAnsi" w:hAnsiTheme="minorHAnsi"/>
          <w:snapToGrid w:val="0"/>
          <w:szCs w:val="22"/>
          <w:lang w:val="en-AU" w:eastAsia="en-US"/>
        </w:rPr>
        <w:t>on 2.2)</w:t>
      </w:r>
      <w:r w:rsidR="00140CCA" w:rsidRPr="00CD6E9A">
        <w:rPr>
          <w:rFonts w:asciiTheme="minorHAnsi" w:hAnsiTheme="minorHAnsi"/>
          <w:snapToGrid w:val="0"/>
          <w:szCs w:val="22"/>
          <w:lang w:val="en-AU" w:eastAsia="en-US"/>
        </w:rPr>
        <w:t>.</w:t>
      </w:r>
    </w:p>
    <w:p w14:paraId="1F846201" w14:textId="63D35017" w:rsidR="00BD730C" w:rsidRPr="00CD6E9A" w:rsidRDefault="00BD730C" w:rsidP="0064124A">
      <w:pPr>
        <w:jc w:val="both"/>
        <w:rPr>
          <w:rFonts w:asciiTheme="minorHAnsi" w:hAnsiTheme="minorHAnsi"/>
          <w:snapToGrid w:val="0"/>
          <w:szCs w:val="22"/>
          <w:lang w:val="en-AU" w:eastAsia="en-US"/>
        </w:rPr>
      </w:pPr>
    </w:p>
    <w:p w14:paraId="710620D6" w14:textId="12C4441A" w:rsidR="00BD730C" w:rsidRPr="00CD6E9A" w:rsidRDefault="00BD730C" w:rsidP="0064124A">
      <w:pPr>
        <w:jc w:val="both"/>
        <w:rPr>
          <w:rFonts w:asciiTheme="minorHAnsi" w:hAnsiTheme="minorHAnsi"/>
          <w:snapToGrid w:val="0"/>
          <w:szCs w:val="22"/>
          <w:lang w:val="en-AU" w:eastAsia="en-US"/>
        </w:rPr>
      </w:pPr>
      <w:r w:rsidRPr="00CD6E9A">
        <w:rPr>
          <w:rFonts w:asciiTheme="minorHAnsi" w:hAnsiTheme="minorHAnsi"/>
          <w:snapToGrid w:val="0"/>
          <w:szCs w:val="22"/>
          <w:lang w:val="en-AU" w:eastAsia="en-US"/>
        </w:rPr>
        <w:t>Both location of the population groups, and outdoor air pollutant concentrations</w:t>
      </w:r>
      <w:r w:rsidR="00820ED4" w:rsidRPr="00CD6E9A">
        <w:rPr>
          <w:rFonts w:asciiTheme="minorHAnsi" w:hAnsiTheme="minorHAnsi"/>
          <w:snapToGrid w:val="0"/>
          <w:szCs w:val="22"/>
          <w:lang w:val="en-AU" w:eastAsia="en-US"/>
        </w:rPr>
        <w:t xml:space="preserve">, which are used as input to INDAIR-2 simulations, </w:t>
      </w:r>
      <w:r w:rsidR="00974D79" w:rsidRPr="00CD6E9A">
        <w:rPr>
          <w:rFonts w:asciiTheme="minorHAnsi" w:hAnsiTheme="minorHAnsi"/>
          <w:snapToGrid w:val="0"/>
          <w:szCs w:val="22"/>
          <w:lang w:val="en-AU" w:eastAsia="en-US"/>
        </w:rPr>
        <w:t>are defined for different zones within a city, depending on land use and traffic density; for the application described in this paper, four different zones were differentiated (see Section 3</w:t>
      </w:r>
      <w:r w:rsidR="00265C2B" w:rsidRPr="00CD6E9A">
        <w:rPr>
          <w:rFonts w:asciiTheme="minorHAnsi" w:hAnsiTheme="minorHAnsi"/>
          <w:snapToGrid w:val="0"/>
          <w:szCs w:val="22"/>
          <w:lang w:val="en-AU" w:eastAsia="en-US"/>
        </w:rPr>
        <w:t xml:space="preserve"> for details</w:t>
      </w:r>
      <w:r w:rsidR="00974D79" w:rsidRPr="00CD6E9A">
        <w:rPr>
          <w:rFonts w:asciiTheme="minorHAnsi" w:hAnsiTheme="minorHAnsi"/>
          <w:snapToGrid w:val="0"/>
          <w:szCs w:val="22"/>
          <w:lang w:val="en-AU" w:eastAsia="en-US"/>
        </w:rPr>
        <w:t xml:space="preserve">).  </w:t>
      </w:r>
      <w:r w:rsidRPr="00CD6E9A">
        <w:rPr>
          <w:rFonts w:asciiTheme="minorHAnsi" w:hAnsiTheme="minorHAnsi"/>
          <w:snapToGrid w:val="0"/>
          <w:szCs w:val="22"/>
          <w:lang w:val="en-AU" w:eastAsia="en-US"/>
        </w:rPr>
        <w:t xml:space="preserve"> </w:t>
      </w:r>
    </w:p>
    <w:p w14:paraId="2029B65F" w14:textId="77777777" w:rsidR="00671132" w:rsidRPr="00CD6E9A" w:rsidRDefault="00671132" w:rsidP="00671132">
      <w:pPr>
        <w:ind w:left="360"/>
        <w:jc w:val="both"/>
        <w:rPr>
          <w:rFonts w:asciiTheme="minorHAnsi" w:hAnsiTheme="minorHAnsi"/>
          <w:snapToGrid w:val="0"/>
          <w:szCs w:val="22"/>
          <w:lang w:val="en-AU" w:eastAsia="en-US"/>
        </w:rPr>
      </w:pPr>
    </w:p>
    <w:p w14:paraId="28EE5C6F" w14:textId="602B46B7" w:rsidR="00974D79" w:rsidRPr="00CD6E9A" w:rsidRDefault="00974D79" w:rsidP="00331480">
      <w:pPr>
        <w:jc w:val="both"/>
        <w:rPr>
          <w:rFonts w:asciiTheme="minorHAnsi" w:hAnsiTheme="minorHAnsi"/>
          <w:szCs w:val="22"/>
        </w:rPr>
      </w:pPr>
      <w:r w:rsidRPr="00CD6E9A">
        <w:rPr>
          <w:rFonts w:asciiTheme="minorHAnsi" w:hAnsiTheme="minorHAnsi"/>
          <w:szCs w:val="22"/>
        </w:rPr>
        <w:t>For the simulations reported in this paper, the simulation period was 24 hours and the time</w:t>
      </w:r>
      <w:r w:rsidR="00CD6E9A" w:rsidRPr="00CD6E9A">
        <w:rPr>
          <w:rFonts w:asciiTheme="minorHAnsi" w:hAnsiTheme="minorHAnsi"/>
          <w:szCs w:val="22"/>
        </w:rPr>
        <w:t>-</w:t>
      </w:r>
      <w:r w:rsidRPr="00CD6E9A">
        <w:rPr>
          <w:rFonts w:asciiTheme="minorHAnsi" w:hAnsiTheme="minorHAnsi"/>
          <w:szCs w:val="22"/>
        </w:rPr>
        <w:t>step was 15 minutes. Model simulations follow the following stages.</w:t>
      </w:r>
    </w:p>
    <w:p w14:paraId="050DD9AF" w14:textId="77777777" w:rsidR="0064124A" w:rsidRPr="00CD6E9A" w:rsidRDefault="0064124A" w:rsidP="00331480">
      <w:pPr>
        <w:jc w:val="both"/>
        <w:rPr>
          <w:rFonts w:asciiTheme="minorHAnsi" w:hAnsiTheme="minorHAnsi"/>
          <w:snapToGrid w:val="0"/>
          <w:szCs w:val="22"/>
          <w:lang w:val="en-AU" w:eastAsia="en-US"/>
        </w:rPr>
      </w:pPr>
    </w:p>
    <w:p w14:paraId="02F8805D" w14:textId="7AB4F26F" w:rsidR="00F32E14" w:rsidRPr="00CD6E9A" w:rsidRDefault="00974D79" w:rsidP="00331480">
      <w:pPr>
        <w:jc w:val="both"/>
        <w:rPr>
          <w:rFonts w:asciiTheme="minorHAnsi" w:hAnsiTheme="minorHAnsi"/>
          <w:szCs w:val="22"/>
        </w:rPr>
      </w:pPr>
      <w:r w:rsidRPr="00CD6E9A">
        <w:rPr>
          <w:rFonts w:asciiTheme="minorHAnsi" w:hAnsiTheme="minorHAnsi"/>
          <w:snapToGrid w:val="0"/>
          <w:szCs w:val="22"/>
          <w:lang w:val="en-AU" w:eastAsia="en-US"/>
        </w:rPr>
        <w:t xml:space="preserve">1. A </w:t>
      </w:r>
      <w:r w:rsidR="004471D4" w:rsidRPr="00CD6E9A">
        <w:rPr>
          <w:rFonts w:asciiTheme="minorHAnsi" w:hAnsiTheme="minorHAnsi"/>
          <w:snapToGrid w:val="0"/>
          <w:szCs w:val="22"/>
          <w:lang w:val="en-AU" w:eastAsia="en-US"/>
        </w:rPr>
        <w:t>library of ME</w:t>
      </w:r>
      <w:r w:rsidR="001C1378" w:rsidRPr="00CD6E9A">
        <w:rPr>
          <w:rFonts w:asciiTheme="minorHAnsi" w:hAnsiTheme="minorHAnsi"/>
          <w:snapToGrid w:val="0"/>
          <w:szCs w:val="22"/>
          <w:lang w:val="en-AU" w:eastAsia="en-US"/>
        </w:rPr>
        <w:t xml:space="preserve"> concentrations</w:t>
      </w:r>
      <w:r w:rsidRPr="00CD6E9A">
        <w:rPr>
          <w:rFonts w:asciiTheme="minorHAnsi" w:hAnsiTheme="minorHAnsi"/>
          <w:snapToGrid w:val="0"/>
          <w:szCs w:val="22"/>
          <w:lang w:val="en-AU" w:eastAsia="en-US"/>
        </w:rPr>
        <w:t xml:space="preserve"> is</w:t>
      </w:r>
      <w:r w:rsidR="00257D1F" w:rsidRPr="00CD6E9A">
        <w:rPr>
          <w:rFonts w:asciiTheme="minorHAnsi" w:hAnsiTheme="minorHAnsi"/>
          <w:snapToGrid w:val="0"/>
          <w:szCs w:val="22"/>
          <w:lang w:val="en-AU" w:eastAsia="en-US"/>
        </w:rPr>
        <w:t xml:space="preserve"> </w:t>
      </w:r>
      <w:r w:rsidR="004471D4" w:rsidRPr="00CD6E9A">
        <w:rPr>
          <w:rFonts w:asciiTheme="minorHAnsi" w:hAnsiTheme="minorHAnsi"/>
          <w:snapToGrid w:val="0"/>
          <w:szCs w:val="22"/>
          <w:lang w:val="en-AU" w:eastAsia="en-US"/>
        </w:rPr>
        <w:t xml:space="preserve">generated by </w:t>
      </w:r>
      <w:r w:rsidR="00710D00" w:rsidRPr="00CD6E9A">
        <w:rPr>
          <w:rFonts w:asciiTheme="minorHAnsi" w:hAnsiTheme="minorHAnsi"/>
          <w:snapToGrid w:val="0"/>
          <w:szCs w:val="22"/>
          <w:lang w:val="en-AU" w:eastAsia="en-US"/>
        </w:rPr>
        <w:t>the new micro</w:t>
      </w:r>
      <w:r w:rsidR="00150F69" w:rsidRPr="00CD6E9A">
        <w:rPr>
          <w:rFonts w:asciiTheme="minorHAnsi" w:hAnsiTheme="minorHAnsi"/>
          <w:snapToGrid w:val="0"/>
          <w:szCs w:val="22"/>
          <w:lang w:val="en-AU" w:eastAsia="en-US"/>
        </w:rPr>
        <w:t>-</w:t>
      </w:r>
      <w:r w:rsidR="00710D00" w:rsidRPr="00CD6E9A">
        <w:rPr>
          <w:rFonts w:asciiTheme="minorHAnsi" w:hAnsiTheme="minorHAnsi"/>
          <w:snapToGrid w:val="0"/>
          <w:szCs w:val="22"/>
          <w:lang w:val="en-AU" w:eastAsia="en-US"/>
        </w:rPr>
        <w:t xml:space="preserve">environmental </w:t>
      </w:r>
      <w:r w:rsidR="00AC07A7" w:rsidRPr="00CD6E9A">
        <w:rPr>
          <w:rFonts w:asciiTheme="minorHAnsi" w:hAnsiTheme="minorHAnsi"/>
          <w:snapToGrid w:val="0"/>
          <w:szCs w:val="22"/>
          <w:lang w:val="en-AU" w:eastAsia="en-US"/>
        </w:rPr>
        <w:t xml:space="preserve">probabilistic </w:t>
      </w:r>
      <w:r w:rsidR="004471D4" w:rsidRPr="00CD6E9A">
        <w:rPr>
          <w:rFonts w:asciiTheme="minorHAnsi" w:hAnsiTheme="minorHAnsi"/>
          <w:snapToGrid w:val="0"/>
          <w:szCs w:val="22"/>
          <w:lang w:val="en-AU" w:eastAsia="en-US"/>
        </w:rPr>
        <w:t xml:space="preserve">INDAIR-2 </w:t>
      </w:r>
      <w:r w:rsidR="00710D00" w:rsidRPr="00CD6E9A">
        <w:rPr>
          <w:rFonts w:asciiTheme="minorHAnsi" w:hAnsiTheme="minorHAnsi"/>
          <w:snapToGrid w:val="0"/>
          <w:szCs w:val="22"/>
          <w:lang w:val="en-AU" w:eastAsia="en-US"/>
        </w:rPr>
        <w:t>model</w:t>
      </w:r>
      <w:r w:rsidRPr="00CD6E9A">
        <w:rPr>
          <w:rFonts w:asciiTheme="minorHAnsi" w:hAnsiTheme="minorHAnsi"/>
          <w:snapToGrid w:val="0"/>
          <w:szCs w:val="22"/>
          <w:lang w:val="en-AU" w:eastAsia="en-US"/>
        </w:rPr>
        <w:t xml:space="preserve"> (see </w:t>
      </w:r>
      <w:r w:rsidR="00140CCA" w:rsidRPr="00CD6E9A">
        <w:rPr>
          <w:rFonts w:asciiTheme="minorHAnsi" w:hAnsiTheme="minorHAnsi"/>
          <w:snapToGrid w:val="0"/>
          <w:szCs w:val="22"/>
          <w:lang w:val="en-AU" w:eastAsia="en-US"/>
        </w:rPr>
        <w:t xml:space="preserve">Section </w:t>
      </w:r>
      <w:r w:rsidRPr="00CD6E9A">
        <w:rPr>
          <w:rFonts w:asciiTheme="minorHAnsi" w:hAnsiTheme="minorHAnsi"/>
          <w:snapToGrid w:val="0"/>
          <w:szCs w:val="22"/>
          <w:lang w:val="en-AU" w:eastAsia="en-US"/>
        </w:rPr>
        <w:t>2.</w:t>
      </w:r>
      <w:r w:rsidR="0064124A" w:rsidRPr="00CD6E9A">
        <w:rPr>
          <w:rFonts w:asciiTheme="minorHAnsi" w:hAnsiTheme="minorHAnsi"/>
          <w:snapToGrid w:val="0"/>
          <w:szCs w:val="22"/>
          <w:lang w:val="en-AU" w:eastAsia="en-US"/>
        </w:rPr>
        <w:t>3</w:t>
      </w:r>
      <w:r w:rsidRPr="00CD6E9A">
        <w:rPr>
          <w:rFonts w:asciiTheme="minorHAnsi" w:hAnsiTheme="minorHAnsi"/>
          <w:snapToGrid w:val="0"/>
          <w:szCs w:val="22"/>
          <w:lang w:val="en-AU" w:eastAsia="en-US"/>
        </w:rPr>
        <w:t xml:space="preserve"> for details)</w:t>
      </w:r>
      <w:r w:rsidR="003F1FB3" w:rsidRPr="00CD6E9A">
        <w:rPr>
          <w:rFonts w:asciiTheme="minorHAnsi" w:hAnsiTheme="minorHAnsi"/>
          <w:snapToGrid w:val="0"/>
          <w:szCs w:val="22"/>
          <w:lang w:val="en-AU" w:eastAsia="en-US"/>
        </w:rPr>
        <w:t>.</w:t>
      </w:r>
      <w:r w:rsidR="00710D00" w:rsidRPr="00CD6E9A">
        <w:rPr>
          <w:rFonts w:asciiTheme="minorHAnsi" w:hAnsiTheme="minorHAnsi"/>
          <w:snapToGrid w:val="0"/>
          <w:szCs w:val="22"/>
          <w:lang w:val="en-AU" w:eastAsia="en-US"/>
        </w:rPr>
        <w:t xml:space="preserve"> </w:t>
      </w:r>
      <w:r w:rsidRPr="00CD6E9A">
        <w:rPr>
          <w:rFonts w:asciiTheme="minorHAnsi" w:hAnsiTheme="minorHAnsi"/>
          <w:szCs w:val="22"/>
        </w:rPr>
        <w:t xml:space="preserve">INDAIR-2 simulates residential MEs (assuming </w:t>
      </w:r>
      <w:r w:rsidR="00265C2B" w:rsidRPr="00CD6E9A">
        <w:rPr>
          <w:rFonts w:asciiTheme="minorHAnsi" w:hAnsiTheme="minorHAnsi"/>
          <w:szCs w:val="22"/>
        </w:rPr>
        <w:t xml:space="preserve">either </w:t>
      </w:r>
      <w:r w:rsidRPr="00CD6E9A">
        <w:rPr>
          <w:rFonts w:asciiTheme="minorHAnsi" w:hAnsiTheme="minorHAnsi"/>
          <w:szCs w:val="22"/>
        </w:rPr>
        <w:t xml:space="preserve">no sources, </w:t>
      </w:r>
      <w:r w:rsidR="00265C2B" w:rsidRPr="00CD6E9A">
        <w:rPr>
          <w:rFonts w:asciiTheme="minorHAnsi" w:hAnsiTheme="minorHAnsi"/>
          <w:szCs w:val="22"/>
        </w:rPr>
        <w:t xml:space="preserve">or </w:t>
      </w:r>
      <w:r w:rsidRPr="00CD6E9A">
        <w:rPr>
          <w:rFonts w:asciiTheme="minorHAnsi" w:hAnsiTheme="minorHAnsi"/>
          <w:szCs w:val="22"/>
        </w:rPr>
        <w:t>cooking and smoking activity) and non-residential MEs, simultaneously</w:t>
      </w:r>
      <w:r w:rsidR="00820ED4" w:rsidRPr="00CD6E9A">
        <w:rPr>
          <w:rFonts w:asciiTheme="minorHAnsi" w:hAnsiTheme="minorHAnsi"/>
          <w:szCs w:val="22"/>
        </w:rPr>
        <w:t xml:space="preserve">. In these runs, the pollutant concentrations in each ME are simulated at each time step from outdoor concentrations and indoor activity, using regression coefficients which are defined as a frequency distribution. Outdoor concentrations at each step are also defined as a frequency distribution for the relevant season and day of the week. </w:t>
      </w:r>
      <w:r w:rsidR="00A879E7" w:rsidRPr="00CD6E9A">
        <w:rPr>
          <w:rFonts w:asciiTheme="minorHAnsi" w:hAnsiTheme="minorHAnsi"/>
          <w:szCs w:val="22"/>
        </w:rPr>
        <w:t xml:space="preserve">Using a large number of iterations (1000, to stabilise the results), the INDAIR-2 model randomly generates values from these distributions to predict the pollutant concentrations in each ME. </w:t>
      </w:r>
      <w:r w:rsidR="00331480" w:rsidRPr="00CD6E9A">
        <w:rPr>
          <w:rFonts w:asciiTheme="minorHAnsi" w:hAnsiTheme="minorHAnsi"/>
          <w:szCs w:val="22"/>
        </w:rPr>
        <w:t>Based on these results, a library with the daily profile</w:t>
      </w:r>
      <w:r w:rsidR="002A62FC" w:rsidRPr="00CD6E9A">
        <w:rPr>
          <w:rFonts w:asciiTheme="minorHAnsi" w:hAnsiTheme="minorHAnsi"/>
          <w:szCs w:val="22"/>
        </w:rPr>
        <w:t>s</w:t>
      </w:r>
      <w:r w:rsidR="00331480" w:rsidRPr="00CD6E9A">
        <w:rPr>
          <w:rFonts w:asciiTheme="minorHAnsi" w:hAnsiTheme="minorHAnsi"/>
          <w:szCs w:val="22"/>
        </w:rPr>
        <w:t xml:space="preserve"> of </w:t>
      </w:r>
      <w:r w:rsidR="00D53E1C" w:rsidRPr="00CD6E9A">
        <w:rPr>
          <w:rFonts w:asciiTheme="minorHAnsi" w:hAnsiTheme="minorHAnsi"/>
          <w:szCs w:val="22"/>
        </w:rPr>
        <w:t xml:space="preserve">the </w:t>
      </w:r>
      <w:r w:rsidR="002A62FC" w:rsidRPr="00CD6E9A">
        <w:rPr>
          <w:rFonts w:asciiTheme="minorHAnsi" w:hAnsiTheme="minorHAnsi"/>
          <w:szCs w:val="22"/>
        </w:rPr>
        <w:t xml:space="preserve">air </w:t>
      </w:r>
      <w:r w:rsidR="00331480" w:rsidRPr="00CD6E9A">
        <w:rPr>
          <w:rFonts w:asciiTheme="minorHAnsi" w:hAnsiTheme="minorHAnsi"/>
          <w:szCs w:val="22"/>
        </w:rPr>
        <w:t xml:space="preserve">pollutant in each ME is constructed, expressed as a frequency distribution (mean, s.d.), at each 15-min interval. These daily </w:t>
      </w:r>
      <w:r w:rsidR="002A62FC" w:rsidRPr="00CD6E9A">
        <w:rPr>
          <w:rFonts w:asciiTheme="minorHAnsi" w:hAnsiTheme="minorHAnsi"/>
          <w:szCs w:val="22"/>
        </w:rPr>
        <w:t xml:space="preserve">air pollutant </w:t>
      </w:r>
      <w:r w:rsidR="00331480" w:rsidRPr="00CD6E9A">
        <w:rPr>
          <w:rFonts w:asciiTheme="minorHAnsi" w:hAnsiTheme="minorHAnsi"/>
          <w:szCs w:val="22"/>
        </w:rPr>
        <w:t xml:space="preserve">profiles are then used as inputs into the EXPAIR personal exposure model. </w:t>
      </w:r>
    </w:p>
    <w:p w14:paraId="6045EFD3" w14:textId="77777777" w:rsidR="0064124A" w:rsidRPr="00CD6E9A" w:rsidRDefault="0064124A" w:rsidP="0064124A">
      <w:pPr>
        <w:jc w:val="both"/>
        <w:rPr>
          <w:rFonts w:asciiTheme="minorHAnsi" w:hAnsiTheme="minorHAnsi"/>
          <w:szCs w:val="22"/>
        </w:rPr>
      </w:pPr>
    </w:p>
    <w:p w14:paraId="356AB1E5" w14:textId="0E833BF5" w:rsidR="0064124A" w:rsidRPr="00CD6E9A" w:rsidRDefault="0064124A" w:rsidP="0064124A">
      <w:pPr>
        <w:jc w:val="both"/>
        <w:rPr>
          <w:rFonts w:asciiTheme="minorHAnsi" w:hAnsiTheme="minorHAnsi"/>
          <w:b/>
          <w:szCs w:val="22"/>
        </w:rPr>
      </w:pPr>
      <w:r w:rsidRPr="00CD6E9A">
        <w:rPr>
          <w:rFonts w:asciiTheme="minorHAnsi" w:hAnsiTheme="minorHAnsi"/>
          <w:szCs w:val="22"/>
        </w:rPr>
        <w:t xml:space="preserve">For a city specific application, the INDAIR-2/EXPAIR modelling framework allows the different outdoor </w:t>
      </w:r>
      <w:r w:rsidR="00265C2B" w:rsidRPr="00CD6E9A">
        <w:rPr>
          <w:rFonts w:asciiTheme="minorHAnsi" w:hAnsiTheme="minorHAnsi"/>
          <w:szCs w:val="22"/>
        </w:rPr>
        <w:t xml:space="preserve">concentrations, </w:t>
      </w:r>
      <w:r w:rsidRPr="00CD6E9A">
        <w:rPr>
          <w:rFonts w:asciiTheme="minorHAnsi" w:hAnsiTheme="minorHAnsi"/>
          <w:szCs w:val="22"/>
        </w:rPr>
        <w:t>in different zones across the city, and the mobility of the population across zones during the day, to be accounted for. In the application described in this paper, we used an analysis of traffic density and fleet composition on the urban road network to d</w:t>
      </w:r>
      <w:r w:rsidR="00230497" w:rsidRPr="00CD6E9A">
        <w:rPr>
          <w:rFonts w:asciiTheme="minorHAnsi" w:hAnsiTheme="minorHAnsi"/>
          <w:szCs w:val="22"/>
        </w:rPr>
        <w:t>istinguish</w:t>
      </w:r>
      <w:r w:rsidRPr="00CD6E9A">
        <w:rPr>
          <w:rFonts w:asciiTheme="minorHAnsi" w:hAnsiTheme="minorHAnsi"/>
          <w:szCs w:val="22"/>
        </w:rPr>
        <w:t xml:space="preserve"> four distinct zones with different outdoor NO</w:t>
      </w:r>
      <w:r w:rsidRPr="00CD6E9A">
        <w:rPr>
          <w:rFonts w:asciiTheme="minorHAnsi" w:hAnsiTheme="minorHAnsi"/>
          <w:szCs w:val="22"/>
          <w:vertAlign w:val="subscript"/>
        </w:rPr>
        <w:t>2</w:t>
      </w:r>
      <w:r w:rsidRPr="00CD6E9A">
        <w:rPr>
          <w:rFonts w:asciiTheme="minorHAnsi" w:hAnsiTheme="minorHAnsi"/>
          <w:szCs w:val="22"/>
        </w:rPr>
        <w:t xml:space="preserve"> levels (see </w:t>
      </w:r>
      <w:r w:rsidR="00140CCA" w:rsidRPr="00CD6E9A">
        <w:rPr>
          <w:rFonts w:asciiTheme="minorHAnsi" w:hAnsiTheme="minorHAnsi"/>
          <w:szCs w:val="22"/>
        </w:rPr>
        <w:t xml:space="preserve">Section </w:t>
      </w:r>
      <w:r w:rsidRPr="00CD6E9A">
        <w:rPr>
          <w:rFonts w:asciiTheme="minorHAnsi" w:hAnsiTheme="minorHAnsi"/>
          <w:szCs w:val="22"/>
        </w:rPr>
        <w:t>3.1), but other methods of defining zones could be employed. We</w:t>
      </w:r>
      <w:r w:rsidR="00230497" w:rsidRPr="00CD6E9A">
        <w:rPr>
          <w:rFonts w:asciiTheme="minorHAnsi" w:hAnsiTheme="minorHAnsi"/>
          <w:szCs w:val="22"/>
        </w:rPr>
        <w:t xml:space="preserve"> used</w:t>
      </w:r>
      <w:r w:rsidRPr="00CD6E9A">
        <w:rPr>
          <w:rFonts w:asciiTheme="minorHAnsi" w:hAnsiTheme="minorHAnsi"/>
          <w:szCs w:val="22"/>
        </w:rPr>
        <w:t xml:space="preserve"> outdoor measurement data for one particular year, although multi-year data or modelling predictions could also be used as input to INDAIR-2/EXPAIR. Within each zone, outdoor concentrations, for each day of the week and each season, were defined for each hour as the frequency distributions of all the relevant days with measurement in that year</w:t>
      </w:r>
      <w:r w:rsidRPr="00CD6E9A">
        <w:rPr>
          <w:rFonts w:asciiTheme="minorHAnsi" w:hAnsiTheme="minorHAnsi"/>
          <w:b/>
          <w:szCs w:val="22"/>
        </w:rPr>
        <w:t xml:space="preserve">.   </w:t>
      </w:r>
    </w:p>
    <w:p w14:paraId="79025AEE" w14:textId="77777777" w:rsidR="00F32E14" w:rsidRPr="00CD6E9A" w:rsidRDefault="00F32E14" w:rsidP="00331480">
      <w:pPr>
        <w:jc w:val="both"/>
        <w:rPr>
          <w:rFonts w:asciiTheme="minorHAnsi" w:hAnsiTheme="minorHAnsi"/>
          <w:szCs w:val="22"/>
        </w:rPr>
      </w:pPr>
    </w:p>
    <w:p w14:paraId="705F969C" w14:textId="7B49B689" w:rsidR="006375DE" w:rsidRPr="00CD6E9A" w:rsidRDefault="00820ED4" w:rsidP="00BA29F9">
      <w:pPr>
        <w:jc w:val="both"/>
        <w:rPr>
          <w:rFonts w:asciiTheme="minorHAnsi" w:hAnsiTheme="minorHAnsi"/>
          <w:snapToGrid w:val="0"/>
          <w:szCs w:val="22"/>
          <w:lang w:val="en-AU" w:eastAsia="en-US"/>
        </w:rPr>
      </w:pPr>
      <w:r w:rsidRPr="00CD6E9A">
        <w:rPr>
          <w:rFonts w:asciiTheme="minorHAnsi" w:hAnsiTheme="minorHAnsi"/>
          <w:szCs w:val="22"/>
        </w:rPr>
        <w:t xml:space="preserve">2. </w:t>
      </w:r>
      <w:r w:rsidR="00331480" w:rsidRPr="00CD6E9A">
        <w:rPr>
          <w:rFonts w:asciiTheme="minorHAnsi" w:hAnsiTheme="minorHAnsi"/>
          <w:szCs w:val="22"/>
        </w:rPr>
        <w:t xml:space="preserve">EXPAIR is then run for the </w:t>
      </w:r>
      <w:r w:rsidRPr="00CD6E9A">
        <w:rPr>
          <w:rFonts w:asciiTheme="minorHAnsi" w:hAnsiTheme="minorHAnsi"/>
          <w:szCs w:val="22"/>
        </w:rPr>
        <w:t>time-activity</w:t>
      </w:r>
      <w:r w:rsidR="00230497" w:rsidRPr="00CD6E9A">
        <w:rPr>
          <w:rFonts w:asciiTheme="minorHAnsi" w:hAnsiTheme="minorHAnsi"/>
          <w:szCs w:val="22"/>
        </w:rPr>
        <w:t>-location</w:t>
      </w:r>
      <w:r w:rsidRPr="00CD6E9A">
        <w:rPr>
          <w:rFonts w:asciiTheme="minorHAnsi" w:hAnsiTheme="minorHAnsi"/>
          <w:szCs w:val="22"/>
        </w:rPr>
        <w:t xml:space="preserve"> </w:t>
      </w:r>
      <w:r w:rsidR="00331480" w:rsidRPr="00CD6E9A">
        <w:rPr>
          <w:rFonts w:asciiTheme="minorHAnsi" w:hAnsiTheme="minorHAnsi"/>
          <w:szCs w:val="22"/>
        </w:rPr>
        <w:t xml:space="preserve">profiles </w:t>
      </w:r>
      <w:r w:rsidR="00230497" w:rsidRPr="00CD6E9A">
        <w:rPr>
          <w:rFonts w:asciiTheme="minorHAnsi" w:hAnsiTheme="minorHAnsi"/>
          <w:szCs w:val="22"/>
        </w:rPr>
        <w:t xml:space="preserve">(see Section 2.2) </w:t>
      </w:r>
      <w:r w:rsidR="00331480" w:rsidRPr="00CD6E9A">
        <w:rPr>
          <w:rFonts w:asciiTheme="minorHAnsi" w:hAnsiTheme="minorHAnsi"/>
          <w:szCs w:val="22"/>
        </w:rPr>
        <w:t xml:space="preserve">of </w:t>
      </w:r>
      <w:r w:rsidRPr="00CD6E9A">
        <w:rPr>
          <w:rFonts w:asciiTheme="minorHAnsi" w:hAnsiTheme="minorHAnsi"/>
          <w:szCs w:val="22"/>
        </w:rPr>
        <w:t xml:space="preserve">the relevant </w:t>
      </w:r>
      <w:r w:rsidR="00331480" w:rsidRPr="00CD6E9A">
        <w:rPr>
          <w:rFonts w:asciiTheme="minorHAnsi" w:hAnsiTheme="minorHAnsi"/>
          <w:szCs w:val="22"/>
        </w:rPr>
        <w:t>population group</w:t>
      </w:r>
      <w:r w:rsidRPr="00CD6E9A">
        <w:rPr>
          <w:rFonts w:asciiTheme="minorHAnsi" w:hAnsiTheme="minorHAnsi"/>
          <w:szCs w:val="22"/>
        </w:rPr>
        <w:t>, season and day of the week</w:t>
      </w:r>
      <w:r w:rsidR="00331480" w:rsidRPr="00CD6E9A">
        <w:rPr>
          <w:rFonts w:asciiTheme="minorHAnsi" w:hAnsiTheme="minorHAnsi"/>
          <w:szCs w:val="22"/>
        </w:rPr>
        <w:t>, to produce frequency distributions of exposure (PEFDs)</w:t>
      </w:r>
      <w:r w:rsidRPr="00CD6E9A">
        <w:rPr>
          <w:rFonts w:asciiTheme="minorHAnsi" w:hAnsiTheme="minorHAnsi"/>
          <w:szCs w:val="22"/>
        </w:rPr>
        <w:t xml:space="preserve"> across the population at each time-step</w:t>
      </w:r>
      <w:r w:rsidR="00331480" w:rsidRPr="00CD6E9A">
        <w:rPr>
          <w:rFonts w:asciiTheme="minorHAnsi" w:hAnsiTheme="minorHAnsi"/>
          <w:szCs w:val="22"/>
        </w:rPr>
        <w:t xml:space="preserve">. </w:t>
      </w:r>
      <w:r w:rsidRPr="00CD6E9A">
        <w:rPr>
          <w:rFonts w:asciiTheme="minorHAnsi" w:hAnsiTheme="minorHAnsi"/>
          <w:szCs w:val="22"/>
        </w:rPr>
        <w:t xml:space="preserve">At each time-step, </w:t>
      </w:r>
      <w:r w:rsidR="00481272" w:rsidRPr="00CD6E9A">
        <w:rPr>
          <w:rFonts w:asciiTheme="minorHAnsi" w:hAnsiTheme="minorHAnsi"/>
          <w:szCs w:val="22"/>
        </w:rPr>
        <w:t xml:space="preserve">EXPAIR </w:t>
      </w:r>
      <w:r w:rsidR="00380EEF" w:rsidRPr="00CD6E9A">
        <w:rPr>
          <w:rFonts w:asciiTheme="minorHAnsi" w:hAnsiTheme="minorHAnsi"/>
          <w:snapToGrid w:val="0"/>
          <w:szCs w:val="22"/>
          <w:lang w:val="en-AU" w:eastAsia="en-US"/>
        </w:rPr>
        <w:t xml:space="preserve">randomly selects </w:t>
      </w:r>
      <w:r w:rsidR="006375DE" w:rsidRPr="00CD6E9A">
        <w:rPr>
          <w:rFonts w:asciiTheme="minorHAnsi" w:hAnsiTheme="minorHAnsi"/>
          <w:snapToGrid w:val="0"/>
          <w:szCs w:val="22"/>
          <w:lang w:val="en-AU" w:eastAsia="en-US"/>
        </w:rPr>
        <w:t>1000</w:t>
      </w:r>
      <w:r w:rsidR="004471D4" w:rsidRPr="00CD6E9A">
        <w:rPr>
          <w:rFonts w:asciiTheme="minorHAnsi" w:hAnsiTheme="minorHAnsi"/>
          <w:snapToGrid w:val="0"/>
          <w:szCs w:val="22"/>
          <w:lang w:val="en-AU" w:eastAsia="en-US"/>
        </w:rPr>
        <w:t xml:space="preserve"> pollutant concentration</w:t>
      </w:r>
      <w:r w:rsidR="006375DE" w:rsidRPr="00CD6E9A">
        <w:rPr>
          <w:rFonts w:asciiTheme="minorHAnsi" w:hAnsiTheme="minorHAnsi"/>
          <w:snapToGrid w:val="0"/>
          <w:szCs w:val="22"/>
          <w:lang w:val="en-AU" w:eastAsia="en-US"/>
        </w:rPr>
        <w:t>s</w:t>
      </w:r>
      <w:r w:rsidR="004471D4" w:rsidRPr="00CD6E9A">
        <w:rPr>
          <w:rFonts w:asciiTheme="minorHAnsi" w:hAnsiTheme="minorHAnsi"/>
          <w:snapToGrid w:val="0"/>
          <w:szCs w:val="22"/>
          <w:lang w:val="en-AU" w:eastAsia="en-US"/>
        </w:rPr>
        <w:t xml:space="preserve"> from th</w:t>
      </w:r>
      <w:r w:rsidR="00150F69" w:rsidRPr="00CD6E9A">
        <w:rPr>
          <w:rFonts w:asciiTheme="minorHAnsi" w:hAnsiTheme="minorHAnsi"/>
          <w:snapToGrid w:val="0"/>
          <w:szCs w:val="22"/>
          <w:lang w:val="en-AU" w:eastAsia="en-US"/>
        </w:rPr>
        <w:t>e INDAIR-2</w:t>
      </w:r>
      <w:r w:rsidR="004471D4" w:rsidRPr="00CD6E9A">
        <w:rPr>
          <w:rFonts w:asciiTheme="minorHAnsi" w:hAnsiTheme="minorHAnsi"/>
          <w:snapToGrid w:val="0"/>
          <w:szCs w:val="22"/>
          <w:lang w:val="en-AU" w:eastAsia="en-US"/>
        </w:rPr>
        <w:t xml:space="preserve"> concentration frequency distribution</w:t>
      </w:r>
      <w:r w:rsidR="006375DE" w:rsidRPr="00CD6E9A">
        <w:rPr>
          <w:rFonts w:asciiTheme="minorHAnsi" w:hAnsiTheme="minorHAnsi"/>
          <w:snapToGrid w:val="0"/>
          <w:szCs w:val="22"/>
          <w:lang w:val="en-AU" w:eastAsia="en-US"/>
        </w:rPr>
        <w:t>s</w:t>
      </w:r>
      <w:r w:rsidR="004471D4" w:rsidRPr="00CD6E9A">
        <w:rPr>
          <w:rFonts w:asciiTheme="minorHAnsi" w:hAnsiTheme="minorHAnsi"/>
          <w:snapToGrid w:val="0"/>
          <w:szCs w:val="22"/>
          <w:lang w:val="en-AU" w:eastAsia="en-US"/>
        </w:rPr>
        <w:t>. The number of times that EXPAIR is linked to each ME depends on the time</w:t>
      </w:r>
      <w:r w:rsidR="00B2546A" w:rsidRPr="00CD6E9A">
        <w:rPr>
          <w:rFonts w:asciiTheme="minorHAnsi" w:hAnsiTheme="minorHAnsi"/>
          <w:snapToGrid w:val="0"/>
          <w:szCs w:val="22"/>
          <w:lang w:val="en-AU" w:eastAsia="en-US"/>
        </w:rPr>
        <w:t>-</w:t>
      </w:r>
      <w:r w:rsidR="00257D1F" w:rsidRPr="00CD6E9A">
        <w:rPr>
          <w:rFonts w:asciiTheme="minorHAnsi" w:hAnsiTheme="minorHAnsi"/>
          <w:snapToGrid w:val="0"/>
          <w:szCs w:val="22"/>
          <w:lang w:val="en-AU" w:eastAsia="en-US"/>
        </w:rPr>
        <w:t>activity</w:t>
      </w:r>
      <w:r w:rsidR="006375DE" w:rsidRPr="00CD6E9A">
        <w:rPr>
          <w:rFonts w:asciiTheme="minorHAnsi" w:hAnsiTheme="minorHAnsi"/>
          <w:snapToGrid w:val="0"/>
          <w:szCs w:val="22"/>
          <w:lang w:val="en-AU" w:eastAsia="en-US"/>
        </w:rPr>
        <w:t>-location</w:t>
      </w:r>
      <w:r w:rsidR="00257D1F" w:rsidRPr="00CD6E9A">
        <w:rPr>
          <w:rFonts w:asciiTheme="minorHAnsi" w:hAnsiTheme="minorHAnsi"/>
          <w:snapToGrid w:val="0"/>
          <w:szCs w:val="22"/>
          <w:lang w:val="en-AU" w:eastAsia="en-US"/>
        </w:rPr>
        <w:t xml:space="preserve"> profiles</w:t>
      </w:r>
      <w:r w:rsidR="004471D4" w:rsidRPr="00CD6E9A">
        <w:rPr>
          <w:rFonts w:asciiTheme="minorHAnsi" w:hAnsiTheme="minorHAnsi"/>
          <w:snapToGrid w:val="0"/>
          <w:szCs w:val="22"/>
          <w:lang w:val="en-AU" w:eastAsia="en-US"/>
        </w:rPr>
        <w:t>, which give the percentage of the simulated population group occupying this ME, at a particular time</w:t>
      </w:r>
      <w:r w:rsidR="00CD6E9A" w:rsidRPr="00CD6E9A">
        <w:rPr>
          <w:rFonts w:asciiTheme="minorHAnsi" w:hAnsiTheme="minorHAnsi"/>
          <w:snapToGrid w:val="0"/>
          <w:szCs w:val="22"/>
          <w:lang w:val="en-AU" w:eastAsia="en-US"/>
        </w:rPr>
        <w:t>-</w:t>
      </w:r>
      <w:r w:rsidR="004471D4" w:rsidRPr="00CD6E9A">
        <w:rPr>
          <w:rFonts w:asciiTheme="minorHAnsi" w:hAnsiTheme="minorHAnsi"/>
          <w:snapToGrid w:val="0"/>
          <w:szCs w:val="22"/>
          <w:lang w:val="en-AU" w:eastAsia="en-US"/>
        </w:rPr>
        <w:t xml:space="preserve">step. </w:t>
      </w:r>
      <w:r w:rsidR="00340276" w:rsidRPr="00CD6E9A">
        <w:rPr>
          <w:rFonts w:asciiTheme="minorHAnsi" w:hAnsiTheme="minorHAnsi"/>
          <w:snapToGrid w:val="0"/>
          <w:szCs w:val="22"/>
          <w:lang w:val="en-AU" w:eastAsia="en-US"/>
        </w:rPr>
        <w:t>For example, if at midnight (00:00h), for the population group of children</w:t>
      </w:r>
      <w:r w:rsidR="00E97AE4" w:rsidRPr="00CD6E9A">
        <w:rPr>
          <w:rFonts w:asciiTheme="minorHAnsi" w:hAnsiTheme="minorHAnsi"/>
          <w:snapToGrid w:val="0"/>
          <w:szCs w:val="22"/>
          <w:lang w:val="en-AU" w:eastAsia="en-US"/>
        </w:rPr>
        <w:t>,</w:t>
      </w:r>
      <w:r w:rsidR="00340276" w:rsidRPr="00CD6E9A">
        <w:rPr>
          <w:rFonts w:asciiTheme="minorHAnsi" w:hAnsiTheme="minorHAnsi"/>
          <w:snapToGrid w:val="0"/>
          <w:szCs w:val="22"/>
          <w:lang w:val="en-AU" w:eastAsia="en-US"/>
        </w:rPr>
        <w:t xml:space="preserve"> 95% were in the bedroom, 1% w</w:t>
      </w:r>
      <w:r w:rsidR="006375DE" w:rsidRPr="00CD6E9A">
        <w:rPr>
          <w:rFonts w:asciiTheme="minorHAnsi" w:hAnsiTheme="minorHAnsi"/>
          <w:snapToGrid w:val="0"/>
          <w:szCs w:val="22"/>
          <w:lang w:val="en-AU" w:eastAsia="en-US"/>
        </w:rPr>
        <w:t>ere</w:t>
      </w:r>
      <w:r w:rsidR="00340276" w:rsidRPr="00CD6E9A">
        <w:rPr>
          <w:rFonts w:asciiTheme="minorHAnsi" w:hAnsiTheme="minorHAnsi"/>
          <w:snapToGrid w:val="0"/>
          <w:szCs w:val="22"/>
          <w:lang w:val="en-AU" w:eastAsia="en-US"/>
        </w:rPr>
        <w:t xml:space="preserve"> in the kitchen and 4% in the lounge, then for </w:t>
      </w:r>
      <w:r w:rsidR="00E97AE4" w:rsidRPr="00CD6E9A">
        <w:rPr>
          <w:rFonts w:asciiTheme="minorHAnsi" w:hAnsiTheme="minorHAnsi"/>
          <w:snapToGrid w:val="0"/>
          <w:szCs w:val="22"/>
          <w:lang w:val="en-AU" w:eastAsia="en-US"/>
        </w:rPr>
        <w:t xml:space="preserve">a simulation of </w:t>
      </w:r>
      <w:r w:rsidR="00340276" w:rsidRPr="00CD6E9A">
        <w:rPr>
          <w:rFonts w:asciiTheme="minorHAnsi" w:hAnsiTheme="minorHAnsi"/>
          <w:snapToGrid w:val="0"/>
          <w:szCs w:val="22"/>
          <w:lang w:val="en-AU" w:eastAsia="en-US"/>
        </w:rPr>
        <w:t>1000 iterations, the EXPAIR model links 950 times to the concentration frequency distribution of the bedroom, 10 times to the concentration frequency distribution of the kitchen and 40 times to the concentration frequency distribution of the lounge.</w:t>
      </w:r>
      <w:r w:rsidR="006375DE" w:rsidRPr="00CD6E9A">
        <w:rPr>
          <w:rFonts w:asciiTheme="minorHAnsi" w:hAnsiTheme="minorHAnsi"/>
          <w:snapToGrid w:val="0"/>
          <w:szCs w:val="22"/>
          <w:lang w:val="en-AU" w:eastAsia="en-US"/>
        </w:rPr>
        <w:t xml:space="preserve"> </w:t>
      </w:r>
      <w:r w:rsidR="004471D4" w:rsidRPr="00CD6E9A">
        <w:rPr>
          <w:rFonts w:asciiTheme="minorHAnsi" w:hAnsiTheme="minorHAnsi"/>
          <w:snapToGrid w:val="0"/>
          <w:szCs w:val="22"/>
          <w:lang w:val="en-AU" w:eastAsia="en-US"/>
        </w:rPr>
        <w:t>Thus, at each 15-min</w:t>
      </w:r>
      <w:r w:rsidR="00E97AE4" w:rsidRPr="00CD6E9A">
        <w:rPr>
          <w:rFonts w:asciiTheme="minorHAnsi" w:hAnsiTheme="minorHAnsi"/>
          <w:snapToGrid w:val="0"/>
          <w:szCs w:val="22"/>
          <w:lang w:val="en-AU" w:eastAsia="en-US"/>
        </w:rPr>
        <w:t xml:space="preserve"> time</w:t>
      </w:r>
      <w:r w:rsidR="00140CCA" w:rsidRPr="00CD6E9A">
        <w:rPr>
          <w:rFonts w:asciiTheme="minorHAnsi" w:hAnsiTheme="minorHAnsi"/>
          <w:snapToGrid w:val="0"/>
          <w:szCs w:val="22"/>
          <w:lang w:val="en-AU" w:eastAsia="en-US"/>
        </w:rPr>
        <w:t>-</w:t>
      </w:r>
      <w:r w:rsidR="00E97AE4" w:rsidRPr="00CD6E9A">
        <w:rPr>
          <w:rFonts w:asciiTheme="minorHAnsi" w:hAnsiTheme="minorHAnsi"/>
          <w:snapToGrid w:val="0"/>
          <w:szCs w:val="22"/>
          <w:lang w:val="en-AU" w:eastAsia="en-US"/>
        </w:rPr>
        <w:t>step</w:t>
      </w:r>
      <w:r w:rsidR="004471D4" w:rsidRPr="00CD6E9A">
        <w:rPr>
          <w:rFonts w:asciiTheme="minorHAnsi" w:hAnsiTheme="minorHAnsi"/>
          <w:snapToGrid w:val="0"/>
          <w:szCs w:val="22"/>
          <w:lang w:val="en-AU" w:eastAsia="en-US"/>
        </w:rPr>
        <w:t xml:space="preserve">, </w:t>
      </w:r>
      <w:r w:rsidR="00150F69" w:rsidRPr="00CD6E9A">
        <w:rPr>
          <w:rFonts w:asciiTheme="minorHAnsi" w:hAnsiTheme="minorHAnsi"/>
          <w:snapToGrid w:val="0"/>
          <w:szCs w:val="22"/>
          <w:lang w:val="en-AU" w:eastAsia="en-US"/>
        </w:rPr>
        <w:t xml:space="preserve">PEFDs </w:t>
      </w:r>
      <w:r w:rsidR="004471D4" w:rsidRPr="00CD6E9A">
        <w:rPr>
          <w:rFonts w:asciiTheme="minorHAnsi" w:hAnsiTheme="minorHAnsi"/>
          <w:snapToGrid w:val="0"/>
          <w:szCs w:val="22"/>
          <w:lang w:val="en-AU" w:eastAsia="en-US"/>
        </w:rPr>
        <w:t xml:space="preserve">are generated for </w:t>
      </w:r>
      <w:r w:rsidR="001C1378" w:rsidRPr="00CD6E9A">
        <w:rPr>
          <w:rFonts w:asciiTheme="minorHAnsi" w:hAnsiTheme="minorHAnsi"/>
          <w:snapToGrid w:val="0"/>
          <w:szCs w:val="22"/>
          <w:lang w:val="en-AU" w:eastAsia="en-US"/>
        </w:rPr>
        <w:t xml:space="preserve">each </w:t>
      </w:r>
      <w:r w:rsidR="004471D4" w:rsidRPr="00CD6E9A">
        <w:rPr>
          <w:rFonts w:asciiTheme="minorHAnsi" w:hAnsiTheme="minorHAnsi"/>
          <w:snapToGrid w:val="0"/>
          <w:szCs w:val="22"/>
          <w:lang w:val="en-AU" w:eastAsia="en-US"/>
        </w:rPr>
        <w:t>population group.</w:t>
      </w:r>
    </w:p>
    <w:p w14:paraId="318AFEFA" w14:textId="77777777" w:rsidR="006375DE" w:rsidRPr="00CD6E9A" w:rsidRDefault="006375DE" w:rsidP="00BA29F9">
      <w:pPr>
        <w:jc w:val="both"/>
        <w:rPr>
          <w:rFonts w:asciiTheme="minorHAnsi" w:hAnsiTheme="minorHAnsi"/>
          <w:snapToGrid w:val="0"/>
          <w:szCs w:val="22"/>
          <w:lang w:val="en-AU" w:eastAsia="en-US"/>
        </w:rPr>
      </w:pPr>
    </w:p>
    <w:p w14:paraId="699DD881" w14:textId="07460E4A" w:rsidR="004471D4" w:rsidRPr="00CD6E9A" w:rsidRDefault="006375DE" w:rsidP="00BA29F9">
      <w:pPr>
        <w:jc w:val="both"/>
        <w:rPr>
          <w:rFonts w:asciiTheme="minorHAnsi" w:hAnsiTheme="minorHAnsi"/>
          <w:snapToGrid w:val="0"/>
          <w:szCs w:val="22"/>
          <w:lang w:val="en-AU" w:eastAsia="en-US"/>
        </w:rPr>
      </w:pPr>
      <w:r w:rsidRPr="00CD6E9A">
        <w:rPr>
          <w:rFonts w:asciiTheme="minorHAnsi" w:hAnsiTheme="minorHAnsi"/>
          <w:snapToGrid w:val="0"/>
          <w:szCs w:val="22"/>
          <w:lang w:val="en-AU" w:eastAsia="en-US"/>
        </w:rPr>
        <w:t>3. The procedure</w:t>
      </w:r>
      <w:r w:rsidR="002A1540" w:rsidRPr="00CD6E9A">
        <w:rPr>
          <w:rFonts w:asciiTheme="minorHAnsi" w:hAnsiTheme="minorHAnsi"/>
          <w:snapToGrid w:val="0"/>
          <w:szCs w:val="22"/>
          <w:lang w:val="en-AU" w:eastAsia="en-US"/>
        </w:rPr>
        <w:t xml:space="preserve"> </w:t>
      </w:r>
      <w:r w:rsidRPr="00CD6E9A">
        <w:rPr>
          <w:rFonts w:asciiTheme="minorHAnsi" w:hAnsiTheme="minorHAnsi"/>
          <w:snapToGrid w:val="0"/>
          <w:szCs w:val="22"/>
          <w:lang w:val="en-AU" w:eastAsia="en-US"/>
        </w:rPr>
        <w:t xml:space="preserve">above is modified </w:t>
      </w:r>
      <w:r w:rsidR="00E97EE5" w:rsidRPr="00CD6E9A">
        <w:rPr>
          <w:rFonts w:asciiTheme="minorHAnsi" w:hAnsiTheme="minorHAnsi"/>
          <w:snapToGrid w:val="0"/>
          <w:szCs w:val="22"/>
          <w:lang w:val="en-AU" w:eastAsia="en-US"/>
        </w:rPr>
        <w:t>to consider city specific time</w:t>
      </w:r>
      <w:r w:rsidR="0064124A" w:rsidRPr="00CD6E9A">
        <w:rPr>
          <w:rFonts w:asciiTheme="minorHAnsi" w:hAnsiTheme="minorHAnsi"/>
          <w:snapToGrid w:val="0"/>
          <w:szCs w:val="22"/>
          <w:lang w:val="en-AU" w:eastAsia="en-US"/>
        </w:rPr>
        <w:t>-activity-location profiles, which</w:t>
      </w:r>
      <w:r w:rsidRPr="00CD6E9A">
        <w:rPr>
          <w:rFonts w:asciiTheme="minorHAnsi" w:hAnsiTheme="minorHAnsi"/>
          <w:snapToGrid w:val="0"/>
          <w:szCs w:val="22"/>
          <w:lang w:val="en-AU" w:eastAsia="en-US"/>
        </w:rPr>
        <w:t xml:space="preserve"> take account</w:t>
      </w:r>
      <w:r w:rsidR="0064124A" w:rsidRPr="00CD6E9A">
        <w:rPr>
          <w:rFonts w:asciiTheme="minorHAnsi" w:hAnsiTheme="minorHAnsi"/>
          <w:snapToGrid w:val="0"/>
          <w:szCs w:val="22"/>
          <w:lang w:val="en-AU" w:eastAsia="en-US"/>
        </w:rPr>
        <w:t xml:space="preserve"> the</w:t>
      </w:r>
      <w:r w:rsidRPr="00CD6E9A">
        <w:rPr>
          <w:rFonts w:asciiTheme="minorHAnsi" w:hAnsiTheme="minorHAnsi"/>
          <w:snapToGrid w:val="0"/>
          <w:szCs w:val="22"/>
          <w:lang w:val="en-AU" w:eastAsia="en-US"/>
        </w:rPr>
        <w:t xml:space="preserve"> zonal variation in outdoor pollutant concentrations, and in the location of the MEs</w:t>
      </w:r>
      <w:r w:rsidR="0064124A" w:rsidRPr="00CD6E9A">
        <w:rPr>
          <w:rFonts w:asciiTheme="minorHAnsi" w:hAnsiTheme="minorHAnsi"/>
          <w:snapToGrid w:val="0"/>
          <w:szCs w:val="22"/>
          <w:lang w:val="en-AU" w:eastAsia="en-US"/>
        </w:rPr>
        <w:t xml:space="preserve"> that</w:t>
      </w:r>
      <w:r w:rsidRPr="00CD6E9A">
        <w:rPr>
          <w:rFonts w:asciiTheme="minorHAnsi" w:hAnsiTheme="minorHAnsi"/>
          <w:snapToGrid w:val="0"/>
          <w:szCs w:val="22"/>
          <w:lang w:val="en-AU" w:eastAsia="en-US"/>
        </w:rPr>
        <w:t xml:space="preserve"> are used by the population group, to quantify the city-wide PEFD. </w:t>
      </w:r>
      <w:r w:rsidR="00230497" w:rsidRPr="00CD6E9A">
        <w:rPr>
          <w:rFonts w:asciiTheme="minorHAnsi" w:hAnsiTheme="minorHAnsi"/>
          <w:snapToGrid w:val="0"/>
          <w:szCs w:val="22"/>
          <w:lang w:val="en-AU" w:eastAsia="en-US"/>
        </w:rPr>
        <w:t>The o</w:t>
      </w:r>
      <w:r w:rsidRPr="00CD6E9A">
        <w:rPr>
          <w:rFonts w:asciiTheme="minorHAnsi" w:hAnsiTheme="minorHAnsi"/>
          <w:snapToGrid w:val="0"/>
          <w:szCs w:val="22"/>
          <w:lang w:val="en-AU" w:eastAsia="en-US"/>
        </w:rPr>
        <w:t xml:space="preserve">utdoor concentration profiles </w:t>
      </w:r>
      <w:r w:rsidR="00230497" w:rsidRPr="00CD6E9A">
        <w:rPr>
          <w:rFonts w:asciiTheme="minorHAnsi" w:hAnsiTheme="minorHAnsi"/>
          <w:snapToGrid w:val="0"/>
          <w:szCs w:val="22"/>
          <w:lang w:val="en-AU" w:eastAsia="en-US"/>
        </w:rPr>
        <w:t xml:space="preserve">that </w:t>
      </w:r>
      <w:r w:rsidRPr="00CD6E9A">
        <w:rPr>
          <w:rFonts w:asciiTheme="minorHAnsi" w:hAnsiTheme="minorHAnsi"/>
          <w:snapToGrid w:val="0"/>
          <w:szCs w:val="22"/>
          <w:lang w:val="en-AU" w:eastAsia="en-US"/>
        </w:rPr>
        <w:t>are defined separately for each zone</w:t>
      </w:r>
      <w:r w:rsidR="00BA01A9" w:rsidRPr="00CD6E9A">
        <w:rPr>
          <w:rFonts w:asciiTheme="minorHAnsi" w:hAnsiTheme="minorHAnsi"/>
          <w:snapToGrid w:val="0"/>
          <w:szCs w:val="22"/>
          <w:lang w:val="en-AU" w:eastAsia="en-US"/>
        </w:rPr>
        <w:t xml:space="preserve"> </w:t>
      </w:r>
      <w:r w:rsidR="00230497" w:rsidRPr="00CD6E9A">
        <w:rPr>
          <w:rFonts w:asciiTheme="minorHAnsi" w:hAnsiTheme="minorHAnsi"/>
          <w:snapToGrid w:val="0"/>
          <w:szCs w:val="22"/>
          <w:lang w:val="en-AU" w:eastAsia="en-US"/>
        </w:rPr>
        <w:t>are</w:t>
      </w:r>
      <w:r w:rsidR="00BA01A9" w:rsidRPr="00CD6E9A">
        <w:rPr>
          <w:rFonts w:asciiTheme="minorHAnsi" w:hAnsiTheme="minorHAnsi"/>
          <w:snapToGrid w:val="0"/>
          <w:szCs w:val="22"/>
          <w:lang w:val="en-AU" w:eastAsia="en-US"/>
        </w:rPr>
        <w:t xml:space="preserve"> used to generate separate INDAIR ME libraries for each zone</w:t>
      </w:r>
      <w:r w:rsidR="0064124A" w:rsidRPr="00CD6E9A">
        <w:rPr>
          <w:rFonts w:asciiTheme="minorHAnsi" w:hAnsiTheme="minorHAnsi"/>
          <w:snapToGrid w:val="0"/>
          <w:szCs w:val="22"/>
          <w:lang w:val="en-AU" w:eastAsia="en-US"/>
        </w:rPr>
        <w:t>,</w:t>
      </w:r>
      <w:r w:rsidRPr="00CD6E9A">
        <w:rPr>
          <w:rFonts w:asciiTheme="minorHAnsi" w:hAnsiTheme="minorHAnsi"/>
          <w:snapToGrid w:val="0"/>
          <w:szCs w:val="22"/>
          <w:lang w:val="en-AU" w:eastAsia="en-US"/>
        </w:rPr>
        <w:t xml:space="preserve"> </w:t>
      </w:r>
      <w:r w:rsidR="0064124A" w:rsidRPr="00CD6E9A">
        <w:rPr>
          <w:rFonts w:asciiTheme="minorHAnsi" w:hAnsiTheme="minorHAnsi"/>
          <w:snapToGrid w:val="0"/>
          <w:szCs w:val="22"/>
          <w:lang w:val="en-AU" w:eastAsia="en-US"/>
        </w:rPr>
        <w:t>wh</w:t>
      </w:r>
      <w:r w:rsidR="00230497" w:rsidRPr="00CD6E9A">
        <w:rPr>
          <w:rFonts w:asciiTheme="minorHAnsi" w:hAnsiTheme="minorHAnsi"/>
          <w:snapToGrid w:val="0"/>
          <w:szCs w:val="22"/>
          <w:lang w:val="en-AU" w:eastAsia="en-US"/>
        </w:rPr>
        <w:t>ile</w:t>
      </w:r>
      <w:r w:rsidRPr="00CD6E9A">
        <w:rPr>
          <w:rFonts w:asciiTheme="minorHAnsi" w:hAnsiTheme="minorHAnsi"/>
          <w:snapToGrid w:val="0"/>
          <w:szCs w:val="22"/>
          <w:lang w:val="en-AU" w:eastAsia="en-US"/>
        </w:rPr>
        <w:t xml:space="preserve"> the percentage of each ME within the zone is also quantified</w:t>
      </w:r>
      <w:r w:rsidR="00230497" w:rsidRPr="00CD6E9A">
        <w:rPr>
          <w:rFonts w:asciiTheme="minorHAnsi" w:hAnsiTheme="minorHAnsi"/>
          <w:snapToGrid w:val="0"/>
          <w:szCs w:val="22"/>
          <w:lang w:val="en-AU" w:eastAsia="en-US"/>
        </w:rPr>
        <w:t xml:space="preserve"> (as described in Section 3.2 for the specific application)</w:t>
      </w:r>
      <w:r w:rsidRPr="00CD6E9A">
        <w:rPr>
          <w:rFonts w:asciiTheme="minorHAnsi" w:hAnsiTheme="minorHAnsi"/>
          <w:snapToGrid w:val="0"/>
          <w:szCs w:val="22"/>
          <w:lang w:val="en-AU" w:eastAsia="en-US"/>
        </w:rPr>
        <w:t xml:space="preserve">. </w:t>
      </w:r>
      <w:r w:rsidR="00BA01A9" w:rsidRPr="00CD6E9A">
        <w:rPr>
          <w:rFonts w:asciiTheme="minorHAnsi" w:hAnsiTheme="minorHAnsi"/>
          <w:snapToGrid w:val="0"/>
          <w:szCs w:val="22"/>
          <w:lang w:val="en-AU" w:eastAsia="en-US"/>
        </w:rPr>
        <w:t xml:space="preserve">The selection of MEs by EXPAIR is then modified accordingly. For example, if in the above example, 50% of homes were in zone 1, 50% of homes in zone 2, and none in zones 3 or 4, EXPAIR </w:t>
      </w:r>
      <w:r w:rsidR="007B650D" w:rsidRPr="00CD6E9A">
        <w:rPr>
          <w:rFonts w:asciiTheme="minorHAnsi" w:hAnsiTheme="minorHAnsi"/>
          <w:snapToGrid w:val="0"/>
          <w:szCs w:val="22"/>
          <w:lang w:val="en-AU" w:eastAsia="en-US"/>
        </w:rPr>
        <w:t xml:space="preserve">at each time-step </w:t>
      </w:r>
      <w:r w:rsidR="00BA01A9" w:rsidRPr="00CD6E9A">
        <w:rPr>
          <w:rFonts w:asciiTheme="minorHAnsi" w:hAnsiTheme="minorHAnsi"/>
          <w:snapToGrid w:val="0"/>
          <w:szCs w:val="22"/>
          <w:lang w:val="en-AU" w:eastAsia="en-US"/>
        </w:rPr>
        <w:t xml:space="preserve">would link 475 times to the bedroom </w:t>
      </w:r>
      <w:r w:rsidR="007B650D" w:rsidRPr="00CD6E9A">
        <w:rPr>
          <w:rFonts w:asciiTheme="minorHAnsi" w:hAnsiTheme="minorHAnsi"/>
          <w:snapToGrid w:val="0"/>
          <w:szCs w:val="22"/>
          <w:lang w:val="en-AU" w:eastAsia="en-US"/>
        </w:rPr>
        <w:t xml:space="preserve">ME </w:t>
      </w:r>
      <w:r w:rsidR="00BA01A9" w:rsidRPr="00CD6E9A">
        <w:rPr>
          <w:rFonts w:asciiTheme="minorHAnsi" w:hAnsiTheme="minorHAnsi"/>
          <w:snapToGrid w:val="0"/>
          <w:szCs w:val="22"/>
          <w:lang w:val="en-AU" w:eastAsia="en-US"/>
        </w:rPr>
        <w:t>profile</w:t>
      </w:r>
      <w:r w:rsidR="007B650D" w:rsidRPr="00CD6E9A">
        <w:rPr>
          <w:rFonts w:asciiTheme="minorHAnsi" w:hAnsiTheme="minorHAnsi"/>
          <w:snapToGrid w:val="0"/>
          <w:szCs w:val="22"/>
          <w:lang w:val="en-AU" w:eastAsia="en-US"/>
        </w:rPr>
        <w:t xml:space="preserve"> for zone 1, 475 times to the bedroom profile in zone 2, and would not select any values </w:t>
      </w:r>
      <w:r w:rsidR="00230497" w:rsidRPr="00CD6E9A">
        <w:rPr>
          <w:rFonts w:asciiTheme="minorHAnsi" w:hAnsiTheme="minorHAnsi"/>
          <w:snapToGrid w:val="0"/>
          <w:szCs w:val="22"/>
          <w:lang w:val="en-AU" w:eastAsia="en-US"/>
        </w:rPr>
        <w:t>from t</w:t>
      </w:r>
      <w:r w:rsidR="007B650D" w:rsidRPr="00CD6E9A">
        <w:rPr>
          <w:rFonts w:asciiTheme="minorHAnsi" w:hAnsiTheme="minorHAnsi"/>
          <w:snapToGrid w:val="0"/>
          <w:szCs w:val="22"/>
          <w:lang w:val="en-AU" w:eastAsia="en-US"/>
        </w:rPr>
        <w:t xml:space="preserve">he bedroom profile in zones 3 and 4.  </w:t>
      </w:r>
      <w:r w:rsidR="00BA01A9" w:rsidRPr="00CD6E9A">
        <w:rPr>
          <w:rFonts w:asciiTheme="minorHAnsi" w:hAnsiTheme="minorHAnsi"/>
          <w:snapToGrid w:val="0"/>
          <w:szCs w:val="22"/>
          <w:lang w:val="en-AU" w:eastAsia="en-US"/>
        </w:rPr>
        <w:t xml:space="preserve">   </w:t>
      </w:r>
      <w:r w:rsidRPr="00CD6E9A">
        <w:rPr>
          <w:rFonts w:asciiTheme="minorHAnsi" w:hAnsiTheme="minorHAnsi"/>
          <w:snapToGrid w:val="0"/>
          <w:szCs w:val="22"/>
          <w:lang w:val="en-AU" w:eastAsia="en-US"/>
        </w:rPr>
        <w:t xml:space="preserve">   </w:t>
      </w:r>
    </w:p>
    <w:p w14:paraId="6787C738" w14:textId="77777777" w:rsidR="00150F69" w:rsidRPr="00CD6E9A" w:rsidRDefault="00150F69" w:rsidP="00BA29F9">
      <w:pPr>
        <w:jc w:val="both"/>
        <w:rPr>
          <w:rFonts w:asciiTheme="minorHAnsi" w:hAnsiTheme="minorHAnsi"/>
          <w:szCs w:val="22"/>
        </w:rPr>
      </w:pPr>
    </w:p>
    <w:p w14:paraId="5EF2A0EF" w14:textId="5E21B660" w:rsidR="004471D4" w:rsidRPr="00CD6E9A" w:rsidRDefault="004471D4" w:rsidP="00BA29F9">
      <w:pPr>
        <w:pStyle w:val="Heading1"/>
        <w:rPr>
          <w:rFonts w:asciiTheme="minorHAnsi" w:hAnsiTheme="minorHAnsi"/>
          <w:b/>
          <w:i w:val="0"/>
          <w:sz w:val="22"/>
          <w:szCs w:val="22"/>
        </w:rPr>
      </w:pPr>
      <w:r w:rsidRPr="00CD6E9A">
        <w:rPr>
          <w:rFonts w:asciiTheme="minorHAnsi" w:hAnsiTheme="minorHAnsi"/>
          <w:b/>
          <w:i w:val="0"/>
          <w:sz w:val="22"/>
          <w:szCs w:val="22"/>
        </w:rPr>
        <w:t>2.</w:t>
      </w:r>
      <w:r w:rsidR="002A1540" w:rsidRPr="00CD6E9A">
        <w:rPr>
          <w:rFonts w:asciiTheme="minorHAnsi" w:hAnsiTheme="minorHAnsi"/>
          <w:b/>
          <w:i w:val="0"/>
          <w:sz w:val="22"/>
          <w:szCs w:val="22"/>
        </w:rPr>
        <w:t>2</w:t>
      </w:r>
      <w:r w:rsidRPr="00CD6E9A">
        <w:rPr>
          <w:rFonts w:asciiTheme="minorHAnsi" w:hAnsiTheme="minorHAnsi"/>
          <w:b/>
          <w:i w:val="0"/>
          <w:sz w:val="22"/>
          <w:szCs w:val="22"/>
        </w:rPr>
        <w:tab/>
        <w:t>Time-activity</w:t>
      </w:r>
      <w:r w:rsidR="00BD730C" w:rsidRPr="00CD6E9A">
        <w:rPr>
          <w:rFonts w:asciiTheme="minorHAnsi" w:hAnsiTheme="minorHAnsi"/>
          <w:b/>
          <w:i w:val="0"/>
          <w:sz w:val="22"/>
          <w:szCs w:val="22"/>
        </w:rPr>
        <w:t>-location</w:t>
      </w:r>
      <w:r w:rsidRPr="00CD6E9A">
        <w:rPr>
          <w:rFonts w:asciiTheme="minorHAnsi" w:hAnsiTheme="minorHAnsi"/>
          <w:b/>
          <w:i w:val="0"/>
          <w:sz w:val="22"/>
          <w:szCs w:val="22"/>
        </w:rPr>
        <w:t xml:space="preserve"> profiles</w:t>
      </w:r>
    </w:p>
    <w:p w14:paraId="1D14D8C1" w14:textId="77777777" w:rsidR="00BC34F3" w:rsidRPr="00CD6E9A" w:rsidRDefault="00BC34F3" w:rsidP="00BA29F9">
      <w:pPr>
        <w:autoSpaceDE w:val="0"/>
        <w:autoSpaceDN w:val="0"/>
        <w:adjustRightInd w:val="0"/>
        <w:jc w:val="both"/>
        <w:rPr>
          <w:rFonts w:asciiTheme="minorHAnsi" w:hAnsiTheme="minorHAnsi"/>
          <w:szCs w:val="22"/>
        </w:rPr>
      </w:pPr>
    </w:p>
    <w:p w14:paraId="43CC151E" w14:textId="12F3241C" w:rsidR="004471D4" w:rsidRPr="00CD6E9A" w:rsidRDefault="004471D4" w:rsidP="00BA29F9">
      <w:pPr>
        <w:autoSpaceDE w:val="0"/>
        <w:autoSpaceDN w:val="0"/>
        <w:adjustRightInd w:val="0"/>
        <w:jc w:val="both"/>
        <w:rPr>
          <w:rFonts w:asciiTheme="minorHAnsi" w:hAnsiTheme="minorHAnsi"/>
          <w:szCs w:val="22"/>
        </w:rPr>
      </w:pPr>
      <w:r w:rsidRPr="00CD6E9A">
        <w:rPr>
          <w:rFonts w:asciiTheme="minorHAnsi" w:hAnsiTheme="minorHAnsi"/>
          <w:szCs w:val="22"/>
        </w:rPr>
        <w:t>Th</w:t>
      </w:r>
      <w:r w:rsidR="00187A62" w:rsidRPr="00CD6E9A">
        <w:rPr>
          <w:rFonts w:asciiTheme="minorHAnsi" w:hAnsiTheme="minorHAnsi"/>
          <w:szCs w:val="22"/>
        </w:rPr>
        <w:t xml:space="preserve">e </w:t>
      </w:r>
      <w:r w:rsidR="00E97EE5" w:rsidRPr="00CD6E9A">
        <w:rPr>
          <w:rFonts w:asciiTheme="minorHAnsi" w:hAnsiTheme="minorHAnsi"/>
          <w:szCs w:val="22"/>
        </w:rPr>
        <w:t xml:space="preserve">general </w:t>
      </w:r>
      <w:r w:rsidR="00187A62" w:rsidRPr="00CD6E9A">
        <w:rPr>
          <w:rFonts w:asciiTheme="minorHAnsi" w:hAnsiTheme="minorHAnsi"/>
          <w:szCs w:val="22"/>
        </w:rPr>
        <w:t xml:space="preserve">time-activity profiles of </w:t>
      </w:r>
      <w:r w:rsidR="004952FD" w:rsidRPr="00CD6E9A">
        <w:rPr>
          <w:rFonts w:asciiTheme="minorHAnsi" w:hAnsiTheme="minorHAnsi"/>
          <w:szCs w:val="22"/>
        </w:rPr>
        <w:t>three</w:t>
      </w:r>
      <w:r w:rsidRPr="00CD6E9A">
        <w:rPr>
          <w:rFonts w:asciiTheme="minorHAnsi" w:hAnsiTheme="minorHAnsi"/>
          <w:szCs w:val="22"/>
        </w:rPr>
        <w:t xml:space="preserve"> population gr</w:t>
      </w:r>
      <w:r w:rsidR="00DF7EBD" w:rsidRPr="00CD6E9A">
        <w:rPr>
          <w:rFonts w:asciiTheme="minorHAnsi" w:hAnsiTheme="minorHAnsi"/>
          <w:szCs w:val="22"/>
        </w:rPr>
        <w:t>oups</w:t>
      </w:r>
      <w:r w:rsidR="00187A62" w:rsidRPr="00CD6E9A">
        <w:rPr>
          <w:rFonts w:asciiTheme="minorHAnsi" w:hAnsiTheme="minorHAnsi"/>
          <w:szCs w:val="22"/>
        </w:rPr>
        <w:t xml:space="preserve"> (</w:t>
      </w:r>
      <w:r w:rsidR="00187A62" w:rsidRPr="00CD6E9A">
        <w:rPr>
          <w:rFonts w:asciiTheme="minorHAnsi" w:hAnsiTheme="minorHAnsi"/>
          <w:snapToGrid w:val="0"/>
          <w:szCs w:val="22"/>
          <w:lang w:val="en-AU" w:eastAsia="en-US"/>
        </w:rPr>
        <w:t xml:space="preserve">children aged 4-15, office workers, and adults aged 65+) </w:t>
      </w:r>
      <w:r w:rsidR="00DF7EBD" w:rsidRPr="00CD6E9A">
        <w:rPr>
          <w:rFonts w:asciiTheme="minorHAnsi" w:hAnsiTheme="minorHAnsi"/>
          <w:szCs w:val="22"/>
        </w:rPr>
        <w:t>were derived from the BBC</w:t>
      </w:r>
      <w:r w:rsidRPr="00CD6E9A">
        <w:rPr>
          <w:rFonts w:asciiTheme="minorHAnsi" w:hAnsiTheme="minorHAnsi"/>
          <w:szCs w:val="22"/>
        </w:rPr>
        <w:t xml:space="preserve"> </w:t>
      </w:r>
      <w:r w:rsidR="004952FD" w:rsidRPr="00CD6E9A">
        <w:rPr>
          <w:rFonts w:asciiTheme="minorHAnsi" w:hAnsiTheme="minorHAnsi"/>
          <w:szCs w:val="22"/>
        </w:rPr>
        <w:t>S</w:t>
      </w:r>
      <w:r w:rsidR="004E1D3F" w:rsidRPr="00CD6E9A">
        <w:rPr>
          <w:rFonts w:asciiTheme="minorHAnsi" w:hAnsiTheme="minorHAnsi"/>
          <w:szCs w:val="22"/>
        </w:rPr>
        <w:t xml:space="preserve">urvey </w:t>
      </w:r>
      <w:r w:rsidR="00E6622B" w:rsidRPr="00CD6E9A">
        <w:rPr>
          <w:rFonts w:asciiTheme="minorHAnsi" w:hAnsiTheme="minorHAnsi"/>
          <w:szCs w:val="22"/>
        </w:rPr>
        <w:t xml:space="preserve">for </w:t>
      </w:r>
      <w:r w:rsidR="004952FD" w:rsidRPr="00CD6E9A">
        <w:rPr>
          <w:rFonts w:asciiTheme="minorHAnsi" w:hAnsiTheme="minorHAnsi"/>
          <w:szCs w:val="22"/>
        </w:rPr>
        <w:t>D</w:t>
      </w:r>
      <w:r w:rsidR="00E6622B" w:rsidRPr="00CD6E9A">
        <w:rPr>
          <w:rFonts w:asciiTheme="minorHAnsi" w:hAnsiTheme="minorHAnsi"/>
          <w:szCs w:val="22"/>
        </w:rPr>
        <w:t xml:space="preserve">aily </w:t>
      </w:r>
      <w:r w:rsidR="004952FD" w:rsidRPr="00CD6E9A">
        <w:rPr>
          <w:rFonts w:asciiTheme="minorHAnsi" w:hAnsiTheme="minorHAnsi"/>
          <w:szCs w:val="22"/>
        </w:rPr>
        <w:t>L</w:t>
      </w:r>
      <w:r w:rsidR="00E6622B" w:rsidRPr="00CD6E9A">
        <w:rPr>
          <w:rFonts w:asciiTheme="minorHAnsi" w:hAnsiTheme="minorHAnsi"/>
          <w:szCs w:val="22"/>
        </w:rPr>
        <w:t xml:space="preserve">ife </w:t>
      </w:r>
      <w:r w:rsidR="004E1D3F" w:rsidRPr="00CD6E9A">
        <w:rPr>
          <w:rFonts w:asciiTheme="minorHAnsi" w:hAnsiTheme="minorHAnsi"/>
          <w:szCs w:val="22"/>
        </w:rPr>
        <w:t xml:space="preserve">(Telmar, </w:t>
      </w:r>
      <w:r w:rsidR="00BC34F3" w:rsidRPr="00CD6E9A">
        <w:rPr>
          <w:rFonts w:asciiTheme="minorHAnsi" w:hAnsiTheme="minorHAnsi"/>
          <w:szCs w:val="22"/>
        </w:rPr>
        <w:t>1998</w:t>
      </w:r>
      <w:r w:rsidR="004E1D3F" w:rsidRPr="00CD6E9A">
        <w:rPr>
          <w:rFonts w:asciiTheme="minorHAnsi" w:hAnsiTheme="minorHAnsi"/>
          <w:szCs w:val="22"/>
        </w:rPr>
        <w:t>)</w:t>
      </w:r>
      <w:r w:rsidR="002A1540" w:rsidRPr="00CD6E9A">
        <w:rPr>
          <w:rFonts w:asciiTheme="minorHAnsi" w:hAnsiTheme="minorHAnsi"/>
          <w:szCs w:val="22"/>
        </w:rPr>
        <w:t>, a</w:t>
      </w:r>
      <w:r w:rsidRPr="00CD6E9A">
        <w:rPr>
          <w:rFonts w:asciiTheme="minorHAnsi" w:hAnsiTheme="minorHAnsi"/>
          <w:szCs w:val="22"/>
        </w:rPr>
        <w:t xml:space="preserve"> comprehensive database of activity for the UK population</w:t>
      </w:r>
      <w:r w:rsidR="002A1540" w:rsidRPr="00CD6E9A">
        <w:rPr>
          <w:rFonts w:asciiTheme="minorHAnsi" w:hAnsiTheme="minorHAnsi"/>
          <w:szCs w:val="22"/>
        </w:rPr>
        <w:t>, in which</w:t>
      </w:r>
      <w:r w:rsidRPr="00CD6E9A">
        <w:rPr>
          <w:rFonts w:asciiTheme="minorHAnsi" w:hAnsiTheme="minorHAnsi"/>
          <w:szCs w:val="22"/>
        </w:rPr>
        <w:t xml:space="preserve"> </w:t>
      </w:r>
      <w:r w:rsidR="002A1540" w:rsidRPr="00CD6E9A">
        <w:rPr>
          <w:rFonts w:asciiTheme="minorHAnsi" w:hAnsiTheme="minorHAnsi"/>
          <w:szCs w:val="22"/>
        </w:rPr>
        <w:t>a</w:t>
      </w:r>
      <w:r w:rsidRPr="00CD6E9A">
        <w:rPr>
          <w:rFonts w:asciiTheme="minorHAnsi" w:hAnsiTheme="minorHAnsi"/>
          <w:szCs w:val="22"/>
        </w:rPr>
        <w:t xml:space="preserve">ctivities and locations were recorded in the previous 24 hours, in half-hourly segments (quarter hours between morning and evening peak times). </w:t>
      </w:r>
      <w:r w:rsidR="00447EAD" w:rsidRPr="00CD6E9A">
        <w:rPr>
          <w:rFonts w:asciiTheme="minorHAnsi" w:hAnsiTheme="minorHAnsi"/>
          <w:szCs w:val="22"/>
        </w:rPr>
        <w:t xml:space="preserve">This allowed us to define six non-residential MEs (outdoor, transport, school, office, shops and large buildings, bars and restaurants) and three residential MEs (kitchen, lounge, bedroom). </w:t>
      </w:r>
      <w:r w:rsidRPr="00CD6E9A">
        <w:rPr>
          <w:rFonts w:asciiTheme="minorHAnsi" w:hAnsiTheme="minorHAnsi"/>
          <w:szCs w:val="22"/>
        </w:rPr>
        <w:t>Since th</w:t>
      </w:r>
      <w:r w:rsidR="002A1540" w:rsidRPr="00CD6E9A">
        <w:rPr>
          <w:rFonts w:asciiTheme="minorHAnsi" w:hAnsiTheme="minorHAnsi"/>
          <w:szCs w:val="22"/>
        </w:rPr>
        <w:t>is</w:t>
      </w:r>
      <w:r w:rsidRPr="00CD6E9A">
        <w:rPr>
          <w:rFonts w:asciiTheme="minorHAnsi" w:hAnsiTheme="minorHAnsi"/>
          <w:szCs w:val="22"/>
        </w:rPr>
        <w:t xml:space="preserve"> survey was conducted for different purposes, assumptions had to be made in constructing the model location categories from location and activity data within the survey. </w:t>
      </w:r>
      <w:r w:rsidR="00C80CCC" w:rsidRPr="00CD6E9A">
        <w:rPr>
          <w:rFonts w:asciiTheme="minorHAnsi" w:hAnsiTheme="minorHAnsi"/>
          <w:szCs w:val="22"/>
        </w:rPr>
        <w:t>In particular, th</w:t>
      </w:r>
      <w:r w:rsidRPr="00CD6E9A">
        <w:rPr>
          <w:rFonts w:asciiTheme="minorHAnsi" w:hAnsiTheme="minorHAnsi"/>
          <w:szCs w:val="22"/>
        </w:rPr>
        <w:t>e propo</w:t>
      </w:r>
      <w:r w:rsidR="00B233E2" w:rsidRPr="00CD6E9A">
        <w:rPr>
          <w:rFonts w:asciiTheme="minorHAnsi" w:hAnsiTheme="minorHAnsi"/>
          <w:szCs w:val="22"/>
        </w:rPr>
        <w:t>rtions of population in the '</w:t>
      </w:r>
      <w:r w:rsidRPr="00CD6E9A">
        <w:rPr>
          <w:rFonts w:asciiTheme="minorHAnsi" w:hAnsiTheme="minorHAnsi"/>
          <w:szCs w:val="22"/>
        </w:rPr>
        <w:t xml:space="preserve">home' location of the </w:t>
      </w:r>
      <w:r w:rsidR="002848F3" w:rsidRPr="00CD6E9A">
        <w:rPr>
          <w:rFonts w:asciiTheme="minorHAnsi" w:hAnsiTheme="minorHAnsi"/>
          <w:szCs w:val="22"/>
        </w:rPr>
        <w:t xml:space="preserve">BBC </w:t>
      </w:r>
      <w:r w:rsidRPr="00CD6E9A">
        <w:rPr>
          <w:rFonts w:asciiTheme="minorHAnsi" w:hAnsiTheme="minorHAnsi"/>
          <w:szCs w:val="22"/>
        </w:rPr>
        <w:t xml:space="preserve">survey were split into the residential microenvironments (kitchen, living room, bedroom) </w:t>
      </w:r>
      <w:r w:rsidR="00C80CCC" w:rsidRPr="00CD6E9A">
        <w:rPr>
          <w:rFonts w:asciiTheme="minorHAnsi" w:hAnsiTheme="minorHAnsi"/>
          <w:szCs w:val="22"/>
        </w:rPr>
        <w:t>using</w:t>
      </w:r>
      <w:r w:rsidRPr="00CD6E9A">
        <w:rPr>
          <w:rFonts w:asciiTheme="minorHAnsi" w:hAnsiTheme="minorHAnsi"/>
          <w:szCs w:val="22"/>
        </w:rPr>
        <w:t xml:space="preserve"> combinations of </w:t>
      </w:r>
      <w:r w:rsidR="002848F3" w:rsidRPr="00CD6E9A">
        <w:rPr>
          <w:rFonts w:asciiTheme="minorHAnsi" w:hAnsiTheme="minorHAnsi"/>
          <w:szCs w:val="22"/>
        </w:rPr>
        <w:t>appropriate BBC survey</w:t>
      </w:r>
      <w:r w:rsidRPr="00CD6E9A">
        <w:rPr>
          <w:rFonts w:asciiTheme="minorHAnsi" w:hAnsiTheme="minorHAnsi"/>
          <w:szCs w:val="22"/>
        </w:rPr>
        <w:t xml:space="preserve"> activity categories (e.g. asleep, childcare, housework, watching TV, preparing food). </w:t>
      </w:r>
      <w:r w:rsidR="000F5488" w:rsidRPr="00CD6E9A">
        <w:rPr>
          <w:rFonts w:asciiTheme="minorHAnsi" w:hAnsiTheme="minorHAnsi"/>
          <w:szCs w:val="22"/>
        </w:rPr>
        <w:t xml:space="preserve">The </w:t>
      </w:r>
      <w:r w:rsidR="005A6544" w:rsidRPr="00CD6E9A">
        <w:rPr>
          <w:rFonts w:asciiTheme="minorHAnsi" w:hAnsiTheme="minorHAnsi"/>
          <w:szCs w:val="22"/>
        </w:rPr>
        <w:t xml:space="preserve">derived </w:t>
      </w:r>
      <w:r w:rsidR="00447EAD" w:rsidRPr="00CD6E9A">
        <w:rPr>
          <w:rFonts w:asciiTheme="minorHAnsi" w:hAnsiTheme="minorHAnsi"/>
          <w:szCs w:val="22"/>
        </w:rPr>
        <w:t>time-</w:t>
      </w:r>
      <w:r w:rsidR="000F5488" w:rsidRPr="00CD6E9A">
        <w:rPr>
          <w:rFonts w:asciiTheme="minorHAnsi" w:hAnsiTheme="minorHAnsi"/>
          <w:szCs w:val="22"/>
        </w:rPr>
        <w:t>activity profiles for the three population groups</w:t>
      </w:r>
      <w:r w:rsidR="00C72499" w:rsidRPr="00CD6E9A">
        <w:rPr>
          <w:rFonts w:asciiTheme="minorHAnsi" w:hAnsiTheme="minorHAnsi"/>
          <w:szCs w:val="22"/>
        </w:rPr>
        <w:t xml:space="preserve"> for winter weekdays</w:t>
      </w:r>
      <w:r w:rsidR="000F5488" w:rsidRPr="00CD6E9A">
        <w:rPr>
          <w:rFonts w:asciiTheme="minorHAnsi" w:hAnsiTheme="minorHAnsi"/>
          <w:szCs w:val="22"/>
        </w:rPr>
        <w:t xml:space="preserve"> are illustrated on Figure 1.</w:t>
      </w:r>
      <w:r w:rsidR="001A5D85" w:rsidRPr="00CD6E9A">
        <w:rPr>
          <w:rFonts w:asciiTheme="minorHAnsi" w:hAnsiTheme="minorHAnsi"/>
          <w:szCs w:val="22"/>
        </w:rPr>
        <w:t xml:space="preserve"> </w:t>
      </w:r>
    </w:p>
    <w:p w14:paraId="5506952A" w14:textId="77777777" w:rsidR="00E97EE5" w:rsidRPr="00CD6E9A" w:rsidRDefault="00E97EE5" w:rsidP="00BA29F9">
      <w:pPr>
        <w:autoSpaceDE w:val="0"/>
        <w:autoSpaceDN w:val="0"/>
        <w:adjustRightInd w:val="0"/>
        <w:jc w:val="both"/>
        <w:rPr>
          <w:rFonts w:asciiTheme="minorHAnsi" w:hAnsiTheme="minorHAnsi"/>
          <w:szCs w:val="22"/>
        </w:rPr>
      </w:pPr>
    </w:p>
    <w:p w14:paraId="637C1B79" w14:textId="4DB4E0FF" w:rsidR="00E97EE5" w:rsidRPr="00CD6E9A" w:rsidRDefault="0070226E" w:rsidP="00BA29F9">
      <w:pPr>
        <w:autoSpaceDE w:val="0"/>
        <w:autoSpaceDN w:val="0"/>
        <w:adjustRightInd w:val="0"/>
        <w:jc w:val="both"/>
        <w:rPr>
          <w:rFonts w:asciiTheme="minorHAnsi" w:hAnsiTheme="minorHAnsi"/>
          <w:szCs w:val="22"/>
        </w:rPr>
      </w:pPr>
      <w:r w:rsidRPr="00CD6E9A">
        <w:rPr>
          <w:rFonts w:asciiTheme="minorHAnsi" w:hAnsiTheme="minorHAnsi"/>
          <w:szCs w:val="22"/>
        </w:rPr>
        <w:t>The city specific time-activity-location profiles were created from the general activity profiles based on land use and traffic density. T</w:t>
      </w:r>
      <w:r w:rsidR="00E97EE5" w:rsidRPr="00CD6E9A">
        <w:rPr>
          <w:rFonts w:asciiTheme="minorHAnsi" w:hAnsiTheme="minorHAnsi"/>
          <w:szCs w:val="22"/>
        </w:rPr>
        <w:t>he distribution of homes, and the five indoor non-home MEs, between the different zones</w:t>
      </w:r>
      <w:r w:rsidR="00417E84" w:rsidRPr="00CD6E9A">
        <w:rPr>
          <w:rFonts w:asciiTheme="minorHAnsi" w:hAnsiTheme="minorHAnsi"/>
          <w:szCs w:val="22"/>
        </w:rPr>
        <w:t>, as distinguished above for the outdoor NO</w:t>
      </w:r>
      <w:r w:rsidR="00417E84" w:rsidRPr="00CD6E9A">
        <w:rPr>
          <w:rFonts w:asciiTheme="minorHAnsi" w:hAnsiTheme="minorHAnsi"/>
          <w:szCs w:val="22"/>
          <w:vertAlign w:val="subscript"/>
        </w:rPr>
        <w:t>2</w:t>
      </w:r>
      <w:r w:rsidR="00417E84" w:rsidRPr="00CD6E9A">
        <w:rPr>
          <w:rFonts w:asciiTheme="minorHAnsi" w:hAnsiTheme="minorHAnsi"/>
          <w:szCs w:val="22"/>
        </w:rPr>
        <w:t xml:space="preserve"> concentrations,</w:t>
      </w:r>
      <w:r w:rsidR="00E97EE5" w:rsidRPr="00CD6E9A">
        <w:rPr>
          <w:rFonts w:asciiTheme="minorHAnsi" w:hAnsiTheme="minorHAnsi"/>
          <w:szCs w:val="22"/>
        </w:rPr>
        <w:t xml:space="preserve"> can be defined in a number of ways, depending on the availability of GIS data, location information, and transport use statistics. In this specific application, we used a mix of methods, as described in </w:t>
      </w:r>
      <w:r w:rsidR="00140CCA" w:rsidRPr="00CD6E9A">
        <w:rPr>
          <w:rFonts w:asciiTheme="minorHAnsi" w:hAnsiTheme="minorHAnsi"/>
          <w:szCs w:val="22"/>
        </w:rPr>
        <w:t xml:space="preserve">Section </w:t>
      </w:r>
      <w:r w:rsidR="00E97EE5" w:rsidRPr="00CD6E9A">
        <w:rPr>
          <w:rFonts w:asciiTheme="minorHAnsi" w:hAnsiTheme="minorHAnsi"/>
          <w:szCs w:val="22"/>
        </w:rPr>
        <w:t xml:space="preserve">3.2.     </w:t>
      </w:r>
    </w:p>
    <w:p w14:paraId="0752F1CD" w14:textId="77777777" w:rsidR="001260D8" w:rsidRPr="00CF4818" w:rsidRDefault="001260D8" w:rsidP="00BA29F9">
      <w:pPr>
        <w:autoSpaceDE w:val="0"/>
        <w:autoSpaceDN w:val="0"/>
        <w:adjustRightInd w:val="0"/>
        <w:jc w:val="both"/>
        <w:rPr>
          <w:rFonts w:asciiTheme="minorHAnsi" w:hAnsiTheme="minorHAnsi"/>
          <w:szCs w:val="22"/>
        </w:rPr>
      </w:pPr>
    </w:p>
    <w:p w14:paraId="4CA572D0" w14:textId="7EF413CE" w:rsidR="000F5488" w:rsidRDefault="000F5488" w:rsidP="000559A9">
      <w:pPr>
        <w:jc w:val="both"/>
        <w:rPr>
          <w:rFonts w:asciiTheme="minorHAnsi" w:hAnsiTheme="minorHAnsi"/>
          <w:b/>
          <w:szCs w:val="22"/>
        </w:rPr>
      </w:pPr>
      <w:r>
        <w:rPr>
          <w:rFonts w:asciiTheme="minorHAnsi" w:hAnsiTheme="minorHAnsi"/>
          <w:b/>
          <w:szCs w:val="22"/>
        </w:rPr>
        <w:br w:type="page"/>
      </w:r>
    </w:p>
    <w:p w14:paraId="7D0AE6D3" w14:textId="0A451DBC" w:rsidR="000F5488" w:rsidRDefault="000F5488" w:rsidP="00BA29F9">
      <w:pPr>
        <w:jc w:val="both"/>
        <w:rPr>
          <w:rFonts w:asciiTheme="minorHAnsi" w:hAnsiTheme="minorHAnsi"/>
          <w:b/>
          <w:szCs w:val="22"/>
        </w:rPr>
      </w:pPr>
      <w:r>
        <w:rPr>
          <w:noProof/>
        </w:rPr>
        <w:drawing>
          <wp:inline distT="0" distB="0" distL="0" distR="0" wp14:anchorId="18926E65" wp14:editId="5461F64B">
            <wp:extent cx="5600700" cy="2345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2345169"/>
                    </a:xfrm>
                    <a:prstGeom prst="rect">
                      <a:avLst/>
                    </a:prstGeom>
                    <a:noFill/>
                  </pic:spPr>
                </pic:pic>
              </a:graphicData>
            </a:graphic>
          </wp:inline>
        </w:drawing>
      </w:r>
    </w:p>
    <w:p w14:paraId="516D8A21" w14:textId="77777777" w:rsidR="000F5488" w:rsidRDefault="000F5488" w:rsidP="00BA29F9">
      <w:pPr>
        <w:jc w:val="both"/>
        <w:rPr>
          <w:rFonts w:asciiTheme="minorHAnsi" w:hAnsiTheme="minorHAnsi"/>
          <w:b/>
          <w:szCs w:val="22"/>
        </w:rPr>
      </w:pPr>
    </w:p>
    <w:p w14:paraId="6FB85FC7" w14:textId="3C028D35" w:rsidR="000F5488" w:rsidRDefault="00737998" w:rsidP="00BA29F9">
      <w:pPr>
        <w:jc w:val="both"/>
        <w:rPr>
          <w:rFonts w:asciiTheme="minorHAnsi" w:hAnsiTheme="minorHAnsi"/>
          <w:b/>
          <w:szCs w:val="22"/>
        </w:rPr>
      </w:pPr>
      <w:r>
        <w:rPr>
          <w:noProof/>
        </w:rPr>
        <w:drawing>
          <wp:inline distT="0" distB="0" distL="0" distR="0" wp14:anchorId="48F0115B" wp14:editId="1595A1AB">
            <wp:extent cx="5600700" cy="2360207"/>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2360207"/>
                    </a:xfrm>
                    <a:prstGeom prst="rect">
                      <a:avLst/>
                    </a:prstGeom>
                    <a:noFill/>
                  </pic:spPr>
                </pic:pic>
              </a:graphicData>
            </a:graphic>
          </wp:inline>
        </w:drawing>
      </w:r>
    </w:p>
    <w:p w14:paraId="0625FF3C" w14:textId="77777777" w:rsidR="000F5488" w:rsidRDefault="000F5488" w:rsidP="00BA29F9">
      <w:pPr>
        <w:jc w:val="both"/>
        <w:rPr>
          <w:rFonts w:asciiTheme="minorHAnsi" w:hAnsiTheme="minorHAnsi"/>
          <w:b/>
          <w:szCs w:val="22"/>
        </w:rPr>
      </w:pPr>
    </w:p>
    <w:p w14:paraId="5ADF4918" w14:textId="526A1390" w:rsidR="000F5488" w:rsidRDefault="007F6B3A" w:rsidP="00BA29F9">
      <w:pPr>
        <w:jc w:val="both"/>
        <w:rPr>
          <w:rFonts w:asciiTheme="minorHAnsi" w:hAnsiTheme="minorHAnsi"/>
          <w:b/>
          <w:szCs w:val="22"/>
        </w:rPr>
      </w:pPr>
      <w:r>
        <w:rPr>
          <w:rFonts w:asciiTheme="minorHAnsi" w:hAnsiTheme="minorHAnsi"/>
          <w:b/>
          <w:noProof/>
          <w:szCs w:val="22"/>
        </w:rPr>
        <w:drawing>
          <wp:inline distT="0" distB="0" distL="0" distR="0" wp14:anchorId="3F187258" wp14:editId="4A74D317">
            <wp:extent cx="5600700" cy="23109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506" cy="2313789"/>
                    </a:xfrm>
                    <a:prstGeom prst="rect">
                      <a:avLst/>
                    </a:prstGeom>
                    <a:noFill/>
                  </pic:spPr>
                </pic:pic>
              </a:graphicData>
            </a:graphic>
          </wp:inline>
        </w:drawing>
      </w:r>
    </w:p>
    <w:p w14:paraId="03E32E16" w14:textId="77777777" w:rsidR="000F5488" w:rsidRDefault="000F5488" w:rsidP="00BA29F9">
      <w:pPr>
        <w:jc w:val="both"/>
        <w:rPr>
          <w:rFonts w:asciiTheme="minorHAnsi" w:hAnsiTheme="minorHAnsi"/>
          <w:b/>
          <w:szCs w:val="22"/>
        </w:rPr>
      </w:pPr>
    </w:p>
    <w:p w14:paraId="094A88D0" w14:textId="6607F851" w:rsidR="000F5488" w:rsidRPr="00CD6E9A" w:rsidRDefault="000F5488">
      <w:pPr>
        <w:rPr>
          <w:rFonts w:asciiTheme="minorHAnsi" w:hAnsiTheme="minorHAnsi"/>
          <w:szCs w:val="22"/>
        </w:rPr>
      </w:pPr>
      <w:r w:rsidRPr="00CD6E9A">
        <w:rPr>
          <w:rFonts w:asciiTheme="minorHAnsi" w:hAnsiTheme="minorHAnsi"/>
          <w:b/>
          <w:szCs w:val="22"/>
        </w:rPr>
        <w:t xml:space="preserve">Figure 1. </w:t>
      </w:r>
      <w:r w:rsidR="00184856" w:rsidRPr="00CD6E9A">
        <w:rPr>
          <w:rFonts w:asciiTheme="minorHAnsi" w:hAnsiTheme="minorHAnsi"/>
          <w:szCs w:val="22"/>
        </w:rPr>
        <w:t xml:space="preserve">General </w:t>
      </w:r>
      <w:r w:rsidR="00140CCA" w:rsidRPr="00CD6E9A">
        <w:rPr>
          <w:rFonts w:asciiTheme="minorHAnsi" w:hAnsiTheme="minorHAnsi"/>
          <w:szCs w:val="22"/>
        </w:rPr>
        <w:t xml:space="preserve"> </w:t>
      </w:r>
      <w:r w:rsidR="00184856" w:rsidRPr="00CD6E9A">
        <w:rPr>
          <w:rFonts w:asciiTheme="minorHAnsi" w:hAnsiTheme="minorHAnsi"/>
          <w:szCs w:val="22"/>
        </w:rPr>
        <w:t>time-a</w:t>
      </w:r>
      <w:r w:rsidRPr="00CD6E9A">
        <w:rPr>
          <w:rFonts w:asciiTheme="minorHAnsi" w:hAnsiTheme="minorHAnsi"/>
          <w:szCs w:val="22"/>
        </w:rPr>
        <w:t>ctivity profiles of school-going children, office workers and the elderly</w:t>
      </w:r>
      <w:r w:rsidR="00C72499" w:rsidRPr="00CD6E9A">
        <w:rPr>
          <w:rFonts w:asciiTheme="minorHAnsi" w:hAnsiTheme="minorHAnsi"/>
          <w:szCs w:val="22"/>
        </w:rPr>
        <w:t xml:space="preserve"> in winter weekdays.</w:t>
      </w:r>
      <w:r w:rsidRPr="00CD6E9A">
        <w:rPr>
          <w:rFonts w:asciiTheme="minorHAnsi" w:hAnsiTheme="minorHAnsi"/>
          <w:szCs w:val="22"/>
        </w:rPr>
        <w:t xml:space="preserve"> </w:t>
      </w:r>
    </w:p>
    <w:p w14:paraId="7F573A3C" w14:textId="77777777" w:rsidR="000F5488" w:rsidRDefault="000F5488">
      <w:pPr>
        <w:rPr>
          <w:rFonts w:asciiTheme="minorHAnsi" w:hAnsiTheme="minorHAnsi"/>
          <w:b/>
          <w:szCs w:val="22"/>
        </w:rPr>
      </w:pPr>
      <w:r>
        <w:rPr>
          <w:rFonts w:asciiTheme="minorHAnsi" w:hAnsiTheme="minorHAnsi"/>
          <w:b/>
          <w:szCs w:val="22"/>
        </w:rPr>
        <w:br w:type="page"/>
      </w:r>
    </w:p>
    <w:p w14:paraId="1412E70B" w14:textId="133F91A9" w:rsidR="004471D4" w:rsidRPr="00CF4818" w:rsidRDefault="004471D4" w:rsidP="00BA29F9">
      <w:pPr>
        <w:jc w:val="both"/>
        <w:rPr>
          <w:rFonts w:asciiTheme="minorHAnsi" w:hAnsiTheme="minorHAnsi"/>
          <w:i/>
          <w:szCs w:val="22"/>
        </w:rPr>
      </w:pPr>
      <w:r w:rsidRPr="00CF4818">
        <w:rPr>
          <w:rFonts w:asciiTheme="minorHAnsi" w:hAnsiTheme="minorHAnsi"/>
          <w:b/>
          <w:szCs w:val="22"/>
        </w:rPr>
        <w:t>2.</w:t>
      </w:r>
      <w:r w:rsidR="00184856">
        <w:rPr>
          <w:rFonts w:asciiTheme="minorHAnsi" w:hAnsiTheme="minorHAnsi"/>
          <w:b/>
          <w:szCs w:val="22"/>
        </w:rPr>
        <w:t>3</w:t>
      </w:r>
      <w:r w:rsidRPr="00CF4818">
        <w:rPr>
          <w:rFonts w:asciiTheme="minorHAnsi" w:hAnsiTheme="minorHAnsi"/>
          <w:b/>
          <w:szCs w:val="22"/>
        </w:rPr>
        <w:t xml:space="preserve"> </w:t>
      </w:r>
      <w:r w:rsidR="00F57CFF" w:rsidRPr="00CF4818">
        <w:rPr>
          <w:rFonts w:asciiTheme="minorHAnsi" w:hAnsiTheme="minorHAnsi"/>
          <w:b/>
          <w:szCs w:val="22"/>
        </w:rPr>
        <w:tab/>
      </w:r>
      <w:r w:rsidR="002A1540" w:rsidRPr="00CF4818">
        <w:rPr>
          <w:rFonts w:asciiTheme="minorHAnsi" w:hAnsiTheme="minorHAnsi"/>
          <w:b/>
          <w:szCs w:val="22"/>
        </w:rPr>
        <w:t>M</w:t>
      </w:r>
      <w:r w:rsidRPr="00CF4818">
        <w:rPr>
          <w:rFonts w:asciiTheme="minorHAnsi" w:hAnsiTheme="minorHAnsi"/>
          <w:b/>
          <w:szCs w:val="22"/>
        </w:rPr>
        <w:t>icroenvironmental model (INDAIR-2)</w:t>
      </w:r>
    </w:p>
    <w:p w14:paraId="343652DC" w14:textId="77777777" w:rsidR="008D1D4E" w:rsidRPr="00CF4818" w:rsidRDefault="008D1D4E" w:rsidP="00BA29F9">
      <w:pPr>
        <w:jc w:val="both"/>
        <w:rPr>
          <w:rFonts w:asciiTheme="minorHAnsi" w:hAnsiTheme="minorHAnsi"/>
          <w:i/>
          <w:szCs w:val="22"/>
        </w:rPr>
      </w:pPr>
    </w:p>
    <w:p w14:paraId="23158ECD" w14:textId="6A63C18F" w:rsidR="004471D4" w:rsidRPr="00CF4818" w:rsidRDefault="00184856" w:rsidP="00BA29F9">
      <w:pPr>
        <w:jc w:val="both"/>
        <w:rPr>
          <w:rFonts w:asciiTheme="minorHAnsi" w:hAnsiTheme="minorHAnsi"/>
          <w:i/>
          <w:szCs w:val="22"/>
        </w:rPr>
      </w:pPr>
      <w:r>
        <w:rPr>
          <w:rFonts w:asciiTheme="minorHAnsi" w:hAnsiTheme="minorHAnsi"/>
          <w:i/>
          <w:szCs w:val="22"/>
        </w:rPr>
        <w:t xml:space="preserve">2.3.1 </w:t>
      </w:r>
      <w:r w:rsidR="004471D4" w:rsidRPr="00CF4818">
        <w:rPr>
          <w:rFonts w:asciiTheme="minorHAnsi" w:hAnsiTheme="minorHAnsi"/>
          <w:i/>
          <w:szCs w:val="22"/>
        </w:rPr>
        <w:t xml:space="preserve"> </w:t>
      </w:r>
      <w:r w:rsidR="00F57CFF" w:rsidRPr="00CF4818">
        <w:rPr>
          <w:rFonts w:asciiTheme="minorHAnsi" w:hAnsiTheme="minorHAnsi"/>
          <w:i/>
          <w:szCs w:val="22"/>
        </w:rPr>
        <w:tab/>
      </w:r>
      <w:r w:rsidR="004471D4" w:rsidRPr="00CF4818">
        <w:rPr>
          <w:rFonts w:asciiTheme="minorHAnsi" w:hAnsiTheme="minorHAnsi"/>
          <w:i/>
          <w:szCs w:val="22"/>
        </w:rPr>
        <w:t>Overview</w:t>
      </w:r>
    </w:p>
    <w:p w14:paraId="0D140FE3" w14:textId="77777777" w:rsidR="008D1D4E" w:rsidRPr="00CF4818" w:rsidRDefault="008D1D4E" w:rsidP="00BA29F9">
      <w:pPr>
        <w:pStyle w:val="HTMLBody"/>
        <w:jc w:val="both"/>
        <w:rPr>
          <w:rFonts w:asciiTheme="minorHAnsi" w:hAnsiTheme="minorHAnsi"/>
          <w:snapToGrid/>
          <w:sz w:val="22"/>
          <w:szCs w:val="22"/>
        </w:rPr>
      </w:pPr>
    </w:p>
    <w:p w14:paraId="55B240E5" w14:textId="560CC869" w:rsidR="004471D4" w:rsidRPr="00CF4818" w:rsidRDefault="00B233E2" w:rsidP="00BA29F9">
      <w:pPr>
        <w:pStyle w:val="HTMLBody"/>
        <w:jc w:val="both"/>
        <w:rPr>
          <w:rFonts w:asciiTheme="minorHAnsi" w:hAnsiTheme="minorHAnsi"/>
          <w:snapToGrid/>
          <w:sz w:val="22"/>
          <w:szCs w:val="22"/>
        </w:rPr>
      </w:pPr>
      <w:r w:rsidRPr="00CF4818">
        <w:rPr>
          <w:rFonts w:asciiTheme="minorHAnsi" w:hAnsiTheme="minorHAnsi"/>
          <w:snapToGrid/>
          <w:sz w:val="22"/>
          <w:szCs w:val="22"/>
        </w:rPr>
        <w:t>The original INDAIR model is</w:t>
      </w:r>
      <w:r w:rsidR="004471D4" w:rsidRPr="00CF4818">
        <w:rPr>
          <w:rFonts w:asciiTheme="minorHAnsi" w:hAnsiTheme="minorHAnsi"/>
          <w:snapToGrid/>
          <w:sz w:val="22"/>
          <w:szCs w:val="22"/>
        </w:rPr>
        <w:t xml:space="preserve"> a </w:t>
      </w:r>
      <w:r w:rsidR="004471D4" w:rsidRPr="00CD6E9A">
        <w:rPr>
          <w:rFonts w:asciiTheme="minorHAnsi" w:hAnsiTheme="minorHAnsi"/>
          <w:snapToGrid/>
          <w:color w:val="FF0000"/>
          <w:sz w:val="22"/>
          <w:szCs w:val="22"/>
        </w:rPr>
        <w:t>probabilistic micro-environmental model</w:t>
      </w:r>
      <w:r w:rsidR="004471D4" w:rsidRPr="00CF4818">
        <w:rPr>
          <w:rFonts w:asciiTheme="minorHAnsi" w:hAnsiTheme="minorHAnsi"/>
          <w:snapToGrid/>
          <w:sz w:val="22"/>
          <w:szCs w:val="22"/>
        </w:rPr>
        <w:t>, which simulate</w:t>
      </w:r>
      <w:r w:rsidR="008D1D4E" w:rsidRPr="00CF4818">
        <w:rPr>
          <w:rFonts w:asciiTheme="minorHAnsi" w:hAnsiTheme="minorHAnsi"/>
          <w:snapToGrid/>
          <w:sz w:val="22"/>
          <w:szCs w:val="22"/>
        </w:rPr>
        <w:t>s</w:t>
      </w:r>
      <w:r w:rsidR="004471D4" w:rsidRPr="00CF4818">
        <w:rPr>
          <w:rFonts w:asciiTheme="minorHAnsi" w:hAnsiTheme="minorHAnsi"/>
          <w:snapToGrid/>
          <w:sz w:val="22"/>
          <w:szCs w:val="22"/>
        </w:rPr>
        <w:t xml:space="preserve"> analytically </w:t>
      </w:r>
      <w:r w:rsidR="00507FD7" w:rsidRPr="00CF4818">
        <w:rPr>
          <w:rFonts w:asciiTheme="minorHAnsi" w:hAnsiTheme="minorHAnsi"/>
          <w:snapToGrid/>
          <w:sz w:val="22"/>
          <w:szCs w:val="22"/>
        </w:rPr>
        <w:t xml:space="preserve">the </w:t>
      </w:r>
      <w:r w:rsidR="004471D4" w:rsidRPr="00CF4818">
        <w:rPr>
          <w:rFonts w:asciiTheme="minorHAnsi" w:hAnsiTheme="minorHAnsi"/>
          <w:snapToGrid/>
          <w:sz w:val="22"/>
          <w:szCs w:val="22"/>
        </w:rPr>
        <w:t>frequency distributions of indoor air pollutant concentrations in the three major home microenvironments (MEs)</w:t>
      </w:r>
      <w:r w:rsidR="008D1D4E" w:rsidRPr="00CF4818">
        <w:rPr>
          <w:rFonts w:asciiTheme="minorHAnsi" w:hAnsiTheme="minorHAnsi"/>
          <w:snapToGrid/>
          <w:sz w:val="22"/>
          <w:szCs w:val="22"/>
        </w:rPr>
        <w:t xml:space="preserve">, </w:t>
      </w:r>
      <w:r w:rsidR="004471D4" w:rsidRPr="00CF4818">
        <w:rPr>
          <w:rFonts w:asciiTheme="minorHAnsi" w:hAnsiTheme="minorHAnsi"/>
          <w:snapToGrid/>
          <w:sz w:val="22"/>
          <w:szCs w:val="22"/>
        </w:rPr>
        <w:t>kitchen, lounge and bedroom</w:t>
      </w:r>
      <w:r w:rsidR="00302107" w:rsidRPr="00CF4818">
        <w:rPr>
          <w:rFonts w:asciiTheme="minorHAnsi" w:hAnsiTheme="minorHAnsi"/>
          <w:snapToGrid/>
          <w:sz w:val="22"/>
          <w:szCs w:val="22"/>
        </w:rPr>
        <w:t xml:space="preserve"> (Dimitroulopoulou et al., 2006</w:t>
      </w:r>
      <w:r w:rsidR="004471D4" w:rsidRPr="00CF4818">
        <w:rPr>
          <w:rFonts w:asciiTheme="minorHAnsi" w:hAnsiTheme="minorHAnsi"/>
          <w:snapToGrid/>
          <w:sz w:val="22"/>
          <w:szCs w:val="22"/>
        </w:rPr>
        <w:t xml:space="preserve">). </w:t>
      </w:r>
      <w:r w:rsidR="008D1D4E" w:rsidRPr="00CF4818">
        <w:rPr>
          <w:rFonts w:asciiTheme="minorHAnsi" w:hAnsiTheme="minorHAnsi"/>
          <w:snapToGrid/>
          <w:sz w:val="22"/>
          <w:szCs w:val="22"/>
        </w:rPr>
        <w:t>INDAIR</w:t>
      </w:r>
      <w:r w:rsidR="004471D4" w:rsidRPr="00CF4818">
        <w:rPr>
          <w:rFonts w:asciiTheme="minorHAnsi" w:hAnsiTheme="minorHAnsi"/>
          <w:snapToGrid/>
          <w:sz w:val="22"/>
          <w:szCs w:val="22"/>
        </w:rPr>
        <w:t xml:space="preserve"> use</w:t>
      </w:r>
      <w:r w:rsidR="00C2757B">
        <w:rPr>
          <w:rFonts w:asciiTheme="minorHAnsi" w:hAnsiTheme="minorHAnsi"/>
          <w:snapToGrid/>
          <w:sz w:val="22"/>
          <w:szCs w:val="22"/>
        </w:rPr>
        <w:t>s</w:t>
      </w:r>
      <w:r w:rsidR="004471D4" w:rsidRPr="00CF4818">
        <w:rPr>
          <w:rFonts w:asciiTheme="minorHAnsi" w:hAnsiTheme="minorHAnsi"/>
          <w:snapToGrid/>
          <w:sz w:val="22"/>
          <w:szCs w:val="22"/>
        </w:rPr>
        <w:t xml:space="preserve"> an assumed fixed activity pattern for smoking an</w:t>
      </w:r>
      <w:r w:rsidR="0045681B" w:rsidRPr="00CF4818">
        <w:rPr>
          <w:rFonts w:asciiTheme="minorHAnsi" w:hAnsiTheme="minorHAnsi"/>
          <w:snapToGrid/>
          <w:sz w:val="22"/>
          <w:szCs w:val="22"/>
        </w:rPr>
        <w:t>d cooking</w:t>
      </w:r>
      <w:r w:rsidR="00507FD7" w:rsidRPr="00CF4818">
        <w:rPr>
          <w:rFonts w:asciiTheme="minorHAnsi" w:hAnsiTheme="minorHAnsi"/>
          <w:snapToGrid/>
          <w:sz w:val="22"/>
          <w:szCs w:val="22"/>
        </w:rPr>
        <w:t xml:space="preserve">, and so </w:t>
      </w:r>
      <w:r w:rsidR="00C2757B">
        <w:rPr>
          <w:rFonts w:asciiTheme="minorHAnsi" w:hAnsiTheme="minorHAnsi"/>
          <w:snapToGrid/>
          <w:sz w:val="22"/>
          <w:szCs w:val="22"/>
        </w:rPr>
        <w:t>can</w:t>
      </w:r>
      <w:r w:rsidR="00507FD7" w:rsidRPr="00CF4818">
        <w:rPr>
          <w:rFonts w:asciiTheme="minorHAnsi" w:hAnsiTheme="minorHAnsi"/>
          <w:snapToGrid/>
          <w:sz w:val="22"/>
          <w:szCs w:val="22"/>
        </w:rPr>
        <w:t>not capture the range of activit</w:t>
      </w:r>
      <w:r w:rsidR="008D1D4E" w:rsidRPr="00CF4818">
        <w:rPr>
          <w:rFonts w:asciiTheme="minorHAnsi" w:hAnsiTheme="minorHAnsi"/>
          <w:snapToGrid/>
          <w:sz w:val="22"/>
          <w:szCs w:val="22"/>
        </w:rPr>
        <w:t>ies</w:t>
      </w:r>
      <w:r w:rsidR="00507FD7" w:rsidRPr="00CF4818">
        <w:rPr>
          <w:rFonts w:asciiTheme="minorHAnsi" w:hAnsiTheme="minorHAnsi"/>
          <w:snapToGrid/>
          <w:sz w:val="22"/>
          <w:szCs w:val="22"/>
        </w:rPr>
        <w:t xml:space="preserve"> in </w:t>
      </w:r>
      <w:r w:rsidR="008D1D4E" w:rsidRPr="00CF4818">
        <w:rPr>
          <w:rFonts w:asciiTheme="minorHAnsi" w:hAnsiTheme="minorHAnsi"/>
          <w:snapToGrid/>
          <w:sz w:val="22"/>
          <w:szCs w:val="22"/>
        </w:rPr>
        <w:t xml:space="preserve">different </w:t>
      </w:r>
      <w:r w:rsidR="00507FD7" w:rsidRPr="00CF4818">
        <w:rPr>
          <w:rFonts w:asciiTheme="minorHAnsi" w:hAnsiTheme="minorHAnsi"/>
          <w:snapToGrid/>
          <w:sz w:val="22"/>
          <w:szCs w:val="22"/>
        </w:rPr>
        <w:t>homes over the course of the day.</w:t>
      </w:r>
      <w:r w:rsidR="004471D4" w:rsidRPr="00CF4818">
        <w:rPr>
          <w:rFonts w:asciiTheme="minorHAnsi" w:hAnsiTheme="minorHAnsi"/>
          <w:snapToGrid/>
          <w:sz w:val="22"/>
          <w:szCs w:val="22"/>
        </w:rPr>
        <w:t xml:space="preserve"> INDAIR </w:t>
      </w:r>
      <w:r w:rsidR="00507FD7" w:rsidRPr="00CF4818">
        <w:rPr>
          <w:rFonts w:asciiTheme="minorHAnsi" w:hAnsiTheme="minorHAnsi"/>
          <w:snapToGrid/>
          <w:sz w:val="22"/>
          <w:szCs w:val="22"/>
        </w:rPr>
        <w:t xml:space="preserve">also </w:t>
      </w:r>
      <w:r w:rsidR="004471D4" w:rsidRPr="00CF4818">
        <w:rPr>
          <w:rFonts w:asciiTheme="minorHAnsi" w:hAnsiTheme="minorHAnsi"/>
          <w:snapToGrid/>
          <w:sz w:val="22"/>
          <w:szCs w:val="22"/>
        </w:rPr>
        <w:t>incorporate</w:t>
      </w:r>
      <w:r w:rsidR="00C2757B">
        <w:rPr>
          <w:rFonts w:asciiTheme="minorHAnsi" w:hAnsiTheme="minorHAnsi"/>
          <w:snapToGrid/>
          <w:sz w:val="22"/>
          <w:szCs w:val="22"/>
        </w:rPr>
        <w:t>s</w:t>
      </w:r>
      <w:r w:rsidR="004471D4" w:rsidRPr="00CF4818">
        <w:rPr>
          <w:rFonts w:asciiTheme="minorHAnsi" w:hAnsiTheme="minorHAnsi"/>
          <w:snapToGrid/>
          <w:sz w:val="22"/>
          <w:szCs w:val="22"/>
        </w:rPr>
        <w:t xml:space="preserve"> only one outdoor concentration profile, and </w:t>
      </w:r>
      <w:r w:rsidR="00C2757B">
        <w:rPr>
          <w:rFonts w:asciiTheme="minorHAnsi" w:hAnsiTheme="minorHAnsi"/>
          <w:snapToGrid/>
          <w:sz w:val="22"/>
          <w:szCs w:val="22"/>
        </w:rPr>
        <w:t>can</w:t>
      </w:r>
      <w:r w:rsidR="00507FD7" w:rsidRPr="00CF4818">
        <w:rPr>
          <w:rFonts w:asciiTheme="minorHAnsi" w:hAnsiTheme="minorHAnsi"/>
          <w:snapToGrid/>
          <w:sz w:val="22"/>
          <w:szCs w:val="22"/>
        </w:rPr>
        <w:t>not simulate exposure over the range of outdoor concentrations</w:t>
      </w:r>
      <w:r w:rsidR="004471D4" w:rsidRPr="00CF4818">
        <w:rPr>
          <w:rFonts w:asciiTheme="minorHAnsi" w:hAnsiTheme="minorHAnsi"/>
          <w:snapToGrid/>
          <w:sz w:val="22"/>
          <w:szCs w:val="22"/>
        </w:rPr>
        <w:t xml:space="preserve"> across an urban population. </w:t>
      </w:r>
      <w:r w:rsidR="00507FD7" w:rsidRPr="00CF4818">
        <w:rPr>
          <w:rFonts w:asciiTheme="minorHAnsi" w:hAnsiTheme="minorHAnsi"/>
          <w:snapToGrid/>
          <w:sz w:val="22"/>
          <w:szCs w:val="22"/>
        </w:rPr>
        <w:t xml:space="preserve">The INDAIR-2 model is more flexible, including variation in cooking and smoking activity across the population, over the course of a day and has been expanded to include up to 20 no-source and source MEs. </w:t>
      </w:r>
      <w:r w:rsidR="004471D4" w:rsidRPr="00CF4818">
        <w:rPr>
          <w:rFonts w:asciiTheme="minorHAnsi" w:hAnsiTheme="minorHAnsi"/>
          <w:snapToGrid/>
          <w:sz w:val="22"/>
          <w:szCs w:val="22"/>
        </w:rPr>
        <w:t xml:space="preserve">INDAIR-2 </w:t>
      </w:r>
      <w:r w:rsidR="00507FD7" w:rsidRPr="00CF4818">
        <w:rPr>
          <w:rFonts w:asciiTheme="minorHAnsi" w:hAnsiTheme="minorHAnsi"/>
          <w:snapToGrid/>
          <w:sz w:val="22"/>
          <w:szCs w:val="22"/>
        </w:rPr>
        <w:t xml:space="preserve">also </w:t>
      </w:r>
      <w:r w:rsidR="004471D4" w:rsidRPr="00CF4818">
        <w:rPr>
          <w:rFonts w:asciiTheme="minorHAnsi" w:hAnsiTheme="minorHAnsi"/>
          <w:snapToGrid/>
          <w:sz w:val="22"/>
          <w:szCs w:val="22"/>
        </w:rPr>
        <w:t xml:space="preserve">simulates indoor concentrations as a function of </w:t>
      </w:r>
      <w:r w:rsidR="00B0772D" w:rsidRPr="00CF4818">
        <w:rPr>
          <w:rFonts w:asciiTheme="minorHAnsi" w:hAnsiTheme="minorHAnsi"/>
          <w:snapToGrid/>
          <w:sz w:val="22"/>
          <w:szCs w:val="22"/>
        </w:rPr>
        <w:t xml:space="preserve">different </w:t>
      </w:r>
      <w:r w:rsidR="004471D4" w:rsidRPr="00CF4818">
        <w:rPr>
          <w:rFonts w:asciiTheme="minorHAnsi" w:hAnsiTheme="minorHAnsi"/>
          <w:snapToGrid/>
          <w:sz w:val="22"/>
          <w:szCs w:val="22"/>
        </w:rPr>
        <w:t>outdoor concentration profiles</w:t>
      </w:r>
      <w:r w:rsidR="00C8024E">
        <w:rPr>
          <w:rFonts w:asciiTheme="minorHAnsi" w:hAnsiTheme="minorHAnsi"/>
          <w:snapToGrid/>
          <w:sz w:val="22"/>
          <w:szCs w:val="22"/>
        </w:rPr>
        <w:t xml:space="preserve"> (Section 2.3</w:t>
      </w:r>
      <w:r w:rsidR="00E15734" w:rsidRPr="00CF4818">
        <w:rPr>
          <w:rFonts w:asciiTheme="minorHAnsi" w:hAnsiTheme="minorHAnsi"/>
          <w:snapToGrid/>
          <w:sz w:val="22"/>
          <w:szCs w:val="22"/>
        </w:rPr>
        <w:t>.2)</w:t>
      </w:r>
      <w:r w:rsidR="004471D4" w:rsidRPr="00CF4818">
        <w:rPr>
          <w:rFonts w:asciiTheme="minorHAnsi" w:hAnsiTheme="minorHAnsi"/>
          <w:snapToGrid/>
          <w:sz w:val="22"/>
          <w:szCs w:val="22"/>
        </w:rPr>
        <w:t>, according to the location of the microenvironments.</w:t>
      </w:r>
    </w:p>
    <w:p w14:paraId="32706B55" w14:textId="77777777" w:rsidR="004471D4" w:rsidRPr="00CF4818" w:rsidRDefault="004471D4" w:rsidP="00BA29F9">
      <w:pPr>
        <w:jc w:val="both"/>
        <w:rPr>
          <w:rFonts w:asciiTheme="minorHAnsi" w:hAnsiTheme="minorHAnsi"/>
          <w:szCs w:val="22"/>
        </w:rPr>
      </w:pPr>
    </w:p>
    <w:p w14:paraId="1DD26310" w14:textId="77777777" w:rsidR="006112B5" w:rsidRPr="00137DB4" w:rsidRDefault="004471D4" w:rsidP="00BA29F9">
      <w:pPr>
        <w:pStyle w:val="HTMLBody"/>
        <w:jc w:val="both"/>
        <w:rPr>
          <w:rFonts w:asciiTheme="minorHAnsi" w:hAnsiTheme="minorHAnsi"/>
          <w:snapToGrid/>
          <w:sz w:val="22"/>
          <w:szCs w:val="22"/>
        </w:rPr>
      </w:pPr>
      <w:r w:rsidRPr="00137DB4">
        <w:rPr>
          <w:rFonts w:asciiTheme="minorHAnsi" w:hAnsiTheme="minorHAnsi"/>
          <w:snapToGrid/>
          <w:sz w:val="22"/>
          <w:szCs w:val="22"/>
        </w:rPr>
        <w:t xml:space="preserve">INDAIR-2 predicts the concentrations in </w:t>
      </w:r>
      <w:r w:rsidR="008D1D4E" w:rsidRPr="00137DB4">
        <w:rPr>
          <w:rFonts w:asciiTheme="minorHAnsi" w:hAnsiTheme="minorHAnsi"/>
          <w:snapToGrid/>
          <w:sz w:val="22"/>
          <w:szCs w:val="22"/>
        </w:rPr>
        <w:t>indoor given</w:t>
      </w:r>
      <w:r w:rsidRPr="00137DB4">
        <w:rPr>
          <w:rFonts w:asciiTheme="minorHAnsi" w:hAnsiTheme="minorHAnsi"/>
          <w:snapToGrid/>
          <w:sz w:val="22"/>
          <w:szCs w:val="22"/>
        </w:rPr>
        <w:t xml:space="preserve"> ME</w:t>
      </w:r>
      <w:r w:rsidR="008D1D4E" w:rsidRPr="00137DB4">
        <w:rPr>
          <w:rFonts w:asciiTheme="minorHAnsi" w:hAnsiTheme="minorHAnsi"/>
          <w:snapToGrid/>
          <w:sz w:val="22"/>
          <w:szCs w:val="22"/>
        </w:rPr>
        <w:t xml:space="preserve"> (C</w:t>
      </w:r>
      <w:r w:rsidR="00E97BB8" w:rsidRPr="00137DB4">
        <w:rPr>
          <w:rFonts w:asciiTheme="minorHAnsi" w:hAnsiTheme="minorHAnsi"/>
          <w:snapToGrid/>
          <w:sz w:val="22"/>
          <w:szCs w:val="22"/>
          <w:vertAlign w:val="subscript"/>
        </w:rPr>
        <w:t>in</w:t>
      </w:r>
      <w:r w:rsidR="008D1D4E" w:rsidRPr="00137DB4">
        <w:rPr>
          <w:rFonts w:asciiTheme="minorHAnsi" w:hAnsiTheme="minorHAnsi"/>
          <w:snapToGrid/>
          <w:sz w:val="22"/>
          <w:szCs w:val="22"/>
        </w:rPr>
        <w:t>) from the outdoor concentration (C</w:t>
      </w:r>
      <w:r w:rsidR="008D1D4E" w:rsidRPr="00137DB4">
        <w:rPr>
          <w:rFonts w:asciiTheme="minorHAnsi" w:hAnsiTheme="minorHAnsi"/>
          <w:snapToGrid/>
          <w:sz w:val="22"/>
          <w:szCs w:val="22"/>
          <w:vertAlign w:val="subscript"/>
        </w:rPr>
        <w:t>out</w:t>
      </w:r>
      <w:r w:rsidR="008D1D4E" w:rsidRPr="00137DB4">
        <w:rPr>
          <w:rFonts w:asciiTheme="minorHAnsi" w:hAnsiTheme="minorHAnsi"/>
          <w:snapToGrid/>
          <w:sz w:val="22"/>
          <w:szCs w:val="22"/>
        </w:rPr>
        <w:t>)</w:t>
      </w:r>
      <w:r w:rsidRPr="00137DB4">
        <w:rPr>
          <w:rFonts w:asciiTheme="minorHAnsi" w:hAnsiTheme="minorHAnsi"/>
          <w:snapToGrid/>
          <w:sz w:val="22"/>
          <w:szCs w:val="22"/>
        </w:rPr>
        <w:t xml:space="preserve"> usi</w:t>
      </w:r>
      <w:r w:rsidR="006112B5" w:rsidRPr="00137DB4">
        <w:rPr>
          <w:rFonts w:asciiTheme="minorHAnsi" w:hAnsiTheme="minorHAnsi"/>
          <w:snapToGrid/>
          <w:sz w:val="22"/>
          <w:szCs w:val="22"/>
        </w:rPr>
        <w:t>ng four regression coefficients:</w:t>
      </w:r>
      <w:r w:rsidRPr="00137DB4">
        <w:rPr>
          <w:rFonts w:asciiTheme="minorHAnsi" w:hAnsiTheme="minorHAnsi"/>
          <w:snapToGrid/>
          <w:sz w:val="22"/>
          <w:szCs w:val="22"/>
        </w:rPr>
        <w:t xml:space="preserve"> </w:t>
      </w:r>
    </w:p>
    <w:p w14:paraId="2B2F25B8" w14:textId="77777777" w:rsidR="00F10DB7" w:rsidRPr="00137DB4" w:rsidRDefault="00F10DB7" w:rsidP="00BA29F9">
      <w:pPr>
        <w:pStyle w:val="HTMLBody"/>
        <w:jc w:val="both"/>
        <w:rPr>
          <w:rFonts w:asciiTheme="minorHAnsi" w:hAnsiTheme="minorHAnsi"/>
          <w:snapToGrid/>
          <w:sz w:val="22"/>
          <w:szCs w:val="22"/>
        </w:rPr>
      </w:pPr>
    </w:p>
    <w:p w14:paraId="4AC6D391" w14:textId="24F909FE" w:rsidR="006112B5" w:rsidRPr="00137DB4" w:rsidRDefault="00CD2507" w:rsidP="00BA29F9">
      <w:pPr>
        <w:pStyle w:val="HTMLBody"/>
        <w:rPr>
          <w:rFonts w:asciiTheme="minorHAnsi" w:hAnsiTheme="minorHAnsi"/>
          <w:snapToGrid/>
          <w:sz w:val="22"/>
          <w:szCs w:val="22"/>
        </w:rPr>
      </w:pPr>
      <w:r w:rsidRPr="00CD2507">
        <w:rPr>
          <w:rFonts w:asciiTheme="minorHAnsi" w:hAnsiTheme="minorHAnsi"/>
          <w:snapToGrid/>
          <w:color w:val="FF0000"/>
          <w:sz w:val="22"/>
          <w:szCs w:val="22"/>
        </w:rPr>
        <w:t>log.</w:t>
      </w:r>
      <w:r w:rsidR="006112B5" w:rsidRPr="00CD2507">
        <w:rPr>
          <w:rFonts w:asciiTheme="minorHAnsi" w:hAnsiTheme="minorHAnsi"/>
          <w:snapToGrid/>
          <w:color w:val="FF0000"/>
          <w:sz w:val="22"/>
          <w:szCs w:val="22"/>
        </w:rPr>
        <w:t>C</w:t>
      </w:r>
      <w:r w:rsidR="00D27943" w:rsidRPr="00CD2507">
        <w:rPr>
          <w:rFonts w:asciiTheme="minorHAnsi" w:hAnsiTheme="minorHAnsi"/>
          <w:snapToGrid/>
          <w:color w:val="FF0000"/>
          <w:sz w:val="22"/>
          <w:szCs w:val="22"/>
          <w:vertAlign w:val="subscript"/>
        </w:rPr>
        <w:t>in</w:t>
      </w:r>
      <w:r w:rsidR="006112B5" w:rsidRPr="00CD2507">
        <w:rPr>
          <w:rFonts w:asciiTheme="minorHAnsi" w:hAnsiTheme="minorHAnsi"/>
          <w:snapToGrid/>
          <w:color w:val="FF0000"/>
          <w:sz w:val="22"/>
          <w:szCs w:val="22"/>
        </w:rPr>
        <w:t xml:space="preserve"> = b</w:t>
      </w:r>
      <w:r w:rsidR="00CB5622" w:rsidRPr="00CD2507">
        <w:rPr>
          <w:rFonts w:asciiTheme="minorHAnsi" w:hAnsiTheme="minorHAnsi"/>
          <w:snapToGrid/>
          <w:color w:val="FF0000"/>
          <w:sz w:val="22"/>
          <w:szCs w:val="22"/>
          <w:vertAlign w:val="subscript"/>
        </w:rPr>
        <w:t>0</w:t>
      </w:r>
      <w:r w:rsidR="006112B5" w:rsidRPr="00CD2507">
        <w:rPr>
          <w:rFonts w:asciiTheme="minorHAnsi" w:hAnsiTheme="minorHAnsi"/>
          <w:snapToGrid/>
          <w:color w:val="FF0000"/>
          <w:sz w:val="22"/>
          <w:szCs w:val="22"/>
        </w:rPr>
        <w:t xml:space="preserve"> + b</w:t>
      </w:r>
      <w:r w:rsidR="006112B5" w:rsidRPr="00CD2507">
        <w:rPr>
          <w:rFonts w:asciiTheme="minorHAnsi" w:hAnsiTheme="minorHAnsi"/>
          <w:snapToGrid/>
          <w:color w:val="FF0000"/>
          <w:sz w:val="22"/>
          <w:szCs w:val="22"/>
          <w:vertAlign w:val="subscript"/>
        </w:rPr>
        <w:t xml:space="preserve">1 </w:t>
      </w:r>
      <w:r w:rsidR="006112B5" w:rsidRPr="00CD2507">
        <w:rPr>
          <w:rFonts w:asciiTheme="minorHAnsi" w:hAnsiTheme="minorHAnsi"/>
          <w:snapToGrid/>
          <w:color w:val="FF0000"/>
          <w:sz w:val="22"/>
          <w:szCs w:val="22"/>
        </w:rPr>
        <w:t>+ b</w:t>
      </w:r>
      <w:r w:rsidR="006112B5" w:rsidRPr="00CD2507">
        <w:rPr>
          <w:rFonts w:asciiTheme="minorHAnsi" w:hAnsiTheme="minorHAnsi"/>
          <w:snapToGrid/>
          <w:color w:val="FF0000"/>
          <w:sz w:val="22"/>
          <w:szCs w:val="22"/>
          <w:vertAlign w:val="subscript"/>
        </w:rPr>
        <w:t>2</w:t>
      </w:r>
      <w:r w:rsidR="006112B5" w:rsidRPr="00CD2507">
        <w:rPr>
          <w:rFonts w:asciiTheme="minorHAnsi" w:hAnsiTheme="minorHAnsi"/>
          <w:snapToGrid/>
          <w:color w:val="FF0000"/>
          <w:sz w:val="22"/>
          <w:szCs w:val="22"/>
        </w:rPr>
        <w:t xml:space="preserve"> + b</w:t>
      </w:r>
      <w:r w:rsidR="006112B5" w:rsidRPr="00CD2507">
        <w:rPr>
          <w:rFonts w:asciiTheme="minorHAnsi" w:hAnsiTheme="minorHAnsi"/>
          <w:snapToGrid/>
          <w:color w:val="FF0000"/>
          <w:sz w:val="22"/>
          <w:szCs w:val="22"/>
          <w:vertAlign w:val="subscript"/>
        </w:rPr>
        <w:t>3</w:t>
      </w:r>
      <w:r w:rsidR="006112B5" w:rsidRPr="00CD2507">
        <w:rPr>
          <w:rFonts w:asciiTheme="minorHAnsi" w:hAnsiTheme="minorHAnsi"/>
          <w:snapToGrid/>
          <w:color w:val="FF0000"/>
          <w:sz w:val="22"/>
          <w:szCs w:val="22"/>
        </w:rPr>
        <w:t>*</w:t>
      </w:r>
      <w:r w:rsidRPr="00CD2507">
        <w:rPr>
          <w:rFonts w:asciiTheme="minorHAnsi" w:hAnsiTheme="minorHAnsi"/>
          <w:snapToGrid/>
          <w:color w:val="FF0000"/>
          <w:sz w:val="22"/>
          <w:szCs w:val="22"/>
        </w:rPr>
        <w:t>log</w:t>
      </w:r>
      <w:r w:rsidR="006901FB" w:rsidRPr="00CD2507">
        <w:rPr>
          <w:rFonts w:asciiTheme="minorHAnsi" w:hAnsiTheme="minorHAnsi"/>
          <w:snapToGrid/>
          <w:color w:val="FF0000"/>
          <w:sz w:val="22"/>
          <w:szCs w:val="22"/>
        </w:rPr>
        <w:t>.</w:t>
      </w:r>
      <w:r w:rsidR="006112B5" w:rsidRPr="00CD2507">
        <w:rPr>
          <w:rFonts w:asciiTheme="minorHAnsi" w:hAnsiTheme="minorHAnsi"/>
          <w:snapToGrid/>
          <w:color w:val="FF0000"/>
          <w:sz w:val="22"/>
          <w:szCs w:val="22"/>
        </w:rPr>
        <w:t>C</w:t>
      </w:r>
      <w:r w:rsidR="006112B5" w:rsidRPr="00CD2507">
        <w:rPr>
          <w:rFonts w:asciiTheme="minorHAnsi" w:hAnsiTheme="minorHAnsi"/>
          <w:snapToGrid/>
          <w:color w:val="FF0000"/>
          <w:sz w:val="22"/>
          <w:szCs w:val="22"/>
          <w:vertAlign w:val="subscript"/>
        </w:rPr>
        <w:t>out</w:t>
      </w:r>
      <w:r w:rsidR="006112B5" w:rsidRPr="00CD2507">
        <w:rPr>
          <w:rFonts w:asciiTheme="minorHAnsi" w:hAnsiTheme="minorHAnsi"/>
          <w:snapToGrid/>
          <w:color w:val="FF0000"/>
          <w:sz w:val="22"/>
          <w:szCs w:val="22"/>
        </w:rPr>
        <w:t xml:space="preserve"> </w:t>
      </w:r>
      <w:r w:rsidR="007B26E5" w:rsidRPr="00137DB4">
        <w:rPr>
          <w:rFonts w:asciiTheme="minorHAnsi" w:hAnsiTheme="minorHAnsi"/>
          <w:snapToGrid/>
          <w:sz w:val="22"/>
          <w:szCs w:val="22"/>
        </w:rPr>
        <w:tab/>
      </w:r>
      <w:r w:rsidR="007B26E5" w:rsidRPr="00137DB4">
        <w:rPr>
          <w:rFonts w:asciiTheme="minorHAnsi" w:hAnsiTheme="minorHAnsi"/>
          <w:snapToGrid/>
          <w:sz w:val="22"/>
          <w:szCs w:val="22"/>
        </w:rPr>
        <w:tab/>
      </w:r>
      <w:r w:rsidR="007B26E5" w:rsidRPr="00137DB4">
        <w:rPr>
          <w:rFonts w:asciiTheme="minorHAnsi" w:hAnsiTheme="minorHAnsi"/>
          <w:snapToGrid/>
          <w:sz w:val="22"/>
          <w:szCs w:val="22"/>
        </w:rPr>
        <w:tab/>
      </w:r>
      <w:r w:rsidR="007B26E5" w:rsidRPr="00137DB4">
        <w:rPr>
          <w:rFonts w:asciiTheme="minorHAnsi" w:hAnsiTheme="minorHAnsi"/>
          <w:snapToGrid/>
          <w:sz w:val="22"/>
          <w:szCs w:val="22"/>
        </w:rPr>
        <w:tab/>
      </w:r>
      <w:r w:rsidR="00653EA1" w:rsidRPr="00137DB4">
        <w:rPr>
          <w:rFonts w:asciiTheme="minorHAnsi" w:hAnsiTheme="minorHAnsi"/>
          <w:snapToGrid/>
          <w:sz w:val="22"/>
          <w:szCs w:val="22"/>
        </w:rPr>
        <w:t>Eq 1</w:t>
      </w:r>
      <w:r w:rsidR="007B26E5" w:rsidRPr="00137DB4">
        <w:rPr>
          <w:rFonts w:asciiTheme="minorHAnsi" w:hAnsiTheme="minorHAnsi"/>
          <w:snapToGrid/>
          <w:sz w:val="22"/>
          <w:szCs w:val="22"/>
        </w:rPr>
        <w:tab/>
      </w:r>
      <w:r w:rsidR="007B26E5" w:rsidRPr="00137DB4">
        <w:rPr>
          <w:rFonts w:asciiTheme="minorHAnsi" w:hAnsiTheme="minorHAnsi"/>
          <w:snapToGrid/>
          <w:sz w:val="22"/>
          <w:szCs w:val="22"/>
        </w:rPr>
        <w:tab/>
      </w:r>
      <w:r w:rsidR="006112B5" w:rsidRPr="00137DB4">
        <w:rPr>
          <w:rFonts w:asciiTheme="minorHAnsi" w:hAnsiTheme="minorHAnsi"/>
          <w:snapToGrid/>
          <w:sz w:val="22"/>
          <w:szCs w:val="22"/>
        </w:rPr>
        <w:tab/>
      </w:r>
      <w:r w:rsidR="006112B5" w:rsidRPr="00137DB4">
        <w:rPr>
          <w:rFonts w:asciiTheme="minorHAnsi" w:hAnsiTheme="minorHAnsi"/>
          <w:snapToGrid/>
          <w:sz w:val="22"/>
          <w:szCs w:val="22"/>
        </w:rPr>
        <w:tab/>
      </w:r>
      <w:r w:rsidR="006112B5" w:rsidRPr="00137DB4">
        <w:rPr>
          <w:rFonts w:asciiTheme="minorHAnsi" w:hAnsiTheme="minorHAnsi"/>
          <w:snapToGrid/>
          <w:sz w:val="22"/>
          <w:szCs w:val="22"/>
        </w:rPr>
        <w:tab/>
      </w:r>
    </w:p>
    <w:p w14:paraId="0711F70A" w14:textId="098E1472" w:rsidR="004471D4" w:rsidRPr="00CF4818" w:rsidRDefault="00D27943" w:rsidP="00BA29F9">
      <w:pPr>
        <w:pStyle w:val="HTMLBody"/>
        <w:jc w:val="both"/>
        <w:rPr>
          <w:rFonts w:asciiTheme="minorHAnsi" w:hAnsiTheme="minorHAnsi"/>
          <w:snapToGrid/>
          <w:sz w:val="22"/>
          <w:szCs w:val="22"/>
        </w:rPr>
      </w:pPr>
      <w:r w:rsidRPr="00137DB4">
        <w:rPr>
          <w:rFonts w:asciiTheme="minorHAnsi" w:hAnsiTheme="minorHAnsi"/>
          <w:snapToGrid/>
          <w:sz w:val="22"/>
          <w:szCs w:val="22"/>
        </w:rPr>
        <w:t>In the absence of indoor sources, the</w:t>
      </w:r>
      <w:r w:rsidR="004471D4" w:rsidRPr="00137DB4">
        <w:rPr>
          <w:rFonts w:asciiTheme="minorHAnsi" w:hAnsiTheme="minorHAnsi"/>
          <w:snapToGrid/>
          <w:sz w:val="22"/>
          <w:szCs w:val="22"/>
        </w:rPr>
        <w:t xml:space="preserve"> coefficients</w:t>
      </w:r>
      <w:r w:rsidRPr="00137DB4">
        <w:rPr>
          <w:rFonts w:asciiTheme="minorHAnsi" w:hAnsiTheme="minorHAnsi"/>
          <w:snapToGrid/>
          <w:sz w:val="22"/>
          <w:szCs w:val="22"/>
        </w:rPr>
        <w:t xml:space="preserve"> </w:t>
      </w:r>
      <w:r w:rsidR="006112B5" w:rsidRPr="00137DB4">
        <w:rPr>
          <w:rFonts w:asciiTheme="minorHAnsi" w:hAnsiTheme="minorHAnsi"/>
          <w:snapToGrid/>
          <w:sz w:val="22"/>
          <w:szCs w:val="22"/>
        </w:rPr>
        <w:t>b</w:t>
      </w:r>
      <w:r w:rsidR="00F10DB7" w:rsidRPr="00137DB4">
        <w:rPr>
          <w:rFonts w:asciiTheme="minorHAnsi" w:hAnsiTheme="minorHAnsi"/>
          <w:snapToGrid/>
          <w:sz w:val="22"/>
          <w:szCs w:val="22"/>
          <w:vertAlign w:val="subscript"/>
        </w:rPr>
        <w:t>0</w:t>
      </w:r>
      <w:r w:rsidR="006112B5" w:rsidRPr="00137DB4">
        <w:rPr>
          <w:rFonts w:asciiTheme="minorHAnsi" w:hAnsiTheme="minorHAnsi"/>
          <w:snapToGrid/>
          <w:sz w:val="22"/>
          <w:szCs w:val="22"/>
        </w:rPr>
        <w:t xml:space="preserve"> and b</w:t>
      </w:r>
      <w:r w:rsidR="006112B5" w:rsidRPr="00137DB4">
        <w:rPr>
          <w:rFonts w:asciiTheme="minorHAnsi" w:hAnsiTheme="minorHAnsi"/>
          <w:snapToGrid/>
          <w:sz w:val="22"/>
          <w:szCs w:val="22"/>
          <w:vertAlign w:val="subscript"/>
        </w:rPr>
        <w:t>3</w:t>
      </w:r>
      <w:r w:rsidR="004471D4" w:rsidRPr="00137DB4">
        <w:rPr>
          <w:rFonts w:asciiTheme="minorHAnsi" w:hAnsiTheme="minorHAnsi"/>
          <w:snapToGrid/>
          <w:sz w:val="22"/>
          <w:szCs w:val="22"/>
        </w:rPr>
        <w:t xml:space="preserve"> define the relationship between indoor and outdoor concentrations</w:t>
      </w:r>
      <w:r w:rsidR="00140CCA" w:rsidRPr="00137DB4">
        <w:rPr>
          <w:rFonts w:asciiTheme="minorHAnsi" w:hAnsiTheme="minorHAnsi"/>
          <w:snapToGrid/>
          <w:sz w:val="22"/>
          <w:szCs w:val="22"/>
        </w:rPr>
        <w:t>, with b</w:t>
      </w:r>
      <w:r w:rsidR="00140CCA" w:rsidRPr="00137DB4">
        <w:rPr>
          <w:rFonts w:asciiTheme="minorHAnsi" w:hAnsiTheme="minorHAnsi"/>
          <w:snapToGrid/>
          <w:sz w:val="22"/>
          <w:szCs w:val="22"/>
          <w:vertAlign w:val="subscript"/>
        </w:rPr>
        <w:t>1</w:t>
      </w:r>
      <w:r w:rsidR="00140CCA" w:rsidRPr="00137DB4">
        <w:rPr>
          <w:rFonts w:asciiTheme="minorHAnsi" w:hAnsiTheme="minorHAnsi"/>
          <w:snapToGrid/>
          <w:sz w:val="22"/>
          <w:szCs w:val="22"/>
        </w:rPr>
        <w:t xml:space="preserve"> and b</w:t>
      </w:r>
      <w:r w:rsidR="00140CCA" w:rsidRPr="00137DB4">
        <w:rPr>
          <w:rFonts w:asciiTheme="minorHAnsi" w:hAnsiTheme="minorHAnsi"/>
          <w:snapToGrid/>
          <w:sz w:val="22"/>
          <w:szCs w:val="22"/>
          <w:vertAlign w:val="subscript"/>
        </w:rPr>
        <w:t>2</w:t>
      </w:r>
      <w:r w:rsidR="00140CCA" w:rsidRPr="00137DB4">
        <w:rPr>
          <w:rFonts w:asciiTheme="minorHAnsi" w:hAnsiTheme="minorHAnsi"/>
          <w:snapToGrid/>
          <w:sz w:val="22"/>
          <w:szCs w:val="22"/>
        </w:rPr>
        <w:t xml:space="preserve"> set to zero.</w:t>
      </w:r>
      <w:r w:rsidR="004471D4" w:rsidRPr="00137DB4">
        <w:rPr>
          <w:rFonts w:asciiTheme="minorHAnsi" w:hAnsiTheme="minorHAnsi"/>
          <w:snapToGrid/>
          <w:sz w:val="22"/>
          <w:szCs w:val="22"/>
        </w:rPr>
        <w:t xml:space="preserve"> </w:t>
      </w:r>
      <w:r w:rsidRPr="00137DB4">
        <w:rPr>
          <w:rFonts w:asciiTheme="minorHAnsi" w:hAnsiTheme="minorHAnsi"/>
          <w:snapToGrid/>
          <w:sz w:val="22"/>
          <w:szCs w:val="22"/>
        </w:rPr>
        <w:t>In the presence of sources, the</w:t>
      </w:r>
      <w:r w:rsidR="004471D4" w:rsidRPr="00137DB4">
        <w:rPr>
          <w:rFonts w:asciiTheme="minorHAnsi" w:hAnsiTheme="minorHAnsi"/>
          <w:snapToGrid/>
          <w:sz w:val="22"/>
          <w:szCs w:val="22"/>
        </w:rPr>
        <w:t xml:space="preserve"> coefficients</w:t>
      </w:r>
      <w:r w:rsidRPr="00137DB4">
        <w:rPr>
          <w:rFonts w:asciiTheme="minorHAnsi" w:hAnsiTheme="minorHAnsi"/>
          <w:snapToGrid/>
          <w:sz w:val="22"/>
          <w:szCs w:val="22"/>
        </w:rPr>
        <w:t xml:space="preserve"> </w:t>
      </w:r>
      <w:r w:rsidR="006112B5" w:rsidRPr="00137DB4">
        <w:rPr>
          <w:rFonts w:asciiTheme="minorHAnsi" w:hAnsiTheme="minorHAnsi"/>
          <w:snapToGrid/>
          <w:sz w:val="22"/>
          <w:szCs w:val="22"/>
        </w:rPr>
        <w:t>b</w:t>
      </w:r>
      <w:r w:rsidR="006112B5" w:rsidRPr="00137DB4">
        <w:rPr>
          <w:rFonts w:asciiTheme="minorHAnsi" w:hAnsiTheme="minorHAnsi"/>
          <w:snapToGrid/>
          <w:sz w:val="22"/>
          <w:szCs w:val="22"/>
          <w:vertAlign w:val="subscript"/>
        </w:rPr>
        <w:t xml:space="preserve">1 </w:t>
      </w:r>
      <w:r w:rsidR="006112B5" w:rsidRPr="00137DB4">
        <w:rPr>
          <w:rFonts w:asciiTheme="minorHAnsi" w:hAnsiTheme="minorHAnsi"/>
          <w:snapToGrid/>
          <w:sz w:val="22"/>
          <w:szCs w:val="22"/>
        </w:rPr>
        <w:t>and b</w:t>
      </w:r>
      <w:r w:rsidR="006112B5" w:rsidRPr="00137DB4">
        <w:rPr>
          <w:rFonts w:asciiTheme="minorHAnsi" w:hAnsiTheme="minorHAnsi"/>
          <w:snapToGrid/>
          <w:sz w:val="22"/>
          <w:szCs w:val="22"/>
          <w:vertAlign w:val="subscript"/>
        </w:rPr>
        <w:t>2</w:t>
      </w:r>
      <w:r w:rsidR="004471D4" w:rsidRPr="00137DB4">
        <w:rPr>
          <w:rFonts w:asciiTheme="minorHAnsi" w:hAnsiTheme="minorHAnsi"/>
          <w:snapToGrid/>
          <w:sz w:val="22"/>
          <w:szCs w:val="22"/>
        </w:rPr>
        <w:t xml:space="preserve"> describe the incremental effect of differ</w:t>
      </w:r>
      <w:r w:rsidR="008D1D4E" w:rsidRPr="00137DB4">
        <w:rPr>
          <w:rFonts w:asciiTheme="minorHAnsi" w:hAnsiTheme="minorHAnsi"/>
          <w:snapToGrid/>
          <w:sz w:val="22"/>
          <w:szCs w:val="22"/>
        </w:rPr>
        <w:t>ent</w:t>
      </w:r>
      <w:r w:rsidR="004471D4" w:rsidRPr="00137DB4">
        <w:rPr>
          <w:rFonts w:asciiTheme="minorHAnsi" w:hAnsiTheme="minorHAnsi"/>
          <w:snapToGrid/>
          <w:sz w:val="22"/>
          <w:szCs w:val="22"/>
        </w:rPr>
        <w:t xml:space="preserve"> activities </w:t>
      </w:r>
      <w:r w:rsidR="006901FB" w:rsidRPr="00137DB4">
        <w:rPr>
          <w:rFonts w:asciiTheme="minorHAnsi" w:hAnsiTheme="minorHAnsi"/>
          <w:snapToGrid/>
          <w:sz w:val="22"/>
          <w:szCs w:val="22"/>
        </w:rPr>
        <w:t xml:space="preserve">(e.g. cooking and smoking) </w:t>
      </w:r>
      <w:r w:rsidR="004471D4" w:rsidRPr="00137DB4">
        <w:rPr>
          <w:rFonts w:asciiTheme="minorHAnsi" w:hAnsiTheme="minorHAnsi"/>
          <w:snapToGrid/>
          <w:sz w:val="22"/>
          <w:szCs w:val="22"/>
        </w:rPr>
        <w:t>on the modelled concentrations</w:t>
      </w:r>
      <w:r w:rsidR="00653EA1" w:rsidRPr="00137DB4">
        <w:rPr>
          <w:rFonts w:asciiTheme="minorHAnsi" w:hAnsiTheme="minorHAnsi"/>
          <w:snapToGrid/>
          <w:sz w:val="22"/>
          <w:szCs w:val="22"/>
        </w:rPr>
        <w:t>, assuming this effect is independent of that of outdoor air penetration</w:t>
      </w:r>
      <w:r w:rsidR="004471D4" w:rsidRPr="00137DB4">
        <w:rPr>
          <w:rFonts w:asciiTheme="minorHAnsi" w:hAnsiTheme="minorHAnsi"/>
          <w:snapToGrid/>
          <w:sz w:val="22"/>
          <w:szCs w:val="22"/>
        </w:rPr>
        <w:t xml:space="preserve">. Each coefficient is defined as a probability function and </w:t>
      </w:r>
      <w:r w:rsidR="006901FB" w:rsidRPr="00137DB4">
        <w:rPr>
          <w:rFonts w:asciiTheme="minorHAnsi" w:hAnsiTheme="minorHAnsi"/>
          <w:snapToGrid/>
          <w:sz w:val="22"/>
          <w:szCs w:val="22"/>
        </w:rPr>
        <w:t>can be</w:t>
      </w:r>
      <w:r w:rsidR="004471D4" w:rsidRPr="00137DB4">
        <w:rPr>
          <w:rFonts w:asciiTheme="minorHAnsi" w:hAnsiTheme="minorHAnsi"/>
          <w:snapToGrid/>
          <w:sz w:val="22"/>
          <w:szCs w:val="22"/>
        </w:rPr>
        <w:t xml:space="preserve"> varied over the day, to reflect different levels of activity. </w:t>
      </w:r>
      <w:r w:rsidR="006901FB" w:rsidRPr="00137DB4">
        <w:rPr>
          <w:rFonts w:asciiTheme="minorHAnsi" w:hAnsiTheme="minorHAnsi"/>
          <w:snapToGrid/>
          <w:sz w:val="22"/>
          <w:szCs w:val="22"/>
        </w:rPr>
        <w:t xml:space="preserve">The original INDAIR model was used to derive these </w:t>
      </w:r>
      <w:r w:rsidR="008D1D4E" w:rsidRPr="00137DB4">
        <w:rPr>
          <w:rFonts w:asciiTheme="minorHAnsi" w:hAnsiTheme="minorHAnsi"/>
          <w:snapToGrid/>
          <w:sz w:val="22"/>
          <w:szCs w:val="22"/>
        </w:rPr>
        <w:t xml:space="preserve">regression </w:t>
      </w:r>
      <w:r w:rsidR="006901FB" w:rsidRPr="00137DB4">
        <w:rPr>
          <w:rFonts w:asciiTheme="minorHAnsi" w:hAnsiTheme="minorHAnsi"/>
          <w:snapToGrid/>
          <w:sz w:val="22"/>
          <w:szCs w:val="22"/>
        </w:rPr>
        <w:t xml:space="preserve">coefficients for </w:t>
      </w:r>
      <w:r w:rsidR="00115A0D" w:rsidRPr="00137DB4">
        <w:rPr>
          <w:rFonts w:asciiTheme="minorHAnsi" w:hAnsiTheme="minorHAnsi"/>
          <w:snapToGrid/>
          <w:sz w:val="22"/>
          <w:szCs w:val="22"/>
        </w:rPr>
        <w:t xml:space="preserve">three generic </w:t>
      </w:r>
      <w:r w:rsidR="008D1D4E" w:rsidRPr="00137DB4">
        <w:rPr>
          <w:rFonts w:asciiTheme="minorHAnsi" w:hAnsiTheme="minorHAnsi"/>
          <w:snapToGrid/>
          <w:sz w:val="22"/>
          <w:szCs w:val="22"/>
        </w:rPr>
        <w:t>home ME</w:t>
      </w:r>
      <w:r w:rsidR="00115A0D" w:rsidRPr="00137DB4">
        <w:rPr>
          <w:rFonts w:asciiTheme="minorHAnsi" w:hAnsiTheme="minorHAnsi"/>
          <w:snapToGrid/>
          <w:sz w:val="22"/>
          <w:szCs w:val="22"/>
        </w:rPr>
        <w:t xml:space="preserve">s </w:t>
      </w:r>
      <w:r w:rsidR="00C80CCC" w:rsidRPr="00137DB4">
        <w:rPr>
          <w:rFonts w:asciiTheme="minorHAnsi" w:hAnsiTheme="minorHAnsi"/>
          <w:snapToGrid/>
          <w:sz w:val="22"/>
          <w:szCs w:val="22"/>
        </w:rPr>
        <w:t>(</w:t>
      </w:r>
      <w:r w:rsidR="00115A0D" w:rsidRPr="00137DB4">
        <w:rPr>
          <w:rFonts w:asciiTheme="minorHAnsi" w:hAnsiTheme="minorHAnsi"/>
          <w:snapToGrid/>
          <w:sz w:val="22"/>
          <w:szCs w:val="22"/>
        </w:rPr>
        <w:t xml:space="preserve">kitchen, </w:t>
      </w:r>
      <w:r w:rsidR="00115A0D" w:rsidRPr="00CF4818">
        <w:rPr>
          <w:rFonts w:asciiTheme="minorHAnsi" w:hAnsiTheme="minorHAnsi"/>
          <w:snapToGrid/>
          <w:sz w:val="22"/>
          <w:szCs w:val="22"/>
        </w:rPr>
        <w:t>living room and bedroom</w:t>
      </w:r>
      <w:r w:rsidR="00C80CCC" w:rsidRPr="00CF4818">
        <w:rPr>
          <w:rFonts w:asciiTheme="minorHAnsi" w:hAnsiTheme="minorHAnsi"/>
          <w:snapToGrid/>
          <w:sz w:val="22"/>
          <w:szCs w:val="22"/>
        </w:rPr>
        <w:t>)</w:t>
      </w:r>
      <w:r w:rsidR="006901FB" w:rsidRPr="00CF4818">
        <w:rPr>
          <w:rFonts w:asciiTheme="minorHAnsi" w:hAnsiTheme="minorHAnsi"/>
          <w:snapToGrid/>
          <w:sz w:val="22"/>
          <w:szCs w:val="22"/>
        </w:rPr>
        <w:t>. I</w:t>
      </w:r>
      <w:r w:rsidR="00115A0D" w:rsidRPr="00CF4818">
        <w:rPr>
          <w:rFonts w:asciiTheme="minorHAnsi" w:hAnsiTheme="minorHAnsi"/>
          <w:snapToGrid/>
          <w:sz w:val="22"/>
          <w:szCs w:val="22"/>
        </w:rPr>
        <w:t xml:space="preserve">n addition the model was parameterised </w:t>
      </w:r>
      <w:r w:rsidR="00C2757B">
        <w:rPr>
          <w:rFonts w:asciiTheme="minorHAnsi" w:hAnsiTheme="minorHAnsi"/>
          <w:snapToGrid/>
          <w:sz w:val="22"/>
          <w:szCs w:val="22"/>
        </w:rPr>
        <w:t xml:space="preserve">using published data </w:t>
      </w:r>
      <w:r w:rsidR="00115A0D" w:rsidRPr="00CF4818">
        <w:rPr>
          <w:rFonts w:asciiTheme="minorHAnsi" w:hAnsiTheme="minorHAnsi"/>
          <w:snapToGrid/>
          <w:sz w:val="22"/>
          <w:szCs w:val="22"/>
        </w:rPr>
        <w:t xml:space="preserve">for the </w:t>
      </w:r>
      <w:r w:rsidR="008D1D4E" w:rsidRPr="00CF4818">
        <w:rPr>
          <w:rFonts w:asciiTheme="minorHAnsi" w:hAnsiTheme="minorHAnsi"/>
          <w:snapToGrid/>
          <w:sz w:val="22"/>
          <w:szCs w:val="22"/>
        </w:rPr>
        <w:t>ME</w:t>
      </w:r>
      <w:r w:rsidR="00115A0D" w:rsidRPr="00CF4818">
        <w:rPr>
          <w:rFonts w:asciiTheme="minorHAnsi" w:hAnsiTheme="minorHAnsi"/>
          <w:snapToGrid/>
          <w:sz w:val="22"/>
          <w:szCs w:val="22"/>
        </w:rPr>
        <w:t xml:space="preserve">s transport, school, office, shops and large buildings, and bars and restaurants.    </w:t>
      </w:r>
    </w:p>
    <w:p w14:paraId="573EFCA5" w14:textId="77777777" w:rsidR="00F57CFF" w:rsidRPr="00CF4818" w:rsidRDefault="00F57CFF" w:rsidP="00BA29F9">
      <w:pPr>
        <w:jc w:val="both"/>
        <w:rPr>
          <w:rFonts w:asciiTheme="minorHAnsi" w:hAnsiTheme="minorHAnsi"/>
          <w:i/>
          <w:szCs w:val="22"/>
        </w:rPr>
      </w:pPr>
    </w:p>
    <w:p w14:paraId="266F20C2" w14:textId="5A115839" w:rsidR="004471D4" w:rsidRPr="00137DB4" w:rsidRDefault="00184856" w:rsidP="00BA29F9">
      <w:pPr>
        <w:pStyle w:val="Heading3"/>
        <w:jc w:val="both"/>
        <w:rPr>
          <w:rFonts w:asciiTheme="minorHAnsi" w:hAnsiTheme="minorHAnsi"/>
          <w:sz w:val="22"/>
          <w:szCs w:val="22"/>
        </w:rPr>
      </w:pPr>
      <w:r w:rsidRPr="00137DB4">
        <w:rPr>
          <w:rFonts w:asciiTheme="minorHAnsi" w:hAnsiTheme="minorHAnsi"/>
          <w:sz w:val="22"/>
          <w:szCs w:val="22"/>
        </w:rPr>
        <w:t xml:space="preserve">2.3.2 </w:t>
      </w:r>
      <w:r w:rsidR="003E4AE6" w:rsidRPr="00137DB4">
        <w:rPr>
          <w:rFonts w:asciiTheme="minorHAnsi" w:hAnsiTheme="minorHAnsi"/>
          <w:sz w:val="22"/>
          <w:szCs w:val="22"/>
        </w:rPr>
        <w:tab/>
      </w:r>
      <w:r w:rsidR="004471D4" w:rsidRPr="00137DB4">
        <w:rPr>
          <w:rFonts w:asciiTheme="minorHAnsi" w:hAnsiTheme="minorHAnsi"/>
          <w:sz w:val="22"/>
          <w:szCs w:val="22"/>
        </w:rPr>
        <w:t>Regression Coefficients – Parameterisation for residential MEs</w:t>
      </w:r>
    </w:p>
    <w:p w14:paraId="10486BA6" w14:textId="77777777" w:rsidR="004471D4" w:rsidRPr="00137DB4" w:rsidRDefault="004471D4" w:rsidP="00BA29F9">
      <w:pPr>
        <w:keepNext/>
        <w:jc w:val="both"/>
        <w:rPr>
          <w:rFonts w:asciiTheme="minorHAnsi" w:hAnsiTheme="minorHAnsi"/>
          <w:szCs w:val="22"/>
        </w:rPr>
      </w:pPr>
    </w:p>
    <w:p w14:paraId="6CC8B79E" w14:textId="29C400B6" w:rsidR="00653EA1" w:rsidRPr="00137DB4" w:rsidRDefault="00BC34F3" w:rsidP="00BC34F3">
      <w:pPr>
        <w:keepNext/>
        <w:jc w:val="both"/>
        <w:rPr>
          <w:rFonts w:asciiTheme="minorHAnsi" w:hAnsiTheme="minorHAnsi"/>
          <w:szCs w:val="22"/>
        </w:rPr>
      </w:pPr>
      <w:r w:rsidRPr="00137DB4">
        <w:rPr>
          <w:rFonts w:asciiTheme="minorHAnsi" w:hAnsiTheme="minorHAnsi"/>
          <w:i/>
          <w:szCs w:val="22"/>
        </w:rPr>
        <w:t>N</w:t>
      </w:r>
      <w:r w:rsidR="004471D4" w:rsidRPr="00137DB4">
        <w:rPr>
          <w:rFonts w:asciiTheme="minorHAnsi" w:hAnsiTheme="minorHAnsi"/>
          <w:i/>
          <w:szCs w:val="22"/>
        </w:rPr>
        <w:t>o sources</w:t>
      </w:r>
      <w:r w:rsidRPr="00137DB4">
        <w:rPr>
          <w:rFonts w:asciiTheme="minorHAnsi" w:hAnsiTheme="minorHAnsi"/>
          <w:i/>
          <w:szCs w:val="22"/>
        </w:rPr>
        <w:t>.</w:t>
      </w:r>
      <w:r w:rsidR="00354923" w:rsidRPr="00137DB4">
        <w:rPr>
          <w:rFonts w:asciiTheme="minorHAnsi" w:hAnsiTheme="minorHAnsi"/>
          <w:i/>
          <w:szCs w:val="22"/>
        </w:rPr>
        <w:t xml:space="preserve"> </w:t>
      </w:r>
      <w:r w:rsidR="004471D4" w:rsidRPr="00137DB4">
        <w:rPr>
          <w:rFonts w:asciiTheme="minorHAnsi" w:hAnsiTheme="minorHAnsi"/>
          <w:szCs w:val="22"/>
        </w:rPr>
        <w:t>Results from the original INDAIR mode</w:t>
      </w:r>
      <w:r w:rsidR="00B228BA" w:rsidRPr="00137DB4">
        <w:rPr>
          <w:rFonts w:asciiTheme="minorHAnsi" w:hAnsiTheme="minorHAnsi"/>
          <w:szCs w:val="22"/>
        </w:rPr>
        <w:t>l (Dimitroulopoulou et al., 2006</w:t>
      </w:r>
      <w:r w:rsidR="004471D4" w:rsidRPr="00137DB4">
        <w:rPr>
          <w:rFonts w:asciiTheme="minorHAnsi" w:hAnsiTheme="minorHAnsi"/>
          <w:szCs w:val="22"/>
        </w:rPr>
        <w:t>)</w:t>
      </w:r>
      <w:r w:rsidR="00C80CCC" w:rsidRPr="00137DB4">
        <w:rPr>
          <w:rFonts w:asciiTheme="minorHAnsi" w:hAnsiTheme="minorHAnsi"/>
          <w:szCs w:val="22"/>
        </w:rPr>
        <w:t>, using the original probability distributions of room size, air exchange rate, and deposition velocity</w:t>
      </w:r>
      <w:r w:rsidR="00140CCA" w:rsidRPr="00137DB4">
        <w:rPr>
          <w:rFonts w:asciiTheme="minorHAnsi" w:hAnsiTheme="minorHAnsi"/>
          <w:szCs w:val="22"/>
        </w:rPr>
        <w:t>,</w:t>
      </w:r>
      <w:r w:rsidR="004471D4" w:rsidRPr="00137DB4">
        <w:rPr>
          <w:rFonts w:asciiTheme="minorHAnsi" w:hAnsiTheme="minorHAnsi"/>
          <w:szCs w:val="22"/>
        </w:rPr>
        <w:t xml:space="preserve"> were used to derive the home regression coefficients for INDAIR-2</w:t>
      </w:r>
      <w:r w:rsidR="00C80CCC" w:rsidRPr="00137DB4">
        <w:rPr>
          <w:rFonts w:asciiTheme="minorHAnsi" w:hAnsiTheme="minorHAnsi"/>
          <w:szCs w:val="22"/>
        </w:rPr>
        <w:t>; for details of these parameter values, refer to Dimitroulopoulou et al. (2006)</w:t>
      </w:r>
      <w:r w:rsidR="004471D4" w:rsidRPr="00137DB4">
        <w:rPr>
          <w:rFonts w:asciiTheme="minorHAnsi" w:hAnsiTheme="minorHAnsi"/>
          <w:szCs w:val="22"/>
        </w:rPr>
        <w:t xml:space="preserve">. Initially, the probabilistic indoor/outdoor relationships for no indoor source scenarios were defined. </w:t>
      </w:r>
      <w:r w:rsidR="00653EA1" w:rsidRPr="00137DB4">
        <w:rPr>
          <w:rFonts w:asciiTheme="minorHAnsi" w:hAnsiTheme="minorHAnsi"/>
          <w:szCs w:val="22"/>
        </w:rPr>
        <w:t>Since the outdoor concentrations were log-normally distributed, values of C</w:t>
      </w:r>
      <w:r w:rsidR="00653EA1" w:rsidRPr="00137DB4">
        <w:rPr>
          <w:rFonts w:asciiTheme="minorHAnsi" w:hAnsiTheme="minorHAnsi"/>
          <w:szCs w:val="22"/>
          <w:vertAlign w:val="subscript"/>
        </w:rPr>
        <w:t>in</w:t>
      </w:r>
      <w:r w:rsidR="00653EA1" w:rsidRPr="00137DB4">
        <w:rPr>
          <w:rFonts w:asciiTheme="minorHAnsi" w:hAnsiTheme="minorHAnsi"/>
          <w:szCs w:val="22"/>
        </w:rPr>
        <w:t xml:space="preserve"> and C</w:t>
      </w:r>
      <w:r w:rsidR="00653EA1" w:rsidRPr="00137DB4">
        <w:rPr>
          <w:rFonts w:asciiTheme="minorHAnsi" w:hAnsiTheme="minorHAnsi"/>
          <w:szCs w:val="22"/>
          <w:vertAlign w:val="subscript"/>
        </w:rPr>
        <w:t>out</w:t>
      </w:r>
      <w:r w:rsidR="00653EA1" w:rsidRPr="00137DB4">
        <w:rPr>
          <w:rFonts w:asciiTheme="minorHAnsi" w:hAnsiTheme="minorHAnsi"/>
          <w:szCs w:val="22"/>
        </w:rPr>
        <w:t xml:space="preserve"> were expressed on a logarithmic basis; in this case, b3 in Equation 1 takes a value of 1, and b</w:t>
      </w:r>
      <w:r w:rsidR="00653EA1" w:rsidRPr="00137DB4">
        <w:rPr>
          <w:rFonts w:asciiTheme="minorHAnsi" w:hAnsiTheme="minorHAnsi"/>
          <w:szCs w:val="22"/>
          <w:vertAlign w:val="subscript"/>
        </w:rPr>
        <w:t>0</w:t>
      </w:r>
      <w:r w:rsidR="00653EA1" w:rsidRPr="00137DB4">
        <w:rPr>
          <w:rFonts w:asciiTheme="minorHAnsi" w:hAnsiTheme="minorHAnsi"/>
          <w:szCs w:val="22"/>
        </w:rPr>
        <w:t xml:space="preserve"> expresses the log-transformed indoor/outdoor ratio.  The results showed a linear relationship between log-transformed outdoor and indoor concentrations, with high values of R</w:t>
      </w:r>
      <w:r w:rsidR="00653EA1" w:rsidRPr="00137DB4">
        <w:rPr>
          <w:rFonts w:asciiTheme="minorHAnsi" w:hAnsiTheme="minorHAnsi"/>
          <w:szCs w:val="22"/>
          <w:vertAlign w:val="superscript"/>
        </w:rPr>
        <w:t>2</w:t>
      </w:r>
      <w:r w:rsidR="00653EA1" w:rsidRPr="00137DB4">
        <w:rPr>
          <w:rFonts w:asciiTheme="minorHAnsi" w:hAnsiTheme="minorHAnsi"/>
          <w:szCs w:val="22"/>
        </w:rPr>
        <w:t xml:space="preserve"> (typically explaining 98% or more of the variation).</w:t>
      </w:r>
    </w:p>
    <w:p w14:paraId="20C4C783" w14:textId="77777777" w:rsidR="00653EA1" w:rsidRPr="00137DB4" w:rsidRDefault="00653EA1" w:rsidP="00BC34F3">
      <w:pPr>
        <w:keepNext/>
        <w:jc w:val="both"/>
        <w:rPr>
          <w:rFonts w:asciiTheme="minorHAnsi" w:hAnsiTheme="minorHAnsi"/>
          <w:szCs w:val="22"/>
        </w:rPr>
      </w:pPr>
    </w:p>
    <w:p w14:paraId="4556897C" w14:textId="7661DF2E" w:rsidR="00BC34F3" w:rsidRPr="00137DB4" w:rsidRDefault="009C3DAD" w:rsidP="00BC34F3">
      <w:pPr>
        <w:keepNext/>
        <w:jc w:val="both"/>
        <w:rPr>
          <w:rFonts w:asciiTheme="minorHAnsi" w:hAnsiTheme="minorHAnsi"/>
          <w:szCs w:val="22"/>
        </w:rPr>
      </w:pPr>
      <w:r w:rsidRPr="00137DB4">
        <w:rPr>
          <w:rFonts w:asciiTheme="minorHAnsi" w:hAnsiTheme="minorHAnsi"/>
          <w:szCs w:val="22"/>
        </w:rPr>
        <w:t xml:space="preserve">Table </w:t>
      </w:r>
      <w:r w:rsidR="005F3FDC" w:rsidRPr="00137DB4">
        <w:rPr>
          <w:rFonts w:asciiTheme="minorHAnsi" w:hAnsiTheme="minorHAnsi"/>
          <w:szCs w:val="22"/>
        </w:rPr>
        <w:t>1</w:t>
      </w:r>
      <w:r w:rsidR="004471D4" w:rsidRPr="00137DB4">
        <w:rPr>
          <w:rFonts w:asciiTheme="minorHAnsi" w:hAnsiTheme="minorHAnsi"/>
          <w:szCs w:val="22"/>
        </w:rPr>
        <w:t xml:space="preserve"> gives the fitted value of </w:t>
      </w:r>
      <w:r w:rsidR="00094DEF" w:rsidRPr="00137DB4">
        <w:rPr>
          <w:rFonts w:asciiTheme="minorHAnsi" w:hAnsiTheme="minorHAnsi"/>
          <w:szCs w:val="22"/>
        </w:rPr>
        <w:t>b</w:t>
      </w:r>
      <w:r w:rsidR="00094DEF" w:rsidRPr="00137DB4">
        <w:rPr>
          <w:rFonts w:asciiTheme="minorHAnsi" w:hAnsiTheme="minorHAnsi"/>
          <w:szCs w:val="22"/>
          <w:vertAlign w:val="subscript"/>
        </w:rPr>
        <w:t>o</w:t>
      </w:r>
      <w:r w:rsidR="004471D4" w:rsidRPr="00137DB4">
        <w:rPr>
          <w:rFonts w:asciiTheme="minorHAnsi" w:hAnsiTheme="minorHAnsi"/>
          <w:szCs w:val="22"/>
        </w:rPr>
        <w:t xml:space="preserve"> and its standard deviation</w:t>
      </w:r>
      <w:r w:rsidR="00094DEF" w:rsidRPr="00137DB4">
        <w:rPr>
          <w:rFonts w:asciiTheme="minorHAnsi" w:hAnsiTheme="minorHAnsi"/>
          <w:szCs w:val="22"/>
        </w:rPr>
        <w:t xml:space="preserve"> (sd)</w:t>
      </w:r>
      <w:r w:rsidR="005B5AA0" w:rsidRPr="00137DB4">
        <w:rPr>
          <w:rFonts w:asciiTheme="minorHAnsi" w:hAnsiTheme="minorHAnsi"/>
          <w:szCs w:val="22"/>
        </w:rPr>
        <w:t xml:space="preserve"> for NO</w:t>
      </w:r>
      <w:r w:rsidR="005B5AA0" w:rsidRPr="00137DB4">
        <w:rPr>
          <w:rFonts w:asciiTheme="minorHAnsi" w:hAnsiTheme="minorHAnsi"/>
          <w:szCs w:val="22"/>
          <w:vertAlign w:val="subscript"/>
        </w:rPr>
        <w:t>2</w:t>
      </w:r>
      <w:r w:rsidR="005B5AA0" w:rsidRPr="00137DB4">
        <w:rPr>
          <w:rFonts w:asciiTheme="minorHAnsi" w:hAnsiTheme="minorHAnsi"/>
          <w:szCs w:val="22"/>
        </w:rPr>
        <w:t xml:space="preserve">, </w:t>
      </w:r>
      <w:r w:rsidR="004471D4" w:rsidRPr="00137DB4">
        <w:rPr>
          <w:rFonts w:asciiTheme="minorHAnsi" w:hAnsiTheme="minorHAnsi"/>
          <w:szCs w:val="22"/>
        </w:rPr>
        <w:t>for d</w:t>
      </w:r>
      <w:r w:rsidR="005B5AA0" w:rsidRPr="00137DB4">
        <w:rPr>
          <w:rFonts w:asciiTheme="minorHAnsi" w:hAnsiTheme="minorHAnsi"/>
          <w:szCs w:val="22"/>
        </w:rPr>
        <w:t>ifferent home MEs</w:t>
      </w:r>
      <w:r w:rsidR="004471D4" w:rsidRPr="00137DB4">
        <w:rPr>
          <w:rFonts w:asciiTheme="minorHAnsi" w:hAnsiTheme="minorHAnsi"/>
          <w:szCs w:val="22"/>
        </w:rPr>
        <w:t>, in summer and winter</w:t>
      </w:r>
      <w:r w:rsidR="00F10DB7" w:rsidRPr="00137DB4">
        <w:rPr>
          <w:rFonts w:asciiTheme="minorHAnsi" w:hAnsiTheme="minorHAnsi"/>
          <w:szCs w:val="22"/>
        </w:rPr>
        <w:t>.</w:t>
      </w:r>
      <w:r w:rsidR="000F4F2F" w:rsidRPr="00137DB4">
        <w:rPr>
          <w:rFonts w:asciiTheme="minorHAnsi" w:hAnsiTheme="minorHAnsi"/>
          <w:szCs w:val="22"/>
        </w:rPr>
        <w:t xml:space="preserve"> The more negative values in w</w:t>
      </w:r>
      <w:r w:rsidR="002148E9" w:rsidRPr="00137DB4">
        <w:rPr>
          <w:rFonts w:asciiTheme="minorHAnsi" w:hAnsiTheme="minorHAnsi"/>
          <w:szCs w:val="22"/>
        </w:rPr>
        <w:t xml:space="preserve">inter reflect the lower air </w:t>
      </w:r>
      <w:r w:rsidR="000F4F2F" w:rsidRPr="00137DB4">
        <w:rPr>
          <w:rFonts w:asciiTheme="minorHAnsi" w:hAnsiTheme="minorHAnsi"/>
          <w:szCs w:val="22"/>
        </w:rPr>
        <w:t>exchange rate, which leads to a lower indoor/outdoor ratio. The more negative  value for the bedroom reflect the smaller room size, greater surface area/volume ratio, and hence greater loss through deposition, leading to a lower indoor/outdoor ratio</w:t>
      </w:r>
      <w:r w:rsidR="00AF2B47" w:rsidRPr="00137DB4">
        <w:rPr>
          <w:rFonts w:ascii="Calibri" w:hAnsi="Calibri"/>
          <w:szCs w:val="22"/>
        </w:rPr>
        <w:t>.</w:t>
      </w:r>
    </w:p>
    <w:p w14:paraId="092720CA" w14:textId="77777777" w:rsidR="00CE6A2C" w:rsidRPr="00137DB4" w:rsidRDefault="00CE6A2C" w:rsidP="00CE6A2C">
      <w:pPr>
        <w:jc w:val="both"/>
        <w:rPr>
          <w:rFonts w:asciiTheme="minorHAnsi" w:hAnsiTheme="minorHAnsi"/>
          <w:b/>
          <w:szCs w:val="22"/>
        </w:rPr>
      </w:pPr>
    </w:p>
    <w:p w14:paraId="51D651B2" w14:textId="2A193165" w:rsidR="00CE6A2C" w:rsidRPr="00CF4818" w:rsidRDefault="00CE6A2C" w:rsidP="00CE6A2C">
      <w:pPr>
        <w:jc w:val="both"/>
        <w:rPr>
          <w:rFonts w:asciiTheme="minorHAnsi" w:hAnsiTheme="minorHAnsi"/>
          <w:szCs w:val="22"/>
        </w:rPr>
      </w:pPr>
      <w:r w:rsidRPr="0057206C">
        <w:rPr>
          <w:rFonts w:asciiTheme="minorHAnsi" w:hAnsiTheme="minorHAnsi"/>
          <w:b/>
          <w:szCs w:val="22"/>
        </w:rPr>
        <w:t>Table 1.</w:t>
      </w:r>
      <w:r w:rsidRPr="00CF4818">
        <w:rPr>
          <w:rFonts w:asciiTheme="minorHAnsi" w:hAnsiTheme="minorHAnsi"/>
          <w:szCs w:val="22"/>
        </w:rPr>
        <w:t xml:space="preserve"> </w:t>
      </w:r>
      <w:r w:rsidR="001C71B8">
        <w:rPr>
          <w:rFonts w:asciiTheme="minorHAnsi" w:hAnsiTheme="minorHAnsi"/>
          <w:szCs w:val="22"/>
        </w:rPr>
        <w:t>Intercepts</w:t>
      </w:r>
      <w:r w:rsidRPr="00CF4818">
        <w:rPr>
          <w:rFonts w:asciiTheme="minorHAnsi" w:hAnsiTheme="minorHAnsi"/>
          <w:szCs w:val="22"/>
        </w:rPr>
        <w:t xml:space="preserve"> (with standard deviations) between log values of NO</w:t>
      </w:r>
      <w:r w:rsidRPr="00CF4818">
        <w:rPr>
          <w:rFonts w:asciiTheme="minorHAnsi" w:hAnsiTheme="minorHAnsi"/>
          <w:szCs w:val="22"/>
          <w:vertAlign w:val="subscript"/>
        </w:rPr>
        <w:t>2</w:t>
      </w:r>
      <w:r w:rsidRPr="00CF4818">
        <w:rPr>
          <w:rFonts w:asciiTheme="minorHAnsi" w:hAnsiTheme="minorHAnsi"/>
          <w:szCs w:val="22"/>
        </w:rPr>
        <w:t xml:space="preserve"> indoor and outdoor concentrations for three rooms in the residential ME (winter/summer). The values were generated by running the INDAIR model with a no source scenario.</w:t>
      </w:r>
    </w:p>
    <w:p w14:paraId="7B0713F7" w14:textId="77777777" w:rsidR="00CE6A2C" w:rsidRPr="00CF4818" w:rsidRDefault="00CE6A2C" w:rsidP="00CE6A2C">
      <w:pPr>
        <w:jc w:val="both"/>
        <w:rPr>
          <w:rFonts w:asciiTheme="minorHAnsi" w:hAnsiTheme="minorHAnsi"/>
          <w:szCs w:val="22"/>
        </w:rPr>
      </w:pPr>
    </w:p>
    <w:tbl>
      <w:tblPr>
        <w:tblStyle w:val="PlainTable31"/>
        <w:tblW w:w="0" w:type="auto"/>
        <w:tblLayout w:type="fixed"/>
        <w:tblLook w:val="0000" w:firstRow="0" w:lastRow="0" w:firstColumn="0" w:lastColumn="0" w:noHBand="0" w:noVBand="0"/>
      </w:tblPr>
      <w:tblGrid>
        <w:gridCol w:w="1264"/>
        <w:gridCol w:w="1264"/>
        <w:gridCol w:w="1264"/>
        <w:gridCol w:w="1265"/>
        <w:gridCol w:w="1264"/>
        <w:gridCol w:w="1264"/>
        <w:gridCol w:w="1265"/>
      </w:tblGrid>
      <w:tr w:rsidR="00CE6A2C" w:rsidRPr="00CF4818" w14:paraId="3A5E5895" w14:textId="77777777" w:rsidTr="001C71B8">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1264" w:type="dxa"/>
          </w:tcPr>
          <w:p w14:paraId="5995E0BE" w14:textId="77777777" w:rsidR="00CE6A2C" w:rsidRPr="00CF4818" w:rsidRDefault="00CE6A2C" w:rsidP="001C71B8">
            <w:pPr>
              <w:jc w:val="both"/>
              <w:rPr>
                <w:rFonts w:asciiTheme="minorHAnsi" w:hAnsiTheme="minorHAnsi" w:cs="Arial"/>
                <w:b/>
                <w:snapToGrid w:val="0"/>
                <w:color w:val="000000"/>
                <w:szCs w:val="22"/>
                <w:lang w:val="en-AU" w:eastAsia="en-US"/>
              </w:rPr>
            </w:pPr>
          </w:p>
        </w:tc>
        <w:tc>
          <w:tcPr>
            <w:tcW w:w="3793" w:type="dxa"/>
            <w:gridSpan w:val="3"/>
          </w:tcPr>
          <w:p w14:paraId="65DBB628" w14:textId="77777777" w:rsidR="00CE6A2C" w:rsidRPr="00CF4818" w:rsidRDefault="00CE6A2C"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Summer</w:t>
            </w:r>
          </w:p>
        </w:tc>
        <w:tc>
          <w:tcPr>
            <w:cnfStyle w:val="000010000000" w:firstRow="0" w:lastRow="0" w:firstColumn="0" w:lastColumn="0" w:oddVBand="1" w:evenVBand="0" w:oddHBand="0" w:evenHBand="0" w:firstRowFirstColumn="0" w:firstRowLastColumn="0" w:lastRowFirstColumn="0" w:lastRowLastColumn="0"/>
            <w:tcW w:w="3793" w:type="dxa"/>
            <w:gridSpan w:val="3"/>
          </w:tcPr>
          <w:p w14:paraId="38E81444" w14:textId="77777777" w:rsidR="00CE6A2C" w:rsidRPr="00CF4818" w:rsidRDefault="00CE6A2C" w:rsidP="001C71B8">
            <w:pPr>
              <w:jc w:val="both"/>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Winter</w:t>
            </w:r>
          </w:p>
        </w:tc>
      </w:tr>
      <w:tr w:rsidR="00CE6A2C" w:rsidRPr="00CF4818" w14:paraId="1992BAC1" w14:textId="77777777" w:rsidTr="001C71B8">
        <w:trPr>
          <w:trHeight w:val="209"/>
        </w:trPr>
        <w:tc>
          <w:tcPr>
            <w:cnfStyle w:val="000010000000" w:firstRow="0" w:lastRow="0" w:firstColumn="0" w:lastColumn="0" w:oddVBand="1" w:evenVBand="0" w:oddHBand="0" w:evenHBand="0" w:firstRowFirstColumn="0" w:firstRowLastColumn="0" w:lastRowFirstColumn="0" w:lastRowLastColumn="0"/>
            <w:tcW w:w="1264" w:type="dxa"/>
          </w:tcPr>
          <w:p w14:paraId="50792AD6" w14:textId="77777777" w:rsidR="00CE6A2C" w:rsidRPr="00CF4818" w:rsidRDefault="00CE6A2C" w:rsidP="001C71B8">
            <w:pPr>
              <w:jc w:val="both"/>
              <w:rPr>
                <w:rFonts w:asciiTheme="minorHAnsi" w:hAnsiTheme="minorHAnsi" w:cs="Arial"/>
                <w:b/>
                <w:snapToGrid w:val="0"/>
                <w:color w:val="000000"/>
                <w:szCs w:val="22"/>
                <w:lang w:val="en-AU" w:eastAsia="en-US"/>
              </w:rPr>
            </w:pPr>
          </w:p>
        </w:tc>
        <w:tc>
          <w:tcPr>
            <w:tcW w:w="1264" w:type="dxa"/>
          </w:tcPr>
          <w:p w14:paraId="536D445C" w14:textId="77777777" w:rsidR="00CE6A2C" w:rsidRPr="00CF481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lounge</w:t>
            </w:r>
          </w:p>
        </w:tc>
        <w:tc>
          <w:tcPr>
            <w:cnfStyle w:val="000010000000" w:firstRow="0" w:lastRow="0" w:firstColumn="0" w:lastColumn="0" w:oddVBand="1" w:evenVBand="0" w:oddHBand="0" w:evenHBand="0" w:firstRowFirstColumn="0" w:firstRowLastColumn="0" w:lastRowFirstColumn="0" w:lastRowLastColumn="0"/>
            <w:tcW w:w="1264" w:type="dxa"/>
          </w:tcPr>
          <w:p w14:paraId="21E4577D" w14:textId="77777777" w:rsidR="00CE6A2C" w:rsidRPr="00CF4818" w:rsidRDefault="00CE6A2C" w:rsidP="001C71B8">
            <w:pPr>
              <w:jc w:val="both"/>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kitchen</w:t>
            </w:r>
          </w:p>
        </w:tc>
        <w:tc>
          <w:tcPr>
            <w:tcW w:w="1265" w:type="dxa"/>
          </w:tcPr>
          <w:p w14:paraId="4FFD16A0" w14:textId="77777777" w:rsidR="00CE6A2C" w:rsidRPr="00CF481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bedroom</w:t>
            </w:r>
          </w:p>
        </w:tc>
        <w:tc>
          <w:tcPr>
            <w:cnfStyle w:val="000010000000" w:firstRow="0" w:lastRow="0" w:firstColumn="0" w:lastColumn="0" w:oddVBand="1" w:evenVBand="0" w:oddHBand="0" w:evenHBand="0" w:firstRowFirstColumn="0" w:firstRowLastColumn="0" w:lastRowFirstColumn="0" w:lastRowLastColumn="0"/>
            <w:tcW w:w="1264" w:type="dxa"/>
          </w:tcPr>
          <w:p w14:paraId="3B59C527" w14:textId="77777777" w:rsidR="00CE6A2C" w:rsidRPr="00CF4818" w:rsidRDefault="00CE6A2C" w:rsidP="001C71B8">
            <w:pPr>
              <w:jc w:val="both"/>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lounge</w:t>
            </w:r>
          </w:p>
        </w:tc>
        <w:tc>
          <w:tcPr>
            <w:tcW w:w="1264" w:type="dxa"/>
          </w:tcPr>
          <w:p w14:paraId="7DED3883" w14:textId="77777777" w:rsidR="00CE6A2C" w:rsidRPr="00CF481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kitchen</w:t>
            </w:r>
          </w:p>
        </w:tc>
        <w:tc>
          <w:tcPr>
            <w:cnfStyle w:val="000010000000" w:firstRow="0" w:lastRow="0" w:firstColumn="0" w:lastColumn="0" w:oddVBand="1" w:evenVBand="0" w:oddHBand="0" w:evenHBand="0" w:firstRowFirstColumn="0" w:firstRowLastColumn="0" w:lastRowFirstColumn="0" w:lastRowLastColumn="0"/>
            <w:tcW w:w="1265" w:type="dxa"/>
          </w:tcPr>
          <w:p w14:paraId="109E0782" w14:textId="77777777" w:rsidR="00CE6A2C" w:rsidRPr="00CF4818" w:rsidRDefault="00CE6A2C" w:rsidP="001C71B8">
            <w:pPr>
              <w:jc w:val="both"/>
              <w:rPr>
                <w:rFonts w:asciiTheme="minorHAnsi" w:hAnsiTheme="minorHAnsi" w:cs="Arial"/>
                <w:b/>
                <w:snapToGrid w:val="0"/>
                <w:color w:val="000000"/>
                <w:szCs w:val="22"/>
                <w:lang w:val="en-AU" w:eastAsia="en-US"/>
              </w:rPr>
            </w:pPr>
            <w:r w:rsidRPr="00CF4818">
              <w:rPr>
                <w:rFonts w:asciiTheme="minorHAnsi" w:hAnsiTheme="minorHAnsi" w:cs="Arial"/>
                <w:b/>
                <w:snapToGrid w:val="0"/>
                <w:color w:val="000000"/>
                <w:szCs w:val="22"/>
                <w:lang w:val="en-AU" w:eastAsia="en-US"/>
              </w:rPr>
              <w:t>bedroom</w:t>
            </w:r>
          </w:p>
        </w:tc>
      </w:tr>
      <w:tr w:rsidR="00CE6A2C" w:rsidRPr="00CF4818" w14:paraId="00A9FFCD" w14:textId="77777777" w:rsidTr="001C71B8">
        <w:trPr>
          <w:cnfStyle w:val="000000100000" w:firstRow="0" w:lastRow="0" w:firstColumn="0" w:lastColumn="0" w:oddVBand="0" w:evenVBand="0" w:oddHBand="1" w:evenHBand="0" w:firstRowFirstColumn="0" w:firstRowLastColumn="0" w:lastRowFirstColumn="0" w:lastRowLastColumn="0"/>
          <w:trHeight w:val="209"/>
        </w:trPr>
        <w:tc>
          <w:tcPr>
            <w:cnfStyle w:val="000010000000" w:firstRow="0" w:lastRow="0" w:firstColumn="0" w:lastColumn="0" w:oddVBand="1" w:evenVBand="0" w:oddHBand="0" w:evenHBand="0" w:firstRowFirstColumn="0" w:firstRowLastColumn="0" w:lastRowFirstColumn="0" w:lastRowLastColumn="0"/>
            <w:tcW w:w="1264" w:type="dxa"/>
          </w:tcPr>
          <w:p w14:paraId="2D133E41" w14:textId="77777777" w:rsidR="00CE6A2C" w:rsidRPr="00CF4818" w:rsidRDefault="00CE6A2C" w:rsidP="001C71B8">
            <w:pPr>
              <w:jc w:val="both"/>
              <w:rPr>
                <w:rFonts w:asciiTheme="minorHAnsi" w:hAnsiTheme="minorHAnsi" w:cs="Arial"/>
                <w:snapToGrid w:val="0"/>
                <w:color w:val="000000"/>
                <w:szCs w:val="22"/>
                <w:vertAlign w:val="subscript"/>
                <w:lang w:val="en-AU" w:eastAsia="en-US"/>
              </w:rPr>
            </w:pPr>
            <w:r w:rsidRPr="00CF4818">
              <w:rPr>
                <w:rFonts w:asciiTheme="minorHAnsi" w:hAnsiTheme="minorHAnsi" w:cs="Arial"/>
                <w:snapToGrid w:val="0"/>
                <w:color w:val="000000"/>
                <w:szCs w:val="22"/>
                <w:lang w:val="en-AU" w:eastAsia="en-US"/>
              </w:rPr>
              <w:t>b</w:t>
            </w:r>
            <w:r w:rsidRPr="00CF4818">
              <w:rPr>
                <w:rFonts w:asciiTheme="minorHAnsi" w:hAnsiTheme="minorHAnsi" w:cs="Arial"/>
                <w:snapToGrid w:val="0"/>
                <w:color w:val="000000"/>
                <w:szCs w:val="22"/>
                <w:vertAlign w:val="subscript"/>
                <w:lang w:val="en-AU" w:eastAsia="en-US"/>
              </w:rPr>
              <w:t>o</w:t>
            </w:r>
          </w:p>
        </w:tc>
        <w:tc>
          <w:tcPr>
            <w:tcW w:w="1264" w:type="dxa"/>
          </w:tcPr>
          <w:p w14:paraId="564809AC" w14:textId="77777777" w:rsidR="00CE6A2C" w:rsidRPr="00CF4818" w:rsidRDefault="00CE6A2C"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-0.4727</w:t>
            </w:r>
          </w:p>
        </w:tc>
        <w:tc>
          <w:tcPr>
            <w:cnfStyle w:val="000010000000" w:firstRow="0" w:lastRow="0" w:firstColumn="0" w:lastColumn="0" w:oddVBand="1" w:evenVBand="0" w:oddHBand="0" w:evenHBand="0" w:firstRowFirstColumn="0" w:firstRowLastColumn="0" w:lastRowFirstColumn="0" w:lastRowLastColumn="0"/>
            <w:tcW w:w="1264" w:type="dxa"/>
          </w:tcPr>
          <w:p w14:paraId="24A7DEF5" w14:textId="77777777" w:rsidR="00CE6A2C" w:rsidRPr="00CF4818" w:rsidRDefault="00CE6A2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-0.4695</w:t>
            </w:r>
          </w:p>
        </w:tc>
        <w:tc>
          <w:tcPr>
            <w:tcW w:w="1265" w:type="dxa"/>
          </w:tcPr>
          <w:p w14:paraId="57211DD1" w14:textId="77777777" w:rsidR="00CE6A2C" w:rsidRPr="00CF4818" w:rsidRDefault="00CE6A2C"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-0.5215</w:t>
            </w:r>
          </w:p>
        </w:tc>
        <w:tc>
          <w:tcPr>
            <w:cnfStyle w:val="000010000000" w:firstRow="0" w:lastRow="0" w:firstColumn="0" w:lastColumn="0" w:oddVBand="1" w:evenVBand="0" w:oddHBand="0" w:evenHBand="0" w:firstRowFirstColumn="0" w:firstRowLastColumn="0" w:lastRowFirstColumn="0" w:lastRowLastColumn="0"/>
            <w:tcW w:w="1264" w:type="dxa"/>
          </w:tcPr>
          <w:p w14:paraId="2C81B956" w14:textId="77777777" w:rsidR="00CE6A2C" w:rsidRPr="00CF4818" w:rsidRDefault="00CE6A2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-0.6647</w:t>
            </w:r>
          </w:p>
        </w:tc>
        <w:tc>
          <w:tcPr>
            <w:tcW w:w="1264" w:type="dxa"/>
          </w:tcPr>
          <w:p w14:paraId="07AFECFD" w14:textId="77777777" w:rsidR="00CE6A2C" w:rsidRPr="00CF4818" w:rsidRDefault="00CE6A2C"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-0.6249</w:t>
            </w:r>
          </w:p>
        </w:tc>
        <w:tc>
          <w:tcPr>
            <w:cnfStyle w:val="000010000000" w:firstRow="0" w:lastRow="0" w:firstColumn="0" w:lastColumn="0" w:oddVBand="1" w:evenVBand="0" w:oddHBand="0" w:evenHBand="0" w:firstRowFirstColumn="0" w:firstRowLastColumn="0" w:lastRowFirstColumn="0" w:lastRowLastColumn="0"/>
            <w:tcW w:w="1265" w:type="dxa"/>
          </w:tcPr>
          <w:p w14:paraId="03236A19" w14:textId="77777777" w:rsidR="00CE6A2C" w:rsidRPr="00CF4818" w:rsidRDefault="00CE6A2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-0.7215</w:t>
            </w:r>
          </w:p>
        </w:tc>
      </w:tr>
      <w:tr w:rsidR="00CE6A2C" w:rsidRPr="00CF4818" w14:paraId="7B7A7F66" w14:textId="77777777" w:rsidTr="001C71B8">
        <w:trPr>
          <w:trHeight w:val="209"/>
        </w:trPr>
        <w:tc>
          <w:tcPr>
            <w:cnfStyle w:val="000010000000" w:firstRow="0" w:lastRow="0" w:firstColumn="0" w:lastColumn="0" w:oddVBand="1" w:evenVBand="0" w:oddHBand="0" w:evenHBand="0" w:firstRowFirstColumn="0" w:firstRowLastColumn="0" w:lastRowFirstColumn="0" w:lastRowLastColumn="0"/>
            <w:tcW w:w="1264" w:type="dxa"/>
          </w:tcPr>
          <w:p w14:paraId="14C7103A" w14:textId="3CDD828A" w:rsidR="00CE6A2C" w:rsidRPr="00CF4818" w:rsidRDefault="00D23D6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S</w:t>
            </w:r>
            <w:r w:rsidR="00CE6A2C" w:rsidRPr="00CF4818">
              <w:rPr>
                <w:rFonts w:asciiTheme="minorHAnsi" w:hAnsiTheme="minorHAnsi" w:cs="Arial"/>
                <w:snapToGrid w:val="0"/>
                <w:color w:val="000000"/>
                <w:szCs w:val="22"/>
                <w:lang w:val="en-AU" w:eastAsia="en-US"/>
              </w:rPr>
              <w:t>d</w:t>
            </w:r>
          </w:p>
        </w:tc>
        <w:tc>
          <w:tcPr>
            <w:tcW w:w="1264" w:type="dxa"/>
          </w:tcPr>
          <w:p w14:paraId="33C646C0" w14:textId="77777777" w:rsidR="00CE6A2C" w:rsidRPr="00CF481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0.1420</w:t>
            </w:r>
          </w:p>
        </w:tc>
        <w:tc>
          <w:tcPr>
            <w:cnfStyle w:val="000010000000" w:firstRow="0" w:lastRow="0" w:firstColumn="0" w:lastColumn="0" w:oddVBand="1" w:evenVBand="0" w:oddHBand="0" w:evenHBand="0" w:firstRowFirstColumn="0" w:firstRowLastColumn="0" w:lastRowFirstColumn="0" w:lastRowLastColumn="0"/>
            <w:tcW w:w="1264" w:type="dxa"/>
          </w:tcPr>
          <w:p w14:paraId="5894F79D" w14:textId="77777777" w:rsidR="00CE6A2C" w:rsidRPr="00CF4818" w:rsidRDefault="00CE6A2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0.1715</w:t>
            </w:r>
          </w:p>
        </w:tc>
        <w:tc>
          <w:tcPr>
            <w:tcW w:w="1265" w:type="dxa"/>
          </w:tcPr>
          <w:p w14:paraId="65EC3978" w14:textId="77777777" w:rsidR="00CE6A2C" w:rsidRPr="00CF481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0.2033</w:t>
            </w:r>
          </w:p>
        </w:tc>
        <w:tc>
          <w:tcPr>
            <w:cnfStyle w:val="000010000000" w:firstRow="0" w:lastRow="0" w:firstColumn="0" w:lastColumn="0" w:oddVBand="1" w:evenVBand="0" w:oddHBand="0" w:evenHBand="0" w:firstRowFirstColumn="0" w:firstRowLastColumn="0" w:lastRowFirstColumn="0" w:lastRowLastColumn="0"/>
            <w:tcW w:w="1264" w:type="dxa"/>
          </w:tcPr>
          <w:p w14:paraId="32659EF7" w14:textId="77777777" w:rsidR="00CE6A2C" w:rsidRPr="00CF4818" w:rsidRDefault="00CE6A2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0.1885</w:t>
            </w:r>
          </w:p>
        </w:tc>
        <w:tc>
          <w:tcPr>
            <w:tcW w:w="1264" w:type="dxa"/>
          </w:tcPr>
          <w:p w14:paraId="7F90328F" w14:textId="77777777" w:rsidR="00CE6A2C" w:rsidRPr="00CF481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0.2230</w:t>
            </w:r>
          </w:p>
        </w:tc>
        <w:tc>
          <w:tcPr>
            <w:cnfStyle w:val="000010000000" w:firstRow="0" w:lastRow="0" w:firstColumn="0" w:lastColumn="0" w:oddVBand="1" w:evenVBand="0" w:oddHBand="0" w:evenHBand="0" w:firstRowFirstColumn="0" w:firstRowLastColumn="0" w:lastRowFirstColumn="0" w:lastRowLastColumn="0"/>
            <w:tcW w:w="1265" w:type="dxa"/>
          </w:tcPr>
          <w:p w14:paraId="59F08711" w14:textId="77777777" w:rsidR="00CE6A2C" w:rsidRPr="00CF4818" w:rsidRDefault="00CE6A2C" w:rsidP="001C71B8">
            <w:pPr>
              <w:jc w:val="both"/>
              <w:rPr>
                <w:rFonts w:asciiTheme="minorHAnsi" w:hAnsiTheme="minorHAnsi" w:cs="Arial"/>
                <w:snapToGrid w:val="0"/>
                <w:color w:val="000000"/>
                <w:szCs w:val="22"/>
                <w:lang w:val="en-AU" w:eastAsia="en-US"/>
              </w:rPr>
            </w:pPr>
            <w:r w:rsidRPr="00CF4818">
              <w:rPr>
                <w:rFonts w:asciiTheme="minorHAnsi" w:hAnsiTheme="minorHAnsi" w:cs="Arial"/>
                <w:snapToGrid w:val="0"/>
                <w:color w:val="000000"/>
                <w:szCs w:val="22"/>
                <w:lang w:val="en-AU" w:eastAsia="en-US"/>
              </w:rPr>
              <w:t>0.2598</w:t>
            </w:r>
          </w:p>
        </w:tc>
      </w:tr>
    </w:tbl>
    <w:p w14:paraId="25765F4C" w14:textId="77777777" w:rsidR="00CE6A2C" w:rsidRPr="00CF4818" w:rsidRDefault="00CE6A2C" w:rsidP="00CE6A2C">
      <w:pPr>
        <w:jc w:val="both"/>
        <w:rPr>
          <w:rFonts w:asciiTheme="minorHAnsi" w:hAnsiTheme="minorHAnsi"/>
          <w:szCs w:val="22"/>
        </w:rPr>
      </w:pPr>
    </w:p>
    <w:p w14:paraId="4932A806" w14:textId="77777777" w:rsidR="00CE6A2C" w:rsidRPr="00CF4818" w:rsidRDefault="00CE6A2C" w:rsidP="00CE6A2C">
      <w:pPr>
        <w:jc w:val="both"/>
        <w:rPr>
          <w:rFonts w:asciiTheme="minorHAnsi" w:hAnsiTheme="minorHAnsi"/>
          <w:szCs w:val="22"/>
        </w:rPr>
      </w:pPr>
    </w:p>
    <w:p w14:paraId="1CB4A6F2" w14:textId="531C382A" w:rsidR="00BC34F3" w:rsidRPr="00137DB4" w:rsidRDefault="004471D4" w:rsidP="00BC34F3">
      <w:pPr>
        <w:pStyle w:val="WCANormal"/>
        <w:spacing w:before="0"/>
        <w:rPr>
          <w:rFonts w:asciiTheme="minorHAnsi" w:hAnsiTheme="minorHAnsi"/>
          <w:sz w:val="22"/>
          <w:szCs w:val="22"/>
        </w:rPr>
      </w:pPr>
      <w:r w:rsidRPr="008C5D4B">
        <w:rPr>
          <w:rFonts w:asciiTheme="minorHAnsi" w:hAnsiTheme="minorHAnsi"/>
          <w:i/>
          <w:sz w:val="22"/>
          <w:szCs w:val="22"/>
        </w:rPr>
        <w:t>Cooking sources</w:t>
      </w:r>
      <w:r w:rsidR="00BC34F3" w:rsidRPr="008C5D4B">
        <w:rPr>
          <w:rFonts w:asciiTheme="minorHAnsi" w:hAnsiTheme="minorHAnsi"/>
          <w:i/>
          <w:sz w:val="22"/>
          <w:szCs w:val="22"/>
        </w:rPr>
        <w:t xml:space="preserve">. </w:t>
      </w:r>
      <w:r w:rsidR="00B71F20" w:rsidRPr="008C5D4B">
        <w:rPr>
          <w:rFonts w:asciiTheme="minorHAnsi" w:hAnsiTheme="minorHAnsi"/>
          <w:sz w:val="22"/>
          <w:szCs w:val="22"/>
        </w:rPr>
        <w:t>For each time-step of the model, the frequency distribution</w:t>
      </w:r>
      <w:r w:rsidR="00917BEB" w:rsidRPr="008C5D4B">
        <w:rPr>
          <w:rFonts w:asciiTheme="minorHAnsi" w:hAnsiTheme="minorHAnsi"/>
          <w:sz w:val="22"/>
          <w:szCs w:val="22"/>
        </w:rPr>
        <w:t>s</w:t>
      </w:r>
      <w:r w:rsidR="00B71F20" w:rsidRPr="008C5D4B">
        <w:rPr>
          <w:rFonts w:asciiTheme="minorHAnsi" w:hAnsiTheme="minorHAnsi"/>
          <w:sz w:val="22"/>
          <w:szCs w:val="22"/>
        </w:rPr>
        <w:t xml:space="preserve"> of additional concentrations</w:t>
      </w:r>
      <w:r w:rsidR="001B711B" w:rsidRPr="008C5D4B">
        <w:rPr>
          <w:rFonts w:asciiTheme="minorHAnsi" w:hAnsiTheme="minorHAnsi"/>
          <w:sz w:val="22"/>
          <w:szCs w:val="22"/>
        </w:rPr>
        <w:t xml:space="preserve"> that result</w:t>
      </w:r>
      <w:r w:rsidR="00C23468" w:rsidRPr="008C5D4B">
        <w:rPr>
          <w:rFonts w:asciiTheme="minorHAnsi" w:hAnsiTheme="minorHAnsi"/>
          <w:sz w:val="22"/>
          <w:szCs w:val="22"/>
        </w:rPr>
        <w:t xml:space="preserve"> from the cooking activity </w:t>
      </w:r>
      <w:r w:rsidR="00B71F20" w:rsidRPr="008C5D4B">
        <w:rPr>
          <w:rFonts w:asciiTheme="minorHAnsi" w:hAnsiTheme="minorHAnsi"/>
          <w:sz w:val="22"/>
          <w:szCs w:val="22"/>
        </w:rPr>
        <w:t>were constructed</w:t>
      </w:r>
      <w:r w:rsidR="00C23468" w:rsidRPr="008C5D4B">
        <w:rPr>
          <w:rFonts w:asciiTheme="minorHAnsi" w:hAnsiTheme="minorHAnsi"/>
          <w:sz w:val="22"/>
          <w:szCs w:val="22"/>
        </w:rPr>
        <w:t xml:space="preserve"> from the original INDAIR model</w:t>
      </w:r>
      <w:r w:rsidR="003D4C72" w:rsidRPr="008C5D4B">
        <w:rPr>
          <w:rFonts w:asciiTheme="minorHAnsi" w:hAnsiTheme="minorHAnsi"/>
          <w:sz w:val="22"/>
          <w:szCs w:val="22"/>
        </w:rPr>
        <w:t>, using the emission rates described by Dimitroulopoulou et al. (2006)</w:t>
      </w:r>
      <w:r w:rsidR="00C23468" w:rsidRPr="008C5D4B">
        <w:rPr>
          <w:rFonts w:asciiTheme="minorHAnsi" w:hAnsiTheme="minorHAnsi"/>
          <w:sz w:val="22"/>
          <w:szCs w:val="22"/>
        </w:rPr>
        <w:t>.</w:t>
      </w:r>
      <w:r w:rsidR="00B71F20" w:rsidRPr="008C5D4B">
        <w:rPr>
          <w:rFonts w:asciiTheme="minorHAnsi" w:hAnsiTheme="minorHAnsi"/>
          <w:sz w:val="22"/>
          <w:szCs w:val="22"/>
        </w:rPr>
        <w:t xml:space="preserve"> </w:t>
      </w:r>
      <w:r w:rsidR="00C23468" w:rsidRPr="008C5D4B">
        <w:rPr>
          <w:rFonts w:asciiTheme="minorHAnsi" w:hAnsiTheme="minorHAnsi"/>
          <w:sz w:val="22"/>
          <w:szCs w:val="22"/>
        </w:rPr>
        <w:t xml:space="preserve">The </w:t>
      </w:r>
      <w:r w:rsidR="00C23468" w:rsidRPr="00137DB4">
        <w:rPr>
          <w:rFonts w:asciiTheme="minorHAnsi" w:hAnsiTheme="minorHAnsi"/>
          <w:sz w:val="22"/>
          <w:szCs w:val="22"/>
        </w:rPr>
        <w:t>results showed that concentrations due to cooking activity, expressed as the difference from the no-source simulations, are effectively independent of both time of day and outdoor concentrations</w:t>
      </w:r>
      <w:r w:rsidR="00BC34F3" w:rsidRPr="00137DB4">
        <w:rPr>
          <w:rFonts w:asciiTheme="minorHAnsi" w:hAnsiTheme="minorHAnsi"/>
          <w:sz w:val="22"/>
          <w:szCs w:val="22"/>
        </w:rPr>
        <w:t xml:space="preserve">. </w:t>
      </w:r>
      <w:r w:rsidR="00722E44" w:rsidRPr="00137DB4">
        <w:rPr>
          <w:rFonts w:asciiTheme="minorHAnsi" w:hAnsiTheme="minorHAnsi"/>
          <w:sz w:val="22"/>
          <w:szCs w:val="22"/>
        </w:rPr>
        <w:t xml:space="preserve">The duration and timing of cooking activity for each season and day-of the-week was derived from the BBC Survey for Daily Life (see Section 2.2), based on when each group was in the kitchen preparing food. In the case of children, the time-activity data for housewives (data not shown) was used; this group spent significantly more time in the kitchen than the children themselves.   </w:t>
      </w:r>
    </w:p>
    <w:p w14:paraId="0EE6DE89" w14:textId="77777777" w:rsidR="00722E44" w:rsidRPr="008C5D4B" w:rsidRDefault="00722E44" w:rsidP="00BC34F3">
      <w:pPr>
        <w:pStyle w:val="WCANormal"/>
        <w:spacing w:before="0"/>
        <w:rPr>
          <w:rFonts w:asciiTheme="minorHAnsi" w:hAnsiTheme="minorHAnsi"/>
          <w:i/>
          <w:sz w:val="22"/>
          <w:szCs w:val="22"/>
        </w:rPr>
      </w:pPr>
    </w:p>
    <w:p w14:paraId="597564C9" w14:textId="77777777" w:rsidR="00E35393" w:rsidRPr="00CF4818" w:rsidRDefault="004471D4" w:rsidP="00BA29F9">
      <w:pPr>
        <w:jc w:val="both"/>
        <w:rPr>
          <w:rFonts w:asciiTheme="minorHAnsi" w:hAnsiTheme="minorHAnsi"/>
          <w:szCs w:val="22"/>
        </w:rPr>
      </w:pPr>
      <w:r w:rsidRPr="00CF4818">
        <w:rPr>
          <w:rFonts w:asciiTheme="minorHAnsi" w:hAnsiTheme="minorHAnsi"/>
          <w:i/>
          <w:szCs w:val="22"/>
        </w:rPr>
        <w:t>c. Smoking sources</w:t>
      </w:r>
      <w:r w:rsidR="00BC34F3">
        <w:rPr>
          <w:rFonts w:asciiTheme="minorHAnsi" w:hAnsiTheme="minorHAnsi"/>
          <w:i/>
          <w:szCs w:val="22"/>
        </w:rPr>
        <w:t xml:space="preserve">. </w:t>
      </w:r>
      <w:r w:rsidR="00DD7655" w:rsidRPr="00CF4818">
        <w:rPr>
          <w:rFonts w:asciiTheme="minorHAnsi" w:hAnsiTheme="minorHAnsi"/>
          <w:szCs w:val="22"/>
        </w:rPr>
        <w:t xml:space="preserve">Using the same approach, </w:t>
      </w:r>
      <w:r w:rsidRPr="00CF4818">
        <w:rPr>
          <w:rFonts w:asciiTheme="minorHAnsi" w:hAnsiTheme="minorHAnsi"/>
          <w:szCs w:val="22"/>
        </w:rPr>
        <w:t xml:space="preserve">geometric means and SD of the </w:t>
      </w:r>
      <w:r w:rsidR="008D1D4E" w:rsidRPr="00CF4818">
        <w:rPr>
          <w:rFonts w:asciiTheme="minorHAnsi" w:hAnsiTheme="minorHAnsi"/>
          <w:szCs w:val="22"/>
        </w:rPr>
        <w:t xml:space="preserve">regression coefficients </w:t>
      </w:r>
      <w:r w:rsidRPr="00CF4818">
        <w:rPr>
          <w:rFonts w:asciiTheme="minorHAnsi" w:hAnsiTheme="minorHAnsi"/>
          <w:szCs w:val="22"/>
        </w:rPr>
        <w:t>for pollutants from smoking were calculated</w:t>
      </w:r>
      <w:r w:rsidR="00F64462">
        <w:rPr>
          <w:rFonts w:asciiTheme="minorHAnsi" w:hAnsiTheme="minorHAnsi"/>
          <w:szCs w:val="22"/>
        </w:rPr>
        <w:t xml:space="preserve"> (data not shown)</w:t>
      </w:r>
      <w:r w:rsidR="00E348D2" w:rsidRPr="00CF4818">
        <w:rPr>
          <w:rFonts w:asciiTheme="minorHAnsi" w:hAnsiTheme="minorHAnsi"/>
          <w:szCs w:val="22"/>
        </w:rPr>
        <w:t xml:space="preserve">, </w:t>
      </w:r>
      <w:r w:rsidR="00DD7655" w:rsidRPr="00CF4818">
        <w:rPr>
          <w:rFonts w:asciiTheme="minorHAnsi" w:hAnsiTheme="minorHAnsi"/>
          <w:szCs w:val="22"/>
        </w:rPr>
        <w:t xml:space="preserve">using the emission rates per cigarette described by Dimitroulopoulou et al. (2006). </w:t>
      </w:r>
      <w:r w:rsidR="009B23C3" w:rsidRPr="00CF4818">
        <w:rPr>
          <w:rFonts w:asciiTheme="minorHAnsi" w:hAnsiTheme="minorHAnsi"/>
          <w:bCs/>
          <w:szCs w:val="22"/>
        </w:rPr>
        <w:t xml:space="preserve">The assumptions made about smoking activity at home were based on </w:t>
      </w:r>
      <w:r w:rsidR="009B23C3" w:rsidRPr="00CF4818">
        <w:rPr>
          <w:rFonts w:asciiTheme="minorHAnsi" w:hAnsiTheme="minorHAnsi"/>
          <w:szCs w:val="22"/>
        </w:rPr>
        <w:t xml:space="preserve">the Living in Britain General Household Survey 2001 (ONS, 2001), </w:t>
      </w:r>
      <w:r w:rsidR="00262890" w:rsidRPr="00CF4818">
        <w:rPr>
          <w:rFonts w:asciiTheme="minorHAnsi" w:hAnsiTheme="minorHAnsi"/>
          <w:szCs w:val="22"/>
        </w:rPr>
        <w:t>which indicates that</w:t>
      </w:r>
      <w:r w:rsidR="009B23C3" w:rsidRPr="00CF4818">
        <w:rPr>
          <w:rFonts w:asciiTheme="minorHAnsi" w:hAnsiTheme="minorHAnsi"/>
          <w:bCs/>
          <w:szCs w:val="22"/>
        </w:rPr>
        <w:t xml:space="preserve"> </w:t>
      </w:r>
      <w:r w:rsidR="009B23C3" w:rsidRPr="00CF4818">
        <w:rPr>
          <w:rFonts w:asciiTheme="minorHAnsi" w:hAnsiTheme="minorHAnsi"/>
          <w:szCs w:val="22"/>
        </w:rPr>
        <w:t>27% of both men and women smoke on average 15 cigarettes per day</w:t>
      </w:r>
      <w:r w:rsidR="00E35393" w:rsidRPr="00CF4818">
        <w:rPr>
          <w:rFonts w:asciiTheme="minorHAnsi" w:hAnsiTheme="minorHAnsi"/>
          <w:szCs w:val="22"/>
        </w:rPr>
        <w:t xml:space="preserve">. </w:t>
      </w:r>
    </w:p>
    <w:p w14:paraId="07A848D1" w14:textId="77777777" w:rsidR="00C2757B" w:rsidRDefault="00C2757B" w:rsidP="00BA29F9">
      <w:pPr>
        <w:keepNext/>
        <w:jc w:val="both"/>
        <w:rPr>
          <w:rFonts w:asciiTheme="minorHAnsi" w:hAnsiTheme="minorHAnsi"/>
          <w:i/>
          <w:szCs w:val="22"/>
        </w:rPr>
      </w:pPr>
    </w:p>
    <w:p w14:paraId="5DFE2C93" w14:textId="119886EA" w:rsidR="004471D4" w:rsidRPr="00CF4818" w:rsidRDefault="00184856" w:rsidP="00BA29F9">
      <w:pPr>
        <w:keepNext/>
        <w:jc w:val="both"/>
        <w:rPr>
          <w:rFonts w:asciiTheme="minorHAnsi" w:hAnsiTheme="minorHAnsi"/>
          <w:i/>
          <w:szCs w:val="22"/>
        </w:rPr>
      </w:pPr>
      <w:r>
        <w:rPr>
          <w:rFonts w:asciiTheme="minorHAnsi" w:hAnsiTheme="minorHAnsi"/>
          <w:i/>
          <w:szCs w:val="22"/>
        </w:rPr>
        <w:t xml:space="preserve">2.3.3 </w:t>
      </w:r>
      <w:r w:rsidR="00282132">
        <w:rPr>
          <w:rFonts w:asciiTheme="minorHAnsi" w:hAnsiTheme="minorHAnsi"/>
          <w:i/>
          <w:szCs w:val="22"/>
        </w:rPr>
        <w:tab/>
      </w:r>
      <w:r w:rsidR="004471D4" w:rsidRPr="00CF4818">
        <w:rPr>
          <w:rFonts w:asciiTheme="minorHAnsi" w:hAnsiTheme="minorHAnsi"/>
          <w:i/>
          <w:szCs w:val="22"/>
        </w:rPr>
        <w:t xml:space="preserve">Parameterisation for non-residential MEs </w:t>
      </w:r>
    </w:p>
    <w:p w14:paraId="7B00FB82" w14:textId="77777777" w:rsidR="00BC34F3" w:rsidRDefault="00BC34F3" w:rsidP="00B9182D">
      <w:pPr>
        <w:pStyle w:val="BodyText"/>
        <w:jc w:val="both"/>
        <w:rPr>
          <w:rFonts w:asciiTheme="minorHAnsi" w:hAnsiTheme="minorHAnsi"/>
          <w:b w:val="0"/>
        </w:rPr>
      </w:pPr>
    </w:p>
    <w:p w14:paraId="5B1C4892" w14:textId="1860FAF3" w:rsidR="002148E9" w:rsidRPr="00137DB4" w:rsidRDefault="00B20FB9" w:rsidP="00140CCA">
      <w:pPr>
        <w:jc w:val="both"/>
        <w:rPr>
          <w:rFonts w:asciiTheme="minorHAnsi" w:hAnsiTheme="minorHAnsi"/>
          <w:szCs w:val="22"/>
        </w:rPr>
      </w:pPr>
      <w:r w:rsidRPr="00137DB4">
        <w:rPr>
          <w:rFonts w:asciiTheme="minorHAnsi" w:hAnsiTheme="minorHAnsi"/>
          <w:szCs w:val="22"/>
        </w:rPr>
        <w:t xml:space="preserve">The original INDAIR model </w:t>
      </w:r>
      <w:r w:rsidR="00EA533E" w:rsidRPr="00137DB4">
        <w:rPr>
          <w:rFonts w:asciiTheme="minorHAnsi" w:hAnsiTheme="minorHAnsi"/>
          <w:szCs w:val="22"/>
        </w:rPr>
        <w:t>parameterisation</w:t>
      </w:r>
      <w:r w:rsidRPr="00137DB4">
        <w:rPr>
          <w:rFonts w:asciiTheme="minorHAnsi" w:hAnsiTheme="minorHAnsi"/>
          <w:szCs w:val="22"/>
        </w:rPr>
        <w:t xml:space="preserve"> </w:t>
      </w:r>
      <w:r w:rsidR="00EA533E" w:rsidRPr="00137DB4">
        <w:rPr>
          <w:rFonts w:asciiTheme="minorHAnsi" w:hAnsiTheme="minorHAnsi"/>
          <w:szCs w:val="22"/>
        </w:rPr>
        <w:t xml:space="preserve">did not </w:t>
      </w:r>
      <w:r w:rsidRPr="00137DB4">
        <w:rPr>
          <w:rFonts w:asciiTheme="minorHAnsi" w:hAnsiTheme="minorHAnsi"/>
          <w:szCs w:val="22"/>
        </w:rPr>
        <w:t xml:space="preserve">allow </w:t>
      </w:r>
      <w:r w:rsidRPr="00137DB4">
        <w:rPr>
          <w:rFonts w:asciiTheme="minorHAnsi" w:hAnsiTheme="minorHAnsi"/>
          <w:color w:val="FF0000"/>
          <w:szCs w:val="22"/>
        </w:rPr>
        <w:t>explicit simulations for</w:t>
      </w:r>
      <w:r w:rsidRPr="00137DB4">
        <w:rPr>
          <w:rFonts w:asciiTheme="minorHAnsi" w:hAnsiTheme="minorHAnsi"/>
          <w:szCs w:val="22"/>
        </w:rPr>
        <w:t xml:space="preserve"> </w:t>
      </w:r>
      <w:r w:rsidR="00EA533E" w:rsidRPr="00137DB4">
        <w:rPr>
          <w:rFonts w:asciiTheme="minorHAnsi" w:hAnsiTheme="minorHAnsi"/>
          <w:szCs w:val="22"/>
        </w:rPr>
        <w:t>non-residential MEs</w:t>
      </w:r>
      <w:r w:rsidRPr="00137DB4">
        <w:rPr>
          <w:rFonts w:asciiTheme="minorHAnsi" w:hAnsiTheme="minorHAnsi"/>
          <w:szCs w:val="22"/>
        </w:rPr>
        <w:t>. Therefore, the</w:t>
      </w:r>
      <w:r w:rsidR="00EA533E" w:rsidRPr="00137DB4">
        <w:rPr>
          <w:rFonts w:asciiTheme="minorHAnsi" w:hAnsiTheme="minorHAnsi"/>
          <w:szCs w:val="22"/>
        </w:rPr>
        <w:t>se</w:t>
      </w:r>
      <w:r w:rsidRPr="00137DB4">
        <w:rPr>
          <w:rFonts w:asciiTheme="minorHAnsi" w:hAnsiTheme="minorHAnsi"/>
          <w:szCs w:val="22"/>
        </w:rPr>
        <w:t xml:space="preserve"> parameters were derived from an analysis of measurement data from published sources</w:t>
      </w:r>
      <w:r w:rsidR="00191BF4" w:rsidRPr="00137DB4">
        <w:rPr>
          <w:rFonts w:asciiTheme="minorHAnsi" w:hAnsiTheme="minorHAnsi"/>
          <w:szCs w:val="22"/>
        </w:rPr>
        <w:t xml:space="preserve"> mainly from the UK</w:t>
      </w:r>
      <w:r w:rsidR="00140CCA" w:rsidRPr="00137DB4">
        <w:rPr>
          <w:rFonts w:asciiTheme="minorHAnsi" w:hAnsiTheme="minorHAnsi"/>
          <w:szCs w:val="22"/>
        </w:rPr>
        <w:t xml:space="preserve"> and northern Europe. Unpublished sources were also used</w:t>
      </w:r>
      <w:r w:rsidRPr="00137DB4">
        <w:rPr>
          <w:rFonts w:asciiTheme="minorHAnsi" w:hAnsiTheme="minorHAnsi"/>
          <w:szCs w:val="22"/>
        </w:rPr>
        <w:t>, after appropriate quality evaluation</w:t>
      </w:r>
      <w:r w:rsidR="00140CCA" w:rsidRPr="00137DB4">
        <w:rPr>
          <w:rFonts w:asciiTheme="minorHAnsi" w:hAnsiTheme="minorHAnsi"/>
          <w:szCs w:val="22"/>
        </w:rPr>
        <w:t xml:space="preserve"> of measurement method and sample size</w:t>
      </w:r>
      <w:r w:rsidR="00262890" w:rsidRPr="00137DB4">
        <w:rPr>
          <w:rFonts w:asciiTheme="minorHAnsi" w:hAnsiTheme="minorHAnsi"/>
          <w:szCs w:val="22"/>
        </w:rPr>
        <w:t>.</w:t>
      </w:r>
      <w:r w:rsidR="00140CCA" w:rsidRPr="00137DB4">
        <w:rPr>
          <w:rFonts w:asciiTheme="minorHAnsi" w:hAnsiTheme="minorHAnsi"/>
          <w:szCs w:val="22"/>
        </w:rPr>
        <w:t xml:space="preserve"> </w:t>
      </w:r>
      <w:r w:rsidR="00262890" w:rsidRPr="009C031D">
        <w:rPr>
          <w:rFonts w:asciiTheme="minorHAnsi" w:hAnsiTheme="minorHAnsi"/>
          <w:color w:val="FF0000"/>
          <w:szCs w:val="22"/>
        </w:rPr>
        <w:t>ME/outdoor ratios</w:t>
      </w:r>
      <w:r w:rsidR="00A43713" w:rsidRPr="009C031D">
        <w:rPr>
          <w:rFonts w:asciiTheme="minorHAnsi" w:hAnsiTheme="minorHAnsi"/>
          <w:color w:val="FF0000"/>
          <w:szCs w:val="22"/>
        </w:rPr>
        <w:t xml:space="preserve"> </w:t>
      </w:r>
      <w:r w:rsidR="00262890" w:rsidRPr="009C031D">
        <w:rPr>
          <w:rFonts w:asciiTheme="minorHAnsi" w:hAnsiTheme="minorHAnsi"/>
          <w:color w:val="FF0000"/>
          <w:szCs w:val="22"/>
        </w:rPr>
        <w:t xml:space="preserve">derived </w:t>
      </w:r>
      <w:r w:rsidR="00262890" w:rsidRPr="00137DB4">
        <w:rPr>
          <w:rFonts w:asciiTheme="minorHAnsi" w:hAnsiTheme="minorHAnsi"/>
          <w:szCs w:val="22"/>
        </w:rPr>
        <w:t>from UK studies</w:t>
      </w:r>
      <w:r w:rsidR="00997F8B" w:rsidRPr="00137DB4">
        <w:rPr>
          <w:rFonts w:asciiTheme="minorHAnsi" w:hAnsiTheme="minorHAnsi"/>
          <w:szCs w:val="22"/>
        </w:rPr>
        <w:t xml:space="preserve"> </w:t>
      </w:r>
      <w:r w:rsidR="00262890" w:rsidRPr="00137DB4">
        <w:rPr>
          <w:rFonts w:asciiTheme="minorHAnsi" w:hAnsiTheme="minorHAnsi"/>
          <w:szCs w:val="22"/>
        </w:rPr>
        <w:t>and used in model param</w:t>
      </w:r>
      <w:r w:rsidR="00E35393" w:rsidRPr="00137DB4">
        <w:rPr>
          <w:rFonts w:asciiTheme="minorHAnsi" w:hAnsiTheme="minorHAnsi"/>
          <w:szCs w:val="22"/>
        </w:rPr>
        <w:t>e</w:t>
      </w:r>
      <w:r w:rsidR="00262890" w:rsidRPr="00137DB4">
        <w:rPr>
          <w:rFonts w:asciiTheme="minorHAnsi" w:hAnsiTheme="minorHAnsi"/>
          <w:szCs w:val="22"/>
        </w:rPr>
        <w:t>terisation were 0.75 (sd 0.12) for schools, offices, and shops and large buildings, 1.0 (s.d. 0.25) for bars and restaurants, and 1.25 (</w:t>
      </w:r>
      <w:r w:rsidR="002148E9" w:rsidRPr="00137DB4">
        <w:rPr>
          <w:rFonts w:asciiTheme="minorHAnsi" w:hAnsiTheme="minorHAnsi"/>
          <w:szCs w:val="22"/>
        </w:rPr>
        <w:t xml:space="preserve">s.d 0.12) for transport (e.g. Field et al., 1992; Hoskins, et al., 1993; Ekberg, 1995; Colbeck, 1998; Drakou et al., 1998; Kukadia and Palmer,1998; Lee and Chang, 1999; Janssen et al., 2001; Harrison et al., 2002; Dimitroulopoulou, 2003; Lai  et al., 2004; Sorensen et al., 2005; Van Roosbroeck, et al., 2007; Kornartit et al., 2010; Challoner and Gill, 2014). </w:t>
      </w:r>
    </w:p>
    <w:p w14:paraId="5B3A2488" w14:textId="3C11EDEB" w:rsidR="00367AC6" w:rsidRPr="00137DB4" w:rsidRDefault="00262890" w:rsidP="00B9182D">
      <w:pPr>
        <w:pStyle w:val="BodyText"/>
        <w:jc w:val="both"/>
        <w:rPr>
          <w:rFonts w:asciiTheme="minorHAnsi" w:hAnsiTheme="minorHAnsi"/>
          <w:b w:val="0"/>
          <w:sz w:val="22"/>
          <w:szCs w:val="22"/>
        </w:rPr>
      </w:pPr>
      <w:r w:rsidRPr="00137DB4">
        <w:rPr>
          <w:rFonts w:asciiTheme="minorHAnsi" w:hAnsiTheme="minorHAnsi"/>
          <w:b w:val="0"/>
          <w:sz w:val="22"/>
          <w:szCs w:val="22"/>
        </w:rPr>
        <w:t xml:space="preserve">  </w:t>
      </w:r>
    </w:p>
    <w:p w14:paraId="400C5A3D" w14:textId="77777777" w:rsidR="005B5AA0" w:rsidRDefault="005B5AA0" w:rsidP="00BA29F9">
      <w:pPr>
        <w:jc w:val="both"/>
        <w:rPr>
          <w:rFonts w:asciiTheme="minorHAnsi" w:hAnsiTheme="minorHAnsi"/>
          <w:i/>
          <w:szCs w:val="22"/>
        </w:rPr>
      </w:pPr>
    </w:p>
    <w:p w14:paraId="34EEA057" w14:textId="77777777" w:rsidR="005B5AA0" w:rsidRPr="00CF4818" w:rsidRDefault="00622E5C" w:rsidP="005B5AA0">
      <w:pPr>
        <w:jc w:val="both"/>
        <w:rPr>
          <w:rFonts w:asciiTheme="minorHAnsi" w:hAnsiTheme="minorHAnsi"/>
          <w:b/>
          <w:szCs w:val="22"/>
        </w:rPr>
      </w:pPr>
      <w:r>
        <w:rPr>
          <w:rFonts w:asciiTheme="minorHAnsi" w:hAnsiTheme="minorHAnsi"/>
          <w:b/>
          <w:szCs w:val="22"/>
        </w:rPr>
        <w:t>3.</w:t>
      </w:r>
      <w:r>
        <w:rPr>
          <w:rFonts w:asciiTheme="minorHAnsi" w:hAnsiTheme="minorHAnsi"/>
          <w:b/>
          <w:szCs w:val="22"/>
        </w:rPr>
        <w:tab/>
      </w:r>
      <w:r w:rsidR="002B6553">
        <w:rPr>
          <w:rFonts w:asciiTheme="minorHAnsi" w:hAnsiTheme="minorHAnsi"/>
          <w:b/>
          <w:szCs w:val="22"/>
        </w:rPr>
        <w:t>Application of EXPAIR model in Leicester</w:t>
      </w:r>
    </w:p>
    <w:p w14:paraId="4189FCB4" w14:textId="77777777" w:rsidR="005B5AA0" w:rsidRDefault="005B5AA0" w:rsidP="00BA29F9">
      <w:pPr>
        <w:jc w:val="both"/>
        <w:rPr>
          <w:rFonts w:asciiTheme="minorHAnsi" w:hAnsiTheme="minorHAnsi"/>
          <w:i/>
          <w:szCs w:val="22"/>
        </w:rPr>
      </w:pPr>
    </w:p>
    <w:p w14:paraId="59E50ED1" w14:textId="07496EFB" w:rsidR="001B6980" w:rsidRPr="00137DB4" w:rsidRDefault="001B6980" w:rsidP="001B6980">
      <w:pPr>
        <w:autoSpaceDE w:val="0"/>
        <w:autoSpaceDN w:val="0"/>
        <w:adjustRightInd w:val="0"/>
        <w:jc w:val="both"/>
        <w:rPr>
          <w:rFonts w:asciiTheme="minorHAnsi" w:hAnsiTheme="minorHAnsi"/>
          <w:szCs w:val="22"/>
        </w:rPr>
      </w:pPr>
      <w:r w:rsidRPr="00137DB4">
        <w:rPr>
          <w:rFonts w:asciiTheme="minorHAnsi" w:hAnsiTheme="minorHAnsi"/>
          <w:szCs w:val="22"/>
        </w:rPr>
        <w:t>As described above, the only specific data parameterisation needed to apply the INDAIR-2/EXPAIR model to the city of Leicester was to define the outdoor NO</w:t>
      </w:r>
      <w:r w:rsidRPr="00137DB4">
        <w:rPr>
          <w:rFonts w:asciiTheme="minorHAnsi" w:hAnsiTheme="minorHAnsi"/>
          <w:szCs w:val="22"/>
          <w:vertAlign w:val="subscript"/>
        </w:rPr>
        <w:t xml:space="preserve">2 </w:t>
      </w:r>
      <w:r w:rsidRPr="00137DB4">
        <w:rPr>
          <w:rFonts w:asciiTheme="minorHAnsi" w:hAnsiTheme="minorHAnsi"/>
          <w:szCs w:val="22"/>
        </w:rPr>
        <w:t xml:space="preserve">concentrations and </w:t>
      </w:r>
      <w:r w:rsidR="00140CCA" w:rsidRPr="00137DB4">
        <w:rPr>
          <w:rFonts w:asciiTheme="minorHAnsi" w:hAnsiTheme="minorHAnsi"/>
          <w:szCs w:val="22"/>
        </w:rPr>
        <w:t>ME locations</w:t>
      </w:r>
      <w:r w:rsidRPr="00137DB4">
        <w:rPr>
          <w:rFonts w:asciiTheme="minorHAnsi" w:hAnsiTheme="minorHAnsi"/>
          <w:szCs w:val="22"/>
        </w:rPr>
        <w:t xml:space="preserve"> for different zones within the city. The division into zones was based on a detailed traffic flow model for the city, using the TRIPS (Transport </w:t>
      </w:r>
      <w:r w:rsidR="00010D4E" w:rsidRPr="00137DB4">
        <w:rPr>
          <w:rFonts w:asciiTheme="minorHAnsi" w:hAnsiTheme="minorHAnsi"/>
          <w:szCs w:val="22"/>
        </w:rPr>
        <w:t>Improvement Planning System) model; t</w:t>
      </w:r>
      <w:r w:rsidRPr="00137DB4">
        <w:rPr>
          <w:rFonts w:asciiTheme="minorHAnsi" w:hAnsiTheme="minorHAnsi"/>
          <w:szCs w:val="22"/>
        </w:rPr>
        <w:t xml:space="preserve">raffic data from TRIPS </w:t>
      </w:r>
      <w:r w:rsidR="00010D4E" w:rsidRPr="00137DB4">
        <w:rPr>
          <w:rFonts w:asciiTheme="minorHAnsi" w:hAnsiTheme="minorHAnsi"/>
          <w:szCs w:val="22"/>
        </w:rPr>
        <w:t>were</w:t>
      </w:r>
      <w:r w:rsidRPr="00137DB4">
        <w:rPr>
          <w:rFonts w:asciiTheme="minorHAnsi" w:hAnsiTheme="minorHAnsi"/>
          <w:szCs w:val="22"/>
        </w:rPr>
        <w:t xml:space="preserve"> used to divide the road network (53,000 links) into four types, based on detailed data on traffic characteristics and fleet composition, as described in Chen et al. (2008)</w:t>
      </w:r>
      <w:r w:rsidR="00010D4E" w:rsidRPr="00137DB4">
        <w:rPr>
          <w:rFonts w:asciiTheme="minorHAnsi" w:hAnsiTheme="minorHAnsi"/>
          <w:szCs w:val="22"/>
        </w:rPr>
        <w:t>. These were used to define four zones</w:t>
      </w:r>
      <w:r w:rsidRPr="00137DB4">
        <w:rPr>
          <w:rFonts w:asciiTheme="minorHAnsi" w:hAnsiTheme="minorHAnsi"/>
          <w:szCs w:val="22"/>
        </w:rPr>
        <w:t xml:space="preserve">, as follows: </w:t>
      </w:r>
    </w:p>
    <w:p w14:paraId="43763CD2" w14:textId="77777777" w:rsidR="001B6980" w:rsidRPr="00137DB4" w:rsidRDefault="001B6980" w:rsidP="001B6980">
      <w:pPr>
        <w:autoSpaceDE w:val="0"/>
        <w:autoSpaceDN w:val="0"/>
        <w:adjustRightInd w:val="0"/>
        <w:jc w:val="both"/>
        <w:rPr>
          <w:rFonts w:asciiTheme="minorHAnsi" w:hAnsiTheme="minorHAnsi"/>
          <w:szCs w:val="22"/>
        </w:rPr>
      </w:pPr>
    </w:p>
    <w:p w14:paraId="2A08166A" w14:textId="77777777" w:rsidR="001B6980" w:rsidRPr="00137DB4" w:rsidRDefault="001B6980" w:rsidP="001B6980">
      <w:pPr>
        <w:numPr>
          <w:ilvl w:val="0"/>
          <w:numId w:val="18"/>
        </w:numPr>
        <w:autoSpaceDE w:val="0"/>
        <w:autoSpaceDN w:val="0"/>
        <w:adjustRightInd w:val="0"/>
        <w:jc w:val="both"/>
        <w:rPr>
          <w:rFonts w:asciiTheme="minorHAnsi" w:hAnsiTheme="minorHAnsi"/>
          <w:szCs w:val="22"/>
        </w:rPr>
      </w:pPr>
      <w:r w:rsidRPr="00137DB4">
        <w:rPr>
          <w:rFonts w:asciiTheme="minorHAnsi" w:hAnsiTheme="minorHAnsi"/>
          <w:szCs w:val="22"/>
        </w:rPr>
        <w:t>Road type 1: urban background/town roads with only car traffic;</w:t>
      </w:r>
    </w:p>
    <w:p w14:paraId="135096FC" w14:textId="77777777" w:rsidR="001B6980" w:rsidRPr="00137DB4" w:rsidRDefault="001B6980" w:rsidP="001B6980">
      <w:pPr>
        <w:numPr>
          <w:ilvl w:val="0"/>
          <w:numId w:val="18"/>
        </w:numPr>
        <w:autoSpaceDE w:val="0"/>
        <w:autoSpaceDN w:val="0"/>
        <w:adjustRightInd w:val="0"/>
        <w:jc w:val="both"/>
        <w:rPr>
          <w:rFonts w:asciiTheme="minorHAnsi" w:hAnsiTheme="minorHAnsi"/>
          <w:szCs w:val="22"/>
        </w:rPr>
      </w:pPr>
      <w:r w:rsidRPr="00137DB4">
        <w:rPr>
          <w:rFonts w:asciiTheme="minorHAnsi" w:hAnsiTheme="minorHAnsi"/>
          <w:szCs w:val="22"/>
        </w:rPr>
        <w:t>Road type 2: Urban roads with low HGV(Heavy Goods Vehicles) flows;</w:t>
      </w:r>
      <w:r w:rsidRPr="00137DB4" w:rsidDel="001055D8">
        <w:rPr>
          <w:rFonts w:asciiTheme="minorHAnsi" w:hAnsiTheme="minorHAnsi"/>
          <w:szCs w:val="22"/>
        </w:rPr>
        <w:t xml:space="preserve"> </w:t>
      </w:r>
    </w:p>
    <w:p w14:paraId="15BCF70C" w14:textId="77777777" w:rsidR="001B6980" w:rsidRPr="00137DB4" w:rsidRDefault="001B6980" w:rsidP="001B6980">
      <w:pPr>
        <w:numPr>
          <w:ilvl w:val="0"/>
          <w:numId w:val="18"/>
        </w:numPr>
        <w:autoSpaceDE w:val="0"/>
        <w:autoSpaceDN w:val="0"/>
        <w:adjustRightInd w:val="0"/>
        <w:jc w:val="both"/>
        <w:rPr>
          <w:rFonts w:asciiTheme="minorHAnsi" w:hAnsiTheme="minorHAnsi"/>
          <w:szCs w:val="22"/>
        </w:rPr>
      </w:pPr>
      <w:r w:rsidRPr="00137DB4">
        <w:rPr>
          <w:rFonts w:asciiTheme="minorHAnsi" w:hAnsiTheme="minorHAnsi"/>
          <w:szCs w:val="22"/>
        </w:rPr>
        <w:t>Road type 3: Urban roads with medium HGV flows;</w:t>
      </w:r>
    </w:p>
    <w:p w14:paraId="0D5E555D" w14:textId="77777777" w:rsidR="001B6980" w:rsidRPr="00137DB4" w:rsidRDefault="001B6980" w:rsidP="001B6980">
      <w:pPr>
        <w:numPr>
          <w:ilvl w:val="0"/>
          <w:numId w:val="18"/>
        </w:numPr>
        <w:autoSpaceDE w:val="0"/>
        <w:autoSpaceDN w:val="0"/>
        <w:adjustRightInd w:val="0"/>
        <w:jc w:val="both"/>
        <w:rPr>
          <w:rFonts w:asciiTheme="minorHAnsi" w:hAnsiTheme="minorHAnsi"/>
          <w:szCs w:val="22"/>
        </w:rPr>
      </w:pPr>
      <w:r w:rsidRPr="00137DB4">
        <w:rPr>
          <w:rFonts w:asciiTheme="minorHAnsi" w:hAnsiTheme="minorHAnsi"/>
          <w:szCs w:val="22"/>
        </w:rPr>
        <w:t>Road type 4: Urban roads with high HGV flows.</w:t>
      </w:r>
    </w:p>
    <w:p w14:paraId="682BEFD8" w14:textId="77777777" w:rsidR="001B6980" w:rsidRPr="00137DB4" w:rsidRDefault="001B6980" w:rsidP="00BA29F9">
      <w:pPr>
        <w:jc w:val="both"/>
        <w:rPr>
          <w:rFonts w:asciiTheme="minorHAnsi" w:hAnsiTheme="minorHAnsi"/>
          <w:szCs w:val="22"/>
        </w:rPr>
      </w:pPr>
    </w:p>
    <w:p w14:paraId="65B049B9" w14:textId="41947CE4" w:rsidR="0034293D" w:rsidRPr="00137DB4" w:rsidRDefault="0034293D" w:rsidP="0034293D">
      <w:pPr>
        <w:pStyle w:val="BodyText"/>
        <w:jc w:val="both"/>
        <w:rPr>
          <w:rFonts w:asciiTheme="minorHAnsi" w:hAnsiTheme="minorHAnsi"/>
          <w:b w:val="0"/>
          <w:i/>
          <w:sz w:val="22"/>
          <w:szCs w:val="22"/>
        </w:rPr>
      </w:pPr>
      <w:r w:rsidRPr="00137DB4">
        <w:rPr>
          <w:rFonts w:asciiTheme="minorHAnsi" w:hAnsiTheme="minorHAnsi"/>
          <w:b w:val="0"/>
          <w:i/>
          <w:sz w:val="22"/>
          <w:szCs w:val="22"/>
        </w:rPr>
        <w:t>3.1</w:t>
      </w:r>
      <w:r w:rsidRPr="00137DB4">
        <w:rPr>
          <w:rFonts w:asciiTheme="minorHAnsi" w:hAnsiTheme="minorHAnsi"/>
          <w:b w:val="0"/>
          <w:i/>
          <w:sz w:val="22"/>
          <w:szCs w:val="22"/>
        </w:rPr>
        <w:tab/>
        <w:t xml:space="preserve"> </w:t>
      </w:r>
      <w:r w:rsidR="001B6980" w:rsidRPr="00137DB4">
        <w:rPr>
          <w:rFonts w:asciiTheme="minorHAnsi" w:hAnsiTheme="minorHAnsi"/>
          <w:b w:val="0"/>
          <w:i/>
          <w:sz w:val="22"/>
          <w:szCs w:val="22"/>
        </w:rPr>
        <w:t>Assignment of outdoor concentrations to zones</w:t>
      </w:r>
    </w:p>
    <w:p w14:paraId="37093139" w14:textId="77777777" w:rsidR="0034293D" w:rsidRPr="00137DB4" w:rsidRDefault="0034293D" w:rsidP="0034293D">
      <w:pPr>
        <w:pStyle w:val="BodyText"/>
        <w:jc w:val="both"/>
        <w:rPr>
          <w:rFonts w:asciiTheme="minorHAnsi" w:hAnsiTheme="minorHAnsi"/>
          <w:b w:val="0"/>
          <w:sz w:val="22"/>
          <w:szCs w:val="22"/>
        </w:rPr>
      </w:pPr>
    </w:p>
    <w:p w14:paraId="3FE41102" w14:textId="6E93C3F7" w:rsidR="00877B30" w:rsidRPr="00137DB4" w:rsidRDefault="0034293D" w:rsidP="00877B30">
      <w:pPr>
        <w:autoSpaceDE w:val="0"/>
        <w:autoSpaceDN w:val="0"/>
        <w:adjustRightInd w:val="0"/>
        <w:jc w:val="both"/>
        <w:rPr>
          <w:rFonts w:asciiTheme="minorHAnsi" w:hAnsiTheme="minorHAnsi"/>
          <w:szCs w:val="22"/>
        </w:rPr>
      </w:pPr>
      <w:r w:rsidRPr="00137DB4">
        <w:rPr>
          <w:rFonts w:asciiTheme="minorHAnsi" w:hAnsiTheme="minorHAnsi"/>
          <w:szCs w:val="22"/>
        </w:rPr>
        <w:t>Log-normal frequency distributions were then derived for NO</w:t>
      </w:r>
      <w:r w:rsidRPr="00137DB4">
        <w:rPr>
          <w:rFonts w:asciiTheme="minorHAnsi" w:hAnsiTheme="minorHAnsi"/>
          <w:szCs w:val="22"/>
          <w:vertAlign w:val="subscript"/>
        </w:rPr>
        <w:t>2</w:t>
      </w:r>
      <w:r w:rsidRPr="00137DB4">
        <w:rPr>
          <w:rFonts w:asciiTheme="minorHAnsi" w:hAnsiTheme="minorHAnsi"/>
          <w:szCs w:val="22"/>
        </w:rPr>
        <w:t xml:space="preserve"> </w:t>
      </w:r>
      <w:r w:rsidR="001B6980" w:rsidRPr="00137DB4">
        <w:rPr>
          <w:rFonts w:asciiTheme="minorHAnsi" w:hAnsiTheme="minorHAnsi"/>
          <w:szCs w:val="22"/>
        </w:rPr>
        <w:t xml:space="preserve">concentrations, </w:t>
      </w:r>
      <w:r w:rsidRPr="00137DB4">
        <w:rPr>
          <w:rFonts w:asciiTheme="minorHAnsi" w:hAnsiTheme="minorHAnsi"/>
          <w:szCs w:val="22"/>
        </w:rPr>
        <w:t>for summer and winter, and weekdays and weekend</w:t>
      </w:r>
      <w:r w:rsidR="00877B30" w:rsidRPr="00137DB4">
        <w:rPr>
          <w:rFonts w:asciiTheme="minorHAnsi" w:hAnsiTheme="minorHAnsi"/>
          <w:szCs w:val="22"/>
        </w:rPr>
        <w:t>,</w:t>
      </w:r>
      <w:r w:rsidR="001B6980" w:rsidRPr="00137DB4">
        <w:rPr>
          <w:rFonts w:asciiTheme="minorHAnsi" w:hAnsiTheme="minorHAnsi"/>
          <w:szCs w:val="22"/>
        </w:rPr>
        <w:t xml:space="preserve"> from appropriate monitoring sites. For road type 1, data from </w:t>
      </w:r>
      <w:r w:rsidR="00010D4E" w:rsidRPr="00137DB4">
        <w:rPr>
          <w:rFonts w:asciiTheme="minorHAnsi" w:hAnsiTheme="minorHAnsi"/>
          <w:szCs w:val="22"/>
        </w:rPr>
        <w:t xml:space="preserve">only one site was available - </w:t>
      </w:r>
      <w:r w:rsidR="001B6980" w:rsidRPr="00137DB4">
        <w:rPr>
          <w:rFonts w:asciiTheme="minorHAnsi" w:hAnsiTheme="minorHAnsi"/>
          <w:szCs w:val="22"/>
        </w:rPr>
        <w:t xml:space="preserve">the Leicester urban background site in the UK Automatic Urban and Rural Monitoring Network (AURN). For the other three road types, data from 10 </w:t>
      </w:r>
      <w:r w:rsidR="003C4AA9" w:rsidRPr="00137DB4">
        <w:rPr>
          <w:rFonts w:asciiTheme="minorHAnsi" w:hAnsiTheme="minorHAnsi"/>
          <w:szCs w:val="22"/>
        </w:rPr>
        <w:t xml:space="preserve">roadside pollution monitors </w:t>
      </w:r>
      <w:r w:rsidR="001B6980" w:rsidRPr="00137DB4">
        <w:rPr>
          <w:rFonts w:asciiTheme="minorHAnsi" w:hAnsiTheme="minorHAnsi"/>
          <w:szCs w:val="22"/>
        </w:rPr>
        <w:t>were used, with all the data from monitors within a given road type being combined to define the frequency distribution of concentrations at each tim</w:t>
      </w:r>
      <w:r w:rsidR="00877B30" w:rsidRPr="00137DB4">
        <w:rPr>
          <w:rFonts w:asciiTheme="minorHAnsi" w:hAnsiTheme="minorHAnsi"/>
          <w:szCs w:val="22"/>
        </w:rPr>
        <w:t>e</w:t>
      </w:r>
      <w:r w:rsidR="001B6980" w:rsidRPr="00137DB4">
        <w:rPr>
          <w:rFonts w:asciiTheme="minorHAnsi" w:hAnsiTheme="minorHAnsi"/>
          <w:szCs w:val="22"/>
        </w:rPr>
        <w:t xml:space="preserve"> step.</w:t>
      </w:r>
      <w:r w:rsidRPr="00137DB4">
        <w:rPr>
          <w:rFonts w:asciiTheme="minorHAnsi" w:hAnsiTheme="minorHAnsi"/>
          <w:szCs w:val="22"/>
        </w:rPr>
        <w:t xml:space="preserve"> The summary statistics for the NO</w:t>
      </w:r>
      <w:r w:rsidRPr="00137DB4">
        <w:rPr>
          <w:rFonts w:asciiTheme="minorHAnsi" w:hAnsiTheme="minorHAnsi"/>
          <w:szCs w:val="22"/>
          <w:vertAlign w:val="subscript"/>
        </w:rPr>
        <w:t>2</w:t>
      </w:r>
      <w:r w:rsidRPr="00137DB4">
        <w:rPr>
          <w:rFonts w:asciiTheme="minorHAnsi" w:hAnsiTheme="minorHAnsi"/>
          <w:szCs w:val="22"/>
        </w:rPr>
        <w:t xml:space="preserve"> concentrations are given in Table 2</w:t>
      </w:r>
      <w:r w:rsidR="007B27FB" w:rsidRPr="00137DB4">
        <w:rPr>
          <w:rFonts w:asciiTheme="minorHAnsi" w:hAnsiTheme="minorHAnsi"/>
          <w:szCs w:val="22"/>
        </w:rPr>
        <w:t>, which shows the increasing concentrations with increasing traffic flows, and higher concent</w:t>
      </w:r>
      <w:r w:rsidR="00BC34F3" w:rsidRPr="00137DB4">
        <w:rPr>
          <w:rFonts w:asciiTheme="minorHAnsi" w:hAnsiTheme="minorHAnsi"/>
          <w:szCs w:val="22"/>
        </w:rPr>
        <w:t>r</w:t>
      </w:r>
      <w:r w:rsidR="007B27FB" w:rsidRPr="00137DB4">
        <w:rPr>
          <w:rFonts w:asciiTheme="minorHAnsi" w:hAnsiTheme="minorHAnsi"/>
          <w:szCs w:val="22"/>
        </w:rPr>
        <w:t>ations in winter compared with summer, and weekdays compared to weekends.</w:t>
      </w:r>
      <w:r w:rsidRPr="00137DB4">
        <w:rPr>
          <w:rFonts w:asciiTheme="minorHAnsi" w:hAnsiTheme="minorHAnsi"/>
          <w:szCs w:val="22"/>
        </w:rPr>
        <w:t xml:space="preserve"> </w:t>
      </w:r>
      <w:r w:rsidR="00877B30" w:rsidRPr="00137DB4">
        <w:rPr>
          <w:rFonts w:asciiTheme="minorHAnsi" w:hAnsiTheme="minorHAnsi"/>
          <w:szCs w:val="22"/>
        </w:rPr>
        <w:t xml:space="preserve"> All data fitted a log-normal distribution, and are summarised as values of geometric mean and standard deviation in Table 2.</w:t>
      </w:r>
      <w:r w:rsidR="00A43897" w:rsidRPr="00137DB4">
        <w:rPr>
          <w:rFonts w:asciiTheme="minorHAnsi" w:hAnsiTheme="minorHAnsi"/>
          <w:szCs w:val="22"/>
        </w:rPr>
        <w:t xml:space="preserve"> </w:t>
      </w:r>
      <w:r w:rsidR="00877B30" w:rsidRPr="00137DB4">
        <w:rPr>
          <w:rFonts w:asciiTheme="minorHAnsi" w:hAnsiTheme="minorHAnsi"/>
          <w:szCs w:val="22"/>
        </w:rPr>
        <w:t xml:space="preserve">   </w:t>
      </w:r>
    </w:p>
    <w:p w14:paraId="64CA49D4" w14:textId="77777777" w:rsidR="00877B30" w:rsidRPr="00137DB4" w:rsidRDefault="00877B30" w:rsidP="00877B30">
      <w:pPr>
        <w:autoSpaceDE w:val="0"/>
        <w:autoSpaceDN w:val="0"/>
        <w:adjustRightInd w:val="0"/>
        <w:jc w:val="both"/>
        <w:rPr>
          <w:rFonts w:asciiTheme="minorHAnsi" w:hAnsiTheme="minorHAnsi"/>
          <w:szCs w:val="22"/>
        </w:rPr>
      </w:pPr>
    </w:p>
    <w:p w14:paraId="1F1612A5" w14:textId="0938D36C" w:rsidR="00CE6A2C" w:rsidRPr="00137DB4" w:rsidRDefault="00CE6A2C" w:rsidP="00877B30">
      <w:pPr>
        <w:autoSpaceDE w:val="0"/>
        <w:autoSpaceDN w:val="0"/>
        <w:adjustRightInd w:val="0"/>
        <w:jc w:val="both"/>
        <w:rPr>
          <w:rFonts w:asciiTheme="minorHAnsi" w:hAnsiTheme="minorHAnsi"/>
          <w:szCs w:val="22"/>
        </w:rPr>
      </w:pPr>
      <w:r w:rsidRPr="00137DB4">
        <w:rPr>
          <w:rFonts w:asciiTheme="minorHAnsi" w:hAnsiTheme="minorHAnsi"/>
          <w:b/>
          <w:szCs w:val="22"/>
        </w:rPr>
        <w:t>Table 2.</w:t>
      </w:r>
      <w:r w:rsidRPr="00137DB4">
        <w:rPr>
          <w:rFonts w:asciiTheme="minorHAnsi" w:hAnsiTheme="minorHAnsi"/>
          <w:szCs w:val="22"/>
        </w:rPr>
        <w:t xml:space="preserve"> Summary statistics for NO</w:t>
      </w:r>
      <w:r w:rsidRPr="00137DB4">
        <w:rPr>
          <w:rFonts w:asciiTheme="minorHAnsi" w:hAnsiTheme="minorHAnsi"/>
          <w:szCs w:val="22"/>
          <w:vertAlign w:val="subscript"/>
        </w:rPr>
        <w:t>2</w:t>
      </w:r>
      <w:r w:rsidRPr="00137DB4">
        <w:rPr>
          <w:rFonts w:asciiTheme="minorHAnsi" w:hAnsiTheme="minorHAnsi"/>
          <w:szCs w:val="22"/>
        </w:rPr>
        <w:t xml:space="preserve"> concentrations (ppb), for four road types in Leicester </w:t>
      </w:r>
      <w:r w:rsidR="00877B30" w:rsidRPr="00137DB4">
        <w:rPr>
          <w:rFonts w:asciiTheme="minorHAnsi" w:hAnsiTheme="minorHAnsi"/>
          <w:szCs w:val="22"/>
        </w:rPr>
        <w:t xml:space="preserve">shown as </w:t>
      </w:r>
      <w:r w:rsidRPr="00137DB4">
        <w:rPr>
          <w:rFonts w:asciiTheme="minorHAnsi" w:hAnsiTheme="minorHAnsi"/>
          <w:szCs w:val="22"/>
        </w:rPr>
        <w:t>geo</w:t>
      </w:r>
      <w:r w:rsidR="00877B30" w:rsidRPr="00137DB4">
        <w:rPr>
          <w:rFonts w:asciiTheme="minorHAnsi" w:hAnsiTheme="minorHAnsi"/>
          <w:szCs w:val="22"/>
        </w:rPr>
        <w:t xml:space="preserve">metric </w:t>
      </w:r>
      <w:r w:rsidRPr="00137DB4">
        <w:rPr>
          <w:rFonts w:asciiTheme="minorHAnsi" w:hAnsiTheme="minorHAnsi"/>
          <w:szCs w:val="22"/>
        </w:rPr>
        <w:t xml:space="preserve">mean </w:t>
      </w:r>
      <w:r w:rsidR="00877B30" w:rsidRPr="00137DB4">
        <w:rPr>
          <w:rFonts w:asciiTheme="minorHAnsi" w:hAnsiTheme="minorHAnsi"/>
          <w:szCs w:val="22"/>
        </w:rPr>
        <w:t>( geometric standard deviation</w:t>
      </w:r>
      <w:r w:rsidRPr="00137DB4">
        <w:rPr>
          <w:rFonts w:asciiTheme="minorHAnsi" w:hAnsiTheme="minorHAnsi"/>
          <w:szCs w:val="22"/>
        </w:rPr>
        <w:t>)</w:t>
      </w:r>
      <w:r w:rsidR="00877B30" w:rsidRPr="00137DB4">
        <w:rPr>
          <w:rFonts w:asciiTheme="minorHAnsi" w:hAnsiTheme="minorHAnsi"/>
          <w:szCs w:val="22"/>
        </w:rPr>
        <w:t>.</w:t>
      </w:r>
      <w:r w:rsidRPr="00137DB4">
        <w:rPr>
          <w:rFonts w:asciiTheme="minorHAnsi" w:hAnsiTheme="minorHAnsi"/>
          <w:szCs w:val="22"/>
        </w:rPr>
        <w:t>) [</w:t>
      </w:r>
      <w:r w:rsidRPr="00137DB4">
        <w:rPr>
          <w:rFonts w:asciiTheme="minorHAnsi" w:hAnsiTheme="minorHAnsi"/>
        </w:rPr>
        <w:t>Type 1 – urban background; Type 2 – low HGV content; Type 3 – medium HGV content; Type 4 – high HGV content]</w:t>
      </w:r>
    </w:p>
    <w:p w14:paraId="2CD5F58C" w14:textId="77777777" w:rsidR="00CE6A2C" w:rsidRPr="00137DB4" w:rsidRDefault="00CE6A2C" w:rsidP="00CE6A2C">
      <w:pPr>
        <w:jc w:val="both"/>
        <w:rPr>
          <w:rFonts w:asciiTheme="minorHAnsi" w:hAnsiTheme="minorHAnsi"/>
          <w:b/>
          <w:szCs w:val="22"/>
        </w:rPr>
      </w:pPr>
    </w:p>
    <w:tbl>
      <w:tblPr>
        <w:tblStyle w:val="PlainTable41"/>
        <w:tblW w:w="8523" w:type="dxa"/>
        <w:tblLook w:val="01E0" w:firstRow="1" w:lastRow="1" w:firstColumn="1" w:lastColumn="1" w:noHBand="0" w:noVBand="0"/>
      </w:tblPr>
      <w:tblGrid>
        <w:gridCol w:w="2840"/>
        <w:gridCol w:w="1420"/>
        <w:gridCol w:w="1421"/>
        <w:gridCol w:w="1421"/>
        <w:gridCol w:w="1421"/>
      </w:tblGrid>
      <w:tr w:rsidR="00CE6A2C" w:rsidRPr="001C71B8" w14:paraId="4B6B5D58" w14:textId="77777777" w:rsidTr="001C7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E63D39E"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Road Type</w:t>
            </w:r>
          </w:p>
        </w:tc>
        <w:tc>
          <w:tcPr>
            <w:cnfStyle w:val="000010000000" w:firstRow="0" w:lastRow="0" w:firstColumn="0" w:lastColumn="0" w:oddVBand="1" w:evenVBand="0" w:oddHBand="0" w:evenHBand="0" w:firstRowFirstColumn="0" w:firstRowLastColumn="0" w:lastRowFirstColumn="0" w:lastRowLastColumn="0"/>
            <w:tcW w:w="1420" w:type="dxa"/>
          </w:tcPr>
          <w:p w14:paraId="56BA51E7"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1</w:t>
            </w:r>
          </w:p>
        </w:tc>
        <w:tc>
          <w:tcPr>
            <w:tcW w:w="1421" w:type="dxa"/>
          </w:tcPr>
          <w:p w14:paraId="44E4EE59" w14:textId="77777777" w:rsidR="00CE6A2C" w:rsidRPr="001C71B8" w:rsidRDefault="00CE6A2C"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1C71B8">
              <w:rPr>
                <w:rFonts w:asciiTheme="minorHAnsi" w:hAnsiTheme="minorHAnsi" w:cs="Arial"/>
                <w:szCs w:val="22"/>
              </w:rPr>
              <w:t>2</w:t>
            </w:r>
          </w:p>
        </w:tc>
        <w:tc>
          <w:tcPr>
            <w:cnfStyle w:val="000010000000" w:firstRow="0" w:lastRow="0" w:firstColumn="0" w:lastColumn="0" w:oddVBand="1" w:evenVBand="0" w:oddHBand="0" w:evenHBand="0" w:firstRowFirstColumn="0" w:firstRowLastColumn="0" w:lastRowFirstColumn="0" w:lastRowLastColumn="0"/>
            <w:tcW w:w="1421" w:type="dxa"/>
          </w:tcPr>
          <w:p w14:paraId="1D98A799"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3</w:t>
            </w:r>
          </w:p>
        </w:tc>
        <w:tc>
          <w:tcPr>
            <w:cnfStyle w:val="000100000000" w:firstRow="0" w:lastRow="0" w:firstColumn="0" w:lastColumn="1" w:oddVBand="0" w:evenVBand="0" w:oddHBand="0" w:evenHBand="0" w:firstRowFirstColumn="0" w:firstRowLastColumn="0" w:lastRowFirstColumn="0" w:lastRowLastColumn="0"/>
            <w:tcW w:w="1421" w:type="dxa"/>
          </w:tcPr>
          <w:p w14:paraId="04625534"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4</w:t>
            </w:r>
          </w:p>
        </w:tc>
      </w:tr>
      <w:tr w:rsidR="00CE6A2C" w:rsidRPr="001C71B8" w14:paraId="3F717441" w14:textId="77777777" w:rsidTr="001C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0E8CE4F"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Winter/weekday</w:t>
            </w:r>
          </w:p>
        </w:tc>
        <w:tc>
          <w:tcPr>
            <w:cnfStyle w:val="000010000000" w:firstRow="0" w:lastRow="0" w:firstColumn="0" w:lastColumn="0" w:oddVBand="1" w:evenVBand="0" w:oddHBand="0" w:evenHBand="0" w:firstRowFirstColumn="0" w:firstRowLastColumn="0" w:lastRowFirstColumn="0" w:lastRowLastColumn="0"/>
            <w:tcW w:w="1420" w:type="dxa"/>
          </w:tcPr>
          <w:p w14:paraId="2E3FA8A2"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19.97 (1.65)</w:t>
            </w:r>
          </w:p>
        </w:tc>
        <w:tc>
          <w:tcPr>
            <w:tcW w:w="1421" w:type="dxa"/>
          </w:tcPr>
          <w:p w14:paraId="5B3512F6" w14:textId="77777777" w:rsidR="00CE6A2C" w:rsidRPr="001C71B8" w:rsidRDefault="00CE6A2C"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C71B8">
              <w:rPr>
                <w:rFonts w:asciiTheme="minorHAnsi" w:hAnsiTheme="minorHAnsi" w:cs="Arial"/>
                <w:szCs w:val="22"/>
              </w:rPr>
              <w:t>22.41 (1.53)</w:t>
            </w:r>
          </w:p>
        </w:tc>
        <w:tc>
          <w:tcPr>
            <w:cnfStyle w:val="000010000000" w:firstRow="0" w:lastRow="0" w:firstColumn="0" w:lastColumn="0" w:oddVBand="1" w:evenVBand="0" w:oddHBand="0" w:evenHBand="0" w:firstRowFirstColumn="0" w:firstRowLastColumn="0" w:lastRowFirstColumn="0" w:lastRowLastColumn="0"/>
            <w:tcW w:w="1421" w:type="dxa"/>
          </w:tcPr>
          <w:p w14:paraId="1E25457B"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28.11 (1.40)</w:t>
            </w:r>
          </w:p>
        </w:tc>
        <w:tc>
          <w:tcPr>
            <w:cnfStyle w:val="000100000000" w:firstRow="0" w:lastRow="0" w:firstColumn="0" w:lastColumn="1" w:oddVBand="0" w:evenVBand="0" w:oddHBand="0" w:evenHBand="0" w:firstRowFirstColumn="0" w:firstRowLastColumn="0" w:lastRowFirstColumn="0" w:lastRowLastColumn="0"/>
            <w:tcW w:w="1421" w:type="dxa"/>
          </w:tcPr>
          <w:p w14:paraId="16E7388F"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33.11 (1.42)</w:t>
            </w:r>
          </w:p>
        </w:tc>
      </w:tr>
      <w:tr w:rsidR="00CE6A2C" w:rsidRPr="001C71B8" w14:paraId="43E01320" w14:textId="77777777" w:rsidTr="001C71B8">
        <w:tc>
          <w:tcPr>
            <w:cnfStyle w:val="001000000000" w:firstRow="0" w:lastRow="0" w:firstColumn="1" w:lastColumn="0" w:oddVBand="0" w:evenVBand="0" w:oddHBand="0" w:evenHBand="0" w:firstRowFirstColumn="0" w:firstRowLastColumn="0" w:lastRowFirstColumn="0" w:lastRowLastColumn="0"/>
            <w:tcW w:w="2840" w:type="dxa"/>
          </w:tcPr>
          <w:p w14:paraId="7E85C531"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Winter/weekend</w:t>
            </w:r>
          </w:p>
        </w:tc>
        <w:tc>
          <w:tcPr>
            <w:cnfStyle w:val="000010000000" w:firstRow="0" w:lastRow="0" w:firstColumn="0" w:lastColumn="0" w:oddVBand="1" w:evenVBand="0" w:oddHBand="0" w:evenHBand="0" w:firstRowFirstColumn="0" w:firstRowLastColumn="0" w:lastRowFirstColumn="0" w:lastRowLastColumn="0"/>
            <w:tcW w:w="1420" w:type="dxa"/>
          </w:tcPr>
          <w:p w14:paraId="6CEAD1FF"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16.61 (1.72)</w:t>
            </w:r>
          </w:p>
        </w:tc>
        <w:tc>
          <w:tcPr>
            <w:tcW w:w="1421" w:type="dxa"/>
          </w:tcPr>
          <w:p w14:paraId="078724BE" w14:textId="77777777" w:rsidR="00CE6A2C" w:rsidRPr="001C71B8" w:rsidRDefault="00CE6A2C"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Cs w:val="22"/>
              </w:rPr>
            </w:pPr>
            <w:r w:rsidRPr="001C71B8">
              <w:rPr>
                <w:rFonts w:asciiTheme="minorHAnsi" w:hAnsiTheme="minorHAnsi" w:cs="Arial"/>
                <w:szCs w:val="22"/>
              </w:rPr>
              <w:t>19.49 (1.56)</w:t>
            </w:r>
          </w:p>
        </w:tc>
        <w:tc>
          <w:tcPr>
            <w:cnfStyle w:val="000010000000" w:firstRow="0" w:lastRow="0" w:firstColumn="0" w:lastColumn="0" w:oddVBand="1" w:evenVBand="0" w:oddHBand="0" w:evenHBand="0" w:firstRowFirstColumn="0" w:firstRowLastColumn="0" w:lastRowFirstColumn="0" w:lastRowLastColumn="0"/>
            <w:tcW w:w="1421" w:type="dxa"/>
          </w:tcPr>
          <w:p w14:paraId="66993F4C"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26.15 (1.40)</w:t>
            </w:r>
          </w:p>
        </w:tc>
        <w:tc>
          <w:tcPr>
            <w:cnfStyle w:val="000100000000" w:firstRow="0" w:lastRow="0" w:firstColumn="0" w:lastColumn="1" w:oddVBand="0" w:evenVBand="0" w:oddHBand="0" w:evenHBand="0" w:firstRowFirstColumn="0" w:firstRowLastColumn="0" w:lastRowFirstColumn="0" w:lastRowLastColumn="0"/>
            <w:tcW w:w="1421" w:type="dxa"/>
          </w:tcPr>
          <w:p w14:paraId="201E423E"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27.52 (1.33)</w:t>
            </w:r>
          </w:p>
        </w:tc>
      </w:tr>
      <w:tr w:rsidR="00CE6A2C" w:rsidRPr="001C71B8" w14:paraId="2989F829" w14:textId="77777777" w:rsidTr="001C7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64A7ADC"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Summer/weekday</w:t>
            </w:r>
          </w:p>
        </w:tc>
        <w:tc>
          <w:tcPr>
            <w:cnfStyle w:val="000010000000" w:firstRow="0" w:lastRow="0" w:firstColumn="0" w:lastColumn="0" w:oddVBand="1" w:evenVBand="0" w:oddHBand="0" w:evenHBand="0" w:firstRowFirstColumn="0" w:firstRowLastColumn="0" w:lastRowFirstColumn="0" w:lastRowLastColumn="0"/>
            <w:tcW w:w="1420" w:type="dxa"/>
          </w:tcPr>
          <w:p w14:paraId="7258014B"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14.44 (1.65)</w:t>
            </w:r>
          </w:p>
        </w:tc>
        <w:tc>
          <w:tcPr>
            <w:tcW w:w="1421" w:type="dxa"/>
          </w:tcPr>
          <w:p w14:paraId="35367D01" w14:textId="77777777" w:rsidR="00CE6A2C" w:rsidRPr="001C71B8" w:rsidRDefault="00CE6A2C"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2"/>
              </w:rPr>
            </w:pPr>
            <w:r w:rsidRPr="001C71B8">
              <w:rPr>
                <w:rFonts w:asciiTheme="minorHAnsi" w:hAnsiTheme="minorHAnsi" w:cs="Arial"/>
                <w:szCs w:val="22"/>
              </w:rPr>
              <w:t>17.68 (1.75)</w:t>
            </w:r>
          </w:p>
        </w:tc>
        <w:tc>
          <w:tcPr>
            <w:cnfStyle w:val="000010000000" w:firstRow="0" w:lastRow="0" w:firstColumn="0" w:lastColumn="0" w:oddVBand="1" w:evenVBand="0" w:oddHBand="0" w:evenHBand="0" w:firstRowFirstColumn="0" w:firstRowLastColumn="0" w:lastRowFirstColumn="0" w:lastRowLastColumn="0"/>
            <w:tcW w:w="1421" w:type="dxa"/>
          </w:tcPr>
          <w:p w14:paraId="06665247" w14:textId="77777777" w:rsidR="00CE6A2C" w:rsidRPr="001C71B8" w:rsidRDefault="00CE6A2C" w:rsidP="001C71B8">
            <w:pPr>
              <w:jc w:val="both"/>
              <w:rPr>
                <w:rFonts w:asciiTheme="minorHAnsi" w:hAnsiTheme="minorHAnsi" w:cs="Arial"/>
                <w:szCs w:val="22"/>
              </w:rPr>
            </w:pPr>
            <w:r w:rsidRPr="001C71B8">
              <w:rPr>
                <w:rFonts w:asciiTheme="minorHAnsi" w:hAnsiTheme="minorHAnsi" w:cs="Arial"/>
                <w:szCs w:val="22"/>
              </w:rPr>
              <w:t>25.24 (1.85)</w:t>
            </w:r>
          </w:p>
        </w:tc>
        <w:tc>
          <w:tcPr>
            <w:cnfStyle w:val="000100000000" w:firstRow="0" w:lastRow="0" w:firstColumn="0" w:lastColumn="1" w:oddVBand="0" w:evenVBand="0" w:oddHBand="0" w:evenHBand="0" w:firstRowFirstColumn="0" w:firstRowLastColumn="0" w:lastRowFirstColumn="0" w:lastRowLastColumn="0"/>
            <w:tcW w:w="1421" w:type="dxa"/>
          </w:tcPr>
          <w:p w14:paraId="1E6F2923"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34.48 (1.47)</w:t>
            </w:r>
          </w:p>
        </w:tc>
      </w:tr>
      <w:tr w:rsidR="00CE6A2C" w:rsidRPr="001C71B8" w14:paraId="1D401FFF" w14:textId="77777777" w:rsidTr="001C71B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D020B92"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 xml:space="preserve">Summer/weekend </w:t>
            </w:r>
          </w:p>
        </w:tc>
        <w:tc>
          <w:tcPr>
            <w:cnfStyle w:val="000010000000" w:firstRow="0" w:lastRow="0" w:firstColumn="0" w:lastColumn="0" w:oddVBand="1" w:evenVBand="0" w:oddHBand="0" w:evenHBand="0" w:firstRowFirstColumn="0" w:firstRowLastColumn="0" w:lastRowFirstColumn="0" w:lastRowLastColumn="0"/>
            <w:tcW w:w="1420" w:type="dxa"/>
          </w:tcPr>
          <w:p w14:paraId="4282AF3D"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10.62 (1.75)</w:t>
            </w:r>
          </w:p>
        </w:tc>
        <w:tc>
          <w:tcPr>
            <w:tcW w:w="1421" w:type="dxa"/>
          </w:tcPr>
          <w:p w14:paraId="2A8990C7" w14:textId="77777777" w:rsidR="00CE6A2C" w:rsidRPr="001C71B8" w:rsidRDefault="00CE6A2C" w:rsidP="001C71B8">
            <w:pPr>
              <w:jc w:val="both"/>
              <w:cnfStyle w:val="010000000000" w:firstRow="0" w:lastRow="1" w:firstColumn="0" w:lastColumn="0" w:oddVBand="0" w:evenVBand="0" w:oddHBand="0" w:evenHBand="0" w:firstRowFirstColumn="0" w:firstRowLastColumn="0" w:lastRowFirstColumn="0" w:lastRowLastColumn="0"/>
              <w:rPr>
                <w:rFonts w:asciiTheme="minorHAnsi" w:hAnsiTheme="minorHAnsi" w:cs="Arial"/>
                <w:b w:val="0"/>
                <w:szCs w:val="22"/>
              </w:rPr>
            </w:pPr>
            <w:r w:rsidRPr="001C71B8">
              <w:rPr>
                <w:rFonts w:asciiTheme="minorHAnsi" w:hAnsiTheme="minorHAnsi" w:cs="Arial"/>
                <w:b w:val="0"/>
                <w:szCs w:val="22"/>
              </w:rPr>
              <w:t>14.03 (1.84)</w:t>
            </w:r>
          </w:p>
        </w:tc>
        <w:tc>
          <w:tcPr>
            <w:cnfStyle w:val="000010000000" w:firstRow="0" w:lastRow="0" w:firstColumn="0" w:lastColumn="0" w:oddVBand="1" w:evenVBand="0" w:oddHBand="0" w:evenHBand="0" w:firstRowFirstColumn="0" w:firstRowLastColumn="0" w:lastRowFirstColumn="0" w:lastRowLastColumn="0"/>
            <w:tcW w:w="1421" w:type="dxa"/>
          </w:tcPr>
          <w:p w14:paraId="7A83DF0E"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22.01 (1.93)</w:t>
            </w:r>
          </w:p>
        </w:tc>
        <w:tc>
          <w:tcPr>
            <w:cnfStyle w:val="000100000000" w:firstRow="0" w:lastRow="0" w:firstColumn="0" w:lastColumn="1" w:oddVBand="0" w:evenVBand="0" w:oddHBand="0" w:evenHBand="0" w:firstRowFirstColumn="0" w:firstRowLastColumn="0" w:lastRowFirstColumn="0" w:lastRowLastColumn="0"/>
            <w:tcW w:w="1421" w:type="dxa"/>
          </w:tcPr>
          <w:p w14:paraId="30112834" w14:textId="77777777" w:rsidR="00CE6A2C" w:rsidRPr="001C71B8" w:rsidRDefault="00CE6A2C" w:rsidP="001C71B8">
            <w:pPr>
              <w:jc w:val="both"/>
              <w:rPr>
                <w:rFonts w:asciiTheme="minorHAnsi" w:hAnsiTheme="minorHAnsi" w:cs="Arial"/>
                <w:b w:val="0"/>
                <w:szCs w:val="22"/>
              </w:rPr>
            </w:pPr>
            <w:r w:rsidRPr="001C71B8">
              <w:rPr>
                <w:rFonts w:asciiTheme="minorHAnsi" w:hAnsiTheme="minorHAnsi" w:cs="Arial"/>
                <w:b w:val="0"/>
                <w:szCs w:val="22"/>
              </w:rPr>
              <w:t>29.73 (1.54)</w:t>
            </w:r>
          </w:p>
        </w:tc>
      </w:tr>
    </w:tbl>
    <w:p w14:paraId="40182997" w14:textId="77777777" w:rsidR="00CE6A2C" w:rsidRPr="00CF4818" w:rsidRDefault="00CE6A2C" w:rsidP="00CE6A2C">
      <w:pPr>
        <w:jc w:val="both"/>
        <w:rPr>
          <w:rFonts w:asciiTheme="minorHAnsi" w:hAnsiTheme="minorHAnsi"/>
          <w:szCs w:val="22"/>
        </w:rPr>
      </w:pPr>
    </w:p>
    <w:p w14:paraId="389EE103" w14:textId="77777777" w:rsidR="001C71B8" w:rsidRDefault="001C71B8" w:rsidP="00BA29F9">
      <w:pPr>
        <w:jc w:val="both"/>
        <w:rPr>
          <w:rFonts w:asciiTheme="minorHAnsi" w:hAnsiTheme="minorHAnsi"/>
          <w:i/>
          <w:szCs w:val="22"/>
        </w:rPr>
      </w:pPr>
    </w:p>
    <w:p w14:paraId="3CEB526E" w14:textId="52BD1F5C" w:rsidR="00B0772D" w:rsidRPr="00137DB4" w:rsidRDefault="0034293D" w:rsidP="00BA29F9">
      <w:pPr>
        <w:jc w:val="both"/>
        <w:rPr>
          <w:rFonts w:asciiTheme="minorHAnsi" w:hAnsiTheme="minorHAnsi"/>
          <w:i/>
          <w:szCs w:val="22"/>
        </w:rPr>
      </w:pPr>
      <w:r w:rsidRPr="00137DB4">
        <w:rPr>
          <w:rFonts w:asciiTheme="minorHAnsi" w:hAnsiTheme="minorHAnsi"/>
          <w:i/>
          <w:szCs w:val="22"/>
        </w:rPr>
        <w:t>3.2</w:t>
      </w:r>
      <w:r w:rsidR="00622E5C" w:rsidRPr="00137DB4">
        <w:rPr>
          <w:rFonts w:asciiTheme="minorHAnsi" w:hAnsiTheme="minorHAnsi"/>
          <w:i/>
          <w:szCs w:val="22"/>
        </w:rPr>
        <w:t xml:space="preserve"> </w:t>
      </w:r>
      <w:r w:rsidR="00622E5C" w:rsidRPr="00137DB4">
        <w:rPr>
          <w:rFonts w:asciiTheme="minorHAnsi" w:hAnsiTheme="minorHAnsi"/>
          <w:i/>
          <w:szCs w:val="22"/>
        </w:rPr>
        <w:tab/>
      </w:r>
      <w:r w:rsidR="00BB729B" w:rsidRPr="00137DB4">
        <w:rPr>
          <w:rFonts w:asciiTheme="minorHAnsi" w:hAnsiTheme="minorHAnsi"/>
          <w:i/>
          <w:szCs w:val="22"/>
        </w:rPr>
        <w:t xml:space="preserve">Assignment of MEs to </w:t>
      </w:r>
      <w:r w:rsidR="001B6980" w:rsidRPr="00137DB4">
        <w:rPr>
          <w:rFonts w:asciiTheme="minorHAnsi" w:hAnsiTheme="minorHAnsi"/>
          <w:i/>
          <w:szCs w:val="22"/>
        </w:rPr>
        <w:t>zones</w:t>
      </w:r>
    </w:p>
    <w:p w14:paraId="2AC60ABF" w14:textId="77777777" w:rsidR="00B0772D" w:rsidRPr="00137DB4" w:rsidRDefault="00B0772D" w:rsidP="00BA29F9">
      <w:pPr>
        <w:autoSpaceDE w:val="0"/>
        <w:autoSpaceDN w:val="0"/>
        <w:adjustRightInd w:val="0"/>
        <w:jc w:val="both"/>
        <w:rPr>
          <w:rFonts w:ascii="Times New Roman" w:hAnsi="Times New Roman"/>
          <w:sz w:val="24"/>
        </w:rPr>
      </w:pPr>
    </w:p>
    <w:p w14:paraId="3CC6D27B" w14:textId="77777777" w:rsidR="00A43897" w:rsidRPr="00137DB4" w:rsidRDefault="00A43897" w:rsidP="00B9182D">
      <w:pPr>
        <w:pStyle w:val="BodyText"/>
        <w:jc w:val="both"/>
        <w:rPr>
          <w:rFonts w:asciiTheme="minorHAnsi" w:hAnsiTheme="minorHAnsi"/>
          <w:b w:val="0"/>
          <w:sz w:val="22"/>
          <w:szCs w:val="22"/>
        </w:rPr>
      </w:pPr>
      <w:r w:rsidRPr="00137DB4">
        <w:rPr>
          <w:rFonts w:asciiTheme="minorHAnsi" w:hAnsiTheme="minorHAnsi"/>
          <w:b w:val="0"/>
          <w:sz w:val="22"/>
          <w:szCs w:val="22"/>
        </w:rPr>
        <w:t>As explained in Section 2.2, e</w:t>
      </w:r>
      <w:r w:rsidR="007B27FB" w:rsidRPr="00137DB4">
        <w:rPr>
          <w:rFonts w:asciiTheme="minorHAnsi" w:hAnsiTheme="minorHAnsi"/>
          <w:b w:val="0"/>
          <w:sz w:val="22"/>
          <w:szCs w:val="22"/>
        </w:rPr>
        <w:t xml:space="preserve">ach ME within the INDAIR/EXPAIR model then needs to be divided between these four </w:t>
      </w:r>
      <w:r w:rsidRPr="00137DB4">
        <w:rPr>
          <w:rFonts w:asciiTheme="minorHAnsi" w:hAnsiTheme="minorHAnsi"/>
          <w:b w:val="0"/>
          <w:sz w:val="22"/>
          <w:szCs w:val="22"/>
        </w:rPr>
        <w:t xml:space="preserve">zones, as defined by dominant </w:t>
      </w:r>
      <w:r w:rsidR="007B27FB" w:rsidRPr="00137DB4">
        <w:rPr>
          <w:rFonts w:asciiTheme="minorHAnsi" w:hAnsiTheme="minorHAnsi"/>
          <w:b w:val="0"/>
          <w:sz w:val="22"/>
          <w:szCs w:val="22"/>
        </w:rPr>
        <w:t>road types</w:t>
      </w:r>
      <w:r w:rsidRPr="00137DB4">
        <w:rPr>
          <w:rFonts w:asciiTheme="minorHAnsi" w:hAnsiTheme="minorHAnsi"/>
          <w:b w:val="0"/>
          <w:sz w:val="22"/>
          <w:szCs w:val="22"/>
        </w:rPr>
        <w:t>,</w:t>
      </w:r>
      <w:r w:rsidR="007B27FB" w:rsidRPr="00137DB4">
        <w:rPr>
          <w:rFonts w:asciiTheme="minorHAnsi" w:hAnsiTheme="minorHAnsi"/>
          <w:b w:val="0"/>
          <w:sz w:val="22"/>
          <w:szCs w:val="22"/>
        </w:rPr>
        <w:t xml:space="preserve"> using mapped data showing the assignment of road links to road type. Table 3 summarises the division </w:t>
      </w:r>
      <w:r w:rsidRPr="00137DB4">
        <w:rPr>
          <w:rFonts w:asciiTheme="minorHAnsi" w:hAnsiTheme="minorHAnsi"/>
          <w:b w:val="0"/>
          <w:sz w:val="22"/>
          <w:szCs w:val="22"/>
        </w:rPr>
        <w:t xml:space="preserve">of Leicester between the four zones, </w:t>
      </w:r>
      <w:r w:rsidR="007B27FB" w:rsidRPr="00137DB4">
        <w:rPr>
          <w:rFonts w:asciiTheme="minorHAnsi" w:hAnsiTheme="minorHAnsi"/>
          <w:b w:val="0"/>
          <w:sz w:val="22"/>
          <w:szCs w:val="22"/>
        </w:rPr>
        <w:t xml:space="preserve">for each ME. </w:t>
      </w:r>
    </w:p>
    <w:p w14:paraId="4F4AEDDB" w14:textId="77777777" w:rsidR="00A43897" w:rsidRPr="00137DB4" w:rsidRDefault="00A43897" w:rsidP="00B9182D">
      <w:pPr>
        <w:pStyle w:val="BodyText"/>
        <w:jc w:val="both"/>
        <w:rPr>
          <w:rFonts w:asciiTheme="minorHAnsi" w:hAnsiTheme="minorHAnsi"/>
          <w:b w:val="0"/>
          <w:sz w:val="22"/>
          <w:szCs w:val="22"/>
        </w:rPr>
      </w:pPr>
    </w:p>
    <w:p w14:paraId="795EA5EF" w14:textId="077FDCAA" w:rsidR="00A43897" w:rsidRPr="00137DB4" w:rsidRDefault="007B27FB" w:rsidP="00A43897">
      <w:pPr>
        <w:pStyle w:val="BodyText"/>
        <w:jc w:val="both"/>
        <w:rPr>
          <w:rFonts w:asciiTheme="minorHAnsi" w:hAnsiTheme="minorHAnsi"/>
          <w:b w:val="0"/>
          <w:sz w:val="22"/>
          <w:szCs w:val="22"/>
        </w:rPr>
      </w:pPr>
      <w:r w:rsidRPr="00137DB4">
        <w:rPr>
          <w:rFonts w:asciiTheme="minorHAnsi" w:hAnsiTheme="minorHAnsi"/>
          <w:b w:val="0"/>
          <w:sz w:val="22"/>
          <w:szCs w:val="22"/>
        </w:rPr>
        <w:t>For schools</w:t>
      </w:r>
      <w:r w:rsidR="003C4AA9" w:rsidRPr="00137DB4">
        <w:rPr>
          <w:rFonts w:asciiTheme="minorHAnsi" w:hAnsiTheme="minorHAnsi"/>
          <w:b w:val="0"/>
          <w:sz w:val="22"/>
          <w:szCs w:val="22"/>
        </w:rPr>
        <w:t xml:space="preserve"> and bars</w:t>
      </w:r>
      <w:r w:rsidRPr="00137DB4">
        <w:rPr>
          <w:rFonts w:asciiTheme="minorHAnsi" w:hAnsiTheme="minorHAnsi"/>
          <w:b w:val="0"/>
          <w:sz w:val="22"/>
          <w:szCs w:val="22"/>
        </w:rPr>
        <w:t>, the number of premises on each road type was counted individually</w:t>
      </w:r>
      <w:r w:rsidR="003C4AA9" w:rsidRPr="00137DB4">
        <w:rPr>
          <w:rFonts w:asciiTheme="minorHAnsi" w:hAnsiTheme="minorHAnsi"/>
          <w:b w:val="0"/>
          <w:sz w:val="22"/>
          <w:szCs w:val="22"/>
        </w:rPr>
        <w:t>, while for offices and shops</w:t>
      </w:r>
      <w:r w:rsidR="00140CCA" w:rsidRPr="00137DB4">
        <w:rPr>
          <w:rFonts w:asciiTheme="minorHAnsi" w:hAnsiTheme="minorHAnsi"/>
          <w:b w:val="0"/>
          <w:sz w:val="22"/>
          <w:szCs w:val="22"/>
        </w:rPr>
        <w:t>,</w:t>
      </w:r>
      <w:r w:rsidR="003C4AA9" w:rsidRPr="00137DB4">
        <w:rPr>
          <w:rFonts w:asciiTheme="minorHAnsi" w:hAnsiTheme="minorHAnsi"/>
          <w:b w:val="0"/>
          <w:sz w:val="22"/>
          <w:szCs w:val="22"/>
        </w:rPr>
        <w:t xml:space="preserve"> zones within the Leicester land-use map were used</w:t>
      </w:r>
      <w:r w:rsidR="00BC34F3" w:rsidRPr="00137DB4">
        <w:rPr>
          <w:rFonts w:asciiTheme="minorHAnsi" w:hAnsiTheme="minorHAnsi"/>
          <w:b w:val="0"/>
          <w:sz w:val="22"/>
          <w:szCs w:val="22"/>
        </w:rPr>
        <w:t xml:space="preserve">; this </w:t>
      </w:r>
      <w:r w:rsidR="003C4AA9" w:rsidRPr="00137DB4">
        <w:rPr>
          <w:rFonts w:asciiTheme="minorHAnsi" w:hAnsiTheme="minorHAnsi"/>
          <w:b w:val="0"/>
          <w:sz w:val="22"/>
          <w:szCs w:val="22"/>
        </w:rPr>
        <w:t>show</w:t>
      </w:r>
      <w:r w:rsidR="00BC34F3" w:rsidRPr="00137DB4">
        <w:rPr>
          <w:rFonts w:asciiTheme="minorHAnsi" w:hAnsiTheme="minorHAnsi"/>
          <w:b w:val="0"/>
          <w:sz w:val="22"/>
          <w:szCs w:val="22"/>
        </w:rPr>
        <w:t>ed</w:t>
      </w:r>
      <w:r w:rsidR="003C4AA9" w:rsidRPr="00137DB4">
        <w:rPr>
          <w:rFonts w:asciiTheme="minorHAnsi" w:hAnsiTheme="minorHAnsi"/>
          <w:b w:val="0"/>
          <w:sz w:val="22"/>
          <w:szCs w:val="22"/>
        </w:rPr>
        <w:t xml:space="preserve"> that both </w:t>
      </w:r>
      <w:r w:rsidR="00BC34F3" w:rsidRPr="00137DB4">
        <w:rPr>
          <w:rFonts w:asciiTheme="minorHAnsi" w:hAnsiTheme="minorHAnsi"/>
          <w:b w:val="0"/>
          <w:sz w:val="22"/>
          <w:szCs w:val="22"/>
        </w:rPr>
        <w:t xml:space="preserve">types of </w:t>
      </w:r>
      <w:r w:rsidR="003C4AA9" w:rsidRPr="00137DB4">
        <w:rPr>
          <w:rFonts w:asciiTheme="minorHAnsi" w:hAnsiTheme="minorHAnsi"/>
          <w:b w:val="0"/>
          <w:sz w:val="22"/>
          <w:szCs w:val="22"/>
        </w:rPr>
        <w:t xml:space="preserve">premise tend to be found at similar locations. </w:t>
      </w:r>
      <w:r w:rsidRPr="00137DB4">
        <w:rPr>
          <w:rFonts w:asciiTheme="minorHAnsi" w:hAnsiTheme="minorHAnsi"/>
          <w:b w:val="0"/>
          <w:sz w:val="22"/>
          <w:szCs w:val="22"/>
        </w:rPr>
        <w:t xml:space="preserve"> </w:t>
      </w:r>
      <w:r w:rsidR="00A43897" w:rsidRPr="00137DB4">
        <w:rPr>
          <w:rFonts w:asciiTheme="minorHAnsi" w:hAnsiTheme="minorHAnsi"/>
          <w:b w:val="0"/>
          <w:sz w:val="22"/>
          <w:szCs w:val="22"/>
        </w:rPr>
        <w:t>Homes within the TRIPS network were apportioned according to the number of TRIP links; we also assigned the roads across Leicester which lie outside the TRIPS network to road type 1, assuming all were residential. In the case of buses, the total length of bus routes with the four road types was calculated from bus route maps while for cars, traffic flow data from the AQMA database was used to distribute vehicles across the four road types. A much higher proportion of bus and car MEs are on road types with higher concentrations of NO</w:t>
      </w:r>
      <w:r w:rsidR="00A43897" w:rsidRPr="00137DB4">
        <w:rPr>
          <w:rFonts w:asciiTheme="minorHAnsi" w:hAnsiTheme="minorHAnsi"/>
          <w:b w:val="0"/>
          <w:sz w:val="22"/>
          <w:szCs w:val="22"/>
          <w:vertAlign w:val="subscript"/>
        </w:rPr>
        <w:t>2</w:t>
      </w:r>
      <w:r w:rsidR="00A43897" w:rsidRPr="00137DB4">
        <w:rPr>
          <w:rFonts w:asciiTheme="minorHAnsi" w:hAnsiTheme="minorHAnsi"/>
          <w:b w:val="0"/>
          <w:sz w:val="22"/>
          <w:szCs w:val="22"/>
        </w:rPr>
        <w:t xml:space="preserve">. This mix of method means that assignation of some MEs to zone (e.g. transport, schools and bars) is more precise than others (e.g. offices, shops), which are based on broad land-use maps.   </w:t>
      </w:r>
    </w:p>
    <w:p w14:paraId="0A97117D" w14:textId="32858FD4" w:rsidR="0034293D" w:rsidRPr="00137DB4" w:rsidRDefault="0034293D" w:rsidP="00B9182D">
      <w:pPr>
        <w:pStyle w:val="BodyText"/>
        <w:jc w:val="both"/>
        <w:rPr>
          <w:rFonts w:asciiTheme="minorHAnsi" w:hAnsiTheme="minorHAnsi"/>
          <w:b w:val="0"/>
          <w:sz w:val="22"/>
          <w:szCs w:val="22"/>
        </w:rPr>
      </w:pPr>
    </w:p>
    <w:p w14:paraId="36992225" w14:textId="77777777" w:rsidR="00CE6A2C" w:rsidRPr="00137DB4" w:rsidRDefault="00CE6A2C" w:rsidP="00B9182D">
      <w:pPr>
        <w:pStyle w:val="BodyText"/>
        <w:jc w:val="both"/>
        <w:rPr>
          <w:rFonts w:asciiTheme="minorHAnsi" w:hAnsiTheme="minorHAnsi"/>
          <w:b w:val="0"/>
          <w:sz w:val="22"/>
          <w:szCs w:val="22"/>
        </w:rPr>
      </w:pPr>
    </w:p>
    <w:p w14:paraId="17527052" w14:textId="77777777" w:rsidR="00A43897" w:rsidRPr="00137DB4" w:rsidRDefault="00A43897">
      <w:pPr>
        <w:rPr>
          <w:rFonts w:asciiTheme="minorHAnsi" w:hAnsiTheme="minorHAnsi"/>
          <w:b/>
        </w:rPr>
      </w:pPr>
      <w:r w:rsidRPr="00137DB4">
        <w:rPr>
          <w:rFonts w:asciiTheme="minorHAnsi" w:hAnsiTheme="minorHAnsi"/>
          <w:b/>
        </w:rPr>
        <w:br w:type="page"/>
      </w:r>
    </w:p>
    <w:p w14:paraId="1F6AD464" w14:textId="61446137" w:rsidR="00CE6A2C" w:rsidRPr="0057206C" w:rsidRDefault="00CE6A2C" w:rsidP="00CE6A2C">
      <w:pPr>
        <w:rPr>
          <w:rFonts w:asciiTheme="minorHAnsi" w:hAnsiTheme="minorHAnsi"/>
          <w:b/>
        </w:rPr>
      </w:pPr>
      <w:r w:rsidRPr="00CF4818">
        <w:rPr>
          <w:rFonts w:asciiTheme="minorHAnsi" w:hAnsiTheme="minorHAnsi"/>
          <w:b/>
        </w:rPr>
        <w:t>Table 3.</w:t>
      </w:r>
      <w:r w:rsidRPr="00CF4818">
        <w:rPr>
          <w:rFonts w:asciiTheme="minorHAnsi" w:hAnsiTheme="minorHAnsi"/>
        </w:rPr>
        <w:t xml:space="preserve"> </w:t>
      </w:r>
      <w:r>
        <w:rPr>
          <w:rFonts w:asciiTheme="minorHAnsi" w:hAnsiTheme="minorHAnsi"/>
        </w:rPr>
        <w:t>D</w:t>
      </w:r>
      <w:r w:rsidRPr="00CF4818">
        <w:rPr>
          <w:rFonts w:asciiTheme="minorHAnsi" w:hAnsiTheme="minorHAnsi"/>
        </w:rPr>
        <w:t>istribution of microenvironments (proportion of MEs) across the four different road types</w:t>
      </w:r>
      <w:r>
        <w:rPr>
          <w:rFonts w:asciiTheme="minorHAnsi" w:hAnsiTheme="minorHAnsi"/>
          <w:b/>
        </w:rPr>
        <w:t xml:space="preserve"> </w:t>
      </w:r>
      <w:r>
        <w:rPr>
          <w:rFonts w:asciiTheme="minorHAnsi" w:hAnsiTheme="minorHAnsi"/>
          <w:szCs w:val="22"/>
        </w:rPr>
        <w:t>[</w:t>
      </w:r>
      <w:r w:rsidRPr="00CF4818">
        <w:rPr>
          <w:rFonts w:asciiTheme="minorHAnsi" w:hAnsiTheme="minorHAnsi"/>
        </w:rPr>
        <w:t>Type 1 – urban background; Type 2 – low HGV content; Type 3 – medium HGV content; Type 4 – high</w:t>
      </w:r>
      <w:r>
        <w:rPr>
          <w:rFonts w:asciiTheme="minorHAnsi" w:hAnsiTheme="minorHAnsi"/>
        </w:rPr>
        <w:t xml:space="preserve"> HGV content]</w:t>
      </w:r>
    </w:p>
    <w:p w14:paraId="6062B48D" w14:textId="77777777" w:rsidR="00CE6A2C" w:rsidRPr="00CF4818" w:rsidRDefault="00CE6A2C" w:rsidP="00CE6A2C">
      <w:pPr>
        <w:rPr>
          <w:rFonts w:asciiTheme="minorHAnsi" w:hAnsiTheme="minorHAnsi"/>
        </w:rPr>
      </w:pPr>
    </w:p>
    <w:tbl>
      <w:tblPr>
        <w:tblStyle w:val="PlainTable31"/>
        <w:tblW w:w="0" w:type="auto"/>
        <w:tblLayout w:type="fixed"/>
        <w:tblLook w:val="0000" w:firstRow="0" w:lastRow="0" w:firstColumn="0" w:lastColumn="0" w:noHBand="0" w:noVBand="0"/>
      </w:tblPr>
      <w:tblGrid>
        <w:gridCol w:w="1620"/>
        <w:gridCol w:w="2160"/>
        <w:gridCol w:w="1260"/>
        <w:gridCol w:w="1260"/>
        <w:gridCol w:w="1260"/>
        <w:gridCol w:w="1260"/>
      </w:tblGrid>
      <w:tr w:rsidR="00CE6A2C" w:rsidRPr="00CF4818" w14:paraId="7A496590" w14:textId="77777777" w:rsidTr="001C71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20" w:type="dxa"/>
            <w:vMerge w:val="restart"/>
          </w:tcPr>
          <w:p w14:paraId="45B57637" w14:textId="77777777" w:rsidR="00CE6A2C" w:rsidRPr="001C71B8" w:rsidRDefault="00CE6A2C" w:rsidP="001C71B8">
            <w:pPr>
              <w:rPr>
                <w:rFonts w:asciiTheme="minorHAnsi" w:hAnsiTheme="minorHAnsi"/>
                <w:b/>
              </w:rPr>
            </w:pPr>
            <w:r w:rsidRPr="001C71B8">
              <w:rPr>
                <w:rFonts w:asciiTheme="minorHAnsi" w:hAnsiTheme="minorHAnsi"/>
                <w:b/>
              </w:rPr>
              <w:t>ME</w:t>
            </w:r>
          </w:p>
        </w:tc>
        <w:tc>
          <w:tcPr>
            <w:tcW w:w="2160" w:type="dxa"/>
            <w:vMerge w:val="restart"/>
          </w:tcPr>
          <w:p w14:paraId="5D84F285" w14:textId="16A6267C" w:rsidR="00CE6A2C" w:rsidRPr="001C71B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1C71B8">
              <w:rPr>
                <w:rFonts w:asciiTheme="minorHAnsi" w:hAnsiTheme="minorHAnsi"/>
                <w:b/>
              </w:rPr>
              <w:t xml:space="preserve">Method of road type distribution </w:t>
            </w:r>
          </w:p>
        </w:tc>
        <w:tc>
          <w:tcPr>
            <w:cnfStyle w:val="000010000000" w:firstRow="0" w:lastRow="0" w:firstColumn="0" w:lastColumn="0" w:oddVBand="1" w:evenVBand="0" w:oddHBand="0" w:evenHBand="0" w:firstRowFirstColumn="0" w:firstRowLastColumn="0" w:lastRowFirstColumn="0" w:lastRowLastColumn="0"/>
            <w:tcW w:w="5040" w:type="dxa"/>
            <w:gridSpan w:val="4"/>
          </w:tcPr>
          <w:p w14:paraId="5058D0A7" w14:textId="77777777" w:rsidR="00CE6A2C" w:rsidRPr="001C71B8" w:rsidRDefault="00CE6A2C" w:rsidP="001C71B8">
            <w:pPr>
              <w:jc w:val="center"/>
              <w:rPr>
                <w:rFonts w:asciiTheme="minorHAnsi" w:hAnsiTheme="minorHAnsi"/>
                <w:b/>
              </w:rPr>
            </w:pPr>
            <w:r w:rsidRPr="001C71B8">
              <w:rPr>
                <w:rFonts w:asciiTheme="minorHAnsi" w:hAnsiTheme="minorHAnsi"/>
                <w:b/>
              </w:rPr>
              <w:t>Road type</w:t>
            </w:r>
          </w:p>
        </w:tc>
      </w:tr>
      <w:tr w:rsidR="00CE6A2C" w:rsidRPr="00CF4818" w14:paraId="565EBEAA" w14:textId="77777777" w:rsidTr="001C71B8">
        <w:tc>
          <w:tcPr>
            <w:cnfStyle w:val="000010000000" w:firstRow="0" w:lastRow="0" w:firstColumn="0" w:lastColumn="0" w:oddVBand="1" w:evenVBand="0" w:oddHBand="0" w:evenHBand="0" w:firstRowFirstColumn="0" w:firstRowLastColumn="0" w:lastRowFirstColumn="0" w:lastRowLastColumn="0"/>
            <w:tcW w:w="1620" w:type="dxa"/>
            <w:vMerge/>
          </w:tcPr>
          <w:p w14:paraId="6CCA4FC7" w14:textId="77777777" w:rsidR="00CE6A2C" w:rsidRPr="001C71B8" w:rsidRDefault="00CE6A2C" w:rsidP="001C71B8">
            <w:pPr>
              <w:rPr>
                <w:rFonts w:asciiTheme="minorHAnsi" w:hAnsiTheme="minorHAnsi"/>
                <w:b/>
              </w:rPr>
            </w:pPr>
          </w:p>
        </w:tc>
        <w:tc>
          <w:tcPr>
            <w:tcW w:w="2160" w:type="dxa"/>
            <w:vMerge/>
          </w:tcPr>
          <w:p w14:paraId="286378E9" w14:textId="77777777" w:rsidR="00CE6A2C" w:rsidRPr="001C71B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cnfStyle w:val="000010000000" w:firstRow="0" w:lastRow="0" w:firstColumn="0" w:lastColumn="0" w:oddVBand="1" w:evenVBand="0" w:oddHBand="0" w:evenHBand="0" w:firstRowFirstColumn="0" w:firstRowLastColumn="0" w:lastRowFirstColumn="0" w:lastRowLastColumn="0"/>
            <w:tcW w:w="1260" w:type="dxa"/>
          </w:tcPr>
          <w:p w14:paraId="0B22409D" w14:textId="77777777" w:rsidR="00CE6A2C" w:rsidRPr="001C71B8" w:rsidRDefault="00CE6A2C" w:rsidP="001C71B8">
            <w:pPr>
              <w:jc w:val="center"/>
              <w:rPr>
                <w:rFonts w:asciiTheme="minorHAnsi" w:hAnsiTheme="minorHAnsi"/>
                <w:b/>
              </w:rPr>
            </w:pPr>
            <w:r w:rsidRPr="001C71B8">
              <w:rPr>
                <w:rFonts w:asciiTheme="minorHAnsi" w:hAnsiTheme="minorHAnsi"/>
                <w:b/>
              </w:rPr>
              <w:t>1</w:t>
            </w:r>
          </w:p>
        </w:tc>
        <w:tc>
          <w:tcPr>
            <w:tcW w:w="1260" w:type="dxa"/>
          </w:tcPr>
          <w:p w14:paraId="3C1582D4" w14:textId="77777777" w:rsidR="00CE6A2C" w:rsidRPr="001C71B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1C71B8">
              <w:rPr>
                <w:rFonts w:asciiTheme="minorHAnsi" w:hAnsiTheme="minorHAnsi"/>
                <w:b/>
              </w:rPr>
              <w:t>2</w:t>
            </w:r>
          </w:p>
        </w:tc>
        <w:tc>
          <w:tcPr>
            <w:cnfStyle w:val="000010000000" w:firstRow="0" w:lastRow="0" w:firstColumn="0" w:lastColumn="0" w:oddVBand="1" w:evenVBand="0" w:oddHBand="0" w:evenHBand="0" w:firstRowFirstColumn="0" w:firstRowLastColumn="0" w:lastRowFirstColumn="0" w:lastRowLastColumn="0"/>
            <w:tcW w:w="1260" w:type="dxa"/>
          </w:tcPr>
          <w:p w14:paraId="2048D6E9" w14:textId="77777777" w:rsidR="00CE6A2C" w:rsidRPr="001C71B8" w:rsidRDefault="00CE6A2C" w:rsidP="001C71B8">
            <w:pPr>
              <w:jc w:val="center"/>
              <w:rPr>
                <w:rFonts w:asciiTheme="minorHAnsi" w:hAnsiTheme="minorHAnsi"/>
                <w:b/>
              </w:rPr>
            </w:pPr>
            <w:r w:rsidRPr="001C71B8">
              <w:rPr>
                <w:rFonts w:asciiTheme="minorHAnsi" w:hAnsiTheme="minorHAnsi"/>
                <w:b/>
              </w:rPr>
              <w:t>3</w:t>
            </w:r>
          </w:p>
        </w:tc>
        <w:tc>
          <w:tcPr>
            <w:tcW w:w="1260" w:type="dxa"/>
          </w:tcPr>
          <w:p w14:paraId="25695E98" w14:textId="77777777" w:rsidR="00CE6A2C" w:rsidRPr="001C71B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1C71B8">
              <w:rPr>
                <w:rFonts w:asciiTheme="minorHAnsi" w:hAnsiTheme="minorHAnsi"/>
                <w:b/>
              </w:rPr>
              <w:t>4</w:t>
            </w:r>
          </w:p>
        </w:tc>
      </w:tr>
      <w:tr w:rsidR="00CE6A2C" w:rsidRPr="00CF4818" w14:paraId="46C87B40" w14:textId="77777777" w:rsidTr="001C71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20" w:type="dxa"/>
          </w:tcPr>
          <w:p w14:paraId="0BC56A9C" w14:textId="77777777" w:rsidR="00CE6A2C" w:rsidRPr="00CF4818" w:rsidRDefault="00CE6A2C" w:rsidP="001C71B8">
            <w:pPr>
              <w:rPr>
                <w:rFonts w:asciiTheme="minorHAnsi" w:hAnsiTheme="minorHAnsi"/>
              </w:rPr>
            </w:pPr>
            <w:r w:rsidRPr="00CF4818">
              <w:rPr>
                <w:rFonts w:asciiTheme="minorHAnsi" w:hAnsiTheme="minorHAnsi"/>
              </w:rPr>
              <w:t>Schools</w:t>
            </w:r>
          </w:p>
        </w:tc>
        <w:tc>
          <w:tcPr>
            <w:tcW w:w="2160" w:type="dxa"/>
          </w:tcPr>
          <w:p w14:paraId="2F9796E6"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TRIPS links</w:t>
            </w:r>
          </w:p>
        </w:tc>
        <w:tc>
          <w:tcPr>
            <w:cnfStyle w:val="000010000000" w:firstRow="0" w:lastRow="0" w:firstColumn="0" w:lastColumn="0" w:oddVBand="1" w:evenVBand="0" w:oddHBand="0" w:evenHBand="0" w:firstRowFirstColumn="0" w:firstRowLastColumn="0" w:lastRowFirstColumn="0" w:lastRowLastColumn="0"/>
            <w:tcW w:w="1260" w:type="dxa"/>
          </w:tcPr>
          <w:p w14:paraId="6584C02E" w14:textId="77777777" w:rsidR="00CE6A2C" w:rsidRPr="00CF4818" w:rsidRDefault="00CE6A2C" w:rsidP="001C71B8">
            <w:pPr>
              <w:jc w:val="center"/>
              <w:rPr>
                <w:rFonts w:asciiTheme="minorHAnsi" w:hAnsiTheme="minorHAnsi"/>
              </w:rPr>
            </w:pPr>
            <w:r w:rsidRPr="00CF4818">
              <w:rPr>
                <w:rFonts w:asciiTheme="minorHAnsi" w:hAnsiTheme="minorHAnsi"/>
              </w:rPr>
              <w:t>0.43</w:t>
            </w:r>
          </w:p>
        </w:tc>
        <w:tc>
          <w:tcPr>
            <w:tcW w:w="1260" w:type="dxa"/>
          </w:tcPr>
          <w:p w14:paraId="30CDA19E"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0.31</w:t>
            </w:r>
          </w:p>
        </w:tc>
        <w:tc>
          <w:tcPr>
            <w:cnfStyle w:val="000010000000" w:firstRow="0" w:lastRow="0" w:firstColumn="0" w:lastColumn="0" w:oddVBand="1" w:evenVBand="0" w:oddHBand="0" w:evenHBand="0" w:firstRowFirstColumn="0" w:firstRowLastColumn="0" w:lastRowFirstColumn="0" w:lastRowLastColumn="0"/>
            <w:tcW w:w="1260" w:type="dxa"/>
          </w:tcPr>
          <w:p w14:paraId="5BBDFC5E" w14:textId="77777777" w:rsidR="00CE6A2C" w:rsidRPr="00CF4818" w:rsidRDefault="00CE6A2C" w:rsidP="001C71B8">
            <w:pPr>
              <w:jc w:val="center"/>
              <w:rPr>
                <w:rFonts w:asciiTheme="minorHAnsi" w:hAnsiTheme="minorHAnsi"/>
              </w:rPr>
            </w:pPr>
            <w:r w:rsidRPr="00CF4818">
              <w:rPr>
                <w:rFonts w:asciiTheme="minorHAnsi" w:hAnsiTheme="minorHAnsi"/>
              </w:rPr>
              <w:t>0.14</w:t>
            </w:r>
          </w:p>
        </w:tc>
        <w:tc>
          <w:tcPr>
            <w:tcW w:w="1260" w:type="dxa"/>
          </w:tcPr>
          <w:p w14:paraId="2287976A"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0.12</w:t>
            </w:r>
          </w:p>
        </w:tc>
      </w:tr>
      <w:tr w:rsidR="00CE6A2C" w:rsidRPr="00CF4818" w14:paraId="08A2C08C" w14:textId="77777777" w:rsidTr="001C71B8">
        <w:tc>
          <w:tcPr>
            <w:cnfStyle w:val="000010000000" w:firstRow="0" w:lastRow="0" w:firstColumn="0" w:lastColumn="0" w:oddVBand="1" w:evenVBand="0" w:oddHBand="0" w:evenHBand="0" w:firstRowFirstColumn="0" w:firstRowLastColumn="0" w:lastRowFirstColumn="0" w:lastRowLastColumn="0"/>
            <w:tcW w:w="1620" w:type="dxa"/>
          </w:tcPr>
          <w:p w14:paraId="142D1381" w14:textId="77777777" w:rsidR="00CE6A2C" w:rsidRPr="00CF4818" w:rsidRDefault="00CE6A2C" w:rsidP="001C71B8">
            <w:pPr>
              <w:rPr>
                <w:rFonts w:asciiTheme="minorHAnsi" w:hAnsiTheme="minorHAnsi"/>
              </w:rPr>
            </w:pPr>
            <w:r w:rsidRPr="00CF4818">
              <w:rPr>
                <w:rFonts w:asciiTheme="minorHAnsi" w:hAnsiTheme="minorHAnsi"/>
              </w:rPr>
              <w:t>Shops</w:t>
            </w:r>
          </w:p>
        </w:tc>
        <w:tc>
          <w:tcPr>
            <w:tcW w:w="2160" w:type="dxa"/>
          </w:tcPr>
          <w:p w14:paraId="2051F9C2"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TRIPS links</w:t>
            </w:r>
          </w:p>
        </w:tc>
        <w:tc>
          <w:tcPr>
            <w:cnfStyle w:val="000010000000" w:firstRow="0" w:lastRow="0" w:firstColumn="0" w:lastColumn="0" w:oddVBand="1" w:evenVBand="0" w:oddHBand="0" w:evenHBand="0" w:firstRowFirstColumn="0" w:firstRowLastColumn="0" w:lastRowFirstColumn="0" w:lastRowLastColumn="0"/>
            <w:tcW w:w="1260" w:type="dxa"/>
          </w:tcPr>
          <w:p w14:paraId="03E73C4E" w14:textId="77777777" w:rsidR="00CE6A2C" w:rsidRPr="00CF4818" w:rsidRDefault="00CE6A2C" w:rsidP="001C71B8">
            <w:pPr>
              <w:jc w:val="center"/>
              <w:rPr>
                <w:rFonts w:asciiTheme="minorHAnsi" w:hAnsiTheme="minorHAnsi"/>
              </w:rPr>
            </w:pPr>
            <w:r w:rsidRPr="00CF4818">
              <w:rPr>
                <w:rFonts w:asciiTheme="minorHAnsi" w:hAnsiTheme="minorHAnsi"/>
              </w:rPr>
              <w:t>0.41</w:t>
            </w:r>
          </w:p>
        </w:tc>
        <w:tc>
          <w:tcPr>
            <w:tcW w:w="1260" w:type="dxa"/>
          </w:tcPr>
          <w:p w14:paraId="590131FC"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0.34</w:t>
            </w:r>
          </w:p>
        </w:tc>
        <w:tc>
          <w:tcPr>
            <w:cnfStyle w:val="000010000000" w:firstRow="0" w:lastRow="0" w:firstColumn="0" w:lastColumn="0" w:oddVBand="1" w:evenVBand="0" w:oddHBand="0" w:evenHBand="0" w:firstRowFirstColumn="0" w:firstRowLastColumn="0" w:lastRowFirstColumn="0" w:lastRowLastColumn="0"/>
            <w:tcW w:w="1260" w:type="dxa"/>
          </w:tcPr>
          <w:p w14:paraId="1DE76C7C" w14:textId="77777777" w:rsidR="00CE6A2C" w:rsidRPr="00CF4818" w:rsidRDefault="00CE6A2C" w:rsidP="001C71B8">
            <w:pPr>
              <w:jc w:val="center"/>
              <w:rPr>
                <w:rFonts w:asciiTheme="minorHAnsi" w:hAnsiTheme="minorHAnsi"/>
              </w:rPr>
            </w:pPr>
            <w:r w:rsidRPr="00CF4818">
              <w:rPr>
                <w:rFonts w:asciiTheme="minorHAnsi" w:hAnsiTheme="minorHAnsi"/>
              </w:rPr>
              <w:t>0.06</w:t>
            </w:r>
          </w:p>
        </w:tc>
        <w:tc>
          <w:tcPr>
            <w:tcW w:w="1260" w:type="dxa"/>
          </w:tcPr>
          <w:p w14:paraId="5239A604"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0.19</w:t>
            </w:r>
          </w:p>
        </w:tc>
      </w:tr>
      <w:tr w:rsidR="00CE6A2C" w:rsidRPr="00CF4818" w14:paraId="02D36C68" w14:textId="77777777" w:rsidTr="001C71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20" w:type="dxa"/>
          </w:tcPr>
          <w:p w14:paraId="66C16D36" w14:textId="77777777" w:rsidR="00CE6A2C" w:rsidRPr="00CF4818" w:rsidRDefault="00CE6A2C" w:rsidP="001C71B8">
            <w:pPr>
              <w:rPr>
                <w:rFonts w:asciiTheme="minorHAnsi" w:hAnsiTheme="minorHAnsi"/>
              </w:rPr>
            </w:pPr>
            <w:r w:rsidRPr="00CF4818">
              <w:rPr>
                <w:rFonts w:asciiTheme="minorHAnsi" w:hAnsiTheme="minorHAnsi"/>
              </w:rPr>
              <w:t>Bars</w:t>
            </w:r>
          </w:p>
        </w:tc>
        <w:tc>
          <w:tcPr>
            <w:tcW w:w="2160" w:type="dxa"/>
          </w:tcPr>
          <w:p w14:paraId="25878CDB"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TRIPS links</w:t>
            </w:r>
          </w:p>
        </w:tc>
        <w:tc>
          <w:tcPr>
            <w:cnfStyle w:val="000010000000" w:firstRow="0" w:lastRow="0" w:firstColumn="0" w:lastColumn="0" w:oddVBand="1" w:evenVBand="0" w:oddHBand="0" w:evenHBand="0" w:firstRowFirstColumn="0" w:firstRowLastColumn="0" w:lastRowFirstColumn="0" w:lastRowLastColumn="0"/>
            <w:tcW w:w="1260" w:type="dxa"/>
          </w:tcPr>
          <w:p w14:paraId="5C337809" w14:textId="77777777" w:rsidR="00CE6A2C" w:rsidRPr="00CF4818" w:rsidRDefault="00CE6A2C" w:rsidP="001C71B8">
            <w:pPr>
              <w:jc w:val="center"/>
              <w:rPr>
                <w:rFonts w:asciiTheme="minorHAnsi" w:hAnsiTheme="minorHAnsi"/>
              </w:rPr>
            </w:pPr>
            <w:r w:rsidRPr="00CF4818">
              <w:rPr>
                <w:rFonts w:asciiTheme="minorHAnsi" w:hAnsiTheme="minorHAnsi"/>
              </w:rPr>
              <w:t>0.25</w:t>
            </w:r>
          </w:p>
        </w:tc>
        <w:tc>
          <w:tcPr>
            <w:tcW w:w="1260" w:type="dxa"/>
          </w:tcPr>
          <w:p w14:paraId="3D90E03D"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0.43</w:t>
            </w:r>
          </w:p>
        </w:tc>
        <w:tc>
          <w:tcPr>
            <w:cnfStyle w:val="000010000000" w:firstRow="0" w:lastRow="0" w:firstColumn="0" w:lastColumn="0" w:oddVBand="1" w:evenVBand="0" w:oddHBand="0" w:evenHBand="0" w:firstRowFirstColumn="0" w:firstRowLastColumn="0" w:lastRowFirstColumn="0" w:lastRowLastColumn="0"/>
            <w:tcW w:w="1260" w:type="dxa"/>
          </w:tcPr>
          <w:p w14:paraId="79F75E5F" w14:textId="77777777" w:rsidR="00CE6A2C" w:rsidRPr="00CF4818" w:rsidRDefault="00CE6A2C" w:rsidP="001C71B8">
            <w:pPr>
              <w:jc w:val="center"/>
              <w:rPr>
                <w:rFonts w:asciiTheme="minorHAnsi" w:hAnsiTheme="minorHAnsi"/>
              </w:rPr>
            </w:pPr>
            <w:r w:rsidRPr="00CF4818">
              <w:rPr>
                <w:rFonts w:asciiTheme="minorHAnsi" w:hAnsiTheme="minorHAnsi"/>
              </w:rPr>
              <w:t>0.09</w:t>
            </w:r>
          </w:p>
        </w:tc>
        <w:tc>
          <w:tcPr>
            <w:tcW w:w="1260" w:type="dxa"/>
          </w:tcPr>
          <w:p w14:paraId="21EC5707"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0.23</w:t>
            </w:r>
          </w:p>
        </w:tc>
      </w:tr>
      <w:tr w:rsidR="00CE6A2C" w:rsidRPr="00CF4818" w14:paraId="332D4957" w14:textId="77777777" w:rsidTr="001C71B8">
        <w:tc>
          <w:tcPr>
            <w:cnfStyle w:val="000010000000" w:firstRow="0" w:lastRow="0" w:firstColumn="0" w:lastColumn="0" w:oddVBand="1" w:evenVBand="0" w:oddHBand="0" w:evenHBand="0" w:firstRowFirstColumn="0" w:firstRowLastColumn="0" w:lastRowFirstColumn="0" w:lastRowLastColumn="0"/>
            <w:tcW w:w="1620" w:type="dxa"/>
          </w:tcPr>
          <w:p w14:paraId="03F2827D" w14:textId="77777777" w:rsidR="00CE6A2C" w:rsidRPr="00CF4818" w:rsidRDefault="00CE6A2C" w:rsidP="001C71B8">
            <w:pPr>
              <w:rPr>
                <w:rFonts w:asciiTheme="minorHAnsi" w:hAnsiTheme="minorHAnsi"/>
              </w:rPr>
            </w:pPr>
            <w:r w:rsidRPr="00CF4818">
              <w:rPr>
                <w:rFonts w:asciiTheme="minorHAnsi" w:hAnsiTheme="minorHAnsi"/>
              </w:rPr>
              <w:t>Offices</w:t>
            </w:r>
          </w:p>
        </w:tc>
        <w:tc>
          <w:tcPr>
            <w:tcW w:w="2160" w:type="dxa"/>
          </w:tcPr>
          <w:p w14:paraId="0984AB70"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TRIPS links</w:t>
            </w:r>
          </w:p>
        </w:tc>
        <w:tc>
          <w:tcPr>
            <w:cnfStyle w:val="000010000000" w:firstRow="0" w:lastRow="0" w:firstColumn="0" w:lastColumn="0" w:oddVBand="1" w:evenVBand="0" w:oddHBand="0" w:evenHBand="0" w:firstRowFirstColumn="0" w:firstRowLastColumn="0" w:lastRowFirstColumn="0" w:lastRowLastColumn="0"/>
            <w:tcW w:w="1260" w:type="dxa"/>
          </w:tcPr>
          <w:p w14:paraId="41B1B0BD" w14:textId="77777777" w:rsidR="00CE6A2C" w:rsidRPr="00CF4818" w:rsidRDefault="00CE6A2C" w:rsidP="001C71B8">
            <w:pPr>
              <w:jc w:val="center"/>
              <w:rPr>
                <w:rFonts w:asciiTheme="minorHAnsi" w:hAnsiTheme="minorHAnsi"/>
              </w:rPr>
            </w:pPr>
            <w:r w:rsidRPr="00CF4818">
              <w:rPr>
                <w:rFonts w:asciiTheme="minorHAnsi" w:hAnsiTheme="minorHAnsi"/>
              </w:rPr>
              <w:t>0.41</w:t>
            </w:r>
          </w:p>
        </w:tc>
        <w:tc>
          <w:tcPr>
            <w:tcW w:w="1260" w:type="dxa"/>
          </w:tcPr>
          <w:p w14:paraId="58D618B2"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0.34</w:t>
            </w:r>
          </w:p>
        </w:tc>
        <w:tc>
          <w:tcPr>
            <w:cnfStyle w:val="000010000000" w:firstRow="0" w:lastRow="0" w:firstColumn="0" w:lastColumn="0" w:oddVBand="1" w:evenVBand="0" w:oddHBand="0" w:evenHBand="0" w:firstRowFirstColumn="0" w:firstRowLastColumn="0" w:lastRowFirstColumn="0" w:lastRowLastColumn="0"/>
            <w:tcW w:w="1260" w:type="dxa"/>
          </w:tcPr>
          <w:p w14:paraId="287E4AB8" w14:textId="77777777" w:rsidR="00CE6A2C" w:rsidRPr="00CF4818" w:rsidRDefault="00CE6A2C" w:rsidP="001C71B8">
            <w:pPr>
              <w:jc w:val="center"/>
              <w:rPr>
                <w:rFonts w:asciiTheme="minorHAnsi" w:hAnsiTheme="minorHAnsi"/>
              </w:rPr>
            </w:pPr>
            <w:r w:rsidRPr="00CF4818">
              <w:rPr>
                <w:rFonts w:asciiTheme="minorHAnsi" w:hAnsiTheme="minorHAnsi"/>
              </w:rPr>
              <w:t>0.06</w:t>
            </w:r>
          </w:p>
        </w:tc>
        <w:tc>
          <w:tcPr>
            <w:tcW w:w="1260" w:type="dxa"/>
          </w:tcPr>
          <w:p w14:paraId="10053775"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0.19</w:t>
            </w:r>
          </w:p>
        </w:tc>
      </w:tr>
      <w:tr w:rsidR="00CE6A2C" w:rsidRPr="00CF4818" w14:paraId="071DA329" w14:textId="77777777" w:rsidTr="001C71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20" w:type="dxa"/>
          </w:tcPr>
          <w:p w14:paraId="6B634D2B" w14:textId="77777777" w:rsidR="00CE6A2C" w:rsidRPr="00CF4818" w:rsidRDefault="00CE6A2C" w:rsidP="001C71B8">
            <w:pPr>
              <w:rPr>
                <w:rFonts w:asciiTheme="minorHAnsi" w:hAnsiTheme="minorHAnsi"/>
              </w:rPr>
            </w:pPr>
            <w:r w:rsidRPr="00CF4818">
              <w:rPr>
                <w:rFonts w:asciiTheme="minorHAnsi" w:hAnsiTheme="minorHAnsi"/>
              </w:rPr>
              <w:t>Homes</w:t>
            </w:r>
          </w:p>
        </w:tc>
        <w:tc>
          <w:tcPr>
            <w:tcW w:w="2160" w:type="dxa"/>
          </w:tcPr>
          <w:p w14:paraId="5B945E29"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Total road length in Leicester/TRIPS links</w:t>
            </w:r>
          </w:p>
        </w:tc>
        <w:tc>
          <w:tcPr>
            <w:cnfStyle w:val="000010000000" w:firstRow="0" w:lastRow="0" w:firstColumn="0" w:lastColumn="0" w:oddVBand="1" w:evenVBand="0" w:oddHBand="0" w:evenHBand="0" w:firstRowFirstColumn="0" w:firstRowLastColumn="0" w:lastRowFirstColumn="0" w:lastRowLastColumn="0"/>
            <w:tcW w:w="1260" w:type="dxa"/>
          </w:tcPr>
          <w:p w14:paraId="65ED282E" w14:textId="77777777" w:rsidR="00CE6A2C" w:rsidRPr="00CF4818" w:rsidRDefault="00CE6A2C" w:rsidP="001C71B8">
            <w:pPr>
              <w:jc w:val="center"/>
              <w:rPr>
                <w:rFonts w:asciiTheme="minorHAnsi" w:hAnsiTheme="minorHAnsi"/>
              </w:rPr>
            </w:pPr>
            <w:r w:rsidRPr="00CF4818">
              <w:rPr>
                <w:rFonts w:asciiTheme="minorHAnsi" w:hAnsiTheme="minorHAnsi"/>
              </w:rPr>
              <w:t>0.48</w:t>
            </w:r>
          </w:p>
        </w:tc>
        <w:tc>
          <w:tcPr>
            <w:tcW w:w="1260" w:type="dxa"/>
          </w:tcPr>
          <w:p w14:paraId="562B4C05"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0.22</w:t>
            </w:r>
          </w:p>
        </w:tc>
        <w:tc>
          <w:tcPr>
            <w:cnfStyle w:val="000010000000" w:firstRow="0" w:lastRow="0" w:firstColumn="0" w:lastColumn="0" w:oddVBand="1" w:evenVBand="0" w:oddHBand="0" w:evenHBand="0" w:firstRowFirstColumn="0" w:firstRowLastColumn="0" w:lastRowFirstColumn="0" w:lastRowLastColumn="0"/>
            <w:tcW w:w="1260" w:type="dxa"/>
          </w:tcPr>
          <w:p w14:paraId="56103774" w14:textId="77777777" w:rsidR="00CE6A2C" w:rsidRPr="00CF4818" w:rsidRDefault="00CE6A2C" w:rsidP="001C71B8">
            <w:pPr>
              <w:jc w:val="center"/>
              <w:rPr>
                <w:rFonts w:asciiTheme="minorHAnsi" w:hAnsiTheme="minorHAnsi"/>
              </w:rPr>
            </w:pPr>
            <w:r w:rsidRPr="00CF4818">
              <w:rPr>
                <w:rFonts w:asciiTheme="minorHAnsi" w:hAnsiTheme="minorHAnsi"/>
              </w:rPr>
              <w:t>0.18</w:t>
            </w:r>
          </w:p>
        </w:tc>
        <w:tc>
          <w:tcPr>
            <w:tcW w:w="1260" w:type="dxa"/>
          </w:tcPr>
          <w:p w14:paraId="472C3C99"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0.12</w:t>
            </w:r>
          </w:p>
        </w:tc>
      </w:tr>
      <w:tr w:rsidR="00CE6A2C" w:rsidRPr="00CF4818" w14:paraId="24B7731E" w14:textId="77777777" w:rsidTr="001C71B8">
        <w:tc>
          <w:tcPr>
            <w:cnfStyle w:val="000010000000" w:firstRow="0" w:lastRow="0" w:firstColumn="0" w:lastColumn="0" w:oddVBand="1" w:evenVBand="0" w:oddHBand="0" w:evenHBand="0" w:firstRowFirstColumn="0" w:firstRowLastColumn="0" w:lastRowFirstColumn="0" w:lastRowLastColumn="0"/>
            <w:tcW w:w="1620" w:type="dxa"/>
          </w:tcPr>
          <w:p w14:paraId="17090CC0" w14:textId="77777777" w:rsidR="00CE6A2C" w:rsidRPr="00CF4818" w:rsidRDefault="00CE6A2C" w:rsidP="001C71B8">
            <w:pPr>
              <w:rPr>
                <w:rFonts w:asciiTheme="minorHAnsi" w:hAnsiTheme="minorHAnsi"/>
              </w:rPr>
            </w:pPr>
            <w:r w:rsidRPr="00CF4818">
              <w:rPr>
                <w:rFonts w:asciiTheme="minorHAnsi" w:hAnsiTheme="minorHAnsi"/>
              </w:rPr>
              <w:t>Buses</w:t>
            </w:r>
          </w:p>
        </w:tc>
        <w:tc>
          <w:tcPr>
            <w:tcW w:w="2160" w:type="dxa"/>
          </w:tcPr>
          <w:p w14:paraId="513AE5B6"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Length bus routes</w:t>
            </w:r>
          </w:p>
        </w:tc>
        <w:tc>
          <w:tcPr>
            <w:cnfStyle w:val="000010000000" w:firstRow="0" w:lastRow="0" w:firstColumn="0" w:lastColumn="0" w:oddVBand="1" w:evenVBand="0" w:oddHBand="0" w:evenHBand="0" w:firstRowFirstColumn="0" w:firstRowLastColumn="0" w:lastRowFirstColumn="0" w:lastRowLastColumn="0"/>
            <w:tcW w:w="1260" w:type="dxa"/>
          </w:tcPr>
          <w:p w14:paraId="5B8B474A" w14:textId="77777777" w:rsidR="00CE6A2C" w:rsidRPr="00CF4818" w:rsidRDefault="00CE6A2C" w:rsidP="001C71B8">
            <w:pPr>
              <w:jc w:val="center"/>
              <w:rPr>
                <w:rFonts w:asciiTheme="minorHAnsi" w:hAnsiTheme="minorHAnsi"/>
              </w:rPr>
            </w:pPr>
            <w:r w:rsidRPr="00CF4818">
              <w:rPr>
                <w:rFonts w:asciiTheme="minorHAnsi" w:hAnsiTheme="minorHAnsi"/>
              </w:rPr>
              <w:t>0.02</w:t>
            </w:r>
          </w:p>
        </w:tc>
        <w:tc>
          <w:tcPr>
            <w:tcW w:w="1260" w:type="dxa"/>
          </w:tcPr>
          <w:p w14:paraId="093AC95D"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0.46</w:t>
            </w:r>
          </w:p>
        </w:tc>
        <w:tc>
          <w:tcPr>
            <w:cnfStyle w:val="000010000000" w:firstRow="0" w:lastRow="0" w:firstColumn="0" w:lastColumn="0" w:oddVBand="1" w:evenVBand="0" w:oddHBand="0" w:evenHBand="0" w:firstRowFirstColumn="0" w:firstRowLastColumn="0" w:lastRowFirstColumn="0" w:lastRowLastColumn="0"/>
            <w:tcW w:w="1260" w:type="dxa"/>
          </w:tcPr>
          <w:p w14:paraId="2F4BA258" w14:textId="77777777" w:rsidR="00CE6A2C" w:rsidRPr="00CF4818" w:rsidRDefault="00CE6A2C" w:rsidP="001C71B8">
            <w:pPr>
              <w:jc w:val="center"/>
              <w:rPr>
                <w:rFonts w:asciiTheme="minorHAnsi" w:hAnsiTheme="minorHAnsi"/>
              </w:rPr>
            </w:pPr>
            <w:r w:rsidRPr="00CF4818">
              <w:rPr>
                <w:rFonts w:asciiTheme="minorHAnsi" w:hAnsiTheme="minorHAnsi"/>
              </w:rPr>
              <w:t>0.17</w:t>
            </w:r>
          </w:p>
        </w:tc>
        <w:tc>
          <w:tcPr>
            <w:tcW w:w="1260" w:type="dxa"/>
          </w:tcPr>
          <w:p w14:paraId="039FCE3C" w14:textId="77777777" w:rsidR="00CE6A2C" w:rsidRPr="00CF4818" w:rsidRDefault="00CE6A2C" w:rsidP="001C71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F4818">
              <w:rPr>
                <w:rFonts w:asciiTheme="minorHAnsi" w:hAnsiTheme="minorHAnsi"/>
              </w:rPr>
              <w:t>0.35</w:t>
            </w:r>
          </w:p>
        </w:tc>
      </w:tr>
      <w:tr w:rsidR="00CE6A2C" w:rsidRPr="00CF4818" w14:paraId="79442BD4" w14:textId="77777777" w:rsidTr="001C71B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20" w:type="dxa"/>
          </w:tcPr>
          <w:p w14:paraId="2CC81CE4" w14:textId="77777777" w:rsidR="00CE6A2C" w:rsidRPr="00CF4818" w:rsidRDefault="00CE6A2C" w:rsidP="001C71B8">
            <w:pPr>
              <w:rPr>
                <w:rFonts w:asciiTheme="minorHAnsi" w:hAnsiTheme="minorHAnsi"/>
              </w:rPr>
            </w:pPr>
            <w:r w:rsidRPr="00CF4818">
              <w:rPr>
                <w:rFonts w:asciiTheme="minorHAnsi" w:hAnsiTheme="minorHAnsi"/>
              </w:rPr>
              <w:t>Cars</w:t>
            </w:r>
          </w:p>
        </w:tc>
        <w:tc>
          <w:tcPr>
            <w:tcW w:w="2160" w:type="dxa"/>
          </w:tcPr>
          <w:p w14:paraId="14092C40"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AQMS traffic flow</w:t>
            </w:r>
          </w:p>
        </w:tc>
        <w:tc>
          <w:tcPr>
            <w:cnfStyle w:val="000010000000" w:firstRow="0" w:lastRow="0" w:firstColumn="0" w:lastColumn="0" w:oddVBand="1" w:evenVBand="0" w:oddHBand="0" w:evenHBand="0" w:firstRowFirstColumn="0" w:firstRowLastColumn="0" w:lastRowFirstColumn="0" w:lastRowLastColumn="0"/>
            <w:tcW w:w="1260" w:type="dxa"/>
          </w:tcPr>
          <w:p w14:paraId="3EF3496C" w14:textId="77777777" w:rsidR="00CE6A2C" w:rsidRPr="00CF4818" w:rsidRDefault="00CE6A2C" w:rsidP="001C71B8">
            <w:pPr>
              <w:jc w:val="center"/>
              <w:rPr>
                <w:rFonts w:asciiTheme="minorHAnsi" w:hAnsiTheme="minorHAnsi"/>
              </w:rPr>
            </w:pPr>
            <w:r w:rsidRPr="00CF4818">
              <w:rPr>
                <w:rFonts w:asciiTheme="minorHAnsi" w:hAnsiTheme="minorHAnsi"/>
              </w:rPr>
              <w:t>0.07</w:t>
            </w:r>
          </w:p>
        </w:tc>
        <w:tc>
          <w:tcPr>
            <w:tcW w:w="1260" w:type="dxa"/>
          </w:tcPr>
          <w:p w14:paraId="16549A97"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0.29</w:t>
            </w:r>
          </w:p>
        </w:tc>
        <w:tc>
          <w:tcPr>
            <w:cnfStyle w:val="000010000000" w:firstRow="0" w:lastRow="0" w:firstColumn="0" w:lastColumn="0" w:oddVBand="1" w:evenVBand="0" w:oddHBand="0" w:evenHBand="0" w:firstRowFirstColumn="0" w:firstRowLastColumn="0" w:lastRowFirstColumn="0" w:lastRowLastColumn="0"/>
            <w:tcW w:w="1260" w:type="dxa"/>
          </w:tcPr>
          <w:p w14:paraId="46BB4AFA" w14:textId="77777777" w:rsidR="00CE6A2C" w:rsidRPr="00CF4818" w:rsidRDefault="00CE6A2C" w:rsidP="001C71B8">
            <w:pPr>
              <w:jc w:val="center"/>
              <w:rPr>
                <w:rFonts w:asciiTheme="minorHAnsi" w:hAnsiTheme="minorHAnsi"/>
              </w:rPr>
            </w:pPr>
            <w:r w:rsidRPr="00CF4818">
              <w:rPr>
                <w:rFonts w:asciiTheme="minorHAnsi" w:hAnsiTheme="minorHAnsi"/>
              </w:rPr>
              <w:t>0.16</w:t>
            </w:r>
          </w:p>
        </w:tc>
        <w:tc>
          <w:tcPr>
            <w:tcW w:w="1260" w:type="dxa"/>
          </w:tcPr>
          <w:p w14:paraId="1A383489" w14:textId="77777777" w:rsidR="00CE6A2C" w:rsidRPr="00CF4818" w:rsidRDefault="00CE6A2C"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F4818">
              <w:rPr>
                <w:rFonts w:asciiTheme="minorHAnsi" w:hAnsiTheme="minorHAnsi"/>
              </w:rPr>
              <w:t>0.48</w:t>
            </w:r>
          </w:p>
        </w:tc>
      </w:tr>
    </w:tbl>
    <w:p w14:paraId="14735960" w14:textId="77777777" w:rsidR="0034293D" w:rsidRDefault="0034293D" w:rsidP="00B9182D">
      <w:pPr>
        <w:pStyle w:val="BodyText"/>
        <w:jc w:val="both"/>
        <w:rPr>
          <w:rFonts w:asciiTheme="minorHAnsi" w:hAnsiTheme="minorHAnsi"/>
          <w:b w:val="0"/>
          <w:sz w:val="22"/>
          <w:szCs w:val="22"/>
        </w:rPr>
      </w:pPr>
    </w:p>
    <w:p w14:paraId="28388115" w14:textId="4B715F1C" w:rsidR="00271C56" w:rsidRPr="00CF4818" w:rsidRDefault="003D1CBE" w:rsidP="00BB729B">
      <w:pPr>
        <w:pStyle w:val="BodyText"/>
        <w:jc w:val="both"/>
        <w:rPr>
          <w:rFonts w:asciiTheme="minorHAnsi" w:hAnsiTheme="minorHAnsi"/>
          <w:b w:val="0"/>
          <w:i/>
          <w:sz w:val="22"/>
          <w:szCs w:val="22"/>
        </w:rPr>
      </w:pPr>
      <w:r>
        <w:rPr>
          <w:rFonts w:asciiTheme="minorHAnsi" w:hAnsiTheme="minorHAnsi"/>
          <w:b w:val="0"/>
          <w:i/>
          <w:sz w:val="22"/>
          <w:szCs w:val="22"/>
        </w:rPr>
        <w:t>3.</w:t>
      </w:r>
      <w:r w:rsidR="00FB7F93">
        <w:rPr>
          <w:rFonts w:asciiTheme="minorHAnsi" w:hAnsiTheme="minorHAnsi"/>
          <w:b w:val="0"/>
          <w:i/>
          <w:sz w:val="22"/>
          <w:szCs w:val="22"/>
        </w:rPr>
        <w:t>4</w:t>
      </w:r>
      <w:r>
        <w:rPr>
          <w:rFonts w:asciiTheme="minorHAnsi" w:hAnsiTheme="minorHAnsi"/>
          <w:b w:val="0"/>
          <w:i/>
          <w:sz w:val="22"/>
          <w:szCs w:val="22"/>
        </w:rPr>
        <w:tab/>
      </w:r>
      <w:r w:rsidR="00271C56" w:rsidRPr="00CF4818">
        <w:rPr>
          <w:rFonts w:asciiTheme="minorHAnsi" w:hAnsiTheme="minorHAnsi"/>
          <w:b w:val="0"/>
          <w:i/>
          <w:sz w:val="22"/>
          <w:szCs w:val="22"/>
        </w:rPr>
        <w:t>Simulated changes in emissions</w:t>
      </w:r>
    </w:p>
    <w:p w14:paraId="1ABCC7DE" w14:textId="77777777" w:rsidR="00271C56" w:rsidRPr="00CF4818" w:rsidRDefault="00271C56" w:rsidP="00BB729B">
      <w:pPr>
        <w:pStyle w:val="BodyText"/>
        <w:jc w:val="both"/>
        <w:rPr>
          <w:rFonts w:asciiTheme="minorHAnsi" w:hAnsiTheme="minorHAnsi"/>
          <w:b w:val="0"/>
          <w:sz w:val="22"/>
          <w:szCs w:val="22"/>
        </w:rPr>
      </w:pPr>
    </w:p>
    <w:p w14:paraId="574C3CD4" w14:textId="77777777" w:rsidR="00271C56" w:rsidRPr="00CF4818" w:rsidRDefault="00271C56" w:rsidP="00271C56">
      <w:pPr>
        <w:jc w:val="both"/>
        <w:rPr>
          <w:rFonts w:asciiTheme="minorHAnsi" w:hAnsiTheme="minorHAnsi"/>
          <w:szCs w:val="22"/>
        </w:rPr>
      </w:pPr>
      <w:r w:rsidRPr="00CF4818">
        <w:rPr>
          <w:rFonts w:asciiTheme="minorHAnsi" w:hAnsiTheme="minorHAnsi"/>
          <w:szCs w:val="22"/>
        </w:rPr>
        <w:t xml:space="preserve">There are a wide range of potential policy interventions that could be considered using the </w:t>
      </w:r>
      <w:r w:rsidR="003D6728">
        <w:rPr>
          <w:rFonts w:asciiTheme="minorHAnsi" w:hAnsiTheme="minorHAnsi"/>
          <w:szCs w:val="22"/>
        </w:rPr>
        <w:t>INDAIR-2/</w:t>
      </w:r>
      <w:r w:rsidR="0008396E">
        <w:rPr>
          <w:rFonts w:asciiTheme="minorHAnsi" w:hAnsiTheme="minorHAnsi"/>
          <w:szCs w:val="22"/>
        </w:rPr>
        <w:t>EXPAIR model</w:t>
      </w:r>
      <w:r w:rsidR="003D6728">
        <w:rPr>
          <w:rFonts w:asciiTheme="minorHAnsi" w:hAnsiTheme="minorHAnsi"/>
          <w:szCs w:val="22"/>
        </w:rPr>
        <w:t>ling framework</w:t>
      </w:r>
      <w:r w:rsidRPr="00CF4818">
        <w:rPr>
          <w:rFonts w:asciiTheme="minorHAnsi" w:hAnsiTheme="minorHAnsi"/>
          <w:szCs w:val="22"/>
        </w:rPr>
        <w:t>. Here</w:t>
      </w:r>
      <w:r w:rsidR="003D6728">
        <w:rPr>
          <w:rFonts w:asciiTheme="minorHAnsi" w:hAnsiTheme="minorHAnsi"/>
          <w:szCs w:val="22"/>
        </w:rPr>
        <w:t>,</w:t>
      </w:r>
      <w:r w:rsidRPr="00CF4818">
        <w:rPr>
          <w:rFonts w:asciiTheme="minorHAnsi" w:hAnsiTheme="minorHAnsi"/>
          <w:szCs w:val="22"/>
        </w:rPr>
        <w:t xml:space="preserve"> we illustrate </w:t>
      </w:r>
      <w:r w:rsidR="00BC34F3">
        <w:rPr>
          <w:rFonts w:asciiTheme="minorHAnsi" w:hAnsiTheme="minorHAnsi"/>
          <w:szCs w:val="22"/>
        </w:rPr>
        <w:t xml:space="preserve">two </w:t>
      </w:r>
      <w:r w:rsidRPr="00CF4818">
        <w:rPr>
          <w:rFonts w:asciiTheme="minorHAnsi" w:hAnsiTheme="minorHAnsi"/>
          <w:szCs w:val="22"/>
        </w:rPr>
        <w:t xml:space="preserve">hypothetical </w:t>
      </w:r>
      <w:r w:rsidR="00BC34F3">
        <w:rPr>
          <w:rFonts w:asciiTheme="minorHAnsi" w:hAnsiTheme="minorHAnsi"/>
          <w:szCs w:val="22"/>
        </w:rPr>
        <w:t>policy interventions, in order to compare the effects of reduced indoor and outdoor concentrations in the two population groups</w:t>
      </w:r>
      <w:r w:rsidRPr="00CF4818">
        <w:rPr>
          <w:rFonts w:asciiTheme="minorHAnsi" w:hAnsiTheme="minorHAnsi"/>
          <w:szCs w:val="22"/>
        </w:rPr>
        <w:t>:-</w:t>
      </w:r>
    </w:p>
    <w:p w14:paraId="22C67F2A" w14:textId="77777777" w:rsidR="00271C56" w:rsidRPr="00CF4818" w:rsidRDefault="00271C56" w:rsidP="00271C56">
      <w:pPr>
        <w:jc w:val="both"/>
        <w:rPr>
          <w:rFonts w:asciiTheme="minorHAnsi" w:hAnsiTheme="minorHAnsi"/>
          <w:szCs w:val="22"/>
        </w:rPr>
      </w:pPr>
    </w:p>
    <w:p w14:paraId="3409222F" w14:textId="77777777" w:rsidR="00271C56" w:rsidRPr="00CF4818" w:rsidRDefault="00271C56" w:rsidP="00735F6E">
      <w:pPr>
        <w:numPr>
          <w:ilvl w:val="0"/>
          <w:numId w:val="35"/>
        </w:numPr>
        <w:jc w:val="both"/>
        <w:rPr>
          <w:rFonts w:asciiTheme="minorHAnsi" w:hAnsiTheme="minorHAnsi"/>
        </w:rPr>
      </w:pPr>
      <w:r w:rsidRPr="00CF4818">
        <w:rPr>
          <w:rFonts w:asciiTheme="minorHAnsi" w:hAnsiTheme="minorHAnsi"/>
          <w:szCs w:val="22"/>
        </w:rPr>
        <w:t>The removal of all home sources of NO</w:t>
      </w:r>
      <w:r w:rsidRPr="00CF4818">
        <w:rPr>
          <w:rFonts w:asciiTheme="minorHAnsi" w:hAnsiTheme="minorHAnsi"/>
          <w:szCs w:val="22"/>
          <w:vertAlign w:val="subscript"/>
        </w:rPr>
        <w:t>2</w:t>
      </w:r>
      <w:r w:rsidRPr="00CF4818">
        <w:rPr>
          <w:rFonts w:asciiTheme="minorHAnsi" w:hAnsiTheme="minorHAnsi"/>
          <w:szCs w:val="22"/>
        </w:rPr>
        <w:t xml:space="preserve"> in the INDAIR</w:t>
      </w:r>
      <w:r w:rsidR="00997F8B">
        <w:rPr>
          <w:rFonts w:asciiTheme="minorHAnsi" w:hAnsiTheme="minorHAnsi"/>
          <w:szCs w:val="22"/>
        </w:rPr>
        <w:t>-2</w:t>
      </w:r>
      <w:r w:rsidRPr="00CF4818">
        <w:rPr>
          <w:rFonts w:asciiTheme="minorHAnsi" w:hAnsiTheme="minorHAnsi"/>
          <w:szCs w:val="22"/>
        </w:rPr>
        <w:t xml:space="preserve"> model, specifically gas cooking and smoking.</w:t>
      </w:r>
    </w:p>
    <w:p w14:paraId="5D713A31" w14:textId="37501858" w:rsidR="00367AC6" w:rsidRPr="00CF4818" w:rsidRDefault="00367AC6" w:rsidP="00735F6E">
      <w:pPr>
        <w:numPr>
          <w:ilvl w:val="0"/>
          <w:numId w:val="35"/>
        </w:numPr>
        <w:jc w:val="both"/>
        <w:rPr>
          <w:rFonts w:asciiTheme="minorHAnsi" w:hAnsiTheme="minorHAnsi"/>
        </w:rPr>
      </w:pPr>
      <w:r w:rsidRPr="00CF4818">
        <w:rPr>
          <w:rFonts w:asciiTheme="minorHAnsi" w:hAnsiTheme="minorHAnsi"/>
        </w:rPr>
        <w:t xml:space="preserve">Reduction of all roadside concentrations to ensure that, on average, they meet current air quality objectives within the </w:t>
      </w:r>
      <w:r w:rsidR="00006C6D" w:rsidRPr="00CF4818">
        <w:rPr>
          <w:rFonts w:asciiTheme="minorHAnsi" w:hAnsiTheme="minorHAnsi"/>
        </w:rPr>
        <w:t xml:space="preserve">UK </w:t>
      </w:r>
      <w:r w:rsidRPr="00CF4818">
        <w:rPr>
          <w:rFonts w:asciiTheme="minorHAnsi" w:hAnsiTheme="minorHAnsi"/>
        </w:rPr>
        <w:t xml:space="preserve">National Air Quality Strategy. Rather than create a detailed probabilistic analysis, we identified that </w:t>
      </w:r>
      <w:r w:rsidR="00BC34F3">
        <w:rPr>
          <w:rFonts w:asciiTheme="minorHAnsi" w:hAnsiTheme="minorHAnsi"/>
        </w:rPr>
        <w:t xml:space="preserve">annual mean concentrations </w:t>
      </w:r>
      <w:r w:rsidR="008C5D4B">
        <w:rPr>
          <w:rFonts w:asciiTheme="minorHAnsi" w:hAnsiTheme="minorHAnsi"/>
        </w:rPr>
        <w:t xml:space="preserve">on road type 2 </w:t>
      </w:r>
      <w:r w:rsidRPr="00CF4818">
        <w:rPr>
          <w:rFonts w:asciiTheme="minorHAnsi" w:hAnsiTheme="minorHAnsi"/>
        </w:rPr>
        <w:t xml:space="preserve">were approximately equal to proposed air quality guidelines, while mean concentrations at the two road categories with medium and high HGV were above these guidelines. Therefore, for this assessment, the frequency distributions of the outdoor concentrations for road types </w:t>
      </w:r>
      <w:r w:rsidR="00623894" w:rsidRPr="00CF4818">
        <w:rPr>
          <w:rFonts w:asciiTheme="minorHAnsi" w:hAnsiTheme="minorHAnsi"/>
        </w:rPr>
        <w:t>3</w:t>
      </w:r>
      <w:r w:rsidRPr="00CF4818">
        <w:rPr>
          <w:rFonts w:asciiTheme="minorHAnsi" w:hAnsiTheme="minorHAnsi"/>
        </w:rPr>
        <w:t xml:space="preserve"> and </w:t>
      </w:r>
      <w:r w:rsidR="00623894" w:rsidRPr="00CF4818">
        <w:rPr>
          <w:rFonts w:asciiTheme="minorHAnsi" w:hAnsiTheme="minorHAnsi"/>
        </w:rPr>
        <w:t>4</w:t>
      </w:r>
      <w:r w:rsidRPr="00CF4818">
        <w:rPr>
          <w:rFonts w:asciiTheme="minorHAnsi" w:hAnsiTheme="minorHAnsi"/>
        </w:rPr>
        <w:t xml:space="preserve"> were </w:t>
      </w:r>
      <w:r w:rsidR="008C5D4B">
        <w:rPr>
          <w:rFonts w:asciiTheme="minorHAnsi" w:hAnsiTheme="minorHAnsi"/>
        </w:rPr>
        <w:t>changed</w:t>
      </w:r>
      <w:r w:rsidRPr="00CF4818">
        <w:rPr>
          <w:rFonts w:asciiTheme="minorHAnsi" w:hAnsiTheme="minorHAnsi"/>
        </w:rPr>
        <w:t xml:space="preserve"> to those of road type </w:t>
      </w:r>
      <w:r w:rsidR="00623894" w:rsidRPr="00CF4818">
        <w:rPr>
          <w:rFonts w:asciiTheme="minorHAnsi" w:hAnsiTheme="minorHAnsi"/>
        </w:rPr>
        <w:t>2</w:t>
      </w:r>
      <w:r w:rsidRPr="00CF4818">
        <w:rPr>
          <w:rFonts w:asciiTheme="minorHAnsi" w:hAnsiTheme="minorHAnsi"/>
        </w:rPr>
        <w:t xml:space="preserve">. </w:t>
      </w:r>
    </w:p>
    <w:p w14:paraId="5BD250D3" w14:textId="77777777" w:rsidR="00CD763F" w:rsidRDefault="00CD763F" w:rsidP="00BA29F9">
      <w:pPr>
        <w:autoSpaceDE w:val="0"/>
        <w:autoSpaceDN w:val="0"/>
        <w:adjustRightInd w:val="0"/>
        <w:jc w:val="both"/>
        <w:rPr>
          <w:rFonts w:asciiTheme="minorHAnsi" w:hAnsiTheme="minorHAnsi"/>
          <w:b/>
          <w:szCs w:val="22"/>
        </w:rPr>
      </w:pPr>
    </w:p>
    <w:p w14:paraId="2E73A57D" w14:textId="77777777" w:rsidR="00CD763F" w:rsidRDefault="00CD763F" w:rsidP="00BA29F9">
      <w:pPr>
        <w:autoSpaceDE w:val="0"/>
        <w:autoSpaceDN w:val="0"/>
        <w:adjustRightInd w:val="0"/>
        <w:jc w:val="both"/>
        <w:rPr>
          <w:rFonts w:asciiTheme="minorHAnsi" w:hAnsiTheme="minorHAnsi"/>
          <w:b/>
          <w:szCs w:val="22"/>
        </w:rPr>
      </w:pPr>
    </w:p>
    <w:p w14:paraId="25A08966" w14:textId="77777777" w:rsidR="004471D4" w:rsidRPr="00CF4818" w:rsidRDefault="00C748D5" w:rsidP="00BA29F9">
      <w:pPr>
        <w:autoSpaceDE w:val="0"/>
        <w:autoSpaceDN w:val="0"/>
        <w:adjustRightInd w:val="0"/>
        <w:jc w:val="both"/>
        <w:rPr>
          <w:rFonts w:asciiTheme="minorHAnsi" w:hAnsiTheme="minorHAnsi"/>
          <w:b/>
          <w:szCs w:val="22"/>
        </w:rPr>
      </w:pPr>
      <w:r>
        <w:rPr>
          <w:rFonts w:asciiTheme="minorHAnsi" w:hAnsiTheme="minorHAnsi"/>
          <w:b/>
          <w:szCs w:val="22"/>
        </w:rPr>
        <w:t>4</w:t>
      </w:r>
      <w:r w:rsidR="00844243">
        <w:rPr>
          <w:rFonts w:asciiTheme="minorHAnsi" w:hAnsiTheme="minorHAnsi"/>
          <w:b/>
          <w:szCs w:val="22"/>
        </w:rPr>
        <w:t>.</w:t>
      </w:r>
      <w:r w:rsidR="00844243">
        <w:rPr>
          <w:rFonts w:asciiTheme="minorHAnsi" w:hAnsiTheme="minorHAnsi"/>
          <w:b/>
          <w:szCs w:val="22"/>
        </w:rPr>
        <w:tab/>
      </w:r>
      <w:r w:rsidR="004471D4" w:rsidRPr="00CF4818">
        <w:rPr>
          <w:rFonts w:asciiTheme="minorHAnsi" w:hAnsiTheme="minorHAnsi"/>
          <w:b/>
          <w:szCs w:val="22"/>
        </w:rPr>
        <w:t>Results</w:t>
      </w:r>
      <w:r w:rsidR="009031A9">
        <w:rPr>
          <w:rFonts w:asciiTheme="minorHAnsi" w:hAnsiTheme="minorHAnsi"/>
          <w:b/>
          <w:szCs w:val="22"/>
        </w:rPr>
        <w:t xml:space="preserve"> from EXPAIR modelling</w:t>
      </w:r>
    </w:p>
    <w:p w14:paraId="1AC3D17E" w14:textId="77777777" w:rsidR="004471D4" w:rsidRPr="00CF4818" w:rsidRDefault="004471D4" w:rsidP="00BA29F9">
      <w:pPr>
        <w:jc w:val="both"/>
        <w:rPr>
          <w:rFonts w:asciiTheme="minorHAnsi" w:hAnsiTheme="minorHAnsi"/>
          <w:szCs w:val="22"/>
        </w:rPr>
      </w:pPr>
    </w:p>
    <w:p w14:paraId="65489488" w14:textId="77777777" w:rsidR="004471D4" w:rsidRPr="00CF4818" w:rsidRDefault="00216C17" w:rsidP="00BA29F9">
      <w:pPr>
        <w:jc w:val="both"/>
        <w:rPr>
          <w:rFonts w:asciiTheme="minorHAnsi" w:hAnsiTheme="minorHAnsi"/>
          <w:i/>
          <w:snapToGrid w:val="0"/>
          <w:color w:val="000000"/>
          <w:szCs w:val="22"/>
          <w:lang w:eastAsia="en-US"/>
        </w:rPr>
      </w:pPr>
      <w:r>
        <w:rPr>
          <w:rFonts w:asciiTheme="minorHAnsi" w:hAnsiTheme="minorHAnsi"/>
          <w:i/>
          <w:snapToGrid w:val="0"/>
          <w:color w:val="000000"/>
          <w:szCs w:val="22"/>
          <w:lang w:eastAsia="en-US"/>
        </w:rPr>
        <w:t>4.1</w:t>
      </w:r>
      <w:r w:rsidR="00844243">
        <w:rPr>
          <w:rFonts w:asciiTheme="minorHAnsi" w:hAnsiTheme="minorHAnsi"/>
          <w:i/>
          <w:snapToGrid w:val="0"/>
          <w:color w:val="000000"/>
          <w:szCs w:val="22"/>
          <w:lang w:eastAsia="en-US"/>
        </w:rPr>
        <w:tab/>
      </w:r>
      <w:r w:rsidR="004471D4" w:rsidRPr="00CF4818">
        <w:rPr>
          <w:rFonts w:asciiTheme="minorHAnsi" w:hAnsiTheme="minorHAnsi"/>
          <w:i/>
          <w:snapToGrid w:val="0"/>
          <w:color w:val="000000"/>
          <w:szCs w:val="22"/>
          <w:lang w:eastAsia="en-US"/>
        </w:rPr>
        <w:t>Comparison of population group exposures</w:t>
      </w:r>
    </w:p>
    <w:p w14:paraId="2C77035E" w14:textId="77777777" w:rsidR="004471D4" w:rsidRPr="00CF4818" w:rsidRDefault="004471D4" w:rsidP="00BA29F9">
      <w:pPr>
        <w:jc w:val="both"/>
        <w:rPr>
          <w:rFonts w:asciiTheme="minorHAnsi" w:hAnsiTheme="minorHAnsi"/>
          <w:snapToGrid w:val="0"/>
          <w:color w:val="000000"/>
          <w:szCs w:val="22"/>
          <w:lang w:eastAsia="en-US"/>
        </w:rPr>
      </w:pPr>
    </w:p>
    <w:p w14:paraId="200E7727" w14:textId="27BBDF1F" w:rsidR="001C71B8" w:rsidRPr="00137DB4" w:rsidRDefault="00AB3224" w:rsidP="00BA29F9">
      <w:pPr>
        <w:jc w:val="both"/>
        <w:rPr>
          <w:rFonts w:asciiTheme="minorHAnsi" w:hAnsiTheme="minorHAnsi"/>
          <w:szCs w:val="22"/>
        </w:rPr>
      </w:pPr>
      <w:r w:rsidRPr="00137DB4">
        <w:rPr>
          <w:rFonts w:asciiTheme="minorHAnsi" w:hAnsiTheme="minorHAnsi"/>
          <w:szCs w:val="22"/>
        </w:rPr>
        <w:t xml:space="preserve">Figure </w:t>
      </w:r>
      <w:r w:rsidR="00CC121B" w:rsidRPr="00137DB4">
        <w:rPr>
          <w:rFonts w:asciiTheme="minorHAnsi" w:hAnsiTheme="minorHAnsi"/>
          <w:szCs w:val="22"/>
        </w:rPr>
        <w:t>2</w:t>
      </w:r>
      <w:r w:rsidRPr="00137DB4">
        <w:rPr>
          <w:rFonts w:asciiTheme="minorHAnsi" w:hAnsiTheme="minorHAnsi"/>
          <w:szCs w:val="22"/>
        </w:rPr>
        <w:t xml:space="preserve"> shows a comparison of the temporal </w:t>
      </w:r>
      <w:r w:rsidR="006F5459" w:rsidRPr="00137DB4">
        <w:rPr>
          <w:rFonts w:asciiTheme="minorHAnsi" w:hAnsiTheme="minorHAnsi"/>
          <w:szCs w:val="22"/>
        </w:rPr>
        <w:t xml:space="preserve">variation in mean personal </w:t>
      </w:r>
      <w:r w:rsidR="0089562D" w:rsidRPr="00137DB4">
        <w:rPr>
          <w:rFonts w:asciiTheme="minorHAnsi" w:hAnsiTheme="minorHAnsi"/>
          <w:szCs w:val="22"/>
        </w:rPr>
        <w:t xml:space="preserve">exposure </w:t>
      </w:r>
      <w:r w:rsidR="006F5459" w:rsidRPr="00137DB4">
        <w:rPr>
          <w:rFonts w:asciiTheme="minorHAnsi" w:hAnsiTheme="minorHAnsi"/>
          <w:szCs w:val="22"/>
        </w:rPr>
        <w:t xml:space="preserve">for the </w:t>
      </w:r>
      <w:r w:rsidR="00265A1A" w:rsidRPr="00137DB4">
        <w:rPr>
          <w:rFonts w:asciiTheme="minorHAnsi" w:hAnsiTheme="minorHAnsi"/>
          <w:szCs w:val="22"/>
        </w:rPr>
        <w:t>three</w:t>
      </w:r>
      <w:r w:rsidR="006F5459" w:rsidRPr="00137DB4">
        <w:rPr>
          <w:rFonts w:asciiTheme="minorHAnsi" w:hAnsiTheme="minorHAnsi"/>
          <w:szCs w:val="22"/>
        </w:rPr>
        <w:t xml:space="preserve"> p</w:t>
      </w:r>
      <w:r w:rsidR="004F1813" w:rsidRPr="00137DB4">
        <w:rPr>
          <w:rFonts w:asciiTheme="minorHAnsi" w:hAnsiTheme="minorHAnsi"/>
          <w:szCs w:val="22"/>
        </w:rPr>
        <w:t>opulation groups</w:t>
      </w:r>
      <w:r w:rsidR="00216C17" w:rsidRPr="00137DB4">
        <w:rPr>
          <w:rFonts w:asciiTheme="minorHAnsi" w:hAnsiTheme="minorHAnsi"/>
          <w:szCs w:val="22"/>
        </w:rPr>
        <w:t>,</w:t>
      </w:r>
      <w:r w:rsidR="006F5459" w:rsidRPr="00137DB4">
        <w:rPr>
          <w:rFonts w:asciiTheme="minorHAnsi" w:hAnsiTheme="minorHAnsi"/>
          <w:szCs w:val="22"/>
        </w:rPr>
        <w:t xml:space="preserve"> for winter weekdays. </w:t>
      </w:r>
      <w:r w:rsidR="004471D4" w:rsidRPr="00137DB4">
        <w:rPr>
          <w:rFonts w:asciiTheme="minorHAnsi" w:hAnsiTheme="minorHAnsi"/>
          <w:szCs w:val="22"/>
        </w:rPr>
        <w:t xml:space="preserve">Concentrations at the urban background </w:t>
      </w:r>
      <w:r w:rsidR="001375EB" w:rsidRPr="00137DB4">
        <w:rPr>
          <w:rFonts w:asciiTheme="minorHAnsi" w:hAnsiTheme="minorHAnsi"/>
          <w:szCs w:val="22"/>
        </w:rPr>
        <w:t xml:space="preserve">monitoring </w:t>
      </w:r>
      <w:r w:rsidR="004471D4" w:rsidRPr="00137DB4">
        <w:rPr>
          <w:rFonts w:asciiTheme="minorHAnsi" w:hAnsiTheme="minorHAnsi"/>
          <w:szCs w:val="22"/>
        </w:rPr>
        <w:t>site</w:t>
      </w:r>
      <w:r w:rsidR="007405C1" w:rsidRPr="00137DB4">
        <w:rPr>
          <w:rFonts w:asciiTheme="minorHAnsi" w:hAnsiTheme="minorHAnsi"/>
          <w:szCs w:val="22"/>
        </w:rPr>
        <w:t>, which was used to define road type 1,</w:t>
      </w:r>
      <w:r w:rsidR="004471D4" w:rsidRPr="00137DB4">
        <w:rPr>
          <w:rFonts w:asciiTheme="minorHAnsi" w:hAnsiTheme="minorHAnsi"/>
          <w:szCs w:val="22"/>
        </w:rPr>
        <w:t xml:space="preserve"> are included for comparison.</w:t>
      </w:r>
      <w:r w:rsidR="00265A1A" w:rsidRPr="00137DB4">
        <w:rPr>
          <w:rFonts w:asciiTheme="minorHAnsi" w:hAnsiTheme="minorHAnsi"/>
          <w:szCs w:val="22"/>
        </w:rPr>
        <w:t xml:space="preserve"> </w:t>
      </w:r>
    </w:p>
    <w:p w14:paraId="77F2C034" w14:textId="77777777" w:rsidR="001C71B8" w:rsidRPr="00137DB4" w:rsidRDefault="001C71B8" w:rsidP="001C71B8">
      <w:pPr>
        <w:jc w:val="both"/>
        <w:rPr>
          <w:rFonts w:asciiTheme="minorHAnsi" w:hAnsiTheme="minorHAnsi"/>
          <w:i/>
          <w:szCs w:val="22"/>
        </w:rPr>
      </w:pPr>
    </w:p>
    <w:p w14:paraId="36C4719E" w14:textId="77777777" w:rsidR="001C71B8" w:rsidRPr="00CF4818" w:rsidRDefault="001C71B8" w:rsidP="001C71B8">
      <w:pPr>
        <w:jc w:val="center"/>
        <w:rPr>
          <w:rFonts w:asciiTheme="minorHAnsi" w:hAnsiTheme="minorHAnsi"/>
          <w:szCs w:val="22"/>
        </w:rPr>
      </w:pPr>
      <w:r w:rsidRPr="00C905EC">
        <w:rPr>
          <w:rFonts w:asciiTheme="minorHAnsi" w:hAnsiTheme="minorHAnsi"/>
          <w:noProof/>
          <w:szCs w:val="22"/>
        </w:rPr>
        <w:drawing>
          <wp:inline distT="0" distB="0" distL="0" distR="0" wp14:anchorId="68965566" wp14:editId="6A572BFA">
            <wp:extent cx="3828678" cy="240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104" cy="2411981"/>
                    </a:xfrm>
                    <a:prstGeom prst="rect">
                      <a:avLst/>
                    </a:prstGeom>
                    <a:noFill/>
                  </pic:spPr>
                </pic:pic>
              </a:graphicData>
            </a:graphic>
          </wp:inline>
        </w:drawing>
      </w:r>
    </w:p>
    <w:p w14:paraId="29479570" w14:textId="77777777" w:rsidR="001C71B8" w:rsidRPr="00CF4818" w:rsidRDefault="001C71B8" w:rsidP="001C71B8">
      <w:pPr>
        <w:jc w:val="both"/>
        <w:rPr>
          <w:rFonts w:asciiTheme="minorHAnsi" w:hAnsiTheme="minorHAnsi"/>
          <w:szCs w:val="22"/>
        </w:rPr>
      </w:pPr>
    </w:p>
    <w:p w14:paraId="3A3CB7C3" w14:textId="77777777" w:rsidR="001C71B8" w:rsidRPr="00CF4818" w:rsidRDefault="001C71B8" w:rsidP="001C71B8">
      <w:pPr>
        <w:jc w:val="center"/>
        <w:rPr>
          <w:rFonts w:asciiTheme="minorHAnsi" w:hAnsiTheme="minorHAnsi"/>
          <w:szCs w:val="22"/>
        </w:rPr>
        <w:sectPr w:rsidR="001C71B8" w:rsidRPr="00CF4818" w:rsidSect="00DB5FBF">
          <w:footerReference w:type="even" r:id="rId11"/>
          <w:footerReference w:type="default" r:id="rId12"/>
          <w:type w:val="continuous"/>
          <w:pgSz w:w="11906" w:h="16838"/>
          <w:pgMar w:top="1440" w:right="1286" w:bottom="1440" w:left="1800" w:header="708" w:footer="708" w:gutter="0"/>
          <w:lnNumType w:countBy="1" w:restart="continuous"/>
          <w:cols w:space="720"/>
          <w:docGrid w:linePitch="360"/>
        </w:sectPr>
      </w:pPr>
    </w:p>
    <w:p w14:paraId="46629805" w14:textId="7751996A" w:rsidR="001C71B8" w:rsidRPr="00137DB4" w:rsidRDefault="001C71B8" w:rsidP="001C71B8">
      <w:pPr>
        <w:pStyle w:val="Heading5"/>
        <w:rPr>
          <w:rFonts w:asciiTheme="minorHAnsi" w:hAnsiTheme="minorHAnsi"/>
          <w:i w:val="0"/>
          <w:sz w:val="22"/>
          <w:szCs w:val="22"/>
        </w:rPr>
      </w:pPr>
      <w:r w:rsidRPr="00137DB4">
        <w:rPr>
          <w:rFonts w:asciiTheme="minorHAnsi" w:hAnsiTheme="minorHAnsi"/>
          <w:b/>
          <w:i w:val="0"/>
          <w:sz w:val="22"/>
          <w:szCs w:val="22"/>
        </w:rPr>
        <w:t xml:space="preserve">Figure </w:t>
      </w:r>
      <w:r w:rsidR="00CC121B" w:rsidRPr="00137DB4">
        <w:rPr>
          <w:rFonts w:asciiTheme="minorHAnsi" w:hAnsiTheme="minorHAnsi"/>
          <w:b/>
          <w:i w:val="0"/>
          <w:sz w:val="22"/>
          <w:szCs w:val="22"/>
        </w:rPr>
        <w:t>2</w:t>
      </w:r>
      <w:r w:rsidRPr="00137DB4">
        <w:rPr>
          <w:rFonts w:asciiTheme="minorHAnsi" w:hAnsiTheme="minorHAnsi"/>
          <w:b/>
          <w:i w:val="0"/>
          <w:sz w:val="22"/>
          <w:szCs w:val="22"/>
        </w:rPr>
        <w:t>.</w:t>
      </w:r>
      <w:r w:rsidRPr="00137DB4">
        <w:rPr>
          <w:rFonts w:asciiTheme="minorHAnsi" w:hAnsiTheme="minorHAnsi"/>
          <w:i w:val="0"/>
          <w:sz w:val="22"/>
          <w:szCs w:val="22"/>
        </w:rPr>
        <w:t xml:space="preserve"> Diurnal variation (arithmetic means) of personal exposure to NO</w:t>
      </w:r>
      <w:r w:rsidRPr="00137DB4">
        <w:rPr>
          <w:rFonts w:asciiTheme="minorHAnsi" w:hAnsiTheme="minorHAnsi"/>
          <w:i w:val="0"/>
          <w:sz w:val="22"/>
          <w:szCs w:val="22"/>
          <w:vertAlign w:val="subscript"/>
        </w:rPr>
        <w:t>2</w:t>
      </w:r>
      <w:r w:rsidRPr="00137DB4">
        <w:rPr>
          <w:rFonts w:asciiTheme="minorHAnsi" w:hAnsiTheme="minorHAnsi"/>
          <w:i w:val="0"/>
          <w:sz w:val="22"/>
          <w:szCs w:val="22"/>
        </w:rPr>
        <w:t xml:space="preserve"> for office workers (OW), elderly (OLD) and children (CHILD) on winter weekdays. Urban background (UB) concentrations are shown for comparison</w:t>
      </w:r>
      <w:r w:rsidR="007405C1" w:rsidRPr="00137DB4">
        <w:rPr>
          <w:rFonts w:asciiTheme="minorHAnsi" w:hAnsiTheme="minorHAnsi"/>
          <w:i w:val="0"/>
          <w:sz w:val="22"/>
          <w:szCs w:val="22"/>
        </w:rPr>
        <w:t>; these are taken from the Leicester AURN monitoring site and represent outdoor concentrations for road type 1</w:t>
      </w:r>
      <w:r w:rsidRPr="00137DB4">
        <w:rPr>
          <w:rFonts w:asciiTheme="minorHAnsi" w:hAnsiTheme="minorHAnsi"/>
          <w:i w:val="0"/>
          <w:sz w:val="22"/>
          <w:szCs w:val="22"/>
        </w:rPr>
        <w:t xml:space="preserve">. </w:t>
      </w:r>
    </w:p>
    <w:p w14:paraId="4F6ECC09" w14:textId="77777777" w:rsidR="001C71B8" w:rsidRPr="00137DB4" w:rsidRDefault="001C71B8" w:rsidP="001C71B8">
      <w:pPr>
        <w:jc w:val="both"/>
        <w:rPr>
          <w:rFonts w:asciiTheme="minorHAnsi" w:hAnsiTheme="minorHAnsi"/>
          <w:szCs w:val="22"/>
        </w:rPr>
        <w:sectPr w:rsidR="001C71B8" w:rsidRPr="00137DB4" w:rsidSect="00DB5FBF">
          <w:footerReference w:type="even" r:id="rId13"/>
          <w:footerReference w:type="default" r:id="rId14"/>
          <w:type w:val="continuous"/>
          <w:pgSz w:w="11906" w:h="16838"/>
          <w:pgMar w:top="1440" w:right="1286" w:bottom="1440" w:left="1800" w:header="708" w:footer="708" w:gutter="0"/>
          <w:lnNumType w:countBy="1" w:restart="continuous"/>
          <w:cols w:space="720"/>
          <w:docGrid w:linePitch="360"/>
        </w:sectPr>
      </w:pPr>
    </w:p>
    <w:p w14:paraId="3501B38E" w14:textId="77777777" w:rsidR="007405C1" w:rsidRPr="00137DB4" w:rsidRDefault="007405C1" w:rsidP="00BA29F9">
      <w:pPr>
        <w:jc w:val="both"/>
        <w:rPr>
          <w:rFonts w:asciiTheme="minorHAnsi" w:hAnsiTheme="minorHAnsi"/>
          <w:szCs w:val="22"/>
        </w:rPr>
      </w:pPr>
    </w:p>
    <w:p w14:paraId="6CC8FE71" w14:textId="65FDE117" w:rsidR="004471D4" w:rsidRDefault="006F5459" w:rsidP="00BA29F9">
      <w:pPr>
        <w:jc w:val="both"/>
        <w:rPr>
          <w:rFonts w:asciiTheme="minorHAnsi" w:hAnsiTheme="minorHAnsi"/>
          <w:szCs w:val="22"/>
        </w:rPr>
      </w:pPr>
      <w:r w:rsidRPr="00CF4818">
        <w:rPr>
          <w:rFonts w:asciiTheme="minorHAnsi" w:hAnsiTheme="minorHAnsi"/>
          <w:szCs w:val="22"/>
        </w:rPr>
        <w:t>In the e</w:t>
      </w:r>
      <w:r w:rsidR="004471D4" w:rsidRPr="00CF4818">
        <w:rPr>
          <w:rFonts w:asciiTheme="minorHAnsi" w:hAnsiTheme="minorHAnsi"/>
          <w:szCs w:val="22"/>
        </w:rPr>
        <w:t xml:space="preserve">arly morning and late evening, when a large proportion of </w:t>
      </w:r>
      <w:r w:rsidR="00734974" w:rsidRPr="00CF4818">
        <w:rPr>
          <w:rFonts w:asciiTheme="minorHAnsi" w:hAnsiTheme="minorHAnsi"/>
          <w:szCs w:val="22"/>
        </w:rPr>
        <w:t xml:space="preserve">all </w:t>
      </w:r>
      <w:r w:rsidR="004471D4" w:rsidRPr="00CF4818">
        <w:rPr>
          <w:rFonts w:asciiTheme="minorHAnsi" w:hAnsiTheme="minorHAnsi"/>
          <w:szCs w:val="22"/>
        </w:rPr>
        <w:t xml:space="preserve">the population groups are at home, their </w:t>
      </w:r>
      <w:r w:rsidR="00734974" w:rsidRPr="00CF4818">
        <w:rPr>
          <w:rFonts w:asciiTheme="minorHAnsi" w:hAnsiTheme="minorHAnsi"/>
          <w:szCs w:val="22"/>
        </w:rPr>
        <w:t>mean exposures are very similar, and</w:t>
      </w:r>
      <w:r w:rsidR="004471D4" w:rsidRPr="00CF4818">
        <w:rPr>
          <w:rFonts w:asciiTheme="minorHAnsi" w:hAnsiTheme="minorHAnsi"/>
          <w:szCs w:val="22"/>
        </w:rPr>
        <w:t xml:space="preserve"> tend to track the urban background concentrations, with mean exposure </w:t>
      </w:r>
      <w:r w:rsidR="008B5811" w:rsidRPr="00CF4818">
        <w:rPr>
          <w:rFonts w:asciiTheme="minorHAnsi" w:hAnsiTheme="minorHAnsi"/>
          <w:szCs w:val="22"/>
        </w:rPr>
        <w:t xml:space="preserve">being </w:t>
      </w:r>
      <w:r w:rsidR="004471D4" w:rsidRPr="00CF4818">
        <w:rPr>
          <w:rFonts w:asciiTheme="minorHAnsi" w:hAnsiTheme="minorHAnsi"/>
          <w:szCs w:val="22"/>
        </w:rPr>
        <w:t>generally less than the urban background conce</w:t>
      </w:r>
      <w:r w:rsidR="00C23C1D" w:rsidRPr="00CF4818">
        <w:rPr>
          <w:rFonts w:asciiTheme="minorHAnsi" w:hAnsiTheme="minorHAnsi"/>
          <w:szCs w:val="22"/>
        </w:rPr>
        <w:t>ntration</w:t>
      </w:r>
      <w:r w:rsidR="002F2D87" w:rsidRPr="00CF4818">
        <w:rPr>
          <w:rFonts w:asciiTheme="minorHAnsi" w:hAnsiTheme="minorHAnsi"/>
          <w:szCs w:val="22"/>
        </w:rPr>
        <w:t xml:space="preserve">. </w:t>
      </w:r>
      <w:r w:rsidR="004471D4" w:rsidRPr="00CF4818">
        <w:rPr>
          <w:rFonts w:asciiTheme="minorHAnsi" w:hAnsiTheme="minorHAnsi"/>
          <w:szCs w:val="22"/>
        </w:rPr>
        <w:t xml:space="preserve">During the daytime, the exposure patterns reflect a more complex set of phenomena. </w:t>
      </w:r>
      <w:r w:rsidR="00734974" w:rsidRPr="00CF4818">
        <w:rPr>
          <w:rFonts w:asciiTheme="minorHAnsi" w:hAnsiTheme="minorHAnsi"/>
          <w:szCs w:val="22"/>
        </w:rPr>
        <w:t>At this level of resolution, the dominant factors influencing differences between</w:t>
      </w:r>
      <w:r w:rsidR="00E12740">
        <w:rPr>
          <w:rFonts w:asciiTheme="minorHAnsi" w:hAnsiTheme="minorHAnsi"/>
          <w:szCs w:val="22"/>
        </w:rPr>
        <w:t xml:space="preserve"> the three groups</w:t>
      </w:r>
      <w:r w:rsidR="00734974" w:rsidRPr="00CF4818">
        <w:rPr>
          <w:rFonts w:asciiTheme="minorHAnsi" w:hAnsiTheme="minorHAnsi"/>
          <w:szCs w:val="22"/>
        </w:rPr>
        <w:t xml:space="preserve"> </w:t>
      </w:r>
      <w:r w:rsidR="001375EB">
        <w:rPr>
          <w:rFonts w:asciiTheme="minorHAnsi" w:hAnsiTheme="minorHAnsi"/>
          <w:szCs w:val="22"/>
        </w:rPr>
        <w:t xml:space="preserve">are </w:t>
      </w:r>
      <w:r w:rsidR="00734974" w:rsidRPr="00CF4818">
        <w:rPr>
          <w:rFonts w:asciiTheme="minorHAnsi" w:hAnsiTheme="minorHAnsi"/>
          <w:szCs w:val="22"/>
        </w:rPr>
        <w:t xml:space="preserve">time-activity patterns and source activity in the home. </w:t>
      </w:r>
      <w:r w:rsidR="0089562D" w:rsidRPr="00CF4818">
        <w:rPr>
          <w:rFonts w:asciiTheme="minorHAnsi" w:hAnsiTheme="minorHAnsi"/>
          <w:szCs w:val="22"/>
        </w:rPr>
        <w:t>M</w:t>
      </w:r>
      <w:r w:rsidR="004471D4" w:rsidRPr="00CF4818">
        <w:rPr>
          <w:rFonts w:asciiTheme="minorHAnsi" w:hAnsiTheme="minorHAnsi"/>
          <w:szCs w:val="22"/>
        </w:rPr>
        <w:t>ean NO</w:t>
      </w:r>
      <w:r w:rsidR="004471D4" w:rsidRPr="00CF4818">
        <w:rPr>
          <w:rFonts w:asciiTheme="minorHAnsi" w:hAnsiTheme="minorHAnsi"/>
          <w:szCs w:val="22"/>
          <w:vertAlign w:val="subscript"/>
        </w:rPr>
        <w:t>2</w:t>
      </w:r>
      <w:r w:rsidR="00310028" w:rsidRPr="00CF4818">
        <w:rPr>
          <w:rFonts w:asciiTheme="minorHAnsi" w:hAnsiTheme="minorHAnsi"/>
          <w:szCs w:val="22"/>
        </w:rPr>
        <w:t xml:space="preserve"> exposures </w:t>
      </w:r>
      <w:r w:rsidR="004471D4" w:rsidRPr="00CF4818">
        <w:rPr>
          <w:rFonts w:asciiTheme="minorHAnsi" w:hAnsiTheme="minorHAnsi"/>
          <w:szCs w:val="22"/>
        </w:rPr>
        <w:t>remain lower than urban background concentrations</w:t>
      </w:r>
      <w:r w:rsidR="00216C17">
        <w:rPr>
          <w:rFonts w:asciiTheme="minorHAnsi" w:hAnsiTheme="minorHAnsi"/>
          <w:szCs w:val="22"/>
        </w:rPr>
        <w:t>,</w:t>
      </w:r>
      <w:r w:rsidR="004471D4" w:rsidRPr="00CF4818">
        <w:rPr>
          <w:rFonts w:asciiTheme="minorHAnsi" w:hAnsiTheme="minorHAnsi"/>
          <w:szCs w:val="22"/>
        </w:rPr>
        <w:t xml:space="preserve"> apart from periods with the greatest cooking activity; mean exposures of office workers during these periods are lower than for the other groups</w:t>
      </w:r>
      <w:r w:rsidR="004F445D" w:rsidRPr="00CF4818">
        <w:rPr>
          <w:rFonts w:asciiTheme="minorHAnsi" w:hAnsiTheme="minorHAnsi"/>
          <w:szCs w:val="22"/>
        </w:rPr>
        <w:t>,</w:t>
      </w:r>
      <w:r w:rsidR="004471D4" w:rsidRPr="00CF4818">
        <w:rPr>
          <w:rFonts w:asciiTheme="minorHAnsi" w:hAnsiTheme="minorHAnsi"/>
          <w:szCs w:val="22"/>
        </w:rPr>
        <w:t xml:space="preserve"> as a smaller proportion of individuals are at home.</w:t>
      </w:r>
    </w:p>
    <w:p w14:paraId="1634869B" w14:textId="77777777" w:rsidR="00CE6A2C" w:rsidRPr="00C31E23" w:rsidRDefault="00CE6A2C" w:rsidP="00CE6A2C">
      <w:pPr>
        <w:jc w:val="both"/>
        <w:rPr>
          <w:rFonts w:asciiTheme="minorHAnsi" w:hAnsiTheme="minorHAnsi"/>
          <w:szCs w:val="22"/>
        </w:rPr>
      </w:pPr>
    </w:p>
    <w:p w14:paraId="363BAAFC" w14:textId="26703E3A" w:rsidR="00B03D59" w:rsidRDefault="00AB60EA" w:rsidP="00BA29F9">
      <w:pPr>
        <w:jc w:val="both"/>
        <w:rPr>
          <w:rFonts w:asciiTheme="minorHAnsi" w:hAnsiTheme="minorHAnsi"/>
          <w:szCs w:val="22"/>
          <w:lang w:val="en-US"/>
        </w:rPr>
      </w:pPr>
      <w:r>
        <w:rPr>
          <w:rFonts w:asciiTheme="minorHAnsi" w:hAnsiTheme="minorHAnsi"/>
          <w:szCs w:val="22"/>
          <w:lang w:val="en-US"/>
        </w:rPr>
        <w:t xml:space="preserve">Within the EXPAIR model, </w:t>
      </w:r>
      <w:r w:rsidR="00B03D59" w:rsidRPr="00CF4818">
        <w:rPr>
          <w:rFonts w:asciiTheme="minorHAnsi" w:hAnsiTheme="minorHAnsi"/>
          <w:szCs w:val="22"/>
          <w:lang w:val="en-US"/>
        </w:rPr>
        <w:t>th</w:t>
      </w:r>
      <w:r w:rsidR="008B5811" w:rsidRPr="00CF4818">
        <w:rPr>
          <w:rFonts w:asciiTheme="minorHAnsi" w:hAnsiTheme="minorHAnsi"/>
          <w:szCs w:val="22"/>
          <w:lang w:val="en-US"/>
        </w:rPr>
        <w:t>e PEFD</w:t>
      </w:r>
      <w:r w:rsidR="00B03D59" w:rsidRPr="00CF4818">
        <w:rPr>
          <w:rFonts w:asciiTheme="minorHAnsi" w:hAnsiTheme="minorHAnsi"/>
          <w:szCs w:val="22"/>
          <w:lang w:val="en-US"/>
        </w:rPr>
        <w:t xml:space="preserve"> is </w:t>
      </w:r>
      <w:r w:rsidR="008B5811" w:rsidRPr="00CF4818">
        <w:rPr>
          <w:rFonts w:asciiTheme="minorHAnsi" w:hAnsiTheme="minorHAnsi"/>
          <w:szCs w:val="22"/>
          <w:lang w:val="en-US"/>
        </w:rPr>
        <w:t>simulated at</w:t>
      </w:r>
      <w:r w:rsidR="00025221">
        <w:rPr>
          <w:rFonts w:asciiTheme="minorHAnsi" w:hAnsiTheme="minorHAnsi"/>
          <w:szCs w:val="22"/>
          <w:lang w:val="en-US"/>
        </w:rPr>
        <w:t xml:space="preserve"> each time step. Figure 3</w:t>
      </w:r>
      <w:r w:rsidR="00B03D59" w:rsidRPr="00CF4818">
        <w:rPr>
          <w:rFonts w:asciiTheme="minorHAnsi" w:hAnsiTheme="minorHAnsi"/>
          <w:szCs w:val="22"/>
          <w:lang w:val="en-US"/>
        </w:rPr>
        <w:t xml:space="preserve"> present</w:t>
      </w:r>
      <w:r w:rsidR="005E75AC" w:rsidRPr="00CF4818">
        <w:rPr>
          <w:rFonts w:asciiTheme="minorHAnsi" w:hAnsiTheme="minorHAnsi"/>
          <w:szCs w:val="22"/>
          <w:lang w:val="en-US"/>
        </w:rPr>
        <w:t>s</w:t>
      </w:r>
      <w:r w:rsidR="00B03D59" w:rsidRPr="00CF4818">
        <w:rPr>
          <w:rFonts w:asciiTheme="minorHAnsi" w:hAnsiTheme="minorHAnsi"/>
          <w:szCs w:val="22"/>
          <w:lang w:val="en-US"/>
        </w:rPr>
        <w:t xml:space="preserve"> snapshots of NO</w:t>
      </w:r>
      <w:r w:rsidR="00B03D59" w:rsidRPr="00CF4818">
        <w:rPr>
          <w:rFonts w:asciiTheme="minorHAnsi" w:hAnsiTheme="minorHAnsi"/>
          <w:szCs w:val="22"/>
          <w:vertAlign w:val="subscript"/>
          <w:lang w:val="en-US"/>
        </w:rPr>
        <w:t>2</w:t>
      </w:r>
      <w:r w:rsidR="00B03D59" w:rsidRPr="00CF4818">
        <w:rPr>
          <w:rFonts w:asciiTheme="minorHAnsi" w:hAnsiTheme="minorHAnsi"/>
          <w:szCs w:val="22"/>
          <w:lang w:val="en-US"/>
        </w:rPr>
        <w:t xml:space="preserve"> cumulative frequency distributions at selected times </w:t>
      </w:r>
      <w:r w:rsidR="001375EB">
        <w:rPr>
          <w:rFonts w:asciiTheme="minorHAnsi" w:hAnsiTheme="minorHAnsi"/>
          <w:szCs w:val="22"/>
          <w:lang w:val="en-US"/>
        </w:rPr>
        <w:t>on</w:t>
      </w:r>
      <w:r w:rsidR="00B03D59" w:rsidRPr="00CF4818">
        <w:rPr>
          <w:rFonts w:asciiTheme="minorHAnsi" w:hAnsiTheme="minorHAnsi"/>
          <w:szCs w:val="22"/>
          <w:lang w:val="en-US"/>
        </w:rPr>
        <w:t xml:space="preserve"> winter weekdays, </w:t>
      </w:r>
      <w:r w:rsidR="002B5E39" w:rsidRPr="00CF4818">
        <w:rPr>
          <w:rFonts w:asciiTheme="minorHAnsi" w:hAnsiTheme="minorHAnsi"/>
          <w:szCs w:val="22"/>
          <w:lang w:val="en-US"/>
        </w:rPr>
        <w:t>contrasting PEFDs produced using INDAIR simulations with and without sources of NO</w:t>
      </w:r>
      <w:r w:rsidR="002B5E39" w:rsidRPr="00CF4818">
        <w:rPr>
          <w:rFonts w:asciiTheme="minorHAnsi" w:hAnsiTheme="minorHAnsi"/>
          <w:szCs w:val="22"/>
          <w:vertAlign w:val="subscript"/>
          <w:lang w:val="en-US"/>
        </w:rPr>
        <w:t>2</w:t>
      </w:r>
      <w:r w:rsidR="002B5E39" w:rsidRPr="00CF4818">
        <w:rPr>
          <w:rFonts w:asciiTheme="minorHAnsi" w:hAnsiTheme="minorHAnsi"/>
          <w:szCs w:val="22"/>
          <w:lang w:val="en-US"/>
        </w:rPr>
        <w:t xml:space="preserve"> in the home. The results are compared for a group (the elderly) who spend most of their time at home and a group (office</w:t>
      </w:r>
      <w:r w:rsidR="00E12740">
        <w:rPr>
          <w:rFonts w:asciiTheme="minorHAnsi" w:hAnsiTheme="minorHAnsi"/>
          <w:szCs w:val="22"/>
          <w:lang w:val="en-US"/>
        </w:rPr>
        <w:t xml:space="preserve"> </w:t>
      </w:r>
      <w:r w:rsidR="002B5E39" w:rsidRPr="00CF4818">
        <w:rPr>
          <w:rFonts w:asciiTheme="minorHAnsi" w:hAnsiTheme="minorHAnsi"/>
          <w:szCs w:val="22"/>
          <w:lang w:val="en-US"/>
        </w:rPr>
        <w:t xml:space="preserve">workers) who are away from the home for most of the day. </w:t>
      </w:r>
    </w:p>
    <w:p w14:paraId="585C3CDD" w14:textId="77777777" w:rsidR="007C58F6" w:rsidRPr="00CF4818" w:rsidRDefault="007C58F6" w:rsidP="007C58F6">
      <w:pPr>
        <w:jc w:val="both"/>
        <w:rPr>
          <w:rFonts w:asciiTheme="minorHAnsi" w:hAnsiTheme="minorHAnsi"/>
          <w:szCs w:val="22"/>
        </w:rPr>
      </w:pPr>
    </w:p>
    <w:p w14:paraId="6597DB80" w14:textId="77777777" w:rsidR="007C58F6" w:rsidRPr="00CF4818" w:rsidRDefault="007C58F6" w:rsidP="007C58F6">
      <w:pPr>
        <w:ind w:left="-720" w:right="-874"/>
        <w:jc w:val="both"/>
        <w:rPr>
          <w:rFonts w:asciiTheme="minorHAnsi" w:hAnsiTheme="minorHAnsi"/>
          <w:szCs w:val="22"/>
        </w:rPr>
      </w:pPr>
      <w:r w:rsidRPr="00CF4818">
        <w:rPr>
          <w:rFonts w:asciiTheme="minorHAnsi" w:hAnsiTheme="minorHAnsi"/>
          <w:noProof/>
          <w:szCs w:val="22"/>
        </w:rPr>
        <w:drawing>
          <wp:inline distT="0" distB="0" distL="0" distR="0" wp14:anchorId="0476C911" wp14:editId="5C0C3F55">
            <wp:extent cx="2921000" cy="2203450"/>
            <wp:effectExtent l="0" t="0" r="0" b="0"/>
            <wp:docPr id="15" name="Picture 15" descr="NO2 exposure 2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2 exposure 2 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1000" cy="2203450"/>
                    </a:xfrm>
                    <a:prstGeom prst="rect">
                      <a:avLst/>
                    </a:prstGeom>
                    <a:noFill/>
                    <a:ln>
                      <a:noFill/>
                    </a:ln>
                  </pic:spPr>
                </pic:pic>
              </a:graphicData>
            </a:graphic>
          </wp:inline>
        </w:drawing>
      </w:r>
      <w:r w:rsidRPr="00CF4818">
        <w:rPr>
          <w:rFonts w:asciiTheme="minorHAnsi" w:hAnsiTheme="minorHAnsi"/>
          <w:noProof/>
          <w:szCs w:val="22"/>
        </w:rPr>
        <w:drawing>
          <wp:inline distT="0" distB="0" distL="0" distR="0" wp14:anchorId="5CE67585" wp14:editId="103760C3">
            <wp:extent cx="2921000" cy="2203450"/>
            <wp:effectExtent l="0" t="0" r="0" b="0"/>
            <wp:docPr id="16" name="Picture 16" descr="NO2 exposure 830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2 exposure 830 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1000" cy="2203450"/>
                    </a:xfrm>
                    <a:prstGeom prst="rect">
                      <a:avLst/>
                    </a:prstGeom>
                    <a:noFill/>
                    <a:ln>
                      <a:noFill/>
                    </a:ln>
                  </pic:spPr>
                </pic:pic>
              </a:graphicData>
            </a:graphic>
          </wp:inline>
        </w:drawing>
      </w:r>
    </w:p>
    <w:p w14:paraId="0DCCA8F3" w14:textId="77777777" w:rsidR="007C58F6" w:rsidRPr="00CF4818" w:rsidRDefault="007C58F6" w:rsidP="007C58F6">
      <w:pPr>
        <w:ind w:left="-720" w:right="-874"/>
        <w:jc w:val="both"/>
        <w:rPr>
          <w:rFonts w:asciiTheme="minorHAnsi" w:hAnsiTheme="minorHAnsi"/>
          <w:szCs w:val="22"/>
        </w:rPr>
      </w:pPr>
    </w:p>
    <w:p w14:paraId="492AC7F3" w14:textId="41EBBE17" w:rsidR="007C58F6" w:rsidRPr="00CF4818" w:rsidRDefault="007C58F6" w:rsidP="007C58F6">
      <w:pPr>
        <w:ind w:left="-720" w:right="-874"/>
        <w:jc w:val="both"/>
        <w:rPr>
          <w:rFonts w:asciiTheme="minorHAnsi" w:hAnsiTheme="minorHAnsi"/>
          <w:szCs w:val="22"/>
        </w:rPr>
      </w:pPr>
      <w:r w:rsidRPr="00CF4818">
        <w:rPr>
          <w:rFonts w:asciiTheme="minorHAnsi" w:hAnsiTheme="minorHAnsi"/>
          <w:noProof/>
          <w:szCs w:val="22"/>
        </w:rPr>
        <w:drawing>
          <wp:inline distT="0" distB="0" distL="0" distR="0" wp14:anchorId="13479942" wp14:editId="6437C5AF">
            <wp:extent cx="2921000" cy="2203450"/>
            <wp:effectExtent l="0" t="0" r="0" b="0"/>
            <wp:docPr id="18" name="Picture 18" descr="NO2 exposure 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2 exposure 5 p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1000" cy="2203450"/>
                    </a:xfrm>
                    <a:prstGeom prst="rect">
                      <a:avLst/>
                    </a:prstGeom>
                    <a:noFill/>
                    <a:ln>
                      <a:noFill/>
                    </a:ln>
                  </pic:spPr>
                </pic:pic>
              </a:graphicData>
            </a:graphic>
          </wp:inline>
        </w:drawing>
      </w:r>
      <w:r w:rsidR="001C71B8" w:rsidRPr="00CF4818">
        <w:rPr>
          <w:rFonts w:asciiTheme="minorHAnsi" w:hAnsiTheme="minorHAnsi"/>
          <w:noProof/>
          <w:szCs w:val="22"/>
        </w:rPr>
        <w:drawing>
          <wp:inline distT="0" distB="0" distL="0" distR="0" wp14:anchorId="0BE86142" wp14:editId="6CE7DFD7">
            <wp:extent cx="2921000" cy="2203450"/>
            <wp:effectExtent l="0" t="0" r="0" b="0"/>
            <wp:docPr id="19" name="Picture 19" descr="NO2 exposure 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2 exposure 8 p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1000" cy="2203450"/>
                    </a:xfrm>
                    <a:prstGeom prst="rect">
                      <a:avLst/>
                    </a:prstGeom>
                    <a:noFill/>
                    <a:ln>
                      <a:noFill/>
                    </a:ln>
                  </pic:spPr>
                </pic:pic>
              </a:graphicData>
            </a:graphic>
          </wp:inline>
        </w:drawing>
      </w:r>
    </w:p>
    <w:p w14:paraId="09459171" w14:textId="77777777" w:rsidR="007C58F6" w:rsidRPr="00CF4818" w:rsidRDefault="007C58F6" w:rsidP="007C58F6">
      <w:pPr>
        <w:ind w:left="-720" w:right="-874"/>
        <w:jc w:val="both"/>
        <w:rPr>
          <w:rFonts w:asciiTheme="minorHAnsi" w:hAnsiTheme="minorHAnsi"/>
          <w:szCs w:val="22"/>
        </w:rPr>
      </w:pPr>
    </w:p>
    <w:p w14:paraId="20502D79" w14:textId="242A765A" w:rsidR="007C58F6" w:rsidRPr="00CF4818" w:rsidRDefault="007C58F6" w:rsidP="007C58F6">
      <w:pPr>
        <w:ind w:left="-720" w:right="-874"/>
        <w:jc w:val="both"/>
        <w:rPr>
          <w:rFonts w:asciiTheme="minorHAnsi" w:hAnsiTheme="minorHAnsi"/>
          <w:szCs w:val="22"/>
        </w:rPr>
      </w:pPr>
    </w:p>
    <w:p w14:paraId="3EED4CA1" w14:textId="77777777" w:rsidR="007C58F6" w:rsidRDefault="007C58F6" w:rsidP="007C58F6">
      <w:pPr>
        <w:pStyle w:val="Heading7"/>
        <w:rPr>
          <w:rFonts w:asciiTheme="minorHAnsi" w:hAnsiTheme="minorHAnsi" w:cs="Times New Roman"/>
          <w:color w:val="auto"/>
          <w:sz w:val="22"/>
          <w:szCs w:val="22"/>
        </w:rPr>
      </w:pPr>
    </w:p>
    <w:p w14:paraId="30A195E1" w14:textId="0E192A03" w:rsidR="007C58F6" w:rsidRPr="00137DB4" w:rsidRDefault="007C58F6" w:rsidP="007C58F6">
      <w:pPr>
        <w:pStyle w:val="Heading7"/>
        <w:rPr>
          <w:rFonts w:asciiTheme="minorHAnsi" w:hAnsiTheme="minorHAnsi" w:cs="Times New Roman"/>
          <w:color w:val="auto"/>
          <w:sz w:val="22"/>
          <w:szCs w:val="22"/>
        </w:rPr>
      </w:pPr>
      <w:r w:rsidRPr="00137DB4">
        <w:rPr>
          <w:rFonts w:asciiTheme="minorHAnsi" w:hAnsiTheme="minorHAnsi" w:cs="Times New Roman"/>
          <w:color w:val="auto"/>
          <w:sz w:val="22"/>
          <w:szCs w:val="22"/>
        </w:rPr>
        <w:t xml:space="preserve">Figure </w:t>
      </w:r>
      <w:r w:rsidR="00CC121B" w:rsidRPr="00137DB4">
        <w:rPr>
          <w:rFonts w:asciiTheme="minorHAnsi" w:hAnsiTheme="minorHAnsi" w:cs="Times New Roman"/>
          <w:color w:val="auto"/>
          <w:sz w:val="22"/>
          <w:szCs w:val="22"/>
        </w:rPr>
        <w:t>3</w:t>
      </w:r>
      <w:r w:rsidRPr="00137DB4">
        <w:rPr>
          <w:rFonts w:asciiTheme="minorHAnsi" w:hAnsiTheme="minorHAnsi" w:cs="Times New Roman"/>
          <w:color w:val="auto"/>
          <w:sz w:val="22"/>
          <w:szCs w:val="22"/>
        </w:rPr>
        <w:t xml:space="preserve">. </w:t>
      </w:r>
      <w:r w:rsidRPr="00137DB4">
        <w:rPr>
          <w:rFonts w:asciiTheme="minorHAnsi" w:hAnsiTheme="minorHAnsi" w:cs="Times New Roman"/>
          <w:b w:val="0"/>
          <w:color w:val="auto"/>
          <w:sz w:val="22"/>
          <w:szCs w:val="22"/>
        </w:rPr>
        <w:t>Cumulative frequency distributions of exposures to NO</w:t>
      </w:r>
      <w:r w:rsidRPr="00137DB4">
        <w:rPr>
          <w:rFonts w:asciiTheme="minorHAnsi" w:hAnsiTheme="minorHAnsi" w:cs="Times New Roman"/>
          <w:b w:val="0"/>
          <w:color w:val="auto"/>
          <w:sz w:val="22"/>
          <w:szCs w:val="22"/>
          <w:vertAlign w:val="subscript"/>
        </w:rPr>
        <w:t>2</w:t>
      </w:r>
      <w:r w:rsidRPr="00137DB4">
        <w:rPr>
          <w:rFonts w:asciiTheme="minorHAnsi" w:hAnsiTheme="minorHAnsi" w:cs="Times New Roman"/>
          <w:b w:val="0"/>
          <w:color w:val="auto"/>
          <w:sz w:val="22"/>
          <w:szCs w:val="22"/>
        </w:rPr>
        <w:t xml:space="preserve">, for elderly and office workers (urban background, winter weekdays), at selected times of day. Note that the scale of the x axis varies between the different diagrams </w:t>
      </w:r>
    </w:p>
    <w:p w14:paraId="41FFA6F7" w14:textId="77777777" w:rsidR="007C58F6" w:rsidRPr="00CF4818" w:rsidRDefault="007C58F6" w:rsidP="007C58F6">
      <w:pPr>
        <w:rPr>
          <w:rFonts w:asciiTheme="minorHAnsi" w:hAnsiTheme="minorHAnsi"/>
          <w:szCs w:val="22"/>
        </w:rPr>
        <w:sectPr w:rsidR="007C58F6" w:rsidRPr="00CF4818" w:rsidSect="00DB5FBF">
          <w:footerReference w:type="even" r:id="rId19"/>
          <w:footerReference w:type="default" r:id="rId20"/>
          <w:type w:val="continuous"/>
          <w:pgSz w:w="11906" w:h="16838"/>
          <w:pgMar w:top="1440" w:right="1286" w:bottom="1440" w:left="1800" w:header="708" w:footer="708" w:gutter="0"/>
          <w:lnNumType w:countBy="1" w:restart="continuous"/>
          <w:cols w:space="708"/>
          <w:docGrid w:linePitch="360"/>
        </w:sectPr>
      </w:pPr>
    </w:p>
    <w:p w14:paraId="07B51D7D" w14:textId="77777777" w:rsidR="007C58F6" w:rsidRPr="006C620C" w:rsidRDefault="007C58F6" w:rsidP="007C58F6">
      <w:pPr>
        <w:pStyle w:val="ListParagraph"/>
        <w:numPr>
          <w:ilvl w:val="0"/>
          <w:numId w:val="33"/>
        </w:numPr>
        <w:jc w:val="center"/>
        <w:rPr>
          <w:rFonts w:asciiTheme="minorHAnsi" w:hAnsiTheme="minorHAnsi"/>
          <w:szCs w:val="22"/>
        </w:rPr>
        <w:sectPr w:rsidR="007C58F6" w:rsidRPr="006C620C" w:rsidSect="00DB5FBF">
          <w:type w:val="continuous"/>
          <w:pgSz w:w="11906" w:h="16838"/>
          <w:pgMar w:top="1440" w:right="1286" w:bottom="1440" w:left="1800" w:header="708" w:footer="708" w:gutter="0"/>
          <w:lnNumType w:countBy="1" w:restart="continuous"/>
          <w:cols w:space="708"/>
          <w:docGrid w:linePitch="360"/>
        </w:sectPr>
      </w:pPr>
    </w:p>
    <w:p w14:paraId="4A38EA06" w14:textId="77777777" w:rsidR="007C58F6" w:rsidRPr="00CF4818" w:rsidRDefault="007C58F6" w:rsidP="007C58F6">
      <w:pPr>
        <w:ind w:left="-720" w:right="-874"/>
        <w:jc w:val="both"/>
        <w:rPr>
          <w:rFonts w:asciiTheme="minorHAnsi" w:hAnsiTheme="minorHAnsi"/>
        </w:rPr>
      </w:pPr>
    </w:p>
    <w:p w14:paraId="38076364" w14:textId="77777777" w:rsidR="001C71B8" w:rsidRDefault="001C71B8" w:rsidP="001C71B8">
      <w:pPr>
        <w:jc w:val="both"/>
        <w:rPr>
          <w:rFonts w:asciiTheme="minorHAnsi" w:hAnsiTheme="minorHAnsi"/>
          <w:szCs w:val="22"/>
          <w:lang w:val="en-US"/>
        </w:rPr>
      </w:pPr>
      <w:r w:rsidRPr="00CF4818">
        <w:rPr>
          <w:rFonts w:asciiTheme="minorHAnsi" w:hAnsiTheme="minorHAnsi"/>
          <w:szCs w:val="22"/>
          <w:lang w:val="en-US"/>
        </w:rPr>
        <w:t xml:space="preserve">Early in the morning, the cumulative frequency distributions of exposures of both </w:t>
      </w:r>
      <w:r>
        <w:rPr>
          <w:rFonts w:asciiTheme="minorHAnsi" w:hAnsiTheme="minorHAnsi"/>
          <w:szCs w:val="22"/>
          <w:lang w:val="en-US"/>
        </w:rPr>
        <w:t xml:space="preserve">groups were similar and low. With </w:t>
      </w:r>
      <w:r w:rsidRPr="00CF4818">
        <w:rPr>
          <w:rFonts w:asciiTheme="minorHAnsi" w:hAnsiTheme="minorHAnsi"/>
          <w:szCs w:val="22"/>
          <w:lang w:val="en-US"/>
        </w:rPr>
        <w:t xml:space="preserve">no home sources </w:t>
      </w:r>
      <w:r>
        <w:rPr>
          <w:rFonts w:asciiTheme="minorHAnsi" w:hAnsiTheme="minorHAnsi"/>
          <w:szCs w:val="22"/>
          <w:lang w:val="en-US"/>
        </w:rPr>
        <w:t>at other times of day, exposures of office workers were generally higher; this was particularly marked at 08.30, due to the high numbers of office workers who are commuting. With home sources active during the day, in contrast, there is a much greater proportion of the elderly exposed to the highest NO</w:t>
      </w:r>
      <w:r w:rsidRPr="000F011B">
        <w:rPr>
          <w:rFonts w:asciiTheme="minorHAnsi" w:hAnsiTheme="minorHAnsi"/>
          <w:szCs w:val="22"/>
          <w:vertAlign w:val="subscript"/>
          <w:lang w:val="en-US"/>
        </w:rPr>
        <w:t>2</w:t>
      </w:r>
      <w:r>
        <w:rPr>
          <w:rFonts w:asciiTheme="minorHAnsi" w:hAnsiTheme="minorHAnsi"/>
          <w:szCs w:val="22"/>
          <w:lang w:val="en-US"/>
        </w:rPr>
        <w:t xml:space="preserve"> concentrations, reflecting the much greater proportion of this population group who remain in the home during the day. Note that a small proportion of office workers do experience high NO</w:t>
      </w:r>
      <w:r w:rsidRPr="00E12740">
        <w:rPr>
          <w:rFonts w:asciiTheme="minorHAnsi" w:hAnsiTheme="minorHAnsi"/>
          <w:szCs w:val="22"/>
          <w:vertAlign w:val="subscript"/>
          <w:lang w:val="en-US"/>
        </w:rPr>
        <w:t>2</w:t>
      </w:r>
      <w:r>
        <w:rPr>
          <w:rFonts w:asciiTheme="minorHAnsi" w:hAnsiTheme="minorHAnsi"/>
          <w:szCs w:val="22"/>
          <w:lang w:val="en-US"/>
        </w:rPr>
        <w:t xml:space="preserve"> concentrations during the day; this can be attributed to home exposure, because our time-activity profiles are not based on a generic working day, but include the fact that a small proportion of those with office jobs may be at home on a particular day.   </w:t>
      </w:r>
      <w:r w:rsidRPr="00CF4818">
        <w:rPr>
          <w:rFonts w:asciiTheme="minorHAnsi" w:hAnsiTheme="minorHAnsi"/>
          <w:szCs w:val="22"/>
          <w:lang w:val="en-US"/>
        </w:rPr>
        <w:t xml:space="preserve"> </w:t>
      </w:r>
    </w:p>
    <w:p w14:paraId="03B52BC1" w14:textId="77777777" w:rsidR="00CE6A2C" w:rsidRPr="00CF4818" w:rsidRDefault="00CE6A2C" w:rsidP="00BA29F9">
      <w:pPr>
        <w:jc w:val="both"/>
        <w:rPr>
          <w:rFonts w:asciiTheme="minorHAnsi" w:hAnsiTheme="minorHAnsi"/>
          <w:szCs w:val="22"/>
          <w:lang w:val="en-US"/>
        </w:rPr>
      </w:pPr>
    </w:p>
    <w:p w14:paraId="2A1B4F81" w14:textId="77777777" w:rsidR="00016D7C" w:rsidRPr="00CF4818" w:rsidRDefault="00016D7C" w:rsidP="00BA29F9">
      <w:pPr>
        <w:jc w:val="both"/>
        <w:rPr>
          <w:rFonts w:asciiTheme="minorHAnsi" w:hAnsiTheme="minorHAnsi"/>
          <w:i/>
          <w:szCs w:val="22"/>
        </w:rPr>
      </w:pPr>
    </w:p>
    <w:p w14:paraId="74C5C60D" w14:textId="77777777" w:rsidR="00B55EFF" w:rsidRPr="00CF4818" w:rsidRDefault="00FC0D88" w:rsidP="00BA29F9">
      <w:pPr>
        <w:jc w:val="both"/>
        <w:rPr>
          <w:rFonts w:asciiTheme="minorHAnsi" w:hAnsiTheme="minorHAnsi"/>
          <w:i/>
          <w:szCs w:val="22"/>
        </w:rPr>
      </w:pPr>
      <w:r>
        <w:rPr>
          <w:rFonts w:asciiTheme="minorHAnsi" w:hAnsiTheme="minorHAnsi"/>
          <w:i/>
          <w:szCs w:val="22"/>
        </w:rPr>
        <w:t>4.</w:t>
      </w:r>
      <w:r w:rsidR="00970D4B">
        <w:rPr>
          <w:rFonts w:asciiTheme="minorHAnsi" w:hAnsiTheme="minorHAnsi"/>
          <w:i/>
          <w:szCs w:val="22"/>
        </w:rPr>
        <w:t>2</w:t>
      </w:r>
      <w:r w:rsidR="00844243">
        <w:rPr>
          <w:rFonts w:asciiTheme="minorHAnsi" w:hAnsiTheme="minorHAnsi"/>
          <w:i/>
          <w:szCs w:val="22"/>
        </w:rPr>
        <w:tab/>
      </w:r>
      <w:r w:rsidR="00940DC7">
        <w:rPr>
          <w:rFonts w:asciiTheme="minorHAnsi" w:hAnsiTheme="minorHAnsi"/>
          <w:i/>
          <w:szCs w:val="22"/>
        </w:rPr>
        <w:t>Effect of interventions: c</w:t>
      </w:r>
      <w:r w:rsidR="003C61FA">
        <w:rPr>
          <w:rFonts w:asciiTheme="minorHAnsi" w:hAnsiTheme="minorHAnsi"/>
          <w:i/>
          <w:szCs w:val="22"/>
        </w:rPr>
        <w:t>omparison of mean</w:t>
      </w:r>
      <w:r w:rsidR="00B55EFF" w:rsidRPr="00CF4818">
        <w:rPr>
          <w:rFonts w:asciiTheme="minorHAnsi" w:hAnsiTheme="minorHAnsi"/>
          <w:i/>
          <w:szCs w:val="22"/>
        </w:rPr>
        <w:t xml:space="preserve"> and 95%ile values of PEFDs  </w:t>
      </w:r>
    </w:p>
    <w:p w14:paraId="624BD7C8" w14:textId="77777777" w:rsidR="00B55EFF" w:rsidRPr="00CF4818" w:rsidRDefault="00B55EFF" w:rsidP="00BA29F9">
      <w:pPr>
        <w:jc w:val="both"/>
        <w:rPr>
          <w:rFonts w:asciiTheme="minorHAnsi" w:hAnsiTheme="minorHAnsi"/>
          <w:i/>
          <w:szCs w:val="22"/>
        </w:rPr>
      </w:pPr>
    </w:p>
    <w:p w14:paraId="12A205A0" w14:textId="6AA9AD0D" w:rsidR="00E606AB" w:rsidRDefault="00B55EFF" w:rsidP="00BA29F9">
      <w:pPr>
        <w:jc w:val="both"/>
        <w:rPr>
          <w:rFonts w:asciiTheme="minorHAnsi" w:hAnsiTheme="minorHAnsi"/>
          <w:szCs w:val="22"/>
        </w:rPr>
      </w:pPr>
      <w:r w:rsidRPr="00CF4818">
        <w:rPr>
          <w:rFonts w:asciiTheme="minorHAnsi" w:hAnsiTheme="minorHAnsi"/>
          <w:szCs w:val="22"/>
        </w:rPr>
        <w:t xml:space="preserve">The </w:t>
      </w:r>
      <w:r w:rsidR="00940DC7">
        <w:rPr>
          <w:rFonts w:asciiTheme="minorHAnsi" w:hAnsiTheme="minorHAnsi"/>
          <w:szCs w:val="22"/>
        </w:rPr>
        <w:t>diurnal</w:t>
      </w:r>
      <w:r w:rsidR="0007696C" w:rsidRPr="00CF4818">
        <w:rPr>
          <w:rFonts w:asciiTheme="minorHAnsi" w:hAnsiTheme="minorHAnsi"/>
          <w:szCs w:val="22"/>
        </w:rPr>
        <w:t xml:space="preserve"> time course of the simulated </w:t>
      </w:r>
      <w:r w:rsidR="0084503D">
        <w:rPr>
          <w:rFonts w:asciiTheme="minorHAnsi" w:hAnsiTheme="minorHAnsi"/>
          <w:szCs w:val="22"/>
        </w:rPr>
        <w:t>PEFDs</w:t>
      </w:r>
      <w:r w:rsidRPr="00CF4818">
        <w:rPr>
          <w:rFonts w:asciiTheme="minorHAnsi" w:hAnsiTheme="minorHAnsi"/>
          <w:szCs w:val="22"/>
        </w:rPr>
        <w:t xml:space="preserve"> </w:t>
      </w:r>
      <w:r w:rsidR="00E8343F">
        <w:rPr>
          <w:rFonts w:asciiTheme="minorHAnsi" w:hAnsiTheme="minorHAnsi"/>
          <w:szCs w:val="22"/>
        </w:rPr>
        <w:t xml:space="preserve">is shown in </w:t>
      </w:r>
      <w:r w:rsidR="00E8343F" w:rsidRPr="00137DB4">
        <w:rPr>
          <w:rFonts w:asciiTheme="minorHAnsi" w:hAnsiTheme="minorHAnsi"/>
          <w:szCs w:val="22"/>
        </w:rPr>
        <w:t xml:space="preserve">Figure </w:t>
      </w:r>
      <w:r w:rsidR="00CC121B" w:rsidRPr="00137DB4">
        <w:rPr>
          <w:rFonts w:asciiTheme="minorHAnsi" w:hAnsiTheme="minorHAnsi"/>
          <w:szCs w:val="22"/>
        </w:rPr>
        <w:t>4</w:t>
      </w:r>
      <w:r w:rsidR="0007696C" w:rsidRPr="00137DB4">
        <w:rPr>
          <w:rFonts w:asciiTheme="minorHAnsi" w:hAnsiTheme="minorHAnsi"/>
          <w:szCs w:val="22"/>
        </w:rPr>
        <w:t xml:space="preserve">, in </w:t>
      </w:r>
      <w:r w:rsidR="0007696C" w:rsidRPr="00CF4818">
        <w:rPr>
          <w:rFonts w:asciiTheme="minorHAnsi" w:hAnsiTheme="minorHAnsi"/>
          <w:szCs w:val="22"/>
        </w:rPr>
        <w:t xml:space="preserve">terms of </w:t>
      </w:r>
      <w:r w:rsidR="00E606AB">
        <w:rPr>
          <w:rFonts w:asciiTheme="minorHAnsi" w:hAnsiTheme="minorHAnsi"/>
          <w:szCs w:val="22"/>
        </w:rPr>
        <w:t xml:space="preserve">both </w:t>
      </w:r>
      <w:r w:rsidR="0007696C" w:rsidRPr="00CF4818">
        <w:rPr>
          <w:rFonts w:asciiTheme="minorHAnsi" w:hAnsiTheme="minorHAnsi"/>
          <w:szCs w:val="22"/>
        </w:rPr>
        <w:t>mean concentrations</w:t>
      </w:r>
      <w:r w:rsidR="000F011B">
        <w:rPr>
          <w:rFonts w:asciiTheme="minorHAnsi" w:hAnsiTheme="minorHAnsi"/>
          <w:szCs w:val="22"/>
        </w:rPr>
        <w:t xml:space="preserve"> </w:t>
      </w:r>
      <w:r w:rsidR="0084503D">
        <w:rPr>
          <w:rFonts w:asciiTheme="minorHAnsi" w:hAnsiTheme="minorHAnsi"/>
          <w:szCs w:val="22"/>
        </w:rPr>
        <w:t xml:space="preserve">and </w:t>
      </w:r>
      <w:r w:rsidR="0007696C" w:rsidRPr="00CF4818">
        <w:rPr>
          <w:rFonts w:asciiTheme="minorHAnsi" w:hAnsiTheme="minorHAnsi"/>
          <w:szCs w:val="22"/>
        </w:rPr>
        <w:t xml:space="preserve">the 95%ile of the PEFD. Results are shown for </w:t>
      </w:r>
      <w:r w:rsidRPr="00CF4818">
        <w:rPr>
          <w:rFonts w:asciiTheme="minorHAnsi" w:hAnsiTheme="minorHAnsi"/>
          <w:szCs w:val="22"/>
        </w:rPr>
        <w:t>children</w:t>
      </w:r>
      <w:r w:rsidR="0007696C" w:rsidRPr="00CF4818">
        <w:rPr>
          <w:rFonts w:asciiTheme="minorHAnsi" w:hAnsiTheme="minorHAnsi"/>
          <w:szCs w:val="22"/>
        </w:rPr>
        <w:t xml:space="preserve"> and</w:t>
      </w:r>
      <w:r w:rsidRPr="00CF4818">
        <w:rPr>
          <w:rFonts w:asciiTheme="minorHAnsi" w:hAnsiTheme="minorHAnsi"/>
          <w:szCs w:val="22"/>
        </w:rPr>
        <w:t xml:space="preserve"> the elderly, </w:t>
      </w:r>
      <w:r w:rsidR="0007696C" w:rsidRPr="00CF4818">
        <w:rPr>
          <w:rFonts w:asciiTheme="minorHAnsi" w:hAnsiTheme="minorHAnsi"/>
          <w:szCs w:val="22"/>
        </w:rPr>
        <w:t>the</w:t>
      </w:r>
      <w:r w:rsidRPr="00CF4818">
        <w:rPr>
          <w:rFonts w:asciiTheme="minorHAnsi" w:hAnsiTheme="minorHAnsi"/>
          <w:szCs w:val="22"/>
        </w:rPr>
        <w:t xml:space="preserve"> group</w:t>
      </w:r>
      <w:r w:rsidR="0007696C" w:rsidRPr="00CF4818">
        <w:rPr>
          <w:rFonts w:asciiTheme="minorHAnsi" w:hAnsiTheme="minorHAnsi"/>
          <w:szCs w:val="22"/>
        </w:rPr>
        <w:t>s</w:t>
      </w:r>
      <w:r w:rsidRPr="00CF4818">
        <w:rPr>
          <w:rFonts w:asciiTheme="minorHAnsi" w:hAnsiTheme="minorHAnsi"/>
          <w:szCs w:val="22"/>
        </w:rPr>
        <w:t xml:space="preserve"> thought to be at high risk from health impacts of air pollution</w:t>
      </w:r>
      <w:r w:rsidR="0084503D">
        <w:rPr>
          <w:rFonts w:asciiTheme="minorHAnsi" w:hAnsiTheme="minorHAnsi"/>
          <w:szCs w:val="22"/>
        </w:rPr>
        <w:t>, using w</w:t>
      </w:r>
      <w:r w:rsidR="001626F1" w:rsidRPr="00CF4818">
        <w:rPr>
          <w:rFonts w:asciiTheme="minorHAnsi" w:hAnsiTheme="minorHAnsi"/>
          <w:szCs w:val="22"/>
        </w:rPr>
        <w:t xml:space="preserve">inter </w:t>
      </w:r>
      <w:r w:rsidRPr="00CF4818">
        <w:rPr>
          <w:rFonts w:asciiTheme="minorHAnsi" w:hAnsiTheme="minorHAnsi"/>
          <w:szCs w:val="22"/>
        </w:rPr>
        <w:t xml:space="preserve">weekday </w:t>
      </w:r>
      <w:r w:rsidR="0084503D">
        <w:rPr>
          <w:rFonts w:asciiTheme="minorHAnsi" w:hAnsiTheme="minorHAnsi"/>
          <w:szCs w:val="22"/>
        </w:rPr>
        <w:t xml:space="preserve">concentrations as an example. The PEFD values are also compared with the </w:t>
      </w:r>
      <w:r w:rsidRPr="00CF4818">
        <w:rPr>
          <w:rFonts w:asciiTheme="minorHAnsi" w:hAnsiTheme="minorHAnsi"/>
          <w:szCs w:val="22"/>
        </w:rPr>
        <w:t>urban background concentrations</w:t>
      </w:r>
      <w:r w:rsidR="0084503D">
        <w:rPr>
          <w:rFonts w:asciiTheme="minorHAnsi" w:hAnsiTheme="minorHAnsi"/>
          <w:szCs w:val="22"/>
        </w:rPr>
        <w:t xml:space="preserve">, </w:t>
      </w:r>
      <w:r w:rsidR="000F011B">
        <w:rPr>
          <w:rFonts w:asciiTheme="minorHAnsi" w:hAnsiTheme="minorHAnsi"/>
          <w:szCs w:val="22"/>
        </w:rPr>
        <w:t>and</w:t>
      </w:r>
      <w:r w:rsidR="0084503D">
        <w:rPr>
          <w:rFonts w:asciiTheme="minorHAnsi" w:hAnsiTheme="minorHAnsi"/>
          <w:szCs w:val="22"/>
        </w:rPr>
        <w:t xml:space="preserve"> the effects of removing indoor sources and </w:t>
      </w:r>
      <w:r w:rsidR="00E606AB">
        <w:rPr>
          <w:rFonts w:asciiTheme="minorHAnsi" w:hAnsiTheme="minorHAnsi"/>
          <w:szCs w:val="22"/>
        </w:rPr>
        <w:t xml:space="preserve">reducing outdoor concentrations </w:t>
      </w:r>
      <w:r w:rsidR="0084503D">
        <w:rPr>
          <w:rFonts w:asciiTheme="minorHAnsi" w:hAnsiTheme="minorHAnsi"/>
          <w:szCs w:val="22"/>
        </w:rPr>
        <w:t xml:space="preserve">are also illustrated. </w:t>
      </w:r>
    </w:p>
    <w:p w14:paraId="6CBE892A" w14:textId="77777777" w:rsidR="00E606AB" w:rsidRDefault="00E606AB" w:rsidP="00BA29F9">
      <w:pPr>
        <w:jc w:val="both"/>
        <w:rPr>
          <w:rFonts w:asciiTheme="minorHAnsi" w:hAnsiTheme="minorHAnsi"/>
          <w:szCs w:val="22"/>
        </w:rPr>
      </w:pPr>
    </w:p>
    <w:p w14:paraId="64A0F961" w14:textId="18E6BCA7" w:rsidR="00106066" w:rsidRDefault="00106066" w:rsidP="00BA29F9">
      <w:pPr>
        <w:jc w:val="both"/>
        <w:rPr>
          <w:rFonts w:asciiTheme="minorHAnsi" w:hAnsiTheme="minorHAnsi"/>
          <w:szCs w:val="22"/>
        </w:rPr>
      </w:pPr>
      <w:r w:rsidRPr="00137DB4">
        <w:rPr>
          <w:rFonts w:asciiTheme="minorHAnsi" w:hAnsiTheme="minorHAnsi"/>
          <w:szCs w:val="22"/>
        </w:rPr>
        <w:t>Fig</w:t>
      </w:r>
      <w:r w:rsidR="00CC121B" w:rsidRPr="00137DB4">
        <w:rPr>
          <w:rFonts w:asciiTheme="minorHAnsi" w:hAnsiTheme="minorHAnsi"/>
          <w:szCs w:val="22"/>
        </w:rPr>
        <w:t>ure</w:t>
      </w:r>
      <w:r w:rsidR="00E606AB" w:rsidRPr="00137DB4">
        <w:rPr>
          <w:rFonts w:asciiTheme="minorHAnsi" w:hAnsiTheme="minorHAnsi"/>
          <w:szCs w:val="22"/>
        </w:rPr>
        <w:t>s</w:t>
      </w:r>
      <w:r w:rsidRPr="00137DB4">
        <w:rPr>
          <w:rFonts w:asciiTheme="minorHAnsi" w:hAnsiTheme="minorHAnsi"/>
          <w:szCs w:val="22"/>
        </w:rPr>
        <w:t xml:space="preserve"> </w:t>
      </w:r>
      <w:r w:rsidR="00CC121B" w:rsidRPr="00137DB4">
        <w:rPr>
          <w:rFonts w:asciiTheme="minorHAnsi" w:hAnsiTheme="minorHAnsi"/>
          <w:szCs w:val="22"/>
        </w:rPr>
        <w:t>4</w:t>
      </w:r>
      <w:r w:rsidR="00E606AB" w:rsidRPr="00137DB4">
        <w:rPr>
          <w:rFonts w:asciiTheme="minorHAnsi" w:hAnsiTheme="minorHAnsi"/>
          <w:szCs w:val="22"/>
        </w:rPr>
        <w:t>a</w:t>
      </w:r>
      <w:r w:rsidRPr="00137DB4">
        <w:rPr>
          <w:rFonts w:asciiTheme="minorHAnsi" w:hAnsiTheme="minorHAnsi"/>
          <w:szCs w:val="22"/>
        </w:rPr>
        <w:t xml:space="preserve"> and </w:t>
      </w:r>
      <w:r w:rsidR="00CC121B" w:rsidRPr="00137DB4">
        <w:rPr>
          <w:rFonts w:asciiTheme="minorHAnsi" w:hAnsiTheme="minorHAnsi"/>
          <w:szCs w:val="22"/>
        </w:rPr>
        <w:t>4</w:t>
      </w:r>
      <w:r w:rsidRPr="00137DB4">
        <w:rPr>
          <w:rFonts w:asciiTheme="minorHAnsi" w:hAnsiTheme="minorHAnsi"/>
          <w:szCs w:val="22"/>
        </w:rPr>
        <w:t xml:space="preserve">b </w:t>
      </w:r>
      <w:r>
        <w:rPr>
          <w:rFonts w:asciiTheme="minorHAnsi" w:hAnsiTheme="minorHAnsi"/>
          <w:szCs w:val="22"/>
        </w:rPr>
        <w:t>show that the mean values of the PEFD are below the urban background concentrations at all times, except when cooking and commuting activity is high. In contrast, the 95%ile of the PEFD is similar to the urban background concentration during the night, and significantly above it during the day. The effect of cooking activity on the midday and early evening peaks for the elderly is particularly marked, while the children also show a sharp early morning peak associated with travel to school</w:t>
      </w:r>
      <w:r w:rsidR="002C3BC1">
        <w:rPr>
          <w:rFonts w:asciiTheme="minorHAnsi" w:hAnsiTheme="minorHAnsi"/>
          <w:szCs w:val="22"/>
        </w:rPr>
        <w:t>.</w:t>
      </w:r>
      <w:r w:rsidR="00B55EFF" w:rsidRPr="00CF4818">
        <w:rPr>
          <w:rFonts w:asciiTheme="minorHAnsi" w:hAnsiTheme="minorHAnsi"/>
          <w:szCs w:val="22"/>
        </w:rPr>
        <w:t xml:space="preserve"> The large variation in the impacts of indoor source activity within the </w:t>
      </w:r>
      <w:r>
        <w:rPr>
          <w:rFonts w:asciiTheme="minorHAnsi" w:hAnsiTheme="minorHAnsi"/>
          <w:szCs w:val="22"/>
        </w:rPr>
        <w:t xml:space="preserve">two </w:t>
      </w:r>
      <w:r w:rsidR="00B55EFF" w:rsidRPr="00CF4818">
        <w:rPr>
          <w:rFonts w:asciiTheme="minorHAnsi" w:hAnsiTheme="minorHAnsi"/>
          <w:szCs w:val="22"/>
        </w:rPr>
        <w:t>population</w:t>
      </w:r>
      <w:r>
        <w:rPr>
          <w:rFonts w:asciiTheme="minorHAnsi" w:hAnsiTheme="minorHAnsi"/>
          <w:szCs w:val="22"/>
        </w:rPr>
        <w:t xml:space="preserve"> group</w:t>
      </w:r>
      <w:r w:rsidR="00B55EFF" w:rsidRPr="00CF4818">
        <w:rPr>
          <w:rFonts w:asciiTheme="minorHAnsi" w:hAnsiTheme="minorHAnsi"/>
          <w:szCs w:val="22"/>
        </w:rPr>
        <w:t xml:space="preserve">s </w:t>
      </w:r>
      <w:r w:rsidR="00E606AB">
        <w:rPr>
          <w:rFonts w:asciiTheme="minorHAnsi" w:hAnsiTheme="minorHAnsi"/>
          <w:szCs w:val="22"/>
        </w:rPr>
        <w:t xml:space="preserve">during the day </w:t>
      </w:r>
      <w:r>
        <w:rPr>
          <w:rFonts w:asciiTheme="minorHAnsi" w:hAnsiTheme="minorHAnsi"/>
          <w:szCs w:val="22"/>
        </w:rPr>
        <w:t xml:space="preserve">leads to a </w:t>
      </w:r>
      <w:r w:rsidR="00B55EFF" w:rsidRPr="00CF4818">
        <w:rPr>
          <w:rFonts w:asciiTheme="minorHAnsi" w:hAnsiTheme="minorHAnsi"/>
          <w:szCs w:val="22"/>
        </w:rPr>
        <w:t xml:space="preserve">difference between the mean population exposure and the 95%ile population exposure </w:t>
      </w:r>
      <w:r>
        <w:rPr>
          <w:rFonts w:asciiTheme="minorHAnsi" w:hAnsiTheme="minorHAnsi"/>
          <w:szCs w:val="22"/>
        </w:rPr>
        <w:t>tha</w:t>
      </w:r>
      <w:r w:rsidR="00140CCA">
        <w:rPr>
          <w:rFonts w:asciiTheme="minorHAnsi" w:hAnsiTheme="minorHAnsi"/>
          <w:szCs w:val="22"/>
        </w:rPr>
        <w:t>t</w:t>
      </w:r>
      <w:r>
        <w:rPr>
          <w:rFonts w:asciiTheme="minorHAnsi" w:hAnsiTheme="minorHAnsi"/>
          <w:szCs w:val="22"/>
        </w:rPr>
        <w:t xml:space="preserve"> is much greater than </w:t>
      </w:r>
      <w:r w:rsidR="000D542B">
        <w:rPr>
          <w:rFonts w:asciiTheme="minorHAnsi" w:hAnsiTheme="minorHAnsi"/>
          <w:szCs w:val="22"/>
        </w:rPr>
        <w:t xml:space="preserve">during the </w:t>
      </w:r>
      <w:r>
        <w:rPr>
          <w:rFonts w:asciiTheme="minorHAnsi" w:hAnsiTheme="minorHAnsi"/>
          <w:szCs w:val="22"/>
        </w:rPr>
        <w:t>night, when most individuals of both groups are at home with no source activity</w:t>
      </w:r>
    </w:p>
    <w:p w14:paraId="0E8BF873" w14:textId="77777777" w:rsidR="00106066" w:rsidRDefault="00106066" w:rsidP="00BA29F9">
      <w:pPr>
        <w:jc w:val="both"/>
        <w:rPr>
          <w:rFonts w:asciiTheme="minorHAnsi" w:hAnsiTheme="minorHAnsi"/>
          <w:szCs w:val="22"/>
        </w:rPr>
      </w:pPr>
    </w:p>
    <w:p w14:paraId="2AC71112" w14:textId="2BB62C39" w:rsidR="00E606AB" w:rsidRDefault="0084503D" w:rsidP="00BA29F9">
      <w:pPr>
        <w:jc w:val="both"/>
        <w:rPr>
          <w:rFonts w:asciiTheme="minorHAnsi" w:hAnsiTheme="minorHAnsi"/>
          <w:szCs w:val="22"/>
        </w:rPr>
      </w:pPr>
      <w:r w:rsidRPr="00137DB4">
        <w:rPr>
          <w:rFonts w:asciiTheme="minorHAnsi" w:hAnsiTheme="minorHAnsi"/>
        </w:rPr>
        <w:t xml:space="preserve">Figure </w:t>
      </w:r>
      <w:r w:rsidR="00CC121B" w:rsidRPr="00137DB4">
        <w:rPr>
          <w:rFonts w:asciiTheme="minorHAnsi" w:hAnsiTheme="minorHAnsi"/>
        </w:rPr>
        <w:t>4</w:t>
      </w:r>
      <w:r w:rsidRPr="00137DB4">
        <w:rPr>
          <w:rFonts w:asciiTheme="minorHAnsi" w:hAnsiTheme="minorHAnsi"/>
        </w:rPr>
        <w:t xml:space="preserve">c and </w:t>
      </w:r>
      <w:r w:rsidR="00CC121B" w:rsidRPr="00137DB4">
        <w:rPr>
          <w:rFonts w:asciiTheme="minorHAnsi" w:hAnsiTheme="minorHAnsi"/>
        </w:rPr>
        <w:t>4</w:t>
      </w:r>
      <w:r w:rsidRPr="00137DB4">
        <w:rPr>
          <w:rFonts w:asciiTheme="minorHAnsi" w:hAnsiTheme="minorHAnsi"/>
        </w:rPr>
        <w:t xml:space="preserve">d show </w:t>
      </w:r>
      <w:r w:rsidRPr="00CF4818">
        <w:rPr>
          <w:rFonts w:asciiTheme="minorHAnsi" w:hAnsiTheme="minorHAnsi"/>
        </w:rPr>
        <w:t xml:space="preserve">the effect </w:t>
      </w:r>
      <w:r w:rsidR="00DB6E22">
        <w:rPr>
          <w:rFonts w:asciiTheme="minorHAnsi" w:hAnsiTheme="minorHAnsi"/>
        </w:rPr>
        <w:t xml:space="preserve">of </w:t>
      </w:r>
      <w:r w:rsidR="00E606AB">
        <w:rPr>
          <w:rFonts w:asciiTheme="minorHAnsi" w:hAnsiTheme="minorHAnsi"/>
        </w:rPr>
        <w:t xml:space="preserve">reducing outdoor concentrations on road types 3 and 4. </w:t>
      </w:r>
      <w:r w:rsidRPr="00CF4818">
        <w:rPr>
          <w:rFonts w:asciiTheme="minorHAnsi" w:hAnsiTheme="minorHAnsi"/>
        </w:rPr>
        <w:t xml:space="preserve">Mean and 95%ile exposures </w:t>
      </w:r>
      <w:r w:rsidR="00106066">
        <w:rPr>
          <w:rFonts w:asciiTheme="minorHAnsi" w:hAnsiTheme="minorHAnsi"/>
        </w:rPr>
        <w:t xml:space="preserve">for both groups </w:t>
      </w:r>
      <w:r w:rsidR="00DB6E22">
        <w:rPr>
          <w:rFonts w:asciiTheme="minorHAnsi" w:hAnsiTheme="minorHAnsi"/>
        </w:rPr>
        <w:t xml:space="preserve">appear visually to be </w:t>
      </w:r>
      <w:r w:rsidRPr="00CF4818">
        <w:rPr>
          <w:rFonts w:asciiTheme="minorHAnsi" w:hAnsiTheme="minorHAnsi"/>
        </w:rPr>
        <w:t>only reduced slightly compared to the baseline scenario</w:t>
      </w:r>
      <w:r w:rsidR="00E606AB">
        <w:rPr>
          <w:rFonts w:asciiTheme="minorHAnsi" w:hAnsiTheme="minorHAnsi"/>
        </w:rPr>
        <w:t xml:space="preserve">, because </w:t>
      </w:r>
      <w:r w:rsidR="00106066">
        <w:rPr>
          <w:rFonts w:asciiTheme="minorHAnsi" w:hAnsiTheme="minorHAnsi"/>
        </w:rPr>
        <w:t xml:space="preserve">the </w:t>
      </w:r>
      <w:r w:rsidRPr="00CF4818">
        <w:rPr>
          <w:rFonts w:asciiTheme="minorHAnsi" w:hAnsiTheme="minorHAnsi"/>
        </w:rPr>
        <w:t xml:space="preserve">reduction in </w:t>
      </w:r>
      <w:r w:rsidR="00E606AB">
        <w:rPr>
          <w:rFonts w:asciiTheme="minorHAnsi" w:hAnsiTheme="minorHAnsi"/>
        </w:rPr>
        <w:t xml:space="preserve">outdoor concentrations on both mean and 95%ile PEFD values </w:t>
      </w:r>
      <w:r w:rsidRPr="00CF4818">
        <w:rPr>
          <w:rFonts w:asciiTheme="minorHAnsi" w:hAnsiTheme="minorHAnsi"/>
        </w:rPr>
        <w:t xml:space="preserve">is masked by the </w:t>
      </w:r>
      <w:r w:rsidR="00106066">
        <w:rPr>
          <w:rFonts w:asciiTheme="minorHAnsi" w:hAnsiTheme="minorHAnsi"/>
        </w:rPr>
        <w:t xml:space="preserve">effects of </w:t>
      </w:r>
      <w:r w:rsidRPr="00CF4818">
        <w:rPr>
          <w:rFonts w:asciiTheme="minorHAnsi" w:hAnsiTheme="minorHAnsi"/>
        </w:rPr>
        <w:t>indoor sources</w:t>
      </w:r>
      <w:r w:rsidR="00A73614">
        <w:rPr>
          <w:rFonts w:asciiTheme="minorHAnsi" w:hAnsiTheme="minorHAnsi"/>
        </w:rPr>
        <w:t xml:space="preserve">. </w:t>
      </w:r>
      <w:r w:rsidR="00DB6E22">
        <w:rPr>
          <w:rFonts w:asciiTheme="minorHAnsi" w:hAnsiTheme="minorHAnsi"/>
        </w:rPr>
        <w:t>However, there is a small but clear reduction in mean exposure compared to</w:t>
      </w:r>
      <w:r w:rsidR="00A73614">
        <w:rPr>
          <w:rFonts w:asciiTheme="minorHAnsi" w:hAnsiTheme="minorHAnsi"/>
        </w:rPr>
        <w:t xml:space="preserve"> urban background </w:t>
      </w:r>
      <w:r w:rsidR="00DB6E22">
        <w:rPr>
          <w:rFonts w:asciiTheme="minorHAnsi" w:hAnsiTheme="minorHAnsi"/>
        </w:rPr>
        <w:t xml:space="preserve">concentrations </w:t>
      </w:r>
      <w:r w:rsidR="00A73614">
        <w:rPr>
          <w:rFonts w:asciiTheme="minorHAnsi" w:hAnsiTheme="minorHAnsi"/>
        </w:rPr>
        <w:t>when there is little home source activity</w:t>
      </w:r>
      <w:r w:rsidRPr="00CF4818">
        <w:rPr>
          <w:rFonts w:asciiTheme="minorHAnsi" w:hAnsiTheme="minorHAnsi"/>
        </w:rPr>
        <w:t>.</w:t>
      </w:r>
      <w:r w:rsidR="000F011B" w:rsidRPr="000F011B">
        <w:rPr>
          <w:rFonts w:asciiTheme="minorHAnsi" w:hAnsiTheme="minorHAnsi"/>
          <w:szCs w:val="22"/>
        </w:rPr>
        <w:t xml:space="preserve"> </w:t>
      </w:r>
    </w:p>
    <w:p w14:paraId="31E6A958" w14:textId="77777777" w:rsidR="00E606AB" w:rsidRDefault="00E606AB" w:rsidP="00BA29F9">
      <w:pPr>
        <w:jc w:val="both"/>
        <w:rPr>
          <w:rFonts w:asciiTheme="minorHAnsi" w:hAnsiTheme="minorHAnsi"/>
          <w:szCs w:val="22"/>
        </w:rPr>
      </w:pPr>
    </w:p>
    <w:p w14:paraId="78FB6B95" w14:textId="509357B2" w:rsidR="007C58F6" w:rsidRDefault="00A73614" w:rsidP="00BA29F9">
      <w:pPr>
        <w:jc w:val="both"/>
        <w:rPr>
          <w:rFonts w:asciiTheme="minorHAnsi" w:hAnsiTheme="minorHAnsi"/>
          <w:szCs w:val="22"/>
        </w:rPr>
      </w:pPr>
      <w:r>
        <w:rPr>
          <w:rFonts w:asciiTheme="minorHAnsi" w:hAnsiTheme="minorHAnsi"/>
          <w:szCs w:val="22"/>
        </w:rPr>
        <w:t>W</w:t>
      </w:r>
      <w:r w:rsidR="00106066">
        <w:rPr>
          <w:rFonts w:asciiTheme="minorHAnsi" w:hAnsiTheme="minorHAnsi"/>
          <w:szCs w:val="22"/>
        </w:rPr>
        <w:t xml:space="preserve">ith no </w:t>
      </w:r>
      <w:r w:rsidR="000F011B" w:rsidRPr="00CF4818">
        <w:rPr>
          <w:rFonts w:asciiTheme="minorHAnsi" w:hAnsiTheme="minorHAnsi"/>
          <w:szCs w:val="22"/>
        </w:rPr>
        <w:t xml:space="preserve">home source activity, </w:t>
      </w:r>
      <w:r w:rsidR="00106066">
        <w:rPr>
          <w:rFonts w:asciiTheme="minorHAnsi" w:hAnsiTheme="minorHAnsi"/>
          <w:szCs w:val="22"/>
        </w:rPr>
        <w:t xml:space="preserve">as </w:t>
      </w:r>
      <w:r w:rsidR="00106066" w:rsidRPr="00137DB4">
        <w:rPr>
          <w:rFonts w:asciiTheme="minorHAnsi" w:hAnsiTheme="minorHAnsi"/>
          <w:szCs w:val="22"/>
        </w:rPr>
        <w:t>shown</w:t>
      </w:r>
      <w:r w:rsidR="000F011B" w:rsidRPr="00137DB4">
        <w:rPr>
          <w:rFonts w:asciiTheme="minorHAnsi" w:hAnsiTheme="minorHAnsi"/>
          <w:szCs w:val="22"/>
        </w:rPr>
        <w:t xml:space="preserve"> </w:t>
      </w:r>
      <w:r w:rsidR="00137DB4" w:rsidRPr="00137DB4">
        <w:rPr>
          <w:rFonts w:asciiTheme="minorHAnsi" w:hAnsiTheme="minorHAnsi"/>
          <w:szCs w:val="22"/>
        </w:rPr>
        <w:t xml:space="preserve">in </w:t>
      </w:r>
      <w:r w:rsidR="000F011B" w:rsidRPr="00137DB4">
        <w:rPr>
          <w:rFonts w:asciiTheme="minorHAnsi" w:hAnsiTheme="minorHAnsi"/>
          <w:szCs w:val="22"/>
        </w:rPr>
        <w:t>Fig</w:t>
      </w:r>
      <w:r w:rsidR="00CC121B" w:rsidRPr="00137DB4">
        <w:rPr>
          <w:rFonts w:asciiTheme="minorHAnsi" w:hAnsiTheme="minorHAnsi"/>
          <w:szCs w:val="22"/>
        </w:rPr>
        <w:t>ures</w:t>
      </w:r>
      <w:r w:rsidR="000F011B" w:rsidRPr="00137DB4">
        <w:rPr>
          <w:rFonts w:asciiTheme="minorHAnsi" w:hAnsiTheme="minorHAnsi"/>
          <w:szCs w:val="22"/>
        </w:rPr>
        <w:t xml:space="preserve"> </w:t>
      </w:r>
      <w:r w:rsidR="00CC121B" w:rsidRPr="00137DB4">
        <w:rPr>
          <w:rFonts w:asciiTheme="minorHAnsi" w:hAnsiTheme="minorHAnsi"/>
          <w:szCs w:val="22"/>
        </w:rPr>
        <w:t>4</w:t>
      </w:r>
      <w:r w:rsidR="000F011B" w:rsidRPr="00137DB4">
        <w:rPr>
          <w:rFonts w:asciiTheme="minorHAnsi" w:hAnsiTheme="minorHAnsi"/>
          <w:szCs w:val="22"/>
        </w:rPr>
        <w:t xml:space="preserve">e and </w:t>
      </w:r>
      <w:r w:rsidR="00CC121B" w:rsidRPr="00137DB4">
        <w:rPr>
          <w:rFonts w:asciiTheme="minorHAnsi" w:hAnsiTheme="minorHAnsi"/>
          <w:szCs w:val="22"/>
        </w:rPr>
        <w:t>4</w:t>
      </w:r>
      <w:r w:rsidR="000F011B" w:rsidRPr="00137DB4">
        <w:rPr>
          <w:rFonts w:asciiTheme="minorHAnsi" w:hAnsiTheme="minorHAnsi"/>
          <w:szCs w:val="22"/>
        </w:rPr>
        <w:t>f</w:t>
      </w:r>
      <w:r w:rsidR="00244B1D" w:rsidRPr="00137DB4">
        <w:rPr>
          <w:rFonts w:asciiTheme="minorHAnsi" w:hAnsiTheme="minorHAnsi"/>
          <w:szCs w:val="22"/>
        </w:rPr>
        <w:t xml:space="preserve">, </w:t>
      </w:r>
      <w:r w:rsidR="00244B1D">
        <w:rPr>
          <w:rFonts w:asciiTheme="minorHAnsi" w:hAnsiTheme="minorHAnsi"/>
          <w:szCs w:val="22"/>
        </w:rPr>
        <w:t xml:space="preserve">both mean and 95%ile exposures are </w:t>
      </w:r>
      <w:r>
        <w:rPr>
          <w:rFonts w:asciiTheme="minorHAnsi" w:hAnsiTheme="minorHAnsi"/>
          <w:szCs w:val="22"/>
        </w:rPr>
        <w:t xml:space="preserve">substantially </w:t>
      </w:r>
      <w:r w:rsidR="00244B1D">
        <w:rPr>
          <w:rFonts w:asciiTheme="minorHAnsi" w:hAnsiTheme="minorHAnsi"/>
          <w:szCs w:val="22"/>
        </w:rPr>
        <w:t>reduced for both groups</w:t>
      </w:r>
      <w:r>
        <w:rPr>
          <w:rFonts w:asciiTheme="minorHAnsi" w:hAnsiTheme="minorHAnsi"/>
          <w:szCs w:val="22"/>
        </w:rPr>
        <w:t xml:space="preserve"> (note the different y axis scale used in these figures).</w:t>
      </w:r>
      <w:r w:rsidR="000F011B" w:rsidRPr="00CF4818">
        <w:rPr>
          <w:rFonts w:asciiTheme="minorHAnsi" w:hAnsiTheme="minorHAnsi"/>
          <w:szCs w:val="22"/>
        </w:rPr>
        <w:t xml:space="preserve"> </w:t>
      </w:r>
      <w:r w:rsidR="00244B1D">
        <w:rPr>
          <w:rFonts w:asciiTheme="minorHAnsi" w:hAnsiTheme="minorHAnsi"/>
          <w:szCs w:val="22"/>
        </w:rPr>
        <w:t xml:space="preserve">Removal of home sources </w:t>
      </w:r>
      <w:r>
        <w:rPr>
          <w:rFonts w:asciiTheme="minorHAnsi" w:hAnsiTheme="minorHAnsi"/>
          <w:szCs w:val="22"/>
        </w:rPr>
        <w:t xml:space="preserve">also </w:t>
      </w:r>
      <w:r w:rsidR="000F011B" w:rsidRPr="00CF4818">
        <w:rPr>
          <w:rFonts w:asciiTheme="minorHAnsi" w:hAnsiTheme="minorHAnsi"/>
          <w:szCs w:val="22"/>
        </w:rPr>
        <w:t>reveals the impact on exposure to NO</w:t>
      </w:r>
      <w:r w:rsidR="000F011B" w:rsidRPr="00CF4818">
        <w:rPr>
          <w:rFonts w:asciiTheme="minorHAnsi" w:hAnsiTheme="minorHAnsi"/>
          <w:szCs w:val="22"/>
          <w:vertAlign w:val="subscript"/>
        </w:rPr>
        <w:t>2</w:t>
      </w:r>
      <w:r w:rsidR="000F011B" w:rsidRPr="00CF4818">
        <w:rPr>
          <w:rFonts w:asciiTheme="minorHAnsi" w:hAnsiTheme="minorHAnsi"/>
          <w:szCs w:val="22"/>
        </w:rPr>
        <w:t xml:space="preserve"> of </w:t>
      </w:r>
      <w:r>
        <w:rPr>
          <w:rFonts w:asciiTheme="minorHAnsi" w:hAnsiTheme="minorHAnsi"/>
          <w:szCs w:val="22"/>
        </w:rPr>
        <w:t xml:space="preserve">temporal </w:t>
      </w:r>
      <w:r w:rsidR="000F011B" w:rsidRPr="00CF4818">
        <w:rPr>
          <w:rFonts w:asciiTheme="minorHAnsi" w:hAnsiTheme="minorHAnsi"/>
          <w:szCs w:val="22"/>
        </w:rPr>
        <w:t xml:space="preserve">variation in roadside concentrations, </w:t>
      </w:r>
      <w:r w:rsidR="00244B1D">
        <w:rPr>
          <w:rFonts w:asciiTheme="minorHAnsi" w:hAnsiTheme="minorHAnsi"/>
          <w:szCs w:val="22"/>
        </w:rPr>
        <w:t>with</w:t>
      </w:r>
      <w:r w:rsidR="000F011B" w:rsidRPr="00CF4818">
        <w:rPr>
          <w:rFonts w:asciiTheme="minorHAnsi" w:hAnsiTheme="minorHAnsi"/>
          <w:szCs w:val="22"/>
        </w:rPr>
        <w:t xml:space="preserve"> peaks</w:t>
      </w:r>
      <w:r w:rsidR="00140CCA">
        <w:rPr>
          <w:rFonts w:asciiTheme="minorHAnsi" w:hAnsiTheme="minorHAnsi"/>
          <w:szCs w:val="22"/>
        </w:rPr>
        <w:t>,</w:t>
      </w:r>
      <w:r w:rsidR="000F011B" w:rsidRPr="00CF4818">
        <w:rPr>
          <w:rFonts w:asciiTheme="minorHAnsi" w:hAnsiTheme="minorHAnsi"/>
          <w:szCs w:val="22"/>
        </w:rPr>
        <w:t xml:space="preserve"> </w:t>
      </w:r>
      <w:r w:rsidR="00244B1D">
        <w:rPr>
          <w:rFonts w:asciiTheme="minorHAnsi" w:hAnsiTheme="minorHAnsi"/>
          <w:szCs w:val="22"/>
        </w:rPr>
        <w:t xml:space="preserve">especially in 95%ile exposures, </w:t>
      </w:r>
      <w:r w:rsidR="000F011B" w:rsidRPr="00CF4818">
        <w:rPr>
          <w:rFonts w:asciiTheme="minorHAnsi" w:hAnsiTheme="minorHAnsi"/>
          <w:szCs w:val="22"/>
        </w:rPr>
        <w:t>occurring at the two main rush hour times. The much greater difference in outdoor concentrations, and the greater variety of locations and activities among the children, led to much greater values of the 95</w:t>
      </w:r>
      <w:r w:rsidR="00DB6E22">
        <w:rPr>
          <w:rFonts w:asciiTheme="minorHAnsi" w:hAnsiTheme="minorHAnsi"/>
          <w:szCs w:val="22"/>
        </w:rPr>
        <w:t>%</w:t>
      </w:r>
      <w:r w:rsidR="000F011B" w:rsidRPr="00CF4818">
        <w:rPr>
          <w:rFonts w:asciiTheme="minorHAnsi" w:hAnsiTheme="minorHAnsi"/>
          <w:szCs w:val="22"/>
        </w:rPr>
        <w:t>ile</w:t>
      </w:r>
      <w:r w:rsidR="00DB6E22">
        <w:rPr>
          <w:rFonts w:asciiTheme="minorHAnsi" w:hAnsiTheme="minorHAnsi"/>
          <w:szCs w:val="22"/>
        </w:rPr>
        <w:t xml:space="preserve"> values</w:t>
      </w:r>
      <w:r w:rsidR="000F011B" w:rsidRPr="00CF4818">
        <w:rPr>
          <w:rFonts w:asciiTheme="minorHAnsi" w:hAnsiTheme="minorHAnsi"/>
          <w:szCs w:val="22"/>
        </w:rPr>
        <w:t xml:space="preserve"> compared to the means at these times of day.</w:t>
      </w:r>
    </w:p>
    <w:p w14:paraId="5EE2A194" w14:textId="77777777" w:rsidR="007C58F6" w:rsidRDefault="007C58F6">
      <w:pPr>
        <w:rPr>
          <w:rFonts w:asciiTheme="minorHAnsi" w:hAnsiTheme="minorHAnsi"/>
          <w:szCs w:val="22"/>
        </w:rPr>
      </w:pPr>
      <w:r>
        <w:rPr>
          <w:rFonts w:asciiTheme="minorHAnsi" w:hAnsiTheme="minorHAnsi"/>
          <w:szCs w:val="22"/>
        </w:rPr>
        <w:br w:type="page"/>
      </w:r>
    </w:p>
    <w:p w14:paraId="0413211C" w14:textId="77777777" w:rsidR="007C58F6" w:rsidRPr="00CF4818" w:rsidRDefault="007C58F6" w:rsidP="007C58F6">
      <w:pPr>
        <w:ind w:left="-720" w:right="-874"/>
        <w:jc w:val="both"/>
        <w:rPr>
          <w:rFonts w:asciiTheme="minorHAnsi" w:hAnsiTheme="minorHAnsi"/>
        </w:rPr>
      </w:pPr>
      <w:r w:rsidRPr="00CF4818">
        <w:rPr>
          <w:rFonts w:asciiTheme="minorHAnsi" w:hAnsiTheme="minorHAnsi"/>
          <w:noProof/>
        </w:rPr>
        <w:drawing>
          <wp:inline distT="0" distB="0" distL="0" distR="0" wp14:anchorId="139D3842" wp14:editId="1183E557">
            <wp:extent cx="2705100" cy="17299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7149" cy="1731265"/>
                    </a:xfrm>
                    <a:prstGeom prst="rect">
                      <a:avLst/>
                    </a:prstGeom>
                    <a:noFill/>
                  </pic:spPr>
                </pic:pic>
              </a:graphicData>
            </a:graphic>
          </wp:inline>
        </w:drawing>
      </w:r>
      <w:r w:rsidRPr="00CF4818">
        <w:rPr>
          <w:rFonts w:asciiTheme="minorHAnsi" w:hAnsiTheme="minorHAnsi"/>
          <w:noProof/>
        </w:rPr>
        <w:drawing>
          <wp:inline distT="0" distB="0" distL="0" distR="0" wp14:anchorId="0C01F846" wp14:editId="429E5BB6">
            <wp:extent cx="2705100" cy="172995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7149" cy="1731265"/>
                    </a:xfrm>
                    <a:prstGeom prst="rect">
                      <a:avLst/>
                    </a:prstGeom>
                    <a:noFill/>
                  </pic:spPr>
                </pic:pic>
              </a:graphicData>
            </a:graphic>
          </wp:inline>
        </w:drawing>
      </w:r>
    </w:p>
    <w:p w14:paraId="627819AF" w14:textId="77777777" w:rsidR="007C58F6" w:rsidRPr="00CF4818" w:rsidRDefault="007C58F6" w:rsidP="007C58F6">
      <w:pPr>
        <w:ind w:left="-720" w:right="-874"/>
        <w:jc w:val="both"/>
        <w:rPr>
          <w:rFonts w:asciiTheme="minorHAnsi" w:hAnsiTheme="minorHAnsi"/>
        </w:rPr>
      </w:pPr>
      <w:r w:rsidRPr="00CF4818">
        <w:rPr>
          <w:rFonts w:asciiTheme="minorHAnsi" w:hAnsiTheme="minorHAnsi"/>
          <w:noProof/>
        </w:rPr>
        <w:drawing>
          <wp:inline distT="0" distB="0" distL="0" distR="0" wp14:anchorId="50313D7E" wp14:editId="0C10E597">
            <wp:extent cx="2708137" cy="173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7729" cy="1733289"/>
                    </a:xfrm>
                    <a:prstGeom prst="rect">
                      <a:avLst/>
                    </a:prstGeom>
                    <a:noFill/>
                  </pic:spPr>
                </pic:pic>
              </a:graphicData>
            </a:graphic>
          </wp:inline>
        </w:drawing>
      </w:r>
      <w:r w:rsidRPr="00CF4818">
        <w:rPr>
          <w:rFonts w:asciiTheme="minorHAnsi" w:hAnsiTheme="minorHAnsi"/>
          <w:noProof/>
        </w:rPr>
        <w:drawing>
          <wp:inline distT="0" distB="0" distL="0" distR="0" wp14:anchorId="7F448B06" wp14:editId="039655BA">
            <wp:extent cx="2705100" cy="173160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4693" cy="1731345"/>
                    </a:xfrm>
                    <a:prstGeom prst="rect">
                      <a:avLst/>
                    </a:prstGeom>
                    <a:noFill/>
                  </pic:spPr>
                </pic:pic>
              </a:graphicData>
            </a:graphic>
          </wp:inline>
        </w:drawing>
      </w:r>
    </w:p>
    <w:p w14:paraId="69092359" w14:textId="77777777" w:rsidR="007C58F6" w:rsidRPr="00CF4818" w:rsidRDefault="007C58F6" w:rsidP="007C58F6">
      <w:pPr>
        <w:ind w:left="-720" w:right="-874"/>
        <w:jc w:val="both"/>
        <w:rPr>
          <w:rFonts w:asciiTheme="minorHAnsi" w:hAnsiTheme="minorHAnsi"/>
        </w:rPr>
      </w:pPr>
      <w:r w:rsidRPr="00CF4818">
        <w:rPr>
          <w:rFonts w:asciiTheme="minorHAnsi" w:hAnsiTheme="minorHAnsi"/>
          <w:noProof/>
        </w:rPr>
        <w:drawing>
          <wp:inline distT="0" distB="0" distL="0" distR="0" wp14:anchorId="39636D4E" wp14:editId="36650DAC">
            <wp:extent cx="2705100" cy="173289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3060" cy="1731590"/>
                    </a:xfrm>
                    <a:prstGeom prst="rect">
                      <a:avLst/>
                    </a:prstGeom>
                    <a:noFill/>
                  </pic:spPr>
                </pic:pic>
              </a:graphicData>
            </a:graphic>
          </wp:inline>
        </w:drawing>
      </w:r>
      <w:r w:rsidRPr="00CF4818">
        <w:rPr>
          <w:rFonts w:asciiTheme="minorHAnsi" w:hAnsiTheme="minorHAnsi"/>
          <w:noProof/>
        </w:rPr>
        <w:drawing>
          <wp:inline distT="0" distB="0" distL="0" distR="0" wp14:anchorId="5DCA4C22" wp14:editId="34D7AD96">
            <wp:extent cx="2705100" cy="173289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3060" cy="1731590"/>
                    </a:xfrm>
                    <a:prstGeom prst="rect">
                      <a:avLst/>
                    </a:prstGeom>
                    <a:noFill/>
                  </pic:spPr>
                </pic:pic>
              </a:graphicData>
            </a:graphic>
          </wp:inline>
        </w:drawing>
      </w:r>
    </w:p>
    <w:p w14:paraId="1E9DF51C" w14:textId="77777777" w:rsidR="007C58F6" w:rsidRDefault="007C58F6" w:rsidP="007C58F6">
      <w:pPr>
        <w:jc w:val="both"/>
        <w:rPr>
          <w:rFonts w:asciiTheme="minorHAnsi" w:hAnsiTheme="minorHAnsi"/>
        </w:rPr>
      </w:pPr>
    </w:p>
    <w:p w14:paraId="2CD0FC9A" w14:textId="4CDFDF6D" w:rsidR="007C58F6" w:rsidRPr="00137DB4" w:rsidRDefault="007C58F6" w:rsidP="007C58F6">
      <w:pPr>
        <w:jc w:val="both"/>
        <w:rPr>
          <w:rFonts w:asciiTheme="minorHAnsi" w:hAnsiTheme="minorHAnsi"/>
          <w:szCs w:val="22"/>
          <w:lang w:eastAsia="en-US"/>
        </w:rPr>
      </w:pPr>
      <w:r w:rsidRPr="00137DB4">
        <w:rPr>
          <w:rFonts w:asciiTheme="minorHAnsi" w:hAnsiTheme="minorHAnsi"/>
          <w:b/>
        </w:rPr>
        <w:t xml:space="preserve">Figure </w:t>
      </w:r>
      <w:r w:rsidR="00CC121B" w:rsidRPr="00137DB4">
        <w:rPr>
          <w:rFonts w:asciiTheme="minorHAnsi" w:hAnsiTheme="minorHAnsi"/>
          <w:b/>
        </w:rPr>
        <w:t>4</w:t>
      </w:r>
      <w:r w:rsidRPr="00137DB4">
        <w:rPr>
          <w:rFonts w:asciiTheme="minorHAnsi" w:hAnsiTheme="minorHAnsi"/>
          <w:b/>
        </w:rPr>
        <w:t>.</w:t>
      </w:r>
      <w:r w:rsidRPr="00137DB4">
        <w:rPr>
          <w:rFonts w:asciiTheme="minorHAnsi" w:hAnsiTheme="minorHAnsi"/>
          <w:szCs w:val="22"/>
          <w:lang w:eastAsia="en-US"/>
        </w:rPr>
        <w:t xml:space="preserve"> Simulated exposure profiles</w:t>
      </w:r>
      <w:r w:rsidR="000A1F09" w:rsidRPr="00137DB4">
        <w:rPr>
          <w:rFonts w:asciiTheme="minorHAnsi" w:hAnsiTheme="minorHAnsi"/>
          <w:szCs w:val="22"/>
          <w:lang w:eastAsia="en-US"/>
        </w:rPr>
        <w:t xml:space="preserve"> to NO</w:t>
      </w:r>
      <w:r w:rsidR="000A1F09" w:rsidRPr="00137DB4">
        <w:rPr>
          <w:rFonts w:asciiTheme="minorHAnsi" w:hAnsiTheme="minorHAnsi"/>
          <w:szCs w:val="22"/>
          <w:vertAlign w:val="subscript"/>
          <w:lang w:eastAsia="en-US"/>
        </w:rPr>
        <w:t>2</w:t>
      </w:r>
      <w:r w:rsidR="000A1F09" w:rsidRPr="00137DB4">
        <w:rPr>
          <w:rFonts w:asciiTheme="minorHAnsi" w:hAnsiTheme="minorHAnsi"/>
          <w:szCs w:val="22"/>
          <w:lang w:eastAsia="en-US"/>
        </w:rPr>
        <w:t xml:space="preserve"> </w:t>
      </w:r>
      <w:r w:rsidRPr="00137DB4">
        <w:rPr>
          <w:rFonts w:asciiTheme="minorHAnsi" w:hAnsiTheme="minorHAnsi"/>
          <w:szCs w:val="22"/>
          <w:lang w:eastAsia="en-US"/>
        </w:rPr>
        <w:t>for children and the elderly in winter weekdays, showing the arithmetic mean exposures, and the 95%ile of the population exposure at each time. The values at the urban background location are shown for comparison. (a) values for children under baseline conditions; (</w:t>
      </w:r>
      <w:r w:rsidR="00CC121B" w:rsidRPr="00137DB4">
        <w:rPr>
          <w:rFonts w:asciiTheme="minorHAnsi" w:hAnsiTheme="minorHAnsi"/>
          <w:szCs w:val="22"/>
          <w:lang w:eastAsia="en-US"/>
        </w:rPr>
        <w:t>c</w:t>
      </w:r>
      <w:r w:rsidRPr="00137DB4">
        <w:rPr>
          <w:rFonts w:asciiTheme="minorHAnsi" w:hAnsiTheme="minorHAnsi"/>
          <w:szCs w:val="22"/>
          <w:lang w:eastAsia="en-US"/>
        </w:rPr>
        <w:t>) values for children with roadside concentrations reduced to meet air quality guidelines; (</w:t>
      </w:r>
      <w:r w:rsidR="00CC121B" w:rsidRPr="00137DB4">
        <w:rPr>
          <w:rFonts w:asciiTheme="minorHAnsi" w:hAnsiTheme="minorHAnsi"/>
          <w:szCs w:val="22"/>
          <w:lang w:eastAsia="en-US"/>
        </w:rPr>
        <w:t>e</w:t>
      </w:r>
      <w:r w:rsidRPr="00137DB4">
        <w:rPr>
          <w:rFonts w:asciiTheme="minorHAnsi" w:hAnsiTheme="minorHAnsi"/>
          <w:szCs w:val="22"/>
          <w:lang w:eastAsia="en-US"/>
        </w:rPr>
        <w:t>) values for children with no home source emissions; (</w:t>
      </w:r>
      <w:r w:rsidR="00CC121B" w:rsidRPr="00137DB4">
        <w:rPr>
          <w:rFonts w:asciiTheme="minorHAnsi" w:hAnsiTheme="minorHAnsi"/>
          <w:szCs w:val="22"/>
          <w:lang w:eastAsia="en-US"/>
        </w:rPr>
        <w:t>b</w:t>
      </w:r>
      <w:r w:rsidRPr="00137DB4">
        <w:rPr>
          <w:rFonts w:asciiTheme="minorHAnsi" w:hAnsiTheme="minorHAnsi"/>
          <w:szCs w:val="22"/>
          <w:lang w:eastAsia="en-US"/>
        </w:rPr>
        <w:t>) values for elderly under baseline conditions; (</w:t>
      </w:r>
      <w:r w:rsidR="00CC121B" w:rsidRPr="00137DB4">
        <w:rPr>
          <w:rFonts w:asciiTheme="minorHAnsi" w:hAnsiTheme="minorHAnsi"/>
          <w:szCs w:val="22"/>
          <w:lang w:eastAsia="en-US"/>
        </w:rPr>
        <w:t>d</w:t>
      </w:r>
      <w:r w:rsidRPr="00137DB4">
        <w:rPr>
          <w:rFonts w:asciiTheme="minorHAnsi" w:hAnsiTheme="minorHAnsi"/>
          <w:szCs w:val="22"/>
          <w:lang w:eastAsia="en-US"/>
        </w:rPr>
        <w:t>) values for elderly with roadside concentrations reduced to meet air quality guidelines; (f) values for elderly with no home source emissions. Note that the scale of the y axis is different in (e) and (f)</w:t>
      </w:r>
      <w:r w:rsidR="00CC121B" w:rsidRPr="00137DB4">
        <w:rPr>
          <w:rFonts w:asciiTheme="minorHAnsi" w:hAnsiTheme="minorHAnsi"/>
          <w:szCs w:val="22"/>
          <w:lang w:eastAsia="en-US"/>
        </w:rPr>
        <w:t xml:space="preserve"> compared to (a), (b), (c), (d)</w:t>
      </w:r>
      <w:r w:rsidRPr="00137DB4">
        <w:rPr>
          <w:rFonts w:asciiTheme="minorHAnsi" w:hAnsiTheme="minorHAnsi"/>
          <w:szCs w:val="22"/>
          <w:lang w:eastAsia="en-US"/>
        </w:rPr>
        <w:t xml:space="preserve">. </w:t>
      </w:r>
    </w:p>
    <w:p w14:paraId="68777A15" w14:textId="77777777" w:rsidR="007C58F6" w:rsidRPr="00137DB4" w:rsidRDefault="007C58F6" w:rsidP="007C58F6">
      <w:pPr>
        <w:jc w:val="both"/>
        <w:rPr>
          <w:rFonts w:asciiTheme="minorHAnsi" w:hAnsiTheme="minorHAnsi"/>
          <w:szCs w:val="22"/>
          <w:lang w:eastAsia="en-US"/>
        </w:rPr>
        <w:sectPr w:rsidR="007C58F6" w:rsidRPr="00137DB4" w:rsidSect="00DB5FBF">
          <w:footerReference w:type="even" r:id="rId27"/>
          <w:footerReference w:type="default" r:id="rId28"/>
          <w:type w:val="continuous"/>
          <w:pgSz w:w="11906" w:h="16838" w:code="9"/>
          <w:pgMar w:top="1440" w:right="1800" w:bottom="1440" w:left="1800" w:header="708" w:footer="708" w:gutter="0"/>
          <w:lnNumType w:countBy="1" w:restart="continuous"/>
          <w:cols w:space="708"/>
          <w:docGrid w:linePitch="360"/>
        </w:sectPr>
      </w:pPr>
    </w:p>
    <w:p w14:paraId="4A93652C" w14:textId="26D2047C" w:rsidR="007C58F6" w:rsidRDefault="007C58F6" w:rsidP="007C58F6">
      <w:pPr>
        <w:rPr>
          <w:rFonts w:asciiTheme="minorHAnsi" w:hAnsiTheme="minorHAnsi"/>
          <w:szCs w:val="22"/>
        </w:rPr>
      </w:pPr>
    </w:p>
    <w:p w14:paraId="036198CD" w14:textId="77777777" w:rsidR="00CC121B" w:rsidRDefault="00CC121B">
      <w:pPr>
        <w:rPr>
          <w:rFonts w:asciiTheme="minorHAnsi" w:hAnsiTheme="minorHAnsi"/>
          <w:i/>
          <w:szCs w:val="22"/>
        </w:rPr>
      </w:pPr>
      <w:r>
        <w:rPr>
          <w:rFonts w:asciiTheme="minorHAnsi" w:hAnsiTheme="minorHAnsi"/>
          <w:i/>
          <w:szCs w:val="22"/>
        </w:rPr>
        <w:br w:type="page"/>
      </w:r>
    </w:p>
    <w:p w14:paraId="5A2DC6FC" w14:textId="32946E8B" w:rsidR="00AE1B49" w:rsidRPr="00CF4818" w:rsidRDefault="00FC0D88" w:rsidP="0050756B">
      <w:pPr>
        <w:keepNext/>
        <w:jc w:val="both"/>
        <w:rPr>
          <w:rFonts w:asciiTheme="minorHAnsi" w:hAnsiTheme="minorHAnsi"/>
          <w:i/>
          <w:snapToGrid w:val="0"/>
          <w:szCs w:val="22"/>
          <w:lang w:eastAsia="en-US"/>
        </w:rPr>
      </w:pPr>
      <w:r>
        <w:rPr>
          <w:rFonts w:asciiTheme="minorHAnsi" w:hAnsiTheme="minorHAnsi"/>
          <w:i/>
          <w:szCs w:val="22"/>
        </w:rPr>
        <w:t>4.</w:t>
      </w:r>
      <w:r w:rsidR="0084503D">
        <w:rPr>
          <w:rFonts w:asciiTheme="minorHAnsi" w:hAnsiTheme="minorHAnsi"/>
          <w:i/>
          <w:szCs w:val="22"/>
        </w:rPr>
        <w:t>3</w:t>
      </w:r>
      <w:r w:rsidR="0050756B">
        <w:rPr>
          <w:rFonts w:asciiTheme="minorHAnsi" w:hAnsiTheme="minorHAnsi"/>
          <w:i/>
          <w:szCs w:val="22"/>
        </w:rPr>
        <w:tab/>
      </w:r>
      <w:r w:rsidR="0084503D">
        <w:rPr>
          <w:rFonts w:asciiTheme="minorHAnsi" w:hAnsiTheme="minorHAnsi"/>
          <w:i/>
          <w:szCs w:val="22"/>
        </w:rPr>
        <w:t xml:space="preserve">Effect of interventions on </w:t>
      </w:r>
      <w:r w:rsidR="00D4305E">
        <w:rPr>
          <w:rFonts w:asciiTheme="minorHAnsi" w:hAnsiTheme="minorHAnsi"/>
          <w:i/>
          <w:szCs w:val="22"/>
        </w:rPr>
        <w:t xml:space="preserve">seasonal </w:t>
      </w:r>
      <w:r w:rsidR="00AE1B49" w:rsidRPr="00CF4818">
        <w:rPr>
          <w:rFonts w:asciiTheme="minorHAnsi" w:hAnsiTheme="minorHAnsi"/>
          <w:i/>
          <w:snapToGrid w:val="0"/>
          <w:szCs w:val="22"/>
          <w:lang w:eastAsia="en-US"/>
        </w:rPr>
        <w:t>mean population exposures</w:t>
      </w:r>
      <w:r w:rsidR="009A5BBA">
        <w:rPr>
          <w:rFonts w:asciiTheme="minorHAnsi" w:hAnsiTheme="minorHAnsi"/>
          <w:i/>
          <w:snapToGrid w:val="0"/>
          <w:szCs w:val="22"/>
          <w:lang w:eastAsia="en-US"/>
        </w:rPr>
        <w:t xml:space="preserve"> </w:t>
      </w:r>
    </w:p>
    <w:p w14:paraId="29378DC9" w14:textId="77777777" w:rsidR="00AE1B49" w:rsidRPr="00CF4818" w:rsidRDefault="00AE1B49" w:rsidP="0050756B">
      <w:pPr>
        <w:keepNext/>
        <w:jc w:val="both"/>
        <w:rPr>
          <w:rFonts w:asciiTheme="minorHAnsi" w:hAnsiTheme="minorHAnsi"/>
          <w:i/>
          <w:snapToGrid w:val="0"/>
          <w:szCs w:val="22"/>
          <w:lang w:eastAsia="en-US"/>
        </w:rPr>
      </w:pPr>
    </w:p>
    <w:p w14:paraId="5347227F" w14:textId="7DD3605D" w:rsidR="005461EC" w:rsidRPr="00137DB4" w:rsidRDefault="009A5BBA" w:rsidP="00140CCA">
      <w:pPr>
        <w:pStyle w:val="PlainText"/>
        <w:jc w:val="both"/>
        <w:rPr>
          <w:rFonts w:asciiTheme="minorHAnsi" w:hAnsiTheme="minorHAnsi" w:cs="Arial"/>
          <w:sz w:val="22"/>
          <w:szCs w:val="22"/>
        </w:rPr>
      </w:pPr>
      <w:r w:rsidRPr="00137DB4">
        <w:rPr>
          <w:rFonts w:asciiTheme="minorHAnsi" w:hAnsiTheme="minorHAnsi" w:cs="Arial"/>
          <w:sz w:val="22"/>
          <w:szCs w:val="22"/>
        </w:rPr>
        <w:t xml:space="preserve">Table </w:t>
      </w:r>
      <w:r w:rsidR="00420900" w:rsidRPr="00137DB4">
        <w:rPr>
          <w:rFonts w:asciiTheme="minorHAnsi" w:hAnsiTheme="minorHAnsi" w:cs="Arial"/>
          <w:sz w:val="22"/>
          <w:szCs w:val="22"/>
        </w:rPr>
        <w:t>4</w:t>
      </w:r>
      <w:r w:rsidRPr="00137DB4">
        <w:rPr>
          <w:rFonts w:asciiTheme="minorHAnsi" w:hAnsiTheme="minorHAnsi" w:cs="Arial"/>
          <w:sz w:val="22"/>
          <w:szCs w:val="22"/>
        </w:rPr>
        <w:t xml:space="preserve"> provides a comparison of the effects of the two policy interventions </w:t>
      </w:r>
      <w:r w:rsidR="003F077D" w:rsidRPr="00137DB4">
        <w:rPr>
          <w:rFonts w:asciiTheme="minorHAnsi" w:hAnsiTheme="minorHAnsi" w:cs="Arial"/>
          <w:sz w:val="22"/>
          <w:szCs w:val="22"/>
        </w:rPr>
        <w:t xml:space="preserve">on the </w:t>
      </w:r>
      <w:r w:rsidR="00D4305E" w:rsidRPr="00137DB4">
        <w:rPr>
          <w:rFonts w:asciiTheme="minorHAnsi" w:hAnsiTheme="minorHAnsi" w:cs="Arial"/>
          <w:sz w:val="22"/>
          <w:szCs w:val="22"/>
        </w:rPr>
        <w:t>seasonal</w:t>
      </w:r>
      <w:r w:rsidR="003F077D" w:rsidRPr="00137DB4">
        <w:rPr>
          <w:rFonts w:asciiTheme="minorHAnsi" w:hAnsiTheme="minorHAnsi" w:cs="Arial"/>
          <w:sz w:val="22"/>
          <w:szCs w:val="22"/>
        </w:rPr>
        <w:t xml:space="preserve"> mean value of the PEFD for the three population groups, comparing summer/winter and weekday/weekend</w:t>
      </w:r>
      <w:r w:rsidR="00E93F91" w:rsidRPr="00137DB4">
        <w:rPr>
          <w:rFonts w:asciiTheme="minorHAnsi" w:hAnsiTheme="minorHAnsi" w:cs="Arial"/>
          <w:sz w:val="22"/>
          <w:szCs w:val="22"/>
        </w:rPr>
        <w:t xml:space="preserve">. </w:t>
      </w:r>
      <w:r w:rsidR="001C1268" w:rsidRPr="00137DB4">
        <w:rPr>
          <w:rFonts w:asciiTheme="minorHAnsi" w:hAnsiTheme="minorHAnsi" w:cs="Arial"/>
          <w:sz w:val="22"/>
          <w:szCs w:val="22"/>
        </w:rPr>
        <w:t xml:space="preserve">The values are compared with the mean urban background concentrations for the same season and day of the week, to provide PE/UB (personal exposure/urban background) ratios for comparison. </w:t>
      </w:r>
      <w:r w:rsidR="003F077D" w:rsidRPr="00137DB4">
        <w:rPr>
          <w:rFonts w:asciiTheme="minorHAnsi" w:hAnsiTheme="minorHAnsi" w:cs="Arial"/>
          <w:sz w:val="22"/>
          <w:szCs w:val="22"/>
        </w:rPr>
        <w:t>Values are not provided for the 95%ile PEFD value, because the INDAIR/EXPAIR model is designed to simulate time-activity profiles across a population, and not for specific individuals</w:t>
      </w:r>
      <w:r w:rsidR="00301328" w:rsidRPr="00137DB4">
        <w:rPr>
          <w:rFonts w:asciiTheme="minorHAnsi" w:hAnsiTheme="minorHAnsi" w:cs="Arial"/>
          <w:sz w:val="22"/>
          <w:szCs w:val="22"/>
        </w:rPr>
        <w:t xml:space="preserve">; the personal exposure of any individual within the population may lie at different percentiles at different times of day. Hence the 95%ile of the mean of all the individual 24h mean personal exposures within the population is likely to be different from (lower than) the mean of the population 95%ile values at each 15 min interval, </w:t>
      </w:r>
      <w:r w:rsidR="003F077D" w:rsidRPr="00137DB4">
        <w:rPr>
          <w:rFonts w:asciiTheme="minorHAnsi" w:hAnsiTheme="minorHAnsi" w:cs="Arial"/>
          <w:sz w:val="22"/>
          <w:szCs w:val="22"/>
        </w:rPr>
        <w:t>because the same individuals would not be in the upper 5%ile of NO</w:t>
      </w:r>
      <w:r w:rsidR="003F077D" w:rsidRPr="00137DB4">
        <w:rPr>
          <w:rFonts w:asciiTheme="minorHAnsi" w:hAnsiTheme="minorHAnsi" w:cs="Arial"/>
          <w:sz w:val="22"/>
          <w:szCs w:val="22"/>
          <w:vertAlign w:val="subscript"/>
        </w:rPr>
        <w:t>2</w:t>
      </w:r>
      <w:r w:rsidR="003F077D" w:rsidRPr="00137DB4">
        <w:rPr>
          <w:rFonts w:asciiTheme="minorHAnsi" w:hAnsiTheme="minorHAnsi" w:cs="Arial"/>
          <w:sz w:val="22"/>
          <w:szCs w:val="22"/>
        </w:rPr>
        <w:t xml:space="preserve"> exposure at each 15min interval. </w:t>
      </w:r>
      <w:r w:rsidR="00301328" w:rsidRPr="00137DB4">
        <w:rPr>
          <w:rFonts w:asciiTheme="minorHAnsi" w:hAnsiTheme="minorHAnsi" w:cs="Arial"/>
          <w:sz w:val="22"/>
          <w:szCs w:val="22"/>
        </w:rPr>
        <w:t xml:space="preserve">In contrast, at each 15min interval, we capture the PEFD of the </w:t>
      </w:r>
      <w:r w:rsidR="00140CCA" w:rsidRPr="00137DB4">
        <w:rPr>
          <w:rFonts w:asciiTheme="minorHAnsi" w:hAnsiTheme="minorHAnsi" w:cs="Arial"/>
          <w:sz w:val="22"/>
          <w:szCs w:val="22"/>
        </w:rPr>
        <w:t xml:space="preserve">whole </w:t>
      </w:r>
      <w:r w:rsidR="00301328" w:rsidRPr="00137DB4">
        <w:rPr>
          <w:rFonts w:asciiTheme="minorHAnsi" w:hAnsiTheme="minorHAnsi" w:cs="Arial"/>
          <w:sz w:val="22"/>
          <w:szCs w:val="22"/>
        </w:rPr>
        <w:t>population, and averaging all these values give an unbiased estimate of the mean value of the PEFD over the day.</w:t>
      </w:r>
    </w:p>
    <w:p w14:paraId="6B03511A" w14:textId="77777777" w:rsidR="005461EC" w:rsidRPr="00137DB4" w:rsidRDefault="005461EC" w:rsidP="00140CCA">
      <w:pPr>
        <w:keepNext/>
        <w:jc w:val="both"/>
        <w:rPr>
          <w:rFonts w:asciiTheme="minorHAnsi" w:hAnsiTheme="minorHAnsi"/>
          <w:szCs w:val="22"/>
        </w:rPr>
      </w:pPr>
    </w:p>
    <w:p w14:paraId="32843B5F" w14:textId="1512B9CC" w:rsidR="007C58F6" w:rsidRDefault="007C58F6" w:rsidP="007C58F6">
      <w:pPr>
        <w:jc w:val="both"/>
        <w:rPr>
          <w:rFonts w:asciiTheme="minorHAnsi" w:hAnsiTheme="minorHAnsi"/>
          <w:szCs w:val="22"/>
        </w:rPr>
      </w:pPr>
      <w:r w:rsidRPr="008463C5">
        <w:rPr>
          <w:rFonts w:asciiTheme="minorHAnsi" w:hAnsiTheme="minorHAnsi"/>
          <w:b/>
          <w:szCs w:val="22"/>
        </w:rPr>
        <w:t xml:space="preserve">Table </w:t>
      </w:r>
      <w:r>
        <w:rPr>
          <w:rFonts w:asciiTheme="minorHAnsi" w:hAnsiTheme="minorHAnsi"/>
          <w:b/>
          <w:szCs w:val="22"/>
        </w:rPr>
        <w:t>4</w:t>
      </w:r>
      <w:r w:rsidRPr="008463C5">
        <w:rPr>
          <w:rFonts w:asciiTheme="minorHAnsi" w:hAnsiTheme="minorHAnsi"/>
          <w:b/>
          <w:szCs w:val="22"/>
        </w:rPr>
        <w:t>.</w:t>
      </w:r>
      <w:r>
        <w:rPr>
          <w:rFonts w:asciiTheme="minorHAnsi" w:hAnsiTheme="minorHAnsi"/>
          <w:szCs w:val="22"/>
        </w:rPr>
        <w:t xml:space="preserve"> Seasonal</w:t>
      </w:r>
      <w:r w:rsidRPr="00CF4818">
        <w:rPr>
          <w:rFonts w:asciiTheme="minorHAnsi" w:hAnsiTheme="minorHAnsi"/>
          <w:szCs w:val="22"/>
        </w:rPr>
        <w:t xml:space="preserve"> mean </w:t>
      </w:r>
      <w:r w:rsidRPr="00301328">
        <w:rPr>
          <w:rFonts w:asciiTheme="minorHAnsi" w:hAnsiTheme="minorHAnsi"/>
          <w:szCs w:val="22"/>
        </w:rPr>
        <w:t>NO</w:t>
      </w:r>
      <w:r w:rsidRPr="00301328">
        <w:rPr>
          <w:rFonts w:asciiTheme="minorHAnsi" w:hAnsiTheme="minorHAnsi"/>
          <w:szCs w:val="22"/>
          <w:vertAlign w:val="subscript"/>
        </w:rPr>
        <w:t>2</w:t>
      </w:r>
      <w:r w:rsidRPr="00CF4818">
        <w:rPr>
          <w:rFonts w:asciiTheme="minorHAnsi" w:hAnsiTheme="minorHAnsi"/>
          <w:szCs w:val="22"/>
        </w:rPr>
        <w:t xml:space="preserve"> personal exposures (PE) of the elderly, children and office workers and their ratios to </w:t>
      </w:r>
      <w:r>
        <w:rPr>
          <w:rFonts w:asciiTheme="minorHAnsi" w:hAnsiTheme="minorHAnsi"/>
          <w:szCs w:val="22"/>
        </w:rPr>
        <w:t>urban background (UB)</w:t>
      </w:r>
      <w:r w:rsidRPr="00CF4818">
        <w:rPr>
          <w:rFonts w:asciiTheme="minorHAnsi" w:hAnsiTheme="minorHAnsi"/>
          <w:szCs w:val="22"/>
        </w:rPr>
        <w:t xml:space="preserve"> concentrations</w:t>
      </w:r>
      <w:r>
        <w:rPr>
          <w:rFonts w:asciiTheme="minorHAnsi" w:hAnsiTheme="minorHAnsi"/>
          <w:szCs w:val="22"/>
        </w:rPr>
        <w:t xml:space="preserve"> (PE/UB), under baseline conditions, and with no home sources (NHS) and reduced road concentrations (RR) </w:t>
      </w:r>
    </w:p>
    <w:p w14:paraId="15E686A1" w14:textId="77777777" w:rsidR="007C58F6" w:rsidRPr="00CF4818" w:rsidRDefault="007C58F6" w:rsidP="007C58F6">
      <w:pPr>
        <w:pStyle w:val="HTMLBody"/>
        <w:jc w:val="both"/>
        <w:rPr>
          <w:rFonts w:asciiTheme="minorHAnsi" w:hAnsiTheme="minorHAnsi"/>
          <w:snapToGrid/>
          <w:color w:val="FF0000"/>
          <w:sz w:val="22"/>
          <w:szCs w:val="22"/>
        </w:rPr>
      </w:pPr>
    </w:p>
    <w:tbl>
      <w:tblPr>
        <w:tblStyle w:val="PlainTable41"/>
        <w:tblW w:w="9241" w:type="dxa"/>
        <w:tblLayout w:type="fixed"/>
        <w:tblLook w:val="01E0" w:firstRow="1" w:lastRow="1" w:firstColumn="1" w:lastColumn="1" w:noHBand="0" w:noVBand="0"/>
      </w:tblPr>
      <w:tblGrid>
        <w:gridCol w:w="1526"/>
        <w:gridCol w:w="870"/>
        <w:gridCol w:w="978"/>
        <w:gridCol w:w="978"/>
        <w:gridCol w:w="978"/>
        <w:gridCol w:w="977"/>
        <w:gridCol w:w="978"/>
        <w:gridCol w:w="978"/>
        <w:gridCol w:w="978"/>
      </w:tblGrid>
      <w:tr w:rsidR="007C58F6" w:rsidRPr="00CF4818" w14:paraId="5C0D3F5A" w14:textId="77777777" w:rsidTr="002B2E99">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47C77D2B" w14:textId="77777777" w:rsidR="007C58F6" w:rsidRDefault="007C58F6" w:rsidP="001C71B8">
            <w:pPr>
              <w:jc w:val="both"/>
              <w:rPr>
                <w:rFonts w:asciiTheme="minorHAnsi" w:hAnsiTheme="minorHAnsi"/>
                <w:szCs w:val="22"/>
              </w:rPr>
            </w:pPr>
          </w:p>
          <w:p w14:paraId="4B19BAAE" w14:textId="77777777" w:rsidR="007C58F6" w:rsidRPr="00CF4818" w:rsidRDefault="007C58F6" w:rsidP="001C71B8">
            <w:pPr>
              <w:jc w:val="both"/>
              <w:rPr>
                <w:rFonts w:asciiTheme="minorHAnsi" w:hAnsiTheme="minorHAnsi"/>
                <w:szCs w:val="22"/>
              </w:rPr>
            </w:pPr>
          </w:p>
        </w:tc>
        <w:tc>
          <w:tcPr>
            <w:cnfStyle w:val="000010000000" w:firstRow="0" w:lastRow="0" w:firstColumn="0" w:lastColumn="0" w:oddVBand="1" w:evenVBand="0" w:oddHBand="0" w:evenHBand="0" w:firstRowFirstColumn="0" w:firstRowLastColumn="0" w:lastRowFirstColumn="0" w:lastRowLastColumn="0"/>
            <w:tcW w:w="1848" w:type="dxa"/>
            <w:gridSpan w:val="2"/>
          </w:tcPr>
          <w:p w14:paraId="351B79CE" w14:textId="77777777" w:rsidR="007C58F6" w:rsidRPr="00CF4818" w:rsidRDefault="007C58F6" w:rsidP="001C71B8">
            <w:pPr>
              <w:jc w:val="both"/>
              <w:rPr>
                <w:rFonts w:asciiTheme="minorHAnsi" w:hAnsiTheme="minorHAnsi"/>
                <w:szCs w:val="22"/>
              </w:rPr>
            </w:pPr>
            <w:r w:rsidRPr="00CF4818">
              <w:rPr>
                <w:rFonts w:asciiTheme="minorHAnsi" w:hAnsiTheme="minorHAnsi"/>
                <w:szCs w:val="22"/>
              </w:rPr>
              <w:t>Winter weekday</w:t>
            </w:r>
          </w:p>
        </w:tc>
        <w:tc>
          <w:tcPr>
            <w:tcW w:w="1956" w:type="dxa"/>
            <w:gridSpan w:val="2"/>
          </w:tcPr>
          <w:p w14:paraId="7A1CB072" w14:textId="77777777" w:rsidR="007C58F6" w:rsidRPr="00CF4818"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CF4818">
              <w:rPr>
                <w:rFonts w:asciiTheme="minorHAnsi" w:hAnsiTheme="minorHAnsi"/>
                <w:szCs w:val="22"/>
              </w:rPr>
              <w:t>Winter weekend</w:t>
            </w:r>
          </w:p>
        </w:tc>
        <w:tc>
          <w:tcPr>
            <w:cnfStyle w:val="000010000000" w:firstRow="0" w:lastRow="0" w:firstColumn="0" w:lastColumn="0" w:oddVBand="1" w:evenVBand="0" w:oddHBand="0" w:evenHBand="0" w:firstRowFirstColumn="0" w:firstRowLastColumn="0" w:lastRowFirstColumn="0" w:lastRowLastColumn="0"/>
            <w:tcW w:w="1955" w:type="dxa"/>
            <w:gridSpan w:val="2"/>
          </w:tcPr>
          <w:p w14:paraId="39A9F2BC" w14:textId="77777777" w:rsidR="007C58F6" w:rsidRPr="00CF4818" w:rsidRDefault="007C58F6" w:rsidP="001C71B8">
            <w:pPr>
              <w:jc w:val="both"/>
              <w:rPr>
                <w:rFonts w:asciiTheme="minorHAnsi" w:hAnsiTheme="minorHAnsi"/>
                <w:szCs w:val="22"/>
              </w:rPr>
            </w:pPr>
            <w:r w:rsidRPr="00CF4818">
              <w:rPr>
                <w:rFonts w:asciiTheme="minorHAnsi" w:hAnsiTheme="minorHAnsi"/>
                <w:szCs w:val="22"/>
              </w:rPr>
              <w:t>Summer weekday</w:t>
            </w:r>
          </w:p>
        </w:tc>
        <w:tc>
          <w:tcPr>
            <w:cnfStyle w:val="000100000000" w:firstRow="0" w:lastRow="0" w:firstColumn="0" w:lastColumn="1" w:oddVBand="0" w:evenVBand="0" w:oddHBand="0" w:evenHBand="0" w:firstRowFirstColumn="0" w:firstRowLastColumn="0" w:lastRowFirstColumn="0" w:lastRowLastColumn="0"/>
            <w:tcW w:w="1956" w:type="dxa"/>
            <w:gridSpan w:val="2"/>
          </w:tcPr>
          <w:p w14:paraId="47D1F0BC" w14:textId="77777777" w:rsidR="007C58F6" w:rsidRPr="00CF4818" w:rsidRDefault="007C58F6" w:rsidP="001C71B8">
            <w:pPr>
              <w:jc w:val="both"/>
              <w:rPr>
                <w:rFonts w:asciiTheme="minorHAnsi" w:hAnsiTheme="minorHAnsi"/>
                <w:szCs w:val="22"/>
              </w:rPr>
            </w:pPr>
            <w:r w:rsidRPr="00CF4818">
              <w:rPr>
                <w:rFonts w:asciiTheme="minorHAnsi" w:hAnsiTheme="minorHAnsi"/>
                <w:szCs w:val="22"/>
              </w:rPr>
              <w:t>Summer weekend</w:t>
            </w:r>
          </w:p>
        </w:tc>
      </w:tr>
      <w:tr w:rsidR="007C58F6" w:rsidRPr="00CF4818" w14:paraId="41C7EB5E" w14:textId="77777777" w:rsidTr="002B2E99">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26" w:type="dxa"/>
            <w:vMerge/>
          </w:tcPr>
          <w:p w14:paraId="03443E7C" w14:textId="77777777" w:rsidR="007C58F6" w:rsidRPr="00CF4818" w:rsidRDefault="007C58F6" w:rsidP="001C71B8">
            <w:pPr>
              <w:jc w:val="both"/>
              <w:rPr>
                <w:rFonts w:asciiTheme="minorHAnsi" w:hAnsiTheme="minorHAnsi"/>
                <w:szCs w:val="22"/>
              </w:rPr>
            </w:pPr>
          </w:p>
        </w:tc>
        <w:tc>
          <w:tcPr>
            <w:cnfStyle w:val="000010000000" w:firstRow="0" w:lastRow="0" w:firstColumn="0" w:lastColumn="0" w:oddVBand="1" w:evenVBand="0" w:oddHBand="0" w:evenHBand="0" w:firstRowFirstColumn="0" w:firstRowLastColumn="0" w:lastRowFirstColumn="0" w:lastRowLastColumn="0"/>
            <w:tcW w:w="870" w:type="dxa"/>
          </w:tcPr>
          <w:p w14:paraId="6C1DC5E7" w14:textId="77777777" w:rsidR="007C58F6" w:rsidRPr="002B2E99" w:rsidRDefault="007C58F6" w:rsidP="001C71B8">
            <w:pPr>
              <w:jc w:val="center"/>
              <w:rPr>
                <w:rFonts w:asciiTheme="minorHAnsi" w:hAnsiTheme="minorHAnsi"/>
                <w:b/>
                <w:szCs w:val="22"/>
              </w:rPr>
            </w:pPr>
            <w:r w:rsidRPr="002B2E99">
              <w:rPr>
                <w:rFonts w:asciiTheme="minorHAnsi" w:hAnsiTheme="minorHAnsi"/>
                <w:b/>
                <w:szCs w:val="22"/>
              </w:rPr>
              <w:t>mean</w:t>
            </w:r>
          </w:p>
        </w:tc>
        <w:tc>
          <w:tcPr>
            <w:tcW w:w="978" w:type="dxa"/>
          </w:tcPr>
          <w:p w14:paraId="4D3E2B3A" w14:textId="77777777" w:rsidR="007C58F6" w:rsidRPr="002B2E99" w:rsidRDefault="007C58F6"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2B2E99">
              <w:rPr>
                <w:rFonts w:asciiTheme="minorHAnsi" w:hAnsiTheme="minorHAnsi"/>
                <w:b/>
                <w:szCs w:val="22"/>
              </w:rPr>
              <w:t>PE/UB</w:t>
            </w:r>
          </w:p>
        </w:tc>
        <w:tc>
          <w:tcPr>
            <w:cnfStyle w:val="000010000000" w:firstRow="0" w:lastRow="0" w:firstColumn="0" w:lastColumn="0" w:oddVBand="1" w:evenVBand="0" w:oddHBand="0" w:evenHBand="0" w:firstRowFirstColumn="0" w:firstRowLastColumn="0" w:lastRowFirstColumn="0" w:lastRowLastColumn="0"/>
            <w:tcW w:w="978" w:type="dxa"/>
          </w:tcPr>
          <w:p w14:paraId="650D27A9" w14:textId="77777777" w:rsidR="007C58F6" w:rsidRPr="002B2E99" w:rsidRDefault="007C58F6" w:rsidP="001C71B8">
            <w:pPr>
              <w:jc w:val="center"/>
              <w:rPr>
                <w:rFonts w:asciiTheme="minorHAnsi" w:hAnsiTheme="minorHAnsi"/>
                <w:b/>
                <w:szCs w:val="22"/>
              </w:rPr>
            </w:pPr>
            <w:r w:rsidRPr="002B2E99">
              <w:rPr>
                <w:rFonts w:asciiTheme="minorHAnsi" w:hAnsiTheme="minorHAnsi"/>
                <w:b/>
                <w:szCs w:val="22"/>
              </w:rPr>
              <w:t>mean</w:t>
            </w:r>
          </w:p>
        </w:tc>
        <w:tc>
          <w:tcPr>
            <w:tcW w:w="978" w:type="dxa"/>
          </w:tcPr>
          <w:p w14:paraId="44B76532" w14:textId="77777777" w:rsidR="007C58F6" w:rsidRPr="002B2E99" w:rsidRDefault="007C58F6"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2B2E99">
              <w:rPr>
                <w:rFonts w:asciiTheme="minorHAnsi" w:hAnsiTheme="minorHAnsi"/>
                <w:b/>
                <w:szCs w:val="22"/>
              </w:rPr>
              <w:t>PE/UB</w:t>
            </w:r>
          </w:p>
        </w:tc>
        <w:tc>
          <w:tcPr>
            <w:cnfStyle w:val="000010000000" w:firstRow="0" w:lastRow="0" w:firstColumn="0" w:lastColumn="0" w:oddVBand="1" w:evenVBand="0" w:oddHBand="0" w:evenHBand="0" w:firstRowFirstColumn="0" w:firstRowLastColumn="0" w:lastRowFirstColumn="0" w:lastRowLastColumn="0"/>
            <w:tcW w:w="977" w:type="dxa"/>
          </w:tcPr>
          <w:p w14:paraId="4AB21118" w14:textId="77777777" w:rsidR="007C58F6" w:rsidRPr="002B2E99" w:rsidRDefault="007C58F6" w:rsidP="001C71B8">
            <w:pPr>
              <w:jc w:val="center"/>
              <w:rPr>
                <w:rFonts w:asciiTheme="minorHAnsi" w:hAnsiTheme="minorHAnsi"/>
                <w:b/>
                <w:szCs w:val="22"/>
              </w:rPr>
            </w:pPr>
            <w:r w:rsidRPr="002B2E99">
              <w:rPr>
                <w:rFonts w:asciiTheme="minorHAnsi" w:hAnsiTheme="minorHAnsi"/>
                <w:b/>
                <w:szCs w:val="22"/>
              </w:rPr>
              <w:t>mean</w:t>
            </w:r>
          </w:p>
        </w:tc>
        <w:tc>
          <w:tcPr>
            <w:tcW w:w="978" w:type="dxa"/>
          </w:tcPr>
          <w:p w14:paraId="2C46AF12" w14:textId="77777777" w:rsidR="007C58F6" w:rsidRPr="002B2E99" w:rsidRDefault="007C58F6" w:rsidP="001C71B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Cs w:val="22"/>
              </w:rPr>
            </w:pPr>
            <w:r w:rsidRPr="002B2E99">
              <w:rPr>
                <w:rFonts w:asciiTheme="minorHAnsi" w:hAnsiTheme="minorHAnsi"/>
                <w:b/>
                <w:szCs w:val="22"/>
              </w:rPr>
              <w:t>PE/UB</w:t>
            </w:r>
          </w:p>
        </w:tc>
        <w:tc>
          <w:tcPr>
            <w:cnfStyle w:val="000010000000" w:firstRow="0" w:lastRow="0" w:firstColumn="0" w:lastColumn="0" w:oddVBand="1" w:evenVBand="0" w:oddHBand="0" w:evenHBand="0" w:firstRowFirstColumn="0" w:firstRowLastColumn="0" w:lastRowFirstColumn="0" w:lastRowLastColumn="0"/>
            <w:tcW w:w="978" w:type="dxa"/>
          </w:tcPr>
          <w:p w14:paraId="2EB707DA" w14:textId="77777777" w:rsidR="007C58F6" w:rsidRPr="002B2E99" w:rsidRDefault="007C58F6" w:rsidP="001C71B8">
            <w:pPr>
              <w:jc w:val="center"/>
              <w:rPr>
                <w:rFonts w:asciiTheme="minorHAnsi" w:hAnsiTheme="minorHAnsi"/>
                <w:b/>
                <w:szCs w:val="22"/>
              </w:rPr>
            </w:pPr>
            <w:r w:rsidRPr="002B2E99">
              <w:rPr>
                <w:rFonts w:asciiTheme="minorHAnsi" w:hAnsiTheme="minorHAnsi"/>
                <w:b/>
                <w:szCs w:val="22"/>
              </w:rPr>
              <w:t>mean</w:t>
            </w:r>
          </w:p>
        </w:tc>
        <w:tc>
          <w:tcPr>
            <w:cnfStyle w:val="000100000000" w:firstRow="0" w:lastRow="0" w:firstColumn="0" w:lastColumn="1" w:oddVBand="0" w:evenVBand="0" w:oddHBand="0" w:evenHBand="0" w:firstRowFirstColumn="0" w:firstRowLastColumn="0" w:lastRowFirstColumn="0" w:lastRowLastColumn="0"/>
            <w:tcW w:w="978" w:type="dxa"/>
          </w:tcPr>
          <w:p w14:paraId="3EB50685" w14:textId="77777777" w:rsidR="007C58F6" w:rsidRPr="002B2E99" w:rsidRDefault="007C58F6" w:rsidP="001C71B8">
            <w:pPr>
              <w:jc w:val="center"/>
              <w:rPr>
                <w:rFonts w:asciiTheme="minorHAnsi" w:hAnsiTheme="minorHAnsi"/>
                <w:szCs w:val="22"/>
              </w:rPr>
            </w:pPr>
            <w:r w:rsidRPr="002B2E99">
              <w:rPr>
                <w:rFonts w:asciiTheme="minorHAnsi" w:hAnsiTheme="minorHAnsi"/>
                <w:szCs w:val="22"/>
              </w:rPr>
              <w:t>PE/UB</w:t>
            </w:r>
          </w:p>
        </w:tc>
      </w:tr>
      <w:tr w:rsidR="007C58F6" w:rsidRPr="00CF4818" w14:paraId="6E923FC1" w14:textId="77777777" w:rsidTr="002B2E99">
        <w:trPr>
          <w:trHeight w:val="1049"/>
        </w:trPr>
        <w:tc>
          <w:tcPr>
            <w:cnfStyle w:val="001000000000" w:firstRow="0" w:lastRow="0" w:firstColumn="1" w:lastColumn="0" w:oddVBand="0" w:evenVBand="0" w:oddHBand="0" w:evenHBand="0" w:firstRowFirstColumn="0" w:firstRowLastColumn="0" w:lastRowFirstColumn="0" w:lastRowLastColumn="0"/>
            <w:tcW w:w="1526" w:type="dxa"/>
          </w:tcPr>
          <w:p w14:paraId="2D9D40D4"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i/>
                <w:szCs w:val="22"/>
              </w:rPr>
              <w:t>Office workers</w:t>
            </w:r>
          </w:p>
          <w:p w14:paraId="04CCCA07"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Baseline</w:t>
            </w:r>
          </w:p>
          <w:p w14:paraId="3F6F2D2F"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NHS</w:t>
            </w:r>
          </w:p>
          <w:p w14:paraId="27253838"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RR</w:t>
            </w:r>
          </w:p>
        </w:tc>
        <w:tc>
          <w:tcPr>
            <w:cnfStyle w:val="000010000000" w:firstRow="0" w:lastRow="0" w:firstColumn="0" w:lastColumn="0" w:oddVBand="1" w:evenVBand="0" w:oddHBand="0" w:evenHBand="0" w:firstRowFirstColumn="0" w:firstRowLastColumn="0" w:lastRowFirstColumn="0" w:lastRowLastColumn="0"/>
            <w:tcW w:w="870" w:type="dxa"/>
          </w:tcPr>
          <w:p w14:paraId="59EA9582" w14:textId="77777777" w:rsidR="007C58F6" w:rsidRPr="00CF4818" w:rsidRDefault="007C58F6" w:rsidP="001C71B8">
            <w:pPr>
              <w:tabs>
                <w:tab w:val="decimal" w:pos="401"/>
              </w:tabs>
              <w:rPr>
                <w:rFonts w:asciiTheme="minorHAnsi" w:hAnsiTheme="minorHAnsi"/>
                <w:szCs w:val="22"/>
              </w:rPr>
            </w:pPr>
          </w:p>
          <w:p w14:paraId="17767BEA"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14.6</w:t>
            </w:r>
          </w:p>
          <w:p w14:paraId="377C71C3"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14.2</w:t>
            </w:r>
          </w:p>
          <w:p w14:paraId="3C2510B2" w14:textId="77777777" w:rsidR="007C58F6" w:rsidRPr="00CF4818" w:rsidRDefault="007C58F6" w:rsidP="001C71B8">
            <w:pPr>
              <w:tabs>
                <w:tab w:val="decimal" w:pos="401"/>
              </w:tabs>
              <w:rPr>
                <w:rFonts w:asciiTheme="minorHAnsi" w:hAnsiTheme="minorHAnsi"/>
                <w:szCs w:val="22"/>
              </w:rPr>
            </w:pPr>
            <w:r w:rsidRPr="00CF4818">
              <w:rPr>
                <w:rFonts w:asciiTheme="minorHAnsi" w:hAnsiTheme="minorHAnsi"/>
                <w:szCs w:val="22"/>
              </w:rPr>
              <w:t>13.2</w:t>
            </w:r>
          </w:p>
        </w:tc>
        <w:tc>
          <w:tcPr>
            <w:tcW w:w="978" w:type="dxa"/>
          </w:tcPr>
          <w:p w14:paraId="74FE41BF" w14:textId="77777777" w:rsidR="007C58F6" w:rsidRPr="00CF4818" w:rsidRDefault="007C58F6" w:rsidP="001C71B8">
            <w:pPr>
              <w:tabs>
                <w:tab w:val="decimal" w:pos="304"/>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592D285B" w14:textId="77777777" w:rsidR="007C58F6" w:rsidRDefault="007C58F6" w:rsidP="001C71B8">
            <w:pPr>
              <w:tabs>
                <w:tab w:val="decimal" w:pos="304"/>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0.73</w:t>
            </w:r>
          </w:p>
          <w:p w14:paraId="34722185" w14:textId="77777777" w:rsidR="007C58F6" w:rsidRDefault="007C58F6" w:rsidP="001C71B8">
            <w:pPr>
              <w:tabs>
                <w:tab w:val="decimal" w:pos="304"/>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0.71</w:t>
            </w:r>
          </w:p>
          <w:p w14:paraId="197CCBD4" w14:textId="77777777" w:rsidR="007C58F6" w:rsidRPr="00CF4818" w:rsidRDefault="007C58F6" w:rsidP="001C71B8">
            <w:pPr>
              <w:tabs>
                <w:tab w:val="decimal" w:pos="304"/>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0.66</w:t>
            </w:r>
          </w:p>
        </w:tc>
        <w:tc>
          <w:tcPr>
            <w:cnfStyle w:val="000010000000" w:firstRow="0" w:lastRow="0" w:firstColumn="0" w:lastColumn="0" w:oddVBand="1" w:evenVBand="0" w:oddHBand="0" w:evenHBand="0" w:firstRowFirstColumn="0" w:firstRowLastColumn="0" w:lastRowFirstColumn="0" w:lastRowLastColumn="0"/>
            <w:tcW w:w="978" w:type="dxa"/>
          </w:tcPr>
          <w:p w14:paraId="63A435B1" w14:textId="77777777" w:rsidR="007C58F6" w:rsidRPr="00CF4818" w:rsidRDefault="007C58F6" w:rsidP="001C71B8">
            <w:pPr>
              <w:tabs>
                <w:tab w:val="decimal" w:pos="401"/>
              </w:tabs>
              <w:rPr>
                <w:rFonts w:asciiTheme="minorHAnsi" w:hAnsiTheme="minorHAnsi"/>
                <w:szCs w:val="22"/>
              </w:rPr>
            </w:pPr>
          </w:p>
          <w:p w14:paraId="2DACB18D"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12.6</w:t>
            </w:r>
          </w:p>
          <w:p w14:paraId="5524376D" w14:textId="77777777" w:rsidR="007C58F6" w:rsidRPr="00CF4818" w:rsidRDefault="007C58F6" w:rsidP="001C71B8">
            <w:pPr>
              <w:tabs>
                <w:tab w:val="decimal" w:pos="401"/>
              </w:tabs>
              <w:rPr>
                <w:rFonts w:asciiTheme="minorHAnsi" w:hAnsiTheme="minorHAnsi"/>
                <w:szCs w:val="22"/>
              </w:rPr>
            </w:pPr>
            <w:r w:rsidRPr="00CF4818">
              <w:rPr>
                <w:rFonts w:asciiTheme="minorHAnsi" w:hAnsiTheme="minorHAnsi"/>
                <w:szCs w:val="22"/>
              </w:rPr>
              <w:t>12.5</w:t>
            </w:r>
          </w:p>
          <w:p w14:paraId="696F3C31" w14:textId="77777777" w:rsidR="007C58F6" w:rsidRPr="00CF4818" w:rsidRDefault="007C58F6" w:rsidP="001C71B8">
            <w:pPr>
              <w:tabs>
                <w:tab w:val="decimal" w:pos="401"/>
              </w:tabs>
              <w:rPr>
                <w:rFonts w:asciiTheme="minorHAnsi" w:hAnsiTheme="minorHAnsi"/>
                <w:szCs w:val="22"/>
              </w:rPr>
            </w:pPr>
            <w:r w:rsidRPr="00CF4818">
              <w:rPr>
                <w:rFonts w:asciiTheme="minorHAnsi" w:hAnsiTheme="minorHAnsi"/>
                <w:szCs w:val="22"/>
              </w:rPr>
              <w:t>11.6</w:t>
            </w:r>
          </w:p>
        </w:tc>
        <w:tc>
          <w:tcPr>
            <w:tcW w:w="978" w:type="dxa"/>
          </w:tcPr>
          <w:p w14:paraId="6B651DB5" w14:textId="77777777" w:rsidR="007C58F6" w:rsidRDefault="007C58F6" w:rsidP="001C71B8">
            <w:pPr>
              <w:tabs>
                <w:tab w:val="decimal" w:pos="328"/>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213196E7" w14:textId="77777777" w:rsidR="007C58F6" w:rsidRDefault="007C58F6" w:rsidP="001C71B8">
            <w:pPr>
              <w:tabs>
                <w:tab w:val="decimal" w:pos="328"/>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0.76</w:t>
            </w:r>
          </w:p>
          <w:p w14:paraId="0676CFD9" w14:textId="77777777" w:rsidR="007C58F6" w:rsidRDefault="007C58F6" w:rsidP="001C71B8">
            <w:pPr>
              <w:tabs>
                <w:tab w:val="decimal" w:pos="328"/>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0.75</w:t>
            </w:r>
          </w:p>
          <w:p w14:paraId="17106697" w14:textId="77777777" w:rsidR="007C58F6" w:rsidRPr="00CF4818" w:rsidRDefault="007C58F6" w:rsidP="001C71B8">
            <w:pPr>
              <w:tabs>
                <w:tab w:val="decimal" w:pos="328"/>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0.70</w:t>
            </w:r>
          </w:p>
        </w:tc>
        <w:tc>
          <w:tcPr>
            <w:cnfStyle w:val="000010000000" w:firstRow="0" w:lastRow="0" w:firstColumn="0" w:lastColumn="0" w:oddVBand="1" w:evenVBand="0" w:oddHBand="0" w:evenHBand="0" w:firstRowFirstColumn="0" w:firstRowLastColumn="0" w:lastRowFirstColumn="0" w:lastRowLastColumn="0"/>
            <w:tcW w:w="977" w:type="dxa"/>
          </w:tcPr>
          <w:p w14:paraId="6B3C6F84" w14:textId="77777777" w:rsidR="007C58F6" w:rsidRPr="00CF4818" w:rsidRDefault="007C58F6" w:rsidP="001C71B8">
            <w:pPr>
              <w:tabs>
                <w:tab w:val="decimal" w:pos="401"/>
              </w:tabs>
              <w:rPr>
                <w:rFonts w:asciiTheme="minorHAnsi" w:hAnsiTheme="minorHAnsi"/>
                <w:szCs w:val="22"/>
              </w:rPr>
            </w:pPr>
          </w:p>
          <w:p w14:paraId="088F11CB"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13.7</w:t>
            </w:r>
          </w:p>
          <w:p w14:paraId="73AA4F5E"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13.4</w:t>
            </w:r>
          </w:p>
          <w:p w14:paraId="67B3B2F2" w14:textId="77777777" w:rsidR="007C58F6" w:rsidRPr="00CF4818" w:rsidRDefault="007C58F6" w:rsidP="001C71B8">
            <w:pPr>
              <w:tabs>
                <w:tab w:val="decimal" w:pos="401"/>
              </w:tabs>
              <w:rPr>
                <w:rFonts w:asciiTheme="minorHAnsi" w:hAnsiTheme="minorHAnsi"/>
                <w:szCs w:val="22"/>
              </w:rPr>
            </w:pPr>
            <w:r w:rsidRPr="00CF4818">
              <w:rPr>
                <w:rFonts w:asciiTheme="minorHAnsi" w:hAnsiTheme="minorHAnsi"/>
                <w:szCs w:val="22"/>
              </w:rPr>
              <w:t>12.3</w:t>
            </w:r>
          </w:p>
        </w:tc>
        <w:tc>
          <w:tcPr>
            <w:tcW w:w="978" w:type="dxa"/>
          </w:tcPr>
          <w:p w14:paraId="73E4DA08" w14:textId="77777777" w:rsidR="007C58F6" w:rsidRPr="00CF4818" w:rsidRDefault="007C58F6" w:rsidP="001C71B8">
            <w:pPr>
              <w:tabs>
                <w:tab w:val="decimal" w:pos="353"/>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2D8D693B" w14:textId="77777777" w:rsidR="007C58F6" w:rsidRDefault="007C58F6" w:rsidP="001C71B8">
            <w:pPr>
              <w:tabs>
                <w:tab w:val="decimal" w:pos="353"/>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0.95</w:t>
            </w:r>
          </w:p>
          <w:p w14:paraId="250ACDBC" w14:textId="77777777" w:rsidR="007C58F6" w:rsidRDefault="007C58F6" w:rsidP="001C71B8">
            <w:pPr>
              <w:tabs>
                <w:tab w:val="decimal" w:pos="353"/>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0.93</w:t>
            </w:r>
          </w:p>
          <w:p w14:paraId="2A835BD9" w14:textId="77777777" w:rsidR="007C58F6" w:rsidRPr="00CF4818" w:rsidRDefault="007C58F6" w:rsidP="001C71B8">
            <w:pPr>
              <w:tabs>
                <w:tab w:val="decimal" w:pos="353"/>
              </w:tab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0.85</w:t>
            </w:r>
          </w:p>
        </w:tc>
        <w:tc>
          <w:tcPr>
            <w:cnfStyle w:val="000010000000" w:firstRow="0" w:lastRow="0" w:firstColumn="0" w:lastColumn="0" w:oddVBand="1" w:evenVBand="0" w:oddHBand="0" w:evenHBand="0" w:firstRowFirstColumn="0" w:firstRowLastColumn="0" w:lastRowFirstColumn="0" w:lastRowLastColumn="0"/>
            <w:tcW w:w="978" w:type="dxa"/>
          </w:tcPr>
          <w:p w14:paraId="0C67504D" w14:textId="77777777" w:rsidR="007C58F6" w:rsidRPr="00CF4818" w:rsidRDefault="007C58F6" w:rsidP="001C71B8">
            <w:pPr>
              <w:tabs>
                <w:tab w:val="decimal" w:pos="401"/>
              </w:tabs>
              <w:rPr>
                <w:rFonts w:asciiTheme="minorHAnsi" w:hAnsiTheme="minorHAnsi"/>
                <w:szCs w:val="22"/>
              </w:rPr>
            </w:pPr>
          </w:p>
          <w:p w14:paraId="728063D9"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10.8</w:t>
            </w:r>
          </w:p>
          <w:p w14:paraId="42837FC8" w14:textId="77777777" w:rsidR="007C58F6" w:rsidRPr="00CF4818" w:rsidRDefault="007C58F6" w:rsidP="001C71B8">
            <w:pPr>
              <w:tabs>
                <w:tab w:val="decimal" w:pos="401"/>
              </w:tabs>
              <w:rPr>
                <w:rFonts w:asciiTheme="minorHAnsi" w:hAnsiTheme="minorHAnsi"/>
                <w:szCs w:val="22"/>
              </w:rPr>
            </w:pPr>
            <w:r w:rsidRPr="003041F4">
              <w:rPr>
                <w:rFonts w:asciiTheme="minorHAnsi" w:hAnsiTheme="minorHAnsi"/>
                <w:szCs w:val="22"/>
              </w:rPr>
              <w:t>10.6</w:t>
            </w:r>
          </w:p>
          <w:p w14:paraId="49C9F08D" w14:textId="77777777" w:rsidR="007C58F6" w:rsidRPr="00CF4818" w:rsidRDefault="007C58F6" w:rsidP="001C71B8">
            <w:pPr>
              <w:tabs>
                <w:tab w:val="decimal" w:pos="401"/>
              </w:tabs>
              <w:rPr>
                <w:rFonts w:asciiTheme="minorHAnsi" w:hAnsiTheme="minorHAnsi"/>
                <w:szCs w:val="22"/>
              </w:rPr>
            </w:pPr>
            <w:r w:rsidRPr="00CF4818">
              <w:rPr>
                <w:rFonts w:asciiTheme="minorHAnsi" w:hAnsiTheme="minorHAnsi"/>
                <w:szCs w:val="22"/>
              </w:rPr>
              <w:t>9.5</w:t>
            </w:r>
          </w:p>
        </w:tc>
        <w:tc>
          <w:tcPr>
            <w:cnfStyle w:val="000100000000" w:firstRow="0" w:lastRow="0" w:firstColumn="0" w:lastColumn="1" w:oddVBand="0" w:evenVBand="0" w:oddHBand="0" w:evenHBand="0" w:firstRowFirstColumn="0" w:firstRowLastColumn="0" w:lastRowFirstColumn="0" w:lastRowLastColumn="0"/>
            <w:tcW w:w="978" w:type="dxa"/>
          </w:tcPr>
          <w:p w14:paraId="631E2358" w14:textId="77777777" w:rsidR="007C58F6" w:rsidRPr="002B2E99" w:rsidRDefault="007C58F6" w:rsidP="001C71B8">
            <w:pPr>
              <w:tabs>
                <w:tab w:val="decimal" w:pos="197"/>
              </w:tabs>
              <w:rPr>
                <w:rFonts w:asciiTheme="minorHAnsi" w:hAnsiTheme="minorHAnsi"/>
                <w:b w:val="0"/>
                <w:szCs w:val="22"/>
              </w:rPr>
            </w:pPr>
          </w:p>
          <w:p w14:paraId="163EC3CF" w14:textId="77777777" w:rsidR="007C58F6" w:rsidRPr="002B2E99" w:rsidRDefault="007C58F6" w:rsidP="001C71B8">
            <w:pPr>
              <w:tabs>
                <w:tab w:val="decimal" w:pos="197"/>
              </w:tabs>
              <w:rPr>
                <w:rFonts w:asciiTheme="minorHAnsi" w:hAnsiTheme="minorHAnsi"/>
                <w:b w:val="0"/>
                <w:szCs w:val="22"/>
              </w:rPr>
            </w:pPr>
            <w:r w:rsidRPr="002B2E99">
              <w:rPr>
                <w:rFonts w:asciiTheme="minorHAnsi" w:hAnsiTheme="minorHAnsi"/>
                <w:b w:val="0"/>
                <w:szCs w:val="22"/>
              </w:rPr>
              <w:t>1.02</w:t>
            </w:r>
          </w:p>
          <w:p w14:paraId="00EA91B4" w14:textId="77777777" w:rsidR="007C58F6" w:rsidRPr="002B2E99" w:rsidRDefault="007C58F6" w:rsidP="001C71B8">
            <w:pPr>
              <w:tabs>
                <w:tab w:val="decimal" w:pos="197"/>
              </w:tabs>
              <w:rPr>
                <w:rFonts w:asciiTheme="minorHAnsi" w:hAnsiTheme="minorHAnsi"/>
                <w:b w:val="0"/>
                <w:szCs w:val="22"/>
              </w:rPr>
            </w:pPr>
            <w:r w:rsidRPr="002B2E99">
              <w:rPr>
                <w:rFonts w:asciiTheme="minorHAnsi" w:hAnsiTheme="minorHAnsi"/>
                <w:b w:val="0"/>
                <w:szCs w:val="22"/>
              </w:rPr>
              <w:t>1.00</w:t>
            </w:r>
          </w:p>
          <w:p w14:paraId="41E44E07" w14:textId="77777777" w:rsidR="007C58F6" w:rsidRPr="002B2E99" w:rsidRDefault="007C58F6" w:rsidP="001C71B8">
            <w:pPr>
              <w:tabs>
                <w:tab w:val="decimal" w:pos="197"/>
              </w:tabs>
              <w:rPr>
                <w:rFonts w:asciiTheme="minorHAnsi" w:hAnsiTheme="minorHAnsi"/>
                <w:b w:val="0"/>
                <w:szCs w:val="22"/>
              </w:rPr>
            </w:pPr>
            <w:r w:rsidRPr="002B2E99">
              <w:rPr>
                <w:rFonts w:asciiTheme="minorHAnsi" w:hAnsiTheme="minorHAnsi"/>
                <w:b w:val="0"/>
                <w:szCs w:val="22"/>
              </w:rPr>
              <w:t>0.90</w:t>
            </w:r>
          </w:p>
        </w:tc>
      </w:tr>
      <w:tr w:rsidR="007C58F6" w:rsidRPr="00CF4818" w14:paraId="740275C9" w14:textId="77777777" w:rsidTr="002B2E99">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526" w:type="dxa"/>
          </w:tcPr>
          <w:p w14:paraId="7BA4B2EA"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i/>
                <w:szCs w:val="22"/>
              </w:rPr>
              <w:t>Children</w:t>
            </w:r>
          </w:p>
          <w:p w14:paraId="7870B91C"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Baseline</w:t>
            </w:r>
          </w:p>
          <w:p w14:paraId="177A5BFD"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NHS</w:t>
            </w:r>
          </w:p>
          <w:p w14:paraId="4C27B347"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RR</w:t>
            </w:r>
          </w:p>
        </w:tc>
        <w:tc>
          <w:tcPr>
            <w:cnfStyle w:val="000010000000" w:firstRow="0" w:lastRow="0" w:firstColumn="0" w:lastColumn="0" w:oddVBand="1" w:evenVBand="0" w:oddHBand="0" w:evenHBand="0" w:firstRowFirstColumn="0" w:firstRowLastColumn="0" w:lastRowFirstColumn="0" w:lastRowLastColumn="0"/>
            <w:tcW w:w="870" w:type="dxa"/>
          </w:tcPr>
          <w:p w14:paraId="2A1597BE" w14:textId="77777777" w:rsidR="007C58F6" w:rsidRPr="00CF4818" w:rsidRDefault="007C58F6" w:rsidP="001C71B8">
            <w:pPr>
              <w:tabs>
                <w:tab w:val="decimal" w:pos="401"/>
              </w:tabs>
              <w:jc w:val="both"/>
              <w:rPr>
                <w:rFonts w:asciiTheme="minorHAnsi" w:hAnsiTheme="minorHAnsi"/>
                <w:szCs w:val="22"/>
              </w:rPr>
            </w:pPr>
          </w:p>
          <w:p w14:paraId="196B0B8C"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13.3</w:t>
            </w:r>
          </w:p>
          <w:p w14:paraId="3AA6C430"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12.6</w:t>
            </w:r>
          </w:p>
          <w:p w14:paraId="2AC14679"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 xml:space="preserve">12.2 </w:t>
            </w:r>
          </w:p>
        </w:tc>
        <w:tc>
          <w:tcPr>
            <w:tcW w:w="978" w:type="dxa"/>
          </w:tcPr>
          <w:p w14:paraId="53B94C0C" w14:textId="77777777" w:rsidR="007C58F6" w:rsidRPr="00CF4818" w:rsidRDefault="007C58F6" w:rsidP="001C71B8">
            <w:pPr>
              <w:tabs>
                <w:tab w:val="decimal" w:pos="3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06A75C21" w14:textId="77777777" w:rsidR="007C58F6" w:rsidRDefault="007C58F6" w:rsidP="001C71B8">
            <w:pPr>
              <w:tabs>
                <w:tab w:val="decimal" w:pos="3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0.67</w:t>
            </w:r>
          </w:p>
          <w:p w14:paraId="5D860373" w14:textId="77777777" w:rsidR="007C58F6" w:rsidRDefault="007C58F6" w:rsidP="001C71B8">
            <w:pPr>
              <w:tabs>
                <w:tab w:val="decimal" w:pos="3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0.63</w:t>
            </w:r>
          </w:p>
          <w:p w14:paraId="793F4C15" w14:textId="77777777" w:rsidR="007C58F6" w:rsidRPr="00CF4818" w:rsidRDefault="007C58F6" w:rsidP="001C71B8">
            <w:pPr>
              <w:tabs>
                <w:tab w:val="decimal" w:pos="3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0.61</w:t>
            </w:r>
          </w:p>
        </w:tc>
        <w:tc>
          <w:tcPr>
            <w:cnfStyle w:val="000010000000" w:firstRow="0" w:lastRow="0" w:firstColumn="0" w:lastColumn="0" w:oddVBand="1" w:evenVBand="0" w:oddHBand="0" w:evenHBand="0" w:firstRowFirstColumn="0" w:firstRowLastColumn="0" w:lastRowFirstColumn="0" w:lastRowLastColumn="0"/>
            <w:tcW w:w="978" w:type="dxa"/>
          </w:tcPr>
          <w:p w14:paraId="0C56C4C2" w14:textId="77777777" w:rsidR="007C58F6" w:rsidRPr="00CF4818" w:rsidRDefault="007C58F6" w:rsidP="001C71B8">
            <w:pPr>
              <w:tabs>
                <w:tab w:val="decimal" w:pos="401"/>
              </w:tabs>
              <w:jc w:val="both"/>
              <w:rPr>
                <w:rFonts w:asciiTheme="minorHAnsi" w:hAnsiTheme="minorHAnsi"/>
                <w:szCs w:val="22"/>
              </w:rPr>
            </w:pPr>
          </w:p>
          <w:p w14:paraId="77C6F501"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15.8</w:t>
            </w:r>
          </w:p>
          <w:p w14:paraId="26B21FDA" w14:textId="77777777" w:rsidR="007C58F6" w:rsidRDefault="007C58F6" w:rsidP="001C71B8">
            <w:pPr>
              <w:tabs>
                <w:tab w:val="decimal" w:pos="401"/>
              </w:tabs>
              <w:jc w:val="both"/>
              <w:rPr>
                <w:rFonts w:asciiTheme="minorHAnsi" w:hAnsiTheme="minorHAnsi"/>
                <w:szCs w:val="22"/>
              </w:rPr>
            </w:pPr>
            <w:r w:rsidRPr="00CF4818">
              <w:rPr>
                <w:rFonts w:asciiTheme="minorHAnsi" w:hAnsiTheme="minorHAnsi"/>
                <w:szCs w:val="22"/>
              </w:rPr>
              <w:t>11.0</w:t>
            </w:r>
          </w:p>
          <w:p w14:paraId="1A7CA4AC"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9.9</w:t>
            </w:r>
          </w:p>
        </w:tc>
        <w:tc>
          <w:tcPr>
            <w:tcW w:w="978" w:type="dxa"/>
          </w:tcPr>
          <w:p w14:paraId="3AC60FFC" w14:textId="77777777" w:rsidR="007C58F6" w:rsidRPr="00CF4818" w:rsidRDefault="007C58F6" w:rsidP="001C71B8">
            <w:pPr>
              <w:tabs>
                <w:tab w:val="decimal" w:pos="328"/>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5B60048C" w14:textId="77777777" w:rsidR="007C58F6" w:rsidRDefault="007C58F6" w:rsidP="001C71B8">
            <w:pPr>
              <w:tabs>
                <w:tab w:val="decimal" w:pos="328"/>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0.95</w:t>
            </w:r>
          </w:p>
          <w:p w14:paraId="0D9B4C13" w14:textId="77777777" w:rsidR="007C58F6" w:rsidRDefault="007C58F6" w:rsidP="001C71B8">
            <w:pPr>
              <w:tabs>
                <w:tab w:val="decimal" w:pos="328"/>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0.66</w:t>
            </w:r>
          </w:p>
          <w:p w14:paraId="19C226E2" w14:textId="77777777" w:rsidR="007C58F6" w:rsidRPr="00CF4818" w:rsidRDefault="007C58F6" w:rsidP="001C71B8">
            <w:pPr>
              <w:tabs>
                <w:tab w:val="decimal" w:pos="328"/>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0.60</w:t>
            </w:r>
          </w:p>
        </w:tc>
        <w:tc>
          <w:tcPr>
            <w:cnfStyle w:val="000010000000" w:firstRow="0" w:lastRow="0" w:firstColumn="0" w:lastColumn="0" w:oddVBand="1" w:evenVBand="0" w:oddHBand="0" w:evenHBand="0" w:firstRowFirstColumn="0" w:firstRowLastColumn="0" w:lastRowFirstColumn="0" w:lastRowLastColumn="0"/>
            <w:tcW w:w="977" w:type="dxa"/>
          </w:tcPr>
          <w:p w14:paraId="485A657F" w14:textId="77777777" w:rsidR="007C58F6" w:rsidRPr="00CF4818" w:rsidRDefault="007C58F6" w:rsidP="001C71B8">
            <w:pPr>
              <w:tabs>
                <w:tab w:val="decimal" w:pos="401"/>
              </w:tabs>
              <w:jc w:val="both"/>
              <w:rPr>
                <w:rFonts w:asciiTheme="minorHAnsi" w:hAnsiTheme="minorHAnsi"/>
                <w:szCs w:val="22"/>
              </w:rPr>
            </w:pPr>
          </w:p>
          <w:p w14:paraId="4EF49838"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15.2</w:t>
            </w:r>
          </w:p>
          <w:p w14:paraId="18808971"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11.9</w:t>
            </w:r>
          </w:p>
          <w:p w14:paraId="16257983"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10.1</w:t>
            </w:r>
          </w:p>
        </w:tc>
        <w:tc>
          <w:tcPr>
            <w:tcW w:w="978" w:type="dxa"/>
          </w:tcPr>
          <w:p w14:paraId="36B358AD" w14:textId="77777777" w:rsidR="007C58F6" w:rsidRDefault="007C58F6" w:rsidP="001C71B8">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195DC6A2" w14:textId="77777777" w:rsidR="007C58F6" w:rsidRDefault="007C58F6" w:rsidP="001C71B8">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1.05</w:t>
            </w:r>
          </w:p>
          <w:p w14:paraId="3D99E9E7" w14:textId="77777777" w:rsidR="007C58F6" w:rsidRDefault="007C58F6" w:rsidP="001C71B8">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0.83</w:t>
            </w:r>
          </w:p>
          <w:p w14:paraId="54AF0D78" w14:textId="77777777" w:rsidR="007C58F6" w:rsidRPr="00CF4818" w:rsidRDefault="007C58F6" w:rsidP="001C71B8">
            <w:pPr>
              <w:tabs>
                <w:tab w:val="decimal" w:pos="353"/>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0.70</w:t>
            </w:r>
          </w:p>
        </w:tc>
        <w:tc>
          <w:tcPr>
            <w:cnfStyle w:val="000010000000" w:firstRow="0" w:lastRow="0" w:firstColumn="0" w:lastColumn="0" w:oddVBand="1" w:evenVBand="0" w:oddHBand="0" w:evenHBand="0" w:firstRowFirstColumn="0" w:firstRowLastColumn="0" w:lastRowFirstColumn="0" w:lastRowLastColumn="0"/>
            <w:tcW w:w="978" w:type="dxa"/>
          </w:tcPr>
          <w:p w14:paraId="5AA4AA88" w14:textId="77777777" w:rsidR="007C58F6" w:rsidRPr="00CF4818" w:rsidRDefault="007C58F6" w:rsidP="001C71B8">
            <w:pPr>
              <w:tabs>
                <w:tab w:val="decimal" w:pos="401"/>
              </w:tabs>
              <w:jc w:val="both"/>
              <w:rPr>
                <w:rFonts w:asciiTheme="minorHAnsi" w:hAnsiTheme="minorHAnsi"/>
                <w:szCs w:val="22"/>
              </w:rPr>
            </w:pPr>
          </w:p>
          <w:p w14:paraId="7A2EF97F"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12.6</w:t>
            </w:r>
          </w:p>
          <w:p w14:paraId="77267206"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9.4</w:t>
            </w:r>
          </w:p>
          <w:p w14:paraId="18F137CF"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8.6</w:t>
            </w:r>
          </w:p>
        </w:tc>
        <w:tc>
          <w:tcPr>
            <w:cnfStyle w:val="000100000000" w:firstRow="0" w:lastRow="0" w:firstColumn="0" w:lastColumn="1" w:oddVBand="0" w:evenVBand="0" w:oddHBand="0" w:evenHBand="0" w:firstRowFirstColumn="0" w:firstRowLastColumn="0" w:lastRowFirstColumn="0" w:lastRowLastColumn="0"/>
            <w:tcW w:w="978" w:type="dxa"/>
          </w:tcPr>
          <w:p w14:paraId="78F6BBC4" w14:textId="77777777" w:rsidR="007C58F6" w:rsidRPr="002B2E99" w:rsidRDefault="007C58F6" w:rsidP="001C71B8">
            <w:pPr>
              <w:tabs>
                <w:tab w:val="decimal" w:pos="197"/>
              </w:tabs>
              <w:jc w:val="both"/>
              <w:rPr>
                <w:rFonts w:asciiTheme="minorHAnsi" w:hAnsiTheme="minorHAnsi"/>
                <w:b w:val="0"/>
                <w:szCs w:val="22"/>
              </w:rPr>
            </w:pPr>
          </w:p>
          <w:p w14:paraId="2C8E378E" w14:textId="77777777" w:rsidR="007C58F6" w:rsidRPr="002B2E99" w:rsidRDefault="007C58F6" w:rsidP="001C71B8">
            <w:pPr>
              <w:tabs>
                <w:tab w:val="decimal" w:pos="197"/>
              </w:tabs>
              <w:jc w:val="both"/>
              <w:rPr>
                <w:rFonts w:asciiTheme="minorHAnsi" w:hAnsiTheme="minorHAnsi"/>
                <w:b w:val="0"/>
                <w:szCs w:val="22"/>
              </w:rPr>
            </w:pPr>
            <w:r w:rsidRPr="002B2E99">
              <w:rPr>
                <w:rFonts w:asciiTheme="minorHAnsi" w:hAnsiTheme="minorHAnsi"/>
                <w:b w:val="0"/>
                <w:szCs w:val="22"/>
              </w:rPr>
              <w:t>1.19</w:t>
            </w:r>
          </w:p>
          <w:p w14:paraId="66F604E5" w14:textId="77777777" w:rsidR="007C58F6" w:rsidRPr="002B2E99" w:rsidRDefault="007C58F6" w:rsidP="001C71B8">
            <w:pPr>
              <w:tabs>
                <w:tab w:val="decimal" w:pos="197"/>
              </w:tabs>
              <w:jc w:val="both"/>
              <w:rPr>
                <w:rFonts w:asciiTheme="minorHAnsi" w:hAnsiTheme="minorHAnsi"/>
                <w:b w:val="0"/>
                <w:szCs w:val="22"/>
              </w:rPr>
            </w:pPr>
            <w:r w:rsidRPr="002B2E99">
              <w:rPr>
                <w:rFonts w:asciiTheme="minorHAnsi" w:hAnsiTheme="minorHAnsi"/>
                <w:b w:val="0"/>
                <w:szCs w:val="22"/>
              </w:rPr>
              <w:t>0.89</w:t>
            </w:r>
          </w:p>
          <w:p w14:paraId="0726BBE2" w14:textId="77777777" w:rsidR="007C58F6" w:rsidRPr="002B2E99" w:rsidRDefault="007C58F6" w:rsidP="001C71B8">
            <w:pPr>
              <w:tabs>
                <w:tab w:val="decimal" w:pos="197"/>
              </w:tabs>
              <w:jc w:val="both"/>
              <w:rPr>
                <w:rFonts w:asciiTheme="minorHAnsi" w:hAnsiTheme="minorHAnsi"/>
                <w:b w:val="0"/>
                <w:szCs w:val="22"/>
              </w:rPr>
            </w:pPr>
            <w:r w:rsidRPr="002B2E99">
              <w:rPr>
                <w:rFonts w:asciiTheme="minorHAnsi" w:hAnsiTheme="minorHAnsi"/>
                <w:b w:val="0"/>
                <w:szCs w:val="22"/>
              </w:rPr>
              <w:t>0.81</w:t>
            </w:r>
          </w:p>
        </w:tc>
      </w:tr>
      <w:tr w:rsidR="007C58F6" w:rsidRPr="00CF4818" w14:paraId="6E2C4B55" w14:textId="77777777" w:rsidTr="002B2E99">
        <w:trPr>
          <w:trHeight w:val="1039"/>
        </w:trPr>
        <w:tc>
          <w:tcPr>
            <w:cnfStyle w:val="001000000000" w:firstRow="0" w:lastRow="0" w:firstColumn="1" w:lastColumn="0" w:oddVBand="0" w:evenVBand="0" w:oddHBand="0" w:evenHBand="0" w:firstRowFirstColumn="0" w:firstRowLastColumn="0" w:lastRowFirstColumn="0" w:lastRowLastColumn="0"/>
            <w:tcW w:w="1526" w:type="dxa"/>
          </w:tcPr>
          <w:p w14:paraId="1D6D9210"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i/>
                <w:szCs w:val="22"/>
              </w:rPr>
              <w:t>Elderly</w:t>
            </w:r>
          </w:p>
          <w:p w14:paraId="0F8934D3"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Baseline</w:t>
            </w:r>
          </w:p>
          <w:p w14:paraId="1DBC414B"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NHS</w:t>
            </w:r>
          </w:p>
          <w:p w14:paraId="5A21AE64"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RR</w:t>
            </w:r>
          </w:p>
        </w:tc>
        <w:tc>
          <w:tcPr>
            <w:cnfStyle w:val="000010000000" w:firstRow="0" w:lastRow="0" w:firstColumn="0" w:lastColumn="0" w:oddVBand="1" w:evenVBand="0" w:oddHBand="0" w:evenHBand="0" w:firstRowFirstColumn="0" w:firstRowLastColumn="0" w:lastRowFirstColumn="0" w:lastRowLastColumn="0"/>
            <w:tcW w:w="870" w:type="dxa"/>
          </w:tcPr>
          <w:p w14:paraId="592C0B7E" w14:textId="77777777" w:rsidR="007C58F6" w:rsidRPr="00CF4818" w:rsidRDefault="007C58F6" w:rsidP="001C71B8">
            <w:pPr>
              <w:tabs>
                <w:tab w:val="decimal" w:pos="401"/>
              </w:tabs>
              <w:jc w:val="both"/>
              <w:rPr>
                <w:rFonts w:asciiTheme="minorHAnsi" w:hAnsiTheme="minorHAnsi"/>
                <w:szCs w:val="22"/>
              </w:rPr>
            </w:pPr>
          </w:p>
          <w:p w14:paraId="09C1C076" w14:textId="77777777" w:rsidR="007C58F6" w:rsidRPr="003041F4" w:rsidRDefault="007C58F6" w:rsidP="001C71B8">
            <w:pPr>
              <w:tabs>
                <w:tab w:val="decimal" w:pos="401"/>
              </w:tabs>
              <w:jc w:val="both"/>
              <w:rPr>
                <w:rFonts w:asciiTheme="minorHAnsi" w:hAnsiTheme="minorHAnsi"/>
                <w:szCs w:val="22"/>
              </w:rPr>
            </w:pPr>
            <w:r w:rsidRPr="003041F4">
              <w:rPr>
                <w:rFonts w:asciiTheme="minorHAnsi" w:hAnsiTheme="minorHAnsi"/>
                <w:szCs w:val="22"/>
              </w:rPr>
              <w:t>13.4</w:t>
            </w:r>
          </w:p>
          <w:p w14:paraId="6901209E" w14:textId="77777777" w:rsidR="007C58F6" w:rsidRPr="00CF4818" w:rsidRDefault="007C58F6" w:rsidP="001C71B8">
            <w:pPr>
              <w:tabs>
                <w:tab w:val="decimal" w:pos="401"/>
              </w:tabs>
              <w:jc w:val="both"/>
              <w:rPr>
                <w:rFonts w:asciiTheme="minorHAnsi" w:hAnsiTheme="minorHAnsi"/>
                <w:szCs w:val="22"/>
              </w:rPr>
            </w:pPr>
            <w:r w:rsidRPr="003041F4">
              <w:rPr>
                <w:rFonts w:asciiTheme="minorHAnsi" w:hAnsiTheme="minorHAnsi"/>
                <w:szCs w:val="22"/>
              </w:rPr>
              <w:t>12.1</w:t>
            </w:r>
          </w:p>
          <w:p w14:paraId="6B4D3E9D"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11.0</w:t>
            </w:r>
          </w:p>
        </w:tc>
        <w:tc>
          <w:tcPr>
            <w:tcW w:w="978" w:type="dxa"/>
          </w:tcPr>
          <w:p w14:paraId="0D67F87C" w14:textId="77777777" w:rsidR="007C58F6" w:rsidRDefault="007C58F6" w:rsidP="001C71B8">
            <w:pPr>
              <w:tabs>
                <w:tab w:val="decimal" w:pos="3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68B472A7" w14:textId="77777777" w:rsidR="007C58F6" w:rsidRDefault="007C58F6" w:rsidP="001C71B8">
            <w:pPr>
              <w:tabs>
                <w:tab w:val="decimal" w:pos="3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0.67</w:t>
            </w:r>
          </w:p>
          <w:p w14:paraId="6D9F670D" w14:textId="77777777" w:rsidR="007C58F6" w:rsidRDefault="007C58F6" w:rsidP="001C71B8">
            <w:pPr>
              <w:tabs>
                <w:tab w:val="decimal" w:pos="3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0.61</w:t>
            </w:r>
          </w:p>
          <w:p w14:paraId="17415DA1" w14:textId="77777777" w:rsidR="007C58F6" w:rsidRPr="00CF4818" w:rsidRDefault="007C58F6" w:rsidP="001C71B8">
            <w:pPr>
              <w:tabs>
                <w:tab w:val="decimal" w:pos="3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0.55</w:t>
            </w:r>
          </w:p>
        </w:tc>
        <w:tc>
          <w:tcPr>
            <w:cnfStyle w:val="000010000000" w:firstRow="0" w:lastRow="0" w:firstColumn="0" w:lastColumn="0" w:oddVBand="1" w:evenVBand="0" w:oddHBand="0" w:evenHBand="0" w:firstRowFirstColumn="0" w:firstRowLastColumn="0" w:lastRowFirstColumn="0" w:lastRowLastColumn="0"/>
            <w:tcW w:w="978" w:type="dxa"/>
          </w:tcPr>
          <w:p w14:paraId="41B19F5D" w14:textId="77777777" w:rsidR="007C58F6" w:rsidRPr="00CF4818" w:rsidRDefault="007C58F6" w:rsidP="001C71B8">
            <w:pPr>
              <w:tabs>
                <w:tab w:val="decimal" w:pos="401"/>
              </w:tabs>
              <w:jc w:val="both"/>
              <w:rPr>
                <w:rFonts w:asciiTheme="minorHAnsi" w:hAnsiTheme="minorHAnsi"/>
                <w:szCs w:val="22"/>
              </w:rPr>
            </w:pPr>
          </w:p>
          <w:p w14:paraId="563B7D43"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 xml:space="preserve">12.0 </w:t>
            </w:r>
          </w:p>
          <w:p w14:paraId="4341624F" w14:textId="77777777" w:rsidR="007C58F6" w:rsidRPr="003041F4" w:rsidRDefault="007C58F6" w:rsidP="001C71B8">
            <w:pPr>
              <w:tabs>
                <w:tab w:val="decimal" w:pos="401"/>
              </w:tabs>
              <w:jc w:val="both"/>
              <w:rPr>
                <w:rFonts w:asciiTheme="minorHAnsi" w:hAnsiTheme="minorHAnsi"/>
                <w:szCs w:val="22"/>
              </w:rPr>
            </w:pPr>
            <w:r w:rsidRPr="00CF4818">
              <w:rPr>
                <w:rFonts w:asciiTheme="minorHAnsi" w:hAnsiTheme="minorHAnsi"/>
                <w:szCs w:val="22"/>
              </w:rPr>
              <w:t>10.5</w:t>
            </w:r>
          </w:p>
          <w:p w14:paraId="3E654AEA" w14:textId="77777777" w:rsidR="007C58F6" w:rsidRPr="00CF4818" w:rsidRDefault="007C58F6" w:rsidP="001C71B8">
            <w:pPr>
              <w:tabs>
                <w:tab w:val="decimal" w:pos="401"/>
              </w:tabs>
              <w:jc w:val="both"/>
              <w:rPr>
                <w:rFonts w:asciiTheme="minorHAnsi" w:hAnsiTheme="minorHAnsi"/>
                <w:szCs w:val="22"/>
              </w:rPr>
            </w:pPr>
            <w:r w:rsidRPr="003041F4">
              <w:rPr>
                <w:rFonts w:asciiTheme="minorHAnsi" w:hAnsiTheme="minorHAnsi"/>
                <w:szCs w:val="22"/>
              </w:rPr>
              <w:t>9.5</w:t>
            </w:r>
          </w:p>
        </w:tc>
        <w:tc>
          <w:tcPr>
            <w:tcW w:w="978" w:type="dxa"/>
          </w:tcPr>
          <w:p w14:paraId="4EF7C128" w14:textId="77777777" w:rsidR="007C58F6"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11BA06AF" w14:textId="77777777" w:rsidR="007C58F6"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0.72</w:t>
            </w:r>
          </w:p>
          <w:p w14:paraId="289F1150" w14:textId="77777777" w:rsidR="007C58F6"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0.63</w:t>
            </w:r>
          </w:p>
          <w:p w14:paraId="7967E434" w14:textId="77777777" w:rsidR="007C58F6" w:rsidRPr="00CF4818"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0.57</w:t>
            </w:r>
          </w:p>
        </w:tc>
        <w:tc>
          <w:tcPr>
            <w:cnfStyle w:val="000010000000" w:firstRow="0" w:lastRow="0" w:firstColumn="0" w:lastColumn="0" w:oddVBand="1" w:evenVBand="0" w:oddHBand="0" w:evenHBand="0" w:firstRowFirstColumn="0" w:firstRowLastColumn="0" w:lastRowFirstColumn="0" w:lastRowLastColumn="0"/>
            <w:tcW w:w="977" w:type="dxa"/>
          </w:tcPr>
          <w:p w14:paraId="21AA9D4C" w14:textId="77777777" w:rsidR="007C58F6" w:rsidRPr="00CF4818" w:rsidRDefault="007C58F6" w:rsidP="001C71B8">
            <w:pPr>
              <w:tabs>
                <w:tab w:val="decimal" w:pos="401"/>
              </w:tabs>
              <w:jc w:val="both"/>
              <w:rPr>
                <w:rFonts w:asciiTheme="minorHAnsi" w:hAnsiTheme="minorHAnsi"/>
                <w:szCs w:val="22"/>
              </w:rPr>
            </w:pPr>
          </w:p>
          <w:p w14:paraId="29613092"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12.7</w:t>
            </w:r>
          </w:p>
          <w:p w14:paraId="10912137"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11.7</w:t>
            </w:r>
          </w:p>
          <w:p w14:paraId="2AB3FC18" w14:textId="77777777" w:rsidR="007C58F6" w:rsidRPr="00CF4818" w:rsidRDefault="007C58F6" w:rsidP="001C71B8">
            <w:pPr>
              <w:tabs>
                <w:tab w:val="decimal" w:pos="401"/>
              </w:tabs>
              <w:jc w:val="both"/>
              <w:rPr>
                <w:rFonts w:asciiTheme="minorHAnsi" w:hAnsiTheme="minorHAnsi"/>
                <w:szCs w:val="22"/>
              </w:rPr>
            </w:pPr>
            <w:r w:rsidRPr="003041F4">
              <w:rPr>
                <w:rFonts w:asciiTheme="minorHAnsi" w:hAnsiTheme="minorHAnsi"/>
                <w:szCs w:val="22"/>
              </w:rPr>
              <w:t>10.0</w:t>
            </w:r>
          </w:p>
        </w:tc>
        <w:tc>
          <w:tcPr>
            <w:tcW w:w="978" w:type="dxa"/>
          </w:tcPr>
          <w:p w14:paraId="55DAF8A3" w14:textId="77777777" w:rsidR="007C58F6"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4C816FD6" w14:textId="77777777" w:rsidR="007C58F6"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0.88</w:t>
            </w:r>
          </w:p>
          <w:p w14:paraId="1CAC50CB" w14:textId="77777777" w:rsidR="007C58F6"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0.81</w:t>
            </w:r>
          </w:p>
          <w:p w14:paraId="19A42C61" w14:textId="77777777" w:rsidR="007C58F6" w:rsidRPr="00CF4818" w:rsidRDefault="007C58F6" w:rsidP="001C71B8">
            <w:pPr>
              <w:tabs>
                <w:tab w:val="decimal" w:pos="401"/>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0.69</w:t>
            </w:r>
          </w:p>
        </w:tc>
        <w:tc>
          <w:tcPr>
            <w:cnfStyle w:val="000010000000" w:firstRow="0" w:lastRow="0" w:firstColumn="0" w:lastColumn="0" w:oddVBand="1" w:evenVBand="0" w:oddHBand="0" w:evenHBand="0" w:firstRowFirstColumn="0" w:firstRowLastColumn="0" w:lastRowFirstColumn="0" w:lastRowLastColumn="0"/>
            <w:tcW w:w="978" w:type="dxa"/>
          </w:tcPr>
          <w:p w14:paraId="4A47344B" w14:textId="77777777" w:rsidR="007C58F6" w:rsidRPr="00CF4818" w:rsidRDefault="007C58F6" w:rsidP="001C71B8">
            <w:pPr>
              <w:tabs>
                <w:tab w:val="decimal" w:pos="401"/>
              </w:tabs>
              <w:jc w:val="both"/>
              <w:rPr>
                <w:rFonts w:asciiTheme="minorHAnsi" w:hAnsiTheme="minorHAnsi"/>
                <w:szCs w:val="22"/>
              </w:rPr>
            </w:pPr>
          </w:p>
          <w:p w14:paraId="28ADFDC9" w14:textId="77777777" w:rsidR="007C58F6" w:rsidRPr="00CF4818" w:rsidRDefault="007C58F6" w:rsidP="001C71B8">
            <w:pPr>
              <w:tabs>
                <w:tab w:val="decimal" w:pos="401"/>
              </w:tabs>
              <w:jc w:val="both"/>
              <w:rPr>
                <w:rFonts w:asciiTheme="minorHAnsi" w:hAnsiTheme="minorHAnsi"/>
                <w:szCs w:val="22"/>
              </w:rPr>
            </w:pPr>
            <w:r w:rsidRPr="00CF4818">
              <w:rPr>
                <w:rFonts w:asciiTheme="minorHAnsi" w:hAnsiTheme="minorHAnsi"/>
                <w:szCs w:val="22"/>
              </w:rPr>
              <w:t>10.1</w:t>
            </w:r>
          </w:p>
          <w:p w14:paraId="35EDC802" w14:textId="77777777" w:rsidR="007C58F6" w:rsidRPr="003041F4" w:rsidRDefault="007C58F6" w:rsidP="001C71B8">
            <w:pPr>
              <w:tabs>
                <w:tab w:val="decimal" w:pos="401"/>
              </w:tabs>
              <w:jc w:val="both"/>
              <w:rPr>
                <w:rFonts w:asciiTheme="minorHAnsi" w:hAnsiTheme="minorHAnsi"/>
                <w:szCs w:val="22"/>
              </w:rPr>
            </w:pPr>
            <w:r w:rsidRPr="00CF4818">
              <w:rPr>
                <w:rFonts w:asciiTheme="minorHAnsi" w:hAnsiTheme="minorHAnsi"/>
                <w:szCs w:val="22"/>
              </w:rPr>
              <w:t>9.1</w:t>
            </w:r>
          </w:p>
          <w:p w14:paraId="7E1ED335" w14:textId="77777777" w:rsidR="007C58F6" w:rsidRPr="00CF4818" w:rsidRDefault="007C58F6" w:rsidP="001C71B8">
            <w:pPr>
              <w:tabs>
                <w:tab w:val="decimal" w:pos="401"/>
              </w:tabs>
              <w:jc w:val="both"/>
              <w:rPr>
                <w:rFonts w:asciiTheme="minorHAnsi" w:hAnsiTheme="minorHAnsi"/>
                <w:szCs w:val="22"/>
              </w:rPr>
            </w:pPr>
            <w:r w:rsidRPr="003041F4">
              <w:rPr>
                <w:rFonts w:asciiTheme="minorHAnsi" w:hAnsiTheme="minorHAnsi"/>
                <w:szCs w:val="22"/>
              </w:rPr>
              <w:t>7.6</w:t>
            </w:r>
          </w:p>
        </w:tc>
        <w:tc>
          <w:tcPr>
            <w:cnfStyle w:val="000100000000" w:firstRow="0" w:lastRow="0" w:firstColumn="0" w:lastColumn="1" w:oddVBand="0" w:evenVBand="0" w:oddHBand="0" w:evenHBand="0" w:firstRowFirstColumn="0" w:firstRowLastColumn="0" w:lastRowFirstColumn="0" w:lastRowLastColumn="0"/>
            <w:tcW w:w="978" w:type="dxa"/>
          </w:tcPr>
          <w:p w14:paraId="7F999A53" w14:textId="77777777" w:rsidR="007C58F6" w:rsidRPr="002B2E99" w:rsidRDefault="007C58F6" w:rsidP="001C71B8">
            <w:pPr>
              <w:tabs>
                <w:tab w:val="decimal" w:pos="197"/>
              </w:tabs>
              <w:jc w:val="both"/>
              <w:rPr>
                <w:rFonts w:asciiTheme="minorHAnsi" w:hAnsiTheme="minorHAnsi"/>
                <w:b w:val="0"/>
                <w:szCs w:val="22"/>
              </w:rPr>
            </w:pPr>
          </w:p>
          <w:p w14:paraId="42C26EF1" w14:textId="77777777" w:rsidR="007C58F6" w:rsidRPr="002B2E99" w:rsidRDefault="007C58F6" w:rsidP="001C71B8">
            <w:pPr>
              <w:tabs>
                <w:tab w:val="decimal" w:pos="197"/>
              </w:tabs>
              <w:jc w:val="both"/>
              <w:rPr>
                <w:rFonts w:asciiTheme="minorHAnsi" w:hAnsiTheme="minorHAnsi"/>
                <w:b w:val="0"/>
                <w:szCs w:val="22"/>
              </w:rPr>
            </w:pPr>
            <w:r w:rsidRPr="002B2E99">
              <w:rPr>
                <w:rFonts w:asciiTheme="minorHAnsi" w:hAnsiTheme="minorHAnsi"/>
                <w:b w:val="0"/>
                <w:szCs w:val="22"/>
              </w:rPr>
              <w:t>0.95</w:t>
            </w:r>
          </w:p>
          <w:p w14:paraId="3826F914" w14:textId="77777777" w:rsidR="007C58F6" w:rsidRPr="002B2E99" w:rsidRDefault="007C58F6" w:rsidP="001C71B8">
            <w:pPr>
              <w:tabs>
                <w:tab w:val="decimal" w:pos="197"/>
              </w:tabs>
              <w:jc w:val="both"/>
              <w:rPr>
                <w:rFonts w:asciiTheme="minorHAnsi" w:hAnsiTheme="minorHAnsi"/>
                <w:b w:val="0"/>
                <w:szCs w:val="22"/>
              </w:rPr>
            </w:pPr>
            <w:r w:rsidRPr="002B2E99">
              <w:rPr>
                <w:rFonts w:asciiTheme="minorHAnsi" w:hAnsiTheme="minorHAnsi"/>
                <w:b w:val="0"/>
                <w:szCs w:val="22"/>
              </w:rPr>
              <w:t>0.86</w:t>
            </w:r>
          </w:p>
          <w:p w14:paraId="4A2E52D3" w14:textId="77777777" w:rsidR="007C58F6" w:rsidRPr="002B2E99" w:rsidRDefault="007C58F6" w:rsidP="001C71B8">
            <w:pPr>
              <w:tabs>
                <w:tab w:val="decimal" w:pos="197"/>
              </w:tabs>
              <w:jc w:val="both"/>
              <w:rPr>
                <w:rFonts w:asciiTheme="minorHAnsi" w:hAnsiTheme="minorHAnsi"/>
                <w:b w:val="0"/>
                <w:szCs w:val="22"/>
              </w:rPr>
            </w:pPr>
            <w:r w:rsidRPr="002B2E99">
              <w:rPr>
                <w:rFonts w:asciiTheme="minorHAnsi" w:hAnsiTheme="minorHAnsi"/>
                <w:b w:val="0"/>
                <w:szCs w:val="22"/>
              </w:rPr>
              <w:t>0.72</w:t>
            </w:r>
          </w:p>
        </w:tc>
      </w:tr>
      <w:tr w:rsidR="007C58F6" w:rsidRPr="00CF4818" w14:paraId="31AF8172" w14:textId="77777777" w:rsidTr="002B2E99">
        <w:trPr>
          <w:cnfStyle w:val="010000000000" w:firstRow="0" w:lastRow="1"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526" w:type="dxa"/>
          </w:tcPr>
          <w:p w14:paraId="3452DE30"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UB</w:t>
            </w:r>
          </w:p>
        </w:tc>
        <w:tc>
          <w:tcPr>
            <w:cnfStyle w:val="000010000000" w:firstRow="0" w:lastRow="0" w:firstColumn="0" w:lastColumn="0" w:oddVBand="1" w:evenVBand="0" w:oddHBand="0" w:evenHBand="0" w:firstRowFirstColumn="0" w:firstRowLastColumn="0" w:lastRowFirstColumn="0" w:lastRowLastColumn="0"/>
            <w:tcW w:w="870" w:type="dxa"/>
          </w:tcPr>
          <w:p w14:paraId="6A2296E6" w14:textId="77777777" w:rsidR="007C58F6" w:rsidRPr="002B2E99" w:rsidRDefault="007C58F6" w:rsidP="001C71B8">
            <w:pPr>
              <w:tabs>
                <w:tab w:val="decimal" w:pos="401"/>
              </w:tabs>
              <w:jc w:val="both"/>
              <w:rPr>
                <w:rFonts w:asciiTheme="minorHAnsi" w:hAnsiTheme="minorHAnsi"/>
                <w:b w:val="0"/>
                <w:szCs w:val="22"/>
              </w:rPr>
            </w:pPr>
            <w:r w:rsidRPr="002B2E99">
              <w:rPr>
                <w:rFonts w:asciiTheme="minorHAnsi" w:hAnsiTheme="minorHAnsi"/>
                <w:b w:val="0"/>
                <w:szCs w:val="22"/>
              </w:rPr>
              <w:t>19.9</w:t>
            </w:r>
          </w:p>
        </w:tc>
        <w:tc>
          <w:tcPr>
            <w:tcW w:w="978" w:type="dxa"/>
          </w:tcPr>
          <w:p w14:paraId="4C03EFFD" w14:textId="77777777" w:rsidR="007C58F6" w:rsidRPr="002B2E99" w:rsidRDefault="007C58F6" w:rsidP="001C71B8">
            <w:pPr>
              <w:tabs>
                <w:tab w:val="decimal" w:pos="304"/>
              </w:tabs>
              <w:jc w:val="both"/>
              <w:cnfStyle w:val="010000000000" w:firstRow="0" w:lastRow="1" w:firstColumn="0" w:lastColumn="0" w:oddVBand="0" w:evenVBand="0" w:oddHBand="0" w:evenHBand="0" w:firstRowFirstColumn="0" w:firstRowLastColumn="0" w:lastRowFirstColumn="0" w:lastRowLastColumn="0"/>
              <w:rPr>
                <w:rFonts w:asciiTheme="minorHAnsi" w:hAnsiTheme="minorHAnsi"/>
                <w:b w:val="0"/>
                <w:szCs w:val="22"/>
              </w:rPr>
            </w:pPr>
          </w:p>
        </w:tc>
        <w:tc>
          <w:tcPr>
            <w:cnfStyle w:val="000010000000" w:firstRow="0" w:lastRow="0" w:firstColumn="0" w:lastColumn="0" w:oddVBand="1" w:evenVBand="0" w:oddHBand="0" w:evenHBand="0" w:firstRowFirstColumn="0" w:firstRowLastColumn="0" w:lastRowFirstColumn="0" w:lastRowLastColumn="0"/>
            <w:tcW w:w="978" w:type="dxa"/>
          </w:tcPr>
          <w:p w14:paraId="4E1A8F1B" w14:textId="77777777" w:rsidR="007C58F6" w:rsidRPr="002B2E99" w:rsidDel="00420A5F" w:rsidRDefault="007C58F6" w:rsidP="001C71B8">
            <w:pPr>
              <w:tabs>
                <w:tab w:val="decimal" w:pos="401"/>
              </w:tabs>
              <w:jc w:val="both"/>
              <w:rPr>
                <w:rFonts w:asciiTheme="minorHAnsi" w:hAnsiTheme="minorHAnsi"/>
                <w:b w:val="0"/>
                <w:szCs w:val="22"/>
              </w:rPr>
            </w:pPr>
            <w:r w:rsidRPr="002B2E99">
              <w:rPr>
                <w:rFonts w:asciiTheme="minorHAnsi" w:hAnsiTheme="minorHAnsi"/>
                <w:b w:val="0"/>
                <w:szCs w:val="22"/>
              </w:rPr>
              <w:t>16.6</w:t>
            </w:r>
          </w:p>
        </w:tc>
        <w:tc>
          <w:tcPr>
            <w:tcW w:w="978" w:type="dxa"/>
          </w:tcPr>
          <w:p w14:paraId="6BF0E29C" w14:textId="77777777" w:rsidR="007C58F6" w:rsidRPr="002B2E99" w:rsidDel="00420A5F" w:rsidRDefault="007C58F6" w:rsidP="001C71B8">
            <w:pPr>
              <w:tabs>
                <w:tab w:val="decimal" w:pos="328"/>
              </w:tabs>
              <w:jc w:val="both"/>
              <w:cnfStyle w:val="010000000000" w:firstRow="0" w:lastRow="1" w:firstColumn="0" w:lastColumn="0" w:oddVBand="0" w:evenVBand="0" w:oddHBand="0" w:evenHBand="0" w:firstRowFirstColumn="0" w:firstRowLastColumn="0" w:lastRowFirstColumn="0" w:lastRowLastColumn="0"/>
              <w:rPr>
                <w:rFonts w:asciiTheme="minorHAnsi" w:hAnsiTheme="minorHAnsi"/>
                <w:b w:val="0"/>
                <w:szCs w:val="22"/>
              </w:rPr>
            </w:pPr>
          </w:p>
        </w:tc>
        <w:tc>
          <w:tcPr>
            <w:cnfStyle w:val="000010000000" w:firstRow="0" w:lastRow="0" w:firstColumn="0" w:lastColumn="0" w:oddVBand="1" w:evenVBand="0" w:oddHBand="0" w:evenHBand="0" w:firstRowFirstColumn="0" w:firstRowLastColumn="0" w:lastRowFirstColumn="0" w:lastRowLastColumn="0"/>
            <w:tcW w:w="977" w:type="dxa"/>
          </w:tcPr>
          <w:p w14:paraId="133278C7" w14:textId="77777777" w:rsidR="007C58F6" w:rsidRPr="002B2E99" w:rsidDel="00420A5F" w:rsidRDefault="007C58F6" w:rsidP="001C71B8">
            <w:pPr>
              <w:tabs>
                <w:tab w:val="decimal" w:pos="401"/>
              </w:tabs>
              <w:jc w:val="both"/>
              <w:rPr>
                <w:rFonts w:asciiTheme="minorHAnsi" w:hAnsiTheme="minorHAnsi"/>
                <w:b w:val="0"/>
                <w:szCs w:val="22"/>
              </w:rPr>
            </w:pPr>
            <w:r w:rsidRPr="002B2E99">
              <w:rPr>
                <w:rFonts w:asciiTheme="minorHAnsi" w:hAnsiTheme="minorHAnsi"/>
                <w:b w:val="0"/>
                <w:szCs w:val="22"/>
              </w:rPr>
              <w:t>14.4</w:t>
            </w:r>
          </w:p>
        </w:tc>
        <w:tc>
          <w:tcPr>
            <w:tcW w:w="978" w:type="dxa"/>
          </w:tcPr>
          <w:p w14:paraId="125038BF" w14:textId="77777777" w:rsidR="007C58F6" w:rsidRPr="002B2E99" w:rsidDel="00420A5F" w:rsidRDefault="007C58F6" w:rsidP="001C71B8">
            <w:pPr>
              <w:tabs>
                <w:tab w:val="decimal" w:pos="353"/>
              </w:tabs>
              <w:jc w:val="both"/>
              <w:cnfStyle w:val="010000000000" w:firstRow="0" w:lastRow="1" w:firstColumn="0" w:lastColumn="0" w:oddVBand="0" w:evenVBand="0" w:oddHBand="0" w:evenHBand="0" w:firstRowFirstColumn="0" w:firstRowLastColumn="0" w:lastRowFirstColumn="0" w:lastRowLastColumn="0"/>
              <w:rPr>
                <w:rFonts w:asciiTheme="minorHAnsi" w:hAnsiTheme="minorHAnsi"/>
                <w:b w:val="0"/>
                <w:szCs w:val="22"/>
              </w:rPr>
            </w:pPr>
          </w:p>
        </w:tc>
        <w:tc>
          <w:tcPr>
            <w:cnfStyle w:val="000010000000" w:firstRow="0" w:lastRow="0" w:firstColumn="0" w:lastColumn="0" w:oddVBand="1" w:evenVBand="0" w:oddHBand="0" w:evenHBand="0" w:firstRowFirstColumn="0" w:firstRowLastColumn="0" w:lastRowFirstColumn="0" w:lastRowLastColumn="0"/>
            <w:tcW w:w="978" w:type="dxa"/>
          </w:tcPr>
          <w:p w14:paraId="2A9DB1AF" w14:textId="77777777" w:rsidR="007C58F6" w:rsidRPr="002B2E99" w:rsidDel="00420A5F" w:rsidRDefault="007C58F6" w:rsidP="001C71B8">
            <w:pPr>
              <w:tabs>
                <w:tab w:val="decimal" w:pos="401"/>
              </w:tabs>
              <w:jc w:val="both"/>
              <w:rPr>
                <w:rFonts w:asciiTheme="minorHAnsi" w:hAnsiTheme="minorHAnsi"/>
                <w:b w:val="0"/>
                <w:szCs w:val="22"/>
              </w:rPr>
            </w:pPr>
            <w:r w:rsidRPr="002B2E99">
              <w:rPr>
                <w:rFonts w:asciiTheme="minorHAnsi" w:hAnsiTheme="minorHAnsi"/>
                <w:b w:val="0"/>
                <w:szCs w:val="22"/>
              </w:rPr>
              <w:t>10.6</w:t>
            </w:r>
          </w:p>
        </w:tc>
        <w:tc>
          <w:tcPr>
            <w:cnfStyle w:val="000100000000" w:firstRow="0" w:lastRow="0" w:firstColumn="0" w:lastColumn="1" w:oddVBand="0" w:evenVBand="0" w:oddHBand="0" w:evenHBand="0" w:firstRowFirstColumn="0" w:firstRowLastColumn="0" w:lastRowFirstColumn="0" w:lastRowLastColumn="0"/>
            <w:tcW w:w="978" w:type="dxa"/>
          </w:tcPr>
          <w:p w14:paraId="7EB6462F" w14:textId="77777777" w:rsidR="007C58F6" w:rsidRPr="002B2E99" w:rsidDel="00420A5F" w:rsidRDefault="007C58F6" w:rsidP="001C71B8">
            <w:pPr>
              <w:tabs>
                <w:tab w:val="decimal" w:pos="197"/>
              </w:tabs>
              <w:jc w:val="both"/>
              <w:rPr>
                <w:rFonts w:asciiTheme="minorHAnsi" w:hAnsiTheme="minorHAnsi"/>
                <w:b w:val="0"/>
                <w:szCs w:val="22"/>
              </w:rPr>
            </w:pPr>
          </w:p>
        </w:tc>
      </w:tr>
    </w:tbl>
    <w:p w14:paraId="1903FAB3" w14:textId="77777777" w:rsidR="007C58F6" w:rsidRDefault="007C58F6" w:rsidP="0050756B">
      <w:pPr>
        <w:keepNext/>
        <w:jc w:val="both"/>
        <w:rPr>
          <w:rFonts w:asciiTheme="minorHAnsi" w:hAnsiTheme="minorHAnsi"/>
          <w:szCs w:val="22"/>
        </w:rPr>
      </w:pPr>
    </w:p>
    <w:p w14:paraId="59F30170" w14:textId="77777777" w:rsidR="007C58F6" w:rsidRDefault="007C58F6" w:rsidP="0050756B">
      <w:pPr>
        <w:keepNext/>
        <w:jc w:val="both"/>
        <w:rPr>
          <w:rFonts w:asciiTheme="minorHAnsi" w:hAnsiTheme="minorHAnsi"/>
          <w:szCs w:val="22"/>
        </w:rPr>
      </w:pPr>
    </w:p>
    <w:p w14:paraId="794B5305" w14:textId="177534AD" w:rsidR="00B55EFF" w:rsidRPr="00CF4818" w:rsidRDefault="00AE1B49" w:rsidP="0050756B">
      <w:pPr>
        <w:keepNext/>
        <w:jc w:val="both"/>
        <w:rPr>
          <w:rFonts w:asciiTheme="minorHAnsi" w:hAnsiTheme="minorHAnsi"/>
          <w:szCs w:val="22"/>
        </w:rPr>
      </w:pPr>
      <w:r w:rsidRPr="00CF4818">
        <w:rPr>
          <w:rFonts w:asciiTheme="minorHAnsi" w:hAnsiTheme="minorHAnsi"/>
          <w:szCs w:val="22"/>
        </w:rPr>
        <w:t xml:space="preserve">For both </w:t>
      </w:r>
      <w:r w:rsidR="009A5BBA">
        <w:rPr>
          <w:rFonts w:asciiTheme="minorHAnsi" w:hAnsiTheme="minorHAnsi"/>
          <w:szCs w:val="22"/>
        </w:rPr>
        <w:t>office workers and the elderly</w:t>
      </w:r>
      <w:r w:rsidR="00407B82">
        <w:rPr>
          <w:rFonts w:asciiTheme="minorHAnsi" w:hAnsiTheme="minorHAnsi"/>
          <w:szCs w:val="22"/>
        </w:rPr>
        <w:t>, and childr</w:t>
      </w:r>
      <w:r w:rsidR="009A5BBA">
        <w:rPr>
          <w:rFonts w:asciiTheme="minorHAnsi" w:hAnsiTheme="minorHAnsi"/>
          <w:szCs w:val="22"/>
        </w:rPr>
        <w:t xml:space="preserve">en in </w:t>
      </w:r>
      <w:r w:rsidR="00407B82">
        <w:rPr>
          <w:rFonts w:asciiTheme="minorHAnsi" w:hAnsiTheme="minorHAnsi"/>
          <w:szCs w:val="22"/>
        </w:rPr>
        <w:t>summer</w:t>
      </w:r>
      <w:r w:rsidR="009A5BBA">
        <w:rPr>
          <w:rFonts w:asciiTheme="minorHAnsi" w:hAnsiTheme="minorHAnsi"/>
          <w:szCs w:val="22"/>
        </w:rPr>
        <w:t xml:space="preserve">, </w:t>
      </w:r>
      <w:r w:rsidRPr="00CF4818">
        <w:rPr>
          <w:rFonts w:asciiTheme="minorHAnsi" w:hAnsiTheme="minorHAnsi"/>
          <w:szCs w:val="22"/>
        </w:rPr>
        <w:t xml:space="preserve">weekend </w:t>
      </w:r>
      <w:r w:rsidR="00407B82">
        <w:rPr>
          <w:rFonts w:asciiTheme="minorHAnsi" w:hAnsiTheme="minorHAnsi"/>
          <w:szCs w:val="22"/>
        </w:rPr>
        <w:t xml:space="preserve">mean </w:t>
      </w:r>
      <w:r w:rsidRPr="00CF4818">
        <w:rPr>
          <w:rFonts w:asciiTheme="minorHAnsi" w:hAnsiTheme="minorHAnsi"/>
          <w:szCs w:val="22"/>
        </w:rPr>
        <w:t>exposures were lower than weekday exposures, reflecting the lower ambient concentrations</w:t>
      </w:r>
      <w:r w:rsidR="001C1268">
        <w:rPr>
          <w:rFonts w:asciiTheme="minorHAnsi" w:hAnsiTheme="minorHAnsi"/>
          <w:szCs w:val="22"/>
        </w:rPr>
        <w:t>, especially on the heavily trafficked roads (Table 2). H</w:t>
      </w:r>
      <w:r w:rsidR="009A5BBA">
        <w:rPr>
          <w:rFonts w:asciiTheme="minorHAnsi" w:hAnsiTheme="minorHAnsi"/>
          <w:szCs w:val="22"/>
        </w:rPr>
        <w:t>owever, for chi</w:t>
      </w:r>
      <w:r w:rsidR="001C1268">
        <w:rPr>
          <w:rFonts w:asciiTheme="minorHAnsi" w:hAnsiTheme="minorHAnsi"/>
          <w:szCs w:val="22"/>
        </w:rPr>
        <w:t>l</w:t>
      </w:r>
      <w:r w:rsidR="009A5BBA">
        <w:rPr>
          <w:rFonts w:asciiTheme="minorHAnsi" w:hAnsiTheme="minorHAnsi"/>
          <w:szCs w:val="22"/>
        </w:rPr>
        <w:t xml:space="preserve">dren with home sources in winter, weekend </w:t>
      </w:r>
      <w:r w:rsidR="00D4305E">
        <w:rPr>
          <w:rFonts w:asciiTheme="minorHAnsi" w:hAnsiTheme="minorHAnsi"/>
          <w:szCs w:val="22"/>
        </w:rPr>
        <w:t>seasonal</w:t>
      </w:r>
      <w:r w:rsidR="00A26048">
        <w:rPr>
          <w:rFonts w:asciiTheme="minorHAnsi" w:hAnsiTheme="minorHAnsi"/>
          <w:szCs w:val="22"/>
        </w:rPr>
        <w:t xml:space="preserve"> mean </w:t>
      </w:r>
      <w:r w:rsidR="00407B82">
        <w:rPr>
          <w:rFonts w:asciiTheme="minorHAnsi" w:hAnsiTheme="minorHAnsi"/>
          <w:szCs w:val="22"/>
        </w:rPr>
        <w:t>exposures</w:t>
      </w:r>
      <w:r w:rsidR="009A5BBA">
        <w:rPr>
          <w:rFonts w:asciiTheme="minorHAnsi" w:hAnsiTheme="minorHAnsi"/>
          <w:szCs w:val="22"/>
        </w:rPr>
        <w:t xml:space="preserve"> were </w:t>
      </w:r>
      <w:r w:rsidR="00A26048">
        <w:rPr>
          <w:rFonts w:asciiTheme="minorHAnsi" w:hAnsiTheme="minorHAnsi"/>
          <w:szCs w:val="22"/>
        </w:rPr>
        <w:t>higher, reflecting the greater time spent at</w:t>
      </w:r>
      <w:r w:rsidRPr="00CF4818">
        <w:rPr>
          <w:rFonts w:asciiTheme="minorHAnsi" w:hAnsiTheme="minorHAnsi"/>
          <w:szCs w:val="22"/>
        </w:rPr>
        <w:t xml:space="preserve"> </w:t>
      </w:r>
      <w:r w:rsidR="00A26048">
        <w:rPr>
          <w:rFonts w:asciiTheme="minorHAnsi" w:hAnsiTheme="minorHAnsi"/>
          <w:szCs w:val="22"/>
        </w:rPr>
        <w:t xml:space="preserve">home, rather than </w:t>
      </w:r>
      <w:r w:rsidR="000D542B">
        <w:rPr>
          <w:rFonts w:asciiTheme="minorHAnsi" w:hAnsiTheme="minorHAnsi"/>
          <w:szCs w:val="22"/>
        </w:rPr>
        <w:t xml:space="preserve">at </w:t>
      </w:r>
      <w:r w:rsidR="00A26048">
        <w:rPr>
          <w:rFonts w:asciiTheme="minorHAnsi" w:hAnsiTheme="minorHAnsi"/>
          <w:szCs w:val="22"/>
        </w:rPr>
        <w:t>school</w:t>
      </w:r>
      <w:r w:rsidRPr="00CF4818">
        <w:rPr>
          <w:rFonts w:asciiTheme="minorHAnsi" w:hAnsiTheme="minorHAnsi"/>
          <w:szCs w:val="22"/>
        </w:rPr>
        <w:t xml:space="preserve">. </w:t>
      </w:r>
      <w:r w:rsidR="001C1268">
        <w:rPr>
          <w:rFonts w:asciiTheme="minorHAnsi" w:hAnsiTheme="minorHAnsi"/>
          <w:szCs w:val="22"/>
        </w:rPr>
        <w:t xml:space="preserve">The PE/UB ratios were consistently higher in summer </w:t>
      </w:r>
      <w:r w:rsidR="0027130D">
        <w:rPr>
          <w:rFonts w:asciiTheme="minorHAnsi" w:hAnsiTheme="minorHAnsi"/>
          <w:szCs w:val="22"/>
        </w:rPr>
        <w:t>than in</w:t>
      </w:r>
      <w:r w:rsidR="001C1268">
        <w:rPr>
          <w:rFonts w:asciiTheme="minorHAnsi" w:hAnsiTheme="minorHAnsi"/>
          <w:szCs w:val="22"/>
        </w:rPr>
        <w:t xml:space="preserve"> winter, </w:t>
      </w:r>
      <w:r w:rsidR="00407B82">
        <w:rPr>
          <w:rFonts w:asciiTheme="minorHAnsi" w:hAnsiTheme="minorHAnsi"/>
          <w:szCs w:val="22"/>
        </w:rPr>
        <w:t xml:space="preserve">reflecting the higher air exchange rates that are assumed in the INDAIR model in </w:t>
      </w:r>
      <w:r w:rsidR="00A57EBF">
        <w:rPr>
          <w:rFonts w:asciiTheme="minorHAnsi" w:hAnsiTheme="minorHAnsi"/>
          <w:szCs w:val="22"/>
        </w:rPr>
        <w:t>summer</w:t>
      </w:r>
      <w:r w:rsidR="00407B82">
        <w:rPr>
          <w:rFonts w:asciiTheme="minorHAnsi" w:hAnsiTheme="minorHAnsi"/>
          <w:szCs w:val="22"/>
        </w:rPr>
        <w:t xml:space="preserve"> than </w:t>
      </w:r>
      <w:r w:rsidR="00A57EBF">
        <w:rPr>
          <w:rFonts w:asciiTheme="minorHAnsi" w:hAnsiTheme="minorHAnsi"/>
          <w:szCs w:val="22"/>
        </w:rPr>
        <w:t>winter</w:t>
      </w:r>
      <w:r w:rsidR="00407B82">
        <w:rPr>
          <w:rFonts w:asciiTheme="minorHAnsi" w:hAnsiTheme="minorHAnsi"/>
          <w:szCs w:val="22"/>
        </w:rPr>
        <w:t xml:space="preserve">, </w:t>
      </w:r>
      <w:r w:rsidR="001C1268">
        <w:rPr>
          <w:rFonts w:asciiTheme="minorHAnsi" w:hAnsiTheme="minorHAnsi"/>
          <w:szCs w:val="22"/>
        </w:rPr>
        <w:t>leading to higher NO</w:t>
      </w:r>
      <w:r w:rsidR="001C1268" w:rsidRPr="001C1268">
        <w:rPr>
          <w:rFonts w:asciiTheme="minorHAnsi" w:hAnsiTheme="minorHAnsi"/>
          <w:szCs w:val="22"/>
          <w:vertAlign w:val="subscript"/>
        </w:rPr>
        <w:t>2</w:t>
      </w:r>
      <w:r w:rsidR="001C1268">
        <w:rPr>
          <w:rFonts w:asciiTheme="minorHAnsi" w:hAnsiTheme="minorHAnsi"/>
          <w:szCs w:val="22"/>
        </w:rPr>
        <w:t xml:space="preserve"> </w:t>
      </w:r>
      <w:r w:rsidR="00A57EBF">
        <w:rPr>
          <w:rFonts w:asciiTheme="minorHAnsi" w:hAnsiTheme="minorHAnsi"/>
          <w:szCs w:val="22"/>
        </w:rPr>
        <w:t>infiltration into</w:t>
      </w:r>
      <w:r w:rsidR="001C1268">
        <w:rPr>
          <w:rFonts w:asciiTheme="minorHAnsi" w:hAnsiTheme="minorHAnsi"/>
          <w:szCs w:val="22"/>
        </w:rPr>
        <w:t xml:space="preserve"> the home, where all three groups spend the majority of their time. </w:t>
      </w:r>
      <w:r w:rsidRPr="00CF4818">
        <w:rPr>
          <w:rFonts w:asciiTheme="minorHAnsi" w:hAnsiTheme="minorHAnsi"/>
          <w:szCs w:val="22"/>
        </w:rPr>
        <w:t>Despite the higher exposure of the elderly at times when home sources are on, higher 24h mean exposures to NO</w:t>
      </w:r>
      <w:r w:rsidRPr="00CF4818">
        <w:rPr>
          <w:rFonts w:asciiTheme="minorHAnsi" w:hAnsiTheme="minorHAnsi"/>
          <w:szCs w:val="22"/>
          <w:vertAlign w:val="subscript"/>
        </w:rPr>
        <w:t>2</w:t>
      </w:r>
      <w:r w:rsidRPr="00CF4818">
        <w:rPr>
          <w:rFonts w:asciiTheme="minorHAnsi" w:hAnsiTheme="minorHAnsi"/>
          <w:szCs w:val="22"/>
        </w:rPr>
        <w:t xml:space="preserve"> were calculated for office workers, both in the presence and absence of home sources. This reflects the time that office workers spend in MEs with higher pollutant levels</w:t>
      </w:r>
      <w:r w:rsidR="001C1268">
        <w:rPr>
          <w:rFonts w:asciiTheme="minorHAnsi" w:hAnsiTheme="minorHAnsi"/>
          <w:szCs w:val="22"/>
        </w:rPr>
        <w:t xml:space="preserve"> than occur in the home during the long periods of time when there are no active source of NO</w:t>
      </w:r>
      <w:r w:rsidR="001C1268" w:rsidRPr="001C1268">
        <w:rPr>
          <w:rFonts w:asciiTheme="minorHAnsi" w:hAnsiTheme="minorHAnsi"/>
          <w:szCs w:val="22"/>
          <w:vertAlign w:val="subscript"/>
        </w:rPr>
        <w:t>2</w:t>
      </w:r>
      <w:r w:rsidRPr="00CF4818">
        <w:rPr>
          <w:rFonts w:asciiTheme="minorHAnsi" w:hAnsiTheme="minorHAnsi"/>
          <w:szCs w:val="22"/>
        </w:rPr>
        <w:t xml:space="preserve">. </w:t>
      </w:r>
    </w:p>
    <w:p w14:paraId="59BCDB54" w14:textId="77777777" w:rsidR="00B75B4E" w:rsidRDefault="00B75B4E" w:rsidP="0007696C">
      <w:pPr>
        <w:jc w:val="both"/>
        <w:rPr>
          <w:rFonts w:asciiTheme="minorHAnsi" w:hAnsiTheme="minorHAnsi"/>
        </w:rPr>
      </w:pPr>
    </w:p>
    <w:p w14:paraId="3D3710BD" w14:textId="35F28AFE" w:rsidR="001C1268" w:rsidRDefault="00AE1B49" w:rsidP="0007696C">
      <w:pPr>
        <w:jc w:val="both"/>
        <w:rPr>
          <w:rFonts w:asciiTheme="minorHAnsi" w:hAnsiTheme="minorHAnsi"/>
        </w:rPr>
      </w:pPr>
      <w:r w:rsidRPr="00CF4818">
        <w:rPr>
          <w:rFonts w:asciiTheme="minorHAnsi" w:hAnsiTheme="minorHAnsi"/>
        </w:rPr>
        <w:t>Table</w:t>
      </w:r>
      <w:r w:rsidR="00E93F91">
        <w:rPr>
          <w:rFonts w:asciiTheme="minorHAnsi" w:hAnsiTheme="minorHAnsi"/>
        </w:rPr>
        <w:t xml:space="preserve"> </w:t>
      </w:r>
      <w:r w:rsidR="00A57EBF">
        <w:rPr>
          <w:rFonts w:asciiTheme="minorHAnsi" w:hAnsiTheme="minorHAnsi"/>
        </w:rPr>
        <w:t>4</w:t>
      </w:r>
      <w:r w:rsidRPr="00CF4818">
        <w:rPr>
          <w:rFonts w:asciiTheme="minorHAnsi" w:hAnsiTheme="minorHAnsi"/>
        </w:rPr>
        <w:t xml:space="preserve"> shows </w:t>
      </w:r>
      <w:r w:rsidR="00682309">
        <w:rPr>
          <w:rFonts w:asciiTheme="minorHAnsi" w:hAnsiTheme="minorHAnsi"/>
        </w:rPr>
        <w:t xml:space="preserve">that the effect of removing home sources on </w:t>
      </w:r>
      <w:r w:rsidR="00D4305E">
        <w:rPr>
          <w:rFonts w:asciiTheme="minorHAnsi" w:hAnsiTheme="minorHAnsi"/>
        </w:rPr>
        <w:t>seasonal</w:t>
      </w:r>
      <w:r w:rsidR="00682309">
        <w:rPr>
          <w:rFonts w:asciiTheme="minorHAnsi" w:hAnsiTheme="minorHAnsi"/>
        </w:rPr>
        <w:t xml:space="preserve"> mean </w:t>
      </w:r>
      <w:r w:rsidR="001C1268">
        <w:rPr>
          <w:rFonts w:asciiTheme="minorHAnsi" w:hAnsiTheme="minorHAnsi"/>
        </w:rPr>
        <w:t>NO</w:t>
      </w:r>
      <w:r w:rsidR="001C1268" w:rsidRPr="001C1268">
        <w:rPr>
          <w:rFonts w:asciiTheme="minorHAnsi" w:hAnsiTheme="minorHAnsi"/>
          <w:vertAlign w:val="subscript"/>
        </w:rPr>
        <w:t>2</w:t>
      </w:r>
      <w:r w:rsidR="001C1268">
        <w:rPr>
          <w:rFonts w:asciiTheme="minorHAnsi" w:hAnsiTheme="minorHAnsi"/>
        </w:rPr>
        <w:t xml:space="preserve"> </w:t>
      </w:r>
      <w:r w:rsidR="00682309">
        <w:rPr>
          <w:rFonts w:asciiTheme="minorHAnsi" w:hAnsiTheme="minorHAnsi"/>
        </w:rPr>
        <w:t xml:space="preserve">exposure was small for the office workers (0.1-0.4 ppb, depending on season/day), compared with children (0.7-4.8 depending on season/day) and the elderly (1.0-1.5 ppb, depending on the season/day), reflecting the much lower time spent exposed to home emissions. The greater variability in the exposure benefit for children compared to the elderly </w:t>
      </w:r>
      <w:r w:rsidR="000908B0">
        <w:rPr>
          <w:rFonts w:asciiTheme="minorHAnsi" w:hAnsiTheme="minorHAnsi"/>
        </w:rPr>
        <w:t xml:space="preserve">is </w:t>
      </w:r>
      <w:r w:rsidR="00682309">
        <w:rPr>
          <w:rFonts w:asciiTheme="minorHAnsi" w:hAnsiTheme="minorHAnsi"/>
        </w:rPr>
        <w:t xml:space="preserve">likely </w:t>
      </w:r>
      <w:r w:rsidR="000908B0">
        <w:rPr>
          <w:rFonts w:asciiTheme="minorHAnsi" w:hAnsiTheme="minorHAnsi"/>
        </w:rPr>
        <w:t xml:space="preserve">to </w:t>
      </w:r>
      <w:r w:rsidR="00682309">
        <w:rPr>
          <w:rFonts w:asciiTheme="minorHAnsi" w:hAnsiTheme="minorHAnsi"/>
        </w:rPr>
        <w:t>reflec</w:t>
      </w:r>
      <w:r w:rsidR="000908B0">
        <w:rPr>
          <w:rFonts w:asciiTheme="minorHAnsi" w:hAnsiTheme="minorHAnsi"/>
        </w:rPr>
        <w:t>t</w:t>
      </w:r>
      <w:r w:rsidR="00682309">
        <w:rPr>
          <w:rFonts w:asciiTheme="minorHAnsi" w:hAnsiTheme="minorHAnsi"/>
        </w:rPr>
        <w:t xml:space="preserve"> </w:t>
      </w:r>
      <w:r w:rsidR="000908B0">
        <w:rPr>
          <w:rFonts w:asciiTheme="minorHAnsi" w:hAnsiTheme="minorHAnsi"/>
        </w:rPr>
        <w:t xml:space="preserve">the </w:t>
      </w:r>
      <w:r w:rsidR="00A57EBF">
        <w:rPr>
          <w:rFonts w:asciiTheme="minorHAnsi" w:hAnsiTheme="minorHAnsi"/>
        </w:rPr>
        <w:t xml:space="preserve">greater </w:t>
      </w:r>
      <w:r w:rsidR="00682309">
        <w:rPr>
          <w:rFonts w:asciiTheme="minorHAnsi" w:hAnsiTheme="minorHAnsi"/>
        </w:rPr>
        <w:t xml:space="preserve">variability in </w:t>
      </w:r>
      <w:r w:rsidR="00A57EBF">
        <w:rPr>
          <w:rFonts w:asciiTheme="minorHAnsi" w:hAnsiTheme="minorHAnsi"/>
        </w:rPr>
        <w:t xml:space="preserve">their </w:t>
      </w:r>
      <w:r w:rsidR="00682309">
        <w:rPr>
          <w:rFonts w:asciiTheme="minorHAnsi" w:hAnsiTheme="minorHAnsi"/>
        </w:rPr>
        <w:t>time-activ</w:t>
      </w:r>
      <w:r w:rsidR="00B437D5">
        <w:rPr>
          <w:rFonts w:asciiTheme="minorHAnsi" w:hAnsiTheme="minorHAnsi"/>
        </w:rPr>
        <w:t>i</w:t>
      </w:r>
      <w:r w:rsidR="00682309">
        <w:rPr>
          <w:rFonts w:asciiTheme="minorHAnsi" w:hAnsiTheme="minorHAnsi"/>
        </w:rPr>
        <w:t xml:space="preserve">ty patterns </w:t>
      </w:r>
      <w:r w:rsidR="000908B0">
        <w:rPr>
          <w:rFonts w:asciiTheme="minorHAnsi" w:hAnsiTheme="minorHAnsi"/>
        </w:rPr>
        <w:t>between seasons and days of the week</w:t>
      </w:r>
      <w:r w:rsidR="00A57EBF">
        <w:rPr>
          <w:rFonts w:asciiTheme="minorHAnsi" w:hAnsiTheme="minorHAnsi"/>
        </w:rPr>
        <w:t>, compared to the elderly</w:t>
      </w:r>
      <w:r w:rsidR="00682309">
        <w:rPr>
          <w:rFonts w:asciiTheme="minorHAnsi" w:hAnsiTheme="minorHAnsi"/>
        </w:rPr>
        <w:t xml:space="preserve">.   </w:t>
      </w:r>
    </w:p>
    <w:p w14:paraId="0489F9BB" w14:textId="77777777" w:rsidR="001C1268" w:rsidRDefault="001C1268" w:rsidP="0007696C">
      <w:pPr>
        <w:jc w:val="both"/>
        <w:rPr>
          <w:rFonts w:asciiTheme="minorHAnsi" w:hAnsiTheme="minorHAnsi"/>
        </w:rPr>
      </w:pPr>
    </w:p>
    <w:p w14:paraId="3C3E30F5" w14:textId="60AFC33E" w:rsidR="00B437D5" w:rsidRDefault="00B437D5" w:rsidP="0007696C">
      <w:pPr>
        <w:jc w:val="both"/>
        <w:rPr>
          <w:rFonts w:asciiTheme="minorHAnsi" w:hAnsiTheme="minorHAnsi"/>
        </w:rPr>
      </w:pPr>
      <w:r>
        <w:rPr>
          <w:rFonts w:asciiTheme="minorHAnsi" w:hAnsiTheme="minorHAnsi"/>
        </w:rPr>
        <w:t xml:space="preserve">In every case, </w:t>
      </w:r>
      <w:r w:rsidR="00AE1B49" w:rsidRPr="00CF4818">
        <w:rPr>
          <w:rFonts w:asciiTheme="minorHAnsi" w:hAnsiTheme="minorHAnsi"/>
        </w:rPr>
        <w:t xml:space="preserve">the </w:t>
      </w:r>
      <w:r>
        <w:rPr>
          <w:rFonts w:asciiTheme="minorHAnsi" w:hAnsiTheme="minorHAnsi"/>
        </w:rPr>
        <w:t>reduced concentrations on road types 3 and 4 had a greater effect on 24h mean NO</w:t>
      </w:r>
      <w:r w:rsidRPr="00B437D5">
        <w:rPr>
          <w:rFonts w:asciiTheme="minorHAnsi" w:hAnsiTheme="minorHAnsi"/>
          <w:vertAlign w:val="subscript"/>
        </w:rPr>
        <w:t>2</w:t>
      </w:r>
      <w:r>
        <w:rPr>
          <w:rFonts w:asciiTheme="minorHAnsi" w:hAnsiTheme="minorHAnsi"/>
        </w:rPr>
        <w:t xml:space="preserve"> exposure than did the removal of home sources (Table </w:t>
      </w:r>
      <w:r w:rsidR="00A57EBF">
        <w:rPr>
          <w:rFonts w:asciiTheme="minorHAnsi" w:hAnsiTheme="minorHAnsi"/>
        </w:rPr>
        <w:t>4</w:t>
      </w:r>
      <w:r>
        <w:rPr>
          <w:rFonts w:asciiTheme="minorHAnsi" w:hAnsiTheme="minorHAnsi"/>
        </w:rPr>
        <w:t>). The reduction was lower for office workers (1.0-1.1ppb, depending on season/day) that for children (1.1-5.9 ppb, depending on season/day)</w:t>
      </w:r>
      <w:r w:rsidR="0013533D">
        <w:rPr>
          <w:rFonts w:asciiTheme="minorHAnsi" w:hAnsiTheme="minorHAnsi"/>
        </w:rPr>
        <w:t xml:space="preserve">, and the elderly (2.4-2.7ppb, depending on season/day). The greater variability for children compared with both office workers and the elderly again is likely </w:t>
      </w:r>
      <w:r w:rsidR="000908B0">
        <w:rPr>
          <w:rFonts w:asciiTheme="minorHAnsi" w:hAnsiTheme="minorHAnsi"/>
        </w:rPr>
        <w:t xml:space="preserve">to be due to </w:t>
      </w:r>
      <w:r w:rsidR="0013533D">
        <w:rPr>
          <w:rFonts w:asciiTheme="minorHAnsi" w:hAnsiTheme="minorHAnsi"/>
        </w:rPr>
        <w:t xml:space="preserve">the greater variation in their activity patterns. </w:t>
      </w:r>
    </w:p>
    <w:p w14:paraId="51E21297" w14:textId="77777777" w:rsidR="00A57EBF" w:rsidRDefault="00A57EBF" w:rsidP="0007696C">
      <w:pPr>
        <w:jc w:val="both"/>
        <w:rPr>
          <w:rFonts w:asciiTheme="minorHAnsi" w:hAnsiTheme="minorHAnsi"/>
        </w:rPr>
      </w:pPr>
    </w:p>
    <w:p w14:paraId="3ED9BD03" w14:textId="4AD466CC" w:rsidR="00A57EBF" w:rsidRPr="00CF4818" w:rsidRDefault="00A57EBF" w:rsidP="00A57EBF">
      <w:pPr>
        <w:keepNext/>
        <w:jc w:val="both"/>
        <w:rPr>
          <w:rFonts w:asciiTheme="minorHAnsi" w:hAnsiTheme="minorHAnsi"/>
          <w:i/>
          <w:snapToGrid w:val="0"/>
          <w:szCs w:val="22"/>
          <w:lang w:eastAsia="en-US"/>
        </w:rPr>
      </w:pPr>
      <w:r>
        <w:rPr>
          <w:rFonts w:asciiTheme="minorHAnsi" w:hAnsiTheme="minorHAnsi"/>
          <w:i/>
          <w:szCs w:val="22"/>
        </w:rPr>
        <w:t>4.4</w:t>
      </w:r>
      <w:r>
        <w:rPr>
          <w:rFonts w:asciiTheme="minorHAnsi" w:hAnsiTheme="minorHAnsi"/>
          <w:i/>
          <w:szCs w:val="22"/>
        </w:rPr>
        <w:tab/>
        <w:t>Effect of interventions on maximum 1</w:t>
      </w:r>
      <w:r w:rsidRPr="00CF4818">
        <w:rPr>
          <w:rFonts w:asciiTheme="minorHAnsi" w:hAnsiTheme="minorHAnsi"/>
          <w:i/>
          <w:snapToGrid w:val="0"/>
          <w:szCs w:val="22"/>
          <w:lang w:eastAsia="en-US"/>
        </w:rPr>
        <w:t xml:space="preserve">h population </w:t>
      </w:r>
      <w:r w:rsidR="008F5C96">
        <w:rPr>
          <w:rFonts w:asciiTheme="minorHAnsi" w:hAnsiTheme="minorHAnsi"/>
          <w:i/>
          <w:snapToGrid w:val="0"/>
          <w:szCs w:val="22"/>
          <w:lang w:eastAsia="en-US"/>
        </w:rPr>
        <w:t xml:space="preserve">mean </w:t>
      </w:r>
      <w:r w:rsidRPr="00CF4818">
        <w:rPr>
          <w:rFonts w:asciiTheme="minorHAnsi" w:hAnsiTheme="minorHAnsi"/>
          <w:i/>
          <w:snapToGrid w:val="0"/>
          <w:szCs w:val="22"/>
          <w:lang w:eastAsia="en-US"/>
        </w:rPr>
        <w:t>exposures</w:t>
      </w:r>
      <w:r>
        <w:rPr>
          <w:rFonts w:asciiTheme="minorHAnsi" w:hAnsiTheme="minorHAnsi"/>
          <w:i/>
          <w:snapToGrid w:val="0"/>
          <w:szCs w:val="22"/>
          <w:lang w:eastAsia="en-US"/>
        </w:rPr>
        <w:t xml:space="preserve"> </w:t>
      </w:r>
    </w:p>
    <w:p w14:paraId="68F0085D" w14:textId="77777777" w:rsidR="00A57EBF" w:rsidRDefault="00A57EBF" w:rsidP="0007696C">
      <w:pPr>
        <w:jc w:val="both"/>
        <w:rPr>
          <w:rFonts w:asciiTheme="minorHAnsi" w:hAnsiTheme="minorHAnsi"/>
        </w:rPr>
      </w:pPr>
    </w:p>
    <w:p w14:paraId="0B3ADFBD" w14:textId="77777777" w:rsidR="009A18DC" w:rsidRDefault="00B440F2" w:rsidP="006808F4">
      <w:pPr>
        <w:jc w:val="both"/>
        <w:rPr>
          <w:rFonts w:asciiTheme="minorHAnsi" w:hAnsiTheme="minorHAnsi"/>
        </w:rPr>
      </w:pPr>
      <w:r w:rsidRPr="006808F4">
        <w:rPr>
          <w:rFonts w:asciiTheme="minorHAnsi" w:hAnsiTheme="minorHAnsi"/>
        </w:rPr>
        <w:t xml:space="preserve">Table </w:t>
      </w:r>
      <w:r w:rsidR="00A57EBF">
        <w:rPr>
          <w:rFonts w:asciiTheme="minorHAnsi" w:hAnsiTheme="minorHAnsi"/>
        </w:rPr>
        <w:t>5</w:t>
      </w:r>
      <w:r w:rsidRPr="006808F4">
        <w:rPr>
          <w:rFonts w:asciiTheme="minorHAnsi" w:hAnsiTheme="minorHAnsi"/>
        </w:rPr>
        <w:t xml:space="preserve"> shows a similar summary as for Table </w:t>
      </w:r>
      <w:r w:rsidR="00A57EBF">
        <w:rPr>
          <w:rFonts w:asciiTheme="minorHAnsi" w:hAnsiTheme="minorHAnsi"/>
        </w:rPr>
        <w:t>4</w:t>
      </w:r>
      <w:r w:rsidRPr="006808F4">
        <w:rPr>
          <w:rFonts w:asciiTheme="minorHAnsi" w:hAnsiTheme="minorHAnsi"/>
        </w:rPr>
        <w:t xml:space="preserve"> for the maximum hourly value of the mean PEFD over the course of the day</w:t>
      </w:r>
      <w:r w:rsidR="00E93F91" w:rsidRPr="006808F4">
        <w:rPr>
          <w:rFonts w:asciiTheme="minorHAnsi" w:hAnsiTheme="minorHAnsi"/>
        </w:rPr>
        <w:t>.</w:t>
      </w:r>
      <w:r w:rsidR="006808F4">
        <w:rPr>
          <w:rFonts w:asciiTheme="minorHAnsi" w:hAnsiTheme="minorHAnsi"/>
        </w:rPr>
        <w:t xml:space="preserve"> </w:t>
      </w:r>
      <w:r w:rsidR="005461EC">
        <w:rPr>
          <w:rFonts w:asciiTheme="minorHAnsi" w:hAnsiTheme="minorHAnsi"/>
        </w:rPr>
        <w:t>PE/UB values were not calculated in this case</w:t>
      </w:r>
      <w:r w:rsidR="000908B0">
        <w:rPr>
          <w:rFonts w:asciiTheme="minorHAnsi" w:hAnsiTheme="minorHAnsi"/>
        </w:rPr>
        <w:t>,</w:t>
      </w:r>
      <w:r w:rsidR="005461EC">
        <w:rPr>
          <w:rFonts w:asciiTheme="minorHAnsi" w:hAnsiTheme="minorHAnsi"/>
        </w:rPr>
        <w:t xml:space="preserve"> a</w:t>
      </w:r>
      <w:r w:rsidR="000908B0">
        <w:rPr>
          <w:rFonts w:asciiTheme="minorHAnsi" w:hAnsiTheme="minorHAnsi"/>
        </w:rPr>
        <w:t>s</w:t>
      </w:r>
      <w:r w:rsidR="005461EC">
        <w:rPr>
          <w:rFonts w:asciiTheme="minorHAnsi" w:hAnsiTheme="minorHAnsi"/>
        </w:rPr>
        <w:t xml:space="preserve"> the peaks of personal exposure and urban background may not occur at the same time. </w:t>
      </w:r>
      <w:r w:rsidR="00E93F91" w:rsidRPr="006808F4">
        <w:rPr>
          <w:rFonts w:asciiTheme="minorHAnsi" w:hAnsiTheme="minorHAnsi"/>
        </w:rPr>
        <w:t xml:space="preserve">On winter weekdays, </w:t>
      </w:r>
      <w:r w:rsidR="006808F4">
        <w:rPr>
          <w:rFonts w:asciiTheme="minorHAnsi" w:hAnsiTheme="minorHAnsi"/>
        </w:rPr>
        <w:t xml:space="preserve">in the baseline scenario, </w:t>
      </w:r>
      <w:r w:rsidR="00E93F91" w:rsidRPr="006808F4">
        <w:rPr>
          <w:rFonts w:asciiTheme="minorHAnsi" w:hAnsiTheme="minorHAnsi"/>
        </w:rPr>
        <w:t xml:space="preserve">the value for children was about 48ppb, compared with 40ppb for the elderly, </w:t>
      </w:r>
      <w:r w:rsidR="006808F4">
        <w:rPr>
          <w:rFonts w:asciiTheme="minorHAnsi" w:hAnsiTheme="minorHAnsi"/>
        </w:rPr>
        <w:t>while that of office workers w</w:t>
      </w:r>
      <w:r w:rsidR="000908B0">
        <w:rPr>
          <w:rFonts w:asciiTheme="minorHAnsi" w:hAnsiTheme="minorHAnsi"/>
        </w:rPr>
        <w:t>as</w:t>
      </w:r>
      <w:r w:rsidR="006808F4">
        <w:rPr>
          <w:rFonts w:asciiTheme="minorHAnsi" w:hAnsiTheme="minorHAnsi"/>
        </w:rPr>
        <w:t xml:space="preserve"> only about 27ppb; these are the values that are</w:t>
      </w:r>
      <w:r w:rsidR="00E93F91" w:rsidRPr="006808F4">
        <w:rPr>
          <w:rFonts w:asciiTheme="minorHAnsi" w:hAnsiTheme="minorHAnsi"/>
        </w:rPr>
        <w:t xml:space="preserve"> shown in Figure 2.</w:t>
      </w:r>
      <w:r w:rsidR="006808F4">
        <w:rPr>
          <w:rFonts w:asciiTheme="minorHAnsi" w:hAnsiTheme="minorHAnsi"/>
        </w:rPr>
        <w:t xml:space="preserve"> </w:t>
      </w:r>
    </w:p>
    <w:p w14:paraId="399C6B2C" w14:textId="77777777" w:rsidR="009A18DC" w:rsidRDefault="009A18DC" w:rsidP="006808F4">
      <w:pPr>
        <w:jc w:val="both"/>
        <w:rPr>
          <w:rFonts w:asciiTheme="minorHAnsi" w:hAnsiTheme="minorHAnsi"/>
        </w:rPr>
      </w:pPr>
    </w:p>
    <w:p w14:paraId="430A0C8C" w14:textId="0BA3D7B5" w:rsidR="007C58F6" w:rsidRDefault="007C58F6" w:rsidP="007C58F6">
      <w:pPr>
        <w:jc w:val="both"/>
        <w:rPr>
          <w:rFonts w:asciiTheme="minorHAnsi" w:hAnsiTheme="minorHAnsi"/>
          <w:szCs w:val="22"/>
        </w:rPr>
      </w:pPr>
      <w:r w:rsidRPr="002E3172">
        <w:rPr>
          <w:rFonts w:asciiTheme="minorHAnsi" w:hAnsiTheme="minorHAnsi"/>
          <w:b/>
          <w:szCs w:val="22"/>
        </w:rPr>
        <w:t xml:space="preserve">Table </w:t>
      </w:r>
      <w:r>
        <w:rPr>
          <w:rFonts w:asciiTheme="minorHAnsi" w:hAnsiTheme="minorHAnsi"/>
          <w:b/>
          <w:szCs w:val="22"/>
        </w:rPr>
        <w:t>5</w:t>
      </w:r>
      <w:r w:rsidRPr="002E3172">
        <w:rPr>
          <w:rFonts w:asciiTheme="minorHAnsi" w:hAnsiTheme="minorHAnsi"/>
          <w:b/>
          <w:szCs w:val="22"/>
        </w:rPr>
        <w:t xml:space="preserve"> </w:t>
      </w:r>
      <w:r>
        <w:rPr>
          <w:rFonts w:asciiTheme="minorHAnsi" w:hAnsiTheme="minorHAnsi"/>
          <w:b/>
          <w:szCs w:val="22"/>
        </w:rPr>
        <w:t xml:space="preserve"> </w:t>
      </w:r>
      <w:r w:rsidRPr="000A1F09">
        <w:rPr>
          <w:rFonts w:asciiTheme="minorHAnsi" w:hAnsiTheme="minorHAnsi"/>
          <w:szCs w:val="22"/>
        </w:rPr>
        <w:t>Values of the highest 1h mean of the PEFD NO</w:t>
      </w:r>
      <w:r w:rsidR="000A1F09" w:rsidRPr="000A1F09">
        <w:rPr>
          <w:rFonts w:asciiTheme="minorHAnsi" w:hAnsiTheme="minorHAnsi"/>
          <w:szCs w:val="22"/>
          <w:vertAlign w:val="subscript"/>
        </w:rPr>
        <w:t>2</w:t>
      </w:r>
      <w:r w:rsidRPr="000A1F09">
        <w:rPr>
          <w:rFonts w:asciiTheme="minorHAnsi" w:hAnsiTheme="minorHAnsi"/>
          <w:szCs w:val="22"/>
        </w:rPr>
        <w:t xml:space="preserve"> exposure (ppb) over the course of a day for the elderly, children and office workers for summer and winter, and</w:t>
      </w:r>
      <w:r>
        <w:rPr>
          <w:rFonts w:asciiTheme="minorHAnsi" w:hAnsiTheme="minorHAnsi"/>
          <w:szCs w:val="22"/>
        </w:rPr>
        <w:t xml:space="preserve"> weekend and weekdays, for baseline conditions and with no home sources (NHS) and reduced road concentrations (RR) </w:t>
      </w:r>
    </w:p>
    <w:p w14:paraId="73901E6A" w14:textId="77777777" w:rsidR="007C58F6" w:rsidRDefault="007C58F6" w:rsidP="007C58F6">
      <w:pPr>
        <w:jc w:val="both"/>
        <w:rPr>
          <w:rFonts w:asciiTheme="minorHAnsi" w:hAnsiTheme="minorHAnsi"/>
          <w:szCs w:val="22"/>
        </w:rPr>
      </w:pPr>
    </w:p>
    <w:tbl>
      <w:tblPr>
        <w:tblStyle w:val="PlainTable41"/>
        <w:tblW w:w="0" w:type="auto"/>
        <w:tblLook w:val="04A0" w:firstRow="1" w:lastRow="0" w:firstColumn="1" w:lastColumn="0" w:noHBand="0" w:noVBand="1"/>
      </w:tblPr>
      <w:tblGrid>
        <w:gridCol w:w="1807"/>
        <w:gridCol w:w="1807"/>
        <w:gridCol w:w="1807"/>
        <w:gridCol w:w="1807"/>
        <w:gridCol w:w="1808"/>
      </w:tblGrid>
      <w:tr w:rsidR="007C58F6" w14:paraId="40FD643E" w14:textId="77777777" w:rsidTr="002B2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14:paraId="7AEBB440" w14:textId="77777777" w:rsidR="007C58F6" w:rsidRDefault="007C58F6" w:rsidP="001C71B8">
            <w:pPr>
              <w:jc w:val="both"/>
              <w:rPr>
                <w:rFonts w:asciiTheme="minorHAnsi" w:hAnsiTheme="minorHAnsi"/>
                <w:szCs w:val="22"/>
              </w:rPr>
            </w:pPr>
          </w:p>
        </w:tc>
        <w:tc>
          <w:tcPr>
            <w:tcW w:w="1807" w:type="dxa"/>
          </w:tcPr>
          <w:p w14:paraId="369C6177" w14:textId="77777777" w:rsidR="002B2E99"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Winter </w:t>
            </w:r>
          </w:p>
          <w:p w14:paraId="3F6F0318" w14:textId="2853E793" w:rsidR="007C58F6"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weekday</w:t>
            </w:r>
          </w:p>
        </w:tc>
        <w:tc>
          <w:tcPr>
            <w:tcW w:w="1807" w:type="dxa"/>
          </w:tcPr>
          <w:p w14:paraId="543DD649" w14:textId="77777777" w:rsidR="002B2E99"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 xml:space="preserve">Winter </w:t>
            </w:r>
          </w:p>
          <w:p w14:paraId="20D695B3" w14:textId="6352A0C9" w:rsidR="007C58F6"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weekend</w:t>
            </w:r>
          </w:p>
        </w:tc>
        <w:tc>
          <w:tcPr>
            <w:tcW w:w="1807" w:type="dxa"/>
          </w:tcPr>
          <w:p w14:paraId="6339AFAB" w14:textId="77777777" w:rsidR="007C58F6"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Summer weekday</w:t>
            </w:r>
          </w:p>
        </w:tc>
        <w:tc>
          <w:tcPr>
            <w:tcW w:w="1808" w:type="dxa"/>
          </w:tcPr>
          <w:p w14:paraId="37152371" w14:textId="77777777" w:rsidR="007C58F6" w:rsidRDefault="007C58F6" w:rsidP="001C71B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Summer weekend</w:t>
            </w:r>
          </w:p>
        </w:tc>
      </w:tr>
      <w:tr w:rsidR="007C58F6" w14:paraId="4835E8BB" w14:textId="77777777" w:rsidTr="002B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14:paraId="53FB6F38" w14:textId="77777777" w:rsidR="007C58F6" w:rsidRPr="002B2E99" w:rsidRDefault="007C58F6" w:rsidP="001C71B8">
            <w:pPr>
              <w:jc w:val="both"/>
              <w:rPr>
                <w:rFonts w:asciiTheme="minorHAnsi" w:hAnsiTheme="minorHAnsi"/>
                <w:b w:val="0"/>
                <w:i/>
                <w:szCs w:val="22"/>
              </w:rPr>
            </w:pPr>
            <w:r w:rsidRPr="002B2E99">
              <w:rPr>
                <w:rFonts w:asciiTheme="minorHAnsi" w:hAnsiTheme="minorHAnsi"/>
                <w:b w:val="0"/>
                <w:i/>
                <w:szCs w:val="22"/>
              </w:rPr>
              <w:t>Office workers</w:t>
            </w:r>
          </w:p>
          <w:p w14:paraId="6FE6A93B"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Baseline</w:t>
            </w:r>
          </w:p>
          <w:p w14:paraId="7EF7403B"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NHS</w:t>
            </w:r>
          </w:p>
          <w:p w14:paraId="6E6804C0"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RR</w:t>
            </w:r>
          </w:p>
        </w:tc>
        <w:tc>
          <w:tcPr>
            <w:tcW w:w="1807" w:type="dxa"/>
          </w:tcPr>
          <w:p w14:paraId="278B3A8E"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2352165B"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27.4</w:t>
            </w:r>
          </w:p>
          <w:p w14:paraId="1F306073"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23.4</w:t>
            </w:r>
          </w:p>
          <w:p w14:paraId="1DF0E8E2"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24.5</w:t>
            </w:r>
          </w:p>
        </w:tc>
        <w:tc>
          <w:tcPr>
            <w:tcW w:w="1807" w:type="dxa"/>
          </w:tcPr>
          <w:p w14:paraId="3E22D60E"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597ABA84"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21.8</w:t>
            </w:r>
          </w:p>
          <w:p w14:paraId="54523537"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19.1</w:t>
            </w:r>
          </w:p>
          <w:p w14:paraId="70D061F5"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20.1</w:t>
            </w:r>
          </w:p>
        </w:tc>
        <w:tc>
          <w:tcPr>
            <w:tcW w:w="1807" w:type="dxa"/>
          </w:tcPr>
          <w:p w14:paraId="054AF230"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2739CA6B"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24.5</w:t>
            </w:r>
          </w:p>
          <w:p w14:paraId="6F174070"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21.9</w:t>
            </w:r>
          </w:p>
          <w:p w14:paraId="6A0FF329"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22.1</w:t>
            </w:r>
          </w:p>
        </w:tc>
        <w:tc>
          <w:tcPr>
            <w:tcW w:w="1808" w:type="dxa"/>
          </w:tcPr>
          <w:p w14:paraId="00F04A15"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1D56C778"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19.2</w:t>
            </w:r>
          </w:p>
          <w:p w14:paraId="252F1725"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18.0</w:t>
            </w:r>
          </w:p>
          <w:p w14:paraId="1A97AF89"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18.5</w:t>
            </w:r>
          </w:p>
        </w:tc>
      </w:tr>
      <w:tr w:rsidR="007C58F6" w14:paraId="7E359C56" w14:textId="77777777" w:rsidTr="002B2E99">
        <w:tc>
          <w:tcPr>
            <w:cnfStyle w:val="001000000000" w:firstRow="0" w:lastRow="0" w:firstColumn="1" w:lastColumn="0" w:oddVBand="0" w:evenVBand="0" w:oddHBand="0" w:evenHBand="0" w:firstRowFirstColumn="0" w:firstRowLastColumn="0" w:lastRowFirstColumn="0" w:lastRowLastColumn="0"/>
            <w:tcW w:w="1807" w:type="dxa"/>
          </w:tcPr>
          <w:p w14:paraId="572E3AD7" w14:textId="77777777" w:rsidR="007C58F6" w:rsidRPr="002B2E99" w:rsidRDefault="007C58F6" w:rsidP="001C71B8">
            <w:pPr>
              <w:jc w:val="both"/>
              <w:rPr>
                <w:rFonts w:asciiTheme="minorHAnsi" w:hAnsiTheme="minorHAnsi"/>
                <w:b w:val="0"/>
                <w:i/>
                <w:szCs w:val="22"/>
              </w:rPr>
            </w:pPr>
            <w:r w:rsidRPr="002B2E99">
              <w:rPr>
                <w:rFonts w:asciiTheme="minorHAnsi" w:hAnsiTheme="minorHAnsi"/>
                <w:b w:val="0"/>
                <w:i/>
                <w:szCs w:val="22"/>
              </w:rPr>
              <w:t>Children</w:t>
            </w:r>
          </w:p>
          <w:p w14:paraId="239437BA"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Baseline</w:t>
            </w:r>
          </w:p>
          <w:p w14:paraId="082AAA73"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NHS</w:t>
            </w:r>
          </w:p>
          <w:p w14:paraId="67D9A304"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RR</w:t>
            </w:r>
          </w:p>
        </w:tc>
        <w:tc>
          <w:tcPr>
            <w:tcW w:w="1807" w:type="dxa"/>
          </w:tcPr>
          <w:p w14:paraId="234FB4DC"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43DA1EAF"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47.7</w:t>
            </w:r>
          </w:p>
          <w:p w14:paraId="21D7F359"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22.8</w:t>
            </w:r>
          </w:p>
          <w:p w14:paraId="749F53A7"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45.1</w:t>
            </w:r>
          </w:p>
        </w:tc>
        <w:tc>
          <w:tcPr>
            <w:tcW w:w="1807" w:type="dxa"/>
          </w:tcPr>
          <w:p w14:paraId="1F5921F6"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39788A3F"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113.0</w:t>
            </w:r>
          </w:p>
          <w:p w14:paraId="605C6F59"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19.5</w:t>
            </w:r>
          </w:p>
          <w:p w14:paraId="552888B7"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111.0</w:t>
            </w:r>
          </w:p>
        </w:tc>
        <w:tc>
          <w:tcPr>
            <w:tcW w:w="1807" w:type="dxa"/>
          </w:tcPr>
          <w:p w14:paraId="0F11B717"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35A9A255"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88.2</w:t>
            </w:r>
          </w:p>
          <w:p w14:paraId="47C55A77"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22.6</w:t>
            </w:r>
          </w:p>
          <w:p w14:paraId="792C5AEC"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85.8</w:t>
            </w:r>
          </w:p>
        </w:tc>
        <w:tc>
          <w:tcPr>
            <w:tcW w:w="1808" w:type="dxa"/>
          </w:tcPr>
          <w:p w14:paraId="35A90BD1"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p w14:paraId="313722F9"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64.2</w:t>
            </w:r>
          </w:p>
          <w:p w14:paraId="2B458054"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16.9</w:t>
            </w:r>
          </w:p>
          <w:p w14:paraId="2458D023" w14:textId="77777777" w:rsidR="007C58F6" w:rsidRDefault="007C58F6" w:rsidP="001C71B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63.1</w:t>
            </w:r>
          </w:p>
        </w:tc>
      </w:tr>
      <w:tr w:rsidR="007C58F6" w14:paraId="524B2CC2" w14:textId="77777777" w:rsidTr="002B2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14:paraId="69BB9656" w14:textId="77777777" w:rsidR="007C58F6" w:rsidRPr="002B2E99" w:rsidRDefault="007C58F6" w:rsidP="001C71B8">
            <w:pPr>
              <w:jc w:val="both"/>
              <w:rPr>
                <w:rFonts w:asciiTheme="minorHAnsi" w:hAnsiTheme="minorHAnsi"/>
                <w:b w:val="0"/>
                <w:i/>
                <w:szCs w:val="22"/>
              </w:rPr>
            </w:pPr>
            <w:r w:rsidRPr="002B2E99">
              <w:rPr>
                <w:rFonts w:asciiTheme="minorHAnsi" w:hAnsiTheme="minorHAnsi"/>
                <w:b w:val="0"/>
                <w:i/>
                <w:szCs w:val="22"/>
              </w:rPr>
              <w:t>Elderly</w:t>
            </w:r>
          </w:p>
          <w:p w14:paraId="5C834E43"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Baseline</w:t>
            </w:r>
          </w:p>
          <w:p w14:paraId="345E4532"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NHS</w:t>
            </w:r>
          </w:p>
          <w:p w14:paraId="1F915560" w14:textId="77777777" w:rsidR="007C58F6" w:rsidRPr="002B2E99" w:rsidRDefault="007C58F6" w:rsidP="001C71B8">
            <w:pPr>
              <w:jc w:val="both"/>
              <w:rPr>
                <w:rFonts w:asciiTheme="minorHAnsi" w:hAnsiTheme="minorHAnsi"/>
                <w:b w:val="0"/>
                <w:szCs w:val="22"/>
              </w:rPr>
            </w:pPr>
            <w:r w:rsidRPr="002B2E99">
              <w:rPr>
                <w:rFonts w:asciiTheme="minorHAnsi" w:hAnsiTheme="minorHAnsi"/>
                <w:b w:val="0"/>
                <w:szCs w:val="22"/>
              </w:rPr>
              <w:t>RR</w:t>
            </w:r>
          </w:p>
        </w:tc>
        <w:tc>
          <w:tcPr>
            <w:tcW w:w="1807" w:type="dxa"/>
          </w:tcPr>
          <w:p w14:paraId="2584FEEC"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7A345C4D"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39.9</w:t>
            </w:r>
          </w:p>
          <w:p w14:paraId="45C5FB7F"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18.6</w:t>
            </w:r>
          </w:p>
          <w:p w14:paraId="574E04D6"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38.1</w:t>
            </w:r>
          </w:p>
        </w:tc>
        <w:tc>
          <w:tcPr>
            <w:tcW w:w="1807" w:type="dxa"/>
          </w:tcPr>
          <w:p w14:paraId="671C6D71"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489F70E0"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39.7</w:t>
            </w:r>
          </w:p>
          <w:p w14:paraId="27BA1FA3"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15.8</w:t>
            </w:r>
          </w:p>
          <w:p w14:paraId="2A5C7706"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38.1</w:t>
            </w:r>
          </w:p>
        </w:tc>
        <w:tc>
          <w:tcPr>
            <w:tcW w:w="1807" w:type="dxa"/>
          </w:tcPr>
          <w:p w14:paraId="384EED9B"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46FE37A3"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33.8</w:t>
            </w:r>
          </w:p>
          <w:p w14:paraId="21A94A60"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18.4</w:t>
            </w:r>
          </w:p>
          <w:p w14:paraId="7696F666"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32.1</w:t>
            </w:r>
          </w:p>
        </w:tc>
        <w:tc>
          <w:tcPr>
            <w:tcW w:w="1808" w:type="dxa"/>
          </w:tcPr>
          <w:p w14:paraId="1877A9BB"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p>
          <w:p w14:paraId="41B73C62"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29.6</w:t>
            </w:r>
          </w:p>
          <w:p w14:paraId="2D944016"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14.1</w:t>
            </w:r>
          </w:p>
          <w:p w14:paraId="2B6B6695" w14:textId="77777777" w:rsidR="007C58F6" w:rsidRDefault="007C58F6" w:rsidP="001C71B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Pr>
                <w:rFonts w:asciiTheme="minorHAnsi" w:hAnsiTheme="minorHAnsi"/>
                <w:szCs w:val="22"/>
              </w:rPr>
              <w:t>28.2</w:t>
            </w:r>
          </w:p>
        </w:tc>
      </w:tr>
    </w:tbl>
    <w:p w14:paraId="2900E505" w14:textId="77777777" w:rsidR="007C58F6" w:rsidRPr="00CF4818" w:rsidRDefault="007C58F6" w:rsidP="007C58F6">
      <w:pPr>
        <w:jc w:val="both"/>
        <w:rPr>
          <w:rFonts w:asciiTheme="minorHAnsi" w:hAnsiTheme="minorHAnsi"/>
          <w:szCs w:val="22"/>
        </w:rPr>
      </w:pPr>
    </w:p>
    <w:p w14:paraId="225EC2CA" w14:textId="77777777" w:rsidR="007C58F6" w:rsidRDefault="007C58F6" w:rsidP="007C58F6">
      <w:pPr>
        <w:jc w:val="both"/>
        <w:rPr>
          <w:rFonts w:asciiTheme="minorHAnsi" w:hAnsiTheme="minorHAnsi"/>
          <w:szCs w:val="22"/>
        </w:rPr>
      </w:pPr>
    </w:p>
    <w:p w14:paraId="556D1438" w14:textId="55E2B668" w:rsidR="009A18DC" w:rsidRDefault="009A18DC" w:rsidP="006808F4">
      <w:pPr>
        <w:jc w:val="both"/>
        <w:rPr>
          <w:rFonts w:asciiTheme="minorHAnsi" w:hAnsiTheme="minorHAnsi"/>
        </w:rPr>
      </w:pPr>
      <w:r>
        <w:rPr>
          <w:rFonts w:asciiTheme="minorHAnsi" w:hAnsiTheme="minorHAnsi"/>
        </w:rPr>
        <w:t>R</w:t>
      </w:r>
      <w:r w:rsidR="006808F4">
        <w:rPr>
          <w:rFonts w:asciiTheme="minorHAnsi" w:hAnsiTheme="minorHAnsi"/>
        </w:rPr>
        <w:t xml:space="preserve">educed </w:t>
      </w:r>
      <w:r>
        <w:rPr>
          <w:rFonts w:asciiTheme="minorHAnsi" w:hAnsiTheme="minorHAnsi"/>
        </w:rPr>
        <w:t xml:space="preserve">outdoor </w:t>
      </w:r>
      <w:r w:rsidR="006808F4">
        <w:rPr>
          <w:rFonts w:asciiTheme="minorHAnsi" w:hAnsiTheme="minorHAnsi"/>
        </w:rPr>
        <w:t>concentration on road types 3 and 4 had very little effect on the maximum hourly mean exposure for any of three population groups</w:t>
      </w:r>
      <w:r>
        <w:rPr>
          <w:rFonts w:asciiTheme="minorHAnsi" w:hAnsiTheme="minorHAnsi"/>
        </w:rPr>
        <w:t xml:space="preserve"> on winter weekdays</w:t>
      </w:r>
      <w:r w:rsidR="006808F4">
        <w:rPr>
          <w:rFonts w:asciiTheme="minorHAnsi" w:hAnsiTheme="minorHAnsi"/>
        </w:rPr>
        <w:t xml:space="preserve">; the reductions ranged from </w:t>
      </w:r>
      <w:r w:rsidR="008F5C96">
        <w:rPr>
          <w:rFonts w:asciiTheme="minorHAnsi" w:hAnsiTheme="minorHAnsi"/>
        </w:rPr>
        <w:t>0.7</w:t>
      </w:r>
      <w:r w:rsidR="006808F4">
        <w:rPr>
          <w:rFonts w:asciiTheme="minorHAnsi" w:hAnsiTheme="minorHAnsi"/>
        </w:rPr>
        <w:t xml:space="preserve">ppb to 2.9ppb. </w:t>
      </w:r>
      <w:r>
        <w:rPr>
          <w:rFonts w:asciiTheme="minorHAnsi" w:hAnsiTheme="minorHAnsi"/>
        </w:rPr>
        <w:t>The reductions tended to be lower at weekends than weekdays, because of the lower baseline concentrations on these road types at weekends (Table 2).</w:t>
      </w:r>
    </w:p>
    <w:p w14:paraId="1F1D5A1C" w14:textId="77777777" w:rsidR="009A18DC" w:rsidRDefault="009A18DC" w:rsidP="006808F4">
      <w:pPr>
        <w:jc w:val="both"/>
        <w:rPr>
          <w:rFonts w:asciiTheme="minorHAnsi" w:hAnsiTheme="minorHAnsi"/>
        </w:rPr>
      </w:pPr>
    </w:p>
    <w:p w14:paraId="38EEA545" w14:textId="10ED0854" w:rsidR="008F5C96" w:rsidRDefault="00EF0E8A" w:rsidP="006808F4">
      <w:pPr>
        <w:jc w:val="both"/>
        <w:rPr>
          <w:rFonts w:asciiTheme="minorHAnsi" w:hAnsiTheme="minorHAnsi"/>
        </w:rPr>
      </w:pPr>
      <w:r>
        <w:rPr>
          <w:rFonts w:asciiTheme="minorHAnsi" w:hAnsiTheme="minorHAnsi"/>
        </w:rPr>
        <w:t>In contrast, t</w:t>
      </w:r>
      <w:r w:rsidR="006808F4">
        <w:rPr>
          <w:rFonts w:asciiTheme="minorHAnsi" w:hAnsiTheme="minorHAnsi"/>
        </w:rPr>
        <w:t xml:space="preserve">he removal of home sources had </w:t>
      </w:r>
      <w:r>
        <w:rPr>
          <w:rFonts w:asciiTheme="minorHAnsi" w:hAnsiTheme="minorHAnsi"/>
        </w:rPr>
        <w:t>very different effects on the three population groups. The effect</w:t>
      </w:r>
      <w:r w:rsidR="006808F4">
        <w:rPr>
          <w:rFonts w:asciiTheme="minorHAnsi" w:hAnsiTheme="minorHAnsi"/>
        </w:rPr>
        <w:t xml:space="preserve"> on the maximum hourly mean NO</w:t>
      </w:r>
      <w:r w:rsidR="006808F4" w:rsidRPr="00F12B18">
        <w:rPr>
          <w:rFonts w:asciiTheme="minorHAnsi" w:hAnsiTheme="minorHAnsi"/>
          <w:vertAlign w:val="subscript"/>
        </w:rPr>
        <w:t>2</w:t>
      </w:r>
      <w:r w:rsidR="006808F4">
        <w:rPr>
          <w:rFonts w:asciiTheme="minorHAnsi" w:hAnsiTheme="minorHAnsi"/>
        </w:rPr>
        <w:t xml:space="preserve"> exposure of office workers</w:t>
      </w:r>
      <w:r>
        <w:rPr>
          <w:rFonts w:asciiTheme="minorHAnsi" w:hAnsiTheme="minorHAnsi"/>
        </w:rPr>
        <w:t xml:space="preserve"> was relatively small</w:t>
      </w:r>
      <w:r w:rsidR="006808F4">
        <w:rPr>
          <w:rFonts w:asciiTheme="minorHAnsi" w:hAnsiTheme="minorHAnsi"/>
        </w:rPr>
        <w:t xml:space="preserve">, reducing it by </w:t>
      </w:r>
      <w:r w:rsidR="008F5C96">
        <w:rPr>
          <w:rFonts w:asciiTheme="minorHAnsi" w:hAnsiTheme="minorHAnsi"/>
        </w:rPr>
        <w:t xml:space="preserve">values between 1.2ppb and </w:t>
      </w:r>
      <w:r w:rsidR="006808F4">
        <w:rPr>
          <w:rFonts w:asciiTheme="minorHAnsi" w:hAnsiTheme="minorHAnsi"/>
        </w:rPr>
        <w:t xml:space="preserve">4ppb. </w:t>
      </w:r>
      <w:r w:rsidR="008F5C96">
        <w:rPr>
          <w:rFonts w:asciiTheme="minorHAnsi" w:hAnsiTheme="minorHAnsi"/>
        </w:rPr>
        <w:t xml:space="preserve"> The benefit of this intervention for office workers was only between 0.2ppb and 1ppb greater than that of reducing road concentrations.</w:t>
      </w:r>
      <w:r w:rsidR="00504FBC">
        <w:rPr>
          <w:rFonts w:asciiTheme="minorHAnsi" w:hAnsiTheme="minorHAnsi"/>
        </w:rPr>
        <w:t xml:space="preserve"> This mainly reflects the lower amount of time, compared to other groups, spent at home by office workers, including during cooking activity.</w:t>
      </w:r>
    </w:p>
    <w:p w14:paraId="61F53290" w14:textId="77777777" w:rsidR="008F5C96" w:rsidRDefault="008F5C96" w:rsidP="006808F4">
      <w:pPr>
        <w:jc w:val="both"/>
        <w:rPr>
          <w:rFonts w:asciiTheme="minorHAnsi" w:hAnsiTheme="minorHAnsi"/>
        </w:rPr>
      </w:pPr>
    </w:p>
    <w:p w14:paraId="5D9B9299" w14:textId="1344FF0D" w:rsidR="00E91622" w:rsidRDefault="009A18DC" w:rsidP="006808F4">
      <w:pPr>
        <w:jc w:val="both"/>
        <w:rPr>
          <w:rFonts w:asciiTheme="minorHAnsi" w:hAnsiTheme="minorHAnsi"/>
        </w:rPr>
      </w:pPr>
      <w:r>
        <w:rPr>
          <w:rFonts w:asciiTheme="minorHAnsi" w:hAnsiTheme="minorHAnsi"/>
        </w:rPr>
        <w:t>In contrast</w:t>
      </w:r>
      <w:r w:rsidR="006808F4">
        <w:rPr>
          <w:rFonts w:asciiTheme="minorHAnsi" w:hAnsiTheme="minorHAnsi"/>
        </w:rPr>
        <w:t xml:space="preserve">, for elderly and children, the </w:t>
      </w:r>
      <w:r w:rsidR="008F5C96">
        <w:rPr>
          <w:rFonts w:asciiTheme="minorHAnsi" w:hAnsiTheme="minorHAnsi"/>
        </w:rPr>
        <w:t xml:space="preserve">effect of </w:t>
      </w:r>
      <w:r w:rsidR="006808F4">
        <w:rPr>
          <w:rFonts w:asciiTheme="minorHAnsi" w:hAnsiTheme="minorHAnsi"/>
        </w:rPr>
        <w:t xml:space="preserve">removal of home sources </w:t>
      </w:r>
      <w:r w:rsidR="008F5C96">
        <w:rPr>
          <w:rFonts w:asciiTheme="minorHAnsi" w:hAnsiTheme="minorHAnsi"/>
        </w:rPr>
        <w:t>was much greater than that of reducing road concentrations. Without home sources, the mean 1h NO</w:t>
      </w:r>
      <w:r w:rsidR="008F5C96" w:rsidRPr="00504FBC">
        <w:rPr>
          <w:rFonts w:asciiTheme="minorHAnsi" w:hAnsiTheme="minorHAnsi"/>
          <w:vertAlign w:val="subscript"/>
        </w:rPr>
        <w:t xml:space="preserve">2 </w:t>
      </w:r>
      <w:r w:rsidR="008F5C96">
        <w:rPr>
          <w:rFonts w:asciiTheme="minorHAnsi" w:hAnsiTheme="minorHAnsi"/>
        </w:rPr>
        <w:t>exposures for children were comparable to those of office workers, with rather lower values for the elderly, who largely remained at home, where the exposure peaks due to outdoor NO</w:t>
      </w:r>
      <w:r w:rsidR="008F5C96" w:rsidRPr="00F12B18">
        <w:rPr>
          <w:rFonts w:asciiTheme="minorHAnsi" w:hAnsiTheme="minorHAnsi"/>
          <w:vertAlign w:val="subscript"/>
        </w:rPr>
        <w:t>2</w:t>
      </w:r>
      <w:r w:rsidR="008F5C96">
        <w:rPr>
          <w:rFonts w:asciiTheme="minorHAnsi" w:hAnsiTheme="minorHAnsi"/>
        </w:rPr>
        <w:t xml:space="preserve"> were buffered.  The size of the reductions with no home sources for these two groups in different seasons and on different days of the week largely reflected the magnitude of the predicted baseline exposures.</w:t>
      </w:r>
    </w:p>
    <w:p w14:paraId="3453D28C" w14:textId="77777777" w:rsidR="006808F4" w:rsidRDefault="006808F4" w:rsidP="006808F4">
      <w:pPr>
        <w:jc w:val="both"/>
        <w:rPr>
          <w:rFonts w:asciiTheme="minorHAnsi" w:hAnsiTheme="minorHAnsi"/>
        </w:rPr>
      </w:pPr>
    </w:p>
    <w:p w14:paraId="0EC10BF8" w14:textId="26C86AC3" w:rsidR="006808F4" w:rsidRPr="00137DB4" w:rsidRDefault="00F12B18" w:rsidP="006808F4">
      <w:pPr>
        <w:jc w:val="both"/>
        <w:rPr>
          <w:rFonts w:asciiTheme="minorHAnsi" w:hAnsiTheme="minorHAnsi"/>
        </w:rPr>
      </w:pPr>
      <w:r w:rsidRPr="00137DB4">
        <w:rPr>
          <w:rFonts w:asciiTheme="minorHAnsi" w:hAnsiTheme="minorHAnsi"/>
        </w:rPr>
        <w:t>For the elderly</w:t>
      </w:r>
      <w:r w:rsidR="0027130D" w:rsidRPr="00137DB4">
        <w:rPr>
          <w:rFonts w:asciiTheme="minorHAnsi" w:hAnsiTheme="minorHAnsi"/>
        </w:rPr>
        <w:t>,</w:t>
      </w:r>
      <w:r w:rsidRPr="00137DB4">
        <w:rPr>
          <w:rFonts w:asciiTheme="minorHAnsi" w:hAnsiTheme="minorHAnsi"/>
        </w:rPr>
        <w:t xml:space="preserve"> the maximum 1h mean NO</w:t>
      </w:r>
      <w:r w:rsidRPr="00137DB4">
        <w:rPr>
          <w:rFonts w:asciiTheme="minorHAnsi" w:hAnsiTheme="minorHAnsi"/>
          <w:vertAlign w:val="subscript"/>
        </w:rPr>
        <w:t>2</w:t>
      </w:r>
      <w:r w:rsidRPr="00137DB4">
        <w:rPr>
          <w:rFonts w:asciiTheme="minorHAnsi" w:hAnsiTheme="minorHAnsi"/>
        </w:rPr>
        <w:t xml:space="preserve"> exposures were comparable at </w:t>
      </w:r>
      <w:r w:rsidR="008668D2" w:rsidRPr="00137DB4">
        <w:rPr>
          <w:rFonts w:asciiTheme="minorHAnsi" w:hAnsiTheme="minorHAnsi"/>
        </w:rPr>
        <w:t xml:space="preserve">winter </w:t>
      </w:r>
      <w:r w:rsidRPr="00137DB4">
        <w:rPr>
          <w:rFonts w:asciiTheme="minorHAnsi" w:hAnsiTheme="minorHAnsi"/>
        </w:rPr>
        <w:t xml:space="preserve">weekends </w:t>
      </w:r>
      <w:r w:rsidR="0027130D" w:rsidRPr="00137DB4">
        <w:rPr>
          <w:rFonts w:asciiTheme="minorHAnsi" w:hAnsiTheme="minorHAnsi"/>
        </w:rPr>
        <w:t>and</w:t>
      </w:r>
      <w:r w:rsidRPr="00137DB4">
        <w:rPr>
          <w:rFonts w:asciiTheme="minorHAnsi" w:hAnsiTheme="minorHAnsi"/>
        </w:rPr>
        <w:t xml:space="preserve"> weekdays, but were a little lower</w:t>
      </w:r>
      <w:r w:rsidR="0027130D" w:rsidRPr="00137DB4">
        <w:rPr>
          <w:rFonts w:asciiTheme="minorHAnsi" w:hAnsiTheme="minorHAnsi"/>
        </w:rPr>
        <w:t xml:space="preserve"> </w:t>
      </w:r>
      <w:r w:rsidRPr="00137DB4">
        <w:rPr>
          <w:rFonts w:asciiTheme="minorHAnsi" w:hAnsiTheme="minorHAnsi"/>
        </w:rPr>
        <w:t xml:space="preserve">in summer, reflecting </w:t>
      </w:r>
      <w:r w:rsidR="00504FBC" w:rsidRPr="00137DB4">
        <w:rPr>
          <w:rFonts w:asciiTheme="minorHAnsi" w:hAnsiTheme="minorHAnsi"/>
        </w:rPr>
        <w:t>the</w:t>
      </w:r>
      <w:r w:rsidRPr="00137DB4">
        <w:rPr>
          <w:rFonts w:asciiTheme="minorHAnsi" w:hAnsiTheme="minorHAnsi"/>
        </w:rPr>
        <w:t xml:space="preserve"> lower duration or frequency of cooking</w:t>
      </w:r>
      <w:r w:rsidR="00504FBC" w:rsidRPr="00137DB4">
        <w:rPr>
          <w:rFonts w:asciiTheme="minorHAnsi" w:hAnsiTheme="minorHAnsi"/>
        </w:rPr>
        <w:t xml:space="preserve"> and</w:t>
      </w:r>
      <w:r w:rsidRPr="00137DB4">
        <w:rPr>
          <w:rFonts w:asciiTheme="minorHAnsi" w:hAnsiTheme="minorHAnsi"/>
        </w:rPr>
        <w:t xml:space="preserve"> the incre</w:t>
      </w:r>
      <w:r w:rsidR="002A578E" w:rsidRPr="00137DB4">
        <w:rPr>
          <w:rFonts w:asciiTheme="minorHAnsi" w:hAnsiTheme="minorHAnsi"/>
        </w:rPr>
        <w:t>ased air exchange rate. For children, the maximum 1h mean NO</w:t>
      </w:r>
      <w:r w:rsidR="002A578E" w:rsidRPr="00137DB4">
        <w:rPr>
          <w:rFonts w:asciiTheme="minorHAnsi" w:hAnsiTheme="minorHAnsi"/>
          <w:vertAlign w:val="subscript"/>
        </w:rPr>
        <w:t>2</w:t>
      </w:r>
      <w:r w:rsidR="002A578E" w:rsidRPr="00137DB4">
        <w:rPr>
          <w:rFonts w:asciiTheme="minorHAnsi" w:hAnsiTheme="minorHAnsi"/>
        </w:rPr>
        <w:t xml:space="preserve"> exposure showed a much larger variation, with </w:t>
      </w:r>
      <w:r w:rsidR="008F5C96" w:rsidRPr="00137DB4">
        <w:rPr>
          <w:rFonts w:asciiTheme="minorHAnsi" w:hAnsiTheme="minorHAnsi"/>
        </w:rPr>
        <w:t>values that were consistently greater than those of the elderly, reflecting the greater cooking activity assumed in family homes than in those occupied by the elderly. T</w:t>
      </w:r>
      <w:r w:rsidR="002A578E" w:rsidRPr="00137DB4">
        <w:rPr>
          <w:rFonts w:asciiTheme="minorHAnsi" w:hAnsiTheme="minorHAnsi"/>
        </w:rPr>
        <w:t xml:space="preserve">he highest value </w:t>
      </w:r>
      <w:r w:rsidR="008F5C96" w:rsidRPr="00137DB4">
        <w:rPr>
          <w:rFonts w:asciiTheme="minorHAnsi" w:hAnsiTheme="minorHAnsi"/>
        </w:rPr>
        <w:t xml:space="preserve">for children </w:t>
      </w:r>
      <w:r w:rsidR="002A578E" w:rsidRPr="00137DB4">
        <w:rPr>
          <w:rFonts w:asciiTheme="minorHAnsi" w:hAnsiTheme="minorHAnsi"/>
        </w:rPr>
        <w:t>(113</w:t>
      </w:r>
      <w:r w:rsidR="00E941FD" w:rsidRPr="00137DB4">
        <w:rPr>
          <w:rFonts w:asciiTheme="minorHAnsi" w:hAnsiTheme="minorHAnsi"/>
        </w:rPr>
        <w:t xml:space="preserve"> </w:t>
      </w:r>
      <w:r w:rsidR="002A578E" w:rsidRPr="00137DB4">
        <w:rPr>
          <w:rFonts w:asciiTheme="minorHAnsi" w:hAnsiTheme="minorHAnsi"/>
        </w:rPr>
        <w:t xml:space="preserve">ppb) </w:t>
      </w:r>
      <w:r w:rsidR="008F5C96" w:rsidRPr="00137DB4">
        <w:rPr>
          <w:rFonts w:asciiTheme="minorHAnsi" w:hAnsiTheme="minorHAnsi"/>
        </w:rPr>
        <w:t xml:space="preserve">was on </w:t>
      </w:r>
      <w:r w:rsidR="002A578E" w:rsidRPr="00137DB4">
        <w:rPr>
          <w:rFonts w:asciiTheme="minorHAnsi" w:hAnsiTheme="minorHAnsi"/>
        </w:rPr>
        <w:t xml:space="preserve">winter weekends, when children spend </w:t>
      </w:r>
      <w:r w:rsidR="00504FBC" w:rsidRPr="00137DB4">
        <w:rPr>
          <w:rFonts w:asciiTheme="minorHAnsi" w:hAnsiTheme="minorHAnsi"/>
        </w:rPr>
        <w:t>more</w:t>
      </w:r>
      <w:r w:rsidR="002A578E" w:rsidRPr="00137DB4">
        <w:rPr>
          <w:rFonts w:asciiTheme="minorHAnsi" w:hAnsiTheme="minorHAnsi"/>
        </w:rPr>
        <w:t xml:space="preserve"> </w:t>
      </w:r>
      <w:r w:rsidR="000170E4" w:rsidRPr="00137DB4">
        <w:rPr>
          <w:rFonts w:asciiTheme="minorHAnsi" w:hAnsiTheme="minorHAnsi"/>
        </w:rPr>
        <w:t xml:space="preserve">of their </w:t>
      </w:r>
      <w:r w:rsidR="002A578E" w:rsidRPr="00137DB4">
        <w:rPr>
          <w:rFonts w:asciiTheme="minorHAnsi" w:hAnsiTheme="minorHAnsi"/>
        </w:rPr>
        <w:t>time in the home, air exchange rates are low</w:t>
      </w:r>
      <w:r w:rsidR="008F5C96" w:rsidRPr="00137DB4">
        <w:rPr>
          <w:rFonts w:asciiTheme="minorHAnsi" w:hAnsiTheme="minorHAnsi"/>
        </w:rPr>
        <w:t xml:space="preserve">, and the </w:t>
      </w:r>
      <w:r w:rsidR="000170E4" w:rsidRPr="00137DB4">
        <w:rPr>
          <w:rFonts w:asciiTheme="minorHAnsi" w:hAnsiTheme="minorHAnsi"/>
        </w:rPr>
        <w:t>du</w:t>
      </w:r>
      <w:r w:rsidR="008F5C96" w:rsidRPr="00137DB4">
        <w:rPr>
          <w:rFonts w:asciiTheme="minorHAnsi" w:hAnsiTheme="minorHAnsi"/>
        </w:rPr>
        <w:t>ration of cooking</w:t>
      </w:r>
      <w:r w:rsidR="000170E4" w:rsidRPr="00137DB4">
        <w:rPr>
          <w:rFonts w:asciiTheme="minorHAnsi" w:hAnsiTheme="minorHAnsi"/>
        </w:rPr>
        <w:t xml:space="preserve"> </w:t>
      </w:r>
      <w:r w:rsidR="00504FBC" w:rsidRPr="00137DB4">
        <w:rPr>
          <w:rFonts w:asciiTheme="minorHAnsi" w:hAnsiTheme="minorHAnsi"/>
        </w:rPr>
        <w:t xml:space="preserve">to prepare family meals </w:t>
      </w:r>
      <w:r w:rsidR="000170E4" w:rsidRPr="00137DB4">
        <w:rPr>
          <w:rFonts w:asciiTheme="minorHAnsi" w:hAnsiTheme="minorHAnsi"/>
        </w:rPr>
        <w:t>is high</w:t>
      </w:r>
      <w:r w:rsidR="002A578E" w:rsidRPr="00137DB4">
        <w:rPr>
          <w:rFonts w:asciiTheme="minorHAnsi" w:hAnsiTheme="minorHAnsi"/>
        </w:rPr>
        <w:t xml:space="preserve">. </w:t>
      </w:r>
      <w:r w:rsidRPr="00137DB4">
        <w:rPr>
          <w:rFonts w:asciiTheme="minorHAnsi" w:hAnsiTheme="minorHAnsi"/>
        </w:rPr>
        <w:t xml:space="preserve">     </w:t>
      </w:r>
    </w:p>
    <w:p w14:paraId="4D969B76" w14:textId="77777777" w:rsidR="0058471A" w:rsidRDefault="0058471A" w:rsidP="006808F4">
      <w:pPr>
        <w:jc w:val="both"/>
        <w:rPr>
          <w:rFonts w:asciiTheme="minorHAnsi" w:hAnsiTheme="minorHAnsi"/>
        </w:rPr>
      </w:pPr>
    </w:p>
    <w:p w14:paraId="401DB568" w14:textId="6A2422A8" w:rsidR="0058471A" w:rsidRPr="00C20EE6" w:rsidRDefault="0058471A" w:rsidP="0058471A">
      <w:pPr>
        <w:jc w:val="both"/>
        <w:rPr>
          <w:rFonts w:asciiTheme="minorHAnsi" w:hAnsiTheme="minorHAnsi"/>
          <w:i/>
        </w:rPr>
      </w:pPr>
      <w:r>
        <w:rPr>
          <w:rFonts w:asciiTheme="minorHAnsi" w:hAnsiTheme="minorHAnsi"/>
          <w:i/>
        </w:rPr>
        <w:t>4.5</w:t>
      </w:r>
      <w:r w:rsidRPr="00C20EE6">
        <w:rPr>
          <w:rFonts w:asciiTheme="minorHAnsi" w:hAnsiTheme="minorHAnsi"/>
          <w:i/>
        </w:rPr>
        <w:t xml:space="preserve"> </w:t>
      </w:r>
      <w:r w:rsidR="00D05287">
        <w:rPr>
          <w:rFonts w:asciiTheme="minorHAnsi" w:hAnsiTheme="minorHAnsi"/>
          <w:i/>
        </w:rPr>
        <w:t>Relationship between urban background concentrations and population exposure</w:t>
      </w:r>
      <w:r>
        <w:rPr>
          <w:rFonts w:asciiTheme="minorHAnsi" w:hAnsiTheme="minorHAnsi"/>
          <w:i/>
        </w:rPr>
        <w:t xml:space="preserve"> </w:t>
      </w:r>
    </w:p>
    <w:p w14:paraId="4EC52B86" w14:textId="77777777" w:rsidR="0058471A" w:rsidRPr="00DD28E1" w:rsidRDefault="0058471A" w:rsidP="0058471A">
      <w:pPr>
        <w:jc w:val="both"/>
        <w:rPr>
          <w:rFonts w:asciiTheme="minorHAnsi" w:hAnsiTheme="minorHAnsi"/>
        </w:rPr>
      </w:pPr>
    </w:p>
    <w:p w14:paraId="28FBBE94" w14:textId="20C388D9" w:rsidR="00D05287" w:rsidRDefault="00D05287" w:rsidP="0058471A">
      <w:pPr>
        <w:jc w:val="both"/>
        <w:rPr>
          <w:rFonts w:asciiTheme="minorHAnsi" w:hAnsiTheme="minorHAnsi"/>
        </w:rPr>
      </w:pPr>
      <w:r>
        <w:rPr>
          <w:rFonts w:asciiTheme="minorHAnsi" w:hAnsiTheme="minorHAnsi"/>
        </w:rPr>
        <w:t xml:space="preserve">The population exposure simulations described above </w:t>
      </w:r>
      <w:r w:rsidR="00E95178">
        <w:rPr>
          <w:rFonts w:asciiTheme="minorHAnsi" w:hAnsiTheme="minorHAnsi"/>
        </w:rPr>
        <w:t>we</w:t>
      </w:r>
      <w:r>
        <w:rPr>
          <w:rFonts w:asciiTheme="minorHAnsi" w:hAnsiTheme="minorHAnsi"/>
        </w:rPr>
        <w:t>re based on the frequency distributions of measured NO</w:t>
      </w:r>
      <w:r w:rsidRPr="00737E13">
        <w:rPr>
          <w:rFonts w:asciiTheme="minorHAnsi" w:hAnsiTheme="minorHAnsi"/>
          <w:vertAlign w:val="subscript"/>
        </w:rPr>
        <w:t>2</w:t>
      </w:r>
      <w:r>
        <w:rPr>
          <w:rFonts w:asciiTheme="minorHAnsi" w:hAnsiTheme="minorHAnsi"/>
        </w:rPr>
        <w:t xml:space="preserve"> concentrations at roadside monitors over a season. In order to assess how day-to-day variation in population exposure is related to day-to-day variation in outdoor concentrations, we simulated PEFDs for days on which the 24h mean concentration was at the 50%ile, 95%ile and 99%ile of the seasonal frequency distributions. We applied the same percentiles for all four road categories, and assumed that the diurnal variation of NO</w:t>
      </w:r>
      <w:r w:rsidRPr="00737E13">
        <w:rPr>
          <w:rFonts w:asciiTheme="minorHAnsi" w:hAnsiTheme="minorHAnsi"/>
          <w:vertAlign w:val="subscript"/>
        </w:rPr>
        <w:t>2</w:t>
      </w:r>
      <w:r>
        <w:rPr>
          <w:rFonts w:asciiTheme="minorHAnsi" w:hAnsiTheme="minorHAnsi"/>
        </w:rPr>
        <w:t xml:space="preserve"> concentration on these days followed that of the seasonal mean. </w:t>
      </w:r>
    </w:p>
    <w:p w14:paraId="5CCAEA9D" w14:textId="77777777" w:rsidR="00D05287" w:rsidRDefault="00D05287" w:rsidP="0058471A">
      <w:pPr>
        <w:jc w:val="both"/>
        <w:rPr>
          <w:rFonts w:asciiTheme="minorHAnsi" w:hAnsiTheme="minorHAnsi"/>
        </w:rPr>
      </w:pPr>
    </w:p>
    <w:p w14:paraId="53E1FAC9" w14:textId="28DB72CE" w:rsidR="00D24106" w:rsidRDefault="00E95178" w:rsidP="00DB5FBF">
      <w:pPr>
        <w:jc w:val="both"/>
        <w:rPr>
          <w:rFonts w:asciiTheme="minorHAnsi" w:hAnsiTheme="minorHAnsi"/>
        </w:rPr>
      </w:pPr>
      <w:r>
        <w:rPr>
          <w:rFonts w:asciiTheme="minorHAnsi" w:hAnsiTheme="minorHAnsi"/>
        </w:rPr>
        <w:t xml:space="preserve">The relationships derived are </w:t>
      </w:r>
      <w:r w:rsidRPr="00137DB4">
        <w:rPr>
          <w:rFonts w:asciiTheme="minorHAnsi" w:hAnsiTheme="minorHAnsi"/>
        </w:rPr>
        <w:t xml:space="preserve">shown in Figure </w:t>
      </w:r>
      <w:r w:rsidR="008668D2" w:rsidRPr="00137DB4">
        <w:rPr>
          <w:rFonts w:asciiTheme="minorHAnsi" w:hAnsiTheme="minorHAnsi"/>
        </w:rPr>
        <w:t>5</w:t>
      </w:r>
      <w:r w:rsidRPr="00137DB4">
        <w:rPr>
          <w:rFonts w:asciiTheme="minorHAnsi" w:hAnsiTheme="minorHAnsi"/>
        </w:rPr>
        <w:t xml:space="preserve"> for </w:t>
      </w:r>
      <w:r>
        <w:rPr>
          <w:rFonts w:asciiTheme="minorHAnsi" w:hAnsiTheme="minorHAnsi"/>
        </w:rPr>
        <w:t xml:space="preserve">the </w:t>
      </w:r>
      <w:r w:rsidRPr="00DD28E1">
        <w:rPr>
          <w:rFonts w:asciiTheme="minorHAnsi" w:hAnsiTheme="minorHAnsi"/>
        </w:rPr>
        <w:t xml:space="preserve">elderly, </w:t>
      </w:r>
      <w:r>
        <w:rPr>
          <w:rFonts w:asciiTheme="minorHAnsi" w:hAnsiTheme="minorHAnsi"/>
        </w:rPr>
        <w:t xml:space="preserve">who were </w:t>
      </w:r>
      <w:r w:rsidRPr="00DD28E1">
        <w:rPr>
          <w:rFonts w:asciiTheme="minorHAnsi" w:hAnsiTheme="minorHAnsi"/>
        </w:rPr>
        <w:t>selected as being of greatest conc</w:t>
      </w:r>
      <w:r>
        <w:rPr>
          <w:rFonts w:asciiTheme="minorHAnsi" w:hAnsiTheme="minorHAnsi"/>
        </w:rPr>
        <w:t xml:space="preserve">ern in terms of health impacts. </w:t>
      </w:r>
      <w:r w:rsidR="0058471A" w:rsidRPr="008232C4">
        <w:rPr>
          <w:rFonts w:asciiTheme="minorHAnsi" w:hAnsiTheme="minorHAnsi"/>
        </w:rPr>
        <w:t>The mean of the PEFD and the 95 percentile of the PEFD are presented o</w:t>
      </w:r>
      <w:r w:rsidR="0058471A">
        <w:rPr>
          <w:rFonts w:asciiTheme="minorHAnsi" w:hAnsiTheme="minorHAnsi"/>
        </w:rPr>
        <w:t>n the left-hand side (a, c, e</w:t>
      </w:r>
      <w:r w:rsidR="0058471A" w:rsidRPr="008232C4">
        <w:rPr>
          <w:rFonts w:asciiTheme="minorHAnsi" w:hAnsiTheme="minorHAnsi"/>
        </w:rPr>
        <w:t>)</w:t>
      </w:r>
      <w:r w:rsidR="0058471A">
        <w:rPr>
          <w:rFonts w:asciiTheme="minorHAnsi" w:hAnsiTheme="minorHAnsi"/>
        </w:rPr>
        <w:t xml:space="preserve"> and right-hand side (b, d, f</w:t>
      </w:r>
      <w:r w:rsidR="0058471A" w:rsidRPr="008232C4">
        <w:rPr>
          <w:rFonts w:asciiTheme="minorHAnsi" w:hAnsiTheme="minorHAnsi"/>
        </w:rPr>
        <w:t xml:space="preserve">) respectively. </w:t>
      </w:r>
      <w:r>
        <w:rPr>
          <w:rFonts w:asciiTheme="minorHAnsi" w:hAnsiTheme="minorHAnsi"/>
        </w:rPr>
        <w:t xml:space="preserve"> As noted above, the individuals in the 95%ile of the PEFD at each time interval may be different, whereas the simulated values </w:t>
      </w:r>
      <w:r w:rsidRPr="00137DB4">
        <w:rPr>
          <w:rFonts w:asciiTheme="minorHAnsi" w:hAnsiTheme="minorHAnsi"/>
        </w:rPr>
        <w:t>in Fig</w:t>
      </w:r>
      <w:r w:rsidR="008668D2" w:rsidRPr="00137DB4">
        <w:rPr>
          <w:rFonts w:asciiTheme="minorHAnsi" w:hAnsiTheme="minorHAnsi"/>
        </w:rPr>
        <w:t>ure</w:t>
      </w:r>
      <w:r w:rsidRPr="00137DB4">
        <w:rPr>
          <w:rFonts w:asciiTheme="minorHAnsi" w:hAnsiTheme="minorHAnsi"/>
        </w:rPr>
        <w:t xml:space="preserve"> </w:t>
      </w:r>
      <w:r w:rsidR="008668D2" w:rsidRPr="00137DB4">
        <w:rPr>
          <w:rFonts w:asciiTheme="minorHAnsi" w:hAnsiTheme="minorHAnsi"/>
        </w:rPr>
        <w:t>5</w:t>
      </w:r>
      <w:r w:rsidRPr="00137DB4">
        <w:rPr>
          <w:rFonts w:asciiTheme="minorHAnsi" w:hAnsiTheme="minorHAnsi"/>
        </w:rPr>
        <w:t xml:space="preserve"> assume </w:t>
      </w:r>
      <w:r>
        <w:rPr>
          <w:rFonts w:asciiTheme="minorHAnsi" w:hAnsiTheme="minorHAnsi"/>
        </w:rPr>
        <w:t>that they are; hence they can be considered as the highest possible 95%ile</w:t>
      </w:r>
      <w:r w:rsidR="00D24106">
        <w:rPr>
          <w:rFonts w:asciiTheme="minorHAnsi" w:hAnsiTheme="minorHAnsi"/>
        </w:rPr>
        <w:t xml:space="preserve"> exposures</w:t>
      </w:r>
      <w:r>
        <w:rPr>
          <w:rFonts w:asciiTheme="minorHAnsi" w:hAnsiTheme="minorHAnsi"/>
        </w:rPr>
        <w:t xml:space="preserve">.   </w:t>
      </w:r>
    </w:p>
    <w:p w14:paraId="05D0103F" w14:textId="77777777" w:rsidR="00D24106" w:rsidRDefault="00D24106">
      <w:pPr>
        <w:rPr>
          <w:rFonts w:asciiTheme="minorHAnsi" w:hAnsiTheme="minorHAnsi"/>
        </w:rPr>
      </w:pPr>
      <w:r>
        <w:rPr>
          <w:rFonts w:asciiTheme="minorHAnsi" w:hAnsiTheme="minorHAnsi"/>
        </w:rPr>
        <w:br w:type="page"/>
      </w:r>
    </w:p>
    <w:p w14:paraId="456AAF7F" w14:textId="77777777" w:rsidR="00D24106" w:rsidRDefault="00D24106" w:rsidP="00DB5FBF">
      <w:pPr>
        <w:jc w:val="both"/>
        <w:rPr>
          <w:rFonts w:asciiTheme="minorHAnsi" w:hAnsiTheme="minorHAnsi"/>
        </w:rPr>
      </w:pPr>
    </w:p>
    <w:p w14:paraId="2E7CCD62" w14:textId="63735A9D" w:rsidR="007072A3" w:rsidRDefault="00DB5FBF" w:rsidP="00DB5FBF">
      <w:pPr>
        <w:jc w:val="both"/>
        <w:rPr>
          <w:rFonts w:asciiTheme="minorHAnsi" w:hAnsiTheme="minorHAnsi"/>
          <w:b/>
        </w:rPr>
      </w:pPr>
      <w:r w:rsidRPr="007D3A31">
        <w:rPr>
          <w:rFonts w:asciiTheme="minorHAnsi" w:hAnsiTheme="minorHAnsi"/>
          <w:noProof/>
          <w:szCs w:val="22"/>
        </w:rPr>
        <w:drawing>
          <wp:anchor distT="0" distB="0" distL="114300" distR="114300" simplePos="0" relativeHeight="251659264" behindDoc="0" locked="0" layoutInCell="0" allowOverlap="1" wp14:anchorId="2A2B6D0C" wp14:editId="5F032293">
            <wp:simplePos x="0" y="0"/>
            <wp:positionH relativeFrom="column">
              <wp:posOffset>167640</wp:posOffset>
            </wp:positionH>
            <wp:positionV relativeFrom="paragraph">
              <wp:posOffset>1498600</wp:posOffset>
            </wp:positionV>
            <wp:extent cx="2834640" cy="1750060"/>
            <wp:effectExtent l="0" t="0" r="381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4640" cy="1750060"/>
                    </a:xfrm>
                    <a:prstGeom prst="rect">
                      <a:avLst/>
                    </a:prstGeom>
                    <a:noFill/>
                  </pic:spPr>
                </pic:pic>
              </a:graphicData>
            </a:graphic>
            <wp14:sizeRelH relativeFrom="page">
              <wp14:pctWidth>0</wp14:pctWidth>
            </wp14:sizeRelH>
            <wp14:sizeRelV relativeFrom="page">
              <wp14:pctHeight>0</wp14:pctHeight>
            </wp14:sizeRelV>
          </wp:anchor>
        </w:drawing>
      </w:r>
      <w:r w:rsidRPr="007D3A31">
        <w:rPr>
          <w:rFonts w:asciiTheme="minorHAnsi" w:hAnsiTheme="minorHAnsi"/>
          <w:noProof/>
          <w:szCs w:val="22"/>
        </w:rPr>
        <w:drawing>
          <wp:anchor distT="0" distB="0" distL="114300" distR="114300" simplePos="0" relativeHeight="251660288" behindDoc="0" locked="0" layoutInCell="0" allowOverlap="1" wp14:anchorId="16524A9B" wp14:editId="6E04D0AE">
            <wp:simplePos x="0" y="0"/>
            <wp:positionH relativeFrom="column">
              <wp:posOffset>3002280</wp:posOffset>
            </wp:positionH>
            <wp:positionV relativeFrom="paragraph">
              <wp:posOffset>1498600</wp:posOffset>
            </wp:positionV>
            <wp:extent cx="2834640" cy="1752600"/>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4640" cy="1752600"/>
                    </a:xfrm>
                    <a:prstGeom prst="rect">
                      <a:avLst/>
                    </a:prstGeom>
                    <a:noFill/>
                  </pic:spPr>
                </pic:pic>
              </a:graphicData>
            </a:graphic>
            <wp14:sizeRelH relativeFrom="page">
              <wp14:pctWidth>0</wp14:pctWidth>
            </wp14:sizeRelH>
            <wp14:sizeRelV relativeFrom="page">
              <wp14:pctHeight>0</wp14:pctHeight>
            </wp14:sizeRelV>
          </wp:anchor>
        </w:drawing>
      </w:r>
      <w:r w:rsidRPr="007D3A31">
        <w:rPr>
          <w:rFonts w:asciiTheme="minorHAnsi" w:hAnsiTheme="minorHAnsi"/>
          <w:noProof/>
          <w:szCs w:val="22"/>
        </w:rPr>
        <w:drawing>
          <wp:anchor distT="0" distB="0" distL="114300" distR="114300" simplePos="0" relativeHeight="251661312" behindDoc="0" locked="0" layoutInCell="0" allowOverlap="1" wp14:anchorId="49C6A224" wp14:editId="64470D60">
            <wp:simplePos x="0" y="0"/>
            <wp:positionH relativeFrom="column">
              <wp:posOffset>167640</wp:posOffset>
            </wp:positionH>
            <wp:positionV relativeFrom="paragraph">
              <wp:posOffset>3425825</wp:posOffset>
            </wp:positionV>
            <wp:extent cx="2834640" cy="1762125"/>
            <wp:effectExtent l="0" t="0" r="381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34640" cy="1762125"/>
                    </a:xfrm>
                    <a:prstGeom prst="rect">
                      <a:avLst/>
                    </a:prstGeom>
                    <a:noFill/>
                  </pic:spPr>
                </pic:pic>
              </a:graphicData>
            </a:graphic>
            <wp14:sizeRelH relativeFrom="page">
              <wp14:pctWidth>0</wp14:pctWidth>
            </wp14:sizeRelH>
            <wp14:sizeRelV relativeFrom="page">
              <wp14:pctHeight>0</wp14:pctHeight>
            </wp14:sizeRelV>
          </wp:anchor>
        </w:drawing>
      </w:r>
      <w:r w:rsidRPr="007D3A31">
        <w:rPr>
          <w:rFonts w:asciiTheme="minorHAnsi" w:hAnsiTheme="minorHAnsi"/>
          <w:noProof/>
          <w:szCs w:val="22"/>
        </w:rPr>
        <w:drawing>
          <wp:anchor distT="0" distB="0" distL="114300" distR="114300" simplePos="0" relativeHeight="251662336" behindDoc="0" locked="0" layoutInCell="0" allowOverlap="1" wp14:anchorId="14D914F6" wp14:editId="6705E939">
            <wp:simplePos x="0" y="0"/>
            <wp:positionH relativeFrom="column">
              <wp:posOffset>3002280</wp:posOffset>
            </wp:positionH>
            <wp:positionV relativeFrom="paragraph">
              <wp:posOffset>3425825</wp:posOffset>
            </wp:positionV>
            <wp:extent cx="2834640" cy="1762125"/>
            <wp:effectExtent l="0" t="0" r="381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34640" cy="1762125"/>
                    </a:xfrm>
                    <a:prstGeom prst="rect">
                      <a:avLst/>
                    </a:prstGeom>
                    <a:noFill/>
                  </pic:spPr>
                </pic:pic>
              </a:graphicData>
            </a:graphic>
            <wp14:sizeRelH relativeFrom="page">
              <wp14:pctWidth>0</wp14:pctWidth>
            </wp14:sizeRelH>
            <wp14:sizeRelV relativeFrom="page">
              <wp14:pctHeight>0</wp14:pctHeight>
            </wp14:sizeRelV>
          </wp:anchor>
        </w:drawing>
      </w:r>
      <w:r w:rsidRPr="007D3A31">
        <w:rPr>
          <w:rFonts w:asciiTheme="minorHAnsi" w:hAnsiTheme="minorHAnsi"/>
          <w:noProof/>
          <w:szCs w:val="22"/>
        </w:rPr>
        <w:drawing>
          <wp:anchor distT="0" distB="0" distL="114300" distR="114300" simplePos="0" relativeHeight="251663360" behindDoc="0" locked="0" layoutInCell="0" allowOverlap="1" wp14:anchorId="68D110F6" wp14:editId="3784A4BB">
            <wp:simplePos x="0" y="0"/>
            <wp:positionH relativeFrom="column">
              <wp:posOffset>161925</wp:posOffset>
            </wp:positionH>
            <wp:positionV relativeFrom="paragraph">
              <wp:posOffset>5338445</wp:posOffset>
            </wp:positionV>
            <wp:extent cx="2834640" cy="175260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34640" cy="1752600"/>
                    </a:xfrm>
                    <a:prstGeom prst="rect">
                      <a:avLst/>
                    </a:prstGeom>
                    <a:noFill/>
                  </pic:spPr>
                </pic:pic>
              </a:graphicData>
            </a:graphic>
            <wp14:sizeRelH relativeFrom="page">
              <wp14:pctWidth>0</wp14:pctWidth>
            </wp14:sizeRelH>
            <wp14:sizeRelV relativeFrom="page">
              <wp14:pctHeight>0</wp14:pctHeight>
            </wp14:sizeRelV>
          </wp:anchor>
        </w:drawing>
      </w:r>
      <w:r w:rsidRPr="007D3A31">
        <w:rPr>
          <w:rFonts w:asciiTheme="minorHAnsi" w:hAnsiTheme="minorHAnsi"/>
          <w:noProof/>
          <w:szCs w:val="22"/>
        </w:rPr>
        <w:drawing>
          <wp:anchor distT="0" distB="0" distL="114300" distR="114300" simplePos="0" relativeHeight="251664384" behindDoc="0" locked="0" layoutInCell="0" allowOverlap="1" wp14:anchorId="76B05AF8" wp14:editId="669ECF68">
            <wp:simplePos x="0" y="0"/>
            <wp:positionH relativeFrom="column">
              <wp:posOffset>3011805</wp:posOffset>
            </wp:positionH>
            <wp:positionV relativeFrom="paragraph">
              <wp:posOffset>5338445</wp:posOffset>
            </wp:positionV>
            <wp:extent cx="2834640" cy="1754505"/>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34640" cy="1754505"/>
                    </a:xfrm>
                    <a:prstGeom prst="rect">
                      <a:avLst/>
                    </a:prstGeom>
                    <a:noFill/>
                  </pic:spPr>
                </pic:pic>
              </a:graphicData>
            </a:graphic>
            <wp14:sizeRelH relativeFrom="page">
              <wp14:pctWidth>0</wp14:pctWidth>
            </wp14:sizeRelH>
            <wp14:sizeRelV relativeFrom="page">
              <wp14:pctHeight>0</wp14:pctHeight>
            </wp14:sizeRelV>
          </wp:anchor>
        </w:drawing>
      </w:r>
    </w:p>
    <w:p w14:paraId="15AB8260" w14:textId="77777777" w:rsidR="007072A3" w:rsidRDefault="007072A3" w:rsidP="00DB5FBF">
      <w:pPr>
        <w:jc w:val="both"/>
        <w:rPr>
          <w:rFonts w:asciiTheme="minorHAnsi" w:hAnsiTheme="minorHAnsi"/>
          <w:b/>
        </w:rPr>
      </w:pPr>
    </w:p>
    <w:p w14:paraId="01AD87C0" w14:textId="77777777" w:rsidR="007072A3" w:rsidRDefault="007072A3" w:rsidP="00DB5FBF">
      <w:pPr>
        <w:jc w:val="both"/>
        <w:rPr>
          <w:rFonts w:asciiTheme="minorHAnsi" w:hAnsiTheme="minorHAnsi"/>
          <w:b/>
        </w:rPr>
      </w:pPr>
    </w:p>
    <w:p w14:paraId="12A8D27A" w14:textId="77777777" w:rsidR="007072A3" w:rsidRDefault="007072A3" w:rsidP="00DB5FBF">
      <w:pPr>
        <w:jc w:val="both"/>
        <w:rPr>
          <w:rFonts w:asciiTheme="minorHAnsi" w:hAnsiTheme="minorHAnsi"/>
          <w:b/>
        </w:rPr>
      </w:pPr>
    </w:p>
    <w:p w14:paraId="140EF84B" w14:textId="77777777" w:rsidR="007072A3" w:rsidRDefault="007072A3" w:rsidP="00DB5FBF">
      <w:pPr>
        <w:jc w:val="both"/>
        <w:rPr>
          <w:rFonts w:asciiTheme="minorHAnsi" w:hAnsiTheme="minorHAnsi"/>
          <w:b/>
        </w:rPr>
      </w:pPr>
    </w:p>
    <w:p w14:paraId="216D1613" w14:textId="77777777" w:rsidR="007072A3" w:rsidRDefault="007072A3" w:rsidP="00DB5FBF">
      <w:pPr>
        <w:jc w:val="both"/>
        <w:rPr>
          <w:rFonts w:asciiTheme="minorHAnsi" w:hAnsiTheme="minorHAnsi"/>
          <w:b/>
        </w:rPr>
      </w:pPr>
    </w:p>
    <w:p w14:paraId="121B81F9" w14:textId="77777777" w:rsidR="007072A3" w:rsidRDefault="007072A3" w:rsidP="00DB5FBF">
      <w:pPr>
        <w:jc w:val="both"/>
        <w:rPr>
          <w:rFonts w:asciiTheme="minorHAnsi" w:hAnsiTheme="minorHAnsi"/>
          <w:b/>
        </w:rPr>
      </w:pPr>
    </w:p>
    <w:p w14:paraId="09FEF640" w14:textId="77777777" w:rsidR="007072A3" w:rsidRDefault="007072A3" w:rsidP="00DB5FBF">
      <w:pPr>
        <w:jc w:val="both"/>
        <w:rPr>
          <w:rFonts w:asciiTheme="minorHAnsi" w:hAnsiTheme="minorHAnsi"/>
          <w:b/>
        </w:rPr>
      </w:pPr>
    </w:p>
    <w:p w14:paraId="7437F248" w14:textId="77777777" w:rsidR="007072A3" w:rsidRDefault="007072A3" w:rsidP="00DB5FBF">
      <w:pPr>
        <w:jc w:val="both"/>
        <w:rPr>
          <w:rFonts w:asciiTheme="minorHAnsi" w:hAnsiTheme="minorHAnsi"/>
          <w:b/>
        </w:rPr>
      </w:pPr>
    </w:p>
    <w:p w14:paraId="068806DC" w14:textId="77777777" w:rsidR="007072A3" w:rsidRDefault="007072A3" w:rsidP="00DB5FBF">
      <w:pPr>
        <w:jc w:val="both"/>
        <w:rPr>
          <w:rFonts w:asciiTheme="minorHAnsi" w:hAnsiTheme="minorHAnsi"/>
          <w:b/>
        </w:rPr>
      </w:pPr>
    </w:p>
    <w:p w14:paraId="5975CFAA" w14:textId="77777777" w:rsidR="007072A3" w:rsidRDefault="007072A3" w:rsidP="00DB5FBF">
      <w:pPr>
        <w:jc w:val="both"/>
        <w:rPr>
          <w:rFonts w:asciiTheme="minorHAnsi" w:hAnsiTheme="minorHAnsi"/>
          <w:b/>
        </w:rPr>
      </w:pPr>
    </w:p>
    <w:p w14:paraId="74CAA862" w14:textId="77777777" w:rsidR="00D24106" w:rsidRDefault="00D24106" w:rsidP="002B2E99">
      <w:pPr>
        <w:jc w:val="both"/>
        <w:rPr>
          <w:rFonts w:asciiTheme="minorHAnsi" w:hAnsiTheme="minorHAnsi"/>
          <w:b/>
          <w:color w:val="FF0000"/>
        </w:rPr>
      </w:pPr>
    </w:p>
    <w:p w14:paraId="3B6DC07B" w14:textId="77777777" w:rsidR="00D24106" w:rsidRDefault="00D24106" w:rsidP="002B2E99">
      <w:pPr>
        <w:jc w:val="both"/>
        <w:rPr>
          <w:rFonts w:asciiTheme="minorHAnsi" w:hAnsiTheme="minorHAnsi"/>
          <w:b/>
          <w:color w:val="FF0000"/>
        </w:rPr>
      </w:pPr>
    </w:p>
    <w:p w14:paraId="5FFA81BC" w14:textId="77777777" w:rsidR="00D24106" w:rsidRDefault="00D24106" w:rsidP="002B2E99">
      <w:pPr>
        <w:jc w:val="both"/>
        <w:rPr>
          <w:rFonts w:asciiTheme="minorHAnsi" w:hAnsiTheme="minorHAnsi"/>
          <w:b/>
          <w:color w:val="FF0000"/>
        </w:rPr>
      </w:pPr>
    </w:p>
    <w:p w14:paraId="4BED0A6A" w14:textId="77777777" w:rsidR="00D24106" w:rsidRDefault="00D24106" w:rsidP="002B2E99">
      <w:pPr>
        <w:jc w:val="both"/>
        <w:rPr>
          <w:rFonts w:asciiTheme="minorHAnsi" w:hAnsiTheme="minorHAnsi"/>
          <w:b/>
          <w:color w:val="FF0000"/>
        </w:rPr>
      </w:pPr>
    </w:p>
    <w:p w14:paraId="1ACF4D11" w14:textId="77777777" w:rsidR="00D24106" w:rsidRDefault="00D24106" w:rsidP="002B2E99">
      <w:pPr>
        <w:jc w:val="both"/>
        <w:rPr>
          <w:rFonts w:asciiTheme="minorHAnsi" w:hAnsiTheme="minorHAnsi"/>
          <w:b/>
          <w:color w:val="FF0000"/>
        </w:rPr>
      </w:pPr>
    </w:p>
    <w:p w14:paraId="668A9C94" w14:textId="77777777" w:rsidR="00D24106" w:rsidRDefault="00D24106" w:rsidP="002B2E99">
      <w:pPr>
        <w:jc w:val="both"/>
        <w:rPr>
          <w:rFonts w:asciiTheme="minorHAnsi" w:hAnsiTheme="minorHAnsi"/>
          <w:b/>
          <w:color w:val="FF0000"/>
        </w:rPr>
      </w:pPr>
    </w:p>
    <w:p w14:paraId="1A938D85" w14:textId="77777777" w:rsidR="00D24106" w:rsidRDefault="00D24106" w:rsidP="002B2E99">
      <w:pPr>
        <w:jc w:val="both"/>
        <w:rPr>
          <w:rFonts w:asciiTheme="minorHAnsi" w:hAnsiTheme="minorHAnsi"/>
          <w:b/>
          <w:color w:val="FF0000"/>
        </w:rPr>
      </w:pPr>
    </w:p>
    <w:p w14:paraId="3CDEA0D4" w14:textId="77777777" w:rsidR="00D24106" w:rsidRDefault="00D24106" w:rsidP="002B2E99">
      <w:pPr>
        <w:jc w:val="both"/>
        <w:rPr>
          <w:rFonts w:asciiTheme="minorHAnsi" w:hAnsiTheme="minorHAnsi"/>
          <w:b/>
          <w:color w:val="FF0000"/>
        </w:rPr>
      </w:pPr>
    </w:p>
    <w:p w14:paraId="15B510D3" w14:textId="77777777" w:rsidR="00D24106" w:rsidRDefault="00D24106" w:rsidP="002B2E99">
      <w:pPr>
        <w:jc w:val="both"/>
        <w:rPr>
          <w:rFonts w:asciiTheme="minorHAnsi" w:hAnsiTheme="minorHAnsi"/>
          <w:b/>
          <w:color w:val="FF0000"/>
        </w:rPr>
      </w:pPr>
    </w:p>
    <w:p w14:paraId="157664CE" w14:textId="77777777" w:rsidR="00D24106" w:rsidRDefault="00D24106" w:rsidP="002B2E99">
      <w:pPr>
        <w:jc w:val="both"/>
        <w:rPr>
          <w:rFonts w:asciiTheme="minorHAnsi" w:hAnsiTheme="minorHAnsi"/>
          <w:b/>
          <w:color w:val="FF0000"/>
        </w:rPr>
      </w:pPr>
    </w:p>
    <w:p w14:paraId="6D68FB3E" w14:textId="77777777" w:rsidR="00D24106" w:rsidRDefault="00D24106" w:rsidP="002B2E99">
      <w:pPr>
        <w:jc w:val="both"/>
        <w:rPr>
          <w:rFonts w:asciiTheme="minorHAnsi" w:hAnsiTheme="minorHAnsi"/>
          <w:b/>
          <w:color w:val="FF0000"/>
        </w:rPr>
      </w:pPr>
    </w:p>
    <w:p w14:paraId="111AECD9" w14:textId="77777777" w:rsidR="00D24106" w:rsidRDefault="00D24106" w:rsidP="002B2E99">
      <w:pPr>
        <w:jc w:val="both"/>
        <w:rPr>
          <w:rFonts w:asciiTheme="minorHAnsi" w:hAnsiTheme="minorHAnsi"/>
          <w:b/>
          <w:color w:val="FF0000"/>
        </w:rPr>
      </w:pPr>
    </w:p>
    <w:p w14:paraId="59BA531D" w14:textId="77777777" w:rsidR="00D24106" w:rsidRDefault="00D24106" w:rsidP="002B2E99">
      <w:pPr>
        <w:jc w:val="both"/>
        <w:rPr>
          <w:rFonts w:asciiTheme="minorHAnsi" w:hAnsiTheme="minorHAnsi"/>
          <w:b/>
          <w:color w:val="FF0000"/>
        </w:rPr>
      </w:pPr>
    </w:p>
    <w:p w14:paraId="36E20FCF" w14:textId="77777777" w:rsidR="00D24106" w:rsidRDefault="00D24106" w:rsidP="002B2E99">
      <w:pPr>
        <w:jc w:val="both"/>
        <w:rPr>
          <w:rFonts w:asciiTheme="minorHAnsi" w:hAnsiTheme="minorHAnsi"/>
          <w:b/>
          <w:color w:val="FF0000"/>
        </w:rPr>
      </w:pPr>
    </w:p>
    <w:p w14:paraId="0C86AC97" w14:textId="77777777" w:rsidR="00D24106" w:rsidRDefault="00D24106" w:rsidP="002B2E99">
      <w:pPr>
        <w:jc w:val="both"/>
        <w:rPr>
          <w:rFonts w:asciiTheme="minorHAnsi" w:hAnsiTheme="minorHAnsi"/>
          <w:b/>
          <w:color w:val="FF0000"/>
        </w:rPr>
      </w:pPr>
    </w:p>
    <w:p w14:paraId="0AD0555E" w14:textId="77777777" w:rsidR="00D24106" w:rsidRDefault="00D24106" w:rsidP="002B2E99">
      <w:pPr>
        <w:jc w:val="both"/>
        <w:rPr>
          <w:rFonts w:asciiTheme="minorHAnsi" w:hAnsiTheme="minorHAnsi"/>
          <w:b/>
          <w:color w:val="FF0000"/>
        </w:rPr>
      </w:pPr>
    </w:p>
    <w:p w14:paraId="04E970B1" w14:textId="77777777" w:rsidR="00D24106" w:rsidRDefault="00D24106" w:rsidP="002B2E99">
      <w:pPr>
        <w:jc w:val="both"/>
        <w:rPr>
          <w:rFonts w:asciiTheme="minorHAnsi" w:hAnsiTheme="minorHAnsi"/>
          <w:b/>
          <w:color w:val="FF0000"/>
        </w:rPr>
      </w:pPr>
    </w:p>
    <w:p w14:paraId="532F47E4" w14:textId="77777777" w:rsidR="00D24106" w:rsidRDefault="00D24106" w:rsidP="002B2E99">
      <w:pPr>
        <w:jc w:val="both"/>
        <w:rPr>
          <w:rFonts w:asciiTheme="minorHAnsi" w:hAnsiTheme="minorHAnsi"/>
          <w:b/>
          <w:color w:val="FF0000"/>
        </w:rPr>
      </w:pPr>
    </w:p>
    <w:p w14:paraId="5D475947" w14:textId="77777777" w:rsidR="00D24106" w:rsidRDefault="00D24106" w:rsidP="002B2E99">
      <w:pPr>
        <w:jc w:val="both"/>
        <w:rPr>
          <w:rFonts w:asciiTheme="minorHAnsi" w:hAnsiTheme="minorHAnsi"/>
          <w:b/>
          <w:color w:val="FF0000"/>
        </w:rPr>
      </w:pPr>
    </w:p>
    <w:p w14:paraId="1BD6F4AA" w14:textId="77777777" w:rsidR="00D24106" w:rsidRDefault="00D24106" w:rsidP="002B2E99">
      <w:pPr>
        <w:jc w:val="both"/>
        <w:rPr>
          <w:rFonts w:asciiTheme="minorHAnsi" w:hAnsiTheme="minorHAnsi"/>
          <w:b/>
          <w:color w:val="FF0000"/>
        </w:rPr>
      </w:pPr>
    </w:p>
    <w:p w14:paraId="09824CD0" w14:textId="77777777" w:rsidR="00D24106" w:rsidRDefault="00D24106" w:rsidP="002B2E99">
      <w:pPr>
        <w:jc w:val="both"/>
        <w:rPr>
          <w:rFonts w:asciiTheme="minorHAnsi" w:hAnsiTheme="minorHAnsi"/>
          <w:b/>
          <w:color w:val="FF0000"/>
        </w:rPr>
      </w:pPr>
    </w:p>
    <w:p w14:paraId="46DDAFF7" w14:textId="77777777" w:rsidR="00D24106" w:rsidRDefault="00D24106" w:rsidP="002B2E99">
      <w:pPr>
        <w:jc w:val="both"/>
        <w:rPr>
          <w:rFonts w:asciiTheme="minorHAnsi" w:hAnsiTheme="minorHAnsi"/>
          <w:b/>
          <w:color w:val="FF0000"/>
        </w:rPr>
      </w:pPr>
    </w:p>
    <w:p w14:paraId="51793C30" w14:textId="77777777" w:rsidR="00D24106" w:rsidRDefault="00D24106" w:rsidP="002B2E99">
      <w:pPr>
        <w:jc w:val="both"/>
        <w:rPr>
          <w:rFonts w:asciiTheme="minorHAnsi" w:hAnsiTheme="minorHAnsi"/>
          <w:b/>
          <w:color w:val="FF0000"/>
        </w:rPr>
      </w:pPr>
    </w:p>
    <w:p w14:paraId="2D86F23A" w14:textId="77777777" w:rsidR="00D24106" w:rsidRDefault="00D24106" w:rsidP="002B2E99">
      <w:pPr>
        <w:jc w:val="both"/>
        <w:rPr>
          <w:rFonts w:asciiTheme="minorHAnsi" w:hAnsiTheme="minorHAnsi"/>
          <w:b/>
          <w:color w:val="FF0000"/>
        </w:rPr>
      </w:pPr>
    </w:p>
    <w:p w14:paraId="5A332CF5" w14:textId="77777777" w:rsidR="00D24106" w:rsidRDefault="00D24106" w:rsidP="002B2E99">
      <w:pPr>
        <w:jc w:val="both"/>
        <w:rPr>
          <w:rFonts w:asciiTheme="minorHAnsi" w:hAnsiTheme="minorHAnsi"/>
          <w:b/>
          <w:color w:val="FF0000"/>
        </w:rPr>
      </w:pPr>
    </w:p>
    <w:p w14:paraId="350DC907" w14:textId="77777777" w:rsidR="00D24106" w:rsidRDefault="00D24106" w:rsidP="002B2E99">
      <w:pPr>
        <w:jc w:val="both"/>
        <w:rPr>
          <w:rFonts w:asciiTheme="minorHAnsi" w:hAnsiTheme="minorHAnsi"/>
          <w:b/>
          <w:color w:val="FF0000"/>
        </w:rPr>
      </w:pPr>
    </w:p>
    <w:p w14:paraId="64E239DC" w14:textId="77777777" w:rsidR="00D24106" w:rsidRDefault="00D24106" w:rsidP="002B2E99">
      <w:pPr>
        <w:jc w:val="both"/>
        <w:rPr>
          <w:rFonts w:asciiTheme="minorHAnsi" w:hAnsiTheme="minorHAnsi"/>
          <w:b/>
          <w:color w:val="FF0000"/>
        </w:rPr>
      </w:pPr>
    </w:p>
    <w:p w14:paraId="2656A08A" w14:textId="77777777" w:rsidR="00D24106" w:rsidRDefault="00D24106" w:rsidP="002B2E99">
      <w:pPr>
        <w:jc w:val="both"/>
        <w:rPr>
          <w:rFonts w:asciiTheme="minorHAnsi" w:hAnsiTheme="minorHAnsi"/>
          <w:b/>
          <w:color w:val="FF0000"/>
        </w:rPr>
      </w:pPr>
    </w:p>
    <w:p w14:paraId="6A760434" w14:textId="77777777" w:rsidR="00D24106" w:rsidRDefault="00D24106" w:rsidP="002B2E99">
      <w:pPr>
        <w:jc w:val="both"/>
        <w:rPr>
          <w:rFonts w:asciiTheme="minorHAnsi" w:hAnsiTheme="minorHAnsi"/>
          <w:b/>
          <w:color w:val="FF0000"/>
        </w:rPr>
      </w:pPr>
    </w:p>
    <w:p w14:paraId="6AA469EB" w14:textId="77777777" w:rsidR="00D24106" w:rsidRDefault="00D24106" w:rsidP="002B2E99">
      <w:pPr>
        <w:jc w:val="both"/>
        <w:rPr>
          <w:rFonts w:asciiTheme="minorHAnsi" w:hAnsiTheme="minorHAnsi"/>
          <w:b/>
          <w:color w:val="FF0000"/>
        </w:rPr>
      </w:pPr>
    </w:p>
    <w:p w14:paraId="5836ADFA" w14:textId="77777777" w:rsidR="00D24106" w:rsidRDefault="00D24106" w:rsidP="002B2E99">
      <w:pPr>
        <w:jc w:val="both"/>
        <w:rPr>
          <w:rFonts w:asciiTheme="minorHAnsi" w:hAnsiTheme="minorHAnsi"/>
          <w:b/>
          <w:color w:val="FF0000"/>
        </w:rPr>
      </w:pPr>
    </w:p>
    <w:p w14:paraId="12222425" w14:textId="42B0C857" w:rsidR="002B2E99" w:rsidRPr="00137DB4" w:rsidRDefault="002B2E99" w:rsidP="002B2E99">
      <w:pPr>
        <w:jc w:val="both"/>
        <w:rPr>
          <w:rFonts w:asciiTheme="minorHAnsi" w:hAnsiTheme="minorHAnsi"/>
          <w:szCs w:val="22"/>
        </w:rPr>
      </w:pPr>
      <w:r w:rsidRPr="00137DB4">
        <w:rPr>
          <w:rFonts w:asciiTheme="minorHAnsi" w:hAnsiTheme="minorHAnsi"/>
          <w:b/>
        </w:rPr>
        <w:t xml:space="preserve">Figure </w:t>
      </w:r>
      <w:r w:rsidR="00E941FD" w:rsidRPr="00137DB4">
        <w:rPr>
          <w:rFonts w:asciiTheme="minorHAnsi" w:hAnsiTheme="minorHAnsi"/>
          <w:b/>
        </w:rPr>
        <w:t>5</w:t>
      </w:r>
      <w:r w:rsidRPr="00137DB4">
        <w:rPr>
          <w:rFonts w:asciiTheme="minorHAnsi" w:hAnsiTheme="minorHAnsi"/>
          <w:szCs w:val="22"/>
        </w:rPr>
        <w:t>. Daily mean NO</w:t>
      </w:r>
      <w:r w:rsidRPr="00137DB4">
        <w:rPr>
          <w:rFonts w:asciiTheme="minorHAnsi" w:hAnsiTheme="minorHAnsi"/>
          <w:szCs w:val="22"/>
          <w:vertAlign w:val="subscript"/>
        </w:rPr>
        <w:t>2</w:t>
      </w:r>
      <w:r w:rsidRPr="00137DB4">
        <w:rPr>
          <w:rFonts w:asciiTheme="minorHAnsi" w:hAnsiTheme="minorHAnsi"/>
          <w:szCs w:val="22"/>
        </w:rPr>
        <w:t xml:space="preserve"> population exposures for the elderly over a range of urban background (UB) concentrations during winter and summer weekdays (</w:t>
      </w:r>
      <w:r w:rsidRPr="00137DB4">
        <w:rPr>
          <w:rFonts w:cs="Arial"/>
          <w:szCs w:val="22"/>
        </w:rPr>
        <w:t>♦</w:t>
      </w:r>
      <w:r w:rsidRPr="00137DB4">
        <w:rPr>
          <w:rFonts w:asciiTheme="minorHAnsi" w:hAnsiTheme="minorHAnsi"/>
          <w:szCs w:val="22"/>
        </w:rPr>
        <w:t>/</w:t>
      </w:r>
      <w:r w:rsidRPr="00137DB4">
        <w:rPr>
          <w:rFonts w:cs="Arial"/>
          <w:szCs w:val="22"/>
        </w:rPr>
        <w:t>■</w:t>
      </w:r>
      <w:r w:rsidRPr="00137DB4">
        <w:rPr>
          <w:rFonts w:asciiTheme="minorHAnsi" w:hAnsiTheme="minorHAnsi"/>
          <w:szCs w:val="22"/>
        </w:rPr>
        <w:t>) and weekends (</w:t>
      </w:r>
      <w:r w:rsidRPr="00137DB4">
        <w:rPr>
          <w:rFonts w:cs="Arial"/>
          <w:szCs w:val="22"/>
        </w:rPr>
        <w:t>▲</w:t>
      </w:r>
      <w:r w:rsidRPr="00137DB4">
        <w:rPr>
          <w:rFonts w:asciiTheme="minorHAnsi" w:hAnsiTheme="minorHAnsi"/>
          <w:szCs w:val="22"/>
        </w:rPr>
        <w:t>/x). Mean exposures</w:t>
      </w:r>
      <w:r w:rsidR="00E941FD" w:rsidRPr="00137DB4">
        <w:rPr>
          <w:rFonts w:asciiTheme="minorHAnsi" w:hAnsiTheme="minorHAnsi"/>
          <w:szCs w:val="22"/>
        </w:rPr>
        <w:t xml:space="preserve"> (a, c, e)</w:t>
      </w:r>
      <w:r w:rsidRPr="00137DB4">
        <w:rPr>
          <w:rFonts w:asciiTheme="minorHAnsi" w:hAnsiTheme="minorHAnsi"/>
          <w:szCs w:val="22"/>
        </w:rPr>
        <w:t xml:space="preserve"> and the respective 95 percentiles</w:t>
      </w:r>
      <w:r w:rsidR="00E941FD" w:rsidRPr="00137DB4">
        <w:rPr>
          <w:rFonts w:asciiTheme="minorHAnsi" w:hAnsiTheme="minorHAnsi"/>
          <w:szCs w:val="22"/>
        </w:rPr>
        <w:t xml:space="preserve"> (b, d, f)</w:t>
      </w:r>
      <w:r w:rsidRPr="00137DB4">
        <w:rPr>
          <w:rFonts w:asciiTheme="minorHAnsi" w:hAnsiTheme="minorHAnsi"/>
          <w:szCs w:val="22"/>
        </w:rPr>
        <w:t xml:space="preserve"> of the population exposure frequency distributions are shown with home cooking and smoking sources </w:t>
      </w:r>
      <w:r w:rsidR="00420B8B" w:rsidRPr="00137DB4">
        <w:rPr>
          <w:rFonts w:asciiTheme="minorHAnsi" w:hAnsiTheme="minorHAnsi"/>
          <w:szCs w:val="22"/>
        </w:rPr>
        <w:t>for the</w:t>
      </w:r>
      <w:r w:rsidRPr="00137DB4">
        <w:rPr>
          <w:rFonts w:asciiTheme="minorHAnsi" w:hAnsiTheme="minorHAnsi"/>
          <w:szCs w:val="22"/>
        </w:rPr>
        <w:t xml:space="preserve"> base</w:t>
      </w:r>
      <w:r w:rsidR="00420B8B" w:rsidRPr="00137DB4">
        <w:rPr>
          <w:rFonts w:asciiTheme="minorHAnsi" w:hAnsiTheme="minorHAnsi"/>
          <w:szCs w:val="22"/>
        </w:rPr>
        <w:t>line</w:t>
      </w:r>
      <w:r w:rsidRPr="00137DB4">
        <w:rPr>
          <w:rFonts w:asciiTheme="minorHAnsi" w:hAnsiTheme="minorHAnsi"/>
          <w:szCs w:val="22"/>
        </w:rPr>
        <w:t xml:space="preserve"> scenario</w:t>
      </w:r>
      <w:r w:rsidR="00420B8B" w:rsidRPr="00137DB4">
        <w:rPr>
          <w:rFonts w:asciiTheme="minorHAnsi" w:hAnsiTheme="minorHAnsi"/>
          <w:szCs w:val="22"/>
        </w:rPr>
        <w:t xml:space="preserve"> (a,b)</w:t>
      </w:r>
      <w:r w:rsidRPr="00137DB4">
        <w:rPr>
          <w:rFonts w:asciiTheme="minorHAnsi" w:hAnsiTheme="minorHAnsi"/>
          <w:szCs w:val="22"/>
        </w:rPr>
        <w:t>,</w:t>
      </w:r>
      <w:r w:rsidR="00420B8B" w:rsidRPr="00137DB4">
        <w:rPr>
          <w:rFonts w:asciiTheme="minorHAnsi" w:hAnsiTheme="minorHAnsi"/>
          <w:szCs w:val="22"/>
        </w:rPr>
        <w:t xml:space="preserve"> home sources and </w:t>
      </w:r>
      <w:r w:rsidRPr="00137DB4">
        <w:rPr>
          <w:rFonts w:asciiTheme="minorHAnsi" w:hAnsiTheme="minorHAnsi"/>
          <w:szCs w:val="22"/>
        </w:rPr>
        <w:t>NAQS traffic policy intervention</w:t>
      </w:r>
      <w:r w:rsidR="00420B8B" w:rsidRPr="00137DB4">
        <w:rPr>
          <w:rFonts w:asciiTheme="minorHAnsi" w:hAnsiTheme="minorHAnsi"/>
          <w:szCs w:val="22"/>
        </w:rPr>
        <w:t xml:space="preserve"> (c,d)</w:t>
      </w:r>
      <w:r w:rsidRPr="00137DB4">
        <w:rPr>
          <w:rFonts w:asciiTheme="minorHAnsi" w:hAnsiTheme="minorHAnsi"/>
          <w:szCs w:val="22"/>
        </w:rPr>
        <w:t xml:space="preserve">, and with no home sources for </w:t>
      </w:r>
      <w:r w:rsidR="00420B8B" w:rsidRPr="00137DB4">
        <w:rPr>
          <w:rFonts w:asciiTheme="minorHAnsi" w:hAnsiTheme="minorHAnsi"/>
          <w:szCs w:val="22"/>
        </w:rPr>
        <w:t>the</w:t>
      </w:r>
      <w:r w:rsidRPr="00137DB4">
        <w:rPr>
          <w:rFonts w:asciiTheme="minorHAnsi" w:hAnsiTheme="minorHAnsi"/>
          <w:szCs w:val="22"/>
        </w:rPr>
        <w:t xml:space="preserve"> base</w:t>
      </w:r>
      <w:r w:rsidR="00420B8B" w:rsidRPr="00137DB4">
        <w:rPr>
          <w:rFonts w:asciiTheme="minorHAnsi" w:hAnsiTheme="minorHAnsi"/>
          <w:szCs w:val="22"/>
        </w:rPr>
        <w:t>line</w:t>
      </w:r>
      <w:r w:rsidRPr="00137DB4">
        <w:rPr>
          <w:rFonts w:asciiTheme="minorHAnsi" w:hAnsiTheme="minorHAnsi"/>
          <w:szCs w:val="22"/>
        </w:rPr>
        <w:t xml:space="preserve"> scenario</w:t>
      </w:r>
      <w:r w:rsidR="00420B8B" w:rsidRPr="00137DB4">
        <w:rPr>
          <w:rFonts w:asciiTheme="minorHAnsi" w:hAnsiTheme="minorHAnsi"/>
          <w:szCs w:val="22"/>
        </w:rPr>
        <w:t xml:space="preserve"> (e,f)</w:t>
      </w:r>
      <w:r w:rsidRPr="00137DB4">
        <w:rPr>
          <w:rFonts w:asciiTheme="minorHAnsi" w:hAnsiTheme="minorHAnsi"/>
          <w:szCs w:val="22"/>
        </w:rPr>
        <w:t>. Regression lines are fitted for winter and summer exposure values.</w:t>
      </w:r>
    </w:p>
    <w:p w14:paraId="7A6ECCAB" w14:textId="77777777" w:rsidR="002B2E99" w:rsidRDefault="002B2E99" w:rsidP="00DB5FBF">
      <w:pPr>
        <w:jc w:val="both"/>
        <w:rPr>
          <w:rFonts w:asciiTheme="minorHAnsi" w:hAnsiTheme="minorHAnsi"/>
          <w:b/>
        </w:rPr>
      </w:pPr>
    </w:p>
    <w:p w14:paraId="460FFE24" w14:textId="77777777" w:rsidR="00D24106" w:rsidRDefault="00D24106">
      <w:pPr>
        <w:rPr>
          <w:rFonts w:asciiTheme="minorHAnsi" w:hAnsiTheme="minorHAnsi"/>
        </w:rPr>
      </w:pPr>
      <w:r>
        <w:rPr>
          <w:rFonts w:asciiTheme="minorHAnsi" w:hAnsiTheme="minorHAnsi"/>
        </w:rPr>
        <w:br w:type="page"/>
      </w:r>
    </w:p>
    <w:p w14:paraId="546D9038" w14:textId="47D2BB21" w:rsidR="002B2E99" w:rsidRPr="00137DB4" w:rsidRDefault="002B2E99" w:rsidP="002B2E99">
      <w:pPr>
        <w:jc w:val="both"/>
        <w:rPr>
          <w:rFonts w:asciiTheme="minorHAnsi" w:hAnsiTheme="minorHAnsi"/>
        </w:rPr>
      </w:pPr>
      <w:r w:rsidRPr="00137DB4">
        <w:rPr>
          <w:rFonts w:asciiTheme="minorHAnsi" w:hAnsiTheme="minorHAnsi"/>
        </w:rPr>
        <w:t>All the relationships between urban background concentrations and PEFD parameters were linear with a high value of R</w:t>
      </w:r>
      <w:r w:rsidRPr="00137DB4">
        <w:rPr>
          <w:rFonts w:asciiTheme="minorHAnsi" w:hAnsiTheme="minorHAnsi"/>
          <w:vertAlign w:val="superscript"/>
        </w:rPr>
        <w:t xml:space="preserve">2 </w:t>
      </w:r>
      <w:r w:rsidRPr="00137DB4">
        <w:rPr>
          <w:rFonts w:asciiTheme="minorHAnsi" w:hAnsiTheme="minorHAnsi"/>
        </w:rPr>
        <w:t xml:space="preserve">(Figure </w:t>
      </w:r>
      <w:r w:rsidR="00420B8B" w:rsidRPr="00137DB4">
        <w:rPr>
          <w:rFonts w:asciiTheme="minorHAnsi" w:hAnsiTheme="minorHAnsi"/>
        </w:rPr>
        <w:t>5</w:t>
      </w:r>
      <w:r w:rsidRPr="00137DB4">
        <w:rPr>
          <w:rFonts w:asciiTheme="minorHAnsi" w:hAnsiTheme="minorHAnsi"/>
        </w:rPr>
        <w:t>)</w:t>
      </w:r>
      <w:r w:rsidR="00D24106" w:rsidRPr="00137DB4">
        <w:rPr>
          <w:rFonts w:asciiTheme="minorHAnsi" w:hAnsiTheme="minorHAnsi"/>
        </w:rPr>
        <w:t>.</w:t>
      </w:r>
      <w:r w:rsidRPr="00137DB4">
        <w:rPr>
          <w:rFonts w:asciiTheme="minorHAnsi" w:hAnsiTheme="minorHAnsi"/>
        </w:rPr>
        <w:t xml:space="preserve">   The fitted lines were similar for weekend and weekday for the elderly, reflecting the fact that there are no large differences in their activity patterns; this would not necessarily apply to population groups in routine weekly work or education.  There were large seasonal differences in the fitted lines</w:t>
      </w:r>
      <w:r w:rsidR="00D24106" w:rsidRPr="00137DB4">
        <w:rPr>
          <w:rFonts w:asciiTheme="minorHAnsi" w:hAnsiTheme="minorHAnsi"/>
        </w:rPr>
        <w:t>;</w:t>
      </w:r>
      <w:r w:rsidRPr="00137DB4">
        <w:rPr>
          <w:rFonts w:asciiTheme="minorHAnsi" w:hAnsiTheme="minorHAnsi"/>
        </w:rPr>
        <w:t xml:space="preserve"> for outdoor concentrations above the 50%ile, population exposure was higher in summer than in winter, primarily due to the higher air exchange rates assumed in homes allowing increased infiltration of road traffic pollution. Although activity profiles lead to a greater proportion of time outdoors in the summer months, this is likely to be a relatively small factor in comparison. </w:t>
      </w:r>
    </w:p>
    <w:p w14:paraId="0A4291C8" w14:textId="77777777" w:rsidR="002B2E99" w:rsidRPr="00137DB4" w:rsidRDefault="002B2E99" w:rsidP="002B2E99">
      <w:pPr>
        <w:rPr>
          <w:rFonts w:asciiTheme="minorHAnsi" w:hAnsiTheme="minorHAnsi"/>
          <w:b/>
          <w:snapToGrid w:val="0"/>
          <w:szCs w:val="22"/>
          <w:lang w:eastAsia="en-US"/>
        </w:rPr>
      </w:pPr>
    </w:p>
    <w:p w14:paraId="57ED426F" w14:textId="77777777" w:rsidR="00DC1EB5" w:rsidRPr="00137DB4" w:rsidRDefault="002B2E99" w:rsidP="00737E13">
      <w:pPr>
        <w:pStyle w:val="Heading3"/>
        <w:jc w:val="both"/>
        <w:rPr>
          <w:rFonts w:asciiTheme="minorHAnsi" w:hAnsiTheme="minorHAnsi"/>
          <w:i w:val="0"/>
          <w:sz w:val="22"/>
          <w:szCs w:val="22"/>
        </w:rPr>
      </w:pPr>
      <w:r w:rsidRPr="00137DB4">
        <w:rPr>
          <w:rFonts w:asciiTheme="minorHAnsi" w:hAnsiTheme="minorHAnsi"/>
          <w:i w:val="0"/>
          <w:sz w:val="22"/>
          <w:szCs w:val="22"/>
        </w:rPr>
        <w:t>The positive intercepts on the y axis</w:t>
      </w:r>
      <w:r w:rsidR="00DC1EB5" w:rsidRPr="00137DB4">
        <w:rPr>
          <w:rFonts w:asciiTheme="minorHAnsi" w:hAnsiTheme="minorHAnsi"/>
          <w:i w:val="0"/>
          <w:sz w:val="22"/>
          <w:szCs w:val="22"/>
        </w:rPr>
        <w:t xml:space="preserve"> are greatest with </w:t>
      </w:r>
      <w:r w:rsidRPr="00137DB4">
        <w:rPr>
          <w:rFonts w:asciiTheme="minorHAnsi" w:hAnsiTheme="minorHAnsi"/>
          <w:i w:val="0"/>
          <w:sz w:val="22"/>
          <w:szCs w:val="22"/>
        </w:rPr>
        <w:t>home sources present</w:t>
      </w:r>
      <w:r w:rsidR="00DC1EB5" w:rsidRPr="00137DB4">
        <w:rPr>
          <w:rFonts w:asciiTheme="minorHAnsi" w:hAnsiTheme="minorHAnsi"/>
          <w:i w:val="0"/>
          <w:sz w:val="22"/>
          <w:szCs w:val="22"/>
        </w:rPr>
        <w:t>, in winter,</w:t>
      </w:r>
      <w:r w:rsidRPr="00137DB4">
        <w:rPr>
          <w:rFonts w:asciiTheme="minorHAnsi" w:hAnsiTheme="minorHAnsi"/>
          <w:i w:val="0"/>
          <w:sz w:val="22"/>
          <w:szCs w:val="22"/>
        </w:rPr>
        <w:t xml:space="preserve"> and for the 95%ile exposure, reflect</w:t>
      </w:r>
      <w:r w:rsidR="00DC1EB5" w:rsidRPr="00137DB4">
        <w:rPr>
          <w:rFonts w:asciiTheme="minorHAnsi" w:hAnsiTheme="minorHAnsi"/>
          <w:i w:val="0"/>
          <w:sz w:val="22"/>
          <w:szCs w:val="22"/>
        </w:rPr>
        <w:t xml:space="preserve">ing the greater </w:t>
      </w:r>
      <w:r w:rsidRPr="00137DB4">
        <w:rPr>
          <w:rFonts w:asciiTheme="minorHAnsi" w:hAnsiTheme="minorHAnsi"/>
          <w:i w:val="0"/>
          <w:sz w:val="22"/>
          <w:szCs w:val="22"/>
        </w:rPr>
        <w:t>influence of home sources</w:t>
      </w:r>
      <w:r w:rsidR="00DC1EB5" w:rsidRPr="00137DB4">
        <w:rPr>
          <w:rFonts w:asciiTheme="minorHAnsi" w:hAnsiTheme="minorHAnsi"/>
          <w:i w:val="0"/>
          <w:sz w:val="22"/>
          <w:szCs w:val="22"/>
        </w:rPr>
        <w:t xml:space="preserve"> on peak exposure and in winter</w:t>
      </w:r>
      <w:r w:rsidRPr="00137DB4">
        <w:rPr>
          <w:rFonts w:asciiTheme="minorHAnsi" w:hAnsiTheme="minorHAnsi"/>
          <w:i w:val="0"/>
          <w:sz w:val="22"/>
          <w:szCs w:val="22"/>
        </w:rPr>
        <w:t>.</w:t>
      </w:r>
    </w:p>
    <w:p w14:paraId="7A47FE09" w14:textId="775ED659" w:rsidR="00737E13" w:rsidRPr="00137DB4" w:rsidRDefault="00DC1EB5" w:rsidP="00737E13">
      <w:pPr>
        <w:pStyle w:val="Heading3"/>
        <w:jc w:val="both"/>
        <w:rPr>
          <w:rFonts w:asciiTheme="minorHAnsi" w:hAnsiTheme="minorHAnsi"/>
          <w:i w:val="0"/>
          <w:sz w:val="22"/>
          <w:szCs w:val="22"/>
        </w:rPr>
      </w:pPr>
      <w:r w:rsidRPr="00137DB4">
        <w:rPr>
          <w:rFonts w:asciiTheme="minorHAnsi" w:hAnsiTheme="minorHAnsi"/>
          <w:i w:val="0"/>
          <w:sz w:val="22"/>
          <w:szCs w:val="22"/>
        </w:rPr>
        <w:t>In a few cases, a small negative intercept was found, but this was non-significant and due to combining data for weekends and weekdays.</w:t>
      </w:r>
      <w:r w:rsidR="002B2E99" w:rsidRPr="00137DB4">
        <w:rPr>
          <w:rFonts w:asciiTheme="minorHAnsi" w:hAnsiTheme="minorHAnsi"/>
          <w:i w:val="0"/>
          <w:sz w:val="22"/>
          <w:szCs w:val="22"/>
        </w:rPr>
        <w:t xml:space="preserve"> With home sources present, the fitted lines imply that NO</w:t>
      </w:r>
      <w:r w:rsidR="002B2E99" w:rsidRPr="00137DB4">
        <w:rPr>
          <w:rFonts w:asciiTheme="minorHAnsi" w:hAnsiTheme="minorHAnsi"/>
          <w:i w:val="0"/>
          <w:sz w:val="22"/>
          <w:szCs w:val="22"/>
          <w:vertAlign w:val="subscript"/>
        </w:rPr>
        <w:t>2</w:t>
      </w:r>
      <w:r w:rsidR="002B2E99" w:rsidRPr="00137DB4">
        <w:rPr>
          <w:rFonts w:asciiTheme="minorHAnsi" w:hAnsiTheme="minorHAnsi"/>
          <w:i w:val="0"/>
          <w:sz w:val="22"/>
          <w:szCs w:val="22"/>
        </w:rPr>
        <w:t xml:space="preserve"> exposures in winter are somewhat higher than in summer at outdoor concentrations below 50%ile; this reflects the lower air exchange rates in winter leading to higher indoor concentrations, and hence higher mean and 95%ile exposure, due to indoor sources. In contrast, with no home sources, and exposure dominated by outdoor sources, summer exposure is greater than that in winter across the whole range of ambient concentrations, reflecting the greater indoor penetration. The effects of the AQM and no home source scenarios are comparable in summer, but the no home source scenario has a greater effect in winter. This reflects the </w:t>
      </w:r>
      <w:r w:rsidRPr="00137DB4">
        <w:rPr>
          <w:rFonts w:asciiTheme="minorHAnsi" w:hAnsiTheme="minorHAnsi"/>
          <w:i w:val="0"/>
          <w:sz w:val="22"/>
          <w:szCs w:val="22"/>
        </w:rPr>
        <w:t>greater air exchange rate and greater time spent outdoors in summer</w:t>
      </w:r>
      <w:r w:rsidR="00737E13" w:rsidRPr="00137DB4">
        <w:rPr>
          <w:rFonts w:asciiTheme="minorHAnsi" w:hAnsiTheme="minorHAnsi"/>
          <w:i w:val="0"/>
          <w:sz w:val="22"/>
          <w:szCs w:val="22"/>
        </w:rPr>
        <w:t xml:space="preserve">, which mean that policies </w:t>
      </w:r>
      <w:r w:rsidR="00D24106" w:rsidRPr="00137DB4">
        <w:rPr>
          <w:rFonts w:asciiTheme="minorHAnsi" w:hAnsiTheme="minorHAnsi"/>
          <w:i w:val="0"/>
          <w:sz w:val="22"/>
          <w:szCs w:val="22"/>
        </w:rPr>
        <w:t xml:space="preserve">to reduce outdoor concentrations </w:t>
      </w:r>
      <w:r w:rsidR="00737E13" w:rsidRPr="00137DB4">
        <w:rPr>
          <w:rFonts w:asciiTheme="minorHAnsi" w:hAnsiTheme="minorHAnsi"/>
          <w:i w:val="0"/>
          <w:sz w:val="22"/>
          <w:szCs w:val="22"/>
        </w:rPr>
        <w:t>have a much greater effect on exposure in summer.</w:t>
      </w:r>
    </w:p>
    <w:p w14:paraId="36E988D8" w14:textId="77777777" w:rsidR="00737E13" w:rsidRPr="00137DB4" w:rsidRDefault="00737E13" w:rsidP="00737E13">
      <w:pPr>
        <w:jc w:val="both"/>
        <w:rPr>
          <w:rFonts w:asciiTheme="minorHAnsi" w:hAnsiTheme="minorHAnsi"/>
        </w:rPr>
      </w:pPr>
    </w:p>
    <w:p w14:paraId="1EF4EB08" w14:textId="77777777" w:rsidR="00F12B18" w:rsidRDefault="00F12B18" w:rsidP="006808F4">
      <w:pPr>
        <w:jc w:val="both"/>
        <w:rPr>
          <w:rFonts w:asciiTheme="minorHAnsi" w:hAnsiTheme="minorHAnsi"/>
        </w:rPr>
      </w:pPr>
    </w:p>
    <w:p w14:paraId="78F15A67" w14:textId="77AF0FED" w:rsidR="004471D4" w:rsidRPr="00CF4818" w:rsidRDefault="000170E4" w:rsidP="00BA29F9">
      <w:pPr>
        <w:jc w:val="both"/>
        <w:rPr>
          <w:rFonts w:asciiTheme="minorHAnsi" w:hAnsiTheme="minorHAnsi"/>
          <w:b/>
          <w:snapToGrid w:val="0"/>
          <w:szCs w:val="22"/>
          <w:lang w:eastAsia="en-US"/>
        </w:rPr>
      </w:pPr>
      <w:r>
        <w:rPr>
          <w:rFonts w:asciiTheme="minorHAnsi" w:hAnsiTheme="minorHAnsi"/>
          <w:b/>
          <w:snapToGrid w:val="0"/>
          <w:szCs w:val="22"/>
          <w:lang w:eastAsia="en-US"/>
        </w:rPr>
        <w:t>5</w:t>
      </w:r>
      <w:r w:rsidR="004471D4" w:rsidRPr="00CF4818">
        <w:rPr>
          <w:rFonts w:asciiTheme="minorHAnsi" w:hAnsiTheme="minorHAnsi"/>
          <w:b/>
          <w:snapToGrid w:val="0"/>
          <w:szCs w:val="22"/>
          <w:lang w:eastAsia="en-US"/>
        </w:rPr>
        <w:t xml:space="preserve">. Discussion </w:t>
      </w:r>
    </w:p>
    <w:p w14:paraId="5E261196" w14:textId="77777777" w:rsidR="00DF5F20" w:rsidRDefault="00DF5F20" w:rsidP="00BA29F9">
      <w:pPr>
        <w:jc w:val="both"/>
        <w:rPr>
          <w:rFonts w:asciiTheme="minorHAnsi" w:hAnsiTheme="minorHAnsi"/>
          <w:szCs w:val="22"/>
        </w:rPr>
      </w:pPr>
    </w:p>
    <w:p w14:paraId="757D7E2E" w14:textId="74E7C2B2" w:rsidR="00CE19F2" w:rsidRPr="00CE19F2" w:rsidRDefault="005A1090" w:rsidP="00BA29F9">
      <w:pPr>
        <w:jc w:val="both"/>
        <w:rPr>
          <w:rFonts w:asciiTheme="minorHAnsi" w:hAnsiTheme="minorHAnsi"/>
          <w:i/>
        </w:rPr>
      </w:pPr>
      <w:r>
        <w:rPr>
          <w:rFonts w:asciiTheme="minorHAnsi" w:hAnsiTheme="minorHAnsi"/>
          <w:i/>
        </w:rPr>
        <w:t>5</w:t>
      </w:r>
      <w:r w:rsidR="008A17DE">
        <w:rPr>
          <w:rFonts w:asciiTheme="minorHAnsi" w:hAnsiTheme="minorHAnsi"/>
          <w:i/>
        </w:rPr>
        <w:t>.1</w:t>
      </w:r>
      <w:r>
        <w:rPr>
          <w:rFonts w:asciiTheme="minorHAnsi" w:hAnsiTheme="minorHAnsi"/>
          <w:i/>
        </w:rPr>
        <w:t xml:space="preserve"> </w:t>
      </w:r>
      <w:r w:rsidR="00CE19F2" w:rsidRPr="00CE19F2">
        <w:rPr>
          <w:rFonts w:asciiTheme="minorHAnsi" w:hAnsiTheme="minorHAnsi"/>
          <w:i/>
        </w:rPr>
        <w:t>Model evaluation</w:t>
      </w:r>
    </w:p>
    <w:p w14:paraId="6A5EB0FB" w14:textId="77777777" w:rsidR="00CE19F2" w:rsidRDefault="00CE19F2" w:rsidP="00BA29F9">
      <w:pPr>
        <w:jc w:val="both"/>
        <w:rPr>
          <w:rFonts w:asciiTheme="minorHAnsi" w:hAnsiTheme="minorHAnsi"/>
        </w:rPr>
      </w:pPr>
    </w:p>
    <w:p w14:paraId="4DB87A34" w14:textId="16BAA2FF" w:rsidR="00AD3BB8" w:rsidRDefault="00847451" w:rsidP="005A037B">
      <w:pPr>
        <w:jc w:val="both"/>
        <w:rPr>
          <w:rFonts w:asciiTheme="minorHAnsi" w:hAnsiTheme="minorHAnsi"/>
        </w:rPr>
      </w:pPr>
      <w:r w:rsidRPr="00847451">
        <w:rPr>
          <w:rFonts w:asciiTheme="minorHAnsi" w:hAnsiTheme="minorHAnsi"/>
        </w:rPr>
        <w:t xml:space="preserve">This paper has described the </w:t>
      </w:r>
      <w:r>
        <w:rPr>
          <w:rFonts w:asciiTheme="minorHAnsi" w:hAnsiTheme="minorHAnsi"/>
        </w:rPr>
        <w:t xml:space="preserve">development and </w:t>
      </w:r>
      <w:r w:rsidRPr="00847451">
        <w:rPr>
          <w:rFonts w:asciiTheme="minorHAnsi" w:hAnsiTheme="minorHAnsi"/>
        </w:rPr>
        <w:t xml:space="preserve">application of a </w:t>
      </w:r>
      <w:r w:rsidR="003B4EFB">
        <w:rPr>
          <w:rFonts w:asciiTheme="minorHAnsi" w:hAnsiTheme="minorHAnsi"/>
        </w:rPr>
        <w:t xml:space="preserve">novel </w:t>
      </w:r>
      <w:r w:rsidRPr="00847451">
        <w:rPr>
          <w:rFonts w:asciiTheme="minorHAnsi" w:hAnsiTheme="minorHAnsi"/>
        </w:rPr>
        <w:t>modelling framework that allows the effects of different policy interventions to be assessed in terms of the frequency distribution of exposures within a population. The modelling framework has a relatively simple empirical approach which can readily be adapted to different applications and different locations.</w:t>
      </w:r>
      <w:r w:rsidR="008219F6">
        <w:rPr>
          <w:rFonts w:asciiTheme="minorHAnsi" w:hAnsiTheme="minorHAnsi"/>
        </w:rPr>
        <w:t xml:space="preserve"> </w:t>
      </w:r>
      <w:r w:rsidR="003B4EFB">
        <w:rPr>
          <w:rFonts w:asciiTheme="minorHAnsi" w:hAnsiTheme="minorHAnsi"/>
        </w:rPr>
        <w:t xml:space="preserve">We </w:t>
      </w:r>
      <w:r w:rsidR="005A1090">
        <w:rPr>
          <w:rFonts w:asciiTheme="minorHAnsi" w:hAnsiTheme="minorHAnsi"/>
        </w:rPr>
        <w:t>first consider</w:t>
      </w:r>
      <w:r w:rsidR="003B4EFB">
        <w:rPr>
          <w:rFonts w:asciiTheme="minorHAnsi" w:hAnsiTheme="minorHAnsi"/>
        </w:rPr>
        <w:t xml:space="preserve"> t</w:t>
      </w:r>
      <w:r w:rsidR="008219F6">
        <w:rPr>
          <w:rFonts w:asciiTheme="minorHAnsi" w:hAnsiTheme="minorHAnsi"/>
        </w:rPr>
        <w:t xml:space="preserve">he </w:t>
      </w:r>
      <w:r w:rsidR="00CE19F2">
        <w:rPr>
          <w:rFonts w:asciiTheme="minorHAnsi" w:hAnsiTheme="minorHAnsi"/>
        </w:rPr>
        <w:t xml:space="preserve">validity, </w:t>
      </w:r>
      <w:r w:rsidR="008219F6">
        <w:rPr>
          <w:rFonts w:asciiTheme="minorHAnsi" w:hAnsiTheme="minorHAnsi"/>
        </w:rPr>
        <w:t xml:space="preserve">limitations and the advantages of this modelling approach, </w:t>
      </w:r>
      <w:r w:rsidR="003B4EFB">
        <w:rPr>
          <w:rFonts w:asciiTheme="minorHAnsi" w:hAnsiTheme="minorHAnsi"/>
        </w:rPr>
        <w:t xml:space="preserve">before </w:t>
      </w:r>
      <w:r w:rsidR="00CE19F2">
        <w:rPr>
          <w:rFonts w:asciiTheme="minorHAnsi" w:hAnsiTheme="minorHAnsi"/>
        </w:rPr>
        <w:t>discussin</w:t>
      </w:r>
      <w:r w:rsidR="003B4EFB">
        <w:rPr>
          <w:rFonts w:asciiTheme="minorHAnsi" w:hAnsiTheme="minorHAnsi"/>
        </w:rPr>
        <w:t>g</w:t>
      </w:r>
      <w:r w:rsidR="00CE19F2">
        <w:rPr>
          <w:rFonts w:asciiTheme="minorHAnsi" w:hAnsiTheme="minorHAnsi"/>
        </w:rPr>
        <w:t xml:space="preserve"> </w:t>
      </w:r>
      <w:r w:rsidR="008219F6">
        <w:rPr>
          <w:rFonts w:asciiTheme="minorHAnsi" w:hAnsiTheme="minorHAnsi"/>
        </w:rPr>
        <w:t>the</w:t>
      </w:r>
      <w:r w:rsidR="005A037B">
        <w:rPr>
          <w:rFonts w:asciiTheme="minorHAnsi" w:hAnsiTheme="minorHAnsi"/>
        </w:rPr>
        <w:t xml:space="preserve"> health and</w:t>
      </w:r>
      <w:r w:rsidR="008219F6">
        <w:rPr>
          <w:rFonts w:asciiTheme="minorHAnsi" w:hAnsiTheme="minorHAnsi"/>
        </w:rPr>
        <w:t xml:space="preserve"> policy implications</w:t>
      </w:r>
      <w:r w:rsidR="005A037B">
        <w:rPr>
          <w:rFonts w:asciiTheme="minorHAnsi" w:hAnsiTheme="minorHAnsi"/>
        </w:rPr>
        <w:t xml:space="preserve"> of </w:t>
      </w:r>
      <w:r w:rsidR="003B4EFB">
        <w:rPr>
          <w:rFonts w:asciiTheme="minorHAnsi" w:hAnsiTheme="minorHAnsi"/>
        </w:rPr>
        <w:t>our</w:t>
      </w:r>
      <w:r w:rsidR="005A037B">
        <w:rPr>
          <w:rFonts w:asciiTheme="minorHAnsi" w:hAnsiTheme="minorHAnsi"/>
        </w:rPr>
        <w:t xml:space="preserve"> findings</w:t>
      </w:r>
      <w:r w:rsidR="008219F6">
        <w:rPr>
          <w:rFonts w:asciiTheme="minorHAnsi" w:hAnsiTheme="minorHAnsi"/>
        </w:rPr>
        <w:t>.</w:t>
      </w:r>
      <w:r>
        <w:rPr>
          <w:rFonts w:asciiTheme="minorHAnsi" w:hAnsiTheme="minorHAnsi"/>
        </w:rPr>
        <w:t xml:space="preserve"> </w:t>
      </w:r>
    </w:p>
    <w:p w14:paraId="393501BF" w14:textId="77777777" w:rsidR="00AD3BB8" w:rsidRDefault="00AD3BB8" w:rsidP="005A037B">
      <w:pPr>
        <w:jc w:val="both"/>
        <w:rPr>
          <w:rFonts w:asciiTheme="minorHAnsi" w:hAnsiTheme="minorHAnsi"/>
        </w:rPr>
      </w:pPr>
    </w:p>
    <w:p w14:paraId="4190C298" w14:textId="3F5AD7D1" w:rsidR="00AD3BB8" w:rsidRDefault="00AD3BB8" w:rsidP="00AD3BB8">
      <w:pPr>
        <w:jc w:val="both"/>
        <w:rPr>
          <w:rFonts w:asciiTheme="minorHAnsi" w:hAnsiTheme="minorHAnsi"/>
          <w:snapToGrid w:val="0"/>
          <w:color w:val="000000"/>
          <w:szCs w:val="22"/>
          <w:lang w:eastAsia="en-US"/>
        </w:rPr>
      </w:pPr>
      <w:r w:rsidRPr="00CF4818">
        <w:rPr>
          <w:rFonts w:asciiTheme="minorHAnsi" w:hAnsiTheme="minorHAnsi"/>
          <w:snapToGrid w:val="0"/>
          <w:color w:val="000000"/>
          <w:szCs w:val="22"/>
          <w:lang w:eastAsia="en-US"/>
        </w:rPr>
        <w:t xml:space="preserve">A formal validation of the results of the various simulations presented in this paper would require a very detailed personal monitoring campaign </w:t>
      </w:r>
      <w:r w:rsidR="003B4EFB">
        <w:rPr>
          <w:rFonts w:asciiTheme="minorHAnsi" w:hAnsiTheme="minorHAnsi"/>
          <w:snapToGrid w:val="0"/>
          <w:color w:val="000000"/>
          <w:szCs w:val="22"/>
          <w:lang w:eastAsia="en-US"/>
        </w:rPr>
        <w:t>using</w:t>
      </w:r>
      <w:r w:rsidRPr="00CF4818">
        <w:rPr>
          <w:rFonts w:asciiTheme="minorHAnsi" w:hAnsiTheme="minorHAnsi"/>
          <w:snapToGrid w:val="0"/>
          <w:color w:val="000000"/>
          <w:szCs w:val="22"/>
          <w:lang w:eastAsia="en-US"/>
        </w:rPr>
        <w:t xml:space="preserve"> a population-based sample. </w:t>
      </w:r>
      <w:r>
        <w:rPr>
          <w:rFonts w:asciiTheme="minorHAnsi" w:hAnsiTheme="minorHAnsi"/>
          <w:snapToGrid w:val="0"/>
          <w:color w:val="000000"/>
          <w:szCs w:val="22"/>
          <w:lang w:eastAsia="en-US"/>
        </w:rPr>
        <w:t xml:space="preserve">One </w:t>
      </w:r>
      <w:r w:rsidRPr="00CF4818">
        <w:rPr>
          <w:rFonts w:asciiTheme="minorHAnsi" w:hAnsiTheme="minorHAnsi"/>
          <w:snapToGrid w:val="0"/>
          <w:color w:val="000000"/>
          <w:szCs w:val="22"/>
          <w:lang w:eastAsia="en-US"/>
        </w:rPr>
        <w:t xml:space="preserve">independent validation </w:t>
      </w:r>
      <w:r>
        <w:rPr>
          <w:rFonts w:asciiTheme="minorHAnsi" w:hAnsiTheme="minorHAnsi"/>
          <w:snapToGrid w:val="0"/>
          <w:color w:val="000000"/>
          <w:szCs w:val="22"/>
          <w:lang w:eastAsia="en-US"/>
        </w:rPr>
        <w:t>of the INDAIR/EXPAIR modelling framework for NO</w:t>
      </w:r>
      <w:r w:rsidRPr="005A037B">
        <w:rPr>
          <w:rFonts w:asciiTheme="minorHAnsi" w:hAnsiTheme="minorHAnsi"/>
          <w:snapToGrid w:val="0"/>
          <w:color w:val="000000"/>
          <w:szCs w:val="22"/>
          <w:vertAlign w:val="subscript"/>
          <w:lang w:eastAsia="en-US"/>
        </w:rPr>
        <w:t>2</w:t>
      </w:r>
      <w:r>
        <w:rPr>
          <w:rFonts w:asciiTheme="minorHAnsi" w:hAnsiTheme="minorHAnsi"/>
          <w:snapToGrid w:val="0"/>
          <w:color w:val="000000"/>
          <w:szCs w:val="22"/>
          <w:lang w:eastAsia="en-US"/>
        </w:rPr>
        <w:t xml:space="preserve"> has been carried out (</w:t>
      </w:r>
      <w:r w:rsidRPr="00CF4818">
        <w:rPr>
          <w:rFonts w:asciiTheme="minorHAnsi" w:hAnsiTheme="minorHAnsi"/>
          <w:snapToGrid w:val="0"/>
          <w:color w:val="000000"/>
          <w:szCs w:val="22"/>
          <w:lang w:eastAsia="en-US"/>
        </w:rPr>
        <w:t>Molter et al.</w:t>
      </w:r>
      <w:r>
        <w:rPr>
          <w:rFonts w:asciiTheme="minorHAnsi" w:hAnsiTheme="minorHAnsi"/>
          <w:snapToGrid w:val="0"/>
          <w:color w:val="000000"/>
          <w:szCs w:val="22"/>
          <w:lang w:eastAsia="en-US"/>
        </w:rPr>
        <w:t>, 2012</w:t>
      </w:r>
      <w:r w:rsidRPr="00CF4818">
        <w:rPr>
          <w:rFonts w:asciiTheme="minorHAnsi" w:hAnsiTheme="minorHAnsi"/>
          <w:snapToGrid w:val="0"/>
          <w:color w:val="000000"/>
          <w:szCs w:val="22"/>
          <w:lang w:eastAsia="en-US"/>
        </w:rPr>
        <w:t>)</w:t>
      </w:r>
      <w:r>
        <w:rPr>
          <w:rFonts w:asciiTheme="minorHAnsi" w:hAnsiTheme="minorHAnsi"/>
          <w:snapToGrid w:val="0"/>
          <w:color w:val="000000"/>
          <w:szCs w:val="22"/>
          <w:lang w:eastAsia="en-US"/>
        </w:rPr>
        <w:t>.</w:t>
      </w:r>
      <w:r w:rsidRPr="00CF4818">
        <w:rPr>
          <w:rFonts w:asciiTheme="minorHAnsi" w:hAnsiTheme="minorHAnsi"/>
          <w:snapToGrid w:val="0"/>
          <w:color w:val="000000"/>
          <w:szCs w:val="22"/>
          <w:lang w:eastAsia="en-US"/>
        </w:rPr>
        <w:t xml:space="preserve"> </w:t>
      </w:r>
      <w:r>
        <w:rPr>
          <w:rFonts w:asciiTheme="minorHAnsi" w:hAnsiTheme="minorHAnsi"/>
          <w:snapToGrid w:val="0"/>
          <w:color w:val="000000"/>
          <w:szCs w:val="22"/>
          <w:lang w:eastAsia="en-US"/>
        </w:rPr>
        <w:t xml:space="preserve">This study </w:t>
      </w:r>
      <w:r w:rsidRPr="00CF4818">
        <w:rPr>
          <w:rFonts w:asciiTheme="minorHAnsi" w:hAnsiTheme="minorHAnsi"/>
          <w:snapToGrid w:val="0"/>
          <w:color w:val="000000"/>
          <w:szCs w:val="22"/>
          <w:lang w:eastAsia="en-US"/>
        </w:rPr>
        <w:t xml:space="preserve">compared measured personal exposures in a sample of 46 schoolchildren in Manchester with </w:t>
      </w:r>
      <w:r>
        <w:rPr>
          <w:rFonts w:asciiTheme="minorHAnsi" w:hAnsiTheme="minorHAnsi"/>
          <w:snapToGrid w:val="0"/>
          <w:color w:val="000000"/>
          <w:szCs w:val="22"/>
          <w:lang w:eastAsia="en-US"/>
        </w:rPr>
        <w:t xml:space="preserve">home </w:t>
      </w:r>
      <w:r w:rsidRPr="00CF4818">
        <w:rPr>
          <w:rFonts w:asciiTheme="minorHAnsi" w:hAnsiTheme="minorHAnsi"/>
          <w:snapToGrid w:val="0"/>
          <w:color w:val="000000"/>
          <w:szCs w:val="22"/>
          <w:lang w:eastAsia="en-US"/>
        </w:rPr>
        <w:t xml:space="preserve">exposures modelled from </w:t>
      </w:r>
      <w:r>
        <w:rPr>
          <w:rFonts w:asciiTheme="minorHAnsi" w:hAnsiTheme="minorHAnsi"/>
          <w:snapToGrid w:val="0"/>
          <w:color w:val="000000"/>
          <w:szCs w:val="22"/>
          <w:lang w:eastAsia="en-US"/>
        </w:rPr>
        <w:t>IND</w:t>
      </w:r>
      <w:r w:rsidRPr="00CF4818">
        <w:rPr>
          <w:rFonts w:asciiTheme="minorHAnsi" w:hAnsiTheme="minorHAnsi"/>
          <w:snapToGrid w:val="0"/>
          <w:color w:val="000000"/>
          <w:szCs w:val="22"/>
          <w:lang w:eastAsia="en-US"/>
        </w:rPr>
        <w:t>AIR using home questionnaire data</w:t>
      </w:r>
      <w:r w:rsidR="003B4EFB">
        <w:rPr>
          <w:rFonts w:asciiTheme="minorHAnsi" w:hAnsiTheme="minorHAnsi"/>
          <w:snapToGrid w:val="0"/>
          <w:color w:val="000000"/>
          <w:szCs w:val="22"/>
          <w:lang w:eastAsia="en-US"/>
        </w:rPr>
        <w:t>,</w:t>
      </w:r>
      <w:r w:rsidR="005A1090">
        <w:rPr>
          <w:rFonts w:asciiTheme="minorHAnsi" w:hAnsiTheme="minorHAnsi"/>
          <w:snapToGrid w:val="0"/>
          <w:color w:val="000000"/>
          <w:szCs w:val="22"/>
          <w:lang w:eastAsia="en-US"/>
        </w:rPr>
        <w:t xml:space="preserve"> </w:t>
      </w:r>
      <w:r w:rsidRPr="00CF4818">
        <w:rPr>
          <w:rFonts w:asciiTheme="minorHAnsi" w:hAnsiTheme="minorHAnsi"/>
          <w:snapToGrid w:val="0"/>
          <w:color w:val="000000"/>
          <w:szCs w:val="22"/>
          <w:lang w:eastAsia="en-US"/>
        </w:rPr>
        <w:t xml:space="preserve">and a GIS-based estimate of outdoor concentrations at home, at school and during travel between them for each child. The results showed </w:t>
      </w:r>
      <w:r>
        <w:rPr>
          <w:rFonts w:asciiTheme="minorHAnsi" w:hAnsiTheme="minorHAnsi"/>
          <w:snapToGrid w:val="0"/>
          <w:color w:val="000000"/>
          <w:szCs w:val="22"/>
          <w:lang w:eastAsia="en-US"/>
        </w:rPr>
        <w:t>excellent</w:t>
      </w:r>
      <w:r w:rsidRPr="00CF4818">
        <w:rPr>
          <w:rFonts w:asciiTheme="minorHAnsi" w:hAnsiTheme="minorHAnsi"/>
          <w:snapToGrid w:val="0"/>
          <w:color w:val="000000"/>
          <w:szCs w:val="22"/>
          <w:lang w:eastAsia="en-US"/>
        </w:rPr>
        <w:t xml:space="preserve"> agreement in geometric 48h mean concentration between the EXPAIR model predictions and measurements using a personal sampler, with a significant positive </w:t>
      </w:r>
      <w:r>
        <w:rPr>
          <w:rFonts w:asciiTheme="minorHAnsi" w:hAnsiTheme="minorHAnsi"/>
          <w:snapToGrid w:val="0"/>
          <w:color w:val="000000"/>
          <w:szCs w:val="22"/>
          <w:lang w:eastAsia="en-US"/>
        </w:rPr>
        <w:t xml:space="preserve">rank </w:t>
      </w:r>
      <w:r w:rsidRPr="00CF4818">
        <w:rPr>
          <w:rFonts w:asciiTheme="minorHAnsi" w:hAnsiTheme="minorHAnsi"/>
          <w:snapToGrid w:val="0"/>
          <w:color w:val="000000"/>
          <w:szCs w:val="22"/>
          <w:lang w:eastAsia="en-US"/>
        </w:rPr>
        <w:t xml:space="preserve">correlation </w:t>
      </w:r>
      <w:r>
        <w:rPr>
          <w:rFonts w:asciiTheme="minorHAnsi" w:hAnsiTheme="minorHAnsi"/>
          <w:snapToGrid w:val="0"/>
          <w:color w:val="000000"/>
          <w:szCs w:val="22"/>
          <w:lang w:eastAsia="en-US"/>
        </w:rPr>
        <w:t>between model predictions and measured exposure, although there were differences between modelled and measured exposures for individual children. These results provide confidence in the modelled mean exposures at a population level, at least for children. Furthermore, the ratios of personal exposure to urban background concentrations for NO</w:t>
      </w:r>
      <w:r w:rsidRPr="00C65F75">
        <w:rPr>
          <w:rFonts w:asciiTheme="minorHAnsi" w:hAnsiTheme="minorHAnsi"/>
          <w:snapToGrid w:val="0"/>
          <w:color w:val="000000"/>
          <w:szCs w:val="22"/>
          <w:vertAlign w:val="subscript"/>
          <w:lang w:eastAsia="en-US"/>
        </w:rPr>
        <w:t>2</w:t>
      </w:r>
      <w:r>
        <w:rPr>
          <w:rFonts w:asciiTheme="minorHAnsi" w:hAnsiTheme="minorHAnsi"/>
          <w:snapToGrid w:val="0"/>
          <w:color w:val="000000"/>
          <w:szCs w:val="22"/>
          <w:lang w:eastAsia="en-US"/>
        </w:rPr>
        <w:t xml:space="preserve"> for office workers predicted by our study (approximately 0.7 in winter and 0.9 in winter) are very similar to measured values for UK office workers reported by Kornartit et al. (2010). They are also similar to values reported for UK office workers by Crump et al. (1998), although Lai et al. (2004) reported a slightly higher value of 1.05 on an annual basis.      </w:t>
      </w:r>
    </w:p>
    <w:p w14:paraId="698622A0" w14:textId="77777777" w:rsidR="00AD3BB8" w:rsidRDefault="00AD3BB8" w:rsidP="00AD3BB8">
      <w:pPr>
        <w:autoSpaceDE w:val="0"/>
        <w:autoSpaceDN w:val="0"/>
        <w:adjustRightInd w:val="0"/>
        <w:jc w:val="both"/>
        <w:rPr>
          <w:rFonts w:asciiTheme="minorHAnsi" w:hAnsiTheme="minorHAnsi"/>
          <w:szCs w:val="22"/>
        </w:rPr>
      </w:pPr>
    </w:p>
    <w:p w14:paraId="59EB330F" w14:textId="73944AF8" w:rsidR="009523E6" w:rsidRDefault="00AD3BB8" w:rsidP="00AD3BB8">
      <w:pPr>
        <w:autoSpaceDE w:val="0"/>
        <w:autoSpaceDN w:val="0"/>
        <w:adjustRightInd w:val="0"/>
        <w:jc w:val="both"/>
        <w:rPr>
          <w:rFonts w:asciiTheme="minorHAnsi" w:hAnsiTheme="minorHAnsi" w:cs="AdvOT863180fb"/>
          <w:szCs w:val="22"/>
          <w:lang w:val="en-AU"/>
        </w:rPr>
      </w:pPr>
      <w:r w:rsidRPr="00CF4818">
        <w:rPr>
          <w:rFonts w:asciiTheme="minorHAnsi" w:hAnsiTheme="minorHAnsi"/>
          <w:szCs w:val="22"/>
        </w:rPr>
        <w:t xml:space="preserve">No </w:t>
      </w:r>
      <w:r>
        <w:rPr>
          <w:rFonts w:asciiTheme="minorHAnsi" w:hAnsiTheme="minorHAnsi"/>
          <w:szCs w:val="22"/>
        </w:rPr>
        <w:t xml:space="preserve">UK </w:t>
      </w:r>
      <w:r w:rsidRPr="00CF4818">
        <w:rPr>
          <w:rFonts w:asciiTheme="minorHAnsi" w:hAnsiTheme="minorHAnsi"/>
          <w:szCs w:val="22"/>
        </w:rPr>
        <w:t>studies to our knowledge have reported 1h peak personal exposures to NO</w:t>
      </w:r>
      <w:r w:rsidRPr="00AD3BB8">
        <w:rPr>
          <w:rFonts w:asciiTheme="minorHAnsi" w:hAnsiTheme="minorHAnsi"/>
          <w:szCs w:val="22"/>
          <w:vertAlign w:val="subscript"/>
        </w:rPr>
        <w:t>2</w:t>
      </w:r>
      <w:r w:rsidRPr="00CF4818">
        <w:rPr>
          <w:rFonts w:asciiTheme="minorHAnsi" w:hAnsiTheme="minorHAnsi"/>
          <w:szCs w:val="22"/>
        </w:rPr>
        <w:t xml:space="preserve"> in a large </w:t>
      </w:r>
      <w:r>
        <w:rPr>
          <w:rFonts w:asciiTheme="minorHAnsi" w:hAnsiTheme="minorHAnsi"/>
          <w:szCs w:val="22"/>
        </w:rPr>
        <w:t>population</w:t>
      </w:r>
      <w:r w:rsidRPr="00CF4818">
        <w:rPr>
          <w:rFonts w:asciiTheme="minorHAnsi" w:hAnsiTheme="minorHAnsi"/>
          <w:szCs w:val="22"/>
        </w:rPr>
        <w:t xml:space="preserve">, and hence it is not possible to assess the validity of </w:t>
      </w:r>
      <w:r>
        <w:rPr>
          <w:rFonts w:asciiTheme="minorHAnsi" w:hAnsiTheme="minorHAnsi"/>
          <w:szCs w:val="22"/>
        </w:rPr>
        <w:t xml:space="preserve">the </w:t>
      </w:r>
      <w:r w:rsidRPr="00CF4818">
        <w:rPr>
          <w:rFonts w:asciiTheme="minorHAnsi" w:hAnsiTheme="minorHAnsi"/>
          <w:szCs w:val="22"/>
        </w:rPr>
        <w:t xml:space="preserve">high peak exposures </w:t>
      </w:r>
      <w:r>
        <w:rPr>
          <w:rFonts w:asciiTheme="minorHAnsi" w:hAnsiTheme="minorHAnsi"/>
          <w:szCs w:val="22"/>
        </w:rPr>
        <w:t xml:space="preserve">that are predicted </w:t>
      </w:r>
      <w:r w:rsidRPr="00CF4818">
        <w:rPr>
          <w:rFonts w:asciiTheme="minorHAnsi" w:hAnsiTheme="minorHAnsi"/>
          <w:szCs w:val="22"/>
        </w:rPr>
        <w:t xml:space="preserve">inside the home. </w:t>
      </w:r>
      <w:r>
        <w:rPr>
          <w:rFonts w:asciiTheme="minorHAnsi" w:hAnsiTheme="minorHAnsi"/>
          <w:szCs w:val="22"/>
        </w:rPr>
        <w:t>Delgado-Saborit (2012)</w:t>
      </w:r>
      <w:r w:rsidR="001C017E">
        <w:rPr>
          <w:rFonts w:asciiTheme="minorHAnsi" w:hAnsiTheme="minorHAnsi"/>
          <w:szCs w:val="22"/>
        </w:rPr>
        <w:t xml:space="preserve"> reported personal exposures to NO</w:t>
      </w:r>
      <w:r w:rsidR="001C017E" w:rsidRPr="00610BBC">
        <w:rPr>
          <w:rFonts w:asciiTheme="minorHAnsi" w:hAnsiTheme="minorHAnsi"/>
          <w:szCs w:val="22"/>
          <w:vertAlign w:val="subscript"/>
        </w:rPr>
        <w:t>2</w:t>
      </w:r>
      <w:r w:rsidR="001C017E">
        <w:rPr>
          <w:rFonts w:asciiTheme="minorHAnsi" w:hAnsiTheme="minorHAnsi"/>
          <w:szCs w:val="22"/>
        </w:rPr>
        <w:t xml:space="preserve"> in a limited monitoring campaign in Birmingham, and reported that instantaneous peak</w:t>
      </w:r>
      <w:r w:rsidR="00BC2E7E">
        <w:rPr>
          <w:rFonts w:asciiTheme="minorHAnsi" w:hAnsiTheme="minorHAnsi"/>
          <w:szCs w:val="22"/>
        </w:rPr>
        <w:t>s</w:t>
      </w:r>
      <w:r w:rsidR="001C017E">
        <w:rPr>
          <w:rFonts w:asciiTheme="minorHAnsi" w:hAnsiTheme="minorHAnsi"/>
          <w:szCs w:val="22"/>
        </w:rPr>
        <w:t xml:space="preserve"> during cooking reached a peak of 800ppb</w:t>
      </w:r>
      <w:r w:rsidR="00BC2E7E">
        <w:rPr>
          <w:rFonts w:asciiTheme="minorHAnsi" w:hAnsiTheme="minorHAnsi"/>
          <w:szCs w:val="22"/>
        </w:rPr>
        <w:t>;</w:t>
      </w:r>
      <w:r w:rsidR="004C5C51">
        <w:rPr>
          <w:rFonts w:asciiTheme="minorHAnsi" w:hAnsiTheme="minorHAnsi"/>
          <w:szCs w:val="22"/>
        </w:rPr>
        <w:t xml:space="preserve"> </w:t>
      </w:r>
      <w:r w:rsidR="00BC2E7E">
        <w:rPr>
          <w:rFonts w:asciiTheme="minorHAnsi" w:hAnsiTheme="minorHAnsi"/>
          <w:szCs w:val="22"/>
        </w:rPr>
        <w:t>h</w:t>
      </w:r>
      <w:r w:rsidR="004C5C51">
        <w:rPr>
          <w:rFonts w:asciiTheme="minorHAnsi" w:hAnsiTheme="minorHAnsi"/>
          <w:szCs w:val="22"/>
        </w:rPr>
        <w:t xml:space="preserve">owever, these were exposures experienced by individuals in the process of cooking, whereas we simulated the mean concentration in the kitchen. </w:t>
      </w:r>
      <w:r w:rsidR="00BC2E7E">
        <w:rPr>
          <w:rFonts w:asciiTheme="minorHAnsi" w:hAnsiTheme="minorHAnsi"/>
          <w:szCs w:val="22"/>
        </w:rPr>
        <w:t>F</w:t>
      </w:r>
      <w:r w:rsidR="009523E6" w:rsidRPr="00CF4818">
        <w:rPr>
          <w:rFonts w:asciiTheme="minorHAnsi" w:hAnsiTheme="minorHAnsi"/>
          <w:szCs w:val="22"/>
        </w:rPr>
        <w:t>ranklin et al. (2006) reported a peak to average ratio in Australian kitchens</w:t>
      </w:r>
      <w:r w:rsidR="009523E6">
        <w:rPr>
          <w:rFonts w:asciiTheme="minorHAnsi" w:hAnsiTheme="minorHAnsi"/>
          <w:szCs w:val="22"/>
        </w:rPr>
        <w:t xml:space="preserve"> with gas cooking</w:t>
      </w:r>
      <w:r w:rsidR="009523E6" w:rsidRPr="00CF4818">
        <w:rPr>
          <w:rFonts w:asciiTheme="minorHAnsi" w:hAnsiTheme="minorHAnsi"/>
          <w:szCs w:val="22"/>
        </w:rPr>
        <w:t xml:space="preserve"> of 7.8 (range 2.8-13.0)</w:t>
      </w:r>
      <w:r w:rsidR="00BC2E7E">
        <w:rPr>
          <w:rFonts w:asciiTheme="minorHAnsi" w:hAnsiTheme="minorHAnsi"/>
          <w:szCs w:val="22"/>
        </w:rPr>
        <w:t>, a value consistent with our INDAIR simulations</w:t>
      </w:r>
      <w:r w:rsidR="009523E6">
        <w:rPr>
          <w:rFonts w:asciiTheme="minorHAnsi" w:hAnsiTheme="minorHAnsi"/>
          <w:szCs w:val="22"/>
        </w:rPr>
        <w:t>. Logue et al. (2014) used a mass balance model to simulate the influence of gas cooking on indoor NO</w:t>
      </w:r>
      <w:r w:rsidR="009523E6" w:rsidRPr="009523E6">
        <w:rPr>
          <w:rFonts w:asciiTheme="minorHAnsi" w:hAnsiTheme="minorHAnsi"/>
          <w:szCs w:val="22"/>
          <w:vertAlign w:val="subscript"/>
        </w:rPr>
        <w:t>2</w:t>
      </w:r>
      <w:r w:rsidR="009523E6">
        <w:rPr>
          <w:rFonts w:asciiTheme="minorHAnsi" w:hAnsiTheme="minorHAnsi"/>
          <w:szCs w:val="22"/>
        </w:rPr>
        <w:t xml:space="preserve"> concentrations in Californian homes, and found the highest daily 1h mean concentrations averaged between 80 and 180ppb</w:t>
      </w:r>
      <w:r w:rsidR="00BC2E7E">
        <w:rPr>
          <w:rFonts w:asciiTheme="minorHAnsi" w:hAnsiTheme="minorHAnsi"/>
          <w:szCs w:val="22"/>
        </w:rPr>
        <w:t xml:space="preserve">; our highest 1h mean concentrations simulated in INDAIR are within this range. </w:t>
      </w:r>
      <w:r w:rsidR="00610BBC">
        <w:rPr>
          <w:rFonts w:asciiTheme="minorHAnsi" w:hAnsiTheme="minorHAnsi"/>
          <w:szCs w:val="22"/>
        </w:rPr>
        <w:t>Overall, therefore, while we cannot validate our peak exposure estimates</w:t>
      </w:r>
      <w:r w:rsidR="00BC2E7E">
        <w:rPr>
          <w:rFonts w:asciiTheme="minorHAnsi" w:hAnsiTheme="minorHAnsi"/>
          <w:szCs w:val="22"/>
        </w:rPr>
        <w:t xml:space="preserve"> in the home</w:t>
      </w:r>
      <w:r w:rsidR="00610BBC">
        <w:rPr>
          <w:rFonts w:asciiTheme="minorHAnsi" w:hAnsiTheme="minorHAnsi"/>
          <w:szCs w:val="22"/>
        </w:rPr>
        <w:t xml:space="preserve">, they are </w:t>
      </w:r>
      <w:r w:rsidR="00BC2E7E">
        <w:rPr>
          <w:rFonts w:asciiTheme="minorHAnsi" w:hAnsiTheme="minorHAnsi"/>
          <w:szCs w:val="22"/>
        </w:rPr>
        <w:t>consistent with the</w:t>
      </w:r>
      <w:r w:rsidR="00610BBC">
        <w:rPr>
          <w:rFonts w:asciiTheme="minorHAnsi" w:hAnsiTheme="minorHAnsi"/>
          <w:szCs w:val="22"/>
        </w:rPr>
        <w:t xml:space="preserve"> range of values that have been reported in other measurement and modelling studies. </w:t>
      </w:r>
    </w:p>
    <w:p w14:paraId="2F12A59C" w14:textId="77777777" w:rsidR="00AD3BB8" w:rsidRDefault="00AD3BB8" w:rsidP="005A037B">
      <w:pPr>
        <w:jc w:val="both"/>
        <w:rPr>
          <w:rFonts w:asciiTheme="minorHAnsi" w:hAnsiTheme="minorHAnsi"/>
        </w:rPr>
      </w:pPr>
    </w:p>
    <w:p w14:paraId="79681F5F" w14:textId="77777777" w:rsidR="00CF3397" w:rsidRDefault="00BC2E7E" w:rsidP="005F7AAC">
      <w:pPr>
        <w:jc w:val="both"/>
        <w:rPr>
          <w:rFonts w:asciiTheme="minorHAnsi" w:hAnsiTheme="minorHAnsi"/>
          <w:snapToGrid w:val="0"/>
          <w:color w:val="000000"/>
          <w:szCs w:val="22"/>
          <w:lang w:eastAsia="en-US"/>
        </w:rPr>
      </w:pPr>
      <w:r>
        <w:rPr>
          <w:rFonts w:asciiTheme="minorHAnsi" w:hAnsiTheme="minorHAnsi"/>
          <w:szCs w:val="22"/>
          <w:lang w:val="en-US"/>
        </w:rPr>
        <w:t>The indoor concentration simulations in INDAIR/EXPAIR use simple regression equations to predict the impact of different levels of cooking activity and different levels of air exchange rate; this approach allows us to quickly assess the effect of different interventions etc. on PEFDs without the need to apply the detailed INDAIR model. A similar flexible approach underpinned by a detailed mechanistic model was adopted by Fabian et al (2012) who used the CONTAM model parameterised for a complex multi-family apartment building to explicitly simulate indoor PM</w:t>
      </w:r>
      <w:r w:rsidRPr="005A037B">
        <w:rPr>
          <w:rFonts w:asciiTheme="minorHAnsi" w:hAnsiTheme="minorHAnsi"/>
          <w:szCs w:val="22"/>
          <w:vertAlign w:val="subscript"/>
          <w:lang w:val="en-US"/>
        </w:rPr>
        <w:t xml:space="preserve">2.5 </w:t>
      </w:r>
      <w:r>
        <w:rPr>
          <w:rFonts w:asciiTheme="minorHAnsi" w:hAnsiTheme="minorHAnsi"/>
          <w:szCs w:val="22"/>
          <w:lang w:val="en-US"/>
        </w:rPr>
        <w:t>and NO</w:t>
      </w:r>
      <w:r w:rsidRPr="005A037B">
        <w:rPr>
          <w:rFonts w:asciiTheme="minorHAnsi" w:hAnsiTheme="minorHAnsi"/>
          <w:szCs w:val="22"/>
          <w:vertAlign w:val="subscript"/>
          <w:lang w:val="en-US"/>
        </w:rPr>
        <w:t>2</w:t>
      </w:r>
      <w:r>
        <w:rPr>
          <w:rFonts w:asciiTheme="minorHAnsi" w:hAnsiTheme="minorHAnsi"/>
          <w:szCs w:val="22"/>
          <w:lang w:val="en-US"/>
        </w:rPr>
        <w:t xml:space="preserve"> concentrations, and then derived simple regression equations from the output to allow the effects of different interventions and assumptions to be rapidly assessed.  </w:t>
      </w:r>
      <w:r w:rsidR="005A037B" w:rsidRPr="00CF4818">
        <w:rPr>
          <w:rFonts w:asciiTheme="minorHAnsi" w:hAnsiTheme="minorHAnsi"/>
          <w:snapToGrid w:val="0"/>
          <w:color w:val="000000"/>
          <w:szCs w:val="22"/>
          <w:lang w:eastAsia="en-US"/>
        </w:rPr>
        <w:t>Other models which incorporate a mass balance approach (e.g. Physick et al 2008</w:t>
      </w:r>
      <w:r>
        <w:rPr>
          <w:rFonts w:asciiTheme="minorHAnsi" w:hAnsiTheme="minorHAnsi"/>
          <w:snapToGrid w:val="0"/>
          <w:color w:val="000000"/>
          <w:szCs w:val="22"/>
          <w:lang w:eastAsia="en-US"/>
        </w:rPr>
        <w:t>; Fabian et al., 2012; Logue et al., 2014)</w:t>
      </w:r>
      <w:r w:rsidR="005A037B" w:rsidRPr="00CF4818">
        <w:rPr>
          <w:rFonts w:asciiTheme="minorHAnsi" w:hAnsiTheme="minorHAnsi"/>
          <w:snapToGrid w:val="0"/>
          <w:color w:val="000000"/>
          <w:szCs w:val="22"/>
          <w:lang w:eastAsia="en-US"/>
        </w:rPr>
        <w:t xml:space="preserve"> estimate an indoor-outdoor ratio for the whole home, </w:t>
      </w:r>
      <w:r w:rsidR="00CF3397">
        <w:rPr>
          <w:rFonts w:asciiTheme="minorHAnsi" w:hAnsiTheme="minorHAnsi"/>
          <w:snapToGrid w:val="0"/>
          <w:color w:val="000000"/>
          <w:szCs w:val="22"/>
          <w:lang w:eastAsia="en-US"/>
        </w:rPr>
        <w:t xml:space="preserve">and then </w:t>
      </w:r>
      <w:r w:rsidR="005A037B" w:rsidRPr="00CF4818">
        <w:rPr>
          <w:rFonts w:asciiTheme="minorHAnsi" w:hAnsiTheme="minorHAnsi"/>
          <w:snapToGrid w:val="0"/>
          <w:color w:val="000000"/>
          <w:szCs w:val="22"/>
          <w:lang w:eastAsia="en-US"/>
        </w:rPr>
        <w:t xml:space="preserve">apply this to estimate daily mean concentrations. Such an approach does not allow differences in </w:t>
      </w:r>
      <w:r w:rsidR="00740F4D">
        <w:rPr>
          <w:rFonts w:asciiTheme="minorHAnsi" w:hAnsiTheme="minorHAnsi"/>
          <w:snapToGrid w:val="0"/>
          <w:color w:val="000000"/>
          <w:szCs w:val="22"/>
          <w:lang w:eastAsia="en-US"/>
        </w:rPr>
        <w:t xml:space="preserve">human and source </w:t>
      </w:r>
      <w:r w:rsidR="005A037B" w:rsidRPr="00CF4818">
        <w:rPr>
          <w:rFonts w:asciiTheme="minorHAnsi" w:hAnsiTheme="minorHAnsi"/>
          <w:snapToGrid w:val="0"/>
          <w:color w:val="000000"/>
          <w:szCs w:val="22"/>
          <w:lang w:eastAsia="en-US"/>
        </w:rPr>
        <w:t>activity within the home, or short-term variations in exposure</w:t>
      </w:r>
      <w:r w:rsidR="0024485E">
        <w:rPr>
          <w:rFonts w:asciiTheme="minorHAnsi" w:hAnsiTheme="minorHAnsi"/>
          <w:snapToGrid w:val="0"/>
          <w:color w:val="000000"/>
          <w:szCs w:val="22"/>
          <w:lang w:eastAsia="en-US"/>
        </w:rPr>
        <w:t>,</w:t>
      </w:r>
      <w:r w:rsidR="005A037B" w:rsidRPr="00CF4818">
        <w:rPr>
          <w:rFonts w:asciiTheme="minorHAnsi" w:hAnsiTheme="minorHAnsi"/>
          <w:snapToGrid w:val="0"/>
          <w:color w:val="000000"/>
          <w:szCs w:val="22"/>
          <w:lang w:eastAsia="en-US"/>
        </w:rPr>
        <w:t xml:space="preserve"> to be simulated. </w:t>
      </w:r>
      <w:r w:rsidR="00267566" w:rsidRPr="00CF4818">
        <w:rPr>
          <w:rFonts w:asciiTheme="minorHAnsi" w:hAnsiTheme="minorHAnsi"/>
          <w:snapToGrid w:val="0"/>
          <w:color w:val="000000"/>
          <w:szCs w:val="22"/>
          <w:lang w:eastAsia="en-US"/>
        </w:rPr>
        <w:t>The EXPAIR model allows us to simulate not only 24h mean personal exposures, but also simulate the PEFDs over averaging times of an hour or less</w:t>
      </w:r>
      <w:r w:rsidR="00740F4D">
        <w:rPr>
          <w:rFonts w:asciiTheme="minorHAnsi" w:hAnsiTheme="minorHAnsi"/>
          <w:snapToGrid w:val="0"/>
          <w:color w:val="000000"/>
          <w:szCs w:val="22"/>
          <w:lang w:eastAsia="en-US"/>
        </w:rPr>
        <w:t>, and the</w:t>
      </w:r>
      <w:r w:rsidRPr="00CF4818">
        <w:rPr>
          <w:rFonts w:asciiTheme="minorHAnsi" w:hAnsiTheme="minorHAnsi"/>
          <w:szCs w:val="22"/>
        </w:rPr>
        <w:t xml:space="preserve"> INDAIR/EXPAIR framework </w:t>
      </w:r>
      <w:r w:rsidR="00740F4D">
        <w:rPr>
          <w:rFonts w:asciiTheme="minorHAnsi" w:hAnsiTheme="minorHAnsi"/>
          <w:szCs w:val="22"/>
        </w:rPr>
        <w:t xml:space="preserve">therefore </w:t>
      </w:r>
      <w:r w:rsidRPr="00CF4818">
        <w:rPr>
          <w:rFonts w:asciiTheme="minorHAnsi" w:hAnsiTheme="minorHAnsi"/>
          <w:szCs w:val="22"/>
        </w:rPr>
        <w:t>provides one of the most advanced modelling tools available internationally to assess the contribution of different sources and microenvironments to exposure on a population basis.</w:t>
      </w:r>
    </w:p>
    <w:p w14:paraId="4DEC6B71" w14:textId="5129C652" w:rsidR="0024485E" w:rsidRDefault="008A17DE" w:rsidP="0078281D">
      <w:pPr>
        <w:spacing w:before="240"/>
        <w:jc w:val="both"/>
        <w:rPr>
          <w:rFonts w:asciiTheme="minorHAnsi" w:hAnsiTheme="minorHAnsi"/>
          <w:szCs w:val="22"/>
        </w:rPr>
      </w:pPr>
      <w:r w:rsidRPr="00CF4818">
        <w:rPr>
          <w:rFonts w:asciiTheme="minorHAnsi" w:hAnsiTheme="minorHAnsi"/>
          <w:szCs w:val="22"/>
        </w:rPr>
        <w:t xml:space="preserve">Nevertheless, the model has a number of limitations </w:t>
      </w:r>
      <w:r w:rsidR="00267566">
        <w:rPr>
          <w:rFonts w:asciiTheme="minorHAnsi" w:hAnsiTheme="minorHAnsi"/>
          <w:szCs w:val="22"/>
        </w:rPr>
        <w:t xml:space="preserve">that </w:t>
      </w:r>
      <w:r w:rsidRPr="00CF4818">
        <w:rPr>
          <w:rFonts w:asciiTheme="minorHAnsi" w:hAnsiTheme="minorHAnsi"/>
          <w:szCs w:val="22"/>
        </w:rPr>
        <w:t xml:space="preserve">derive </w:t>
      </w:r>
      <w:r w:rsidR="00267566">
        <w:rPr>
          <w:rFonts w:asciiTheme="minorHAnsi" w:hAnsiTheme="minorHAnsi"/>
          <w:szCs w:val="22"/>
        </w:rPr>
        <w:t xml:space="preserve">(a) </w:t>
      </w:r>
      <w:r w:rsidRPr="00CF4818">
        <w:rPr>
          <w:rFonts w:asciiTheme="minorHAnsi" w:hAnsiTheme="minorHAnsi"/>
          <w:szCs w:val="22"/>
        </w:rPr>
        <w:t xml:space="preserve">from </w:t>
      </w:r>
      <w:r w:rsidR="00267566">
        <w:rPr>
          <w:rFonts w:asciiTheme="minorHAnsi" w:hAnsiTheme="minorHAnsi"/>
          <w:szCs w:val="22"/>
        </w:rPr>
        <w:t>model</w:t>
      </w:r>
      <w:r w:rsidRPr="00CF4818">
        <w:rPr>
          <w:rFonts w:asciiTheme="minorHAnsi" w:hAnsiTheme="minorHAnsi"/>
          <w:szCs w:val="22"/>
        </w:rPr>
        <w:t xml:space="preserve"> assumptions</w:t>
      </w:r>
      <w:r w:rsidR="00267566">
        <w:rPr>
          <w:rFonts w:asciiTheme="minorHAnsi" w:hAnsiTheme="minorHAnsi"/>
          <w:szCs w:val="22"/>
        </w:rPr>
        <w:t xml:space="preserve"> and structure</w:t>
      </w:r>
      <w:r w:rsidRPr="00CF4818">
        <w:rPr>
          <w:rFonts w:asciiTheme="minorHAnsi" w:hAnsiTheme="minorHAnsi"/>
          <w:szCs w:val="22"/>
        </w:rPr>
        <w:t xml:space="preserve">, and </w:t>
      </w:r>
      <w:r w:rsidR="00267566">
        <w:rPr>
          <w:rFonts w:asciiTheme="minorHAnsi" w:hAnsiTheme="minorHAnsi"/>
          <w:szCs w:val="22"/>
        </w:rPr>
        <w:t xml:space="preserve">(b) from </w:t>
      </w:r>
      <w:r w:rsidRPr="00CF4818">
        <w:rPr>
          <w:rFonts w:asciiTheme="minorHAnsi" w:hAnsiTheme="minorHAnsi"/>
          <w:szCs w:val="22"/>
        </w:rPr>
        <w:t xml:space="preserve">limitations </w:t>
      </w:r>
      <w:r w:rsidR="00267566">
        <w:rPr>
          <w:rFonts w:asciiTheme="minorHAnsi" w:hAnsiTheme="minorHAnsi"/>
          <w:szCs w:val="22"/>
        </w:rPr>
        <w:t>of</w:t>
      </w:r>
      <w:r w:rsidRPr="00CF4818">
        <w:rPr>
          <w:rFonts w:asciiTheme="minorHAnsi" w:hAnsiTheme="minorHAnsi"/>
          <w:szCs w:val="22"/>
        </w:rPr>
        <w:t xml:space="preserve"> the input data. The most important of the</w:t>
      </w:r>
      <w:r w:rsidR="00267566">
        <w:rPr>
          <w:rFonts w:asciiTheme="minorHAnsi" w:hAnsiTheme="minorHAnsi"/>
          <w:szCs w:val="22"/>
        </w:rPr>
        <w:t xml:space="preserve"> former is</w:t>
      </w:r>
      <w:r w:rsidRPr="003C60C0">
        <w:rPr>
          <w:rFonts w:asciiTheme="minorHAnsi" w:hAnsiTheme="minorHAnsi"/>
          <w:szCs w:val="22"/>
        </w:rPr>
        <w:t xml:space="preserve"> </w:t>
      </w:r>
      <w:r>
        <w:rPr>
          <w:rFonts w:asciiTheme="minorHAnsi" w:hAnsiTheme="minorHAnsi"/>
          <w:szCs w:val="22"/>
        </w:rPr>
        <w:t>that t</w:t>
      </w:r>
      <w:r w:rsidRPr="00CF4818">
        <w:rPr>
          <w:rFonts w:asciiTheme="minorHAnsi" w:hAnsiTheme="minorHAnsi"/>
          <w:szCs w:val="22"/>
        </w:rPr>
        <w:t xml:space="preserve">he activity database does not describe the </w:t>
      </w:r>
      <w:r w:rsidR="005A1090">
        <w:rPr>
          <w:rFonts w:asciiTheme="minorHAnsi" w:hAnsiTheme="minorHAnsi"/>
          <w:szCs w:val="22"/>
        </w:rPr>
        <w:t xml:space="preserve">precise </w:t>
      </w:r>
      <w:r w:rsidRPr="005A1090">
        <w:rPr>
          <w:rFonts w:asciiTheme="minorHAnsi" w:hAnsiTheme="minorHAnsi"/>
          <w:szCs w:val="22"/>
        </w:rPr>
        <w:t xml:space="preserve">geographical </w:t>
      </w:r>
      <w:r w:rsidR="005A1090">
        <w:rPr>
          <w:rFonts w:asciiTheme="minorHAnsi" w:hAnsiTheme="minorHAnsi"/>
          <w:szCs w:val="22"/>
        </w:rPr>
        <w:t>location</w:t>
      </w:r>
      <w:r w:rsidRPr="005A1090">
        <w:rPr>
          <w:rFonts w:asciiTheme="minorHAnsi" w:hAnsiTheme="minorHAnsi"/>
          <w:szCs w:val="22"/>
        </w:rPr>
        <w:t xml:space="preserve"> of activities</w:t>
      </w:r>
      <w:r w:rsidRPr="00CF4818">
        <w:rPr>
          <w:rFonts w:asciiTheme="minorHAnsi" w:hAnsiTheme="minorHAnsi"/>
          <w:szCs w:val="22"/>
        </w:rPr>
        <w:t xml:space="preserve">, and consequently the model is run </w:t>
      </w:r>
      <w:r w:rsidR="005A1090">
        <w:rPr>
          <w:rFonts w:asciiTheme="minorHAnsi" w:hAnsiTheme="minorHAnsi"/>
          <w:szCs w:val="22"/>
        </w:rPr>
        <w:t xml:space="preserve">using outdoor concentrations from measurement sites which are representative of a wider area of the urban road network. </w:t>
      </w:r>
      <w:r w:rsidRPr="00CF4818">
        <w:rPr>
          <w:rFonts w:asciiTheme="minorHAnsi" w:hAnsiTheme="minorHAnsi"/>
          <w:szCs w:val="22"/>
        </w:rPr>
        <w:t>With more geographically explicit information,</w:t>
      </w:r>
      <w:r w:rsidR="00D24106">
        <w:rPr>
          <w:rFonts w:asciiTheme="minorHAnsi" w:hAnsiTheme="minorHAnsi"/>
          <w:szCs w:val="22"/>
        </w:rPr>
        <w:t xml:space="preserve"> rather than the limited number of generic zones in our application,</w:t>
      </w:r>
      <w:r w:rsidRPr="00CF4818">
        <w:rPr>
          <w:rFonts w:asciiTheme="minorHAnsi" w:hAnsiTheme="minorHAnsi"/>
          <w:szCs w:val="22"/>
        </w:rPr>
        <w:t xml:space="preserve"> it would be possible to make the micro-environmental library produced by </w:t>
      </w:r>
      <w:r w:rsidRPr="001C185D">
        <w:rPr>
          <w:rFonts w:asciiTheme="minorHAnsi" w:hAnsiTheme="minorHAnsi"/>
          <w:szCs w:val="22"/>
        </w:rPr>
        <w:t>INDAIR</w:t>
      </w:r>
      <w:r w:rsidRPr="00CF4818">
        <w:rPr>
          <w:rFonts w:asciiTheme="minorHAnsi" w:hAnsiTheme="minorHAnsi"/>
          <w:szCs w:val="22"/>
        </w:rPr>
        <w:t xml:space="preserve"> more location-specific, and hence to produce improved estimates of exposure. The</w:t>
      </w:r>
      <w:r>
        <w:rPr>
          <w:rFonts w:asciiTheme="minorHAnsi" w:hAnsiTheme="minorHAnsi"/>
          <w:szCs w:val="22"/>
        </w:rPr>
        <w:t xml:space="preserve"> second important limitation is the</w:t>
      </w:r>
      <w:r w:rsidRPr="00CF4818">
        <w:rPr>
          <w:rFonts w:asciiTheme="minorHAnsi" w:hAnsiTheme="minorHAnsi"/>
          <w:szCs w:val="22"/>
        </w:rPr>
        <w:t xml:space="preserve"> method of </w:t>
      </w:r>
      <w:r w:rsidRPr="005A1090">
        <w:rPr>
          <w:rFonts w:asciiTheme="minorHAnsi" w:hAnsiTheme="minorHAnsi"/>
          <w:szCs w:val="22"/>
        </w:rPr>
        <w:t>probabilistic sampling of microenvironments</w:t>
      </w:r>
      <w:r w:rsidRPr="00CF4818">
        <w:rPr>
          <w:rFonts w:asciiTheme="minorHAnsi" w:hAnsiTheme="minorHAnsi"/>
          <w:szCs w:val="22"/>
        </w:rPr>
        <w:t>. The EXPAIR model is not designed simulate the time-activity patterns of specific individuals, and</w:t>
      </w:r>
      <w:r w:rsidR="005A1090">
        <w:rPr>
          <w:rFonts w:asciiTheme="minorHAnsi" w:hAnsiTheme="minorHAnsi"/>
          <w:szCs w:val="22"/>
        </w:rPr>
        <w:t>,</w:t>
      </w:r>
      <w:r w:rsidRPr="00CF4818">
        <w:rPr>
          <w:rFonts w:asciiTheme="minorHAnsi" w:hAnsiTheme="minorHAnsi"/>
          <w:szCs w:val="22"/>
        </w:rPr>
        <w:t xml:space="preserve"> </w:t>
      </w:r>
      <w:r w:rsidR="005A1090">
        <w:rPr>
          <w:rFonts w:asciiTheme="minorHAnsi" w:hAnsiTheme="minorHAnsi"/>
          <w:szCs w:val="22"/>
        </w:rPr>
        <w:t>f</w:t>
      </w:r>
      <w:r w:rsidRPr="00CF4818">
        <w:rPr>
          <w:rFonts w:asciiTheme="minorHAnsi" w:hAnsiTheme="minorHAnsi"/>
          <w:szCs w:val="22"/>
        </w:rPr>
        <w:t xml:space="preserve">or this reason, while the model can provide PEFDs for a particular point in time, it cannot provide the 24h mean PEFD for </w:t>
      </w:r>
      <w:r w:rsidR="005A1090">
        <w:rPr>
          <w:rFonts w:asciiTheme="minorHAnsi" w:hAnsiTheme="minorHAnsi"/>
          <w:szCs w:val="22"/>
        </w:rPr>
        <w:t xml:space="preserve">individuals within </w:t>
      </w:r>
      <w:r w:rsidRPr="00CF4818">
        <w:rPr>
          <w:rFonts w:asciiTheme="minorHAnsi" w:hAnsiTheme="minorHAnsi"/>
          <w:szCs w:val="22"/>
        </w:rPr>
        <w:t>the whole population.</w:t>
      </w:r>
      <w:r w:rsidR="00267566" w:rsidRPr="00267566">
        <w:rPr>
          <w:rFonts w:asciiTheme="minorHAnsi" w:hAnsiTheme="minorHAnsi"/>
          <w:szCs w:val="22"/>
        </w:rPr>
        <w:t xml:space="preserve"> </w:t>
      </w:r>
    </w:p>
    <w:p w14:paraId="01E2AC51" w14:textId="3546168E" w:rsidR="001A0511" w:rsidRDefault="0024485E" w:rsidP="001A0511">
      <w:pPr>
        <w:spacing w:before="240"/>
        <w:jc w:val="both"/>
        <w:rPr>
          <w:rFonts w:asciiTheme="minorHAnsi" w:hAnsiTheme="minorHAnsi"/>
        </w:rPr>
      </w:pPr>
      <w:r>
        <w:rPr>
          <w:rFonts w:asciiTheme="minorHAnsi" w:hAnsiTheme="minorHAnsi"/>
          <w:szCs w:val="22"/>
        </w:rPr>
        <w:t xml:space="preserve">The validity of the PEFDs </w:t>
      </w:r>
      <w:r w:rsidR="00356965">
        <w:rPr>
          <w:rFonts w:asciiTheme="minorHAnsi" w:hAnsiTheme="minorHAnsi"/>
          <w:szCs w:val="22"/>
        </w:rPr>
        <w:t xml:space="preserve">depends on the validity of </w:t>
      </w:r>
      <w:r w:rsidR="00267566" w:rsidRPr="00CF4818">
        <w:rPr>
          <w:rFonts w:asciiTheme="minorHAnsi" w:hAnsiTheme="minorHAnsi"/>
          <w:szCs w:val="22"/>
        </w:rPr>
        <w:t xml:space="preserve">the frequency distributions of </w:t>
      </w:r>
      <w:r w:rsidR="00267566" w:rsidRPr="005A1090">
        <w:rPr>
          <w:rFonts w:asciiTheme="minorHAnsi" w:hAnsiTheme="minorHAnsi"/>
          <w:szCs w:val="22"/>
        </w:rPr>
        <w:t>microenvironmental concentrations</w:t>
      </w:r>
      <w:r w:rsidR="00267566" w:rsidRPr="00CF4818">
        <w:rPr>
          <w:rFonts w:asciiTheme="minorHAnsi" w:hAnsiTheme="minorHAnsi"/>
          <w:szCs w:val="22"/>
        </w:rPr>
        <w:t xml:space="preserve">. For the home, these </w:t>
      </w:r>
      <w:r w:rsidR="00356965">
        <w:rPr>
          <w:rFonts w:asciiTheme="minorHAnsi" w:hAnsiTheme="minorHAnsi"/>
          <w:szCs w:val="22"/>
        </w:rPr>
        <w:t xml:space="preserve">largely </w:t>
      </w:r>
      <w:r w:rsidR="00267566" w:rsidRPr="00CF4818">
        <w:rPr>
          <w:rFonts w:asciiTheme="minorHAnsi" w:hAnsiTheme="minorHAnsi"/>
          <w:szCs w:val="22"/>
        </w:rPr>
        <w:t>relate to assumptions in the INDAIR model, which are discussed by Dimitroulopoulou et al. (2006).</w:t>
      </w:r>
      <w:r w:rsidR="00356965" w:rsidRPr="00356965">
        <w:rPr>
          <w:rFonts w:asciiTheme="minorHAnsi" w:hAnsiTheme="minorHAnsi"/>
          <w:szCs w:val="22"/>
        </w:rPr>
        <w:t xml:space="preserve"> </w:t>
      </w:r>
      <w:r w:rsidR="00356965">
        <w:rPr>
          <w:rFonts w:asciiTheme="minorHAnsi" w:hAnsiTheme="minorHAnsi"/>
          <w:szCs w:val="22"/>
        </w:rPr>
        <w:t>However, f</w:t>
      </w:r>
      <w:r w:rsidR="00356965" w:rsidRPr="00CF4818">
        <w:rPr>
          <w:rFonts w:asciiTheme="minorHAnsi" w:hAnsiTheme="minorHAnsi"/>
          <w:szCs w:val="22"/>
        </w:rPr>
        <w:t>or non-home locations, there are very few data for the UK to define the appropriate probability density functions</w:t>
      </w:r>
      <w:r w:rsidR="005A1090">
        <w:rPr>
          <w:rFonts w:asciiTheme="minorHAnsi" w:hAnsiTheme="minorHAnsi"/>
          <w:szCs w:val="22"/>
        </w:rPr>
        <w:t>,</w:t>
      </w:r>
      <w:r w:rsidR="00356965">
        <w:rPr>
          <w:rFonts w:asciiTheme="minorHAnsi" w:hAnsiTheme="minorHAnsi"/>
          <w:szCs w:val="22"/>
        </w:rPr>
        <w:t xml:space="preserve"> creating a significant source of uncertainty</w:t>
      </w:r>
      <w:r w:rsidR="00356965" w:rsidRPr="00CF4818">
        <w:rPr>
          <w:rFonts w:asciiTheme="minorHAnsi" w:hAnsiTheme="minorHAnsi"/>
          <w:szCs w:val="22"/>
        </w:rPr>
        <w:t>.</w:t>
      </w:r>
      <w:r w:rsidR="00356965">
        <w:rPr>
          <w:rFonts w:asciiTheme="minorHAnsi" w:hAnsiTheme="minorHAnsi"/>
          <w:szCs w:val="22"/>
        </w:rPr>
        <w:t xml:space="preserve"> </w:t>
      </w:r>
      <w:r w:rsidR="00267566" w:rsidRPr="00CF4818">
        <w:rPr>
          <w:rFonts w:asciiTheme="minorHAnsi" w:hAnsiTheme="minorHAnsi"/>
          <w:szCs w:val="22"/>
        </w:rPr>
        <w:t xml:space="preserve">For mean exposures, uncertainties related to modelled concentrations for the home, and for work and school, will be most important because of the time spent in these locations. However, for peak exposures, other locations such as transport may be more important. </w:t>
      </w:r>
      <w:r w:rsidR="00356965">
        <w:rPr>
          <w:rFonts w:asciiTheme="minorHAnsi" w:hAnsiTheme="minorHAnsi"/>
          <w:szCs w:val="22"/>
        </w:rPr>
        <w:t>The PEFDs also depend on the validity of the time-activity profiles for each population group.</w:t>
      </w:r>
      <w:r w:rsidR="00740F4D">
        <w:rPr>
          <w:rFonts w:asciiTheme="minorHAnsi" w:hAnsiTheme="minorHAnsi"/>
          <w:szCs w:val="22"/>
        </w:rPr>
        <w:t xml:space="preserve"> </w:t>
      </w:r>
      <w:r w:rsidR="008A17DE" w:rsidRPr="00CF4818">
        <w:rPr>
          <w:rFonts w:asciiTheme="minorHAnsi" w:hAnsiTheme="minorHAnsi"/>
          <w:szCs w:val="22"/>
        </w:rPr>
        <w:t>The BBC survey, which we have used, is the most comprehensive dataset which is available for the UK population, but is designed for information on viewing and listening habits</w:t>
      </w:r>
      <w:r w:rsidR="00356965">
        <w:rPr>
          <w:rFonts w:asciiTheme="minorHAnsi" w:hAnsiTheme="minorHAnsi"/>
          <w:szCs w:val="22"/>
        </w:rPr>
        <w:t>, making assumptions necessary to adapt it for pollution modelling.</w:t>
      </w:r>
      <w:r w:rsidR="005A1090">
        <w:rPr>
          <w:rFonts w:asciiTheme="minorHAnsi" w:hAnsiTheme="minorHAnsi"/>
          <w:szCs w:val="22"/>
        </w:rPr>
        <w:t xml:space="preserve"> Some aspects of time-activity may also have changed since this survey was conducted, but </w:t>
      </w:r>
      <w:r w:rsidR="00544F01">
        <w:rPr>
          <w:rFonts w:asciiTheme="minorHAnsi" w:hAnsiTheme="minorHAnsi"/>
          <w:szCs w:val="22"/>
        </w:rPr>
        <w:t>these are unlikely to alter the broad exposure patterns that we describe.</w:t>
      </w:r>
      <w:r w:rsidR="005A1090">
        <w:rPr>
          <w:rFonts w:asciiTheme="minorHAnsi" w:hAnsiTheme="minorHAnsi"/>
          <w:szCs w:val="22"/>
        </w:rPr>
        <w:t xml:space="preserve"> </w:t>
      </w:r>
    </w:p>
    <w:p w14:paraId="6FF93FDE" w14:textId="71D0C996" w:rsidR="001A0511" w:rsidRPr="00920778" w:rsidRDefault="001A0511" w:rsidP="001A0511">
      <w:pPr>
        <w:spacing w:before="240"/>
        <w:jc w:val="both"/>
        <w:rPr>
          <w:rFonts w:asciiTheme="minorHAnsi" w:hAnsiTheme="minorHAnsi"/>
        </w:rPr>
      </w:pPr>
      <w:r>
        <w:rPr>
          <w:rFonts w:asciiTheme="minorHAnsi" w:hAnsiTheme="minorHAnsi"/>
        </w:rPr>
        <w:t xml:space="preserve">Given these limitations, </w:t>
      </w:r>
      <w:r w:rsidR="00740F4D">
        <w:rPr>
          <w:rFonts w:asciiTheme="minorHAnsi" w:hAnsiTheme="minorHAnsi"/>
        </w:rPr>
        <w:t xml:space="preserve">and the fact that the model is only parameterised for one UK city, </w:t>
      </w:r>
      <w:r>
        <w:rPr>
          <w:rFonts w:asciiTheme="minorHAnsi" w:hAnsiTheme="minorHAnsi"/>
        </w:rPr>
        <w:t xml:space="preserve">it </w:t>
      </w:r>
      <w:r w:rsidRPr="00920778">
        <w:rPr>
          <w:rFonts w:asciiTheme="minorHAnsi" w:hAnsiTheme="minorHAnsi"/>
        </w:rPr>
        <w:t xml:space="preserve">would </w:t>
      </w:r>
      <w:r>
        <w:rPr>
          <w:rFonts w:asciiTheme="minorHAnsi" w:hAnsiTheme="minorHAnsi"/>
        </w:rPr>
        <w:t xml:space="preserve">be </w:t>
      </w:r>
      <w:r w:rsidRPr="00920778">
        <w:rPr>
          <w:rFonts w:asciiTheme="minorHAnsi" w:hAnsiTheme="minorHAnsi"/>
        </w:rPr>
        <w:t xml:space="preserve">inappropriate to make categorical and quantitative statements about </w:t>
      </w:r>
      <w:r>
        <w:rPr>
          <w:rFonts w:asciiTheme="minorHAnsi" w:hAnsiTheme="minorHAnsi"/>
        </w:rPr>
        <w:t xml:space="preserve">the effects of </w:t>
      </w:r>
      <w:r w:rsidRPr="00920778">
        <w:rPr>
          <w:rFonts w:asciiTheme="minorHAnsi" w:hAnsiTheme="minorHAnsi"/>
        </w:rPr>
        <w:t>specific policy measures</w:t>
      </w:r>
      <w:r>
        <w:rPr>
          <w:rFonts w:asciiTheme="minorHAnsi" w:hAnsiTheme="minorHAnsi"/>
        </w:rPr>
        <w:t xml:space="preserve"> on population exposure from the results of this study. However, there </w:t>
      </w:r>
      <w:r w:rsidR="00D24106">
        <w:rPr>
          <w:rFonts w:asciiTheme="minorHAnsi" w:hAnsiTheme="minorHAnsi"/>
        </w:rPr>
        <w:t xml:space="preserve">are </w:t>
      </w:r>
      <w:r>
        <w:rPr>
          <w:rFonts w:asciiTheme="minorHAnsi" w:hAnsiTheme="minorHAnsi"/>
        </w:rPr>
        <w:t xml:space="preserve">important general features of our findings that we believe are likely to be relevant to other cities of a similar size to Leicester, which has a population of about 300,000. </w:t>
      </w:r>
      <w:r w:rsidR="00D24106">
        <w:rPr>
          <w:rFonts w:asciiTheme="minorHAnsi" w:hAnsiTheme="minorHAnsi"/>
        </w:rPr>
        <w:t>In contrast</w:t>
      </w:r>
      <w:r w:rsidRPr="00920778">
        <w:rPr>
          <w:rFonts w:asciiTheme="minorHAnsi" w:hAnsiTheme="minorHAnsi"/>
        </w:rPr>
        <w:t xml:space="preserve">, for </w:t>
      </w:r>
      <w:r>
        <w:rPr>
          <w:rFonts w:asciiTheme="minorHAnsi" w:hAnsiTheme="minorHAnsi"/>
        </w:rPr>
        <w:t>megacities</w:t>
      </w:r>
      <w:r w:rsidRPr="00920778">
        <w:rPr>
          <w:rFonts w:asciiTheme="minorHAnsi" w:hAnsiTheme="minorHAnsi"/>
        </w:rPr>
        <w:t>, such as London</w:t>
      </w:r>
      <w:r>
        <w:rPr>
          <w:rFonts w:asciiTheme="minorHAnsi" w:hAnsiTheme="minorHAnsi"/>
        </w:rPr>
        <w:t xml:space="preserve"> in the case of the UK</w:t>
      </w:r>
      <w:r w:rsidRPr="00920778">
        <w:rPr>
          <w:rFonts w:asciiTheme="minorHAnsi" w:hAnsiTheme="minorHAnsi"/>
        </w:rPr>
        <w:t xml:space="preserve">, </w:t>
      </w:r>
      <w:r>
        <w:rPr>
          <w:rFonts w:asciiTheme="minorHAnsi" w:hAnsiTheme="minorHAnsi"/>
        </w:rPr>
        <w:t xml:space="preserve">with a population almost 10 million within its administrative boundaries and a further several million in its immediate vicinity, </w:t>
      </w:r>
      <w:r w:rsidRPr="00920778">
        <w:rPr>
          <w:rFonts w:asciiTheme="minorHAnsi" w:hAnsiTheme="minorHAnsi"/>
        </w:rPr>
        <w:t>the size of the population and the road network would add significant additional complexity to the exercise</w:t>
      </w:r>
      <w:r>
        <w:rPr>
          <w:rFonts w:asciiTheme="minorHAnsi" w:hAnsiTheme="minorHAnsi"/>
        </w:rPr>
        <w:t>, meaning that some features of our findings may not be directly transferable</w:t>
      </w:r>
      <w:r w:rsidRPr="00920778">
        <w:rPr>
          <w:rFonts w:asciiTheme="minorHAnsi" w:hAnsiTheme="minorHAnsi"/>
        </w:rPr>
        <w:t xml:space="preserve">. It should also be noted </w:t>
      </w:r>
      <w:r w:rsidR="00544F01">
        <w:rPr>
          <w:rFonts w:asciiTheme="minorHAnsi" w:hAnsiTheme="minorHAnsi"/>
        </w:rPr>
        <w:t>our</w:t>
      </w:r>
      <w:r w:rsidRPr="00920778">
        <w:rPr>
          <w:rFonts w:asciiTheme="minorHAnsi" w:hAnsiTheme="minorHAnsi"/>
        </w:rPr>
        <w:t xml:space="preserve"> model parameterisation is </w:t>
      </w:r>
      <w:r>
        <w:rPr>
          <w:rFonts w:asciiTheme="minorHAnsi" w:hAnsiTheme="minorHAnsi"/>
        </w:rPr>
        <w:t xml:space="preserve">only </w:t>
      </w:r>
      <w:r w:rsidRPr="00920778">
        <w:rPr>
          <w:rFonts w:asciiTheme="minorHAnsi" w:hAnsiTheme="minorHAnsi"/>
        </w:rPr>
        <w:t>for people</w:t>
      </w:r>
      <w:r>
        <w:rPr>
          <w:rFonts w:asciiTheme="minorHAnsi" w:hAnsiTheme="minorHAnsi"/>
        </w:rPr>
        <w:t xml:space="preserve"> who both</w:t>
      </w:r>
      <w:r w:rsidRPr="00920778">
        <w:rPr>
          <w:rFonts w:asciiTheme="minorHAnsi" w:hAnsiTheme="minorHAnsi"/>
        </w:rPr>
        <w:t xml:space="preserve"> liv</w:t>
      </w:r>
      <w:r>
        <w:rPr>
          <w:rFonts w:asciiTheme="minorHAnsi" w:hAnsiTheme="minorHAnsi"/>
        </w:rPr>
        <w:t>e</w:t>
      </w:r>
      <w:r w:rsidRPr="00920778">
        <w:rPr>
          <w:rFonts w:asciiTheme="minorHAnsi" w:hAnsiTheme="minorHAnsi"/>
        </w:rPr>
        <w:t xml:space="preserve"> and work</w:t>
      </w:r>
      <w:r>
        <w:rPr>
          <w:rFonts w:asciiTheme="minorHAnsi" w:hAnsiTheme="minorHAnsi"/>
        </w:rPr>
        <w:t xml:space="preserve"> </w:t>
      </w:r>
      <w:r w:rsidRPr="00920778">
        <w:rPr>
          <w:rFonts w:asciiTheme="minorHAnsi" w:hAnsiTheme="minorHAnsi"/>
        </w:rPr>
        <w:t>within the city</w:t>
      </w:r>
      <w:r>
        <w:rPr>
          <w:rFonts w:asciiTheme="minorHAnsi" w:hAnsiTheme="minorHAnsi"/>
        </w:rPr>
        <w:t>’s</w:t>
      </w:r>
      <w:r w:rsidRPr="00920778">
        <w:rPr>
          <w:rFonts w:asciiTheme="minorHAnsi" w:hAnsiTheme="minorHAnsi"/>
        </w:rPr>
        <w:t xml:space="preserve"> </w:t>
      </w:r>
      <w:r>
        <w:rPr>
          <w:rFonts w:asciiTheme="minorHAnsi" w:hAnsiTheme="minorHAnsi"/>
        </w:rPr>
        <w:t xml:space="preserve">administrative </w:t>
      </w:r>
      <w:r w:rsidRPr="00920778">
        <w:rPr>
          <w:rFonts w:asciiTheme="minorHAnsi" w:hAnsiTheme="minorHAnsi"/>
        </w:rPr>
        <w:t>boundaries; for some population groups, a more flexible approach considering commuting across the boundary, might be needed.</w:t>
      </w:r>
      <w:r>
        <w:rPr>
          <w:rFonts w:asciiTheme="minorHAnsi" w:hAnsiTheme="minorHAnsi"/>
        </w:rPr>
        <w:t xml:space="preserve"> Detailed spatio-temporal models of outdoor pollutant exposure have been developed in London, that can be linked to human time-activity data (Beevers et al, 2013), but these, unlike the INDAIR/EXPAIR framework, are not yet linked to indoor exposure.   </w:t>
      </w:r>
    </w:p>
    <w:p w14:paraId="6046BD2F" w14:textId="77777777" w:rsidR="00DB29AF" w:rsidRDefault="00DB29AF" w:rsidP="003C60C0">
      <w:pPr>
        <w:jc w:val="both"/>
        <w:rPr>
          <w:rFonts w:asciiTheme="minorHAnsi" w:hAnsiTheme="minorHAnsi"/>
          <w:snapToGrid w:val="0"/>
          <w:color w:val="000000"/>
          <w:szCs w:val="22"/>
          <w:lang w:eastAsia="en-US"/>
        </w:rPr>
      </w:pPr>
    </w:p>
    <w:p w14:paraId="46473618" w14:textId="3AB0EC08" w:rsidR="00CE19F2" w:rsidRPr="00DB29AF" w:rsidRDefault="00DB29AF" w:rsidP="003C60C0">
      <w:pPr>
        <w:jc w:val="both"/>
        <w:rPr>
          <w:rFonts w:asciiTheme="minorHAnsi" w:hAnsiTheme="minorHAnsi"/>
          <w:i/>
          <w:snapToGrid w:val="0"/>
          <w:color w:val="000000"/>
          <w:szCs w:val="22"/>
          <w:lang w:eastAsia="en-US"/>
        </w:rPr>
      </w:pPr>
      <w:r w:rsidRPr="00DB29AF">
        <w:rPr>
          <w:rFonts w:asciiTheme="minorHAnsi" w:hAnsiTheme="minorHAnsi"/>
          <w:i/>
          <w:snapToGrid w:val="0"/>
          <w:color w:val="000000"/>
          <w:szCs w:val="22"/>
          <w:lang w:eastAsia="en-US"/>
        </w:rPr>
        <w:t>5</w:t>
      </w:r>
      <w:r w:rsidR="00AF5F60" w:rsidRPr="00DB29AF">
        <w:rPr>
          <w:rFonts w:asciiTheme="minorHAnsi" w:hAnsiTheme="minorHAnsi"/>
          <w:i/>
          <w:snapToGrid w:val="0"/>
          <w:color w:val="000000"/>
          <w:szCs w:val="22"/>
          <w:lang w:eastAsia="en-US"/>
        </w:rPr>
        <w:t xml:space="preserve">.2 </w:t>
      </w:r>
      <w:r w:rsidR="00CE19F2" w:rsidRPr="00DB29AF">
        <w:rPr>
          <w:rFonts w:asciiTheme="minorHAnsi" w:hAnsiTheme="minorHAnsi"/>
          <w:i/>
          <w:snapToGrid w:val="0"/>
          <w:color w:val="000000"/>
          <w:szCs w:val="22"/>
          <w:lang w:eastAsia="en-US"/>
        </w:rPr>
        <w:t xml:space="preserve">Health </w:t>
      </w:r>
      <w:r w:rsidR="00576D35" w:rsidRPr="00DB29AF">
        <w:rPr>
          <w:rFonts w:asciiTheme="minorHAnsi" w:hAnsiTheme="minorHAnsi"/>
          <w:i/>
          <w:snapToGrid w:val="0"/>
          <w:color w:val="000000"/>
          <w:szCs w:val="22"/>
          <w:lang w:eastAsia="en-US"/>
        </w:rPr>
        <w:t xml:space="preserve">and policy implications </w:t>
      </w:r>
    </w:p>
    <w:p w14:paraId="34F316C7" w14:textId="77777777" w:rsidR="00CE19F2" w:rsidRDefault="00CE19F2" w:rsidP="003C60C0">
      <w:pPr>
        <w:jc w:val="both"/>
        <w:rPr>
          <w:rFonts w:asciiTheme="minorHAnsi" w:hAnsiTheme="minorHAnsi"/>
          <w:snapToGrid w:val="0"/>
          <w:color w:val="000000"/>
          <w:szCs w:val="22"/>
          <w:lang w:eastAsia="en-US"/>
        </w:rPr>
      </w:pPr>
    </w:p>
    <w:p w14:paraId="426B7514" w14:textId="37159425" w:rsidR="00A7727A" w:rsidRDefault="0078281D" w:rsidP="0078281D">
      <w:pPr>
        <w:jc w:val="both"/>
        <w:rPr>
          <w:rFonts w:asciiTheme="minorHAnsi" w:hAnsiTheme="minorHAnsi"/>
          <w:szCs w:val="22"/>
        </w:rPr>
      </w:pPr>
      <w:r w:rsidRPr="00CF4818">
        <w:rPr>
          <w:rFonts w:asciiTheme="minorHAnsi" w:hAnsiTheme="minorHAnsi"/>
          <w:szCs w:val="22"/>
        </w:rPr>
        <w:t>Our modelling approach allowed us to assess the impact of home sources on the mean exposures of th</w:t>
      </w:r>
      <w:r w:rsidR="00740F4D">
        <w:rPr>
          <w:rFonts w:asciiTheme="minorHAnsi" w:hAnsiTheme="minorHAnsi"/>
          <w:szCs w:val="22"/>
        </w:rPr>
        <w:t>ree</w:t>
      </w:r>
      <w:r w:rsidRPr="00CF4818">
        <w:rPr>
          <w:rFonts w:asciiTheme="minorHAnsi" w:hAnsiTheme="minorHAnsi"/>
          <w:szCs w:val="22"/>
        </w:rPr>
        <w:t xml:space="preserve"> population groups. </w:t>
      </w:r>
      <w:r w:rsidR="00740F4D">
        <w:rPr>
          <w:rFonts w:asciiTheme="minorHAnsi" w:hAnsiTheme="minorHAnsi"/>
          <w:szCs w:val="22"/>
        </w:rPr>
        <w:t>Al</w:t>
      </w:r>
      <w:r w:rsidRPr="00CF4818">
        <w:rPr>
          <w:rFonts w:asciiTheme="minorHAnsi" w:hAnsiTheme="minorHAnsi"/>
          <w:szCs w:val="22"/>
        </w:rPr>
        <w:t xml:space="preserve">though </w:t>
      </w:r>
      <w:r w:rsidR="00740F4D">
        <w:rPr>
          <w:rFonts w:asciiTheme="minorHAnsi" w:hAnsiTheme="minorHAnsi"/>
          <w:szCs w:val="22"/>
        </w:rPr>
        <w:t xml:space="preserve">significantly </w:t>
      </w:r>
      <w:r w:rsidRPr="00CF4818">
        <w:rPr>
          <w:rFonts w:asciiTheme="minorHAnsi" w:hAnsiTheme="minorHAnsi"/>
          <w:szCs w:val="22"/>
        </w:rPr>
        <w:t xml:space="preserve">elevated concentrations of </w:t>
      </w:r>
      <w:r w:rsidR="00740F4D">
        <w:rPr>
          <w:rFonts w:asciiTheme="minorHAnsi" w:hAnsiTheme="minorHAnsi"/>
          <w:szCs w:val="22"/>
        </w:rPr>
        <w:t>NO</w:t>
      </w:r>
      <w:r w:rsidR="00740F4D" w:rsidRPr="00740F4D">
        <w:rPr>
          <w:rFonts w:asciiTheme="minorHAnsi" w:hAnsiTheme="minorHAnsi"/>
          <w:szCs w:val="22"/>
          <w:vertAlign w:val="subscript"/>
        </w:rPr>
        <w:t>2</w:t>
      </w:r>
      <w:r w:rsidR="00740F4D">
        <w:rPr>
          <w:rFonts w:asciiTheme="minorHAnsi" w:hAnsiTheme="minorHAnsi"/>
          <w:szCs w:val="22"/>
        </w:rPr>
        <w:t xml:space="preserve"> </w:t>
      </w:r>
      <w:r w:rsidRPr="00CF4818">
        <w:rPr>
          <w:rFonts w:asciiTheme="minorHAnsi" w:hAnsiTheme="minorHAnsi"/>
          <w:szCs w:val="22"/>
        </w:rPr>
        <w:t xml:space="preserve">were modelled by INDAIR-2 during cooking activity, the effect of </w:t>
      </w:r>
      <w:r w:rsidR="00B64CF5">
        <w:rPr>
          <w:rFonts w:asciiTheme="minorHAnsi" w:hAnsiTheme="minorHAnsi"/>
          <w:szCs w:val="22"/>
        </w:rPr>
        <w:t xml:space="preserve">removing </w:t>
      </w:r>
      <w:r w:rsidRPr="00CF4818">
        <w:rPr>
          <w:rFonts w:asciiTheme="minorHAnsi" w:hAnsiTheme="minorHAnsi"/>
          <w:szCs w:val="22"/>
        </w:rPr>
        <w:t xml:space="preserve">home sources on the mean exposure of the office workers was very small – typically </w:t>
      </w:r>
      <w:r w:rsidR="00B64CF5">
        <w:rPr>
          <w:rFonts w:asciiTheme="minorHAnsi" w:hAnsiTheme="minorHAnsi"/>
          <w:szCs w:val="22"/>
        </w:rPr>
        <w:t>de</w:t>
      </w:r>
      <w:r w:rsidRPr="00CF4818">
        <w:rPr>
          <w:rFonts w:asciiTheme="minorHAnsi" w:hAnsiTheme="minorHAnsi"/>
          <w:szCs w:val="22"/>
        </w:rPr>
        <w:t xml:space="preserve">creasing mean exposure by less than 5%. Even for the elderly, who spend the majority of their time in the home, the effect was relatively small, between </w:t>
      </w:r>
      <w:r w:rsidR="00740F4D">
        <w:rPr>
          <w:rFonts w:asciiTheme="minorHAnsi" w:hAnsiTheme="minorHAnsi"/>
          <w:szCs w:val="22"/>
        </w:rPr>
        <w:t>8</w:t>
      </w:r>
      <w:r w:rsidRPr="00CF4818">
        <w:rPr>
          <w:rFonts w:asciiTheme="minorHAnsi" w:hAnsiTheme="minorHAnsi"/>
          <w:szCs w:val="22"/>
        </w:rPr>
        <w:t xml:space="preserve">% and </w:t>
      </w:r>
      <w:r w:rsidR="00740F4D">
        <w:rPr>
          <w:rFonts w:asciiTheme="minorHAnsi" w:hAnsiTheme="minorHAnsi"/>
          <w:szCs w:val="22"/>
        </w:rPr>
        <w:t>15</w:t>
      </w:r>
      <w:r w:rsidRPr="00CF4818">
        <w:rPr>
          <w:rFonts w:asciiTheme="minorHAnsi" w:hAnsiTheme="minorHAnsi"/>
          <w:szCs w:val="22"/>
        </w:rPr>
        <w:t xml:space="preserve">%. </w:t>
      </w:r>
      <w:r w:rsidR="00B64CF5">
        <w:rPr>
          <w:rFonts w:asciiTheme="minorHAnsi" w:hAnsiTheme="minorHAnsi"/>
          <w:szCs w:val="22"/>
        </w:rPr>
        <w:t xml:space="preserve">For children, there was a wider variability; on weekdays, when their activity pattern was comparable to office workers, the effect was as low as 5%, but on winter weekends, when most of their time was spent in the home, </w:t>
      </w:r>
      <w:r w:rsidR="00D24106">
        <w:rPr>
          <w:rFonts w:asciiTheme="minorHAnsi" w:hAnsiTheme="minorHAnsi"/>
          <w:szCs w:val="22"/>
        </w:rPr>
        <w:t xml:space="preserve">and cooking activity was high, </w:t>
      </w:r>
      <w:r w:rsidR="00B64CF5">
        <w:rPr>
          <w:rFonts w:asciiTheme="minorHAnsi" w:hAnsiTheme="minorHAnsi"/>
          <w:szCs w:val="22"/>
        </w:rPr>
        <w:t xml:space="preserve">the effect reached 30%   </w:t>
      </w:r>
    </w:p>
    <w:p w14:paraId="2F774739" w14:textId="77777777" w:rsidR="00A7727A" w:rsidRDefault="00A7727A" w:rsidP="0078281D">
      <w:pPr>
        <w:jc w:val="both"/>
        <w:rPr>
          <w:rFonts w:asciiTheme="minorHAnsi" w:hAnsiTheme="minorHAnsi"/>
          <w:szCs w:val="22"/>
        </w:rPr>
      </w:pPr>
    </w:p>
    <w:p w14:paraId="0DF43013" w14:textId="1FAC2277" w:rsidR="003C60C0" w:rsidRPr="00CF4818" w:rsidRDefault="0078281D" w:rsidP="003C60C0">
      <w:pPr>
        <w:jc w:val="both"/>
        <w:rPr>
          <w:rFonts w:asciiTheme="minorHAnsi" w:hAnsiTheme="minorHAnsi"/>
          <w:snapToGrid w:val="0"/>
          <w:color w:val="000000"/>
          <w:szCs w:val="22"/>
          <w:lang w:eastAsia="en-US"/>
        </w:rPr>
      </w:pPr>
      <w:r w:rsidRPr="00CF4818">
        <w:rPr>
          <w:rFonts w:asciiTheme="minorHAnsi" w:hAnsiTheme="minorHAnsi"/>
          <w:szCs w:val="22"/>
        </w:rPr>
        <w:t xml:space="preserve">However, these </w:t>
      </w:r>
      <w:r w:rsidR="00B64CF5">
        <w:rPr>
          <w:rFonts w:asciiTheme="minorHAnsi" w:hAnsiTheme="minorHAnsi"/>
          <w:szCs w:val="22"/>
        </w:rPr>
        <w:t>relatively</w:t>
      </w:r>
      <w:r w:rsidRPr="00CF4818">
        <w:rPr>
          <w:rFonts w:asciiTheme="minorHAnsi" w:hAnsiTheme="minorHAnsi"/>
          <w:szCs w:val="22"/>
        </w:rPr>
        <w:t xml:space="preserve"> </w:t>
      </w:r>
      <w:r w:rsidR="00DB29AF">
        <w:rPr>
          <w:rFonts w:asciiTheme="minorHAnsi" w:hAnsiTheme="minorHAnsi"/>
          <w:szCs w:val="22"/>
        </w:rPr>
        <w:t xml:space="preserve">small </w:t>
      </w:r>
      <w:r w:rsidRPr="00CF4818">
        <w:rPr>
          <w:rFonts w:asciiTheme="minorHAnsi" w:hAnsiTheme="minorHAnsi"/>
          <w:szCs w:val="22"/>
        </w:rPr>
        <w:t>effects on mean population exposure disguise very large effects of home sources on the short-term exposure of the upper percentiles of the frequency distribution when sources are active and the majority of the population group are in the home.</w:t>
      </w:r>
      <w:r w:rsidR="00B64CF5">
        <w:rPr>
          <w:rFonts w:asciiTheme="minorHAnsi" w:hAnsiTheme="minorHAnsi"/>
          <w:szCs w:val="22"/>
        </w:rPr>
        <w:t xml:space="preserve"> </w:t>
      </w:r>
      <w:r w:rsidR="003C60C0" w:rsidRPr="00CF4818">
        <w:rPr>
          <w:rFonts w:asciiTheme="minorHAnsi" w:hAnsiTheme="minorHAnsi"/>
          <w:snapToGrid w:val="0"/>
          <w:color w:val="000000"/>
          <w:szCs w:val="22"/>
          <w:lang w:eastAsia="en-US"/>
        </w:rPr>
        <w:t xml:space="preserve">There is </w:t>
      </w:r>
      <w:r w:rsidR="00B64CF5">
        <w:rPr>
          <w:rFonts w:asciiTheme="minorHAnsi" w:hAnsiTheme="minorHAnsi"/>
          <w:snapToGrid w:val="0"/>
          <w:color w:val="000000"/>
          <w:szCs w:val="22"/>
          <w:lang w:eastAsia="en-US"/>
        </w:rPr>
        <w:t>some</w:t>
      </w:r>
      <w:r w:rsidR="003C60C0" w:rsidRPr="00CF4818">
        <w:rPr>
          <w:rFonts w:asciiTheme="minorHAnsi" w:hAnsiTheme="minorHAnsi"/>
          <w:snapToGrid w:val="0"/>
          <w:color w:val="000000"/>
          <w:szCs w:val="22"/>
          <w:lang w:eastAsia="en-US"/>
        </w:rPr>
        <w:t xml:space="preserve"> evidence of the health effects of short-term variations in </w:t>
      </w:r>
      <w:r>
        <w:rPr>
          <w:rFonts w:asciiTheme="minorHAnsi" w:hAnsiTheme="minorHAnsi"/>
          <w:snapToGrid w:val="0"/>
          <w:color w:val="000000"/>
          <w:szCs w:val="22"/>
          <w:lang w:eastAsia="en-US"/>
        </w:rPr>
        <w:t xml:space="preserve">outdoor </w:t>
      </w:r>
      <w:r w:rsidR="003C60C0" w:rsidRPr="00CF4818">
        <w:rPr>
          <w:rFonts w:asciiTheme="minorHAnsi" w:hAnsiTheme="minorHAnsi"/>
          <w:snapToGrid w:val="0"/>
          <w:color w:val="000000"/>
          <w:szCs w:val="22"/>
          <w:lang w:eastAsia="en-US"/>
        </w:rPr>
        <w:t>pollutant concentrations within a day. For example, McCreanor et al. (2007) found that 2h of walking along a busy street in cent</w:t>
      </w:r>
      <w:r w:rsidR="00736AE9">
        <w:rPr>
          <w:rFonts w:asciiTheme="minorHAnsi" w:hAnsiTheme="minorHAnsi"/>
          <w:snapToGrid w:val="0"/>
          <w:color w:val="000000"/>
          <w:szCs w:val="22"/>
          <w:lang w:eastAsia="en-US"/>
        </w:rPr>
        <w:t>r</w:t>
      </w:r>
      <w:r w:rsidR="003C60C0" w:rsidRPr="00CF4818">
        <w:rPr>
          <w:rFonts w:asciiTheme="minorHAnsi" w:hAnsiTheme="minorHAnsi"/>
          <w:snapToGrid w:val="0"/>
          <w:color w:val="000000"/>
          <w:szCs w:val="22"/>
          <w:lang w:eastAsia="en-US"/>
        </w:rPr>
        <w:t>al London caused a significant decrease in lung function in adults with moderate asthma compared with 2h of walking in a local park. For PM</w:t>
      </w:r>
      <w:r w:rsidR="003C60C0" w:rsidRPr="00CF4818">
        <w:rPr>
          <w:rFonts w:asciiTheme="minorHAnsi" w:hAnsiTheme="minorHAnsi"/>
          <w:snapToGrid w:val="0"/>
          <w:color w:val="000000"/>
          <w:szCs w:val="22"/>
          <w:vertAlign w:val="subscript"/>
          <w:lang w:eastAsia="en-US"/>
        </w:rPr>
        <w:t>2.5</w:t>
      </w:r>
      <w:r w:rsidR="003C60C0" w:rsidRPr="00CF4818">
        <w:rPr>
          <w:rFonts w:asciiTheme="minorHAnsi" w:hAnsiTheme="minorHAnsi"/>
          <w:snapToGrid w:val="0"/>
          <w:color w:val="000000"/>
          <w:szCs w:val="22"/>
          <w:lang w:eastAsia="en-US"/>
        </w:rPr>
        <w:t>, short-term increases in PM</w:t>
      </w:r>
      <w:r w:rsidR="003C60C0" w:rsidRPr="00CF4818">
        <w:rPr>
          <w:rFonts w:asciiTheme="minorHAnsi" w:hAnsiTheme="minorHAnsi"/>
          <w:snapToGrid w:val="0"/>
          <w:color w:val="000000"/>
          <w:szCs w:val="22"/>
          <w:vertAlign w:val="subscript"/>
          <w:lang w:eastAsia="en-US"/>
        </w:rPr>
        <w:t>2.5</w:t>
      </w:r>
      <w:r w:rsidR="003C60C0" w:rsidRPr="00CF4818">
        <w:rPr>
          <w:rFonts w:asciiTheme="minorHAnsi" w:hAnsiTheme="minorHAnsi"/>
          <w:snapToGrid w:val="0"/>
          <w:color w:val="000000"/>
          <w:szCs w:val="22"/>
          <w:lang w:eastAsia="en-US"/>
        </w:rPr>
        <w:t xml:space="preserve"> exposure in the course of a day’s normal activity can be associated with changes in cardiovascular function (He et al., 2010; Brook et al, 2011). If these effects are of clinical significance, there will </w:t>
      </w:r>
      <w:r w:rsidR="00DB29AF">
        <w:rPr>
          <w:rFonts w:asciiTheme="minorHAnsi" w:hAnsiTheme="minorHAnsi"/>
          <w:snapToGrid w:val="0"/>
          <w:color w:val="000000"/>
          <w:szCs w:val="22"/>
          <w:lang w:eastAsia="en-US"/>
        </w:rPr>
        <w:t xml:space="preserve">be </w:t>
      </w:r>
      <w:r w:rsidR="003C60C0" w:rsidRPr="00CF4818">
        <w:rPr>
          <w:rFonts w:asciiTheme="minorHAnsi" w:hAnsiTheme="minorHAnsi"/>
          <w:snapToGrid w:val="0"/>
          <w:color w:val="000000"/>
          <w:szCs w:val="22"/>
          <w:lang w:eastAsia="en-US"/>
        </w:rPr>
        <w:t xml:space="preserve">an increasing need for models such as EXPAIR that can simulate these shorter-term variations in </w:t>
      </w:r>
      <w:r w:rsidR="00061B55">
        <w:rPr>
          <w:rFonts w:asciiTheme="minorHAnsi" w:hAnsiTheme="minorHAnsi"/>
          <w:snapToGrid w:val="0"/>
          <w:color w:val="000000"/>
          <w:szCs w:val="22"/>
          <w:lang w:eastAsia="en-US"/>
        </w:rPr>
        <w:t xml:space="preserve">population </w:t>
      </w:r>
      <w:r w:rsidR="003C60C0" w:rsidRPr="00CF4818">
        <w:rPr>
          <w:rFonts w:asciiTheme="minorHAnsi" w:hAnsiTheme="minorHAnsi"/>
          <w:snapToGrid w:val="0"/>
          <w:color w:val="000000"/>
          <w:szCs w:val="22"/>
          <w:lang w:eastAsia="en-US"/>
        </w:rPr>
        <w:t xml:space="preserve">exposure over the course of a day.  </w:t>
      </w:r>
    </w:p>
    <w:p w14:paraId="6BE4FEA0" w14:textId="77777777" w:rsidR="003C60C0" w:rsidRPr="00CF4818" w:rsidRDefault="003C60C0" w:rsidP="003C60C0">
      <w:pPr>
        <w:jc w:val="both"/>
        <w:rPr>
          <w:rFonts w:asciiTheme="minorHAnsi" w:hAnsiTheme="minorHAnsi"/>
          <w:snapToGrid w:val="0"/>
          <w:color w:val="000000"/>
          <w:szCs w:val="22"/>
          <w:lang w:eastAsia="en-US"/>
        </w:rPr>
      </w:pPr>
    </w:p>
    <w:p w14:paraId="4B092308" w14:textId="4C06C50B" w:rsidR="00B64CF5" w:rsidRDefault="00B64CF5" w:rsidP="00B64CF5">
      <w:pPr>
        <w:jc w:val="both"/>
        <w:rPr>
          <w:rFonts w:asciiTheme="minorHAnsi" w:hAnsiTheme="minorHAnsi"/>
          <w:szCs w:val="22"/>
        </w:rPr>
      </w:pPr>
      <w:r>
        <w:rPr>
          <w:rFonts w:asciiTheme="minorHAnsi" w:hAnsiTheme="minorHAnsi"/>
          <w:szCs w:val="22"/>
        </w:rPr>
        <w:t>We did not simulate the effect of specific measures to reduce NO</w:t>
      </w:r>
      <w:r w:rsidRPr="00B64CF5">
        <w:rPr>
          <w:rFonts w:asciiTheme="minorHAnsi" w:hAnsiTheme="minorHAnsi"/>
          <w:szCs w:val="22"/>
          <w:vertAlign w:val="subscript"/>
        </w:rPr>
        <w:t>2</w:t>
      </w:r>
      <w:r>
        <w:rPr>
          <w:rFonts w:asciiTheme="minorHAnsi" w:hAnsiTheme="minorHAnsi"/>
          <w:szCs w:val="22"/>
        </w:rPr>
        <w:t xml:space="preserve"> home concentrations from indoor combustion sources, but some recent intervention studies could provide data to allow this to be done in the </w:t>
      </w:r>
      <w:r w:rsidRPr="00137DB4">
        <w:rPr>
          <w:rFonts w:asciiTheme="minorHAnsi" w:hAnsiTheme="minorHAnsi"/>
          <w:szCs w:val="22"/>
        </w:rPr>
        <w:t>future</w:t>
      </w:r>
      <w:r w:rsidR="0027130D" w:rsidRPr="00137DB4">
        <w:rPr>
          <w:rFonts w:asciiTheme="minorHAnsi" w:hAnsiTheme="minorHAnsi"/>
          <w:szCs w:val="22"/>
        </w:rPr>
        <w:t>.</w:t>
      </w:r>
      <w:r w:rsidRPr="00137DB4">
        <w:rPr>
          <w:rFonts w:asciiTheme="minorHAnsi" w:hAnsiTheme="minorHAnsi"/>
          <w:szCs w:val="22"/>
        </w:rPr>
        <w:t xml:space="preserve"> </w:t>
      </w:r>
      <w:r w:rsidR="0027130D" w:rsidRPr="00137DB4">
        <w:rPr>
          <w:rFonts w:asciiTheme="minorHAnsi" w:hAnsiTheme="minorHAnsi"/>
          <w:szCs w:val="22"/>
        </w:rPr>
        <w:t>F</w:t>
      </w:r>
      <w:r w:rsidRPr="00137DB4">
        <w:rPr>
          <w:rFonts w:asciiTheme="minorHAnsi" w:hAnsiTheme="minorHAnsi"/>
          <w:szCs w:val="22"/>
        </w:rPr>
        <w:t xml:space="preserve">or example, Paulin et al. (2104) reported that installation of high efficiency filters in the room, </w:t>
      </w:r>
      <w:r w:rsidR="009D4D5A" w:rsidRPr="00137DB4">
        <w:rPr>
          <w:rFonts w:asciiTheme="minorHAnsi" w:hAnsiTheme="minorHAnsi"/>
          <w:szCs w:val="22"/>
        </w:rPr>
        <w:t xml:space="preserve">and </w:t>
      </w:r>
      <w:r w:rsidR="009D4D5A" w:rsidRPr="00137DB4">
        <w:rPr>
          <w:rFonts w:asciiTheme="minorHAnsi" w:hAnsiTheme="minorHAnsi" w:cs="AdvOT863180fb"/>
          <w:szCs w:val="22"/>
          <w:lang w:val="en-AU"/>
        </w:rPr>
        <w:t xml:space="preserve">replacement of unvented gas cookers by electric cookers, </w:t>
      </w:r>
      <w:r w:rsidR="009D4D5A" w:rsidRPr="00137DB4">
        <w:rPr>
          <w:rFonts w:asciiTheme="minorHAnsi" w:hAnsiTheme="minorHAnsi"/>
          <w:szCs w:val="22"/>
        </w:rPr>
        <w:t>significantly reduced kitchen and bedroom median NO</w:t>
      </w:r>
      <w:r w:rsidR="009D4D5A" w:rsidRPr="00137DB4">
        <w:rPr>
          <w:rFonts w:asciiTheme="minorHAnsi" w:hAnsiTheme="minorHAnsi"/>
          <w:szCs w:val="22"/>
          <w:vertAlign w:val="subscript"/>
        </w:rPr>
        <w:t>2</w:t>
      </w:r>
      <w:r w:rsidR="009D4D5A" w:rsidRPr="00137DB4">
        <w:rPr>
          <w:rFonts w:asciiTheme="minorHAnsi" w:hAnsiTheme="minorHAnsi"/>
          <w:szCs w:val="22"/>
        </w:rPr>
        <w:t xml:space="preserve"> concentration by about 50% and 20% respectively; however, installation of </w:t>
      </w:r>
      <w:r w:rsidRPr="00137DB4">
        <w:rPr>
          <w:rFonts w:asciiTheme="minorHAnsi" w:hAnsiTheme="minorHAnsi"/>
          <w:szCs w:val="22"/>
        </w:rPr>
        <w:t>ventilation hoods over the cooker</w:t>
      </w:r>
      <w:r w:rsidR="009D4D5A" w:rsidRPr="00137DB4">
        <w:rPr>
          <w:rFonts w:asciiTheme="minorHAnsi" w:hAnsiTheme="minorHAnsi"/>
          <w:szCs w:val="22"/>
        </w:rPr>
        <w:t xml:space="preserve"> had no significant effect</w:t>
      </w:r>
      <w:r w:rsidRPr="00137DB4">
        <w:rPr>
          <w:rFonts w:asciiTheme="minorHAnsi" w:hAnsiTheme="minorHAnsi" w:cs="AdvOT863180fb"/>
          <w:szCs w:val="22"/>
          <w:lang w:val="en-AU"/>
        </w:rPr>
        <w:t xml:space="preserve">.  </w:t>
      </w:r>
      <w:r w:rsidR="00DB29AF" w:rsidRPr="00137DB4">
        <w:rPr>
          <w:rFonts w:asciiTheme="minorHAnsi" w:hAnsiTheme="minorHAnsi" w:cs="AdvOT863180fb"/>
          <w:szCs w:val="22"/>
          <w:lang w:val="en-AU"/>
        </w:rPr>
        <w:t>M</w:t>
      </w:r>
      <w:r w:rsidRPr="00137DB4">
        <w:rPr>
          <w:rFonts w:asciiTheme="minorHAnsi" w:hAnsiTheme="minorHAnsi"/>
          <w:szCs w:val="22"/>
        </w:rPr>
        <w:t xml:space="preserve">ost </w:t>
      </w:r>
      <w:r w:rsidRPr="00CF4818">
        <w:rPr>
          <w:rFonts w:asciiTheme="minorHAnsi" w:hAnsiTheme="minorHAnsi"/>
          <w:szCs w:val="22"/>
        </w:rPr>
        <w:t xml:space="preserve">studies of the </w:t>
      </w:r>
      <w:r w:rsidR="00DB29AF">
        <w:rPr>
          <w:rFonts w:asciiTheme="minorHAnsi" w:hAnsiTheme="minorHAnsi"/>
          <w:szCs w:val="22"/>
        </w:rPr>
        <w:t xml:space="preserve">health </w:t>
      </w:r>
      <w:r w:rsidRPr="00CF4818">
        <w:rPr>
          <w:rFonts w:asciiTheme="minorHAnsi" w:hAnsiTheme="minorHAnsi"/>
          <w:szCs w:val="22"/>
        </w:rPr>
        <w:t>effects of gas cooking have only measured long-term NO</w:t>
      </w:r>
      <w:r w:rsidRPr="00B64CF5">
        <w:rPr>
          <w:rFonts w:asciiTheme="minorHAnsi" w:hAnsiTheme="minorHAnsi"/>
          <w:szCs w:val="22"/>
          <w:vertAlign w:val="subscript"/>
        </w:rPr>
        <w:t>2</w:t>
      </w:r>
      <w:r w:rsidRPr="00CF4818">
        <w:rPr>
          <w:rFonts w:asciiTheme="minorHAnsi" w:hAnsiTheme="minorHAnsi"/>
          <w:szCs w:val="22"/>
        </w:rPr>
        <w:t xml:space="preserve"> exposure, but Smith et al (2000) showed a significant association for asthmatic children between </w:t>
      </w:r>
      <w:r w:rsidR="00DB29AF">
        <w:rPr>
          <w:rFonts w:asciiTheme="minorHAnsi" w:hAnsiTheme="minorHAnsi"/>
          <w:szCs w:val="22"/>
        </w:rPr>
        <w:t xml:space="preserve">variation in </w:t>
      </w:r>
      <w:r w:rsidRPr="00CF4818">
        <w:rPr>
          <w:rFonts w:asciiTheme="minorHAnsi" w:hAnsiTheme="minorHAnsi"/>
          <w:szCs w:val="22"/>
        </w:rPr>
        <w:t xml:space="preserve">daily personal exposure in the home and the </w:t>
      </w:r>
      <w:r w:rsidR="00DB29AF">
        <w:rPr>
          <w:rFonts w:asciiTheme="minorHAnsi" w:hAnsiTheme="minorHAnsi"/>
          <w:szCs w:val="22"/>
        </w:rPr>
        <w:t>likelihood</w:t>
      </w:r>
      <w:r w:rsidRPr="00CF4818">
        <w:rPr>
          <w:rFonts w:asciiTheme="minorHAnsi" w:hAnsiTheme="minorHAnsi"/>
          <w:szCs w:val="22"/>
        </w:rPr>
        <w:t xml:space="preserve"> of symptoms</w:t>
      </w:r>
      <w:r w:rsidR="00DB29AF">
        <w:rPr>
          <w:rFonts w:asciiTheme="minorHAnsi" w:hAnsiTheme="minorHAnsi"/>
          <w:szCs w:val="22"/>
        </w:rPr>
        <w:t>. This suggests that effects of variations in time-activity on children’s exposure to short-term NO</w:t>
      </w:r>
      <w:r w:rsidR="00DB29AF" w:rsidRPr="00D24106">
        <w:rPr>
          <w:rFonts w:asciiTheme="minorHAnsi" w:hAnsiTheme="minorHAnsi"/>
          <w:szCs w:val="22"/>
          <w:vertAlign w:val="subscript"/>
        </w:rPr>
        <w:t>2</w:t>
      </w:r>
      <w:r w:rsidR="00DB29AF">
        <w:rPr>
          <w:rFonts w:asciiTheme="minorHAnsi" w:hAnsiTheme="minorHAnsi"/>
          <w:szCs w:val="22"/>
        </w:rPr>
        <w:t xml:space="preserve"> peaks due to gas cooking that are demonstrated in our simulations may be of health significance, at least for those with pre-existing respiratory disease.</w:t>
      </w:r>
      <w:r>
        <w:rPr>
          <w:rFonts w:asciiTheme="minorHAnsi" w:hAnsiTheme="minorHAnsi"/>
          <w:szCs w:val="22"/>
        </w:rPr>
        <w:t xml:space="preserve"> There is also evidence that controlled experimental studies that repeat</w:t>
      </w:r>
      <w:r w:rsidR="00DB29AF">
        <w:rPr>
          <w:rFonts w:asciiTheme="minorHAnsi" w:hAnsiTheme="minorHAnsi"/>
          <w:szCs w:val="22"/>
        </w:rPr>
        <w:t>e</w:t>
      </w:r>
      <w:r>
        <w:rPr>
          <w:rFonts w:asciiTheme="minorHAnsi" w:hAnsiTheme="minorHAnsi"/>
          <w:szCs w:val="22"/>
        </w:rPr>
        <w:t>d exposure to the short</w:t>
      </w:r>
      <w:r w:rsidR="00DB29AF">
        <w:rPr>
          <w:rFonts w:asciiTheme="minorHAnsi" w:hAnsiTheme="minorHAnsi"/>
          <w:szCs w:val="22"/>
        </w:rPr>
        <w:t xml:space="preserve">-term </w:t>
      </w:r>
      <w:r>
        <w:rPr>
          <w:rFonts w:asciiTheme="minorHAnsi" w:hAnsiTheme="minorHAnsi"/>
          <w:szCs w:val="22"/>
        </w:rPr>
        <w:t xml:space="preserve">peaks at </w:t>
      </w:r>
      <w:r w:rsidR="00DB29AF">
        <w:rPr>
          <w:rFonts w:asciiTheme="minorHAnsi" w:hAnsiTheme="minorHAnsi"/>
          <w:szCs w:val="22"/>
        </w:rPr>
        <w:t>NO</w:t>
      </w:r>
      <w:r w:rsidR="00DB29AF" w:rsidRPr="00DB29AF">
        <w:rPr>
          <w:rFonts w:asciiTheme="minorHAnsi" w:hAnsiTheme="minorHAnsi"/>
          <w:szCs w:val="22"/>
          <w:vertAlign w:val="subscript"/>
        </w:rPr>
        <w:t>2</w:t>
      </w:r>
      <w:r w:rsidR="00DB29AF">
        <w:rPr>
          <w:rFonts w:asciiTheme="minorHAnsi" w:hAnsiTheme="minorHAnsi"/>
          <w:szCs w:val="22"/>
        </w:rPr>
        <w:t xml:space="preserve"> </w:t>
      </w:r>
      <w:r>
        <w:rPr>
          <w:rFonts w:asciiTheme="minorHAnsi" w:hAnsiTheme="minorHAnsi"/>
          <w:szCs w:val="22"/>
        </w:rPr>
        <w:t xml:space="preserve">concentrations within the range predicted by INDAIR/EXPAIR can have adverse effects, e.g. on sensitising the airways of asthmatics to inflammation caused by allergens (Barck et al., 2005) or on airway inflammation (Ezratty et al., 2014). </w:t>
      </w:r>
    </w:p>
    <w:p w14:paraId="3891BAC1" w14:textId="77777777" w:rsidR="00F634E9" w:rsidRDefault="00F634E9" w:rsidP="00B64CF5">
      <w:pPr>
        <w:jc w:val="both"/>
        <w:rPr>
          <w:rFonts w:asciiTheme="minorHAnsi" w:hAnsiTheme="minorHAnsi"/>
          <w:szCs w:val="22"/>
        </w:rPr>
      </w:pPr>
    </w:p>
    <w:p w14:paraId="49B65794" w14:textId="2A767B4A" w:rsidR="00B64CF5" w:rsidRPr="00BC6583" w:rsidRDefault="00B64CF5" w:rsidP="00B64CF5">
      <w:pPr>
        <w:jc w:val="both"/>
        <w:rPr>
          <w:rFonts w:asciiTheme="minorHAnsi" w:hAnsiTheme="minorHAnsi"/>
        </w:rPr>
      </w:pPr>
      <w:r w:rsidRPr="00BC6583">
        <w:rPr>
          <w:rFonts w:asciiTheme="minorHAnsi" w:hAnsiTheme="minorHAnsi"/>
        </w:rPr>
        <w:t xml:space="preserve">Two of the population groups for whom the model has been parameterised (children and the elderly) are identified as being at higher risk of adverse effects of ambient air pollution. However, the model has not specifically been parameterised for subjects with pre-existing respiratory or cardiovascular disease, in particular elderly subjects who may have quite different activity patterns. </w:t>
      </w:r>
      <w:r w:rsidR="00003CDA">
        <w:rPr>
          <w:rFonts w:asciiTheme="minorHAnsi" w:hAnsiTheme="minorHAnsi"/>
        </w:rPr>
        <w:t xml:space="preserve"> </w:t>
      </w:r>
      <w:r w:rsidR="00716485">
        <w:rPr>
          <w:rFonts w:asciiTheme="minorHAnsi" w:hAnsiTheme="minorHAnsi"/>
        </w:rPr>
        <w:t>Furthermore, individuals with chronic cardiovascular or pulmonary disease who are susceptible to air pollution may modify their behaviour or take measures both to reduce outdoor infiltration and indoor sources, especially on days when high concentrations are predicted (Laumbach et al., 2015).</w:t>
      </w:r>
      <w:r w:rsidRPr="00BC6583">
        <w:rPr>
          <w:rFonts w:asciiTheme="minorHAnsi" w:hAnsiTheme="minorHAnsi"/>
        </w:rPr>
        <w:t xml:space="preserve"> </w:t>
      </w:r>
      <w:r w:rsidR="00716485">
        <w:rPr>
          <w:rFonts w:asciiTheme="minorHAnsi" w:hAnsiTheme="minorHAnsi"/>
        </w:rPr>
        <w:t>M</w:t>
      </w:r>
      <w:r w:rsidRPr="00BC6583">
        <w:rPr>
          <w:rFonts w:asciiTheme="minorHAnsi" w:hAnsiTheme="minorHAnsi"/>
        </w:rPr>
        <w:t>ore detailed assessment of this issue, based on time-activity data as well as measured exposure, would be useful</w:t>
      </w:r>
      <w:r w:rsidR="00716485" w:rsidRPr="00716485">
        <w:rPr>
          <w:rFonts w:asciiTheme="minorHAnsi" w:hAnsiTheme="minorHAnsi"/>
        </w:rPr>
        <w:t xml:space="preserve"> </w:t>
      </w:r>
      <w:r w:rsidR="00716485">
        <w:rPr>
          <w:rFonts w:asciiTheme="minorHAnsi" w:hAnsiTheme="minorHAnsi"/>
        </w:rPr>
        <w:t xml:space="preserve">to assess whether </w:t>
      </w:r>
      <w:r w:rsidR="00716485" w:rsidRPr="00BC6583">
        <w:rPr>
          <w:rFonts w:asciiTheme="minorHAnsi" w:hAnsiTheme="minorHAnsi"/>
        </w:rPr>
        <w:t xml:space="preserve">model parameterisation </w:t>
      </w:r>
      <w:r w:rsidR="00716485">
        <w:rPr>
          <w:rFonts w:asciiTheme="minorHAnsi" w:hAnsiTheme="minorHAnsi"/>
        </w:rPr>
        <w:t>is appropriate for those</w:t>
      </w:r>
      <w:r w:rsidR="00716485" w:rsidRPr="00BC6583">
        <w:rPr>
          <w:rFonts w:asciiTheme="minorHAnsi" w:hAnsiTheme="minorHAnsi"/>
        </w:rPr>
        <w:t xml:space="preserve"> with pre-existing disease</w:t>
      </w:r>
      <w:r w:rsidRPr="00BC6583">
        <w:rPr>
          <w:rFonts w:asciiTheme="minorHAnsi" w:hAnsiTheme="minorHAnsi"/>
        </w:rPr>
        <w:t xml:space="preserve">. </w:t>
      </w:r>
    </w:p>
    <w:p w14:paraId="734A9DF5" w14:textId="77777777" w:rsidR="00B64CF5" w:rsidRDefault="00B64CF5" w:rsidP="00B64CF5">
      <w:pPr>
        <w:autoSpaceDE w:val="0"/>
        <w:autoSpaceDN w:val="0"/>
        <w:adjustRightInd w:val="0"/>
        <w:rPr>
          <w:rFonts w:ascii="AdvTT5235d5a9" w:hAnsi="AdvTT5235d5a9" w:cs="AdvTT5235d5a9"/>
          <w:color w:val="231F20"/>
          <w:sz w:val="13"/>
          <w:szCs w:val="13"/>
        </w:rPr>
      </w:pPr>
    </w:p>
    <w:p w14:paraId="205ACC35" w14:textId="0FB8242B" w:rsidR="00B25230" w:rsidRPr="00920778" w:rsidRDefault="00B25230" w:rsidP="00B25230">
      <w:pPr>
        <w:jc w:val="both"/>
        <w:rPr>
          <w:rFonts w:asciiTheme="minorHAnsi" w:hAnsiTheme="minorHAnsi"/>
        </w:rPr>
      </w:pPr>
      <w:r w:rsidRPr="00920778">
        <w:rPr>
          <w:rFonts w:asciiTheme="minorHAnsi" w:hAnsiTheme="minorHAnsi"/>
        </w:rPr>
        <w:t>The rate of penetration of roadside air pollution into indoor micro-environments, and in particular the home, has a strong influence o</w:t>
      </w:r>
      <w:r>
        <w:rPr>
          <w:rFonts w:asciiTheme="minorHAnsi" w:hAnsiTheme="minorHAnsi"/>
        </w:rPr>
        <w:t>n modelled population exposures</w:t>
      </w:r>
      <w:r w:rsidR="009D349A">
        <w:rPr>
          <w:rFonts w:asciiTheme="minorHAnsi" w:hAnsiTheme="minorHAnsi"/>
        </w:rPr>
        <w:t>, and m</w:t>
      </w:r>
      <w:r w:rsidRPr="00920778">
        <w:rPr>
          <w:rFonts w:asciiTheme="minorHAnsi" w:hAnsiTheme="minorHAnsi"/>
        </w:rPr>
        <w:t xml:space="preserve">any of the differences </w:t>
      </w:r>
      <w:r>
        <w:rPr>
          <w:rFonts w:asciiTheme="minorHAnsi" w:hAnsiTheme="minorHAnsi"/>
        </w:rPr>
        <w:t>between seasons</w:t>
      </w:r>
      <w:r w:rsidRPr="00920778">
        <w:rPr>
          <w:rFonts w:asciiTheme="minorHAnsi" w:hAnsiTheme="minorHAnsi"/>
        </w:rPr>
        <w:t xml:space="preserve"> are due to differences in air exchange rate</w:t>
      </w:r>
      <w:r w:rsidR="001C185D">
        <w:rPr>
          <w:rFonts w:asciiTheme="minorHAnsi" w:hAnsiTheme="minorHAnsi"/>
        </w:rPr>
        <w:t xml:space="preserve"> (Taylor et al., 2014)</w:t>
      </w:r>
      <w:r w:rsidRPr="00920778">
        <w:rPr>
          <w:rFonts w:asciiTheme="minorHAnsi" w:hAnsiTheme="minorHAnsi"/>
        </w:rPr>
        <w:t>. It is important to emphasise that, within the INDAIR model, there is a large variation in home air exchange rates, which reflect</w:t>
      </w:r>
      <w:r w:rsidR="009D349A">
        <w:rPr>
          <w:rFonts w:asciiTheme="minorHAnsi" w:hAnsiTheme="minorHAnsi"/>
        </w:rPr>
        <w:t>ed</w:t>
      </w:r>
      <w:r w:rsidRPr="00920778">
        <w:rPr>
          <w:rFonts w:asciiTheme="minorHAnsi" w:hAnsiTheme="minorHAnsi"/>
        </w:rPr>
        <w:t xml:space="preserve"> the real variation in the </w:t>
      </w:r>
      <w:r w:rsidR="009D349A">
        <w:rPr>
          <w:rFonts w:asciiTheme="minorHAnsi" w:hAnsiTheme="minorHAnsi"/>
        </w:rPr>
        <w:t xml:space="preserve">U.K. </w:t>
      </w:r>
      <w:r w:rsidRPr="00920778">
        <w:rPr>
          <w:rFonts w:asciiTheme="minorHAnsi" w:hAnsiTheme="minorHAnsi"/>
        </w:rPr>
        <w:t>building stock</w:t>
      </w:r>
      <w:r w:rsidR="009D349A">
        <w:rPr>
          <w:rFonts w:asciiTheme="minorHAnsi" w:hAnsiTheme="minorHAnsi"/>
        </w:rPr>
        <w:t xml:space="preserve"> when the INDAIR model was parameterised 15 years ago</w:t>
      </w:r>
      <w:r w:rsidRPr="00920778">
        <w:rPr>
          <w:rFonts w:asciiTheme="minorHAnsi" w:hAnsiTheme="minorHAnsi"/>
        </w:rPr>
        <w:t xml:space="preserve">. Housing stock and building design is changing, and a trend towards </w:t>
      </w:r>
      <w:r>
        <w:rPr>
          <w:rFonts w:asciiTheme="minorHAnsi" w:hAnsiTheme="minorHAnsi"/>
        </w:rPr>
        <w:t>low</w:t>
      </w:r>
      <w:r w:rsidRPr="00920778">
        <w:rPr>
          <w:rFonts w:asciiTheme="minorHAnsi" w:hAnsiTheme="minorHAnsi"/>
        </w:rPr>
        <w:t xml:space="preserve"> energy-efficient homes, with reduced air exchange rates</w:t>
      </w:r>
      <w:r>
        <w:rPr>
          <w:rFonts w:asciiTheme="minorHAnsi" w:hAnsiTheme="minorHAnsi"/>
        </w:rPr>
        <w:t xml:space="preserve"> and use of ventilation systems</w:t>
      </w:r>
      <w:r w:rsidRPr="00920778">
        <w:rPr>
          <w:rFonts w:asciiTheme="minorHAnsi" w:hAnsiTheme="minorHAnsi"/>
        </w:rPr>
        <w:t>, may significantly reduce population exposure to traffic pollutants, but increase the impact of indoor sources</w:t>
      </w:r>
      <w:r>
        <w:rPr>
          <w:rFonts w:asciiTheme="minorHAnsi" w:hAnsiTheme="minorHAnsi"/>
        </w:rPr>
        <w:t>, especially if people are not aware of how to use the ventilation systems</w:t>
      </w:r>
      <w:r w:rsidR="009D349A">
        <w:rPr>
          <w:rFonts w:asciiTheme="minorHAnsi" w:hAnsiTheme="minorHAnsi"/>
        </w:rPr>
        <w:t xml:space="preserve"> (Shrubsole et al., 2012)</w:t>
      </w:r>
      <w:r w:rsidRPr="00920778">
        <w:rPr>
          <w:rFonts w:asciiTheme="minorHAnsi" w:hAnsiTheme="minorHAnsi"/>
        </w:rPr>
        <w:t xml:space="preserve">. More analysis is therefore needed of how </w:t>
      </w:r>
      <w:r w:rsidR="009D349A">
        <w:rPr>
          <w:rFonts w:asciiTheme="minorHAnsi" w:hAnsiTheme="minorHAnsi"/>
        </w:rPr>
        <w:t xml:space="preserve">are modelled PEFDs will change with changes in the UK housing stock. </w:t>
      </w:r>
    </w:p>
    <w:p w14:paraId="1D262DE2" w14:textId="77777777" w:rsidR="009D349A" w:rsidRDefault="009D349A" w:rsidP="00202956">
      <w:pPr>
        <w:jc w:val="both"/>
        <w:rPr>
          <w:rFonts w:asciiTheme="minorHAnsi" w:hAnsiTheme="minorHAnsi"/>
          <w:szCs w:val="22"/>
        </w:rPr>
      </w:pPr>
    </w:p>
    <w:p w14:paraId="559B435D" w14:textId="63F301C8" w:rsidR="00080F7A" w:rsidRPr="00920778" w:rsidRDefault="009D349A" w:rsidP="00080F7A">
      <w:pPr>
        <w:jc w:val="both"/>
        <w:rPr>
          <w:rFonts w:asciiTheme="minorHAnsi" w:hAnsiTheme="minorHAnsi"/>
        </w:rPr>
      </w:pPr>
      <w:r>
        <w:rPr>
          <w:rFonts w:asciiTheme="minorHAnsi" w:hAnsiTheme="minorHAnsi"/>
          <w:szCs w:val="22"/>
        </w:rPr>
        <w:t>In summary, there are many</w:t>
      </w:r>
      <w:r w:rsidR="00BC2E7E">
        <w:rPr>
          <w:rFonts w:asciiTheme="minorHAnsi" w:hAnsiTheme="minorHAnsi"/>
          <w:szCs w:val="22"/>
        </w:rPr>
        <w:t xml:space="preserve"> models which simulate the effects of</w:t>
      </w:r>
      <w:r>
        <w:rPr>
          <w:rFonts w:asciiTheme="minorHAnsi" w:hAnsiTheme="minorHAnsi"/>
          <w:szCs w:val="22"/>
        </w:rPr>
        <w:t xml:space="preserve"> policy</w:t>
      </w:r>
      <w:r w:rsidR="00BC2E7E">
        <w:rPr>
          <w:rFonts w:asciiTheme="minorHAnsi" w:hAnsiTheme="minorHAnsi"/>
          <w:szCs w:val="22"/>
        </w:rPr>
        <w:t xml:space="preserve"> interventions to reduce traffic emissions and transport policy on outdoor </w:t>
      </w:r>
      <w:r>
        <w:rPr>
          <w:rFonts w:asciiTheme="minorHAnsi" w:hAnsiTheme="minorHAnsi"/>
          <w:szCs w:val="22"/>
        </w:rPr>
        <w:t>residential c</w:t>
      </w:r>
      <w:r w:rsidR="00BC2E7E">
        <w:rPr>
          <w:rFonts w:asciiTheme="minorHAnsi" w:hAnsiTheme="minorHAnsi"/>
          <w:szCs w:val="22"/>
        </w:rPr>
        <w:t>oncentrations</w:t>
      </w:r>
      <w:r>
        <w:rPr>
          <w:rFonts w:asciiTheme="minorHAnsi" w:hAnsiTheme="minorHAnsi"/>
          <w:szCs w:val="22"/>
        </w:rPr>
        <w:t>, and thus to quantify the health benefits</w:t>
      </w:r>
      <w:r w:rsidR="00BC2E7E">
        <w:rPr>
          <w:rFonts w:asciiTheme="minorHAnsi" w:hAnsiTheme="minorHAnsi"/>
          <w:szCs w:val="22"/>
        </w:rPr>
        <w:t xml:space="preserve">. </w:t>
      </w:r>
      <w:r>
        <w:rPr>
          <w:rFonts w:asciiTheme="minorHAnsi" w:hAnsiTheme="minorHAnsi"/>
          <w:szCs w:val="22"/>
        </w:rPr>
        <w:t xml:space="preserve">Although </w:t>
      </w:r>
      <w:r w:rsidR="00BC2E7E" w:rsidRPr="00CF4818">
        <w:rPr>
          <w:rFonts w:asciiTheme="minorHAnsi" w:hAnsiTheme="minorHAnsi"/>
          <w:szCs w:val="22"/>
        </w:rPr>
        <w:t xml:space="preserve">the importance of relating individual health outcomes to individual personal exposures, rather than outside </w:t>
      </w:r>
      <w:r w:rsidR="0042744C">
        <w:rPr>
          <w:rFonts w:asciiTheme="minorHAnsi" w:hAnsiTheme="minorHAnsi"/>
          <w:szCs w:val="22"/>
        </w:rPr>
        <w:t xml:space="preserve">pollutant </w:t>
      </w:r>
      <w:r w:rsidR="00BC2E7E" w:rsidRPr="00CF4818">
        <w:rPr>
          <w:rFonts w:asciiTheme="minorHAnsi" w:hAnsiTheme="minorHAnsi"/>
          <w:szCs w:val="22"/>
        </w:rPr>
        <w:t>concentrations</w:t>
      </w:r>
      <w:r w:rsidR="0042744C">
        <w:rPr>
          <w:rFonts w:asciiTheme="minorHAnsi" w:hAnsiTheme="minorHAnsi"/>
          <w:szCs w:val="22"/>
        </w:rPr>
        <w:t xml:space="preserve"> measured at fixed monitoring stations</w:t>
      </w:r>
      <w:r w:rsidR="00BC2E7E" w:rsidRPr="00CF4818">
        <w:rPr>
          <w:rFonts w:asciiTheme="minorHAnsi" w:hAnsiTheme="minorHAnsi"/>
          <w:szCs w:val="22"/>
        </w:rPr>
        <w:t xml:space="preserve">, </w:t>
      </w:r>
      <w:r w:rsidR="00BC2E7E">
        <w:rPr>
          <w:rFonts w:asciiTheme="minorHAnsi" w:hAnsiTheme="minorHAnsi"/>
          <w:szCs w:val="22"/>
        </w:rPr>
        <w:t xml:space="preserve">is widely recognised, </w:t>
      </w:r>
      <w:r w:rsidR="00BC2E7E" w:rsidRPr="00CF4818">
        <w:rPr>
          <w:rFonts w:asciiTheme="minorHAnsi" w:hAnsiTheme="minorHAnsi"/>
          <w:szCs w:val="22"/>
        </w:rPr>
        <w:t xml:space="preserve">the </w:t>
      </w:r>
      <w:r w:rsidR="0042744C">
        <w:rPr>
          <w:rFonts w:asciiTheme="minorHAnsi" w:hAnsiTheme="minorHAnsi"/>
          <w:szCs w:val="22"/>
        </w:rPr>
        <w:t>challenge</w:t>
      </w:r>
      <w:r w:rsidR="00BC2E7E" w:rsidRPr="00CF4818">
        <w:rPr>
          <w:rFonts w:asciiTheme="minorHAnsi" w:hAnsiTheme="minorHAnsi"/>
          <w:szCs w:val="22"/>
        </w:rPr>
        <w:t xml:space="preserve"> of modelling the effect of policy interventions on the distribution of personal exposures within a population has received much less attention.  </w:t>
      </w:r>
      <w:r w:rsidR="003D1F0E">
        <w:rPr>
          <w:rFonts w:asciiTheme="minorHAnsi" w:hAnsiTheme="minorHAnsi"/>
          <w:szCs w:val="22"/>
        </w:rPr>
        <w:t>We demonstrate here, for NO</w:t>
      </w:r>
      <w:r w:rsidR="003D1F0E" w:rsidRPr="003D1F0E">
        <w:rPr>
          <w:rFonts w:asciiTheme="minorHAnsi" w:hAnsiTheme="minorHAnsi"/>
          <w:szCs w:val="22"/>
          <w:vertAlign w:val="subscript"/>
        </w:rPr>
        <w:t>2</w:t>
      </w:r>
      <w:r w:rsidR="003D1F0E">
        <w:rPr>
          <w:rFonts w:asciiTheme="minorHAnsi" w:hAnsiTheme="minorHAnsi"/>
          <w:szCs w:val="22"/>
        </w:rPr>
        <w:t>, the subtle interactions between time-activity-location profiles of the three population and the frequency distributions of their exposure, and we expect similar effects for other pollutants. This paper has considered simple, hypothetical and illustrative interventions to demonstrate key features of the response of PEFDs across a city, but the</w:t>
      </w:r>
      <w:r w:rsidR="00BC2E7E">
        <w:rPr>
          <w:rFonts w:asciiTheme="minorHAnsi" w:hAnsiTheme="minorHAnsi"/>
          <w:szCs w:val="22"/>
        </w:rPr>
        <w:t xml:space="preserve"> </w:t>
      </w:r>
      <w:r w:rsidR="00BC2E7E" w:rsidRPr="00CF4818">
        <w:rPr>
          <w:rFonts w:asciiTheme="minorHAnsi" w:hAnsiTheme="minorHAnsi"/>
          <w:szCs w:val="22"/>
        </w:rPr>
        <w:t>concept of the PEFD</w:t>
      </w:r>
      <w:r w:rsidR="00BC2E7E">
        <w:rPr>
          <w:rFonts w:asciiTheme="minorHAnsi" w:hAnsiTheme="minorHAnsi"/>
          <w:szCs w:val="22"/>
        </w:rPr>
        <w:t>, which is operationalized in the INDAIR/EXPAIR framework,</w:t>
      </w:r>
      <w:r w:rsidR="00BC2E7E" w:rsidRPr="00CF4818">
        <w:rPr>
          <w:rFonts w:asciiTheme="minorHAnsi" w:hAnsiTheme="minorHAnsi"/>
          <w:szCs w:val="22"/>
        </w:rPr>
        <w:t xml:space="preserve"> has considerable potential for the evaluation of the effects of specific </w:t>
      </w:r>
      <w:r w:rsidR="003D1F0E">
        <w:rPr>
          <w:rFonts w:asciiTheme="minorHAnsi" w:hAnsiTheme="minorHAnsi"/>
          <w:szCs w:val="22"/>
        </w:rPr>
        <w:t xml:space="preserve">emission control </w:t>
      </w:r>
      <w:r w:rsidR="00BC2E7E" w:rsidRPr="00CF4818">
        <w:rPr>
          <w:rFonts w:asciiTheme="minorHAnsi" w:hAnsiTheme="minorHAnsi"/>
          <w:szCs w:val="22"/>
        </w:rPr>
        <w:t xml:space="preserve">policies, changes in life-style, </w:t>
      </w:r>
      <w:r w:rsidR="003D1F0E">
        <w:rPr>
          <w:rFonts w:asciiTheme="minorHAnsi" w:hAnsiTheme="minorHAnsi"/>
          <w:szCs w:val="22"/>
        </w:rPr>
        <w:t>alterations in building stoc</w:t>
      </w:r>
      <w:r w:rsidR="005E6E1D">
        <w:rPr>
          <w:rFonts w:asciiTheme="minorHAnsi" w:hAnsiTheme="minorHAnsi"/>
          <w:szCs w:val="22"/>
        </w:rPr>
        <w:t>k</w:t>
      </w:r>
      <w:r w:rsidR="003D1F0E">
        <w:rPr>
          <w:rFonts w:asciiTheme="minorHAnsi" w:hAnsiTheme="minorHAnsi"/>
          <w:szCs w:val="22"/>
        </w:rPr>
        <w:t>.</w:t>
      </w:r>
    </w:p>
    <w:p w14:paraId="41BB4FCE" w14:textId="77777777" w:rsidR="00080F7A" w:rsidRPr="00920778" w:rsidRDefault="00080F7A" w:rsidP="00080F7A">
      <w:pPr>
        <w:jc w:val="both"/>
        <w:rPr>
          <w:rFonts w:asciiTheme="minorHAnsi" w:hAnsiTheme="minorHAnsi"/>
        </w:rPr>
      </w:pPr>
    </w:p>
    <w:p w14:paraId="49F177E3" w14:textId="77777777" w:rsidR="00080F7A" w:rsidRPr="00920778" w:rsidRDefault="00080F7A" w:rsidP="00080F7A">
      <w:pPr>
        <w:jc w:val="both"/>
        <w:rPr>
          <w:rFonts w:asciiTheme="minorHAnsi" w:hAnsiTheme="minorHAnsi"/>
        </w:rPr>
      </w:pPr>
    </w:p>
    <w:p w14:paraId="0C9816E3" w14:textId="77777777" w:rsidR="007072A3" w:rsidRDefault="007072A3">
      <w:pPr>
        <w:rPr>
          <w:rFonts w:asciiTheme="minorHAnsi" w:hAnsiTheme="minorHAnsi"/>
          <w:b/>
          <w:snapToGrid w:val="0"/>
          <w:color w:val="000000"/>
          <w:szCs w:val="22"/>
          <w:lang w:eastAsia="en-US"/>
        </w:rPr>
      </w:pPr>
      <w:r>
        <w:rPr>
          <w:rFonts w:asciiTheme="minorHAnsi" w:hAnsiTheme="minorHAnsi"/>
          <w:b/>
          <w:snapToGrid w:val="0"/>
          <w:color w:val="000000"/>
          <w:szCs w:val="22"/>
          <w:lang w:eastAsia="en-US"/>
        </w:rPr>
        <w:br w:type="page"/>
      </w:r>
    </w:p>
    <w:p w14:paraId="0EC93CE3" w14:textId="27E162CD" w:rsidR="00DE1D13" w:rsidRPr="00CF4818" w:rsidRDefault="004471D4" w:rsidP="00BA29F9">
      <w:pPr>
        <w:jc w:val="both"/>
        <w:rPr>
          <w:rFonts w:asciiTheme="minorHAnsi" w:hAnsiTheme="minorHAnsi"/>
          <w:b/>
          <w:snapToGrid w:val="0"/>
          <w:color w:val="000000"/>
          <w:szCs w:val="22"/>
          <w:lang w:eastAsia="en-US"/>
        </w:rPr>
      </w:pPr>
      <w:r w:rsidRPr="00CF4818">
        <w:rPr>
          <w:rFonts w:asciiTheme="minorHAnsi" w:hAnsiTheme="minorHAnsi"/>
          <w:b/>
          <w:snapToGrid w:val="0"/>
          <w:color w:val="000000"/>
          <w:szCs w:val="22"/>
          <w:lang w:eastAsia="en-US"/>
        </w:rPr>
        <w:t>Acknowledgements</w:t>
      </w:r>
    </w:p>
    <w:p w14:paraId="59318F07" w14:textId="77777777" w:rsidR="00E304D0" w:rsidRPr="00CF4818" w:rsidRDefault="00E304D0" w:rsidP="00BA29F9">
      <w:pPr>
        <w:jc w:val="both"/>
        <w:rPr>
          <w:rFonts w:asciiTheme="minorHAnsi" w:hAnsiTheme="minorHAnsi"/>
          <w:b/>
          <w:szCs w:val="22"/>
        </w:rPr>
      </w:pPr>
    </w:p>
    <w:p w14:paraId="5D48F315" w14:textId="3861B99D" w:rsidR="004543AD" w:rsidRPr="007072A3" w:rsidRDefault="00305659" w:rsidP="00B75C50">
      <w:pPr>
        <w:jc w:val="both"/>
        <w:rPr>
          <w:rFonts w:asciiTheme="minorHAnsi" w:hAnsiTheme="minorHAnsi"/>
          <w:szCs w:val="22"/>
        </w:rPr>
      </w:pPr>
      <w:r w:rsidRPr="007072A3">
        <w:rPr>
          <w:rFonts w:asciiTheme="minorHAnsi" w:hAnsiTheme="minorHAnsi"/>
          <w:szCs w:val="22"/>
        </w:rPr>
        <w:t>This work was supported by UK Department of Health</w:t>
      </w:r>
      <w:r w:rsidR="007072A3">
        <w:rPr>
          <w:rFonts w:asciiTheme="minorHAnsi" w:hAnsiTheme="minorHAnsi"/>
          <w:szCs w:val="22"/>
        </w:rPr>
        <w:t>.</w:t>
      </w:r>
      <w:r w:rsidRPr="007072A3">
        <w:rPr>
          <w:rFonts w:asciiTheme="minorHAnsi" w:hAnsiTheme="minorHAnsi"/>
          <w:szCs w:val="22"/>
        </w:rPr>
        <w:t xml:space="preserve"> We also acknowledge the contribution of t</w:t>
      </w:r>
      <w:r w:rsidRPr="007072A3">
        <w:rPr>
          <w:rFonts w:asciiTheme="minorHAnsi" w:hAnsiTheme="minorHAnsi" w:cs="Arial"/>
          <w:shd w:val="clear" w:color="auto" w:fill="FFFFFF"/>
        </w:rPr>
        <w:t xml:space="preserve">he Engineering and Physical Sciences Research Council (EPSRC) to the infrastructure of the Instrumented City Facility, which provided traffic and air pollution data, and Leicester City Council for providing input data for our analysis. </w:t>
      </w:r>
      <w:r w:rsidR="00B75C50">
        <w:rPr>
          <w:rFonts w:asciiTheme="minorHAnsi" w:hAnsiTheme="minorHAnsi" w:cs="Arial"/>
          <w:shd w:val="clear" w:color="auto" w:fill="FFFFFF"/>
        </w:rPr>
        <w:t xml:space="preserve">We gratefully acknowledge the assistance of Matt Hill, and of two MSc students, at the University of Bradford, in developing the model parameterisation for Leicester. </w:t>
      </w:r>
    </w:p>
    <w:p w14:paraId="3369AE39" w14:textId="05B50CA4" w:rsidR="00B031BC" w:rsidRDefault="00B031BC">
      <w:pPr>
        <w:rPr>
          <w:rFonts w:asciiTheme="minorHAnsi" w:hAnsiTheme="minorHAnsi"/>
          <w:b/>
          <w:szCs w:val="22"/>
        </w:rPr>
      </w:pPr>
    </w:p>
    <w:p w14:paraId="52A249EA" w14:textId="38D7371A" w:rsidR="004471D4" w:rsidRPr="00CF4818" w:rsidRDefault="004471D4" w:rsidP="00BA29F9">
      <w:pPr>
        <w:jc w:val="both"/>
        <w:rPr>
          <w:rFonts w:asciiTheme="minorHAnsi" w:hAnsiTheme="minorHAnsi"/>
          <w:b/>
          <w:szCs w:val="22"/>
        </w:rPr>
      </w:pPr>
      <w:r w:rsidRPr="00CF4818">
        <w:rPr>
          <w:rFonts w:asciiTheme="minorHAnsi" w:hAnsiTheme="minorHAnsi"/>
          <w:b/>
          <w:szCs w:val="22"/>
        </w:rPr>
        <w:t xml:space="preserve">References  </w:t>
      </w:r>
    </w:p>
    <w:p w14:paraId="41738010" w14:textId="77777777" w:rsidR="004471D4" w:rsidRPr="00CF4818" w:rsidRDefault="004471D4" w:rsidP="00BA29F9">
      <w:pPr>
        <w:jc w:val="both"/>
        <w:rPr>
          <w:rFonts w:asciiTheme="minorHAnsi" w:hAnsiTheme="minorHAnsi"/>
          <w:szCs w:val="22"/>
        </w:rPr>
      </w:pPr>
    </w:p>
    <w:p w14:paraId="0704C546" w14:textId="7E0024AC" w:rsidR="004471D4" w:rsidRPr="00345F2E" w:rsidRDefault="004471D4" w:rsidP="00BA29F9">
      <w:pPr>
        <w:jc w:val="both"/>
        <w:rPr>
          <w:rFonts w:asciiTheme="minorHAnsi" w:hAnsiTheme="minorHAnsi"/>
          <w:szCs w:val="22"/>
        </w:rPr>
      </w:pPr>
      <w:r w:rsidRPr="00345F2E">
        <w:rPr>
          <w:rFonts w:asciiTheme="minorHAnsi" w:hAnsiTheme="minorHAnsi"/>
          <w:szCs w:val="22"/>
          <w:lang w:val="fi-FI"/>
        </w:rPr>
        <w:t xml:space="preserve">Alm, S., Mukala, K., Pasanen, P., Tiittanen, P., Ruuskanen, J., Tuomisto, J., Jantunen M.J., 1998. </w:t>
      </w:r>
      <w:r w:rsidRPr="00345F2E">
        <w:rPr>
          <w:rFonts w:asciiTheme="minorHAnsi" w:hAnsiTheme="minorHAnsi"/>
          <w:szCs w:val="22"/>
        </w:rPr>
        <w:t>Personal NO</w:t>
      </w:r>
      <w:r w:rsidRPr="00345F2E">
        <w:rPr>
          <w:rFonts w:asciiTheme="minorHAnsi" w:hAnsiTheme="minorHAnsi"/>
          <w:szCs w:val="22"/>
          <w:vertAlign w:val="subscript"/>
        </w:rPr>
        <w:t>2</w:t>
      </w:r>
      <w:r w:rsidRPr="00345F2E">
        <w:rPr>
          <w:rFonts w:asciiTheme="minorHAnsi" w:hAnsiTheme="minorHAnsi"/>
          <w:szCs w:val="22"/>
        </w:rPr>
        <w:t xml:space="preserve"> exposures of pre</w:t>
      </w:r>
      <w:r w:rsidR="00164CF9">
        <w:rPr>
          <w:rFonts w:asciiTheme="minorHAnsi" w:hAnsiTheme="minorHAnsi"/>
          <w:szCs w:val="22"/>
        </w:rPr>
        <w:t>-</w:t>
      </w:r>
      <w:r w:rsidRPr="00345F2E">
        <w:rPr>
          <w:rFonts w:asciiTheme="minorHAnsi" w:hAnsiTheme="minorHAnsi"/>
          <w:szCs w:val="22"/>
        </w:rPr>
        <w:t>school children in Helsinki. Journal o</w:t>
      </w:r>
      <w:r w:rsidR="00C77207" w:rsidRPr="00345F2E">
        <w:rPr>
          <w:rFonts w:asciiTheme="minorHAnsi" w:hAnsiTheme="minorHAnsi"/>
          <w:szCs w:val="22"/>
        </w:rPr>
        <w:t>f</w:t>
      </w:r>
      <w:r w:rsidRPr="00345F2E">
        <w:rPr>
          <w:rFonts w:asciiTheme="minorHAnsi" w:hAnsiTheme="minorHAnsi"/>
          <w:szCs w:val="22"/>
        </w:rPr>
        <w:t xml:space="preserve"> Exposure Analysis and Environmental Epidemiology, 8, 79-100. </w:t>
      </w:r>
    </w:p>
    <w:p w14:paraId="5D10D1A4" w14:textId="77777777" w:rsidR="004F51D1" w:rsidRPr="00345F2E" w:rsidRDefault="004F51D1" w:rsidP="00BA29F9">
      <w:pPr>
        <w:jc w:val="both"/>
        <w:rPr>
          <w:rFonts w:asciiTheme="minorHAnsi" w:hAnsiTheme="minorHAnsi"/>
          <w:szCs w:val="22"/>
        </w:rPr>
      </w:pPr>
    </w:p>
    <w:p w14:paraId="694757CB" w14:textId="378088FC" w:rsidR="00226815" w:rsidRPr="00137DB4" w:rsidRDefault="00336CB8" w:rsidP="00BA29F9">
      <w:pPr>
        <w:jc w:val="both"/>
        <w:rPr>
          <w:rFonts w:asciiTheme="minorHAnsi" w:hAnsiTheme="minorHAnsi"/>
          <w:szCs w:val="22"/>
        </w:rPr>
      </w:pPr>
      <w:r w:rsidRPr="00137DB4">
        <w:rPr>
          <w:rFonts w:asciiTheme="minorHAnsi" w:hAnsiTheme="minorHAnsi"/>
        </w:rPr>
        <w:t>Amaral, A.F.S., Ramasamy, A., Castro-Giner, F., Minelli, C., Accordini, S., Sørheim, I-C.,  Pin, I., Kogevinas, M., Jõgi, R., Balding, D.J., Norbäck, D., Verlato, G., Olivieri, M., Probst</w:t>
      </w:r>
      <w:r w:rsidR="00BC7927" w:rsidRPr="00137DB4">
        <w:rPr>
          <w:rFonts w:asciiTheme="minorHAnsi" w:hAnsiTheme="minorHAnsi"/>
        </w:rPr>
        <w:t>-Hensch, N., Janson, C., Zock, J-P, Heinrich, J., Jarvis D.L.,</w:t>
      </w:r>
      <w:r w:rsidRPr="00137DB4">
        <w:rPr>
          <w:rFonts w:asciiTheme="minorHAnsi" w:hAnsiTheme="minorHAnsi"/>
        </w:rPr>
        <w:t xml:space="preserve"> </w:t>
      </w:r>
      <w:r w:rsidR="00226815" w:rsidRPr="00137DB4">
        <w:rPr>
          <w:rFonts w:asciiTheme="minorHAnsi" w:hAnsiTheme="minorHAnsi"/>
          <w:szCs w:val="22"/>
        </w:rPr>
        <w:t>2014</w:t>
      </w:r>
      <w:r w:rsidR="00815DA8" w:rsidRPr="00137DB4">
        <w:rPr>
          <w:rFonts w:asciiTheme="minorHAnsi" w:hAnsiTheme="minorHAnsi"/>
          <w:szCs w:val="22"/>
        </w:rPr>
        <w:t>.</w:t>
      </w:r>
      <w:r w:rsidR="00226815" w:rsidRPr="00137DB4">
        <w:rPr>
          <w:rFonts w:asciiTheme="minorHAnsi" w:hAnsiTheme="minorHAnsi"/>
          <w:szCs w:val="22"/>
        </w:rPr>
        <w:t xml:space="preserve"> Interaction between gas cooking and GSTM1 null genotype in bronchial responsiveness: results from the European Community Respiratory Survey. Thorax, 69,</w:t>
      </w:r>
      <w:r w:rsidR="00815DA8" w:rsidRPr="00137DB4">
        <w:rPr>
          <w:rFonts w:asciiTheme="minorHAnsi" w:hAnsiTheme="minorHAnsi"/>
          <w:szCs w:val="22"/>
        </w:rPr>
        <w:t xml:space="preserve"> </w:t>
      </w:r>
      <w:r w:rsidR="00226815" w:rsidRPr="00137DB4">
        <w:rPr>
          <w:rFonts w:asciiTheme="minorHAnsi" w:hAnsiTheme="minorHAnsi"/>
          <w:szCs w:val="22"/>
        </w:rPr>
        <w:t xml:space="preserve">558-564.   </w:t>
      </w:r>
    </w:p>
    <w:p w14:paraId="7C958772" w14:textId="77777777" w:rsidR="006278F0" w:rsidRPr="00B031BC" w:rsidRDefault="006278F0" w:rsidP="00B031BC">
      <w:pPr>
        <w:jc w:val="both"/>
        <w:rPr>
          <w:rFonts w:asciiTheme="minorHAnsi" w:hAnsiTheme="minorHAnsi"/>
          <w:szCs w:val="22"/>
        </w:rPr>
      </w:pPr>
    </w:p>
    <w:p w14:paraId="4B76EEFB" w14:textId="7C340604" w:rsidR="00B031BC" w:rsidRPr="00B031BC" w:rsidRDefault="00B031BC" w:rsidP="00B031BC">
      <w:pPr>
        <w:shd w:val="clear" w:color="auto" w:fill="FFFFFF"/>
        <w:spacing w:line="264" w:lineRule="auto"/>
        <w:rPr>
          <w:rFonts w:asciiTheme="minorHAnsi" w:hAnsiTheme="minorHAnsi" w:cs="Arial"/>
          <w:szCs w:val="22"/>
        </w:rPr>
      </w:pPr>
      <w:r w:rsidRPr="00B031BC">
        <w:rPr>
          <w:rFonts w:asciiTheme="minorHAnsi" w:hAnsiTheme="minorHAnsi" w:cs="Arial"/>
          <w:szCs w:val="22"/>
        </w:rPr>
        <w:t>Atkinson</w:t>
      </w:r>
      <w:r w:rsidR="002F5104">
        <w:rPr>
          <w:rFonts w:asciiTheme="minorHAnsi" w:hAnsiTheme="minorHAnsi" w:cs="Arial"/>
          <w:szCs w:val="22"/>
        </w:rPr>
        <w:t>,</w:t>
      </w:r>
      <w:r w:rsidRPr="00B031BC">
        <w:rPr>
          <w:rFonts w:asciiTheme="minorHAnsi" w:hAnsiTheme="minorHAnsi" w:cs="Arial"/>
          <w:szCs w:val="22"/>
        </w:rPr>
        <w:t xml:space="preserve"> R</w:t>
      </w:r>
      <w:r w:rsidR="002F5104">
        <w:rPr>
          <w:rFonts w:asciiTheme="minorHAnsi" w:hAnsiTheme="minorHAnsi" w:cs="Arial"/>
          <w:szCs w:val="22"/>
        </w:rPr>
        <w:t>.</w:t>
      </w:r>
      <w:r w:rsidRPr="00B031BC">
        <w:rPr>
          <w:rFonts w:asciiTheme="minorHAnsi" w:hAnsiTheme="minorHAnsi" w:cs="Arial"/>
          <w:szCs w:val="22"/>
        </w:rPr>
        <w:t>W</w:t>
      </w:r>
      <w:r w:rsidR="002F5104">
        <w:rPr>
          <w:rFonts w:asciiTheme="minorHAnsi" w:hAnsiTheme="minorHAnsi" w:cs="Arial"/>
          <w:szCs w:val="22"/>
        </w:rPr>
        <w:t>.</w:t>
      </w:r>
      <w:r w:rsidRPr="00B031BC">
        <w:rPr>
          <w:rFonts w:asciiTheme="minorHAnsi" w:hAnsiTheme="minorHAnsi" w:cs="Arial"/>
          <w:szCs w:val="22"/>
        </w:rPr>
        <w:t>, Kang</w:t>
      </w:r>
      <w:r w:rsidR="002F5104">
        <w:rPr>
          <w:rFonts w:asciiTheme="minorHAnsi" w:hAnsiTheme="minorHAnsi" w:cs="Arial"/>
          <w:szCs w:val="22"/>
        </w:rPr>
        <w:t>,</w:t>
      </w:r>
      <w:r w:rsidRPr="00B031BC">
        <w:rPr>
          <w:rFonts w:asciiTheme="minorHAnsi" w:hAnsiTheme="minorHAnsi" w:cs="Arial"/>
          <w:szCs w:val="22"/>
        </w:rPr>
        <w:t xml:space="preserve"> S</w:t>
      </w:r>
      <w:r w:rsidR="002F5104">
        <w:rPr>
          <w:rFonts w:asciiTheme="minorHAnsi" w:hAnsiTheme="minorHAnsi" w:cs="Arial"/>
          <w:szCs w:val="22"/>
        </w:rPr>
        <w:t>.</w:t>
      </w:r>
      <w:r w:rsidRPr="00B031BC">
        <w:rPr>
          <w:rFonts w:asciiTheme="minorHAnsi" w:hAnsiTheme="minorHAnsi" w:cs="Arial"/>
          <w:szCs w:val="22"/>
        </w:rPr>
        <w:t>, Anderson</w:t>
      </w:r>
      <w:r w:rsidR="002F5104">
        <w:rPr>
          <w:rFonts w:asciiTheme="minorHAnsi" w:hAnsiTheme="minorHAnsi" w:cs="Arial"/>
          <w:szCs w:val="22"/>
        </w:rPr>
        <w:t>,</w:t>
      </w:r>
      <w:r w:rsidRPr="00B031BC">
        <w:rPr>
          <w:rFonts w:asciiTheme="minorHAnsi" w:hAnsiTheme="minorHAnsi" w:cs="Arial"/>
          <w:szCs w:val="22"/>
        </w:rPr>
        <w:t xml:space="preserve"> H</w:t>
      </w:r>
      <w:r w:rsidR="002F5104">
        <w:rPr>
          <w:rFonts w:asciiTheme="minorHAnsi" w:hAnsiTheme="minorHAnsi" w:cs="Arial"/>
          <w:szCs w:val="22"/>
        </w:rPr>
        <w:t>.</w:t>
      </w:r>
      <w:r w:rsidRPr="00B031BC">
        <w:rPr>
          <w:rFonts w:asciiTheme="minorHAnsi" w:hAnsiTheme="minorHAnsi" w:cs="Arial"/>
          <w:szCs w:val="22"/>
        </w:rPr>
        <w:t>R</w:t>
      </w:r>
      <w:r w:rsidR="002F5104">
        <w:rPr>
          <w:rFonts w:asciiTheme="minorHAnsi" w:hAnsiTheme="minorHAnsi" w:cs="Arial"/>
          <w:szCs w:val="22"/>
        </w:rPr>
        <w:t>.</w:t>
      </w:r>
      <w:r w:rsidRPr="00B031BC">
        <w:rPr>
          <w:rFonts w:asciiTheme="minorHAnsi" w:hAnsiTheme="minorHAnsi" w:cs="Arial"/>
          <w:szCs w:val="22"/>
        </w:rPr>
        <w:t>, Mills</w:t>
      </w:r>
      <w:r w:rsidR="002F5104">
        <w:rPr>
          <w:rFonts w:asciiTheme="minorHAnsi" w:hAnsiTheme="minorHAnsi" w:cs="Arial"/>
          <w:szCs w:val="22"/>
        </w:rPr>
        <w:t>,</w:t>
      </w:r>
      <w:r w:rsidRPr="00B031BC">
        <w:rPr>
          <w:rFonts w:asciiTheme="minorHAnsi" w:hAnsiTheme="minorHAnsi" w:cs="Arial"/>
          <w:szCs w:val="22"/>
        </w:rPr>
        <w:t xml:space="preserve"> I</w:t>
      </w:r>
      <w:r w:rsidR="002F5104">
        <w:rPr>
          <w:rFonts w:asciiTheme="minorHAnsi" w:hAnsiTheme="minorHAnsi" w:cs="Arial"/>
          <w:szCs w:val="22"/>
        </w:rPr>
        <w:t>.</w:t>
      </w:r>
      <w:r w:rsidRPr="00B031BC">
        <w:rPr>
          <w:rFonts w:asciiTheme="minorHAnsi" w:hAnsiTheme="minorHAnsi" w:cs="Arial"/>
          <w:szCs w:val="22"/>
        </w:rPr>
        <w:t>C</w:t>
      </w:r>
      <w:r w:rsidR="002F5104">
        <w:rPr>
          <w:rFonts w:asciiTheme="minorHAnsi" w:hAnsiTheme="minorHAnsi" w:cs="Arial"/>
          <w:szCs w:val="22"/>
        </w:rPr>
        <w:t>.</w:t>
      </w:r>
      <w:r w:rsidRPr="00B031BC">
        <w:rPr>
          <w:rFonts w:asciiTheme="minorHAnsi" w:hAnsiTheme="minorHAnsi" w:cs="Arial"/>
          <w:szCs w:val="22"/>
        </w:rPr>
        <w:t>, Walton</w:t>
      </w:r>
      <w:r w:rsidR="002F5104">
        <w:rPr>
          <w:rFonts w:asciiTheme="minorHAnsi" w:hAnsiTheme="minorHAnsi" w:cs="Arial"/>
          <w:szCs w:val="22"/>
        </w:rPr>
        <w:t>,</w:t>
      </w:r>
      <w:r w:rsidRPr="00B031BC">
        <w:rPr>
          <w:rFonts w:asciiTheme="minorHAnsi" w:hAnsiTheme="minorHAnsi" w:cs="Arial"/>
          <w:szCs w:val="22"/>
        </w:rPr>
        <w:t xml:space="preserve"> H</w:t>
      </w:r>
      <w:r w:rsidR="002F5104">
        <w:rPr>
          <w:rFonts w:asciiTheme="minorHAnsi" w:hAnsiTheme="minorHAnsi" w:cs="Arial"/>
          <w:szCs w:val="22"/>
        </w:rPr>
        <w:t>.</w:t>
      </w:r>
      <w:r w:rsidRPr="00B031BC">
        <w:rPr>
          <w:rFonts w:asciiTheme="minorHAnsi" w:hAnsiTheme="minorHAnsi" w:cs="Arial"/>
          <w:szCs w:val="22"/>
        </w:rPr>
        <w:t>A.</w:t>
      </w:r>
      <w:r w:rsidR="002F5104">
        <w:rPr>
          <w:rFonts w:asciiTheme="minorHAnsi" w:hAnsiTheme="minorHAnsi" w:cs="Arial"/>
          <w:szCs w:val="22"/>
        </w:rPr>
        <w:t xml:space="preserve">, </w:t>
      </w:r>
      <w:r w:rsidRPr="00B031BC">
        <w:rPr>
          <w:rFonts w:asciiTheme="minorHAnsi" w:hAnsiTheme="minorHAnsi" w:cs="Arial"/>
          <w:szCs w:val="22"/>
        </w:rPr>
        <w:t>2014</w:t>
      </w:r>
      <w:r w:rsidR="004D4CB3">
        <w:rPr>
          <w:rFonts w:asciiTheme="minorHAnsi" w:hAnsiTheme="minorHAnsi" w:cs="Arial"/>
          <w:szCs w:val="22"/>
        </w:rPr>
        <w:t>a</w:t>
      </w:r>
      <w:r w:rsidR="002F5104">
        <w:rPr>
          <w:rFonts w:asciiTheme="minorHAnsi" w:hAnsiTheme="minorHAnsi" w:cs="Arial"/>
          <w:szCs w:val="22"/>
        </w:rPr>
        <w:t>.</w:t>
      </w:r>
      <w:r w:rsidRPr="00B031BC">
        <w:rPr>
          <w:rFonts w:asciiTheme="minorHAnsi" w:hAnsiTheme="minorHAnsi" w:cs="Arial"/>
          <w:szCs w:val="22"/>
        </w:rPr>
        <w:t xml:space="preserve"> </w:t>
      </w:r>
      <w:hyperlink r:id="rId35" w:history="1">
        <w:r w:rsidRPr="004D4CB3">
          <w:rPr>
            <w:rStyle w:val="Hyperlink"/>
            <w:rFonts w:asciiTheme="minorHAnsi" w:hAnsiTheme="minorHAnsi" w:cs="Arial"/>
            <w:color w:val="auto"/>
            <w:szCs w:val="22"/>
            <w:u w:val="none"/>
          </w:rPr>
          <w:t>Epidemiological time series studies of PM</w:t>
        </w:r>
        <w:r w:rsidRPr="004D4CB3">
          <w:rPr>
            <w:rStyle w:val="Hyperlink"/>
            <w:rFonts w:asciiTheme="minorHAnsi" w:hAnsiTheme="minorHAnsi" w:cs="Arial"/>
            <w:color w:val="auto"/>
            <w:szCs w:val="22"/>
            <w:u w:val="none"/>
            <w:vertAlign w:val="subscript"/>
          </w:rPr>
          <w:t>2.5</w:t>
        </w:r>
        <w:r w:rsidRPr="004D4CB3">
          <w:rPr>
            <w:rStyle w:val="Hyperlink"/>
            <w:rFonts w:asciiTheme="minorHAnsi" w:hAnsiTheme="minorHAnsi" w:cs="Arial"/>
            <w:color w:val="auto"/>
            <w:szCs w:val="22"/>
            <w:u w:val="none"/>
          </w:rPr>
          <w:t xml:space="preserve"> and daily mortality and hospital admissions: a systematic review and meta-analysis.</w:t>
        </w:r>
      </w:hyperlink>
      <w:r w:rsidRPr="004D4CB3">
        <w:rPr>
          <w:rFonts w:asciiTheme="minorHAnsi" w:hAnsiTheme="minorHAnsi" w:cs="Arial"/>
          <w:szCs w:val="22"/>
        </w:rPr>
        <w:t xml:space="preserve"> </w:t>
      </w:r>
      <w:r w:rsidRPr="004D4CB3">
        <w:rPr>
          <w:rFonts w:asciiTheme="minorHAnsi" w:hAnsiTheme="minorHAnsi" w:cs="Arial"/>
          <w:iCs/>
          <w:szCs w:val="22"/>
        </w:rPr>
        <w:t>Thorax</w:t>
      </w:r>
      <w:r w:rsidR="004D4CB3" w:rsidRPr="004D4CB3">
        <w:rPr>
          <w:rFonts w:asciiTheme="minorHAnsi" w:hAnsiTheme="minorHAnsi" w:cs="Arial"/>
          <w:iCs/>
          <w:szCs w:val="22"/>
        </w:rPr>
        <w:t>,</w:t>
      </w:r>
      <w:r w:rsidRPr="004D4CB3">
        <w:rPr>
          <w:rFonts w:asciiTheme="minorHAnsi" w:hAnsiTheme="minorHAnsi" w:cs="Arial"/>
          <w:szCs w:val="22"/>
        </w:rPr>
        <w:t xml:space="preserve"> </w:t>
      </w:r>
      <w:r w:rsidRPr="004D4CB3">
        <w:rPr>
          <w:rFonts w:asciiTheme="minorHAnsi" w:hAnsiTheme="minorHAnsi" w:cs="Arial"/>
          <w:bCs/>
          <w:szCs w:val="22"/>
        </w:rPr>
        <w:t>69</w:t>
      </w:r>
      <w:r w:rsidR="004D4CB3" w:rsidRPr="004D4CB3">
        <w:rPr>
          <w:rFonts w:asciiTheme="minorHAnsi" w:hAnsiTheme="minorHAnsi" w:cs="Arial"/>
          <w:bCs/>
          <w:szCs w:val="22"/>
        </w:rPr>
        <w:t>,</w:t>
      </w:r>
      <w:r w:rsidRPr="004D4CB3">
        <w:rPr>
          <w:rFonts w:asciiTheme="minorHAnsi" w:hAnsiTheme="minorHAnsi" w:cs="Arial"/>
          <w:szCs w:val="22"/>
        </w:rPr>
        <w:t xml:space="preserve"> 660-665</w:t>
      </w:r>
      <w:r w:rsidRPr="00B031BC">
        <w:rPr>
          <w:rFonts w:asciiTheme="minorHAnsi" w:hAnsiTheme="minorHAnsi" w:cs="Arial"/>
          <w:szCs w:val="22"/>
        </w:rPr>
        <w:t xml:space="preserve">. </w:t>
      </w:r>
    </w:p>
    <w:p w14:paraId="2CBAE4EF" w14:textId="77777777" w:rsidR="00B031BC" w:rsidRPr="00B031BC" w:rsidRDefault="00B031BC" w:rsidP="00B031BC">
      <w:pPr>
        <w:shd w:val="clear" w:color="auto" w:fill="FFFFFF"/>
        <w:spacing w:line="264" w:lineRule="auto"/>
        <w:rPr>
          <w:rFonts w:asciiTheme="minorHAnsi" w:hAnsiTheme="minorHAnsi" w:cs="Arial"/>
          <w:szCs w:val="22"/>
        </w:rPr>
      </w:pPr>
    </w:p>
    <w:p w14:paraId="18ED5ED2" w14:textId="73EC7BCF" w:rsidR="00B031BC" w:rsidRPr="00B031BC" w:rsidRDefault="00B031BC" w:rsidP="00B031BC">
      <w:pPr>
        <w:shd w:val="clear" w:color="auto" w:fill="FFFFFF"/>
        <w:spacing w:line="264" w:lineRule="auto"/>
        <w:rPr>
          <w:rFonts w:asciiTheme="minorHAnsi" w:hAnsiTheme="minorHAnsi" w:cs="Arial"/>
          <w:szCs w:val="22"/>
        </w:rPr>
      </w:pPr>
      <w:r w:rsidRPr="00B031BC">
        <w:rPr>
          <w:rFonts w:asciiTheme="minorHAnsi" w:hAnsiTheme="minorHAnsi" w:cs="Arial"/>
          <w:szCs w:val="22"/>
        </w:rPr>
        <w:t>Atkinson</w:t>
      </w:r>
      <w:r w:rsidR="002F5104">
        <w:rPr>
          <w:rFonts w:asciiTheme="minorHAnsi" w:hAnsiTheme="minorHAnsi" w:cs="Arial"/>
          <w:szCs w:val="22"/>
        </w:rPr>
        <w:t>,</w:t>
      </w:r>
      <w:r w:rsidRPr="00B031BC">
        <w:rPr>
          <w:rFonts w:asciiTheme="minorHAnsi" w:hAnsiTheme="minorHAnsi" w:cs="Arial"/>
          <w:szCs w:val="22"/>
        </w:rPr>
        <w:t xml:space="preserve"> R</w:t>
      </w:r>
      <w:r w:rsidR="002F5104">
        <w:rPr>
          <w:rFonts w:asciiTheme="minorHAnsi" w:hAnsiTheme="minorHAnsi" w:cs="Arial"/>
          <w:szCs w:val="22"/>
        </w:rPr>
        <w:t>.</w:t>
      </w:r>
      <w:r w:rsidRPr="00B031BC">
        <w:rPr>
          <w:rFonts w:asciiTheme="minorHAnsi" w:hAnsiTheme="minorHAnsi" w:cs="Arial"/>
          <w:szCs w:val="22"/>
        </w:rPr>
        <w:t>W</w:t>
      </w:r>
      <w:r w:rsidR="002F5104">
        <w:rPr>
          <w:rFonts w:asciiTheme="minorHAnsi" w:hAnsiTheme="minorHAnsi" w:cs="Arial"/>
          <w:szCs w:val="22"/>
        </w:rPr>
        <w:t>.</w:t>
      </w:r>
      <w:r w:rsidRPr="00B031BC">
        <w:rPr>
          <w:rFonts w:asciiTheme="minorHAnsi" w:hAnsiTheme="minorHAnsi" w:cs="Arial"/>
          <w:szCs w:val="22"/>
        </w:rPr>
        <w:t>, Mills</w:t>
      </w:r>
      <w:r w:rsidR="002F5104">
        <w:rPr>
          <w:rFonts w:asciiTheme="minorHAnsi" w:hAnsiTheme="minorHAnsi" w:cs="Arial"/>
          <w:szCs w:val="22"/>
        </w:rPr>
        <w:t>,</w:t>
      </w:r>
      <w:r w:rsidRPr="00B031BC">
        <w:rPr>
          <w:rFonts w:asciiTheme="minorHAnsi" w:hAnsiTheme="minorHAnsi" w:cs="Arial"/>
          <w:szCs w:val="22"/>
        </w:rPr>
        <w:t xml:space="preserve"> I</w:t>
      </w:r>
      <w:r w:rsidR="002F5104">
        <w:rPr>
          <w:rFonts w:asciiTheme="minorHAnsi" w:hAnsiTheme="minorHAnsi" w:cs="Arial"/>
          <w:szCs w:val="22"/>
        </w:rPr>
        <w:t>.</w:t>
      </w:r>
      <w:r w:rsidRPr="00B031BC">
        <w:rPr>
          <w:rFonts w:asciiTheme="minorHAnsi" w:hAnsiTheme="minorHAnsi" w:cs="Arial"/>
          <w:szCs w:val="22"/>
        </w:rPr>
        <w:t>C</w:t>
      </w:r>
      <w:r w:rsidR="002F5104">
        <w:rPr>
          <w:rFonts w:asciiTheme="minorHAnsi" w:hAnsiTheme="minorHAnsi" w:cs="Arial"/>
          <w:szCs w:val="22"/>
        </w:rPr>
        <w:t>.</w:t>
      </w:r>
      <w:r w:rsidRPr="00B031BC">
        <w:rPr>
          <w:rFonts w:asciiTheme="minorHAnsi" w:hAnsiTheme="minorHAnsi" w:cs="Arial"/>
          <w:szCs w:val="22"/>
        </w:rPr>
        <w:t>, Walton</w:t>
      </w:r>
      <w:r w:rsidR="002F5104">
        <w:rPr>
          <w:rFonts w:asciiTheme="minorHAnsi" w:hAnsiTheme="minorHAnsi" w:cs="Arial"/>
          <w:szCs w:val="22"/>
        </w:rPr>
        <w:t>,</w:t>
      </w:r>
      <w:r w:rsidRPr="00B031BC">
        <w:rPr>
          <w:rFonts w:asciiTheme="minorHAnsi" w:hAnsiTheme="minorHAnsi" w:cs="Arial"/>
          <w:szCs w:val="22"/>
        </w:rPr>
        <w:t xml:space="preserve"> H</w:t>
      </w:r>
      <w:r w:rsidR="002F5104">
        <w:rPr>
          <w:rFonts w:asciiTheme="minorHAnsi" w:hAnsiTheme="minorHAnsi" w:cs="Arial"/>
          <w:szCs w:val="22"/>
        </w:rPr>
        <w:t>.</w:t>
      </w:r>
      <w:r w:rsidRPr="00B031BC">
        <w:rPr>
          <w:rFonts w:asciiTheme="minorHAnsi" w:hAnsiTheme="minorHAnsi" w:cs="Arial"/>
          <w:szCs w:val="22"/>
        </w:rPr>
        <w:t>A</w:t>
      </w:r>
      <w:r w:rsidR="002F5104">
        <w:rPr>
          <w:rFonts w:asciiTheme="minorHAnsi" w:hAnsiTheme="minorHAnsi" w:cs="Arial"/>
          <w:szCs w:val="22"/>
        </w:rPr>
        <w:t>.</w:t>
      </w:r>
      <w:r w:rsidRPr="00B031BC">
        <w:rPr>
          <w:rFonts w:asciiTheme="minorHAnsi" w:hAnsiTheme="minorHAnsi" w:cs="Arial"/>
          <w:szCs w:val="22"/>
        </w:rPr>
        <w:t>, Anderson</w:t>
      </w:r>
      <w:r w:rsidR="002F5104">
        <w:rPr>
          <w:rFonts w:asciiTheme="minorHAnsi" w:hAnsiTheme="minorHAnsi" w:cs="Arial"/>
          <w:szCs w:val="22"/>
        </w:rPr>
        <w:t>,</w:t>
      </w:r>
      <w:r w:rsidRPr="00B031BC">
        <w:rPr>
          <w:rFonts w:asciiTheme="minorHAnsi" w:hAnsiTheme="minorHAnsi" w:cs="Arial"/>
          <w:szCs w:val="22"/>
        </w:rPr>
        <w:t xml:space="preserve"> H</w:t>
      </w:r>
      <w:r w:rsidR="002F5104">
        <w:rPr>
          <w:rFonts w:asciiTheme="minorHAnsi" w:hAnsiTheme="minorHAnsi" w:cs="Arial"/>
          <w:szCs w:val="22"/>
        </w:rPr>
        <w:t>.</w:t>
      </w:r>
      <w:r w:rsidRPr="00B031BC">
        <w:rPr>
          <w:rFonts w:asciiTheme="minorHAnsi" w:hAnsiTheme="minorHAnsi" w:cs="Arial"/>
          <w:szCs w:val="22"/>
        </w:rPr>
        <w:t>R.</w:t>
      </w:r>
      <w:r w:rsidR="002F5104">
        <w:rPr>
          <w:rFonts w:asciiTheme="minorHAnsi" w:hAnsiTheme="minorHAnsi" w:cs="Arial"/>
          <w:szCs w:val="22"/>
        </w:rPr>
        <w:t xml:space="preserve">, </w:t>
      </w:r>
      <w:r w:rsidRPr="00B031BC">
        <w:rPr>
          <w:rFonts w:asciiTheme="minorHAnsi" w:hAnsiTheme="minorHAnsi" w:cs="Arial"/>
          <w:szCs w:val="22"/>
        </w:rPr>
        <w:t>2014</w:t>
      </w:r>
      <w:r w:rsidR="004D4CB3">
        <w:rPr>
          <w:rFonts w:asciiTheme="minorHAnsi" w:hAnsiTheme="minorHAnsi" w:cs="Arial"/>
          <w:szCs w:val="22"/>
        </w:rPr>
        <w:t>b</w:t>
      </w:r>
      <w:r w:rsidR="002F5104">
        <w:rPr>
          <w:rFonts w:asciiTheme="minorHAnsi" w:hAnsiTheme="minorHAnsi" w:cs="Arial"/>
          <w:szCs w:val="22"/>
        </w:rPr>
        <w:t>.</w:t>
      </w:r>
      <w:r w:rsidRPr="00B031BC">
        <w:rPr>
          <w:rFonts w:asciiTheme="minorHAnsi" w:hAnsiTheme="minorHAnsi" w:cs="Arial"/>
          <w:szCs w:val="22"/>
        </w:rPr>
        <w:t xml:space="preserve"> </w:t>
      </w:r>
      <w:hyperlink r:id="rId36" w:history="1">
        <w:r w:rsidRPr="004D4CB3">
          <w:rPr>
            <w:rStyle w:val="Hyperlink"/>
            <w:rFonts w:asciiTheme="minorHAnsi" w:hAnsiTheme="minorHAnsi" w:cs="Arial"/>
            <w:color w:val="auto"/>
            <w:szCs w:val="22"/>
            <w:u w:val="none"/>
          </w:rPr>
          <w:t>Fine particle components and health-a systematic review and meta-analysis of epidemiological time series studies of daily mortality and hospital admissions.</w:t>
        </w:r>
      </w:hyperlink>
      <w:r w:rsidRPr="00B031BC">
        <w:rPr>
          <w:rFonts w:asciiTheme="minorHAnsi" w:hAnsiTheme="minorHAnsi" w:cs="Arial"/>
          <w:szCs w:val="22"/>
        </w:rPr>
        <w:t xml:space="preserve"> </w:t>
      </w:r>
      <w:r w:rsidR="004D4CB3">
        <w:rPr>
          <w:rFonts w:asciiTheme="minorHAnsi" w:hAnsiTheme="minorHAnsi" w:cs="Arial"/>
          <w:szCs w:val="22"/>
        </w:rPr>
        <w:t xml:space="preserve">Journal of Air and Waste Management Association, 25, 208-214. </w:t>
      </w:r>
    </w:p>
    <w:p w14:paraId="70FFF111" w14:textId="77777777" w:rsidR="00226815" w:rsidRPr="00345F2E" w:rsidRDefault="00226815" w:rsidP="00BA29F9">
      <w:pPr>
        <w:jc w:val="both"/>
        <w:rPr>
          <w:rFonts w:asciiTheme="minorHAnsi" w:hAnsiTheme="minorHAnsi"/>
          <w:szCs w:val="22"/>
          <w:highlight w:val="yellow"/>
        </w:rPr>
      </w:pPr>
    </w:p>
    <w:p w14:paraId="25D00FB7" w14:textId="4003246E" w:rsidR="009938A3" w:rsidRDefault="009938A3" w:rsidP="00BA29F9">
      <w:pPr>
        <w:jc w:val="both"/>
        <w:rPr>
          <w:rFonts w:asciiTheme="minorHAnsi" w:hAnsiTheme="minorHAnsi"/>
          <w:szCs w:val="22"/>
        </w:rPr>
      </w:pPr>
      <w:r w:rsidRPr="00345F2E">
        <w:rPr>
          <w:rFonts w:asciiTheme="minorHAnsi" w:hAnsiTheme="minorHAnsi"/>
          <w:szCs w:val="22"/>
        </w:rPr>
        <w:t>Barck</w:t>
      </w:r>
      <w:r w:rsidR="00815DA8">
        <w:rPr>
          <w:rFonts w:asciiTheme="minorHAnsi" w:hAnsiTheme="minorHAnsi"/>
          <w:szCs w:val="22"/>
        </w:rPr>
        <w:t>,</w:t>
      </w:r>
      <w:r w:rsidRPr="00345F2E">
        <w:rPr>
          <w:rFonts w:asciiTheme="minorHAnsi" w:hAnsiTheme="minorHAnsi"/>
          <w:szCs w:val="22"/>
        </w:rPr>
        <w:t xml:space="preserve"> C</w:t>
      </w:r>
      <w:r w:rsidR="00815DA8">
        <w:rPr>
          <w:rFonts w:asciiTheme="minorHAnsi" w:hAnsiTheme="minorHAnsi"/>
          <w:szCs w:val="22"/>
        </w:rPr>
        <w:t>.</w:t>
      </w:r>
      <w:r w:rsidRPr="00345F2E">
        <w:rPr>
          <w:rFonts w:asciiTheme="minorHAnsi" w:hAnsiTheme="minorHAnsi"/>
          <w:szCs w:val="22"/>
        </w:rPr>
        <w:t>, Lundahl</w:t>
      </w:r>
      <w:r w:rsidR="00815DA8">
        <w:rPr>
          <w:rFonts w:asciiTheme="minorHAnsi" w:hAnsiTheme="minorHAnsi"/>
          <w:szCs w:val="22"/>
        </w:rPr>
        <w:t>,</w:t>
      </w:r>
      <w:r w:rsidRPr="00345F2E">
        <w:rPr>
          <w:rFonts w:asciiTheme="minorHAnsi" w:hAnsiTheme="minorHAnsi"/>
          <w:szCs w:val="22"/>
        </w:rPr>
        <w:t xml:space="preserve"> J</w:t>
      </w:r>
      <w:r w:rsidR="00815DA8">
        <w:rPr>
          <w:rFonts w:asciiTheme="minorHAnsi" w:hAnsiTheme="minorHAnsi"/>
          <w:szCs w:val="22"/>
        </w:rPr>
        <w:t>.</w:t>
      </w:r>
      <w:r w:rsidRPr="00345F2E">
        <w:rPr>
          <w:rFonts w:asciiTheme="minorHAnsi" w:hAnsiTheme="minorHAnsi"/>
          <w:szCs w:val="22"/>
        </w:rPr>
        <w:t>, Hallden</w:t>
      </w:r>
      <w:r w:rsidR="00815DA8">
        <w:rPr>
          <w:rFonts w:asciiTheme="minorHAnsi" w:hAnsiTheme="minorHAnsi"/>
          <w:szCs w:val="22"/>
        </w:rPr>
        <w:t>,</w:t>
      </w:r>
      <w:r w:rsidRPr="00345F2E">
        <w:rPr>
          <w:rFonts w:asciiTheme="minorHAnsi" w:hAnsiTheme="minorHAnsi"/>
          <w:szCs w:val="22"/>
        </w:rPr>
        <w:t xml:space="preserve"> G</w:t>
      </w:r>
      <w:r w:rsidR="00815DA8">
        <w:rPr>
          <w:rFonts w:asciiTheme="minorHAnsi" w:hAnsiTheme="minorHAnsi"/>
          <w:szCs w:val="22"/>
        </w:rPr>
        <w:t>.</w:t>
      </w:r>
      <w:r w:rsidRPr="00345F2E">
        <w:rPr>
          <w:rFonts w:asciiTheme="minorHAnsi" w:hAnsiTheme="minorHAnsi"/>
          <w:szCs w:val="22"/>
        </w:rPr>
        <w:t>, Bylin</w:t>
      </w:r>
      <w:r w:rsidR="00815DA8">
        <w:rPr>
          <w:rFonts w:asciiTheme="minorHAnsi" w:hAnsiTheme="minorHAnsi"/>
          <w:szCs w:val="22"/>
        </w:rPr>
        <w:t>,</w:t>
      </w:r>
      <w:r w:rsidRPr="00345F2E">
        <w:rPr>
          <w:rFonts w:asciiTheme="minorHAnsi" w:hAnsiTheme="minorHAnsi"/>
          <w:szCs w:val="22"/>
        </w:rPr>
        <w:t xml:space="preserve"> G</w:t>
      </w:r>
      <w:r w:rsidR="00815DA8">
        <w:rPr>
          <w:rFonts w:asciiTheme="minorHAnsi" w:hAnsiTheme="minorHAnsi"/>
          <w:szCs w:val="22"/>
        </w:rPr>
        <w:t>.,</w:t>
      </w:r>
      <w:r w:rsidRPr="00345F2E">
        <w:rPr>
          <w:rFonts w:asciiTheme="minorHAnsi" w:hAnsiTheme="minorHAnsi"/>
          <w:szCs w:val="22"/>
        </w:rPr>
        <w:t xml:space="preserve"> 2005. Brief exposures to NO</w:t>
      </w:r>
      <w:r w:rsidRPr="00345F2E">
        <w:rPr>
          <w:rFonts w:asciiTheme="minorHAnsi" w:hAnsiTheme="minorHAnsi"/>
          <w:szCs w:val="22"/>
          <w:vertAlign w:val="subscript"/>
        </w:rPr>
        <w:t>2</w:t>
      </w:r>
      <w:r w:rsidRPr="00345F2E">
        <w:rPr>
          <w:rFonts w:asciiTheme="minorHAnsi" w:hAnsiTheme="minorHAnsi"/>
          <w:szCs w:val="22"/>
        </w:rPr>
        <w:t xml:space="preserve"> augment the allergic inflammation in asthmatics. Environment Research, 97, 58-66. </w:t>
      </w:r>
    </w:p>
    <w:p w14:paraId="3610E1E6" w14:textId="77777777" w:rsidR="006278F0" w:rsidRDefault="006278F0" w:rsidP="00BA29F9">
      <w:pPr>
        <w:jc w:val="both"/>
        <w:rPr>
          <w:rFonts w:asciiTheme="minorHAnsi" w:hAnsiTheme="minorHAnsi"/>
          <w:szCs w:val="22"/>
        </w:rPr>
      </w:pPr>
    </w:p>
    <w:p w14:paraId="47F55E47" w14:textId="417C47D3" w:rsidR="006278F0" w:rsidRPr="00137DB4" w:rsidRDefault="00E07639" w:rsidP="00E07639">
      <w:pPr>
        <w:rPr>
          <w:rFonts w:asciiTheme="minorHAnsi" w:hAnsiTheme="minorHAnsi" w:cs="Arial"/>
          <w:szCs w:val="22"/>
          <w:shd w:val="clear" w:color="auto" w:fill="FFFFFF"/>
          <w:vertAlign w:val="superscript"/>
        </w:rPr>
      </w:pPr>
      <w:r w:rsidRPr="00137DB4">
        <w:rPr>
          <w:rFonts w:asciiTheme="minorHAnsi" w:hAnsiTheme="minorHAnsi" w:cs="Arial"/>
          <w:szCs w:val="22"/>
          <w:shd w:val="clear" w:color="auto" w:fill="FFFFFF"/>
        </w:rPr>
        <w:t>Beelen, R.,</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Raaschou-Nielsen, O.,</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Stafoggia, M.,</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Andersen, Z.J.,</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Weinmayr, G.,</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Hoffmann, B.,</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Wolf, K.,</w:t>
      </w:r>
      <w:r w:rsidRPr="00137DB4">
        <w:rPr>
          <w:rFonts w:asciiTheme="minorHAnsi" w:hAnsiTheme="minorHAnsi" w:cs="Arial"/>
          <w:szCs w:val="22"/>
          <w:shd w:val="clear" w:color="auto" w:fill="FFFFFF"/>
          <w:vertAlign w:val="superscript"/>
        </w:rPr>
        <w:t xml:space="preserve"> </w:t>
      </w:r>
      <w:r w:rsidRPr="00137DB4">
        <w:rPr>
          <w:rFonts w:asciiTheme="minorHAnsi" w:hAnsiTheme="minorHAnsi" w:cs="Arial"/>
          <w:szCs w:val="22"/>
          <w:shd w:val="clear" w:color="auto" w:fill="FFFFFF"/>
        </w:rPr>
        <w:t>Samoli, E.,</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Fischer</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P</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Nieuwenhuijsen</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Vineis</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P</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Xun</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W</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Katsouyanni</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K</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Dimakopoulou</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K</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Oudin</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Forsberg</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B</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Modig</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L</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Havulinna</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S</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Lanki</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T</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Turunen</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Oftedal</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B</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Nystad</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W</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Nafstad</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P</w:t>
      </w:r>
      <w:r w:rsidR="00C356F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De Faire</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U</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Pedersen</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N</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L</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Östenson</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C</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G</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Fratiglioni</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L</w:t>
      </w:r>
      <w:r w:rsidR="00F86A6D" w:rsidRPr="00137DB4">
        <w:rPr>
          <w:rFonts w:asciiTheme="minorHAnsi" w:hAnsiTheme="minorHAnsi"/>
          <w:szCs w:val="22"/>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Penell</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J</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Korek</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F86A6D" w:rsidRPr="00137DB4">
        <w:rPr>
          <w:rFonts w:asciiTheme="minorHAnsi" w:hAnsiTheme="minorHAnsi"/>
          <w:szCs w:val="22"/>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Pershagen</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G</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Eriksen</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K</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T</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Overvad K</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00F86A6D" w:rsidRPr="00137DB4">
        <w:rPr>
          <w:rFonts w:asciiTheme="minorHAnsi" w:hAnsiTheme="minorHAnsi" w:cs="Arial"/>
          <w:szCs w:val="22"/>
          <w:shd w:val="clear" w:color="auto" w:fill="FFFFFF"/>
        </w:rPr>
        <w:t xml:space="preserve"> </w:t>
      </w:r>
      <w:r w:rsidRPr="00137DB4">
        <w:rPr>
          <w:rFonts w:asciiTheme="minorHAnsi" w:hAnsiTheme="minorHAnsi" w:cs="Arial"/>
          <w:szCs w:val="22"/>
          <w:shd w:val="clear" w:color="auto" w:fill="FFFFFF"/>
        </w:rPr>
        <w:t>Ellermann</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T</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Eeftens</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Peeters</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P</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H</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Meliefste</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K</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Wang</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Bueno-de-Mesquita</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B</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Sugiri</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D</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Krämer</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U</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Heinrich</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J</w:t>
      </w:r>
      <w:r w:rsidR="00F86A6D"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de Hoogh</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K</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Key</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T</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000342DE" w:rsidRPr="00137DB4">
        <w:rPr>
          <w:rFonts w:asciiTheme="minorHAnsi" w:hAnsiTheme="minorHAnsi" w:cs="Arial"/>
          <w:szCs w:val="22"/>
          <w:shd w:val="clear" w:color="auto" w:fill="FFFFFF"/>
        </w:rPr>
        <w:t xml:space="preserve"> </w:t>
      </w:r>
      <w:r w:rsidRPr="00137DB4">
        <w:rPr>
          <w:rFonts w:asciiTheme="minorHAnsi" w:hAnsiTheme="minorHAnsi" w:cs="Arial"/>
          <w:szCs w:val="22"/>
          <w:shd w:val="clear" w:color="auto" w:fill="FFFFFF"/>
        </w:rPr>
        <w:t>Peters</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Hampel</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R</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Concin</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H</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Nagel</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G</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Ineichen</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0342DE"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Schaffner E</w:t>
      </w:r>
      <w:r w:rsidR="00563352" w:rsidRPr="00137DB4">
        <w:rPr>
          <w:rFonts w:asciiTheme="minorHAnsi" w:hAnsiTheme="minorHAnsi"/>
          <w:szCs w:val="22"/>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Probst-Hensch</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N</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Künzli</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N</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Schindler</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C</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Schikowski</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T</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Adam</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00563352" w:rsidRPr="00137DB4">
        <w:rPr>
          <w:rFonts w:asciiTheme="minorHAnsi" w:hAnsiTheme="minorHAnsi" w:cs="Arial"/>
          <w:szCs w:val="22"/>
          <w:shd w:val="clear" w:color="auto" w:fill="FFFFFF"/>
        </w:rPr>
        <w:t xml:space="preserve"> </w:t>
      </w:r>
      <w:r w:rsidRPr="00137DB4">
        <w:rPr>
          <w:rFonts w:asciiTheme="minorHAnsi" w:hAnsiTheme="minorHAnsi" w:cs="Arial"/>
          <w:szCs w:val="22"/>
          <w:shd w:val="clear" w:color="auto" w:fill="FFFFFF"/>
        </w:rPr>
        <w:t>Phuleria</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H</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Vilier</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Clavel-Chapelon</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F</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Declercq</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C</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Grioni</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S</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Krogh</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V</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Tsai</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Y</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Ricceri</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F</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Sacerdote</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C</w:t>
      </w:r>
      <w:r w:rsidR="00563352"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Galassi</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C</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Migliore</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E</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Ranzi</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Cesaroni</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G</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Badaloni</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C</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Forastiere</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F</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Tamayo</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I</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Amiano</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P</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Dorronsoro</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Katsoulis</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M</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Trichopoulou</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A</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Brunekreef</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B</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w:t>
      </w:r>
      <w:r w:rsidRPr="00137DB4">
        <w:rPr>
          <w:rStyle w:val="apple-converted-space"/>
          <w:rFonts w:asciiTheme="minorHAnsi" w:hAnsiTheme="minorHAnsi" w:cs="Arial"/>
          <w:szCs w:val="22"/>
          <w:shd w:val="clear" w:color="auto" w:fill="FFFFFF"/>
        </w:rPr>
        <w:t> </w:t>
      </w:r>
      <w:r w:rsidRPr="00137DB4">
        <w:rPr>
          <w:rFonts w:asciiTheme="minorHAnsi" w:hAnsiTheme="minorHAnsi" w:cs="Arial"/>
          <w:szCs w:val="22"/>
          <w:shd w:val="clear" w:color="auto" w:fill="FFFFFF"/>
        </w:rPr>
        <w:t>Hoek</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G</w:t>
      </w:r>
      <w:r w:rsidR="0049348A" w:rsidRPr="00137DB4">
        <w:rPr>
          <w:rFonts w:asciiTheme="minorHAnsi" w:hAnsiTheme="minorHAnsi" w:cs="Arial"/>
          <w:szCs w:val="22"/>
          <w:shd w:val="clear" w:color="auto" w:fill="FFFFFF"/>
        </w:rPr>
        <w:t>.</w:t>
      </w:r>
      <w:r w:rsidRPr="00137DB4">
        <w:rPr>
          <w:rFonts w:asciiTheme="minorHAnsi" w:hAnsiTheme="minorHAnsi" w:cs="Arial"/>
          <w:szCs w:val="22"/>
          <w:shd w:val="clear" w:color="auto" w:fill="FFFFFF"/>
        </w:rPr>
        <w:t xml:space="preserve">, </w:t>
      </w:r>
      <w:r w:rsidR="00CF2A0C" w:rsidRPr="00137DB4">
        <w:rPr>
          <w:rFonts w:asciiTheme="minorHAnsi" w:eastAsia="Calibri" w:hAnsiTheme="minorHAnsi" w:cs="Arial"/>
          <w:noProof/>
          <w:szCs w:val="22"/>
          <w:lang w:eastAsia="en-US"/>
        </w:rPr>
        <w:t>2014.</w:t>
      </w:r>
      <w:r w:rsidR="006278F0" w:rsidRPr="00137DB4">
        <w:rPr>
          <w:rFonts w:asciiTheme="minorHAnsi" w:eastAsia="Calibri" w:hAnsiTheme="minorHAnsi" w:cs="Arial"/>
          <w:noProof/>
          <w:szCs w:val="22"/>
          <w:lang w:eastAsia="en-US"/>
        </w:rPr>
        <w:t xml:space="preserve"> Effects of long-term exposure to air pollution on natural-cause mortality: An analysis of 22 European cohorts within the multicentre ESCAPE project. Lancet; 383</w:t>
      </w:r>
      <w:r w:rsidR="00164CF9" w:rsidRPr="00137DB4">
        <w:rPr>
          <w:rFonts w:asciiTheme="minorHAnsi" w:eastAsia="Calibri" w:hAnsiTheme="minorHAnsi" w:cs="Arial"/>
          <w:noProof/>
          <w:szCs w:val="22"/>
          <w:lang w:eastAsia="en-US"/>
        </w:rPr>
        <w:t>,</w:t>
      </w:r>
      <w:r w:rsidR="006278F0" w:rsidRPr="00137DB4">
        <w:rPr>
          <w:rFonts w:asciiTheme="minorHAnsi" w:eastAsia="Calibri" w:hAnsiTheme="minorHAnsi" w:cs="Arial"/>
          <w:noProof/>
          <w:szCs w:val="22"/>
          <w:lang w:eastAsia="en-US"/>
        </w:rPr>
        <w:t xml:space="preserve"> 785-795.</w:t>
      </w:r>
    </w:p>
    <w:p w14:paraId="4041F783" w14:textId="77777777" w:rsidR="009A77BD" w:rsidRDefault="009A77BD" w:rsidP="006278F0">
      <w:pPr>
        <w:jc w:val="both"/>
        <w:rPr>
          <w:rFonts w:asciiTheme="minorHAnsi" w:eastAsia="Calibri" w:hAnsiTheme="minorHAnsi" w:cs="Arial"/>
          <w:noProof/>
          <w:szCs w:val="22"/>
          <w:lang w:eastAsia="en-US"/>
        </w:rPr>
      </w:pPr>
    </w:p>
    <w:p w14:paraId="3DC12E7D" w14:textId="37213958" w:rsidR="009A77BD" w:rsidRPr="00532940" w:rsidRDefault="009A77BD" w:rsidP="006278F0">
      <w:pPr>
        <w:jc w:val="both"/>
        <w:rPr>
          <w:rFonts w:asciiTheme="minorHAnsi" w:eastAsia="Calibri" w:hAnsiTheme="minorHAnsi" w:cs="Arial"/>
          <w:noProof/>
          <w:szCs w:val="22"/>
          <w:lang w:eastAsia="en-US"/>
        </w:rPr>
      </w:pPr>
      <w:r>
        <w:rPr>
          <w:rStyle w:val="apple-converted-space"/>
          <w:rFonts w:asciiTheme="minorHAnsi" w:hAnsiTheme="minorHAnsi" w:cs="Arial"/>
          <w:bCs/>
          <w:szCs w:val="22"/>
        </w:rPr>
        <w:t xml:space="preserve">Beevers, S.D., Kiwiroon, N., Williams, M.L., Kelly, F.J., Anderson, H.R., Carslaw, D.C., 2013. Air pollution </w:t>
      </w:r>
      <w:r w:rsidRPr="00345F2E">
        <w:rPr>
          <w:rFonts w:asciiTheme="minorHAnsi" w:hAnsiTheme="minorHAnsi" w:cs="Arial"/>
          <w:bCs/>
          <w:szCs w:val="22"/>
        </w:rPr>
        <w:t xml:space="preserve">dispersion models for human exposure predictions in London. </w:t>
      </w:r>
      <w:r w:rsidRPr="00345F2E">
        <w:rPr>
          <w:rFonts w:asciiTheme="minorHAnsi" w:hAnsiTheme="minorHAnsi"/>
          <w:szCs w:val="22"/>
        </w:rPr>
        <w:t xml:space="preserve"> Journal of Exposure Analysis and Environmental Epidemiology, 23, 647-653</w:t>
      </w:r>
    </w:p>
    <w:p w14:paraId="10A1A6D5" w14:textId="77777777" w:rsidR="009A77BD" w:rsidRDefault="009A77BD" w:rsidP="00BA29F9">
      <w:pPr>
        <w:autoSpaceDE w:val="0"/>
        <w:autoSpaceDN w:val="0"/>
        <w:adjustRightInd w:val="0"/>
        <w:jc w:val="both"/>
        <w:rPr>
          <w:rFonts w:asciiTheme="minorHAnsi" w:hAnsiTheme="minorHAnsi"/>
          <w:szCs w:val="22"/>
          <w:lang w:eastAsia="el-GR"/>
        </w:rPr>
      </w:pPr>
    </w:p>
    <w:p w14:paraId="5D9B27C5" w14:textId="4D34E744" w:rsidR="00117C12" w:rsidRPr="00345F2E" w:rsidRDefault="00117C12" w:rsidP="00BA29F9">
      <w:pPr>
        <w:autoSpaceDE w:val="0"/>
        <w:autoSpaceDN w:val="0"/>
        <w:adjustRightInd w:val="0"/>
        <w:jc w:val="both"/>
        <w:rPr>
          <w:rFonts w:asciiTheme="minorHAnsi" w:hAnsiTheme="minorHAnsi"/>
          <w:szCs w:val="22"/>
          <w:lang w:eastAsia="el-GR"/>
        </w:rPr>
      </w:pPr>
      <w:r w:rsidRPr="00345F2E">
        <w:rPr>
          <w:rFonts w:asciiTheme="minorHAnsi" w:hAnsiTheme="minorHAnsi"/>
          <w:szCs w:val="22"/>
          <w:lang w:eastAsia="el-GR"/>
        </w:rPr>
        <w:t>Belanger</w:t>
      </w:r>
      <w:r w:rsidR="00815DA8">
        <w:rPr>
          <w:rFonts w:asciiTheme="minorHAnsi" w:hAnsiTheme="minorHAnsi"/>
          <w:szCs w:val="22"/>
          <w:lang w:eastAsia="el-GR"/>
        </w:rPr>
        <w:t>,</w:t>
      </w:r>
      <w:r w:rsidRPr="00345F2E">
        <w:rPr>
          <w:rFonts w:asciiTheme="minorHAnsi" w:hAnsiTheme="minorHAnsi"/>
          <w:szCs w:val="22"/>
          <w:lang w:eastAsia="el-GR"/>
        </w:rPr>
        <w:t xml:space="preserve"> K</w:t>
      </w:r>
      <w:r w:rsidR="00815DA8">
        <w:rPr>
          <w:rFonts w:asciiTheme="minorHAnsi" w:hAnsiTheme="minorHAnsi"/>
          <w:szCs w:val="22"/>
          <w:lang w:eastAsia="el-GR"/>
        </w:rPr>
        <w:t>.</w:t>
      </w:r>
      <w:r w:rsidRPr="00345F2E">
        <w:rPr>
          <w:rFonts w:asciiTheme="minorHAnsi" w:hAnsiTheme="minorHAnsi"/>
          <w:szCs w:val="22"/>
          <w:lang w:eastAsia="el-GR"/>
        </w:rPr>
        <w:t xml:space="preserve">, </w:t>
      </w:r>
      <w:r w:rsidR="00966879" w:rsidRPr="00345F2E">
        <w:rPr>
          <w:rFonts w:asciiTheme="minorHAnsi" w:hAnsiTheme="minorHAnsi"/>
          <w:szCs w:val="22"/>
          <w:lang w:eastAsia="el-GR"/>
        </w:rPr>
        <w:t>H</w:t>
      </w:r>
      <w:r w:rsidRPr="00345F2E">
        <w:rPr>
          <w:rFonts w:asciiTheme="minorHAnsi" w:hAnsiTheme="minorHAnsi"/>
          <w:szCs w:val="22"/>
          <w:lang w:eastAsia="el-GR"/>
        </w:rPr>
        <w:t>olford</w:t>
      </w:r>
      <w:r w:rsidR="00815DA8">
        <w:rPr>
          <w:rFonts w:asciiTheme="minorHAnsi" w:hAnsiTheme="minorHAnsi"/>
          <w:szCs w:val="22"/>
          <w:lang w:eastAsia="el-GR"/>
        </w:rPr>
        <w:t>,</w:t>
      </w:r>
      <w:r w:rsidRPr="00345F2E">
        <w:rPr>
          <w:rFonts w:asciiTheme="minorHAnsi" w:hAnsiTheme="minorHAnsi"/>
          <w:szCs w:val="22"/>
          <w:lang w:eastAsia="el-GR"/>
        </w:rPr>
        <w:t xml:space="preserve"> T</w:t>
      </w:r>
      <w:r w:rsidR="00815DA8">
        <w:rPr>
          <w:rFonts w:asciiTheme="minorHAnsi" w:hAnsiTheme="minorHAnsi"/>
          <w:szCs w:val="22"/>
          <w:lang w:eastAsia="el-GR"/>
        </w:rPr>
        <w:t>.</w:t>
      </w:r>
      <w:r w:rsidRPr="00345F2E">
        <w:rPr>
          <w:rFonts w:asciiTheme="minorHAnsi" w:hAnsiTheme="minorHAnsi"/>
          <w:szCs w:val="22"/>
          <w:lang w:eastAsia="el-GR"/>
        </w:rPr>
        <w:t>R</w:t>
      </w:r>
      <w:r w:rsidR="00815DA8">
        <w:rPr>
          <w:rFonts w:asciiTheme="minorHAnsi" w:hAnsiTheme="minorHAnsi"/>
          <w:szCs w:val="22"/>
          <w:lang w:eastAsia="el-GR"/>
        </w:rPr>
        <w:t>.</w:t>
      </w:r>
      <w:r w:rsidRPr="00345F2E">
        <w:rPr>
          <w:rFonts w:asciiTheme="minorHAnsi" w:hAnsiTheme="minorHAnsi"/>
          <w:szCs w:val="22"/>
          <w:lang w:eastAsia="el-GR"/>
        </w:rPr>
        <w:t>, Gent</w:t>
      </w:r>
      <w:r w:rsidR="00815DA8">
        <w:rPr>
          <w:rFonts w:asciiTheme="minorHAnsi" w:hAnsiTheme="minorHAnsi"/>
          <w:szCs w:val="22"/>
          <w:lang w:eastAsia="el-GR"/>
        </w:rPr>
        <w:t>,</w:t>
      </w:r>
      <w:r w:rsidRPr="00345F2E">
        <w:rPr>
          <w:rFonts w:asciiTheme="minorHAnsi" w:hAnsiTheme="minorHAnsi"/>
          <w:szCs w:val="22"/>
          <w:lang w:eastAsia="el-GR"/>
        </w:rPr>
        <w:t xml:space="preserve"> J</w:t>
      </w:r>
      <w:r w:rsidR="00815DA8">
        <w:rPr>
          <w:rFonts w:asciiTheme="minorHAnsi" w:hAnsiTheme="minorHAnsi"/>
          <w:szCs w:val="22"/>
          <w:lang w:eastAsia="el-GR"/>
        </w:rPr>
        <w:t>.</w:t>
      </w:r>
      <w:r w:rsidRPr="00345F2E">
        <w:rPr>
          <w:rFonts w:asciiTheme="minorHAnsi" w:hAnsiTheme="minorHAnsi"/>
          <w:szCs w:val="22"/>
          <w:lang w:eastAsia="el-GR"/>
        </w:rPr>
        <w:t>F</w:t>
      </w:r>
      <w:r w:rsidR="00815DA8">
        <w:rPr>
          <w:rFonts w:asciiTheme="minorHAnsi" w:hAnsiTheme="minorHAnsi"/>
          <w:szCs w:val="22"/>
          <w:lang w:eastAsia="el-GR"/>
        </w:rPr>
        <w:t>.</w:t>
      </w:r>
      <w:r w:rsidRPr="00345F2E">
        <w:rPr>
          <w:rFonts w:asciiTheme="minorHAnsi" w:hAnsiTheme="minorHAnsi"/>
          <w:szCs w:val="22"/>
          <w:lang w:eastAsia="el-GR"/>
        </w:rPr>
        <w:t>, Hill</w:t>
      </w:r>
      <w:r w:rsidR="00815DA8">
        <w:rPr>
          <w:rFonts w:asciiTheme="minorHAnsi" w:hAnsiTheme="minorHAnsi"/>
          <w:szCs w:val="22"/>
          <w:lang w:eastAsia="el-GR"/>
        </w:rPr>
        <w:t>,</w:t>
      </w:r>
      <w:r w:rsidRPr="00345F2E">
        <w:rPr>
          <w:rFonts w:asciiTheme="minorHAnsi" w:hAnsiTheme="minorHAnsi"/>
          <w:szCs w:val="22"/>
          <w:lang w:eastAsia="el-GR"/>
        </w:rPr>
        <w:t xml:space="preserve"> M</w:t>
      </w:r>
      <w:r w:rsidR="00815DA8">
        <w:rPr>
          <w:rFonts w:asciiTheme="minorHAnsi" w:hAnsiTheme="minorHAnsi"/>
          <w:szCs w:val="22"/>
          <w:lang w:eastAsia="el-GR"/>
        </w:rPr>
        <w:t>.</w:t>
      </w:r>
      <w:r w:rsidRPr="00345F2E">
        <w:rPr>
          <w:rFonts w:asciiTheme="minorHAnsi" w:hAnsiTheme="minorHAnsi"/>
          <w:szCs w:val="22"/>
          <w:lang w:eastAsia="el-GR"/>
        </w:rPr>
        <w:t>E</w:t>
      </w:r>
      <w:r w:rsidR="00815DA8">
        <w:rPr>
          <w:rFonts w:asciiTheme="minorHAnsi" w:hAnsiTheme="minorHAnsi"/>
          <w:szCs w:val="22"/>
          <w:lang w:eastAsia="el-GR"/>
        </w:rPr>
        <w:t>.</w:t>
      </w:r>
      <w:r w:rsidRPr="00345F2E">
        <w:rPr>
          <w:rFonts w:asciiTheme="minorHAnsi" w:hAnsiTheme="minorHAnsi"/>
          <w:szCs w:val="22"/>
          <w:lang w:eastAsia="el-GR"/>
        </w:rPr>
        <w:t>, Kezik</w:t>
      </w:r>
      <w:r w:rsidR="00815DA8">
        <w:rPr>
          <w:rFonts w:asciiTheme="minorHAnsi" w:hAnsiTheme="minorHAnsi"/>
          <w:szCs w:val="22"/>
          <w:lang w:eastAsia="el-GR"/>
        </w:rPr>
        <w:t>,</w:t>
      </w:r>
      <w:r w:rsidRPr="00345F2E">
        <w:rPr>
          <w:rFonts w:asciiTheme="minorHAnsi" w:hAnsiTheme="minorHAnsi"/>
          <w:szCs w:val="22"/>
          <w:lang w:eastAsia="el-GR"/>
        </w:rPr>
        <w:t xml:space="preserve"> J</w:t>
      </w:r>
      <w:r w:rsidR="00815DA8">
        <w:rPr>
          <w:rFonts w:asciiTheme="minorHAnsi" w:hAnsiTheme="minorHAnsi"/>
          <w:szCs w:val="22"/>
          <w:lang w:eastAsia="el-GR"/>
        </w:rPr>
        <w:t>.</w:t>
      </w:r>
      <w:r w:rsidRPr="00345F2E">
        <w:rPr>
          <w:rFonts w:asciiTheme="minorHAnsi" w:hAnsiTheme="minorHAnsi"/>
          <w:szCs w:val="22"/>
          <w:lang w:eastAsia="el-GR"/>
        </w:rPr>
        <w:t>M</w:t>
      </w:r>
      <w:r w:rsidR="00815DA8">
        <w:rPr>
          <w:rFonts w:asciiTheme="minorHAnsi" w:hAnsiTheme="minorHAnsi"/>
          <w:szCs w:val="22"/>
          <w:lang w:eastAsia="el-GR"/>
        </w:rPr>
        <w:t>.</w:t>
      </w:r>
      <w:r w:rsidRPr="00345F2E">
        <w:rPr>
          <w:rFonts w:asciiTheme="minorHAnsi" w:hAnsiTheme="minorHAnsi"/>
          <w:szCs w:val="22"/>
          <w:lang w:eastAsia="el-GR"/>
        </w:rPr>
        <w:t>, Leaderer</w:t>
      </w:r>
      <w:r w:rsidR="00815DA8">
        <w:rPr>
          <w:rFonts w:asciiTheme="minorHAnsi" w:hAnsiTheme="minorHAnsi"/>
          <w:szCs w:val="22"/>
          <w:lang w:eastAsia="el-GR"/>
        </w:rPr>
        <w:t>,</w:t>
      </w:r>
      <w:r w:rsidRPr="00345F2E">
        <w:rPr>
          <w:rFonts w:asciiTheme="minorHAnsi" w:hAnsiTheme="minorHAnsi"/>
          <w:szCs w:val="22"/>
          <w:lang w:eastAsia="el-GR"/>
        </w:rPr>
        <w:t xml:space="preserve"> B</w:t>
      </w:r>
      <w:r w:rsidR="00815DA8">
        <w:rPr>
          <w:rFonts w:asciiTheme="minorHAnsi" w:hAnsiTheme="minorHAnsi"/>
          <w:szCs w:val="22"/>
          <w:lang w:eastAsia="el-GR"/>
        </w:rPr>
        <w:t>.</w:t>
      </w:r>
      <w:r w:rsidRPr="00345F2E">
        <w:rPr>
          <w:rFonts w:asciiTheme="minorHAnsi" w:hAnsiTheme="minorHAnsi"/>
          <w:szCs w:val="22"/>
          <w:lang w:eastAsia="el-GR"/>
        </w:rPr>
        <w:t>P</w:t>
      </w:r>
      <w:r w:rsidR="00815DA8">
        <w:rPr>
          <w:rFonts w:asciiTheme="minorHAnsi" w:hAnsiTheme="minorHAnsi"/>
          <w:szCs w:val="22"/>
          <w:lang w:eastAsia="el-GR"/>
        </w:rPr>
        <w:t>.,</w:t>
      </w:r>
      <w:r w:rsidRPr="00345F2E">
        <w:rPr>
          <w:rFonts w:asciiTheme="minorHAnsi" w:hAnsiTheme="minorHAnsi"/>
          <w:szCs w:val="22"/>
          <w:lang w:eastAsia="el-GR"/>
        </w:rPr>
        <w:t xml:space="preserve"> 2013. Household levels of nitrogen dioxide and pediatric asthma severity. Epidemiology, 24, 320-30. </w:t>
      </w:r>
    </w:p>
    <w:p w14:paraId="2451877C" w14:textId="77777777" w:rsidR="00117C12" w:rsidRPr="00345F2E" w:rsidRDefault="00117C12" w:rsidP="00BA29F9">
      <w:pPr>
        <w:autoSpaceDE w:val="0"/>
        <w:autoSpaceDN w:val="0"/>
        <w:adjustRightInd w:val="0"/>
        <w:jc w:val="both"/>
        <w:rPr>
          <w:rFonts w:asciiTheme="minorHAnsi" w:hAnsiTheme="minorHAnsi"/>
          <w:szCs w:val="22"/>
          <w:lang w:eastAsia="el-GR"/>
        </w:rPr>
      </w:pPr>
    </w:p>
    <w:p w14:paraId="0BE6DECC" w14:textId="77777777" w:rsidR="00F02926" w:rsidRPr="00345F2E" w:rsidRDefault="00F02926" w:rsidP="00BA29F9">
      <w:pPr>
        <w:jc w:val="both"/>
        <w:rPr>
          <w:rFonts w:asciiTheme="minorHAnsi" w:hAnsiTheme="minorHAnsi"/>
          <w:szCs w:val="22"/>
        </w:rPr>
      </w:pPr>
    </w:p>
    <w:p w14:paraId="32FDF7BA" w14:textId="0A0CD709" w:rsidR="001D0056" w:rsidRDefault="001D0056" w:rsidP="00BA29F9">
      <w:pPr>
        <w:autoSpaceDE w:val="0"/>
        <w:autoSpaceDN w:val="0"/>
        <w:adjustRightInd w:val="0"/>
        <w:jc w:val="both"/>
        <w:rPr>
          <w:rFonts w:asciiTheme="minorHAnsi" w:hAnsiTheme="minorHAnsi"/>
          <w:szCs w:val="22"/>
          <w:lang w:eastAsia="el-GR"/>
        </w:rPr>
      </w:pPr>
      <w:r w:rsidRPr="00345F2E">
        <w:rPr>
          <w:rFonts w:asciiTheme="minorHAnsi" w:hAnsiTheme="minorHAnsi"/>
          <w:szCs w:val="22"/>
          <w:lang w:val="pt-PT" w:eastAsia="el-GR"/>
        </w:rPr>
        <w:t>Borrego, C.,  Sa</w:t>
      </w:r>
      <w:r w:rsidRPr="00345F2E">
        <w:rPr>
          <w:rFonts w:asciiTheme="minorHAnsi" w:hAnsiTheme="minorHAnsi"/>
          <w:szCs w:val="22"/>
          <w:lang w:val="el-GR" w:eastAsia="el-GR"/>
        </w:rPr>
        <w:t>΄</w:t>
      </w:r>
      <w:r w:rsidRPr="00345F2E">
        <w:rPr>
          <w:rFonts w:asciiTheme="minorHAnsi" w:hAnsiTheme="minorHAnsi"/>
          <w:szCs w:val="22"/>
          <w:lang w:val="pt-PT" w:eastAsia="el-GR"/>
        </w:rPr>
        <w:t xml:space="preserve">, E.,  Monteiro, A.,  Ferreira, J., Miranda, A.I.,  2009. </w:t>
      </w:r>
      <w:r w:rsidRPr="00345F2E">
        <w:rPr>
          <w:rFonts w:asciiTheme="minorHAnsi" w:hAnsiTheme="minorHAnsi"/>
          <w:szCs w:val="22"/>
          <w:lang w:eastAsia="el-GR"/>
        </w:rPr>
        <w:t xml:space="preserve">Forecasting human exposure to atmospheric pollutants in Portugal – </w:t>
      </w:r>
      <w:r w:rsidR="00815DA8">
        <w:rPr>
          <w:rFonts w:asciiTheme="minorHAnsi" w:hAnsiTheme="minorHAnsi"/>
          <w:szCs w:val="22"/>
          <w:lang w:eastAsia="el-GR"/>
        </w:rPr>
        <w:t>a</w:t>
      </w:r>
      <w:r w:rsidRPr="00345F2E">
        <w:rPr>
          <w:rFonts w:asciiTheme="minorHAnsi" w:hAnsiTheme="minorHAnsi"/>
          <w:szCs w:val="22"/>
          <w:lang w:eastAsia="el-GR"/>
        </w:rPr>
        <w:t xml:space="preserve"> modelling approach. Atmospheric Environment 43, 5796–5806.</w:t>
      </w:r>
    </w:p>
    <w:p w14:paraId="2879289E" w14:textId="77777777" w:rsidR="009A77BD" w:rsidRDefault="009A77BD" w:rsidP="00BA29F9">
      <w:pPr>
        <w:autoSpaceDE w:val="0"/>
        <w:autoSpaceDN w:val="0"/>
        <w:adjustRightInd w:val="0"/>
        <w:jc w:val="both"/>
        <w:rPr>
          <w:rFonts w:asciiTheme="minorHAnsi" w:hAnsiTheme="minorHAnsi"/>
          <w:szCs w:val="22"/>
          <w:lang w:eastAsia="el-GR"/>
        </w:rPr>
      </w:pPr>
    </w:p>
    <w:p w14:paraId="4B17FC94" w14:textId="27049FE2" w:rsidR="009A77BD" w:rsidRPr="009A77BD" w:rsidRDefault="009A77BD" w:rsidP="009A77BD">
      <w:pPr>
        <w:autoSpaceDE w:val="0"/>
        <w:autoSpaceDN w:val="0"/>
        <w:adjustRightInd w:val="0"/>
        <w:rPr>
          <w:rFonts w:asciiTheme="minorHAnsi" w:hAnsiTheme="minorHAnsi"/>
          <w:szCs w:val="22"/>
        </w:rPr>
      </w:pPr>
      <w:r w:rsidRPr="009A77BD">
        <w:rPr>
          <w:rFonts w:asciiTheme="minorHAnsi" w:hAnsiTheme="minorHAnsi"/>
          <w:szCs w:val="22"/>
        </w:rPr>
        <w:t>Breysse</w:t>
      </w:r>
      <w:r>
        <w:rPr>
          <w:rFonts w:asciiTheme="minorHAnsi" w:hAnsiTheme="minorHAnsi"/>
          <w:szCs w:val="22"/>
        </w:rPr>
        <w:t>,</w:t>
      </w:r>
      <w:r w:rsidRPr="009A77BD">
        <w:rPr>
          <w:rFonts w:asciiTheme="minorHAnsi" w:hAnsiTheme="minorHAnsi"/>
          <w:szCs w:val="22"/>
        </w:rPr>
        <w:t xml:space="preserve"> P</w:t>
      </w:r>
      <w:r>
        <w:rPr>
          <w:rFonts w:asciiTheme="minorHAnsi" w:hAnsiTheme="minorHAnsi"/>
          <w:szCs w:val="22"/>
        </w:rPr>
        <w:t>.</w:t>
      </w:r>
      <w:r w:rsidRPr="009A77BD">
        <w:rPr>
          <w:rFonts w:asciiTheme="minorHAnsi" w:hAnsiTheme="minorHAnsi"/>
          <w:szCs w:val="22"/>
        </w:rPr>
        <w:t>N</w:t>
      </w:r>
      <w:r>
        <w:rPr>
          <w:rFonts w:asciiTheme="minorHAnsi" w:hAnsiTheme="minorHAnsi"/>
          <w:szCs w:val="22"/>
        </w:rPr>
        <w:t>.</w:t>
      </w:r>
      <w:r w:rsidRPr="009A77BD">
        <w:rPr>
          <w:rFonts w:asciiTheme="minorHAnsi" w:hAnsiTheme="minorHAnsi"/>
          <w:szCs w:val="22"/>
        </w:rPr>
        <w:t>, Diette</w:t>
      </w:r>
      <w:r>
        <w:rPr>
          <w:rFonts w:asciiTheme="minorHAnsi" w:hAnsiTheme="minorHAnsi"/>
          <w:szCs w:val="22"/>
        </w:rPr>
        <w:t>,</w:t>
      </w:r>
      <w:r w:rsidRPr="009A77BD">
        <w:rPr>
          <w:rFonts w:asciiTheme="minorHAnsi" w:hAnsiTheme="minorHAnsi"/>
          <w:szCs w:val="22"/>
        </w:rPr>
        <w:t xml:space="preserve"> G</w:t>
      </w:r>
      <w:r>
        <w:rPr>
          <w:rFonts w:asciiTheme="minorHAnsi" w:hAnsiTheme="minorHAnsi"/>
          <w:szCs w:val="22"/>
        </w:rPr>
        <w:t>.</w:t>
      </w:r>
      <w:r w:rsidRPr="009A77BD">
        <w:rPr>
          <w:rFonts w:asciiTheme="minorHAnsi" w:hAnsiTheme="minorHAnsi"/>
          <w:szCs w:val="22"/>
        </w:rPr>
        <w:t>B</w:t>
      </w:r>
      <w:r>
        <w:rPr>
          <w:rFonts w:asciiTheme="minorHAnsi" w:hAnsiTheme="minorHAnsi"/>
          <w:szCs w:val="22"/>
        </w:rPr>
        <w:t>.</w:t>
      </w:r>
      <w:r w:rsidRPr="009A77BD">
        <w:rPr>
          <w:rFonts w:asciiTheme="minorHAnsi" w:hAnsiTheme="minorHAnsi"/>
          <w:szCs w:val="22"/>
        </w:rPr>
        <w:t>, Matsui</w:t>
      </w:r>
      <w:r>
        <w:rPr>
          <w:rFonts w:asciiTheme="minorHAnsi" w:hAnsiTheme="minorHAnsi"/>
          <w:szCs w:val="22"/>
        </w:rPr>
        <w:t>,</w:t>
      </w:r>
      <w:r w:rsidRPr="009A77BD">
        <w:rPr>
          <w:rFonts w:asciiTheme="minorHAnsi" w:hAnsiTheme="minorHAnsi"/>
          <w:szCs w:val="22"/>
        </w:rPr>
        <w:t xml:space="preserve"> E</w:t>
      </w:r>
      <w:r>
        <w:rPr>
          <w:rFonts w:asciiTheme="minorHAnsi" w:hAnsiTheme="minorHAnsi"/>
          <w:szCs w:val="22"/>
        </w:rPr>
        <w:t>.</w:t>
      </w:r>
      <w:r w:rsidRPr="009A77BD">
        <w:rPr>
          <w:rFonts w:asciiTheme="minorHAnsi" w:hAnsiTheme="minorHAnsi"/>
          <w:szCs w:val="22"/>
        </w:rPr>
        <w:t>C</w:t>
      </w:r>
      <w:r>
        <w:rPr>
          <w:rFonts w:asciiTheme="minorHAnsi" w:hAnsiTheme="minorHAnsi"/>
          <w:szCs w:val="22"/>
        </w:rPr>
        <w:t>.</w:t>
      </w:r>
      <w:r w:rsidRPr="009A77BD">
        <w:rPr>
          <w:rFonts w:asciiTheme="minorHAnsi" w:hAnsiTheme="minorHAnsi"/>
          <w:szCs w:val="22"/>
        </w:rPr>
        <w:t>, Butz</w:t>
      </w:r>
      <w:r>
        <w:rPr>
          <w:rFonts w:asciiTheme="minorHAnsi" w:hAnsiTheme="minorHAnsi"/>
          <w:szCs w:val="22"/>
        </w:rPr>
        <w:t>,</w:t>
      </w:r>
      <w:r w:rsidRPr="009A77BD">
        <w:rPr>
          <w:rFonts w:asciiTheme="minorHAnsi" w:hAnsiTheme="minorHAnsi"/>
          <w:szCs w:val="22"/>
        </w:rPr>
        <w:t xml:space="preserve"> A</w:t>
      </w:r>
      <w:r>
        <w:rPr>
          <w:rFonts w:asciiTheme="minorHAnsi" w:hAnsiTheme="minorHAnsi"/>
          <w:szCs w:val="22"/>
        </w:rPr>
        <w:t>.</w:t>
      </w:r>
      <w:r w:rsidRPr="009A77BD">
        <w:rPr>
          <w:rFonts w:asciiTheme="minorHAnsi" w:hAnsiTheme="minorHAnsi"/>
          <w:szCs w:val="22"/>
        </w:rPr>
        <w:t>M</w:t>
      </w:r>
      <w:r>
        <w:rPr>
          <w:rFonts w:asciiTheme="minorHAnsi" w:hAnsiTheme="minorHAnsi"/>
          <w:szCs w:val="22"/>
        </w:rPr>
        <w:t>.</w:t>
      </w:r>
      <w:r w:rsidRPr="009A77BD">
        <w:rPr>
          <w:rFonts w:asciiTheme="minorHAnsi" w:hAnsiTheme="minorHAnsi"/>
          <w:szCs w:val="22"/>
        </w:rPr>
        <w:t>, Hansel</w:t>
      </w:r>
      <w:r>
        <w:rPr>
          <w:rFonts w:asciiTheme="minorHAnsi" w:hAnsiTheme="minorHAnsi"/>
          <w:szCs w:val="22"/>
        </w:rPr>
        <w:t>,</w:t>
      </w:r>
      <w:r w:rsidRPr="009A77BD">
        <w:rPr>
          <w:rFonts w:asciiTheme="minorHAnsi" w:hAnsiTheme="minorHAnsi"/>
          <w:szCs w:val="22"/>
        </w:rPr>
        <w:t xml:space="preserve"> N</w:t>
      </w:r>
      <w:r>
        <w:rPr>
          <w:rFonts w:asciiTheme="minorHAnsi" w:hAnsiTheme="minorHAnsi"/>
          <w:szCs w:val="22"/>
        </w:rPr>
        <w:t>.</w:t>
      </w:r>
      <w:r w:rsidRPr="009A77BD">
        <w:rPr>
          <w:rFonts w:asciiTheme="minorHAnsi" w:hAnsiTheme="minorHAnsi"/>
          <w:szCs w:val="22"/>
        </w:rPr>
        <w:t>N</w:t>
      </w:r>
      <w:r>
        <w:rPr>
          <w:rFonts w:asciiTheme="minorHAnsi" w:hAnsiTheme="minorHAnsi"/>
          <w:szCs w:val="22"/>
        </w:rPr>
        <w:t>.</w:t>
      </w:r>
      <w:r w:rsidRPr="009A77BD">
        <w:rPr>
          <w:rFonts w:asciiTheme="minorHAnsi" w:hAnsiTheme="minorHAnsi"/>
          <w:szCs w:val="22"/>
        </w:rPr>
        <w:t>, McCormack</w:t>
      </w:r>
      <w:r>
        <w:rPr>
          <w:rFonts w:asciiTheme="minorHAnsi" w:hAnsiTheme="minorHAnsi"/>
          <w:szCs w:val="22"/>
        </w:rPr>
        <w:t>,</w:t>
      </w:r>
      <w:r w:rsidRPr="009A77BD">
        <w:rPr>
          <w:rFonts w:asciiTheme="minorHAnsi" w:hAnsiTheme="minorHAnsi"/>
          <w:szCs w:val="22"/>
        </w:rPr>
        <w:t xml:space="preserve"> M</w:t>
      </w:r>
      <w:r>
        <w:rPr>
          <w:rFonts w:asciiTheme="minorHAnsi" w:hAnsiTheme="minorHAnsi"/>
          <w:szCs w:val="22"/>
        </w:rPr>
        <w:t>.</w:t>
      </w:r>
      <w:r w:rsidRPr="009A77BD">
        <w:rPr>
          <w:rFonts w:asciiTheme="minorHAnsi" w:hAnsiTheme="minorHAnsi"/>
          <w:szCs w:val="22"/>
        </w:rPr>
        <w:t>C</w:t>
      </w:r>
      <w:r>
        <w:rPr>
          <w:rFonts w:asciiTheme="minorHAnsi" w:hAnsiTheme="minorHAnsi"/>
          <w:szCs w:val="22"/>
        </w:rPr>
        <w:t>., 2010</w:t>
      </w:r>
      <w:r w:rsidRPr="009A77BD">
        <w:rPr>
          <w:rFonts w:asciiTheme="minorHAnsi" w:hAnsiTheme="minorHAnsi"/>
          <w:szCs w:val="22"/>
        </w:rPr>
        <w:t>. Indoor air pollution and asthma in ch</w:t>
      </w:r>
      <w:r>
        <w:rPr>
          <w:rFonts w:asciiTheme="minorHAnsi" w:hAnsiTheme="minorHAnsi"/>
          <w:szCs w:val="22"/>
        </w:rPr>
        <w:t>ildren. Proc</w:t>
      </w:r>
      <w:r w:rsidR="00F76C98">
        <w:rPr>
          <w:rFonts w:asciiTheme="minorHAnsi" w:hAnsiTheme="minorHAnsi"/>
          <w:szCs w:val="22"/>
        </w:rPr>
        <w:t>eedings of</w:t>
      </w:r>
      <w:r>
        <w:rPr>
          <w:rFonts w:asciiTheme="minorHAnsi" w:hAnsiTheme="minorHAnsi"/>
          <w:szCs w:val="22"/>
        </w:rPr>
        <w:t xml:space="preserve"> Am</w:t>
      </w:r>
      <w:r w:rsidR="00F76C98">
        <w:rPr>
          <w:rFonts w:asciiTheme="minorHAnsi" w:hAnsiTheme="minorHAnsi"/>
          <w:szCs w:val="22"/>
        </w:rPr>
        <w:t>erican</w:t>
      </w:r>
      <w:r>
        <w:rPr>
          <w:rFonts w:asciiTheme="minorHAnsi" w:hAnsiTheme="minorHAnsi"/>
          <w:szCs w:val="22"/>
        </w:rPr>
        <w:t xml:space="preserve"> Thorac</w:t>
      </w:r>
      <w:r w:rsidR="00F76C98">
        <w:rPr>
          <w:rFonts w:asciiTheme="minorHAnsi" w:hAnsiTheme="minorHAnsi"/>
          <w:szCs w:val="22"/>
        </w:rPr>
        <w:t>ic</w:t>
      </w:r>
      <w:r>
        <w:rPr>
          <w:rFonts w:asciiTheme="minorHAnsi" w:hAnsiTheme="minorHAnsi"/>
          <w:szCs w:val="22"/>
        </w:rPr>
        <w:t xml:space="preserve"> Soc</w:t>
      </w:r>
      <w:r w:rsidR="00F76C98">
        <w:rPr>
          <w:rFonts w:asciiTheme="minorHAnsi" w:hAnsiTheme="minorHAnsi"/>
          <w:szCs w:val="22"/>
        </w:rPr>
        <w:t xml:space="preserve">iety, 7, </w:t>
      </w:r>
      <w:r w:rsidRPr="009A77BD">
        <w:rPr>
          <w:rFonts w:asciiTheme="minorHAnsi" w:hAnsiTheme="minorHAnsi"/>
          <w:szCs w:val="22"/>
        </w:rPr>
        <w:t xml:space="preserve">102–106. </w:t>
      </w:r>
    </w:p>
    <w:p w14:paraId="54155636" w14:textId="77777777" w:rsidR="004471D4" w:rsidRPr="00345F2E" w:rsidRDefault="004471D4" w:rsidP="00BA29F9">
      <w:pPr>
        <w:jc w:val="both"/>
        <w:rPr>
          <w:rFonts w:asciiTheme="minorHAnsi" w:hAnsiTheme="minorHAnsi"/>
          <w:szCs w:val="22"/>
        </w:rPr>
      </w:pPr>
    </w:p>
    <w:p w14:paraId="519945EF" w14:textId="421EA36B" w:rsidR="00F045F6" w:rsidRPr="00345F2E" w:rsidRDefault="00F045F6" w:rsidP="00BA29F9">
      <w:pPr>
        <w:jc w:val="both"/>
        <w:rPr>
          <w:rFonts w:asciiTheme="minorHAnsi" w:hAnsiTheme="minorHAnsi"/>
          <w:szCs w:val="22"/>
        </w:rPr>
      </w:pPr>
      <w:r w:rsidRPr="00345F2E">
        <w:rPr>
          <w:rFonts w:asciiTheme="minorHAnsi" w:hAnsiTheme="minorHAnsi"/>
          <w:szCs w:val="22"/>
        </w:rPr>
        <w:t>Br</w:t>
      </w:r>
      <w:r w:rsidR="004543AD" w:rsidRPr="00345F2E">
        <w:rPr>
          <w:rFonts w:asciiTheme="minorHAnsi" w:hAnsiTheme="minorHAnsi"/>
          <w:szCs w:val="22"/>
        </w:rPr>
        <w:t>o</w:t>
      </w:r>
      <w:r w:rsidRPr="00345F2E">
        <w:rPr>
          <w:rFonts w:asciiTheme="minorHAnsi" w:hAnsiTheme="minorHAnsi"/>
          <w:szCs w:val="22"/>
        </w:rPr>
        <w:t>ok</w:t>
      </w:r>
      <w:r w:rsidR="00815DA8">
        <w:rPr>
          <w:rFonts w:asciiTheme="minorHAnsi" w:hAnsiTheme="minorHAnsi"/>
          <w:szCs w:val="22"/>
        </w:rPr>
        <w:t>,</w:t>
      </w:r>
      <w:r w:rsidRPr="00345F2E">
        <w:rPr>
          <w:rFonts w:asciiTheme="minorHAnsi" w:hAnsiTheme="minorHAnsi"/>
          <w:szCs w:val="22"/>
        </w:rPr>
        <w:t xml:space="preserve"> R</w:t>
      </w:r>
      <w:r w:rsidR="00815DA8">
        <w:rPr>
          <w:rFonts w:asciiTheme="minorHAnsi" w:hAnsiTheme="minorHAnsi"/>
          <w:szCs w:val="22"/>
        </w:rPr>
        <w:t>.</w:t>
      </w:r>
      <w:r w:rsidRPr="00345F2E">
        <w:rPr>
          <w:rFonts w:asciiTheme="minorHAnsi" w:hAnsiTheme="minorHAnsi"/>
          <w:szCs w:val="22"/>
        </w:rPr>
        <w:t>D</w:t>
      </w:r>
      <w:r w:rsidR="00815DA8">
        <w:rPr>
          <w:rFonts w:asciiTheme="minorHAnsi" w:hAnsiTheme="minorHAnsi"/>
          <w:szCs w:val="22"/>
        </w:rPr>
        <w:t>.</w:t>
      </w:r>
      <w:r w:rsidRPr="00345F2E">
        <w:rPr>
          <w:rFonts w:asciiTheme="minorHAnsi" w:hAnsiTheme="minorHAnsi"/>
          <w:szCs w:val="22"/>
        </w:rPr>
        <w:t>, Bard</w:t>
      </w:r>
      <w:r w:rsidR="00815DA8">
        <w:rPr>
          <w:rFonts w:asciiTheme="minorHAnsi" w:hAnsiTheme="minorHAnsi"/>
          <w:szCs w:val="22"/>
        </w:rPr>
        <w:t>,</w:t>
      </w:r>
      <w:r w:rsidRPr="00345F2E">
        <w:rPr>
          <w:rFonts w:asciiTheme="minorHAnsi" w:hAnsiTheme="minorHAnsi"/>
          <w:szCs w:val="22"/>
        </w:rPr>
        <w:t xml:space="preserve"> R</w:t>
      </w:r>
      <w:r w:rsidR="00815DA8">
        <w:rPr>
          <w:rFonts w:asciiTheme="minorHAnsi" w:hAnsiTheme="minorHAnsi"/>
          <w:szCs w:val="22"/>
        </w:rPr>
        <w:t>.</w:t>
      </w:r>
      <w:r w:rsidRPr="00345F2E">
        <w:rPr>
          <w:rFonts w:asciiTheme="minorHAnsi" w:hAnsiTheme="minorHAnsi"/>
          <w:szCs w:val="22"/>
        </w:rPr>
        <w:t>L</w:t>
      </w:r>
      <w:r w:rsidR="00815DA8">
        <w:rPr>
          <w:rFonts w:asciiTheme="minorHAnsi" w:hAnsiTheme="minorHAnsi"/>
          <w:szCs w:val="22"/>
        </w:rPr>
        <w:t>.</w:t>
      </w:r>
      <w:r w:rsidRPr="00345F2E">
        <w:rPr>
          <w:rFonts w:asciiTheme="minorHAnsi" w:hAnsiTheme="minorHAnsi"/>
          <w:szCs w:val="22"/>
        </w:rPr>
        <w:t>, Burnett</w:t>
      </w:r>
      <w:r w:rsidR="00815DA8">
        <w:rPr>
          <w:rFonts w:asciiTheme="minorHAnsi" w:hAnsiTheme="minorHAnsi"/>
          <w:szCs w:val="22"/>
        </w:rPr>
        <w:t>,</w:t>
      </w:r>
      <w:r w:rsidRPr="00345F2E">
        <w:rPr>
          <w:rFonts w:asciiTheme="minorHAnsi" w:hAnsiTheme="minorHAnsi"/>
          <w:szCs w:val="22"/>
        </w:rPr>
        <w:t xml:space="preserve"> R</w:t>
      </w:r>
      <w:r w:rsidR="00815DA8">
        <w:rPr>
          <w:rFonts w:asciiTheme="minorHAnsi" w:hAnsiTheme="minorHAnsi"/>
          <w:szCs w:val="22"/>
        </w:rPr>
        <w:t>.</w:t>
      </w:r>
      <w:r w:rsidRPr="00345F2E">
        <w:rPr>
          <w:rFonts w:asciiTheme="minorHAnsi" w:hAnsiTheme="minorHAnsi"/>
          <w:szCs w:val="22"/>
        </w:rPr>
        <w:t>T</w:t>
      </w:r>
      <w:r w:rsidR="00815DA8">
        <w:rPr>
          <w:rFonts w:asciiTheme="minorHAnsi" w:hAnsiTheme="minorHAnsi"/>
          <w:szCs w:val="22"/>
        </w:rPr>
        <w:t>.</w:t>
      </w:r>
      <w:r w:rsidRPr="00345F2E">
        <w:rPr>
          <w:rFonts w:asciiTheme="minorHAnsi" w:hAnsiTheme="minorHAnsi"/>
          <w:szCs w:val="22"/>
        </w:rPr>
        <w:t>, Shin</w:t>
      </w:r>
      <w:r w:rsidR="00815DA8">
        <w:rPr>
          <w:rFonts w:asciiTheme="minorHAnsi" w:hAnsiTheme="minorHAnsi"/>
          <w:szCs w:val="22"/>
        </w:rPr>
        <w:t>,</w:t>
      </w:r>
      <w:r w:rsidRPr="00345F2E">
        <w:rPr>
          <w:rFonts w:asciiTheme="minorHAnsi" w:hAnsiTheme="minorHAnsi"/>
          <w:szCs w:val="22"/>
        </w:rPr>
        <w:t xml:space="preserve"> H</w:t>
      </w:r>
      <w:r w:rsidR="00815DA8">
        <w:rPr>
          <w:rFonts w:asciiTheme="minorHAnsi" w:hAnsiTheme="minorHAnsi"/>
          <w:szCs w:val="22"/>
        </w:rPr>
        <w:t>.</w:t>
      </w:r>
      <w:r w:rsidRPr="00345F2E">
        <w:rPr>
          <w:rFonts w:asciiTheme="minorHAnsi" w:hAnsiTheme="minorHAnsi"/>
          <w:szCs w:val="22"/>
        </w:rPr>
        <w:t>H</w:t>
      </w:r>
      <w:r w:rsidR="00815DA8">
        <w:rPr>
          <w:rFonts w:asciiTheme="minorHAnsi" w:hAnsiTheme="minorHAnsi"/>
          <w:szCs w:val="22"/>
        </w:rPr>
        <w:t>.</w:t>
      </w:r>
      <w:r w:rsidRPr="00345F2E">
        <w:rPr>
          <w:rFonts w:asciiTheme="minorHAnsi" w:hAnsiTheme="minorHAnsi"/>
          <w:szCs w:val="22"/>
        </w:rPr>
        <w:t>, Vette</w:t>
      </w:r>
      <w:r w:rsidR="00815DA8">
        <w:rPr>
          <w:rFonts w:asciiTheme="minorHAnsi" w:hAnsiTheme="minorHAnsi"/>
          <w:szCs w:val="22"/>
        </w:rPr>
        <w:t>,</w:t>
      </w:r>
      <w:r w:rsidRPr="00345F2E">
        <w:rPr>
          <w:rFonts w:asciiTheme="minorHAnsi" w:hAnsiTheme="minorHAnsi"/>
          <w:szCs w:val="22"/>
        </w:rPr>
        <w:t xml:space="preserve"> A</w:t>
      </w:r>
      <w:r w:rsidR="00815DA8">
        <w:rPr>
          <w:rFonts w:asciiTheme="minorHAnsi" w:hAnsiTheme="minorHAnsi"/>
          <w:szCs w:val="22"/>
        </w:rPr>
        <w:t>.</w:t>
      </w:r>
      <w:r w:rsidRPr="00345F2E">
        <w:rPr>
          <w:rFonts w:asciiTheme="minorHAnsi" w:hAnsiTheme="minorHAnsi"/>
          <w:szCs w:val="22"/>
        </w:rPr>
        <w:t>, Croghan</w:t>
      </w:r>
      <w:r w:rsidR="00815DA8">
        <w:rPr>
          <w:rFonts w:asciiTheme="minorHAnsi" w:hAnsiTheme="minorHAnsi"/>
          <w:szCs w:val="22"/>
        </w:rPr>
        <w:t>,</w:t>
      </w:r>
      <w:r w:rsidRPr="00345F2E">
        <w:rPr>
          <w:rFonts w:asciiTheme="minorHAnsi" w:hAnsiTheme="minorHAnsi"/>
          <w:szCs w:val="22"/>
        </w:rPr>
        <w:t xml:space="preserve"> C</w:t>
      </w:r>
      <w:r w:rsidR="00815DA8">
        <w:rPr>
          <w:rFonts w:asciiTheme="minorHAnsi" w:hAnsiTheme="minorHAnsi"/>
          <w:szCs w:val="22"/>
        </w:rPr>
        <w:t>.</w:t>
      </w:r>
      <w:r w:rsidRPr="00345F2E">
        <w:rPr>
          <w:rFonts w:asciiTheme="minorHAnsi" w:hAnsiTheme="minorHAnsi"/>
          <w:szCs w:val="22"/>
        </w:rPr>
        <w:t>, Phillips</w:t>
      </w:r>
      <w:r w:rsidR="00815DA8">
        <w:rPr>
          <w:rFonts w:asciiTheme="minorHAnsi" w:hAnsiTheme="minorHAnsi"/>
          <w:szCs w:val="22"/>
        </w:rPr>
        <w:t>,</w:t>
      </w:r>
      <w:r w:rsidRPr="00345F2E">
        <w:rPr>
          <w:rFonts w:asciiTheme="minorHAnsi" w:hAnsiTheme="minorHAnsi"/>
          <w:szCs w:val="22"/>
        </w:rPr>
        <w:t xml:space="preserve"> M</w:t>
      </w:r>
      <w:r w:rsidR="00815DA8">
        <w:rPr>
          <w:rFonts w:asciiTheme="minorHAnsi" w:hAnsiTheme="minorHAnsi"/>
          <w:szCs w:val="22"/>
        </w:rPr>
        <w:t>.</w:t>
      </w:r>
      <w:r w:rsidRPr="00345F2E">
        <w:rPr>
          <w:rFonts w:asciiTheme="minorHAnsi" w:hAnsiTheme="minorHAnsi"/>
          <w:szCs w:val="22"/>
        </w:rPr>
        <w:t>, Rodes</w:t>
      </w:r>
      <w:r w:rsidR="00815DA8">
        <w:rPr>
          <w:rFonts w:asciiTheme="minorHAnsi" w:hAnsiTheme="minorHAnsi"/>
          <w:szCs w:val="22"/>
        </w:rPr>
        <w:t>,</w:t>
      </w:r>
      <w:r w:rsidRPr="00345F2E">
        <w:rPr>
          <w:rFonts w:asciiTheme="minorHAnsi" w:hAnsiTheme="minorHAnsi"/>
          <w:szCs w:val="22"/>
        </w:rPr>
        <w:t xml:space="preserve"> C</w:t>
      </w:r>
      <w:r w:rsidR="00815DA8">
        <w:rPr>
          <w:rFonts w:asciiTheme="minorHAnsi" w:hAnsiTheme="minorHAnsi"/>
          <w:szCs w:val="22"/>
        </w:rPr>
        <w:t>.</w:t>
      </w:r>
      <w:r w:rsidRPr="00345F2E">
        <w:rPr>
          <w:rFonts w:asciiTheme="minorHAnsi" w:hAnsiTheme="minorHAnsi"/>
          <w:szCs w:val="22"/>
        </w:rPr>
        <w:t>, Thornburg</w:t>
      </w:r>
      <w:r w:rsidR="00815DA8">
        <w:rPr>
          <w:rFonts w:asciiTheme="minorHAnsi" w:hAnsiTheme="minorHAnsi"/>
          <w:szCs w:val="22"/>
        </w:rPr>
        <w:t>,</w:t>
      </w:r>
      <w:r w:rsidRPr="00345F2E">
        <w:rPr>
          <w:rFonts w:asciiTheme="minorHAnsi" w:hAnsiTheme="minorHAnsi"/>
          <w:szCs w:val="22"/>
        </w:rPr>
        <w:t xml:space="preserve"> J</w:t>
      </w:r>
      <w:r w:rsidR="00815DA8">
        <w:rPr>
          <w:rFonts w:asciiTheme="minorHAnsi" w:hAnsiTheme="minorHAnsi"/>
          <w:szCs w:val="22"/>
        </w:rPr>
        <w:t>.</w:t>
      </w:r>
      <w:r w:rsidRPr="00345F2E">
        <w:rPr>
          <w:rFonts w:asciiTheme="minorHAnsi" w:hAnsiTheme="minorHAnsi"/>
          <w:szCs w:val="22"/>
        </w:rPr>
        <w:t>, Williams</w:t>
      </w:r>
      <w:r w:rsidR="00815DA8">
        <w:rPr>
          <w:rFonts w:asciiTheme="minorHAnsi" w:hAnsiTheme="minorHAnsi"/>
          <w:szCs w:val="22"/>
        </w:rPr>
        <w:t>,</w:t>
      </w:r>
      <w:r w:rsidRPr="00345F2E">
        <w:rPr>
          <w:rFonts w:asciiTheme="minorHAnsi" w:hAnsiTheme="minorHAnsi"/>
          <w:szCs w:val="22"/>
        </w:rPr>
        <w:t xml:space="preserve"> R</w:t>
      </w:r>
      <w:r w:rsidR="00815DA8">
        <w:rPr>
          <w:rFonts w:asciiTheme="minorHAnsi" w:hAnsiTheme="minorHAnsi"/>
          <w:szCs w:val="22"/>
        </w:rPr>
        <w:t>.,</w:t>
      </w:r>
      <w:r w:rsidRPr="00345F2E">
        <w:rPr>
          <w:rFonts w:asciiTheme="minorHAnsi" w:hAnsiTheme="minorHAnsi"/>
          <w:szCs w:val="22"/>
        </w:rPr>
        <w:t xml:space="preserve"> 2011. Differences in blood pressure and vascular responses associated with ambient fine particulate matter exposures measured at the personal versus community level. </w:t>
      </w:r>
      <w:r w:rsidR="0046778E" w:rsidRPr="00345F2E">
        <w:rPr>
          <w:rFonts w:asciiTheme="minorHAnsi" w:hAnsiTheme="minorHAnsi"/>
          <w:szCs w:val="22"/>
        </w:rPr>
        <w:t xml:space="preserve">Occupational and Environmental Medicine, 68, 224-230. </w:t>
      </w:r>
    </w:p>
    <w:p w14:paraId="001CC662" w14:textId="77777777" w:rsidR="0035278A" w:rsidRPr="00345F2E" w:rsidRDefault="0035278A" w:rsidP="00BA29F9">
      <w:pPr>
        <w:jc w:val="both"/>
        <w:rPr>
          <w:rFonts w:asciiTheme="minorHAnsi" w:hAnsiTheme="minorHAnsi"/>
          <w:szCs w:val="22"/>
        </w:rPr>
      </w:pPr>
    </w:p>
    <w:p w14:paraId="6AF347EF" w14:textId="77777777" w:rsidR="0035278A" w:rsidRPr="00345F2E" w:rsidRDefault="0035278A" w:rsidP="00FE4A76">
      <w:pPr>
        <w:autoSpaceDE w:val="0"/>
        <w:autoSpaceDN w:val="0"/>
        <w:adjustRightInd w:val="0"/>
        <w:jc w:val="both"/>
        <w:rPr>
          <w:rFonts w:asciiTheme="minorHAnsi" w:hAnsiTheme="minorHAnsi" w:cs="AdvOT863180fb"/>
          <w:szCs w:val="22"/>
        </w:rPr>
      </w:pPr>
      <w:r w:rsidRPr="00345F2E">
        <w:rPr>
          <w:rFonts w:asciiTheme="minorHAnsi" w:hAnsiTheme="minorHAnsi" w:cs="AdvOT863180fb"/>
          <w:szCs w:val="22"/>
        </w:rPr>
        <w:t>Brown, K.W., Sarnat, J.A., Suh, H.H., Coull, B.A., Koutrakis, P., 2009. Factors in</w:t>
      </w:r>
      <w:r w:rsidRPr="00345F2E">
        <w:rPr>
          <w:rFonts w:asciiTheme="minorHAnsi" w:hAnsiTheme="minorHAnsi" w:cs="AdvOT863180fb+fb"/>
          <w:szCs w:val="22"/>
        </w:rPr>
        <w:t>fl</w:t>
      </w:r>
      <w:r w:rsidRPr="00345F2E">
        <w:rPr>
          <w:rFonts w:asciiTheme="minorHAnsi" w:hAnsiTheme="minorHAnsi" w:cs="AdvOT863180fb"/>
          <w:szCs w:val="22"/>
        </w:rPr>
        <w:t>uencing relationships between personal and ambient concentrations of gaseous and particulate pollutants. Science of the Total Environment 407, 3754</w:t>
      </w:r>
      <w:r w:rsidRPr="00345F2E">
        <w:rPr>
          <w:rFonts w:asciiTheme="minorHAnsi" w:hAnsiTheme="minorHAnsi" w:cs="AdvPS44A44B"/>
          <w:szCs w:val="22"/>
        </w:rPr>
        <w:t>-</w:t>
      </w:r>
      <w:r w:rsidRPr="00345F2E">
        <w:rPr>
          <w:rFonts w:asciiTheme="minorHAnsi" w:hAnsiTheme="minorHAnsi" w:cs="AdvOT863180fb"/>
          <w:szCs w:val="22"/>
        </w:rPr>
        <w:t>3765.</w:t>
      </w:r>
    </w:p>
    <w:p w14:paraId="121B8DB8" w14:textId="77777777" w:rsidR="004471D4" w:rsidRPr="00345F2E" w:rsidRDefault="004471D4" w:rsidP="00BA29F9">
      <w:pPr>
        <w:jc w:val="both"/>
        <w:rPr>
          <w:rFonts w:asciiTheme="minorHAnsi" w:hAnsiTheme="minorHAnsi"/>
          <w:szCs w:val="22"/>
        </w:rPr>
      </w:pPr>
    </w:p>
    <w:p w14:paraId="4618914D" w14:textId="236B98B0" w:rsidR="00F91900" w:rsidRDefault="004471D4" w:rsidP="00BA29F9">
      <w:pPr>
        <w:jc w:val="both"/>
        <w:rPr>
          <w:rFonts w:asciiTheme="minorHAnsi" w:hAnsiTheme="minorHAnsi"/>
          <w:szCs w:val="22"/>
        </w:rPr>
      </w:pPr>
      <w:r w:rsidRPr="00345F2E">
        <w:rPr>
          <w:rFonts w:asciiTheme="minorHAnsi" w:hAnsiTheme="minorHAnsi"/>
          <w:szCs w:val="22"/>
        </w:rPr>
        <w:t>Burke J.M., Zufall, M.J., Ozkaynak, H., 2001. A population exposure model for particulate matter: case study results for PM</w:t>
      </w:r>
      <w:r w:rsidRPr="00345F2E">
        <w:rPr>
          <w:rFonts w:asciiTheme="minorHAnsi" w:hAnsiTheme="minorHAnsi"/>
          <w:szCs w:val="22"/>
          <w:vertAlign w:val="subscript"/>
        </w:rPr>
        <w:t>2.5</w:t>
      </w:r>
      <w:r w:rsidRPr="00345F2E">
        <w:rPr>
          <w:rFonts w:asciiTheme="minorHAnsi" w:hAnsiTheme="minorHAnsi"/>
          <w:szCs w:val="22"/>
        </w:rPr>
        <w:t xml:space="preserve"> in Philadelphia, PA. J</w:t>
      </w:r>
      <w:r w:rsidR="00815DA8">
        <w:rPr>
          <w:rFonts w:asciiTheme="minorHAnsi" w:hAnsiTheme="minorHAnsi"/>
          <w:szCs w:val="22"/>
        </w:rPr>
        <w:t xml:space="preserve">ournal of </w:t>
      </w:r>
      <w:r w:rsidRPr="00345F2E">
        <w:rPr>
          <w:rFonts w:asciiTheme="minorHAnsi" w:hAnsiTheme="minorHAnsi"/>
          <w:szCs w:val="22"/>
        </w:rPr>
        <w:t>Expos</w:t>
      </w:r>
      <w:r w:rsidR="00815DA8">
        <w:rPr>
          <w:rFonts w:asciiTheme="minorHAnsi" w:hAnsiTheme="minorHAnsi"/>
          <w:szCs w:val="22"/>
        </w:rPr>
        <w:t>ure</w:t>
      </w:r>
      <w:r w:rsidRPr="00345F2E">
        <w:rPr>
          <w:rFonts w:asciiTheme="minorHAnsi" w:hAnsiTheme="minorHAnsi"/>
          <w:szCs w:val="22"/>
        </w:rPr>
        <w:t xml:space="preserve"> Anal</w:t>
      </w:r>
      <w:r w:rsidR="00815DA8">
        <w:rPr>
          <w:rFonts w:asciiTheme="minorHAnsi" w:hAnsiTheme="minorHAnsi"/>
          <w:szCs w:val="22"/>
        </w:rPr>
        <w:t>ysis</w:t>
      </w:r>
      <w:r w:rsidRPr="00345F2E">
        <w:rPr>
          <w:rFonts w:asciiTheme="minorHAnsi" w:hAnsiTheme="minorHAnsi"/>
          <w:szCs w:val="22"/>
        </w:rPr>
        <w:t xml:space="preserve"> </w:t>
      </w:r>
      <w:r w:rsidR="00815DA8">
        <w:rPr>
          <w:rFonts w:asciiTheme="minorHAnsi" w:hAnsiTheme="minorHAnsi"/>
          <w:szCs w:val="22"/>
        </w:rPr>
        <w:t xml:space="preserve">and </w:t>
      </w:r>
      <w:r w:rsidRPr="00345F2E">
        <w:rPr>
          <w:rFonts w:asciiTheme="minorHAnsi" w:hAnsiTheme="minorHAnsi"/>
          <w:szCs w:val="22"/>
        </w:rPr>
        <w:t>Environ</w:t>
      </w:r>
      <w:r w:rsidR="00815DA8">
        <w:rPr>
          <w:rFonts w:asciiTheme="minorHAnsi" w:hAnsiTheme="minorHAnsi"/>
          <w:szCs w:val="22"/>
        </w:rPr>
        <w:t>mental</w:t>
      </w:r>
      <w:r w:rsidRPr="00345F2E">
        <w:rPr>
          <w:rFonts w:asciiTheme="minorHAnsi" w:hAnsiTheme="minorHAnsi"/>
          <w:szCs w:val="22"/>
        </w:rPr>
        <w:t xml:space="preserve"> Epidemiol</w:t>
      </w:r>
      <w:r w:rsidR="00815DA8">
        <w:rPr>
          <w:rFonts w:asciiTheme="minorHAnsi" w:hAnsiTheme="minorHAnsi"/>
          <w:szCs w:val="22"/>
        </w:rPr>
        <w:t>ogy</w:t>
      </w:r>
      <w:r w:rsidRPr="00345F2E">
        <w:rPr>
          <w:rFonts w:asciiTheme="minorHAnsi" w:hAnsiTheme="minorHAnsi"/>
          <w:szCs w:val="22"/>
        </w:rPr>
        <w:t>, 11, 470-489.</w:t>
      </w:r>
    </w:p>
    <w:p w14:paraId="374D26E1" w14:textId="77777777" w:rsidR="00DC7A97" w:rsidRDefault="00DC7A97" w:rsidP="00BA29F9">
      <w:pPr>
        <w:jc w:val="both"/>
        <w:rPr>
          <w:rFonts w:asciiTheme="minorHAnsi" w:hAnsiTheme="minorHAnsi"/>
          <w:szCs w:val="22"/>
        </w:rPr>
      </w:pPr>
    </w:p>
    <w:p w14:paraId="0FCC3722" w14:textId="48558A01" w:rsidR="00DC7A97" w:rsidRPr="00137DB4" w:rsidRDefault="00DC7A97" w:rsidP="00BA29F9">
      <w:pPr>
        <w:jc w:val="both"/>
        <w:rPr>
          <w:rFonts w:asciiTheme="minorHAnsi" w:hAnsiTheme="minorHAnsi"/>
          <w:szCs w:val="22"/>
        </w:rPr>
      </w:pPr>
      <w:r w:rsidRPr="00137DB4">
        <w:rPr>
          <w:rFonts w:asciiTheme="minorHAnsi" w:hAnsiTheme="minorHAnsi"/>
        </w:rPr>
        <w:t>Cesaroni, G., Badaloni, C., Gariazzo, C., Stafoggia, M., Sozzi, R. Davoli, M.,</w:t>
      </w:r>
      <w:r w:rsidR="00E541F1" w:rsidRPr="00137DB4">
        <w:rPr>
          <w:rFonts w:asciiTheme="minorHAnsi" w:hAnsiTheme="minorHAnsi"/>
        </w:rPr>
        <w:t xml:space="preserve"> </w:t>
      </w:r>
      <w:r w:rsidRPr="00137DB4">
        <w:rPr>
          <w:rFonts w:asciiTheme="minorHAnsi" w:hAnsiTheme="minorHAnsi"/>
        </w:rPr>
        <w:t>Forastiere, F.,</w:t>
      </w:r>
      <w:r w:rsidR="00E541F1" w:rsidRPr="00137DB4">
        <w:rPr>
          <w:rFonts w:asciiTheme="minorHAnsi" w:hAnsiTheme="minorHAnsi"/>
        </w:rPr>
        <w:t xml:space="preserve"> 2013.</w:t>
      </w:r>
      <w:r w:rsidRPr="00137DB4">
        <w:rPr>
          <w:rFonts w:asciiTheme="minorHAnsi" w:hAnsiTheme="minorHAnsi"/>
        </w:rPr>
        <w:t xml:space="preserve"> Long-Term Exposure to Urban Air Pollution and Mortality in a Cohort of More than a Million Adults in Rome</w:t>
      </w:r>
      <w:r w:rsidR="00E541F1" w:rsidRPr="00137DB4">
        <w:rPr>
          <w:rFonts w:asciiTheme="minorHAnsi" w:hAnsiTheme="minorHAnsi"/>
        </w:rPr>
        <w:t>.</w:t>
      </w:r>
      <w:r w:rsidR="00E541F1" w:rsidRPr="00137DB4">
        <w:rPr>
          <w:rFonts w:asciiTheme="minorHAnsi" w:hAnsiTheme="minorHAnsi"/>
          <w:szCs w:val="22"/>
        </w:rPr>
        <w:t xml:space="preserve"> Environ Health Perspect 121, 324-331</w:t>
      </w:r>
      <w:r w:rsidR="00EC57DC" w:rsidRPr="00137DB4">
        <w:rPr>
          <w:rFonts w:asciiTheme="minorHAnsi" w:hAnsiTheme="minorHAnsi"/>
          <w:szCs w:val="22"/>
        </w:rPr>
        <w:t xml:space="preserve">, </w:t>
      </w:r>
      <w:r w:rsidR="00EC57DC" w:rsidRPr="00137DB4">
        <w:rPr>
          <w:rFonts w:asciiTheme="minorHAnsi" w:hAnsiTheme="minorHAnsi"/>
        </w:rPr>
        <w:t xml:space="preserve">http:// dx.doi.org/10.1289/ehp.1205862 </w:t>
      </w:r>
    </w:p>
    <w:p w14:paraId="134E4633" w14:textId="77777777" w:rsidR="00CC5F59" w:rsidRPr="00137DB4" w:rsidRDefault="00CC5F59" w:rsidP="00CC5F59"/>
    <w:p w14:paraId="086D9907" w14:textId="730B0DF8" w:rsidR="00CC5F59" w:rsidRPr="00137DB4" w:rsidRDefault="00CC5F59" w:rsidP="00CC5F59">
      <w:r w:rsidRPr="00137DB4">
        <w:rPr>
          <w:rFonts w:asciiTheme="minorHAnsi" w:hAnsiTheme="minorHAnsi"/>
        </w:rPr>
        <w:t>Challoner, A., Gill, L., 2014. Indoor/outdoor air pollution relationships in ten commercial buildings: PM</w:t>
      </w:r>
      <w:r w:rsidRPr="00137DB4">
        <w:rPr>
          <w:rFonts w:asciiTheme="minorHAnsi" w:hAnsiTheme="minorHAnsi"/>
          <w:vertAlign w:val="subscript"/>
        </w:rPr>
        <w:t xml:space="preserve">2.5 </w:t>
      </w:r>
      <w:r w:rsidRPr="00137DB4">
        <w:rPr>
          <w:rFonts w:asciiTheme="minorHAnsi" w:hAnsiTheme="minorHAnsi"/>
        </w:rPr>
        <w:t>and NO</w:t>
      </w:r>
      <w:r w:rsidRPr="00137DB4">
        <w:rPr>
          <w:rFonts w:asciiTheme="minorHAnsi" w:hAnsiTheme="minorHAnsi"/>
          <w:vertAlign w:val="subscript"/>
        </w:rPr>
        <w:t>2</w:t>
      </w:r>
      <w:r w:rsidRPr="00137DB4">
        <w:rPr>
          <w:rFonts w:asciiTheme="minorHAnsi" w:hAnsiTheme="minorHAnsi"/>
        </w:rPr>
        <w:t>. Building and Environment, 80, 159-173</w:t>
      </w:r>
      <w:r w:rsidRPr="00137DB4">
        <w:t>.</w:t>
      </w:r>
    </w:p>
    <w:p w14:paraId="02073EF3" w14:textId="77777777" w:rsidR="00CC5F59" w:rsidRPr="00137DB4" w:rsidRDefault="008710F2" w:rsidP="00CC5F59">
      <w:pPr>
        <w:spacing w:before="100" w:beforeAutospacing="1" w:after="100" w:afterAutospacing="1"/>
        <w:jc w:val="both"/>
        <w:rPr>
          <w:rFonts w:asciiTheme="minorHAnsi" w:hAnsiTheme="minorHAnsi"/>
          <w:szCs w:val="22"/>
          <w:lang w:eastAsia="el-GR"/>
        </w:rPr>
      </w:pPr>
      <w:r w:rsidRPr="00137DB4">
        <w:rPr>
          <w:rFonts w:asciiTheme="minorHAnsi" w:hAnsiTheme="minorHAnsi"/>
          <w:szCs w:val="22"/>
          <w:lang w:eastAsia="el-GR"/>
        </w:rPr>
        <w:t>Chen, H., Na</w:t>
      </w:r>
      <w:r w:rsidR="00815DA8" w:rsidRPr="00137DB4">
        <w:rPr>
          <w:rFonts w:asciiTheme="minorHAnsi" w:hAnsiTheme="minorHAnsi"/>
          <w:szCs w:val="22"/>
          <w:lang w:eastAsia="el-GR"/>
        </w:rPr>
        <w:t>m</w:t>
      </w:r>
      <w:r w:rsidRPr="00137DB4">
        <w:rPr>
          <w:rFonts w:asciiTheme="minorHAnsi" w:hAnsiTheme="minorHAnsi"/>
          <w:szCs w:val="22"/>
          <w:lang w:eastAsia="el-GR"/>
        </w:rPr>
        <w:t>de</w:t>
      </w:r>
      <w:r w:rsidR="00815DA8" w:rsidRPr="00137DB4">
        <w:rPr>
          <w:rFonts w:asciiTheme="minorHAnsi" w:hAnsiTheme="minorHAnsi"/>
          <w:szCs w:val="22"/>
          <w:lang w:eastAsia="el-GR"/>
        </w:rPr>
        <w:t>o</w:t>
      </w:r>
      <w:r w:rsidRPr="00137DB4">
        <w:rPr>
          <w:rFonts w:asciiTheme="minorHAnsi" w:hAnsiTheme="minorHAnsi"/>
          <w:szCs w:val="22"/>
          <w:lang w:eastAsia="el-GR"/>
        </w:rPr>
        <w:t>, A., Bell, M., 200</w:t>
      </w:r>
      <w:r w:rsidR="00FE4A76" w:rsidRPr="00137DB4">
        <w:rPr>
          <w:rFonts w:asciiTheme="minorHAnsi" w:hAnsiTheme="minorHAnsi"/>
          <w:szCs w:val="22"/>
          <w:lang w:eastAsia="el-GR"/>
        </w:rPr>
        <w:t>8</w:t>
      </w:r>
      <w:r w:rsidRPr="00137DB4">
        <w:rPr>
          <w:rFonts w:asciiTheme="minorHAnsi" w:hAnsiTheme="minorHAnsi"/>
          <w:szCs w:val="22"/>
          <w:lang w:eastAsia="el-GR"/>
        </w:rPr>
        <w:t xml:space="preserve">. Classification of </w:t>
      </w:r>
      <w:r w:rsidR="00815DA8" w:rsidRPr="00137DB4">
        <w:rPr>
          <w:rFonts w:asciiTheme="minorHAnsi" w:hAnsiTheme="minorHAnsi"/>
          <w:szCs w:val="22"/>
          <w:lang w:eastAsia="el-GR"/>
        </w:rPr>
        <w:t>r</w:t>
      </w:r>
      <w:r w:rsidRPr="00137DB4">
        <w:rPr>
          <w:rFonts w:asciiTheme="minorHAnsi" w:hAnsiTheme="minorHAnsi"/>
          <w:szCs w:val="22"/>
          <w:lang w:eastAsia="el-GR"/>
        </w:rPr>
        <w:t xml:space="preserve">oad </w:t>
      </w:r>
      <w:r w:rsidR="00815DA8" w:rsidRPr="00137DB4">
        <w:rPr>
          <w:rFonts w:asciiTheme="minorHAnsi" w:hAnsiTheme="minorHAnsi"/>
          <w:szCs w:val="22"/>
          <w:lang w:eastAsia="el-GR"/>
        </w:rPr>
        <w:t>t</w:t>
      </w:r>
      <w:r w:rsidRPr="00137DB4">
        <w:rPr>
          <w:rFonts w:asciiTheme="minorHAnsi" w:hAnsiTheme="minorHAnsi"/>
          <w:szCs w:val="22"/>
          <w:lang w:eastAsia="el-GR"/>
        </w:rPr>
        <w:t xml:space="preserve">raffic and </w:t>
      </w:r>
      <w:r w:rsidR="00815DA8" w:rsidRPr="00137DB4">
        <w:rPr>
          <w:rFonts w:asciiTheme="minorHAnsi" w:hAnsiTheme="minorHAnsi"/>
          <w:szCs w:val="22"/>
          <w:lang w:eastAsia="el-GR"/>
        </w:rPr>
        <w:t>r</w:t>
      </w:r>
      <w:r w:rsidRPr="00137DB4">
        <w:rPr>
          <w:rFonts w:asciiTheme="minorHAnsi" w:hAnsiTheme="minorHAnsi"/>
          <w:szCs w:val="22"/>
          <w:lang w:eastAsia="el-GR"/>
        </w:rPr>
        <w:t xml:space="preserve">oadside </w:t>
      </w:r>
      <w:r w:rsidR="00815DA8" w:rsidRPr="00137DB4">
        <w:rPr>
          <w:rFonts w:asciiTheme="minorHAnsi" w:hAnsiTheme="minorHAnsi"/>
          <w:szCs w:val="22"/>
          <w:lang w:eastAsia="el-GR"/>
        </w:rPr>
        <w:t>p</w:t>
      </w:r>
      <w:r w:rsidRPr="00137DB4">
        <w:rPr>
          <w:rFonts w:asciiTheme="minorHAnsi" w:hAnsiTheme="minorHAnsi"/>
          <w:szCs w:val="22"/>
          <w:lang w:eastAsia="el-GR"/>
        </w:rPr>
        <w:t xml:space="preserve">ollution </w:t>
      </w:r>
      <w:r w:rsidR="00815DA8" w:rsidRPr="00137DB4">
        <w:rPr>
          <w:rFonts w:asciiTheme="minorHAnsi" w:hAnsiTheme="minorHAnsi"/>
          <w:szCs w:val="22"/>
          <w:lang w:eastAsia="el-GR"/>
        </w:rPr>
        <w:t>c</w:t>
      </w:r>
      <w:r w:rsidRPr="00137DB4">
        <w:rPr>
          <w:rFonts w:asciiTheme="minorHAnsi" w:hAnsiTheme="minorHAnsi"/>
          <w:szCs w:val="22"/>
          <w:lang w:eastAsia="el-GR"/>
        </w:rPr>
        <w:t xml:space="preserve">oncentrations for </w:t>
      </w:r>
      <w:r w:rsidR="00815DA8" w:rsidRPr="00137DB4">
        <w:rPr>
          <w:rFonts w:asciiTheme="minorHAnsi" w:hAnsiTheme="minorHAnsi"/>
          <w:szCs w:val="22"/>
          <w:lang w:eastAsia="el-GR"/>
        </w:rPr>
        <w:t>a</w:t>
      </w:r>
      <w:r w:rsidRPr="00137DB4">
        <w:rPr>
          <w:rFonts w:asciiTheme="minorHAnsi" w:hAnsiTheme="minorHAnsi"/>
          <w:szCs w:val="22"/>
          <w:lang w:eastAsia="el-GR"/>
        </w:rPr>
        <w:t xml:space="preserve">ssessment of </w:t>
      </w:r>
      <w:r w:rsidR="00815DA8" w:rsidRPr="00137DB4">
        <w:rPr>
          <w:rFonts w:asciiTheme="minorHAnsi" w:hAnsiTheme="minorHAnsi"/>
          <w:szCs w:val="22"/>
          <w:lang w:eastAsia="el-GR"/>
        </w:rPr>
        <w:t>p</w:t>
      </w:r>
      <w:r w:rsidRPr="00137DB4">
        <w:rPr>
          <w:rFonts w:asciiTheme="minorHAnsi" w:hAnsiTheme="minorHAnsi"/>
          <w:szCs w:val="22"/>
          <w:lang w:eastAsia="el-GR"/>
        </w:rPr>
        <w:t xml:space="preserve">ersonal </w:t>
      </w:r>
      <w:r w:rsidR="00815DA8" w:rsidRPr="00137DB4">
        <w:rPr>
          <w:rFonts w:asciiTheme="minorHAnsi" w:hAnsiTheme="minorHAnsi"/>
          <w:szCs w:val="22"/>
          <w:lang w:eastAsia="el-GR"/>
        </w:rPr>
        <w:t>e</w:t>
      </w:r>
      <w:r w:rsidRPr="00137DB4">
        <w:rPr>
          <w:rFonts w:asciiTheme="minorHAnsi" w:hAnsiTheme="minorHAnsi"/>
          <w:szCs w:val="22"/>
          <w:lang w:eastAsia="el-GR"/>
        </w:rPr>
        <w:t xml:space="preserve">xposure. Journal of </w:t>
      </w:r>
      <w:r w:rsidR="00815DA8" w:rsidRPr="00137DB4">
        <w:rPr>
          <w:rFonts w:asciiTheme="minorHAnsi" w:hAnsiTheme="minorHAnsi"/>
          <w:szCs w:val="22"/>
          <w:lang w:eastAsia="el-GR"/>
        </w:rPr>
        <w:t>E</w:t>
      </w:r>
      <w:r w:rsidRPr="00137DB4">
        <w:rPr>
          <w:rFonts w:asciiTheme="minorHAnsi" w:hAnsiTheme="minorHAnsi"/>
          <w:szCs w:val="22"/>
          <w:lang w:eastAsia="el-GR"/>
        </w:rPr>
        <w:t>nvironmental Modelling and Software 23, 282-287.</w:t>
      </w:r>
    </w:p>
    <w:p w14:paraId="35897CB1" w14:textId="53AB72D3" w:rsidR="00CC5F59" w:rsidRPr="00137DB4" w:rsidRDefault="00CC5F59" w:rsidP="00D24106">
      <w:pPr>
        <w:jc w:val="both"/>
        <w:rPr>
          <w:rFonts w:asciiTheme="minorHAnsi" w:hAnsiTheme="minorHAnsi"/>
        </w:rPr>
      </w:pPr>
      <w:r w:rsidRPr="00137DB4">
        <w:rPr>
          <w:rFonts w:asciiTheme="minorHAnsi" w:hAnsiTheme="minorHAnsi"/>
        </w:rPr>
        <w:t>Colbeck, I.,1998. Nitrogen dioxide in the workplace environment. Environ</w:t>
      </w:r>
      <w:r w:rsidR="00D24106" w:rsidRPr="00137DB4">
        <w:rPr>
          <w:rFonts w:asciiTheme="minorHAnsi" w:hAnsiTheme="minorHAnsi"/>
        </w:rPr>
        <w:t xml:space="preserve">mental </w:t>
      </w:r>
      <w:r w:rsidRPr="00137DB4">
        <w:rPr>
          <w:rFonts w:asciiTheme="minorHAnsi" w:hAnsiTheme="minorHAnsi"/>
        </w:rPr>
        <w:t xml:space="preserve"> Monit</w:t>
      </w:r>
      <w:r w:rsidR="00D24106" w:rsidRPr="00137DB4">
        <w:rPr>
          <w:rFonts w:asciiTheme="minorHAnsi" w:hAnsiTheme="minorHAnsi"/>
        </w:rPr>
        <w:t xml:space="preserve">oring and </w:t>
      </w:r>
      <w:r w:rsidRPr="00137DB4">
        <w:rPr>
          <w:rFonts w:asciiTheme="minorHAnsi" w:hAnsiTheme="minorHAnsi"/>
        </w:rPr>
        <w:t xml:space="preserve"> Assess</w:t>
      </w:r>
      <w:r w:rsidR="00D24106" w:rsidRPr="00137DB4">
        <w:rPr>
          <w:rFonts w:asciiTheme="minorHAnsi" w:hAnsiTheme="minorHAnsi"/>
        </w:rPr>
        <w:t>ment</w:t>
      </w:r>
      <w:r w:rsidRPr="00137DB4">
        <w:rPr>
          <w:rFonts w:asciiTheme="minorHAnsi" w:hAnsiTheme="minorHAnsi"/>
        </w:rPr>
        <w:t>, 52, 123-130.</w:t>
      </w:r>
    </w:p>
    <w:p w14:paraId="48662694" w14:textId="6B06B3B6" w:rsidR="006B4284" w:rsidRPr="00CC5F59" w:rsidRDefault="006B4284" w:rsidP="00CC5F59">
      <w:pPr>
        <w:spacing w:before="100" w:beforeAutospacing="1" w:after="100" w:afterAutospacing="1"/>
        <w:jc w:val="both"/>
        <w:rPr>
          <w:rFonts w:asciiTheme="minorHAnsi" w:hAnsiTheme="minorHAnsi"/>
          <w:szCs w:val="22"/>
          <w:lang w:eastAsia="el-GR"/>
        </w:rPr>
      </w:pPr>
      <w:r w:rsidRPr="001F1746">
        <w:rPr>
          <w:rFonts w:asciiTheme="minorHAnsi" w:eastAsiaTheme="minorHAnsi" w:hAnsiTheme="minorHAnsi" w:cs="ArialMT"/>
          <w:color w:val="000000"/>
          <w:szCs w:val="22"/>
          <w:lang w:eastAsia="en-US"/>
        </w:rPr>
        <w:t>COMEAP</w:t>
      </w:r>
      <w:r w:rsidR="00E95093">
        <w:rPr>
          <w:rFonts w:asciiTheme="minorHAnsi" w:eastAsiaTheme="minorHAnsi" w:hAnsiTheme="minorHAnsi" w:cs="ArialMT"/>
          <w:color w:val="000000"/>
          <w:szCs w:val="22"/>
          <w:lang w:eastAsia="en-US"/>
        </w:rPr>
        <w:t xml:space="preserve">, </w:t>
      </w:r>
      <w:r w:rsidRPr="001F1746">
        <w:rPr>
          <w:rFonts w:asciiTheme="minorHAnsi" w:eastAsiaTheme="minorHAnsi" w:hAnsiTheme="minorHAnsi" w:cs="ArialMT"/>
          <w:color w:val="000000"/>
          <w:szCs w:val="22"/>
          <w:lang w:eastAsia="en-US"/>
        </w:rPr>
        <w:t>2009</w:t>
      </w:r>
      <w:r>
        <w:rPr>
          <w:rFonts w:asciiTheme="minorHAnsi" w:eastAsiaTheme="minorHAnsi" w:hAnsiTheme="minorHAnsi" w:cs="ArialMT"/>
          <w:color w:val="000000"/>
          <w:szCs w:val="22"/>
          <w:lang w:eastAsia="en-US"/>
        </w:rPr>
        <w:t xml:space="preserve"> </w:t>
      </w:r>
      <w:r w:rsidR="00B031BC">
        <w:rPr>
          <w:rFonts w:asciiTheme="minorHAnsi" w:eastAsiaTheme="minorHAnsi" w:hAnsiTheme="minorHAnsi" w:cs="ArialMT"/>
          <w:color w:val="000000"/>
          <w:szCs w:val="22"/>
          <w:lang w:eastAsia="en-US"/>
        </w:rPr>
        <w:t xml:space="preserve">Committee on the Medical </w:t>
      </w:r>
      <w:r w:rsidR="00B031BC" w:rsidRPr="001F1746">
        <w:rPr>
          <w:rFonts w:asciiTheme="minorHAnsi" w:eastAsiaTheme="minorHAnsi" w:hAnsiTheme="minorHAnsi" w:cs="ArialMT"/>
          <w:color w:val="000000"/>
          <w:szCs w:val="22"/>
          <w:lang w:eastAsia="en-US"/>
        </w:rPr>
        <w:t>Effects of Air Pollutants.</w:t>
      </w:r>
      <w:r w:rsidR="00B031BC">
        <w:rPr>
          <w:rFonts w:asciiTheme="minorHAnsi" w:eastAsiaTheme="minorHAnsi" w:hAnsiTheme="minorHAnsi" w:cs="ArialMT"/>
          <w:color w:val="000000"/>
          <w:szCs w:val="22"/>
          <w:lang w:eastAsia="en-US"/>
        </w:rPr>
        <w:t xml:space="preserve"> </w:t>
      </w:r>
      <w:r>
        <w:rPr>
          <w:rFonts w:asciiTheme="minorHAnsi" w:eastAsiaTheme="minorHAnsi" w:hAnsiTheme="minorHAnsi" w:cs="ArialMT"/>
          <w:color w:val="000000"/>
          <w:szCs w:val="22"/>
          <w:lang w:eastAsia="en-US"/>
        </w:rPr>
        <w:t xml:space="preserve">Statement on </w:t>
      </w:r>
      <w:r w:rsidRPr="001F1746">
        <w:rPr>
          <w:rFonts w:asciiTheme="minorHAnsi" w:eastAsiaTheme="minorHAnsi" w:hAnsiTheme="minorHAnsi" w:cs="ArialMT"/>
          <w:color w:val="000000"/>
          <w:szCs w:val="22"/>
          <w:lang w:eastAsia="en-US"/>
        </w:rPr>
        <w:t>Quantification of the e</w:t>
      </w:r>
      <w:r>
        <w:rPr>
          <w:rFonts w:asciiTheme="minorHAnsi" w:eastAsiaTheme="minorHAnsi" w:hAnsiTheme="minorHAnsi" w:cs="ArialMT"/>
          <w:color w:val="000000"/>
          <w:szCs w:val="22"/>
          <w:lang w:eastAsia="en-US"/>
        </w:rPr>
        <w:t xml:space="preserve">ffects of long-term exposure to </w:t>
      </w:r>
      <w:r w:rsidRPr="001F1746">
        <w:rPr>
          <w:rFonts w:asciiTheme="minorHAnsi" w:eastAsiaTheme="minorHAnsi" w:hAnsiTheme="minorHAnsi" w:cs="ArialMT"/>
          <w:color w:val="000000"/>
          <w:szCs w:val="22"/>
          <w:lang w:eastAsia="en-US"/>
        </w:rPr>
        <w:t>nitrogen dioxide on respiratory morbidity in chi</w:t>
      </w:r>
      <w:r>
        <w:rPr>
          <w:rFonts w:asciiTheme="minorHAnsi" w:eastAsiaTheme="minorHAnsi" w:hAnsiTheme="minorHAnsi" w:cs="ArialMT"/>
          <w:color w:val="000000"/>
          <w:szCs w:val="22"/>
          <w:lang w:eastAsia="en-US"/>
        </w:rPr>
        <w:t xml:space="preserve">ldren, Committee on the Medical </w:t>
      </w:r>
      <w:r w:rsidRPr="001F1746">
        <w:rPr>
          <w:rFonts w:asciiTheme="minorHAnsi" w:eastAsiaTheme="minorHAnsi" w:hAnsiTheme="minorHAnsi" w:cs="ArialMT"/>
          <w:color w:val="000000"/>
          <w:szCs w:val="22"/>
          <w:lang w:eastAsia="en-US"/>
        </w:rPr>
        <w:t>Effects of Air Pollutants.</w:t>
      </w:r>
    </w:p>
    <w:p w14:paraId="11E2EA10" w14:textId="77777777" w:rsidR="006B4284" w:rsidRPr="001F1746" w:rsidRDefault="006B4284" w:rsidP="00164CF9">
      <w:pPr>
        <w:autoSpaceDE w:val="0"/>
        <w:autoSpaceDN w:val="0"/>
        <w:adjustRightInd w:val="0"/>
        <w:jc w:val="both"/>
        <w:rPr>
          <w:rFonts w:asciiTheme="minorHAnsi" w:eastAsiaTheme="minorHAnsi" w:hAnsiTheme="minorHAnsi" w:cs="ArialMT"/>
          <w:color w:val="0000FF"/>
          <w:szCs w:val="22"/>
          <w:lang w:eastAsia="en-US"/>
        </w:rPr>
      </w:pPr>
      <w:r w:rsidRPr="001F1746">
        <w:rPr>
          <w:rFonts w:asciiTheme="minorHAnsi" w:eastAsiaTheme="minorHAnsi" w:hAnsiTheme="minorHAnsi" w:cs="ArialMT"/>
          <w:color w:val="0000FF"/>
          <w:szCs w:val="22"/>
          <w:lang w:eastAsia="en-US"/>
        </w:rPr>
        <w:t>http://webarchive.nationalarchives.gov.uk/20140505104658/http://www.comeap.org.</w:t>
      </w:r>
    </w:p>
    <w:p w14:paraId="493A29AD" w14:textId="7851AAC5" w:rsidR="006B4284" w:rsidRPr="001F1746" w:rsidRDefault="006B4284" w:rsidP="00164CF9">
      <w:pPr>
        <w:jc w:val="both"/>
        <w:rPr>
          <w:rFonts w:asciiTheme="minorHAnsi" w:eastAsiaTheme="minorHAnsi" w:hAnsiTheme="minorHAnsi" w:cs="Arial"/>
          <w:szCs w:val="22"/>
          <w:lang w:eastAsia="en-US"/>
        </w:rPr>
      </w:pPr>
      <w:r w:rsidRPr="001F1746">
        <w:rPr>
          <w:rFonts w:asciiTheme="minorHAnsi" w:eastAsiaTheme="minorHAnsi" w:hAnsiTheme="minorHAnsi" w:cs="ArialMT"/>
          <w:color w:val="0000FF"/>
          <w:szCs w:val="22"/>
          <w:lang w:eastAsia="en-US"/>
        </w:rPr>
        <w:t xml:space="preserve">uk/documents/statements </w:t>
      </w:r>
    </w:p>
    <w:p w14:paraId="575D9EB9" w14:textId="77777777" w:rsidR="006B4284" w:rsidRPr="000C58F9" w:rsidRDefault="006B4284" w:rsidP="00164CF9">
      <w:pPr>
        <w:jc w:val="both"/>
        <w:rPr>
          <w:rFonts w:asciiTheme="minorHAnsi" w:eastAsiaTheme="minorHAnsi" w:hAnsiTheme="minorHAnsi" w:cs="Arial"/>
          <w:szCs w:val="22"/>
          <w:lang w:eastAsia="en-US"/>
        </w:rPr>
      </w:pPr>
    </w:p>
    <w:p w14:paraId="6C07B56C" w14:textId="30378803" w:rsidR="000D542B" w:rsidRDefault="006B4284" w:rsidP="00E95093">
      <w:pPr>
        <w:spacing w:after="200" w:line="276" w:lineRule="auto"/>
        <w:rPr>
          <w:rFonts w:asciiTheme="minorHAnsi" w:eastAsia="Calibri" w:hAnsiTheme="minorHAnsi" w:cs="Arial"/>
          <w:szCs w:val="22"/>
          <w:lang w:eastAsia="en-US"/>
        </w:rPr>
      </w:pPr>
      <w:r w:rsidRPr="000C58F9">
        <w:rPr>
          <w:rFonts w:asciiTheme="minorHAnsi" w:eastAsia="Calibri" w:hAnsiTheme="minorHAnsi" w:cs="Arial"/>
          <w:szCs w:val="22"/>
          <w:lang w:eastAsia="en-US"/>
        </w:rPr>
        <w:t>COMEAP</w:t>
      </w:r>
      <w:r w:rsidR="00E95093">
        <w:rPr>
          <w:rFonts w:asciiTheme="minorHAnsi" w:eastAsia="Calibri" w:hAnsiTheme="minorHAnsi" w:cs="Arial"/>
          <w:szCs w:val="22"/>
          <w:lang w:eastAsia="en-US"/>
        </w:rPr>
        <w:t>, 2010</w:t>
      </w:r>
      <w:r w:rsidRPr="000C58F9">
        <w:rPr>
          <w:rFonts w:asciiTheme="minorHAnsi" w:eastAsia="Calibri" w:hAnsiTheme="minorHAnsi" w:cs="Arial"/>
          <w:szCs w:val="22"/>
          <w:lang w:eastAsia="en-US"/>
        </w:rPr>
        <w:t xml:space="preserve"> </w:t>
      </w:r>
      <w:r w:rsidR="00E95093" w:rsidRPr="000C58F9">
        <w:rPr>
          <w:rFonts w:asciiTheme="minorHAnsi" w:eastAsia="Calibri" w:hAnsiTheme="minorHAnsi" w:cs="Arial"/>
          <w:szCs w:val="22"/>
          <w:lang w:eastAsia="en-US"/>
        </w:rPr>
        <w:t>Committee on the Medical Effects of Air Pollutant</w:t>
      </w:r>
      <w:r w:rsidR="00E95093">
        <w:rPr>
          <w:rFonts w:asciiTheme="minorHAnsi" w:eastAsia="Calibri" w:hAnsiTheme="minorHAnsi" w:cs="Arial"/>
          <w:szCs w:val="22"/>
          <w:lang w:eastAsia="en-US"/>
        </w:rPr>
        <w:t xml:space="preserve">s. </w:t>
      </w:r>
      <w:r w:rsidRPr="000C58F9">
        <w:rPr>
          <w:rFonts w:asciiTheme="minorHAnsi" w:eastAsia="Calibri" w:hAnsiTheme="minorHAnsi" w:cs="Arial"/>
          <w:szCs w:val="22"/>
          <w:lang w:eastAsia="en-US"/>
        </w:rPr>
        <w:t>Mortality effects of long-term exposure to parti</w:t>
      </w:r>
      <w:r w:rsidR="00E95093">
        <w:rPr>
          <w:rFonts w:asciiTheme="minorHAnsi" w:eastAsia="Calibri" w:hAnsiTheme="minorHAnsi" w:cs="Arial"/>
          <w:szCs w:val="22"/>
          <w:lang w:eastAsia="en-US"/>
        </w:rPr>
        <w:t>culate air pollution in the UK</w:t>
      </w:r>
      <w:r w:rsidRPr="000C58F9">
        <w:rPr>
          <w:rFonts w:asciiTheme="minorHAnsi" w:eastAsia="Calibri" w:hAnsiTheme="minorHAnsi" w:cs="Arial"/>
          <w:szCs w:val="22"/>
          <w:lang w:eastAsia="en-US"/>
        </w:rPr>
        <w:t xml:space="preserve">.  Available at:  </w:t>
      </w:r>
      <w:hyperlink r:id="rId37" w:history="1">
        <w:r w:rsidR="00F86A6D" w:rsidRPr="005620B9">
          <w:rPr>
            <w:rStyle w:val="Hyperlink"/>
            <w:rFonts w:asciiTheme="minorHAnsi" w:eastAsia="Calibri" w:hAnsiTheme="minorHAnsi" w:cs="Arial"/>
            <w:szCs w:val="22"/>
            <w:lang w:eastAsia="en-US"/>
          </w:rPr>
          <w:t>https://www.gov.uk/government/publications/comeap-mortality-effects-of-long-term-exposure-to-particulate-air-pollution-in-the-uk</w:t>
        </w:r>
      </w:hyperlink>
      <w:r w:rsidRPr="000C58F9">
        <w:rPr>
          <w:rFonts w:asciiTheme="minorHAnsi" w:eastAsia="Calibri" w:hAnsiTheme="minorHAnsi" w:cs="Arial"/>
          <w:szCs w:val="22"/>
          <w:lang w:eastAsia="en-US"/>
        </w:rPr>
        <w:t xml:space="preserve"> </w:t>
      </w:r>
    </w:p>
    <w:p w14:paraId="18DBBAFB" w14:textId="7EC7EFD5" w:rsidR="006B4284" w:rsidRDefault="006B4284" w:rsidP="00E95093">
      <w:pPr>
        <w:spacing w:after="200" w:line="276" w:lineRule="auto"/>
        <w:rPr>
          <w:rFonts w:asciiTheme="minorHAnsi" w:eastAsia="Calibri" w:hAnsiTheme="minorHAnsi"/>
          <w:szCs w:val="22"/>
          <w:lang w:eastAsia="en-US"/>
        </w:rPr>
      </w:pPr>
      <w:r w:rsidRPr="00C047D1">
        <w:rPr>
          <w:rFonts w:asciiTheme="minorHAnsi" w:eastAsia="Calibri" w:hAnsiTheme="minorHAnsi"/>
          <w:szCs w:val="22"/>
          <w:lang w:eastAsia="en-US"/>
        </w:rPr>
        <w:t>COMEAP</w:t>
      </w:r>
      <w:r w:rsidR="00E95093">
        <w:rPr>
          <w:rFonts w:asciiTheme="minorHAnsi" w:eastAsia="Calibri" w:hAnsiTheme="minorHAnsi"/>
          <w:szCs w:val="22"/>
          <w:lang w:eastAsia="en-US"/>
        </w:rPr>
        <w:t xml:space="preserve">, </w:t>
      </w:r>
      <w:r w:rsidRPr="00C047D1">
        <w:rPr>
          <w:rFonts w:asciiTheme="minorHAnsi" w:eastAsia="Calibri" w:hAnsiTheme="minorHAnsi"/>
          <w:szCs w:val="22"/>
          <w:lang w:eastAsia="en-US"/>
        </w:rPr>
        <w:t>20</w:t>
      </w:r>
      <w:r w:rsidR="00E95093">
        <w:rPr>
          <w:rFonts w:asciiTheme="minorHAnsi" w:eastAsia="Calibri" w:hAnsiTheme="minorHAnsi"/>
          <w:szCs w:val="22"/>
          <w:lang w:eastAsia="en-US"/>
        </w:rPr>
        <w:t>15</w:t>
      </w:r>
      <w:r w:rsidRPr="00C047D1">
        <w:rPr>
          <w:rFonts w:asciiTheme="minorHAnsi" w:eastAsia="Calibri" w:hAnsiTheme="minorHAnsi"/>
          <w:szCs w:val="22"/>
          <w:lang w:eastAsia="en-US"/>
        </w:rPr>
        <w:t xml:space="preserve"> </w:t>
      </w:r>
      <w:r w:rsidR="00E95093" w:rsidRPr="00C047D1">
        <w:rPr>
          <w:rFonts w:asciiTheme="minorHAnsi" w:eastAsia="Calibri" w:hAnsiTheme="minorHAnsi"/>
          <w:szCs w:val="22"/>
          <w:lang w:eastAsia="en-US"/>
        </w:rPr>
        <w:t>Committee on the Medical Effects of Air Pollutants.</w:t>
      </w:r>
      <w:r w:rsidR="00E95093">
        <w:rPr>
          <w:rFonts w:asciiTheme="minorHAnsi" w:eastAsia="Calibri" w:hAnsiTheme="minorHAnsi"/>
          <w:szCs w:val="22"/>
          <w:lang w:eastAsia="en-US"/>
        </w:rPr>
        <w:t xml:space="preserve"> </w:t>
      </w:r>
      <w:r w:rsidRPr="00C047D1">
        <w:rPr>
          <w:rFonts w:asciiTheme="minorHAnsi" w:eastAsia="Calibri" w:hAnsiTheme="minorHAnsi"/>
          <w:szCs w:val="22"/>
          <w:lang w:eastAsia="en-US"/>
        </w:rPr>
        <w:t xml:space="preserve">Statement: The evidence for the effects of nitrogen dioxide on health,  Available at: </w:t>
      </w:r>
      <w:hyperlink r:id="rId38" w:history="1">
        <w:r w:rsidRPr="00C047D1">
          <w:rPr>
            <w:rStyle w:val="Hyperlink"/>
            <w:rFonts w:asciiTheme="minorHAnsi" w:eastAsia="Calibri" w:hAnsiTheme="minorHAnsi"/>
            <w:szCs w:val="22"/>
            <w:lang w:eastAsia="en-US"/>
          </w:rPr>
          <w:t>https://www.gov.uk/government/publications/nitrogen-dioxide-health-effects-of-exposure</w:t>
        </w:r>
      </w:hyperlink>
      <w:r w:rsidRPr="00C047D1">
        <w:rPr>
          <w:rFonts w:asciiTheme="minorHAnsi" w:eastAsia="Calibri" w:hAnsiTheme="minorHAnsi"/>
          <w:szCs w:val="22"/>
          <w:lang w:eastAsia="en-US"/>
        </w:rPr>
        <w:t xml:space="preserve"> </w:t>
      </w:r>
    </w:p>
    <w:p w14:paraId="3840F8DE" w14:textId="77777777" w:rsidR="004471D4" w:rsidRPr="00345F2E" w:rsidRDefault="00BF2D8A" w:rsidP="00F634E9">
      <w:pPr>
        <w:pStyle w:val="BodyTextIndent"/>
        <w:spacing w:after="0"/>
        <w:ind w:left="0"/>
        <w:jc w:val="both"/>
        <w:rPr>
          <w:rFonts w:asciiTheme="minorHAnsi" w:hAnsiTheme="minorHAnsi"/>
          <w:szCs w:val="22"/>
        </w:rPr>
      </w:pPr>
      <w:r w:rsidRPr="00345F2E">
        <w:rPr>
          <w:rFonts w:asciiTheme="minorHAnsi" w:hAnsiTheme="minorHAnsi"/>
          <w:szCs w:val="22"/>
        </w:rPr>
        <w:t>Crump, D.R., Bland, B.H., Mann, H.S., Brown, V.M., 1998. Personal exposure to air pollutants in Hertfordshire. BRE Report No: CR 263/98.</w:t>
      </w:r>
    </w:p>
    <w:p w14:paraId="2F982734" w14:textId="77777777" w:rsidR="006625B8" w:rsidRPr="00345F2E" w:rsidRDefault="006625B8" w:rsidP="00BA29F9">
      <w:pPr>
        <w:pStyle w:val="BodyTextIndent"/>
        <w:spacing w:after="0"/>
        <w:ind w:left="0"/>
        <w:rPr>
          <w:rFonts w:asciiTheme="minorHAnsi" w:hAnsiTheme="minorHAnsi"/>
          <w:szCs w:val="22"/>
        </w:rPr>
      </w:pPr>
    </w:p>
    <w:p w14:paraId="7B24C576" w14:textId="26062ED7" w:rsidR="00A04095" w:rsidRPr="00345F2E" w:rsidRDefault="00A04095" w:rsidP="00BA29F9">
      <w:pPr>
        <w:ind w:right="57"/>
        <w:jc w:val="both"/>
        <w:rPr>
          <w:rFonts w:asciiTheme="minorHAnsi" w:hAnsiTheme="minorHAnsi"/>
          <w:szCs w:val="22"/>
        </w:rPr>
      </w:pPr>
      <w:r w:rsidRPr="00345F2E">
        <w:rPr>
          <w:rFonts w:asciiTheme="minorHAnsi" w:hAnsiTheme="minorHAnsi"/>
          <w:szCs w:val="22"/>
        </w:rPr>
        <w:t>Delfino</w:t>
      </w:r>
      <w:r w:rsidR="00815DA8">
        <w:rPr>
          <w:rFonts w:asciiTheme="minorHAnsi" w:hAnsiTheme="minorHAnsi"/>
          <w:szCs w:val="22"/>
        </w:rPr>
        <w:t>,</w:t>
      </w:r>
      <w:r w:rsidRPr="00345F2E">
        <w:rPr>
          <w:rFonts w:asciiTheme="minorHAnsi" w:hAnsiTheme="minorHAnsi"/>
          <w:szCs w:val="22"/>
        </w:rPr>
        <w:t xml:space="preserve"> R</w:t>
      </w:r>
      <w:r w:rsidR="00815DA8">
        <w:rPr>
          <w:rFonts w:asciiTheme="minorHAnsi" w:hAnsiTheme="minorHAnsi"/>
          <w:szCs w:val="22"/>
        </w:rPr>
        <w:t>.</w:t>
      </w:r>
      <w:r w:rsidRPr="00345F2E">
        <w:rPr>
          <w:rFonts w:asciiTheme="minorHAnsi" w:hAnsiTheme="minorHAnsi"/>
          <w:szCs w:val="22"/>
        </w:rPr>
        <w:t>J</w:t>
      </w:r>
      <w:r w:rsidR="00815DA8">
        <w:rPr>
          <w:rFonts w:asciiTheme="minorHAnsi" w:hAnsiTheme="minorHAnsi"/>
          <w:szCs w:val="22"/>
        </w:rPr>
        <w:t>.</w:t>
      </w:r>
      <w:r w:rsidRPr="00345F2E">
        <w:rPr>
          <w:rFonts w:asciiTheme="minorHAnsi" w:hAnsiTheme="minorHAnsi"/>
          <w:szCs w:val="22"/>
        </w:rPr>
        <w:t>, Staimer</w:t>
      </w:r>
      <w:r w:rsidR="00815DA8">
        <w:rPr>
          <w:rFonts w:asciiTheme="minorHAnsi" w:hAnsiTheme="minorHAnsi"/>
          <w:szCs w:val="22"/>
        </w:rPr>
        <w:t>,</w:t>
      </w:r>
      <w:r w:rsidRPr="00345F2E">
        <w:rPr>
          <w:rFonts w:asciiTheme="minorHAnsi" w:hAnsiTheme="minorHAnsi"/>
          <w:szCs w:val="22"/>
        </w:rPr>
        <w:t xml:space="preserve"> N</w:t>
      </w:r>
      <w:r w:rsidR="00815DA8">
        <w:rPr>
          <w:rFonts w:asciiTheme="minorHAnsi" w:hAnsiTheme="minorHAnsi"/>
          <w:szCs w:val="22"/>
        </w:rPr>
        <w:t>.</w:t>
      </w:r>
      <w:r w:rsidRPr="00345F2E">
        <w:rPr>
          <w:rFonts w:asciiTheme="minorHAnsi" w:hAnsiTheme="minorHAnsi"/>
          <w:szCs w:val="22"/>
        </w:rPr>
        <w:t>, Tjoa</w:t>
      </w:r>
      <w:r w:rsidR="00815DA8">
        <w:rPr>
          <w:rFonts w:asciiTheme="minorHAnsi" w:hAnsiTheme="minorHAnsi"/>
          <w:szCs w:val="22"/>
        </w:rPr>
        <w:t>,</w:t>
      </w:r>
      <w:r w:rsidRPr="00345F2E">
        <w:rPr>
          <w:rFonts w:asciiTheme="minorHAnsi" w:hAnsiTheme="minorHAnsi"/>
          <w:szCs w:val="22"/>
        </w:rPr>
        <w:t xml:space="preserve"> T</w:t>
      </w:r>
      <w:r w:rsidR="00815DA8">
        <w:rPr>
          <w:rFonts w:asciiTheme="minorHAnsi" w:hAnsiTheme="minorHAnsi"/>
          <w:szCs w:val="22"/>
        </w:rPr>
        <w:t>.</w:t>
      </w:r>
      <w:r w:rsidRPr="00345F2E">
        <w:rPr>
          <w:rFonts w:asciiTheme="minorHAnsi" w:hAnsiTheme="minorHAnsi"/>
          <w:szCs w:val="22"/>
        </w:rPr>
        <w:t>, Gillen</w:t>
      </w:r>
      <w:r w:rsidR="00815DA8">
        <w:rPr>
          <w:rFonts w:asciiTheme="minorHAnsi" w:hAnsiTheme="minorHAnsi"/>
          <w:szCs w:val="22"/>
        </w:rPr>
        <w:t>,</w:t>
      </w:r>
      <w:r w:rsidRPr="00345F2E">
        <w:rPr>
          <w:rFonts w:asciiTheme="minorHAnsi" w:hAnsiTheme="minorHAnsi"/>
          <w:szCs w:val="22"/>
        </w:rPr>
        <w:t xml:space="preserve"> D</w:t>
      </w:r>
      <w:r w:rsidR="00815DA8">
        <w:rPr>
          <w:rFonts w:asciiTheme="minorHAnsi" w:hAnsiTheme="minorHAnsi"/>
          <w:szCs w:val="22"/>
        </w:rPr>
        <w:t>.</w:t>
      </w:r>
      <w:r w:rsidRPr="00345F2E">
        <w:rPr>
          <w:rFonts w:asciiTheme="minorHAnsi" w:hAnsiTheme="minorHAnsi"/>
          <w:szCs w:val="22"/>
        </w:rPr>
        <w:t>, Kleinman</w:t>
      </w:r>
      <w:r w:rsidR="00815DA8">
        <w:rPr>
          <w:rFonts w:asciiTheme="minorHAnsi" w:hAnsiTheme="minorHAnsi"/>
          <w:szCs w:val="22"/>
        </w:rPr>
        <w:t>,</w:t>
      </w:r>
      <w:r w:rsidRPr="00345F2E">
        <w:rPr>
          <w:rFonts w:asciiTheme="minorHAnsi" w:hAnsiTheme="minorHAnsi"/>
          <w:szCs w:val="22"/>
        </w:rPr>
        <w:t xml:space="preserve"> M</w:t>
      </w:r>
      <w:r w:rsidR="00815DA8">
        <w:rPr>
          <w:rFonts w:asciiTheme="minorHAnsi" w:hAnsiTheme="minorHAnsi"/>
          <w:szCs w:val="22"/>
        </w:rPr>
        <w:t>.</w:t>
      </w:r>
      <w:r w:rsidRPr="00345F2E">
        <w:rPr>
          <w:rFonts w:asciiTheme="minorHAnsi" w:hAnsiTheme="minorHAnsi"/>
          <w:szCs w:val="22"/>
        </w:rPr>
        <w:t>T</w:t>
      </w:r>
      <w:r w:rsidR="00815DA8">
        <w:rPr>
          <w:rFonts w:asciiTheme="minorHAnsi" w:hAnsiTheme="minorHAnsi"/>
          <w:szCs w:val="22"/>
        </w:rPr>
        <w:t>.</w:t>
      </w:r>
      <w:r w:rsidRPr="00345F2E">
        <w:rPr>
          <w:rFonts w:asciiTheme="minorHAnsi" w:hAnsiTheme="minorHAnsi"/>
          <w:szCs w:val="22"/>
        </w:rPr>
        <w:t>, Sioutas</w:t>
      </w:r>
      <w:r w:rsidR="00815DA8">
        <w:rPr>
          <w:rFonts w:asciiTheme="minorHAnsi" w:hAnsiTheme="minorHAnsi"/>
          <w:szCs w:val="22"/>
        </w:rPr>
        <w:t>,</w:t>
      </w:r>
      <w:r w:rsidRPr="00345F2E">
        <w:rPr>
          <w:rFonts w:asciiTheme="minorHAnsi" w:hAnsiTheme="minorHAnsi"/>
          <w:szCs w:val="22"/>
        </w:rPr>
        <w:t xml:space="preserve"> C</w:t>
      </w:r>
      <w:r w:rsidR="00815DA8">
        <w:rPr>
          <w:rFonts w:asciiTheme="minorHAnsi" w:hAnsiTheme="minorHAnsi"/>
          <w:szCs w:val="22"/>
        </w:rPr>
        <w:t>.</w:t>
      </w:r>
      <w:r w:rsidRPr="00345F2E">
        <w:rPr>
          <w:rFonts w:asciiTheme="minorHAnsi" w:hAnsiTheme="minorHAnsi"/>
          <w:szCs w:val="22"/>
        </w:rPr>
        <w:t>, Cooper</w:t>
      </w:r>
      <w:r w:rsidR="00815DA8">
        <w:rPr>
          <w:rFonts w:asciiTheme="minorHAnsi" w:hAnsiTheme="minorHAnsi"/>
          <w:szCs w:val="22"/>
        </w:rPr>
        <w:t>,</w:t>
      </w:r>
      <w:r w:rsidRPr="00345F2E">
        <w:rPr>
          <w:rFonts w:asciiTheme="minorHAnsi" w:hAnsiTheme="minorHAnsi"/>
          <w:szCs w:val="22"/>
        </w:rPr>
        <w:t xml:space="preserve"> D</w:t>
      </w:r>
      <w:r w:rsidR="00815DA8">
        <w:rPr>
          <w:rFonts w:asciiTheme="minorHAnsi" w:hAnsiTheme="minorHAnsi"/>
          <w:szCs w:val="22"/>
        </w:rPr>
        <w:t>.,</w:t>
      </w:r>
      <w:r w:rsidRPr="00345F2E">
        <w:rPr>
          <w:rFonts w:asciiTheme="minorHAnsi" w:hAnsiTheme="minorHAnsi"/>
          <w:szCs w:val="22"/>
        </w:rPr>
        <w:t xml:space="preserve"> 2008. Personal and ambient air pollution exposures and lung function decrements in children with asthma. Environmental Health Perspectives, 116, 550-558.</w:t>
      </w:r>
    </w:p>
    <w:p w14:paraId="4CB83C53" w14:textId="77777777" w:rsidR="001C017E" w:rsidRPr="00345F2E" w:rsidRDefault="001C017E" w:rsidP="00BA29F9">
      <w:pPr>
        <w:ind w:right="57"/>
        <w:jc w:val="both"/>
        <w:rPr>
          <w:rFonts w:asciiTheme="minorHAnsi" w:hAnsiTheme="minorHAnsi"/>
          <w:szCs w:val="22"/>
        </w:rPr>
      </w:pPr>
    </w:p>
    <w:p w14:paraId="52EF0AC0" w14:textId="7131D7C8" w:rsidR="001C017E" w:rsidRPr="00345F2E" w:rsidRDefault="001C017E" w:rsidP="00BA29F9">
      <w:pPr>
        <w:ind w:right="57"/>
        <w:jc w:val="both"/>
        <w:rPr>
          <w:rFonts w:asciiTheme="minorHAnsi" w:hAnsiTheme="minorHAnsi"/>
          <w:szCs w:val="22"/>
        </w:rPr>
      </w:pPr>
      <w:r w:rsidRPr="00345F2E">
        <w:rPr>
          <w:rFonts w:asciiTheme="minorHAnsi" w:hAnsiTheme="minorHAnsi"/>
          <w:szCs w:val="22"/>
        </w:rPr>
        <w:t>Delgado-Saborit</w:t>
      </w:r>
      <w:r w:rsidR="003E6245">
        <w:rPr>
          <w:rFonts w:asciiTheme="minorHAnsi" w:hAnsiTheme="minorHAnsi"/>
          <w:szCs w:val="22"/>
        </w:rPr>
        <w:t>,</w:t>
      </w:r>
      <w:r w:rsidRPr="00345F2E">
        <w:rPr>
          <w:rFonts w:asciiTheme="minorHAnsi" w:hAnsiTheme="minorHAnsi"/>
          <w:szCs w:val="22"/>
        </w:rPr>
        <w:t xml:space="preserve"> J</w:t>
      </w:r>
      <w:r w:rsidR="003E6245">
        <w:rPr>
          <w:rFonts w:asciiTheme="minorHAnsi" w:hAnsiTheme="minorHAnsi"/>
          <w:szCs w:val="22"/>
        </w:rPr>
        <w:t>.</w:t>
      </w:r>
      <w:r w:rsidRPr="00345F2E">
        <w:rPr>
          <w:rFonts w:asciiTheme="minorHAnsi" w:hAnsiTheme="minorHAnsi"/>
          <w:szCs w:val="22"/>
        </w:rPr>
        <w:t>M</w:t>
      </w:r>
      <w:r w:rsidR="003E6245">
        <w:rPr>
          <w:rFonts w:asciiTheme="minorHAnsi" w:hAnsiTheme="minorHAnsi"/>
          <w:szCs w:val="22"/>
        </w:rPr>
        <w:t>.,</w:t>
      </w:r>
      <w:r w:rsidRPr="00345F2E">
        <w:rPr>
          <w:rFonts w:asciiTheme="minorHAnsi" w:hAnsiTheme="minorHAnsi"/>
          <w:szCs w:val="22"/>
        </w:rPr>
        <w:t xml:space="preserve"> 2012. Use of real-time monitors to characterise human exposures to combustion related pollutants. Journal of Environmental Monitoring, 14, 1824-1837.</w:t>
      </w:r>
    </w:p>
    <w:p w14:paraId="377C5658" w14:textId="77777777" w:rsidR="00AD3BB8" w:rsidRPr="00345F2E" w:rsidRDefault="00AD3BB8" w:rsidP="00BA29F9">
      <w:pPr>
        <w:ind w:right="57"/>
        <w:jc w:val="both"/>
        <w:rPr>
          <w:rFonts w:asciiTheme="minorHAnsi" w:hAnsiTheme="minorHAnsi"/>
          <w:szCs w:val="22"/>
        </w:rPr>
      </w:pPr>
    </w:p>
    <w:p w14:paraId="38094BB4" w14:textId="10C5625B" w:rsidR="004471D4" w:rsidRDefault="004471D4" w:rsidP="00BA29F9">
      <w:pPr>
        <w:ind w:right="57"/>
        <w:jc w:val="both"/>
        <w:rPr>
          <w:rFonts w:asciiTheme="minorHAnsi" w:hAnsiTheme="minorHAnsi"/>
          <w:szCs w:val="22"/>
        </w:rPr>
      </w:pPr>
      <w:r w:rsidRPr="00345F2E">
        <w:rPr>
          <w:rFonts w:asciiTheme="minorHAnsi" w:hAnsiTheme="minorHAnsi"/>
          <w:szCs w:val="22"/>
        </w:rPr>
        <w:t>Dimitroulopoulou</w:t>
      </w:r>
      <w:r w:rsidR="003E6245">
        <w:rPr>
          <w:rFonts w:asciiTheme="minorHAnsi" w:hAnsiTheme="minorHAnsi"/>
          <w:szCs w:val="22"/>
        </w:rPr>
        <w:t>,</w:t>
      </w:r>
      <w:r w:rsidRPr="00345F2E">
        <w:rPr>
          <w:rFonts w:asciiTheme="minorHAnsi" w:hAnsiTheme="minorHAnsi"/>
          <w:szCs w:val="22"/>
        </w:rPr>
        <w:t xml:space="preserve"> C., Ashmore</w:t>
      </w:r>
      <w:r w:rsidR="003E6245">
        <w:rPr>
          <w:rFonts w:asciiTheme="minorHAnsi" w:hAnsiTheme="minorHAnsi"/>
          <w:szCs w:val="22"/>
        </w:rPr>
        <w:t>,</w:t>
      </w:r>
      <w:r w:rsidRPr="00345F2E">
        <w:rPr>
          <w:rFonts w:asciiTheme="minorHAnsi" w:hAnsiTheme="minorHAnsi"/>
          <w:szCs w:val="22"/>
        </w:rPr>
        <w:t xml:space="preserve"> M.R. Byrne</w:t>
      </w:r>
      <w:r w:rsidR="003E6245">
        <w:rPr>
          <w:rFonts w:asciiTheme="minorHAnsi" w:hAnsiTheme="minorHAnsi"/>
          <w:szCs w:val="22"/>
        </w:rPr>
        <w:t>,</w:t>
      </w:r>
      <w:r w:rsidRPr="00345F2E">
        <w:rPr>
          <w:rFonts w:asciiTheme="minorHAnsi" w:hAnsiTheme="minorHAnsi"/>
          <w:szCs w:val="22"/>
        </w:rPr>
        <w:t xml:space="preserve"> M. and Kinnersley</w:t>
      </w:r>
      <w:r w:rsidR="003E6245">
        <w:rPr>
          <w:rFonts w:asciiTheme="minorHAnsi" w:hAnsiTheme="minorHAnsi"/>
          <w:szCs w:val="22"/>
        </w:rPr>
        <w:t>,</w:t>
      </w:r>
      <w:r w:rsidRPr="00345F2E">
        <w:rPr>
          <w:rFonts w:asciiTheme="minorHAnsi" w:hAnsiTheme="minorHAnsi"/>
          <w:szCs w:val="22"/>
        </w:rPr>
        <w:t xml:space="preserve"> R</w:t>
      </w:r>
      <w:r w:rsidR="003E6245">
        <w:rPr>
          <w:rFonts w:asciiTheme="minorHAnsi" w:hAnsiTheme="minorHAnsi"/>
          <w:szCs w:val="22"/>
        </w:rPr>
        <w:t>.</w:t>
      </w:r>
      <w:r w:rsidRPr="00345F2E">
        <w:rPr>
          <w:rFonts w:asciiTheme="minorHAnsi" w:hAnsiTheme="minorHAnsi"/>
          <w:szCs w:val="22"/>
        </w:rPr>
        <w:t xml:space="preserve">, 2001. Modelling of indoor exposure to nitrogen dioxide in the UK. </w:t>
      </w:r>
      <w:r w:rsidRPr="003E6245">
        <w:rPr>
          <w:rFonts w:asciiTheme="minorHAnsi" w:hAnsiTheme="minorHAnsi"/>
          <w:szCs w:val="22"/>
        </w:rPr>
        <w:t>Atmospheric Environment</w:t>
      </w:r>
      <w:r w:rsidRPr="00345F2E">
        <w:rPr>
          <w:rFonts w:asciiTheme="minorHAnsi" w:hAnsiTheme="minorHAnsi"/>
          <w:szCs w:val="22"/>
        </w:rPr>
        <w:t>, 35, 269-279.</w:t>
      </w:r>
    </w:p>
    <w:p w14:paraId="3CF056B8" w14:textId="77777777" w:rsidR="00CC5F59" w:rsidRDefault="00CC5F59" w:rsidP="00BA29F9">
      <w:pPr>
        <w:ind w:right="57"/>
        <w:jc w:val="both"/>
        <w:rPr>
          <w:rFonts w:asciiTheme="minorHAnsi" w:hAnsiTheme="minorHAnsi"/>
          <w:szCs w:val="22"/>
        </w:rPr>
      </w:pPr>
    </w:p>
    <w:p w14:paraId="63F61386" w14:textId="77777777" w:rsidR="00CC5F59" w:rsidRPr="00137DB4" w:rsidRDefault="00CC5F59" w:rsidP="00CC5F59">
      <w:pPr>
        <w:rPr>
          <w:rFonts w:asciiTheme="minorHAnsi" w:hAnsiTheme="minorHAnsi"/>
        </w:rPr>
      </w:pPr>
      <w:r w:rsidRPr="00137DB4">
        <w:rPr>
          <w:rFonts w:asciiTheme="minorHAnsi" w:hAnsiTheme="minorHAnsi"/>
        </w:rPr>
        <w:t>Dimitroulopoulou, C., 2003. Private communication, BRE Client reports.</w:t>
      </w:r>
    </w:p>
    <w:p w14:paraId="57AA1B25" w14:textId="77777777" w:rsidR="004471D4" w:rsidRPr="00137DB4" w:rsidRDefault="004471D4" w:rsidP="00BA29F9">
      <w:pPr>
        <w:ind w:right="57"/>
        <w:jc w:val="both"/>
        <w:rPr>
          <w:rFonts w:asciiTheme="minorHAnsi" w:hAnsiTheme="minorHAnsi"/>
          <w:szCs w:val="22"/>
        </w:rPr>
      </w:pPr>
    </w:p>
    <w:p w14:paraId="33E043B7" w14:textId="77777777" w:rsidR="004471D4" w:rsidRPr="00137DB4" w:rsidRDefault="000D7E73" w:rsidP="00BA29F9">
      <w:pPr>
        <w:autoSpaceDE w:val="0"/>
        <w:autoSpaceDN w:val="0"/>
        <w:adjustRightInd w:val="0"/>
        <w:jc w:val="both"/>
        <w:rPr>
          <w:rFonts w:asciiTheme="minorHAnsi" w:hAnsiTheme="minorHAnsi"/>
          <w:szCs w:val="22"/>
          <w:lang w:eastAsia="el-GR"/>
        </w:rPr>
      </w:pPr>
      <w:r w:rsidRPr="00137DB4">
        <w:rPr>
          <w:rFonts w:asciiTheme="minorHAnsi" w:hAnsiTheme="minorHAnsi"/>
          <w:szCs w:val="22"/>
          <w:lang w:eastAsia="el-GR"/>
        </w:rPr>
        <w:t>Dimitroulopoulou, C., Ashmore, M.R., Hill, M.T.R., Byrne, M., Kinnersley, R., 2006. INDAIR: a probabilistic model of indoor air pollution in the U.K. Atmospheric Environment 40, 6362–6379.</w:t>
      </w:r>
    </w:p>
    <w:p w14:paraId="03CCEC78" w14:textId="77777777" w:rsidR="00CC5F59" w:rsidRPr="00137DB4" w:rsidRDefault="00CC5F59" w:rsidP="00BA29F9">
      <w:pPr>
        <w:autoSpaceDE w:val="0"/>
        <w:autoSpaceDN w:val="0"/>
        <w:adjustRightInd w:val="0"/>
        <w:jc w:val="both"/>
        <w:rPr>
          <w:rFonts w:asciiTheme="minorHAnsi" w:hAnsiTheme="minorHAnsi"/>
          <w:szCs w:val="22"/>
          <w:lang w:eastAsia="el-GR"/>
        </w:rPr>
      </w:pPr>
    </w:p>
    <w:p w14:paraId="10F33AC3" w14:textId="5609A554" w:rsidR="00CC5F59" w:rsidRPr="00137DB4" w:rsidRDefault="00CC5F59" w:rsidP="00D24106">
      <w:pPr>
        <w:jc w:val="both"/>
        <w:rPr>
          <w:rFonts w:asciiTheme="minorHAnsi" w:hAnsiTheme="minorHAnsi"/>
        </w:rPr>
      </w:pPr>
      <w:r w:rsidRPr="00137DB4">
        <w:rPr>
          <w:rFonts w:asciiTheme="minorHAnsi" w:hAnsiTheme="minorHAnsi"/>
        </w:rPr>
        <w:t>Drakou, G., Zerefos, C., Ziomas, I., Voyatzaki, M., 1998. Measurement and numerical simulations of indoor O</w:t>
      </w:r>
      <w:r w:rsidRPr="00137DB4">
        <w:rPr>
          <w:rFonts w:asciiTheme="minorHAnsi" w:hAnsiTheme="minorHAnsi"/>
          <w:vertAlign w:val="subscript"/>
        </w:rPr>
        <w:t>3</w:t>
      </w:r>
      <w:r w:rsidRPr="00137DB4">
        <w:rPr>
          <w:rFonts w:asciiTheme="minorHAnsi" w:hAnsiTheme="minorHAnsi"/>
        </w:rPr>
        <w:t xml:space="preserve"> and NO</w:t>
      </w:r>
      <w:r w:rsidRPr="00137DB4">
        <w:rPr>
          <w:rFonts w:asciiTheme="minorHAnsi" w:hAnsiTheme="minorHAnsi"/>
          <w:vertAlign w:val="subscript"/>
        </w:rPr>
        <w:t>x</w:t>
      </w:r>
      <w:r w:rsidRPr="00137DB4">
        <w:rPr>
          <w:rFonts w:asciiTheme="minorHAnsi" w:hAnsiTheme="minorHAnsi"/>
        </w:rPr>
        <w:t xml:space="preserve"> in two different cases. Atmospheric Environment, 32, 595-610.</w:t>
      </w:r>
    </w:p>
    <w:p w14:paraId="3D92A530" w14:textId="77777777" w:rsidR="002F3933" w:rsidRPr="00137DB4" w:rsidRDefault="002F3933" w:rsidP="00BA29F9">
      <w:pPr>
        <w:autoSpaceDE w:val="0"/>
        <w:autoSpaceDN w:val="0"/>
        <w:adjustRightInd w:val="0"/>
        <w:jc w:val="both"/>
        <w:rPr>
          <w:rFonts w:asciiTheme="minorHAnsi" w:hAnsiTheme="minorHAnsi"/>
          <w:szCs w:val="22"/>
          <w:lang w:eastAsia="el-GR"/>
        </w:rPr>
      </w:pPr>
    </w:p>
    <w:p w14:paraId="3DD7F6E2" w14:textId="77777777" w:rsidR="004471D4" w:rsidRPr="00137DB4" w:rsidRDefault="004471D4" w:rsidP="00BA29F9">
      <w:pPr>
        <w:jc w:val="both"/>
        <w:rPr>
          <w:rFonts w:asciiTheme="minorHAnsi" w:hAnsiTheme="minorHAnsi"/>
          <w:szCs w:val="22"/>
        </w:rPr>
      </w:pPr>
      <w:r w:rsidRPr="00137DB4">
        <w:rPr>
          <w:rFonts w:asciiTheme="minorHAnsi" w:hAnsiTheme="minorHAnsi"/>
          <w:szCs w:val="22"/>
        </w:rPr>
        <w:t>Edwards</w:t>
      </w:r>
      <w:r w:rsidR="008D05A0" w:rsidRPr="00137DB4">
        <w:rPr>
          <w:rFonts w:asciiTheme="minorHAnsi" w:hAnsiTheme="minorHAnsi"/>
          <w:szCs w:val="22"/>
        </w:rPr>
        <w:t>,</w:t>
      </w:r>
      <w:r w:rsidRPr="00137DB4">
        <w:rPr>
          <w:rFonts w:asciiTheme="minorHAnsi" w:hAnsiTheme="minorHAnsi"/>
          <w:szCs w:val="22"/>
        </w:rPr>
        <w:t xml:space="preserve"> R</w:t>
      </w:r>
      <w:r w:rsidR="008D05A0" w:rsidRPr="00137DB4">
        <w:rPr>
          <w:rFonts w:asciiTheme="minorHAnsi" w:hAnsiTheme="minorHAnsi"/>
          <w:szCs w:val="22"/>
        </w:rPr>
        <w:t>.</w:t>
      </w:r>
      <w:r w:rsidRPr="00137DB4">
        <w:rPr>
          <w:rFonts w:asciiTheme="minorHAnsi" w:hAnsiTheme="minorHAnsi"/>
          <w:szCs w:val="22"/>
        </w:rPr>
        <w:t>D</w:t>
      </w:r>
      <w:r w:rsidR="008D05A0" w:rsidRPr="00137DB4">
        <w:rPr>
          <w:rFonts w:asciiTheme="minorHAnsi" w:hAnsiTheme="minorHAnsi"/>
          <w:szCs w:val="22"/>
        </w:rPr>
        <w:t>.</w:t>
      </w:r>
      <w:r w:rsidRPr="00137DB4">
        <w:rPr>
          <w:rFonts w:asciiTheme="minorHAnsi" w:hAnsiTheme="minorHAnsi"/>
          <w:szCs w:val="22"/>
        </w:rPr>
        <w:t>, Schweizer</w:t>
      </w:r>
      <w:r w:rsidR="008D05A0" w:rsidRPr="00137DB4">
        <w:rPr>
          <w:rFonts w:asciiTheme="minorHAnsi" w:hAnsiTheme="minorHAnsi"/>
          <w:szCs w:val="22"/>
        </w:rPr>
        <w:t>,</w:t>
      </w:r>
      <w:r w:rsidRPr="00137DB4">
        <w:rPr>
          <w:rFonts w:asciiTheme="minorHAnsi" w:hAnsiTheme="minorHAnsi"/>
          <w:szCs w:val="22"/>
        </w:rPr>
        <w:t xml:space="preserve"> C</w:t>
      </w:r>
      <w:r w:rsidR="008D05A0" w:rsidRPr="00137DB4">
        <w:rPr>
          <w:rFonts w:asciiTheme="minorHAnsi" w:hAnsiTheme="minorHAnsi"/>
          <w:szCs w:val="22"/>
        </w:rPr>
        <w:t>.</w:t>
      </w:r>
      <w:r w:rsidRPr="00137DB4">
        <w:rPr>
          <w:rFonts w:asciiTheme="minorHAnsi" w:hAnsiTheme="minorHAnsi"/>
          <w:szCs w:val="22"/>
        </w:rPr>
        <w:t>, Jantunen</w:t>
      </w:r>
      <w:r w:rsidR="008D05A0" w:rsidRPr="00137DB4">
        <w:rPr>
          <w:rFonts w:asciiTheme="minorHAnsi" w:hAnsiTheme="minorHAnsi"/>
          <w:szCs w:val="22"/>
        </w:rPr>
        <w:t>,</w:t>
      </w:r>
      <w:r w:rsidRPr="00137DB4">
        <w:rPr>
          <w:rFonts w:asciiTheme="minorHAnsi" w:hAnsiTheme="minorHAnsi"/>
          <w:szCs w:val="22"/>
        </w:rPr>
        <w:t xml:space="preserve"> M</w:t>
      </w:r>
      <w:r w:rsidR="008D05A0" w:rsidRPr="00137DB4">
        <w:rPr>
          <w:rFonts w:asciiTheme="minorHAnsi" w:hAnsiTheme="minorHAnsi"/>
          <w:szCs w:val="22"/>
        </w:rPr>
        <w:t>.</w:t>
      </w:r>
      <w:r w:rsidRPr="00137DB4">
        <w:rPr>
          <w:rFonts w:asciiTheme="minorHAnsi" w:hAnsiTheme="minorHAnsi"/>
          <w:szCs w:val="22"/>
        </w:rPr>
        <w:t>, Lai</w:t>
      </w:r>
      <w:r w:rsidR="008D05A0" w:rsidRPr="00137DB4">
        <w:rPr>
          <w:rFonts w:asciiTheme="minorHAnsi" w:hAnsiTheme="minorHAnsi"/>
          <w:szCs w:val="22"/>
        </w:rPr>
        <w:t>,</w:t>
      </w:r>
      <w:r w:rsidRPr="00137DB4">
        <w:rPr>
          <w:rFonts w:asciiTheme="minorHAnsi" w:hAnsiTheme="minorHAnsi"/>
          <w:szCs w:val="22"/>
        </w:rPr>
        <w:t xml:space="preserve"> H</w:t>
      </w:r>
      <w:r w:rsidR="008D05A0" w:rsidRPr="00137DB4">
        <w:rPr>
          <w:rFonts w:asciiTheme="minorHAnsi" w:hAnsiTheme="minorHAnsi"/>
          <w:szCs w:val="22"/>
        </w:rPr>
        <w:t>.</w:t>
      </w:r>
      <w:r w:rsidRPr="00137DB4">
        <w:rPr>
          <w:rFonts w:asciiTheme="minorHAnsi" w:hAnsiTheme="minorHAnsi"/>
          <w:szCs w:val="22"/>
        </w:rPr>
        <w:t>K</w:t>
      </w:r>
      <w:r w:rsidR="008D05A0" w:rsidRPr="00137DB4">
        <w:rPr>
          <w:rFonts w:asciiTheme="minorHAnsi" w:hAnsiTheme="minorHAnsi"/>
          <w:szCs w:val="22"/>
        </w:rPr>
        <w:t>.</w:t>
      </w:r>
      <w:r w:rsidRPr="00137DB4">
        <w:rPr>
          <w:rFonts w:asciiTheme="minorHAnsi" w:hAnsiTheme="minorHAnsi"/>
          <w:szCs w:val="22"/>
        </w:rPr>
        <w:t>, Bayer-Oglesby</w:t>
      </w:r>
      <w:r w:rsidR="008D05A0" w:rsidRPr="00137DB4">
        <w:rPr>
          <w:rFonts w:asciiTheme="minorHAnsi" w:hAnsiTheme="minorHAnsi"/>
          <w:szCs w:val="22"/>
        </w:rPr>
        <w:t>,</w:t>
      </w:r>
      <w:r w:rsidRPr="00137DB4">
        <w:rPr>
          <w:rFonts w:asciiTheme="minorHAnsi" w:hAnsiTheme="minorHAnsi"/>
          <w:szCs w:val="22"/>
        </w:rPr>
        <w:t xml:space="preserve"> L</w:t>
      </w:r>
      <w:r w:rsidR="008D05A0" w:rsidRPr="00137DB4">
        <w:rPr>
          <w:rFonts w:asciiTheme="minorHAnsi" w:hAnsiTheme="minorHAnsi"/>
          <w:szCs w:val="22"/>
        </w:rPr>
        <w:t>.</w:t>
      </w:r>
      <w:r w:rsidRPr="00137DB4">
        <w:rPr>
          <w:rFonts w:asciiTheme="minorHAnsi" w:hAnsiTheme="minorHAnsi"/>
          <w:szCs w:val="22"/>
        </w:rPr>
        <w:t>, Katsouyanni</w:t>
      </w:r>
      <w:r w:rsidR="008D05A0" w:rsidRPr="00137DB4">
        <w:rPr>
          <w:rFonts w:asciiTheme="minorHAnsi" w:hAnsiTheme="minorHAnsi"/>
          <w:szCs w:val="22"/>
        </w:rPr>
        <w:t>,</w:t>
      </w:r>
      <w:r w:rsidRPr="00137DB4">
        <w:rPr>
          <w:rFonts w:asciiTheme="minorHAnsi" w:hAnsiTheme="minorHAnsi"/>
          <w:szCs w:val="22"/>
        </w:rPr>
        <w:t xml:space="preserve"> K</w:t>
      </w:r>
      <w:r w:rsidR="008D05A0" w:rsidRPr="00137DB4">
        <w:rPr>
          <w:rFonts w:asciiTheme="minorHAnsi" w:hAnsiTheme="minorHAnsi"/>
          <w:szCs w:val="22"/>
        </w:rPr>
        <w:t>.</w:t>
      </w:r>
      <w:r w:rsidRPr="00137DB4">
        <w:rPr>
          <w:rFonts w:asciiTheme="minorHAnsi" w:hAnsiTheme="minorHAnsi"/>
          <w:szCs w:val="22"/>
        </w:rPr>
        <w:t>, Nieuwenhuijsen</w:t>
      </w:r>
      <w:r w:rsidR="008D05A0" w:rsidRPr="00137DB4">
        <w:rPr>
          <w:rFonts w:asciiTheme="minorHAnsi" w:hAnsiTheme="minorHAnsi"/>
          <w:szCs w:val="22"/>
        </w:rPr>
        <w:t>,</w:t>
      </w:r>
      <w:r w:rsidRPr="00137DB4">
        <w:rPr>
          <w:rFonts w:asciiTheme="minorHAnsi" w:hAnsiTheme="minorHAnsi"/>
          <w:szCs w:val="22"/>
        </w:rPr>
        <w:t xml:space="preserve"> M</w:t>
      </w:r>
      <w:r w:rsidR="008D05A0" w:rsidRPr="00137DB4">
        <w:rPr>
          <w:rFonts w:asciiTheme="minorHAnsi" w:hAnsiTheme="minorHAnsi"/>
          <w:szCs w:val="22"/>
        </w:rPr>
        <w:t>.</w:t>
      </w:r>
      <w:r w:rsidRPr="00137DB4">
        <w:rPr>
          <w:rFonts w:asciiTheme="minorHAnsi" w:hAnsiTheme="minorHAnsi"/>
          <w:szCs w:val="22"/>
        </w:rPr>
        <w:t>, Saarela</w:t>
      </w:r>
      <w:r w:rsidR="008D05A0" w:rsidRPr="00137DB4">
        <w:rPr>
          <w:rFonts w:asciiTheme="minorHAnsi" w:hAnsiTheme="minorHAnsi"/>
          <w:szCs w:val="22"/>
        </w:rPr>
        <w:t>,</w:t>
      </w:r>
      <w:r w:rsidRPr="00137DB4">
        <w:rPr>
          <w:rFonts w:asciiTheme="minorHAnsi" w:hAnsiTheme="minorHAnsi"/>
          <w:szCs w:val="22"/>
        </w:rPr>
        <w:t xml:space="preserve"> K</w:t>
      </w:r>
      <w:r w:rsidR="008D05A0" w:rsidRPr="00137DB4">
        <w:rPr>
          <w:rFonts w:asciiTheme="minorHAnsi" w:hAnsiTheme="minorHAnsi"/>
          <w:szCs w:val="22"/>
        </w:rPr>
        <w:t>., S</w:t>
      </w:r>
      <w:r w:rsidRPr="00137DB4">
        <w:rPr>
          <w:rFonts w:asciiTheme="minorHAnsi" w:hAnsiTheme="minorHAnsi"/>
          <w:szCs w:val="22"/>
        </w:rPr>
        <w:t>ram</w:t>
      </w:r>
      <w:r w:rsidR="008D05A0" w:rsidRPr="00137DB4">
        <w:rPr>
          <w:rFonts w:asciiTheme="minorHAnsi" w:hAnsiTheme="minorHAnsi"/>
          <w:szCs w:val="22"/>
        </w:rPr>
        <w:t>,</w:t>
      </w:r>
      <w:r w:rsidRPr="00137DB4">
        <w:rPr>
          <w:rFonts w:asciiTheme="minorHAnsi" w:hAnsiTheme="minorHAnsi"/>
          <w:szCs w:val="22"/>
        </w:rPr>
        <w:t xml:space="preserve"> R</w:t>
      </w:r>
      <w:r w:rsidR="008D05A0" w:rsidRPr="00137DB4">
        <w:rPr>
          <w:rFonts w:asciiTheme="minorHAnsi" w:hAnsiTheme="minorHAnsi"/>
          <w:szCs w:val="22"/>
        </w:rPr>
        <w:t xml:space="preserve">., </w:t>
      </w:r>
      <w:r w:rsidRPr="00137DB4">
        <w:rPr>
          <w:rFonts w:asciiTheme="minorHAnsi" w:hAnsiTheme="minorHAnsi"/>
          <w:szCs w:val="22"/>
        </w:rPr>
        <w:t>Kunzli</w:t>
      </w:r>
      <w:r w:rsidR="008D05A0" w:rsidRPr="00137DB4">
        <w:rPr>
          <w:rFonts w:asciiTheme="minorHAnsi" w:hAnsiTheme="minorHAnsi"/>
          <w:szCs w:val="22"/>
        </w:rPr>
        <w:t>,</w:t>
      </w:r>
      <w:r w:rsidRPr="00137DB4">
        <w:rPr>
          <w:rFonts w:asciiTheme="minorHAnsi" w:hAnsiTheme="minorHAnsi"/>
          <w:szCs w:val="22"/>
        </w:rPr>
        <w:t xml:space="preserve"> N</w:t>
      </w:r>
      <w:r w:rsidR="008D05A0" w:rsidRPr="00137DB4">
        <w:rPr>
          <w:rFonts w:asciiTheme="minorHAnsi" w:hAnsiTheme="minorHAnsi"/>
          <w:szCs w:val="22"/>
        </w:rPr>
        <w:t>., 2005</w:t>
      </w:r>
      <w:r w:rsidRPr="00137DB4">
        <w:rPr>
          <w:rFonts w:asciiTheme="minorHAnsi" w:hAnsiTheme="minorHAnsi"/>
          <w:szCs w:val="22"/>
        </w:rPr>
        <w:t>. Personal exposures to VOC at the upper end of the distribution – relationships to indoor outdoor and workplace concentr</w:t>
      </w:r>
      <w:r w:rsidR="008D05A0" w:rsidRPr="00137DB4">
        <w:rPr>
          <w:rFonts w:asciiTheme="minorHAnsi" w:hAnsiTheme="minorHAnsi"/>
          <w:szCs w:val="22"/>
        </w:rPr>
        <w:t>ations. Atmospheric Environment</w:t>
      </w:r>
      <w:r w:rsidRPr="00137DB4">
        <w:rPr>
          <w:rFonts w:asciiTheme="minorHAnsi" w:hAnsiTheme="minorHAnsi"/>
          <w:szCs w:val="22"/>
        </w:rPr>
        <w:t xml:space="preserve"> 39, 2299-2307. </w:t>
      </w:r>
    </w:p>
    <w:p w14:paraId="21270AC7" w14:textId="77777777" w:rsidR="00BA29F9" w:rsidRPr="00137DB4" w:rsidRDefault="00BA29F9" w:rsidP="00BA29F9">
      <w:pPr>
        <w:jc w:val="both"/>
        <w:rPr>
          <w:rFonts w:asciiTheme="minorHAnsi" w:hAnsiTheme="minorHAnsi"/>
          <w:szCs w:val="22"/>
        </w:rPr>
      </w:pPr>
    </w:p>
    <w:p w14:paraId="71D5437D" w14:textId="63D80D4E" w:rsidR="00BA29F9" w:rsidRPr="00137DB4" w:rsidRDefault="00BA29F9" w:rsidP="00BA29F9">
      <w:pPr>
        <w:jc w:val="both"/>
        <w:rPr>
          <w:rFonts w:asciiTheme="minorHAnsi" w:hAnsiTheme="minorHAnsi"/>
          <w:szCs w:val="22"/>
        </w:rPr>
      </w:pPr>
      <w:r w:rsidRPr="00137DB4">
        <w:rPr>
          <w:rFonts w:asciiTheme="minorHAnsi" w:hAnsiTheme="minorHAnsi"/>
          <w:szCs w:val="22"/>
        </w:rPr>
        <w:t>Edwards</w:t>
      </w:r>
      <w:r w:rsidR="003E6245" w:rsidRPr="00137DB4">
        <w:rPr>
          <w:rFonts w:asciiTheme="minorHAnsi" w:hAnsiTheme="minorHAnsi"/>
          <w:szCs w:val="22"/>
        </w:rPr>
        <w:t>,</w:t>
      </w:r>
      <w:r w:rsidRPr="00137DB4">
        <w:rPr>
          <w:rFonts w:asciiTheme="minorHAnsi" w:hAnsiTheme="minorHAnsi"/>
          <w:szCs w:val="22"/>
        </w:rPr>
        <w:t xml:space="preserve"> R</w:t>
      </w:r>
      <w:r w:rsidR="003E6245" w:rsidRPr="00137DB4">
        <w:rPr>
          <w:rFonts w:asciiTheme="minorHAnsi" w:hAnsiTheme="minorHAnsi"/>
          <w:szCs w:val="22"/>
        </w:rPr>
        <w:t>.</w:t>
      </w:r>
      <w:r w:rsidRPr="00137DB4">
        <w:rPr>
          <w:rFonts w:asciiTheme="minorHAnsi" w:hAnsiTheme="minorHAnsi"/>
          <w:szCs w:val="22"/>
        </w:rPr>
        <w:t>, Jantunen</w:t>
      </w:r>
      <w:r w:rsidR="003E6245" w:rsidRPr="00137DB4">
        <w:rPr>
          <w:rFonts w:asciiTheme="minorHAnsi" w:hAnsiTheme="minorHAnsi"/>
          <w:szCs w:val="22"/>
        </w:rPr>
        <w:t>,</w:t>
      </w:r>
      <w:r w:rsidRPr="00137DB4">
        <w:rPr>
          <w:rFonts w:asciiTheme="minorHAnsi" w:hAnsiTheme="minorHAnsi"/>
          <w:szCs w:val="22"/>
        </w:rPr>
        <w:t xml:space="preserve"> M</w:t>
      </w:r>
      <w:r w:rsidR="003E6245" w:rsidRPr="00137DB4">
        <w:rPr>
          <w:rFonts w:asciiTheme="minorHAnsi" w:hAnsiTheme="minorHAnsi"/>
          <w:szCs w:val="22"/>
        </w:rPr>
        <w:t>.,</w:t>
      </w:r>
      <w:r w:rsidRPr="00137DB4">
        <w:rPr>
          <w:rFonts w:asciiTheme="minorHAnsi" w:hAnsiTheme="minorHAnsi"/>
          <w:szCs w:val="22"/>
        </w:rPr>
        <w:t xml:space="preserve"> 2009. Subgroups exposed to systematically different elemental compositions of PM</w:t>
      </w:r>
      <w:r w:rsidRPr="00137DB4">
        <w:rPr>
          <w:rFonts w:asciiTheme="minorHAnsi" w:hAnsiTheme="minorHAnsi"/>
          <w:szCs w:val="22"/>
          <w:vertAlign w:val="subscript"/>
        </w:rPr>
        <w:t>2.5</w:t>
      </w:r>
      <w:r w:rsidRPr="00137DB4">
        <w:rPr>
          <w:rFonts w:asciiTheme="minorHAnsi" w:hAnsiTheme="minorHAnsi"/>
          <w:szCs w:val="22"/>
        </w:rPr>
        <w:t>.  Atmospheric Environment, 43, 3571-3578.</w:t>
      </w:r>
    </w:p>
    <w:p w14:paraId="08820BD5" w14:textId="77777777" w:rsidR="007B6070" w:rsidRPr="00137DB4" w:rsidRDefault="007B6070" w:rsidP="00BA29F9">
      <w:pPr>
        <w:jc w:val="both"/>
        <w:rPr>
          <w:rFonts w:asciiTheme="minorHAnsi" w:hAnsiTheme="minorHAnsi"/>
          <w:szCs w:val="22"/>
        </w:rPr>
      </w:pPr>
    </w:p>
    <w:p w14:paraId="778B7190" w14:textId="17E4551B" w:rsidR="007B6070" w:rsidRPr="00137DB4" w:rsidRDefault="007B6070" w:rsidP="00D24106">
      <w:pPr>
        <w:jc w:val="both"/>
        <w:rPr>
          <w:rFonts w:asciiTheme="minorHAnsi" w:hAnsiTheme="minorHAnsi"/>
        </w:rPr>
      </w:pPr>
      <w:r w:rsidRPr="00137DB4">
        <w:rPr>
          <w:rFonts w:asciiTheme="minorHAnsi" w:hAnsiTheme="minorHAnsi"/>
        </w:rPr>
        <w:t>Ekberg, L.E., 1995. Concentrations of NO</w:t>
      </w:r>
      <w:r w:rsidRPr="00137DB4">
        <w:rPr>
          <w:rFonts w:asciiTheme="minorHAnsi" w:hAnsiTheme="minorHAnsi"/>
          <w:vertAlign w:val="subscript"/>
        </w:rPr>
        <w:t xml:space="preserve">2 </w:t>
      </w:r>
      <w:r w:rsidRPr="00137DB4">
        <w:rPr>
          <w:rFonts w:asciiTheme="minorHAnsi" w:hAnsiTheme="minorHAnsi"/>
        </w:rPr>
        <w:t>and other traffic related contaminants in office buildings located in urban environments. Build</w:t>
      </w:r>
      <w:r w:rsidR="00D24106" w:rsidRPr="00137DB4">
        <w:rPr>
          <w:rFonts w:asciiTheme="minorHAnsi" w:hAnsiTheme="minorHAnsi"/>
        </w:rPr>
        <w:t xml:space="preserve">ing and </w:t>
      </w:r>
      <w:r w:rsidRPr="00137DB4">
        <w:rPr>
          <w:rFonts w:asciiTheme="minorHAnsi" w:hAnsiTheme="minorHAnsi"/>
        </w:rPr>
        <w:t>Environ</w:t>
      </w:r>
      <w:r w:rsidR="00D24106" w:rsidRPr="00137DB4">
        <w:rPr>
          <w:rFonts w:asciiTheme="minorHAnsi" w:hAnsiTheme="minorHAnsi"/>
        </w:rPr>
        <w:t>ment</w:t>
      </w:r>
      <w:r w:rsidRPr="00137DB4">
        <w:rPr>
          <w:rFonts w:asciiTheme="minorHAnsi" w:hAnsiTheme="minorHAnsi"/>
        </w:rPr>
        <w:t>, 30, 293-298.</w:t>
      </w:r>
    </w:p>
    <w:p w14:paraId="1D8B1264" w14:textId="77777777" w:rsidR="005775BC" w:rsidRPr="00137DB4" w:rsidRDefault="005775BC" w:rsidP="00BA29F9">
      <w:pPr>
        <w:jc w:val="both"/>
        <w:rPr>
          <w:rFonts w:asciiTheme="minorHAnsi" w:hAnsiTheme="minorHAnsi"/>
          <w:szCs w:val="22"/>
        </w:rPr>
      </w:pPr>
    </w:p>
    <w:p w14:paraId="7B4D4317" w14:textId="0EAD2229" w:rsidR="00FD7159" w:rsidRPr="00345F2E" w:rsidRDefault="00F634E9" w:rsidP="00BA29F9">
      <w:pPr>
        <w:jc w:val="both"/>
        <w:rPr>
          <w:rFonts w:asciiTheme="minorHAnsi" w:hAnsiTheme="minorHAnsi"/>
          <w:szCs w:val="22"/>
        </w:rPr>
      </w:pPr>
      <w:r w:rsidRPr="00345F2E">
        <w:rPr>
          <w:rFonts w:asciiTheme="minorHAnsi" w:hAnsiTheme="minorHAnsi"/>
          <w:szCs w:val="22"/>
        </w:rPr>
        <w:t>Ezratty</w:t>
      </w:r>
      <w:r w:rsidR="003E6245">
        <w:rPr>
          <w:rFonts w:asciiTheme="minorHAnsi" w:hAnsiTheme="minorHAnsi"/>
          <w:szCs w:val="22"/>
        </w:rPr>
        <w:t>,</w:t>
      </w:r>
      <w:r w:rsidRPr="00345F2E">
        <w:rPr>
          <w:rFonts w:asciiTheme="minorHAnsi" w:hAnsiTheme="minorHAnsi"/>
          <w:szCs w:val="22"/>
        </w:rPr>
        <w:t xml:space="preserve"> </w:t>
      </w:r>
      <w:r w:rsidR="00E607FC" w:rsidRPr="00345F2E">
        <w:rPr>
          <w:rFonts w:asciiTheme="minorHAnsi" w:hAnsiTheme="minorHAnsi"/>
          <w:szCs w:val="22"/>
        </w:rPr>
        <w:t>V., Guillossou, Neukirch</w:t>
      </w:r>
      <w:r w:rsidR="003E6245">
        <w:rPr>
          <w:rFonts w:asciiTheme="minorHAnsi" w:hAnsiTheme="minorHAnsi"/>
          <w:szCs w:val="22"/>
        </w:rPr>
        <w:t>,</w:t>
      </w:r>
      <w:r w:rsidR="00E607FC" w:rsidRPr="00345F2E">
        <w:rPr>
          <w:rFonts w:asciiTheme="minorHAnsi" w:hAnsiTheme="minorHAnsi"/>
          <w:szCs w:val="22"/>
        </w:rPr>
        <w:t xml:space="preserve"> C., </w:t>
      </w:r>
      <w:r w:rsidR="003E6245">
        <w:rPr>
          <w:rFonts w:asciiTheme="minorHAnsi" w:hAnsiTheme="minorHAnsi"/>
          <w:szCs w:val="22"/>
        </w:rPr>
        <w:t>D</w:t>
      </w:r>
      <w:r w:rsidR="00FD7159" w:rsidRPr="00345F2E">
        <w:rPr>
          <w:rFonts w:asciiTheme="minorHAnsi" w:hAnsiTheme="minorHAnsi"/>
          <w:szCs w:val="22"/>
        </w:rPr>
        <w:t>ehoux</w:t>
      </w:r>
      <w:r w:rsidR="003E6245">
        <w:rPr>
          <w:rFonts w:asciiTheme="minorHAnsi" w:hAnsiTheme="minorHAnsi"/>
          <w:szCs w:val="22"/>
        </w:rPr>
        <w:t>,</w:t>
      </w:r>
      <w:r w:rsidR="00FD7159" w:rsidRPr="00345F2E">
        <w:rPr>
          <w:rFonts w:asciiTheme="minorHAnsi" w:hAnsiTheme="minorHAnsi"/>
          <w:szCs w:val="22"/>
        </w:rPr>
        <w:t xml:space="preserve"> M., Koscielny</w:t>
      </w:r>
      <w:r w:rsidR="003E6245">
        <w:rPr>
          <w:rFonts w:asciiTheme="minorHAnsi" w:hAnsiTheme="minorHAnsi"/>
          <w:szCs w:val="22"/>
        </w:rPr>
        <w:t>,</w:t>
      </w:r>
      <w:r w:rsidR="00FD7159" w:rsidRPr="00345F2E">
        <w:rPr>
          <w:rFonts w:asciiTheme="minorHAnsi" w:hAnsiTheme="minorHAnsi"/>
          <w:szCs w:val="22"/>
        </w:rPr>
        <w:t xml:space="preserve"> S</w:t>
      </w:r>
      <w:r w:rsidR="003E6245">
        <w:rPr>
          <w:rFonts w:asciiTheme="minorHAnsi" w:hAnsiTheme="minorHAnsi"/>
          <w:szCs w:val="22"/>
        </w:rPr>
        <w:t>.</w:t>
      </w:r>
      <w:r w:rsidR="00FD7159" w:rsidRPr="00345F2E">
        <w:rPr>
          <w:rFonts w:asciiTheme="minorHAnsi" w:hAnsiTheme="minorHAnsi"/>
          <w:szCs w:val="22"/>
        </w:rPr>
        <w:t xml:space="preserve">, </w:t>
      </w:r>
      <w:r w:rsidR="003E6245">
        <w:rPr>
          <w:rFonts w:asciiTheme="minorHAnsi" w:hAnsiTheme="minorHAnsi"/>
          <w:szCs w:val="22"/>
        </w:rPr>
        <w:t>B</w:t>
      </w:r>
      <w:r w:rsidR="00FD7159" w:rsidRPr="00345F2E">
        <w:rPr>
          <w:rFonts w:asciiTheme="minorHAnsi" w:hAnsiTheme="minorHAnsi"/>
          <w:szCs w:val="22"/>
        </w:rPr>
        <w:t>onay</w:t>
      </w:r>
      <w:r w:rsidR="003E6245">
        <w:rPr>
          <w:rFonts w:asciiTheme="minorHAnsi" w:hAnsiTheme="minorHAnsi"/>
          <w:szCs w:val="22"/>
        </w:rPr>
        <w:t>,</w:t>
      </w:r>
      <w:r w:rsidR="00FD7159" w:rsidRPr="00345F2E">
        <w:rPr>
          <w:rFonts w:asciiTheme="minorHAnsi" w:hAnsiTheme="minorHAnsi"/>
          <w:szCs w:val="22"/>
        </w:rPr>
        <w:t xml:space="preserve"> M</w:t>
      </w:r>
      <w:r w:rsidR="003E6245">
        <w:rPr>
          <w:rFonts w:asciiTheme="minorHAnsi" w:hAnsiTheme="minorHAnsi"/>
          <w:szCs w:val="22"/>
        </w:rPr>
        <w:t>.</w:t>
      </w:r>
      <w:r w:rsidR="00FD7159" w:rsidRPr="00345F2E">
        <w:rPr>
          <w:rFonts w:asciiTheme="minorHAnsi" w:hAnsiTheme="minorHAnsi"/>
          <w:szCs w:val="22"/>
        </w:rPr>
        <w:t>, Cabanes</w:t>
      </w:r>
      <w:r w:rsidR="003E6245">
        <w:rPr>
          <w:rFonts w:asciiTheme="minorHAnsi" w:hAnsiTheme="minorHAnsi"/>
          <w:szCs w:val="22"/>
        </w:rPr>
        <w:t>,</w:t>
      </w:r>
      <w:r w:rsidR="00FD7159" w:rsidRPr="00345F2E">
        <w:rPr>
          <w:rFonts w:asciiTheme="minorHAnsi" w:hAnsiTheme="minorHAnsi"/>
          <w:szCs w:val="22"/>
        </w:rPr>
        <w:t xml:space="preserve"> P</w:t>
      </w:r>
      <w:r w:rsidR="003E6245">
        <w:rPr>
          <w:rFonts w:asciiTheme="minorHAnsi" w:hAnsiTheme="minorHAnsi"/>
          <w:szCs w:val="22"/>
        </w:rPr>
        <w:t>.</w:t>
      </w:r>
      <w:r w:rsidR="00FD7159" w:rsidRPr="00345F2E">
        <w:rPr>
          <w:rFonts w:asciiTheme="minorHAnsi" w:hAnsiTheme="minorHAnsi"/>
          <w:szCs w:val="22"/>
        </w:rPr>
        <w:t>-A</w:t>
      </w:r>
      <w:r w:rsidR="003E6245">
        <w:rPr>
          <w:rFonts w:asciiTheme="minorHAnsi" w:hAnsiTheme="minorHAnsi"/>
          <w:szCs w:val="22"/>
        </w:rPr>
        <w:t>.</w:t>
      </w:r>
      <w:r w:rsidR="00FD7159" w:rsidRPr="00345F2E">
        <w:rPr>
          <w:rFonts w:asciiTheme="minorHAnsi" w:hAnsiTheme="minorHAnsi"/>
          <w:szCs w:val="22"/>
        </w:rPr>
        <w:t>, Samet</w:t>
      </w:r>
      <w:r w:rsidR="003E6245">
        <w:rPr>
          <w:rFonts w:asciiTheme="minorHAnsi" w:hAnsiTheme="minorHAnsi"/>
          <w:szCs w:val="22"/>
        </w:rPr>
        <w:t>,</w:t>
      </w:r>
      <w:r w:rsidR="00FD7159" w:rsidRPr="00345F2E">
        <w:rPr>
          <w:rFonts w:asciiTheme="minorHAnsi" w:hAnsiTheme="minorHAnsi"/>
          <w:szCs w:val="22"/>
        </w:rPr>
        <w:t xml:space="preserve"> J</w:t>
      </w:r>
      <w:r w:rsidR="003E6245">
        <w:rPr>
          <w:rFonts w:asciiTheme="minorHAnsi" w:hAnsiTheme="minorHAnsi"/>
          <w:szCs w:val="22"/>
        </w:rPr>
        <w:t>.</w:t>
      </w:r>
      <w:r w:rsidR="00FD7159" w:rsidRPr="00345F2E">
        <w:rPr>
          <w:rFonts w:asciiTheme="minorHAnsi" w:hAnsiTheme="minorHAnsi"/>
          <w:szCs w:val="22"/>
        </w:rPr>
        <w:t>M</w:t>
      </w:r>
      <w:r w:rsidR="003E6245">
        <w:rPr>
          <w:rFonts w:asciiTheme="minorHAnsi" w:hAnsiTheme="minorHAnsi"/>
          <w:szCs w:val="22"/>
        </w:rPr>
        <w:t>.</w:t>
      </w:r>
      <w:r w:rsidR="00FD7159" w:rsidRPr="00345F2E">
        <w:rPr>
          <w:rFonts w:asciiTheme="minorHAnsi" w:hAnsiTheme="minorHAnsi"/>
          <w:szCs w:val="22"/>
        </w:rPr>
        <w:t>, Mure</w:t>
      </w:r>
      <w:r w:rsidR="003E6245">
        <w:rPr>
          <w:rFonts w:asciiTheme="minorHAnsi" w:hAnsiTheme="minorHAnsi"/>
          <w:szCs w:val="22"/>
        </w:rPr>
        <w:t>,</w:t>
      </w:r>
      <w:r w:rsidR="00FD7159" w:rsidRPr="00345F2E">
        <w:rPr>
          <w:rFonts w:asciiTheme="minorHAnsi" w:hAnsiTheme="minorHAnsi"/>
          <w:szCs w:val="22"/>
        </w:rPr>
        <w:t xml:space="preserve"> P</w:t>
      </w:r>
      <w:r w:rsidR="003E6245">
        <w:rPr>
          <w:rFonts w:asciiTheme="minorHAnsi" w:hAnsiTheme="minorHAnsi"/>
          <w:szCs w:val="22"/>
        </w:rPr>
        <w:t>.</w:t>
      </w:r>
      <w:r w:rsidR="00FD7159" w:rsidRPr="00345F2E">
        <w:rPr>
          <w:rFonts w:asciiTheme="minorHAnsi" w:hAnsiTheme="minorHAnsi"/>
          <w:szCs w:val="22"/>
        </w:rPr>
        <w:t xml:space="preserve">, </w:t>
      </w:r>
      <w:r w:rsidR="003E6245">
        <w:rPr>
          <w:rFonts w:asciiTheme="minorHAnsi" w:hAnsiTheme="minorHAnsi"/>
          <w:szCs w:val="22"/>
        </w:rPr>
        <w:t>R</w:t>
      </w:r>
      <w:r w:rsidR="00FD7159" w:rsidRPr="00345F2E">
        <w:rPr>
          <w:rFonts w:asciiTheme="minorHAnsi" w:hAnsiTheme="minorHAnsi"/>
          <w:szCs w:val="22"/>
        </w:rPr>
        <w:t>opert</w:t>
      </w:r>
      <w:r w:rsidR="003E6245">
        <w:rPr>
          <w:rFonts w:asciiTheme="minorHAnsi" w:hAnsiTheme="minorHAnsi"/>
          <w:szCs w:val="22"/>
        </w:rPr>
        <w:t>,</w:t>
      </w:r>
      <w:r w:rsidR="00FD7159" w:rsidRPr="00345F2E">
        <w:rPr>
          <w:rFonts w:asciiTheme="minorHAnsi" w:hAnsiTheme="minorHAnsi"/>
          <w:szCs w:val="22"/>
        </w:rPr>
        <w:t xml:space="preserve"> L</w:t>
      </w:r>
      <w:r w:rsidR="003E6245">
        <w:rPr>
          <w:rFonts w:asciiTheme="minorHAnsi" w:hAnsiTheme="minorHAnsi"/>
          <w:szCs w:val="22"/>
        </w:rPr>
        <w:t>.</w:t>
      </w:r>
      <w:r w:rsidR="00FD7159" w:rsidRPr="00345F2E">
        <w:rPr>
          <w:rFonts w:asciiTheme="minorHAnsi" w:hAnsiTheme="minorHAnsi"/>
          <w:szCs w:val="22"/>
        </w:rPr>
        <w:t>, Tokarek</w:t>
      </w:r>
      <w:r w:rsidR="003E6245">
        <w:rPr>
          <w:rFonts w:asciiTheme="minorHAnsi" w:hAnsiTheme="minorHAnsi"/>
          <w:szCs w:val="22"/>
        </w:rPr>
        <w:t>,</w:t>
      </w:r>
      <w:r w:rsidR="00FD7159" w:rsidRPr="00345F2E">
        <w:rPr>
          <w:rFonts w:asciiTheme="minorHAnsi" w:hAnsiTheme="minorHAnsi"/>
          <w:szCs w:val="22"/>
        </w:rPr>
        <w:t xml:space="preserve"> S</w:t>
      </w:r>
      <w:r w:rsidR="003E6245">
        <w:rPr>
          <w:rFonts w:asciiTheme="minorHAnsi" w:hAnsiTheme="minorHAnsi"/>
          <w:szCs w:val="22"/>
        </w:rPr>
        <w:t>.</w:t>
      </w:r>
      <w:r w:rsidR="00FD7159" w:rsidRPr="00345F2E">
        <w:rPr>
          <w:rFonts w:asciiTheme="minorHAnsi" w:hAnsiTheme="minorHAnsi"/>
          <w:szCs w:val="22"/>
        </w:rPr>
        <w:t>, Lambrozo</w:t>
      </w:r>
      <w:r w:rsidR="003E6245">
        <w:rPr>
          <w:rFonts w:asciiTheme="minorHAnsi" w:hAnsiTheme="minorHAnsi"/>
          <w:szCs w:val="22"/>
        </w:rPr>
        <w:t>,</w:t>
      </w:r>
      <w:r w:rsidR="00FD7159" w:rsidRPr="00345F2E">
        <w:rPr>
          <w:rFonts w:asciiTheme="minorHAnsi" w:hAnsiTheme="minorHAnsi"/>
          <w:szCs w:val="22"/>
        </w:rPr>
        <w:t xml:space="preserve"> J</w:t>
      </w:r>
      <w:r w:rsidR="003E6245">
        <w:rPr>
          <w:rFonts w:asciiTheme="minorHAnsi" w:hAnsiTheme="minorHAnsi"/>
          <w:szCs w:val="22"/>
        </w:rPr>
        <w:t>.</w:t>
      </w:r>
      <w:r w:rsidR="00FD7159" w:rsidRPr="00345F2E">
        <w:rPr>
          <w:rFonts w:asciiTheme="minorHAnsi" w:hAnsiTheme="minorHAnsi"/>
          <w:szCs w:val="22"/>
        </w:rPr>
        <w:t>, Aubier</w:t>
      </w:r>
      <w:r w:rsidR="003E6245">
        <w:rPr>
          <w:rFonts w:asciiTheme="minorHAnsi" w:hAnsiTheme="minorHAnsi"/>
          <w:szCs w:val="22"/>
        </w:rPr>
        <w:t>,</w:t>
      </w:r>
      <w:r w:rsidR="00FD7159" w:rsidRPr="00345F2E">
        <w:rPr>
          <w:rFonts w:asciiTheme="minorHAnsi" w:hAnsiTheme="minorHAnsi"/>
          <w:szCs w:val="22"/>
        </w:rPr>
        <w:t xml:space="preserve"> M</w:t>
      </w:r>
      <w:r w:rsidR="003E6245">
        <w:rPr>
          <w:rFonts w:asciiTheme="minorHAnsi" w:hAnsiTheme="minorHAnsi"/>
          <w:szCs w:val="22"/>
        </w:rPr>
        <w:t xml:space="preserve">., </w:t>
      </w:r>
      <w:r w:rsidR="00FD7159" w:rsidRPr="00345F2E">
        <w:rPr>
          <w:rFonts w:asciiTheme="minorHAnsi" w:hAnsiTheme="minorHAnsi"/>
          <w:szCs w:val="22"/>
        </w:rPr>
        <w:t xml:space="preserve"> 20</w:t>
      </w:r>
      <w:r w:rsidR="003E6245">
        <w:rPr>
          <w:rFonts w:asciiTheme="minorHAnsi" w:hAnsiTheme="minorHAnsi"/>
          <w:szCs w:val="22"/>
        </w:rPr>
        <w:t>1</w:t>
      </w:r>
      <w:r w:rsidR="00FD7159" w:rsidRPr="00345F2E">
        <w:rPr>
          <w:rFonts w:asciiTheme="minorHAnsi" w:hAnsiTheme="minorHAnsi"/>
          <w:szCs w:val="22"/>
        </w:rPr>
        <w:t>4. Repeated nitrogen dioxide exposures and eosinophilic airway inflammation in asthmatics: a randomised crossover study. Environmental Health Perspectives, 122, 850-855.</w:t>
      </w:r>
    </w:p>
    <w:p w14:paraId="5E13D578" w14:textId="77777777" w:rsidR="00FA52A3" w:rsidRPr="00345F2E" w:rsidRDefault="00FA52A3" w:rsidP="00BA29F9">
      <w:pPr>
        <w:jc w:val="both"/>
        <w:rPr>
          <w:rFonts w:asciiTheme="minorHAnsi" w:hAnsiTheme="minorHAnsi"/>
          <w:szCs w:val="22"/>
        </w:rPr>
      </w:pPr>
    </w:p>
    <w:p w14:paraId="030CA1DB" w14:textId="77777777" w:rsidR="00FF4CD8" w:rsidRDefault="00FA52A3" w:rsidP="00FF4CD8">
      <w:pPr>
        <w:jc w:val="both"/>
        <w:rPr>
          <w:rFonts w:asciiTheme="minorHAnsi" w:hAnsiTheme="minorHAnsi"/>
          <w:szCs w:val="22"/>
        </w:rPr>
      </w:pPr>
      <w:r w:rsidRPr="00345F2E">
        <w:rPr>
          <w:rFonts w:asciiTheme="minorHAnsi" w:hAnsiTheme="minorHAnsi"/>
          <w:szCs w:val="22"/>
        </w:rPr>
        <w:t>Fabian</w:t>
      </w:r>
      <w:r w:rsidR="003E6245">
        <w:rPr>
          <w:rFonts w:asciiTheme="minorHAnsi" w:hAnsiTheme="minorHAnsi"/>
          <w:szCs w:val="22"/>
        </w:rPr>
        <w:t>,</w:t>
      </w:r>
      <w:r w:rsidRPr="00345F2E">
        <w:rPr>
          <w:rFonts w:asciiTheme="minorHAnsi" w:hAnsiTheme="minorHAnsi"/>
          <w:szCs w:val="22"/>
        </w:rPr>
        <w:t xml:space="preserve"> P</w:t>
      </w:r>
      <w:r w:rsidR="003E6245">
        <w:rPr>
          <w:rFonts w:asciiTheme="minorHAnsi" w:hAnsiTheme="minorHAnsi"/>
          <w:szCs w:val="22"/>
        </w:rPr>
        <w:t>.</w:t>
      </w:r>
      <w:r w:rsidRPr="00345F2E">
        <w:rPr>
          <w:rFonts w:asciiTheme="minorHAnsi" w:hAnsiTheme="minorHAnsi"/>
          <w:szCs w:val="22"/>
        </w:rPr>
        <w:t>, Adamkiewicz</w:t>
      </w:r>
      <w:r w:rsidR="003E6245">
        <w:rPr>
          <w:rFonts w:asciiTheme="minorHAnsi" w:hAnsiTheme="minorHAnsi"/>
          <w:szCs w:val="22"/>
        </w:rPr>
        <w:t>,</w:t>
      </w:r>
      <w:r w:rsidRPr="00345F2E">
        <w:rPr>
          <w:rFonts w:asciiTheme="minorHAnsi" w:hAnsiTheme="minorHAnsi"/>
          <w:szCs w:val="22"/>
        </w:rPr>
        <w:t xml:space="preserve"> G</w:t>
      </w:r>
      <w:r w:rsidR="003E6245">
        <w:rPr>
          <w:rFonts w:asciiTheme="minorHAnsi" w:hAnsiTheme="minorHAnsi"/>
          <w:szCs w:val="22"/>
        </w:rPr>
        <w:t>.</w:t>
      </w:r>
      <w:r w:rsidRPr="00345F2E">
        <w:rPr>
          <w:rFonts w:asciiTheme="minorHAnsi" w:hAnsiTheme="minorHAnsi"/>
          <w:szCs w:val="22"/>
        </w:rPr>
        <w:t>, Levy</w:t>
      </w:r>
      <w:r w:rsidR="003E6245">
        <w:rPr>
          <w:rFonts w:asciiTheme="minorHAnsi" w:hAnsiTheme="minorHAnsi"/>
          <w:szCs w:val="22"/>
        </w:rPr>
        <w:t>,</w:t>
      </w:r>
      <w:r w:rsidRPr="00345F2E">
        <w:rPr>
          <w:rFonts w:asciiTheme="minorHAnsi" w:hAnsiTheme="minorHAnsi"/>
          <w:szCs w:val="22"/>
        </w:rPr>
        <w:t xml:space="preserve"> J</w:t>
      </w:r>
      <w:r w:rsidR="003E6245">
        <w:rPr>
          <w:rFonts w:asciiTheme="minorHAnsi" w:hAnsiTheme="minorHAnsi"/>
          <w:szCs w:val="22"/>
        </w:rPr>
        <w:t>.</w:t>
      </w:r>
      <w:r w:rsidRPr="00345F2E">
        <w:rPr>
          <w:rFonts w:asciiTheme="minorHAnsi" w:hAnsiTheme="minorHAnsi"/>
          <w:szCs w:val="22"/>
        </w:rPr>
        <w:t>I</w:t>
      </w:r>
      <w:r w:rsidR="003E6245">
        <w:rPr>
          <w:rFonts w:asciiTheme="minorHAnsi" w:hAnsiTheme="minorHAnsi"/>
          <w:szCs w:val="22"/>
        </w:rPr>
        <w:t>.,</w:t>
      </w:r>
      <w:r w:rsidRPr="00345F2E">
        <w:rPr>
          <w:rFonts w:asciiTheme="minorHAnsi" w:hAnsiTheme="minorHAnsi"/>
          <w:szCs w:val="22"/>
        </w:rPr>
        <w:t xml:space="preserve"> 2012. Simulating indoor concentrations of NO</w:t>
      </w:r>
      <w:r w:rsidRPr="003E6245">
        <w:rPr>
          <w:rFonts w:asciiTheme="minorHAnsi" w:hAnsiTheme="minorHAnsi"/>
          <w:szCs w:val="22"/>
          <w:vertAlign w:val="subscript"/>
        </w:rPr>
        <w:t>2</w:t>
      </w:r>
      <w:r w:rsidRPr="00345F2E">
        <w:rPr>
          <w:rFonts w:asciiTheme="minorHAnsi" w:hAnsiTheme="minorHAnsi"/>
          <w:szCs w:val="22"/>
        </w:rPr>
        <w:t xml:space="preserve"> and PM</w:t>
      </w:r>
      <w:r w:rsidRPr="003E6245">
        <w:rPr>
          <w:rFonts w:asciiTheme="minorHAnsi" w:hAnsiTheme="minorHAnsi"/>
          <w:szCs w:val="22"/>
          <w:vertAlign w:val="subscript"/>
        </w:rPr>
        <w:t>2.5</w:t>
      </w:r>
      <w:r w:rsidRPr="00345F2E">
        <w:rPr>
          <w:rFonts w:asciiTheme="minorHAnsi" w:hAnsiTheme="minorHAnsi"/>
          <w:szCs w:val="22"/>
        </w:rPr>
        <w:t xml:space="preserve"> in multi-family housing for use in health-based intervention modelling. Indoor Air, 22, 12-23.</w:t>
      </w:r>
    </w:p>
    <w:p w14:paraId="15812966" w14:textId="77777777" w:rsidR="00FF4CD8" w:rsidRDefault="00FF4CD8" w:rsidP="00FF4CD8">
      <w:pPr>
        <w:jc w:val="both"/>
        <w:rPr>
          <w:rFonts w:asciiTheme="minorHAnsi" w:hAnsiTheme="minorHAnsi"/>
          <w:szCs w:val="22"/>
        </w:rPr>
      </w:pPr>
    </w:p>
    <w:p w14:paraId="532D89E0" w14:textId="77777777" w:rsidR="0027130D" w:rsidRDefault="0027130D" w:rsidP="0027130D">
      <w:pPr>
        <w:jc w:val="both"/>
        <w:rPr>
          <w:rFonts w:asciiTheme="minorHAnsi" w:hAnsiTheme="minorHAnsi"/>
          <w:szCs w:val="22"/>
        </w:rPr>
      </w:pPr>
      <w:r w:rsidRPr="005C7E6A">
        <w:rPr>
          <w:rFonts w:asciiTheme="minorHAnsi" w:hAnsiTheme="minorHAnsi"/>
          <w:szCs w:val="22"/>
        </w:rPr>
        <w:t xml:space="preserve">Faustini, A., Rapp, R., Forastiere, F., 2014. </w:t>
      </w:r>
      <w:r w:rsidRPr="00345F2E">
        <w:rPr>
          <w:rFonts w:asciiTheme="minorHAnsi" w:hAnsiTheme="minorHAnsi"/>
          <w:szCs w:val="22"/>
        </w:rPr>
        <w:t>Nitrogen dioxide and mortality: review and meta-analysis of long-term studies. European Respiratory</w:t>
      </w:r>
      <w:r>
        <w:rPr>
          <w:rFonts w:asciiTheme="minorHAnsi" w:hAnsiTheme="minorHAnsi"/>
          <w:szCs w:val="22"/>
        </w:rPr>
        <w:t xml:space="preserve"> J</w:t>
      </w:r>
      <w:r w:rsidRPr="00345F2E">
        <w:rPr>
          <w:rFonts w:asciiTheme="minorHAnsi" w:hAnsiTheme="minorHAnsi"/>
          <w:szCs w:val="22"/>
        </w:rPr>
        <w:t>ournal, 44, 744-753.</w:t>
      </w:r>
    </w:p>
    <w:p w14:paraId="150F456C" w14:textId="77777777" w:rsidR="0027130D" w:rsidRDefault="0027130D" w:rsidP="0027130D">
      <w:pPr>
        <w:jc w:val="both"/>
        <w:rPr>
          <w:rFonts w:asciiTheme="minorHAnsi" w:hAnsiTheme="minorHAnsi"/>
          <w:szCs w:val="22"/>
        </w:rPr>
      </w:pPr>
    </w:p>
    <w:p w14:paraId="5506DF56" w14:textId="3D4AA079" w:rsidR="00FF4CD8" w:rsidRDefault="00FF4CD8" w:rsidP="00FF4CD8">
      <w:pPr>
        <w:jc w:val="both"/>
        <w:rPr>
          <w:rFonts w:asciiTheme="minorHAnsi" w:hAnsiTheme="minorHAnsi" w:cs="Arial"/>
          <w:szCs w:val="22"/>
        </w:rPr>
      </w:pPr>
      <w:r w:rsidRPr="00FF4CD8">
        <w:rPr>
          <w:rFonts w:asciiTheme="minorHAnsi" w:hAnsiTheme="minorHAnsi" w:cs="Arial"/>
          <w:szCs w:val="22"/>
        </w:rPr>
        <w:t>Favarato</w:t>
      </w:r>
      <w:r>
        <w:rPr>
          <w:rFonts w:asciiTheme="minorHAnsi" w:hAnsiTheme="minorHAnsi" w:cs="Arial"/>
          <w:szCs w:val="22"/>
        </w:rPr>
        <w:t>,</w:t>
      </w:r>
      <w:r w:rsidRPr="00FF4CD8">
        <w:rPr>
          <w:rFonts w:asciiTheme="minorHAnsi" w:hAnsiTheme="minorHAnsi" w:cs="Arial"/>
          <w:szCs w:val="22"/>
        </w:rPr>
        <w:t xml:space="preserve"> G</w:t>
      </w:r>
      <w:r>
        <w:rPr>
          <w:rFonts w:asciiTheme="minorHAnsi" w:hAnsiTheme="minorHAnsi" w:cs="Arial"/>
          <w:szCs w:val="22"/>
        </w:rPr>
        <w:t>.</w:t>
      </w:r>
      <w:r w:rsidRPr="00FF4CD8">
        <w:rPr>
          <w:rFonts w:asciiTheme="minorHAnsi" w:hAnsiTheme="minorHAnsi" w:cs="Arial"/>
          <w:szCs w:val="22"/>
        </w:rPr>
        <w:t>, Anderson</w:t>
      </w:r>
      <w:r>
        <w:rPr>
          <w:rFonts w:asciiTheme="minorHAnsi" w:hAnsiTheme="minorHAnsi" w:cs="Arial"/>
          <w:szCs w:val="22"/>
        </w:rPr>
        <w:t>,</w:t>
      </w:r>
      <w:r w:rsidRPr="00FF4CD8">
        <w:rPr>
          <w:rFonts w:asciiTheme="minorHAnsi" w:hAnsiTheme="minorHAnsi" w:cs="Arial"/>
          <w:szCs w:val="22"/>
        </w:rPr>
        <w:t xml:space="preserve"> H</w:t>
      </w:r>
      <w:r>
        <w:rPr>
          <w:rFonts w:asciiTheme="minorHAnsi" w:hAnsiTheme="minorHAnsi" w:cs="Arial"/>
          <w:szCs w:val="22"/>
        </w:rPr>
        <w:t>.</w:t>
      </w:r>
      <w:r w:rsidRPr="00FF4CD8">
        <w:rPr>
          <w:rFonts w:asciiTheme="minorHAnsi" w:hAnsiTheme="minorHAnsi" w:cs="Arial"/>
          <w:szCs w:val="22"/>
        </w:rPr>
        <w:t>R</w:t>
      </w:r>
      <w:r>
        <w:rPr>
          <w:rFonts w:asciiTheme="minorHAnsi" w:hAnsiTheme="minorHAnsi" w:cs="Arial"/>
          <w:szCs w:val="22"/>
        </w:rPr>
        <w:t>.</w:t>
      </w:r>
      <w:r w:rsidRPr="00FF4CD8">
        <w:rPr>
          <w:rFonts w:asciiTheme="minorHAnsi" w:hAnsiTheme="minorHAnsi" w:cs="Arial"/>
          <w:szCs w:val="22"/>
        </w:rPr>
        <w:t>, Atkinson</w:t>
      </w:r>
      <w:r>
        <w:rPr>
          <w:rFonts w:asciiTheme="minorHAnsi" w:hAnsiTheme="minorHAnsi" w:cs="Arial"/>
          <w:szCs w:val="22"/>
        </w:rPr>
        <w:t>,</w:t>
      </w:r>
      <w:r w:rsidRPr="00FF4CD8">
        <w:rPr>
          <w:rFonts w:asciiTheme="minorHAnsi" w:hAnsiTheme="minorHAnsi" w:cs="Arial"/>
          <w:szCs w:val="22"/>
        </w:rPr>
        <w:t xml:space="preserve"> R</w:t>
      </w:r>
      <w:r>
        <w:rPr>
          <w:rFonts w:asciiTheme="minorHAnsi" w:hAnsiTheme="minorHAnsi" w:cs="Arial"/>
          <w:szCs w:val="22"/>
        </w:rPr>
        <w:t>.</w:t>
      </w:r>
      <w:r w:rsidRPr="00FF4CD8">
        <w:rPr>
          <w:rFonts w:asciiTheme="minorHAnsi" w:hAnsiTheme="minorHAnsi" w:cs="Arial"/>
          <w:szCs w:val="22"/>
        </w:rPr>
        <w:t>, Fuller</w:t>
      </w:r>
      <w:r>
        <w:rPr>
          <w:rFonts w:asciiTheme="minorHAnsi" w:hAnsiTheme="minorHAnsi" w:cs="Arial"/>
          <w:szCs w:val="22"/>
        </w:rPr>
        <w:t>,</w:t>
      </w:r>
      <w:r w:rsidRPr="00FF4CD8">
        <w:rPr>
          <w:rFonts w:asciiTheme="minorHAnsi" w:hAnsiTheme="minorHAnsi" w:cs="Arial"/>
          <w:szCs w:val="22"/>
        </w:rPr>
        <w:t xml:space="preserve"> F</w:t>
      </w:r>
      <w:r>
        <w:rPr>
          <w:rFonts w:asciiTheme="minorHAnsi" w:hAnsiTheme="minorHAnsi" w:cs="Arial"/>
          <w:szCs w:val="22"/>
        </w:rPr>
        <w:t>.</w:t>
      </w:r>
      <w:r w:rsidRPr="00FF4CD8">
        <w:rPr>
          <w:rFonts w:asciiTheme="minorHAnsi" w:hAnsiTheme="minorHAnsi" w:cs="Arial"/>
          <w:szCs w:val="22"/>
        </w:rPr>
        <w:t>, Mills</w:t>
      </w:r>
      <w:r>
        <w:rPr>
          <w:rFonts w:asciiTheme="minorHAnsi" w:hAnsiTheme="minorHAnsi" w:cs="Arial"/>
          <w:szCs w:val="22"/>
        </w:rPr>
        <w:t>,</w:t>
      </w:r>
      <w:r w:rsidRPr="00FF4CD8">
        <w:rPr>
          <w:rFonts w:asciiTheme="minorHAnsi" w:hAnsiTheme="minorHAnsi" w:cs="Arial"/>
          <w:szCs w:val="22"/>
        </w:rPr>
        <w:t xml:space="preserve"> I</w:t>
      </w:r>
      <w:r>
        <w:rPr>
          <w:rFonts w:asciiTheme="minorHAnsi" w:hAnsiTheme="minorHAnsi" w:cs="Arial"/>
          <w:szCs w:val="22"/>
        </w:rPr>
        <w:t>.</w:t>
      </w:r>
      <w:r w:rsidRPr="00FF4CD8">
        <w:rPr>
          <w:rFonts w:asciiTheme="minorHAnsi" w:hAnsiTheme="minorHAnsi" w:cs="Arial"/>
          <w:szCs w:val="22"/>
        </w:rPr>
        <w:t>, Walton</w:t>
      </w:r>
      <w:r>
        <w:rPr>
          <w:rFonts w:asciiTheme="minorHAnsi" w:hAnsiTheme="minorHAnsi" w:cs="Arial"/>
          <w:szCs w:val="22"/>
        </w:rPr>
        <w:t>,</w:t>
      </w:r>
      <w:r w:rsidRPr="00FF4CD8">
        <w:rPr>
          <w:rFonts w:asciiTheme="minorHAnsi" w:hAnsiTheme="minorHAnsi" w:cs="Arial"/>
          <w:szCs w:val="22"/>
        </w:rPr>
        <w:t xml:space="preserve"> H.</w:t>
      </w:r>
      <w:r>
        <w:rPr>
          <w:rFonts w:asciiTheme="minorHAnsi" w:hAnsiTheme="minorHAnsi" w:cs="Arial"/>
          <w:szCs w:val="22"/>
        </w:rPr>
        <w:t>, 2014.</w:t>
      </w:r>
      <w:r w:rsidRPr="00FF4CD8">
        <w:rPr>
          <w:rFonts w:asciiTheme="minorHAnsi" w:hAnsiTheme="minorHAnsi" w:cs="Arial"/>
          <w:szCs w:val="22"/>
        </w:rPr>
        <w:t xml:space="preserve"> Traffic-related pollution and asthma prevalence in children. Quantification of associations with nitrogen dioxide. </w:t>
      </w:r>
      <w:r w:rsidR="0027130D">
        <w:rPr>
          <w:rFonts w:asciiTheme="minorHAnsi" w:hAnsiTheme="minorHAnsi" w:cs="Arial"/>
          <w:szCs w:val="22"/>
        </w:rPr>
        <w:t xml:space="preserve">Air Quality and Atmospheric Health, 7, </w:t>
      </w:r>
      <w:r w:rsidRPr="00FF4CD8">
        <w:rPr>
          <w:rFonts w:asciiTheme="minorHAnsi" w:hAnsiTheme="minorHAnsi" w:cs="Arial"/>
          <w:szCs w:val="22"/>
        </w:rPr>
        <w:t xml:space="preserve">459-466. </w:t>
      </w:r>
    </w:p>
    <w:p w14:paraId="2E5F715D" w14:textId="77777777" w:rsidR="00985756" w:rsidRDefault="00985756" w:rsidP="00FF4CD8">
      <w:pPr>
        <w:jc w:val="both"/>
        <w:rPr>
          <w:rFonts w:asciiTheme="minorHAnsi" w:hAnsiTheme="minorHAnsi" w:cs="Arial"/>
          <w:szCs w:val="22"/>
        </w:rPr>
      </w:pPr>
    </w:p>
    <w:p w14:paraId="7DAC8D9B" w14:textId="37E71ECB" w:rsidR="00985756" w:rsidRPr="00137DB4" w:rsidRDefault="00985756" w:rsidP="00D24106">
      <w:pPr>
        <w:jc w:val="both"/>
        <w:rPr>
          <w:rFonts w:asciiTheme="minorHAnsi" w:hAnsiTheme="minorHAnsi"/>
        </w:rPr>
      </w:pPr>
      <w:r w:rsidRPr="00137DB4">
        <w:rPr>
          <w:rFonts w:asciiTheme="minorHAnsi" w:hAnsiTheme="minorHAnsi"/>
        </w:rPr>
        <w:t>Field, R.A., Phillips, J.L., Goldstone, M.E., Lester, J.N., Perry, R., 1992. Indoor/outdoor interactions during an air pollution event in Central London. Environ</w:t>
      </w:r>
      <w:r w:rsidR="00D24106" w:rsidRPr="00137DB4">
        <w:rPr>
          <w:rFonts w:asciiTheme="minorHAnsi" w:hAnsiTheme="minorHAnsi"/>
        </w:rPr>
        <w:t xml:space="preserve">mental </w:t>
      </w:r>
      <w:r w:rsidRPr="00137DB4">
        <w:rPr>
          <w:rFonts w:asciiTheme="minorHAnsi" w:hAnsiTheme="minorHAnsi"/>
        </w:rPr>
        <w:t xml:space="preserve"> Techn</w:t>
      </w:r>
      <w:r w:rsidR="00D24106" w:rsidRPr="00137DB4">
        <w:rPr>
          <w:rFonts w:asciiTheme="minorHAnsi" w:hAnsiTheme="minorHAnsi"/>
        </w:rPr>
        <w:t>ology</w:t>
      </w:r>
      <w:r w:rsidRPr="00137DB4">
        <w:rPr>
          <w:rFonts w:asciiTheme="minorHAnsi" w:hAnsiTheme="minorHAnsi"/>
        </w:rPr>
        <w:t>, 13, 391-408.</w:t>
      </w:r>
    </w:p>
    <w:p w14:paraId="762DCB31" w14:textId="77777777" w:rsidR="00FF4CD8" w:rsidRPr="00137DB4" w:rsidRDefault="00FF4CD8" w:rsidP="00BA29F9">
      <w:pPr>
        <w:jc w:val="both"/>
        <w:rPr>
          <w:rFonts w:asciiTheme="minorHAnsi" w:hAnsiTheme="minorHAnsi"/>
          <w:szCs w:val="22"/>
        </w:rPr>
      </w:pPr>
    </w:p>
    <w:p w14:paraId="7F1BD12B" w14:textId="34D02094" w:rsidR="00EB0641" w:rsidRPr="00137DB4" w:rsidRDefault="00D56B9C" w:rsidP="00EB0641">
      <w:pPr>
        <w:autoSpaceDE w:val="0"/>
        <w:autoSpaceDN w:val="0"/>
        <w:adjustRightInd w:val="0"/>
        <w:jc w:val="both"/>
        <w:rPr>
          <w:rFonts w:asciiTheme="minorHAnsi" w:eastAsia="Calibri" w:hAnsiTheme="minorHAnsi"/>
          <w:szCs w:val="22"/>
          <w:lang w:eastAsia="en-US"/>
        </w:rPr>
      </w:pPr>
      <w:r w:rsidRPr="00137DB4">
        <w:rPr>
          <w:rFonts w:asciiTheme="minorHAnsi" w:eastAsia="Calibri" w:hAnsiTheme="minorHAnsi"/>
          <w:szCs w:val="22"/>
          <w:lang w:eastAsia="en-US"/>
        </w:rPr>
        <w:t>Fischer, P. H., M. Marra, C. B. Ameling, G. Hoek, R. Beelen, K. de Hoogh, O. Breugelmans, H. Kruize, N. A. Janssen and D. Houthuijs</w:t>
      </w:r>
      <w:r w:rsidR="0027130D" w:rsidRPr="00137DB4">
        <w:rPr>
          <w:rFonts w:asciiTheme="minorHAnsi" w:eastAsia="Calibri" w:hAnsiTheme="minorHAnsi"/>
          <w:szCs w:val="22"/>
          <w:lang w:eastAsia="en-US"/>
        </w:rPr>
        <w:t>,</w:t>
      </w:r>
      <w:r w:rsidRPr="00137DB4">
        <w:rPr>
          <w:rFonts w:asciiTheme="minorHAnsi" w:eastAsia="Calibri" w:hAnsiTheme="minorHAnsi"/>
          <w:szCs w:val="22"/>
          <w:lang w:eastAsia="en-US"/>
        </w:rPr>
        <w:t xml:space="preserve"> 2015. Air Pollution and </w:t>
      </w:r>
      <w:r w:rsidR="00164CF9" w:rsidRPr="00137DB4">
        <w:rPr>
          <w:rFonts w:asciiTheme="minorHAnsi" w:eastAsia="Calibri" w:hAnsiTheme="minorHAnsi"/>
          <w:szCs w:val="22"/>
          <w:lang w:eastAsia="en-US"/>
        </w:rPr>
        <w:t>m</w:t>
      </w:r>
      <w:r w:rsidRPr="00137DB4">
        <w:rPr>
          <w:rFonts w:asciiTheme="minorHAnsi" w:eastAsia="Calibri" w:hAnsiTheme="minorHAnsi"/>
          <w:szCs w:val="22"/>
          <w:lang w:eastAsia="en-US"/>
        </w:rPr>
        <w:t xml:space="preserve">ortality in </w:t>
      </w:r>
      <w:r w:rsidR="00164CF9" w:rsidRPr="00137DB4">
        <w:rPr>
          <w:rFonts w:asciiTheme="minorHAnsi" w:eastAsia="Calibri" w:hAnsiTheme="minorHAnsi"/>
          <w:szCs w:val="22"/>
          <w:lang w:eastAsia="en-US"/>
        </w:rPr>
        <w:t>s</w:t>
      </w:r>
      <w:r w:rsidRPr="00137DB4">
        <w:rPr>
          <w:rFonts w:asciiTheme="minorHAnsi" w:eastAsia="Calibri" w:hAnsiTheme="minorHAnsi"/>
          <w:szCs w:val="22"/>
          <w:lang w:eastAsia="en-US"/>
        </w:rPr>
        <w:t xml:space="preserve">even </w:t>
      </w:r>
      <w:r w:rsidR="00164CF9" w:rsidRPr="00137DB4">
        <w:rPr>
          <w:rFonts w:asciiTheme="minorHAnsi" w:eastAsia="Calibri" w:hAnsiTheme="minorHAnsi"/>
          <w:szCs w:val="22"/>
          <w:lang w:eastAsia="en-US"/>
        </w:rPr>
        <w:t>m</w:t>
      </w:r>
      <w:r w:rsidRPr="00137DB4">
        <w:rPr>
          <w:rFonts w:asciiTheme="minorHAnsi" w:eastAsia="Calibri" w:hAnsiTheme="minorHAnsi"/>
          <w:szCs w:val="22"/>
          <w:lang w:eastAsia="en-US"/>
        </w:rPr>
        <w:t xml:space="preserve">illion </w:t>
      </w:r>
      <w:r w:rsidR="00164CF9" w:rsidRPr="00137DB4">
        <w:rPr>
          <w:rFonts w:asciiTheme="minorHAnsi" w:eastAsia="Calibri" w:hAnsiTheme="minorHAnsi"/>
          <w:szCs w:val="22"/>
          <w:lang w:eastAsia="en-US"/>
        </w:rPr>
        <w:t>a</w:t>
      </w:r>
      <w:r w:rsidRPr="00137DB4">
        <w:rPr>
          <w:rFonts w:asciiTheme="minorHAnsi" w:eastAsia="Calibri" w:hAnsiTheme="minorHAnsi"/>
          <w:szCs w:val="22"/>
          <w:lang w:eastAsia="en-US"/>
        </w:rPr>
        <w:t>dults: The Dutch Environmental Longitudinal Study (DUELS). Environ</w:t>
      </w:r>
      <w:r w:rsidR="00164CF9" w:rsidRPr="00137DB4">
        <w:rPr>
          <w:rFonts w:asciiTheme="minorHAnsi" w:eastAsia="Calibri" w:hAnsiTheme="minorHAnsi"/>
          <w:szCs w:val="22"/>
          <w:lang w:eastAsia="en-US"/>
        </w:rPr>
        <w:t xml:space="preserve">mental </w:t>
      </w:r>
      <w:r w:rsidRPr="00137DB4">
        <w:rPr>
          <w:rFonts w:asciiTheme="minorHAnsi" w:eastAsia="Calibri" w:hAnsiTheme="minorHAnsi"/>
          <w:szCs w:val="22"/>
          <w:lang w:eastAsia="en-US"/>
        </w:rPr>
        <w:t xml:space="preserve"> Health Perspect</w:t>
      </w:r>
      <w:r w:rsidR="00164CF9" w:rsidRPr="00137DB4">
        <w:rPr>
          <w:rFonts w:asciiTheme="minorHAnsi" w:eastAsia="Calibri" w:hAnsiTheme="minorHAnsi"/>
          <w:szCs w:val="22"/>
          <w:lang w:eastAsia="en-US"/>
        </w:rPr>
        <w:t>ives</w:t>
      </w:r>
      <w:r w:rsidR="0027130D" w:rsidRPr="00137DB4">
        <w:rPr>
          <w:rFonts w:asciiTheme="minorHAnsi" w:eastAsia="Calibri" w:hAnsiTheme="minorHAnsi"/>
          <w:szCs w:val="22"/>
          <w:lang w:eastAsia="en-US"/>
        </w:rPr>
        <w:t>,</w:t>
      </w:r>
      <w:r w:rsidRPr="00137DB4">
        <w:rPr>
          <w:rFonts w:asciiTheme="minorHAnsi" w:eastAsia="Calibri" w:hAnsiTheme="minorHAnsi"/>
          <w:szCs w:val="22"/>
          <w:lang w:eastAsia="en-US"/>
        </w:rPr>
        <w:t xml:space="preserve"> 123</w:t>
      </w:r>
      <w:r w:rsidR="00151059" w:rsidRPr="00137DB4">
        <w:rPr>
          <w:rFonts w:asciiTheme="minorHAnsi" w:eastAsia="Calibri" w:hAnsiTheme="minorHAnsi"/>
          <w:szCs w:val="22"/>
          <w:lang w:eastAsia="en-US"/>
        </w:rPr>
        <w:t>,</w:t>
      </w:r>
      <w:r w:rsidRPr="00137DB4">
        <w:rPr>
          <w:rFonts w:asciiTheme="minorHAnsi" w:eastAsia="Calibri" w:hAnsiTheme="minorHAnsi"/>
          <w:szCs w:val="22"/>
          <w:lang w:eastAsia="en-US"/>
        </w:rPr>
        <w:t xml:space="preserve"> 697-704.</w:t>
      </w:r>
    </w:p>
    <w:p w14:paraId="179FA7FD" w14:textId="77777777" w:rsidR="00EB0641" w:rsidRPr="00137DB4" w:rsidRDefault="00EB0641" w:rsidP="00EB0641">
      <w:pPr>
        <w:autoSpaceDE w:val="0"/>
        <w:autoSpaceDN w:val="0"/>
        <w:adjustRightInd w:val="0"/>
        <w:jc w:val="both"/>
        <w:rPr>
          <w:rFonts w:asciiTheme="minorHAnsi" w:eastAsia="Calibri" w:hAnsiTheme="minorHAnsi"/>
          <w:szCs w:val="22"/>
          <w:lang w:eastAsia="en-US"/>
        </w:rPr>
      </w:pPr>
    </w:p>
    <w:p w14:paraId="47DE9F1C" w14:textId="77777777" w:rsidR="0027130D" w:rsidRPr="00137DB4" w:rsidRDefault="0027130D" w:rsidP="004553A8">
      <w:pPr>
        <w:jc w:val="both"/>
        <w:rPr>
          <w:rFonts w:asciiTheme="minorHAnsi" w:hAnsiTheme="minorHAnsi"/>
          <w:szCs w:val="22"/>
        </w:rPr>
      </w:pPr>
      <w:r w:rsidRPr="00137DB4">
        <w:rPr>
          <w:rFonts w:asciiTheme="minorHAnsi" w:hAnsiTheme="minorHAnsi"/>
          <w:szCs w:val="22"/>
        </w:rPr>
        <w:t xml:space="preserve">Franklin, P., Runnion, T., Farrar, D., Dingle, P., 2006. Comparison of peak and average nitrogen dioxide concentrations inside homes. Atmospheric Environment, 40, 7449-7454.  </w:t>
      </w:r>
    </w:p>
    <w:p w14:paraId="5DF3BFE7" w14:textId="77777777" w:rsidR="005D03F2" w:rsidRPr="00137DB4" w:rsidRDefault="005D03F2" w:rsidP="004553A8">
      <w:pPr>
        <w:jc w:val="both"/>
        <w:rPr>
          <w:rFonts w:asciiTheme="minorHAnsi" w:hAnsiTheme="minorHAnsi"/>
          <w:szCs w:val="22"/>
        </w:rPr>
      </w:pPr>
    </w:p>
    <w:p w14:paraId="0CF5C539" w14:textId="670844FB" w:rsidR="005D03F2" w:rsidRPr="00137DB4" w:rsidRDefault="005D03F2" w:rsidP="004553A8">
      <w:pPr>
        <w:autoSpaceDE w:val="0"/>
        <w:autoSpaceDN w:val="0"/>
        <w:adjustRightInd w:val="0"/>
        <w:jc w:val="both"/>
        <w:rPr>
          <w:rFonts w:asciiTheme="minorHAnsi" w:hAnsiTheme="minorHAnsi" w:cs="AdvOT863180fb"/>
          <w:szCs w:val="22"/>
        </w:rPr>
      </w:pPr>
      <w:r w:rsidRPr="00137DB4">
        <w:rPr>
          <w:rFonts w:asciiTheme="minorHAnsi" w:hAnsiTheme="minorHAnsi" w:cs="AdvOT863180fb"/>
          <w:szCs w:val="22"/>
        </w:rPr>
        <w:t>Gariazzo, C., Lamberti, M., Hanninen, O., Silibello, C., Pelliccioni, A., Porta, D., Cecinato, A.,</w:t>
      </w:r>
      <w:r w:rsidR="004553A8" w:rsidRPr="00137DB4">
        <w:rPr>
          <w:rFonts w:asciiTheme="minorHAnsi" w:hAnsiTheme="minorHAnsi" w:cs="AdvOT863180fb"/>
          <w:szCs w:val="22"/>
        </w:rPr>
        <w:t xml:space="preserve"> </w:t>
      </w:r>
      <w:r w:rsidRPr="00137DB4">
        <w:rPr>
          <w:rFonts w:asciiTheme="minorHAnsi" w:hAnsiTheme="minorHAnsi" w:cs="AdvOT863180fb"/>
          <w:szCs w:val="22"/>
        </w:rPr>
        <w:t>Gherardi, M., Forastiere, F., 2015. Assessment of population exposure to Polycyclic Aromatic</w:t>
      </w:r>
      <w:r w:rsidR="004553A8" w:rsidRPr="00137DB4">
        <w:rPr>
          <w:rFonts w:asciiTheme="minorHAnsi" w:hAnsiTheme="minorHAnsi" w:cs="AdvOT863180fb"/>
          <w:szCs w:val="22"/>
        </w:rPr>
        <w:t xml:space="preserve"> </w:t>
      </w:r>
      <w:r w:rsidRPr="00137DB4">
        <w:rPr>
          <w:rFonts w:asciiTheme="minorHAnsi" w:hAnsiTheme="minorHAnsi" w:cs="AdvOT863180fb"/>
          <w:szCs w:val="22"/>
        </w:rPr>
        <w:t>Hydrocarbons (PAHs) using integrated models and evaluation of uncertainties.</w:t>
      </w:r>
      <w:r w:rsidRPr="00137DB4">
        <w:rPr>
          <w:rFonts w:asciiTheme="minorHAnsi" w:hAnsiTheme="minorHAnsi"/>
          <w:szCs w:val="22"/>
        </w:rPr>
        <w:t xml:space="preserve"> </w:t>
      </w:r>
      <w:r w:rsidR="004553A8" w:rsidRPr="00137DB4">
        <w:rPr>
          <w:rFonts w:asciiTheme="minorHAnsi" w:hAnsiTheme="minorHAnsi"/>
          <w:szCs w:val="22"/>
        </w:rPr>
        <w:t xml:space="preserve">Atmospheric </w:t>
      </w:r>
      <w:r w:rsidRPr="00137DB4">
        <w:rPr>
          <w:rFonts w:asciiTheme="minorHAnsi" w:hAnsiTheme="minorHAnsi"/>
          <w:szCs w:val="22"/>
        </w:rPr>
        <w:t xml:space="preserve">Environment, </w:t>
      </w:r>
      <w:r w:rsidRPr="00137DB4">
        <w:rPr>
          <w:rFonts w:asciiTheme="minorHAnsi" w:hAnsiTheme="minorHAnsi" w:cs="AdvOT863180fb"/>
          <w:szCs w:val="22"/>
        </w:rPr>
        <w:t>101, 235</w:t>
      </w:r>
      <w:r w:rsidRPr="00137DB4">
        <w:rPr>
          <w:rFonts w:asciiTheme="minorHAnsi" w:hAnsiTheme="minorHAnsi" w:cs="AdvPS44A44B"/>
          <w:szCs w:val="22"/>
        </w:rPr>
        <w:t>-</w:t>
      </w:r>
      <w:r w:rsidRPr="00137DB4">
        <w:rPr>
          <w:rFonts w:asciiTheme="minorHAnsi" w:hAnsiTheme="minorHAnsi" w:cs="AdvOT863180fb"/>
          <w:szCs w:val="22"/>
        </w:rPr>
        <w:t>245.</w:t>
      </w:r>
    </w:p>
    <w:p w14:paraId="428AD4B5" w14:textId="77777777" w:rsidR="0027130D" w:rsidRPr="00137DB4" w:rsidRDefault="0027130D" w:rsidP="004553A8">
      <w:pPr>
        <w:autoSpaceDE w:val="0"/>
        <w:autoSpaceDN w:val="0"/>
        <w:adjustRightInd w:val="0"/>
        <w:jc w:val="both"/>
        <w:rPr>
          <w:rFonts w:asciiTheme="minorHAnsi" w:hAnsiTheme="minorHAnsi"/>
          <w:szCs w:val="22"/>
        </w:rPr>
      </w:pPr>
    </w:p>
    <w:p w14:paraId="08C0D7B3" w14:textId="5D49ABAC" w:rsidR="00EB0641" w:rsidRPr="00137DB4" w:rsidRDefault="00EB0641" w:rsidP="00EB0641">
      <w:pPr>
        <w:autoSpaceDE w:val="0"/>
        <w:autoSpaceDN w:val="0"/>
        <w:adjustRightInd w:val="0"/>
        <w:jc w:val="both"/>
        <w:rPr>
          <w:rFonts w:asciiTheme="minorHAnsi" w:eastAsia="Calibri" w:hAnsiTheme="minorHAnsi"/>
          <w:szCs w:val="22"/>
          <w:lang w:eastAsia="en-US"/>
        </w:rPr>
      </w:pPr>
      <w:r w:rsidRPr="00137DB4">
        <w:rPr>
          <w:rFonts w:asciiTheme="minorHAnsi" w:hAnsiTheme="minorHAnsi"/>
          <w:szCs w:val="22"/>
        </w:rPr>
        <w:t>Gong, H., Linn, W.S., Clark, K.W., Anderson, K.R., Geller, M.D., Sioutas, C., 2005. Respiratory responses to exposures with fine particulates and nitrogen dioxide in the elderly with and without COPD. Inhal</w:t>
      </w:r>
      <w:r w:rsidR="0027130D" w:rsidRPr="00137DB4">
        <w:rPr>
          <w:rFonts w:asciiTheme="minorHAnsi" w:hAnsiTheme="minorHAnsi"/>
          <w:szCs w:val="22"/>
        </w:rPr>
        <w:t>ation</w:t>
      </w:r>
      <w:r w:rsidRPr="00137DB4">
        <w:rPr>
          <w:rFonts w:asciiTheme="minorHAnsi" w:hAnsiTheme="minorHAnsi"/>
          <w:szCs w:val="22"/>
        </w:rPr>
        <w:t xml:space="preserve"> Toxicol</w:t>
      </w:r>
      <w:r w:rsidR="0027130D" w:rsidRPr="00137DB4">
        <w:rPr>
          <w:rFonts w:asciiTheme="minorHAnsi" w:hAnsiTheme="minorHAnsi"/>
          <w:szCs w:val="22"/>
        </w:rPr>
        <w:t>ogy,</w:t>
      </w:r>
      <w:r w:rsidRPr="00137DB4">
        <w:rPr>
          <w:rFonts w:asciiTheme="minorHAnsi" w:hAnsiTheme="minorHAnsi"/>
          <w:szCs w:val="22"/>
        </w:rPr>
        <w:t xml:space="preserve"> 17</w:t>
      </w:r>
      <w:r w:rsidR="0027130D" w:rsidRPr="00137DB4">
        <w:rPr>
          <w:rFonts w:asciiTheme="minorHAnsi" w:hAnsiTheme="minorHAnsi"/>
          <w:szCs w:val="22"/>
        </w:rPr>
        <w:t>,</w:t>
      </w:r>
      <w:r w:rsidRPr="00137DB4">
        <w:rPr>
          <w:rFonts w:asciiTheme="minorHAnsi" w:hAnsiTheme="minorHAnsi"/>
          <w:szCs w:val="22"/>
        </w:rPr>
        <w:t xml:space="preserve"> 123-132. </w:t>
      </w:r>
    </w:p>
    <w:p w14:paraId="0BC72F7A" w14:textId="77777777" w:rsidR="00EA24D9" w:rsidRPr="00137DB4" w:rsidRDefault="00EA24D9" w:rsidP="00BA29F9">
      <w:pPr>
        <w:jc w:val="both"/>
        <w:rPr>
          <w:rFonts w:asciiTheme="minorHAnsi" w:hAnsiTheme="minorHAnsi"/>
          <w:szCs w:val="22"/>
        </w:rPr>
      </w:pPr>
    </w:p>
    <w:p w14:paraId="73750E6B" w14:textId="7ADFA189" w:rsidR="00D506DC" w:rsidRPr="00137DB4" w:rsidRDefault="00D506DC" w:rsidP="00BA29F9">
      <w:pPr>
        <w:autoSpaceDE w:val="0"/>
        <w:autoSpaceDN w:val="0"/>
        <w:adjustRightInd w:val="0"/>
        <w:jc w:val="both"/>
        <w:rPr>
          <w:rFonts w:asciiTheme="minorHAnsi" w:hAnsiTheme="minorHAnsi"/>
          <w:szCs w:val="22"/>
          <w:lang w:val="fi-FI" w:eastAsia="el-GR"/>
        </w:rPr>
      </w:pPr>
      <w:r w:rsidRPr="00137DB4">
        <w:rPr>
          <w:rFonts w:asciiTheme="minorHAnsi" w:hAnsiTheme="minorHAnsi"/>
          <w:szCs w:val="22"/>
          <w:lang w:val="fi-FI" w:eastAsia="el-GR"/>
        </w:rPr>
        <w:t xml:space="preserve">Hanninen, O., Kruize, H., Lebret, E., Jantunen, M., 2003. </w:t>
      </w:r>
      <w:r w:rsidRPr="00137DB4">
        <w:rPr>
          <w:rFonts w:asciiTheme="minorHAnsi" w:hAnsiTheme="minorHAnsi"/>
          <w:szCs w:val="22"/>
          <w:lang w:eastAsia="el-GR"/>
        </w:rPr>
        <w:t>EXPOLIS simulation model: PM</w:t>
      </w:r>
      <w:r w:rsidRPr="00137DB4">
        <w:rPr>
          <w:rFonts w:asciiTheme="minorHAnsi" w:hAnsiTheme="minorHAnsi"/>
          <w:szCs w:val="22"/>
          <w:vertAlign w:val="subscript"/>
          <w:lang w:eastAsia="el-GR"/>
        </w:rPr>
        <w:t>2.5</w:t>
      </w:r>
      <w:r w:rsidRPr="00137DB4">
        <w:rPr>
          <w:rFonts w:asciiTheme="minorHAnsi" w:hAnsiTheme="minorHAnsi"/>
          <w:szCs w:val="22"/>
          <w:lang w:eastAsia="el-GR"/>
        </w:rPr>
        <w:t xml:space="preserve"> application and comparison to measurements. </w:t>
      </w:r>
      <w:r w:rsidRPr="00137DB4">
        <w:rPr>
          <w:rFonts w:asciiTheme="minorHAnsi" w:hAnsiTheme="minorHAnsi"/>
          <w:szCs w:val="22"/>
          <w:lang w:val="fi-FI" w:eastAsia="el-GR"/>
        </w:rPr>
        <w:t>Journal of Exposure Analysis and Environmental Epidemiology 13, 75–85.</w:t>
      </w:r>
    </w:p>
    <w:p w14:paraId="1E21BB71" w14:textId="77777777" w:rsidR="00985756" w:rsidRPr="00137DB4" w:rsidRDefault="00985756" w:rsidP="00BA29F9">
      <w:pPr>
        <w:autoSpaceDE w:val="0"/>
        <w:autoSpaceDN w:val="0"/>
        <w:adjustRightInd w:val="0"/>
        <w:jc w:val="both"/>
        <w:rPr>
          <w:rFonts w:asciiTheme="minorHAnsi" w:hAnsiTheme="minorHAnsi"/>
          <w:szCs w:val="22"/>
          <w:lang w:val="fi-FI" w:eastAsia="el-GR"/>
        </w:rPr>
      </w:pPr>
    </w:p>
    <w:p w14:paraId="2E82E50C" w14:textId="4EDA52CB" w:rsidR="00985756" w:rsidRPr="00137DB4" w:rsidRDefault="00985756" w:rsidP="00D24106">
      <w:pPr>
        <w:jc w:val="both"/>
        <w:rPr>
          <w:rFonts w:asciiTheme="minorHAnsi" w:hAnsiTheme="minorHAnsi"/>
        </w:rPr>
      </w:pPr>
      <w:r w:rsidRPr="00137DB4">
        <w:rPr>
          <w:rFonts w:asciiTheme="minorHAnsi" w:hAnsiTheme="minorHAnsi"/>
        </w:rPr>
        <w:t>Harrison, R.M., Thornton, C.A., Lawrence, R.G., Mark, D., Kinnersley, R.P., Ayres, J.G., 2002. Personal exposure monitoring of particulate matter, nitrogen dioxide, and carbon monoxide, including susceptible groups. Occup</w:t>
      </w:r>
      <w:r w:rsidR="00D24106" w:rsidRPr="00137DB4">
        <w:rPr>
          <w:rFonts w:asciiTheme="minorHAnsi" w:hAnsiTheme="minorHAnsi"/>
        </w:rPr>
        <w:t xml:space="preserve">ational and </w:t>
      </w:r>
      <w:r w:rsidRPr="00137DB4">
        <w:rPr>
          <w:rFonts w:asciiTheme="minorHAnsi" w:hAnsiTheme="minorHAnsi"/>
        </w:rPr>
        <w:t>Environ</w:t>
      </w:r>
      <w:r w:rsidR="00D24106" w:rsidRPr="00137DB4">
        <w:rPr>
          <w:rFonts w:asciiTheme="minorHAnsi" w:hAnsiTheme="minorHAnsi"/>
        </w:rPr>
        <w:t>mental</w:t>
      </w:r>
      <w:r w:rsidRPr="00137DB4">
        <w:rPr>
          <w:rFonts w:asciiTheme="minorHAnsi" w:hAnsiTheme="minorHAnsi"/>
        </w:rPr>
        <w:t xml:space="preserve"> Med</w:t>
      </w:r>
      <w:r w:rsidR="00D24106" w:rsidRPr="00137DB4">
        <w:rPr>
          <w:rFonts w:asciiTheme="minorHAnsi" w:hAnsiTheme="minorHAnsi"/>
        </w:rPr>
        <w:t>icine</w:t>
      </w:r>
      <w:r w:rsidRPr="00137DB4">
        <w:rPr>
          <w:rFonts w:asciiTheme="minorHAnsi" w:hAnsiTheme="minorHAnsi"/>
        </w:rPr>
        <w:t>, 59, 671–679.</w:t>
      </w:r>
    </w:p>
    <w:p w14:paraId="6CB71A6D" w14:textId="77777777" w:rsidR="00D506DC" w:rsidRPr="00137DB4" w:rsidRDefault="00D506DC" w:rsidP="00D24106">
      <w:pPr>
        <w:jc w:val="both"/>
        <w:rPr>
          <w:rFonts w:asciiTheme="minorHAnsi" w:hAnsiTheme="minorHAnsi"/>
          <w:snapToGrid w:val="0"/>
          <w:szCs w:val="22"/>
          <w:lang w:val="fi-FI" w:eastAsia="en-US"/>
        </w:rPr>
      </w:pPr>
    </w:p>
    <w:p w14:paraId="19D3E36E" w14:textId="40B31A43" w:rsidR="006273B4" w:rsidRPr="00137DB4" w:rsidRDefault="006273B4" w:rsidP="00D24106">
      <w:pPr>
        <w:jc w:val="both"/>
        <w:rPr>
          <w:rFonts w:asciiTheme="minorHAnsi" w:hAnsiTheme="minorHAnsi"/>
          <w:snapToGrid w:val="0"/>
          <w:szCs w:val="22"/>
          <w:lang w:val="en-AU" w:eastAsia="en-US"/>
        </w:rPr>
      </w:pPr>
      <w:r w:rsidRPr="00137DB4">
        <w:rPr>
          <w:rFonts w:asciiTheme="minorHAnsi" w:hAnsiTheme="minorHAnsi"/>
          <w:snapToGrid w:val="0"/>
          <w:szCs w:val="22"/>
          <w:lang w:val="en-AU" w:eastAsia="en-US"/>
        </w:rPr>
        <w:t>He</w:t>
      </w:r>
      <w:r w:rsidR="00255E05"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xml:space="preserve"> </w:t>
      </w:r>
      <w:r w:rsidR="00255E05" w:rsidRPr="00137DB4">
        <w:rPr>
          <w:rFonts w:asciiTheme="minorHAnsi" w:hAnsiTheme="minorHAnsi"/>
          <w:snapToGrid w:val="0"/>
          <w:szCs w:val="22"/>
          <w:lang w:val="en-AU" w:eastAsia="en-US"/>
        </w:rPr>
        <w:t>W.R.</w:t>
      </w:r>
      <w:r w:rsidRPr="00137DB4">
        <w:rPr>
          <w:rFonts w:asciiTheme="minorHAnsi" w:hAnsiTheme="minorHAnsi"/>
          <w:snapToGrid w:val="0"/>
          <w:szCs w:val="22"/>
          <w:lang w:val="en-AU" w:eastAsia="en-US"/>
        </w:rPr>
        <w:t>F</w:t>
      </w:r>
      <w:r w:rsidR="00255E05"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Shaffer</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xml:space="preserve"> M</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L</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Li</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xml:space="preserve"> X</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Rodriguez-Colon</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xml:space="preserve"> S</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Wolbrette</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 xml:space="preserve"> D</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L</w:t>
      </w:r>
      <w:r w:rsidR="00DF2E8A" w:rsidRPr="00137DB4">
        <w:rPr>
          <w:rFonts w:asciiTheme="minorHAnsi" w:hAnsiTheme="minorHAnsi"/>
          <w:snapToGrid w:val="0"/>
          <w:szCs w:val="22"/>
          <w:lang w:val="en-AU" w:eastAsia="en-US"/>
        </w:rPr>
        <w:t>.</w:t>
      </w:r>
      <w:r w:rsidRPr="00137DB4">
        <w:rPr>
          <w:rFonts w:asciiTheme="minorHAnsi" w:hAnsiTheme="minorHAnsi"/>
          <w:snapToGrid w:val="0"/>
          <w:szCs w:val="22"/>
          <w:lang w:val="en-AU" w:eastAsia="en-US"/>
        </w:rPr>
        <w:t>,</w:t>
      </w:r>
      <w:r w:rsidR="00DF2E8A" w:rsidRPr="00137DB4">
        <w:rPr>
          <w:rFonts w:asciiTheme="minorHAnsi" w:hAnsiTheme="minorHAnsi"/>
          <w:szCs w:val="22"/>
          <w:shd w:val="clear" w:color="auto" w:fill="FFFFFF"/>
          <w:lang w:val="en-AU"/>
        </w:rPr>
        <w:t xml:space="preserve"> </w:t>
      </w:r>
      <w:r w:rsidR="00255E05" w:rsidRPr="00137DB4">
        <w:rPr>
          <w:rFonts w:asciiTheme="minorHAnsi" w:hAnsiTheme="minorHAnsi"/>
          <w:szCs w:val="22"/>
          <w:shd w:val="clear" w:color="auto" w:fill="FFFFFF"/>
        </w:rPr>
        <w:t>Williams,</w:t>
      </w:r>
      <w:r w:rsidR="00DF2E8A" w:rsidRPr="00137DB4">
        <w:rPr>
          <w:rFonts w:asciiTheme="minorHAnsi" w:hAnsiTheme="minorHAnsi"/>
          <w:szCs w:val="22"/>
          <w:shd w:val="clear" w:color="auto" w:fill="FFFFFF"/>
        </w:rPr>
        <w:t xml:space="preserve"> R., </w:t>
      </w:r>
      <w:r w:rsidR="00255E05" w:rsidRPr="00137DB4">
        <w:rPr>
          <w:rFonts w:asciiTheme="minorHAnsi" w:hAnsiTheme="minorHAnsi"/>
          <w:szCs w:val="22"/>
          <w:shd w:val="clear" w:color="auto" w:fill="FFFFFF"/>
        </w:rPr>
        <w:t>Casci</w:t>
      </w:r>
      <w:r w:rsidR="00DF2E8A" w:rsidRPr="00137DB4">
        <w:rPr>
          <w:rFonts w:asciiTheme="minorHAnsi" w:hAnsiTheme="minorHAnsi"/>
          <w:szCs w:val="22"/>
          <w:shd w:val="clear" w:color="auto" w:fill="FFFFFF"/>
        </w:rPr>
        <w:t xml:space="preserve">o, W.E., </w:t>
      </w:r>
      <w:r w:rsidR="00255E05" w:rsidRPr="00137DB4">
        <w:rPr>
          <w:rFonts w:asciiTheme="minorHAnsi" w:hAnsiTheme="minorHAnsi"/>
          <w:szCs w:val="22"/>
          <w:shd w:val="clear" w:color="auto" w:fill="FFFFFF"/>
        </w:rPr>
        <w:t>Liao</w:t>
      </w:r>
      <w:r w:rsidR="003B7410" w:rsidRPr="00137DB4">
        <w:rPr>
          <w:rFonts w:asciiTheme="minorHAnsi" w:hAnsiTheme="minorHAnsi"/>
          <w:szCs w:val="22"/>
          <w:shd w:val="clear" w:color="auto" w:fill="FFFFFF"/>
        </w:rPr>
        <w:t xml:space="preserve">, </w:t>
      </w:r>
      <w:r w:rsidR="00DF2E8A" w:rsidRPr="00137DB4">
        <w:rPr>
          <w:rFonts w:asciiTheme="minorHAnsi" w:hAnsiTheme="minorHAnsi"/>
          <w:szCs w:val="22"/>
          <w:shd w:val="clear" w:color="auto" w:fill="FFFFFF"/>
        </w:rPr>
        <w:t xml:space="preserve">D., </w:t>
      </w:r>
      <w:r w:rsidR="00DF2E8A" w:rsidRPr="00137DB4">
        <w:rPr>
          <w:rFonts w:asciiTheme="minorHAnsi" w:hAnsiTheme="minorHAnsi"/>
          <w:snapToGrid w:val="0"/>
          <w:szCs w:val="22"/>
          <w:lang w:val="en-AU" w:eastAsia="en-US"/>
        </w:rPr>
        <w:t>2010</w:t>
      </w:r>
      <w:r w:rsidRPr="00137DB4">
        <w:rPr>
          <w:rFonts w:asciiTheme="minorHAnsi" w:hAnsiTheme="minorHAnsi"/>
          <w:snapToGrid w:val="0"/>
          <w:szCs w:val="22"/>
          <w:lang w:val="en-AU" w:eastAsia="en-US"/>
        </w:rPr>
        <w:t>. Indiv</w:t>
      </w:r>
      <w:r w:rsidR="00151059" w:rsidRPr="00137DB4">
        <w:rPr>
          <w:rFonts w:asciiTheme="minorHAnsi" w:hAnsiTheme="minorHAnsi"/>
          <w:snapToGrid w:val="0"/>
          <w:szCs w:val="22"/>
          <w:lang w:val="en-AU" w:eastAsia="en-US"/>
        </w:rPr>
        <w:t>id</w:t>
      </w:r>
      <w:r w:rsidRPr="00137DB4">
        <w:rPr>
          <w:rFonts w:asciiTheme="minorHAnsi" w:hAnsiTheme="minorHAnsi"/>
          <w:snapToGrid w:val="0"/>
          <w:szCs w:val="22"/>
          <w:lang w:val="en-AU" w:eastAsia="en-US"/>
        </w:rPr>
        <w:t>ual-level PM</w:t>
      </w:r>
      <w:r w:rsidRPr="00137DB4">
        <w:rPr>
          <w:rFonts w:asciiTheme="minorHAnsi" w:hAnsiTheme="minorHAnsi"/>
          <w:snapToGrid w:val="0"/>
          <w:szCs w:val="22"/>
          <w:vertAlign w:val="subscript"/>
          <w:lang w:val="en-AU" w:eastAsia="en-US"/>
        </w:rPr>
        <w:t xml:space="preserve">2.5 </w:t>
      </w:r>
      <w:r w:rsidRPr="00137DB4">
        <w:rPr>
          <w:rFonts w:asciiTheme="minorHAnsi" w:hAnsiTheme="minorHAnsi"/>
          <w:snapToGrid w:val="0"/>
          <w:szCs w:val="22"/>
          <w:lang w:val="en-AU" w:eastAsia="en-US"/>
        </w:rPr>
        <w:t xml:space="preserve">exposure and the time-course of impaired heart rate variability, the AFCAR study. Journal of Exposure Science and Environmental Epidemiology, </w:t>
      </w:r>
      <w:r w:rsidR="00151059" w:rsidRPr="00137DB4">
        <w:rPr>
          <w:rFonts w:asciiTheme="minorHAnsi" w:hAnsiTheme="minorHAnsi"/>
          <w:snapToGrid w:val="0"/>
          <w:szCs w:val="22"/>
          <w:lang w:val="en-AU" w:eastAsia="en-US"/>
        </w:rPr>
        <w:t>21, 65-73.</w:t>
      </w:r>
    </w:p>
    <w:p w14:paraId="5C41575B" w14:textId="77777777" w:rsidR="00985756" w:rsidRPr="00137DB4" w:rsidRDefault="00985756" w:rsidP="00D24106">
      <w:pPr>
        <w:jc w:val="both"/>
        <w:rPr>
          <w:rFonts w:asciiTheme="minorHAnsi" w:hAnsiTheme="minorHAnsi"/>
          <w:snapToGrid w:val="0"/>
          <w:szCs w:val="22"/>
          <w:lang w:val="en-AU" w:eastAsia="en-US"/>
        </w:rPr>
      </w:pPr>
    </w:p>
    <w:p w14:paraId="73349ED4" w14:textId="77777777" w:rsidR="00985756" w:rsidRPr="00137DB4" w:rsidRDefault="00985756" w:rsidP="00D24106">
      <w:pPr>
        <w:pStyle w:val="BodyText"/>
        <w:jc w:val="both"/>
        <w:rPr>
          <w:rFonts w:asciiTheme="minorHAnsi" w:hAnsiTheme="minorHAnsi"/>
          <w:b w:val="0"/>
          <w:sz w:val="22"/>
          <w:szCs w:val="22"/>
        </w:rPr>
      </w:pPr>
      <w:r w:rsidRPr="00137DB4">
        <w:rPr>
          <w:rFonts w:asciiTheme="minorHAnsi" w:hAnsiTheme="minorHAnsi"/>
          <w:b w:val="0"/>
          <w:sz w:val="22"/>
          <w:szCs w:val="22"/>
        </w:rPr>
        <w:t>Hoskins, J.A., Brown R.C., Levy L.S., 1993. Current Levels of air contaminants in Europe: a review of real situations. Indoor Environment, 2, 246-256.</w:t>
      </w:r>
    </w:p>
    <w:p w14:paraId="35145D91" w14:textId="77777777" w:rsidR="0030157A" w:rsidRPr="00137DB4" w:rsidRDefault="0030157A" w:rsidP="00D24106">
      <w:pPr>
        <w:pStyle w:val="BodyText"/>
        <w:jc w:val="both"/>
        <w:rPr>
          <w:rFonts w:asciiTheme="minorHAnsi" w:hAnsiTheme="minorHAnsi"/>
          <w:b w:val="0"/>
          <w:sz w:val="22"/>
          <w:szCs w:val="22"/>
        </w:rPr>
      </w:pPr>
    </w:p>
    <w:p w14:paraId="3DABD9CC" w14:textId="19762D95" w:rsidR="0030157A" w:rsidRPr="00137DB4" w:rsidRDefault="0030157A" w:rsidP="00D24106">
      <w:pPr>
        <w:jc w:val="both"/>
        <w:rPr>
          <w:rFonts w:asciiTheme="minorHAnsi" w:hAnsiTheme="minorHAnsi"/>
        </w:rPr>
      </w:pPr>
      <w:r w:rsidRPr="00137DB4">
        <w:rPr>
          <w:rFonts w:asciiTheme="minorHAnsi" w:hAnsiTheme="minorHAnsi"/>
        </w:rPr>
        <w:t>Janssen, N.A.H., van Vliet, P.H.N., Aarts, F., Harssema, H., Brunekreef, B., 2001. Assessment of exposure to traffic related air pollution of children attending schools near motorways. Atmos</w:t>
      </w:r>
      <w:r w:rsidR="00D24106" w:rsidRPr="00137DB4">
        <w:rPr>
          <w:rFonts w:asciiTheme="minorHAnsi" w:hAnsiTheme="minorHAnsi"/>
        </w:rPr>
        <w:t>pheric</w:t>
      </w:r>
      <w:r w:rsidRPr="00137DB4">
        <w:rPr>
          <w:rFonts w:asciiTheme="minorHAnsi" w:hAnsiTheme="minorHAnsi"/>
        </w:rPr>
        <w:t xml:space="preserve"> Environ</w:t>
      </w:r>
      <w:r w:rsidR="00D24106" w:rsidRPr="00137DB4">
        <w:rPr>
          <w:rFonts w:asciiTheme="minorHAnsi" w:hAnsiTheme="minorHAnsi"/>
        </w:rPr>
        <w:t>ment</w:t>
      </w:r>
      <w:r w:rsidRPr="00137DB4">
        <w:rPr>
          <w:rFonts w:asciiTheme="minorHAnsi" w:hAnsiTheme="minorHAnsi"/>
        </w:rPr>
        <w:t>, 35, 3875-3884.</w:t>
      </w:r>
    </w:p>
    <w:p w14:paraId="71BBB8DD" w14:textId="77777777" w:rsidR="0035278A" w:rsidRPr="00137DB4" w:rsidRDefault="0035278A" w:rsidP="0035278A">
      <w:pPr>
        <w:autoSpaceDE w:val="0"/>
        <w:autoSpaceDN w:val="0"/>
        <w:adjustRightInd w:val="0"/>
        <w:rPr>
          <w:rFonts w:asciiTheme="minorHAnsi" w:hAnsiTheme="minorHAnsi" w:cs="AdvOT863180fb"/>
          <w:szCs w:val="22"/>
        </w:rPr>
      </w:pPr>
    </w:p>
    <w:p w14:paraId="49AFFCDB" w14:textId="77777777" w:rsidR="0035278A" w:rsidRPr="00345F2E" w:rsidRDefault="0035278A" w:rsidP="00FE4A76">
      <w:pPr>
        <w:autoSpaceDE w:val="0"/>
        <w:autoSpaceDN w:val="0"/>
        <w:adjustRightInd w:val="0"/>
        <w:jc w:val="both"/>
        <w:rPr>
          <w:rFonts w:asciiTheme="minorHAnsi" w:hAnsiTheme="minorHAnsi" w:cs="AdvOT863180fb"/>
          <w:szCs w:val="22"/>
        </w:rPr>
      </w:pPr>
      <w:r w:rsidRPr="00345F2E">
        <w:rPr>
          <w:rFonts w:asciiTheme="minorHAnsi" w:hAnsiTheme="minorHAnsi" w:cs="AdvOT863180fb"/>
          <w:szCs w:val="22"/>
        </w:rPr>
        <w:t xml:space="preserve">Kim, D., Sass-Kortsak, A., Purdham, J.T., Dales, R.E., Brook, J.R., 2006. Associations between personal exposures and </w:t>
      </w:r>
      <w:r w:rsidRPr="00345F2E">
        <w:rPr>
          <w:rFonts w:asciiTheme="minorHAnsi" w:hAnsiTheme="minorHAnsi" w:cs="AdvOT863180fb+fb"/>
          <w:szCs w:val="22"/>
        </w:rPr>
        <w:t>fi</w:t>
      </w:r>
      <w:r w:rsidRPr="00345F2E">
        <w:rPr>
          <w:rFonts w:asciiTheme="minorHAnsi" w:hAnsiTheme="minorHAnsi" w:cs="AdvOT863180fb"/>
          <w:szCs w:val="22"/>
        </w:rPr>
        <w:t xml:space="preserve">xed-site ambient measurements of </w:t>
      </w:r>
      <w:r w:rsidRPr="00345F2E">
        <w:rPr>
          <w:rFonts w:asciiTheme="minorHAnsi" w:hAnsiTheme="minorHAnsi" w:cs="AdvOT863180fb+fb"/>
          <w:szCs w:val="22"/>
        </w:rPr>
        <w:t>fi</w:t>
      </w:r>
      <w:r w:rsidRPr="00345F2E">
        <w:rPr>
          <w:rFonts w:asciiTheme="minorHAnsi" w:hAnsiTheme="minorHAnsi" w:cs="AdvOT863180fb"/>
          <w:szCs w:val="22"/>
        </w:rPr>
        <w:t>ne particulate matter, nitrogen dioxide, and carbon monoxide in Toronto, Canada. Journal of Exposure Science and Environmental Epidemiology 16, 172</w:t>
      </w:r>
      <w:r w:rsidRPr="00345F2E">
        <w:rPr>
          <w:rFonts w:asciiTheme="minorHAnsi" w:hAnsiTheme="minorHAnsi" w:cs="AdvPS44A44B"/>
          <w:szCs w:val="22"/>
        </w:rPr>
        <w:t>-</w:t>
      </w:r>
      <w:r w:rsidRPr="00345F2E">
        <w:rPr>
          <w:rFonts w:asciiTheme="minorHAnsi" w:hAnsiTheme="minorHAnsi" w:cs="AdvOT863180fb"/>
          <w:szCs w:val="22"/>
        </w:rPr>
        <w:t>183.</w:t>
      </w:r>
    </w:p>
    <w:p w14:paraId="7F844016" w14:textId="77777777" w:rsidR="00926456" w:rsidRPr="00345F2E" w:rsidRDefault="00926456" w:rsidP="00BA29F9">
      <w:pPr>
        <w:autoSpaceDE w:val="0"/>
        <w:autoSpaceDN w:val="0"/>
        <w:adjustRightInd w:val="0"/>
        <w:jc w:val="both"/>
        <w:rPr>
          <w:rFonts w:asciiTheme="minorHAnsi" w:hAnsiTheme="minorHAnsi"/>
          <w:szCs w:val="22"/>
          <w:lang w:eastAsia="el-GR"/>
        </w:rPr>
      </w:pPr>
    </w:p>
    <w:p w14:paraId="0F9B86BA" w14:textId="600ACB56" w:rsidR="00926456" w:rsidRPr="00345F2E" w:rsidRDefault="00926456" w:rsidP="00BA29F9">
      <w:pPr>
        <w:autoSpaceDE w:val="0"/>
        <w:autoSpaceDN w:val="0"/>
        <w:adjustRightInd w:val="0"/>
        <w:jc w:val="both"/>
        <w:rPr>
          <w:rFonts w:asciiTheme="minorHAnsi" w:hAnsiTheme="minorHAnsi"/>
          <w:szCs w:val="22"/>
          <w:lang w:eastAsia="el-GR"/>
        </w:rPr>
      </w:pPr>
      <w:r w:rsidRPr="00D96F10">
        <w:rPr>
          <w:rFonts w:asciiTheme="minorHAnsi" w:hAnsiTheme="minorHAnsi"/>
          <w:szCs w:val="22"/>
          <w:lang w:val="fr-FR" w:eastAsia="el-GR"/>
        </w:rPr>
        <w:t>Kornatit</w:t>
      </w:r>
      <w:r w:rsidR="003E6245" w:rsidRPr="00D96F10">
        <w:rPr>
          <w:rFonts w:asciiTheme="minorHAnsi" w:hAnsiTheme="minorHAnsi"/>
          <w:szCs w:val="22"/>
          <w:lang w:val="fr-FR" w:eastAsia="el-GR"/>
        </w:rPr>
        <w:t xml:space="preserve">, </w:t>
      </w:r>
      <w:r w:rsidR="00513322" w:rsidRPr="00D96F10">
        <w:rPr>
          <w:rFonts w:asciiTheme="minorHAnsi" w:hAnsiTheme="minorHAnsi"/>
          <w:szCs w:val="22"/>
          <w:lang w:val="fr-FR" w:eastAsia="el-GR"/>
        </w:rPr>
        <w:t>C</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 Sokhi</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 xml:space="preserve"> R</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S</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 Burton</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 xml:space="preserve"> M</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A</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 Ravindra</w:t>
      </w:r>
      <w:r w:rsidR="003E6245" w:rsidRPr="00D96F10">
        <w:rPr>
          <w:rFonts w:asciiTheme="minorHAnsi" w:hAnsiTheme="minorHAnsi"/>
          <w:szCs w:val="22"/>
          <w:lang w:val="fr-FR" w:eastAsia="el-GR"/>
        </w:rPr>
        <w:t>,</w:t>
      </w:r>
      <w:r w:rsidR="00513322" w:rsidRPr="00D96F10">
        <w:rPr>
          <w:rFonts w:asciiTheme="minorHAnsi" w:hAnsiTheme="minorHAnsi"/>
          <w:szCs w:val="22"/>
          <w:lang w:val="fr-FR" w:eastAsia="el-GR"/>
        </w:rPr>
        <w:t xml:space="preserve"> K</w:t>
      </w:r>
      <w:r w:rsidR="003E6245" w:rsidRPr="00D96F10">
        <w:rPr>
          <w:rFonts w:asciiTheme="minorHAnsi" w:hAnsiTheme="minorHAnsi"/>
          <w:szCs w:val="22"/>
          <w:lang w:val="fr-FR" w:eastAsia="el-GR"/>
        </w:rPr>
        <w:t>.,</w:t>
      </w:r>
      <w:r w:rsidRPr="00D96F10">
        <w:rPr>
          <w:rFonts w:asciiTheme="minorHAnsi" w:hAnsiTheme="minorHAnsi"/>
          <w:szCs w:val="22"/>
          <w:lang w:val="fr-FR" w:eastAsia="el-GR"/>
        </w:rPr>
        <w:t xml:space="preserve"> 2010</w:t>
      </w:r>
      <w:r w:rsidR="00513322" w:rsidRPr="00D96F10">
        <w:rPr>
          <w:rFonts w:asciiTheme="minorHAnsi" w:hAnsiTheme="minorHAnsi"/>
          <w:szCs w:val="22"/>
          <w:lang w:val="fr-FR" w:eastAsia="el-GR"/>
        </w:rPr>
        <w:t xml:space="preserve">. </w:t>
      </w:r>
      <w:r w:rsidR="00513322" w:rsidRPr="00345F2E">
        <w:rPr>
          <w:rFonts w:asciiTheme="minorHAnsi" w:hAnsiTheme="minorHAnsi"/>
          <w:szCs w:val="22"/>
          <w:lang w:eastAsia="el-GR"/>
        </w:rPr>
        <w:t>Activity pattern and person</w:t>
      </w:r>
      <w:r w:rsidR="003E6245">
        <w:rPr>
          <w:rFonts w:asciiTheme="minorHAnsi" w:hAnsiTheme="minorHAnsi"/>
          <w:szCs w:val="22"/>
          <w:lang w:eastAsia="el-GR"/>
        </w:rPr>
        <w:t>al</w:t>
      </w:r>
      <w:r w:rsidR="00513322" w:rsidRPr="00345F2E">
        <w:rPr>
          <w:rFonts w:asciiTheme="minorHAnsi" w:hAnsiTheme="minorHAnsi"/>
          <w:szCs w:val="22"/>
          <w:lang w:eastAsia="el-GR"/>
        </w:rPr>
        <w:t xml:space="preserve"> exposure to nitrogen dioxide in indoor and outdoor microenvironments. Environment International, 36, 36-45.</w:t>
      </w:r>
    </w:p>
    <w:p w14:paraId="5C8C556D" w14:textId="77777777" w:rsidR="004471D4" w:rsidRPr="00345F2E" w:rsidRDefault="004471D4" w:rsidP="00BA29F9">
      <w:pPr>
        <w:jc w:val="both"/>
        <w:rPr>
          <w:rFonts w:asciiTheme="minorHAnsi" w:hAnsiTheme="minorHAnsi"/>
          <w:szCs w:val="22"/>
          <w:lang w:val="da-DK"/>
        </w:rPr>
      </w:pPr>
    </w:p>
    <w:p w14:paraId="0EB617DC" w14:textId="28E44428" w:rsidR="004471D4" w:rsidRPr="00345F2E" w:rsidRDefault="004471D4" w:rsidP="00BA29F9">
      <w:pPr>
        <w:jc w:val="both"/>
        <w:rPr>
          <w:rFonts w:asciiTheme="minorHAnsi" w:hAnsiTheme="minorHAnsi"/>
          <w:szCs w:val="22"/>
        </w:rPr>
      </w:pPr>
      <w:r w:rsidRPr="00345F2E">
        <w:rPr>
          <w:rFonts w:asciiTheme="minorHAnsi" w:hAnsiTheme="minorHAnsi"/>
          <w:szCs w:val="22"/>
          <w:lang w:val="fi-FI"/>
        </w:rPr>
        <w:t xml:space="preserve">Kousa, A., Monn, C., Rotko, T., Alm, S., Jantunen, M.J., 2001. </w:t>
      </w:r>
      <w:r w:rsidRPr="00345F2E">
        <w:rPr>
          <w:rFonts w:asciiTheme="minorHAnsi" w:hAnsiTheme="minorHAnsi"/>
          <w:szCs w:val="22"/>
          <w:lang w:val="da-DK"/>
        </w:rPr>
        <w:t>Pers</w:t>
      </w:r>
      <w:r w:rsidR="0027130D">
        <w:rPr>
          <w:rFonts w:asciiTheme="minorHAnsi" w:hAnsiTheme="minorHAnsi"/>
          <w:szCs w:val="22"/>
          <w:lang w:val="da-DK"/>
        </w:rPr>
        <w:t>ona</w:t>
      </w:r>
      <w:r w:rsidRPr="00345F2E">
        <w:rPr>
          <w:rFonts w:asciiTheme="minorHAnsi" w:hAnsiTheme="minorHAnsi"/>
          <w:szCs w:val="22"/>
          <w:lang w:val="da-DK"/>
        </w:rPr>
        <w:t>l exposures to NO</w:t>
      </w:r>
      <w:r w:rsidRPr="00345F2E">
        <w:rPr>
          <w:rFonts w:asciiTheme="minorHAnsi" w:hAnsiTheme="minorHAnsi"/>
          <w:szCs w:val="22"/>
          <w:vertAlign w:val="subscript"/>
          <w:lang w:val="da-DK"/>
        </w:rPr>
        <w:t>2</w:t>
      </w:r>
      <w:r w:rsidRPr="00345F2E">
        <w:rPr>
          <w:rFonts w:asciiTheme="minorHAnsi" w:hAnsiTheme="minorHAnsi"/>
          <w:szCs w:val="22"/>
          <w:lang w:val="da-DK"/>
        </w:rPr>
        <w:t xml:space="preserve"> in the EXPOLIS study: relation</w:t>
      </w:r>
      <w:r w:rsidR="0027130D">
        <w:rPr>
          <w:rFonts w:asciiTheme="minorHAnsi" w:hAnsiTheme="minorHAnsi"/>
          <w:szCs w:val="22"/>
          <w:lang w:val="da-DK"/>
        </w:rPr>
        <w:t xml:space="preserve"> </w:t>
      </w:r>
      <w:r w:rsidRPr="00345F2E">
        <w:rPr>
          <w:rFonts w:asciiTheme="minorHAnsi" w:hAnsiTheme="minorHAnsi"/>
          <w:szCs w:val="22"/>
          <w:lang w:val="da-DK"/>
        </w:rPr>
        <w:t>to resi</w:t>
      </w:r>
      <w:r w:rsidRPr="00345F2E">
        <w:rPr>
          <w:rFonts w:asciiTheme="minorHAnsi" w:hAnsiTheme="minorHAnsi"/>
          <w:szCs w:val="22"/>
        </w:rPr>
        <w:t>dential indoor, outdoor and workplace concentrations in Basel, Helsinki and Prague. Atmospheric Environment 35, 3405 – 3412.</w:t>
      </w:r>
    </w:p>
    <w:p w14:paraId="7ABDFD8E" w14:textId="77777777" w:rsidR="004471D4" w:rsidRPr="00345F2E" w:rsidRDefault="004471D4" w:rsidP="00BA29F9">
      <w:pPr>
        <w:jc w:val="both"/>
        <w:rPr>
          <w:rFonts w:asciiTheme="minorHAnsi" w:hAnsiTheme="minorHAnsi"/>
          <w:szCs w:val="22"/>
        </w:rPr>
      </w:pPr>
    </w:p>
    <w:p w14:paraId="6F6611DC" w14:textId="77777777" w:rsidR="004A14A3" w:rsidRPr="00345F2E" w:rsidRDefault="004A14A3" w:rsidP="00BA29F9">
      <w:pPr>
        <w:jc w:val="both"/>
        <w:rPr>
          <w:rFonts w:asciiTheme="minorHAnsi" w:hAnsiTheme="minorHAnsi"/>
          <w:szCs w:val="22"/>
        </w:rPr>
      </w:pPr>
    </w:p>
    <w:p w14:paraId="39C813AB" w14:textId="4D8B50D2" w:rsidR="004A14A3" w:rsidRDefault="004A14A3" w:rsidP="00BA29F9">
      <w:pPr>
        <w:autoSpaceDE w:val="0"/>
        <w:autoSpaceDN w:val="0"/>
        <w:adjustRightInd w:val="0"/>
        <w:jc w:val="both"/>
        <w:rPr>
          <w:rFonts w:asciiTheme="minorHAnsi" w:hAnsiTheme="minorHAnsi"/>
          <w:szCs w:val="22"/>
          <w:lang w:eastAsia="el-GR"/>
        </w:rPr>
      </w:pPr>
      <w:r w:rsidRPr="00345F2E">
        <w:rPr>
          <w:rFonts w:asciiTheme="minorHAnsi" w:hAnsiTheme="minorHAnsi"/>
          <w:szCs w:val="22"/>
          <w:lang w:val="nl-NL" w:eastAsia="el-GR"/>
        </w:rPr>
        <w:t xml:space="preserve">Kruize, H., Hanninen, O., Breugelmans, O., Lebret, E., Jantunen, M., 2003. </w:t>
      </w:r>
      <w:r w:rsidRPr="00345F2E">
        <w:rPr>
          <w:rFonts w:asciiTheme="minorHAnsi" w:hAnsiTheme="minorHAnsi"/>
          <w:szCs w:val="22"/>
          <w:lang w:eastAsia="el-GR"/>
        </w:rPr>
        <w:t>Description and demonstration of the EXPOLIS simulation model: two examples of model</w:t>
      </w:r>
      <w:r w:rsidR="003E6245">
        <w:rPr>
          <w:rFonts w:asciiTheme="minorHAnsi" w:hAnsiTheme="minorHAnsi"/>
          <w:szCs w:val="22"/>
          <w:lang w:eastAsia="el-GR"/>
        </w:rPr>
        <w:t>l</w:t>
      </w:r>
      <w:r w:rsidRPr="00345F2E">
        <w:rPr>
          <w:rFonts w:asciiTheme="minorHAnsi" w:hAnsiTheme="minorHAnsi"/>
          <w:szCs w:val="22"/>
          <w:lang w:eastAsia="el-GR"/>
        </w:rPr>
        <w:t>ing population exposure to particulate matter. Journal of Exposure Analysis and Environmental Epidemiology 13, 87–99.</w:t>
      </w:r>
    </w:p>
    <w:p w14:paraId="690D96E2" w14:textId="77777777" w:rsidR="00B740AB" w:rsidRDefault="00B740AB" w:rsidP="00BA29F9">
      <w:pPr>
        <w:autoSpaceDE w:val="0"/>
        <w:autoSpaceDN w:val="0"/>
        <w:adjustRightInd w:val="0"/>
        <w:jc w:val="both"/>
        <w:rPr>
          <w:rFonts w:asciiTheme="minorHAnsi" w:hAnsiTheme="minorHAnsi"/>
          <w:szCs w:val="22"/>
          <w:lang w:eastAsia="el-GR"/>
        </w:rPr>
      </w:pPr>
    </w:p>
    <w:p w14:paraId="1E7AA3A4" w14:textId="551FE888" w:rsidR="00B740AB" w:rsidRPr="00193674" w:rsidRDefault="00B740AB" w:rsidP="00D24106">
      <w:pPr>
        <w:jc w:val="both"/>
        <w:rPr>
          <w:rFonts w:asciiTheme="minorHAnsi" w:hAnsiTheme="minorHAnsi"/>
        </w:rPr>
      </w:pPr>
      <w:r w:rsidRPr="00193674">
        <w:rPr>
          <w:rFonts w:asciiTheme="minorHAnsi" w:hAnsiTheme="minorHAnsi"/>
        </w:rPr>
        <w:t xml:space="preserve">Kukadia, V., Palmer, J., 1998. The effect of external atmospheric pollution on indoor air quality: a pilot study. Energy </w:t>
      </w:r>
      <w:r w:rsidR="00D24106" w:rsidRPr="00193674">
        <w:rPr>
          <w:rFonts w:asciiTheme="minorHAnsi" w:hAnsiTheme="minorHAnsi"/>
        </w:rPr>
        <w:t xml:space="preserve">and </w:t>
      </w:r>
      <w:r w:rsidRPr="00193674">
        <w:rPr>
          <w:rFonts w:asciiTheme="minorHAnsi" w:hAnsiTheme="minorHAnsi"/>
        </w:rPr>
        <w:t>Build</w:t>
      </w:r>
      <w:r w:rsidR="00D24106" w:rsidRPr="00193674">
        <w:rPr>
          <w:rFonts w:asciiTheme="minorHAnsi" w:hAnsiTheme="minorHAnsi"/>
        </w:rPr>
        <w:t>ings</w:t>
      </w:r>
      <w:r w:rsidRPr="00193674">
        <w:rPr>
          <w:rFonts w:asciiTheme="minorHAnsi" w:hAnsiTheme="minorHAnsi"/>
        </w:rPr>
        <w:t>, 27, 223-230.</w:t>
      </w:r>
    </w:p>
    <w:p w14:paraId="4BA74C94" w14:textId="77777777" w:rsidR="004471D4" w:rsidRPr="00193674" w:rsidRDefault="004471D4" w:rsidP="00D24106">
      <w:pPr>
        <w:jc w:val="both"/>
        <w:rPr>
          <w:rFonts w:asciiTheme="minorHAnsi" w:hAnsiTheme="minorHAnsi"/>
          <w:szCs w:val="22"/>
        </w:rPr>
      </w:pPr>
    </w:p>
    <w:p w14:paraId="6C31B237" w14:textId="1092817B" w:rsidR="000205A4" w:rsidRPr="00193674" w:rsidRDefault="000205A4" w:rsidP="00D24106">
      <w:pPr>
        <w:autoSpaceDE w:val="0"/>
        <w:autoSpaceDN w:val="0"/>
        <w:adjustRightInd w:val="0"/>
        <w:jc w:val="both"/>
        <w:rPr>
          <w:rFonts w:asciiTheme="minorHAnsi" w:hAnsiTheme="minorHAnsi"/>
          <w:szCs w:val="22"/>
          <w:lang w:val="da-DK" w:eastAsia="el-GR"/>
        </w:rPr>
      </w:pPr>
      <w:r w:rsidRPr="00193674">
        <w:rPr>
          <w:rFonts w:asciiTheme="minorHAnsi" w:hAnsiTheme="minorHAnsi"/>
          <w:szCs w:val="22"/>
          <w:lang w:val="da-DK" w:eastAsia="el-GR"/>
        </w:rPr>
        <w:t>Lai, H.K., Kendall, M., Ferrier, H., Lindup, I., Alm, S., Hanninen, O.,</w:t>
      </w:r>
      <w:r w:rsidR="003B7410" w:rsidRPr="00193674">
        <w:rPr>
          <w:rFonts w:asciiTheme="minorHAnsi" w:hAnsiTheme="minorHAnsi"/>
          <w:szCs w:val="22"/>
          <w:lang w:val="da-DK" w:eastAsia="el-GR"/>
        </w:rPr>
        <w:t xml:space="preserve"> </w:t>
      </w:r>
      <w:r w:rsidR="003B7410" w:rsidRPr="00193674">
        <w:rPr>
          <w:rFonts w:asciiTheme="minorHAnsi" w:hAnsiTheme="minorHAnsi"/>
          <w:shd w:val="clear" w:color="auto" w:fill="FFFFFF"/>
        </w:rPr>
        <w:t xml:space="preserve">Jantunen, M., Mathys, P., Colvile, M.R., Ashmore, M.R., Cullinan, P., Nieuwenhuijsen, M.J., </w:t>
      </w:r>
      <w:r w:rsidRPr="00193674">
        <w:rPr>
          <w:rFonts w:asciiTheme="minorHAnsi" w:hAnsiTheme="minorHAnsi"/>
          <w:szCs w:val="22"/>
          <w:lang w:val="da-DK" w:eastAsia="el-GR"/>
        </w:rPr>
        <w:t xml:space="preserve">2004. </w:t>
      </w:r>
      <w:r w:rsidRPr="00193674">
        <w:rPr>
          <w:rFonts w:asciiTheme="minorHAnsi" w:hAnsiTheme="minorHAnsi"/>
          <w:szCs w:val="22"/>
          <w:lang w:eastAsia="el-GR"/>
        </w:rPr>
        <w:t>Personal exposures and microenvironment concentrations of PM</w:t>
      </w:r>
      <w:r w:rsidRPr="00193674">
        <w:rPr>
          <w:rFonts w:asciiTheme="minorHAnsi" w:hAnsiTheme="minorHAnsi"/>
          <w:szCs w:val="22"/>
          <w:vertAlign w:val="subscript"/>
          <w:lang w:eastAsia="el-GR"/>
        </w:rPr>
        <w:t>2.5</w:t>
      </w:r>
      <w:r w:rsidRPr="00193674">
        <w:rPr>
          <w:rFonts w:asciiTheme="minorHAnsi" w:hAnsiTheme="minorHAnsi"/>
          <w:szCs w:val="22"/>
          <w:lang w:eastAsia="el-GR"/>
        </w:rPr>
        <w:t>, VOC, NO</w:t>
      </w:r>
      <w:r w:rsidRPr="00193674">
        <w:rPr>
          <w:rFonts w:asciiTheme="minorHAnsi" w:hAnsiTheme="minorHAnsi"/>
          <w:szCs w:val="22"/>
          <w:vertAlign w:val="subscript"/>
          <w:lang w:eastAsia="el-GR"/>
        </w:rPr>
        <w:t>2</w:t>
      </w:r>
      <w:r w:rsidRPr="00193674">
        <w:rPr>
          <w:rFonts w:asciiTheme="minorHAnsi" w:hAnsiTheme="minorHAnsi"/>
          <w:szCs w:val="22"/>
          <w:lang w:eastAsia="el-GR"/>
        </w:rPr>
        <w:t xml:space="preserve"> and CO in Oxford, UK. </w:t>
      </w:r>
      <w:r w:rsidRPr="00193674">
        <w:rPr>
          <w:rFonts w:asciiTheme="minorHAnsi" w:hAnsiTheme="minorHAnsi"/>
          <w:szCs w:val="22"/>
          <w:lang w:val="da-DK" w:eastAsia="el-GR"/>
        </w:rPr>
        <w:t>Atmospheric Environment 38, 6399-6410.</w:t>
      </w:r>
    </w:p>
    <w:p w14:paraId="498EC9C3" w14:textId="77777777" w:rsidR="001F36FA" w:rsidRPr="00193674" w:rsidRDefault="001F36FA" w:rsidP="00BA29F9">
      <w:pPr>
        <w:autoSpaceDE w:val="0"/>
        <w:autoSpaceDN w:val="0"/>
        <w:adjustRightInd w:val="0"/>
        <w:jc w:val="both"/>
        <w:rPr>
          <w:rFonts w:asciiTheme="minorHAnsi" w:hAnsiTheme="minorHAnsi"/>
          <w:szCs w:val="22"/>
          <w:lang w:val="da-DK" w:eastAsia="el-GR"/>
        </w:rPr>
      </w:pPr>
    </w:p>
    <w:p w14:paraId="1E648F17" w14:textId="448E4B63" w:rsidR="00716485" w:rsidRPr="00193674" w:rsidRDefault="00716485" w:rsidP="00BA29F9">
      <w:pPr>
        <w:autoSpaceDE w:val="0"/>
        <w:autoSpaceDN w:val="0"/>
        <w:adjustRightInd w:val="0"/>
        <w:jc w:val="both"/>
        <w:rPr>
          <w:rFonts w:asciiTheme="minorHAnsi" w:hAnsiTheme="minorHAnsi"/>
          <w:szCs w:val="22"/>
          <w:lang w:val="da-DK" w:eastAsia="el-GR"/>
        </w:rPr>
      </w:pPr>
      <w:r w:rsidRPr="00193674">
        <w:rPr>
          <w:rFonts w:asciiTheme="minorHAnsi" w:hAnsiTheme="minorHAnsi"/>
          <w:szCs w:val="22"/>
          <w:lang w:val="da-DK" w:eastAsia="el-GR"/>
        </w:rPr>
        <w:t>Lau</w:t>
      </w:r>
      <w:r w:rsidR="003B7410" w:rsidRPr="00193674">
        <w:rPr>
          <w:rFonts w:asciiTheme="minorHAnsi" w:hAnsiTheme="minorHAnsi"/>
          <w:szCs w:val="22"/>
          <w:lang w:val="da-DK" w:eastAsia="el-GR"/>
        </w:rPr>
        <w:t>mback, R., Meng, Q., Kipen, H., 2015</w:t>
      </w:r>
      <w:r w:rsidRPr="00193674">
        <w:rPr>
          <w:rFonts w:asciiTheme="minorHAnsi" w:hAnsiTheme="minorHAnsi"/>
          <w:szCs w:val="22"/>
          <w:lang w:val="da-DK" w:eastAsia="el-GR"/>
        </w:rPr>
        <w:t>. What can individuals do to reduce personal xposure risks from air pollution? Journal of Thoracic Disease, 7, 96-107.</w:t>
      </w:r>
    </w:p>
    <w:p w14:paraId="12D22A98" w14:textId="77777777" w:rsidR="00716485" w:rsidRPr="00193674" w:rsidRDefault="00716485" w:rsidP="00BA29F9">
      <w:pPr>
        <w:autoSpaceDE w:val="0"/>
        <w:autoSpaceDN w:val="0"/>
        <w:adjustRightInd w:val="0"/>
        <w:jc w:val="both"/>
        <w:rPr>
          <w:rFonts w:asciiTheme="minorHAnsi" w:hAnsiTheme="minorHAnsi"/>
          <w:szCs w:val="22"/>
          <w:lang w:val="da-DK" w:eastAsia="el-GR"/>
        </w:rPr>
      </w:pPr>
    </w:p>
    <w:p w14:paraId="20AE0F3C" w14:textId="77777777" w:rsidR="00B740AB" w:rsidRPr="00193674" w:rsidRDefault="00B740AB" w:rsidP="00D24106">
      <w:pPr>
        <w:pStyle w:val="BodyTextIndent"/>
        <w:spacing w:after="0"/>
        <w:ind w:left="0"/>
        <w:jc w:val="both"/>
        <w:rPr>
          <w:rFonts w:asciiTheme="minorHAnsi" w:hAnsiTheme="minorHAnsi"/>
          <w:szCs w:val="22"/>
        </w:rPr>
      </w:pPr>
      <w:r w:rsidRPr="00193674">
        <w:rPr>
          <w:rFonts w:asciiTheme="minorHAnsi" w:hAnsiTheme="minorHAnsi"/>
          <w:szCs w:val="22"/>
        </w:rPr>
        <w:t>Lee, S.C., Chang, M., 1999. Indoor air quality investigations at five classrooms. Indoor Air, 9, 134-138.</w:t>
      </w:r>
    </w:p>
    <w:p w14:paraId="5ADB7D09" w14:textId="77777777" w:rsidR="00D22AAB" w:rsidRPr="00193674" w:rsidRDefault="00D22AAB" w:rsidP="00BA29F9">
      <w:pPr>
        <w:autoSpaceDE w:val="0"/>
        <w:autoSpaceDN w:val="0"/>
        <w:adjustRightInd w:val="0"/>
        <w:jc w:val="both"/>
        <w:rPr>
          <w:rFonts w:asciiTheme="minorHAnsi" w:hAnsiTheme="minorHAnsi"/>
          <w:szCs w:val="22"/>
          <w:lang w:val="da-DK" w:eastAsia="el-GR"/>
        </w:rPr>
      </w:pPr>
    </w:p>
    <w:p w14:paraId="3158B416" w14:textId="695DA773" w:rsidR="00E607FC" w:rsidRPr="00193674" w:rsidRDefault="00E607FC" w:rsidP="008C156D">
      <w:pPr>
        <w:autoSpaceDE w:val="0"/>
        <w:autoSpaceDN w:val="0"/>
        <w:adjustRightInd w:val="0"/>
        <w:jc w:val="both"/>
        <w:rPr>
          <w:rFonts w:asciiTheme="minorHAnsi" w:hAnsiTheme="minorHAnsi" w:cs="AdvOT863180fb"/>
          <w:szCs w:val="22"/>
        </w:rPr>
      </w:pPr>
      <w:r w:rsidRPr="00193674">
        <w:rPr>
          <w:rFonts w:asciiTheme="minorHAnsi" w:hAnsiTheme="minorHAnsi" w:cs="AdvOT863180fb"/>
          <w:szCs w:val="22"/>
        </w:rPr>
        <w:t>Lin</w:t>
      </w:r>
      <w:r w:rsidR="003E6245" w:rsidRPr="00193674">
        <w:rPr>
          <w:rFonts w:asciiTheme="minorHAnsi" w:hAnsiTheme="minorHAnsi" w:cs="AdvOT863180fb"/>
          <w:szCs w:val="22"/>
        </w:rPr>
        <w:t>,</w:t>
      </w:r>
      <w:r w:rsidRPr="00193674">
        <w:rPr>
          <w:rFonts w:asciiTheme="minorHAnsi" w:hAnsiTheme="minorHAnsi" w:cs="AdvOT863180fb"/>
          <w:szCs w:val="22"/>
        </w:rPr>
        <w:t xml:space="preserve"> W</w:t>
      </w:r>
      <w:r w:rsidR="003E6245" w:rsidRPr="00193674">
        <w:rPr>
          <w:rFonts w:asciiTheme="minorHAnsi" w:hAnsiTheme="minorHAnsi" w:cs="AdvOT863180fb"/>
          <w:szCs w:val="22"/>
        </w:rPr>
        <w:t>.</w:t>
      </w:r>
      <w:r w:rsidRPr="00193674">
        <w:rPr>
          <w:rFonts w:asciiTheme="minorHAnsi" w:hAnsiTheme="minorHAnsi" w:cs="AdvOT863180fb"/>
          <w:szCs w:val="22"/>
        </w:rPr>
        <w:t>, Brunekreef</w:t>
      </w:r>
      <w:r w:rsidR="003E6245" w:rsidRPr="00193674">
        <w:rPr>
          <w:rFonts w:asciiTheme="minorHAnsi" w:hAnsiTheme="minorHAnsi" w:cs="AdvOT863180fb"/>
          <w:szCs w:val="22"/>
        </w:rPr>
        <w:t>,</w:t>
      </w:r>
      <w:r w:rsidRPr="00193674">
        <w:rPr>
          <w:rFonts w:asciiTheme="minorHAnsi" w:hAnsiTheme="minorHAnsi" w:cs="AdvOT863180fb"/>
          <w:szCs w:val="22"/>
        </w:rPr>
        <w:t xml:space="preserve"> B</w:t>
      </w:r>
      <w:r w:rsidR="003E6245" w:rsidRPr="00193674">
        <w:rPr>
          <w:rFonts w:asciiTheme="minorHAnsi" w:hAnsiTheme="minorHAnsi" w:cs="AdvOT863180fb"/>
          <w:szCs w:val="22"/>
        </w:rPr>
        <w:t>.</w:t>
      </w:r>
      <w:r w:rsidRPr="00193674">
        <w:rPr>
          <w:rFonts w:asciiTheme="minorHAnsi" w:hAnsiTheme="minorHAnsi" w:cs="AdvOT863180fb"/>
          <w:szCs w:val="22"/>
        </w:rPr>
        <w:t>,  Gehring</w:t>
      </w:r>
      <w:r w:rsidR="003E6245" w:rsidRPr="00193674">
        <w:rPr>
          <w:rFonts w:asciiTheme="minorHAnsi" w:hAnsiTheme="minorHAnsi" w:cs="AdvOT863180fb"/>
          <w:szCs w:val="22"/>
        </w:rPr>
        <w:t>,</w:t>
      </w:r>
      <w:r w:rsidRPr="00193674">
        <w:rPr>
          <w:rFonts w:asciiTheme="minorHAnsi" w:hAnsiTheme="minorHAnsi" w:cs="AdvOT863180fb"/>
          <w:szCs w:val="22"/>
        </w:rPr>
        <w:t xml:space="preserve"> U.</w:t>
      </w:r>
      <w:r w:rsidR="003E6245" w:rsidRPr="00193674">
        <w:rPr>
          <w:rFonts w:asciiTheme="minorHAnsi" w:hAnsiTheme="minorHAnsi" w:cs="AdvOT863180fb"/>
          <w:szCs w:val="22"/>
        </w:rPr>
        <w:t>,</w:t>
      </w:r>
      <w:r w:rsidRPr="00193674">
        <w:rPr>
          <w:rFonts w:asciiTheme="minorHAnsi" w:hAnsiTheme="minorHAnsi" w:cs="AdvOT863180fb"/>
          <w:szCs w:val="22"/>
        </w:rPr>
        <w:t xml:space="preserve"> 2013. Meta-analysis </w:t>
      </w:r>
      <w:r w:rsidR="008C156D" w:rsidRPr="00193674">
        <w:rPr>
          <w:rFonts w:asciiTheme="minorHAnsi" w:hAnsiTheme="minorHAnsi" w:cs="AdvOT863180fb"/>
          <w:szCs w:val="22"/>
        </w:rPr>
        <w:t>o</w:t>
      </w:r>
      <w:r w:rsidRPr="00193674">
        <w:rPr>
          <w:rFonts w:asciiTheme="minorHAnsi" w:hAnsiTheme="minorHAnsi" w:cs="AdvOT863180fb"/>
          <w:szCs w:val="22"/>
        </w:rPr>
        <w:t>f the effects of indoor nitrogen dioxide and gas co</w:t>
      </w:r>
      <w:r w:rsidR="008C156D" w:rsidRPr="00193674">
        <w:rPr>
          <w:rFonts w:asciiTheme="minorHAnsi" w:hAnsiTheme="minorHAnsi" w:cs="AdvOT863180fb"/>
          <w:szCs w:val="22"/>
        </w:rPr>
        <w:t>o</w:t>
      </w:r>
      <w:r w:rsidRPr="00193674">
        <w:rPr>
          <w:rFonts w:asciiTheme="minorHAnsi" w:hAnsiTheme="minorHAnsi" w:cs="AdvOT863180fb"/>
          <w:szCs w:val="22"/>
        </w:rPr>
        <w:t>king on asthma and wheeze in children. International Journal of Epidemiology, 42, 1724-1737.</w:t>
      </w:r>
    </w:p>
    <w:p w14:paraId="33018676" w14:textId="77777777" w:rsidR="00E607FC" w:rsidRPr="00193674" w:rsidRDefault="00E607FC" w:rsidP="00D22AAB">
      <w:pPr>
        <w:autoSpaceDE w:val="0"/>
        <w:autoSpaceDN w:val="0"/>
        <w:adjustRightInd w:val="0"/>
        <w:rPr>
          <w:rFonts w:asciiTheme="minorHAnsi" w:hAnsiTheme="minorHAnsi" w:cs="AdvOT863180fb"/>
          <w:szCs w:val="22"/>
        </w:rPr>
      </w:pPr>
    </w:p>
    <w:p w14:paraId="5C9027DE" w14:textId="6712E30B" w:rsidR="00717CE7" w:rsidRPr="00193674" w:rsidRDefault="00717CE7" w:rsidP="008C156D">
      <w:pPr>
        <w:autoSpaceDE w:val="0"/>
        <w:autoSpaceDN w:val="0"/>
        <w:adjustRightInd w:val="0"/>
        <w:jc w:val="both"/>
        <w:rPr>
          <w:rFonts w:asciiTheme="minorHAnsi" w:hAnsiTheme="minorHAnsi" w:cs="AdvOT863180fb"/>
          <w:szCs w:val="22"/>
        </w:rPr>
      </w:pPr>
      <w:r w:rsidRPr="00193674">
        <w:rPr>
          <w:rFonts w:asciiTheme="minorHAnsi" w:hAnsiTheme="minorHAnsi" w:cs="AdvOT863180fb"/>
          <w:szCs w:val="22"/>
        </w:rPr>
        <w:t>Logue</w:t>
      </w:r>
      <w:r w:rsidR="003E6245" w:rsidRPr="00193674">
        <w:rPr>
          <w:rFonts w:asciiTheme="minorHAnsi" w:hAnsiTheme="minorHAnsi" w:cs="AdvOT863180fb"/>
          <w:szCs w:val="22"/>
        </w:rPr>
        <w:t>,</w:t>
      </w:r>
      <w:r w:rsidRPr="00193674">
        <w:rPr>
          <w:rFonts w:asciiTheme="minorHAnsi" w:hAnsiTheme="minorHAnsi" w:cs="AdvOT863180fb"/>
          <w:szCs w:val="22"/>
        </w:rPr>
        <w:t xml:space="preserve"> J</w:t>
      </w:r>
      <w:r w:rsidR="003E6245" w:rsidRPr="00193674">
        <w:rPr>
          <w:rFonts w:asciiTheme="minorHAnsi" w:hAnsiTheme="minorHAnsi" w:cs="AdvOT863180fb"/>
          <w:szCs w:val="22"/>
        </w:rPr>
        <w:t>.</w:t>
      </w:r>
      <w:r w:rsidRPr="00193674">
        <w:rPr>
          <w:rFonts w:asciiTheme="minorHAnsi" w:hAnsiTheme="minorHAnsi" w:cs="AdvOT863180fb"/>
          <w:szCs w:val="22"/>
        </w:rPr>
        <w:t>M</w:t>
      </w:r>
      <w:r w:rsidR="003E6245" w:rsidRPr="00193674">
        <w:rPr>
          <w:rFonts w:asciiTheme="minorHAnsi" w:hAnsiTheme="minorHAnsi" w:cs="AdvOT863180fb"/>
          <w:szCs w:val="22"/>
        </w:rPr>
        <w:t>.</w:t>
      </w:r>
      <w:r w:rsidRPr="00193674">
        <w:rPr>
          <w:rFonts w:asciiTheme="minorHAnsi" w:hAnsiTheme="minorHAnsi" w:cs="AdvOT863180fb"/>
          <w:szCs w:val="22"/>
        </w:rPr>
        <w:t>, McKone</w:t>
      </w:r>
      <w:r w:rsidR="003E6245" w:rsidRPr="00193674">
        <w:rPr>
          <w:rFonts w:asciiTheme="minorHAnsi" w:hAnsiTheme="minorHAnsi" w:cs="AdvOT863180fb"/>
          <w:szCs w:val="22"/>
        </w:rPr>
        <w:t>,</w:t>
      </w:r>
      <w:r w:rsidRPr="00193674">
        <w:rPr>
          <w:rFonts w:asciiTheme="minorHAnsi" w:hAnsiTheme="minorHAnsi" w:cs="AdvOT863180fb"/>
          <w:szCs w:val="22"/>
        </w:rPr>
        <w:t xml:space="preserve"> T</w:t>
      </w:r>
      <w:r w:rsidR="003E6245" w:rsidRPr="00193674">
        <w:rPr>
          <w:rFonts w:asciiTheme="minorHAnsi" w:hAnsiTheme="minorHAnsi" w:cs="AdvOT863180fb"/>
          <w:szCs w:val="22"/>
        </w:rPr>
        <w:t>.</w:t>
      </w:r>
      <w:r w:rsidRPr="00193674">
        <w:rPr>
          <w:rFonts w:asciiTheme="minorHAnsi" w:hAnsiTheme="minorHAnsi" w:cs="AdvOT863180fb"/>
          <w:szCs w:val="22"/>
        </w:rPr>
        <w:t>E</w:t>
      </w:r>
      <w:r w:rsidR="003E6245" w:rsidRPr="00193674">
        <w:rPr>
          <w:rFonts w:asciiTheme="minorHAnsi" w:hAnsiTheme="minorHAnsi" w:cs="AdvOT863180fb"/>
          <w:szCs w:val="22"/>
        </w:rPr>
        <w:t>.</w:t>
      </w:r>
      <w:r w:rsidRPr="00193674">
        <w:rPr>
          <w:rFonts w:asciiTheme="minorHAnsi" w:hAnsiTheme="minorHAnsi" w:cs="AdvOT863180fb"/>
          <w:szCs w:val="22"/>
        </w:rPr>
        <w:t>, Sherman</w:t>
      </w:r>
      <w:r w:rsidR="003E6245" w:rsidRPr="00193674">
        <w:rPr>
          <w:rFonts w:asciiTheme="minorHAnsi" w:hAnsiTheme="minorHAnsi" w:cs="AdvOT863180fb"/>
          <w:szCs w:val="22"/>
        </w:rPr>
        <w:t>,</w:t>
      </w:r>
      <w:r w:rsidRPr="00193674">
        <w:rPr>
          <w:rFonts w:asciiTheme="minorHAnsi" w:hAnsiTheme="minorHAnsi" w:cs="AdvOT863180fb"/>
          <w:szCs w:val="22"/>
        </w:rPr>
        <w:t xml:space="preserve"> M</w:t>
      </w:r>
      <w:r w:rsidR="003E6245" w:rsidRPr="00193674">
        <w:rPr>
          <w:rFonts w:asciiTheme="minorHAnsi" w:hAnsiTheme="minorHAnsi" w:cs="AdvOT863180fb"/>
          <w:szCs w:val="22"/>
        </w:rPr>
        <w:t>.</w:t>
      </w:r>
      <w:r w:rsidRPr="00193674">
        <w:rPr>
          <w:rFonts w:asciiTheme="minorHAnsi" w:hAnsiTheme="minorHAnsi" w:cs="AdvOT863180fb"/>
          <w:szCs w:val="22"/>
        </w:rPr>
        <w:t>H</w:t>
      </w:r>
      <w:r w:rsidR="003E6245" w:rsidRPr="00193674">
        <w:rPr>
          <w:rFonts w:asciiTheme="minorHAnsi" w:hAnsiTheme="minorHAnsi" w:cs="AdvOT863180fb"/>
          <w:szCs w:val="22"/>
        </w:rPr>
        <w:t>.</w:t>
      </w:r>
      <w:r w:rsidRPr="00193674">
        <w:rPr>
          <w:rFonts w:asciiTheme="minorHAnsi" w:hAnsiTheme="minorHAnsi" w:cs="AdvOT863180fb"/>
          <w:szCs w:val="22"/>
        </w:rPr>
        <w:t>, Singer</w:t>
      </w:r>
      <w:r w:rsidR="003E6245" w:rsidRPr="00193674">
        <w:rPr>
          <w:rFonts w:asciiTheme="minorHAnsi" w:hAnsiTheme="minorHAnsi" w:cs="AdvOT863180fb"/>
          <w:szCs w:val="22"/>
        </w:rPr>
        <w:t>,</w:t>
      </w:r>
      <w:r w:rsidRPr="00193674">
        <w:rPr>
          <w:rFonts w:asciiTheme="minorHAnsi" w:hAnsiTheme="minorHAnsi" w:cs="AdvOT863180fb"/>
          <w:szCs w:val="22"/>
        </w:rPr>
        <w:t xml:space="preserve"> B</w:t>
      </w:r>
      <w:r w:rsidR="003E6245" w:rsidRPr="00193674">
        <w:rPr>
          <w:rFonts w:asciiTheme="minorHAnsi" w:hAnsiTheme="minorHAnsi" w:cs="AdvOT863180fb"/>
          <w:szCs w:val="22"/>
        </w:rPr>
        <w:t>.</w:t>
      </w:r>
      <w:r w:rsidRPr="00193674">
        <w:rPr>
          <w:rFonts w:asciiTheme="minorHAnsi" w:hAnsiTheme="minorHAnsi" w:cs="AdvOT863180fb"/>
          <w:szCs w:val="22"/>
        </w:rPr>
        <w:t>C</w:t>
      </w:r>
      <w:r w:rsidR="003E6245" w:rsidRPr="00193674">
        <w:rPr>
          <w:rFonts w:asciiTheme="minorHAnsi" w:hAnsiTheme="minorHAnsi" w:cs="AdvOT863180fb"/>
          <w:szCs w:val="22"/>
        </w:rPr>
        <w:t>.,</w:t>
      </w:r>
      <w:r w:rsidRPr="00193674">
        <w:rPr>
          <w:rFonts w:asciiTheme="minorHAnsi" w:hAnsiTheme="minorHAnsi" w:cs="AdvOT863180fb"/>
          <w:szCs w:val="22"/>
        </w:rPr>
        <w:t xml:space="preserve"> 2011. Hazard assessment of chemical air contaminants measured in residences. Indoor Air, 21, 92-109. </w:t>
      </w:r>
    </w:p>
    <w:p w14:paraId="21566909" w14:textId="77777777" w:rsidR="000205A4" w:rsidRPr="00193674" w:rsidRDefault="000205A4" w:rsidP="008C156D">
      <w:pPr>
        <w:jc w:val="both"/>
        <w:rPr>
          <w:rFonts w:asciiTheme="minorHAnsi" w:hAnsiTheme="minorHAnsi"/>
          <w:szCs w:val="22"/>
        </w:rPr>
      </w:pPr>
    </w:p>
    <w:p w14:paraId="0B083BA4" w14:textId="51343272" w:rsidR="0035278A" w:rsidRPr="00193674" w:rsidRDefault="00681BE6" w:rsidP="00BA29F9">
      <w:pPr>
        <w:jc w:val="both"/>
        <w:rPr>
          <w:rFonts w:asciiTheme="minorHAnsi" w:hAnsiTheme="minorHAnsi"/>
          <w:snapToGrid w:val="0"/>
          <w:szCs w:val="22"/>
          <w:lang w:eastAsia="en-US"/>
        </w:rPr>
      </w:pPr>
      <w:r w:rsidRPr="00193674">
        <w:rPr>
          <w:rFonts w:asciiTheme="minorHAnsi" w:hAnsiTheme="minorHAnsi"/>
          <w:snapToGrid w:val="0"/>
          <w:szCs w:val="22"/>
          <w:lang w:eastAsia="en-US"/>
        </w:rPr>
        <w:t>Logue</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J</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M</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Klepels</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N</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E</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Lobsheid</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A</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B</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Singer</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B</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C</w:t>
      </w:r>
      <w:r w:rsidR="003E6245"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2014. Pollutant exposures from natural gas cooking burners: a simulation-based assessment for Southern California. Environmental Health Perspectives, 122, 43-50. </w:t>
      </w:r>
    </w:p>
    <w:p w14:paraId="3C06C67B" w14:textId="77777777" w:rsidR="003E0221" w:rsidRPr="00193674" w:rsidRDefault="003E0221" w:rsidP="00BA29F9">
      <w:pPr>
        <w:jc w:val="both"/>
        <w:rPr>
          <w:rFonts w:asciiTheme="minorHAnsi" w:hAnsiTheme="minorHAnsi"/>
          <w:snapToGrid w:val="0"/>
          <w:szCs w:val="22"/>
          <w:lang w:eastAsia="en-US"/>
        </w:rPr>
      </w:pPr>
    </w:p>
    <w:p w14:paraId="6AF92849" w14:textId="1DA98061" w:rsidR="003E0221" w:rsidRPr="00193674" w:rsidRDefault="003E0221" w:rsidP="00BA29F9">
      <w:pPr>
        <w:jc w:val="both"/>
        <w:rPr>
          <w:rFonts w:asciiTheme="minorHAnsi" w:hAnsiTheme="minorHAnsi"/>
          <w:snapToGrid w:val="0"/>
          <w:szCs w:val="22"/>
          <w:lang w:eastAsia="en-US"/>
        </w:rPr>
      </w:pPr>
      <w:r w:rsidRPr="00193674">
        <w:rPr>
          <w:rFonts w:asciiTheme="minorHAnsi" w:hAnsiTheme="minorHAnsi"/>
          <w:snapToGrid w:val="0"/>
          <w:szCs w:val="22"/>
          <w:lang w:eastAsia="en-US"/>
        </w:rPr>
        <w:t>McCreanor</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J</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Cullinan</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P</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Nieuwenhuijsen</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M</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J</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Stewart-Evans</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J</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Mallarou</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E</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Jarup</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L</w:t>
      </w:r>
      <w:r w:rsidR="00EC153C" w:rsidRPr="00193674">
        <w:rPr>
          <w:rFonts w:asciiTheme="minorHAnsi" w:hAnsiTheme="minorHAnsi"/>
          <w:snapToGrid w:val="0"/>
          <w:szCs w:val="22"/>
          <w:lang w:eastAsia="en-US"/>
        </w:rPr>
        <w:t>.</w:t>
      </w:r>
      <w:r w:rsidR="0057276D"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w:t>
      </w:r>
      <w:r w:rsidR="0057276D" w:rsidRPr="00193674">
        <w:rPr>
          <w:rFonts w:asciiTheme="minorHAnsi" w:hAnsiTheme="minorHAnsi" w:cs="Arial"/>
          <w:szCs w:val="22"/>
          <w:shd w:val="clear" w:color="auto" w:fill="FFFFFF"/>
        </w:rPr>
        <w:t>Harrington, R.,</w:t>
      </w:r>
      <w:r w:rsidR="0057276D" w:rsidRPr="00193674">
        <w:rPr>
          <w:rStyle w:val="apple-converted-space"/>
          <w:rFonts w:asciiTheme="minorHAnsi" w:hAnsiTheme="minorHAnsi" w:cs="Arial"/>
          <w:szCs w:val="22"/>
          <w:shd w:val="clear" w:color="auto" w:fill="FFFFFF"/>
        </w:rPr>
        <w:t> </w:t>
      </w:r>
      <w:r w:rsidR="0057276D" w:rsidRPr="00193674">
        <w:rPr>
          <w:rFonts w:asciiTheme="minorHAnsi" w:hAnsiTheme="minorHAnsi" w:cs="Arial"/>
          <w:szCs w:val="22"/>
          <w:shd w:val="clear" w:color="auto" w:fill="FFFFFF"/>
        </w:rPr>
        <w:t>Svartengren, M.,</w:t>
      </w:r>
      <w:r w:rsidR="0057276D" w:rsidRPr="00193674">
        <w:rPr>
          <w:rStyle w:val="apple-converted-space"/>
          <w:rFonts w:asciiTheme="minorHAnsi" w:hAnsiTheme="minorHAnsi" w:cs="Arial"/>
          <w:szCs w:val="22"/>
          <w:shd w:val="clear" w:color="auto" w:fill="FFFFFF"/>
        </w:rPr>
        <w:t> </w:t>
      </w:r>
      <w:r w:rsidR="0057276D" w:rsidRPr="00193674">
        <w:rPr>
          <w:rFonts w:asciiTheme="minorHAnsi" w:hAnsiTheme="minorHAnsi" w:cs="Arial"/>
          <w:szCs w:val="22"/>
          <w:shd w:val="clear" w:color="auto" w:fill="FFFFFF"/>
        </w:rPr>
        <w:t>Han, I.K.,</w:t>
      </w:r>
      <w:r w:rsidR="0057276D" w:rsidRPr="00193674">
        <w:rPr>
          <w:rStyle w:val="apple-converted-space"/>
          <w:rFonts w:asciiTheme="minorHAnsi" w:hAnsiTheme="minorHAnsi" w:cs="Arial"/>
          <w:szCs w:val="22"/>
          <w:shd w:val="clear" w:color="auto" w:fill="FFFFFF"/>
        </w:rPr>
        <w:t> </w:t>
      </w:r>
      <w:r w:rsidR="0057276D" w:rsidRPr="00193674">
        <w:rPr>
          <w:rFonts w:asciiTheme="minorHAnsi" w:hAnsiTheme="minorHAnsi" w:cs="Arial"/>
          <w:szCs w:val="22"/>
          <w:shd w:val="clear" w:color="auto" w:fill="FFFFFF"/>
        </w:rPr>
        <w:t>Ohman-Strickland, P.,</w:t>
      </w:r>
      <w:r w:rsidR="0057276D" w:rsidRPr="00193674">
        <w:rPr>
          <w:rStyle w:val="apple-converted-space"/>
          <w:rFonts w:asciiTheme="minorHAnsi" w:hAnsiTheme="minorHAnsi" w:cs="Arial"/>
          <w:szCs w:val="22"/>
          <w:shd w:val="clear" w:color="auto" w:fill="FFFFFF"/>
        </w:rPr>
        <w:t> </w:t>
      </w:r>
      <w:r w:rsidR="0057276D" w:rsidRPr="00193674">
        <w:rPr>
          <w:rFonts w:asciiTheme="minorHAnsi" w:hAnsiTheme="minorHAnsi" w:cs="Arial"/>
          <w:szCs w:val="22"/>
          <w:shd w:val="clear" w:color="auto" w:fill="FFFFFF"/>
        </w:rPr>
        <w:t>Chung, K.F.,</w:t>
      </w:r>
      <w:r w:rsidR="0057276D" w:rsidRPr="00193674">
        <w:rPr>
          <w:rStyle w:val="apple-converted-space"/>
          <w:rFonts w:asciiTheme="minorHAnsi" w:hAnsiTheme="minorHAnsi" w:cs="Arial"/>
          <w:szCs w:val="22"/>
          <w:shd w:val="clear" w:color="auto" w:fill="FFFFFF"/>
        </w:rPr>
        <w:t> </w:t>
      </w:r>
      <w:r w:rsidR="0057276D" w:rsidRPr="00193674">
        <w:rPr>
          <w:rFonts w:asciiTheme="minorHAnsi" w:hAnsiTheme="minorHAnsi" w:cs="Arial"/>
          <w:szCs w:val="22"/>
          <w:shd w:val="clear" w:color="auto" w:fill="FFFFFF"/>
        </w:rPr>
        <w:t>Zhang, J.</w:t>
      </w:r>
      <w:r w:rsidR="00EC153C" w:rsidRPr="00193674">
        <w:rPr>
          <w:rFonts w:asciiTheme="minorHAnsi" w:hAnsiTheme="minorHAnsi"/>
          <w:snapToGrid w:val="0"/>
          <w:szCs w:val="22"/>
          <w:lang w:eastAsia="en-US"/>
        </w:rPr>
        <w:t>.,</w:t>
      </w:r>
      <w:r w:rsidRPr="00193674">
        <w:rPr>
          <w:rFonts w:asciiTheme="minorHAnsi" w:hAnsiTheme="minorHAnsi"/>
          <w:snapToGrid w:val="0"/>
          <w:szCs w:val="22"/>
          <w:lang w:eastAsia="en-US"/>
        </w:rPr>
        <w:t xml:space="preserve"> 2007. Respiratory effects of exposure to diesel traffic in persons with asthma. New England Journal of Medicine, 357, 2348-2358.  </w:t>
      </w:r>
    </w:p>
    <w:p w14:paraId="738B5CEC" w14:textId="77777777" w:rsidR="00FD75A2" w:rsidRPr="00193674" w:rsidRDefault="00FD75A2" w:rsidP="00BA29F9">
      <w:pPr>
        <w:jc w:val="both"/>
        <w:rPr>
          <w:rFonts w:asciiTheme="minorHAnsi" w:hAnsiTheme="minorHAnsi"/>
          <w:snapToGrid w:val="0"/>
          <w:szCs w:val="22"/>
          <w:lang w:eastAsia="en-US"/>
        </w:rPr>
      </w:pPr>
    </w:p>
    <w:p w14:paraId="4478B2DC" w14:textId="77777777" w:rsidR="004A02C9" w:rsidRPr="00193674" w:rsidRDefault="00FD75A2" w:rsidP="00FE4A76">
      <w:pPr>
        <w:autoSpaceDE w:val="0"/>
        <w:autoSpaceDN w:val="0"/>
        <w:adjustRightInd w:val="0"/>
        <w:jc w:val="both"/>
        <w:rPr>
          <w:rFonts w:asciiTheme="minorHAnsi" w:hAnsiTheme="minorHAnsi" w:cs="Calibri"/>
          <w:szCs w:val="22"/>
        </w:rPr>
      </w:pPr>
      <w:r w:rsidRPr="00193674">
        <w:rPr>
          <w:rFonts w:asciiTheme="minorHAnsi" w:hAnsiTheme="minorHAnsi" w:cs="Calibri"/>
          <w:szCs w:val="22"/>
        </w:rPr>
        <w:t xml:space="preserve">Meng, Q.Y., Svendsgaard, D., Kotchmar, D.J., Pinto, J.P., 2012. Associations between personal exposures and ambient concentrations of nitrogen dioxide: a quantitative research synthesis. </w:t>
      </w:r>
      <w:r w:rsidRPr="00193674">
        <w:rPr>
          <w:rFonts w:asciiTheme="minorHAnsi" w:hAnsiTheme="minorHAnsi" w:cs="Calibri-Italic"/>
          <w:iCs/>
          <w:szCs w:val="22"/>
        </w:rPr>
        <w:t>Atmospheric Environment</w:t>
      </w:r>
      <w:r w:rsidRPr="00193674">
        <w:rPr>
          <w:rFonts w:asciiTheme="minorHAnsi" w:hAnsiTheme="minorHAnsi" w:cs="Calibri"/>
          <w:szCs w:val="22"/>
        </w:rPr>
        <w:t xml:space="preserve"> 57, 322–329.</w:t>
      </w:r>
    </w:p>
    <w:p w14:paraId="657275C4" w14:textId="77777777" w:rsidR="008C156D" w:rsidRPr="00193674" w:rsidRDefault="008C156D" w:rsidP="004A02C9">
      <w:pPr>
        <w:autoSpaceDE w:val="0"/>
        <w:autoSpaceDN w:val="0"/>
        <w:adjustRightInd w:val="0"/>
        <w:rPr>
          <w:rFonts w:asciiTheme="minorHAnsi" w:hAnsiTheme="minorHAnsi" w:cs="Calibri"/>
          <w:szCs w:val="22"/>
        </w:rPr>
      </w:pPr>
    </w:p>
    <w:p w14:paraId="731CC3DB" w14:textId="0898FE00" w:rsidR="008C156D" w:rsidRPr="00193674" w:rsidRDefault="008C156D" w:rsidP="008C156D">
      <w:pPr>
        <w:autoSpaceDE w:val="0"/>
        <w:autoSpaceDN w:val="0"/>
        <w:adjustRightInd w:val="0"/>
        <w:jc w:val="both"/>
        <w:rPr>
          <w:rFonts w:asciiTheme="minorHAnsi" w:hAnsiTheme="minorHAnsi" w:cs="Calibri"/>
          <w:szCs w:val="22"/>
        </w:rPr>
      </w:pPr>
      <w:r w:rsidRPr="00193674">
        <w:rPr>
          <w:rFonts w:asciiTheme="minorHAnsi" w:hAnsiTheme="minorHAnsi" w:cs="Calibri"/>
          <w:szCs w:val="22"/>
        </w:rPr>
        <w:t>Mills</w:t>
      </w:r>
      <w:r w:rsidR="00EC153C" w:rsidRPr="00193674">
        <w:rPr>
          <w:rFonts w:asciiTheme="minorHAnsi" w:hAnsiTheme="minorHAnsi" w:cs="Calibri"/>
          <w:szCs w:val="22"/>
        </w:rPr>
        <w:t>,</w:t>
      </w:r>
      <w:r w:rsidRPr="00193674">
        <w:rPr>
          <w:rFonts w:asciiTheme="minorHAnsi" w:hAnsiTheme="minorHAnsi" w:cs="Calibri"/>
          <w:szCs w:val="22"/>
        </w:rPr>
        <w:t xml:space="preserve"> I</w:t>
      </w:r>
      <w:r w:rsidR="00EC153C" w:rsidRPr="00193674">
        <w:rPr>
          <w:rFonts w:asciiTheme="minorHAnsi" w:hAnsiTheme="minorHAnsi" w:cs="Calibri"/>
          <w:szCs w:val="22"/>
        </w:rPr>
        <w:t>.</w:t>
      </w:r>
      <w:r w:rsidRPr="00193674">
        <w:rPr>
          <w:rFonts w:asciiTheme="minorHAnsi" w:hAnsiTheme="minorHAnsi" w:cs="Calibri"/>
          <w:szCs w:val="22"/>
        </w:rPr>
        <w:t>C</w:t>
      </w:r>
      <w:r w:rsidR="00EC153C" w:rsidRPr="00193674">
        <w:rPr>
          <w:rFonts w:asciiTheme="minorHAnsi" w:hAnsiTheme="minorHAnsi" w:cs="Calibri"/>
          <w:szCs w:val="22"/>
        </w:rPr>
        <w:t>.</w:t>
      </w:r>
      <w:r w:rsidRPr="00193674">
        <w:rPr>
          <w:rFonts w:asciiTheme="minorHAnsi" w:hAnsiTheme="minorHAnsi" w:cs="Calibri"/>
          <w:szCs w:val="22"/>
        </w:rPr>
        <w:t>, Atkinson</w:t>
      </w:r>
      <w:r w:rsidR="00EC153C" w:rsidRPr="00193674">
        <w:rPr>
          <w:rFonts w:asciiTheme="minorHAnsi" w:hAnsiTheme="minorHAnsi" w:cs="Calibri"/>
          <w:szCs w:val="22"/>
        </w:rPr>
        <w:t>,</w:t>
      </w:r>
      <w:r w:rsidRPr="00193674">
        <w:rPr>
          <w:rFonts w:asciiTheme="minorHAnsi" w:hAnsiTheme="minorHAnsi" w:cs="Calibri"/>
          <w:szCs w:val="22"/>
        </w:rPr>
        <w:t xml:space="preserve"> R</w:t>
      </w:r>
      <w:r w:rsidR="00EC153C" w:rsidRPr="00193674">
        <w:rPr>
          <w:rFonts w:asciiTheme="minorHAnsi" w:hAnsiTheme="minorHAnsi" w:cs="Calibri"/>
          <w:szCs w:val="22"/>
        </w:rPr>
        <w:t>.</w:t>
      </w:r>
      <w:r w:rsidRPr="00193674">
        <w:rPr>
          <w:rFonts w:asciiTheme="minorHAnsi" w:hAnsiTheme="minorHAnsi" w:cs="Calibri"/>
          <w:szCs w:val="22"/>
        </w:rPr>
        <w:t>W</w:t>
      </w:r>
      <w:r w:rsidR="00EC153C" w:rsidRPr="00193674">
        <w:rPr>
          <w:rFonts w:asciiTheme="minorHAnsi" w:hAnsiTheme="minorHAnsi" w:cs="Calibri"/>
          <w:szCs w:val="22"/>
        </w:rPr>
        <w:t>.</w:t>
      </w:r>
      <w:r w:rsidRPr="00193674">
        <w:rPr>
          <w:rFonts w:asciiTheme="minorHAnsi" w:hAnsiTheme="minorHAnsi" w:cs="Calibri"/>
          <w:szCs w:val="22"/>
        </w:rPr>
        <w:t>, Kang</w:t>
      </w:r>
      <w:r w:rsidR="00EC153C" w:rsidRPr="00193674">
        <w:rPr>
          <w:rFonts w:asciiTheme="minorHAnsi" w:hAnsiTheme="minorHAnsi" w:cs="Calibri"/>
          <w:szCs w:val="22"/>
        </w:rPr>
        <w:t>,</w:t>
      </w:r>
      <w:r w:rsidRPr="00193674">
        <w:rPr>
          <w:rFonts w:asciiTheme="minorHAnsi" w:hAnsiTheme="minorHAnsi" w:cs="Calibri"/>
          <w:szCs w:val="22"/>
        </w:rPr>
        <w:t xml:space="preserve"> S</w:t>
      </w:r>
      <w:r w:rsidR="00EC153C" w:rsidRPr="00193674">
        <w:rPr>
          <w:rFonts w:asciiTheme="minorHAnsi" w:hAnsiTheme="minorHAnsi" w:cs="Calibri"/>
          <w:szCs w:val="22"/>
        </w:rPr>
        <w:t>.</w:t>
      </w:r>
      <w:r w:rsidRPr="00193674">
        <w:rPr>
          <w:rFonts w:asciiTheme="minorHAnsi" w:hAnsiTheme="minorHAnsi" w:cs="Calibri"/>
          <w:szCs w:val="22"/>
        </w:rPr>
        <w:t>, Walton</w:t>
      </w:r>
      <w:r w:rsidR="00EC153C" w:rsidRPr="00193674">
        <w:rPr>
          <w:rFonts w:asciiTheme="minorHAnsi" w:hAnsiTheme="minorHAnsi" w:cs="Calibri"/>
          <w:szCs w:val="22"/>
        </w:rPr>
        <w:t>,</w:t>
      </w:r>
      <w:r w:rsidRPr="00193674">
        <w:rPr>
          <w:rFonts w:asciiTheme="minorHAnsi" w:hAnsiTheme="minorHAnsi" w:cs="Calibri"/>
          <w:szCs w:val="22"/>
        </w:rPr>
        <w:t xml:space="preserve"> H</w:t>
      </w:r>
      <w:r w:rsidR="00EC153C" w:rsidRPr="00193674">
        <w:rPr>
          <w:rFonts w:asciiTheme="minorHAnsi" w:hAnsiTheme="minorHAnsi" w:cs="Calibri"/>
          <w:szCs w:val="22"/>
        </w:rPr>
        <w:t>.</w:t>
      </w:r>
      <w:r w:rsidRPr="00193674">
        <w:rPr>
          <w:rFonts w:asciiTheme="minorHAnsi" w:hAnsiTheme="minorHAnsi" w:cs="Calibri"/>
          <w:szCs w:val="22"/>
        </w:rPr>
        <w:t>, Anderson</w:t>
      </w:r>
      <w:r w:rsidR="00EC153C" w:rsidRPr="00193674">
        <w:rPr>
          <w:rFonts w:asciiTheme="minorHAnsi" w:hAnsiTheme="minorHAnsi" w:cs="Calibri"/>
          <w:szCs w:val="22"/>
        </w:rPr>
        <w:t>,</w:t>
      </w:r>
      <w:r w:rsidRPr="00193674">
        <w:rPr>
          <w:rFonts w:asciiTheme="minorHAnsi" w:hAnsiTheme="minorHAnsi" w:cs="Calibri"/>
          <w:szCs w:val="22"/>
        </w:rPr>
        <w:t xml:space="preserve"> H</w:t>
      </w:r>
      <w:r w:rsidR="00EC153C" w:rsidRPr="00193674">
        <w:rPr>
          <w:rFonts w:asciiTheme="minorHAnsi" w:hAnsiTheme="minorHAnsi" w:cs="Calibri"/>
          <w:szCs w:val="22"/>
        </w:rPr>
        <w:t>.</w:t>
      </w:r>
      <w:r w:rsidRPr="00193674">
        <w:rPr>
          <w:rFonts w:asciiTheme="minorHAnsi" w:hAnsiTheme="minorHAnsi" w:cs="Calibri"/>
          <w:szCs w:val="22"/>
        </w:rPr>
        <w:t>R</w:t>
      </w:r>
      <w:r w:rsidR="00EC153C" w:rsidRPr="00193674">
        <w:rPr>
          <w:rFonts w:asciiTheme="minorHAnsi" w:hAnsiTheme="minorHAnsi" w:cs="Calibri"/>
          <w:szCs w:val="22"/>
        </w:rPr>
        <w:t xml:space="preserve">., </w:t>
      </w:r>
      <w:r w:rsidRPr="00193674">
        <w:rPr>
          <w:rFonts w:asciiTheme="minorHAnsi" w:hAnsiTheme="minorHAnsi" w:cs="Calibri"/>
          <w:szCs w:val="22"/>
        </w:rPr>
        <w:t xml:space="preserve">2015. Quantitative systematic review of the associations between short-term exposure to nitrogen dioxide and mortality and hospital admissions. </w:t>
      </w:r>
      <w:r w:rsidR="00E952F1" w:rsidRPr="00193674">
        <w:rPr>
          <w:rFonts w:asciiTheme="minorHAnsi" w:eastAsiaTheme="minorHAnsi" w:hAnsiTheme="minorHAnsi" w:cs="AdvOTef4c711a.I"/>
          <w:szCs w:val="22"/>
          <w:lang w:eastAsia="en-US"/>
        </w:rPr>
        <w:t>BMJ Open</w:t>
      </w:r>
      <w:r w:rsidR="00E952F1" w:rsidRPr="00193674">
        <w:rPr>
          <w:rFonts w:asciiTheme="minorHAnsi" w:eastAsiaTheme="minorHAnsi" w:hAnsiTheme="minorHAnsi" w:cs="AdvOT30a32c65"/>
          <w:szCs w:val="22"/>
          <w:lang w:eastAsia="en-US"/>
        </w:rPr>
        <w:t xml:space="preserve"> 2015; </w:t>
      </w:r>
      <w:r w:rsidR="00E952F1" w:rsidRPr="00193674">
        <w:rPr>
          <w:rFonts w:asciiTheme="minorHAnsi" w:eastAsiaTheme="minorHAnsi" w:hAnsiTheme="minorHAnsi" w:cs="AdvOT9bd2e232.B"/>
          <w:szCs w:val="22"/>
          <w:lang w:eastAsia="en-US"/>
        </w:rPr>
        <w:t>5</w:t>
      </w:r>
      <w:r w:rsidR="00E952F1" w:rsidRPr="00193674">
        <w:rPr>
          <w:rFonts w:asciiTheme="minorHAnsi" w:eastAsiaTheme="minorHAnsi" w:hAnsiTheme="minorHAnsi" w:cs="AdvOT30a32c65"/>
          <w:szCs w:val="22"/>
          <w:lang w:eastAsia="en-US"/>
        </w:rPr>
        <w:t xml:space="preserve">:e006946. </w:t>
      </w:r>
    </w:p>
    <w:p w14:paraId="319298BA" w14:textId="77777777" w:rsidR="004A02C9" w:rsidRPr="00193674" w:rsidRDefault="004A02C9" w:rsidP="008C156D">
      <w:pPr>
        <w:autoSpaceDE w:val="0"/>
        <w:autoSpaceDN w:val="0"/>
        <w:adjustRightInd w:val="0"/>
        <w:jc w:val="both"/>
        <w:rPr>
          <w:rFonts w:asciiTheme="minorHAnsi" w:hAnsiTheme="minorHAnsi" w:cs="Calibri"/>
          <w:szCs w:val="22"/>
        </w:rPr>
      </w:pPr>
    </w:p>
    <w:p w14:paraId="5FF9EE43" w14:textId="08386062" w:rsidR="004A02C9" w:rsidRPr="00193674" w:rsidRDefault="004A02C9" w:rsidP="00FE4A76">
      <w:pPr>
        <w:autoSpaceDE w:val="0"/>
        <w:autoSpaceDN w:val="0"/>
        <w:adjustRightInd w:val="0"/>
        <w:jc w:val="both"/>
        <w:rPr>
          <w:rFonts w:asciiTheme="minorHAnsi" w:hAnsiTheme="minorHAnsi" w:cs="Calibri"/>
          <w:szCs w:val="22"/>
        </w:rPr>
      </w:pPr>
      <w:r w:rsidRPr="00193674">
        <w:rPr>
          <w:rFonts w:asciiTheme="minorHAnsi" w:hAnsiTheme="minorHAnsi" w:cs="AdvTT5235d5a9"/>
          <w:szCs w:val="22"/>
        </w:rPr>
        <w:t xml:space="preserve">Milner J., Vardoulakis S., Chalabi Z., Wilkinson P., 2011. Modelling inhalation exposure to combustion-related air pollutants in residential buildings: </w:t>
      </w:r>
      <w:r w:rsidR="0027130D" w:rsidRPr="00193674">
        <w:rPr>
          <w:rFonts w:asciiTheme="minorHAnsi" w:hAnsiTheme="minorHAnsi" w:cs="AdvTT5235d5a9"/>
          <w:szCs w:val="22"/>
        </w:rPr>
        <w:t>a</w:t>
      </w:r>
      <w:r w:rsidRPr="00193674">
        <w:rPr>
          <w:rFonts w:asciiTheme="minorHAnsi" w:hAnsiTheme="minorHAnsi" w:cs="AdvTT5235d5a9"/>
          <w:szCs w:val="22"/>
        </w:rPr>
        <w:t>pplication to health impact assessment. Environment International 37: 268</w:t>
      </w:r>
      <w:r w:rsidRPr="00193674">
        <w:rPr>
          <w:rFonts w:asciiTheme="minorHAnsi" w:hAnsiTheme="minorHAnsi" w:cs="AdvTT5235d5a9+20"/>
          <w:szCs w:val="22"/>
        </w:rPr>
        <w:t>–</w:t>
      </w:r>
      <w:r w:rsidRPr="00193674">
        <w:rPr>
          <w:rFonts w:asciiTheme="minorHAnsi" w:hAnsiTheme="minorHAnsi" w:cs="AdvTT5235d5a9"/>
          <w:szCs w:val="22"/>
        </w:rPr>
        <w:t>279.</w:t>
      </w:r>
    </w:p>
    <w:p w14:paraId="12366040" w14:textId="77777777" w:rsidR="004A02C9" w:rsidRPr="00193674" w:rsidRDefault="004A02C9" w:rsidP="00FE4A76">
      <w:pPr>
        <w:autoSpaceDE w:val="0"/>
        <w:autoSpaceDN w:val="0"/>
        <w:adjustRightInd w:val="0"/>
        <w:jc w:val="both"/>
        <w:rPr>
          <w:rFonts w:asciiTheme="minorHAnsi" w:hAnsiTheme="minorHAnsi" w:cs="Calibri"/>
          <w:szCs w:val="22"/>
        </w:rPr>
      </w:pPr>
    </w:p>
    <w:p w14:paraId="4B173DE8" w14:textId="125EB697" w:rsidR="00D22AAB" w:rsidRPr="00193674" w:rsidRDefault="00B0772D" w:rsidP="00F634E9">
      <w:pPr>
        <w:autoSpaceDE w:val="0"/>
        <w:autoSpaceDN w:val="0"/>
        <w:adjustRightInd w:val="0"/>
        <w:jc w:val="both"/>
        <w:rPr>
          <w:rFonts w:asciiTheme="minorHAnsi" w:hAnsiTheme="minorHAnsi"/>
          <w:snapToGrid w:val="0"/>
          <w:szCs w:val="22"/>
        </w:rPr>
      </w:pPr>
      <w:r w:rsidRPr="00193674">
        <w:rPr>
          <w:rFonts w:asciiTheme="minorHAnsi" w:hAnsiTheme="minorHAnsi"/>
          <w:snapToGrid w:val="0"/>
          <w:szCs w:val="22"/>
        </w:rPr>
        <w:t>Molter</w:t>
      </w:r>
      <w:r w:rsidR="00EC153C" w:rsidRPr="00193674">
        <w:rPr>
          <w:rFonts w:asciiTheme="minorHAnsi" w:hAnsiTheme="minorHAnsi"/>
          <w:snapToGrid w:val="0"/>
          <w:szCs w:val="22"/>
        </w:rPr>
        <w:t>,</w:t>
      </w:r>
      <w:r w:rsidRPr="00193674">
        <w:rPr>
          <w:rFonts w:asciiTheme="minorHAnsi" w:hAnsiTheme="minorHAnsi"/>
          <w:snapToGrid w:val="0"/>
          <w:szCs w:val="22"/>
        </w:rPr>
        <w:t xml:space="preserve"> A</w:t>
      </w:r>
      <w:r w:rsidR="00EC153C" w:rsidRPr="00193674">
        <w:rPr>
          <w:rFonts w:asciiTheme="minorHAnsi" w:hAnsiTheme="minorHAnsi"/>
          <w:snapToGrid w:val="0"/>
          <w:szCs w:val="22"/>
        </w:rPr>
        <w:t>.</w:t>
      </w:r>
      <w:r w:rsidR="0055327A" w:rsidRPr="00193674">
        <w:rPr>
          <w:rFonts w:asciiTheme="minorHAnsi" w:hAnsiTheme="minorHAnsi"/>
          <w:snapToGrid w:val="0"/>
          <w:szCs w:val="22"/>
        </w:rPr>
        <w:t>, Lindley</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S</w:t>
      </w:r>
      <w:r w:rsidR="00EC153C" w:rsidRPr="00193674">
        <w:rPr>
          <w:rFonts w:asciiTheme="minorHAnsi" w:hAnsiTheme="minorHAnsi"/>
          <w:snapToGrid w:val="0"/>
          <w:szCs w:val="22"/>
        </w:rPr>
        <w:t>.</w:t>
      </w:r>
      <w:r w:rsidR="0055327A" w:rsidRPr="00193674">
        <w:rPr>
          <w:rFonts w:asciiTheme="minorHAnsi" w:hAnsiTheme="minorHAnsi"/>
          <w:snapToGrid w:val="0"/>
          <w:szCs w:val="22"/>
        </w:rPr>
        <w:t>, de Vocht</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F</w:t>
      </w:r>
      <w:r w:rsidR="00EC153C" w:rsidRPr="00193674">
        <w:rPr>
          <w:rFonts w:asciiTheme="minorHAnsi" w:hAnsiTheme="minorHAnsi"/>
          <w:snapToGrid w:val="0"/>
          <w:szCs w:val="22"/>
        </w:rPr>
        <w:t>.</w:t>
      </w:r>
      <w:r w:rsidR="0055327A" w:rsidRPr="00193674">
        <w:rPr>
          <w:rFonts w:asciiTheme="minorHAnsi" w:hAnsiTheme="minorHAnsi"/>
          <w:snapToGrid w:val="0"/>
          <w:szCs w:val="22"/>
        </w:rPr>
        <w:t>, Agius</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R.</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Kerry</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G</w:t>
      </w:r>
      <w:r w:rsidR="00EC153C" w:rsidRPr="00193674">
        <w:rPr>
          <w:rFonts w:asciiTheme="minorHAnsi" w:hAnsiTheme="minorHAnsi"/>
          <w:snapToGrid w:val="0"/>
          <w:szCs w:val="22"/>
        </w:rPr>
        <w:t>.</w:t>
      </w:r>
      <w:r w:rsidR="0055327A" w:rsidRPr="00193674">
        <w:rPr>
          <w:rFonts w:asciiTheme="minorHAnsi" w:hAnsiTheme="minorHAnsi"/>
          <w:snapToGrid w:val="0"/>
          <w:szCs w:val="22"/>
        </w:rPr>
        <w:t>, Johnson</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K</w:t>
      </w:r>
      <w:r w:rsidR="00EC153C" w:rsidRPr="00193674">
        <w:rPr>
          <w:rFonts w:asciiTheme="minorHAnsi" w:hAnsiTheme="minorHAnsi"/>
          <w:snapToGrid w:val="0"/>
          <w:szCs w:val="22"/>
        </w:rPr>
        <w:t>.</w:t>
      </w:r>
      <w:r w:rsidR="0055327A" w:rsidRPr="00193674">
        <w:rPr>
          <w:rFonts w:asciiTheme="minorHAnsi" w:hAnsiTheme="minorHAnsi"/>
          <w:snapToGrid w:val="0"/>
          <w:szCs w:val="22"/>
        </w:rPr>
        <w:t>, Ashmore</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M</w:t>
      </w:r>
      <w:r w:rsidR="00EC153C" w:rsidRPr="00193674">
        <w:rPr>
          <w:rFonts w:asciiTheme="minorHAnsi" w:hAnsiTheme="minorHAnsi"/>
          <w:snapToGrid w:val="0"/>
          <w:szCs w:val="22"/>
        </w:rPr>
        <w:t>.</w:t>
      </w:r>
      <w:r w:rsidR="0055327A" w:rsidRPr="00193674">
        <w:rPr>
          <w:rFonts w:asciiTheme="minorHAnsi" w:hAnsiTheme="minorHAnsi"/>
          <w:snapToGrid w:val="0"/>
          <w:szCs w:val="22"/>
        </w:rPr>
        <w:t>, Terry</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A</w:t>
      </w:r>
      <w:r w:rsidR="00EC153C" w:rsidRPr="00193674">
        <w:rPr>
          <w:rFonts w:asciiTheme="minorHAnsi" w:hAnsiTheme="minorHAnsi"/>
          <w:snapToGrid w:val="0"/>
          <w:szCs w:val="22"/>
        </w:rPr>
        <w:t>.</w:t>
      </w:r>
      <w:r w:rsidR="0055327A" w:rsidRPr="00193674">
        <w:rPr>
          <w:rFonts w:asciiTheme="minorHAnsi" w:hAnsiTheme="minorHAnsi"/>
          <w:snapToGrid w:val="0"/>
          <w:szCs w:val="22"/>
        </w:rPr>
        <w:t>, Dimitroulopoulou</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w:t>
      </w:r>
      <w:r w:rsidR="00EC153C" w:rsidRPr="00193674">
        <w:rPr>
          <w:rFonts w:asciiTheme="minorHAnsi" w:hAnsiTheme="minorHAnsi"/>
          <w:snapToGrid w:val="0"/>
          <w:szCs w:val="22"/>
        </w:rPr>
        <w:t>C.</w:t>
      </w:r>
      <w:r w:rsidR="0055327A" w:rsidRPr="00193674">
        <w:rPr>
          <w:rFonts w:asciiTheme="minorHAnsi" w:hAnsiTheme="minorHAnsi"/>
          <w:snapToGrid w:val="0"/>
          <w:szCs w:val="22"/>
        </w:rPr>
        <w:t>, Simpson</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A</w:t>
      </w:r>
      <w:r w:rsidR="00EC153C" w:rsidRPr="00193674">
        <w:rPr>
          <w:rFonts w:asciiTheme="minorHAnsi" w:hAnsiTheme="minorHAnsi"/>
          <w:snapToGrid w:val="0"/>
          <w:szCs w:val="22"/>
        </w:rPr>
        <w:t>.,</w:t>
      </w:r>
      <w:r w:rsidR="0055327A" w:rsidRPr="00193674">
        <w:rPr>
          <w:rFonts w:asciiTheme="minorHAnsi" w:hAnsiTheme="minorHAnsi"/>
          <w:snapToGrid w:val="0"/>
          <w:szCs w:val="22"/>
        </w:rPr>
        <w:t xml:space="preserve"> </w:t>
      </w:r>
      <w:r w:rsidR="00F5511B" w:rsidRPr="00193674">
        <w:rPr>
          <w:rFonts w:asciiTheme="minorHAnsi" w:hAnsiTheme="minorHAnsi"/>
          <w:snapToGrid w:val="0"/>
          <w:szCs w:val="22"/>
        </w:rPr>
        <w:t>20</w:t>
      </w:r>
      <w:r w:rsidR="00EC153C" w:rsidRPr="00193674">
        <w:rPr>
          <w:rFonts w:asciiTheme="minorHAnsi" w:hAnsiTheme="minorHAnsi"/>
          <w:snapToGrid w:val="0"/>
          <w:szCs w:val="22"/>
        </w:rPr>
        <w:t>1</w:t>
      </w:r>
      <w:r w:rsidR="00F5511B" w:rsidRPr="00193674">
        <w:rPr>
          <w:rFonts w:asciiTheme="minorHAnsi" w:hAnsiTheme="minorHAnsi"/>
          <w:snapToGrid w:val="0"/>
          <w:szCs w:val="22"/>
        </w:rPr>
        <w:t>3</w:t>
      </w:r>
      <w:r w:rsidR="0055327A" w:rsidRPr="00193674">
        <w:rPr>
          <w:rFonts w:asciiTheme="minorHAnsi" w:hAnsiTheme="minorHAnsi"/>
          <w:snapToGrid w:val="0"/>
          <w:szCs w:val="22"/>
        </w:rPr>
        <w:t xml:space="preserve">. Performance of a microenvironmental model for estimating </w:t>
      </w:r>
      <w:r w:rsidR="00F5511B" w:rsidRPr="00193674">
        <w:rPr>
          <w:rFonts w:asciiTheme="minorHAnsi" w:hAnsiTheme="minorHAnsi"/>
          <w:snapToGrid w:val="0"/>
          <w:szCs w:val="22"/>
        </w:rPr>
        <w:t xml:space="preserve">personal </w:t>
      </w:r>
      <w:r w:rsidR="0055327A" w:rsidRPr="00193674">
        <w:rPr>
          <w:rFonts w:asciiTheme="minorHAnsi" w:hAnsiTheme="minorHAnsi"/>
          <w:snapToGrid w:val="0"/>
          <w:szCs w:val="22"/>
        </w:rPr>
        <w:t>NO</w:t>
      </w:r>
      <w:r w:rsidR="0055327A" w:rsidRPr="00193674">
        <w:rPr>
          <w:rFonts w:asciiTheme="minorHAnsi" w:hAnsiTheme="minorHAnsi"/>
          <w:snapToGrid w:val="0"/>
          <w:szCs w:val="22"/>
          <w:vertAlign w:val="subscript"/>
        </w:rPr>
        <w:t>2</w:t>
      </w:r>
      <w:r w:rsidR="0055327A" w:rsidRPr="00193674">
        <w:rPr>
          <w:rFonts w:asciiTheme="minorHAnsi" w:hAnsiTheme="minorHAnsi"/>
          <w:snapToGrid w:val="0"/>
          <w:szCs w:val="22"/>
        </w:rPr>
        <w:t xml:space="preserve"> exposure in children.</w:t>
      </w:r>
      <w:r w:rsidR="00F5511B" w:rsidRPr="00193674">
        <w:rPr>
          <w:rFonts w:asciiTheme="minorHAnsi" w:hAnsiTheme="minorHAnsi"/>
          <w:snapToGrid w:val="0"/>
          <w:szCs w:val="22"/>
        </w:rPr>
        <w:t xml:space="preserve"> Atmospheric </w:t>
      </w:r>
      <w:r w:rsidR="00F634E9" w:rsidRPr="00193674">
        <w:rPr>
          <w:rFonts w:asciiTheme="minorHAnsi" w:hAnsiTheme="minorHAnsi"/>
          <w:snapToGrid w:val="0"/>
          <w:szCs w:val="22"/>
        </w:rPr>
        <w:t>E</w:t>
      </w:r>
      <w:r w:rsidR="00F5511B" w:rsidRPr="00193674">
        <w:rPr>
          <w:rFonts w:asciiTheme="minorHAnsi" w:hAnsiTheme="minorHAnsi"/>
          <w:snapToGrid w:val="0"/>
          <w:szCs w:val="22"/>
        </w:rPr>
        <w:t>nvironment, 51, 225-233.</w:t>
      </w:r>
    </w:p>
    <w:p w14:paraId="55AED222" w14:textId="77777777" w:rsidR="00D22AAB" w:rsidRPr="00193674" w:rsidRDefault="00D22AAB" w:rsidP="00F634E9">
      <w:pPr>
        <w:autoSpaceDE w:val="0"/>
        <w:autoSpaceDN w:val="0"/>
        <w:adjustRightInd w:val="0"/>
        <w:jc w:val="both"/>
        <w:rPr>
          <w:rFonts w:asciiTheme="minorHAnsi" w:hAnsiTheme="minorHAnsi"/>
          <w:snapToGrid w:val="0"/>
          <w:szCs w:val="22"/>
        </w:rPr>
      </w:pPr>
    </w:p>
    <w:p w14:paraId="2EC04EED" w14:textId="77777777" w:rsidR="00AD2D5B" w:rsidRPr="00345F2E" w:rsidRDefault="00525F79" w:rsidP="00BA29F9">
      <w:pPr>
        <w:pStyle w:val="MainText"/>
        <w:spacing w:line="240" w:lineRule="auto"/>
        <w:ind w:left="0"/>
        <w:rPr>
          <w:rFonts w:asciiTheme="minorHAnsi" w:hAnsiTheme="minorHAnsi"/>
          <w:sz w:val="22"/>
          <w:szCs w:val="22"/>
        </w:rPr>
      </w:pPr>
      <w:r w:rsidRPr="00345F2E">
        <w:rPr>
          <w:rFonts w:asciiTheme="minorHAnsi" w:hAnsiTheme="minorHAnsi"/>
          <w:sz w:val="22"/>
          <w:szCs w:val="22"/>
        </w:rPr>
        <w:t xml:space="preserve">Office for National Statistics, 2001. </w:t>
      </w:r>
      <w:r w:rsidRPr="00345F2E">
        <w:rPr>
          <w:rFonts w:asciiTheme="minorHAnsi" w:hAnsiTheme="minorHAnsi"/>
          <w:i/>
          <w:sz w:val="22"/>
          <w:szCs w:val="22"/>
        </w:rPr>
        <w:t>Living in Britain</w:t>
      </w:r>
      <w:r w:rsidRPr="00345F2E">
        <w:rPr>
          <w:rFonts w:asciiTheme="minorHAnsi" w:hAnsiTheme="minorHAnsi"/>
          <w:sz w:val="22"/>
          <w:szCs w:val="22"/>
        </w:rPr>
        <w:t>. Results from the 2001 General Household survey, Chapter 8: Smoking, 115-138. TSO: London.</w:t>
      </w:r>
    </w:p>
    <w:p w14:paraId="22A09525" w14:textId="02952F6E" w:rsidR="00486859" w:rsidRPr="00345F2E" w:rsidRDefault="00486859" w:rsidP="00BA29F9">
      <w:pPr>
        <w:jc w:val="both"/>
        <w:rPr>
          <w:rFonts w:asciiTheme="minorHAnsi" w:hAnsiTheme="minorHAnsi"/>
          <w:color w:val="000000"/>
          <w:szCs w:val="22"/>
        </w:rPr>
      </w:pPr>
      <w:r w:rsidRPr="00345F2E">
        <w:rPr>
          <w:rFonts w:asciiTheme="minorHAnsi" w:hAnsiTheme="minorHAnsi"/>
          <w:color w:val="000000"/>
          <w:szCs w:val="22"/>
        </w:rPr>
        <w:t>Paulin</w:t>
      </w:r>
      <w:r w:rsidR="00EC153C">
        <w:rPr>
          <w:rFonts w:asciiTheme="minorHAnsi" w:hAnsiTheme="minorHAnsi"/>
          <w:color w:val="000000"/>
          <w:szCs w:val="22"/>
        </w:rPr>
        <w:t>,</w:t>
      </w:r>
      <w:r w:rsidRPr="00345F2E">
        <w:rPr>
          <w:rFonts w:asciiTheme="minorHAnsi" w:hAnsiTheme="minorHAnsi"/>
          <w:color w:val="000000"/>
          <w:szCs w:val="22"/>
        </w:rPr>
        <w:t xml:space="preserve"> L</w:t>
      </w:r>
      <w:r w:rsidR="00EC153C">
        <w:rPr>
          <w:rFonts w:asciiTheme="minorHAnsi" w:hAnsiTheme="minorHAnsi"/>
          <w:color w:val="000000"/>
          <w:szCs w:val="22"/>
        </w:rPr>
        <w:t>.</w:t>
      </w:r>
      <w:r w:rsidRPr="00345F2E">
        <w:rPr>
          <w:rFonts w:asciiTheme="minorHAnsi" w:hAnsiTheme="minorHAnsi"/>
          <w:color w:val="000000"/>
          <w:szCs w:val="22"/>
        </w:rPr>
        <w:t>M</w:t>
      </w:r>
      <w:r w:rsidR="00EC153C">
        <w:rPr>
          <w:rFonts w:asciiTheme="minorHAnsi" w:hAnsiTheme="minorHAnsi"/>
          <w:color w:val="000000"/>
          <w:szCs w:val="22"/>
        </w:rPr>
        <w:t>.</w:t>
      </w:r>
      <w:r w:rsidRPr="00345F2E">
        <w:rPr>
          <w:rFonts w:asciiTheme="minorHAnsi" w:hAnsiTheme="minorHAnsi"/>
          <w:color w:val="000000"/>
          <w:szCs w:val="22"/>
        </w:rPr>
        <w:t>, Diette</w:t>
      </w:r>
      <w:r w:rsidR="00EC153C">
        <w:rPr>
          <w:rFonts w:asciiTheme="minorHAnsi" w:hAnsiTheme="minorHAnsi"/>
          <w:color w:val="000000"/>
          <w:szCs w:val="22"/>
        </w:rPr>
        <w:t>,</w:t>
      </w:r>
      <w:r w:rsidRPr="00345F2E">
        <w:rPr>
          <w:rFonts w:asciiTheme="minorHAnsi" w:hAnsiTheme="minorHAnsi"/>
          <w:color w:val="000000"/>
          <w:szCs w:val="22"/>
        </w:rPr>
        <w:t xml:space="preserve"> G</w:t>
      </w:r>
      <w:r w:rsidR="00EC153C">
        <w:rPr>
          <w:rFonts w:asciiTheme="minorHAnsi" w:hAnsiTheme="minorHAnsi"/>
          <w:color w:val="000000"/>
          <w:szCs w:val="22"/>
        </w:rPr>
        <w:t>.</w:t>
      </w:r>
      <w:r w:rsidRPr="00345F2E">
        <w:rPr>
          <w:rFonts w:asciiTheme="minorHAnsi" w:hAnsiTheme="minorHAnsi"/>
          <w:color w:val="000000"/>
          <w:szCs w:val="22"/>
        </w:rPr>
        <w:t>B</w:t>
      </w:r>
      <w:r w:rsidR="00EC153C">
        <w:rPr>
          <w:rFonts w:asciiTheme="minorHAnsi" w:hAnsiTheme="minorHAnsi"/>
          <w:color w:val="000000"/>
          <w:szCs w:val="22"/>
        </w:rPr>
        <w:t>.</w:t>
      </w:r>
      <w:r w:rsidRPr="00345F2E">
        <w:rPr>
          <w:rFonts w:asciiTheme="minorHAnsi" w:hAnsiTheme="minorHAnsi"/>
          <w:color w:val="000000"/>
          <w:szCs w:val="22"/>
        </w:rPr>
        <w:t>, Scott</w:t>
      </w:r>
      <w:r w:rsidR="00EC153C">
        <w:rPr>
          <w:rFonts w:asciiTheme="minorHAnsi" w:hAnsiTheme="minorHAnsi"/>
          <w:color w:val="000000"/>
          <w:szCs w:val="22"/>
        </w:rPr>
        <w:t>,</w:t>
      </w:r>
      <w:r w:rsidRPr="00345F2E">
        <w:rPr>
          <w:rFonts w:asciiTheme="minorHAnsi" w:hAnsiTheme="minorHAnsi"/>
          <w:color w:val="000000"/>
          <w:szCs w:val="22"/>
        </w:rPr>
        <w:t xml:space="preserve"> M</w:t>
      </w:r>
      <w:r w:rsidR="00EC153C">
        <w:rPr>
          <w:rFonts w:asciiTheme="minorHAnsi" w:hAnsiTheme="minorHAnsi"/>
          <w:color w:val="000000"/>
          <w:szCs w:val="22"/>
        </w:rPr>
        <w:t>.</w:t>
      </w:r>
      <w:r w:rsidRPr="00345F2E">
        <w:rPr>
          <w:rFonts w:asciiTheme="minorHAnsi" w:hAnsiTheme="minorHAnsi"/>
          <w:color w:val="000000"/>
          <w:szCs w:val="22"/>
        </w:rPr>
        <w:t>, McCormack</w:t>
      </w:r>
      <w:r w:rsidR="00EC153C">
        <w:rPr>
          <w:rFonts w:asciiTheme="minorHAnsi" w:hAnsiTheme="minorHAnsi"/>
          <w:color w:val="000000"/>
          <w:szCs w:val="22"/>
        </w:rPr>
        <w:t>,</w:t>
      </w:r>
      <w:r w:rsidRPr="00345F2E">
        <w:rPr>
          <w:rFonts w:asciiTheme="minorHAnsi" w:hAnsiTheme="minorHAnsi"/>
          <w:color w:val="000000"/>
          <w:szCs w:val="22"/>
        </w:rPr>
        <w:t xml:space="preserve"> M</w:t>
      </w:r>
      <w:r w:rsidR="00EC153C">
        <w:rPr>
          <w:rFonts w:asciiTheme="minorHAnsi" w:hAnsiTheme="minorHAnsi"/>
          <w:color w:val="000000"/>
          <w:szCs w:val="22"/>
        </w:rPr>
        <w:t>.</w:t>
      </w:r>
      <w:r w:rsidRPr="00345F2E">
        <w:rPr>
          <w:rFonts w:asciiTheme="minorHAnsi" w:hAnsiTheme="minorHAnsi"/>
          <w:color w:val="000000"/>
          <w:szCs w:val="22"/>
        </w:rPr>
        <w:t>C</w:t>
      </w:r>
      <w:r w:rsidR="00EC153C">
        <w:rPr>
          <w:rFonts w:asciiTheme="minorHAnsi" w:hAnsiTheme="minorHAnsi"/>
          <w:color w:val="000000"/>
          <w:szCs w:val="22"/>
        </w:rPr>
        <w:t>.</w:t>
      </w:r>
      <w:r w:rsidRPr="00345F2E">
        <w:rPr>
          <w:rFonts w:asciiTheme="minorHAnsi" w:hAnsiTheme="minorHAnsi"/>
          <w:color w:val="000000"/>
          <w:szCs w:val="22"/>
        </w:rPr>
        <w:t>, Matsui</w:t>
      </w:r>
      <w:r w:rsidR="00EC153C">
        <w:rPr>
          <w:rFonts w:asciiTheme="minorHAnsi" w:hAnsiTheme="minorHAnsi"/>
          <w:color w:val="000000"/>
          <w:szCs w:val="22"/>
        </w:rPr>
        <w:t>,</w:t>
      </w:r>
      <w:r w:rsidRPr="00345F2E">
        <w:rPr>
          <w:rFonts w:asciiTheme="minorHAnsi" w:hAnsiTheme="minorHAnsi"/>
          <w:color w:val="000000"/>
          <w:szCs w:val="22"/>
        </w:rPr>
        <w:t xml:space="preserve"> E</w:t>
      </w:r>
      <w:r w:rsidR="00EC153C">
        <w:rPr>
          <w:rFonts w:asciiTheme="minorHAnsi" w:hAnsiTheme="minorHAnsi"/>
          <w:color w:val="000000"/>
          <w:szCs w:val="22"/>
        </w:rPr>
        <w:t>.</w:t>
      </w:r>
      <w:r w:rsidRPr="00345F2E">
        <w:rPr>
          <w:rFonts w:asciiTheme="minorHAnsi" w:hAnsiTheme="minorHAnsi"/>
          <w:color w:val="000000"/>
          <w:szCs w:val="22"/>
        </w:rPr>
        <w:t>C</w:t>
      </w:r>
      <w:r w:rsidR="00EC153C">
        <w:rPr>
          <w:rFonts w:asciiTheme="minorHAnsi" w:hAnsiTheme="minorHAnsi"/>
          <w:color w:val="000000"/>
          <w:szCs w:val="22"/>
        </w:rPr>
        <w:t>.</w:t>
      </w:r>
      <w:r w:rsidRPr="00345F2E">
        <w:rPr>
          <w:rFonts w:asciiTheme="minorHAnsi" w:hAnsiTheme="minorHAnsi"/>
          <w:color w:val="000000"/>
          <w:szCs w:val="22"/>
        </w:rPr>
        <w:t>, Curtin-Brosnan</w:t>
      </w:r>
      <w:r w:rsidR="00EC153C">
        <w:rPr>
          <w:rFonts w:asciiTheme="minorHAnsi" w:hAnsiTheme="minorHAnsi"/>
          <w:color w:val="000000"/>
          <w:szCs w:val="22"/>
        </w:rPr>
        <w:t>,</w:t>
      </w:r>
      <w:r w:rsidRPr="00345F2E">
        <w:rPr>
          <w:rFonts w:asciiTheme="minorHAnsi" w:hAnsiTheme="minorHAnsi"/>
          <w:color w:val="000000"/>
          <w:szCs w:val="22"/>
        </w:rPr>
        <w:t xml:space="preserve"> J</w:t>
      </w:r>
      <w:r w:rsidR="00EC153C">
        <w:rPr>
          <w:rFonts w:asciiTheme="minorHAnsi" w:hAnsiTheme="minorHAnsi"/>
          <w:color w:val="000000"/>
          <w:szCs w:val="22"/>
        </w:rPr>
        <w:t>.</w:t>
      </w:r>
      <w:r w:rsidRPr="00345F2E">
        <w:rPr>
          <w:rFonts w:asciiTheme="minorHAnsi" w:hAnsiTheme="minorHAnsi"/>
          <w:color w:val="000000"/>
          <w:szCs w:val="22"/>
        </w:rPr>
        <w:t>, Williams</w:t>
      </w:r>
      <w:r w:rsidR="00EC153C">
        <w:rPr>
          <w:rFonts w:asciiTheme="minorHAnsi" w:hAnsiTheme="minorHAnsi"/>
          <w:color w:val="000000"/>
          <w:szCs w:val="22"/>
        </w:rPr>
        <w:t>,</w:t>
      </w:r>
      <w:r w:rsidRPr="00345F2E">
        <w:rPr>
          <w:rFonts w:asciiTheme="minorHAnsi" w:hAnsiTheme="minorHAnsi"/>
          <w:color w:val="000000"/>
          <w:szCs w:val="22"/>
        </w:rPr>
        <w:t xml:space="preserve"> D</w:t>
      </w:r>
      <w:r w:rsidR="00EC153C">
        <w:rPr>
          <w:rFonts w:asciiTheme="minorHAnsi" w:hAnsiTheme="minorHAnsi"/>
          <w:color w:val="000000"/>
          <w:szCs w:val="22"/>
        </w:rPr>
        <w:t>.</w:t>
      </w:r>
      <w:r w:rsidRPr="00345F2E">
        <w:rPr>
          <w:rFonts w:asciiTheme="minorHAnsi" w:hAnsiTheme="minorHAnsi"/>
          <w:color w:val="000000"/>
          <w:szCs w:val="22"/>
        </w:rPr>
        <w:t>L</w:t>
      </w:r>
      <w:r w:rsidR="00EC153C">
        <w:rPr>
          <w:rFonts w:asciiTheme="minorHAnsi" w:hAnsiTheme="minorHAnsi"/>
          <w:color w:val="000000"/>
          <w:szCs w:val="22"/>
        </w:rPr>
        <w:t>.</w:t>
      </w:r>
      <w:r w:rsidRPr="00345F2E">
        <w:rPr>
          <w:rFonts w:asciiTheme="minorHAnsi" w:hAnsiTheme="minorHAnsi"/>
          <w:color w:val="000000"/>
          <w:szCs w:val="22"/>
        </w:rPr>
        <w:t>, Kidd-Taylor</w:t>
      </w:r>
      <w:r w:rsidR="00EC153C">
        <w:rPr>
          <w:rFonts w:asciiTheme="minorHAnsi" w:hAnsiTheme="minorHAnsi"/>
          <w:color w:val="000000"/>
          <w:szCs w:val="22"/>
        </w:rPr>
        <w:t>,</w:t>
      </w:r>
      <w:r w:rsidRPr="00345F2E">
        <w:rPr>
          <w:rFonts w:asciiTheme="minorHAnsi" w:hAnsiTheme="minorHAnsi"/>
          <w:color w:val="000000"/>
          <w:szCs w:val="22"/>
        </w:rPr>
        <w:t xml:space="preserve"> A</w:t>
      </w:r>
      <w:r w:rsidR="00EC153C">
        <w:rPr>
          <w:rFonts w:asciiTheme="minorHAnsi" w:hAnsiTheme="minorHAnsi"/>
          <w:color w:val="000000"/>
          <w:szCs w:val="22"/>
        </w:rPr>
        <w:t>.</w:t>
      </w:r>
      <w:r w:rsidRPr="00345F2E">
        <w:rPr>
          <w:rFonts w:asciiTheme="minorHAnsi" w:hAnsiTheme="minorHAnsi"/>
          <w:color w:val="000000"/>
          <w:szCs w:val="22"/>
        </w:rPr>
        <w:t>, Shea</w:t>
      </w:r>
      <w:r w:rsidR="00EC153C">
        <w:rPr>
          <w:rFonts w:asciiTheme="minorHAnsi" w:hAnsiTheme="minorHAnsi"/>
          <w:color w:val="000000"/>
          <w:szCs w:val="22"/>
        </w:rPr>
        <w:t>,</w:t>
      </w:r>
      <w:r w:rsidRPr="00345F2E">
        <w:rPr>
          <w:rFonts w:asciiTheme="minorHAnsi" w:hAnsiTheme="minorHAnsi"/>
          <w:color w:val="000000"/>
          <w:szCs w:val="22"/>
        </w:rPr>
        <w:t xml:space="preserve"> M</w:t>
      </w:r>
      <w:r w:rsidR="00EC153C">
        <w:rPr>
          <w:rFonts w:asciiTheme="minorHAnsi" w:hAnsiTheme="minorHAnsi"/>
          <w:color w:val="000000"/>
          <w:szCs w:val="22"/>
        </w:rPr>
        <w:t>.</w:t>
      </w:r>
      <w:r w:rsidRPr="00345F2E">
        <w:rPr>
          <w:rFonts w:asciiTheme="minorHAnsi" w:hAnsiTheme="minorHAnsi"/>
          <w:color w:val="000000"/>
          <w:szCs w:val="22"/>
        </w:rPr>
        <w:t>, Breysse</w:t>
      </w:r>
      <w:r w:rsidR="00EC153C">
        <w:rPr>
          <w:rFonts w:asciiTheme="minorHAnsi" w:hAnsiTheme="minorHAnsi"/>
          <w:color w:val="000000"/>
          <w:szCs w:val="22"/>
        </w:rPr>
        <w:t>,</w:t>
      </w:r>
      <w:r w:rsidRPr="00345F2E">
        <w:rPr>
          <w:rFonts w:asciiTheme="minorHAnsi" w:hAnsiTheme="minorHAnsi"/>
          <w:color w:val="000000"/>
          <w:szCs w:val="22"/>
        </w:rPr>
        <w:t xml:space="preserve"> P</w:t>
      </w:r>
      <w:r w:rsidR="00EC153C">
        <w:rPr>
          <w:rFonts w:asciiTheme="minorHAnsi" w:hAnsiTheme="minorHAnsi"/>
          <w:color w:val="000000"/>
          <w:szCs w:val="22"/>
        </w:rPr>
        <w:t>.</w:t>
      </w:r>
      <w:r w:rsidRPr="00345F2E">
        <w:rPr>
          <w:rFonts w:asciiTheme="minorHAnsi" w:hAnsiTheme="minorHAnsi"/>
          <w:color w:val="000000"/>
          <w:szCs w:val="22"/>
        </w:rPr>
        <w:t>N</w:t>
      </w:r>
      <w:r w:rsidR="00EC153C">
        <w:rPr>
          <w:rFonts w:asciiTheme="minorHAnsi" w:hAnsiTheme="minorHAnsi"/>
          <w:color w:val="000000"/>
          <w:szCs w:val="22"/>
        </w:rPr>
        <w:t>.</w:t>
      </w:r>
      <w:r w:rsidRPr="00345F2E">
        <w:rPr>
          <w:rFonts w:asciiTheme="minorHAnsi" w:hAnsiTheme="minorHAnsi"/>
          <w:color w:val="000000"/>
          <w:szCs w:val="22"/>
        </w:rPr>
        <w:t>, Hansel</w:t>
      </w:r>
      <w:r w:rsidR="00EC153C">
        <w:rPr>
          <w:rFonts w:asciiTheme="minorHAnsi" w:hAnsiTheme="minorHAnsi"/>
          <w:color w:val="000000"/>
          <w:szCs w:val="22"/>
        </w:rPr>
        <w:t>,</w:t>
      </w:r>
      <w:r w:rsidRPr="00345F2E">
        <w:rPr>
          <w:rFonts w:asciiTheme="minorHAnsi" w:hAnsiTheme="minorHAnsi"/>
          <w:color w:val="000000"/>
          <w:szCs w:val="22"/>
        </w:rPr>
        <w:t xml:space="preserve"> N</w:t>
      </w:r>
      <w:r w:rsidR="00EC153C">
        <w:rPr>
          <w:rFonts w:asciiTheme="minorHAnsi" w:hAnsiTheme="minorHAnsi"/>
          <w:color w:val="000000"/>
          <w:szCs w:val="22"/>
        </w:rPr>
        <w:t>.</w:t>
      </w:r>
      <w:r w:rsidRPr="00345F2E">
        <w:rPr>
          <w:rFonts w:asciiTheme="minorHAnsi" w:hAnsiTheme="minorHAnsi"/>
          <w:color w:val="000000"/>
          <w:szCs w:val="22"/>
        </w:rPr>
        <w:t>N</w:t>
      </w:r>
      <w:r w:rsidR="00EC153C">
        <w:rPr>
          <w:rFonts w:asciiTheme="minorHAnsi" w:hAnsiTheme="minorHAnsi"/>
          <w:color w:val="000000"/>
          <w:szCs w:val="22"/>
        </w:rPr>
        <w:t xml:space="preserve">., </w:t>
      </w:r>
      <w:r w:rsidRPr="00345F2E">
        <w:rPr>
          <w:rFonts w:asciiTheme="minorHAnsi" w:hAnsiTheme="minorHAnsi"/>
          <w:color w:val="000000"/>
          <w:szCs w:val="22"/>
        </w:rPr>
        <w:t>201</w:t>
      </w:r>
      <w:r w:rsidR="00F634E9" w:rsidRPr="00345F2E">
        <w:rPr>
          <w:rFonts w:asciiTheme="minorHAnsi" w:hAnsiTheme="minorHAnsi"/>
          <w:color w:val="000000"/>
          <w:szCs w:val="22"/>
        </w:rPr>
        <w:t>4</w:t>
      </w:r>
      <w:r w:rsidRPr="00345F2E">
        <w:rPr>
          <w:rFonts w:asciiTheme="minorHAnsi" w:hAnsiTheme="minorHAnsi"/>
          <w:color w:val="000000"/>
          <w:szCs w:val="22"/>
        </w:rPr>
        <w:t xml:space="preserve">. Home interventions are effective at decreasing indoor nitrogen dioxide concentrations. Indoor </w:t>
      </w:r>
      <w:r w:rsidR="00EC153C">
        <w:rPr>
          <w:rFonts w:asciiTheme="minorHAnsi" w:hAnsiTheme="minorHAnsi"/>
          <w:color w:val="000000"/>
          <w:szCs w:val="22"/>
        </w:rPr>
        <w:t>A</w:t>
      </w:r>
      <w:r w:rsidRPr="00345F2E">
        <w:rPr>
          <w:rFonts w:asciiTheme="minorHAnsi" w:hAnsiTheme="minorHAnsi"/>
          <w:color w:val="000000"/>
          <w:szCs w:val="22"/>
        </w:rPr>
        <w:t xml:space="preserve">ir, 24, 416-424.  </w:t>
      </w:r>
    </w:p>
    <w:p w14:paraId="05866504" w14:textId="77777777" w:rsidR="00486859" w:rsidRPr="00345F2E" w:rsidRDefault="00486859" w:rsidP="00BA29F9">
      <w:pPr>
        <w:jc w:val="both"/>
        <w:rPr>
          <w:rFonts w:asciiTheme="minorHAnsi" w:hAnsiTheme="minorHAnsi"/>
          <w:color w:val="000000"/>
          <w:szCs w:val="22"/>
        </w:rPr>
      </w:pPr>
    </w:p>
    <w:p w14:paraId="00C0ECFE" w14:textId="77777777" w:rsidR="0016639F" w:rsidRDefault="00CD5347" w:rsidP="0016639F">
      <w:pPr>
        <w:jc w:val="both"/>
        <w:rPr>
          <w:rFonts w:asciiTheme="minorHAnsi" w:hAnsiTheme="minorHAnsi"/>
          <w:color w:val="000000"/>
          <w:szCs w:val="22"/>
        </w:rPr>
      </w:pPr>
      <w:r w:rsidRPr="00345F2E">
        <w:rPr>
          <w:rFonts w:asciiTheme="minorHAnsi" w:hAnsiTheme="minorHAnsi"/>
          <w:color w:val="000000"/>
          <w:szCs w:val="22"/>
        </w:rPr>
        <w:t>Physick</w:t>
      </w:r>
      <w:r w:rsidR="00EC153C">
        <w:rPr>
          <w:rFonts w:asciiTheme="minorHAnsi" w:hAnsiTheme="minorHAnsi"/>
          <w:color w:val="000000"/>
          <w:szCs w:val="22"/>
        </w:rPr>
        <w:t>,</w:t>
      </w:r>
      <w:r w:rsidRPr="00345F2E">
        <w:rPr>
          <w:rFonts w:asciiTheme="minorHAnsi" w:hAnsiTheme="minorHAnsi"/>
          <w:color w:val="000000"/>
          <w:szCs w:val="22"/>
        </w:rPr>
        <w:t xml:space="preserve"> W</w:t>
      </w:r>
      <w:r w:rsidR="00EC153C">
        <w:rPr>
          <w:rFonts w:asciiTheme="minorHAnsi" w:hAnsiTheme="minorHAnsi"/>
          <w:color w:val="000000"/>
          <w:szCs w:val="22"/>
        </w:rPr>
        <w:t>.</w:t>
      </w:r>
      <w:r w:rsidRPr="00345F2E">
        <w:rPr>
          <w:rFonts w:asciiTheme="minorHAnsi" w:hAnsiTheme="minorHAnsi"/>
          <w:color w:val="000000"/>
          <w:szCs w:val="22"/>
        </w:rPr>
        <w:t>, Powell</w:t>
      </w:r>
      <w:r w:rsidR="00EC153C">
        <w:rPr>
          <w:rFonts w:asciiTheme="minorHAnsi" w:hAnsiTheme="minorHAnsi"/>
          <w:color w:val="000000"/>
          <w:szCs w:val="22"/>
        </w:rPr>
        <w:t>,</w:t>
      </w:r>
      <w:r w:rsidRPr="00345F2E">
        <w:rPr>
          <w:rFonts w:asciiTheme="minorHAnsi" w:hAnsiTheme="minorHAnsi"/>
          <w:color w:val="000000"/>
          <w:szCs w:val="22"/>
        </w:rPr>
        <w:t xml:space="preserve"> J</w:t>
      </w:r>
      <w:r w:rsidR="00EC153C">
        <w:rPr>
          <w:rFonts w:asciiTheme="minorHAnsi" w:hAnsiTheme="minorHAnsi"/>
          <w:color w:val="000000"/>
          <w:szCs w:val="22"/>
        </w:rPr>
        <w:t>.</w:t>
      </w:r>
      <w:r w:rsidRPr="00345F2E">
        <w:rPr>
          <w:rFonts w:asciiTheme="minorHAnsi" w:hAnsiTheme="minorHAnsi"/>
          <w:color w:val="000000"/>
          <w:szCs w:val="22"/>
        </w:rPr>
        <w:t>, Cope</w:t>
      </w:r>
      <w:r w:rsidR="00EC153C">
        <w:rPr>
          <w:rFonts w:asciiTheme="minorHAnsi" w:hAnsiTheme="minorHAnsi"/>
          <w:color w:val="000000"/>
          <w:szCs w:val="22"/>
        </w:rPr>
        <w:t>,</w:t>
      </w:r>
      <w:r w:rsidRPr="00345F2E">
        <w:rPr>
          <w:rFonts w:asciiTheme="minorHAnsi" w:hAnsiTheme="minorHAnsi"/>
          <w:color w:val="000000"/>
          <w:szCs w:val="22"/>
        </w:rPr>
        <w:t xml:space="preserve"> M</w:t>
      </w:r>
      <w:r w:rsidR="00EC153C">
        <w:rPr>
          <w:rFonts w:asciiTheme="minorHAnsi" w:hAnsiTheme="minorHAnsi"/>
          <w:color w:val="000000"/>
          <w:szCs w:val="22"/>
        </w:rPr>
        <w:t>.</w:t>
      </w:r>
      <w:r w:rsidRPr="00345F2E">
        <w:rPr>
          <w:rFonts w:asciiTheme="minorHAnsi" w:hAnsiTheme="minorHAnsi"/>
          <w:color w:val="000000"/>
          <w:szCs w:val="22"/>
        </w:rPr>
        <w:t>, Bloast</w:t>
      </w:r>
      <w:r w:rsidR="00EC153C">
        <w:rPr>
          <w:rFonts w:asciiTheme="minorHAnsi" w:hAnsiTheme="minorHAnsi"/>
          <w:color w:val="000000"/>
          <w:szCs w:val="22"/>
        </w:rPr>
        <w:t>,</w:t>
      </w:r>
      <w:r w:rsidRPr="00345F2E">
        <w:rPr>
          <w:rFonts w:asciiTheme="minorHAnsi" w:hAnsiTheme="minorHAnsi"/>
          <w:color w:val="000000"/>
          <w:szCs w:val="22"/>
        </w:rPr>
        <w:t xml:space="preserve"> K</w:t>
      </w:r>
      <w:r w:rsidR="00EC153C">
        <w:rPr>
          <w:rFonts w:asciiTheme="minorHAnsi" w:hAnsiTheme="minorHAnsi"/>
          <w:color w:val="000000"/>
          <w:szCs w:val="22"/>
        </w:rPr>
        <w:t>.</w:t>
      </w:r>
      <w:r w:rsidRPr="00345F2E">
        <w:rPr>
          <w:rFonts w:asciiTheme="minorHAnsi" w:hAnsiTheme="minorHAnsi"/>
          <w:color w:val="000000"/>
          <w:szCs w:val="22"/>
        </w:rPr>
        <w:t>, Lee</w:t>
      </w:r>
      <w:r w:rsidR="00EC153C">
        <w:rPr>
          <w:rFonts w:asciiTheme="minorHAnsi" w:hAnsiTheme="minorHAnsi"/>
          <w:color w:val="000000"/>
          <w:szCs w:val="22"/>
        </w:rPr>
        <w:t>,</w:t>
      </w:r>
      <w:r w:rsidRPr="00345F2E">
        <w:rPr>
          <w:rFonts w:asciiTheme="minorHAnsi" w:hAnsiTheme="minorHAnsi"/>
          <w:color w:val="000000"/>
          <w:szCs w:val="22"/>
        </w:rPr>
        <w:t xml:space="preserve"> S</w:t>
      </w:r>
      <w:r w:rsidR="00EC153C">
        <w:rPr>
          <w:rFonts w:asciiTheme="minorHAnsi" w:hAnsiTheme="minorHAnsi"/>
          <w:color w:val="000000"/>
          <w:szCs w:val="22"/>
        </w:rPr>
        <w:t>.,</w:t>
      </w:r>
      <w:r w:rsidRPr="00345F2E">
        <w:rPr>
          <w:rFonts w:asciiTheme="minorHAnsi" w:hAnsiTheme="minorHAnsi"/>
          <w:color w:val="000000"/>
          <w:szCs w:val="22"/>
        </w:rPr>
        <w:t xml:space="preserve"> 2011. Measurement of personal exposure to NO</w:t>
      </w:r>
      <w:r w:rsidRPr="00EC153C">
        <w:rPr>
          <w:rFonts w:asciiTheme="minorHAnsi" w:hAnsiTheme="minorHAnsi"/>
          <w:color w:val="000000"/>
          <w:szCs w:val="22"/>
          <w:vertAlign w:val="subscript"/>
        </w:rPr>
        <w:t>2</w:t>
      </w:r>
      <w:r w:rsidRPr="00345F2E">
        <w:rPr>
          <w:rFonts w:asciiTheme="minorHAnsi" w:hAnsiTheme="minorHAnsi"/>
          <w:color w:val="000000"/>
          <w:szCs w:val="22"/>
        </w:rPr>
        <w:t xml:space="preserve"> and modelling using ambient concentrations and activity data. Atmospheric Envir</w:t>
      </w:r>
      <w:r w:rsidR="00EC153C">
        <w:rPr>
          <w:rFonts w:asciiTheme="minorHAnsi" w:hAnsiTheme="minorHAnsi"/>
          <w:color w:val="000000"/>
          <w:szCs w:val="22"/>
        </w:rPr>
        <w:t>o</w:t>
      </w:r>
      <w:r w:rsidRPr="00345F2E">
        <w:rPr>
          <w:rFonts w:asciiTheme="minorHAnsi" w:hAnsiTheme="minorHAnsi"/>
          <w:color w:val="000000"/>
          <w:szCs w:val="22"/>
        </w:rPr>
        <w:t xml:space="preserve">nment, 45, 2095-2102. </w:t>
      </w:r>
    </w:p>
    <w:p w14:paraId="201670DB" w14:textId="77777777" w:rsidR="0016639F" w:rsidRDefault="0016639F" w:rsidP="0016639F">
      <w:pPr>
        <w:jc w:val="both"/>
        <w:rPr>
          <w:rFonts w:asciiTheme="minorHAnsi" w:hAnsiTheme="minorHAnsi"/>
          <w:color w:val="000000"/>
          <w:szCs w:val="22"/>
        </w:rPr>
      </w:pPr>
    </w:p>
    <w:p w14:paraId="19EBAB68" w14:textId="41029F9A" w:rsidR="00C32B2B" w:rsidRPr="00193674" w:rsidRDefault="0016639F" w:rsidP="00C32B2B">
      <w:pPr>
        <w:autoSpaceDE w:val="0"/>
        <w:autoSpaceDN w:val="0"/>
        <w:rPr>
          <w:rFonts w:asciiTheme="minorHAnsi" w:hAnsiTheme="minorHAnsi"/>
          <w:szCs w:val="22"/>
        </w:rPr>
      </w:pPr>
      <w:r w:rsidRPr="00C32B2B">
        <w:rPr>
          <w:rFonts w:asciiTheme="minorHAnsi" w:hAnsiTheme="minorHAnsi"/>
          <w:color w:val="000000"/>
          <w:szCs w:val="22"/>
        </w:rPr>
        <w:t xml:space="preserve">RCP, 2016 </w:t>
      </w:r>
      <w:r w:rsidRPr="00C32B2B">
        <w:rPr>
          <w:rFonts w:asciiTheme="minorHAnsi" w:hAnsiTheme="minorHAnsi"/>
          <w:szCs w:val="22"/>
        </w:rPr>
        <w:t xml:space="preserve">Royal College of Physicians. </w:t>
      </w:r>
      <w:r w:rsidRPr="00C32B2B">
        <w:rPr>
          <w:rFonts w:asciiTheme="minorHAnsi" w:hAnsiTheme="minorHAnsi"/>
          <w:iCs/>
          <w:szCs w:val="22"/>
        </w:rPr>
        <w:t>Every breath we take: the lifelong impact of air</w:t>
      </w:r>
      <w:r w:rsidRPr="00C32B2B">
        <w:rPr>
          <w:rFonts w:asciiTheme="minorHAnsi" w:hAnsiTheme="minorHAnsi"/>
          <w:color w:val="000000"/>
          <w:szCs w:val="22"/>
        </w:rPr>
        <w:t xml:space="preserve"> </w:t>
      </w:r>
      <w:r w:rsidRPr="00C32B2B">
        <w:rPr>
          <w:rFonts w:asciiTheme="minorHAnsi" w:hAnsiTheme="minorHAnsi"/>
          <w:iCs/>
          <w:szCs w:val="22"/>
        </w:rPr>
        <w:t>pollution</w:t>
      </w:r>
      <w:r w:rsidRPr="00C32B2B">
        <w:rPr>
          <w:rFonts w:asciiTheme="minorHAnsi" w:hAnsiTheme="minorHAnsi"/>
          <w:szCs w:val="22"/>
        </w:rPr>
        <w:t xml:space="preserve">. </w:t>
      </w:r>
      <w:r w:rsidRPr="00193674">
        <w:rPr>
          <w:rFonts w:asciiTheme="minorHAnsi" w:hAnsiTheme="minorHAnsi"/>
          <w:szCs w:val="22"/>
        </w:rPr>
        <w:t>Report of a working party. London</w:t>
      </w:r>
      <w:r w:rsidR="00C32B2B" w:rsidRPr="00193674">
        <w:rPr>
          <w:rFonts w:asciiTheme="minorHAnsi" w:hAnsiTheme="minorHAnsi"/>
          <w:szCs w:val="22"/>
        </w:rPr>
        <w:t>, ISBN 978-1-86016-567-2, eISBN 978-1-86016-568-9.</w:t>
      </w:r>
    </w:p>
    <w:p w14:paraId="252F706E" w14:textId="77777777" w:rsidR="00B740AB" w:rsidRPr="00193674" w:rsidRDefault="00B740AB" w:rsidP="00C32B2B">
      <w:pPr>
        <w:autoSpaceDE w:val="0"/>
        <w:autoSpaceDN w:val="0"/>
        <w:rPr>
          <w:rFonts w:asciiTheme="minorHAnsi" w:hAnsiTheme="minorHAnsi"/>
          <w:szCs w:val="22"/>
        </w:rPr>
      </w:pPr>
    </w:p>
    <w:p w14:paraId="117D0122" w14:textId="42A8257E" w:rsidR="00B740AB" w:rsidRPr="00193674" w:rsidRDefault="00B740AB" w:rsidP="00E759C5">
      <w:pPr>
        <w:jc w:val="both"/>
        <w:rPr>
          <w:rFonts w:asciiTheme="minorHAnsi" w:hAnsiTheme="minorHAnsi"/>
        </w:rPr>
      </w:pPr>
      <w:r w:rsidRPr="00193674">
        <w:rPr>
          <w:rFonts w:asciiTheme="minorHAnsi" w:hAnsiTheme="minorHAnsi"/>
        </w:rPr>
        <w:t xml:space="preserve">Sorensen, M., Loft, S., Andersen, H.V., Raaschou-Nielsen, O., Skovgaard, L.T., Knudsen, L.E., </w:t>
      </w:r>
      <w:r w:rsidRPr="00193674">
        <w:rPr>
          <w:rStyle w:val="Strong"/>
          <w:rFonts w:asciiTheme="minorHAnsi" w:hAnsiTheme="minorHAnsi"/>
          <w:b w:val="0"/>
        </w:rPr>
        <w:t>Nielsen, I.V., Hertel, O.,</w:t>
      </w:r>
      <w:r w:rsidRPr="00193674">
        <w:rPr>
          <w:rFonts w:asciiTheme="minorHAnsi" w:hAnsiTheme="minorHAnsi"/>
        </w:rPr>
        <w:t xml:space="preserve"> 2005. Personal exposure to PM</w:t>
      </w:r>
      <w:r w:rsidRPr="00193674">
        <w:rPr>
          <w:rFonts w:asciiTheme="minorHAnsi" w:hAnsiTheme="minorHAnsi"/>
          <w:vertAlign w:val="subscript"/>
        </w:rPr>
        <w:t>2.5</w:t>
      </w:r>
      <w:r w:rsidRPr="00193674">
        <w:rPr>
          <w:rFonts w:asciiTheme="minorHAnsi" w:hAnsiTheme="minorHAnsi"/>
        </w:rPr>
        <w:t>, black smoke and NO</w:t>
      </w:r>
      <w:r w:rsidRPr="00193674">
        <w:rPr>
          <w:rFonts w:asciiTheme="minorHAnsi" w:hAnsiTheme="minorHAnsi"/>
          <w:vertAlign w:val="subscript"/>
        </w:rPr>
        <w:t>2</w:t>
      </w:r>
      <w:r w:rsidRPr="00193674">
        <w:rPr>
          <w:rFonts w:asciiTheme="minorHAnsi" w:hAnsiTheme="minorHAnsi"/>
        </w:rPr>
        <w:t xml:space="preserve"> in Copenhagen: relationship to bedroom and outdoor concentrations covering seasonal variation. J</w:t>
      </w:r>
      <w:r w:rsidR="00E759C5" w:rsidRPr="00193674">
        <w:rPr>
          <w:rFonts w:asciiTheme="minorHAnsi" w:hAnsiTheme="minorHAnsi"/>
        </w:rPr>
        <w:t>ournal of</w:t>
      </w:r>
      <w:r w:rsidRPr="00193674">
        <w:rPr>
          <w:rFonts w:asciiTheme="minorHAnsi" w:hAnsiTheme="minorHAnsi"/>
        </w:rPr>
        <w:t xml:space="preserve"> Expo</w:t>
      </w:r>
      <w:r w:rsidR="00E759C5" w:rsidRPr="00193674">
        <w:rPr>
          <w:rFonts w:asciiTheme="minorHAnsi" w:hAnsiTheme="minorHAnsi"/>
        </w:rPr>
        <w:t xml:space="preserve">sure </w:t>
      </w:r>
      <w:r w:rsidRPr="00193674">
        <w:rPr>
          <w:rFonts w:asciiTheme="minorHAnsi" w:hAnsiTheme="minorHAnsi"/>
        </w:rPr>
        <w:t>Anal</w:t>
      </w:r>
      <w:r w:rsidR="00E759C5" w:rsidRPr="00193674">
        <w:rPr>
          <w:rFonts w:asciiTheme="minorHAnsi" w:hAnsiTheme="minorHAnsi"/>
        </w:rPr>
        <w:t xml:space="preserve">ysis and </w:t>
      </w:r>
      <w:r w:rsidRPr="00193674">
        <w:rPr>
          <w:rFonts w:asciiTheme="minorHAnsi" w:hAnsiTheme="minorHAnsi"/>
        </w:rPr>
        <w:t>Environ</w:t>
      </w:r>
      <w:r w:rsidR="00E759C5" w:rsidRPr="00193674">
        <w:rPr>
          <w:rFonts w:asciiTheme="minorHAnsi" w:hAnsiTheme="minorHAnsi"/>
        </w:rPr>
        <w:t>mental</w:t>
      </w:r>
      <w:r w:rsidRPr="00193674">
        <w:rPr>
          <w:rFonts w:asciiTheme="minorHAnsi" w:hAnsiTheme="minorHAnsi"/>
        </w:rPr>
        <w:t xml:space="preserve"> Epidemiol</w:t>
      </w:r>
      <w:r w:rsidR="00E759C5" w:rsidRPr="00193674">
        <w:rPr>
          <w:rFonts w:asciiTheme="minorHAnsi" w:hAnsiTheme="minorHAnsi"/>
        </w:rPr>
        <w:t>ogy</w:t>
      </w:r>
      <w:r w:rsidRPr="00193674">
        <w:rPr>
          <w:rFonts w:asciiTheme="minorHAnsi" w:hAnsiTheme="minorHAnsi"/>
        </w:rPr>
        <w:t>, 15, 413–422.</w:t>
      </w:r>
    </w:p>
    <w:p w14:paraId="03BFC9F6" w14:textId="1CB1A6BF" w:rsidR="00583952" w:rsidRPr="00193674" w:rsidRDefault="00583952" w:rsidP="00E759C5">
      <w:pPr>
        <w:jc w:val="both"/>
        <w:rPr>
          <w:rFonts w:asciiTheme="minorHAnsi" w:hAnsiTheme="minorHAnsi"/>
          <w:szCs w:val="22"/>
        </w:rPr>
      </w:pPr>
    </w:p>
    <w:p w14:paraId="0EAA10D1" w14:textId="453EF06F" w:rsidR="00F935DD" w:rsidRPr="00193674" w:rsidRDefault="00F935DD" w:rsidP="00E759C5">
      <w:pPr>
        <w:autoSpaceDE w:val="0"/>
        <w:autoSpaceDN w:val="0"/>
        <w:adjustRightInd w:val="0"/>
        <w:jc w:val="both"/>
        <w:rPr>
          <w:rFonts w:asciiTheme="minorHAnsi" w:hAnsiTheme="minorHAnsi"/>
          <w:szCs w:val="22"/>
        </w:rPr>
      </w:pPr>
      <w:r w:rsidRPr="00193674">
        <w:rPr>
          <w:rFonts w:asciiTheme="minorHAnsi" w:hAnsiTheme="minorHAnsi"/>
          <w:szCs w:val="22"/>
        </w:rPr>
        <w:t>Shrubsole</w:t>
      </w:r>
      <w:r w:rsidR="00EC153C" w:rsidRPr="00193674">
        <w:rPr>
          <w:rFonts w:asciiTheme="minorHAnsi" w:hAnsiTheme="minorHAnsi"/>
          <w:szCs w:val="22"/>
        </w:rPr>
        <w:t>,</w:t>
      </w:r>
      <w:r w:rsidRPr="00193674">
        <w:rPr>
          <w:rFonts w:asciiTheme="minorHAnsi" w:hAnsiTheme="minorHAnsi"/>
          <w:szCs w:val="22"/>
        </w:rPr>
        <w:t xml:space="preserve"> C</w:t>
      </w:r>
      <w:r w:rsidR="00EC153C" w:rsidRPr="00193674">
        <w:rPr>
          <w:rFonts w:asciiTheme="minorHAnsi" w:hAnsiTheme="minorHAnsi"/>
          <w:szCs w:val="22"/>
        </w:rPr>
        <w:t>.</w:t>
      </w:r>
      <w:r w:rsidRPr="00193674">
        <w:rPr>
          <w:rFonts w:asciiTheme="minorHAnsi" w:hAnsiTheme="minorHAnsi"/>
          <w:szCs w:val="22"/>
        </w:rPr>
        <w:t>, Ridl</w:t>
      </w:r>
      <w:r w:rsidR="00EC153C" w:rsidRPr="00193674">
        <w:rPr>
          <w:rFonts w:asciiTheme="minorHAnsi" w:hAnsiTheme="minorHAnsi"/>
          <w:szCs w:val="22"/>
        </w:rPr>
        <w:t>e</w:t>
      </w:r>
      <w:r w:rsidRPr="00193674">
        <w:rPr>
          <w:rFonts w:asciiTheme="minorHAnsi" w:hAnsiTheme="minorHAnsi"/>
          <w:szCs w:val="22"/>
        </w:rPr>
        <w:t>y</w:t>
      </w:r>
      <w:r w:rsidR="00EC153C" w:rsidRPr="00193674">
        <w:rPr>
          <w:rFonts w:asciiTheme="minorHAnsi" w:hAnsiTheme="minorHAnsi"/>
          <w:szCs w:val="22"/>
        </w:rPr>
        <w:t>,</w:t>
      </w:r>
      <w:r w:rsidRPr="00193674">
        <w:rPr>
          <w:rFonts w:asciiTheme="minorHAnsi" w:hAnsiTheme="minorHAnsi"/>
          <w:szCs w:val="22"/>
        </w:rPr>
        <w:t xml:space="preserve"> I</w:t>
      </w:r>
      <w:r w:rsidR="00EC153C" w:rsidRPr="00193674">
        <w:rPr>
          <w:rFonts w:asciiTheme="minorHAnsi" w:hAnsiTheme="minorHAnsi"/>
          <w:szCs w:val="22"/>
        </w:rPr>
        <w:t>.</w:t>
      </w:r>
      <w:r w:rsidRPr="00193674">
        <w:rPr>
          <w:rFonts w:asciiTheme="minorHAnsi" w:hAnsiTheme="minorHAnsi"/>
          <w:szCs w:val="22"/>
        </w:rPr>
        <w:t>, Biddulph</w:t>
      </w:r>
      <w:r w:rsidR="00EC153C" w:rsidRPr="00193674">
        <w:rPr>
          <w:rFonts w:asciiTheme="minorHAnsi" w:hAnsiTheme="minorHAnsi"/>
          <w:szCs w:val="22"/>
        </w:rPr>
        <w:t>,</w:t>
      </w:r>
      <w:r w:rsidRPr="00193674">
        <w:rPr>
          <w:rFonts w:asciiTheme="minorHAnsi" w:hAnsiTheme="minorHAnsi"/>
          <w:szCs w:val="22"/>
        </w:rPr>
        <w:t xml:space="preserve"> P</w:t>
      </w:r>
      <w:r w:rsidR="00EC153C" w:rsidRPr="00193674">
        <w:rPr>
          <w:rFonts w:asciiTheme="minorHAnsi" w:hAnsiTheme="minorHAnsi"/>
          <w:szCs w:val="22"/>
        </w:rPr>
        <w:t>.</w:t>
      </w:r>
      <w:r w:rsidRPr="00193674">
        <w:rPr>
          <w:rFonts w:asciiTheme="minorHAnsi" w:hAnsiTheme="minorHAnsi"/>
          <w:szCs w:val="22"/>
        </w:rPr>
        <w:t>, Milner</w:t>
      </w:r>
      <w:r w:rsidR="00EC153C" w:rsidRPr="00193674">
        <w:rPr>
          <w:rFonts w:asciiTheme="minorHAnsi" w:hAnsiTheme="minorHAnsi"/>
          <w:szCs w:val="22"/>
        </w:rPr>
        <w:t>,</w:t>
      </w:r>
      <w:r w:rsidRPr="00193674">
        <w:rPr>
          <w:rFonts w:asciiTheme="minorHAnsi" w:hAnsiTheme="minorHAnsi"/>
          <w:szCs w:val="22"/>
        </w:rPr>
        <w:t xml:space="preserve"> J</w:t>
      </w:r>
      <w:r w:rsidR="00EC153C" w:rsidRPr="00193674">
        <w:rPr>
          <w:rFonts w:asciiTheme="minorHAnsi" w:hAnsiTheme="minorHAnsi"/>
          <w:szCs w:val="22"/>
        </w:rPr>
        <w:t>.</w:t>
      </w:r>
      <w:r w:rsidRPr="00193674">
        <w:rPr>
          <w:rFonts w:asciiTheme="minorHAnsi" w:hAnsiTheme="minorHAnsi"/>
          <w:szCs w:val="22"/>
        </w:rPr>
        <w:t>, Vardoulakis</w:t>
      </w:r>
      <w:r w:rsidR="00EC153C" w:rsidRPr="00193674">
        <w:rPr>
          <w:rFonts w:asciiTheme="minorHAnsi" w:hAnsiTheme="minorHAnsi"/>
          <w:szCs w:val="22"/>
        </w:rPr>
        <w:t>,</w:t>
      </w:r>
      <w:r w:rsidRPr="00193674">
        <w:rPr>
          <w:rFonts w:asciiTheme="minorHAnsi" w:hAnsiTheme="minorHAnsi"/>
          <w:szCs w:val="22"/>
        </w:rPr>
        <w:t xml:space="preserve"> S</w:t>
      </w:r>
      <w:r w:rsidR="00EC153C" w:rsidRPr="00193674">
        <w:rPr>
          <w:rFonts w:asciiTheme="minorHAnsi" w:hAnsiTheme="minorHAnsi"/>
          <w:szCs w:val="22"/>
        </w:rPr>
        <w:t>.</w:t>
      </w:r>
      <w:r w:rsidRPr="00193674">
        <w:rPr>
          <w:rFonts w:asciiTheme="minorHAnsi" w:hAnsiTheme="minorHAnsi"/>
          <w:szCs w:val="22"/>
        </w:rPr>
        <w:t>, Ucci</w:t>
      </w:r>
      <w:r w:rsidR="00EC153C" w:rsidRPr="00193674">
        <w:rPr>
          <w:rFonts w:asciiTheme="minorHAnsi" w:hAnsiTheme="minorHAnsi"/>
          <w:szCs w:val="22"/>
        </w:rPr>
        <w:t>,</w:t>
      </w:r>
      <w:r w:rsidRPr="00193674">
        <w:rPr>
          <w:rFonts w:asciiTheme="minorHAnsi" w:hAnsiTheme="minorHAnsi"/>
          <w:szCs w:val="22"/>
        </w:rPr>
        <w:t xml:space="preserve"> M</w:t>
      </w:r>
      <w:r w:rsidR="00EC153C" w:rsidRPr="00193674">
        <w:rPr>
          <w:rFonts w:asciiTheme="minorHAnsi" w:hAnsiTheme="minorHAnsi"/>
          <w:szCs w:val="22"/>
        </w:rPr>
        <w:t>.</w:t>
      </w:r>
      <w:r w:rsidR="00DD67D3" w:rsidRPr="00193674">
        <w:rPr>
          <w:rFonts w:asciiTheme="minorHAnsi" w:hAnsiTheme="minorHAnsi"/>
          <w:szCs w:val="22"/>
        </w:rPr>
        <w:t xml:space="preserve">, </w:t>
      </w:r>
      <w:r w:rsidR="00DD67D3" w:rsidRPr="00193674">
        <w:rPr>
          <w:rFonts w:asciiTheme="minorHAnsi" w:hAnsiTheme="minorHAnsi"/>
        </w:rPr>
        <w:t>Wilkinson, P., Chalabi, Z., Davies</w:t>
      </w:r>
      <w:r w:rsidRPr="00193674">
        <w:rPr>
          <w:rFonts w:asciiTheme="minorHAnsi" w:hAnsiTheme="minorHAnsi"/>
          <w:szCs w:val="22"/>
        </w:rPr>
        <w:t>,</w:t>
      </w:r>
      <w:r w:rsidR="00DD67D3" w:rsidRPr="00193674">
        <w:rPr>
          <w:rFonts w:asciiTheme="minorHAnsi" w:hAnsiTheme="minorHAnsi"/>
          <w:szCs w:val="22"/>
        </w:rPr>
        <w:t xml:space="preserve"> M., </w:t>
      </w:r>
      <w:r w:rsidRPr="00193674">
        <w:rPr>
          <w:rFonts w:asciiTheme="minorHAnsi" w:hAnsiTheme="minorHAnsi"/>
          <w:szCs w:val="22"/>
        </w:rPr>
        <w:t>2012. Indoor PM</w:t>
      </w:r>
      <w:r w:rsidRPr="00193674">
        <w:rPr>
          <w:rFonts w:asciiTheme="minorHAnsi" w:hAnsiTheme="minorHAnsi"/>
          <w:szCs w:val="22"/>
          <w:vertAlign w:val="subscript"/>
        </w:rPr>
        <w:t xml:space="preserve">2.5 </w:t>
      </w:r>
      <w:r w:rsidRPr="00193674">
        <w:rPr>
          <w:rFonts w:asciiTheme="minorHAnsi" w:hAnsiTheme="minorHAnsi"/>
          <w:szCs w:val="22"/>
        </w:rPr>
        <w:t xml:space="preserve">exposure in London’s domestic housing stock. Modelling current and future </w:t>
      </w:r>
      <w:r w:rsidR="0019347B" w:rsidRPr="00193674">
        <w:rPr>
          <w:rFonts w:asciiTheme="minorHAnsi" w:hAnsiTheme="minorHAnsi"/>
          <w:szCs w:val="22"/>
        </w:rPr>
        <w:t>exposures following energy efficient refurbishment. Atmospheric Environment, 62, 336-343.</w:t>
      </w:r>
    </w:p>
    <w:p w14:paraId="71395FA4" w14:textId="77777777" w:rsidR="00750F9D" w:rsidRPr="00193674" w:rsidRDefault="00750F9D" w:rsidP="00E759C5">
      <w:pPr>
        <w:autoSpaceDE w:val="0"/>
        <w:autoSpaceDN w:val="0"/>
        <w:adjustRightInd w:val="0"/>
        <w:jc w:val="both"/>
        <w:rPr>
          <w:rFonts w:asciiTheme="minorHAnsi" w:hAnsiTheme="minorHAnsi"/>
          <w:szCs w:val="22"/>
        </w:rPr>
      </w:pPr>
    </w:p>
    <w:p w14:paraId="41171B34" w14:textId="56C33BD2" w:rsidR="001B1C71" w:rsidRPr="00345F2E" w:rsidRDefault="001B1C71" w:rsidP="00BA29F9">
      <w:pPr>
        <w:autoSpaceDE w:val="0"/>
        <w:autoSpaceDN w:val="0"/>
        <w:adjustRightInd w:val="0"/>
        <w:jc w:val="both"/>
        <w:rPr>
          <w:rFonts w:asciiTheme="minorHAnsi" w:hAnsiTheme="minorHAnsi"/>
          <w:color w:val="231F20"/>
          <w:szCs w:val="22"/>
        </w:rPr>
      </w:pPr>
      <w:r w:rsidRPr="00193674">
        <w:rPr>
          <w:rFonts w:asciiTheme="minorHAnsi" w:hAnsiTheme="minorHAnsi"/>
          <w:szCs w:val="22"/>
        </w:rPr>
        <w:t>Smith</w:t>
      </w:r>
      <w:r w:rsidR="00EC153C" w:rsidRPr="00193674">
        <w:rPr>
          <w:rFonts w:asciiTheme="minorHAnsi" w:hAnsiTheme="minorHAnsi"/>
          <w:szCs w:val="22"/>
        </w:rPr>
        <w:t>,</w:t>
      </w:r>
      <w:r w:rsidRPr="00193674">
        <w:rPr>
          <w:rFonts w:asciiTheme="minorHAnsi" w:hAnsiTheme="minorHAnsi"/>
          <w:szCs w:val="22"/>
        </w:rPr>
        <w:t xml:space="preserve"> B</w:t>
      </w:r>
      <w:r w:rsidR="00EC153C" w:rsidRPr="00193674">
        <w:rPr>
          <w:rFonts w:asciiTheme="minorHAnsi" w:hAnsiTheme="minorHAnsi"/>
          <w:szCs w:val="22"/>
        </w:rPr>
        <w:t>.</w:t>
      </w:r>
      <w:r w:rsidRPr="00193674">
        <w:rPr>
          <w:rFonts w:asciiTheme="minorHAnsi" w:hAnsiTheme="minorHAnsi"/>
          <w:szCs w:val="22"/>
        </w:rPr>
        <w:t>J</w:t>
      </w:r>
      <w:r w:rsidR="00EC153C" w:rsidRPr="00193674">
        <w:rPr>
          <w:rFonts w:asciiTheme="minorHAnsi" w:hAnsiTheme="minorHAnsi"/>
          <w:szCs w:val="22"/>
        </w:rPr>
        <w:t>.</w:t>
      </w:r>
      <w:r w:rsidRPr="00193674">
        <w:rPr>
          <w:rFonts w:asciiTheme="minorHAnsi" w:hAnsiTheme="minorHAnsi"/>
          <w:szCs w:val="22"/>
        </w:rPr>
        <w:t>, Nitschke</w:t>
      </w:r>
      <w:r w:rsidR="00EC153C" w:rsidRPr="00193674">
        <w:rPr>
          <w:rFonts w:asciiTheme="minorHAnsi" w:hAnsiTheme="minorHAnsi"/>
          <w:szCs w:val="22"/>
        </w:rPr>
        <w:t>,</w:t>
      </w:r>
      <w:r w:rsidRPr="00193674">
        <w:rPr>
          <w:rFonts w:asciiTheme="minorHAnsi" w:hAnsiTheme="minorHAnsi"/>
          <w:szCs w:val="22"/>
        </w:rPr>
        <w:t xml:space="preserve"> M</w:t>
      </w:r>
      <w:r w:rsidR="00EC153C" w:rsidRPr="00193674">
        <w:rPr>
          <w:rFonts w:asciiTheme="minorHAnsi" w:hAnsiTheme="minorHAnsi"/>
          <w:szCs w:val="22"/>
        </w:rPr>
        <w:t>.</w:t>
      </w:r>
      <w:r w:rsidRPr="00193674">
        <w:rPr>
          <w:rFonts w:asciiTheme="minorHAnsi" w:hAnsiTheme="minorHAnsi"/>
          <w:szCs w:val="22"/>
        </w:rPr>
        <w:t>, Pilotto</w:t>
      </w:r>
      <w:r w:rsidR="00EC153C" w:rsidRPr="00193674">
        <w:rPr>
          <w:rFonts w:asciiTheme="minorHAnsi" w:hAnsiTheme="minorHAnsi"/>
          <w:szCs w:val="22"/>
        </w:rPr>
        <w:t>,</w:t>
      </w:r>
      <w:r w:rsidRPr="00193674">
        <w:rPr>
          <w:rFonts w:asciiTheme="minorHAnsi" w:hAnsiTheme="minorHAnsi"/>
          <w:szCs w:val="22"/>
        </w:rPr>
        <w:t xml:space="preserve"> L</w:t>
      </w:r>
      <w:r w:rsidR="00EC153C" w:rsidRPr="00193674">
        <w:rPr>
          <w:rFonts w:asciiTheme="minorHAnsi" w:hAnsiTheme="minorHAnsi"/>
          <w:szCs w:val="22"/>
        </w:rPr>
        <w:t>.</w:t>
      </w:r>
      <w:r w:rsidRPr="00193674">
        <w:rPr>
          <w:rFonts w:asciiTheme="minorHAnsi" w:hAnsiTheme="minorHAnsi"/>
          <w:szCs w:val="22"/>
        </w:rPr>
        <w:t>S</w:t>
      </w:r>
      <w:r w:rsidR="00EC153C" w:rsidRPr="00193674">
        <w:rPr>
          <w:rFonts w:asciiTheme="minorHAnsi" w:hAnsiTheme="minorHAnsi"/>
          <w:szCs w:val="22"/>
        </w:rPr>
        <w:t>.</w:t>
      </w:r>
      <w:r w:rsidRPr="00193674">
        <w:rPr>
          <w:rFonts w:asciiTheme="minorHAnsi" w:hAnsiTheme="minorHAnsi"/>
          <w:szCs w:val="22"/>
        </w:rPr>
        <w:t>, Ruffin</w:t>
      </w:r>
      <w:r w:rsidR="00EC153C" w:rsidRPr="00193674">
        <w:rPr>
          <w:rFonts w:asciiTheme="minorHAnsi" w:hAnsiTheme="minorHAnsi"/>
          <w:szCs w:val="22"/>
        </w:rPr>
        <w:t>,</w:t>
      </w:r>
      <w:r w:rsidRPr="00193674">
        <w:rPr>
          <w:rFonts w:asciiTheme="minorHAnsi" w:hAnsiTheme="minorHAnsi"/>
          <w:szCs w:val="22"/>
        </w:rPr>
        <w:t xml:space="preserve"> R</w:t>
      </w:r>
      <w:r w:rsidR="00EC153C" w:rsidRPr="00193674">
        <w:rPr>
          <w:rFonts w:asciiTheme="minorHAnsi" w:hAnsiTheme="minorHAnsi"/>
          <w:szCs w:val="22"/>
        </w:rPr>
        <w:t>.</w:t>
      </w:r>
      <w:r w:rsidRPr="00193674">
        <w:rPr>
          <w:rFonts w:asciiTheme="minorHAnsi" w:hAnsiTheme="minorHAnsi"/>
          <w:szCs w:val="22"/>
        </w:rPr>
        <w:t>E</w:t>
      </w:r>
      <w:r w:rsidR="00EC153C">
        <w:rPr>
          <w:rFonts w:asciiTheme="minorHAnsi" w:hAnsiTheme="minorHAnsi"/>
          <w:color w:val="231F20"/>
          <w:szCs w:val="22"/>
        </w:rPr>
        <w:t>.</w:t>
      </w:r>
      <w:r w:rsidRPr="00345F2E">
        <w:rPr>
          <w:rFonts w:asciiTheme="minorHAnsi" w:hAnsiTheme="minorHAnsi"/>
          <w:color w:val="231F20"/>
          <w:szCs w:val="22"/>
        </w:rPr>
        <w:t>, Pisaniello</w:t>
      </w:r>
      <w:r w:rsidR="00EC153C">
        <w:rPr>
          <w:rFonts w:asciiTheme="minorHAnsi" w:hAnsiTheme="minorHAnsi"/>
          <w:color w:val="231F20"/>
          <w:szCs w:val="22"/>
        </w:rPr>
        <w:t>,</w:t>
      </w:r>
      <w:r w:rsidRPr="00345F2E">
        <w:rPr>
          <w:rFonts w:asciiTheme="minorHAnsi" w:hAnsiTheme="minorHAnsi"/>
          <w:color w:val="231F20"/>
          <w:szCs w:val="22"/>
        </w:rPr>
        <w:t xml:space="preserve"> D</w:t>
      </w:r>
      <w:r w:rsidR="00EC153C">
        <w:rPr>
          <w:rFonts w:asciiTheme="minorHAnsi" w:hAnsiTheme="minorHAnsi"/>
          <w:color w:val="231F20"/>
          <w:szCs w:val="22"/>
        </w:rPr>
        <w:t>.</w:t>
      </w:r>
      <w:r w:rsidRPr="00345F2E">
        <w:rPr>
          <w:rFonts w:asciiTheme="minorHAnsi" w:hAnsiTheme="minorHAnsi"/>
          <w:color w:val="231F20"/>
          <w:szCs w:val="22"/>
        </w:rPr>
        <w:t>L</w:t>
      </w:r>
      <w:r w:rsidR="00EC153C">
        <w:rPr>
          <w:rFonts w:asciiTheme="minorHAnsi" w:hAnsiTheme="minorHAnsi"/>
          <w:color w:val="231F20"/>
          <w:szCs w:val="22"/>
        </w:rPr>
        <w:t>.</w:t>
      </w:r>
      <w:r w:rsidRPr="00345F2E">
        <w:rPr>
          <w:rFonts w:asciiTheme="minorHAnsi" w:hAnsiTheme="minorHAnsi"/>
          <w:color w:val="231F20"/>
          <w:szCs w:val="22"/>
        </w:rPr>
        <w:t>, Wilson</w:t>
      </w:r>
      <w:r w:rsidR="00EC153C">
        <w:rPr>
          <w:rFonts w:asciiTheme="minorHAnsi" w:hAnsiTheme="minorHAnsi"/>
          <w:color w:val="231F20"/>
          <w:szCs w:val="22"/>
        </w:rPr>
        <w:t>,</w:t>
      </w:r>
      <w:r w:rsidRPr="00345F2E">
        <w:rPr>
          <w:rFonts w:asciiTheme="minorHAnsi" w:hAnsiTheme="minorHAnsi"/>
          <w:color w:val="231F20"/>
          <w:szCs w:val="22"/>
        </w:rPr>
        <w:t xml:space="preserve"> K</w:t>
      </w:r>
      <w:r w:rsidR="00EC153C">
        <w:rPr>
          <w:rFonts w:asciiTheme="minorHAnsi" w:hAnsiTheme="minorHAnsi"/>
          <w:color w:val="231F20"/>
          <w:szCs w:val="22"/>
        </w:rPr>
        <w:t>.</w:t>
      </w:r>
      <w:r w:rsidRPr="00345F2E">
        <w:rPr>
          <w:rFonts w:asciiTheme="minorHAnsi" w:hAnsiTheme="minorHAnsi"/>
          <w:color w:val="231F20"/>
          <w:szCs w:val="22"/>
        </w:rPr>
        <w:t>J</w:t>
      </w:r>
      <w:r w:rsidR="00EC153C">
        <w:rPr>
          <w:rFonts w:asciiTheme="minorHAnsi" w:hAnsiTheme="minorHAnsi"/>
          <w:color w:val="231F20"/>
          <w:szCs w:val="22"/>
        </w:rPr>
        <w:t>.,</w:t>
      </w:r>
      <w:r w:rsidRPr="00345F2E">
        <w:rPr>
          <w:rFonts w:asciiTheme="minorHAnsi" w:hAnsiTheme="minorHAnsi"/>
          <w:color w:val="231F20"/>
          <w:szCs w:val="22"/>
        </w:rPr>
        <w:t xml:space="preserve"> 2000. Health effects of daily indoor nitrogen dioxide exposure in people with asthma. European Respiratory Journal, 16, 879-885. </w:t>
      </w:r>
    </w:p>
    <w:p w14:paraId="2E7B60D9" w14:textId="77777777" w:rsidR="00E16C2E" w:rsidRPr="00345F2E" w:rsidRDefault="00E16C2E" w:rsidP="00BA29F9">
      <w:pPr>
        <w:jc w:val="both"/>
        <w:rPr>
          <w:rFonts w:asciiTheme="minorHAnsi" w:hAnsiTheme="minorHAnsi"/>
          <w:snapToGrid w:val="0"/>
          <w:color w:val="0000FF"/>
          <w:szCs w:val="22"/>
          <w:lang w:eastAsia="en-US"/>
        </w:rPr>
      </w:pPr>
    </w:p>
    <w:p w14:paraId="17618B2F" w14:textId="77777777" w:rsidR="001C185D" w:rsidRDefault="006D2EC3" w:rsidP="001C185D">
      <w:pPr>
        <w:autoSpaceDE w:val="0"/>
        <w:autoSpaceDN w:val="0"/>
        <w:adjustRightInd w:val="0"/>
        <w:jc w:val="both"/>
        <w:rPr>
          <w:rFonts w:asciiTheme="minorHAnsi" w:hAnsiTheme="minorHAnsi"/>
          <w:szCs w:val="22"/>
          <w:lang w:eastAsia="el-GR"/>
        </w:rPr>
      </w:pPr>
      <w:r w:rsidRPr="00345F2E">
        <w:rPr>
          <w:rFonts w:asciiTheme="minorHAnsi" w:hAnsiTheme="minorHAnsi"/>
          <w:szCs w:val="22"/>
          <w:lang w:eastAsia="el-GR"/>
        </w:rPr>
        <w:t>Spira-Cohen</w:t>
      </w:r>
      <w:r w:rsidR="00EC153C">
        <w:rPr>
          <w:rFonts w:asciiTheme="minorHAnsi" w:hAnsiTheme="minorHAnsi"/>
          <w:szCs w:val="22"/>
          <w:lang w:eastAsia="el-GR"/>
        </w:rPr>
        <w:t>,</w:t>
      </w:r>
      <w:r w:rsidRPr="00345F2E">
        <w:rPr>
          <w:rFonts w:asciiTheme="minorHAnsi" w:hAnsiTheme="minorHAnsi"/>
          <w:szCs w:val="22"/>
          <w:lang w:eastAsia="el-GR"/>
        </w:rPr>
        <w:t xml:space="preserve"> A</w:t>
      </w:r>
      <w:r w:rsidR="00EC153C">
        <w:rPr>
          <w:rFonts w:asciiTheme="minorHAnsi" w:hAnsiTheme="minorHAnsi"/>
          <w:szCs w:val="22"/>
          <w:lang w:eastAsia="el-GR"/>
        </w:rPr>
        <w:t>.</w:t>
      </w:r>
      <w:r w:rsidRPr="00345F2E">
        <w:rPr>
          <w:rFonts w:asciiTheme="minorHAnsi" w:hAnsiTheme="minorHAnsi"/>
          <w:szCs w:val="22"/>
          <w:lang w:eastAsia="el-GR"/>
        </w:rPr>
        <w:t>, Chen</w:t>
      </w:r>
      <w:r w:rsidR="00EC153C">
        <w:rPr>
          <w:rFonts w:asciiTheme="minorHAnsi" w:hAnsiTheme="minorHAnsi"/>
          <w:szCs w:val="22"/>
          <w:lang w:eastAsia="el-GR"/>
        </w:rPr>
        <w:t>,</w:t>
      </w:r>
      <w:r w:rsidRPr="00345F2E">
        <w:rPr>
          <w:rFonts w:asciiTheme="minorHAnsi" w:hAnsiTheme="minorHAnsi"/>
          <w:szCs w:val="22"/>
          <w:lang w:eastAsia="el-GR"/>
        </w:rPr>
        <w:t xml:space="preserve"> L</w:t>
      </w:r>
      <w:r w:rsidR="00EC153C">
        <w:rPr>
          <w:rFonts w:asciiTheme="minorHAnsi" w:hAnsiTheme="minorHAnsi"/>
          <w:szCs w:val="22"/>
          <w:lang w:eastAsia="el-GR"/>
        </w:rPr>
        <w:t>.</w:t>
      </w:r>
      <w:r w:rsidRPr="00345F2E">
        <w:rPr>
          <w:rFonts w:asciiTheme="minorHAnsi" w:hAnsiTheme="minorHAnsi"/>
          <w:szCs w:val="22"/>
          <w:lang w:eastAsia="el-GR"/>
        </w:rPr>
        <w:t>C</w:t>
      </w:r>
      <w:r w:rsidR="00EC153C">
        <w:rPr>
          <w:rFonts w:asciiTheme="minorHAnsi" w:hAnsiTheme="minorHAnsi"/>
          <w:szCs w:val="22"/>
          <w:lang w:eastAsia="el-GR"/>
        </w:rPr>
        <w:t>.</w:t>
      </w:r>
      <w:r w:rsidRPr="00345F2E">
        <w:rPr>
          <w:rFonts w:asciiTheme="minorHAnsi" w:hAnsiTheme="minorHAnsi"/>
          <w:szCs w:val="22"/>
          <w:lang w:eastAsia="el-GR"/>
        </w:rPr>
        <w:t>, Kendall</w:t>
      </w:r>
      <w:r w:rsidR="00EC153C">
        <w:rPr>
          <w:rFonts w:asciiTheme="minorHAnsi" w:hAnsiTheme="minorHAnsi"/>
          <w:szCs w:val="22"/>
          <w:lang w:eastAsia="el-GR"/>
        </w:rPr>
        <w:t>,</w:t>
      </w:r>
      <w:r w:rsidRPr="00345F2E">
        <w:rPr>
          <w:rFonts w:asciiTheme="minorHAnsi" w:hAnsiTheme="minorHAnsi"/>
          <w:szCs w:val="22"/>
          <w:lang w:eastAsia="el-GR"/>
        </w:rPr>
        <w:t xml:space="preserve"> M</w:t>
      </w:r>
      <w:r w:rsidR="00EC153C">
        <w:rPr>
          <w:rFonts w:asciiTheme="minorHAnsi" w:hAnsiTheme="minorHAnsi"/>
          <w:szCs w:val="22"/>
          <w:lang w:eastAsia="el-GR"/>
        </w:rPr>
        <w:t>.</w:t>
      </w:r>
      <w:r w:rsidRPr="00345F2E">
        <w:rPr>
          <w:rFonts w:asciiTheme="minorHAnsi" w:hAnsiTheme="minorHAnsi"/>
          <w:szCs w:val="22"/>
          <w:lang w:eastAsia="el-GR"/>
        </w:rPr>
        <w:t>, Lall</w:t>
      </w:r>
      <w:r w:rsidR="00EC153C">
        <w:rPr>
          <w:rFonts w:asciiTheme="minorHAnsi" w:hAnsiTheme="minorHAnsi"/>
          <w:szCs w:val="22"/>
          <w:lang w:eastAsia="el-GR"/>
        </w:rPr>
        <w:t>,</w:t>
      </w:r>
      <w:r w:rsidRPr="00345F2E">
        <w:rPr>
          <w:rFonts w:asciiTheme="minorHAnsi" w:hAnsiTheme="minorHAnsi"/>
          <w:szCs w:val="22"/>
          <w:lang w:eastAsia="el-GR"/>
        </w:rPr>
        <w:t xml:space="preserve"> R</w:t>
      </w:r>
      <w:r w:rsidR="00EC153C">
        <w:rPr>
          <w:rFonts w:asciiTheme="minorHAnsi" w:hAnsiTheme="minorHAnsi"/>
          <w:szCs w:val="22"/>
          <w:lang w:eastAsia="el-GR"/>
        </w:rPr>
        <w:t>.</w:t>
      </w:r>
      <w:r w:rsidRPr="00345F2E">
        <w:rPr>
          <w:rFonts w:asciiTheme="minorHAnsi" w:hAnsiTheme="minorHAnsi"/>
          <w:szCs w:val="22"/>
          <w:lang w:eastAsia="el-GR"/>
        </w:rPr>
        <w:t>, Thurston</w:t>
      </w:r>
      <w:r w:rsidR="00EC153C">
        <w:rPr>
          <w:rFonts w:asciiTheme="minorHAnsi" w:hAnsiTheme="minorHAnsi"/>
          <w:szCs w:val="22"/>
          <w:lang w:eastAsia="el-GR"/>
        </w:rPr>
        <w:t>,</w:t>
      </w:r>
      <w:r w:rsidRPr="00345F2E">
        <w:rPr>
          <w:rFonts w:asciiTheme="minorHAnsi" w:hAnsiTheme="minorHAnsi"/>
          <w:szCs w:val="22"/>
          <w:lang w:eastAsia="el-GR"/>
        </w:rPr>
        <w:t xml:space="preserve"> G</w:t>
      </w:r>
      <w:r w:rsidR="00EC153C">
        <w:rPr>
          <w:rFonts w:asciiTheme="minorHAnsi" w:hAnsiTheme="minorHAnsi"/>
          <w:szCs w:val="22"/>
          <w:lang w:eastAsia="el-GR"/>
        </w:rPr>
        <w:t>.</w:t>
      </w:r>
      <w:r w:rsidRPr="00345F2E">
        <w:rPr>
          <w:rFonts w:asciiTheme="minorHAnsi" w:hAnsiTheme="minorHAnsi"/>
          <w:szCs w:val="22"/>
          <w:lang w:eastAsia="el-GR"/>
        </w:rPr>
        <w:t>D</w:t>
      </w:r>
      <w:r w:rsidR="00EC153C">
        <w:rPr>
          <w:rFonts w:asciiTheme="minorHAnsi" w:hAnsiTheme="minorHAnsi"/>
          <w:szCs w:val="22"/>
          <w:lang w:eastAsia="el-GR"/>
        </w:rPr>
        <w:t>.,</w:t>
      </w:r>
      <w:r w:rsidRPr="00345F2E">
        <w:rPr>
          <w:rFonts w:asciiTheme="minorHAnsi" w:hAnsiTheme="minorHAnsi"/>
          <w:szCs w:val="22"/>
          <w:lang w:eastAsia="el-GR"/>
        </w:rPr>
        <w:t xml:space="preserve"> 2011. Personal exposures to traffic related air pollution and acute respiratory health among Bronx schoolchildren with asthma. Environmental Health Perspectives, 119, 559-565. </w:t>
      </w:r>
    </w:p>
    <w:p w14:paraId="7569285D" w14:textId="77777777" w:rsidR="001C185D" w:rsidRDefault="001C185D" w:rsidP="001C185D">
      <w:pPr>
        <w:autoSpaceDE w:val="0"/>
        <w:autoSpaceDN w:val="0"/>
        <w:adjustRightInd w:val="0"/>
        <w:jc w:val="both"/>
        <w:rPr>
          <w:rFonts w:asciiTheme="minorHAnsi" w:hAnsiTheme="minorHAnsi"/>
          <w:szCs w:val="22"/>
          <w:lang w:eastAsia="el-GR"/>
        </w:rPr>
      </w:pPr>
    </w:p>
    <w:p w14:paraId="12FF3233" w14:textId="308148F4" w:rsidR="001C185D" w:rsidRPr="001C185D" w:rsidRDefault="001C185D" w:rsidP="001C185D">
      <w:pPr>
        <w:autoSpaceDE w:val="0"/>
        <w:autoSpaceDN w:val="0"/>
        <w:adjustRightInd w:val="0"/>
        <w:jc w:val="both"/>
        <w:rPr>
          <w:rFonts w:asciiTheme="minorHAnsi" w:hAnsiTheme="minorHAnsi"/>
          <w:szCs w:val="22"/>
          <w:lang w:eastAsia="el-GR"/>
        </w:rPr>
      </w:pPr>
      <w:r w:rsidRPr="001C185D">
        <w:rPr>
          <w:rFonts w:asciiTheme="minorHAnsi" w:hAnsiTheme="minorHAnsi"/>
        </w:rPr>
        <w:t>Taylor</w:t>
      </w:r>
      <w:r>
        <w:rPr>
          <w:rFonts w:asciiTheme="minorHAnsi" w:hAnsiTheme="minorHAnsi"/>
        </w:rPr>
        <w:t>,</w:t>
      </w:r>
      <w:r w:rsidRPr="001C185D">
        <w:rPr>
          <w:rFonts w:asciiTheme="minorHAnsi" w:hAnsiTheme="minorHAnsi"/>
        </w:rPr>
        <w:t xml:space="preserve"> J., Shrubsole C., Hamilton</w:t>
      </w:r>
      <w:r>
        <w:rPr>
          <w:rFonts w:asciiTheme="minorHAnsi" w:hAnsiTheme="minorHAnsi"/>
        </w:rPr>
        <w:t>,</w:t>
      </w:r>
      <w:r w:rsidRPr="001C185D">
        <w:rPr>
          <w:rFonts w:asciiTheme="minorHAnsi" w:hAnsiTheme="minorHAnsi"/>
        </w:rPr>
        <w:t xml:space="preserve"> I., Davies</w:t>
      </w:r>
      <w:r>
        <w:rPr>
          <w:rFonts w:asciiTheme="minorHAnsi" w:hAnsiTheme="minorHAnsi"/>
        </w:rPr>
        <w:t>,</w:t>
      </w:r>
      <w:r w:rsidRPr="001C185D">
        <w:rPr>
          <w:rFonts w:asciiTheme="minorHAnsi" w:hAnsiTheme="minorHAnsi"/>
        </w:rPr>
        <w:t xml:space="preserve"> M., Vardoulakis</w:t>
      </w:r>
      <w:r>
        <w:rPr>
          <w:rFonts w:asciiTheme="minorHAnsi" w:hAnsiTheme="minorHAnsi"/>
        </w:rPr>
        <w:t>,</w:t>
      </w:r>
      <w:r w:rsidRPr="001C185D">
        <w:rPr>
          <w:rFonts w:asciiTheme="minorHAnsi" w:hAnsiTheme="minorHAnsi"/>
        </w:rPr>
        <w:t xml:space="preserve"> S., Dasa</w:t>
      </w:r>
      <w:r>
        <w:rPr>
          <w:rFonts w:asciiTheme="minorHAnsi" w:hAnsiTheme="minorHAnsi"/>
        </w:rPr>
        <w:t>,</w:t>
      </w:r>
      <w:r w:rsidRPr="001C185D">
        <w:rPr>
          <w:rFonts w:asciiTheme="minorHAnsi" w:hAnsiTheme="minorHAnsi"/>
        </w:rPr>
        <w:t xml:space="preserve"> P., Mavrogianni</w:t>
      </w:r>
      <w:r>
        <w:rPr>
          <w:rFonts w:asciiTheme="minorHAnsi" w:hAnsiTheme="minorHAnsi"/>
        </w:rPr>
        <w:t>,</w:t>
      </w:r>
      <w:r w:rsidRPr="001C185D">
        <w:rPr>
          <w:rFonts w:asciiTheme="minorHAnsi" w:hAnsiTheme="minorHAnsi"/>
        </w:rPr>
        <w:t xml:space="preserve"> A., Jones</w:t>
      </w:r>
      <w:r>
        <w:rPr>
          <w:rFonts w:asciiTheme="minorHAnsi" w:hAnsiTheme="minorHAnsi"/>
        </w:rPr>
        <w:t>,</w:t>
      </w:r>
      <w:r w:rsidRPr="001C185D">
        <w:rPr>
          <w:rFonts w:asciiTheme="minorHAnsi" w:hAnsiTheme="minorHAnsi"/>
        </w:rPr>
        <w:t xml:space="preserve"> B., Oikonomou</w:t>
      </w:r>
      <w:r>
        <w:rPr>
          <w:rFonts w:asciiTheme="minorHAnsi" w:hAnsiTheme="minorHAnsi"/>
        </w:rPr>
        <w:t>,</w:t>
      </w:r>
      <w:r w:rsidRPr="001C185D">
        <w:rPr>
          <w:rFonts w:asciiTheme="minorHAnsi" w:hAnsiTheme="minorHAnsi"/>
        </w:rPr>
        <w:t xml:space="preserve"> E., 2014. The modifying effect of the building envelope on population exposure to PM2.5. Indoor Air 24, 639-651</w:t>
      </w:r>
      <w:r>
        <w:rPr>
          <w:rFonts w:asciiTheme="minorHAnsi" w:hAnsiTheme="minorHAnsi"/>
        </w:rPr>
        <w:t>.</w:t>
      </w:r>
    </w:p>
    <w:p w14:paraId="6B683D40" w14:textId="77777777" w:rsidR="00F045F6" w:rsidRPr="00345F2E" w:rsidRDefault="00F045F6" w:rsidP="00BA29F9">
      <w:pPr>
        <w:autoSpaceDE w:val="0"/>
        <w:autoSpaceDN w:val="0"/>
        <w:adjustRightInd w:val="0"/>
        <w:jc w:val="both"/>
        <w:rPr>
          <w:rFonts w:asciiTheme="minorHAnsi" w:hAnsiTheme="minorHAnsi"/>
          <w:szCs w:val="22"/>
          <w:lang w:eastAsia="el-GR"/>
        </w:rPr>
      </w:pPr>
    </w:p>
    <w:p w14:paraId="1B516728" w14:textId="77777777" w:rsidR="00855A63" w:rsidRDefault="004471D4" w:rsidP="00BA29F9">
      <w:pPr>
        <w:jc w:val="both"/>
        <w:rPr>
          <w:rFonts w:asciiTheme="minorHAnsi" w:hAnsiTheme="minorHAnsi"/>
          <w:snapToGrid w:val="0"/>
          <w:szCs w:val="22"/>
          <w:lang w:eastAsia="en-US"/>
        </w:rPr>
      </w:pPr>
      <w:r w:rsidRPr="00345F2E">
        <w:rPr>
          <w:rFonts w:asciiTheme="minorHAnsi" w:hAnsiTheme="minorHAnsi"/>
          <w:snapToGrid w:val="0"/>
          <w:szCs w:val="22"/>
          <w:lang w:eastAsia="en-US"/>
        </w:rPr>
        <w:t>Telmar Communications Limited, 1998. A User's guide to "Daily Life in the 1990s" Telmar Communications Limited, London</w:t>
      </w:r>
      <w:r w:rsidR="005C6994" w:rsidRPr="00345F2E">
        <w:rPr>
          <w:rFonts w:asciiTheme="minorHAnsi" w:hAnsiTheme="minorHAnsi"/>
          <w:snapToGrid w:val="0"/>
          <w:szCs w:val="22"/>
          <w:lang w:eastAsia="en-US"/>
        </w:rPr>
        <w:t>.</w:t>
      </w:r>
    </w:p>
    <w:p w14:paraId="7A8BBA30" w14:textId="77777777" w:rsidR="00E952F1" w:rsidRDefault="00E952F1" w:rsidP="00BA29F9">
      <w:pPr>
        <w:jc w:val="both"/>
        <w:rPr>
          <w:rFonts w:asciiTheme="minorHAnsi" w:hAnsiTheme="minorHAnsi"/>
          <w:snapToGrid w:val="0"/>
          <w:szCs w:val="22"/>
          <w:lang w:eastAsia="en-US"/>
        </w:rPr>
      </w:pPr>
    </w:p>
    <w:p w14:paraId="1888A827" w14:textId="4F92C8D7" w:rsidR="00E952F1" w:rsidRDefault="00E952F1" w:rsidP="00151059">
      <w:pPr>
        <w:autoSpaceDE w:val="0"/>
        <w:autoSpaceDN w:val="0"/>
        <w:adjustRightInd w:val="0"/>
        <w:jc w:val="both"/>
        <w:rPr>
          <w:rFonts w:asciiTheme="minorHAnsi" w:eastAsiaTheme="minorHAnsi" w:hAnsiTheme="minorHAnsi" w:cs="ArialMT"/>
          <w:color w:val="000000"/>
          <w:szCs w:val="22"/>
          <w:lang w:eastAsia="en-US"/>
        </w:rPr>
      </w:pPr>
      <w:r w:rsidRPr="00402349">
        <w:rPr>
          <w:rFonts w:asciiTheme="minorHAnsi" w:eastAsiaTheme="minorHAnsi" w:hAnsiTheme="minorHAnsi" w:cs="ArialMT"/>
          <w:color w:val="000000"/>
          <w:szCs w:val="22"/>
          <w:lang w:eastAsia="en-US"/>
        </w:rPr>
        <w:t>US EPA</w:t>
      </w:r>
      <w:r w:rsidR="005C7E6A">
        <w:rPr>
          <w:rFonts w:asciiTheme="minorHAnsi" w:eastAsiaTheme="minorHAnsi" w:hAnsiTheme="minorHAnsi" w:cs="ArialMT"/>
          <w:color w:val="000000"/>
          <w:szCs w:val="22"/>
          <w:lang w:eastAsia="en-US"/>
        </w:rPr>
        <w:t>, 2013</w:t>
      </w:r>
      <w:r w:rsidRPr="00402349">
        <w:rPr>
          <w:rFonts w:asciiTheme="minorHAnsi" w:eastAsiaTheme="minorHAnsi" w:hAnsiTheme="minorHAnsi" w:cs="ArialMT"/>
          <w:color w:val="000000"/>
          <w:szCs w:val="22"/>
          <w:lang w:eastAsia="en-US"/>
        </w:rPr>
        <w:t xml:space="preserve"> Integrated Science Assessment for Oxides of Nitrogen – Health</w:t>
      </w:r>
      <w:r>
        <w:rPr>
          <w:rFonts w:asciiTheme="minorHAnsi" w:eastAsiaTheme="minorHAnsi" w:hAnsiTheme="minorHAnsi" w:cs="ArialMT"/>
          <w:color w:val="000000"/>
          <w:szCs w:val="22"/>
          <w:lang w:eastAsia="en-US"/>
        </w:rPr>
        <w:t xml:space="preserve"> </w:t>
      </w:r>
      <w:r w:rsidRPr="00402349">
        <w:rPr>
          <w:rFonts w:asciiTheme="minorHAnsi" w:eastAsiaTheme="minorHAnsi" w:hAnsiTheme="minorHAnsi" w:cs="ArialMT"/>
          <w:color w:val="000000"/>
          <w:szCs w:val="22"/>
          <w:lang w:eastAsia="en-US"/>
        </w:rPr>
        <w:t xml:space="preserve">Criteria (First External Review Draft) United </w:t>
      </w:r>
      <w:r>
        <w:rPr>
          <w:rFonts w:asciiTheme="minorHAnsi" w:eastAsiaTheme="minorHAnsi" w:hAnsiTheme="minorHAnsi" w:cs="ArialMT"/>
          <w:color w:val="000000"/>
          <w:szCs w:val="22"/>
          <w:lang w:eastAsia="en-US"/>
        </w:rPr>
        <w:t>States Environmental Protection A</w:t>
      </w:r>
      <w:r w:rsidRPr="00402349">
        <w:rPr>
          <w:rFonts w:asciiTheme="minorHAnsi" w:eastAsiaTheme="minorHAnsi" w:hAnsiTheme="minorHAnsi" w:cs="ArialMT"/>
          <w:color w:val="000000"/>
          <w:szCs w:val="22"/>
          <w:lang w:eastAsia="en-US"/>
        </w:rPr>
        <w:t>gency.</w:t>
      </w:r>
    </w:p>
    <w:p w14:paraId="33367754" w14:textId="24FB31D4" w:rsidR="00E952F1" w:rsidRDefault="00E952F1" w:rsidP="00151059">
      <w:pPr>
        <w:autoSpaceDE w:val="0"/>
        <w:autoSpaceDN w:val="0"/>
        <w:adjustRightInd w:val="0"/>
        <w:jc w:val="both"/>
        <w:rPr>
          <w:rFonts w:asciiTheme="minorHAnsi" w:eastAsiaTheme="minorHAnsi" w:hAnsiTheme="minorHAnsi" w:cs="ArialMT"/>
          <w:color w:val="000000"/>
          <w:szCs w:val="22"/>
          <w:lang w:eastAsia="en-US"/>
        </w:rPr>
      </w:pPr>
      <w:r w:rsidRPr="00402349">
        <w:rPr>
          <w:rFonts w:asciiTheme="minorHAnsi" w:eastAsiaTheme="minorHAnsi" w:hAnsiTheme="minorHAnsi" w:cs="ArialMT"/>
          <w:color w:val="0000FF"/>
          <w:szCs w:val="22"/>
          <w:lang w:eastAsia="en-US"/>
        </w:rPr>
        <w:t xml:space="preserve">http://cfpub.epa.gov/ncea/isa/recordisplay.cfm?deid=259167 </w:t>
      </w:r>
      <w:r w:rsidRPr="00402349">
        <w:rPr>
          <w:rFonts w:asciiTheme="minorHAnsi" w:eastAsiaTheme="minorHAnsi" w:hAnsiTheme="minorHAnsi" w:cs="ArialMT"/>
          <w:color w:val="000000"/>
          <w:szCs w:val="22"/>
          <w:lang w:eastAsia="en-US"/>
        </w:rPr>
        <w:t>[Accessed</w:t>
      </w:r>
      <w:r w:rsidR="00386371">
        <w:rPr>
          <w:rFonts w:asciiTheme="minorHAnsi" w:eastAsiaTheme="minorHAnsi" w:hAnsiTheme="minorHAnsi" w:cs="ArialMT"/>
          <w:color w:val="000000"/>
          <w:szCs w:val="22"/>
          <w:lang w:eastAsia="en-US"/>
        </w:rPr>
        <w:t xml:space="preserve"> </w:t>
      </w:r>
      <w:r w:rsidRPr="00402349">
        <w:rPr>
          <w:rFonts w:asciiTheme="minorHAnsi" w:eastAsiaTheme="minorHAnsi" w:hAnsiTheme="minorHAnsi" w:cs="ArialMT"/>
          <w:color w:val="000000"/>
          <w:szCs w:val="22"/>
          <w:lang w:eastAsia="en-US"/>
        </w:rPr>
        <w:t>February2015]</w:t>
      </w:r>
    </w:p>
    <w:p w14:paraId="4B0FA001" w14:textId="77777777" w:rsidR="00485A9B" w:rsidRPr="00797285" w:rsidRDefault="00485A9B" w:rsidP="00485A9B">
      <w:pPr>
        <w:autoSpaceDE w:val="0"/>
        <w:autoSpaceDN w:val="0"/>
        <w:adjustRightInd w:val="0"/>
        <w:jc w:val="both"/>
        <w:rPr>
          <w:rFonts w:asciiTheme="minorHAnsi" w:eastAsiaTheme="minorHAnsi" w:hAnsiTheme="minorHAnsi" w:cs="ArialMT"/>
          <w:color w:val="000000"/>
          <w:szCs w:val="22"/>
          <w:lang w:eastAsia="en-US"/>
        </w:rPr>
      </w:pPr>
    </w:p>
    <w:p w14:paraId="266B6B64" w14:textId="07581496" w:rsidR="00797285" w:rsidRPr="00797285" w:rsidRDefault="00797285" w:rsidP="00797285">
      <w:pPr>
        <w:autoSpaceDE w:val="0"/>
        <w:autoSpaceDN w:val="0"/>
        <w:adjustRightInd w:val="0"/>
        <w:jc w:val="both"/>
        <w:rPr>
          <w:rFonts w:asciiTheme="minorHAnsi" w:eastAsiaTheme="minorHAnsi" w:hAnsiTheme="minorHAnsi" w:cs="ArialMT"/>
          <w:color w:val="000000"/>
          <w:szCs w:val="22"/>
          <w:lang w:eastAsia="en-US"/>
        </w:rPr>
      </w:pPr>
      <w:r w:rsidRPr="00797285">
        <w:rPr>
          <w:rFonts w:asciiTheme="minorHAnsi" w:hAnsiTheme="minorHAnsi" w:cs="Arial"/>
          <w:color w:val="151515"/>
          <w:szCs w:val="22"/>
          <w:shd w:val="clear" w:color="auto" w:fill="FFFFFF"/>
        </w:rPr>
        <w:t>US EPA, 2016 Integrated Science Assessment for Oxides of Nitrogen – Health Criteria (2016 Final Report). U.S. Environmental Protection Agency, Washin</w:t>
      </w:r>
      <w:r>
        <w:rPr>
          <w:rFonts w:asciiTheme="minorHAnsi" w:hAnsiTheme="minorHAnsi" w:cs="Arial"/>
          <w:color w:val="151515"/>
          <w:szCs w:val="22"/>
          <w:shd w:val="clear" w:color="auto" w:fill="FFFFFF"/>
        </w:rPr>
        <w:t>gton, DC, EPA/600/R-15/068</w:t>
      </w:r>
      <w:r w:rsidRPr="00797285">
        <w:rPr>
          <w:rFonts w:asciiTheme="minorHAnsi" w:hAnsiTheme="minorHAnsi" w:cs="Arial"/>
          <w:color w:val="151515"/>
          <w:szCs w:val="22"/>
          <w:shd w:val="clear" w:color="auto" w:fill="FFFFFF"/>
        </w:rPr>
        <w:t xml:space="preserve">. </w:t>
      </w:r>
      <w:hyperlink r:id="rId39" w:history="1">
        <w:r w:rsidRPr="00797285">
          <w:rPr>
            <w:rStyle w:val="Hyperlink"/>
            <w:rFonts w:asciiTheme="minorHAnsi" w:hAnsiTheme="minorHAnsi" w:cs="Arial"/>
            <w:szCs w:val="22"/>
            <w:shd w:val="clear" w:color="auto" w:fill="FFFFFF"/>
          </w:rPr>
          <w:t>http://cfpub.epa.gov/ncea/isa/recordisplay.cfm?deid=310879</w:t>
        </w:r>
      </w:hyperlink>
      <w:r w:rsidRPr="00797285">
        <w:rPr>
          <w:rStyle w:val="Hyperlink"/>
          <w:rFonts w:asciiTheme="minorHAnsi" w:hAnsiTheme="minorHAnsi" w:cs="Arial"/>
          <w:szCs w:val="22"/>
          <w:shd w:val="clear" w:color="auto" w:fill="FFFFFF"/>
        </w:rPr>
        <w:t xml:space="preserve"> </w:t>
      </w:r>
      <w:r w:rsidRPr="00797285">
        <w:rPr>
          <w:rFonts w:asciiTheme="minorHAnsi" w:eastAsiaTheme="minorHAnsi" w:hAnsiTheme="minorHAnsi" w:cs="ArialMT"/>
          <w:color w:val="000000"/>
          <w:szCs w:val="22"/>
          <w:lang w:eastAsia="en-US"/>
        </w:rPr>
        <w:t>[Accessed February 2016]</w:t>
      </w:r>
    </w:p>
    <w:p w14:paraId="6EF17E88" w14:textId="77777777" w:rsidR="00797285" w:rsidRDefault="00797285" w:rsidP="00485A9B">
      <w:pPr>
        <w:autoSpaceDE w:val="0"/>
        <w:autoSpaceDN w:val="0"/>
        <w:adjustRightInd w:val="0"/>
        <w:jc w:val="both"/>
        <w:rPr>
          <w:rFonts w:asciiTheme="minorHAnsi" w:eastAsiaTheme="minorHAnsi" w:hAnsiTheme="minorHAnsi" w:cs="ArialMT"/>
          <w:color w:val="000000"/>
          <w:szCs w:val="22"/>
          <w:lang w:eastAsia="en-US"/>
        </w:rPr>
      </w:pPr>
    </w:p>
    <w:p w14:paraId="398B690D" w14:textId="67CEE5B9" w:rsidR="00485A9B" w:rsidRDefault="00485A9B" w:rsidP="00485A9B">
      <w:pPr>
        <w:autoSpaceDE w:val="0"/>
        <w:autoSpaceDN w:val="0"/>
        <w:adjustRightInd w:val="0"/>
        <w:jc w:val="both"/>
        <w:rPr>
          <w:rFonts w:asciiTheme="minorHAnsi" w:hAnsiTheme="minorHAnsi"/>
        </w:rPr>
      </w:pPr>
      <w:r w:rsidRPr="00485A9B">
        <w:rPr>
          <w:rFonts w:asciiTheme="minorHAnsi" w:hAnsiTheme="minorHAnsi"/>
          <w:lang w:val="es-ES"/>
        </w:rPr>
        <w:t>Vardoulakis</w:t>
      </w:r>
      <w:r w:rsidR="00AC7B4A">
        <w:rPr>
          <w:rFonts w:asciiTheme="minorHAnsi" w:hAnsiTheme="minorHAnsi"/>
          <w:lang w:val="es-ES"/>
        </w:rPr>
        <w:t>,</w:t>
      </w:r>
      <w:r w:rsidRPr="00485A9B">
        <w:rPr>
          <w:rFonts w:asciiTheme="minorHAnsi" w:hAnsiTheme="minorHAnsi"/>
          <w:lang w:val="es-ES"/>
        </w:rPr>
        <w:t xml:space="preserve"> S., Solazzo</w:t>
      </w:r>
      <w:r w:rsidR="00AC7B4A">
        <w:rPr>
          <w:rFonts w:asciiTheme="minorHAnsi" w:hAnsiTheme="minorHAnsi"/>
          <w:lang w:val="es-ES"/>
        </w:rPr>
        <w:t>,</w:t>
      </w:r>
      <w:r w:rsidRPr="00485A9B">
        <w:rPr>
          <w:rFonts w:asciiTheme="minorHAnsi" w:hAnsiTheme="minorHAnsi"/>
          <w:lang w:val="es-ES"/>
        </w:rPr>
        <w:t xml:space="preserve"> E., Lumbreras</w:t>
      </w:r>
      <w:r w:rsidR="00AC7B4A">
        <w:rPr>
          <w:rFonts w:asciiTheme="minorHAnsi" w:hAnsiTheme="minorHAnsi"/>
          <w:lang w:val="es-ES"/>
        </w:rPr>
        <w:t>,</w:t>
      </w:r>
      <w:r w:rsidRPr="00485A9B">
        <w:rPr>
          <w:rFonts w:asciiTheme="minorHAnsi" w:hAnsiTheme="minorHAnsi"/>
          <w:lang w:val="es-ES"/>
        </w:rPr>
        <w:t xml:space="preserve"> J., 2011. </w:t>
      </w:r>
      <w:r w:rsidRPr="00485A9B">
        <w:rPr>
          <w:rFonts w:asciiTheme="minorHAnsi" w:hAnsiTheme="minorHAnsi"/>
        </w:rPr>
        <w:t>Intra-urban and street scale variability of BTEX, NO2 and O3 in Birmingham, UK: Implications for exposure assessment. Atmospheric Environment 45, 5069-5078.</w:t>
      </w:r>
    </w:p>
    <w:p w14:paraId="203E29D9" w14:textId="77777777" w:rsidR="00B740AB" w:rsidRDefault="00B740AB" w:rsidP="00485A9B">
      <w:pPr>
        <w:autoSpaceDE w:val="0"/>
        <w:autoSpaceDN w:val="0"/>
        <w:adjustRightInd w:val="0"/>
        <w:jc w:val="both"/>
        <w:rPr>
          <w:rFonts w:asciiTheme="minorHAnsi" w:hAnsiTheme="minorHAnsi"/>
        </w:rPr>
      </w:pPr>
    </w:p>
    <w:p w14:paraId="011B041B" w14:textId="7BA1CD3B" w:rsidR="00B740AB" w:rsidRPr="00193674" w:rsidRDefault="00B740AB" w:rsidP="00B740AB">
      <w:pPr>
        <w:rPr>
          <w:rFonts w:asciiTheme="minorHAnsi" w:hAnsiTheme="minorHAnsi"/>
        </w:rPr>
      </w:pPr>
      <w:r w:rsidRPr="00193674">
        <w:rPr>
          <w:rFonts w:asciiTheme="minorHAnsi" w:hAnsiTheme="minorHAnsi"/>
        </w:rPr>
        <w:t>Van Roosbroeck, S., Jacobs, J., Janssen, N.A.H., Oldenwening, M., Hoek, G., Brunekreef, B., 2007. Longterm personal exposure to PM</w:t>
      </w:r>
      <w:r w:rsidRPr="00193674">
        <w:rPr>
          <w:rFonts w:asciiTheme="minorHAnsi" w:hAnsiTheme="minorHAnsi"/>
          <w:vertAlign w:val="subscript"/>
        </w:rPr>
        <w:t>2.5</w:t>
      </w:r>
      <w:r w:rsidRPr="00193674">
        <w:rPr>
          <w:rFonts w:asciiTheme="minorHAnsi" w:hAnsiTheme="minorHAnsi"/>
        </w:rPr>
        <w:t>, soot and NO</w:t>
      </w:r>
      <w:r w:rsidRPr="00193674">
        <w:rPr>
          <w:rFonts w:asciiTheme="minorHAnsi" w:hAnsiTheme="minorHAnsi"/>
          <w:vertAlign w:val="subscript"/>
        </w:rPr>
        <w:t>x</w:t>
      </w:r>
      <w:r w:rsidRPr="00193674">
        <w:rPr>
          <w:rFonts w:asciiTheme="minorHAnsi" w:hAnsiTheme="minorHAnsi"/>
        </w:rPr>
        <w:t xml:space="preserve"> in children attending schools located near busy roads, a validation study. Atmos</w:t>
      </w:r>
      <w:r w:rsidR="00E759C5" w:rsidRPr="00193674">
        <w:rPr>
          <w:rFonts w:asciiTheme="minorHAnsi" w:hAnsiTheme="minorHAnsi"/>
        </w:rPr>
        <w:t xml:space="preserve">pheric </w:t>
      </w:r>
      <w:r w:rsidRPr="00193674">
        <w:rPr>
          <w:rFonts w:asciiTheme="minorHAnsi" w:hAnsiTheme="minorHAnsi"/>
        </w:rPr>
        <w:t>Environ</w:t>
      </w:r>
      <w:r w:rsidR="00E759C5" w:rsidRPr="00193674">
        <w:rPr>
          <w:rFonts w:asciiTheme="minorHAnsi" w:hAnsiTheme="minorHAnsi"/>
        </w:rPr>
        <w:t>ment</w:t>
      </w:r>
      <w:r w:rsidRPr="00193674">
        <w:rPr>
          <w:rFonts w:asciiTheme="minorHAnsi" w:hAnsiTheme="minorHAnsi"/>
        </w:rPr>
        <w:t>, 41, 3381–3394.</w:t>
      </w:r>
    </w:p>
    <w:p w14:paraId="30A16F09" w14:textId="77777777" w:rsidR="00855A63" w:rsidRPr="00193674" w:rsidRDefault="00855A63" w:rsidP="00151059">
      <w:pPr>
        <w:jc w:val="both"/>
        <w:rPr>
          <w:rFonts w:asciiTheme="minorHAnsi" w:hAnsiTheme="minorHAnsi"/>
          <w:snapToGrid w:val="0"/>
          <w:szCs w:val="22"/>
          <w:lang w:eastAsia="en-US"/>
        </w:rPr>
      </w:pPr>
    </w:p>
    <w:p w14:paraId="38FD57AA" w14:textId="6D03BD11" w:rsidR="00855A63" w:rsidRPr="00193674" w:rsidRDefault="00855A63" w:rsidP="00151059">
      <w:pPr>
        <w:autoSpaceDE w:val="0"/>
        <w:autoSpaceDN w:val="0"/>
        <w:adjustRightInd w:val="0"/>
        <w:jc w:val="both"/>
        <w:rPr>
          <w:rFonts w:asciiTheme="minorHAnsi" w:eastAsiaTheme="minorHAnsi" w:hAnsiTheme="minorHAnsi" w:cs="Arial"/>
          <w:szCs w:val="22"/>
          <w:lang w:eastAsia="en-US"/>
        </w:rPr>
      </w:pPr>
      <w:r w:rsidRPr="00193674">
        <w:rPr>
          <w:rFonts w:asciiTheme="minorHAnsi" w:eastAsiaTheme="minorHAnsi" w:hAnsiTheme="minorHAnsi" w:cs="Arial"/>
          <w:szCs w:val="22"/>
          <w:lang w:eastAsia="en-US"/>
        </w:rPr>
        <w:t>WHO</w:t>
      </w:r>
      <w:r w:rsidR="005C7E6A" w:rsidRPr="00193674">
        <w:rPr>
          <w:rFonts w:asciiTheme="minorHAnsi" w:eastAsiaTheme="minorHAnsi" w:hAnsiTheme="minorHAnsi" w:cs="Arial"/>
          <w:szCs w:val="22"/>
          <w:lang w:eastAsia="en-US"/>
        </w:rPr>
        <w:t>, 2013</w:t>
      </w:r>
      <w:r w:rsidRPr="00193674">
        <w:rPr>
          <w:rFonts w:asciiTheme="minorHAnsi" w:eastAsiaTheme="minorHAnsi" w:hAnsiTheme="minorHAnsi" w:cs="Arial"/>
          <w:szCs w:val="22"/>
          <w:lang w:eastAsia="en-US"/>
        </w:rPr>
        <w:t xml:space="preserve"> Review of evidence on health aspects of air pollution-REVIHAAP</w:t>
      </w:r>
    </w:p>
    <w:p w14:paraId="6A18E7C7" w14:textId="77777777" w:rsidR="00855A63" w:rsidRPr="000C58F9" w:rsidRDefault="00855A63" w:rsidP="00151059">
      <w:pPr>
        <w:autoSpaceDE w:val="0"/>
        <w:autoSpaceDN w:val="0"/>
        <w:adjustRightInd w:val="0"/>
        <w:jc w:val="both"/>
        <w:rPr>
          <w:rFonts w:asciiTheme="minorHAnsi" w:eastAsiaTheme="minorHAnsi" w:hAnsiTheme="minorHAnsi" w:cs="Arial"/>
          <w:color w:val="000000"/>
          <w:szCs w:val="22"/>
          <w:lang w:eastAsia="en-US"/>
        </w:rPr>
      </w:pPr>
      <w:r w:rsidRPr="000C58F9">
        <w:rPr>
          <w:rFonts w:asciiTheme="minorHAnsi" w:eastAsiaTheme="minorHAnsi" w:hAnsiTheme="minorHAnsi" w:cs="Arial"/>
          <w:color w:val="000000"/>
          <w:szCs w:val="22"/>
          <w:lang w:eastAsia="en-US"/>
        </w:rPr>
        <w:t>project: final technical report. World Health Organziation Regional Office for Europe.</w:t>
      </w:r>
    </w:p>
    <w:p w14:paraId="5880A105" w14:textId="77777777" w:rsidR="00855A63" w:rsidRPr="000C58F9" w:rsidRDefault="00855A63" w:rsidP="00151059">
      <w:pPr>
        <w:autoSpaceDE w:val="0"/>
        <w:autoSpaceDN w:val="0"/>
        <w:adjustRightInd w:val="0"/>
        <w:jc w:val="both"/>
        <w:rPr>
          <w:rFonts w:asciiTheme="minorHAnsi" w:eastAsiaTheme="minorHAnsi" w:hAnsiTheme="minorHAnsi" w:cs="Arial"/>
          <w:color w:val="0000FF"/>
          <w:szCs w:val="22"/>
          <w:lang w:eastAsia="en-US"/>
        </w:rPr>
      </w:pPr>
      <w:r w:rsidRPr="000C58F9">
        <w:rPr>
          <w:rFonts w:asciiTheme="minorHAnsi" w:eastAsiaTheme="minorHAnsi" w:hAnsiTheme="minorHAnsi" w:cs="Arial"/>
          <w:color w:val="0000FF"/>
          <w:szCs w:val="22"/>
          <w:lang w:eastAsia="en-US"/>
        </w:rPr>
        <w:t>http://www.euro.who.int/en/health-topics/environment-and-health/airquality/</w:t>
      </w:r>
    </w:p>
    <w:p w14:paraId="59AE33F3" w14:textId="77777777" w:rsidR="00855A63" w:rsidRPr="000C58F9" w:rsidRDefault="00855A63" w:rsidP="00151059">
      <w:pPr>
        <w:autoSpaceDE w:val="0"/>
        <w:autoSpaceDN w:val="0"/>
        <w:adjustRightInd w:val="0"/>
        <w:jc w:val="both"/>
        <w:rPr>
          <w:rFonts w:asciiTheme="minorHAnsi" w:eastAsiaTheme="minorHAnsi" w:hAnsiTheme="minorHAnsi" w:cs="Arial"/>
          <w:color w:val="0000FF"/>
          <w:szCs w:val="22"/>
          <w:lang w:eastAsia="en-US"/>
        </w:rPr>
      </w:pPr>
      <w:r w:rsidRPr="000C58F9">
        <w:rPr>
          <w:rFonts w:asciiTheme="minorHAnsi" w:eastAsiaTheme="minorHAnsi" w:hAnsiTheme="minorHAnsi" w:cs="Arial"/>
          <w:color w:val="0000FF"/>
          <w:szCs w:val="22"/>
          <w:lang w:eastAsia="en-US"/>
        </w:rPr>
        <w:t>publications/2013/review-of-evidence-on-health-aspects-of-air-pollutionrevihaap-</w:t>
      </w:r>
    </w:p>
    <w:p w14:paraId="2099B4F7" w14:textId="75D63D61" w:rsidR="00855A63" w:rsidRDefault="00855A63" w:rsidP="00BA29F9">
      <w:pPr>
        <w:jc w:val="both"/>
        <w:rPr>
          <w:rFonts w:asciiTheme="minorHAnsi" w:hAnsiTheme="minorHAnsi"/>
          <w:snapToGrid w:val="0"/>
          <w:szCs w:val="22"/>
          <w:lang w:eastAsia="en-US"/>
        </w:rPr>
      </w:pPr>
      <w:r w:rsidRPr="000C58F9">
        <w:rPr>
          <w:rFonts w:asciiTheme="minorHAnsi" w:eastAsiaTheme="minorHAnsi" w:hAnsiTheme="minorHAnsi" w:cs="Arial"/>
          <w:color w:val="0000FF"/>
          <w:szCs w:val="22"/>
          <w:lang w:eastAsia="en-US"/>
        </w:rPr>
        <w:t xml:space="preserve">project-final-technical-report </w:t>
      </w:r>
    </w:p>
    <w:p w14:paraId="01965F10" w14:textId="77777777" w:rsidR="00B23D2C" w:rsidRDefault="00B23D2C" w:rsidP="0016639F">
      <w:pPr>
        <w:jc w:val="both"/>
        <w:rPr>
          <w:rFonts w:asciiTheme="minorHAnsi" w:hAnsiTheme="minorHAnsi"/>
          <w:szCs w:val="22"/>
        </w:rPr>
      </w:pPr>
    </w:p>
    <w:p w14:paraId="4F088867" w14:textId="77777777" w:rsidR="0016639F" w:rsidRDefault="004471D4" w:rsidP="0016639F">
      <w:pPr>
        <w:jc w:val="both"/>
        <w:rPr>
          <w:rFonts w:asciiTheme="minorHAnsi" w:hAnsiTheme="minorHAnsi"/>
          <w:szCs w:val="22"/>
        </w:rPr>
      </w:pPr>
      <w:r w:rsidRPr="00D96F10">
        <w:rPr>
          <w:rFonts w:asciiTheme="minorHAnsi" w:hAnsiTheme="minorHAnsi"/>
          <w:szCs w:val="22"/>
        </w:rPr>
        <w:t>Wu</w:t>
      </w:r>
      <w:r w:rsidR="00210844" w:rsidRPr="00D96F10">
        <w:rPr>
          <w:rFonts w:asciiTheme="minorHAnsi" w:hAnsiTheme="minorHAnsi"/>
          <w:szCs w:val="22"/>
        </w:rPr>
        <w:t>,</w:t>
      </w:r>
      <w:r w:rsidRPr="00D96F10">
        <w:rPr>
          <w:rFonts w:asciiTheme="minorHAnsi" w:hAnsiTheme="minorHAnsi"/>
          <w:szCs w:val="22"/>
        </w:rPr>
        <w:t xml:space="preserve"> J</w:t>
      </w:r>
      <w:r w:rsidR="00210844" w:rsidRPr="00D96F10">
        <w:rPr>
          <w:rFonts w:asciiTheme="minorHAnsi" w:hAnsiTheme="minorHAnsi"/>
          <w:szCs w:val="22"/>
        </w:rPr>
        <w:t>.</w:t>
      </w:r>
      <w:r w:rsidRPr="00D96F10">
        <w:rPr>
          <w:rFonts w:asciiTheme="minorHAnsi" w:hAnsiTheme="minorHAnsi"/>
          <w:szCs w:val="22"/>
        </w:rPr>
        <w:t>, Lurmann</w:t>
      </w:r>
      <w:r w:rsidR="00210844" w:rsidRPr="00D96F10">
        <w:rPr>
          <w:rFonts w:asciiTheme="minorHAnsi" w:hAnsiTheme="minorHAnsi"/>
          <w:szCs w:val="22"/>
        </w:rPr>
        <w:t>,</w:t>
      </w:r>
      <w:r w:rsidRPr="00D96F10">
        <w:rPr>
          <w:rFonts w:asciiTheme="minorHAnsi" w:hAnsiTheme="minorHAnsi"/>
          <w:szCs w:val="22"/>
        </w:rPr>
        <w:t xml:space="preserve"> F</w:t>
      </w:r>
      <w:r w:rsidR="00210844" w:rsidRPr="00D96F10">
        <w:rPr>
          <w:rFonts w:asciiTheme="minorHAnsi" w:hAnsiTheme="minorHAnsi"/>
          <w:szCs w:val="22"/>
        </w:rPr>
        <w:t>.</w:t>
      </w:r>
      <w:r w:rsidRPr="00D96F10">
        <w:rPr>
          <w:rFonts w:asciiTheme="minorHAnsi" w:hAnsiTheme="minorHAnsi"/>
          <w:szCs w:val="22"/>
        </w:rPr>
        <w:t>, Winer</w:t>
      </w:r>
      <w:r w:rsidR="00210844" w:rsidRPr="00D96F10">
        <w:rPr>
          <w:rFonts w:asciiTheme="minorHAnsi" w:hAnsiTheme="minorHAnsi"/>
          <w:szCs w:val="22"/>
        </w:rPr>
        <w:t>,</w:t>
      </w:r>
      <w:r w:rsidRPr="00D96F10">
        <w:rPr>
          <w:rFonts w:asciiTheme="minorHAnsi" w:hAnsiTheme="minorHAnsi"/>
          <w:szCs w:val="22"/>
        </w:rPr>
        <w:t xml:space="preserve"> A</w:t>
      </w:r>
      <w:r w:rsidR="00210844" w:rsidRPr="00D96F10">
        <w:rPr>
          <w:rFonts w:asciiTheme="minorHAnsi" w:hAnsiTheme="minorHAnsi"/>
          <w:szCs w:val="22"/>
        </w:rPr>
        <w:t>.</w:t>
      </w:r>
      <w:r w:rsidRPr="00D96F10">
        <w:rPr>
          <w:rFonts w:asciiTheme="minorHAnsi" w:hAnsiTheme="minorHAnsi"/>
          <w:szCs w:val="22"/>
        </w:rPr>
        <w:t>, Lu</w:t>
      </w:r>
      <w:r w:rsidR="00210844" w:rsidRPr="00D96F10">
        <w:rPr>
          <w:rFonts w:asciiTheme="minorHAnsi" w:hAnsiTheme="minorHAnsi"/>
          <w:szCs w:val="22"/>
        </w:rPr>
        <w:t>,</w:t>
      </w:r>
      <w:r w:rsidRPr="00D96F10">
        <w:rPr>
          <w:rFonts w:asciiTheme="minorHAnsi" w:hAnsiTheme="minorHAnsi"/>
          <w:szCs w:val="22"/>
        </w:rPr>
        <w:t xml:space="preserve"> R</w:t>
      </w:r>
      <w:r w:rsidR="00210844" w:rsidRPr="00D96F10">
        <w:rPr>
          <w:rFonts w:asciiTheme="minorHAnsi" w:hAnsiTheme="minorHAnsi"/>
          <w:szCs w:val="22"/>
        </w:rPr>
        <w:t>.</w:t>
      </w:r>
      <w:r w:rsidRPr="00D96F10">
        <w:rPr>
          <w:rFonts w:asciiTheme="minorHAnsi" w:hAnsiTheme="minorHAnsi"/>
          <w:szCs w:val="22"/>
        </w:rPr>
        <w:t>, Turco</w:t>
      </w:r>
      <w:r w:rsidR="00210844" w:rsidRPr="00D96F10">
        <w:rPr>
          <w:rFonts w:asciiTheme="minorHAnsi" w:hAnsiTheme="minorHAnsi"/>
          <w:szCs w:val="22"/>
        </w:rPr>
        <w:t>,</w:t>
      </w:r>
      <w:r w:rsidRPr="00D96F10">
        <w:rPr>
          <w:rFonts w:asciiTheme="minorHAnsi" w:hAnsiTheme="minorHAnsi"/>
          <w:szCs w:val="22"/>
        </w:rPr>
        <w:t xml:space="preserve"> R</w:t>
      </w:r>
      <w:r w:rsidR="00210844" w:rsidRPr="00D96F10">
        <w:rPr>
          <w:rFonts w:asciiTheme="minorHAnsi" w:hAnsiTheme="minorHAnsi"/>
          <w:szCs w:val="22"/>
        </w:rPr>
        <w:t xml:space="preserve">., </w:t>
      </w:r>
      <w:r w:rsidRPr="00D96F10">
        <w:rPr>
          <w:rFonts w:asciiTheme="minorHAnsi" w:hAnsiTheme="minorHAnsi"/>
          <w:szCs w:val="22"/>
        </w:rPr>
        <w:t>Funk</w:t>
      </w:r>
      <w:r w:rsidR="00210844" w:rsidRPr="00D96F10">
        <w:rPr>
          <w:rFonts w:asciiTheme="minorHAnsi" w:hAnsiTheme="minorHAnsi"/>
          <w:szCs w:val="22"/>
        </w:rPr>
        <w:t>,</w:t>
      </w:r>
      <w:r w:rsidRPr="00D96F10">
        <w:rPr>
          <w:rFonts w:asciiTheme="minorHAnsi" w:hAnsiTheme="minorHAnsi"/>
          <w:szCs w:val="22"/>
        </w:rPr>
        <w:t xml:space="preserve"> T</w:t>
      </w:r>
      <w:r w:rsidR="00210844" w:rsidRPr="00D96F10">
        <w:rPr>
          <w:rFonts w:asciiTheme="minorHAnsi" w:hAnsiTheme="minorHAnsi"/>
          <w:szCs w:val="22"/>
        </w:rPr>
        <w:t>.</w:t>
      </w:r>
      <w:r w:rsidR="00AC7B4A">
        <w:rPr>
          <w:rFonts w:asciiTheme="minorHAnsi" w:hAnsiTheme="minorHAnsi"/>
          <w:szCs w:val="22"/>
        </w:rPr>
        <w:t>,</w:t>
      </w:r>
      <w:r w:rsidR="00210844" w:rsidRPr="00D96F10">
        <w:rPr>
          <w:rFonts w:asciiTheme="minorHAnsi" w:hAnsiTheme="minorHAnsi"/>
          <w:szCs w:val="22"/>
        </w:rPr>
        <w:t xml:space="preserve"> </w:t>
      </w:r>
      <w:r w:rsidRPr="00D96F10">
        <w:rPr>
          <w:rFonts w:asciiTheme="minorHAnsi" w:hAnsiTheme="minorHAnsi"/>
          <w:szCs w:val="22"/>
        </w:rPr>
        <w:t xml:space="preserve">2005. </w:t>
      </w:r>
      <w:r w:rsidRPr="00345F2E">
        <w:rPr>
          <w:rFonts w:asciiTheme="minorHAnsi" w:hAnsiTheme="minorHAnsi"/>
          <w:szCs w:val="22"/>
        </w:rPr>
        <w:t>Development of an individual exposure model for application to the Southern California children’s health study, Atmospheric Environment, 39, 259-273.</w:t>
      </w:r>
    </w:p>
    <w:p w14:paraId="7CCBFA6D" w14:textId="77777777" w:rsidR="0016639F" w:rsidRPr="0016639F" w:rsidRDefault="0016639F" w:rsidP="0016639F">
      <w:pPr>
        <w:jc w:val="both"/>
        <w:rPr>
          <w:rFonts w:asciiTheme="minorHAnsi" w:hAnsiTheme="minorHAnsi"/>
          <w:szCs w:val="22"/>
        </w:rPr>
      </w:pPr>
    </w:p>
    <w:p w14:paraId="192637B6" w14:textId="66E703CD" w:rsidR="007D3A31" w:rsidRDefault="007D3A31" w:rsidP="007C58F6">
      <w:pPr>
        <w:jc w:val="both"/>
        <w:rPr>
          <w:rFonts w:asciiTheme="minorHAnsi" w:hAnsiTheme="minorHAnsi"/>
          <w:b/>
        </w:rPr>
      </w:pPr>
    </w:p>
    <w:sectPr w:rsidR="007D3A31" w:rsidSect="00DB5FBF">
      <w:footerReference w:type="even" r:id="rId40"/>
      <w:footerReference w:type="default" r:id="rId41"/>
      <w:type w:val="continuous"/>
      <w:pgSz w:w="11906" w:h="16838"/>
      <w:pgMar w:top="1440" w:right="1286" w:bottom="1440" w:left="1800" w:header="708" w:footer="708"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919F5" w14:textId="77777777" w:rsidR="00203C37" w:rsidRDefault="00203C37">
      <w:r>
        <w:separator/>
      </w:r>
    </w:p>
  </w:endnote>
  <w:endnote w:type="continuationSeparator" w:id="0">
    <w:p w14:paraId="703D859C" w14:textId="77777777" w:rsidR="00203C37" w:rsidRDefault="0020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TTb5929f4c">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dvTT00bc0be2">
    <w:panose1 w:val="00000000000000000000"/>
    <w:charset w:val="00"/>
    <w:family w:val="roman"/>
    <w:notTrueType/>
    <w:pitch w:val="default"/>
    <w:sig w:usb0="00000003" w:usb1="00000000" w:usb2="00000000" w:usb3="00000000" w:csb0="00000001" w:csb1="00000000"/>
  </w:font>
  <w:font w:name="AdvTT00bc0be2+fb">
    <w:panose1 w:val="00000000000000000000"/>
    <w:charset w:val="00"/>
    <w:family w:val="auto"/>
    <w:notTrueType/>
    <w:pitch w:val="default"/>
    <w:sig w:usb0="00000003" w:usb1="00000000" w:usb2="00000000" w:usb3="00000000" w:csb0="00000001" w:csb1="00000000"/>
  </w:font>
  <w:font w:name="AdvOT863180fb">
    <w:panose1 w:val="00000000000000000000"/>
    <w:charset w:val="00"/>
    <w:family w:val="auto"/>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 w:name="AdvTT5235d5a9">
    <w:panose1 w:val="00000000000000000000"/>
    <w:charset w:val="00"/>
    <w:family w:val="roman"/>
    <w:notTrueType/>
    <w:pitch w:val="default"/>
    <w:sig w:usb0="00000003" w:usb1="00000000" w:usb2="00000000" w:usb3="00000000" w:csb0="00000001" w:csb1="00000000"/>
  </w:font>
  <w:font w:name="AdvTT5235d5a9+fb">
    <w:panose1 w:val="00000000000000000000"/>
    <w:charset w:val="00"/>
    <w:family w:val="auto"/>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dvOTef4c711a.I">
    <w:panose1 w:val="00000000000000000000"/>
    <w:charset w:val="00"/>
    <w:family w:val="swiss"/>
    <w:notTrueType/>
    <w:pitch w:val="default"/>
    <w:sig w:usb0="00000003" w:usb1="00000000" w:usb2="00000000" w:usb3="00000000" w:csb0="00000001" w:csb1="00000000"/>
  </w:font>
  <w:font w:name="AdvOT30a32c65">
    <w:panose1 w:val="00000000000000000000"/>
    <w:charset w:val="00"/>
    <w:family w:val="swiss"/>
    <w:notTrueType/>
    <w:pitch w:val="default"/>
    <w:sig w:usb0="00000003" w:usb1="00000000" w:usb2="00000000" w:usb3="00000000" w:csb0="00000001" w:csb1="00000000"/>
  </w:font>
  <w:font w:name="AdvOT9bd2e232.B">
    <w:panose1 w:val="00000000000000000000"/>
    <w:charset w:val="00"/>
    <w:family w:val="swiss"/>
    <w:notTrueType/>
    <w:pitch w:val="default"/>
    <w:sig w:usb0="00000003" w:usb1="00000000" w:usb2="00000000" w:usb3="00000000" w:csb0="00000001" w:csb1="00000000"/>
  </w:font>
  <w:font w:name="AdvTT5235d5a9+2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14AD"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8F82D" w14:textId="77777777" w:rsidR="00CD6E9A" w:rsidRDefault="00CD6E9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61B41"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92B">
      <w:rPr>
        <w:rStyle w:val="PageNumber"/>
        <w:noProof/>
      </w:rPr>
      <w:t>16</w:t>
    </w:r>
    <w:r>
      <w:rPr>
        <w:rStyle w:val="PageNumber"/>
      </w:rPr>
      <w:fldChar w:fldCharType="end"/>
    </w:r>
  </w:p>
  <w:p w14:paraId="5C5065A0" w14:textId="77777777" w:rsidR="00CD6E9A" w:rsidRDefault="00CD6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987668"/>
      <w:docPartObj>
        <w:docPartGallery w:val="Page Numbers (Bottom of Page)"/>
        <w:docPartUnique/>
      </w:docPartObj>
    </w:sdtPr>
    <w:sdtEndPr>
      <w:rPr>
        <w:noProof/>
      </w:rPr>
    </w:sdtEndPr>
    <w:sdtContent>
      <w:p w14:paraId="3531B612" w14:textId="77777777" w:rsidR="00CD6E9A" w:rsidRDefault="00CD6E9A">
        <w:pPr>
          <w:pStyle w:val="Footer"/>
          <w:jc w:val="right"/>
        </w:pPr>
        <w:r>
          <w:fldChar w:fldCharType="begin"/>
        </w:r>
        <w:r>
          <w:instrText xml:space="preserve"> PAGE   \* MERGEFORMAT </w:instrText>
        </w:r>
        <w:r>
          <w:fldChar w:fldCharType="separate"/>
        </w:r>
        <w:r w:rsidR="00E400C9">
          <w:rPr>
            <w:noProof/>
          </w:rPr>
          <w:t>1</w:t>
        </w:r>
        <w:r>
          <w:rPr>
            <w:noProof/>
          </w:rPr>
          <w:fldChar w:fldCharType="end"/>
        </w:r>
      </w:p>
    </w:sdtContent>
  </w:sdt>
  <w:p w14:paraId="4F228EF4" w14:textId="77777777" w:rsidR="00CD6E9A" w:rsidRDefault="00CD6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98C0D"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EAD5C" w14:textId="77777777" w:rsidR="00CD6E9A" w:rsidRDefault="00CD6E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3AEF0"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CAB1363" w14:textId="77777777" w:rsidR="00CD6E9A" w:rsidRDefault="00CD6E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9CBF"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640037" w14:textId="77777777" w:rsidR="00CD6E9A" w:rsidRDefault="00CD6E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436D"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92B">
      <w:rPr>
        <w:rStyle w:val="PageNumber"/>
        <w:noProof/>
      </w:rPr>
      <w:t>13</w:t>
    </w:r>
    <w:r>
      <w:rPr>
        <w:rStyle w:val="PageNumber"/>
      </w:rPr>
      <w:fldChar w:fldCharType="end"/>
    </w:r>
  </w:p>
  <w:p w14:paraId="64C28190" w14:textId="77777777" w:rsidR="00CD6E9A" w:rsidRDefault="00CD6E9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B2949"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BAE88" w14:textId="77777777" w:rsidR="00CD6E9A" w:rsidRDefault="00CD6E9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59B63"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92B">
      <w:rPr>
        <w:rStyle w:val="PageNumber"/>
        <w:noProof/>
      </w:rPr>
      <w:t>14</w:t>
    </w:r>
    <w:r>
      <w:rPr>
        <w:rStyle w:val="PageNumber"/>
      </w:rPr>
      <w:fldChar w:fldCharType="end"/>
    </w:r>
  </w:p>
  <w:p w14:paraId="2B06F60A" w14:textId="77777777" w:rsidR="00CD6E9A" w:rsidRDefault="00CD6E9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259B" w14:textId="77777777" w:rsidR="00CD6E9A" w:rsidRDefault="00CD6E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64B87" w14:textId="77777777" w:rsidR="00CD6E9A" w:rsidRDefault="00CD6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A8C0" w14:textId="77777777" w:rsidR="00203C37" w:rsidRDefault="00203C37">
      <w:r>
        <w:separator/>
      </w:r>
    </w:p>
  </w:footnote>
  <w:footnote w:type="continuationSeparator" w:id="0">
    <w:p w14:paraId="14E4DD46" w14:textId="77777777" w:rsidR="00203C37" w:rsidRDefault="00203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748"/>
    <w:multiLevelType w:val="hybridMultilevel"/>
    <w:tmpl w:val="46161A88"/>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F56DD"/>
    <w:multiLevelType w:val="hybridMultilevel"/>
    <w:tmpl w:val="09021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A4203"/>
    <w:multiLevelType w:val="multilevel"/>
    <w:tmpl w:val="9FD422F6"/>
    <w:lvl w:ilvl="0">
      <w:start w:val="4"/>
      <w:numFmt w:val="decimal"/>
      <w:pStyle w:val="Heading9"/>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CB5C00"/>
    <w:multiLevelType w:val="hybridMultilevel"/>
    <w:tmpl w:val="A9D6F1F6"/>
    <w:lvl w:ilvl="0" w:tplc="E50C842A">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69"/>
    <w:multiLevelType w:val="hybridMultilevel"/>
    <w:tmpl w:val="E0F6FEC4"/>
    <w:lvl w:ilvl="0" w:tplc="63BA2EF6">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 w15:restartNumberingAfterBreak="0">
    <w:nsid w:val="0F2B1DE2"/>
    <w:multiLevelType w:val="hybridMultilevel"/>
    <w:tmpl w:val="5EDC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E7CF0"/>
    <w:multiLevelType w:val="hybridMultilevel"/>
    <w:tmpl w:val="19926E12"/>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563F73"/>
    <w:multiLevelType w:val="hybridMultilevel"/>
    <w:tmpl w:val="EB3AD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A46F1"/>
    <w:multiLevelType w:val="hybridMultilevel"/>
    <w:tmpl w:val="ADBEE152"/>
    <w:lvl w:ilvl="0" w:tplc="29EEE2A6">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965EA"/>
    <w:multiLevelType w:val="multilevel"/>
    <w:tmpl w:val="87845016"/>
    <w:lvl w:ilvl="0">
      <w:start w:val="1"/>
      <w:numFmt w:val="decimal"/>
      <w:pStyle w:val="FigureCaption"/>
      <w:lvlText w:val="Figure %1."/>
      <w:lvlJc w:val="left"/>
      <w:pPr>
        <w:tabs>
          <w:tab w:val="num" w:pos="2835"/>
        </w:tabs>
        <w:ind w:left="2835" w:hanging="1134"/>
      </w:pPr>
      <w:rPr>
        <w:rFonts w:ascii="Times New Roman" w:hAnsi="Times New Roman" w:hint="default"/>
        <w:b w:val="0"/>
        <w:i w:val="0"/>
        <w:sz w:val="24"/>
        <w:szCs w:val="24"/>
      </w:rPr>
    </w:lvl>
    <w:lvl w:ilvl="1" w:tentative="1">
      <w:start w:val="1"/>
      <w:numFmt w:val="lowerLetter"/>
      <w:lvlText w:val="%2."/>
      <w:lvlJc w:val="left"/>
      <w:pPr>
        <w:tabs>
          <w:tab w:val="num" w:pos="3141"/>
        </w:tabs>
        <w:ind w:left="3141" w:hanging="360"/>
      </w:pPr>
    </w:lvl>
    <w:lvl w:ilvl="2" w:tentative="1">
      <w:start w:val="1"/>
      <w:numFmt w:val="lowerRoman"/>
      <w:lvlText w:val="%3."/>
      <w:lvlJc w:val="right"/>
      <w:pPr>
        <w:tabs>
          <w:tab w:val="num" w:pos="3861"/>
        </w:tabs>
        <w:ind w:left="3861" w:hanging="180"/>
      </w:pPr>
    </w:lvl>
    <w:lvl w:ilvl="3" w:tentative="1">
      <w:start w:val="1"/>
      <w:numFmt w:val="decimal"/>
      <w:lvlText w:val="%4."/>
      <w:lvlJc w:val="left"/>
      <w:pPr>
        <w:tabs>
          <w:tab w:val="num" w:pos="4581"/>
        </w:tabs>
        <w:ind w:left="4581" w:hanging="360"/>
      </w:pPr>
    </w:lvl>
    <w:lvl w:ilvl="4" w:tentative="1">
      <w:start w:val="1"/>
      <w:numFmt w:val="lowerLetter"/>
      <w:lvlText w:val="%5."/>
      <w:lvlJc w:val="left"/>
      <w:pPr>
        <w:tabs>
          <w:tab w:val="num" w:pos="5301"/>
        </w:tabs>
        <w:ind w:left="5301" w:hanging="360"/>
      </w:pPr>
    </w:lvl>
    <w:lvl w:ilvl="5" w:tentative="1">
      <w:start w:val="1"/>
      <w:numFmt w:val="lowerRoman"/>
      <w:lvlText w:val="%6."/>
      <w:lvlJc w:val="right"/>
      <w:pPr>
        <w:tabs>
          <w:tab w:val="num" w:pos="6021"/>
        </w:tabs>
        <w:ind w:left="6021" w:hanging="180"/>
      </w:pPr>
    </w:lvl>
    <w:lvl w:ilvl="6" w:tentative="1">
      <w:start w:val="1"/>
      <w:numFmt w:val="decimal"/>
      <w:lvlText w:val="%7."/>
      <w:lvlJc w:val="left"/>
      <w:pPr>
        <w:tabs>
          <w:tab w:val="num" w:pos="6741"/>
        </w:tabs>
        <w:ind w:left="6741" w:hanging="360"/>
      </w:pPr>
    </w:lvl>
    <w:lvl w:ilvl="7" w:tentative="1">
      <w:start w:val="1"/>
      <w:numFmt w:val="lowerLetter"/>
      <w:lvlText w:val="%8."/>
      <w:lvlJc w:val="left"/>
      <w:pPr>
        <w:tabs>
          <w:tab w:val="num" w:pos="7461"/>
        </w:tabs>
        <w:ind w:left="7461" w:hanging="360"/>
      </w:pPr>
    </w:lvl>
    <w:lvl w:ilvl="8" w:tentative="1">
      <w:start w:val="1"/>
      <w:numFmt w:val="lowerRoman"/>
      <w:lvlText w:val="%9."/>
      <w:lvlJc w:val="right"/>
      <w:pPr>
        <w:tabs>
          <w:tab w:val="num" w:pos="8181"/>
        </w:tabs>
        <w:ind w:left="8181" w:hanging="180"/>
      </w:pPr>
    </w:lvl>
  </w:abstractNum>
  <w:abstractNum w:abstractNumId="10" w15:restartNumberingAfterBreak="0">
    <w:nsid w:val="1DC37CF1"/>
    <w:multiLevelType w:val="hybridMultilevel"/>
    <w:tmpl w:val="DBF25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356F0"/>
    <w:multiLevelType w:val="hybridMultilevel"/>
    <w:tmpl w:val="D5F0D9D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F37B58"/>
    <w:multiLevelType w:val="hybridMultilevel"/>
    <w:tmpl w:val="527E3184"/>
    <w:lvl w:ilvl="0" w:tplc="91B43BE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25195DF0"/>
    <w:multiLevelType w:val="multilevel"/>
    <w:tmpl w:val="01A685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F0E03"/>
    <w:multiLevelType w:val="hybridMultilevel"/>
    <w:tmpl w:val="B2C0E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B5827"/>
    <w:multiLevelType w:val="hybridMultilevel"/>
    <w:tmpl w:val="BA84F7FA"/>
    <w:lvl w:ilvl="0" w:tplc="17F455B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7D72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BD62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CC514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4261A3"/>
    <w:multiLevelType w:val="hybridMultilevel"/>
    <w:tmpl w:val="01A6853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4D0DDF"/>
    <w:multiLevelType w:val="hybridMultilevel"/>
    <w:tmpl w:val="BB80C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B64DA"/>
    <w:multiLevelType w:val="hybridMultilevel"/>
    <w:tmpl w:val="1D5A6424"/>
    <w:lvl w:ilvl="0" w:tplc="1D4AF4E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49697402"/>
    <w:multiLevelType w:val="multilevel"/>
    <w:tmpl w:val="96B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F2363"/>
    <w:multiLevelType w:val="hybridMultilevel"/>
    <w:tmpl w:val="DB165CD0"/>
    <w:lvl w:ilvl="0" w:tplc="0F7C7C54">
      <w:numFmt w:val="bullet"/>
      <w:lvlText w:val="-"/>
      <w:lvlJc w:val="left"/>
      <w:pPr>
        <w:tabs>
          <w:tab w:val="num" w:pos="360"/>
        </w:tabs>
        <w:ind w:left="360" w:hanging="360"/>
      </w:pPr>
      <w:rPr>
        <w:rFonts w:ascii="Times New Roman" w:eastAsia="Times New Roman" w:hAnsi="Times New Roman" w:cs="Times New Roman" w:hint="default"/>
      </w:rPr>
    </w:lvl>
    <w:lvl w:ilvl="1" w:tplc="084212EA" w:tentative="1">
      <w:start w:val="1"/>
      <w:numFmt w:val="bullet"/>
      <w:lvlText w:val="o"/>
      <w:lvlJc w:val="left"/>
      <w:pPr>
        <w:tabs>
          <w:tab w:val="num" w:pos="1440"/>
        </w:tabs>
        <w:ind w:left="1440" w:hanging="360"/>
      </w:pPr>
      <w:rPr>
        <w:rFonts w:ascii="Courier New" w:hAnsi="Courier New" w:cs="Courier New" w:hint="default"/>
      </w:rPr>
    </w:lvl>
    <w:lvl w:ilvl="2" w:tplc="D9E6F746" w:tentative="1">
      <w:start w:val="1"/>
      <w:numFmt w:val="bullet"/>
      <w:lvlText w:val=""/>
      <w:lvlJc w:val="left"/>
      <w:pPr>
        <w:tabs>
          <w:tab w:val="num" w:pos="2160"/>
        </w:tabs>
        <w:ind w:left="2160" w:hanging="360"/>
      </w:pPr>
      <w:rPr>
        <w:rFonts w:ascii="Wingdings" w:hAnsi="Wingdings" w:hint="default"/>
      </w:rPr>
    </w:lvl>
    <w:lvl w:ilvl="3" w:tplc="BAD64094" w:tentative="1">
      <w:start w:val="1"/>
      <w:numFmt w:val="bullet"/>
      <w:lvlText w:val=""/>
      <w:lvlJc w:val="left"/>
      <w:pPr>
        <w:tabs>
          <w:tab w:val="num" w:pos="2880"/>
        </w:tabs>
        <w:ind w:left="2880" w:hanging="360"/>
      </w:pPr>
      <w:rPr>
        <w:rFonts w:ascii="Symbol" w:hAnsi="Symbol" w:hint="default"/>
      </w:rPr>
    </w:lvl>
    <w:lvl w:ilvl="4" w:tplc="F106F8F6" w:tentative="1">
      <w:start w:val="1"/>
      <w:numFmt w:val="bullet"/>
      <w:lvlText w:val="o"/>
      <w:lvlJc w:val="left"/>
      <w:pPr>
        <w:tabs>
          <w:tab w:val="num" w:pos="3600"/>
        </w:tabs>
        <w:ind w:left="3600" w:hanging="360"/>
      </w:pPr>
      <w:rPr>
        <w:rFonts w:ascii="Courier New" w:hAnsi="Courier New" w:cs="Courier New" w:hint="default"/>
      </w:rPr>
    </w:lvl>
    <w:lvl w:ilvl="5" w:tplc="9FBC8AC4" w:tentative="1">
      <w:start w:val="1"/>
      <w:numFmt w:val="bullet"/>
      <w:lvlText w:val=""/>
      <w:lvlJc w:val="left"/>
      <w:pPr>
        <w:tabs>
          <w:tab w:val="num" w:pos="4320"/>
        </w:tabs>
        <w:ind w:left="4320" w:hanging="360"/>
      </w:pPr>
      <w:rPr>
        <w:rFonts w:ascii="Wingdings" w:hAnsi="Wingdings" w:hint="default"/>
      </w:rPr>
    </w:lvl>
    <w:lvl w:ilvl="6" w:tplc="1C9CD960" w:tentative="1">
      <w:start w:val="1"/>
      <w:numFmt w:val="bullet"/>
      <w:lvlText w:val=""/>
      <w:lvlJc w:val="left"/>
      <w:pPr>
        <w:tabs>
          <w:tab w:val="num" w:pos="5040"/>
        </w:tabs>
        <w:ind w:left="5040" w:hanging="360"/>
      </w:pPr>
      <w:rPr>
        <w:rFonts w:ascii="Symbol" w:hAnsi="Symbol" w:hint="default"/>
      </w:rPr>
    </w:lvl>
    <w:lvl w:ilvl="7" w:tplc="E0E66B7C" w:tentative="1">
      <w:start w:val="1"/>
      <w:numFmt w:val="bullet"/>
      <w:lvlText w:val="o"/>
      <w:lvlJc w:val="left"/>
      <w:pPr>
        <w:tabs>
          <w:tab w:val="num" w:pos="5760"/>
        </w:tabs>
        <w:ind w:left="5760" w:hanging="360"/>
      </w:pPr>
      <w:rPr>
        <w:rFonts w:ascii="Courier New" w:hAnsi="Courier New" w:cs="Courier New" w:hint="default"/>
      </w:rPr>
    </w:lvl>
    <w:lvl w:ilvl="8" w:tplc="090429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617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9420E28"/>
    <w:multiLevelType w:val="hybridMultilevel"/>
    <w:tmpl w:val="B0620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30376"/>
    <w:multiLevelType w:val="multilevel"/>
    <w:tmpl w:val="DE26D34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F713055"/>
    <w:multiLevelType w:val="hybridMultilevel"/>
    <w:tmpl w:val="F926EC2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92374F"/>
    <w:multiLevelType w:val="multilevel"/>
    <w:tmpl w:val="45E833A0"/>
    <w:lvl w:ilvl="0">
      <w:start w:val="1"/>
      <w:numFmt w:val="bullet"/>
      <w:pStyle w:val="TOC9"/>
      <w:lvlText w:val=""/>
      <w:lvlJc w:val="left"/>
      <w:pPr>
        <w:tabs>
          <w:tab w:val="num" w:pos="720"/>
        </w:tabs>
        <w:ind w:left="720" w:hanging="360"/>
      </w:pPr>
      <w:rPr>
        <w:rFonts w:ascii="Symbol" w:hAnsi="Symbol" w:hint="default"/>
        <w:sz w:val="20"/>
      </w:rPr>
    </w:lvl>
    <w:lvl w:ilvl="1" w:tentative="1">
      <w:start w:val="1"/>
      <w:numFmt w:val="bullet"/>
      <w:pStyle w:val="Tips"/>
      <w:lvlText w:val="o"/>
      <w:lvlJc w:val="left"/>
      <w:pPr>
        <w:tabs>
          <w:tab w:val="num" w:pos="1440"/>
        </w:tabs>
        <w:ind w:left="1440" w:hanging="360"/>
      </w:pPr>
      <w:rPr>
        <w:rFonts w:ascii="Courier New" w:hAnsi="Courier New" w:hint="default"/>
        <w:sz w:val="20"/>
      </w:rPr>
    </w:lvl>
    <w:lvl w:ilvl="2" w:tentative="1">
      <w:start w:val="1"/>
      <w:numFmt w:val="bullet"/>
      <w:pStyle w:val="BREheading1numbered"/>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36B45"/>
    <w:multiLevelType w:val="multilevel"/>
    <w:tmpl w:val="F066027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600"/>
        </w:tabs>
        <w:ind w:left="600" w:hanging="60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62C44FCA"/>
    <w:multiLevelType w:val="hybridMultilevel"/>
    <w:tmpl w:val="8FC620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D5E58"/>
    <w:multiLevelType w:val="hybridMultilevel"/>
    <w:tmpl w:val="4DF075E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B4C36"/>
    <w:multiLevelType w:val="multilevel"/>
    <w:tmpl w:val="DEAC2C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4F84C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8222A1"/>
    <w:multiLevelType w:val="hybridMultilevel"/>
    <w:tmpl w:val="7EB451D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DB078E"/>
    <w:multiLevelType w:val="hybridMultilevel"/>
    <w:tmpl w:val="C03EB81C"/>
    <w:lvl w:ilvl="0" w:tplc="CA4C62CA">
      <w:start w:val="5"/>
      <w:numFmt w:val="bullet"/>
      <w:lvlText w:val="-"/>
      <w:lvlJc w:val="left"/>
      <w:pPr>
        <w:tabs>
          <w:tab w:val="num" w:pos="720"/>
        </w:tabs>
        <w:ind w:left="720" w:hanging="360"/>
      </w:pPr>
      <w:rPr>
        <w:rFonts w:ascii="Arial" w:eastAsia="Times New Roman" w:hAnsi="Arial" w:cs="Arial" w:hint="default"/>
      </w:rPr>
    </w:lvl>
    <w:lvl w:ilvl="1" w:tplc="396C7256" w:tentative="1">
      <w:start w:val="1"/>
      <w:numFmt w:val="bullet"/>
      <w:lvlText w:val="o"/>
      <w:lvlJc w:val="left"/>
      <w:pPr>
        <w:tabs>
          <w:tab w:val="num" w:pos="1440"/>
        </w:tabs>
        <w:ind w:left="1440" w:hanging="360"/>
      </w:pPr>
      <w:rPr>
        <w:rFonts w:ascii="Courier New" w:hAnsi="Courier New" w:cs="Courier New" w:hint="default"/>
      </w:rPr>
    </w:lvl>
    <w:lvl w:ilvl="2" w:tplc="E76E19BA" w:tentative="1">
      <w:start w:val="1"/>
      <w:numFmt w:val="bullet"/>
      <w:lvlText w:val=""/>
      <w:lvlJc w:val="left"/>
      <w:pPr>
        <w:tabs>
          <w:tab w:val="num" w:pos="2160"/>
        </w:tabs>
        <w:ind w:left="2160" w:hanging="360"/>
      </w:pPr>
      <w:rPr>
        <w:rFonts w:ascii="Wingdings" w:hAnsi="Wingdings" w:hint="default"/>
      </w:rPr>
    </w:lvl>
    <w:lvl w:ilvl="3" w:tplc="7DB61818" w:tentative="1">
      <w:start w:val="1"/>
      <w:numFmt w:val="bullet"/>
      <w:lvlText w:val=""/>
      <w:lvlJc w:val="left"/>
      <w:pPr>
        <w:tabs>
          <w:tab w:val="num" w:pos="2880"/>
        </w:tabs>
        <w:ind w:left="2880" w:hanging="360"/>
      </w:pPr>
      <w:rPr>
        <w:rFonts w:ascii="Symbol" w:hAnsi="Symbol" w:hint="default"/>
      </w:rPr>
    </w:lvl>
    <w:lvl w:ilvl="4" w:tplc="A2C04366" w:tentative="1">
      <w:start w:val="1"/>
      <w:numFmt w:val="bullet"/>
      <w:lvlText w:val="o"/>
      <w:lvlJc w:val="left"/>
      <w:pPr>
        <w:tabs>
          <w:tab w:val="num" w:pos="3600"/>
        </w:tabs>
        <w:ind w:left="3600" w:hanging="360"/>
      </w:pPr>
      <w:rPr>
        <w:rFonts w:ascii="Courier New" w:hAnsi="Courier New" w:cs="Courier New" w:hint="default"/>
      </w:rPr>
    </w:lvl>
    <w:lvl w:ilvl="5" w:tplc="2034E73E" w:tentative="1">
      <w:start w:val="1"/>
      <w:numFmt w:val="bullet"/>
      <w:lvlText w:val=""/>
      <w:lvlJc w:val="left"/>
      <w:pPr>
        <w:tabs>
          <w:tab w:val="num" w:pos="4320"/>
        </w:tabs>
        <w:ind w:left="4320" w:hanging="360"/>
      </w:pPr>
      <w:rPr>
        <w:rFonts w:ascii="Wingdings" w:hAnsi="Wingdings" w:hint="default"/>
      </w:rPr>
    </w:lvl>
    <w:lvl w:ilvl="6" w:tplc="BC163020" w:tentative="1">
      <w:start w:val="1"/>
      <w:numFmt w:val="bullet"/>
      <w:lvlText w:val=""/>
      <w:lvlJc w:val="left"/>
      <w:pPr>
        <w:tabs>
          <w:tab w:val="num" w:pos="5040"/>
        </w:tabs>
        <w:ind w:left="5040" w:hanging="360"/>
      </w:pPr>
      <w:rPr>
        <w:rFonts w:ascii="Symbol" w:hAnsi="Symbol" w:hint="default"/>
      </w:rPr>
    </w:lvl>
    <w:lvl w:ilvl="7" w:tplc="C8921510" w:tentative="1">
      <w:start w:val="1"/>
      <w:numFmt w:val="bullet"/>
      <w:lvlText w:val="o"/>
      <w:lvlJc w:val="left"/>
      <w:pPr>
        <w:tabs>
          <w:tab w:val="num" w:pos="5760"/>
        </w:tabs>
        <w:ind w:left="5760" w:hanging="360"/>
      </w:pPr>
      <w:rPr>
        <w:rFonts w:ascii="Courier New" w:hAnsi="Courier New" w:cs="Courier New" w:hint="default"/>
      </w:rPr>
    </w:lvl>
    <w:lvl w:ilvl="8" w:tplc="5AEA1A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9955E6"/>
    <w:multiLevelType w:val="hybridMultilevel"/>
    <w:tmpl w:val="3034A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5A519B"/>
    <w:multiLevelType w:val="hybridMultilevel"/>
    <w:tmpl w:val="C9EC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D6B3F"/>
    <w:multiLevelType w:val="hybridMultilevel"/>
    <w:tmpl w:val="2E863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B017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B507834"/>
    <w:multiLevelType w:val="singleLevel"/>
    <w:tmpl w:val="A7922A7E"/>
    <w:lvl w:ilvl="0">
      <w:start w:val="1"/>
      <w:numFmt w:val="decimal"/>
      <w:lvlText w:val="%1."/>
      <w:lvlJc w:val="left"/>
      <w:pPr>
        <w:tabs>
          <w:tab w:val="num" w:pos="720"/>
        </w:tabs>
        <w:ind w:left="720" w:hanging="720"/>
      </w:pPr>
      <w:rPr>
        <w:rFonts w:hint="default"/>
        <w:i w:val="0"/>
      </w:rPr>
    </w:lvl>
  </w:abstractNum>
  <w:abstractNum w:abstractNumId="41" w15:restartNumberingAfterBreak="0">
    <w:nsid w:val="7B872BB3"/>
    <w:multiLevelType w:val="hybridMultilevel"/>
    <w:tmpl w:val="6DA24D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16"/>
  </w:num>
  <w:num w:numId="3">
    <w:abstractNumId w:val="39"/>
  </w:num>
  <w:num w:numId="4">
    <w:abstractNumId w:val="18"/>
  </w:num>
  <w:num w:numId="5">
    <w:abstractNumId w:val="17"/>
  </w:num>
  <w:num w:numId="6">
    <w:abstractNumId w:val="33"/>
  </w:num>
  <w:num w:numId="7">
    <w:abstractNumId w:val="2"/>
  </w:num>
  <w:num w:numId="8">
    <w:abstractNumId w:val="6"/>
  </w:num>
  <w:num w:numId="9">
    <w:abstractNumId w:val="9"/>
  </w:num>
  <w:num w:numId="10">
    <w:abstractNumId w:val="29"/>
  </w:num>
  <w:num w:numId="11">
    <w:abstractNumId w:val="35"/>
  </w:num>
  <w:num w:numId="12">
    <w:abstractNumId w:val="24"/>
  </w:num>
  <w:num w:numId="13">
    <w:abstractNumId w:val="3"/>
  </w:num>
  <w:num w:numId="14">
    <w:abstractNumId w:val="40"/>
  </w:num>
  <w:num w:numId="15">
    <w:abstractNumId w:val="23"/>
  </w:num>
  <w:num w:numId="16">
    <w:abstractNumId w:val="22"/>
  </w:num>
  <w:num w:numId="17">
    <w:abstractNumId w:val="28"/>
  </w:num>
  <w:num w:numId="18">
    <w:abstractNumId w:val="27"/>
  </w:num>
  <w:num w:numId="19">
    <w:abstractNumId w:val="11"/>
  </w:num>
  <w:num w:numId="20">
    <w:abstractNumId w:val="19"/>
  </w:num>
  <w:num w:numId="21">
    <w:abstractNumId w:val="13"/>
  </w:num>
  <w:num w:numId="22">
    <w:abstractNumId w:val="0"/>
  </w:num>
  <w:num w:numId="23">
    <w:abstractNumId w:val="26"/>
  </w:num>
  <w:num w:numId="24">
    <w:abstractNumId w:val="25"/>
  </w:num>
  <w:num w:numId="25">
    <w:abstractNumId w:val="38"/>
  </w:num>
  <w:num w:numId="26">
    <w:abstractNumId w:val="10"/>
  </w:num>
  <w:num w:numId="27">
    <w:abstractNumId w:val="20"/>
  </w:num>
  <w:num w:numId="28">
    <w:abstractNumId w:val="30"/>
  </w:num>
  <w:num w:numId="29">
    <w:abstractNumId w:val="31"/>
  </w:num>
  <w:num w:numId="30">
    <w:abstractNumId w:val="14"/>
  </w:num>
  <w:num w:numId="31">
    <w:abstractNumId w:val="7"/>
  </w:num>
  <w:num w:numId="32">
    <w:abstractNumId w:val="1"/>
  </w:num>
  <w:num w:numId="33">
    <w:abstractNumId w:val="8"/>
  </w:num>
  <w:num w:numId="34">
    <w:abstractNumId w:val="34"/>
  </w:num>
  <w:num w:numId="35">
    <w:abstractNumId w:val="41"/>
  </w:num>
  <w:num w:numId="36">
    <w:abstractNumId w:val="36"/>
  </w:num>
  <w:num w:numId="37">
    <w:abstractNumId w:val="4"/>
  </w:num>
  <w:num w:numId="38">
    <w:abstractNumId w:val="21"/>
  </w:num>
  <w:num w:numId="39">
    <w:abstractNumId w:val="12"/>
  </w:num>
  <w:num w:numId="40">
    <w:abstractNumId w:val="15"/>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B0"/>
    <w:rsid w:val="000012E7"/>
    <w:rsid w:val="00002084"/>
    <w:rsid w:val="00002B32"/>
    <w:rsid w:val="00002B64"/>
    <w:rsid w:val="00003CDA"/>
    <w:rsid w:val="00004452"/>
    <w:rsid w:val="00005C48"/>
    <w:rsid w:val="00006C6D"/>
    <w:rsid w:val="000101BF"/>
    <w:rsid w:val="00010284"/>
    <w:rsid w:val="00010D4E"/>
    <w:rsid w:val="00011E7E"/>
    <w:rsid w:val="00016656"/>
    <w:rsid w:val="00016D7C"/>
    <w:rsid w:val="000170E4"/>
    <w:rsid w:val="0001782A"/>
    <w:rsid w:val="00017F0F"/>
    <w:rsid w:val="000205A4"/>
    <w:rsid w:val="00020672"/>
    <w:rsid w:val="00024A11"/>
    <w:rsid w:val="00025221"/>
    <w:rsid w:val="0002772D"/>
    <w:rsid w:val="00030D92"/>
    <w:rsid w:val="00032965"/>
    <w:rsid w:val="000342DE"/>
    <w:rsid w:val="000376E9"/>
    <w:rsid w:val="00037845"/>
    <w:rsid w:val="00037E86"/>
    <w:rsid w:val="00046104"/>
    <w:rsid w:val="0005255F"/>
    <w:rsid w:val="000535A8"/>
    <w:rsid w:val="000559A9"/>
    <w:rsid w:val="000613A9"/>
    <w:rsid w:val="00061B55"/>
    <w:rsid w:val="00061CA7"/>
    <w:rsid w:val="00063B3C"/>
    <w:rsid w:val="000662F6"/>
    <w:rsid w:val="00067E22"/>
    <w:rsid w:val="00075DF7"/>
    <w:rsid w:val="0007696C"/>
    <w:rsid w:val="00080F7A"/>
    <w:rsid w:val="00082819"/>
    <w:rsid w:val="00083063"/>
    <w:rsid w:val="0008396E"/>
    <w:rsid w:val="00084BB7"/>
    <w:rsid w:val="00085AC2"/>
    <w:rsid w:val="000908B0"/>
    <w:rsid w:val="00091BE7"/>
    <w:rsid w:val="00094DEF"/>
    <w:rsid w:val="000955BF"/>
    <w:rsid w:val="00095C24"/>
    <w:rsid w:val="00095FCB"/>
    <w:rsid w:val="00097DD5"/>
    <w:rsid w:val="000A1F09"/>
    <w:rsid w:val="000A22E5"/>
    <w:rsid w:val="000A539B"/>
    <w:rsid w:val="000A6BFC"/>
    <w:rsid w:val="000A6C37"/>
    <w:rsid w:val="000A7C62"/>
    <w:rsid w:val="000B0F09"/>
    <w:rsid w:val="000B2329"/>
    <w:rsid w:val="000B3EDB"/>
    <w:rsid w:val="000B3FBF"/>
    <w:rsid w:val="000B519B"/>
    <w:rsid w:val="000C0FEA"/>
    <w:rsid w:val="000C157C"/>
    <w:rsid w:val="000C43AE"/>
    <w:rsid w:val="000C5137"/>
    <w:rsid w:val="000C6176"/>
    <w:rsid w:val="000C7174"/>
    <w:rsid w:val="000C7727"/>
    <w:rsid w:val="000D1232"/>
    <w:rsid w:val="000D2303"/>
    <w:rsid w:val="000D2D9A"/>
    <w:rsid w:val="000D3B33"/>
    <w:rsid w:val="000D542B"/>
    <w:rsid w:val="000D6AF9"/>
    <w:rsid w:val="000D7E73"/>
    <w:rsid w:val="000E373B"/>
    <w:rsid w:val="000E508E"/>
    <w:rsid w:val="000E59F5"/>
    <w:rsid w:val="000F011B"/>
    <w:rsid w:val="000F0989"/>
    <w:rsid w:val="000F0EFB"/>
    <w:rsid w:val="000F12BF"/>
    <w:rsid w:val="000F450E"/>
    <w:rsid w:val="000F4719"/>
    <w:rsid w:val="000F4B67"/>
    <w:rsid w:val="000F4F2F"/>
    <w:rsid w:val="000F5488"/>
    <w:rsid w:val="000F5C26"/>
    <w:rsid w:val="0010054F"/>
    <w:rsid w:val="001016FA"/>
    <w:rsid w:val="001019E6"/>
    <w:rsid w:val="00101DF7"/>
    <w:rsid w:val="00104DA3"/>
    <w:rsid w:val="0010527A"/>
    <w:rsid w:val="001055D8"/>
    <w:rsid w:val="00106066"/>
    <w:rsid w:val="00106F6D"/>
    <w:rsid w:val="00107AAF"/>
    <w:rsid w:val="00113BF3"/>
    <w:rsid w:val="001145E9"/>
    <w:rsid w:val="00114885"/>
    <w:rsid w:val="00115A0D"/>
    <w:rsid w:val="00115EB5"/>
    <w:rsid w:val="0011629E"/>
    <w:rsid w:val="00116F35"/>
    <w:rsid w:val="001171A1"/>
    <w:rsid w:val="00117508"/>
    <w:rsid w:val="00117C12"/>
    <w:rsid w:val="00126068"/>
    <w:rsid w:val="001260D8"/>
    <w:rsid w:val="0013279B"/>
    <w:rsid w:val="00132904"/>
    <w:rsid w:val="0013533D"/>
    <w:rsid w:val="001375EB"/>
    <w:rsid w:val="00137DB4"/>
    <w:rsid w:val="00140CCA"/>
    <w:rsid w:val="00145307"/>
    <w:rsid w:val="00146B17"/>
    <w:rsid w:val="0015027B"/>
    <w:rsid w:val="00150B05"/>
    <w:rsid w:val="00150F69"/>
    <w:rsid w:val="00151059"/>
    <w:rsid w:val="0015187E"/>
    <w:rsid w:val="00153AD9"/>
    <w:rsid w:val="00155E06"/>
    <w:rsid w:val="00156931"/>
    <w:rsid w:val="00156B1A"/>
    <w:rsid w:val="001611B9"/>
    <w:rsid w:val="001626F1"/>
    <w:rsid w:val="00164CF9"/>
    <w:rsid w:val="0016639F"/>
    <w:rsid w:val="00170EC3"/>
    <w:rsid w:val="001712D5"/>
    <w:rsid w:val="00172AA1"/>
    <w:rsid w:val="0017501A"/>
    <w:rsid w:val="00176EDE"/>
    <w:rsid w:val="00177A7A"/>
    <w:rsid w:val="00177AEE"/>
    <w:rsid w:val="00182DED"/>
    <w:rsid w:val="001833F3"/>
    <w:rsid w:val="00184856"/>
    <w:rsid w:val="00184C0C"/>
    <w:rsid w:val="00184C3D"/>
    <w:rsid w:val="00187A62"/>
    <w:rsid w:val="00191BDA"/>
    <w:rsid w:val="00191BF4"/>
    <w:rsid w:val="00192172"/>
    <w:rsid w:val="0019347B"/>
    <w:rsid w:val="00193674"/>
    <w:rsid w:val="00197F86"/>
    <w:rsid w:val="001A0511"/>
    <w:rsid w:val="001A0E2B"/>
    <w:rsid w:val="001A2578"/>
    <w:rsid w:val="001A36B0"/>
    <w:rsid w:val="001A4D2C"/>
    <w:rsid w:val="001A4F97"/>
    <w:rsid w:val="001A5D85"/>
    <w:rsid w:val="001A68F3"/>
    <w:rsid w:val="001B1C71"/>
    <w:rsid w:val="001B2170"/>
    <w:rsid w:val="001B276B"/>
    <w:rsid w:val="001B3F4D"/>
    <w:rsid w:val="001B4D40"/>
    <w:rsid w:val="001B557F"/>
    <w:rsid w:val="001B64D9"/>
    <w:rsid w:val="001B6980"/>
    <w:rsid w:val="001B69E0"/>
    <w:rsid w:val="001B6EAB"/>
    <w:rsid w:val="001B711B"/>
    <w:rsid w:val="001C017E"/>
    <w:rsid w:val="001C0D34"/>
    <w:rsid w:val="001C1268"/>
    <w:rsid w:val="001C1378"/>
    <w:rsid w:val="001C185D"/>
    <w:rsid w:val="001C19A7"/>
    <w:rsid w:val="001C29B5"/>
    <w:rsid w:val="001C2C2E"/>
    <w:rsid w:val="001C2E6A"/>
    <w:rsid w:val="001C2EFC"/>
    <w:rsid w:val="001C3B46"/>
    <w:rsid w:val="001C4B14"/>
    <w:rsid w:val="001C5A4A"/>
    <w:rsid w:val="001C60CD"/>
    <w:rsid w:val="001C71B8"/>
    <w:rsid w:val="001D0056"/>
    <w:rsid w:val="001D1FF6"/>
    <w:rsid w:val="001D46DA"/>
    <w:rsid w:val="001D4C21"/>
    <w:rsid w:val="001D4F5C"/>
    <w:rsid w:val="001D5268"/>
    <w:rsid w:val="001D696D"/>
    <w:rsid w:val="001E566A"/>
    <w:rsid w:val="001F070D"/>
    <w:rsid w:val="001F260D"/>
    <w:rsid w:val="001F31F4"/>
    <w:rsid w:val="001F36FA"/>
    <w:rsid w:val="001F377A"/>
    <w:rsid w:val="001F5BC3"/>
    <w:rsid w:val="00200030"/>
    <w:rsid w:val="00201308"/>
    <w:rsid w:val="00202956"/>
    <w:rsid w:val="00203C37"/>
    <w:rsid w:val="00206889"/>
    <w:rsid w:val="00210345"/>
    <w:rsid w:val="00210844"/>
    <w:rsid w:val="00212293"/>
    <w:rsid w:val="002148E9"/>
    <w:rsid w:val="00216C17"/>
    <w:rsid w:val="00220DAC"/>
    <w:rsid w:val="002213CC"/>
    <w:rsid w:val="00221932"/>
    <w:rsid w:val="002236C5"/>
    <w:rsid w:val="00223FBC"/>
    <w:rsid w:val="002243D9"/>
    <w:rsid w:val="00224DFD"/>
    <w:rsid w:val="00226815"/>
    <w:rsid w:val="002271C5"/>
    <w:rsid w:val="00227CBD"/>
    <w:rsid w:val="00230497"/>
    <w:rsid w:val="00231CAD"/>
    <w:rsid w:val="00233DB8"/>
    <w:rsid w:val="0023473E"/>
    <w:rsid w:val="00234F97"/>
    <w:rsid w:val="00236DC3"/>
    <w:rsid w:val="00237EAB"/>
    <w:rsid w:val="00242EEC"/>
    <w:rsid w:val="00243520"/>
    <w:rsid w:val="00243649"/>
    <w:rsid w:val="0024485E"/>
    <w:rsid w:val="00244B1D"/>
    <w:rsid w:val="00245B76"/>
    <w:rsid w:val="00250C2C"/>
    <w:rsid w:val="002510F1"/>
    <w:rsid w:val="00251FA6"/>
    <w:rsid w:val="00252DFF"/>
    <w:rsid w:val="00254F3F"/>
    <w:rsid w:val="00255E05"/>
    <w:rsid w:val="00256974"/>
    <w:rsid w:val="002574C6"/>
    <w:rsid w:val="00257D1F"/>
    <w:rsid w:val="00262036"/>
    <w:rsid w:val="002622F2"/>
    <w:rsid w:val="00262890"/>
    <w:rsid w:val="00264015"/>
    <w:rsid w:val="00265A1A"/>
    <w:rsid w:val="00265C2B"/>
    <w:rsid w:val="002671C7"/>
    <w:rsid w:val="002672B5"/>
    <w:rsid w:val="00267566"/>
    <w:rsid w:val="0027130D"/>
    <w:rsid w:val="00271944"/>
    <w:rsid w:val="00271C56"/>
    <w:rsid w:val="00271CFE"/>
    <w:rsid w:val="002729FA"/>
    <w:rsid w:val="00275D4F"/>
    <w:rsid w:val="00281EBC"/>
    <w:rsid w:val="00282132"/>
    <w:rsid w:val="002848F3"/>
    <w:rsid w:val="00285B29"/>
    <w:rsid w:val="00292F1E"/>
    <w:rsid w:val="00293D3D"/>
    <w:rsid w:val="0029470C"/>
    <w:rsid w:val="002947A0"/>
    <w:rsid w:val="00295CD1"/>
    <w:rsid w:val="0029660D"/>
    <w:rsid w:val="002A1467"/>
    <w:rsid w:val="002A1540"/>
    <w:rsid w:val="002A4806"/>
    <w:rsid w:val="002A4CA7"/>
    <w:rsid w:val="002A4E3F"/>
    <w:rsid w:val="002A578E"/>
    <w:rsid w:val="002A62FC"/>
    <w:rsid w:val="002B19D1"/>
    <w:rsid w:val="002B21C5"/>
    <w:rsid w:val="002B2E99"/>
    <w:rsid w:val="002B3872"/>
    <w:rsid w:val="002B3CD9"/>
    <w:rsid w:val="002B5E39"/>
    <w:rsid w:val="002B6553"/>
    <w:rsid w:val="002B6E8D"/>
    <w:rsid w:val="002B773B"/>
    <w:rsid w:val="002C0D82"/>
    <w:rsid w:val="002C3BC1"/>
    <w:rsid w:val="002C51B7"/>
    <w:rsid w:val="002C644E"/>
    <w:rsid w:val="002C6E33"/>
    <w:rsid w:val="002C7DBC"/>
    <w:rsid w:val="002D2C4C"/>
    <w:rsid w:val="002D3FC2"/>
    <w:rsid w:val="002D5BF9"/>
    <w:rsid w:val="002D61C4"/>
    <w:rsid w:val="002E0D13"/>
    <w:rsid w:val="002E1408"/>
    <w:rsid w:val="002E1759"/>
    <w:rsid w:val="002E3172"/>
    <w:rsid w:val="002E67E2"/>
    <w:rsid w:val="002E6DCA"/>
    <w:rsid w:val="002F0F97"/>
    <w:rsid w:val="002F2D87"/>
    <w:rsid w:val="002F3933"/>
    <w:rsid w:val="002F46D4"/>
    <w:rsid w:val="002F5104"/>
    <w:rsid w:val="002F73F0"/>
    <w:rsid w:val="0030100D"/>
    <w:rsid w:val="00301328"/>
    <w:rsid w:val="0030157A"/>
    <w:rsid w:val="00302107"/>
    <w:rsid w:val="00302AE0"/>
    <w:rsid w:val="00303307"/>
    <w:rsid w:val="003041F4"/>
    <w:rsid w:val="00305659"/>
    <w:rsid w:val="00305F42"/>
    <w:rsid w:val="00307EA3"/>
    <w:rsid w:val="00310028"/>
    <w:rsid w:val="003107A6"/>
    <w:rsid w:val="00311584"/>
    <w:rsid w:val="003134B3"/>
    <w:rsid w:val="00314FAB"/>
    <w:rsid w:val="00320069"/>
    <w:rsid w:val="0032039A"/>
    <w:rsid w:val="00324D03"/>
    <w:rsid w:val="00324E28"/>
    <w:rsid w:val="003255C3"/>
    <w:rsid w:val="00326D9A"/>
    <w:rsid w:val="00331480"/>
    <w:rsid w:val="00334297"/>
    <w:rsid w:val="00334369"/>
    <w:rsid w:val="00334D2A"/>
    <w:rsid w:val="00335422"/>
    <w:rsid w:val="00336CB8"/>
    <w:rsid w:val="00340276"/>
    <w:rsid w:val="0034293D"/>
    <w:rsid w:val="00345F2E"/>
    <w:rsid w:val="00346BB2"/>
    <w:rsid w:val="00346E29"/>
    <w:rsid w:val="00352063"/>
    <w:rsid w:val="0035278A"/>
    <w:rsid w:val="00354923"/>
    <w:rsid w:val="00355804"/>
    <w:rsid w:val="00355EF1"/>
    <w:rsid w:val="003562D5"/>
    <w:rsid w:val="0035672F"/>
    <w:rsid w:val="00356965"/>
    <w:rsid w:val="003626EB"/>
    <w:rsid w:val="0036622E"/>
    <w:rsid w:val="00367AC6"/>
    <w:rsid w:val="00370DFC"/>
    <w:rsid w:val="00370EE6"/>
    <w:rsid w:val="003720BD"/>
    <w:rsid w:val="0037240E"/>
    <w:rsid w:val="003738D9"/>
    <w:rsid w:val="00374CA4"/>
    <w:rsid w:val="00376709"/>
    <w:rsid w:val="00380BA4"/>
    <w:rsid w:val="00380EEF"/>
    <w:rsid w:val="003813F6"/>
    <w:rsid w:val="00382057"/>
    <w:rsid w:val="00383EF2"/>
    <w:rsid w:val="00386371"/>
    <w:rsid w:val="00386550"/>
    <w:rsid w:val="00390206"/>
    <w:rsid w:val="00392C5B"/>
    <w:rsid w:val="003940BD"/>
    <w:rsid w:val="0039454F"/>
    <w:rsid w:val="00394B0B"/>
    <w:rsid w:val="0039785A"/>
    <w:rsid w:val="003A2230"/>
    <w:rsid w:val="003A287C"/>
    <w:rsid w:val="003A3225"/>
    <w:rsid w:val="003A58BA"/>
    <w:rsid w:val="003A6074"/>
    <w:rsid w:val="003A6337"/>
    <w:rsid w:val="003A7DED"/>
    <w:rsid w:val="003B1F06"/>
    <w:rsid w:val="003B4705"/>
    <w:rsid w:val="003B4B64"/>
    <w:rsid w:val="003B4EFB"/>
    <w:rsid w:val="003B56DE"/>
    <w:rsid w:val="003B63B4"/>
    <w:rsid w:val="003B7410"/>
    <w:rsid w:val="003B78A2"/>
    <w:rsid w:val="003C4AA9"/>
    <w:rsid w:val="003C60C0"/>
    <w:rsid w:val="003C61FA"/>
    <w:rsid w:val="003C6D8D"/>
    <w:rsid w:val="003D16FA"/>
    <w:rsid w:val="003D1BFC"/>
    <w:rsid w:val="003D1CBE"/>
    <w:rsid w:val="003D1D66"/>
    <w:rsid w:val="003D1F0E"/>
    <w:rsid w:val="003D28CA"/>
    <w:rsid w:val="003D47C1"/>
    <w:rsid w:val="003D4C72"/>
    <w:rsid w:val="003D59F1"/>
    <w:rsid w:val="003D6728"/>
    <w:rsid w:val="003E0221"/>
    <w:rsid w:val="003E26ED"/>
    <w:rsid w:val="003E2BA9"/>
    <w:rsid w:val="003E32BD"/>
    <w:rsid w:val="003E4AE6"/>
    <w:rsid w:val="003E6245"/>
    <w:rsid w:val="003F077D"/>
    <w:rsid w:val="003F1FB3"/>
    <w:rsid w:val="003F2050"/>
    <w:rsid w:val="003F70D1"/>
    <w:rsid w:val="004027F7"/>
    <w:rsid w:val="004032BD"/>
    <w:rsid w:val="0040359F"/>
    <w:rsid w:val="00403D11"/>
    <w:rsid w:val="00407B82"/>
    <w:rsid w:val="004109B5"/>
    <w:rsid w:val="004113DE"/>
    <w:rsid w:val="00413C67"/>
    <w:rsid w:val="004148B8"/>
    <w:rsid w:val="004150F6"/>
    <w:rsid w:val="00417E84"/>
    <w:rsid w:val="0042070E"/>
    <w:rsid w:val="00420900"/>
    <w:rsid w:val="00420A5F"/>
    <w:rsid w:val="00420B8B"/>
    <w:rsid w:val="00420CC6"/>
    <w:rsid w:val="00420EAB"/>
    <w:rsid w:val="00421712"/>
    <w:rsid w:val="00422D3B"/>
    <w:rsid w:val="00423421"/>
    <w:rsid w:val="00426663"/>
    <w:rsid w:val="00426C1B"/>
    <w:rsid w:val="00427323"/>
    <w:rsid w:val="0042744C"/>
    <w:rsid w:val="0043623B"/>
    <w:rsid w:val="00437AF9"/>
    <w:rsid w:val="00440D1C"/>
    <w:rsid w:val="00444929"/>
    <w:rsid w:val="00444C5C"/>
    <w:rsid w:val="004471D4"/>
    <w:rsid w:val="00447EAD"/>
    <w:rsid w:val="00447F1B"/>
    <w:rsid w:val="00451FEA"/>
    <w:rsid w:val="00454223"/>
    <w:rsid w:val="004543AD"/>
    <w:rsid w:val="004553A8"/>
    <w:rsid w:val="0045681B"/>
    <w:rsid w:val="00456F71"/>
    <w:rsid w:val="0046432C"/>
    <w:rsid w:val="0046778E"/>
    <w:rsid w:val="004701CF"/>
    <w:rsid w:val="004715BC"/>
    <w:rsid w:val="0047577E"/>
    <w:rsid w:val="00475937"/>
    <w:rsid w:val="00477326"/>
    <w:rsid w:val="00480933"/>
    <w:rsid w:val="00481272"/>
    <w:rsid w:val="00481E13"/>
    <w:rsid w:val="00482930"/>
    <w:rsid w:val="00483A7A"/>
    <w:rsid w:val="00484635"/>
    <w:rsid w:val="00485A9B"/>
    <w:rsid w:val="00486859"/>
    <w:rsid w:val="00486F75"/>
    <w:rsid w:val="00491199"/>
    <w:rsid w:val="00491FA6"/>
    <w:rsid w:val="00492BF0"/>
    <w:rsid w:val="0049348A"/>
    <w:rsid w:val="004952FD"/>
    <w:rsid w:val="00495DDA"/>
    <w:rsid w:val="00497BAD"/>
    <w:rsid w:val="00497DFD"/>
    <w:rsid w:val="004A02C9"/>
    <w:rsid w:val="004A14A3"/>
    <w:rsid w:val="004A2F8E"/>
    <w:rsid w:val="004A31FC"/>
    <w:rsid w:val="004A64FF"/>
    <w:rsid w:val="004B20C0"/>
    <w:rsid w:val="004B350A"/>
    <w:rsid w:val="004B3CD2"/>
    <w:rsid w:val="004B73C0"/>
    <w:rsid w:val="004C300D"/>
    <w:rsid w:val="004C5125"/>
    <w:rsid w:val="004C5C51"/>
    <w:rsid w:val="004D12DF"/>
    <w:rsid w:val="004D4CB3"/>
    <w:rsid w:val="004D7708"/>
    <w:rsid w:val="004E1D3F"/>
    <w:rsid w:val="004E611B"/>
    <w:rsid w:val="004E67FC"/>
    <w:rsid w:val="004F0E97"/>
    <w:rsid w:val="004F1158"/>
    <w:rsid w:val="004F12EF"/>
    <w:rsid w:val="004F13FE"/>
    <w:rsid w:val="004F1813"/>
    <w:rsid w:val="004F445D"/>
    <w:rsid w:val="004F51D1"/>
    <w:rsid w:val="00500D9A"/>
    <w:rsid w:val="00500EF5"/>
    <w:rsid w:val="00501D30"/>
    <w:rsid w:val="005043E3"/>
    <w:rsid w:val="00504B1D"/>
    <w:rsid w:val="00504FBC"/>
    <w:rsid w:val="005058E4"/>
    <w:rsid w:val="0050756B"/>
    <w:rsid w:val="0050765E"/>
    <w:rsid w:val="00507733"/>
    <w:rsid w:val="00507FD7"/>
    <w:rsid w:val="005106AF"/>
    <w:rsid w:val="00510E5F"/>
    <w:rsid w:val="00511486"/>
    <w:rsid w:val="00513322"/>
    <w:rsid w:val="00514B93"/>
    <w:rsid w:val="00515475"/>
    <w:rsid w:val="00517367"/>
    <w:rsid w:val="00523BBD"/>
    <w:rsid w:val="0052462A"/>
    <w:rsid w:val="00525F79"/>
    <w:rsid w:val="005263AB"/>
    <w:rsid w:val="0052790D"/>
    <w:rsid w:val="00530698"/>
    <w:rsid w:val="0053365F"/>
    <w:rsid w:val="005338BF"/>
    <w:rsid w:val="00535C7A"/>
    <w:rsid w:val="00536940"/>
    <w:rsid w:val="00537E8F"/>
    <w:rsid w:val="005428DA"/>
    <w:rsid w:val="005438F0"/>
    <w:rsid w:val="00543A99"/>
    <w:rsid w:val="00544B91"/>
    <w:rsid w:val="00544F01"/>
    <w:rsid w:val="005461EC"/>
    <w:rsid w:val="00551F6F"/>
    <w:rsid w:val="0055327A"/>
    <w:rsid w:val="00554C62"/>
    <w:rsid w:val="0055561C"/>
    <w:rsid w:val="00555EB5"/>
    <w:rsid w:val="00556568"/>
    <w:rsid w:val="005568EC"/>
    <w:rsid w:val="00557C45"/>
    <w:rsid w:val="005612EA"/>
    <w:rsid w:val="005620D3"/>
    <w:rsid w:val="0056249E"/>
    <w:rsid w:val="00563352"/>
    <w:rsid w:val="005638E2"/>
    <w:rsid w:val="00563C96"/>
    <w:rsid w:val="00565C4E"/>
    <w:rsid w:val="0057206C"/>
    <w:rsid w:val="0057251E"/>
    <w:rsid w:val="0057276D"/>
    <w:rsid w:val="005732C5"/>
    <w:rsid w:val="00574A04"/>
    <w:rsid w:val="00576CB2"/>
    <w:rsid w:val="00576D35"/>
    <w:rsid w:val="0057742B"/>
    <w:rsid w:val="005775BC"/>
    <w:rsid w:val="00581106"/>
    <w:rsid w:val="00581B15"/>
    <w:rsid w:val="00582604"/>
    <w:rsid w:val="005829F8"/>
    <w:rsid w:val="00583543"/>
    <w:rsid w:val="00583952"/>
    <w:rsid w:val="0058471A"/>
    <w:rsid w:val="00584FD1"/>
    <w:rsid w:val="00586CCD"/>
    <w:rsid w:val="00587657"/>
    <w:rsid w:val="00587853"/>
    <w:rsid w:val="00587879"/>
    <w:rsid w:val="0059098C"/>
    <w:rsid w:val="005916CF"/>
    <w:rsid w:val="005933A9"/>
    <w:rsid w:val="0059433B"/>
    <w:rsid w:val="005A037B"/>
    <w:rsid w:val="005A1090"/>
    <w:rsid w:val="005A3DFF"/>
    <w:rsid w:val="005A3F0C"/>
    <w:rsid w:val="005A6544"/>
    <w:rsid w:val="005B278D"/>
    <w:rsid w:val="005B50D5"/>
    <w:rsid w:val="005B550E"/>
    <w:rsid w:val="005B5AA0"/>
    <w:rsid w:val="005B6F55"/>
    <w:rsid w:val="005C251B"/>
    <w:rsid w:val="005C4299"/>
    <w:rsid w:val="005C5FD0"/>
    <w:rsid w:val="005C6994"/>
    <w:rsid w:val="005C6BE5"/>
    <w:rsid w:val="005C6FD8"/>
    <w:rsid w:val="005C71E6"/>
    <w:rsid w:val="005C7E6A"/>
    <w:rsid w:val="005D03F2"/>
    <w:rsid w:val="005D0909"/>
    <w:rsid w:val="005D1329"/>
    <w:rsid w:val="005D190A"/>
    <w:rsid w:val="005D38FD"/>
    <w:rsid w:val="005D57E6"/>
    <w:rsid w:val="005D5882"/>
    <w:rsid w:val="005E0405"/>
    <w:rsid w:val="005E1676"/>
    <w:rsid w:val="005E16BC"/>
    <w:rsid w:val="005E695C"/>
    <w:rsid w:val="005E6E1D"/>
    <w:rsid w:val="005E75AC"/>
    <w:rsid w:val="005F2549"/>
    <w:rsid w:val="005F3FDC"/>
    <w:rsid w:val="005F49BD"/>
    <w:rsid w:val="005F506F"/>
    <w:rsid w:val="005F65DF"/>
    <w:rsid w:val="005F7AAC"/>
    <w:rsid w:val="006003F3"/>
    <w:rsid w:val="00603800"/>
    <w:rsid w:val="00607E23"/>
    <w:rsid w:val="00610BBC"/>
    <w:rsid w:val="006112B5"/>
    <w:rsid w:val="00612FC3"/>
    <w:rsid w:val="00613658"/>
    <w:rsid w:val="00616712"/>
    <w:rsid w:val="00616779"/>
    <w:rsid w:val="0061688B"/>
    <w:rsid w:val="0062122E"/>
    <w:rsid w:val="00622E5C"/>
    <w:rsid w:val="0062345F"/>
    <w:rsid w:val="00623894"/>
    <w:rsid w:val="00624778"/>
    <w:rsid w:val="00624E97"/>
    <w:rsid w:val="00626F14"/>
    <w:rsid w:val="0062703A"/>
    <w:rsid w:val="006273B4"/>
    <w:rsid w:val="006278F0"/>
    <w:rsid w:val="00633398"/>
    <w:rsid w:val="00633EE9"/>
    <w:rsid w:val="006342F8"/>
    <w:rsid w:val="00634B78"/>
    <w:rsid w:val="00634BF0"/>
    <w:rsid w:val="00636A11"/>
    <w:rsid w:val="0063752D"/>
    <w:rsid w:val="006375DE"/>
    <w:rsid w:val="00637FC5"/>
    <w:rsid w:val="00640934"/>
    <w:rsid w:val="00640FD1"/>
    <w:rsid w:val="0064124A"/>
    <w:rsid w:val="00641B92"/>
    <w:rsid w:val="00644672"/>
    <w:rsid w:val="00646ED1"/>
    <w:rsid w:val="0064771B"/>
    <w:rsid w:val="00647E05"/>
    <w:rsid w:val="006506EA"/>
    <w:rsid w:val="00653EA1"/>
    <w:rsid w:val="00655ACE"/>
    <w:rsid w:val="006574F0"/>
    <w:rsid w:val="0066069C"/>
    <w:rsid w:val="006625B8"/>
    <w:rsid w:val="00663223"/>
    <w:rsid w:val="00670364"/>
    <w:rsid w:val="006706BF"/>
    <w:rsid w:val="00671132"/>
    <w:rsid w:val="00675C26"/>
    <w:rsid w:val="00676465"/>
    <w:rsid w:val="00676F4E"/>
    <w:rsid w:val="006808F4"/>
    <w:rsid w:val="00681BE6"/>
    <w:rsid w:val="00682309"/>
    <w:rsid w:val="00683B77"/>
    <w:rsid w:val="006847A7"/>
    <w:rsid w:val="0068635B"/>
    <w:rsid w:val="006871E1"/>
    <w:rsid w:val="006872A1"/>
    <w:rsid w:val="00690041"/>
    <w:rsid w:val="00690055"/>
    <w:rsid w:val="006901FB"/>
    <w:rsid w:val="0069296F"/>
    <w:rsid w:val="00692CE0"/>
    <w:rsid w:val="0069402F"/>
    <w:rsid w:val="0069662B"/>
    <w:rsid w:val="00697292"/>
    <w:rsid w:val="006976EB"/>
    <w:rsid w:val="006A3392"/>
    <w:rsid w:val="006A40E7"/>
    <w:rsid w:val="006A4C01"/>
    <w:rsid w:val="006A5EFE"/>
    <w:rsid w:val="006A7360"/>
    <w:rsid w:val="006A745B"/>
    <w:rsid w:val="006A74C8"/>
    <w:rsid w:val="006B075C"/>
    <w:rsid w:val="006B2CC9"/>
    <w:rsid w:val="006B2D8A"/>
    <w:rsid w:val="006B2E7F"/>
    <w:rsid w:val="006B3A70"/>
    <w:rsid w:val="006B4284"/>
    <w:rsid w:val="006B4E62"/>
    <w:rsid w:val="006B5444"/>
    <w:rsid w:val="006B573A"/>
    <w:rsid w:val="006B6F02"/>
    <w:rsid w:val="006C0D41"/>
    <w:rsid w:val="006C0D67"/>
    <w:rsid w:val="006C3FE8"/>
    <w:rsid w:val="006C5E1F"/>
    <w:rsid w:val="006C620C"/>
    <w:rsid w:val="006C6A13"/>
    <w:rsid w:val="006D0848"/>
    <w:rsid w:val="006D133D"/>
    <w:rsid w:val="006D17D5"/>
    <w:rsid w:val="006D2EC3"/>
    <w:rsid w:val="006D2F40"/>
    <w:rsid w:val="006D70F0"/>
    <w:rsid w:val="006E7DD1"/>
    <w:rsid w:val="006F0790"/>
    <w:rsid w:val="006F231D"/>
    <w:rsid w:val="006F25DF"/>
    <w:rsid w:val="006F4AAA"/>
    <w:rsid w:val="006F5459"/>
    <w:rsid w:val="006F57FB"/>
    <w:rsid w:val="006F5DEF"/>
    <w:rsid w:val="006F609C"/>
    <w:rsid w:val="006F7600"/>
    <w:rsid w:val="006F79E7"/>
    <w:rsid w:val="006F7FA8"/>
    <w:rsid w:val="00700CDA"/>
    <w:rsid w:val="00701125"/>
    <w:rsid w:val="0070226E"/>
    <w:rsid w:val="00704A28"/>
    <w:rsid w:val="00704B8E"/>
    <w:rsid w:val="007072A3"/>
    <w:rsid w:val="00710D00"/>
    <w:rsid w:val="00712635"/>
    <w:rsid w:val="00716485"/>
    <w:rsid w:val="00717CE7"/>
    <w:rsid w:val="007209DA"/>
    <w:rsid w:val="00720ECA"/>
    <w:rsid w:val="007215F9"/>
    <w:rsid w:val="00722E44"/>
    <w:rsid w:val="0072469B"/>
    <w:rsid w:val="0072480E"/>
    <w:rsid w:val="00725FF0"/>
    <w:rsid w:val="00726523"/>
    <w:rsid w:val="00730C0E"/>
    <w:rsid w:val="00731BBD"/>
    <w:rsid w:val="007341C6"/>
    <w:rsid w:val="00734948"/>
    <w:rsid w:val="00734974"/>
    <w:rsid w:val="00734B30"/>
    <w:rsid w:val="00734DC9"/>
    <w:rsid w:val="00735E0E"/>
    <w:rsid w:val="00735F6E"/>
    <w:rsid w:val="00736AE9"/>
    <w:rsid w:val="00737998"/>
    <w:rsid w:val="00737B4A"/>
    <w:rsid w:val="00737E13"/>
    <w:rsid w:val="007405C1"/>
    <w:rsid w:val="007406D4"/>
    <w:rsid w:val="00740F40"/>
    <w:rsid w:val="00740F4D"/>
    <w:rsid w:val="00741447"/>
    <w:rsid w:val="007454DC"/>
    <w:rsid w:val="007500B1"/>
    <w:rsid w:val="00750F9D"/>
    <w:rsid w:val="00753450"/>
    <w:rsid w:val="00753576"/>
    <w:rsid w:val="007600D7"/>
    <w:rsid w:val="0076028F"/>
    <w:rsid w:val="007612FB"/>
    <w:rsid w:val="00761AA7"/>
    <w:rsid w:val="00762695"/>
    <w:rsid w:val="007638C4"/>
    <w:rsid w:val="007811D3"/>
    <w:rsid w:val="0078121C"/>
    <w:rsid w:val="0078239A"/>
    <w:rsid w:val="0078281D"/>
    <w:rsid w:val="00783E1A"/>
    <w:rsid w:val="00784A1D"/>
    <w:rsid w:val="007862DF"/>
    <w:rsid w:val="007923A1"/>
    <w:rsid w:val="0079594F"/>
    <w:rsid w:val="00795B01"/>
    <w:rsid w:val="0079699E"/>
    <w:rsid w:val="007971A8"/>
    <w:rsid w:val="00797285"/>
    <w:rsid w:val="007A1BFB"/>
    <w:rsid w:val="007A5A5A"/>
    <w:rsid w:val="007A6CC4"/>
    <w:rsid w:val="007A6CE8"/>
    <w:rsid w:val="007B26E5"/>
    <w:rsid w:val="007B27FB"/>
    <w:rsid w:val="007B37D4"/>
    <w:rsid w:val="007B3E8F"/>
    <w:rsid w:val="007B5184"/>
    <w:rsid w:val="007B6070"/>
    <w:rsid w:val="007B650D"/>
    <w:rsid w:val="007B678A"/>
    <w:rsid w:val="007C58F6"/>
    <w:rsid w:val="007C5BF2"/>
    <w:rsid w:val="007C5DD8"/>
    <w:rsid w:val="007C6F67"/>
    <w:rsid w:val="007C7B0B"/>
    <w:rsid w:val="007D12B5"/>
    <w:rsid w:val="007D179E"/>
    <w:rsid w:val="007D3A31"/>
    <w:rsid w:val="007D4AA3"/>
    <w:rsid w:val="007D6C4E"/>
    <w:rsid w:val="007D7EE4"/>
    <w:rsid w:val="007D7F0C"/>
    <w:rsid w:val="007E30CB"/>
    <w:rsid w:val="007E490C"/>
    <w:rsid w:val="007E66CD"/>
    <w:rsid w:val="007E7154"/>
    <w:rsid w:val="007F031B"/>
    <w:rsid w:val="007F16FC"/>
    <w:rsid w:val="007F1ED6"/>
    <w:rsid w:val="007F36B3"/>
    <w:rsid w:val="007F3975"/>
    <w:rsid w:val="007F3D01"/>
    <w:rsid w:val="007F62FE"/>
    <w:rsid w:val="007F6B3A"/>
    <w:rsid w:val="0080076B"/>
    <w:rsid w:val="00802B64"/>
    <w:rsid w:val="00805DB9"/>
    <w:rsid w:val="008105C4"/>
    <w:rsid w:val="0081168A"/>
    <w:rsid w:val="00814563"/>
    <w:rsid w:val="00814ADC"/>
    <w:rsid w:val="00815DA8"/>
    <w:rsid w:val="008165B2"/>
    <w:rsid w:val="00820ED4"/>
    <w:rsid w:val="008219F6"/>
    <w:rsid w:val="008232C4"/>
    <w:rsid w:val="00830285"/>
    <w:rsid w:val="008304A3"/>
    <w:rsid w:val="00831253"/>
    <w:rsid w:val="008329B8"/>
    <w:rsid w:val="008336D5"/>
    <w:rsid w:val="00837542"/>
    <w:rsid w:val="00844243"/>
    <w:rsid w:val="0084503D"/>
    <w:rsid w:val="008462FD"/>
    <w:rsid w:val="008463C5"/>
    <w:rsid w:val="00846783"/>
    <w:rsid w:val="00847451"/>
    <w:rsid w:val="0085043A"/>
    <w:rsid w:val="0085186D"/>
    <w:rsid w:val="0085288A"/>
    <w:rsid w:val="00855A63"/>
    <w:rsid w:val="00857096"/>
    <w:rsid w:val="008577D6"/>
    <w:rsid w:val="00860CAB"/>
    <w:rsid w:val="008614C0"/>
    <w:rsid w:val="0086434D"/>
    <w:rsid w:val="008668D2"/>
    <w:rsid w:val="008671BA"/>
    <w:rsid w:val="008679E6"/>
    <w:rsid w:val="008710F2"/>
    <w:rsid w:val="00871F71"/>
    <w:rsid w:val="008723E8"/>
    <w:rsid w:val="00874282"/>
    <w:rsid w:val="008753A1"/>
    <w:rsid w:val="00876273"/>
    <w:rsid w:val="00877B30"/>
    <w:rsid w:val="00880488"/>
    <w:rsid w:val="00882286"/>
    <w:rsid w:val="00882716"/>
    <w:rsid w:val="00883544"/>
    <w:rsid w:val="00886376"/>
    <w:rsid w:val="00887588"/>
    <w:rsid w:val="0089049D"/>
    <w:rsid w:val="00890776"/>
    <w:rsid w:val="00893262"/>
    <w:rsid w:val="00893939"/>
    <w:rsid w:val="00894489"/>
    <w:rsid w:val="00894F4C"/>
    <w:rsid w:val="0089562D"/>
    <w:rsid w:val="00896F19"/>
    <w:rsid w:val="008A17DE"/>
    <w:rsid w:val="008A345C"/>
    <w:rsid w:val="008A47DE"/>
    <w:rsid w:val="008A583C"/>
    <w:rsid w:val="008B105F"/>
    <w:rsid w:val="008B16E4"/>
    <w:rsid w:val="008B4A2F"/>
    <w:rsid w:val="008B53C6"/>
    <w:rsid w:val="008B5811"/>
    <w:rsid w:val="008B67F8"/>
    <w:rsid w:val="008C02D6"/>
    <w:rsid w:val="008C156D"/>
    <w:rsid w:val="008C37B8"/>
    <w:rsid w:val="008C3921"/>
    <w:rsid w:val="008C3D83"/>
    <w:rsid w:val="008C5D4B"/>
    <w:rsid w:val="008C79E2"/>
    <w:rsid w:val="008D0393"/>
    <w:rsid w:val="008D055B"/>
    <w:rsid w:val="008D05A0"/>
    <w:rsid w:val="008D0AF2"/>
    <w:rsid w:val="008D1D4E"/>
    <w:rsid w:val="008D416E"/>
    <w:rsid w:val="008D4789"/>
    <w:rsid w:val="008E10BB"/>
    <w:rsid w:val="008E24B2"/>
    <w:rsid w:val="008E2AE7"/>
    <w:rsid w:val="008E3A46"/>
    <w:rsid w:val="008E4408"/>
    <w:rsid w:val="008E686E"/>
    <w:rsid w:val="008F1AC5"/>
    <w:rsid w:val="008F2266"/>
    <w:rsid w:val="008F5C96"/>
    <w:rsid w:val="008F6DC1"/>
    <w:rsid w:val="009007B3"/>
    <w:rsid w:val="00902D36"/>
    <w:rsid w:val="009031A9"/>
    <w:rsid w:val="00904441"/>
    <w:rsid w:val="00905E15"/>
    <w:rsid w:val="009062A5"/>
    <w:rsid w:val="00906808"/>
    <w:rsid w:val="00906E3A"/>
    <w:rsid w:val="00907E8E"/>
    <w:rsid w:val="009165E0"/>
    <w:rsid w:val="00916BC4"/>
    <w:rsid w:val="00917963"/>
    <w:rsid w:val="00917BEB"/>
    <w:rsid w:val="00920778"/>
    <w:rsid w:val="009219F5"/>
    <w:rsid w:val="00926456"/>
    <w:rsid w:val="0092779D"/>
    <w:rsid w:val="00930168"/>
    <w:rsid w:val="00931E0C"/>
    <w:rsid w:val="00937950"/>
    <w:rsid w:val="00940DC7"/>
    <w:rsid w:val="009458A2"/>
    <w:rsid w:val="009465A7"/>
    <w:rsid w:val="00947FBA"/>
    <w:rsid w:val="00950493"/>
    <w:rsid w:val="009509A1"/>
    <w:rsid w:val="009523E6"/>
    <w:rsid w:val="00953585"/>
    <w:rsid w:val="00953855"/>
    <w:rsid w:val="00960870"/>
    <w:rsid w:val="009612AA"/>
    <w:rsid w:val="009624B2"/>
    <w:rsid w:val="009666F2"/>
    <w:rsid w:val="00966879"/>
    <w:rsid w:val="0097041C"/>
    <w:rsid w:val="00970D4B"/>
    <w:rsid w:val="00972351"/>
    <w:rsid w:val="00972471"/>
    <w:rsid w:val="0097274C"/>
    <w:rsid w:val="00974708"/>
    <w:rsid w:val="00974D79"/>
    <w:rsid w:val="0097523B"/>
    <w:rsid w:val="0097603E"/>
    <w:rsid w:val="0098060E"/>
    <w:rsid w:val="00982A9A"/>
    <w:rsid w:val="00985756"/>
    <w:rsid w:val="00986747"/>
    <w:rsid w:val="00986FC7"/>
    <w:rsid w:val="00987779"/>
    <w:rsid w:val="0099027F"/>
    <w:rsid w:val="009938A3"/>
    <w:rsid w:val="00995D2A"/>
    <w:rsid w:val="0099652F"/>
    <w:rsid w:val="00996FD6"/>
    <w:rsid w:val="00997F8B"/>
    <w:rsid w:val="009A1181"/>
    <w:rsid w:val="009A18DC"/>
    <w:rsid w:val="009A276C"/>
    <w:rsid w:val="009A4C35"/>
    <w:rsid w:val="009A53D6"/>
    <w:rsid w:val="009A5BBA"/>
    <w:rsid w:val="009A6EF1"/>
    <w:rsid w:val="009A77BD"/>
    <w:rsid w:val="009B0B7B"/>
    <w:rsid w:val="009B0D63"/>
    <w:rsid w:val="009B23C3"/>
    <w:rsid w:val="009B3F66"/>
    <w:rsid w:val="009C031D"/>
    <w:rsid w:val="009C085F"/>
    <w:rsid w:val="009C220E"/>
    <w:rsid w:val="009C3DAD"/>
    <w:rsid w:val="009C5AAF"/>
    <w:rsid w:val="009C6889"/>
    <w:rsid w:val="009C71ED"/>
    <w:rsid w:val="009C74F1"/>
    <w:rsid w:val="009C7C64"/>
    <w:rsid w:val="009D04B8"/>
    <w:rsid w:val="009D0FEB"/>
    <w:rsid w:val="009D1CD6"/>
    <w:rsid w:val="009D3308"/>
    <w:rsid w:val="009D349A"/>
    <w:rsid w:val="009D4D5A"/>
    <w:rsid w:val="009D50A2"/>
    <w:rsid w:val="009D7345"/>
    <w:rsid w:val="009D7BDA"/>
    <w:rsid w:val="009E2574"/>
    <w:rsid w:val="009E3049"/>
    <w:rsid w:val="009F037A"/>
    <w:rsid w:val="009F0C1E"/>
    <w:rsid w:val="009F23A0"/>
    <w:rsid w:val="009F3F89"/>
    <w:rsid w:val="009F3FF4"/>
    <w:rsid w:val="009F415F"/>
    <w:rsid w:val="009F485C"/>
    <w:rsid w:val="009F4B7A"/>
    <w:rsid w:val="009F4DC3"/>
    <w:rsid w:val="00A00888"/>
    <w:rsid w:val="00A03C06"/>
    <w:rsid w:val="00A04095"/>
    <w:rsid w:val="00A048EC"/>
    <w:rsid w:val="00A06CE8"/>
    <w:rsid w:val="00A1492B"/>
    <w:rsid w:val="00A15518"/>
    <w:rsid w:val="00A17894"/>
    <w:rsid w:val="00A252D6"/>
    <w:rsid w:val="00A25C9E"/>
    <w:rsid w:val="00A26048"/>
    <w:rsid w:val="00A260B0"/>
    <w:rsid w:val="00A27473"/>
    <w:rsid w:val="00A3092E"/>
    <w:rsid w:val="00A31205"/>
    <w:rsid w:val="00A31CAD"/>
    <w:rsid w:val="00A32298"/>
    <w:rsid w:val="00A33118"/>
    <w:rsid w:val="00A33AA5"/>
    <w:rsid w:val="00A3425B"/>
    <w:rsid w:val="00A3476B"/>
    <w:rsid w:val="00A36609"/>
    <w:rsid w:val="00A40AB0"/>
    <w:rsid w:val="00A40CA0"/>
    <w:rsid w:val="00A42E13"/>
    <w:rsid w:val="00A4333E"/>
    <w:rsid w:val="00A43713"/>
    <w:rsid w:val="00A43897"/>
    <w:rsid w:val="00A44CE2"/>
    <w:rsid w:val="00A456AC"/>
    <w:rsid w:val="00A500DB"/>
    <w:rsid w:val="00A504D6"/>
    <w:rsid w:val="00A51D81"/>
    <w:rsid w:val="00A52CC0"/>
    <w:rsid w:val="00A54C95"/>
    <w:rsid w:val="00A57C2B"/>
    <w:rsid w:val="00A57EBF"/>
    <w:rsid w:val="00A61BB1"/>
    <w:rsid w:val="00A65941"/>
    <w:rsid w:val="00A669EC"/>
    <w:rsid w:val="00A7080D"/>
    <w:rsid w:val="00A70FDB"/>
    <w:rsid w:val="00A73614"/>
    <w:rsid w:val="00A73F48"/>
    <w:rsid w:val="00A75D90"/>
    <w:rsid w:val="00A7727A"/>
    <w:rsid w:val="00A779CE"/>
    <w:rsid w:val="00A84FC1"/>
    <w:rsid w:val="00A85C82"/>
    <w:rsid w:val="00A85F29"/>
    <w:rsid w:val="00A879E7"/>
    <w:rsid w:val="00A93AEE"/>
    <w:rsid w:val="00A94299"/>
    <w:rsid w:val="00A9519A"/>
    <w:rsid w:val="00AA3017"/>
    <w:rsid w:val="00AA40A1"/>
    <w:rsid w:val="00AA4348"/>
    <w:rsid w:val="00AA7432"/>
    <w:rsid w:val="00AA7CCE"/>
    <w:rsid w:val="00AB0310"/>
    <w:rsid w:val="00AB0DA1"/>
    <w:rsid w:val="00AB3224"/>
    <w:rsid w:val="00AB378C"/>
    <w:rsid w:val="00AB4445"/>
    <w:rsid w:val="00AB4914"/>
    <w:rsid w:val="00AB60EA"/>
    <w:rsid w:val="00AB70A6"/>
    <w:rsid w:val="00AB7E25"/>
    <w:rsid w:val="00AB7E72"/>
    <w:rsid w:val="00AC07A7"/>
    <w:rsid w:val="00AC1291"/>
    <w:rsid w:val="00AC30C9"/>
    <w:rsid w:val="00AC377E"/>
    <w:rsid w:val="00AC3E81"/>
    <w:rsid w:val="00AC7661"/>
    <w:rsid w:val="00AC7B4A"/>
    <w:rsid w:val="00AC7E65"/>
    <w:rsid w:val="00AD02EB"/>
    <w:rsid w:val="00AD02EF"/>
    <w:rsid w:val="00AD0F07"/>
    <w:rsid w:val="00AD197E"/>
    <w:rsid w:val="00AD2CFE"/>
    <w:rsid w:val="00AD2D5B"/>
    <w:rsid w:val="00AD3BB8"/>
    <w:rsid w:val="00AD6596"/>
    <w:rsid w:val="00AD6BFD"/>
    <w:rsid w:val="00AE1257"/>
    <w:rsid w:val="00AE1B49"/>
    <w:rsid w:val="00AE1D45"/>
    <w:rsid w:val="00AE234A"/>
    <w:rsid w:val="00AE3594"/>
    <w:rsid w:val="00AE4EAE"/>
    <w:rsid w:val="00AE77B6"/>
    <w:rsid w:val="00AF0304"/>
    <w:rsid w:val="00AF28BD"/>
    <w:rsid w:val="00AF2B47"/>
    <w:rsid w:val="00AF3BF2"/>
    <w:rsid w:val="00AF5F60"/>
    <w:rsid w:val="00B01A27"/>
    <w:rsid w:val="00B031BC"/>
    <w:rsid w:val="00B03D59"/>
    <w:rsid w:val="00B07036"/>
    <w:rsid w:val="00B0752B"/>
    <w:rsid w:val="00B0772D"/>
    <w:rsid w:val="00B12970"/>
    <w:rsid w:val="00B12CD3"/>
    <w:rsid w:val="00B15AE1"/>
    <w:rsid w:val="00B17886"/>
    <w:rsid w:val="00B20FB9"/>
    <w:rsid w:val="00B22537"/>
    <w:rsid w:val="00B228BA"/>
    <w:rsid w:val="00B233E2"/>
    <w:rsid w:val="00B23D2C"/>
    <w:rsid w:val="00B2413A"/>
    <w:rsid w:val="00B2434F"/>
    <w:rsid w:val="00B25230"/>
    <w:rsid w:val="00B25363"/>
    <w:rsid w:val="00B2546A"/>
    <w:rsid w:val="00B2561F"/>
    <w:rsid w:val="00B25C15"/>
    <w:rsid w:val="00B34180"/>
    <w:rsid w:val="00B40D28"/>
    <w:rsid w:val="00B411C9"/>
    <w:rsid w:val="00B418AD"/>
    <w:rsid w:val="00B437D5"/>
    <w:rsid w:val="00B44069"/>
    <w:rsid w:val="00B440F2"/>
    <w:rsid w:val="00B459D2"/>
    <w:rsid w:val="00B45E1C"/>
    <w:rsid w:val="00B532C1"/>
    <w:rsid w:val="00B533CF"/>
    <w:rsid w:val="00B54F0A"/>
    <w:rsid w:val="00B55826"/>
    <w:rsid w:val="00B55EFF"/>
    <w:rsid w:val="00B56AAE"/>
    <w:rsid w:val="00B56B7F"/>
    <w:rsid w:val="00B572E2"/>
    <w:rsid w:val="00B6236F"/>
    <w:rsid w:val="00B62B6F"/>
    <w:rsid w:val="00B62CCE"/>
    <w:rsid w:val="00B6345F"/>
    <w:rsid w:val="00B64CF5"/>
    <w:rsid w:val="00B65994"/>
    <w:rsid w:val="00B662D1"/>
    <w:rsid w:val="00B668BA"/>
    <w:rsid w:val="00B715B9"/>
    <w:rsid w:val="00B71F20"/>
    <w:rsid w:val="00B740AB"/>
    <w:rsid w:val="00B74AB9"/>
    <w:rsid w:val="00B74AF6"/>
    <w:rsid w:val="00B75029"/>
    <w:rsid w:val="00B753AD"/>
    <w:rsid w:val="00B755A9"/>
    <w:rsid w:val="00B75B4E"/>
    <w:rsid w:val="00B75C50"/>
    <w:rsid w:val="00B80EF4"/>
    <w:rsid w:val="00B81275"/>
    <w:rsid w:val="00B826EF"/>
    <w:rsid w:val="00B8361E"/>
    <w:rsid w:val="00B841E8"/>
    <w:rsid w:val="00B84C44"/>
    <w:rsid w:val="00B8528A"/>
    <w:rsid w:val="00B9182D"/>
    <w:rsid w:val="00B92E80"/>
    <w:rsid w:val="00BA01A9"/>
    <w:rsid w:val="00BA06F3"/>
    <w:rsid w:val="00BA29F9"/>
    <w:rsid w:val="00BA344E"/>
    <w:rsid w:val="00BA3CDE"/>
    <w:rsid w:val="00BA4D69"/>
    <w:rsid w:val="00BA5156"/>
    <w:rsid w:val="00BA6230"/>
    <w:rsid w:val="00BA62F2"/>
    <w:rsid w:val="00BB4015"/>
    <w:rsid w:val="00BB729B"/>
    <w:rsid w:val="00BC0230"/>
    <w:rsid w:val="00BC02D0"/>
    <w:rsid w:val="00BC041D"/>
    <w:rsid w:val="00BC2E7E"/>
    <w:rsid w:val="00BC34F3"/>
    <w:rsid w:val="00BC3B4C"/>
    <w:rsid w:val="00BC4A2C"/>
    <w:rsid w:val="00BC5474"/>
    <w:rsid w:val="00BC6583"/>
    <w:rsid w:val="00BC729F"/>
    <w:rsid w:val="00BC7927"/>
    <w:rsid w:val="00BD07B0"/>
    <w:rsid w:val="00BD61FE"/>
    <w:rsid w:val="00BD730C"/>
    <w:rsid w:val="00BE0325"/>
    <w:rsid w:val="00BE41FA"/>
    <w:rsid w:val="00BE5B83"/>
    <w:rsid w:val="00BE5F90"/>
    <w:rsid w:val="00BE6A84"/>
    <w:rsid w:val="00BE7DB5"/>
    <w:rsid w:val="00BF0DB1"/>
    <w:rsid w:val="00BF1D47"/>
    <w:rsid w:val="00BF2A1F"/>
    <w:rsid w:val="00BF2D8A"/>
    <w:rsid w:val="00BF3B15"/>
    <w:rsid w:val="00BF4DBC"/>
    <w:rsid w:val="00C00BD8"/>
    <w:rsid w:val="00C015D3"/>
    <w:rsid w:val="00C04FE6"/>
    <w:rsid w:val="00C05F8E"/>
    <w:rsid w:val="00C06116"/>
    <w:rsid w:val="00C077FE"/>
    <w:rsid w:val="00C11A31"/>
    <w:rsid w:val="00C15F44"/>
    <w:rsid w:val="00C17107"/>
    <w:rsid w:val="00C20656"/>
    <w:rsid w:val="00C20BB4"/>
    <w:rsid w:val="00C20EE6"/>
    <w:rsid w:val="00C23468"/>
    <w:rsid w:val="00C23515"/>
    <w:rsid w:val="00C23812"/>
    <w:rsid w:val="00C23C1D"/>
    <w:rsid w:val="00C2757B"/>
    <w:rsid w:val="00C30506"/>
    <w:rsid w:val="00C315B7"/>
    <w:rsid w:val="00C31E23"/>
    <w:rsid w:val="00C31E36"/>
    <w:rsid w:val="00C32B2B"/>
    <w:rsid w:val="00C32D7B"/>
    <w:rsid w:val="00C32F3D"/>
    <w:rsid w:val="00C345FE"/>
    <w:rsid w:val="00C356FA"/>
    <w:rsid w:val="00C358C3"/>
    <w:rsid w:val="00C378D2"/>
    <w:rsid w:val="00C407BF"/>
    <w:rsid w:val="00C40916"/>
    <w:rsid w:val="00C41EA6"/>
    <w:rsid w:val="00C43002"/>
    <w:rsid w:val="00C463F2"/>
    <w:rsid w:val="00C518D4"/>
    <w:rsid w:val="00C51FF8"/>
    <w:rsid w:val="00C530EA"/>
    <w:rsid w:val="00C56E6F"/>
    <w:rsid w:val="00C6410D"/>
    <w:rsid w:val="00C645A4"/>
    <w:rsid w:val="00C64C20"/>
    <w:rsid w:val="00C64C35"/>
    <w:rsid w:val="00C65795"/>
    <w:rsid w:val="00C65F75"/>
    <w:rsid w:val="00C72499"/>
    <w:rsid w:val="00C74360"/>
    <w:rsid w:val="00C748D5"/>
    <w:rsid w:val="00C757CE"/>
    <w:rsid w:val="00C76D54"/>
    <w:rsid w:val="00C77207"/>
    <w:rsid w:val="00C8024E"/>
    <w:rsid w:val="00C80CCC"/>
    <w:rsid w:val="00C817F4"/>
    <w:rsid w:val="00C83031"/>
    <w:rsid w:val="00C8335B"/>
    <w:rsid w:val="00C8654C"/>
    <w:rsid w:val="00C865E1"/>
    <w:rsid w:val="00C870D0"/>
    <w:rsid w:val="00C90557"/>
    <w:rsid w:val="00C905EC"/>
    <w:rsid w:val="00C934BA"/>
    <w:rsid w:val="00C93DAC"/>
    <w:rsid w:val="00C94B11"/>
    <w:rsid w:val="00C9531F"/>
    <w:rsid w:val="00C96946"/>
    <w:rsid w:val="00CA0866"/>
    <w:rsid w:val="00CA5851"/>
    <w:rsid w:val="00CB1258"/>
    <w:rsid w:val="00CB2119"/>
    <w:rsid w:val="00CB23AD"/>
    <w:rsid w:val="00CB2A0C"/>
    <w:rsid w:val="00CB2F82"/>
    <w:rsid w:val="00CB3060"/>
    <w:rsid w:val="00CB41C9"/>
    <w:rsid w:val="00CB5622"/>
    <w:rsid w:val="00CB5E1F"/>
    <w:rsid w:val="00CC0742"/>
    <w:rsid w:val="00CC0DB1"/>
    <w:rsid w:val="00CC121B"/>
    <w:rsid w:val="00CC3AAE"/>
    <w:rsid w:val="00CC5F59"/>
    <w:rsid w:val="00CC6C11"/>
    <w:rsid w:val="00CD02C1"/>
    <w:rsid w:val="00CD10FA"/>
    <w:rsid w:val="00CD2507"/>
    <w:rsid w:val="00CD3D3F"/>
    <w:rsid w:val="00CD5347"/>
    <w:rsid w:val="00CD5F0D"/>
    <w:rsid w:val="00CD6E9A"/>
    <w:rsid w:val="00CD763F"/>
    <w:rsid w:val="00CE0DB0"/>
    <w:rsid w:val="00CE19F2"/>
    <w:rsid w:val="00CE294C"/>
    <w:rsid w:val="00CE2953"/>
    <w:rsid w:val="00CE53F3"/>
    <w:rsid w:val="00CE6A2C"/>
    <w:rsid w:val="00CF10BC"/>
    <w:rsid w:val="00CF1329"/>
    <w:rsid w:val="00CF211C"/>
    <w:rsid w:val="00CF2391"/>
    <w:rsid w:val="00CF2A0C"/>
    <w:rsid w:val="00CF2A84"/>
    <w:rsid w:val="00CF3397"/>
    <w:rsid w:val="00CF4818"/>
    <w:rsid w:val="00CF5BE3"/>
    <w:rsid w:val="00CF75CD"/>
    <w:rsid w:val="00D04525"/>
    <w:rsid w:val="00D04983"/>
    <w:rsid w:val="00D05287"/>
    <w:rsid w:val="00D05E5A"/>
    <w:rsid w:val="00D074F0"/>
    <w:rsid w:val="00D07A05"/>
    <w:rsid w:val="00D11C10"/>
    <w:rsid w:val="00D13E63"/>
    <w:rsid w:val="00D1527E"/>
    <w:rsid w:val="00D15E85"/>
    <w:rsid w:val="00D1785B"/>
    <w:rsid w:val="00D22AAB"/>
    <w:rsid w:val="00D23CC2"/>
    <w:rsid w:val="00D23D6C"/>
    <w:rsid w:val="00D24106"/>
    <w:rsid w:val="00D242D8"/>
    <w:rsid w:val="00D25A51"/>
    <w:rsid w:val="00D26FBE"/>
    <w:rsid w:val="00D27943"/>
    <w:rsid w:val="00D3063B"/>
    <w:rsid w:val="00D316D2"/>
    <w:rsid w:val="00D3234B"/>
    <w:rsid w:val="00D32C24"/>
    <w:rsid w:val="00D337F1"/>
    <w:rsid w:val="00D33C13"/>
    <w:rsid w:val="00D36EC4"/>
    <w:rsid w:val="00D3790D"/>
    <w:rsid w:val="00D41108"/>
    <w:rsid w:val="00D4305E"/>
    <w:rsid w:val="00D43B82"/>
    <w:rsid w:val="00D44838"/>
    <w:rsid w:val="00D44F38"/>
    <w:rsid w:val="00D45027"/>
    <w:rsid w:val="00D47F6A"/>
    <w:rsid w:val="00D506DC"/>
    <w:rsid w:val="00D51B2D"/>
    <w:rsid w:val="00D53D57"/>
    <w:rsid w:val="00D53E1C"/>
    <w:rsid w:val="00D54034"/>
    <w:rsid w:val="00D55E2D"/>
    <w:rsid w:val="00D56304"/>
    <w:rsid w:val="00D5681A"/>
    <w:rsid w:val="00D56B9C"/>
    <w:rsid w:val="00D57D76"/>
    <w:rsid w:val="00D60627"/>
    <w:rsid w:val="00D63526"/>
    <w:rsid w:val="00D66128"/>
    <w:rsid w:val="00D6647B"/>
    <w:rsid w:val="00D675E7"/>
    <w:rsid w:val="00D71F2F"/>
    <w:rsid w:val="00D7208E"/>
    <w:rsid w:val="00D729DE"/>
    <w:rsid w:val="00D73D2C"/>
    <w:rsid w:val="00D832F2"/>
    <w:rsid w:val="00D84D47"/>
    <w:rsid w:val="00D86A37"/>
    <w:rsid w:val="00D87AB6"/>
    <w:rsid w:val="00D87D75"/>
    <w:rsid w:val="00D90039"/>
    <w:rsid w:val="00D90237"/>
    <w:rsid w:val="00D96617"/>
    <w:rsid w:val="00D96F10"/>
    <w:rsid w:val="00D977D2"/>
    <w:rsid w:val="00DA124E"/>
    <w:rsid w:val="00DA1C99"/>
    <w:rsid w:val="00DA2F49"/>
    <w:rsid w:val="00DA388B"/>
    <w:rsid w:val="00DA5948"/>
    <w:rsid w:val="00DA5E6A"/>
    <w:rsid w:val="00DB1F16"/>
    <w:rsid w:val="00DB29AF"/>
    <w:rsid w:val="00DB4A7A"/>
    <w:rsid w:val="00DB52AC"/>
    <w:rsid w:val="00DB5D9F"/>
    <w:rsid w:val="00DB5FBF"/>
    <w:rsid w:val="00DB639A"/>
    <w:rsid w:val="00DB6E22"/>
    <w:rsid w:val="00DB6FF7"/>
    <w:rsid w:val="00DB79D9"/>
    <w:rsid w:val="00DC0D6B"/>
    <w:rsid w:val="00DC15CA"/>
    <w:rsid w:val="00DC1EB5"/>
    <w:rsid w:val="00DC22D9"/>
    <w:rsid w:val="00DC4189"/>
    <w:rsid w:val="00DC4363"/>
    <w:rsid w:val="00DC46B3"/>
    <w:rsid w:val="00DC4C71"/>
    <w:rsid w:val="00DC5C7C"/>
    <w:rsid w:val="00DC75A1"/>
    <w:rsid w:val="00DC7A97"/>
    <w:rsid w:val="00DD0095"/>
    <w:rsid w:val="00DD09AE"/>
    <w:rsid w:val="00DD1AB2"/>
    <w:rsid w:val="00DD1CBC"/>
    <w:rsid w:val="00DD1D1B"/>
    <w:rsid w:val="00DD28E1"/>
    <w:rsid w:val="00DD5F5E"/>
    <w:rsid w:val="00DD6636"/>
    <w:rsid w:val="00DD67D3"/>
    <w:rsid w:val="00DD7500"/>
    <w:rsid w:val="00DD7655"/>
    <w:rsid w:val="00DE143E"/>
    <w:rsid w:val="00DE16F9"/>
    <w:rsid w:val="00DE1D13"/>
    <w:rsid w:val="00DE210E"/>
    <w:rsid w:val="00DE2533"/>
    <w:rsid w:val="00DE3350"/>
    <w:rsid w:val="00DE633C"/>
    <w:rsid w:val="00DE6767"/>
    <w:rsid w:val="00DE7515"/>
    <w:rsid w:val="00DF2E8A"/>
    <w:rsid w:val="00DF35D3"/>
    <w:rsid w:val="00DF572D"/>
    <w:rsid w:val="00DF5F20"/>
    <w:rsid w:val="00DF6419"/>
    <w:rsid w:val="00DF72C6"/>
    <w:rsid w:val="00DF7EBD"/>
    <w:rsid w:val="00E01544"/>
    <w:rsid w:val="00E0200E"/>
    <w:rsid w:val="00E03569"/>
    <w:rsid w:val="00E03C5D"/>
    <w:rsid w:val="00E07639"/>
    <w:rsid w:val="00E1146F"/>
    <w:rsid w:val="00E116A1"/>
    <w:rsid w:val="00E12740"/>
    <w:rsid w:val="00E13C8D"/>
    <w:rsid w:val="00E142A6"/>
    <w:rsid w:val="00E15734"/>
    <w:rsid w:val="00E15813"/>
    <w:rsid w:val="00E16C2E"/>
    <w:rsid w:val="00E22842"/>
    <w:rsid w:val="00E304D0"/>
    <w:rsid w:val="00E30AC2"/>
    <w:rsid w:val="00E31A73"/>
    <w:rsid w:val="00E323C5"/>
    <w:rsid w:val="00E32CEF"/>
    <w:rsid w:val="00E348D2"/>
    <w:rsid w:val="00E349EF"/>
    <w:rsid w:val="00E352E1"/>
    <w:rsid w:val="00E35393"/>
    <w:rsid w:val="00E36E51"/>
    <w:rsid w:val="00E400C9"/>
    <w:rsid w:val="00E43EE8"/>
    <w:rsid w:val="00E45361"/>
    <w:rsid w:val="00E45883"/>
    <w:rsid w:val="00E45FE5"/>
    <w:rsid w:val="00E47151"/>
    <w:rsid w:val="00E47527"/>
    <w:rsid w:val="00E5360D"/>
    <w:rsid w:val="00E541F1"/>
    <w:rsid w:val="00E60298"/>
    <w:rsid w:val="00E606AB"/>
    <w:rsid w:val="00E607FC"/>
    <w:rsid w:val="00E61914"/>
    <w:rsid w:val="00E63E2E"/>
    <w:rsid w:val="00E6622B"/>
    <w:rsid w:val="00E7166A"/>
    <w:rsid w:val="00E72612"/>
    <w:rsid w:val="00E73559"/>
    <w:rsid w:val="00E74B0A"/>
    <w:rsid w:val="00E759C5"/>
    <w:rsid w:val="00E76108"/>
    <w:rsid w:val="00E76D01"/>
    <w:rsid w:val="00E76F41"/>
    <w:rsid w:val="00E802B9"/>
    <w:rsid w:val="00E811C2"/>
    <w:rsid w:val="00E830F3"/>
    <w:rsid w:val="00E8343F"/>
    <w:rsid w:val="00E84228"/>
    <w:rsid w:val="00E855E8"/>
    <w:rsid w:val="00E85935"/>
    <w:rsid w:val="00E85995"/>
    <w:rsid w:val="00E8677C"/>
    <w:rsid w:val="00E90894"/>
    <w:rsid w:val="00E91622"/>
    <w:rsid w:val="00E93F91"/>
    <w:rsid w:val="00E941FD"/>
    <w:rsid w:val="00E943C4"/>
    <w:rsid w:val="00E95093"/>
    <w:rsid w:val="00E95178"/>
    <w:rsid w:val="00E951F0"/>
    <w:rsid w:val="00E952F1"/>
    <w:rsid w:val="00E964FC"/>
    <w:rsid w:val="00E97AE4"/>
    <w:rsid w:val="00E97BB8"/>
    <w:rsid w:val="00E97EE5"/>
    <w:rsid w:val="00EA0D18"/>
    <w:rsid w:val="00EA0DB8"/>
    <w:rsid w:val="00EA2218"/>
    <w:rsid w:val="00EA24D9"/>
    <w:rsid w:val="00EA533E"/>
    <w:rsid w:val="00EA57D4"/>
    <w:rsid w:val="00EA7EA4"/>
    <w:rsid w:val="00EB0641"/>
    <w:rsid w:val="00EB1E78"/>
    <w:rsid w:val="00EB2F73"/>
    <w:rsid w:val="00EB4301"/>
    <w:rsid w:val="00EB696C"/>
    <w:rsid w:val="00EB6B54"/>
    <w:rsid w:val="00EB7427"/>
    <w:rsid w:val="00EC0CB9"/>
    <w:rsid w:val="00EC153C"/>
    <w:rsid w:val="00EC16DA"/>
    <w:rsid w:val="00EC1FCF"/>
    <w:rsid w:val="00EC2352"/>
    <w:rsid w:val="00EC2AE7"/>
    <w:rsid w:val="00EC33AB"/>
    <w:rsid w:val="00EC57DC"/>
    <w:rsid w:val="00ED009A"/>
    <w:rsid w:val="00ED195E"/>
    <w:rsid w:val="00ED255D"/>
    <w:rsid w:val="00EE3CE4"/>
    <w:rsid w:val="00EE486F"/>
    <w:rsid w:val="00EE4F6A"/>
    <w:rsid w:val="00EE6585"/>
    <w:rsid w:val="00EE6FEC"/>
    <w:rsid w:val="00EE74E5"/>
    <w:rsid w:val="00EF0E8A"/>
    <w:rsid w:val="00EF185F"/>
    <w:rsid w:val="00EF2691"/>
    <w:rsid w:val="00EF30F6"/>
    <w:rsid w:val="00EF5F09"/>
    <w:rsid w:val="00F01763"/>
    <w:rsid w:val="00F02195"/>
    <w:rsid w:val="00F02465"/>
    <w:rsid w:val="00F02926"/>
    <w:rsid w:val="00F045F6"/>
    <w:rsid w:val="00F06C6B"/>
    <w:rsid w:val="00F1025F"/>
    <w:rsid w:val="00F10DB7"/>
    <w:rsid w:val="00F1184B"/>
    <w:rsid w:val="00F1257C"/>
    <w:rsid w:val="00F12B18"/>
    <w:rsid w:val="00F14259"/>
    <w:rsid w:val="00F14B18"/>
    <w:rsid w:val="00F1550B"/>
    <w:rsid w:val="00F1584A"/>
    <w:rsid w:val="00F167BE"/>
    <w:rsid w:val="00F16908"/>
    <w:rsid w:val="00F17CAF"/>
    <w:rsid w:val="00F202DA"/>
    <w:rsid w:val="00F206FC"/>
    <w:rsid w:val="00F20F4C"/>
    <w:rsid w:val="00F21979"/>
    <w:rsid w:val="00F219B8"/>
    <w:rsid w:val="00F21C7B"/>
    <w:rsid w:val="00F2592C"/>
    <w:rsid w:val="00F31C0D"/>
    <w:rsid w:val="00F32E14"/>
    <w:rsid w:val="00F34B46"/>
    <w:rsid w:val="00F41C07"/>
    <w:rsid w:val="00F42DB3"/>
    <w:rsid w:val="00F46DC1"/>
    <w:rsid w:val="00F4773A"/>
    <w:rsid w:val="00F51C49"/>
    <w:rsid w:val="00F52F61"/>
    <w:rsid w:val="00F5417B"/>
    <w:rsid w:val="00F541CE"/>
    <w:rsid w:val="00F5511B"/>
    <w:rsid w:val="00F559A6"/>
    <w:rsid w:val="00F56758"/>
    <w:rsid w:val="00F56E77"/>
    <w:rsid w:val="00F57CFF"/>
    <w:rsid w:val="00F60A55"/>
    <w:rsid w:val="00F6103E"/>
    <w:rsid w:val="00F62782"/>
    <w:rsid w:val="00F634E9"/>
    <w:rsid w:val="00F64462"/>
    <w:rsid w:val="00F661F0"/>
    <w:rsid w:val="00F66A23"/>
    <w:rsid w:val="00F702CA"/>
    <w:rsid w:val="00F717FD"/>
    <w:rsid w:val="00F7249D"/>
    <w:rsid w:val="00F73A61"/>
    <w:rsid w:val="00F75AB2"/>
    <w:rsid w:val="00F76C98"/>
    <w:rsid w:val="00F833C6"/>
    <w:rsid w:val="00F83589"/>
    <w:rsid w:val="00F83E21"/>
    <w:rsid w:val="00F84220"/>
    <w:rsid w:val="00F857B5"/>
    <w:rsid w:val="00F869A6"/>
    <w:rsid w:val="00F86A6D"/>
    <w:rsid w:val="00F87175"/>
    <w:rsid w:val="00F91325"/>
    <w:rsid w:val="00F91900"/>
    <w:rsid w:val="00F92D2A"/>
    <w:rsid w:val="00F935DD"/>
    <w:rsid w:val="00F9379C"/>
    <w:rsid w:val="00F94BDA"/>
    <w:rsid w:val="00F958BF"/>
    <w:rsid w:val="00F958DB"/>
    <w:rsid w:val="00F962CF"/>
    <w:rsid w:val="00FA1598"/>
    <w:rsid w:val="00FA3428"/>
    <w:rsid w:val="00FA378A"/>
    <w:rsid w:val="00FA52A3"/>
    <w:rsid w:val="00FA6715"/>
    <w:rsid w:val="00FA7427"/>
    <w:rsid w:val="00FB0E1A"/>
    <w:rsid w:val="00FB4F5D"/>
    <w:rsid w:val="00FB5C8B"/>
    <w:rsid w:val="00FB5E16"/>
    <w:rsid w:val="00FB7DE9"/>
    <w:rsid w:val="00FB7F93"/>
    <w:rsid w:val="00FC0D88"/>
    <w:rsid w:val="00FC1F0C"/>
    <w:rsid w:val="00FC296F"/>
    <w:rsid w:val="00FC4422"/>
    <w:rsid w:val="00FC464B"/>
    <w:rsid w:val="00FC5097"/>
    <w:rsid w:val="00FC5A35"/>
    <w:rsid w:val="00FC5FE5"/>
    <w:rsid w:val="00FD0F41"/>
    <w:rsid w:val="00FD1CB3"/>
    <w:rsid w:val="00FD3403"/>
    <w:rsid w:val="00FD39ED"/>
    <w:rsid w:val="00FD7159"/>
    <w:rsid w:val="00FD75A2"/>
    <w:rsid w:val="00FE03B0"/>
    <w:rsid w:val="00FE133C"/>
    <w:rsid w:val="00FE1618"/>
    <w:rsid w:val="00FE2C1D"/>
    <w:rsid w:val="00FE4A76"/>
    <w:rsid w:val="00FE7219"/>
    <w:rsid w:val="00FE7DDC"/>
    <w:rsid w:val="00FF0799"/>
    <w:rsid w:val="00FF14AC"/>
    <w:rsid w:val="00FF33DA"/>
    <w:rsid w:val="00FF3D92"/>
    <w:rsid w:val="00FF4CD8"/>
    <w:rsid w:val="00FF6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75E57"/>
  <w15:docId w15:val="{E8BBE28A-C49C-40DD-A73E-CBFBC62C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02"/>
    <w:rPr>
      <w:rFonts w:ascii="Arial" w:hAnsi="Arial"/>
      <w:sz w:val="22"/>
      <w:szCs w:val="24"/>
    </w:rPr>
  </w:style>
  <w:style w:type="paragraph" w:styleId="Heading1">
    <w:name w:val="heading 1"/>
    <w:basedOn w:val="Normal"/>
    <w:next w:val="Normal"/>
    <w:qFormat/>
    <w:pPr>
      <w:keepNext/>
      <w:autoSpaceDE w:val="0"/>
      <w:autoSpaceDN w:val="0"/>
      <w:adjustRightInd w:val="0"/>
      <w:jc w:val="both"/>
      <w:outlineLvl w:val="0"/>
    </w:pPr>
    <w:rPr>
      <w:rFonts w:ascii="Times New Roman" w:hAnsi="Times New Roman"/>
      <w:i/>
      <w:sz w:val="24"/>
    </w:rPr>
  </w:style>
  <w:style w:type="paragraph" w:styleId="Heading2">
    <w:name w:val="heading 2"/>
    <w:basedOn w:val="Normal"/>
    <w:next w:val="Normal"/>
    <w:qFormat/>
    <w:pPr>
      <w:keepNext/>
      <w:autoSpaceDE w:val="0"/>
      <w:autoSpaceDN w:val="0"/>
      <w:adjustRightInd w:val="0"/>
      <w:jc w:val="both"/>
      <w:outlineLvl w:val="1"/>
    </w:pPr>
    <w:rPr>
      <w:rFonts w:ascii="Times New Roman" w:hAnsi="Times New Roman"/>
      <w:b/>
      <w:sz w:val="24"/>
    </w:rPr>
  </w:style>
  <w:style w:type="paragraph" w:styleId="Heading3">
    <w:name w:val="heading 3"/>
    <w:basedOn w:val="Normal"/>
    <w:next w:val="Normal"/>
    <w:qFormat/>
    <w:pPr>
      <w:keepNext/>
      <w:outlineLvl w:val="2"/>
    </w:pPr>
    <w:rPr>
      <w:rFonts w:ascii="Times New Roman" w:hAnsi="Times New Roman"/>
      <w:i/>
      <w:snapToGrid w:val="0"/>
      <w:sz w:val="24"/>
      <w:lang w:val="en-AU" w:eastAsia="en-US"/>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jc w:val="both"/>
      <w:outlineLvl w:val="4"/>
    </w:pPr>
    <w:rPr>
      <w:i/>
      <w:sz w:val="20"/>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keepNext/>
      <w:outlineLvl w:val="6"/>
    </w:pPr>
    <w:rPr>
      <w:rFonts w:cs="Arial"/>
      <w:b/>
      <w:bCs/>
      <w:color w:val="FF0000"/>
      <w:sz w:val="20"/>
    </w:rPr>
  </w:style>
  <w:style w:type="paragraph" w:styleId="Heading8">
    <w:name w:val="heading 8"/>
    <w:basedOn w:val="Normal"/>
    <w:next w:val="Normal"/>
    <w:qFormat/>
    <w:pPr>
      <w:keepNext/>
      <w:outlineLvl w:val="7"/>
    </w:pPr>
    <w:rPr>
      <w:rFonts w:cs="Arial"/>
      <w:b/>
      <w:bCs/>
      <w:snapToGrid w:val="0"/>
      <w:sz w:val="20"/>
      <w:lang w:eastAsia="en-US"/>
    </w:rPr>
  </w:style>
  <w:style w:type="paragraph" w:styleId="Heading9">
    <w:name w:val="heading 9"/>
    <w:basedOn w:val="Normal"/>
    <w:next w:val="Normal"/>
    <w:qFormat/>
    <w:pPr>
      <w:keepNext/>
      <w:numPr>
        <w:numId w:val="7"/>
      </w:numPr>
      <w:ind w:right="57"/>
      <w:jc w:val="both"/>
      <w:outlineLvl w:val="8"/>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center"/>
    </w:pPr>
    <w:rPr>
      <w:rFonts w:ascii="Times New Roman" w:hAnsi="Times New Roman"/>
      <w:b/>
      <w:sz w:val="24"/>
    </w:rPr>
  </w:style>
  <w:style w:type="paragraph" w:styleId="BodyText2">
    <w:name w:val="Body Text 2"/>
    <w:basedOn w:val="Normal"/>
    <w:pPr>
      <w:autoSpaceDE w:val="0"/>
      <w:autoSpaceDN w:val="0"/>
      <w:adjustRightInd w:val="0"/>
      <w:jc w:val="both"/>
    </w:pPr>
    <w:rPr>
      <w:rFonts w:ascii="Times New Roman" w:hAnsi="Times New Roman"/>
      <w:sz w:val="24"/>
    </w:rPr>
  </w:style>
  <w:style w:type="paragraph" w:styleId="BodyText3">
    <w:name w:val="Body Text 3"/>
    <w:basedOn w:val="Normal"/>
    <w:rPr>
      <w:rFonts w:ascii="Times New Roman" w:hAnsi="Times New Roman"/>
      <w:snapToGrid w:val="0"/>
      <w:sz w:val="24"/>
      <w:lang w:val="en-AU" w:eastAsia="en-US"/>
    </w:rPr>
  </w:style>
  <w:style w:type="paragraph" w:customStyle="1" w:styleId="HTMLBody">
    <w:name w:val="HTML Body"/>
    <w:rPr>
      <w:rFonts w:ascii="Arial" w:hAnsi="Arial"/>
      <w:snapToGrid w:val="0"/>
    </w:rPr>
  </w:style>
  <w:style w:type="paragraph" w:customStyle="1" w:styleId="BREBodytext">
    <w:name w:val="BRE Body text"/>
    <w:basedOn w:val="Normal"/>
    <w:pPr>
      <w:spacing w:after="180" w:line="260" w:lineRule="atLeast"/>
    </w:pPr>
    <w:rPr>
      <w:sz w:val="20"/>
      <w:szCs w:val="20"/>
      <w:lang w:eastAsia="en-US"/>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paragraph" w:customStyle="1" w:styleId="TableCaption">
    <w:name w:val="Table Caption"/>
    <w:next w:val="Normal"/>
    <w:autoRedefine/>
    <w:pPr>
      <w:spacing w:before="120" w:after="120"/>
      <w:ind w:right="40"/>
    </w:pPr>
    <w:rPr>
      <w:sz w:val="22"/>
      <w:szCs w:val="22"/>
      <w:lang w:eastAsia="en-US"/>
    </w:rPr>
  </w:style>
  <w:style w:type="paragraph" w:styleId="BodyTextIndent2">
    <w:name w:val="Body Text Indent 2"/>
    <w:basedOn w:val="Normal"/>
    <w:pPr>
      <w:spacing w:after="120" w:line="480" w:lineRule="auto"/>
      <w:ind w:left="283"/>
    </w:pPr>
  </w:style>
  <w:style w:type="paragraph" w:customStyle="1" w:styleId="FigureCaption">
    <w:name w:val="Figure Caption"/>
    <w:next w:val="Normal"/>
    <w:pPr>
      <w:numPr>
        <w:numId w:val="9"/>
      </w:numPr>
      <w:tabs>
        <w:tab w:val="clear" w:pos="2835"/>
        <w:tab w:val="num" w:pos="900"/>
      </w:tabs>
      <w:ind w:left="900" w:right="40" w:hanging="900"/>
    </w:pPr>
    <w:rPr>
      <w:lang w:eastAsia="en-US"/>
    </w:rPr>
  </w:style>
  <w:style w:type="paragraph" w:customStyle="1" w:styleId="WCANormal">
    <w:name w:val="WCA Normal"/>
    <w:basedOn w:val="Normal"/>
    <w:pPr>
      <w:spacing w:before="120"/>
      <w:jc w:val="both"/>
    </w:pPr>
    <w:rPr>
      <w:rFonts w:ascii="Times New Roman" w:hAnsi="Times New Roman"/>
      <w:sz w:val="24"/>
      <w:lang w:eastAsia="en-US"/>
    </w:rPr>
  </w:style>
  <w:style w:type="paragraph" w:styleId="NormalWeb">
    <w:name w:val="Normal (Web)"/>
    <w:basedOn w:val="Normal"/>
    <w:uiPriority w:val="99"/>
    <w:pPr>
      <w:spacing w:before="100" w:beforeAutospacing="1" w:after="100" w:afterAutospacing="1"/>
    </w:pPr>
    <w:rPr>
      <w:rFonts w:ascii="Times New Roman" w:hAnsi="Times New Roman"/>
      <w:sz w:val="24"/>
      <w:lang w:eastAsia="en-US"/>
    </w:rPr>
  </w:style>
  <w:style w:type="paragraph" w:customStyle="1" w:styleId="WCANormalCentered">
    <w:name w:val="WCA Normal Centered"/>
    <w:basedOn w:val="Normal"/>
    <w:pPr>
      <w:jc w:val="center"/>
    </w:pPr>
    <w:rPr>
      <w:rFonts w:ascii="Times New Roman" w:hAnsi="Times New Roman"/>
      <w:sz w:val="24"/>
      <w:lang w:eastAsia="en-US"/>
    </w:rPr>
  </w:style>
  <w:style w:type="paragraph" w:styleId="Header">
    <w:name w:val="header"/>
    <w:basedOn w:val="Normal"/>
    <w:link w:val="HeaderChar"/>
    <w:uiPriority w:val="99"/>
    <w:pPr>
      <w:tabs>
        <w:tab w:val="center" w:pos="4153"/>
        <w:tab w:val="right" w:pos="8306"/>
      </w:tabs>
      <w:ind w:right="57"/>
      <w:jc w:val="both"/>
    </w:pPr>
    <w:rPr>
      <w:rFonts w:ascii="Times New Roman" w:hAnsi="Times New Roman"/>
      <w:sz w:val="24"/>
      <w:szCs w:val="20"/>
      <w:lang w:eastAsia="en-US"/>
    </w:rPr>
  </w:style>
  <w:style w:type="paragraph" w:customStyle="1" w:styleId="bodycontent">
    <w:name w:val="bodycontent"/>
    <w:basedOn w:val="Normal"/>
    <w:pPr>
      <w:spacing w:before="100" w:beforeAutospacing="1" w:after="100" w:afterAutospacing="1"/>
    </w:pPr>
    <w:rPr>
      <w:rFonts w:cs="Arial"/>
      <w:color w:val="000000"/>
      <w:sz w:val="16"/>
      <w:szCs w:val="16"/>
    </w:rPr>
  </w:style>
  <w:style w:type="paragraph" w:customStyle="1" w:styleId="header1">
    <w:name w:val="header1"/>
    <w:basedOn w:val="Normal"/>
    <w:pPr>
      <w:spacing w:before="100" w:beforeAutospacing="1" w:after="100" w:afterAutospacing="1"/>
    </w:pPr>
    <w:rPr>
      <w:rFonts w:cs="Arial"/>
      <w:color w:val="000000"/>
      <w:sz w:val="28"/>
      <w:szCs w:val="28"/>
    </w:rPr>
  </w:style>
  <w:style w:type="paragraph" w:styleId="TOC9">
    <w:name w:val="toc 9"/>
    <w:basedOn w:val="Normal"/>
    <w:next w:val="Normal"/>
    <w:autoRedefine/>
    <w:semiHidden/>
    <w:pPr>
      <w:numPr>
        <w:numId w:val="17"/>
      </w:numPr>
      <w:tabs>
        <w:tab w:val="right" w:pos="8313"/>
      </w:tabs>
      <w:ind w:left="1920" w:firstLine="0"/>
    </w:pPr>
    <w:rPr>
      <w:sz w:val="20"/>
      <w:szCs w:val="20"/>
      <w:lang w:eastAsia="en-US"/>
    </w:rPr>
  </w:style>
  <w:style w:type="paragraph" w:customStyle="1" w:styleId="Tips">
    <w:name w:val="Tips"/>
    <w:basedOn w:val="Normal"/>
    <w:next w:val="BREBodytext"/>
    <w:autoRedefine/>
    <w:pPr>
      <w:keepNext/>
      <w:keepLines/>
      <w:numPr>
        <w:ilvl w:val="1"/>
        <w:numId w:val="17"/>
      </w:numPr>
      <w:shd w:val="pct15" w:color="auto" w:fill="FFFFFF"/>
      <w:ind w:left="0" w:firstLine="0"/>
    </w:pPr>
    <w:rPr>
      <w:i/>
      <w:color w:val="0000FF"/>
      <w:sz w:val="20"/>
      <w:szCs w:val="20"/>
      <w:lang w:eastAsia="en-US"/>
    </w:rPr>
  </w:style>
  <w:style w:type="paragraph" w:customStyle="1" w:styleId="BREheading1numbered">
    <w:name w:val="BRE heading 1 numbered"/>
    <w:basedOn w:val="Heading1"/>
    <w:next w:val="BREBodytext"/>
    <w:pPr>
      <w:pageBreakBefore/>
      <w:numPr>
        <w:ilvl w:val="2"/>
        <w:numId w:val="17"/>
      </w:numPr>
      <w:tabs>
        <w:tab w:val="left" w:pos="851"/>
      </w:tabs>
      <w:autoSpaceDE/>
      <w:autoSpaceDN/>
      <w:adjustRightInd/>
      <w:spacing w:after="1320"/>
      <w:ind w:left="360"/>
      <w:jc w:val="left"/>
    </w:pPr>
    <w:rPr>
      <w:rFonts w:ascii="Arial" w:hAnsi="Arial"/>
      <w:b/>
      <w:i w:val="0"/>
      <w:szCs w:val="20"/>
      <w:lang w:eastAsia="en-US"/>
    </w:rPr>
  </w:style>
  <w:style w:type="character" w:customStyle="1" w:styleId="BREheading1numberedChar">
    <w:name w:val="BRE heading 1 numbered Char"/>
    <w:rPr>
      <w:rFonts w:ascii="Arial" w:hAnsi="Arial"/>
      <w:b/>
      <w:sz w:val="24"/>
      <w:lang w:val="en-GB" w:eastAsia="en-US" w:bidi="ar-SA"/>
    </w:rPr>
  </w:style>
  <w:style w:type="character" w:styleId="PageNumber">
    <w:name w:val="page number"/>
    <w:basedOn w:val="DefaultParagraphFont"/>
  </w:style>
  <w:style w:type="paragraph" w:customStyle="1" w:styleId="MainText">
    <w:name w:val="Main Text"/>
    <w:basedOn w:val="Normal"/>
    <w:link w:val="MainTextChar1"/>
    <w:rsid w:val="00FF3D92"/>
    <w:pPr>
      <w:tabs>
        <w:tab w:val="left" w:pos="851"/>
      </w:tabs>
      <w:spacing w:after="180" w:line="280" w:lineRule="atLeast"/>
      <w:ind w:left="851"/>
      <w:jc w:val="both"/>
    </w:pPr>
    <w:rPr>
      <w:rFonts w:ascii="Verdana" w:hAnsi="Verdana"/>
      <w:sz w:val="20"/>
      <w:szCs w:val="20"/>
    </w:rPr>
  </w:style>
  <w:style w:type="character" w:customStyle="1" w:styleId="MainTextChar1">
    <w:name w:val="Main Text Char1"/>
    <w:link w:val="MainText"/>
    <w:rsid w:val="00FF3D92"/>
    <w:rPr>
      <w:rFonts w:ascii="Verdana" w:hAnsi="Verdana"/>
      <w:lang w:val="en-GB" w:eastAsia="en-GB" w:bidi="ar-SA"/>
    </w:rPr>
  </w:style>
  <w:style w:type="table" w:styleId="TableGrid">
    <w:name w:val="Table Grid"/>
    <w:basedOn w:val="TableNormal"/>
    <w:rsid w:val="005D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8">
    <w:name w:val="journal8"/>
    <w:rsid w:val="00DA5E6A"/>
    <w:rPr>
      <w:i/>
      <w:iCs/>
    </w:rPr>
  </w:style>
  <w:style w:type="character" w:customStyle="1" w:styleId="jnumber1">
    <w:name w:val="jnumber1"/>
    <w:rsid w:val="00DA5E6A"/>
    <w:rPr>
      <w:b/>
      <w:bCs/>
    </w:rPr>
  </w:style>
  <w:style w:type="paragraph" w:styleId="BodyTextIndent">
    <w:name w:val="Body Text Indent"/>
    <w:basedOn w:val="Normal"/>
    <w:rsid w:val="00F73A61"/>
    <w:pPr>
      <w:spacing w:after="120"/>
      <w:ind w:left="283"/>
    </w:pPr>
  </w:style>
  <w:style w:type="character" w:styleId="CommentReference">
    <w:name w:val="annotation reference"/>
    <w:rsid w:val="006F4AAA"/>
    <w:rPr>
      <w:sz w:val="16"/>
      <w:szCs w:val="16"/>
    </w:rPr>
  </w:style>
  <w:style w:type="paragraph" w:styleId="CommentText">
    <w:name w:val="annotation text"/>
    <w:basedOn w:val="Normal"/>
    <w:link w:val="CommentTextChar"/>
    <w:rsid w:val="006F4AAA"/>
    <w:rPr>
      <w:sz w:val="20"/>
      <w:szCs w:val="20"/>
    </w:rPr>
  </w:style>
  <w:style w:type="character" w:customStyle="1" w:styleId="CommentTextChar">
    <w:name w:val="Comment Text Char"/>
    <w:link w:val="CommentText"/>
    <w:rsid w:val="006F4AAA"/>
    <w:rPr>
      <w:rFonts w:ascii="Arial" w:hAnsi="Arial"/>
    </w:rPr>
  </w:style>
  <w:style w:type="paragraph" w:styleId="CommentSubject">
    <w:name w:val="annotation subject"/>
    <w:basedOn w:val="CommentText"/>
    <w:next w:val="CommentText"/>
    <w:link w:val="CommentSubjectChar"/>
    <w:rsid w:val="006F4AAA"/>
    <w:rPr>
      <w:b/>
      <w:bCs/>
    </w:rPr>
  </w:style>
  <w:style w:type="character" w:customStyle="1" w:styleId="CommentSubjectChar">
    <w:name w:val="Comment Subject Char"/>
    <w:link w:val="CommentSubject"/>
    <w:rsid w:val="006F4AAA"/>
    <w:rPr>
      <w:rFonts w:ascii="Arial" w:hAnsi="Arial"/>
      <w:b/>
      <w:bCs/>
    </w:rPr>
  </w:style>
  <w:style w:type="paragraph" w:styleId="HTMLPreformatted">
    <w:name w:val="HTML Preformatted"/>
    <w:basedOn w:val="Normal"/>
    <w:link w:val="HTMLPreformattedChar"/>
    <w:uiPriority w:val="99"/>
    <w:unhideWhenUsed/>
    <w:rsid w:val="0078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783E1A"/>
    <w:rPr>
      <w:rFonts w:ascii="Courier New" w:hAnsi="Courier New" w:cs="Courier New"/>
    </w:rPr>
  </w:style>
  <w:style w:type="paragraph" w:styleId="Revision">
    <w:name w:val="Revision"/>
    <w:hidden/>
    <w:uiPriority w:val="99"/>
    <w:semiHidden/>
    <w:rsid w:val="002947A0"/>
    <w:rPr>
      <w:rFonts w:ascii="Arial" w:hAnsi="Arial"/>
      <w:sz w:val="22"/>
      <w:szCs w:val="24"/>
    </w:rPr>
  </w:style>
  <w:style w:type="paragraph" w:styleId="ListParagraph">
    <w:name w:val="List Paragraph"/>
    <w:basedOn w:val="Normal"/>
    <w:uiPriority w:val="34"/>
    <w:qFormat/>
    <w:rsid w:val="00DF5F20"/>
    <w:pPr>
      <w:ind w:left="720"/>
      <w:contextualSpacing/>
    </w:pPr>
  </w:style>
  <w:style w:type="character" w:customStyle="1" w:styleId="cit">
    <w:name w:val="cit"/>
    <w:basedOn w:val="DefaultParagraphFont"/>
    <w:rsid w:val="006574F0"/>
  </w:style>
  <w:style w:type="character" w:customStyle="1" w:styleId="HeaderChar">
    <w:name w:val="Header Char"/>
    <w:basedOn w:val="DefaultParagraphFont"/>
    <w:link w:val="Header"/>
    <w:uiPriority w:val="99"/>
    <w:rsid w:val="003B56DE"/>
    <w:rPr>
      <w:sz w:val="24"/>
      <w:lang w:eastAsia="en-US"/>
    </w:rPr>
  </w:style>
  <w:style w:type="character" w:customStyle="1" w:styleId="FooterChar">
    <w:name w:val="Footer Char"/>
    <w:basedOn w:val="DefaultParagraphFont"/>
    <w:link w:val="Footer"/>
    <w:uiPriority w:val="99"/>
    <w:rsid w:val="003B56DE"/>
    <w:rPr>
      <w:rFonts w:ascii="Arial" w:hAnsi="Arial"/>
      <w:sz w:val="22"/>
      <w:szCs w:val="24"/>
    </w:rPr>
  </w:style>
  <w:style w:type="character" w:customStyle="1" w:styleId="hithilite">
    <w:name w:val="hithilite"/>
    <w:basedOn w:val="DefaultParagraphFont"/>
    <w:rsid w:val="00324D03"/>
  </w:style>
  <w:style w:type="character" w:customStyle="1" w:styleId="apple-converted-space">
    <w:name w:val="apple-converted-space"/>
    <w:basedOn w:val="DefaultParagraphFont"/>
    <w:rsid w:val="00324D03"/>
  </w:style>
  <w:style w:type="paragraph" w:customStyle="1" w:styleId="frfield">
    <w:name w:val="fr_field"/>
    <w:basedOn w:val="Normal"/>
    <w:rsid w:val="00324D03"/>
    <w:pPr>
      <w:spacing w:before="100" w:beforeAutospacing="1" w:after="100" w:afterAutospacing="1"/>
    </w:pPr>
    <w:rPr>
      <w:rFonts w:ascii="Times New Roman" w:hAnsi="Times New Roman"/>
      <w:sz w:val="24"/>
    </w:rPr>
  </w:style>
  <w:style w:type="character" w:customStyle="1" w:styleId="frlabel">
    <w:name w:val="fr_label"/>
    <w:basedOn w:val="DefaultParagraphFont"/>
    <w:rsid w:val="00324D03"/>
  </w:style>
  <w:style w:type="paragraph" w:customStyle="1" w:styleId="sourcetitle">
    <w:name w:val="sourcetitle"/>
    <w:basedOn w:val="Normal"/>
    <w:rsid w:val="00324D03"/>
    <w:pPr>
      <w:spacing w:before="100" w:beforeAutospacing="1" w:after="100" w:afterAutospacing="1"/>
    </w:pPr>
    <w:rPr>
      <w:rFonts w:ascii="Times New Roman" w:hAnsi="Times New Roman"/>
      <w:sz w:val="24"/>
    </w:rPr>
  </w:style>
  <w:style w:type="paragraph" w:customStyle="1" w:styleId="frlabel1">
    <w:name w:val="fr_label1"/>
    <w:basedOn w:val="Normal"/>
    <w:rsid w:val="00324D03"/>
    <w:pPr>
      <w:spacing w:before="100" w:beforeAutospacing="1" w:after="100" w:afterAutospacing="1"/>
    </w:pPr>
    <w:rPr>
      <w:rFonts w:ascii="Times New Roman" w:hAnsi="Times New Roman"/>
      <w:sz w:val="24"/>
    </w:rPr>
  </w:style>
  <w:style w:type="character" w:styleId="FollowedHyperlink">
    <w:name w:val="FollowedHyperlink"/>
    <w:basedOn w:val="DefaultParagraphFont"/>
    <w:semiHidden/>
    <w:unhideWhenUsed/>
    <w:rsid w:val="007B3E8F"/>
    <w:rPr>
      <w:color w:val="800080" w:themeColor="followedHyperlink"/>
      <w:u w:val="single"/>
    </w:rPr>
  </w:style>
  <w:style w:type="character" w:styleId="LineNumber">
    <w:name w:val="line number"/>
    <w:basedOn w:val="DefaultParagraphFont"/>
    <w:semiHidden/>
    <w:unhideWhenUsed/>
    <w:rsid w:val="00C8654C"/>
  </w:style>
  <w:style w:type="table" w:customStyle="1" w:styleId="PlainTable31">
    <w:name w:val="Plain Table 31"/>
    <w:basedOn w:val="TableNormal"/>
    <w:uiPriority w:val="43"/>
    <w:rsid w:val="001C7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C71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journal">
    <w:name w:val="ref-journal"/>
    <w:basedOn w:val="DefaultParagraphFont"/>
    <w:rsid w:val="003B7410"/>
  </w:style>
  <w:style w:type="character" w:customStyle="1" w:styleId="ref-vol">
    <w:name w:val="ref-vol"/>
    <w:basedOn w:val="DefaultParagraphFont"/>
    <w:rsid w:val="003B7410"/>
  </w:style>
  <w:style w:type="paragraph" w:styleId="PlainText">
    <w:name w:val="Plain Text"/>
    <w:basedOn w:val="Normal"/>
    <w:link w:val="PlainTextChar"/>
    <w:rsid w:val="00301328"/>
    <w:rPr>
      <w:rFonts w:ascii="Courier New" w:hAnsi="Courier New" w:cs="Courier New"/>
      <w:sz w:val="20"/>
      <w:szCs w:val="20"/>
      <w:lang w:eastAsia="en-US"/>
    </w:rPr>
  </w:style>
  <w:style w:type="character" w:customStyle="1" w:styleId="PlainTextChar">
    <w:name w:val="Plain Text Char"/>
    <w:basedOn w:val="DefaultParagraphFont"/>
    <w:link w:val="PlainText"/>
    <w:rsid w:val="00301328"/>
    <w:rPr>
      <w:rFonts w:ascii="Courier New" w:hAnsi="Courier New" w:cs="Courier New"/>
      <w:lang w:eastAsia="en-US"/>
    </w:rPr>
  </w:style>
  <w:style w:type="character" w:styleId="Strong">
    <w:name w:val="Strong"/>
    <w:basedOn w:val="DefaultParagraphFont"/>
    <w:uiPriority w:val="22"/>
    <w:qFormat/>
    <w:rsid w:val="00B74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6006">
      <w:bodyDiv w:val="1"/>
      <w:marLeft w:val="0"/>
      <w:marRight w:val="0"/>
      <w:marTop w:val="0"/>
      <w:marBottom w:val="0"/>
      <w:divBdr>
        <w:top w:val="none" w:sz="0" w:space="0" w:color="auto"/>
        <w:left w:val="none" w:sz="0" w:space="0" w:color="auto"/>
        <w:bottom w:val="none" w:sz="0" w:space="0" w:color="auto"/>
        <w:right w:val="none" w:sz="0" w:space="0" w:color="auto"/>
      </w:divBdr>
    </w:div>
    <w:div w:id="289015522">
      <w:bodyDiv w:val="1"/>
      <w:marLeft w:val="0"/>
      <w:marRight w:val="0"/>
      <w:marTop w:val="0"/>
      <w:marBottom w:val="0"/>
      <w:divBdr>
        <w:top w:val="none" w:sz="0" w:space="0" w:color="auto"/>
        <w:left w:val="none" w:sz="0" w:space="0" w:color="auto"/>
        <w:bottom w:val="none" w:sz="0" w:space="0" w:color="auto"/>
        <w:right w:val="none" w:sz="0" w:space="0" w:color="auto"/>
      </w:divBdr>
      <w:divsChild>
        <w:div w:id="920068095">
          <w:marLeft w:val="0"/>
          <w:marRight w:val="0"/>
          <w:marTop w:val="150"/>
          <w:marBottom w:val="0"/>
          <w:divBdr>
            <w:top w:val="none" w:sz="0" w:space="0" w:color="auto"/>
            <w:left w:val="single" w:sz="6" w:space="0" w:color="999999"/>
            <w:bottom w:val="none" w:sz="0" w:space="0" w:color="auto"/>
            <w:right w:val="single" w:sz="6" w:space="0" w:color="999999"/>
          </w:divBdr>
          <w:divsChild>
            <w:div w:id="1278221025">
              <w:marLeft w:val="0"/>
              <w:marRight w:val="0"/>
              <w:marTop w:val="0"/>
              <w:marBottom w:val="0"/>
              <w:divBdr>
                <w:top w:val="single" w:sz="6" w:space="0" w:color="999999"/>
                <w:left w:val="none" w:sz="0" w:space="0" w:color="auto"/>
                <w:bottom w:val="single" w:sz="6" w:space="0" w:color="999999"/>
                <w:right w:val="none" w:sz="0" w:space="0" w:color="auto"/>
              </w:divBdr>
              <w:divsChild>
                <w:div w:id="39715588">
                  <w:marLeft w:val="0"/>
                  <w:marRight w:val="0"/>
                  <w:marTop w:val="0"/>
                  <w:marBottom w:val="0"/>
                  <w:divBdr>
                    <w:top w:val="none" w:sz="0" w:space="0" w:color="auto"/>
                    <w:left w:val="none" w:sz="0" w:space="0" w:color="auto"/>
                    <w:bottom w:val="none" w:sz="0" w:space="0" w:color="auto"/>
                    <w:right w:val="none" w:sz="0" w:space="0" w:color="auto"/>
                  </w:divBdr>
                  <w:divsChild>
                    <w:div w:id="1108891130">
                      <w:marLeft w:val="0"/>
                      <w:marRight w:val="0"/>
                      <w:marTop w:val="0"/>
                      <w:marBottom w:val="0"/>
                      <w:divBdr>
                        <w:top w:val="none" w:sz="0" w:space="0" w:color="auto"/>
                        <w:left w:val="none" w:sz="0" w:space="0" w:color="auto"/>
                        <w:bottom w:val="none" w:sz="0" w:space="0" w:color="auto"/>
                        <w:right w:val="none" w:sz="0" w:space="0" w:color="auto"/>
                      </w:divBdr>
                      <w:divsChild>
                        <w:div w:id="1612398668">
                          <w:marLeft w:val="600"/>
                          <w:marRight w:val="0"/>
                          <w:marTop w:val="150"/>
                          <w:marBottom w:val="375"/>
                          <w:divBdr>
                            <w:top w:val="none" w:sz="0" w:space="0" w:color="auto"/>
                            <w:left w:val="none" w:sz="0" w:space="0" w:color="auto"/>
                            <w:bottom w:val="none" w:sz="0" w:space="0" w:color="auto"/>
                            <w:right w:val="none" w:sz="0" w:space="0" w:color="auto"/>
                          </w:divBdr>
                          <w:divsChild>
                            <w:div w:id="496463380">
                              <w:marLeft w:val="0"/>
                              <w:marRight w:val="450"/>
                              <w:marTop w:val="0"/>
                              <w:marBottom w:val="0"/>
                              <w:divBdr>
                                <w:top w:val="none" w:sz="0" w:space="0" w:color="auto"/>
                                <w:left w:val="none" w:sz="0" w:space="0" w:color="auto"/>
                                <w:bottom w:val="none" w:sz="0" w:space="0" w:color="auto"/>
                                <w:right w:val="none" w:sz="0" w:space="0" w:color="auto"/>
                              </w:divBdr>
                              <w:divsChild>
                                <w:div w:id="1953629790">
                                  <w:marLeft w:val="0"/>
                                  <w:marRight w:val="0"/>
                                  <w:marTop w:val="0"/>
                                  <w:marBottom w:val="0"/>
                                  <w:divBdr>
                                    <w:top w:val="none" w:sz="0" w:space="0" w:color="auto"/>
                                    <w:left w:val="none" w:sz="0" w:space="0" w:color="auto"/>
                                    <w:bottom w:val="none" w:sz="0" w:space="0" w:color="auto"/>
                                    <w:right w:val="none" w:sz="0" w:space="0" w:color="auto"/>
                                  </w:divBdr>
                                  <w:divsChild>
                                    <w:div w:id="1702394811">
                                      <w:marLeft w:val="0"/>
                                      <w:marRight w:val="0"/>
                                      <w:marTop w:val="0"/>
                                      <w:marBottom w:val="0"/>
                                      <w:divBdr>
                                        <w:top w:val="none" w:sz="0" w:space="0" w:color="auto"/>
                                        <w:left w:val="none" w:sz="0" w:space="0" w:color="auto"/>
                                        <w:bottom w:val="none" w:sz="0" w:space="0" w:color="auto"/>
                                        <w:right w:val="none" w:sz="0" w:space="0" w:color="auto"/>
                                      </w:divBdr>
                                      <w:divsChild>
                                        <w:div w:id="732124535">
                                          <w:marLeft w:val="0"/>
                                          <w:marRight w:val="0"/>
                                          <w:marTop w:val="0"/>
                                          <w:marBottom w:val="0"/>
                                          <w:divBdr>
                                            <w:top w:val="none" w:sz="0" w:space="0" w:color="auto"/>
                                            <w:left w:val="none" w:sz="0" w:space="0" w:color="auto"/>
                                            <w:bottom w:val="none" w:sz="0" w:space="0" w:color="auto"/>
                                            <w:right w:val="none" w:sz="0" w:space="0" w:color="auto"/>
                                          </w:divBdr>
                                          <w:divsChild>
                                            <w:div w:id="754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8592309">
      <w:bodyDiv w:val="1"/>
      <w:marLeft w:val="0"/>
      <w:marRight w:val="0"/>
      <w:marTop w:val="0"/>
      <w:marBottom w:val="0"/>
      <w:divBdr>
        <w:top w:val="none" w:sz="0" w:space="0" w:color="auto"/>
        <w:left w:val="none" w:sz="0" w:space="0" w:color="auto"/>
        <w:bottom w:val="none" w:sz="0" w:space="0" w:color="auto"/>
        <w:right w:val="none" w:sz="0" w:space="0" w:color="auto"/>
      </w:divBdr>
    </w:div>
    <w:div w:id="501508637">
      <w:bodyDiv w:val="1"/>
      <w:marLeft w:val="0"/>
      <w:marRight w:val="0"/>
      <w:marTop w:val="0"/>
      <w:marBottom w:val="0"/>
      <w:divBdr>
        <w:top w:val="none" w:sz="0" w:space="0" w:color="auto"/>
        <w:left w:val="none" w:sz="0" w:space="0" w:color="auto"/>
        <w:bottom w:val="none" w:sz="0" w:space="0" w:color="auto"/>
        <w:right w:val="none" w:sz="0" w:space="0" w:color="auto"/>
      </w:divBdr>
    </w:div>
    <w:div w:id="704331358">
      <w:bodyDiv w:val="1"/>
      <w:marLeft w:val="0"/>
      <w:marRight w:val="0"/>
      <w:marTop w:val="0"/>
      <w:marBottom w:val="0"/>
      <w:divBdr>
        <w:top w:val="none" w:sz="0" w:space="0" w:color="auto"/>
        <w:left w:val="none" w:sz="0" w:space="0" w:color="auto"/>
        <w:bottom w:val="none" w:sz="0" w:space="0" w:color="auto"/>
        <w:right w:val="none" w:sz="0" w:space="0" w:color="auto"/>
      </w:divBdr>
    </w:div>
    <w:div w:id="787355318">
      <w:bodyDiv w:val="1"/>
      <w:marLeft w:val="0"/>
      <w:marRight w:val="0"/>
      <w:marTop w:val="0"/>
      <w:marBottom w:val="0"/>
      <w:divBdr>
        <w:top w:val="none" w:sz="0" w:space="0" w:color="auto"/>
        <w:left w:val="none" w:sz="0" w:space="0" w:color="auto"/>
        <w:bottom w:val="none" w:sz="0" w:space="0" w:color="auto"/>
        <w:right w:val="none" w:sz="0" w:space="0" w:color="auto"/>
      </w:divBdr>
      <w:divsChild>
        <w:div w:id="1432507112">
          <w:marLeft w:val="0"/>
          <w:marRight w:val="0"/>
          <w:marTop w:val="0"/>
          <w:marBottom w:val="0"/>
          <w:divBdr>
            <w:top w:val="none" w:sz="0" w:space="0" w:color="auto"/>
            <w:left w:val="none" w:sz="0" w:space="0" w:color="auto"/>
            <w:bottom w:val="none" w:sz="0" w:space="0" w:color="auto"/>
            <w:right w:val="none" w:sz="0" w:space="0" w:color="auto"/>
          </w:divBdr>
          <w:divsChild>
            <w:div w:id="596400273">
              <w:marLeft w:val="0"/>
              <w:marRight w:val="0"/>
              <w:marTop w:val="0"/>
              <w:marBottom w:val="0"/>
              <w:divBdr>
                <w:top w:val="none" w:sz="0" w:space="0" w:color="auto"/>
                <w:left w:val="none" w:sz="0" w:space="0" w:color="auto"/>
                <w:bottom w:val="none" w:sz="0" w:space="0" w:color="auto"/>
                <w:right w:val="none" w:sz="0" w:space="0" w:color="auto"/>
              </w:divBdr>
              <w:divsChild>
                <w:div w:id="391586642">
                  <w:marLeft w:val="0"/>
                  <w:marRight w:val="0"/>
                  <w:marTop w:val="0"/>
                  <w:marBottom w:val="0"/>
                  <w:divBdr>
                    <w:top w:val="none" w:sz="0" w:space="0" w:color="auto"/>
                    <w:left w:val="none" w:sz="0" w:space="0" w:color="auto"/>
                    <w:bottom w:val="none" w:sz="0" w:space="0" w:color="auto"/>
                    <w:right w:val="none" w:sz="0" w:space="0" w:color="auto"/>
                  </w:divBdr>
                  <w:divsChild>
                    <w:div w:id="2059743503">
                      <w:marLeft w:val="0"/>
                      <w:marRight w:val="0"/>
                      <w:marTop w:val="0"/>
                      <w:marBottom w:val="0"/>
                      <w:divBdr>
                        <w:top w:val="none" w:sz="0" w:space="0" w:color="auto"/>
                        <w:left w:val="none" w:sz="0" w:space="0" w:color="auto"/>
                        <w:bottom w:val="none" w:sz="0" w:space="0" w:color="auto"/>
                        <w:right w:val="none" w:sz="0" w:space="0" w:color="auto"/>
                      </w:divBdr>
                      <w:divsChild>
                        <w:div w:id="1587306242">
                          <w:marLeft w:val="0"/>
                          <w:marRight w:val="0"/>
                          <w:marTop w:val="0"/>
                          <w:marBottom w:val="0"/>
                          <w:divBdr>
                            <w:top w:val="none" w:sz="0" w:space="0" w:color="auto"/>
                            <w:left w:val="none" w:sz="0" w:space="0" w:color="auto"/>
                            <w:bottom w:val="none" w:sz="0" w:space="0" w:color="auto"/>
                            <w:right w:val="none" w:sz="0" w:space="0" w:color="auto"/>
                          </w:divBdr>
                          <w:divsChild>
                            <w:div w:id="804200392">
                              <w:marLeft w:val="0"/>
                              <w:marRight w:val="0"/>
                              <w:marTop w:val="0"/>
                              <w:marBottom w:val="0"/>
                              <w:divBdr>
                                <w:top w:val="none" w:sz="0" w:space="0" w:color="auto"/>
                                <w:left w:val="none" w:sz="0" w:space="0" w:color="auto"/>
                                <w:bottom w:val="none" w:sz="0" w:space="0" w:color="auto"/>
                                <w:right w:val="none" w:sz="0" w:space="0" w:color="auto"/>
                              </w:divBdr>
                              <w:divsChild>
                                <w:div w:id="250622867">
                                  <w:marLeft w:val="0"/>
                                  <w:marRight w:val="0"/>
                                  <w:marTop w:val="0"/>
                                  <w:marBottom w:val="0"/>
                                  <w:divBdr>
                                    <w:top w:val="none" w:sz="0" w:space="0" w:color="auto"/>
                                    <w:left w:val="none" w:sz="0" w:space="0" w:color="auto"/>
                                    <w:bottom w:val="none" w:sz="0" w:space="0" w:color="auto"/>
                                    <w:right w:val="none" w:sz="0" w:space="0" w:color="auto"/>
                                  </w:divBdr>
                                  <w:divsChild>
                                    <w:div w:id="1552302929">
                                      <w:marLeft w:val="0"/>
                                      <w:marRight w:val="0"/>
                                      <w:marTop w:val="0"/>
                                      <w:marBottom w:val="0"/>
                                      <w:divBdr>
                                        <w:top w:val="none" w:sz="0" w:space="0" w:color="auto"/>
                                        <w:left w:val="none" w:sz="0" w:space="0" w:color="auto"/>
                                        <w:bottom w:val="none" w:sz="0" w:space="0" w:color="auto"/>
                                        <w:right w:val="none" w:sz="0" w:space="0" w:color="auto"/>
                                      </w:divBdr>
                                      <w:divsChild>
                                        <w:div w:id="1701659061">
                                          <w:marLeft w:val="0"/>
                                          <w:marRight w:val="0"/>
                                          <w:marTop w:val="0"/>
                                          <w:marBottom w:val="0"/>
                                          <w:divBdr>
                                            <w:top w:val="none" w:sz="0" w:space="0" w:color="auto"/>
                                            <w:left w:val="none" w:sz="0" w:space="0" w:color="auto"/>
                                            <w:bottom w:val="none" w:sz="0" w:space="0" w:color="auto"/>
                                            <w:right w:val="none" w:sz="0" w:space="0" w:color="auto"/>
                                          </w:divBdr>
                                          <w:divsChild>
                                            <w:div w:id="1185292496">
                                              <w:marLeft w:val="0"/>
                                              <w:marRight w:val="0"/>
                                              <w:marTop w:val="0"/>
                                              <w:marBottom w:val="0"/>
                                              <w:divBdr>
                                                <w:top w:val="none" w:sz="0" w:space="0" w:color="auto"/>
                                                <w:left w:val="none" w:sz="0" w:space="0" w:color="auto"/>
                                                <w:bottom w:val="none" w:sz="0" w:space="0" w:color="auto"/>
                                                <w:right w:val="none" w:sz="0" w:space="0" w:color="auto"/>
                                              </w:divBdr>
                                              <w:divsChild>
                                                <w:div w:id="1497644762">
                                                  <w:marLeft w:val="0"/>
                                                  <w:marRight w:val="0"/>
                                                  <w:marTop w:val="0"/>
                                                  <w:marBottom w:val="0"/>
                                                  <w:divBdr>
                                                    <w:top w:val="none" w:sz="0" w:space="0" w:color="auto"/>
                                                    <w:left w:val="none" w:sz="0" w:space="0" w:color="auto"/>
                                                    <w:bottom w:val="none" w:sz="0" w:space="0" w:color="auto"/>
                                                    <w:right w:val="none" w:sz="0" w:space="0" w:color="auto"/>
                                                  </w:divBdr>
                                                  <w:divsChild>
                                                    <w:div w:id="1920361294">
                                                      <w:marLeft w:val="0"/>
                                                      <w:marRight w:val="0"/>
                                                      <w:marTop w:val="0"/>
                                                      <w:marBottom w:val="0"/>
                                                      <w:divBdr>
                                                        <w:top w:val="none" w:sz="0" w:space="0" w:color="auto"/>
                                                        <w:left w:val="none" w:sz="0" w:space="0" w:color="auto"/>
                                                        <w:bottom w:val="none" w:sz="0" w:space="0" w:color="auto"/>
                                                        <w:right w:val="none" w:sz="0" w:space="0" w:color="auto"/>
                                                      </w:divBdr>
                                                      <w:divsChild>
                                                        <w:div w:id="8287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678895">
      <w:bodyDiv w:val="1"/>
      <w:marLeft w:val="0"/>
      <w:marRight w:val="0"/>
      <w:marTop w:val="0"/>
      <w:marBottom w:val="0"/>
      <w:divBdr>
        <w:top w:val="none" w:sz="0" w:space="0" w:color="auto"/>
        <w:left w:val="none" w:sz="0" w:space="0" w:color="auto"/>
        <w:bottom w:val="none" w:sz="0" w:space="0" w:color="auto"/>
        <w:right w:val="none" w:sz="0" w:space="0" w:color="auto"/>
      </w:divBdr>
      <w:divsChild>
        <w:div w:id="1706100738">
          <w:marLeft w:val="0"/>
          <w:marRight w:val="0"/>
          <w:marTop w:val="150"/>
          <w:marBottom w:val="0"/>
          <w:divBdr>
            <w:top w:val="none" w:sz="0" w:space="0" w:color="auto"/>
            <w:left w:val="single" w:sz="6" w:space="0" w:color="999999"/>
            <w:bottom w:val="none" w:sz="0" w:space="0" w:color="auto"/>
            <w:right w:val="single" w:sz="6" w:space="0" w:color="999999"/>
          </w:divBdr>
          <w:divsChild>
            <w:div w:id="1809080436">
              <w:marLeft w:val="0"/>
              <w:marRight w:val="0"/>
              <w:marTop w:val="0"/>
              <w:marBottom w:val="0"/>
              <w:divBdr>
                <w:top w:val="single" w:sz="6" w:space="0" w:color="999999"/>
                <w:left w:val="none" w:sz="0" w:space="0" w:color="auto"/>
                <w:bottom w:val="single" w:sz="6" w:space="0" w:color="999999"/>
                <w:right w:val="none" w:sz="0" w:space="0" w:color="auto"/>
              </w:divBdr>
              <w:divsChild>
                <w:div w:id="358311362">
                  <w:marLeft w:val="0"/>
                  <w:marRight w:val="0"/>
                  <w:marTop w:val="0"/>
                  <w:marBottom w:val="0"/>
                  <w:divBdr>
                    <w:top w:val="none" w:sz="0" w:space="0" w:color="auto"/>
                    <w:left w:val="none" w:sz="0" w:space="0" w:color="auto"/>
                    <w:bottom w:val="none" w:sz="0" w:space="0" w:color="auto"/>
                    <w:right w:val="none" w:sz="0" w:space="0" w:color="auto"/>
                  </w:divBdr>
                  <w:divsChild>
                    <w:div w:id="1600217752">
                      <w:marLeft w:val="0"/>
                      <w:marRight w:val="0"/>
                      <w:marTop w:val="0"/>
                      <w:marBottom w:val="0"/>
                      <w:divBdr>
                        <w:top w:val="none" w:sz="0" w:space="0" w:color="auto"/>
                        <w:left w:val="none" w:sz="0" w:space="0" w:color="auto"/>
                        <w:bottom w:val="none" w:sz="0" w:space="0" w:color="auto"/>
                        <w:right w:val="none" w:sz="0" w:space="0" w:color="auto"/>
                      </w:divBdr>
                      <w:divsChild>
                        <w:div w:id="1822650428">
                          <w:marLeft w:val="600"/>
                          <w:marRight w:val="0"/>
                          <w:marTop w:val="150"/>
                          <w:marBottom w:val="375"/>
                          <w:divBdr>
                            <w:top w:val="none" w:sz="0" w:space="0" w:color="auto"/>
                            <w:left w:val="none" w:sz="0" w:space="0" w:color="auto"/>
                            <w:bottom w:val="none" w:sz="0" w:space="0" w:color="auto"/>
                            <w:right w:val="none" w:sz="0" w:space="0" w:color="auto"/>
                          </w:divBdr>
                          <w:divsChild>
                            <w:div w:id="1182401244">
                              <w:marLeft w:val="0"/>
                              <w:marRight w:val="450"/>
                              <w:marTop w:val="0"/>
                              <w:marBottom w:val="0"/>
                              <w:divBdr>
                                <w:top w:val="none" w:sz="0" w:space="0" w:color="auto"/>
                                <w:left w:val="none" w:sz="0" w:space="0" w:color="auto"/>
                                <w:bottom w:val="none" w:sz="0" w:space="0" w:color="auto"/>
                                <w:right w:val="none" w:sz="0" w:space="0" w:color="auto"/>
                              </w:divBdr>
                              <w:divsChild>
                                <w:div w:id="416874595">
                                  <w:marLeft w:val="0"/>
                                  <w:marRight w:val="0"/>
                                  <w:marTop w:val="0"/>
                                  <w:marBottom w:val="0"/>
                                  <w:divBdr>
                                    <w:top w:val="none" w:sz="0" w:space="0" w:color="auto"/>
                                    <w:left w:val="none" w:sz="0" w:space="0" w:color="auto"/>
                                    <w:bottom w:val="none" w:sz="0" w:space="0" w:color="auto"/>
                                    <w:right w:val="none" w:sz="0" w:space="0" w:color="auto"/>
                                  </w:divBdr>
                                  <w:divsChild>
                                    <w:div w:id="1991903036">
                                      <w:marLeft w:val="0"/>
                                      <w:marRight w:val="0"/>
                                      <w:marTop w:val="0"/>
                                      <w:marBottom w:val="0"/>
                                      <w:divBdr>
                                        <w:top w:val="none" w:sz="0" w:space="0" w:color="auto"/>
                                        <w:left w:val="none" w:sz="0" w:space="0" w:color="auto"/>
                                        <w:bottom w:val="none" w:sz="0" w:space="0" w:color="auto"/>
                                        <w:right w:val="none" w:sz="0" w:space="0" w:color="auto"/>
                                      </w:divBdr>
                                      <w:divsChild>
                                        <w:div w:id="427392375">
                                          <w:marLeft w:val="0"/>
                                          <w:marRight w:val="0"/>
                                          <w:marTop w:val="0"/>
                                          <w:marBottom w:val="0"/>
                                          <w:divBdr>
                                            <w:top w:val="none" w:sz="0" w:space="0" w:color="auto"/>
                                            <w:left w:val="none" w:sz="0" w:space="0" w:color="auto"/>
                                            <w:bottom w:val="none" w:sz="0" w:space="0" w:color="auto"/>
                                            <w:right w:val="none" w:sz="0" w:space="0" w:color="auto"/>
                                          </w:divBdr>
                                          <w:divsChild>
                                            <w:div w:id="2142847778">
                                              <w:marLeft w:val="0"/>
                                              <w:marRight w:val="0"/>
                                              <w:marTop w:val="0"/>
                                              <w:marBottom w:val="0"/>
                                              <w:divBdr>
                                                <w:top w:val="none" w:sz="0" w:space="0" w:color="auto"/>
                                                <w:left w:val="none" w:sz="0" w:space="0" w:color="auto"/>
                                                <w:bottom w:val="none" w:sz="0" w:space="0" w:color="auto"/>
                                                <w:right w:val="none" w:sz="0" w:space="0" w:color="auto"/>
                                              </w:divBdr>
                                              <w:divsChild>
                                                <w:div w:id="1385562185">
                                                  <w:marLeft w:val="-150"/>
                                                  <w:marRight w:val="0"/>
                                                  <w:marTop w:val="0"/>
                                                  <w:marBottom w:val="225"/>
                                                  <w:divBdr>
                                                    <w:top w:val="dashed" w:sz="6" w:space="4" w:color="666666"/>
                                                    <w:left w:val="none" w:sz="0" w:space="0" w:color="auto"/>
                                                    <w:bottom w:val="dashed" w:sz="6" w:space="8" w:color="666666"/>
                                                    <w:right w:val="none" w:sz="0" w:space="0" w:color="auto"/>
                                                  </w:divBdr>
                                                  <w:divsChild>
                                                    <w:div w:id="1976059092">
                                                      <w:marLeft w:val="0"/>
                                                      <w:marRight w:val="0"/>
                                                      <w:marTop w:val="0"/>
                                                      <w:marBottom w:val="0"/>
                                                      <w:divBdr>
                                                        <w:top w:val="none" w:sz="0" w:space="0" w:color="auto"/>
                                                        <w:left w:val="none" w:sz="0" w:space="0" w:color="auto"/>
                                                        <w:bottom w:val="none" w:sz="0" w:space="0" w:color="auto"/>
                                                        <w:right w:val="none" w:sz="0" w:space="0" w:color="auto"/>
                                                      </w:divBdr>
                                                    </w:div>
                                                    <w:div w:id="572279673">
                                                      <w:marLeft w:val="0"/>
                                                      <w:marRight w:val="0"/>
                                                      <w:marTop w:val="0"/>
                                                      <w:marBottom w:val="0"/>
                                                      <w:divBdr>
                                                        <w:top w:val="none" w:sz="0" w:space="0" w:color="auto"/>
                                                        <w:left w:val="none" w:sz="0" w:space="0" w:color="auto"/>
                                                        <w:bottom w:val="none" w:sz="0" w:space="0" w:color="auto"/>
                                                        <w:right w:val="none" w:sz="0" w:space="0" w:color="auto"/>
                                                      </w:divBdr>
                                                    </w:div>
                                                    <w:div w:id="20989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296424">
      <w:bodyDiv w:val="1"/>
      <w:marLeft w:val="0"/>
      <w:marRight w:val="0"/>
      <w:marTop w:val="0"/>
      <w:marBottom w:val="0"/>
      <w:divBdr>
        <w:top w:val="none" w:sz="0" w:space="0" w:color="auto"/>
        <w:left w:val="none" w:sz="0" w:space="0" w:color="auto"/>
        <w:bottom w:val="none" w:sz="0" w:space="0" w:color="auto"/>
        <w:right w:val="none" w:sz="0" w:space="0" w:color="auto"/>
      </w:divBdr>
    </w:div>
    <w:div w:id="825435701">
      <w:bodyDiv w:val="1"/>
      <w:marLeft w:val="0"/>
      <w:marRight w:val="0"/>
      <w:marTop w:val="0"/>
      <w:marBottom w:val="0"/>
      <w:divBdr>
        <w:top w:val="none" w:sz="0" w:space="0" w:color="auto"/>
        <w:left w:val="none" w:sz="0" w:space="0" w:color="auto"/>
        <w:bottom w:val="none" w:sz="0" w:space="0" w:color="auto"/>
        <w:right w:val="none" w:sz="0" w:space="0" w:color="auto"/>
      </w:divBdr>
    </w:div>
    <w:div w:id="1010373645">
      <w:bodyDiv w:val="1"/>
      <w:marLeft w:val="0"/>
      <w:marRight w:val="0"/>
      <w:marTop w:val="0"/>
      <w:marBottom w:val="0"/>
      <w:divBdr>
        <w:top w:val="none" w:sz="0" w:space="0" w:color="auto"/>
        <w:left w:val="none" w:sz="0" w:space="0" w:color="auto"/>
        <w:bottom w:val="none" w:sz="0" w:space="0" w:color="auto"/>
        <w:right w:val="none" w:sz="0" w:space="0" w:color="auto"/>
      </w:divBdr>
      <w:divsChild>
        <w:div w:id="405421336">
          <w:marLeft w:val="330"/>
          <w:marRight w:val="330"/>
          <w:marTop w:val="30"/>
          <w:marBottom w:val="180"/>
          <w:divBdr>
            <w:top w:val="none" w:sz="0" w:space="0" w:color="auto"/>
            <w:left w:val="none" w:sz="0" w:space="0" w:color="auto"/>
            <w:bottom w:val="none" w:sz="0" w:space="0" w:color="auto"/>
            <w:right w:val="none" w:sz="0" w:space="0" w:color="auto"/>
          </w:divBdr>
        </w:div>
        <w:div w:id="1619557888">
          <w:marLeft w:val="330"/>
          <w:marRight w:val="330"/>
          <w:marTop w:val="0"/>
          <w:marBottom w:val="330"/>
          <w:divBdr>
            <w:top w:val="none" w:sz="0" w:space="0" w:color="auto"/>
            <w:left w:val="none" w:sz="0" w:space="0" w:color="auto"/>
            <w:bottom w:val="none" w:sz="0" w:space="0" w:color="auto"/>
            <w:right w:val="none" w:sz="0" w:space="0" w:color="auto"/>
          </w:divBdr>
        </w:div>
        <w:div w:id="282998809">
          <w:marLeft w:val="330"/>
          <w:marRight w:val="330"/>
          <w:marTop w:val="0"/>
          <w:marBottom w:val="330"/>
          <w:divBdr>
            <w:top w:val="none" w:sz="0" w:space="0" w:color="auto"/>
            <w:left w:val="none" w:sz="0" w:space="0" w:color="auto"/>
            <w:bottom w:val="none" w:sz="0" w:space="0" w:color="auto"/>
            <w:right w:val="none" w:sz="0" w:space="0" w:color="auto"/>
          </w:divBdr>
          <w:divsChild>
            <w:div w:id="20112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3576">
      <w:bodyDiv w:val="1"/>
      <w:marLeft w:val="0"/>
      <w:marRight w:val="0"/>
      <w:marTop w:val="0"/>
      <w:marBottom w:val="0"/>
      <w:divBdr>
        <w:top w:val="none" w:sz="0" w:space="0" w:color="auto"/>
        <w:left w:val="none" w:sz="0" w:space="0" w:color="auto"/>
        <w:bottom w:val="none" w:sz="0" w:space="0" w:color="auto"/>
        <w:right w:val="none" w:sz="0" w:space="0" w:color="auto"/>
      </w:divBdr>
    </w:div>
    <w:div w:id="1114254968">
      <w:bodyDiv w:val="1"/>
      <w:marLeft w:val="0"/>
      <w:marRight w:val="0"/>
      <w:marTop w:val="0"/>
      <w:marBottom w:val="0"/>
      <w:divBdr>
        <w:top w:val="none" w:sz="0" w:space="0" w:color="auto"/>
        <w:left w:val="none" w:sz="0" w:space="0" w:color="auto"/>
        <w:bottom w:val="none" w:sz="0" w:space="0" w:color="auto"/>
        <w:right w:val="none" w:sz="0" w:space="0" w:color="auto"/>
      </w:divBdr>
    </w:div>
    <w:div w:id="1384871154">
      <w:bodyDiv w:val="1"/>
      <w:marLeft w:val="0"/>
      <w:marRight w:val="0"/>
      <w:marTop w:val="0"/>
      <w:marBottom w:val="0"/>
      <w:divBdr>
        <w:top w:val="none" w:sz="0" w:space="0" w:color="auto"/>
        <w:left w:val="none" w:sz="0" w:space="0" w:color="auto"/>
        <w:bottom w:val="none" w:sz="0" w:space="0" w:color="auto"/>
        <w:right w:val="none" w:sz="0" w:space="0" w:color="auto"/>
      </w:divBdr>
    </w:div>
    <w:div w:id="1665236802">
      <w:bodyDiv w:val="1"/>
      <w:marLeft w:val="0"/>
      <w:marRight w:val="0"/>
      <w:marTop w:val="0"/>
      <w:marBottom w:val="0"/>
      <w:divBdr>
        <w:top w:val="none" w:sz="0" w:space="0" w:color="auto"/>
        <w:left w:val="none" w:sz="0" w:space="0" w:color="auto"/>
        <w:bottom w:val="none" w:sz="0" w:space="0" w:color="auto"/>
        <w:right w:val="none" w:sz="0" w:space="0" w:color="auto"/>
      </w:divBdr>
    </w:div>
    <w:div w:id="1796024076">
      <w:bodyDiv w:val="1"/>
      <w:marLeft w:val="0"/>
      <w:marRight w:val="0"/>
      <w:marTop w:val="0"/>
      <w:marBottom w:val="0"/>
      <w:divBdr>
        <w:top w:val="none" w:sz="0" w:space="0" w:color="auto"/>
        <w:left w:val="none" w:sz="0" w:space="0" w:color="auto"/>
        <w:bottom w:val="none" w:sz="0" w:space="0" w:color="auto"/>
        <w:right w:val="none" w:sz="0" w:space="0" w:color="auto"/>
      </w:divBdr>
    </w:div>
    <w:div w:id="182724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hyperlink" Target="http://cfpub.epa.gov/ncea/isa/recordisplay.cfm?deid=310879"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0.emf"/><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9.emf"/><Relationship Id="rId38" Type="http://schemas.openxmlformats.org/officeDocument/2006/relationships/hyperlink" Target="https://www.gov.uk/government/publications/nitrogen-dioxide-health-effects-of-exposur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6.xml"/><Relationship Id="rId29" Type="http://schemas.openxmlformats.org/officeDocument/2006/relationships/image" Target="media/image15.emf"/><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18.emf"/><Relationship Id="rId37" Type="http://schemas.openxmlformats.org/officeDocument/2006/relationships/hyperlink" Target="https://www.gov.uk/government/publications/comeap-mortality-effects-of-long-term-exposure-to-particulate-air-pollution-in-the-uk" TargetMode="Externa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oter" Target="footer8.xml"/><Relationship Id="rId36" Type="http://schemas.openxmlformats.org/officeDocument/2006/relationships/hyperlink" Target="http://www.ncbi.nlm.nih.gov/pubmed/25227730" TargetMode="External"/><Relationship Id="rId10" Type="http://schemas.openxmlformats.org/officeDocument/2006/relationships/image" Target="media/image4.png"/><Relationship Id="rId19" Type="http://schemas.openxmlformats.org/officeDocument/2006/relationships/footer" Target="footer5.xml"/><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 Id="rId22" Type="http://schemas.openxmlformats.org/officeDocument/2006/relationships/image" Target="media/image10.png"/><Relationship Id="rId27" Type="http://schemas.openxmlformats.org/officeDocument/2006/relationships/footer" Target="footer7.xml"/><Relationship Id="rId30" Type="http://schemas.openxmlformats.org/officeDocument/2006/relationships/image" Target="media/image16.emf"/><Relationship Id="rId35" Type="http://schemas.openxmlformats.org/officeDocument/2006/relationships/hyperlink" Target="http://www.ncbi.nlm.nih.gov/pubmed/2470604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7453BBAA.dotm</Template>
  <TotalTime>0</TotalTime>
  <Pages>40</Pages>
  <Words>12319</Words>
  <Characters>70221</Characters>
  <Application>Microsoft Office Word</Application>
  <DocSecurity>4</DocSecurity>
  <Lines>585</Lines>
  <Paragraphs>164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3</vt:lpstr>
      <vt:lpstr>3</vt:lpstr>
    </vt:vector>
  </TitlesOfParts>
  <Company>BRE</Company>
  <LinksUpToDate>false</LinksUpToDate>
  <CharactersWithSpaces>82376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Sani Dimitroulopoulou</dc:creator>
  <cp:lastModifiedBy>Lucy Cook</cp:lastModifiedBy>
  <cp:revision>2</cp:revision>
  <cp:lastPrinted>2016-09-19T11:09:00Z</cp:lastPrinted>
  <dcterms:created xsi:type="dcterms:W3CDTF">2017-02-21T10:33:00Z</dcterms:created>
  <dcterms:modified xsi:type="dcterms:W3CDTF">2017-02-21T10:33:00Z</dcterms:modified>
</cp:coreProperties>
</file>