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E2899" w14:textId="77777777" w:rsidR="009157C0" w:rsidRPr="00222B0D" w:rsidRDefault="009157C0" w:rsidP="009157C0">
      <w:pPr>
        <w:rPr>
          <w:b/>
          <w:sz w:val="24"/>
          <w:szCs w:val="24"/>
        </w:rPr>
      </w:pPr>
      <w:r>
        <w:rPr>
          <w:b/>
          <w:sz w:val="24"/>
          <w:szCs w:val="24"/>
        </w:rPr>
        <w:t>An evaluation of the costs and consequ</w:t>
      </w:r>
      <w:bookmarkStart w:id="0" w:name="_GoBack"/>
      <w:bookmarkEnd w:id="0"/>
      <w:r>
        <w:rPr>
          <w:b/>
          <w:sz w:val="24"/>
          <w:szCs w:val="24"/>
        </w:rPr>
        <w:t>ences of Children Community Nursing teams</w:t>
      </w:r>
    </w:p>
    <w:p w14:paraId="57A85D35" w14:textId="77777777" w:rsidR="009157C0" w:rsidRDefault="009157C0" w:rsidP="009157C0">
      <w:pPr>
        <w:rPr>
          <w:sz w:val="24"/>
          <w:szCs w:val="24"/>
        </w:rPr>
      </w:pPr>
      <w:r>
        <w:rPr>
          <w:sz w:val="24"/>
          <w:szCs w:val="24"/>
        </w:rPr>
        <w:t>Running head: An evaluation of CCN teams</w:t>
      </w:r>
    </w:p>
    <w:p w14:paraId="710C9C1C" w14:textId="513656A3" w:rsidR="009157C0" w:rsidRPr="00190138" w:rsidRDefault="009157C0" w:rsidP="009157C0">
      <w:pPr>
        <w:rPr>
          <w:sz w:val="24"/>
          <w:szCs w:val="24"/>
        </w:rPr>
      </w:pPr>
      <w:r w:rsidRPr="00190138">
        <w:rPr>
          <w:sz w:val="24"/>
          <w:szCs w:val="24"/>
        </w:rPr>
        <w:t>HINDE S</w:t>
      </w:r>
      <w:r w:rsidRPr="0013678C">
        <w:rPr>
          <w:sz w:val="24"/>
          <w:szCs w:val="24"/>
          <w:vertAlign w:val="superscript"/>
        </w:rPr>
        <w:t>1</w:t>
      </w:r>
      <w:r w:rsidRPr="00190138">
        <w:rPr>
          <w:sz w:val="24"/>
          <w:szCs w:val="24"/>
        </w:rPr>
        <w:t>, ALLGAR V</w:t>
      </w:r>
      <w:r w:rsidRPr="0013678C">
        <w:rPr>
          <w:sz w:val="24"/>
          <w:szCs w:val="24"/>
          <w:vertAlign w:val="superscript"/>
        </w:rPr>
        <w:t>2</w:t>
      </w:r>
      <w:r w:rsidRPr="00190138">
        <w:rPr>
          <w:sz w:val="24"/>
          <w:szCs w:val="24"/>
        </w:rPr>
        <w:t>, RICHARDSON G</w:t>
      </w:r>
      <w:r w:rsidRPr="0013678C">
        <w:rPr>
          <w:sz w:val="24"/>
          <w:szCs w:val="24"/>
          <w:vertAlign w:val="superscript"/>
        </w:rPr>
        <w:t>1</w:t>
      </w:r>
      <w:r w:rsidRPr="00190138">
        <w:rPr>
          <w:sz w:val="24"/>
          <w:szCs w:val="24"/>
        </w:rPr>
        <w:t>, SPIERS G</w:t>
      </w:r>
      <w:r w:rsidRPr="0013678C">
        <w:rPr>
          <w:sz w:val="24"/>
          <w:szCs w:val="24"/>
          <w:vertAlign w:val="superscript"/>
        </w:rPr>
        <w:t>3</w:t>
      </w:r>
      <w:r w:rsidRPr="00190138">
        <w:rPr>
          <w:sz w:val="24"/>
          <w:szCs w:val="24"/>
        </w:rPr>
        <w:t xml:space="preserve">, PARKER </w:t>
      </w:r>
      <w:r w:rsidR="00D068AA" w:rsidRPr="00190138">
        <w:rPr>
          <w:sz w:val="24"/>
          <w:szCs w:val="24"/>
        </w:rPr>
        <w:t>G</w:t>
      </w:r>
      <w:r w:rsidR="00D068AA">
        <w:rPr>
          <w:sz w:val="24"/>
          <w:szCs w:val="24"/>
          <w:vertAlign w:val="superscript"/>
        </w:rPr>
        <w:t>4</w:t>
      </w:r>
      <w:r w:rsidR="00D068AA" w:rsidRPr="00DA344E">
        <w:rPr>
          <w:sz w:val="24"/>
          <w:szCs w:val="24"/>
        </w:rPr>
        <w:t xml:space="preserve"> </w:t>
      </w:r>
      <w:r w:rsidRPr="00190138">
        <w:rPr>
          <w:sz w:val="24"/>
          <w:szCs w:val="24"/>
        </w:rPr>
        <w:t xml:space="preserve">AND BIRKS </w:t>
      </w:r>
      <w:r w:rsidR="00D068AA" w:rsidRPr="00190138">
        <w:rPr>
          <w:sz w:val="24"/>
          <w:szCs w:val="24"/>
        </w:rPr>
        <w:t>Y</w:t>
      </w:r>
      <w:r w:rsidR="00D068AA">
        <w:rPr>
          <w:sz w:val="24"/>
          <w:szCs w:val="24"/>
          <w:vertAlign w:val="superscript"/>
        </w:rPr>
        <w:t>4</w:t>
      </w:r>
    </w:p>
    <w:p w14:paraId="0BCDC08E" w14:textId="77777777" w:rsidR="009157C0" w:rsidRDefault="009157C0" w:rsidP="009157C0">
      <w:r w:rsidRPr="0013678C">
        <w:rPr>
          <w:vertAlign w:val="superscript"/>
        </w:rPr>
        <w:t>1</w:t>
      </w:r>
      <w:r>
        <w:t>Centre for Health Economics, University of York</w:t>
      </w:r>
    </w:p>
    <w:p w14:paraId="6F60CE17" w14:textId="77777777" w:rsidR="009157C0" w:rsidRDefault="009157C0" w:rsidP="009157C0">
      <w:r w:rsidRPr="0013678C">
        <w:rPr>
          <w:vertAlign w:val="superscript"/>
        </w:rPr>
        <w:t>2</w:t>
      </w:r>
      <w:r>
        <w:t>Health Sciences, University of York</w:t>
      </w:r>
    </w:p>
    <w:p w14:paraId="709636F2" w14:textId="66C80F3D" w:rsidR="00D068AA" w:rsidRDefault="00D068AA" w:rsidP="009157C0">
      <w:r>
        <w:rPr>
          <w:vertAlign w:val="superscript"/>
        </w:rPr>
        <w:t>3</w:t>
      </w:r>
      <w:r w:rsidRPr="00F963EF">
        <w:t>Institute of Health &amp; Society</w:t>
      </w:r>
      <w:r>
        <w:t>, Newcastle University</w:t>
      </w:r>
    </w:p>
    <w:p w14:paraId="6FCF45A2" w14:textId="0C175294" w:rsidR="009157C0" w:rsidRDefault="00D068AA" w:rsidP="009157C0">
      <w:r>
        <w:rPr>
          <w:vertAlign w:val="superscript"/>
        </w:rPr>
        <w:t>4</w:t>
      </w:r>
      <w:r>
        <w:t xml:space="preserve">Social </w:t>
      </w:r>
      <w:r w:rsidR="009157C0">
        <w:t>Policy Research Unit, University of York</w:t>
      </w:r>
    </w:p>
    <w:p w14:paraId="7DAF4CA9" w14:textId="77777777" w:rsidR="009157C0" w:rsidRDefault="009157C0" w:rsidP="009157C0"/>
    <w:p w14:paraId="491CF67D" w14:textId="77777777" w:rsidR="009157C0" w:rsidRDefault="009157C0" w:rsidP="009157C0">
      <w:r>
        <w:t>Corresponding author:</w:t>
      </w:r>
    </w:p>
    <w:p w14:paraId="7729066E" w14:textId="77777777" w:rsidR="009157C0" w:rsidRDefault="009157C0" w:rsidP="009157C0">
      <w:pPr>
        <w:spacing w:after="0"/>
      </w:pPr>
      <w:r>
        <w:t>Sebastian Hinde, MSc</w:t>
      </w:r>
    </w:p>
    <w:p w14:paraId="7BE88ED0" w14:textId="77777777" w:rsidR="009157C0" w:rsidRDefault="009157C0" w:rsidP="009157C0">
      <w:pPr>
        <w:spacing w:after="0"/>
      </w:pPr>
      <w:r>
        <w:t>Centre for Health Economics,</w:t>
      </w:r>
    </w:p>
    <w:p w14:paraId="23BBAE49" w14:textId="77777777" w:rsidR="009157C0" w:rsidRDefault="009157C0" w:rsidP="009157C0">
      <w:pPr>
        <w:spacing w:after="0"/>
      </w:pPr>
      <w:r>
        <w:t>Alcuin ‘A’ Block,</w:t>
      </w:r>
    </w:p>
    <w:p w14:paraId="7219EF92" w14:textId="77777777" w:rsidR="009157C0" w:rsidRDefault="009157C0" w:rsidP="009157C0">
      <w:pPr>
        <w:spacing w:after="0"/>
      </w:pPr>
      <w:r>
        <w:t>University of York,</w:t>
      </w:r>
    </w:p>
    <w:p w14:paraId="6808B810" w14:textId="77777777" w:rsidR="009157C0" w:rsidRDefault="009157C0" w:rsidP="009157C0">
      <w:pPr>
        <w:spacing w:after="0"/>
      </w:pPr>
      <w:proofErr w:type="spellStart"/>
      <w:r>
        <w:t>Heslington</w:t>
      </w:r>
      <w:proofErr w:type="spellEnd"/>
      <w:r>
        <w:t>,</w:t>
      </w:r>
    </w:p>
    <w:p w14:paraId="318A19C0" w14:textId="77777777" w:rsidR="009157C0" w:rsidRDefault="009157C0" w:rsidP="009157C0">
      <w:pPr>
        <w:spacing w:after="0"/>
      </w:pPr>
      <w:r>
        <w:t>North Yorkshire,</w:t>
      </w:r>
    </w:p>
    <w:p w14:paraId="1A0AAFB9" w14:textId="77777777" w:rsidR="009157C0" w:rsidRDefault="009157C0" w:rsidP="009157C0">
      <w:pPr>
        <w:spacing w:after="0"/>
      </w:pPr>
      <w:r>
        <w:t>YO10 5DD.</w:t>
      </w:r>
    </w:p>
    <w:p w14:paraId="2703FEEF" w14:textId="77777777" w:rsidR="009157C0" w:rsidRDefault="009157C0" w:rsidP="009157C0">
      <w:pPr>
        <w:spacing w:after="0"/>
      </w:pPr>
      <w:r>
        <w:t>+44 (0)1904 321455</w:t>
      </w:r>
    </w:p>
    <w:p w14:paraId="5F57EF8A" w14:textId="77777777" w:rsidR="009157C0" w:rsidRDefault="009157C0" w:rsidP="009157C0">
      <w:pPr>
        <w:spacing w:after="0"/>
      </w:pPr>
      <w:r>
        <w:t>Sebastian.Hinde@york.ac.uk</w:t>
      </w:r>
    </w:p>
    <w:p w14:paraId="4B8D5D5F" w14:textId="77777777" w:rsidR="009157C0" w:rsidRDefault="009157C0" w:rsidP="009157C0"/>
    <w:p w14:paraId="0943CFFE" w14:textId="77777777" w:rsidR="009157C0" w:rsidRDefault="009157C0" w:rsidP="009157C0">
      <w:pPr>
        <w:spacing w:after="0"/>
      </w:pPr>
      <w:r>
        <w:t>Conflicts of Interest:</w:t>
      </w:r>
    </w:p>
    <w:p w14:paraId="098F0BE2" w14:textId="77777777" w:rsidR="009157C0" w:rsidRDefault="009157C0" w:rsidP="009157C0">
      <w:r w:rsidRPr="00F012B9">
        <w:t xml:space="preserve">No conflict of interest has </w:t>
      </w:r>
      <w:r>
        <w:t xml:space="preserve">been declared by the authors. </w:t>
      </w:r>
    </w:p>
    <w:p w14:paraId="4FC790F4" w14:textId="77777777" w:rsidR="009157C0" w:rsidRDefault="009157C0" w:rsidP="009157C0"/>
    <w:p w14:paraId="3610AECB" w14:textId="77777777" w:rsidR="009157C0" w:rsidRDefault="009157C0" w:rsidP="009157C0">
      <w:r>
        <w:t>Funding Statement:</w:t>
      </w:r>
    </w:p>
    <w:p w14:paraId="390E6688" w14:textId="77777777" w:rsidR="009157C0" w:rsidRDefault="009157C0" w:rsidP="009157C0">
      <w:r>
        <w:t xml:space="preserve">This project was funded by the National Institute for Health Research, Health Services and Delivery Research programme (project number </w:t>
      </w:r>
      <w:r w:rsidRPr="000D15B6">
        <w:t>11/1015/12</w:t>
      </w:r>
      <w:r>
        <w:t xml:space="preserve">) and will be published in full in Health Services Delivery Research (in press). Further information available at: </w:t>
      </w:r>
      <w:r w:rsidRPr="000D15B6">
        <w:t>http://www.nets.nihr.ac.uk/projects/hsdr/11101512</w:t>
      </w:r>
    </w:p>
    <w:p w14:paraId="78803F80" w14:textId="77777777" w:rsidR="009157C0" w:rsidRPr="000D15B6" w:rsidRDefault="009157C0" w:rsidP="009157C0">
      <w:r>
        <w:t xml:space="preserve">This report presents independent research commissioned by the National Institute for Health Research. The views and opinions expressed by authors in this publication are those of the authors and do not necessarily reflect those of the NHS, the NIHR, MRC, CCF, NETSCC, the HS&amp;DR </w:t>
      </w:r>
      <w:proofErr w:type="gramStart"/>
      <w:r>
        <w:t>programme</w:t>
      </w:r>
      <w:proofErr w:type="gramEnd"/>
      <w:r>
        <w:t xml:space="preserve"> or the Department of Health.</w:t>
      </w:r>
    </w:p>
    <w:p w14:paraId="1FC7CD30" w14:textId="77777777" w:rsidR="009157C0" w:rsidRPr="009157C0" w:rsidRDefault="009157C0" w:rsidP="009157C0">
      <w:pPr>
        <w:rPr>
          <w:sz w:val="24"/>
          <w:szCs w:val="24"/>
        </w:rPr>
        <w:sectPr w:rsidR="009157C0" w:rsidRPr="009157C0">
          <w:footerReference w:type="default" r:id="rId8"/>
          <w:pgSz w:w="11906" w:h="16838"/>
          <w:pgMar w:top="1440" w:right="1440" w:bottom="1440" w:left="1440" w:header="708" w:footer="708" w:gutter="0"/>
          <w:cols w:space="708"/>
          <w:docGrid w:linePitch="360"/>
        </w:sectPr>
      </w:pPr>
    </w:p>
    <w:p w14:paraId="5AF51F2B" w14:textId="406643C5" w:rsidR="002E7324" w:rsidRPr="00AE578E" w:rsidRDefault="00080DAA" w:rsidP="003D71E8">
      <w:pPr>
        <w:spacing w:line="480" w:lineRule="auto"/>
        <w:rPr>
          <w:b/>
          <w:sz w:val="24"/>
          <w:szCs w:val="24"/>
        </w:rPr>
      </w:pPr>
      <w:r>
        <w:rPr>
          <w:b/>
          <w:sz w:val="24"/>
          <w:szCs w:val="24"/>
        </w:rPr>
        <w:lastRenderedPageBreak/>
        <w:t>Abstract</w:t>
      </w:r>
    </w:p>
    <w:p w14:paraId="08B9A89D" w14:textId="77777777" w:rsidR="002E7324" w:rsidRDefault="002E7324" w:rsidP="003D71E8">
      <w:pPr>
        <w:spacing w:line="480" w:lineRule="auto"/>
        <w:rPr>
          <w:sz w:val="24"/>
          <w:szCs w:val="24"/>
        </w:rPr>
      </w:pPr>
      <w:r w:rsidRPr="00124E0F">
        <w:rPr>
          <w:sz w:val="24"/>
          <w:szCs w:val="24"/>
        </w:rPr>
        <w:t xml:space="preserve">Aims </w:t>
      </w:r>
    </w:p>
    <w:p w14:paraId="3360B699" w14:textId="632B4C66" w:rsidR="002E7324" w:rsidRDefault="00077A75" w:rsidP="003D71E8">
      <w:pPr>
        <w:spacing w:line="480" w:lineRule="auto"/>
        <w:rPr>
          <w:sz w:val="24"/>
          <w:szCs w:val="24"/>
        </w:rPr>
      </w:pPr>
      <w:r>
        <w:rPr>
          <w:sz w:val="24"/>
          <w:szCs w:val="24"/>
        </w:rPr>
        <w:t>Recent years has seen an increasing shift towards providing care in the community, epitomised by the role of Children’s Community Nursing (CCN)</w:t>
      </w:r>
      <w:r w:rsidRPr="00124E0F">
        <w:rPr>
          <w:sz w:val="24"/>
          <w:szCs w:val="24"/>
        </w:rPr>
        <w:t xml:space="preserve"> team</w:t>
      </w:r>
      <w:r>
        <w:rPr>
          <w:sz w:val="24"/>
          <w:szCs w:val="24"/>
        </w:rPr>
        <w:t xml:space="preserve">s.  However, there have been few attempts to use </w:t>
      </w:r>
      <w:r w:rsidR="00753C00">
        <w:rPr>
          <w:sz w:val="24"/>
          <w:szCs w:val="24"/>
        </w:rPr>
        <w:t>robust evaluative</w:t>
      </w:r>
      <w:r>
        <w:rPr>
          <w:sz w:val="24"/>
          <w:szCs w:val="24"/>
        </w:rPr>
        <w:t xml:space="preserve"> methods to </w:t>
      </w:r>
      <w:r w:rsidR="00753C00">
        <w:rPr>
          <w:sz w:val="24"/>
          <w:szCs w:val="24"/>
        </w:rPr>
        <w:t>interrogate</w:t>
      </w:r>
      <w:r>
        <w:rPr>
          <w:sz w:val="24"/>
          <w:szCs w:val="24"/>
        </w:rPr>
        <w:t xml:space="preserve"> the impact of such services.  This</w:t>
      </w:r>
      <w:r w:rsidR="002E7324">
        <w:rPr>
          <w:sz w:val="24"/>
          <w:szCs w:val="24"/>
        </w:rPr>
        <w:t xml:space="preserve"> study sought to </w:t>
      </w:r>
      <w:r w:rsidR="002E7324" w:rsidRPr="00124E0F">
        <w:rPr>
          <w:sz w:val="24"/>
          <w:szCs w:val="24"/>
        </w:rPr>
        <w:t xml:space="preserve">evaluate whether reduction in secondary care costs, resulting from the introduction of </w:t>
      </w:r>
      <w:r w:rsidR="002E7324">
        <w:rPr>
          <w:sz w:val="24"/>
          <w:szCs w:val="24"/>
        </w:rPr>
        <w:t xml:space="preserve">two </w:t>
      </w:r>
      <w:r>
        <w:rPr>
          <w:sz w:val="24"/>
          <w:szCs w:val="24"/>
        </w:rPr>
        <w:t>CCN</w:t>
      </w:r>
      <w:r w:rsidR="002E7324" w:rsidRPr="00124E0F">
        <w:rPr>
          <w:sz w:val="24"/>
          <w:szCs w:val="24"/>
        </w:rPr>
        <w:t xml:space="preserve"> team</w:t>
      </w:r>
      <w:r w:rsidR="002E7324">
        <w:rPr>
          <w:sz w:val="24"/>
          <w:szCs w:val="24"/>
        </w:rPr>
        <w:t>s</w:t>
      </w:r>
      <w:r w:rsidR="002E7324" w:rsidRPr="00124E0F">
        <w:rPr>
          <w:sz w:val="24"/>
          <w:szCs w:val="24"/>
        </w:rPr>
        <w:t>, were sufficient to offset the additional cost of commissioning.</w:t>
      </w:r>
      <w:r w:rsidR="00A870C8">
        <w:rPr>
          <w:sz w:val="24"/>
          <w:szCs w:val="24"/>
        </w:rPr>
        <w:t xml:space="preserve"> </w:t>
      </w:r>
    </w:p>
    <w:p w14:paraId="2049C7AD" w14:textId="77777777" w:rsidR="002E7324" w:rsidRDefault="002E7324" w:rsidP="003D71E8">
      <w:pPr>
        <w:spacing w:line="480" w:lineRule="auto"/>
        <w:rPr>
          <w:sz w:val="24"/>
          <w:szCs w:val="24"/>
        </w:rPr>
      </w:pPr>
      <w:r w:rsidRPr="00124E0F">
        <w:rPr>
          <w:sz w:val="24"/>
          <w:szCs w:val="24"/>
        </w:rPr>
        <w:t xml:space="preserve">Methods </w:t>
      </w:r>
    </w:p>
    <w:p w14:paraId="497E0540" w14:textId="004DAF4D" w:rsidR="002E7324" w:rsidRDefault="001840EE" w:rsidP="003D71E8">
      <w:pPr>
        <w:spacing w:line="480" w:lineRule="auto"/>
        <w:rPr>
          <w:sz w:val="24"/>
          <w:szCs w:val="24"/>
        </w:rPr>
      </w:pPr>
      <w:r>
        <w:rPr>
          <w:sz w:val="24"/>
          <w:szCs w:val="24"/>
        </w:rPr>
        <w:t>Among the potential benefits of the CCN teams is a reduction in the burden placed on secondary care through the delivery of care at home, it is this potential reduction which is evaluated in this study via a</w:t>
      </w:r>
      <w:r w:rsidR="002E7324">
        <w:rPr>
          <w:sz w:val="24"/>
          <w:szCs w:val="24"/>
        </w:rPr>
        <w:t xml:space="preserve"> two part </w:t>
      </w:r>
      <w:r>
        <w:rPr>
          <w:sz w:val="24"/>
          <w:szCs w:val="24"/>
        </w:rPr>
        <w:t xml:space="preserve">analytical </w:t>
      </w:r>
      <w:r w:rsidR="002E7324">
        <w:rPr>
          <w:sz w:val="24"/>
          <w:szCs w:val="24"/>
        </w:rPr>
        <w:t xml:space="preserve">method.  Firstly, an interrupted time-series analysis utilised Hospital Episode Statistics data to interrogate any change in </w:t>
      </w:r>
      <w:r w:rsidR="002B4C38">
        <w:rPr>
          <w:sz w:val="24"/>
          <w:szCs w:val="24"/>
        </w:rPr>
        <w:t xml:space="preserve">total paediatric bed days </w:t>
      </w:r>
      <w:r w:rsidR="002E7324">
        <w:rPr>
          <w:sz w:val="24"/>
          <w:szCs w:val="24"/>
        </w:rPr>
        <w:t xml:space="preserve">as a result of the introduction of </w:t>
      </w:r>
      <w:r w:rsidR="003A6C77">
        <w:rPr>
          <w:sz w:val="24"/>
          <w:szCs w:val="24"/>
        </w:rPr>
        <w:t xml:space="preserve">two </w:t>
      </w:r>
      <w:r w:rsidR="002E7324">
        <w:rPr>
          <w:sz w:val="24"/>
          <w:szCs w:val="24"/>
        </w:rPr>
        <w:t xml:space="preserve">teams.  Secondly, a costing analysis compared the cost savings from any reduction in total bed days with the cost of </w:t>
      </w:r>
      <w:r w:rsidR="00BA5C2F">
        <w:rPr>
          <w:sz w:val="24"/>
          <w:szCs w:val="24"/>
        </w:rPr>
        <w:t>commissioning the</w:t>
      </w:r>
      <w:r w:rsidR="002E7324">
        <w:rPr>
          <w:sz w:val="24"/>
          <w:szCs w:val="24"/>
        </w:rPr>
        <w:t xml:space="preserve"> team</w:t>
      </w:r>
      <w:r w:rsidR="00BA5C2F">
        <w:rPr>
          <w:sz w:val="24"/>
          <w:szCs w:val="24"/>
        </w:rPr>
        <w:t>s</w:t>
      </w:r>
      <w:r w:rsidR="002E7324">
        <w:rPr>
          <w:sz w:val="24"/>
          <w:szCs w:val="24"/>
        </w:rPr>
        <w:t>.</w:t>
      </w:r>
      <w:r w:rsidRPr="001840EE">
        <w:rPr>
          <w:sz w:val="24"/>
          <w:szCs w:val="24"/>
        </w:rPr>
        <w:t xml:space="preserve"> </w:t>
      </w:r>
      <w:r>
        <w:rPr>
          <w:sz w:val="24"/>
          <w:szCs w:val="24"/>
        </w:rPr>
        <w:t xml:space="preserve">This study used a retrospective longitudinal study design as part of the </w:t>
      </w:r>
      <w:proofErr w:type="spellStart"/>
      <w:r>
        <w:rPr>
          <w:sz w:val="24"/>
          <w:szCs w:val="24"/>
        </w:rPr>
        <w:t>TraCCS</w:t>
      </w:r>
      <w:proofErr w:type="spellEnd"/>
      <w:r>
        <w:rPr>
          <w:sz w:val="24"/>
          <w:szCs w:val="24"/>
        </w:rPr>
        <w:t xml:space="preserve"> trial, which was conducted between June 2012 and June 2015.</w:t>
      </w:r>
    </w:p>
    <w:p w14:paraId="029C3415" w14:textId="29A47D45" w:rsidR="002E7324" w:rsidRDefault="00A870C8" w:rsidP="003D71E8">
      <w:pPr>
        <w:spacing w:line="480" w:lineRule="auto"/>
        <w:rPr>
          <w:sz w:val="24"/>
          <w:szCs w:val="24"/>
        </w:rPr>
      </w:pPr>
      <w:r>
        <w:rPr>
          <w:sz w:val="24"/>
          <w:szCs w:val="24"/>
        </w:rPr>
        <w:t>Results</w:t>
      </w:r>
    </w:p>
    <w:p w14:paraId="3D86B636" w14:textId="16EC2732" w:rsidR="002E7324" w:rsidRDefault="002E7324" w:rsidP="003D71E8">
      <w:pPr>
        <w:spacing w:line="480" w:lineRule="auto"/>
        <w:rPr>
          <w:sz w:val="24"/>
          <w:szCs w:val="24"/>
        </w:rPr>
      </w:pPr>
      <w:r w:rsidRPr="006A5301">
        <w:rPr>
          <w:sz w:val="24"/>
          <w:szCs w:val="24"/>
        </w:rPr>
        <w:t>A reduction in hospital activity after introduction of the two nursing teams</w:t>
      </w:r>
      <w:r>
        <w:rPr>
          <w:sz w:val="24"/>
          <w:szCs w:val="24"/>
        </w:rPr>
        <w:t xml:space="preserve"> was found</w:t>
      </w:r>
      <w:r w:rsidR="00903D91">
        <w:rPr>
          <w:sz w:val="24"/>
          <w:szCs w:val="24"/>
        </w:rPr>
        <w:t xml:space="preserve">, (9,634 and 8,969 fewer bed days), </w:t>
      </w:r>
      <w:r w:rsidRPr="006A5301">
        <w:rPr>
          <w:sz w:val="24"/>
          <w:szCs w:val="24"/>
        </w:rPr>
        <w:t>but this did not reach statistical significance.</w:t>
      </w:r>
      <w:r>
        <w:rPr>
          <w:sz w:val="24"/>
          <w:szCs w:val="24"/>
        </w:rPr>
        <w:t xml:space="preserve">  The resultant cost saving to the NHS was less than the cost of employing the teams.</w:t>
      </w:r>
    </w:p>
    <w:p w14:paraId="74091261" w14:textId="77777777" w:rsidR="002E7324" w:rsidRDefault="002E7324" w:rsidP="003D71E8">
      <w:pPr>
        <w:spacing w:line="480" w:lineRule="auto"/>
        <w:rPr>
          <w:sz w:val="24"/>
          <w:szCs w:val="24"/>
        </w:rPr>
      </w:pPr>
      <w:r w:rsidRPr="00124E0F">
        <w:rPr>
          <w:sz w:val="24"/>
          <w:szCs w:val="24"/>
        </w:rPr>
        <w:t>Conclusion</w:t>
      </w:r>
    </w:p>
    <w:p w14:paraId="1B12FF23" w14:textId="532C0435" w:rsidR="002E7324" w:rsidRDefault="002E7324" w:rsidP="003D71E8">
      <w:pPr>
        <w:spacing w:line="480" w:lineRule="auto"/>
      </w:pPr>
      <w:r>
        <w:rPr>
          <w:sz w:val="24"/>
          <w:szCs w:val="24"/>
        </w:rPr>
        <w:lastRenderedPageBreak/>
        <w:t>T</w:t>
      </w:r>
      <w:r w:rsidRPr="00EC3643">
        <w:rPr>
          <w:sz w:val="24"/>
          <w:szCs w:val="24"/>
        </w:rPr>
        <w:t xml:space="preserve">he study represents an important first step in understanding the role of </w:t>
      </w:r>
      <w:r w:rsidR="00BA5C2F">
        <w:rPr>
          <w:sz w:val="24"/>
          <w:szCs w:val="24"/>
        </w:rPr>
        <w:t>such</w:t>
      </w:r>
      <w:r w:rsidRPr="00EC3643">
        <w:rPr>
          <w:sz w:val="24"/>
          <w:szCs w:val="24"/>
        </w:rPr>
        <w:t xml:space="preserve"> teams as a means of providing a high quality of paediatric care in an era of limited resource.  </w:t>
      </w:r>
      <w:r w:rsidR="00F36880">
        <w:rPr>
          <w:sz w:val="24"/>
          <w:szCs w:val="24"/>
        </w:rPr>
        <w:t xml:space="preserve">  While the cost saving from released paediatric bed days was not sufficient to demonstrate cost effectiveness, the analysis does not incorporate wider measures of healthcare utilisation and non-monetary benefits resulting from the CCN teams.</w:t>
      </w:r>
    </w:p>
    <w:p w14:paraId="42D2AAC5" w14:textId="77777777" w:rsidR="002E7324" w:rsidRDefault="002E7324" w:rsidP="003D71E8">
      <w:pPr>
        <w:spacing w:line="480" w:lineRule="auto"/>
      </w:pPr>
    </w:p>
    <w:p w14:paraId="1CEE1B2A" w14:textId="4A08F8AD" w:rsidR="00AE578E" w:rsidRDefault="004D6C6C" w:rsidP="003D71E8">
      <w:pPr>
        <w:spacing w:line="480" w:lineRule="auto"/>
        <w:rPr>
          <w:sz w:val="24"/>
          <w:szCs w:val="24"/>
        </w:rPr>
      </w:pPr>
      <w:r>
        <w:rPr>
          <w:sz w:val="24"/>
          <w:szCs w:val="24"/>
        </w:rPr>
        <w:t>Keywords:</w:t>
      </w:r>
    </w:p>
    <w:p w14:paraId="0B38DEFE" w14:textId="2B0DD71A" w:rsidR="004D6C6C" w:rsidRPr="00AE578E" w:rsidRDefault="004D6C6C" w:rsidP="003D71E8">
      <w:pPr>
        <w:spacing w:line="480" w:lineRule="auto"/>
        <w:rPr>
          <w:sz w:val="24"/>
          <w:szCs w:val="24"/>
        </w:rPr>
        <w:sectPr w:rsidR="004D6C6C" w:rsidRPr="00AE578E">
          <w:pgSz w:w="11906" w:h="16838"/>
          <w:pgMar w:top="1440" w:right="1440" w:bottom="1440" w:left="1440" w:header="708" w:footer="708" w:gutter="0"/>
          <w:cols w:space="708"/>
          <w:docGrid w:linePitch="360"/>
        </w:sectPr>
      </w:pPr>
      <w:r>
        <w:rPr>
          <w:sz w:val="24"/>
          <w:szCs w:val="24"/>
        </w:rPr>
        <w:t xml:space="preserve">Nursing, </w:t>
      </w:r>
      <w:r w:rsidRPr="004D6C6C">
        <w:rPr>
          <w:sz w:val="24"/>
          <w:szCs w:val="24"/>
        </w:rPr>
        <w:t xml:space="preserve">Quantitative </w:t>
      </w:r>
      <w:r>
        <w:rPr>
          <w:sz w:val="24"/>
          <w:szCs w:val="24"/>
        </w:rPr>
        <w:t>Analysis, Child Nursing, Community Care, Bed Days, Cost Minimisation</w:t>
      </w:r>
      <w:r w:rsidR="0096226B">
        <w:rPr>
          <w:sz w:val="24"/>
          <w:szCs w:val="24"/>
        </w:rPr>
        <w:t>, Interrupted Time Series Analysis</w:t>
      </w:r>
    </w:p>
    <w:p w14:paraId="1386B424" w14:textId="1A1E20C6" w:rsidR="001B7690" w:rsidRPr="00190138" w:rsidRDefault="001B7690" w:rsidP="003D71E8">
      <w:pPr>
        <w:spacing w:line="480" w:lineRule="auto"/>
        <w:rPr>
          <w:b/>
          <w:sz w:val="24"/>
          <w:szCs w:val="24"/>
        </w:rPr>
      </w:pPr>
      <w:r w:rsidRPr="00190138">
        <w:rPr>
          <w:b/>
          <w:sz w:val="24"/>
          <w:szCs w:val="24"/>
        </w:rPr>
        <w:lastRenderedPageBreak/>
        <w:t>Introduction</w:t>
      </w:r>
    </w:p>
    <w:p w14:paraId="714584E4" w14:textId="12E4B11B" w:rsidR="0059122F" w:rsidRPr="00190138" w:rsidRDefault="0059122F" w:rsidP="003D71E8">
      <w:pPr>
        <w:spacing w:line="480" w:lineRule="auto"/>
        <w:rPr>
          <w:sz w:val="24"/>
          <w:szCs w:val="24"/>
        </w:rPr>
      </w:pPr>
      <w:r>
        <w:rPr>
          <w:sz w:val="24"/>
          <w:szCs w:val="24"/>
        </w:rPr>
        <w:t xml:space="preserve">In recent years there has been </w:t>
      </w:r>
      <w:r w:rsidRPr="00190138">
        <w:rPr>
          <w:sz w:val="24"/>
          <w:szCs w:val="24"/>
        </w:rPr>
        <w:t>a poli</w:t>
      </w:r>
      <w:r>
        <w:rPr>
          <w:sz w:val="24"/>
          <w:szCs w:val="24"/>
        </w:rPr>
        <w:t>cy</w:t>
      </w:r>
      <w:r w:rsidRPr="00190138">
        <w:rPr>
          <w:sz w:val="24"/>
          <w:szCs w:val="24"/>
        </w:rPr>
        <w:t xml:space="preserve"> drive towards increas</w:t>
      </w:r>
      <w:r>
        <w:rPr>
          <w:sz w:val="24"/>
          <w:szCs w:val="24"/>
        </w:rPr>
        <w:t>ing the delivery of children’s</w:t>
      </w:r>
      <w:r w:rsidRPr="00190138">
        <w:rPr>
          <w:sz w:val="24"/>
          <w:szCs w:val="24"/>
        </w:rPr>
        <w:t xml:space="preserve"> healthcare </w:t>
      </w:r>
      <w:r>
        <w:rPr>
          <w:sz w:val="24"/>
          <w:szCs w:val="24"/>
        </w:rPr>
        <w:t>a</w:t>
      </w:r>
      <w:r w:rsidRPr="00190138">
        <w:rPr>
          <w:sz w:val="24"/>
          <w:szCs w:val="24"/>
        </w:rPr>
        <w:t>t home and in the community, with Children’s Community Nursing (CCN) teams identified by the Department of Health as a service that can support this aim.</w:t>
      </w:r>
      <w:r w:rsidR="00D82B38">
        <w:rPr>
          <w:sz w:val="24"/>
          <w:szCs w:val="24"/>
        </w:rPr>
        <w:fldChar w:fldCharType="begin"/>
      </w:r>
      <w:r w:rsidR="0039657B">
        <w:rPr>
          <w:sz w:val="24"/>
          <w:szCs w:val="24"/>
        </w:rPr>
        <w:instrText xml:space="preserve"> ADDIN EN.CITE &lt;EndNote&gt;&lt;Cite&gt;&lt;Author&gt;Department of Health&lt;/Author&gt;&lt;Year&gt;2011&lt;/Year&gt;&lt;RecNum&gt;6&lt;/RecNum&gt;&lt;DisplayText&gt;&lt;style face="superscript"&gt;1&lt;/style&gt;&lt;/DisplayText&gt;&lt;record&gt;&lt;rec-number&gt;6&lt;/rec-number&gt;&lt;foreign-keys&gt;&lt;key app="EN" db-id="9azrasfx7e2dvkerwz7p5ds19vtv9ptrpwtd" timestamp="1465484863"&gt;6&lt;/key&gt;&lt;/foreign-keys&gt;&lt;ref-type name="Journal Article"&gt;17&lt;/ref-type&gt;&lt;contributors&gt;&lt;authors&gt;&lt;author&gt;Department of Health,&lt;/author&gt;&lt;/authors&gt;&lt;/contributors&gt;&lt;titles&gt;&lt;title&gt;NHS at Home: Community Children’s Nursing Services&lt;/title&gt;&lt;secondary-title&gt;London: Department of Health&lt;/secondary-title&gt;&lt;/titles&gt;&lt;periodical&gt;&lt;full-title&gt;London: Department of Health&lt;/full-title&gt;&lt;/periodical&gt;&lt;dates&gt;&lt;year&gt;2011&lt;/year&gt;&lt;/dates&gt;&lt;urls&gt;&lt;/urls&gt;&lt;/record&gt;&lt;/Cite&gt;&lt;/EndNote&gt;</w:instrText>
      </w:r>
      <w:r w:rsidR="00D82B38">
        <w:rPr>
          <w:sz w:val="24"/>
          <w:szCs w:val="24"/>
        </w:rPr>
        <w:fldChar w:fldCharType="separate"/>
      </w:r>
      <w:r w:rsidR="0039657B" w:rsidRPr="0039657B">
        <w:rPr>
          <w:noProof/>
          <w:sz w:val="24"/>
          <w:szCs w:val="24"/>
          <w:vertAlign w:val="superscript"/>
        </w:rPr>
        <w:t>1</w:t>
      </w:r>
      <w:r w:rsidR="00D82B38">
        <w:rPr>
          <w:sz w:val="24"/>
          <w:szCs w:val="24"/>
        </w:rPr>
        <w:fldChar w:fldCharType="end"/>
      </w:r>
      <w:r w:rsidRPr="00190138">
        <w:rPr>
          <w:sz w:val="24"/>
          <w:szCs w:val="24"/>
        </w:rPr>
        <w:t xml:space="preserve">  </w:t>
      </w:r>
      <w:r w:rsidR="006B7DB6">
        <w:rPr>
          <w:sz w:val="24"/>
          <w:szCs w:val="24"/>
        </w:rPr>
        <w:t>While a recognition that delivering care for children closer to home has been growing since the 1</w:t>
      </w:r>
      <w:r w:rsidR="00A870C8">
        <w:rPr>
          <w:sz w:val="24"/>
          <w:szCs w:val="24"/>
        </w:rPr>
        <w:t>9</w:t>
      </w:r>
      <w:r w:rsidR="006B7DB6">
        <w:rPr>
          <w:sz w:val="24"/>
          <w:szCs w:val="24"/>
        </w:rPr>
        <w:t>60’s t</w:t>
      </w:r>
      <w:r w:rsidRPr="00190138">
        <w:rPr>
          <w:sz w:val="24"/>
          <w:szCs w:val="24"/>
        </w:rPr>
        <w:t xml:space="preserve">he policy was </w:t>
      </w:r>
      <w:r w:rsidR="00D37140">
        <w:rPr>
          <w:sz w:val="24"/>
          <w:szCs w:val="24"/>
        </w:rPr>
        <w:t>advocated</w:t>
      </w:r>
      <w:r w:rsidR="00D37140" w:rsidRPr="00190138">
        <w:rPr>
          <w:sz w:val="24"/>
          <w:szCs w:val="24"/>
        </w:rPr>
        <w:t xml:space="preserve"> </w:t>
      </w:r>
      <w:r w:rsidRPr="00190138">
        <w:rPr>
          <w:sz w:val="24"/>
          <w:szCs w:val="24"/>
        </w:rPr>
        <w:t xml:space="preserve">in the 2004 National Services Framework for Children, Young People and Maternity Services and </w:t>
      </w:r>
      <w:r w:rsidR="00D37140">
        <w:rPr>
          <w:sz w:val="24"/>
          <w:szCs w:val="24"/>
        </w:rPr>
        <w:t xml:space="preserve">continued in </w:t>
      </w:r>
      <w:r w:rsidRPr="00190138">
        <w:rPr>
          <w:sz w:val="24"/>
          <w:szCs w:val="24"/>
        </w:rPr>
        <w:t xml:space="preserve">the later </w:t>
      </w:r>
      <w:r w:rsidR="006B7DB6">
        <w:rPr>
          <w:sz w:val="24"/>
          <w:szCs w:val="24"/>
        </w:rPr>
        <w:t xml:space="preserve">(2008) </w:t>
      </w:r>
      <w:r w:rsidRPr="00190138">
        <w:rPr>
          <w:sz w:val="24"/>
          <w:szCs w:val="24"/>
        </w:rPr>
        <w:t>Transforming Community Services programme</w:t>
      </w:r>
      <w:r w:rsidR="001E4810">
        <w:rPr>
          <w:sz w:val="24"/>
          <w:szCs w:val="24"/>
        </w:rPr>
        <w:t>,</w:t>
      </w:r>
      <w:r w:rsidR="00641F29">
        <w:rPr>
          <w:sz w:val="24"/>
          <w:szCs w:val="24"/>
        </w:rPr>
        <w:fldChar w:fldCharType="begin"/>
      </w:r>
      <w:r w:rsidR="0039657B">
        <w:rPr>
          <w:sz w:val="24"/>
          <w:szCs w:val="24"/>
        </w:rPr>
        <w:instrText xml:space="preserve"> ADDIN EN.CITE &lt;EndNote&gt;&lt;Cite&gt;&lt;Author&gt;Department of Health&lt;/Author&gt;&lt;Year&gt;2009&lt;/Year&gt;&lt;RecNum&gt;46&lt;/RecNum&gt;&lt;DisplayText&gt;&lt;style face="superscript"&gt;2&lt;/style&gt;&lt;/DisplayText&gt;&lt;record&gt;&lt;rec-number&gt;46&lt;/rec-number&gt;&lt;foreign-keys&gt;&lt;key app="EN" db-id="0dw5zrzanp00eueezw95se2expe2zdef25w0" timestamp="1362047111"&gt;46&lt;/key&gt;&lt;/foreign-keys&gt;&lt;ref-type name="Government Document"&gt;46&lt;/ref-type&gt;&lt;contributors&gt;&lt;authors&gt;&lt;author&gt;Department of Health, &lt;/author&gt;&lt;/authors&gt;&lt;/contributors&gt;&lt;titles&gt;&lt;title&gt;Transforming Community Services: Ambition, Action, Achievement. Transforming Services for Children, Young People and Families&lt;/title&gt;&lt;/titles&gt;&lt;dates&gt;&lt;year&gt;2009&lt;/year&gt;&lt;/dates&gt;&lt;pub-location&gt;London&lt;/pub-location&gt;&lt;publisher&gt;Department of Health&lt;/publisher&gt;&lt;urls&gt;&lt;/urls&gt;&lt;/record&gt;&lt;/Cite&gt;&lt;/EndNote&gt;</w:instrText>
      </w:r>
      <w:r w:rsidR="00641F29">
        <w:rPr>
          <w:sz w:val="24"/>
          <w:szCs w:val="24"/>
        </w:rPr>
        <w:fldChar w:fldCharType="separate"/>
      </w:r>
      <w:r w:rsidR="0039657B" w:rsidRPr="0039657B">
        <w:rPr>
          <w:noProof/>
          <w:sz w:val="24"/>
          <w:szCs w:val="24"/>
          <w:vertAlign w:val="superscript"/>
        </w:rPr>
        <w:t>2</w:t>
      </w:r>
      <w:r w:rsidR="00641F29">
        <w:rPr>
          <w:sz w:val="24"/>
          <w:szCs w:val="24"/>
        </w:rPr>
        <w:fldChar w:fldCharType="end"/>
      </w:r>
      <w:r w:rsidRPr="00190138">
        <w:rPr>
          <w:sz w:val="24"/>
          <w:szCs w:val="24"/>
        </w:rPr>
        <w:t xml:space="preserve"> both of which highlighted the importance of providing care closer to home while maintaining accessibility and the provision of timely services.  </w:t>
      </w:r>
      <w:r>
        <w:rPr>
          <w:sz w:val="24"/>
          <w:szCs w:val="24"/>
        </w:rPr>
        <w:t xml:space="preserve">The crux of this policy is to ensure that </w:t>
      </w:r>
      <w:r w:rsidRPr="00190138">
        <w:rPr>
          <w:sz w:val="24"/>
          <w:szCs w:val="24"/>
        </w:rPr>
        <w:t xml:space="preserve">children are cared for in the most appropriate setting </w:t>
      </w:r>
      <w:r>
        <w:rPr>
          <w:sz w:val="24"/>
          <w:szCs w:val="24"/>
        </w:rPr>
        <w:t xml:space="preserve">but </w:t>
      </w:r>
      <w:r w:rsidRPr="00190138">
        <w:rPr>
          <w:sz w:val="24"/>
          <w:szCs w:val="24"/>
        </w:rPr>
        <w:t xml:space="preserve">where </w:t>
      </w:r>
      <w:r>
        <w:rPr>
          <w:sz w:val="24"/>
          <w:szCs w:val="24"/>
        </w:rPr>
        <w:t>high quality safe car</w:t>
      </w:r>
      <w:r w:rsidRPr="00190138">
        <w:rPr>
          <w:sz w:val="24"/>
          <w:szCs w:val="24"/>
        </w:rPr>
        <w:t xml:space="preserve">e can </w:t>
      </w:r>
      <w:r>
        <w:rPr>
          <w:sz w:val="24"/>
          <w:szCs w:val="24"/>
        </w:rPr>
        <w:t xml:space="preserve">still </w:t>
      </w:r>
      <w:r w:rsidRPr="00190138">
        <w:rPr>
          <w:sz w:val="24"/>
          <w:szCs w:val="24"/>
        </w:rPr>
        <w:t>be achieved</w:t>
      </w:r>
      <w:r>
        <w:rPr>
          <w:sz w:val="24"/>
          <w:szCs w:val="24"/>
        </w:rPr>
        <w:t xml:space="preserve">. However, the delivery of care closer to home also has the potential </w:t>
      </w:r>
      <w:r w:rsidRPr="00190138">
        <w:rPr>
          <w:sz w:val="24"/>
          <w:szCs w:val="24"/>
        </w:rPr>
        <w:t xml:space="preserve">to relieve pressure on </w:t>
      </w:r>
      <w:r>
        <w:rPr>
          <w:sz w:val="24"/>
          <w:szCs w:val="24"/>
        </w:rPr>
        <w:t xml:space="preserve">other </w:t>
      </w:r>
      <w:r w:rsidRPr="00190138">
        <w:rPr>
          <w:sz w:val="24"/>
          <w:szCs w:val="24"/>
        </w:rPr>
        <w:t>NHS services</w:t>
      </w:r>
      <w:r>
        <w:rPr>
          <w:sz w:val="24"/>
          <w:szCs w:val="24"/>
        </w:rPr>
        <w:t xml:space="preserve"> and</w:t>
      </w:r>
      <w:r w:rsidRPr="00190138">
        <w:rPr>
          <w:sz w:val="24"/>
          <w:szCs w:val="24"/>
        </w:rPr>
        <w:t xml:space="preserve"> </w:t>
      </w:r>
      <w:r>
        <w:rPr>
          <w:sz w:val="24"/>
          <w:szCs w:val="24"/>
        </w:rPr>
        <w:t xml:space="preserve">thus possibly </w:t>
      </w:r>
      <w:r w:rsidRPr="00190138">
        <w:rPr>
          <w:sz w:val="24"/>
          <w:szCs w:val="24"/>
        </w:rPr>
        <w:t>reduc</w:t>
      </w:r>
      <w:r>
        <w:rPr>
          <w:sz w:val="24"/>
          <w:szCs w:val="24"/>
        </w:rPr>
        <w:t>e</w:t>
      </w:r>
      <w:r w:rsidRPr="00190138">
        <w:rPr>
          <w:sz w:val="24"/>
          <w:szCs w:val="24"/>
        </w:rPr>
        <w:t xml:space="preserve"> costs</w:t>
      </w:r>
      <w:r>
        <w:rPr>
          <w:sz w:val="24"/>
          <w:szCs w:val="24"/>
        </w:rPr>
        <w:t>.</w:t>
      </w:r>
      <w:r w:rsidRPr="00190138">
        <w:rPr>
          <w:sz w:val="24"/>
          <w:szCs w:val="24"/>
        </w:rPr>
        <w:t xml:space="preserve"> </w:t>
      </w:r>
      <w:r>
        <w:rPr>
          <w:sz w:val="24"/>
          <w:szCs w:val="24"/>
        </w:rPr>
        <w:t>For example, a national survey of care closer to home teams found that core objectives of these services typically included admission avoidance and facilitating early</w:t>
      </w:r>
      <w:r w:rsidR="00D37140">
        <w:rPr>
          <w:sz w:val="24"/>
          <w:szCs w:val="24"/>
        </w:rPr>
        <w:t xml:space="preserve"> discharge</w:t>
      </w:r>
      <w:r>
        <w:rPr>
          <w:sz w:val="24"/>
          <w:szCs w:val="24"/>
        </w:rPr>
        <w:t xml:space="preserve"> – functions that may, in theory, </w:t>
      </w:r>
      <w:r w:rsidR="00F844CA">
        <w:rPr>
          <w:sz w:val="24"/>
          <w:szCs w:val="24"/>
        </w:rPr>
        <w:t>reduce secondary care activity.</w:t>
      </w:r>
      <w:r w:rsidR="00535E12">
        <w:rPr>
          <w:sz w:val="24"/>
          <w:szCs w:val="24"/>
        </w:rPr>
        <w:fldChar w:fldCharType="begin"/>
      </w:r>
      <w:r w:rsidR="0039657B">
        <w:rPr>
          <w:sz w:val="24"/>
          <w:szCs w:val="24"/>
        </w:rPr>
        <w:instrText xml:space="preserve"> ADDIN EN.CITE &lt;EndNote&gt;&lt;Cite&gt;&lt;Author&gt;Parker&lt;/Author&gt;&lt;Year&gt;2011&lt;/Year&gt;&lt;RecNum&gt;7&lt;/RecNum&gt;&lt;DisplayText&gt;&lt;style face="superscript"&gt;3&lt;/style&gt;&lt;/DisplayText&gt;&lt;record&gt;&lt;rec-number&gt;7&lt;/rec-number&gt;&lt;foreign-keys&gt;&lt;key app="EN" db-id="9azrasfx7e2dvkerwz7p5ds19vtv9ptrpwtd" timestamp="1465485423"&gt;7&lt;/key&gt;&lt;/foreign-keys&gt;&lt;ref-type name="Journal Article"&gt;17&lt;/ref-type&gt;&lt;contributors&gt;&lt;authors&gt;&lt;author&gt;Parker, G.&lt;/author&gt;&lt;author&gt;Corden, A.&lt;/author&gt;&lt;author&gt;Heaton, J.&lt;/author&gt;&lt;/authors&gt;&lt;/contributors&gt;&lt;auth-address&gt;Social Policy Research Unit, University of York, UK. gmp501@york.ac.uk&lt;/auth-address&gt;&lt;titles&gt;&lt;title&gt;Experiences of and influences on continuity of care for service users and carers: synthesis of evidence from a research programme&lt;/title&gt;&lt;secondary-title&gt;Health Soc Care Community&lt;/secondary-title&gt;&lt;/titles&gt;&lt;periodical&gt;&lt;full-title&gt;Health Soc Care Community&lt;/full-title&gt;&lt;/periodical&gt;&lt;pages&gt;576-601&lt;/pages&gt;&lt;volume&gt;19&lt;/volume&gt;&lt;number&gt;6&lt;/number&gt;&lt;edition&gt;2011/07/02&lt;/edition&gt;&lt;keywords&gt;&lt;keyword&gt;Continuity of Patient Care/ organization &amp;amp; administration&lt;/keyword&gt;&lt;keyword&gt;Delivery of Health Care/ organization &amp;amp; administration&lt;/keyword&gt;&lt;keyword&gt;Health Personnel&lt;/keyword&gt;&lt;keyword&gt;Health Services Needs and Demand&lt;/keyword&gt;&lt;keyword&gt;Humans&lt;/keyword&gt;&lt;keyword&gt;Research&lt;/keyword&gt;&lt;/keywords&gt;&lt;dates&gt;&lt;year&gt;2011&lt;/year&gt;&lt;pub-dates&gt;&lt;date&gt;Nov&lt;/date&gt;&lt;/pub-dates&gt;&lt;/dates&gt;&lt;isbn&gt;1365-2524 (Electronic)&amp;#xD;0966-0410 (Linking)&lt;/isbn&gt;&lt;urls&gt;&lt;/urls&gt;&lt;electronic-resource-num&gt;10.1111/j.1365-2524.2011.01001.x&lt;/electronic-resource-num&gt;&lt;language&gt;eng&lt;/language&gt;&lt;/record&gt;&lt;/Cite&gt;&lt;/EndNote&gt;</w:instrText>
      </w:r>
      <w:r w:rsidR="00535E12">
        <w:rPr>
          <w:sz w:val="24"/>
          <w:szCs w:val="24"/>
        </w:rPr>
        <w:fldChar w:fldCharType="separate"/>
      </w:r>
      <w:r w:rsidR="0039657B" w:rsidRPr="0039657B">
        <w:rPr>
          <w:noProof/>
          <w:sz w:val="24"/>
          <w:szCs w:val="24"/>
          <w:vertAlign w:val="superscript"/>
        </w:rPr>
        <w:t>3</w:t>
      </w:r>
      <w:r w:rsidR="00535E12">
        <w:rPr>
          <w:sz w:val="24"/>
          <w:szCs w:val="24"/>
        </w:rPr>
        <w:fldChar w:fldCharType="end"/>
      </w:r>
      <w:r w:rsidRPr="00190138">
        <w:rPr>
          <w:sz w:val="24"/>
          <w:szCs w:val="24"/>
        </w:rPr>
        <w:t xml:space="preserve"> </w:t>
      </w:r>
    </w:p>
    <w:p w14:paraId="7E5B92DD" w14:textId="10DC0268" w:rsidR="00B370A1" w:rsidRPr="00B370A1" w:rsidRDefault="00B370A1" w:rsidP="003D71E8">
      <w:pPr>
        <w:spacing w:line="480" w:lineRule="auto"/>
        <w:rPr>
          <w:i/>
          <w:sz w:val="24"/>
          <w:szCs w:val="24"/>
        </w:rPr>
      </w:pPr>
      <w:r w:rsidRPr="00B370A1">
        <w:rPr>
          <w:i/>
          <w:sz w:val="24"/>
          <w:szCs w:val="24"/>
        </w:rPr>
        <w:t>Background</w:t>
      </w:r>
    </w:p>
    <w:p w14:paraId="2224B134" w14:textId="4221D482" w:rsidR="00B370A1" w:rsidRDefault="006B7DB6" w:rsidP="003D71E8">
      <w:pPr>
        <w:spacing w:line="480" w:lineRule="auto"/>
        <w:rPr>
          <w:sz w:val="24"/>
          <w:szCs w:val="24"/>
        </w:rPr>
      </w:pPr>
      <w:r>
        <w:rPr>
          <w:sz w:val="24"/>
          <w:szCs w:val="24"/>
        </w:rPr>
        <w:t>The potential for</w:t>
      </w:r>
      <w:r w:rsidR="00586D71">
        <w:rPr>
          <w:sz w:val="24"/>
          <w:szCs w:val="24"/>
        </w:rPr>
        <w:t xml:space="preserve"> </w:t>
      </w:r>
      <w:r w:rsidR="00B370A1">
        <w:rPr>
          <w:sz w:val="24"/>
          <w:szCs w:val="24"/>
        </w:rPr>
        <w:t xml:space="preserve">CCN teams </w:t>
      </w:r>
      <w:r>
        <w:rPr>
          <w:sz w:val="24"/>
          <w:szCs w:val="24"/>
        </w:rPr>
        <w:t>to contribute to</w:t>
      </w:r>
      <w:r w:rsidR="00B5293C">
        <w:rPr>
          <w:sz w:val="24"/>
          <w:szCs w:val="24"/>
        </w:rPr>
        <w:t xml:space="preserve"> </w:t>
      </w:r>
      <w:r w:rsidR="00D37140">
        <w:rPr>
          <w:sz w:val="24"/>
          <w:szCs w:val="24"/>
        </w:rPr>
        <w:t>admission avoidance</w:t>
      </w:r>
      <w:r>
        <w:rPr>
          <w:sz w:val="24"/>
          <w:szCs w:val="24"/>
        </w:rPr>
        <w:t xml:space="preserve"> and </w:t>
      </w:r>
      <w:r w:rsidR="00B5293C">
        <w:rPr>
          <w:sz w:val="24"/>
          <w:szCs w:val="24"/>
        </w:rPr>
        <w:t>reduction</w:t>
      </w:r>
      <w:r>
        <w:rPr>
          <w:sz w:val="24"/>
          <w:szCs w:val="24"/>
        </w:rPr>
        <w:t>s</w:t>
      </w:r>
      <w:r w:rsidR="00B5293C">
        <w:rPr>
          <w:sz w:val="24"/>
          <w:szCs w:val="24"/>
        </w:rPr>
        <w:t xml:space="preserve"> in the length of </w:t>
      </w:r>
      <w:r>
        <w:rPr>
          <w:sz w:val="24"/>
          <w:szCs w:val="24"/>
        </w:rPr>
        <w:t xml:space="preserve">hospital </w:t>
      </w:r>
      <w:r w:rsidR="00B5293C">
        <w:rPr>
          <w:sz w:val="24"/>
          <w:szCs w:val="24"/>
        </w:rPr>
        <w:t>stay</w:t>
      </w:r>
      <w:r>
        <w:rPr>
          <w:sz w:val="24"/>
          <w:szCs w:val="24"/>
        </w:rPr>
        <w:t xml:space="preserve"> for both acutely ill children and those with long term conditions ha</w:t>
      </w:r>
      <w:r w:rsidR="00586D71">
        <w:rPr>
          <w:sz w:val="24"/>
          <w:szCs w:val="24"/>
        </w:rPr>
        <w:t>s</w:t>
      </w:r>
      <w:r>
        <w:rPr>
          <w:sz w:val="24"/>
          <w:szCs w:val="24"/>
        </w:rPr>
        <w:t xml:space="preserve"> been suggested.  Both of which should be captured by observable reductions in bed days.</w:t>
      </w:r>
    </w:p>
    <w:p w14:paraId="35E654BC" w14:textId="4C9BD6B7" w:rsidR="00C47023" w:rsidRPr="00190138" w:rsidRDefault="00B370A1" w:rsidP="003D71E8">
      <w:pPr>
        <w:spacing w:line="480" w:lineRule="auto"/>
        <w:rPr>
          <w:sz w:val="24"/>
          <w:szCs w:val="24"/>
        </w:rPr>
      </w:pPr>
      <w:r w:rsidRPr="00190138">
        <w:rPr>
          <w:sz w:val="24"/>
          <w:szCs w:val="24"/>
        </w:rPr>
        <w:t xml:space="preserve">Despite the national interest in providing care closer to home </w:t>
      </w:r>
      <w:r>
        <w:rPr>
          <w:sz w:val="24"/>
          <w:szCs w:val="24"/>
        </w:rPr>
        <w:t>via</w:t>
      </w:r>
      <w:r w:rsidRPr="00190138">
        <w:rPr>
          <w:sz w:val="24"/>
          <w:szCs w:val="24"/>
        </w:rPr>
        <w:t xml:space="preserve"> CCN teams</w:t>
      </w:r>
      <w:r w:rsidR="00581689">
        <w:rPr>
          <w:sz w:val="24"/>
          <w:szCs w:val="24"/>
        </w:rPr>
        <w:t xml:space="preserve"> and </w:t>
      </w:r>
      <w:r w:rsidR="00586D71">
        <w:rPr>
          <w:sz w:val="24"/>
          <w:szCs w:val="24"/>
        </w:rPr>
        <w:t xml:space="preserve">the </w:t>
      </w:r>
      <w:r w:rsidR="00581689">
        <w:rPr>
          <w:sz w:val="24"/>
          <w:szCs w:val="24"/>
        </w:rPr>
        <w:t>hypothetical impact on secondary care use</w:t>
      </w:r>
      <w:r w:rsidRPr="00190138">
        <w:rPr>
          <w:sz w:val="24"/>
          <w:szCs w:val="24"/>
        </w:rPr>
        <w:t>, not all areas have access to a CCN team</w:t>
      </w:r>
      <w:r w:rsidR="006B7DB6">
        <w:rPr>
          <w:sz w:val="24"/>
          <w:szCs w:val="24"/>
        </w:rPr>
        <w:t xml:space="preserve"> and there is currently limited evidence to support their </w:t>
      </w:r>
      <w:r w:rsidRPr="00190138">
        <w:rPr>
          <w:sz w:val="24"/>
          <w:szCs w:val="24"/>
        </w:rPr>
        <w:t xml:space="preserve">efficacy </w:t>
      </w:r>
      <w:r>
        <w:rPr>
          <w:sz w:val="24"/>
          <w:szCs w:val="24"/>
        </w:rPr>
        <w:t xml:space="preserve">in achieving </w:t>
      </w:r>
      <w:r w:rsidR="00581689">
        <w:rPr>
          <w:sz w:val="24"/>
          <w:szCs w:val="24"/>
        </w:rPr>
        <w:t>a reduction in secondary care use</w:t>
      </w:r>
      <w:r w:rsidRPr="00190138">
        <w:rPr>
          <w:sz w:val="24"/>
          <w:szCs w:val="24"/>
        </w:rPr>
        <w:t>.</w:t>
      </w:r>
      <w:r w:rsidR="00586D71">
        <w:rPr>
          <w:sz w:val="24"/>
          <w:szCs w:val="24"/>
        </w:rPr>
        <w:fldChar w:fldCharType="begin"/>
      </w:r>
      <w:r w:rsidR="0039657B">
        <w:rPr>
          <w:sz w:val="24"/>
          <w:szCs w:val="24"/>
        </w:rPr>
        <w:instrText xml:space="preserve"> ADDIN EN.CITE &lt;EndNote&gt;&lt;Cite&gt;&lt;Author&gt;Parker&lt;/Author&gt;&lt;Year&gt;2011&lt;/Year&gt;&lt;RecNum&gt;7&lt;/RecNum&gt;&lt;DisplayText&gt;&lt;style face="superscript"&gt;3&lt;/style&gt;&lt;/DisplayText&gt;&lt;record&gt;&lt;rec-number&gt;7&lt;/rec-number&gt;&lt;foreign-keys&gt;&lt;key app="EN" db-id="9azrasfx7e2dvkerwz7p5ds19vtv9ptrpwtd" timestamp="1465485423"&gt;7&lt;/key&gt;&lt;/foreign-keys&gt;&lt;ref-type name="Journal Article"&gt;17&lt;/ref-type&gt;&lt;contributors&gt;&lt;authors&gt;&lt;author&gt;Parker, G.&lt;/author&gt;&lt;author&gt;Corden, A.&lt;/author&gt;&lt;author&gt;Heaton, J.&lt;/author&gt;&lt;/authors&gt;&lt;/contributors&gt;&lt;auth-address&gt;Social Policy Research Unit, University of York, UK. gmp501@york.ac.uk&lt;/auth-address&gt;&lt;titles&gt;&lt;title&gt;Experiences of and influences on continuity of care for service users and carers: synthesis of evidence from a research programme&lt;/title&gt;&lt;secondary-title&gt;Health Soc Care Community&lt;/secondary-title&gt;&lt;/titles&gt;&lt;periodical&gt;&lt;full-title&gt;Health Soc Care Community&lt;/full-title&gt;&lt;/periodical&gt;&lt;pages&gt;576-601&lt;/pages&gt;&lt;volume&gt;19&lt;/volume&gt;&lt;number&gt;6&lt;/number&gt;&lt;edition&gt;2011/07/02&lt;/edition&gt;&lt;keywords&gt;&lt;keyword&gt;Continuity of Patient Care/ organization &amp;amp; administration&lt;/keyword&gt;&lt;keyword&gt;Delivery of Health Care/ organization &amp;amp; administration&lt;/keyword&gt;&lt;keyword&gt;Health Personnel&lt;/keyword&gt;&lt;keyword&gt;Health Services Needs and Demand&lt;/keyword&gt;&lt;keyword&gt;Humans&lt;/keyword&gt;&lt;keyword&gt;Research&lt;/keyword&gt;&lt;/keywords&gt;&lt;dates&gt;&lt;year&gt;2011&lt;/year&gt;&lt;pub-dates&gt;&lt;date&gt;Nov&lt;/date&gt;&lt;/pub-dates&gt;&lt;/dates&gt;&lt;isbn&gt;1365-2524 (Electronic)&amp;#xD;0966-0410 (Linking)&lt;/isbn&gt;&lt;urls&gt;&lt;/urls&gt;&lt;electronic-resource-num&gt;10.1111/j.1365-2524.2011.01001.x&lt;/electronic-resource-num&gt;&lt;language&gt;eng&lt;/language&gt;&lt;/record&gt;&lt;/Cite&gt;&lt;/EndNote&gt;</w:instrText>
      </w:r>
      <w:r w:rsidR="00586D71">
        <w:rPr>
          <w:sz w:val="24"/>
          <w:szCs w:val="24"/>
        </w:rPr>
        <w:fldChar w:fldCharType="separate"/>
      </w:r>
      <w:r w:rsidR="0039657B" w:rsidRPr="0039657B">
        <w:rPr>
          <w:noProof/>
          <w:sz w:val="24"/>
          <w:szCs w:val="24"/>
          <w:vertAlign w:val="superscript"/>
        </w:rPr>
        <w:t>3</w:t>
      </w:r>
      <w:r w:rsidR="00586D71">
        <w:rPr>
          <w:sz w:val="24"/>
          <w:szCs w:val="24"/>
        </w:rPr>
        <w:fldChar w:fldCharType="end"/>
      </w:r>
      <w:r w:rsidRPr="00190138">
        <w:rPr>
          <w:sz w:val="24"/>
          <w:szCs w:val="24"/>
        </w:rPr>
        <w:t xml:space="preserve"> </w:t>
      </w:r>
      <w:r w:rsidR="00CD635E">
        <w:rPr>
          <w:sz w:val="24"/>
          <w:szCs w:val="24"/>
        </w:rPr>
        <w:t xml:space="preserve"> </w:t>
      </w:r>
      <w:r w:rsidR="00097E8D">
        <w:rPr>
          <w:sz w:val="24"/>
          <w:szCs w:val="24"/>
        </w:rPr>
        <w:t xml:space="preserve">Other work </w:t>
      </w:r>
      <w:r w:rsidR="00586D71">
        <w:rPr>
          <w:sz w:val="24"/>
          <w:szCs w:val="24"/>
        </w:rPr>
        <w:fldChar w:fldCharType="begin"/>
      </w:r>
      <w:r w:rsidR="0039657B">
        <w:rPr>
          <w:sz w:val="24"/>
          <w:szCs w:val="24"/>
        </w:rPr>
        <w:instrText xml:space="preserve"> ADDIN EN.CITE &lt;EndNote&gt;&lt;Cite&gt;&lt;Author&gt;Callery&lt;/Author&gt;&lt;Year&gt;2013&lt;/Year&gt;&lt;RecNum&gt;9&lt;/RecNum&gt;&lt;DisplayText&gt;&lt;style face="superscript"&gt;4&lt;/style&gt;&lt;/DisplayText&gt;&lt;record&gt;&lt;rec-number&gt;9&lt;/rec-number&gt;&lt;foreign-keys&gt;&lt;key app="EN" db-id="0sfzpr9f9wddave0esa5xpaiz9zwzpettf5z" timestamp="1471336340"&gt;9&lt;/key&gt;&lt;/foreign-keys&gt;&lt;ref-type name="Journal Article"&gt;17&lt;/ref-type&gt;&lt;contributors&gt;&lt;authors&gt;&lt;author&gt;Callery, Peter&lt;/author&gt;&lt;author&gt;Kyle, Richard G.&lt;/author&gt;&lt;author&gt;Banks, Michele&lt;/author&gt;&lt;author&gt;Ewing, Carol&lt;/author&gt;&lt;author&gt;Kirk, Susan&lt;/author&gt;&lt;/authors&gt;&lt;/contributors&gt;&lt;titles&gt;&lt;title&gt;Enhancing parents&amp;apos; confidence to care in acute childhood illness: triangulation of findings from a mixed methods study of Community Children&amp;apos;s Nursing&lt;/title&gt;&lt;secondary-title&gt;Journal of Advanced Nursing&lt;/secondary-title&gt;&lt;/titles&gt;&lt;pages&gt;2538-2548&lt;/pages&gt;&lt;volume&gt;69&lt;/volume&gt;&lt;number&gt;11&lt;/number&gt;&lt;keywords&gt;&lt;keyword&gt;acute illness&lt;/keyword&gt;&lt;keyword&gt;child&lt;/keyword&gt;&lt;keyword&gt;home care services&lt;/keyword&gt;&lt;keyword&gt;nurses&lt;/keyword&gt;&lt;keyword&gt;nursing&lt;/keyword&gt;&lt;keyword&gt;paediatrics&lt;/keyword&gt;&lt;keyword&gt;parents&lt;/keyword&gt;&lt;/keywords&gt;&lt;dates&gt;&lt;year&gt;2013&lt;/year&gt;&lt;/dates&gt;&lt;isbn&gt;1365-2648&lt;/isbn&gt;&lt;urls&gt;&lt;related-urls&gt;&lt;url&gt;http://dx.doi.org/10.1111/jan.12141&lt;/url&gt;&lt;/related-urls&gt;&lt;/urls&gt;&lt;electronic-resource-num&gt;10.1111/jan.12141&lt;/electronic-resource-num&gt;&lt;/record&gt;&lt;/Cite&gt;&lt;/EndNote&gt;</w:instrText>
      </w:r>
      <w:r w:rsidR="00586D71">
        <w:rPr>
          <w:sz w:val="24"/>
          <w:szCs w:val="24"/>
        </w:rPr>
        <w:fldChar w:fldCharType="separate"/>
      </w:r>
      <w:r w:rsidR="0039657B" w:rsidRPr="0039657B">
        <w:rPr>
          <w:noProof/>
          <w:sz w:val="24"/>
          <w:szCs w:val="24"/>
          <w:vertAlign w:val="superscript"/>
        </w:rPr>
        <w:t>4</w:t>
      </w:r>
      <w:r w:rsidR="00586D71">
        <w:rPr>
          <w:sz w:val="24"/>
          <w:szCs w:val="24"/>
        </w:rPr>
        <w:fldChar w:fldCharType="end"/>
      </w:r>
      <w:r w:rsidR="0059122F" w:rsidRPr="0059122F">
        <w:rPr>
          <w:sz w:val="24"/>
          <w:szCs w:val="24"/>
        </w:rPr>
        <w:t xml:space="preserve"> </w:t>
      </w:r>
      <w:r w:rsidR="00097E8D">
        <w:rPr>
          <w:sz w:val="24"/>
          <w:szCs w:val="24"/>
        </w:rPr>
        <w:t xml:space="preserve">has </w:t>
      </w:r>
      <w:r w:rsidR="0059122F" w:rsidRPr="0059122F">
        <w:rPr>
          <w:sz w:val="24"/>
          <w:szCs w:val="24"/>
        </w:rPr>
        <w:t xml:space="preserve">demonstrated the difficulties of isolating the impact </w:t>
      </w:r>
      <w:r w:rsidR="0059122F" w:rsidRPr="0059122F">
        <w:rPr>
          <w:sz w:val="24"/>
          <w:szCs w:val="24"/>
        </w:rPr>
        <w:lastRenderedPageBreak/>
        <w:t xml:space="preserve">of CCN services on secondary care activity given the presence of other organisational changes and population factors. </w:t>
      </w:r>
      <w:r w:rsidR="0059122F">
        <w:rPr>
          <w:sz w:val="24"/>
          <w:szCs w:val="24"/>
        </w:rPr>
        <w:t xml:space="preserve"> </w:t>
      </w:r>
      <w:r w:rsidR="00B119B0">
        <w:rPr>
          <w:sz w:val="24"/>
          <w:szCs w:val="24"/>
        </w:rPr>
        <w:t>However,</w:t>
      </w:r>
      <w:r w:rsidR="00D8102A">
        <w:rPr>
          <w:sz w:val="24"/>
          <w:szCs w:val="24"/>
        </w:rPr>
        <w:t xml:space="preserve"> evidence concerning the quality of care </w:t>
      </w:r>
      <w:r w:rsidR="00B119B0">
        <w:rPr>
          <w:sz w:val="24"/>
          <w:szCs w:val="24"/>
        </w:rPr>
        <w:t xml:space="preserve">delivered by these teams </w:t>
      </w:r>
      <w:r w:rsidR="00D8102A">
        <w:rPr>
          <w:sz w:val="24"/>
          <w:szCs w:val="24"/>
        </w:rPr>
        <w:t xml:space="preserve">suggests a positive effect, particularly among families </w:t>
      </w:r>
      <w:r w:rsidR="00B119B0">
        <w:rPr>
          <w:sz w:val="24"/>
          <w:szCs w:val="24"/>
        </w:rPr>
        <w:t xml:space="preserve">whose </w:t>
      </w:r>
      <w:r w:rsidR="00D8102A">
        <w:rPr>
          <w:sz w:val="24"/>
          <w:szCs w:val="24"/>
        </w:rPr>
        <w:t>children have complex and ongoing needs.</w:t>
      </w:r>
      <w:r w:rsidR="00535E12">
        <w:rPr>
          <w:sz w:val="24"/>
          <w:szCs w:val="24"/>
        </w:rPr>
        <w:fldChar w:fldCharType="begin"/>
      </w:r>
      <w:r w:rsidR="0039657B">
        <w:rPr>
          <w:sz w:val="24"/>
          <w:szCs w:val="24"/>
        </w:rPr>
        <w:instrText xml:space="preserve"> ADDIN EN.CITE &lt;EndNote&gt;&lt;Cite&gt;&lt;Author&gt;Kirk&lt;/Author&gt;&lt;Year&gt;1998&lt;/Year&gt;&lt;RecNum&gt;9&lt;/RecNum&gt;&lt;DisplayText&gt;&lt;style face="superscript"&gt;5&lt;/style&gt;&lt;/DisplayText&gt;&lt;record&gt;&lt;rec-number&gt;9&lt;/rec-number&gt;&lt;foreign-keys&gt;&lt;key app="EN" db-id="9azrasfx7e2dvkerwz7p5ds19vtv9ptrpwtd" timestamp="1465485517"&gt;9&lt;/key&gt;&lt;/foreign-keys&gt;&lt;ref-type name="Journal Article"&gt;17&lt;/ref-type&gt;&lt;contributors&gt;&lt;authors&gt;&lt;author&gt;Kirk, S.&lt;/author&gt;&lt;/authors&gt;&lt;/contributors&gt;&lt;auth-address&gt;National Primary Care Research and Development Centre, University of Manchester, UK.&lt;/auth-address&gt;&lt;titles&gt;&lt;title&gt;Families&amp;apos; experiences of caring at home for a technology-dependent child: a review of the literature&lt;/title&gt;&lt;secondary-title&gt;Child Care Health Dev&lt;/secondary-title&gt;&lt;/titles&gt;&lt;periodical&gt;&lt;full-title&gt;Child Care Health Dev&lt;/full-title&gt;&lt;/periodical&gt;&lt;pages&gt;101-14&lt;/pages&gt;&lt;volume&gt;24&lt;/volume&gt;&lt;number&gt;2&lt;/number&gt;&lt;edition&gt;1998/04/17&lt;/edition&gt;&lt;keywords&gt;&lt;keyword&gt;Adolescent&lt;/keyword&gt;&lt;keyword&gt;Artificial Organs&lt;/keyword&gt;&lt;keyword&gt;Caregivers/ psychology&lt;/keyword&gt;&lt;keyword&gt;Child&lt;/keyword&gt;&lt;keyword&gt;Child, Preschool&lt;/keyword&gt;&lt;keyword&gt;Chronic Disease/ psychology&lt;/keyword&gt;&lt;keyword&gt;Cost of Illness&lt;/keyword&gt;&lt;keyword&gt;Disabled Children/ psychology&lt;/keyword&gt;&lt;keyword&gt;Equipment and Supplies&lt;/keyword&gt;&lt;keyword&gt;Home Care Services&lt;/keyword&gt;&lt;keyword&gt;Home Nursing/ psychology&lt;/keyword&gt;&lt;keyword&gt;Humans&lt;/keyword&gt;&lt;keyword&gt;Infant&lt;/keyword&gt;&lt;keyword&gt;Medical Laboratory Science&lt;/keyword&gt;&lt;keyword&gt;Professional-Family Relations&lt;/keyword&gt;&lt;keyword&gt;Respite Care&lt;/keyword&gt;&lt;/keywords&gt;&lt;dates&gt;&lt;year&gt;1998&lt;/year&gt;&lt;pub-dates&gt;&lt;date&gt;Mar&lt;/date&gt;&lt;/pub-dates&gt;&lt;/dates&gt;&lt;isbn&gt;0305-1862 (Print)&amp;#xD;0305-1862 (Linking)&lt;/isbn&gt;&lt;urls&gt;&lt;/urls&gt;&lt;language&gt;eng&lt;/language&gt;&lt;/record&gt;&lt;/Cite&gt;&lt;/EndNote&gt;</w:instrText>
      </w:r>
      <w:r w:rsidR="00535E12">
        <w:rPr>
          <w:sz w:val="24"/>
          <w:szCs w:val="24"/>
        </w:rPr>
        <w:fldChar w:fldCharType="separate"/>
      </w:r>
      <w:r w:rsidR="0039657B" w:rsidRPr="0039657B">
        <w:rPr>
          <w:noProof/>
          <w:sz w:val="24"/>
          <w:szCs w:val="24"/>
          <w:vertAlign w:val="superscript"/>
        </w:rPr>
        <w:t>5</w:t>
      </w:r>
      <w:r w:rsidR="00535E12">
        <w:rPr>
          <w:sz w:val="24"/>
          <w:szCs w:val="24"/>
        </w:rPr>
        <w:fldChar w:fldCharType="end"/>
      </w:r>
      <w:r w:rsidR="00D8102A">
        <w:rPr>
          <w:sz w:val="24"/>
          <w:szCs w:val="24"/>
        </w:rPr>
        <w:t xml:space="preserve"> </w:t>
      </w:r>
      <w:r w:rsidR="006F6BF1">
        <w:rPr>
          <w:sz w:val="24"/>
          <w:szCs w:val="24"/>
        </w:rPr>
        <w:t>T</w:t>
      </w:r>
      <w:r w:rsidR="0053151A">
        <w:rPr>
          <w:sz w:val="24"/>
          <w:szCs w:val="24"/>
        </w:rPr>
        <w:t xml:space="preserve">here is a </w:t>
      </w:r>
      <w:r w:rsidR="006F6BF1">
        <w:rPr>
          <w:sz w:val="24"/>
          <w:szCs w:val="24"/>
        </w:rPr>
        <w:t xml:space="preserve">remaining </w:t>
      </w:r>
      <w:r w:rsidR="0053151A">
        <w:rPr>
          <w:sz w:val="24"/>
          <w:szCs w:val="24"/>
        </w:rPr>
        <w:t>gap in the current evidence b</w:t>
      </w:r>
      <w:r w:rsidR="006F6BF1">
        <w:rPr>
          <w:sz w:val="24"/>
          <w:szCs w:val="24"/>
        </w:rPr>
        <w:t>ase which limits the ability</w:t>
      </w:r>
      <w:r w:rsidR="0053151A">
        <w:rPr>
          <w:sz w:val="24"/>
          <w:szCs w:val="24"/>
        </w:rPr>
        <w:t xml:space="preserve"> of commissioners</w:t>
      </w:r>
      <w:r w:rsidR="00586D71">
        <w:rPr>
          <w:sz w:val="24"/>
          <w:szCs w:val="24"/>
        </w:rPr>
        <w:t xml:space="preserve"> to</w:t>
      </w:r>
      <w:r w:rsidR="00CD4973">
        <w:rPr>
          <w:sz w:val="24"/>
          <w:szCs w:val="24"/>
        </w:rPr>
        <w:t xml:space="preserve"> consider </w:t>
      </w:r>
      <w:r w:rsidR="006F6BF1">
        <w:rPr>
          <w:sz w:val="24"/>
          <w:szCs w:val="24"/>
        </w:rPr>
        <w:t>the</w:t>
      </w:r>
      <w:r w:rsidR="00CD4973">
        <w:rPr>
          <w:sz w:val="24"/>
          <w:szCs w:val="24"/>
        </w:rPr>
        <w:t xml:space="preserve"> question of cost-effectiveness.  </w:t>
      </w:r>
      <w:r w:rsidR="00B01F15" w:rsidRPr="00190138">
        <w:rPr>
          <w:sz w:val="24"/>
          <w:szCs w:val="24"/>
        </w:rPr>
        <w:t>These factors are important at both a local level</w:t>
      </w:r>
      <w:r w:rsidR="005670E2">
        <w:rPr>
          <w:sz w:val="24"/>
          <w:szCs w:val="24"/>
        </w:rPr>
        <w:t>,</w:t>
      </w:r>
      <w:r w:rsidR="005670E2" w:rsidRPr="00190138">
        <w:rPr>
          <w:sz w:val="24"/>
          <w:szCs w:val="24"/>
        </w:rPr>
        <w:t xml:space="preserve"> </w:t>
      </w:r>
      <w:r w:rsidR="00B01F15" w:rsidRPr="00190138">
        <w:rPr>
          <w:sz w:val="24"/>
          <w:szCs w:val="24"/>
        </w:rPr>
        <w:t>when constructing a business case for a CCN team, and at a national level to inform broad governmental policy.</w:t>
      </w:r>
    </w:p>
    <w:p w14:paraId="72B0E8E4" w14:textId="77777777" w:rsidR="00186D9E" w:rsidRDefault="00186D9E" w:rsidP="003D71E8">
      <w:pPr>
        <w:spacing w:line="480" w:lineRule="auto"/>
        <w:rPr>
          <w:sz w:val="24"/>
          <w:szCs w:val="24"/>
        </w:rPr>
      </w:pPr>
    </w:p>
    <w:p w14:paraId="06A4EF93" w14:textId="6DFD3861" w:rsidR="001B7690" w:rsidRPr="00190138" w:rsidRDefault="00B370A1" w:rsidP="003D71E8">
      <w:pPr>
        <w:spacing w:line="480" w:lineRule="auto"/>
        <w:rPr>
          <w:b/>
          <w:sz w:val="24"/>
          <w:szCs w:val="24"/>
        </w:rPr>
      </w:pPr>
      <w:r>
        <w:rPr>
          <w:b/>
          <w:sz w:val="24"/>
          <w:szCs w:val="24"/>
        </w:rPr>
        <w:t>The Study</w:t>
      </w:r>
    </w:p>
    <w:p w14:paraId="2668C27F" w14:textId="254858BA" w:rsidR="00B370A1" w:rsidRPr="00B370A1" w:rsidRDefault="00B370A1" w:rsidP="003D71E8">
      <w:pPr>
        <w:spacing w:line="480" w:lineRule="auto"/>
        <w:rPr>
          <w:i/>
          <w:sz w:val="24"/>
          <w:szCs w:val="24"/>
        </w:rPr>
      </w:pPr>
      <w:r w:rsidRPr="00B370A1">
        <w:rPr>
          <w:i/>
          <w:sz w:val="24"/>
          <w:szCs w:val="24"/>
        </w:rPr>
        <w:t>Aim</w:t>
      </w:r>
      <w:r w:rsidR="00AE578E">
        <w:rPr>
          <w:i/>
          <w:sz w:val="24"/>
          <w:szCs w:val="24"/>
        </w:rPr>
        <w:t>s</w:t>
      </w:r>
    </w:p>
    <w:p w14:paraId="6D543EDA" w14:textId="78BC780A" w:rsidR="00D8102A" w:rsidRDefault="002869FA" w:rsidP="003D71E8">
      <w:pPr>
        <w:spacing w:line="480" w:lineRule="auto"/>
        <w:rPr>
          <w:sz w:val="24"/>
          <w:szCs w:val="24"/>
        </w:rPr>
      </w:pPr>
      <w:r>
        <w:rPr>
          <w:sz w:val="24"/>
          <w:szCs w:val="24"/>
        </w:rPr>
        <w:t>This research was conducted i</w:t>
      </w:r>
      <w:r w:rsidR="00017E88">
        <w:rPr>
          <w:sz w:val="24"/>
          <w:szCs w:val="24"/>
        </w:rPr>
        <w:t>n the context of a broader</w:t>
      </w:r>
      <w:r w:rsidR="006F6BF1">
        <w:rPr>
          <w:sz w:val="24"/>
          <w:szCs w:val="24"/>
        </w:rPr>
        <w:t xml:space="preserve"> study</w:t>
      </w:r>
      <w:r w:rsidR="0059122F">
        <w:rPr>
          <w:sz w:val="24"/>
          <w:szCs w:val="24"/>
        </w:rPr>
        <w:t xml:space="preserve"> examin</w:t>
      </w:r>
      <w:r w:rsidR="00017E88">
        <w:rPr>
          <w:sz w:val="24"/>
          <w:szCs w:val="24"/>
        </w:rPr>
        <w:t>ing</w:t>
      </w:r>
      <w:r w:rsidR="0059122F">
        <w:rPr>
          <w:sz w:val="24"/>
          <w:szCs w:val="24"/>
        </w:rPr>
        <w:t xml:space="preserve"> the impact of CCN services on quality of care, secondary care activity</w:t>
      </w:r>
      <w:r>
        <w:rPr>
          <w:sz w:val="24"/>
          <w:szCs w:val="24"/>
        </w:rPr>
        <w:t>,</w:t>
      </w:r>
      <w:r w:rsidR="0059122F">
        <w:rPr>
          <w:sz w:val="24"/>
          <w:szCs w:val="24"/>
        </w:rPr>
        <w:t xml:space="preserve"> and costs.</w:t>
      </w:r>
      <w:r w:rsidR="00535E12">
        <w:rPr>
          <w:sz w:val="24"/>
          <w:szCs w:val="24"/>
        </w:rPr>
        <w:fldChar w:fldCharType="begin"/>
      </w:r>
      <w:r w:rsidR="0039657B">
        <w:rPr>
          <w:sz w:val="24"/>
          <w:szCs w:val="24"/>
        </w:rPr>
        <w:instrText xml:space="preserve"> ADDIN EN.CITE &lt;EndNote&gt;&lt;Cite&gt;&lt;Author&gt;Spiers G&lt;/Author&gt;&lt;Year&gt;2016&lt;/Year&gt;&lt;RecNum&gt;10&lt;/RecNum&gt;&lt;DisplayText&gt;&lt;style face="superscript"&gt;6&lt;/style&gt;&lt;/DisplayText&gt;&lt;record&gt;&lt;rec-number&gt;10&lt;/rec-number&gt;&lt;foreign-keys&gt;&lt;key app="EN" db-id="9azrasfx7e2dvkerwz7p5ds19vtv9ptrpwtd" timestamp="1465485669"&gt;10&lt;/key&gt;&lt;/foreign-keys&gt;&lt;ref-type name="Journal Article"&gt;17&lt;/ref-type&gt;&lt;contributors&gt;&lt;authors&gt;&lt;author&gt;Spiers G, &lt;/author&gt;&lt;author&gt;Allgar V, &lt;/author&gt;&lt;author&gt;Richardson G, &lt;/author&gt;&lt;author&gt;Thurland K, &lt;/author&gt;&lt;author&gt;Hinde S, &lt;/author&gt;&lt;author&gt;Birks Y, &lt;/author&gt;&lt;author&gt;Gridley K, &lt;/author&gt;&lt;author&gt;Duncan H, &lt;/author&gt;&lt;author&gt;Clarke S, &lt;/author&gt;&lt;author&gt;Cusworth L, &lt;/author&gt;&lt;author&gt;Parker G. &lt;/author&gt;&lt;/authors&gt;&lt;/contributors&gt;&lt;titles&gt;&lt;title&gt;Transforming Community Health Services for Children and Young People who are Ill: A Quasi-Experimental Evaluation&lt;/title&gt;&lt;secondary-title&gt;HS&amp;amp;DR &lt;/secondary-title&gt;&lt;/titles&gt;&lt;periodical&gt;&lt;full-title&gt;HS&amp;amp;DR&lt;/full-title&gt;&lt;/periodical&gt;&lt;volume&gt;4&lt;/volume&gt;&lt;number&gt;25&lt;/number&gt;&lt;dates&gt;&lt;year&gt;2016&lt;/year&gt;&lt;/dates&gt;&lt;urls&gt;&lt;/urls&gt;&lt;/record&gt;&lt;/Cite&gt;&lt;/EndNote&gt;</w:instrText>
      </w:r>
      <w:r w:rsidR="00535E12">
        <w:rPr>
          <w:sz w:val="24"/>
          <w:szCs w:val="24"/>
        </w:rPr>
        <w:fldChar w:fldCharType="separate"/>
      </w:r>
      <w:r w:rsidR="0039657B" w:rsidRPr="0039657B">
        <w:rPr>
          <w:noProof/>
          <w:sz w:val="24"/>
          <w:szCs w:val="24"/>
          <w:vertAlign w:val="superscript"/>
        </w:rPr>
        <w:t>6</w:t>
      </w:r>
      <w:r w:rsidR="00535E12">
        <w:rPr>
          <w:sz w:val="24"/>
          <w:szCs w:val="24"/>
        </w:rPr>
        <w:fldChar w:fldCharType="end"/>
      </w:r>
      <w:r w:rsidR="0059122F">
        <w:rPr>
          <w:sz w:val="24"/>
          <w:szCs w:val="24"/>
        </w:rPr>
        <w:t xml:space="preserve"> </w:t>
      </w:r>
      <w:r>
        <w:rPr>
          <w:sz w:val="24"/>
          <w:szCs w:val="24"/>
        </w:rPr>
        <w:t>T</w:t>
      </w:r>
      <w:r w:rsidR="006743F5" w:rsidRPr="00190138">
        <w:rPr>
          <w:sz w:val="24"/>
          <w:szCs w:val="24"/>
        </w:rPr>
        <w:t xml:space="preserve">his paper reports </w:t>
      </w:r>
      <w:r w:rsidR="006743F5">
        <w:rPr>
          <w:sz w:val="24"/>
          <w:szCs w:val="24"/>
        </w:rPr>
        <w:t>findings from the component examining secondary care and costs in relation to two gener</w:t>
      </w:r>
      <w:r w:rsidR="00017E88">
        <w:rPr>
          <w:sz w:val="24"/>
          <w:szCs w:val="24"/>
        </w:rPr>
        <w:t>al</w:t>
      </w:r>
      <w:r w:rsidR="006743F5">
        <w:rPr>
          <w:sz w:val="24"/>
          <w:szCs w:val="24"/>
        </w:rPr>
        <w:t xml:space="preserve"> CCN teams.</w:t>
      </w:r>
      <w:r w:rsidR="00D8102A">
        <w:rPr>
          <w:sz w:val="24"/>
          <w:szCs w:val="24"/>
        </w:rPr>
        <w:t xml:space="preserve">  </w:t>
      </w:r>
      <w:r w:rsidR="006743F5">
        <w:rPr>
          <w:sz w:val="24"/>
          <w:szCs w:val="24"/>
        </w:rPr>
        <w:t>The pr</w:t>
      </w:r>
      <w:r w:rsidR="004F6936">
        <w:rPr>
          <w:sz w:val="24"/>
          <w:szCs w:val="24"/>
        </w:rPr>
        <w:t>imary</w:t>
      </w:r>
      <w:r w:rsidR="00390549">
        <w:rPr>
          <w:sz w:val="24"/>
          <w:szCs w:val="24"/>
        </w:rPr>
        <w:t xml:space="preserve"> aim </w:t>
      </w:r>
      <w:r w:rsidR="006743F5">
        <w:rPr>
          <w:sz w:val="24"/>
          <w:szCs w:val="24"/>
        </w:rPr>
        <w:t>is to evaluate</w:t>
      </w:r>
      <w:r w:rsidR="00390549">
        <w:rPr>
          <w:sz w:val="24"/>
          <w:szCs w:val="24"/>
        </w:rPr>
        <w:t xml:space="preserve"> whether the reduction in secondary care costs</w:t>
      </w:r>
      <w:r w:rsidR="004F6936">
        <w:rPr>
          <w:sz w:val="24"/>
          <w:szCs w:val="24"/>
        </w:rPr>
        <w:t>,</w:t>
      </w:r>
      <w:r w:rsidR="00390549">
        <w:rPr>
          <w:sz w:val="24"/>
          <w:szCs w:val="24"/>
        </w:rPr>
        <w:t xml:space="preserve"> resulting from the introduction of the CCN team</w:t>
      </w:r>
      <w:r w:rsidR="004F6936">
        <w:rPr>
          <w:sz w:val="24"/>
          <w:szCs w:val="24"/>
        </w:rPr>
        <w:t>,</w:t>
      </w:r>
      <w:r w:rsidR="00390549">
        <w:rPr>
          <w:sz w:val="24"/>
          <w:szCs w:val="24"/>
        </w:rPr>
        <w:t xml:space="preserve"> were sufficient to offset the additional cost of commissioning the team. </w:t>
      </w:r>
      <w:r w:rsidR="00D8102A">
        <w:rPr>
          <w:sz w:val="24"/>
          <w:szCs w:val="24"/>
        </w:rPr>
        <w:t xml:space="preserve">The hypothesis considered was that the introduction of a CCN team would be expected to lead to a relative reduction in </w:t>
      </w:r>
      <w:r w:rsidR="00390549">
        <w:rPr>
          <w:sz w:val="24"/>
          <w:szCs w:val="24"/>
        </w:rPr>
        <w:t>secondary care use</w:t>
      </w:r>
      <w:r>
        <w:rPr>
          <w:sz w:val="24"/>
          <w:szCs w:val="24"/>
        </w:rPr>
        <w:t>.</w:t>
      </w:r>
      <w:r w:rsidR="00390549">
        <w:rPr>
          <w:sz w:val="24"/>
          <w:szCs w:val="24"/>
        </w:rPr>
        <w:t xml:space="preserve"> </w:t>
      </w:r>
    </w:p>
    <w:p w14:paraId="6C3D1016" w14:textId="64C5CE87" w:rsidR="00390549" w:rsidRPr="00390549" w:rsidRDefault="00390549" w:rsidP="003D71E8">
      <w:pPr>
        <w:spacing w:line="480" w:lineRule="auto"/>
        <w:rPr>
          <w:i/>
          <w:sz w:val="24"/>
          <w:szCs w:val="24"/>
        </w:rPr>
      </w:pPr>
      <w:r>
        <w:rPr>
          <w:i/>
          <w:sz w:val="24"/>
          <w:szCs w:val="24"/>
        </w:rPr>
        <w:t>Design</w:t>
      </w:r>
    </w:p>
    <w:p w14:paraId="23258813" w14:textId="468327B9" w:rsidR="0072672C" w:rsidRDefault="004F6936" w:rsidP="003D71E8">
      <w:pPr>
        <w:spacing w:line="480" w:lineRule="auto"/>
        <w:rPr>
          <w:sz w:val="24"/>
          <w:szCs w:val="24"/>
        </w:rPr>
      </w:pPr>
      <w:r>
        <w:rPr>
          <w:sz w:val="24"/>
          <w:szCs w:val="24"/>
        </w:rPr>
        <w:t xml:space="preserve">The study hypothesis </w:t>
      </w:r>
      <w:r w:rsidR="00017E88">
        <w:rPr>
          <w:sz w:val="24"/>
          <w:szCs w:val="24"/>
        </w:rPr>
        <w:t>was</w:t>
      </w:r>
      <w:r>
        <w:rPr>
          <w:sz w:val="24"/>
          <w:szCs w:val="24"/>
        </w:rPr>
        <w:t xml:space="preserve"> teste</w:t>
      </w:r>
      <w:r w:rsidR="003A6C77">
        <w:rPr>
          <w:sz w:val="24"/>
          <w:szCs w:val="24"/>
        </w:rPr>
        <w:t xml:space="preserve">d through a two part analysis, conducted as part of the </w:t>
      </w:r>
      <w:r w:rsidR="003A6C77" w:rsidRPr="003A6C77">
        <w:rPr>
          <w:sz w:val="24"/>
          <w:szCs w:val="24"/>
        </w:rPr>
        <w:t>Transforming community health services for childr</w:t>
      </w:r>
      <w:r w:rsidR="003A6C77">
        <w:rPr>
          <w:sz w:val="24"/>
          <w:szCs w:val="24"/>
        </w:rPr>
        <w:t>en and young people who are ill (</w:t>
      </w:r>
      <w:proofErr w:type="spellStart"/>
      <w:r w:rsidR="003A6C77">
        <w:rPr>
          <w:sz w:val="24"/>
          <w:szCs w:val="24"/>
        </w:rPr>
        <w:t>TraCCS</w:t>
      </w:r>
      <w:proofErr w:type="spellEnd"/>
      <w:r w:rsidR="003A6C77">
        <w:rPr>
          <w:sz w:val="24"/>
          <w:szCs w:val="24"/>
        </w:rPr>
        <w:t>) trial, conducted June 2012 to June 2015.</w:t>
      </w:r>
    </w:p>
    <w:p w14:paraId="58206364" w14:textId="05EE66FE" w:rsidR="0072672C" w:rsidRPr="00190138" w:rsidRDefault="004F6936" w:rsidP="003D71E8">
      <w:pPr>
        <w:spacing w:line="480" w:lineRule="auto"/>
        <w:rPr>
          <w:sz w:val="24"/>
          <w:szCs w:val="24"/>
        </w:rPr>
      </w:pPr>
      <w:r>
        <w:rPr>
          <w:sz w:val="24"/>
          <w:szCs w:val="24"/>
        </w:rPr>
        <w:lastRenderedPageBreak/>
        <w:t xml:space="preserve">Firstly, </w:t>
      </w:r>
      <w:r w:rsidR="0072672C">
        <w:rPr>
          <w:sz w:val="24"/>
          <w:szCs w:val="24"/>
        </w:rPr>
        <w:t>t</w:t>
      </w:r>
      <w:r>
        <w:rPr>
          <w:sz w:val="24"/>
          <w:szCs w:val="24"/>
        </w:rPr>
        <w:t>he change in paediatric bed days as a direct result of the CCN team being introduced was evaluated through an interru</w:t>
      </w:r>
      <w:r w:rsidR="0072672C">
        <w:rPr>
          <w:sz w:val="24"/>
          <w:szCs w:val="24"/>
        </w:rPr>
        <w:t>pted time series (ITS) analysis</w:t>
      </w:r>
      <w:r w:rsidR="00555D42">
        <w:rPr>
          <w:sz w:val="24"/>
          <w:szCs w:val="24"/>
        </w:rPr>
        <w:t xml:space="preserve"> over a 7 year time period (April 2006 to March 2013)</w:t>
      </w:r>
      <w:r w:rsidR="0072672C">
        <w:rPr>
          <w:sz w:val="24"/>
          <w:szCs w:val="24"/>
        </w:rPr>
        <w:t>.</w:t>
      </w:r>
      <w:r>
        <w:rPr>
          <w:sz w:val="24"/>
          <w:szCs w:val="24"/>
        </w:rPr>
        <w:t xml:space="preserve">  </w:t>
      </w:r>
      <w:r w:rsidR="0072672C">
        <w:rPr>
          <w:sz w:val="24"/>
          <w:szCs w:val="24"/>
        </w:rPr>
        <w:t xml:space="preserve">This was to estimate the scale of the change in secondary care use (if any) over the analysis period. </w:t>
      </w:r>
      <w:r w:rsidR="0072672C" w:rsidRPr="000443C8">
        <w:rPr>
          <w:sz w:val="24"/>
          <w:szCs w:val="24"/>
        </w:rPr>
        <w:t xml:space="preserve">In cases such as the provision of a CCN team, where the construction of a randomised design is either unfeasible or unethical, a quasi-experimental approach, such as the ITS analysis </w:t>
      </w:r>
      <w:r w:rsidR="00017E88">
        <w:rPr>
          <w:sz w:val="24"/>
          <w:szCs w:val="24"/>
        </w:rPr>
        <w:t>is used. This technique provides a historic control for comparison.</w:t>
      </w:r>
      <w:r w:rsidR="00555D42">
        <w:rPr>
          <w:sz w:val="24"/>
          <w:szCs w:val="24"/>
        </w:rPr>
        <w:t xml:space="preserve"> </w:t>
      </w:r>
      <w:r w:rsidR="0072672C" w:rsidRPr="000443C8">
        <w:rPr>
          <w:sz w:val="24"/>
          <w:szCs w:val="24"/>
        </w:rPr>
        <w:t xml:space="preserve"> </w:t>
      </w:r>
      <w:r w:rsidR="0072672C" w:rsidRPr="00190138">
        <w:rPr>
          <w:sz w:val="24"/>
          <w:szCs w:val="24"/>
        </w:rPr>
        <w:t>The existence of time series data, such as</w:t>
      </w:r>
      <w:r w:rsidR="0072672C">
        <w:rPr>
          <w:sz w:val="24"/>
          <w:szCs w:val="24"/>
        </w:rPr>
        <w:t xml:space="preserve"> the Hospital Episodes Statistics (</w:t>
      </w:r>
      <w:r w:rsidR="0072672C" w:rsidRPr="00190138">
        <w:rPr>
          <w:sz w:val="24"/>
          <w:szCs w:val="24"/>
        </w:rPr>
        <w:t>HES</w:t>
      </w:r>
      <w:r w:rsidR="0072672C">
        <w:rPr>
          <w:sz w:val="24"/>
          <w:szCs w:val="24"/>
        </w:rPr>
        <w:t>) dataset</w:t>
      </w:r>
      <w:r w:rsidR="0072672C" w:rsidRPr="00190138">
        <w:rPr>
          <w:sz w:val="24"/>
          <w:szCs w:val="24"/>
        </w:rPr>
        <w:t>, allow</w:t>
      </w:r>
      <w:r w:rsidR="009A25F5">
        <w:rPr>
          <w:sz w:val="24"/>
          <w:szCs w:val="24"/>
        </w:rPr>
        <w:t>ed</w:t>
      </w:r>
      <w:r w:rsidR="0072672C" w:rsidRPr="00190138">
        <w:rPr>
          <w:sz w:val="24"/>
          <w:szCs w:val="24"/>
        </w:rPr>
        <w:t xml:space="preserve"> for a</w:t>
      </w:r>
      <w:r w:rsidR="009A25F5">
        <w:rPr>
          <w:sz w:val="24"/>
          <w:szCs w:val="24"/>
        </w:rPr>
        <w:t>n</w:t>
      </w:r>
      <w:r w:rsidR="0072672C" w:rsidRPr="00190138">
        <w:rPr>
          <w:sz w:val="24"/>
          <w:szCs w:val="24"/>
        </w:rPr>
        <w:t xml:space="preserve"> </w:t>
      </w:r>
      <w:r w:rsidR="009A25F5">
        <w:rPr>
          <w:sz w:val="24"/>
          <w:szCs w:val="24"/>
        </w:rPr>
        <w:t>assessment</w:t>
      </w:r>
      <w:r w:rsidR="009A25F5" w:rsidRPr="00190138">
        <w:rPr>
          <w:sz w:val="24"/>
          <w:szCs w:val="24"/>
        </w:rPr>
        <w:t xml:space="preserve"> </w:t>
      </w:r>
      <w:r w:rsidR="0072672C" w:rsidRPr="00190138">
        <w:rPr>
          <w:sz w:val="24"/>
          <w:szCs w:val="24"/>
        </w:rPr>
        <w:t xml:space="preserve">of the impact of </w:t>
      </w:r>
      <w:r w:rsidR="009A25F5">
        <w:rPr>
          <w:sz w:val="24"/>
          <w:szCs w:val="24"/>
        </w:rPr>
        <w:t xml:space="preserve">a </w:t>
      </w:r>
      <w:r w:rsidR="00017E88">
        <w:rPr>
          <w:sz w:val="24"/>
          <w:szCs w:val="24"/>
        </w:rPr>
        <w:t xml:space="preserve">the introduction of a </w:t>
      </w:r>
      <w:r w:rsidR="009A25F5">
        <w:rPr>
          <w:sz w:val="24"/>
          <w:szCs w:val="24"/>
        </w:rPr>
        <w:t>CCN team on hospital activity</w:t>
      </w:r>
      <w:r w:rsidR="00017E88">
        <w:rPr>
          <w:sz w:val="24"/>
          <w:szCs w:val="24"/>
        </w:rPr>
        <w:t xml:space="preserve"> by considering </w:t>
      </w:r>
      <w:r w:rsidR="0072672C" w:rsidRPr="00190138">
        <w:rPr>
          <w:sz w:val="24"/>
          <w:szCs w:val="24"/>
        </w:rPr>
        <w:t xml:space="preserve">the size and trends in bed days before </w:t>
      </w:r>
      <w:r w:rsidR="009A25F5">
        <w:rPr>
          <w:sz w:val="24"/>
          <w:szCs w:val="24"/>
        </w:rPr>
        <w:t>and after</w:t>
      </w:r>
      <w:r w:rsidR="0072672C" w:rsidRPr="00190138">
        <w:rPr>
          <w:sz w:val="24"/>
          <w:szCs w:val="24"/>
        </w:rPr>
        <w:t xml:space="preserve"> the </w:t>
      </w:r>
      <w:r w:rsidR="009A25F5">
        <w:rPr>
          <w:sz w:val="24"/>
          <w:szCs w:val="24"/>
        </w:rPr>
        <w:t>teams were introduced</w:t>
      </w:r>
      <w:r w:rsidR="0072672C" w:rsidRPr="00190138">
        <w:rPr>
          <w:sz w:val="24"/>
          <w:szCs w:val="24"/>
        </w:rPr>
        <w:t xml:space="preserve">.  </w:t>
      </w:r>
    </w:p>
    <w:p w14:paraId="107FCF48" w14:textId="340C6193" w:rsidR="000774A0" w:rsidRPr="00190138" w:rsidRDefault="0072672C" w:rsidP="003D71E8">
      <w:pPr>
        <w:spacing w:line="480" w:lineRule="auto"/>
        <w:rPr>
          <w:sz w:val="24"/>
          <w:szCs w:val="24"/>
        </w:rPr>
      </w:pPr>
      <w:r w:rsidRPr="00190138">
        <w:rPr>
          <w:sz w:val="24"/>
          <w:szCs w:val="24"/>
        </w:rPr>
        <w:t xml:space="preserve">Combining historic- and case-control </w:t>
      </w:r>
      <w:r>
        <w:rPr>
          <w:sz w:val="24"/>
          <w:szCs w:val="24"/>
        </w:rPr>
        <w:t xml:space="preserve">approaches </w:t>
      </w:r>
      <w:r w:rsidRPr="00190138">
        <w:rPr>
          <w:sz w:val="24"/>
          <w:szCs w:val="24"/>
        </w:rPr>
        <w:t xml:space="preserve">allows for the strongest form of ITS analysis.  However, in the case of this analysis a robust case-control approach was not feasible as, independent of the availability of CCN teams, sites vary in a number of socioeconomic and </w:t>
      </w:r>
      <w:r>
        <w:rPr>
          <w:sz w:val="24"/>
          <w:szCs w:val="24"/>
        </w:rPr>
        <w:t>other</w:t>
      </w:r>
      <w:r w:rsidRPr="00190138">
        <w:rPr>
          <w:sz w:val="24"/>
          <w:szCs w:val="24"/>
        </w:rPr>
        <w:t xml:space="preserve"> factors, making the identification of a sufficiently similar site against which to conduct a case-control impossible.  </w:t>
      </w:r>
      <w:r w:rsidR="000774A0" w:rsidRPr="00190138">
        <w:rPr>
          <w:sz w:val="24"/>
          <w:szCs w:val="24"/>
        </w:rPr>
        <w:t xml:space="preserve">Comparison of trends in bed days between </w:t>
      </w:r>
      <w:r w:rsidR="000774A0">
        <w:rPr>
          <w:sz w:val="24"/>
          <w:szCs w:val="24"/>
        </w:rPr>
        <w:t>the</w:t>
      </w:r>
      <w:r w:rsidR="000774A0" w:rsidRPr="00190138">
        <w:rPr>
          <w:sz w:val="24"/>
          <w:szCs w:val="24"/>
        </w:rPr>
        <w:t xml:space="preserve"> site and national trends</w:t>
      </w:r>
      <w:r w:rsidR="00786974">
        <w:rPr>
          <w:sz w:val="24"/>
          <w:szCs w:val="24"/>
        </w:rPr>
        <w:t xml:space="preserve"> were possible</w:t>
      </w:r>
      <w:r w:rsidR="00555D42">
        <w:rPr>
          <w:sz w:val="24"/>
          <w:szCs w:val="24"/>
        </w:rPr>
        <w:t>,</w:t>
      </w:r>
      <w:r w:rsidR="00786974">
        <w:rPr>
          <w:sz w:val="24"/>
          <w:szCs w:val="24"/>
        </w:rPr>
        <w:t xml:space="preserve"> </w:t>
      </w:r>
      <w:r w:rsidR="00555D42">
        <w:rPr>
          <w:sz w:val="24"/>
          <w:szCs w:val="24"/>
        </w:rPr>
        <w:t>however, these</w:t>
      </w:r>
      <w:r w:rsidR="00786974">
        <w:rPr>
          <w:sz w:val="24"/>
          <w:szCs w:val="24"/>
        </w:rPr>
        <w:t xml:space="preserve"> </w:t>
      </w:r>
      <w:r w:rsidR="000774A0" w:rsidRPr="00190138">
        <w:rPr>
          <w:sz w:val="24"/>
          <w:szCs w:val="24"/>
        </w:rPr>
        <w:t xml:space="preserve">are not considered an appropriate comparator </w:t>
      </w:r>
      <w:r w:rsidR="000774A0">
        <w:rPr>
          <w:sz w:val="24"/>
          <w:szCs w:val="24"/>
        </w:rPr>
        <w:t xml:space="preserve">by which </w:t>
      </w:r>
      <w:r w:rsidR="000774A0" w:rsidRPr="00190138">
        <w:rPr>
          <w:sz w:val="24"/>
          <w:szCs w:val="24"/>
        </w:rPr>
        <w:t>to directly adjust the site trends due to the significant variation in underlying factors across the country.</w:t>
      </w:r>
    </w:p>
    <w:p w14:paraId="735C1C0D" w14:textId="3610550B" w:rsidR="004F6936" w:rsidRDefault="00786974" w:rsidP="003D71E8">
      <w:pPr>
        <w:spacing w:line="480" w:lineRule="auto"/>
        <w:rPr>
          <w:sz w:val="24"/>
          <w:szCs w:val="24"/>
        </w:rPr>
      </w:pPr>
      <w:r>
        <w:rPr>
          <w:sz w:val="24"/>
          <w:szCs w:val="24"/>
        </w:rPr>
        <w:t>T</w:t>
      </w:r>
      <w:r w:rsidR="0072672C">
        <w:rPr>
          <w:sz w:val="24"/>
          <w:szCs w:val="24"/>
        </w:rPr>
        <w:t xml:space="preserve">he cost implications of the CCN team’s introduction </w:t>
      </w:r>
      <w:r w:rsidR="001C1584">
        <w:rPr>
          <w:sz w:val="24"/>
          <w:szCs w:val="24"/>
        </w:rPr>
        <w:t xml:space="preserve">were </w:t>
      </w:r>
      <w:r w:rsidR="0072672C">
        <w:rPr>
          <w:sz w:val="24"/>
          <w:szCs w:val="24"/>
        </w:rPr>
        <w:t xml:space="preserve">evaluated. This </w:t>
      </w:r>
      <w:r>
        <w:rPr>
          <w:sz w:val="24"/>
          <w:szCs w:val="24"/>
        </w:rPr>
        <w:t>was</w:t>
      </w:r>
      <w:r w:rsidR="006743F5">
        <w:rPr>
          <w:sz w:val="24"/>
          <w:szCs w:val="24"/>
        </w:rPr>
        <w:t xml:space="preserve"> done by estimating the cost</w:t>
      </w:r>
      <w:r w:rsidR="00800B22">
        <w:rPr>
          <w:sz w:val="24"/>
          <w:szCs w:val="24"/>
        </w:rPr>
        <w:t xml:space="preserve"> of commissioning the team, based on the salary and non-salary </w:t>
      </w:r>
      <w:r>
        <w:rPr>
          <w:sz w:val="24"/>
          <w:szCs w:val="24"/>
        </w:rPr>
        <w:t>costs</w:t>
      </w:r>
      <w:r w:rsidR="00800B22">
        <w:rPr>
          <w:sz w:val="24"/>
          <w:szCs w:val="24"/>
        </w:rPr>
        <w:t xml:space="preserve">.  </w:t>
      </w:r>
      <w:r>
        <w:rPr>
          <w:sz w:val="24"/>
          <w:szCs w:val="24"/>
        </w:rPr>
        <w:t>Any</w:t>
      </w:r>
      <w:r w:rsidR="00800B22">
        <w:rPr>
          <w:sz w:val="24"/>
          <w:szCs w:val="24"/>
        </w:rPr>
        <w:t xml:space="preserve"> cost implications of the change in secondary care use </w:t>
      </w:r>
      <w:r>
        <w:rPr>
          <w:sz w:val="24"/>
          <w:szCs w:val="24"/>
        </w:rPr>
        <w:t>are</w:t>
      </w:r>
      <w:r w:rsidR="00800B22">
        <w:rPr>
          <w:sz w:val="24"/>
          <w:szCs w:val="24"/>
        </w:rPr>
        <w:t xml:space="preserve"> then estimated. To do so an average</w:t>
      </w:r>
      <w:r w:rsidR="004F6936">
        <w:rPr>
          <w:sz w:val="24"/>
          <w:szCs w:val="24"/>
        </w:rPr>
        <w:t xml:space="preserve"> cost per bed day is applied to the estimated change in activity </w:t>
      </w:r>
      <w:r w:rsidR="00800B22">
        <w:rPr>
          <w:sz w:val="24"/>
          <w:szCs w:val="24"/>
        </w:rPr>
        <w:t xml:space="preserve">from the ITS analysis </w:t>
      </w:r>
      <w:r w:rsidR="004F6936">
        <w:rPr>
          <w:sz w:val="24"/>
          <w:szCs w:val="24"/>
        </w:rPr>
        <w:t xml:space="preserve">to provide an annual cost saving due to reduced hospital activity as a direct result of the </w:t>
      </w:r>
      <w:r w:rsidR="004F6936">
        <w:rPr>
          <w:sz w:val="24"/>
          <w:szCs w:val="24"/>
        </w:rPr>
        <w:lastRenderedPageBreak/>
        <w:t xml:space="preserve">CCN teams’ introduction.  This </w:t>
      </w:r>
      <w:r w:rsidR="006D3B18">
        <w:rPr>
          <w:sz w:val="24"/>
          <w:szCs w:val="24"/>
        </w:rPr>
        <w:t>estimate</w:t>
      </w:r>
      <w:r w:rsidR="004F6936">
        <w:rPr>
          <w:sz w:val="24"/>
          <w:szCs w:val="24"/>
        </w:rPr>
        <w:t xml:space="preserve"> is then compared to </w:t>
      </w:r>
      <w:r w:rsidR="00800B22">
        <w:rPr>
          <w:sz w:val="24"/>
          <w:szCs w:val="24"/>
        </w:rPr>
        <w:t>the</w:t>
      </w:r>
      <w:r w:rsidR="004F6936">
        <w:rPr>
          <w:sz w:val="24"/>
          <w:szCs w:val="24"/>
        </w:rPr>
        <w:t xml:space="preserve"> esti</w:t>
      </w:r>
      <w:r w:rsidR="00800B22">
        <w:rPr>
          <w:sz w:val="24"/>
          <w:szCs w:val="24"/>
        </w:rPr>
        <w:t xml:space="preserve">mated cost of each CCN team to </w:t>
      </w:r>
      <w:r w:rsidR="004F6936">
        <w:rPr>
          <w:sz w:val="24"/>
          <w:szCs w:val="24"/>
        </w:rPr>
        <w:t>determine the total cost implication of the teams.</w:t>
      </w:r>
    </w:p>
    <w:p w14:paraId="6C181B41" w14:textId="56089ABF" w:rsidR="004F6936" w:rsidRDefault="0072672C" w:rsidP="003D71E8">
      <w:pPr>
        <w:spacing w:line="480" w:lineRule="auto"/>
        <w:rPr>
          <w:sz w:val="24"/>
          <w:szCs w:val="24"/>
        </w:rPr>
      </w:pPr>
      <w:r>
        <w:rPr>
          <w:i/>
          <w:sz w:val="24"/>
          <w:szCs w:val="24"/>
        </w:rPr>
        <w:t>Sample</w:t>
      </w:r>
    </w:p>
    <w:p w14:paraId="59CCA65B" w14:textId="42F3EB4C" w:rsidR="00330B5C" w:rsidRDefault="006743F5" w:rsidP="003D71E8">
      <w:pPr>
        <w:spacing w:line="480" w:lineRule="auto"/>
        <w:rPr>
          <w:sz w:val="24"/>
          <w:szCs w:val="24"/>
        </w:rPr>
      </w:pPr>
      <w:r w:rsidRPr="00BF719D">
        <w:rPr>
          <w:sz w:val="24"/>
          <w:szCs w:val="24"/>
        </w:rPr>
        <w:t>Two Primary Care Trusts (</w:t>
      </w:r>
      <w:r w:rsidR="00555D42">
        <w:rPr>
          <w:sz w:val="24"/>
          <w:szCs w:val="24"/>
        </w:rPr>
        <w:t xml:space="preserve">PCTs, </w:t>
      </w:r>
      <w:r w:rsidRPr="00BF719D">
        <w:rPr>
          <w:sz w:val="24"/>
          <w:szCs w:val="24"/>
        </w:rPr>
        <w:t xml:space="preserve">which </w:t>
      </w:r>
      <w:r w:rsidR="00097E8D">
        <w:rPr>
          <w:sz w:val="24"/>
          <w:szCs w:val="24"/>
        </w:rPr>
        <w:t>became</w:t>
      </w:r>
      <w:r w:rsidRPr="00BF719D">
        <w:rPr>
          <w:sz w:val="24"/>
          <w:szCs w:val="24"/>
        </w:rPr>
        <w:t xml:space="preserve"> Clinical Commissioning Groups during the </w:t>
      </w:r>
      <w:r w:rsidR="00786974">
        <w:rPr>
          <w:sz w:val="24"/>
          <w:szCs w:val="24"/>
        </w:rPr>
        <w:t>study period</w:t>
      </w:r>
      <w:r w:rsidRPr="00BF719D">
        <w:rPr>
          <w:sz w:val="24"/>
          <w:szCs w:val="24"/>
        </w:rPr>
        <w:t>) acted as case sites for the evaluation. Both  were located within the same geographic region, and each had funded the introduction or expansion of a gener</w:t>
      </w:r>
      <w:r w:rsidR="00786974">
        <w:rPr>
          <w:sz w:val="24"/>
          <w:szCs w:val="24"/>
        </w:rPr>
        <w:t>al</w:t>
      </w:r>
      <w:r w:rsidRPr="00BF719D">
        <w:rPr>
          <w:sz w:val="24"/>
          <w:szCs w:val="24"/>
        </w:rPr>
        <w:t xml:space="preserve"> CCN service as part of a wider regional reconfiguration of children’s services. The two resultant CCN teams, each provided by a different NHS trust (one a </w:t>
      </w:r>
      <w:r w:rsidR="00507D76">
        <w:rPr>
          <w:sz w:val="24"/>
          <w:szCs w:val="24"/>
        </w:rPr>
        <w:t>care</w:t>
      </w:r>
      <w:r w:rsidRPr="00BF719D">
        <w:rPr>
          <w:sz w:val="24"/>
          <w:szCs w:val="24"/>
        </w:rPr>
        <w:t xml:space="preserve"> trust</w:t>
      </w:r>
      <w:r w:rsidR="00097E8D">
        <w:rPr>
          <w:sz w:val="24"/>
          <w:szCs w:val="24"/>
        </w:rPr>
        <w:t xml:space="preserve"> and community based</w:t>
      </w:r>
      <w:r w:rsidRPr="00BF719D">
        <w:rPr>
          <w:sz w:val="24"/>
          <w:szCs w:val="24"/>
        </w:rPr>
        <w:t>, the other a hospital trust</w:t>
      </w:r>
      <w:r w:rsidR="00097E8D">
        <w:rPr>
          <w:sz w:val="24"/>
          <w:szCs w:val="24"/>
        </w:rPr>
        <w:t xml:space="preserve"> and hospital based</w:t>
      </w:r>
      <w:r w:rsidRPr="00BF719D">
        <w:rPr>
          <w:sz w:val="24"/>
          <w:szCs w:val="24"/>
        </w:rPr>
        <w:t>) and serving different areas, operated using a model</w:t>
      </w:r>
      <w:r w:rsidR="00786974">
        <w:rPr>
          <w:sz w:val="24"/>
          <w:szCs w:val="24"/>
        </w:rPr>
        <w:t xml:space="preserve"> t</w:t>
      </w:r>
      <w:r w:rsidRPr="00BF719D">
        <w:rPr>
          <w:sz w:val="24"/>
          <w:szCs w:val="24"/>
        </w:rPr>
        <w:t>hat provided nursing care for children with acute, long-term, complex and end of life needs.  Both aimed to prevent acute admission and facilitate early discharge from hospital, although one team prioritised admission avoidance whilst the other also provided case management for children with complex conditions. Details of each of the two CCN team</w:t>
      </w:r>
      <w:r w:rsidR="00953290">
        <w:rPr>
          <w:sz w:val="24"/>
          <w:szCs w:val="24"/>
        </w:rPr>
        <w:t>s</w:t>
      </w:r>
      <w:r w:rsidRPr="00BF719D">
        <w:rPr>
          <w:sz w:val="24"/>
          <w:szCs w:val="24"/>
        </w:rPr>
        <w:t xml:space="preserve"> operating in each site are given in </w:t>
      </w:r>
      <w:r w:rsidRPr="00BF719D">
        <w:rPr>
          <w:sz w:val="24"/>
          <w:szCs w:val="24"/>
        </w:rPr>
        <w:fldChar w:fldCharType="begin"/>
      </w:r>
      <w:r w:rsidRPr="00BF719D">
        <w:rPr>
          <w:sz w:val="24"/>
          <w:szCs w:val="24"/>
        </w:rPr>
        <w:instrText xml:space="preserve"> REF _Ref437512320 \h  \* MERGEFORMAT </w:instrText>
      </w:r>
      <w:r w:rsidRPr="00BF719D">
        <w:rPr>
          <w:sz w:val="24"/>
          <w:szCs w:val="24"/>
        </w:rPr>
      </w:r>
      <w:r w:rsidRPr="00BF719D">
        <w:rPr>
          <w:sz w:val="24"/>
          <w:szCs w:val="24"/>
        </w:rPr>
        <w:fldChar w:fldCharType="separate"/>
      </w:r>
      <w:r w:rsidR="00CF31AE" w:rsidRPr="00CF31AE">
        <w:rPr>
          <w:sz w:val="24"/>
          <w:szCs w:val="24"/>
        </w:rPr>
        <w:t xml:space="preserve">Table </w:t>
      </w:r>
      <w:r w:rsidR="00CF31AE" w:rsidRPr="00CF31AE">
        <w:rPr>
          <w:noProof/>
          <w:sz w:val="24"/>
          <w:szCs w:val="24"/>
        </w:rPr>
        <w:t>1</w:t>
      </w:r>
      <w:r w:rsidRPr="00BF719D">
        <w:rPr>
          <w:sz w:val="24"/>
          <w:szCs w:val="24"/>
        </w:rPr>
        <w:fldChar w:fldCharType="end"/>
      </w:r>
      <w:r w:rsidRPr="00BF719D">
        <w:rPr>
          <w:sz w:val="24"/>
          <w:szCs w:val="24"/>
        </w:rPr>
        <w:t>. Due to the independence of the teams they are evaluated separately.</w:t>
      </w:r>
      <w:r w:rsidR="007C2EBC">
        <w:rPr>
          <w:sz w:val="24"/>
          <w:szCs w:val="24"/>
        </w:rPr>
        <w:t xml:space="preserve"> </w:t>
      </w:r>
    </w:p>
    <w:p w14:paraId="14147863" w14:textId="705B1B98" w:rsidR="009157C0" w:rsidRPr="009157C0" w:rsidRDefault="009157C0" w:rsidP="003D71E8">
      <w:pPr>
        <w:spacing w:line="480" w:lineRule="auto"/>
        <w:rPr>
          <w:i/>
          <w:sz w:val="24"/>
          <w:szCs w:val="24"/>
        </w:rPr>
      </w:pPr>
      <w:r>
        <w:rPr>
          <w:i/>
          <w:sz w:val="24"/>
          <w:szCs w:val="24"/>
        </w:rPr>
        <w:t>[Table 1 here]</w:t>
      </w:r>
    </w:p>
    <w:p w14:paraId="64DADAA4" w14:textId="33FED486" w:rsidR="000443C8" w:rsidRDefault="00E451D2" w:rsidP="003D71E8">
      <w:pPr>
        <w:spacing w:line="480" w:lineRule="auto"/>
        <w:rPr>
          <w:sz w:val="24"/>
          <w:szCs w:val="24"/>
        </w:rPr>
      </w:pPr>
      <w:r>
        <w:rPr>
          <w:i/>
          <w:sz w:val="24"/>
          <w:szCs w:val="24"/>
        </w:rPr>
        <w:t>Data Collection</w:t>
      </w:r>
    </w:p>
    <w:p w14:paraId="6496AC3E" w14:textId="0589F26C" w:rsidR="00372C2E" w:rsidRPr="00190138" w:rsidRDefault="00372C2E" w:rsidP="003D71E8">
      <w:pPr>
        <w:spacing w:line="480" w:lineRule="auto"/>
        <w:rPr>
          <w:sz w:val="24"/>
          <w:szCs w:val="24"/>
        </w:rPr>
      </w:pPr>
      <w:r>
        <w:rPr>
          <w:sz w:val="24"/>
          <w:szCs w:val="24"/>
        </w:rPr>
        <w:t xml:space="preserve">The total number of bed days </w:t>
      </w:r>
      <w:r w:rsidR="001756E1" w:rsidRPr="00190138">
        <w:rPr>
          <w:sz w:val="24"/>
          <w:szCs w:val="24"/>
        </w:rPr>
        <w:t>w</w:t>
      </w:r>
      <w:r w:rsidR="00EE0CD6">
        <w:rPr>
          <w:sz w:val="24"/>
          <w:szCs w:val="24"/>
        </w:rPr>
        <w:t>ere</w:t>
      </w:r>
      <w:r w:rsidR="001756E1" w:rsidRPr="00190138">
        <w:rPr>
          <w:sz w:val="24"/>
          <w:szCs w:val="24"/>
        </w:rPr>
        <w:t xml:space="preserve"> extracted for children </w:t>
      </w:r>
      <w:r w:rsidR="00EE0CD6">
        <w:rPr>
          <w:sz w:val="24"/>
          <w:szCs w:val="24"/>
        </w:rPr>
        <w:t xml:space="preserve">aged </w:t>
      </w:r>
      <w:r w:rsidR="001756E1" w:rsidRPr="00190138">
        <w:rPr>
          <w:sz w:val="24"/>
          <w:szCs w:val="24"/>
        </w:rPr>
        <w:t>between</w:t>
      </w:r>
      <w:r w:rsidR="00B11085" w:rsidRPr="00190138">
        <w:rPr>
          <w:sz w:val="24"/>
          <w:szCs w:val="24"/>
        </w:rPr>
        <w:t xml:space="preserve"> 14 days and 15 years inclusive</w:t>
      </w:r>
      <w:r>
        <w:rPr>
          <w:sz w:val="24"/>
          <w:szCs w:val="24"/>
        </w:rPr>
        <w:t xml:space="preserve"> from </w:t>
      </w:r>
      <w:r w:rsidR="00FE5950">
        <w:rPr>
          <w:sz w:val="24"/>
          <w:szCs w:val="24"/>
        </w:rPr>
        <w:t>the Hospital Episode Statistics (</w:t>
      </w:r>
      <w:r>
        <w:rPr>
          <w:sz w:val="24"/>
          <w:szCs w:val="24"/>
        </w:rPr>
        <w:t>HES</w:t>
      </w:r>
      <w:r w:rsidR="00FE5950">
        <w:rPr>
          <w:sz w:val="24"/>
          <w:szCs w:val="24"/>
        </w:rPr>
        <w:t>) dataset</w:t>
      </w:r>
      <w:r>
        <w:rPr>
          <w:sz w:val="24"/>
          <w:szCs w:val="24"/>
        </w:rPr>
        <w:t xml:space="preserve">. The </w:t>
      </w:r>
      <w:r w:rsidR="00B11085" w:rsidRPr="00190138">
        <w:rPr>
          <w:sz w:val="24"/>
          <w:szCs w:val="24"/>
        </w:rPr>
        <w:t>total b</w:t>
      </w:r>
      <w:r w:rsidR="001756E1" w:rsidRPr="00190138">
        <w:rPr>
          <w:sz w:val="24"/>
          <w:szCs w:val="24"/>
        </w:rPr>
        <w:t xml:space="preserve">ed days per 100,000 </w:t>
      </w:r>
      <w:r w:rsidR="00CF31AE">
        <w:rPr>
          <w:sz w:val="24"/>
          <w:szCs w:val="24"/>
        </w:rPr>
        <w:t xml:space="preserve">population </w:t>
      </w:r>
      <w:r w:rsidR="001756E1" w:rsidRPr="00190138">
        <w:rPr>
          <w:sz w:val="24"/>
          <w:szCs w:val="24"/>
        </w:rPr>
        <w:t xml:space="preserve">were calculated by taking the total number of bed days in each month and divided </w:t>
      </w:r>
      <w:r w:rsidR="00EE0CD6">
        <w:rPr>
          <w:sz w:val="24"/>
          <w:szCs w:val="24"/>
        </w:rPr>
        <w:t xml:space="preserve">this </w:t>
      </w:r>
      <w:r w:rsidR="001756E1" w:rsidRPr="00190138">
        <w:rPr>
          <w:sz w:val="24"/>
          <w:szCs w:val="24"/>
        </w:rPr>
        <w:t>by appropriate ONS mid-year population estimates for</w:t>
      </w:r>
      <w:r w:rsidR="000C4ADA">
        <w:rPr>
          <w:sz w:val="24"/>
          <w:szCs w:val="24"/>
        </w:rPr>
        <w:t xml:space="preserve"> </w:t>
      </w:r>
      <w:r w:rsidR="00CF31AE">
        <w:rPr>
          <w:sz w:val="24"/>
          <w:szCs w:val="24"/>
        </w:rPr>
        <w:t>the PCTs</w:t>
      </w:r>
      <w:r w:rsidR="001756E1" w:rsidRPr="00190138">
        <w:rPr>
          <w:sz w:val="24"/>
          <w:szCs w:val="24"/>
        </w:rPr>
        <w:t xml:space="preserve">, multiplied by 100,000. </w:t>
      </w:r>
      <w:r w:rsidRPr="00190138">
        <w:rPr>
          <w:sz w:val="24"/>
          <w:szCs w:val="24"/>
        </w:rPr>
        <w:t>Additional data w</w:t>
      </w:r>
      <w:r>
        <w:rPr>
          <w:sz w:val="24"/>
          <w:szCs w:val="24"/>
        </w:rPr>
        <w:t>ere</w:t>
      </w:r>
      <w:r w:rsidRPr="00190138">
        <w:rPr>
          <w:sz w:val="24"/>
          <w:szCs w:val="24"/>
        </w:rPr>
        <w:t xml:space="preserve"> extracted and evaluated around average length of stay, </w:t>
      </w:r>
      <w:r w:rsidRPr="00190138">
        <w:rPr>
          <w:sz w:val="24"/>
          <w:szCs w:val="24"/>
        </w:rPr>
        <w:lastRenderedPageBreak/>
        <w:t>admissions, complex care conditions and a range of sub-group analyses which are not the primary focus of th</w:t>
      </w:r>
      <w:r w:rsidR="00BF719D">
        <w:rPr>
          <w:sz w:val="24"/>
          <w:szCs w:val="24"/>
        </w:rPr>
        <w:t>is paper and reported elsewhere</w:t>
      </w:r>
      <w:r w:rsidRPr="00190138">
        <w:rPr>
          <w:sz w:val="24"/>
          <w:szCs w:val="24"/>
        </w:rPr>
        <w:t>.</w:t>
      </w:r>
      <w:r w:rsidR="00BF719D">
        <w:rPr>
          <w:sz w:val="24"/>
          <w:szCs w:val="24"/>
        </w:rPr>
        <w:fldChar w:fldCharType="begin"/>
      </w:r>
      <w:r w:rsidR="0039657B">
        <w:rPr>
          <w:sz w:val="24"/>
          <w:szCs w:val="24"/>
        </w:rPr>
        <w:instrText xml:space="preserve"> ADDIN EN.CITE &lt;EndNote&gt;&lt;Cite&gt;&lt;Author&gt;Spiers G&lt;/Author&gt;&lt;Year&gt;2016&lt;/Year&gt;&lt;RecNum&gt;10&lt;/RecNum&gt;&lt;DisplayText&gt;&lt;style face="superscript"&gt;6&lt;/style&gt;&lt;/DisplayText&gt;&lt;record&gt;&lt;rec-number&gt;10&lt;/rec-number&gt;&lt;foreign-keys&gt;&lt;key app="EN" db-id="9azrasfx7e2dvkerwz7p5ds19vtv9ptrpwtd" timestamp="1465485669"&gt;10&lt;/key&gt;&lt;/foreign-keys&gt;&lt;ref-type name="Journal Article"&gt;17&lt;/ref-type&gt;&lt;contributors&gt;&lt;authors&gt;&lt;author&gt;Spiers G, &lt;/author&gt;&lt;author&gt;Allgar V, &lt;/author&gt;&lt;author&gt;Richardson G, &lt;/author&gt;&lt;author&gt;Thurland K, &lt;/author&gt;&lt;author&gt;Hinde S, &lt;/author&gt;&lt;author&gt;Birks Y, &lt;/author&gt;&lt;author&gt;Gridley K, &lt;/author&gt;&lt;author&gt;Duncan H, &lt;/author&gt;&lt;author&gt;Clarke S, &lt;/author&gt;&lt;author&gt;Cusworth L, &lt;/author&gt;&lt;author&gt;Parker G. &lt;/author&gt;&lt;/authors&gt;&lt;/contributors&gt;&lt;titles&gt;&lt;title&gt;Transforming Community Health Services for Children and Young People who are Ill: A Quasi-Experimental Evaluation&lt;/title&gt;&lt;secondary-title&gt;HS&amp;amp;DR &lt;/secondary-title&gt;&lt;/titles&gt;&lt;periodical&gt;&lt;full-title&gt;HS&amp;amp;DR&lt;/full-title&gt;&lt;/periodical&gt;&lt;volume&gt;4&lt;/volume&gt;&lt;number&gt;25&lt;/number&gt;&lt;dates&gt;&lt;year&gt;2016&lt;/year&gt;&lt;/dates&gt;&lt;urls&gt;&lt;/urls&gt;&lt;/record&gt;&lt;/Cite&gt;&lt;/EndNote&gt;</w:instrText>
      </w:r>
      <w:r w:rsidR="00BF719D">
        <w:rPr>
          <w:sz w:val="24"/>
          <w:szCs w:val="24"/>
        </w:rPr>
        <w:fldChar w:fldCharType="separate"/>
      </w:r>
      <w:r w:rsidR="0039657B" w:rsidRPr="0039657B">
        <w:rPr>
          <w:noProof/>
          <w:sz w:val="24"/>
          <w:szCs w:val="24"/>
          <w:vertAlign w:val="superscript"/>
        </w:rPr>
        <w:t>6</w:t>
      </w:r>
      <w:r w:rsidR="00BF719D">
        <w:rPr>
          <w:sz w:val="24"/>
          <w:szCs w:val="24"/>
        </w:rPr>
        <w:fldChar w:fldCharType="end"/>
      </w:r>
    </w:p>
    <w:p w14:paraId="08CF3363" w14:textId="3274AE73" w:rsidR="00AC1D9B" w:rsidRDefault="00AC1D9B" w:rsidP="003D71E8">
      <w:pPr>
        <w:spacing w:line="480" w:lineRule="auto"/>
        <w:rPr>
          <w:sz w:val="24"/>
          <w:szCs w:val="24"/>
        </w:rPr>
      </w:pPr>
      <w:r w:rsidRPr="00190138">
        <w:rPr>
          <w:sz w:val="24"/>
          <w:szCs w:val="24"/>
        </w:rPr>
        <w:t xml:space="preserve">Data were extracted for each site for at least two years before and at least two years after the intervention in order to minimize the effect of seasonal variation. Early analysis indicated that there were serious discontinuities in the HES data before April 2006, </w:t>
      </w:r>
      <w:r w:rsidR="00F50C00">
        <w:rPr>
          <w:sz w:val="24"/>
          <w:szCs w:val="24"/>
        </w:rPr>
        <w:t xml:space="preserve">which may be </w:t>
      </w:r>
      <w:r w:rsidRPr="00190138">
        <w:rPr>
          <w:sz w:val="24"/>
          <w:szCs w:val="24"/>
        </w:rPr>
        <w:t>due to introduction of Payment by Results</w:t>
      </w:r>
      <w:r w:rsidR="00F50C00">
        <w:rPr>
          <w:sz w:val="24"/>
          <w:szCs w:val="24"/>
        </w:rPr>
        <w:t xml:space="preserve">. Therefore, </w:t>
      </w:r>
      <w:r w:rsidRPr="00190138">
        <w:rPr>
          <w:sz w:val="24"/>
          <w:szCs w:val="24"/>
        </w:rPr>
        <w:t>no data were extracted before this date. Data were extracted up to March 2013</w:t>
      </w:r>
      <w:r w:rsidR="00372C2E">
        <w:rPr>
          <w:sz w:val="24"/>
          <w:szCs w:val="24"/>
        </w:rPr>
        <w:t>.</w:t>
      </w:r>
    </w:p>
    <w:p w14:paraId="2BA2DD08" w14:textId="2F96C146" w:rsidR="002A694D" w:rsidRPr="002A694D" w:rsidRDefault="002A694D" w:rsidP="003D71E8">
      <w:pPr>
        <w:spacing w:line="480" w:lineRule="auto"/>
        <w:rPr>
          <w:sz w:val="24"/>
          <w:szCs w:val="24"/>
        </w:rPr>
      </w:pPr>
      <w:r>
        <w:rPr>
          <w:sz w:val="24"/>
          <w:szCs w:val="24"/>
        </w:rPr>
        <w:t>Data to inform the cost analysis were drawn f</w:t>
      </w:r>
      <w:r w:rsidR="00187C0D">
        <w:rPr>
          <w:sz w:val="24"/>
          <w:szCs w:val="24"/>
        </w:rPr>
        <w:t>r</w:t>
      </w:r>
      <w:r>
        <w:rPr>
          <w:sz w:val="24"/>
          <w:szCs w:val="24"/>
        </w:rPr>
        <w:t xml:space="preserve">om a number of sources. </w:t>
      </w:r>
      <w:r w:rsidR="00CF31AE">
        <w:rPr>
          <w:sz w:val="24"/>
          <w:szCs w:val="24"/>
        </w:rPr>
        <w:t>The</w:t>
      </w:r>
      <w:r>
        <w:rPr>
          <w:sz w:val="24"/>
          <w:szCs w:val="24"/>
        </w:rPr>
        <w:t xml:space="preserve"> makeup (and therefore cost) of the CCN teams w</w:t>
      </w:r>
      <w:r w:rsidR="007F6216">
        <w:rPr>
          <w:sz w:val="24"/>
          <w:szCs w:val="24"/>
        </w:rPr>
        <w:t>ere taken</w:t>
      </w:r>
      <w:r>
        <w:rPr>
          <w:sz w:val="24"/>
          <w:szCs w:val="24"/>
        </w:rPr>
        <w:t xml:space="preserve"> from questionnaires completed by the teams at a number of time-points throughout the analysis</w:t>
      </w:r>
      <w:r w:rsidR="00CF31AE">
        <w:rPr>
          <w:sz w:val="24"/>
          <w:szCs w:val="24"/>
        </w:rPr>
        <w:t>.</w:t>
      </w:r>
      <w:r>
        <w:rPr>
          <w:sz w:val="24"/>
          <w:szCs w:val="24"/>
        </w:rPr>
        <w:t xml:space="preserve">  Unit costs for both parts of the costing analysis were drawn from published estimates, including the Unit Costs of Health &amp; Social Care volume</w:t>
      </w:r>
      <w:r w:rsidR="00BF719D">
        <w:rPr>
          <w:sz w:val="24"/>
          <w:szCs w:val="24"/>
        </w:rPr>
        <w:fldChar w:fldCharType="begin"/>
      </w:r>
      <w:r w:rsidR="0039657B">
        <w:rPr>
          <w:sz w:val="24"/>
          <w:szCs w:val="24"/>
        </w:rPr>
        <w:instrText xml:space="preserve"> ADDIN EN.CITE &lt;EndNote&gt;&lt;Cite&gt;&lt;Author&gt;PSSRU&lt;/Author&gt;&lt;Year&gt;2013&lt;/Year&gt;&lt;RecNum&gt;4&lt;/RecNum&gt;&lt;DisplayText&gt;&lt;style face="superscript"&gt;7&lt;/style&gt;&lt;/DisplayText&gt;&lt;record&gt;&lt;rec-number&gt;4&lt;/rec-number&gt;&lt;foreign-keys&gt;&lt;key app="EN" db-id="9azrasfx7e2dvkerwz7p5ds19vtv9ptrpwtd" timestamp="1433320310"&gt;4&lt;/key&gt;&lt;/foreign-keys&gt;&lt;ref-type name="Journal Article"&gt;17&lt;/ref-type&gt;&lt;contributors&gt;&lt;authors&gt;&lt;author&gt;PSSRU&lt;/author&gt;&lt;/authors&gt;&lt;/contributors&gt;&lt;titles&gt;&lt;title&gt;Unit Costs of Health &amp;amp; Social Care 2013&lt;/title&gt;&lt;secondary-title&gt;PSSRY: University of Kent&lt;/secondary-title&gt;&lt;/titles&gt;&lt;periodical&gt;&lt;full-title&gt;PSSRY: University of Kent&lt;/full-title&gt;&lt;/periodical&gt;&lt;dates&gt;&lt;year&gt;2013&lt;/year&gt;&lt;/dates&gt;&lt;urls&gt;&lt;/urls&gt;&lt;/record&gt;&lt;/Cite&gt;&lt;/EndNote&gt;</w:instrText>
      </w:r>
      <w:r w:rsidR="00BF719D">
        <w:rPr>
          <w:sz w:val="24"/>
          <w:szCs w:val="24"/>
        </w:rPr>
        <w:fldChar w:fldCharType="separate"/>
      </w:r>
      <w:r w:rsidR="0039657B" w:rsidRPr="0039657B">
        <w:rPr>
          <w:noProof/>
          <w:sz w:val="24"/>
          <w:szCs w:val="24"/>
          <w:vertAlign w:val="superscript"/>
        </w:rPr>
        <w:t>7</w:t>
      </w:r>
      <w:r w:rsidR="00BF719D">
        <w:rPr>
          <w:sz w:val="24"/>
          <w:szCs w:val="24"/>
        </w:rPr>
        <w:fldChar w:fldCharType="end"/>
      </w:r>
      <w:r w:rsidR="00BF719D">
        <w:rPr>
          <w:sz w:val="24"/>
          <w:szCs w:val="24"/>
        </w:rPr>
        <w:t xml:space="preserve"> and the NHS Reference Costs.</w:t>
      </w:r>
      <w:r w:rsidR="00BF719D">
        <w:rPr>
          <w:sz w:val="24"/>
          <w:szCs w:val="24"/>
        </w:rPr>
        <w:fldChar w:fldCharType="begin"/>
      </w:r>
      <w:r w:rsidR="0039657B">
        <w:rPr>
          <w:sz w:val="24"/>
          <w:szCs w:val="24"/>
        </w:rPr>
        <w:instrText xml:space="preserve"> ADDIN EN.CITE &lt;EndNote&gt;&lt;Cite&gt;&lt;Author&gt;Department of Health&lt;/Author&gt;&lt;Year&gt;2013&lt;/Year&gt;&lt;RecNum&gt;3&lt;/RecNum&gt;&lt;DisplayText&gt;&lt;style face="superscript"&gt;8&lt;/style&gt;&lt;/DisplayText&gt;&lt;record&gt;&lt;rec-number&gt;3&lt;/rec-number&gt;&lt;foreign-keys&gt;&lt;key app="EN" db-id="9azrasfx7e2dvkerwz7p5ds19vtv9ptrpwtd" timestamp="1433320146"&gt;3&lt;/key&gt;&lt;/foreign-keys&gt;&lt;ref-type name="Journal Article"&gt;17&lt;/ref-type&gt;&lt;contributors&gt;&lt;authors&gt;&lt;author&gt;Department of Health,&lt;/author&gt;&lt;/authors&gt;&lt;/contributors&gt;&lt;titles&gt;&lt;title&gt;2012-13 national schedule of reference costs&lt;/title&gt;&lt;secondary-title&gt;Department of Health: London&lt;/secondary-title&gt;&lt;/titles&gt;&lt;periodical&gt;&lt;full-title&gt;Department of Health: London&lt;/full-title&gt;&lt;/periodical&gt;&lt;dates&gt;&lt;year&gt;2013&lt;/year&gt;&lt;/dates&gt;&lt;urls&gt;&lt;/urls&gt;&lt;/record&gt;&lt;/Cite&gt;&lt;/EndNote&gt;</w:instrText>
      </w:r>
      <w:r w:rsidR="00BF719D">
        <w:rPr>
          <w:sz w:val="24"/>
          <w:szCs w:val="24"/>
        </w:rPr>
        <w:fldChar w:fldCharType="separate"/>
      </w:r>
      <w:r w:rsidR="0039657B" w:rsidRPr="0039657B">
        <w:rPr>
          <w:noProof/>
          <w:sz w:val="24"/>
          <w:szCs w:val="24"/>
          <w:vertAlign w:val="superscript"/>
        </w:rPr>
        <w:t>8</w:t>
      </w:r>
      <w:r w:rsidR="00BF719D">
        <w:rPr>
          <w:sz w:val="24"/>
          <w:szCs w:val="24"/>
        </w:rPr>
        <w:fldChar w:fldCharType="end"/>
      </w:r>
    </w:p>
    <w:p w14:paraId="1FB86FDC" w14:textId="5A87A1CC" w:rsidR="000774A0" w:rsidRDefault="00AE578E" w:rsidP="003D71E8">
      <w:pPr>
        <w:spacing w:line="480" w:lineRule="auto"/>
        <w:rPr>
          <w:sz w:val="24"/>
          <w:szCs w:val="24"/>
        </w:rPr>
      </w:pPr>
      <w:r>
        <w:rPr>
          <w:i/>
          <w:sz w:val="24"/>
          <w:szCs w:val="24"/>
        </w:rPr>
        <w:t>Ethical Considerations</w:t>
      </w:r>
    </w:p>
    <w:p w14:paraId="20570739" w14:textId="01694D18" w:rsidR="00AE578E" w:rsidRPr="00AE578E" w:rsidRDefault="00AE578E" w:rsidP="003D71E8">
      <w:pPr>
        <w:spacing w:line="480" w:lineRule="auto"/>
        <w:rPr>
          <w:sz w:val="24"/>
          <w:szCs w:val="24"/>
        </w:rPr>
      </w:pPr>
      <w:r w:rsidRPr="00AE578E">
        <w:rPr>
          <w:sz w:val="24"/>
          <w:szCs w:val="24"/>
        </w:rPr>
        <w:t>The study was approved by an NHS ethics committee in 2012, and all relevant local governance approvals obtained.</w:t>
      </w:r>
      <w:r w:rsidR="004E6629">
        <w:rPr>
          <w:sz w:val="24"/>
          <w:szCs w:val="24"/>
        </w:rPr>
        <w:t xml:space="preserve">  </w:t>
      </w:r>
    </w:p>
    <w:p w14:paraId="5FF4C3CC" w14:textId="14EB3E0F" w:rsidR="00E451D2" w:rsidRPr="000774A0" w:rsidRDefault="000774A0" w:rsidP="003D71E8">
      <w:pPr>
        <w:spacing w:line="480" w:lineRule="auto"/>
        <w:rPr>
          <w:i/>
          <w:sz w:val="24"/>
          <w:szCs w:val="24"/>
        </w:rPr>
      </w:pPr>
      <w:r>
        <w:rPr>
          <w:i/>
          <w:sz w:val="24"/>
          <w:szCs w:val="24"/>
        </w:rPr>
        <w:t>Data Analysis</w:t>
      </w:r>
    </w:p>
    <w:p w14:paraId="30B0C70C" w14:textId="08D0E6C9" w:rsidR="000774A0" w:rsidRPr="000774A0" w:rsidRDefault="000774A0" w:rsidP="003D71E8">
      <w:pPr>
        <w:spacing w:line="480" w:lineRule="auto"/>
        <w:rPr>
          <w:i/>
          <w:sz w:val="24"/>
          <w:szCs w:val="24"/>
        </w:rPr>
      </w:pPr>
      <w:proofErr w:type="gramStart"/>
      <w:r w:rsidRPr="000774A0">
        <w:rPr>
          <w:i/>
          <w:sz w:val="24"/>
          <w:szCs w:val="24"/>
        </w:rPr>
        <w:t>ITS</w:t>
      </w:r>
      <w:proofErr w:type="gramEnd"/>
      <w:r w:rsidRPr="000774A0">
        <w:rPr>
          <w:i/>
          <w:sz w:val="24"/>
          <w:szCs w:val="24"/>
        </w:rPr>
        <w:t xml:space="preserve"> Analysis</w:t>
      </w:r>
    </w:p>
    <w:p w14:paraId="2026BEF3" w14:textId="77777777" w:rsidR="000774A0" w:rsidRDefault="000774A0" w:rsidP="003D71E8">
      <w:pPr>
        <w:spacing w:line="480" w:lineRule="auto"/>
        <w:rPr>
          <w:sz w:val="24"/>
          <w:szCs w:val="24"/>
        </w:rPr>
      </w:pPr>
      <w:r w:rsidRPr="00190138">
        <w:rPr>
          <w:sz w:val="24"/>
          <w:szCs w:val="24"/>
        </w:rPr>
        <w:t xml:space="preserve">The ITS analytical approach taken is shown in </w:t>
      </w:r>
      <w:r w:rsidRPr="00BF719D">
        <w:rPr>
          <w:sz w:val="24"/>
          <w:szCs w:val="24"/>
        </w:rPr>
        <w:fldChar w:fldCharType="begin"/>
      </w:r>
      <w:r w:rsidRPr="00BF719D">
        <w:rPr>
          <w:sz w:val="24"/>
          <w:szCs w:val="24"/>
        </w:rPr>
        <w:instrText xml:space="preserve"> REF _Ref439843090 \h  \* MERGEFORMAT </w:instrText>
      </w:r>
      <w:r w:rsidRPr="00BF719D">
        <w:rPr>
          <w:sz w:val="24"/>
          <w:szCs w:val="24"/>
        </w:rPr>
      </w:r>
      <w:r w:rsidRPr="00BF719D">
        <w:rPr>
          <w:sz w:val="24"/>
          <w:szCs w:val="24"/>
        </w:rPr>
        <w:fldChar w:fldCharType="separate"/>
      </w:r>
      <w:r w:rsidR="00CF31AE" w:rsidRPr="00CF31AE">
        <w:rPr>
          <w:sz w:val="24"/>
          <w:szCs w:val="24"/>
        </w:rPr>
        <w:t xml:space="preserve">Figure </w:t>
      </w:r>
      <w:r w:rsidR="00CF31AE" w:rsidRPr="00CF31AE">
        <w:rPr>
          <w:noProof/>
          <w:sz w:val="24"/>
          <w:szCs w:val="24"/>
        </w:rPr>
        <w:t>1</w:t>
      </w:r>
      <w:r w:rsidRPr="00BF719D">
        <w:rPr>
          <w:sz w:val="24"/>
          <w:szCs w:val="24"/>
        </w:rPr>
        <w:fldChar w:fldCharType="end"/>
      </w:r>
      <w:r w:rsidRPr="00BF719D">
        <w:rPr>
          <w:sz w:val="24"/>
          <w:szCs w:val="24"/>
        </w:rPr>
        <w:t>.  The an</w:t>
      </w:r>
      <w:r w:rsidRPr="00190138">
        <w:rPr>
          <w:sz w:val="24"/>
          <w:szCs w:val="24"/>
        </w:rPr>
        <w:t xml:space="preserve">alysis assumes that the historic control period is indicative of some fixed underlying trend (positive, negative or flat) that would occur without the introduction of the CCN team in that area.  At the point of introduction there is hypothesised to be some step change in the level of activity in the outcome of interest, after which (in the post-intervention period) there is a potential change </w:t>
      </w:r>
      <w:r w:rsidRPr="00190138">
        <w:rPr>
          <w:sz w:val="24"/>
          <w:szCs w:val="24"/>
        </w:rPr>
        <w:lastRenderedPageBreak/>
        <w:t>in the slope of the trend line.  This approach allows the intervention to impact both the level of outcome at the point of intervention (the ‘change in level’) and the trend in the outcome over time (the ‘change in slope’).</w:t>
      </w:r>
    </w:p>
    <w:p w14:paraId="14F7BB12" w14:textId="1934EDCF" w:rsidR="009157C0" w:rsidRPr="009157C0" w:rsidRDefault="009157C0" w:rsidP="003D71E8">
      <w:pPr>
        <w:spacing w:line="480" w:lineRule="auto"/>
        <w:rPr>
          <w:i/>
          <w:sz w:val="24"/>
          <w:szCs w:val="24"/>
        </w:rPr>
      </w:pPr>
      <w:r>
        <w:rPr>
          <w:i/>
          <w:sz w:val="24"/>
          <w:szCs w:val="24"/>
        </w:rPr>
        <w:t>[Figure 1 here]</w:t>
      </w:r>
    </w:p>
    <w:p w14:paraId="410E2759" w14:textId="4DB20430" w:rsidR="001B7690" w:rsidRPr="000774A0" w:rsidRDefault="001B7690" w:rsidP="003D71E8">
      <w:pPr>
        <w:spacing w:line="480" w:lineRule="auto"/>
        <w:rPr>
          <w:i/>
          <w:sz w:val="24"/>
          <w:szCs w:val="24"/>
        </w:rPr>
      </w:pPr>
      <w:r w:rsidRPr="000774A0">
        <w:rPr>
          <w:i/>
          <w:sz w:val="24"/>
          <w:szCs w:val="24"/>
        </w:rPr>
        <w:t>Cost analysis methods</w:t>
      </w:r>
    </w:p>
    <w:p w14:paraId="036EF9D4" w14:textId="2FF00211" w:rsidR="004F27FB" w:rsidRDefault="004E282F" w:rsidP="003D71E8">
      <w:pPr>
        <w:spacing w:line="480" w:lineRule="auto"/>
        <w:rPr>
          <w:sz w:val="24"/>
          <w:szCs w:val="24"/>
        </w:rPr>
      </w:pPr>
      <w:r w:rsidRPr="00190138">
        <w:rPr>
          <w:sz w:val="24"/>
          <w:szCs w:val="24"/>
        </w:rPr>
        <w:t xml:space="preserve">The </w:t>
      </w:r>
      <w:r w:rsidR="00CA6CC3" w:rsidRPr="00190138">
        <w:rPr>
          <w:sz w:val="24"/>
          <w:szCs w:val="24"/>
        </w:rPr>
        <w:t xml:space="preserve">costing </w:t>
      </w:r>
      <w:r w:rsidRPr="00190138">
        <w:rPr>
          <w:sz w:val="24"/>
          <w:szCs w:val="24"/>
        </w:rPr>
        <w:t xml:space="preserve">analysis takes the perspective of the NHS and Personal Social Services (PSS), with all costs being discounted at a rate of 3.5% per annum, </w:t>
      </w:r>
      <w:r w:rsidR="000774A0">
        <w:rPr>
          <w:sz w:val="24"/>
          <w:szCs w:val="24"/>
        </w:rPr>
        <w:t>such that future costs and benefits are given less weight in the a</w:t>
      </w:r>
      <w:r w:rsidR="00BF719D">
        <w:rPr>
          <w:sz w:val="24"/>
          <w:szCs w:val="24"/>
        </w:rPr>
        <w:t>nalysis than contemporary ones</w:t>
      </w:r>
      <w:r w:rsidRPr="00190138">
        <w:rPr>
          <w:sz w:val="24"/>
          <w:szCs w:val="24"/>
        </w:rPr>
        <w:t>.</w:t>
      </w:r>
      <w:r w:rsidR="00BF719D">
        <w:rPr>
          <w:sz w:val="24"/>
          <w:szCs w:val="24"/>
        </w:rPr>
        <w:fldChar w:fldCharType="begin"/>
      </w:r>
      <w:r w:rsidR="0039657B">
        <w:rPr>
          <w:sz w:val="24"/>
          <w:szCs w:val="24"/>
        </w:rPr>
        <w:instrText xml:space="preserve"> ADDIN EN.CITE &lt;EndNote&gt;&lt;Cite&gt;&lt;Author&gt;NICE&lt;/Author&gt;&lt;Year&gt;2013&lt;/Year&gt;&lt;RecNum&gt;1&lt;/RecNum&gt;&lt;DisplayText&gt;&lt;style face="superscript"&gt;9&lt;/style&gt;&lt;/DisplayText&gt;&lt;record&gt;&lt;rec-number&gt;1&lt;/rec-number&gt;&lt;foreign-keys&gt;&lt;key app="EN" db-id="9azrasfx7e2dvkerwz7p5ds19vtv9ptrpwtd" timestamp="1433320093"&gt;1&lt;/key&gt;&lt;/foreign-keys&gt;&lt;ref-type name="Journal Article"&gt;17&lt;/ref-type&gt;&lt;contributors&gt;&lt;authors&gt;&lt;author&gt;NICE&lt;/author&gt;&lt;/authors&gt;&lt;/contributors&gt;&lt;titles&gt;&lt;title&gt;Guide to the methods of technology appraisal&lt;/title&gt;&lt;/titles&gt;&lt;dates&gt;&lt;year&gt;2013&lt;/year&gt;&lt;/dates&gt;&lt;urls&gt;&lt;/urls&gt;&lt;/record&gt;&lt;/Cite&gt;&lt;/EndNote&gt;</w:instrText>
      </w:r>
      <w:r w:rsidR="00BF719D">
        <w:rPr>
          <w:sz w:val="24"/>
          <w:szCs w:val="24"/>
        </w:rPr>
        <w:fldChar w:fldCharType="separate"/>
      </w:r>
      <w:r w:rsidR="0039657B" w:rsidRPr="0039657B">
        <w:rPr>
          <w:noProof/>
          <w:sz w:val="24"/>
          <w:szCs w:val="24"/>
          <w:vertAlign w:val="superscript"/>
        </w:rPr>
        <w:t>9</w:t>
      </w:r>
      <w:r w:rsidR="00BF719D">
        <w:rPr>
          <w:sz w:val="24"/>
          <w:szCs w:val="24"/>
        </w:rPr>
        <w:fldChar w:fldCharType="end"/>
      </w:r>
      <w:r w:rsidR="00190138" w:rsidRPr="00190138">
        <w:rPr>
          <w:sz w:val="24"/>
          <w:szCs w:val="24"/>
        </w:rPr>
        <w:t xml:space="preserve"> </w:t>
      </w:r>
      <w:r w:rsidRPr="00190138">
        <w:rPr>
          <w:sz w:val="24"/>
          <w:szCs w:val="24"/>
        </w:rPr>
        <w:t xml:space="preserve">As with the ITS analysis, the costing analysis </w:t>
      </w:r>
      <w:r w:rsidR="00CA6CC3" w:rsidRPr="00190138">
        <w:rPr>
          <w:sz w:val="24"/>
          <w:szCs w:val="24"/>
        </w:rPr>
        <w:t>were</w:t>
      </w:r>
      <w:r w:rsidRPr="00190138">
        <w:rPr>
          <w:sz w:val="24"/>
          <w:szCs w:val="24"/>
        </w:rPr>
        <w:t xml:space="preserve"> conducted </w:t>
      </w:r>
      <w:r w:rsidR="00F50C00">
        <w:rPr>
          <w:sz w:val="24"/>
          <w:szCs w:val="24"/>
        </w:rPr>
        <w:t>for each team individually</w:t>
      </w:r>
      <w:r w:rsidR="00CF31AE">
        <w:rPr>
          <w:sz w:val="24"/>
          <w:szCs w:val="24"/>
        </w:rPr>
        <w:t>.</w:t>
      </w:r>
      <w:r w:rsidR="004F27FB">
        <w:rPr>
          <w:sz w:val="24"/>
          <w:szCs w:val="24"/>
        </w:rPr>
        <w:t xml:space="preserve">  This analysis is used to estimate </w:t>
      </w:r>
      <w:r w:rsidR="00164281">
        <w:rPr>
          <w:sz w:val="24"/>
          <w:szCs w:val="24"/>
        </w:rPr>
        <w:t xml:space="preserve">whether </w:t>
      </w:r>
      <w:r w:rsidR="004F27FB">
        <w:rPr>
          <w:sz w:val="24"/>
          <w:szCs w:val="24"/>
        </w:rPr>
        <w:t xml:space="preserve">the introduction of the CCN teams represented a cost-saving to the NHS i.e. the cost of </w:t>
      </w:r>
      <w:r w:rsidR="00164281">
        <w:rPr>
          <w:sz w:val="24"/>
          <w:szCs w:val="24"/>
        </w:rPr>
        <w:t xml:space="preserve">having a team in place (part 1 below) </w:t>
      </w:r>
      <w:r w:rsidR="004F27FB">
        <w:rPr>
          <w:sz w:val="24"/>
          <w:szCs w:val="24"/>
        </w:rPr>
        <w:t>was offset by the cost saving from a reduction in bed days</w:t>
      </w:r>
      <w:r w:rsidR="00164281">
        <w:rPr>
          <w:sz w:val="24"/>
          <w:szCs w:val="24"/>
        </w:rPr>
        <w:t xml:space="preserve"> (part 2 below).</w:t>
      </w:r>
    </w:p>
    <w:p w14:paraId="5C171FD2" w14:textId="794AEC30" w:rsidR="00F2786E" w:rsidRPr="00190138" w:rsidRDefault="00F2786E" w:rsidP="003D71E8">
      <w:pPr>
        <w:spacing w:line="480" w:lineRule="auto"/>
        <w:rPr>
          <w:sz w:val="24"/>
          <w:szCs w:val="24"/>
          <w:u w:val="single"/>
        </w:rPr>
      </w:pPr>
      <w:r w:rsidRPr="00190138">
        <w:rPr>
          <w:sz w:val="24"/>
          <w:szCs w:val="24"/>
          <w:u w:val="single"/>
        </w:rPr>
        <w:t>Part 1: the cost to the NHS of having a CCN team in place</w:t>
      </w:r>
    </w:p>
    <w:p w14:paraId="363A7ADA" w14:textId="743AF269" w:rsidR="00F2786E" w:rsidRPr="00190138" w:rsidRDefault="00F2786E" w:rsidP="003D71E8">
      <w:pPr>
        <w:spacing w:line="480" w:lineRule="auto"/>
        <w:rPr>
          <w:sz w:val="24"/>
          <w:szCs w:val="24"/>
        </w:rPr>
      </w:pPr>
      <w:r w:rsidRPr="00190138">
        <w:rPr>
          <w:sz w:val="24"/>
          <w:szCs w:val="24"/>
        </w:rPr>
        <w:t>A ‘bottom up’ costing</w:t>
      </w:r>
      <w:r w:rsidR="0014633D" w:rsidRPr="00190138">
        <w:rPr>
          <w:sz w:val="24"/>
          <w:szCs w:val="24"/>
        </w:rPr>
        <w:t xml:space="preserve"> approach was taken to estimate the cost to the NHS, focussing on the staffing levels of each team.  These are based on three questionnaires completed by each CCN team detailing whole time equivalent (WTE)</w:t>
      </w:r>
      <w:r w:rsidR="00212216" w:rsidRPr="00190138">
        <w:rPr>
          <w:sz w:val="24"/>
          <w:szCs w:val="24"/>
        </w:rPr>
        <w:t>, stratified by band 3 to 8 qualified nurse categories,</w:t>
      </w:r>
      <w:r w:rsidR="0014633D" w:rsidRPr="00190138">
        <w:rPr>
          <w:sz w:val="24"/>
          <w:szCs w:val="24"/>
        </w:rPr>
        <w:t xml:space="preserve"> and estimated distance travelled</w:t>
      </w:r>
      <w:r w:rsidR="00212216" w:rsidRPr="00190138">
        <w:rPr>
          <w:sz w:val="24"/>
          <w:szCs w:val="24"/>
        </w:rPr>
        <w:t xml:space="preserve"> to attend care visits</w:t>
      </w:r>
      <w:r w:rsidR="0014633D" w:rsidRPr="00190138">
        <w:rPr>
          <w:sz w:val="24"/>
          <w:szCs w:val="24"/>
        </w:rPr>
        <w:t>. The estimates across the three questionnaires were averaged to provide a mean team structure per annum across the analysis period.</w:t>
      </w:r>
      <w:r w:rsidR="006A1062" w:rsidRPr="00190138">
        <w:rPr>
          <w:sz w:val="24"/>
          <w:szCs w:val="24"/>
        </w:rPr>
        <w:t xml:space="preserve">  </w:t>
      </w:r>
    </w:p>
    <w:p w14:paraId="6C22D4D1" w14:textId="1472AB12" w:rsidR="00212216" w:rsidRDefault="00212216" w:rsidP="003D71E8">
      <w:pPr>
        <w:spacing w:line="480" w:lineRule="auto"/>
        <w:rPr>
          <w:sz w:val="24"/>
          <w:szCs w:val="24"/>
        </w:rPr>
      </w:pPr>
      <w:r w:rsidRPr="00190138">
        <w:rPr>
          <w:sz w:val="24"/>
          <w:szCs w:val="24"/>
        </w:rPr>
        <w:t>The unit cost</w:t>
      </w:r>
      <w:r w:rsidR="00F50C00">
        <w:rPr>
          <w:sz w:val="24"/>
          <w:szCs w:val="24"/>
        </w:rPr>
        <w:t>s</w:t>
      </w:r>
      <w:r w:rsidRPr="00190138">
        <w:rPr>
          <w:sz w:val="24"/>
          <w:szCs w:val="24"/>
        </w:rPr>
        <w:t xml:space="preserve"> estimated were drawn from the PSSRU reference cost estimates for </w:t>
      </w:r>
      <w:r w:rsidR="0033482F" w:rsidRPr="00190138">
        <w:rPr>
          <w:sz w:val="24"/>
          <w:szCs w:val="24"/>
        </w:rPr>
        <w:t>qualified nurses, and include estimates of non-</w:t>
      </w:r>
      <w:r w:rsidR="00190138">
        <w:rPr>
          <w:sz w:val="24"/>
          <w:szCs w:val="24"/>
        </w:rPr>
        <w:t>salary</w:t>
      </w:r>
      <w:r w:rsidR="0033482F" w:rsidRPr="00190138">
        <w:rPr>
          <w:sz w:val="24"/>
          <w:szCs w:val="24"/>
        </w:rPr>
        <w:t xml:space="preserve"> costs</w:t>
      </w:r>
      <w:r w:rsidR="00190138">
        <w:rPr>
          <w:sz w:val="24"/>
          <w:szCs w:val="24"/>
        </w:rPr>
        <w:t xml:space="preserve"> (e.g. training, provision of offices)</w:t>
      </w:r>
      <w:r w:rsidR="00F50C00">
        <w:rPr>
          <w:sz w:val="24"/>
          <w:szCs w:val="24"/>
        </w:rPr>
        <w:t>.</w:t>
      </w:r>
    </w:p>
    <w:p w14:paraId="0552667C" w14:textId="77777777" w:rsidR="00CF31AE" w:rsidRDefault="00CF31AE" w:rsidP="003D71E8">
      <w:pPr>
        <w:spacing w:line="480" w:lineRule="auto"/>
        <w:rPr>
          <w:sz w:val="24"/>
          <w:szCs w:val="24"/>
          <w:u w:val="single"/>
        </w:rPr>
      </w:pPr>
    </w:p>
    <w:p w14:paraId="54E0484B" w14:textId="261B6F0C" w:rsidR="00593ADB" w:rsidRPr="00190138" w:rsidRDefault="0033482F" w:rsidP="003D71E8">
      <w:pPr>
        <w:spacing w:line="480" w:lineRule="auto"/>
        <w:rPr>
          <w:sz w:val="24"/>
          <w:szCs w:val="24"/>
          <w:u w:val="single"/>
        </w:rPr>
      </w:pPr>
      <w:r w:rsidRPr="00190138">
        <w:rPr>
          <w:sz w:val="24"/>
          <w:szCs w:val="24"/>
          <w:u w:val="single"/>
        </w:rPr>
        <w:lastRenderedPageBreak/>
        <w:t xml:space="preserve">Part 2: The cost implications </w:t>
      </w:r>
      <w:r w:rsidR="00ED29E9">
        <w:rPr>
          <w:sz w:val="24"/>
          <w:szCs w:val="24"/>
          <w:u w:val="single"/>
        </w:rPr>
        <w:t>of a change in bed days</w:t>
      </w:r>
      <w:r w:rsidRPr="00190138">
        <w:rPr>
          <w:sz w:val="24"/>
          <w:szCs w:val="24"/>
          <w:u w:val="single"/>
        </w:rPr>
        <w:t xml:space="preserve"> within the NHS</w:t>
      </w:r>
    </w:p>
    <w:p w14:paraId="12D280E0" w14:textId="66E2361D" w:rsidR="002E613A" w:rsidRPr="00190138" w:rsidRDefault="00F50C00" w:rsidP="003D71E8">
      <w:pPr>
        <w:spacing w:line="480" w:lineRule="auto"/>
        <w:rPr>
          <w:sz w:val="24"/>
          <w:szCs w:val="24"/>
        </w:rPr>
      </w:pPr>
      <w:r>
        <w:rPr>
          <w:sz w:val="24"/>
          <w:szCs w:val="24"/>
        </w:rPr>
        <w:t>An</w:t>
      </w:r>
      <w:r w:rsidR="002E613A" w:rsidRPr="00190138">
        <w:rPr>
          <w:sz w:val="24"/>
          <w:szCs w:val="24"/>
        </w:rPr>
        <w:t xml:space="preserve"> average unit cost</w:t>
      </w:r>
      <w:r w:rsidR="00BB7C07" w:rsidRPr="00190138">
        <w:rPr>
          <w:sz w:val="24"/>
          <w:szCs w:val="24"/>
        </w:rPr>
        <w:t>,</w:t>
      </w:r>
      <w:r w:rsidR="002E613A" w:rsidRPr="00190138">
        <w:rPr>
          <w:sz w:val="24"/>
          <w:szCs w:val="24"/>
        </w:rPr>
        <w:t xml:space="preserve"> per bed day was applied</w:t>
      </w:r>
      <w:r>
        <w:rPr>
          <w:sz w:val="24"/>
          <w:szCs w:val="24"/>
        </w:rPr>
        <w:t xml:space="preserve"> to the findings of the ITS analysis. Unit costs were</w:t>
      </w:r>
      <w:r w:rsidR="002E613A" w:rsidRPr="00190138">
        <w:rPr>
          <w:sz w:val="24"/>
          <w:szCs w:val="24"/>
        </w:rPr>
        <w:t xml:space="preserve"> drawn from </w:t>
      </w:r>
      <w:r w:rsidR="00BF719D">
        <w:rPr>
          <w:sz w:val="24"/>
          <w:szCs w:val="24"/>
        </w:rPr>
        <w:t>the NHS Reference Costs 2012-13</w:t>
      </w:r>
      <w:r w:rsidR="002E613A" w:rsidRPr="00190138">
        <w:rPr>
          <w:sz w:val="24"/>
          <w:szCs w:val="24"/>
        </w:rPr>
        <w:t>.</w:t>
      </w:r>
      <w:r w:rsidR="00BF719D">
        <w:rPr>
          <w:sz w:val="24"/>
          <w:szCs w:val="24"/>
        </w:rPr>
        <w:fldChar w:fldCharType="begin"/>
      </w:r>
      <w:r w:rsidR="0039657B">
        <w:rPr>
          <w:sz w:val="24"/>
          <w:szCs w:val="24"/>
        </w:rPr>
        <w:instrText xml:space="preserve"> ADDIN EN.CITE &lt;EndNote&gt;&lt;Cite&gt;&lt;Author&gt;Department of Health&lt;/Author&gt;&lt;Year&gt;2013&lt;/Year&gt;&lt;RecNum&gt;3&lt;/RecNum&gt;&lt;DisplayText&gt;&lt;style face="superscript"&gt;8&lt;/style&gt;&lt;/DisplayText&gt;&lt;record&gt;&lt;rec-number&gt;3&lt;/rec-number&gt;&lt;foreign-keys&gt;&lt;key app="EN" db-id="9azrasfx7e2dvkerwz7p5ds19vtv9ptrpwtd" timestamp="1433320146"&gt;3&lt;/key&gt;&lt;/foreign-keys&gt;&lt;ref-type name="Journal Article"&gt;17&lt;/ref-type&gt;&lt;contributors&gt;&lt;authors&gt;&lt;author&gt;Department of Health,&lt;/author&gt;&lt;/authors&gt;&lt;/contributors&gt;&lt;titles&gt;&lt;title&gt;2012-13 national schedule of reference costs&lt;/title&gt;&lt;secondary-title&gt;Department of Health: London&lt;/secondary-title&gt;&lt;/titles&gt;&lt;periodical&gt;&lt;full-title&gt;Department of Health: London&lt;/full-title&gt;&lt;/periodical&gt;&lt;dates&gt;&lt;year&gt;2013&lt;/year&gt;&lt;/dates&gt;&lt;urls&gt;&lt;/urls&gt;&lt;/record&gt;&lt;/Cite&gt;&lt;/EndNote&gt;</w:instrText>
      </w:r>
      <w:r w:rsidR="00BF719D">
        <w:rPr>
          <w:sz w:val="24"/>
          <w:szCs w:val="24"/>
        </w:rPr>
        <w:fldChar w:fldCharType="separate"/>
      </w:r>
      <w:r w:rsidR="0039657B" w:rsidRPr="0039657B">
        <w:rPr>
          <w:noProof/>
          <w:sz w:val="24"/>
          <w:szCs w:val="24"/>
          <w:vertAlign w:val="superscript"/>
        </w:rPr>
        <w:t>8</w:t>
      </w:r>
      <w:r w:rsidR="00BF719D">
        <w:rPr>
          <w:sz w:val="24"/>
          <w:szCs w:val="24"/>
        </w:rPr>
        <w:fldChar w:fldCharType="end"/>
      </w:r>
      <w:r w:rsidR="002E613A" w:rsidRPr="00190138">
        <w:rPr>
          <w:sz w:val="24"/>
          <w:szCs w:val="24"/>
        </w:rPr>
        <w:t xml:space="preserve">  </w:t>
      </w:r>
    </w:p>
    <w:p w14:paraId="30BB367C" w14:textId="3D60615D" w:rsidR="00A67798" w:rsidRPr="00190138" w:rsidRDefault="009C494F" w:rsidP="003D71E8">
      <w:pPr>
        <w:spacing w:line="480" w:lineRule="auto"/>
        <w:rPr>
          <w:sz w:val="24"/>
          <w:szCs w:val="24"/>
        </w:rPr>
      </w:pPr>
      <w:r w:rsidRPr="00190138">
        <w:rPr>
          <w:sz w:val="24"/>
          <w:szCs w:val="24"/>
        </w:rPr>
        <w:t>Once applied to the change in bed days as a result of the CCN team, f</w:t>
      </w:r>
      <w:r w:rsidR="007B7096">
        <w:rPr>
          <w:sz w:val="24"/>
          <w:szCs w:val="24"/>
        </w:rPr>
        <w:t>ro</w:t>
      </w:r>
      <w:r w:rsidRPr="00190138">
        <w:rPr>
          <w:sz w:val="24"/>
          <w:szCs w:val="24"/>
        </w:rPr>
        <w:t>m the ITS analysis, the estimate</w:t>
      </w:r>
      <w:r w:rsidR="007B7096">
        <w:rPr>
          <w:sz w:val="24"/>
          <w:szCs w:val="24"/>
        </w:rPr>
        <w:t>d unit cost</w:t>
      </w:r>
      <w:r w:rsidRPr="00190138">
        <w:rPr>
          <w:sz w:val="24"/>
          <w:szCs w:val="24"/>
        </w:rPr>
        <w:t xml:space="preserve"> was adjusted to the size of the at risk population, that is, the size of the paediatric population covered by the CCN team in </w:t>
      </w:r>
      <w:r w:rsidR="00F50C00">
        <w:rPr>
          <w:sz w:val="24"/>
          <w:szCs w:val="24"/>
        </w:rPr>
        <w:t>each s</w:t>
      </w:r>
      <w:r w:rsidRPr="00190138">
        <w:rPr>
          <w:sz w:val="24"/>
          <w:szCs w:val="24"/>
        </w:rPr>
        <w:t>ite</w:t>
      </w:r>
      <w:r w:rsidR="00872546">
        <w:rPr>
          <w:sz w:val="24"/>
          <w:szCs w:val="24"/>
        </w:rPr>
        <w:t>, drawn from ONS estimates</w:t>
      </w:r>
      <w:r w:rsidRPr="00190138">
        <w:rPr>
          <w:sz w:val="24"/>
          <w:szCs w:val="24"/>
        </w:rPr>
        <w:t>. This provides a</w:t>
      </w:r>
      <w:r w:rsidR="00872546">
        <w:rPr>
          <w:sz w:val="24"/>
          <w:szCs w:val="24"/>
        </w:rPr>
        <w:t>n</w:t>
      </w:r>
      <w:r w:rsidRPr="00190138">
        <w:rPr>
          <w:sz w:val="24"/>
          <w:szCs w:val="24"/>
        </w:rPr>
        <w:t xml:space="preserve"> estimate of the total cost of a change in bed days over the analysis period.</w:t>
      </w:r>
    </w:p>
    <w:p w14:paraId="08986E8F" w14:textId="77777777" w:rsidR="00C337F4" w:rsidRDefault="00C337F4" w:rsidP="003D71E8">
      <w:pPr>
        <w:spacing w:line="480" w:lineRule="auto"/>
        <w:rPr>
          <w:sz w:val="24"/>
          <w:szCs w:val="24"/>
        </w:rPr>
      </w:pPr>
    </w:p>
    <w:p w14:paraId="57085699" w14:textId="2A30A21F" w:rsidR="001B7690" w:rsidRPr="00190138" w:rsidRDefault="001B7690" w:rsidP="003D71E8">
      <w:pPr>
        <w:spacing w:line="480" w:lineRule="auto"/>
        <w:rPr>
          <w:b/>
          <w:sz w:val="24"/>
          <w:szCs w:val="24"/>
        </w:rPr>
      </w:pPr>
      <w:r w:rsidRPr="00190138">
        <w:rPr>
          <w:b/>
          <w:sz w:val="24"/>
          <w:szCs w:val="24"/>
        </w:rPr>
        <w:t>Results</w:t>
      </w:r>
    </w:p>
    <w:p w14:paraId="2D3F2D40" w14:textId="28FE6FFA" w:rsidR="00F50C00" w:rsidRPr="00190138" w:rsidRDefault="00F50C00" w:rsidP="003D71E8">
      <w:pPr>
        <w:spacing w:line="480" w:lineRule="auto"/>
        <w:rPr>
          <w:sz w:val="24"/>
          <w:szCs w:val="24"/>
        </w:rPr>
      </w:pPr>
      <w:r w:rsidRPr="00190138">
        <w:rPr>
          <w:sz w:val="24"/>
          <w:szCs w:val="24"/>
        </w:rPr>
        <w:t xml:space="preserve">The results of the </w:t>
      </w:r>
      <w:proofErr w:type="gramStart"/>
      <w:r w:rsidRPr="00190138">
        <w:rPr>
          <w:sz w:val="24"/>
          <w:szCs w:val="24"/>
        </w:rPr>
        <w:t>ITS</w:t>
      </w:r>
      <w:proofErr w:type="gramEnd"/>
      <w:r w:rsidRPr="00190138">
        <w:rPr>
          <w:sz w:val="24"/>
          <w:szCs w:val="24"/>
        </w:rPr>
        <w:t xml:space="preserve"> and costing analyses are </w:t>
      </w:r>
      <w:r w:rsidR="00E4746C">
        <w:rPr>
          <w:sz w:val="24"/>
          <w:szCs w:val="24"/>
        </w:rPr>
        <w:t>presented</w:t>
      </w:r>
      <w:r w:rsidRPr="00190138">
        <w:rPr>
          <w:sz w:val="24"/>
          <w:szCs w:val="24"/>
        </w:rPr>
        <w:t xml:space="preserve"> in </w:t>
      </w:r>
      <w:r>
        <w:rPr>
          <w:sz w:val="24"/>
          <w:szCs w:val="24"/>
        </w:rPr>
        <w:fldChar w:fldCharType="begin"/>
      </w:r>
      <w:r>
        <w:rPr>
          <w:sz w:val="24"/>
          <w:szCs w:val="24"/>
        </w:rPr>
        <w:instrText xml:space="preserve"> REF _Ref437512856 \h </w:instrText>
      </w:r>
      <w:r w:rsidR="003D71E8">
        <w:rPr>
          <w:sz w:val="24"/>
          <w:szCs w:val="24"/>
        </w:rPr>
        <w:instrText xml:space="preserve"> \* MERGEFORMAT </w:instrText>
      </w:r>
      <w:r>
        <w:rPr>
          <w:sz w:val="24"/>
          <w:szCs w:val="24"/>
        </w:rPr>
      </w:r>
      <w:r>
        <w:rPr>
          <w:sz w:val="24"/>
          <w:szCs w:val="24"/>
        </w:rPr>
        <w:fldChar w:fldCharType="separate"/>
      </w:r>
      <w:r w:rsidR="00CF31AE" w:rsidRPr="00190138">
        <w:rPr>
          <w:sz w:val="24"/>
          <w:szCs w:val="24"/>
        </w:rPr>
        <w:t xml:space="preserve">Table </w:t>
      </w:r>
      <w:r w:rsidR="00CF31AE">
        <w:rPr>
          <w:noProof/>
          <w:sz w:val="24"/>
          <w:szCs w:val="24"/>
        </w:rPr>
        <w:t>2</w:t>
      </w:r>
      <w:r>
        <w:rPr>
          <w:sz w:val="24"/>
          <w:szCs w:val="24"/>
        </w:rPr>
        <w:fldChar w:fldCharType="end"/>
      </w:r>
      <w:r w:rsidRPr="00190138">
        <w:rPr>
          <w:sz w:val="24"/>
          <w:szCs w:val="24"/>
        </w:rPr>
        <w:t xml:space="preserve">, including the relevant notation </w:t>
      </w:r>
      <w:r w:rsidRPr="00AC09B3">
        <w:rPr>
          <w:sz w:val="24"/>
          <w:szCs w:val="24"/>
        </w:rPr>
        <w:t xml:space="preserve">from </w:t>
      </w:r>
      <w:r w:rsidRPr="00AC09B3">
        <w:rPr>
          <w:sz w:val="24"/>
          <w:szCs w:val="24"/>
        </w:rPr>
        <w:fldChar w:fldCharType="begin"/>
      </w:r>
      <w:r w:rsidRPr="00AC09B3">
        <w:rPr>
          <w:sz w:val="24"/>
          <w:szCs w:val="24"/>
        </w:rPr>
        <w:instrText xml:space="preserve"> REF _Ref439843090 \h  \* MERGEFORMAT </w:instrText>
      </w:r>
      <w:r w:rsidRPr="00AC09B3">
        <w:rPr>
          <w:sz w:val="24"/>
          <w:szCs w:val="24"/>
        </w:rPr>
      </w:r>
      <w:r w:rsidRPr="00AC09B3">
        <w:rPr>
          <w:sz w:val="24"/>
          <w:szCs w:val="24"/>
        </w:rPr>
        <w:fldChar w:fldCharType="separate"/>
      </w:r>
      <w:r w:rsidR="00CF31AE" w:rsidRPr="00CF31AE">
        <w:rPr>
          <w:sz w:val="24"/>
          <w:szCs w:val="24"/>
        </w:rPr>
        <w:t xml:space="preserve">Figure </w:t>
      </w:r>
      <w:r w:rsidR="00CF31AE" w:rsidRPr="00CF31AE">
        <w:rPr>
          <w:noProof/>
          <w:sz w:val="24"/>
          <w:szCs w:val="24"/>
        </w:rPr>
        <w:t>1</w:t>
      </w:r>
      <w:r w:rsidRPr="00AC09B3">
        <w:rPr>
          <w:sz w:val="24"/>
          <w:szCs w:val="24"/>
        </w:rPr>
        <w:fldChar w:fldCharType="end"/>
      </w:r>
      <w:r w:rsidRPr="00AC09B3">
        <w:rPr>
          <w:sz w:val="24"/>
          <w:szCs w:val="24"/>
        </w:rPr>
        <w:t xml:space="preserve"> for the</w:t>
      </w:r>
      <w:r w:rsidRPr="00190138">
        <w:rPr>
          <w:sz w:val="24"/>
          <w:szCs w:val="24"/>
        </w:rPr>
        <w:t xml:space="preserve"> variables of interest.  The Table highlights a number of important findings of this analysis.  </w:t>
      </w:r>
    </w:p>
    <w:p w14:paraId="2F011149" w14:textId="5AE214DC" w:rsidR="00222B0D" w:rsidRPr="00222B0D" w:rsidRDefault="00222B0D" w:rsidP="003D71E8">
      <w:pPr>
        <w:spacing w:line="480" w:lineRule="auto"/>
        <w:rPr>
          <w:sz w:val="24"/>
          <w:szCs w:val="24"/>
          <w:u w:val="single"/>
        </w:rPr>
      </w:pPr>
      <w:r w:rsidRPr="00222B0D">
        <w:rPr>
          <w:sz w:val="24"/>
          <w:szCs w:val="24"/>
          <w:u w:val="single"/>
        </w:rPr>
        <w:t>Change in bed days</w:t>
      </w:r>
      <w:r w:rsidR="00F50C00">
        <w:rPr>
          <w:sz w:val="24"/>
          <w:szCs w:val="24"/>
          <w:u w:val="single"/>
        </w:rPr>
        <w:t>: community based generic CCN team (site 1)</w:t>
      </w:r>
    </w:p>
    <w:p w14:paraId="0BAE37F9" w14:textId="26E78028" w:rsidR="00F50C00" w:rsidRDefault="00F50C00" w:rsidP="003D71E8">
      <w:pPr>
        <w:spacing w:line="480" w:lineRule="auto"/>
        <w:rPr>
          <w:sz w:val="24"/>
          <w:szCs w:val="24"/>
        </w:rPr>
      </w:pPr>
      <w:r w:rsidRPr="00190138">
        <w:rPr>
          <w:sz w:val="24"/>
          <w:szCs w:val="24"/>
        </w:rPr>
        <w:t>The total change in bed days over the analysis period</w:t>
      </w:r>
      <w:r w:rsidR="00CF31AE">
        <w:rPr>
          <w:sz w:val="24"/>
          <w:szCs w:val="24"/>
        </w:rPr>
        <w:t xml:space="preserve"> for site 1</w:t>
      </w:r>
      <w:r w:rsidRPr="00190138">
        <w:rPr>
          <w:sz w:val="24"/>
          <w:szCs w:val="24"/>
        </w:rPr>
        <w:t>, taking into account the size of the population, was 9,634</w:t>
      </w:r>
      <w:r w:rsidR="00E4746C">
        <w:rPr>
          <w:sz w:val="24"/>
          <w:szCs w:val="24"/>
        </w:rPr>
        <w:t xml:space="preserve"> fewer bed days but</w:t>
      </w:r>
      <w:r w:rsidR="001D2BED">
        <w:rPr>
          <w:sz w:val="24"/>
          <w:szCs w:val="24"/>
        </w:rPr>
        <w:t xml:space="preserve"> </w:t>
      </w:r>
      <w:r w:rsidR="00CF31AE">
        <w:rPr>
          <w:sz w:val="24"/>
          <w:szCs w:val="24"/>
        </w:rPr>
        <w:t>this did not reach statistical significance</w:t>
      </w:r>
      <w:r w:rsidRPr="00190138">
        <w:rPr>
          <w:sz w:val="24"/>
          <w:szCs w:val="24"/>
        </w:rPr>
        <w:t xml:space="preserve">.  </w:t>
      </w:r>
      <w:r>
        <w:rPr>
          <w:sz w:val="24"/>
          <w:szCs w:val="24"/>
        </w:rPr>
        <w:t xml:space="preserve">Applying the unit cost of a bed day to this reduction and annualising it over the full period gives a cost saving to the NHS of </w:t>
      </w:r>
      <w:r w:rsidRPr="00190138">
        <w:rPr>
          <w:sz w:val="24"/>
          <w:szCs w:val="24"/>
        </w:rPr>
        <w:t>£578,272</w:t>
      </w:r>
      <w:r>
        <w:rPr>
          <w:sz w:val="24"/>
          <w:szCs w:val="24"/>
        </w:rPr>
        <w:t xml:space="preserve">, as reported in </w:t>
      </w:r>
      <w:r>
        <w:rPr>
          <w:sz w:val="24"/>
          <w:szCs w:val="24"/>
        </w:rPr>
        <w:fldChar w:fldCharType="begin"/>
      </w:r>
      <w:r>
        <w:rPr>
          <w:sz w:val="24"/>
          <w:szCs w:val="24"/>
        </w:rPr>
        <w:instrText xml:space="preserve"> REF _Ref437512856 \h </w:instrText>
      </w:r>
      <w:r w:rsidR="003D71E8">
        <w:rPr>
          <w:sz w:val="24"/>
          <w:szCs w:val="24"/>
        </w:rPr>
        <w:instrText xml:space="preserve"> \* MERGEFORMAT </w:instrText>
      </w:r>
      <w:r>
        <w:rPr>
          <w:sz w:val="24"/>
          <w:szCs w:val="24"/>
        </w:rPr>
      </w:r>
      <w:r>
        <w:rPr>
          <w:sz w:val="24"/>
          <w:szCs w:val="24"/>
        </w:rPr>
        <w:fldChar w:fldCharType="separate"/>
      </w:r>
      <w:r w:rsidR="00CF31AE" w:rsidRPr="00190138">
        <w:rPr>
          <w:sz w:val="24"/>
          <w:szCs w:val="24"/>
        </w:rPr>
        <w:t xml:space="preserve">Table </w:t>
      </w:r>
      <w:r w:rsidR="00CF31AE">
        <w:rPr>
          <w:noProof/>
          <w:sz w:val="24"/>
          <w:szCs w:val="24"/>
        </w:rPr>
        <w:t>2</w:t>
      </w:r>
      <w:r>
        <w:rPr>
          <w:sz w:val="24"/>
          <w:szCs w:val="24"/>
        </w:rPr>
        <w:fldChar w:fldCharType="end"/>
      </w:r>
      <w:r>
        <w:rPr>
          <w:sz w:val="24"/>
          <w:szCs w:val="24"/>
        </w:rPr>
        <w:t>.</w:t>
      </w:r>
    </w:p>
    <w:p w14:paraId="74519B49" w14:textId="77777777" w:rsidR="00773905" w:rsidRPr="00773905" w:rsidRDefault="00773905" w:rsidP="003D71E8">
      <w:pPr>
        <w:spacing w:line="480" w:lineRule="auto"/>
        <w:rPr>
          <w:sz w:val="24"/>
          <w:szCs w:val="24"/>
          <w:u w:val="single"/>
        </w:rPr>
      </w:pPr>
      <w:r w:rsidRPr="00773905">
        <w:rPr>
          <w:sz w:val="24"/>
          <w:szCs w:val="24"/>
          <w:u w:val="single"/>
        </w:rPr>
        <w:t>Change in bed days: hospital based generic CCN team (site 2)</w:t>
      </w:r>
    </w:p>
    <w:p w14:paraId="3EB97F12" w14:textId="3CD60E35" w:rsidR="00773905" w:rsidRDefault="00CF31AE" w:rsidP="003D71E8">
      <w:pPr>
        <w:spacing w:line="480" w:lineRule="auto"/>
        <w:rPr>
          <w:sz w:val="24"/>
          <w:szCs w:val="24"/>
        </w:rPr>
      </w:pPr>
      <w:r>
        <w:rPr>
          <w:sz w:val="24"/>
          <w:szCs w:val="24"/>
        </w:rPr>
        <w:t xml:space="preserve">A similar result was seen for site 2, with </w:t>
      </w:r>
      <w:r w:rsidR="00773905" w:rsidRPr="00773905">
        <w:rPr>
          <w:sz w:val="24"/>
          <w:szCs w:val="24"/>
        </w:rPr>
        <w:t>8,969 fewer bed days</w:t>
      </w:r>
      <w:r>
        <w:rPr>
          <w:sz w:val="24"/>
          <w:szCs w:val="24"/>
        </w:rPr>
        <w:t xml:space="preserve"> occurring over the analysis period</w:t>
      </w:r>
      <w:r w:rsidR="00773905" w:rsidRPr="00773905">
        <w:rPr>
          <w:sz w:val="24"/>
          <w:szCs w:val="24"/>
        </w:rPr>
        <w:t>.  However, as with site 1 the change did not reach statistical significance.  This gives an annualised cost saving to the NHS of £501,030.</w:t>
      </w:r>
    </w:p>
    <w:p w14:paraId="723E87CF" w14:textId="63ECF81F" w:rsidR="009157C0" w:rsidRPr="009157C0" w:rsidRDefault="009157C0" w:rsidP="003D71E8">
      <w:pPr>
        <w:spacing w:line="480" w:lineRule="auto"/>
        <w:rPr>
          <w:i/>
          <w:sz w:val="24"/>
          <w:szCs w:val="24"/>
        </w:rPr>
      </w:pPr>
      <w:r>
        <w:rPr>
          <w:i/>
          <w:sz w:val="24"/>
          <w:szCs w:val="24"/>
        </w:rPr>
        <w:lastRenderedPageBreak/>
        <w:t>[Table 2 here]</w:t>
      </w:r>
    </w:p>
    <w:p w14:paraId="7A2B5FBF" w14:textId="4093716D" w:rsidR="00D85F9F" w:rsidRPr="00222B0D" w:rsidRDefault="00222B0D" w:rsidP="003D71E8">
      <w:pPr>
        <w:spacing w:line="480" w:lineRule="auto"/>
        <w:rPr>
          <w:sz w:val="24"/>
          <w:szCs w:val="24"/>
          <w:u w:val="single"/>
        </w:rPr>
      </w:pPr>
      <w:r>
        <w:rPr>
          <w:sz w:val="24"/>
          <w:szCs w:val="24"/>
          <w:u w:val="single"/>
        </w:rPr>
        <w:t>The cost of the CCN teams</w:t>
      </w:r>
    </w:p>
    <w:p w14:paraId="2F48F831" w14:textId="7EAAA8AF" w:rsidR="00436A8C" w:rsidRPr="00190138" w:rsidRDefault="00436A8C" w:rsidP="003D71E8">
      <w:pPr>
        <w:spacing w:line="480" w:lineRule="auto"/>
        <w:rPr>
          <w:sz w:val="24"/>
          <w:szCs w:val="24"/>
        </w:rPr>
      </w:pPr>
      <w:r w:rsidRPr="00190138">
        <w:rPr>
          <w:sz w:val="24"/>
          <w:szCs w:val="24"/>
        </w:rPr>
        <w:t>The annualised estimated cost of each of the CCN teams indicate the cost of having each team in place varies</w:t>
      </w:r>
      <w:r w:rsidR="00773905">
        <w:rPr>
          <w:sz w:val="24"/>
          <w:szCs w:val="24"/>
        </w:rPr>
        <w:t xml:space="preserve"> between the two s</w:t>
      </w:r>
      <w:r w:rsidR="00222B0D">
        <w:rPr>
          <w:sz w:val="24"/>
          <w:szCs w:val="24"/>
        </w:rPr>
        <w:t xml:space="preserve">ites, costing </w:t>
      </w:r>
      <w:r w:rsidR="00222B0D" w:rsidRPr="00190138">
        <w:rPr>
          <w:sz w:val="24"/>
          <w:szCs w:val="24"/>
        </w:rPr>
        <w:t>£1,111,049</w:t>
      </w:r>
      <w:r w:rsidR="00222B0D">
        <w:rPr>
          <w:sz w:val="24"/>
          <w:szCs w:val="24"/>
        </w:rPr>
        <w:t xml:space="preserve"> per year for</w:t>
      </w:r>
      <w:r w:rsidR="00773905">
        <w:rPr>
          <w:sz w:val="24"/>
          <w:szCs w:val="24"/>
        </w:rPr>
        <w:t xml:space="preserve"> the community based team (s</w:t>
      </w:r>
      <w:r w:rsidR="00222B0D">
        <w:rPr>
          <w:sz w:val="24"/>
          <w:szCs w:val="24"/>
        </w:rPr>
        <w:t xml:space="preserve">ite </w:t>
      </w:r>
      <w:r w:rsidR="00AC09B3">
        <w:rPr>
          <w:sz w:val="24"/>
          <w:szCs w:val="24"/>
        </w:rPr>
        <w:t>1</w:t>
      </w:r>
      <w:r w:rsidR="00773905">
        <w:rPr>
          <w:sz w:val="24"/>
          <w:szCs w:val="24"/>
        </w:rPr>
        <w:t>)</w:t>
      </w:r>
      <w:r w:rsidR="00222B0D">
        <w:rPr>
          <w:sz w:val="24"/>
          <w:szCs w:val="24"/>
        </w:rPr>
        <w:t xml:space="preserve"> and </w:t>
      </w:r>
      <w:r w:rsidR="00222B0D" w:rsidRPr="00190138">
        <w:rPr>
          <w:sz w:val="24"/>
          <w:szCs w:val="24"/>
        </w:rPr>
        <w:t>£698,042</w:t>
      </w:r>
      <w:r w:rsidR="00222B0D">
        <w:rPr>
          <w:sz w:val="24"/>
          <w:szCs w:val="24"/>
        </w:rPr>
        <w:t xml:space="preserve"> for</w:t>
      </w:r>
      <w:r w:rsidR="00773905">
        <w:rPr>
          <w:sz w:val="24"/>
          <w:szCs w:val="24"/>
        </w:rPr>
        <w:t xml:space="preserve"> the hospital based team (s</w:t>
      </w:r>
      <w:r w:rsidR="00222B0D">
        <w:rPr>
          <w:sz w:val="24"/>
          <w:szCs w:val="24"/>
        </w:rPr>
        <w:t xml:space="preserve">ite </w:t>
      </w:r>
      <w:r w:rsidR="00AC09B3">
        <w:rPr>
          <w:sz w:val="24"/>
          <w:szCs w:val="24"/>
        </w:rPr>
        <w:t>2</w:t>
      </w:r>
      <w:r w:rsidR="00773905">
        <w:rPr>
          <w:sz w:val="24"/>
          <w:szCs w:val="24"/>
        </w:rPr>
        <w:t>)</w:t>
      </w:r>
      <w:r w:rsidR="00222B0D">
        <w:rPr>
          <w:sz w:val="24"/>
          <w:szCs w:val="24"/>
        </w:rPr>
        <w:t>.</w:t>
      </w:r>
      <w:r w:rsidRPr="00190138">
        <w:rPr>
          <w:sz w:val="24"/>
          <w:szCs w:val="24"/>
        </w:rPr>
        <w:t xml:space="preserve"> This variation reflects the differences in the makeup of the teams presented in </w:t>
      </w:r>
      <w:r w:rsidR="00FC0784" w:rsidRPr="00AC09B3">
        <w:rPr>
          <w:sz w:val="24"/>
          <w:szCs w:val="24"/>
        </w:rPr>
        <w:fldChar w:fldCharType="begin"/>
      </w:r>
      <w:r w:rsidR="00FC0784" w:rsidRPr="00AC09B3">
        <w:rPr>
          <w:sz w:val="24"/>
          <w:szCs w:val="24"/>
        </w:rPr>
        <w:instrText xml:space="preserve"> REF _Ref437512320 \h </w:instrText>
      </w:r>
      <w:r w:rsidR="00190138" w:rsidRPr="00AC09B3">
        <w:rPr>
          <w:sz w:val="24"/>
          <w:szCs w:val="24"/>
        </w:rPr>
        <w:instrText xml:space="preserve"> \* MERGEFORMAT </w:instrText>
      </w:r>
      <w:r w:rsidR="00FC0784" w:rsidRPr="00AC09B3">
        <w:rPr>
          <w:sz w:val="24"/>
          <w:szCs w:val="24"/>
        </w:rPr>
      </w:r>
      <w:r w:rsidR="00FC0784" w:rsidRPr="00AC09B3">
        <w:rPr>
          <w:sz w:val="24"/>
          <w:szCs w:val="24"/>
        </w:rPr>
        <w:fldChar w:fldCharType="separate"/>
      </w:r>
      <w:r w:rsidR="00CF31AE" w:rsidRPr="00CF31AE">
        <w:rPr>
          <w:sz w:val="24"/>
          <w:szCs w:val="24"/>
        </w:rPr>
        <w:t xml:space="preserve">Table </w:t>
      </w:r>
      <w:r w:rsidR="00CF31AE" w:rsidRPr="00CF31AE">
        <w:rPr>
          <w:noProof/>
          <w:sz w:val="24"/>
          <w:szCs w:val="24"/>
        </w:rPr>
        <w:t>1</w:t>
      </w:r>
      <w:r w:rsidR="00FC0784" w:rsidRPr="00AC09B3">
        <w:rPr>
          <w:sz w:val="24"/>
          <w:szCs w:val="24"/>
        </w:rPr>
        <w:fldChar w:fldCharType="end"/>
      </w:r>
      <w:r w:rsidR="00FC0784" w:rsidRPr="00AC09B3">
        <w:rPr>
          <w:sz w:val="24"/>
          <w:szCs w:val="24"/>
        </w:rPr>
        <w:t xml:space="preserve"> </w:t>
      </w:r>
      <w:r w:rsidRPr="00AC09B3">
        <w:rPr>
          <w:sz w:val="24"/>
          <w:szCs w:val="24"/>
        </w:rPr>
        <w:t>earlier</w:t>
      </w:r>
      <w:r w:rsidRPr="00190138">
        <w:rPr>
          <w:sz w:val="24"/>
          <w:szCs w:val="24"/>
        </w:rPr>
        <w:t xml:space="preserve">.  </w:t>
      </w:r>
    </w:p>
    <w:p w14:paraId="73734B0B" w14:textId="2912ED24" w:rsidR="00222B0D" w:rsidRPr="00222B0D" w:rsidRDefault="00222B0D" w:rsidP="003D71E8">
      <w:pPr>
        <w:spacing w:line="480" w:lineRule="auto"/>
        <w:rPr>
          <w:sz w:val="24"/>
          <w:szCs w:val="24"/>
          <w:u w:val="single"/>
        </w:rPr>
      </w:pPr>
      <w:r>
        <w:rPr>
          <w:sz w:val="24"/>
          <w:szCs w:val="24"/>
          <w:u w:val="single"/>
        </w:rPr>
        <w:t>Bringing the costs together</w:t>
      </w:r>
    </w:p>
    <w:p w14:paraId="5E22D674" w14:textId="36FBE8BD" w:rsidR="00F3195E" w:rsidRDefault="00942762" w:rsidP="003D71E8">
      <w:pPr>
        <w:spacing w:line="480" w:lineRule="auto"/>
        <w:rPr>
          <w:sz w:val="24"/>
          <w:szCs w:val="24"/>
        </w:rPr>
      </w:pPr>
      <w:r w:rsidRPr="00190138">
        <w:rPr>
          <w:sz w:val="24"/>
          <w:szCs w:val="24"/>
        </w:rPr>
        <w:t xml:space="preserve">Combining the two elements of the costing analysis yields a net </w:t>
      </w:r>
      <w:r w:rsidR="00CA303E">
        <w:rPr>
          <w:sz w:val="24"/>
          <w:szCs w:val="24"/>
        </w:rPr>
        <w:t xml:space="preserve">annualised </w:t>
      </w:r>
      <w:r w:rsidRPr="00190138">
        <w:rPr>
          <w:sz w:val="24"/>
          <w:szCs w:val="24"/>
        </w:rPr>
        <w:t>cost impact of the CCN teams on the NHS</w:t>
      </w:r>
      <w:r w:rsidR="00CA303E">
        <w:rPr>
          <w:sz w:val="24"/>
          <w:szCs w:val="24"/>
        </w:rPr>
        <w:t xml:space="preserve"> for the two </w:t>
      </w:r>
      <w:r w:rsidR="00773905">
        <w:rPr>
          <w:sz w:val="24"/>
          <w:szCs w:val="24"/>
        </w:rPr>
        <w:t>s</w:t>
      </w:r>
      <w:r w:rsidR="00CA303E">
        <w:rPr>
          <w:sz w:val="24"/>
          <w:szCs w:val="24"/>
        </w:rPr>
        <w:t>ites over the analysis periods</w:t>
      </w:r>
      <w:r w:rsidR="001D7296">
        <w:rPr>
          <w:sz w:val="24"/>
          <w:szCs w:val="24"/>
        </w:rPr>
        <w:t xml:space="preserve">, presented in </w:t>
      </w:r>
      <w:r w:rsidR="001D7296">
        <w:rPr>
          <w:sz w:val="24"/>
          <w:szCs w:val="24"/>
        </w:rPr>
        <w:fldChar w:fldCharType="begin"/>
      </w:r>
      <w:r w:rsidR="001D7296">
        <w:rPr>
          <w:sz w:val="24"/>
          <w:szCs w:val="24"/>
        </w:rPr>
        <w:instrText xml:space="preserve"> REF _Ref437512856 \h </w:instrText>
      </w:r>
      <w:r w:rsidR="003D71E8">
        <w:rPr>
          <w:sz w:val="24"/>
          <w:szCs w:val="24"/>
        </w:rPr>
        <w:instrText xml:space="preserve"> \* MERGEFORMAT </w:instrText>
      </w:r>
      <w:r w:rsidR="001D7296">
        <w:rPr>
          <w:sz w:val="24"/>
          <w:szCs w:val="24"/>
        </w:rPr>
      </w:r>
      <w:r w:rsidR="001D7296">
        <w:rPr>
          <w:sz w:val="24"/>
          <w:szCs w:val="24"/>
        </w:rPr>
        <w:fldChar w:fldCharType="separate"/>
      </w:r>
      <w:r w:rsidR="00CF31AE" w:rsidRPr="00190138">
        <w:rPr>
          <w:sz w:val="24"/>
          <w:szCs w:val="24"/>
        </w:rPr>
        <w:t xml:space="preserve">Table </w:t>
      </w:r>
      <w:r w:rsidR="00CF31AE">
        <w:rPr>
          <w:noProof/>
          <w:sz w:val="24"/>
          <w:szCs w:val="24"/>
        </w:rPr>
        <w:t>2</w:t>
      </w:r>
      <w:r w:rsidR="001D7296">
        <w:rPr>
          <w:sz w:val="24"/>
          <w:szCs w:val="24"/>
        </w:rPr>
        <w:fldChar w:fldCharType="end"/>
      </w:r>
      <w:r w:rsidRPr="00190138">
        <w:rPr>
          <w:sz w:val="24"/>
          <w:szCs w:val="24"/>
        </w:rPr>
        <w:t xml:space="preserve">.  </w:t>
      </w:r>
      <w:r w:rsidR="00CA303E">
        <w:rPr>
          <w:sz w:val="24"/>
          <w:szCs w:val="24"/>
        </w:rPr>
        <w:t>Neither of the analyse</w:t>
      </w:r>
      <w:r w:rsidRPr="00190138">
        <w:rPr>
          <w:sz w:val="24"/>
          <w:szCs w:val="24"/>
        </w:rPr>
        <w:t>s indicate</w:t>
      </w:r>
      <w:r w:rsidR="00CA303E">
        <w:rPr>
          <w:sz w:val="24"/>
          <w:szCs w:val="24"/>
        </w:rPr>
        <w:t>d</w:t>
      </w:r>
      <w:r w:rsidRPr="00190138">
        <w:rPr>
          <w:sz w:val="24"/>
          <w:szCs w:val="24"/>
        </w:rPr>
        <w:t xml:space="preserve"> a mean cost saving to the NHS, with the annual cost to the NHS </w:t>
      </w:r>
      <w:r w:rsidR="00CA303E">
        <w:rPr>
          <w:sz w:val="24"/>
          <w:szCs w:val="24"/>
        </w:rPr>
        <w:t xml:space="preserve">estimated as </w:t>
      </w:r>
      <w:r w:rsidR="00CA303E" w:rsidRPr="00CA303E">
        <w:rPr>
          <w:sz w:val="24"/>
          <w:szCs w:val="24"/>
        </w:rPr>
        <w:t>£532,777</w:t>
      </w:r>
      <w:r w:rsidR="00CA303E">
        <w:rPr>
          <w:sz w:val="24"/>
          <w:szCs w:val="24"/>
        </w:rPr>
        <w:t xml:space="preserve"> for </w:t>
      </w:r>
      <w:r w:rsidR="00773905">
        <w:rPr>
          <w:sz w:val="24"/>
          <w:szCs w:val="24"/>
        </w:rPr>
        <w:t>s</w:t>
      </w:r>
      <w:r w:rsidR="00CA303E">
        <w:rPr>
          <w:sz w:val="24"/>
          <w:szCs w:val="24"/>
        </w:rPr>
        <w:t xml:space="preserve">ite </w:t>
      </w:r>
      <w:r w:rsidR="00AC09B3">
        <w:rPr>
          <w:sz w:val="24"/>
          <w:szCs w:val="24"/>
        </w:rPr>
        <w:t>1</w:t>
      </w:r>
      <w:r w:rsidR="00CA303E">
        <w:rPr>
          <w:sz w:val="24"/>
          <w:szCs w:val="24"/>
        </w:rPr>
        <w:t xml:space="preserve"> and </w:t>
      </w:r>
      <w:r w:rsidR="007A1AEA" w:rsidRPr="007A1AEA">
        <w:rPr>
          <w:sz w:val="24"/>
          <w:szCs w:val="24"/>
        </w:rPr>
        <w:t>£197,012</w:t>
      </w:r>
      <w:r w:rsidR="007A1AEA">
        <w:rPr>
          <w:sz w:val="24"/>
          <w:szCs w:val="24"/>
        </w:rPr>
        <w:t xml:space="preserve"> </w:t>
      </w:r>
      <w:r w:rsidR="00CA303E">
        <w:rPr>
          <w:sz w:val="24"/>
          <w:szCs w:val="24"/>
        </w:rPr>
        <w:t xml:space="preserve">for </w:t>
      </w:r>
      <w:r w:rsidR="00773905">
        <w:rPr>
          <w:sz w:val="24"/>
          <w:szCs w:val="24"/>
        </w:rPr>
        <w:t>s</w:t>
      </w:r>
      <w:r w:rsidR="00CA303E">
        <w:rPr>
          <w:sz w:val="24"/>
          <w:szCs w:val="24"/>
        </w:rPr>
        <w:t xml:space="preserve">ite </w:t>
      </w:r>
      <w:r w:rsidR="00AC09B3">
        <w:rPr>
          <w:sz w:val="24"/>
          <w:szCs w:val="24"/>
        </w:rPr>
        <w:t>2</w:t>
      </w:r>
      <w:r w:rsidR="00CA303E">
        <w:rPr>
          <w:sz w:val="24"/>
          <w:szCs w:val="24"/>
        </w:rPr>
        <w:t>.</w:t>
      </w:r>
      <w:r w:rsidR="007A1AEA">
        <w:rPr>
          <w:sz w:val="24"/>
          <w:szCs w:val="24"/>
        </w:rPr>
        <w:t xml:space="preserve"> It is important to note that </w:t>
      </w:r>
      <w:r w:rsidR="00773905">
        <w:rPr>
          <w:sz w:val="24"/>
          <w:szCs w:val="24"/>
        </w:rPr>
        <w:t>s</w:t>
      </w:r>
      <w:r w:rsidR="007A1AEA">
        <w:rPr>
          <w:sz w:val="24"/>
          <w:szCs w:val="24"/>
        </w:rPr>
        <w:t xml:space="preserve">ite </w:t>
      </w:r>
      <w:r w:rsidR="00AC09B3">
        <w:rPr>
          <w:sz w:val="24"/>
          <w:szCs w:val="24"/>
        </w:rPr>
        <w:t>2</w:t>
      </w:r>
      <w:r w:rsidR="007A1AEA">
        <w:rPr>
          <w:sz w:val="24"/>
          <w:szCs w:val="24"/>
        </w:rPr>
        <w:t>’s lower additional cost to the NHS is not to say it is the more effective or cost-effective CCN team.</w:t>
      </w:r>
      <w:r w:rsidRPr="00190138">
        <w:rPr>
          <w:sz w:val="24"/>
          <w:szCs w:val="24"/>
        </w:rPr>
        <w:t xml:space="preserve"> </w:t>
      </w:r>
      <w:r w:rsidR="007A1AEA">
        <w:rPr>
          <w:sz w:val="24"/>
          <w:szCs w:val="24"/>
        </w:rPr>
        <w:t xml:space="preserve"> As this analysis includes no estimate of health effect it is impossible to comment on cost-effectiveness or to make a clear comparison between the two sites. </w:t>
      </w:r>
      <w:r w:rsidR="00773905">
        <w:rPr>
          <w:sz w:val="24"/>
          <w:szCs w:val="24"/>
        </w:rPr>
        <w:t xml:space="preserve"> However, </w:t>
      </w:r>
      <w:r w:rsidR="00F3195E">
        <w:rPr>
          <w:sz w:val="24"/>
          <w:szCs w:val="24"/>
        </w:rPr>
        <w:t xml:space="preserve">given the level of uncertainty in the </w:t>
      </w:r>
      <w:r w:rsidR="00773905">
        <w:rPr>
          <w:sz w:val="24"/>
          <w:szCs w:val="24"/>
        </w:rPr>
        <w:t>data</w:t>
      </w:r>
      <w:r w:rsidR="00F3195E">
        <w:rPr>
          <w:sz w:val="24"/>
          <w:szCs w:val="24"/>
        </w:rPr>
        <w:t xml:space="preserve"> there is a 26% and 35% probability </w:t>
      </w:r>
      <w:r w:rsidR="00D9029F">
        <w:rPr>
          <w:sz w:val="24"/>
          <w:szCs w:val="24"/>
        </w:rPr>
        <w:t xml:space="preserve">that this finding is </w:t>
      </w:r>
      <w:r w:rsidR="00FE5F44">
        <w:rPr>
          <w:sz w:val="24"/>
          <w:szCs w:val="24"/>
        </w:rPr>
        <w:t>incorrect</w:t>
      </w:r>
      <w:r w:rsidR="00D9029F">
        <w:rPr>
          <w:sz w:val="24"/>
          <w:szCs w:val="24"/>
        </w:rPr>
        <w:t xml:space="preserve"> </w:t>
      </w:r>
      <w:r w:rsidR="007054E5">
        <w:rPr>
          <w:sz w:val="24"/>
          <w:szCs w:val="24"/>
        </w:rPr>
        <w:t xml:space="preserve">(in sites </w:t>
      </w:r>
      <w:r w:rsidR="00AC09B3">
        <w:rPr>
          <w:sz w:val="24"/>
          <w:szCs w:val="24"/>
        </w:rPr>
        <w:t>1</w:t>
      </w:r>
      <w:r w:rsidR="007054E5">
        <w:rPr>
          <w:sz w:val="24"/>
          <w:szCs w:val="24"/>
        </w:rPr>
        <w:t xml:space="preserve"> and </w:t>
      </w:r>
      <w:r w:rsidR="00AC09B3">
        <w:rPr>
          <w:sz w:val="24"/>
          <w:szCs w:val="24"/>
        </w:rPr>
        <w:t>2, respectively</w:t>
      </w:r>
      <w:r w:rsidR="007054E5">
        <w:rPr>
          <w:sz w:val="24"/>
          <w:szCs w:val="24"/>
        </w:rPr>
        <w:t xml:space="preserve">) </w:t>
      </w:r>
      <w:r w:rsidR="00D9029F">
        <w:rPr>
          <w:sz w:val="24"/>
          <w:szCs w:val="24"/>
        </w:rPr>
        <w:t>and that the teams have had a cost saving effect.</w:t>
      </w:r>
    </w:p>
    <w:p w14:paraId="49FFE6E1" w14:textId="77777777" w:rsidR="00641E80" w:rsidRDefault="00641E80" w:rsidP="003D71E8">
      <w:pPr>
        <w:spacing w:line="480" w:lineRule="auto"/>
        <w:rPr>
          <w:sz w:val="24"/>
          <w:szCs w:val="24"/>
        </w:rPr>
      </w:pPr>
    </w:p>
    <w:p w14:paraId="6B9D4D03" w14:textId="77777777" w:rsidR="00436A8C" w:rsidRPr="00190138" w:rsidRDefault="00436A8C" w:rsidP="003D71E8">
      <w:pPr>
        <w:spacing w:line="480" w:lineRule="auto"/>
        <w:rPr>
          <w:sz w:val="24"/>
          <w:szCs w:val="24"/>
        </w:rPr>
      </w:pPr>
    </w:p>
    <w:p w14:paraId="0CA05B36" w14:textId="77777777" w:rsidR="00436A8C" w:rsidRPr="00190138" w:rsidRDefault="00436A8C" w:rsidP="003D71E8">
      <w:pPr>
        <w:spacing w:line="480" w:lineRule="auto"/>
        <w:rPr>
          <w:sz w:val="24"/>
          <w:szCs w:val="24"/>
        </w:rPr>
      </w:pPr>
    </w:p>
    <w:p w14:paraId="7ED7E87A" w14:textId="77777777" w:rsidR="00436A8C" w:rsidRPr="00190138" w:rsidRDefault="00436A8C" w:rsidP="003D71E8">
      <w:pPr>
        <w:spacing w:line="480" w:lineRule="auto"/>
        <w:rPr>
          <w:sz w:val="24"/>
          <w:szCs w:val="24"/>
        </w:rPr>
      </w:pPr>
    </w:p>
    <w:p w14:paraId="3BFE8390" w14:textId="77777777" w:rsidR="00436A8C" w:rsidRPr="00190138" w:rsidRDefault="00436A8C" w:rsidP="003D71E8">
      <w:pPr>
        <w:spacing w:line="480" w:lineRule="auto"/>
        <w:rPr>
          <w:sz w:val="24"/>
          <w:szCs w:val="24"/>
        </w:rPr>
      </w:pPr>
    </w:p>
    <w:p w14:paraId="2E09ECE0" w14:textId="77777777" w:rsidR="00436A8C" w:rsidRPr="00190138" w:rsidRDefault="00436A8C" w:rsidP="003D71E8">
      <w:pPr>
        <w:spacing w:line="480" w:lineRule="auto"/>
        <w:rPr>
          <w:sz w:val="24"/>
          <w:szCs w:val="24"/>
        </w:rPr>
        <w:sectPr w:rsidR="00436A8C" w:rsidRPr="00190138">
          <w:pgSz w:w="11906" w:h="16838"/>
          <w:pgMar w:top="1440" w:right="1440" w:bottom="1440" w:left="1440" w:header="708" w:footer="708" w:gutter="0"/>
          <w:cols w:space="708"/>
          <w:docGrid w:linePitch="360"/>
        </w:sectPr>
      </w:pPr>
    </w:p>
    <w:p w14:paraId="795560D0" w14:textId="08022CF2" w:rsidR="001B7690" w:rsidRPr="00190138" w:rsidRDefault="00606D1F" w:rsidP="003D71E8">
      <w:pPr>
        <w:spacing w:line="480" w:lineRule="auto"/>
        <w:rPr>
          <w:b/>
          <w:sz w:val="24"/>
          <w:szCs w:val="24"/>
        </w:rPr>
      </w:pPr>
      <w:r w:rsidRPr="00190138">
        <w:rPr>
          <w:b/>
          <w:sz w:val="24"/>
          <w:szCs w:val="24"/>
        </w:rPr>
        <w:lastRenderedPageBreak/>
        <w:t>Discussion</w:t>
      </w:r>
    </w:p>
    <w:p w14:paraId="6906BB1B" w14:textId="64A58378" w:rsidR="001E444F" w:rsidRDefault="00AD3535" w:rsidP="003D71E8">
      <w:pPr>
        <w:autoSpaceDE w:val="0"/>
        <w:autoSpaceDN w:val="0"/>
        <w:adjustRightInd w:val="0"/>
        <w:spacing w:after="0" w:line="480" w:lineRule="auto"/>
        <w:rPr>
          <w:sz w:val="24"/>
          <w:szCs w:val="24"/>
        </w:rPr>
      </w:pPr>
      <w:r>
        <w:rPr>
          <w:sz w:val="24"/>
          <w:szCs w:val="24"/>
        </w:rPr>
        <w:t xml:space="preserve">The overall aim of this study was to examine the introduction of CCN teams in two areas and the cost savings to the NHS due to any reductions in </w:t>
      </w:r>
      <w:r w:rsidR="00FE5F44">
        <w:rPr>
          <w:sz w:val="24"/>
          <w:szCs w:val="24"/>
        </w:rPr>
        <w:t xml:space="preserve">hospital activity, captured by total </w:t>
      </w:r>
      <w:r>
        <w:rPr>
          <w:sz w:val="24"/>
          <w:szCs w:val="24"/>
        </w:rPr>
        <w:t>bed days.  Our findings suggest that while a consistent reduction in bed days appears to have resulted in both areas, the change was not of sufficient magnitude to reach statistical significance.  Furthermore, the estimated change was not of suf</w:t>
      </w:r>
      <w:r w:rsidR="008C7882">
        <w:rPr>
          <w:sz w:val="24"/>
          <w:szCs w:val="24"/>
        </w:rPr>
        <w:t>ficient scale for the cost savings from reduced bed days to outweigh the cost of commissioning the teams.  While our findings show that the commissioning of CCN teams is not a cost saving measure when considering bed days alone, the wider impact of the teams on other areas of NHS activity and quality of care does not preclude their cost-effectiveness</w:t>
      </w:r>
      <w:r w:rsidR="00FE5F44">
        <w:rPr>
          <w:sz w:val="24"/>
          <w:szCs w:val="24"/>
        </w:rPr>
        <w:t xml:space="preserve"> or indeed potential for cost-saving</w:t>
      </w:r>
      <w:r w:rsidR="008C7882">
        <w:rPr>
          <w:sz w:val="24"/>
          <w:szCs w:val="24"/>
        </w:rPr>
        <w:t>.</w:t>
      </w:r>
    </w:p>
    <w:p w14:paraId="2C13FF29" w14:textId="77777777" w:rsidR="00AD3535" w:rsidRDefault="00AD3535" w:rsidP="003D71E8">
      <w:pPr>
        <w:autoSpaceDE w:val="0"/>
        <w:autoSpaceDN w:val="0"/>
        <w:adjustRightInd w:val="0"/>
        <w:spacing w:after="0" w:line="480" w:lineRule="auto"/>
        <w:rPr>
          <w:sz w:val="24"/>
          <w:szCs w:val="24"/>
        </w:rPr>
      </w:pPr>
    </w:p>
    <w:p w14:paraId="4244DDA4" w14:textId="77777777" w:rsidR="001E444F" w:rsidRPr="008C7882" w:rsidRDefault="001E444F" w:rsidP="003D71E8">
      <w:pPr>
        <w:autoSpaceDE w:val="0"/>
        <w:autoSpaceDN w:val="0"/>
        <w:adjustRightInd w:val="0"/>
        <w:spacing w:after="0" w:line="480" w:lineRule="auto"/>
        <w:rPr>
          <w:i/>
          <w:sz w:val="24"/>
          <w:szCs w:val="24"/>
        </w:rPr>
      </w:pPr>
      <w:r w:rsidRPr="008C7882">
        <w:rPr>
          <w:i/>
          <w:sz w:val="24"/>
          <w:szCs w:val="24"/>
        </w:rPr>
        <w:t>Implications for policy and practice</w:t>
      </w:r>
    </w:p>
    <w:p w14:paraId="66F7A675" w14:textId="56842CF4" w:rsidR="001E444F" w:rsidRPr="00FE5F44" w:rsidRDefault="00C32189" w:rsidP="003D71E8">
      <w:pPr>
        <w:autoSpaceDE w:val="0"/>
        <w:autoSpaceDN w:val="0"/>
        <w:adjustRightInd w:val="0"/>
        <w:spacing w:after="0" w:line="480" w:lineRule="auto"/>
        <w:rPr>
          <w:sz w:val="24"/>
          <w:szCs w:val="24"/>
        </w:rPr>
      </w:pPr>
      <w:r>
        <w:rPr>
          <w:sz w:val="24"/>
          <w:szCs w:val="24"/>
        </w:rPr>
        <w:t>I</w:t>
      </w:r>
      <w:r w:rsidR="001E444F">
        <w:rPr>
          <w:sz w:val="24"/>
          <w:szCs w:val="24"/>
        </w:rPr>
        <w:t xml:space="preserve">n an NHS where resources are increasingly restricted, services must make a case for their value. </w:t>
      </w:r>
      <w:r>
        <w:rPr>
          <w:sz w:val="24"/>
          <w:szCs w:val="24"/>
        </w:rPr>
        <w:t xml:space="preserve"> Thus, a consideration of the cost implications of CCN services is important. </w:t>
      </w:r>
      <w:r w:rsidR="00FE5F44">
        <w:rPr>
          <w:sz w:val="24"/>
          <w:szCs w:val="24"/>
        </w:rPr>
        <w:t xml:space="preserve"> </w:t>
      </w:r>
      <w:r w:rsidR="001E444F">
        <w:rPr>
          <w:sz w:val="24"/>
          <w:szCs w:val="24"/>
        </w:rPr>
        <w:t xml:space="preserve">However, inherent in any </w:t>
      </w:r>
      <w:r w:rsidR="00414E15">
        <w:rPr>
          <w:sz w:val="24"/>
          <w:szCs w:val="24"/>
        </w:rPr>
        <w:t xml:space="preserve">discussion </w:t>
      </w:r>
      <w:r w:rsidR="001E444F">
        <w:rPr>
          <w:sz w:val="24"/>
          <w:szCs w:val="24"/>
        </w:rPr>
        <w:t xml:space="preserve">of service costs is the </w:t>
      </w:r>
      <w:r w:rsidR="00414E15">
        <w:rPr>
          <w:sz w:val="24"/>
          <w:szCs w:val="24"/>
        </w:rPr>
        <w:t>challenge of attempting to maximise two outcomes:</w:t>
      </w:r>
      <w:r w:rsidR="001E444F">
        <w:rPr>
          <w:sz w:val="24"/>
          <w:szCs w:val="24"/>
        </w:rPr>
        <w:t xml:space="preserve"> </w:t>
      </w:r>
      <w:r w:rsidR="00414E15">
        <w:rPr>
          <w:sz w:val="24"/>
          <w:szCs w:val="24"/>
        </w:rPr>
        <w:t xml:space="preserve">the </w:t>
      </w:r>
      <w:proofErr w:type="gramStart"/>
      <w:r w:rsidR="00414E15">
        <w:rPr>
          <w:sz w:val="24"/>
          <w:szCs w:val="24"/>
        </w:rPr>
        <w:t>delivery  of</w:t>
      </w:r>
      <w:proofErr w:type="gramEnd"/>
      <w:r w:rsidR="001E444F">
        <w:rPr>
          <w:sz w:val="24"/>
          <w:szCs w:val="24"/>
        </w:rPr>
        <w:t xml:space="preserve"> children’s care closer to home</w:t>
      </w:r>
      <w:r w:rsidR="00414E15">
        <w:rPr>
          <w:sz w:val="24"/>
          <w:szCs w:val="24"/>
        </w:rPr>
        <w:t>,</w:t>
      </w:r>
      <w:r w:rsidR="001E444F">
        <w:rPr>
          <w:sz w:val="24"/>
          <w:szCs w:val="24"/>
        </w:rPr>
        <w:t xml:space="preserve"> and the drive to make cost and efficiency savings in the NHS. The evidence presented here indicates the cost savings associated with reduced bed days were not </w:t>
      </w:r>
      <w:r w:rsidR="00FE5F44">
        <w:rPr>
          <w:sz w:val="24"/>
          <w:szCs w:val="24"/>
        </w:rPr>
        <w:t xml:space="preserve">sufficient to </w:t>
      </w:r>
      <w:r w:rsidR="001E444F">
        <w:rPr>
          <w:sz w:val="24"/>
          <w:szCs w:val="24"/>
        </w:rPr>
        <w:t>offset the costs of the team</w:t>
      </w:r>
      <w:r w:rsidR="00FE5F44">
        <w:rPr>
          <w:sz w:val="24"/>
          <w:szCs w:val="24"/>
        </w:rPr>
        <w:t>s</w:t>
      </w:r>
      <w:r w:rsidR="001E444F">
        <w:rPr>
          <w:sz w:val="24"/>
          <w:szCs w:val="24"/>
        </w:rPr>
        <w:t>. This would suggest that such teams do not, in this instance, align to the NHS efficiencies agenda. Yet at the same time they are advocated by policy as the better option of care for children</w:t>
      </w:r>
      <w:r w:rsidR="00F94214">
        <w:rPr>
          <w:sz w:val="24"/>
          <w:szCs w:val="24"/>
        </w:rPr>
        <w:t xml:space="preserve"> and</w:t>
      </w:r>
      <w:r w:rsidR="001E444F">
        <w:rPr>
          <w:sz w:val="24"/>
          <w:szCs w:val="24"/>
        </w:rPr>
        <w:t xml:space="preserve"> evidence consistently underlines the value of CCN teams in promoting high quality care</w:t>
      </w:r>
      <w:r w:rsidR="00750729">
        <w:rPr>
          <w:sz w:val="24"/>
          <w:szCs w:val="24"/>
        </w:rPr>
        <w:t>.</w:t>
      </w:r>
      <w:r w:rsidR="001E444F">
        <w:rPr>
          <w:sz w:val="24"/>
          <w:szCs w:val="24"/>
        </w:rPr>
        <w:t xml:space="preserve"> </w:t>
      </w:r>
      <w:r w:rsidR="00ED1F33">
        <w:rPr>
          <w:sz w:val="24"/>
          <w:szCs w:val="24"/>
        </w:rPr>
        <w:fldChar w:fldCharType="begin">
          <w:fldData xml:space="preserve">PEVuZE5vdGU+PENpdGU+PEF1dGhvcj5DYWxsZXJ5PC9BdXRob3I+PFllYXI+MjAxMzwvWWVhcj48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</w:fldData>
        </w:fldChar>
      </w:r>
      <w:r w:rsidR="0039657B">
        <w:rPr>
          <w:sz w:val="24"/>
          <w:szCs w:val="24"/>
        </w:rPr>
        <w:instrText xml:space="preserve"> ADDIN EN.CITE </w:instrText>
      </w:r>
      <w:r w:rsidR="0039657B">
        <w:rPr>
          <w:sz w:val="24"/>
          <w:szCs w:val="24"/>
        </w:rPr>
        <w:fldChar w:fldCharType="begin">
          <w:fldData xml:space="preserve">PEVuZE5vdGU+PENpdGU+PEF1dGhvcj5DYWxsZXJ5PC9BdXRob3I+PFllYXI+MjAxMzwvWWVhcj48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</w:fldData>
        </w:fldChar>
      </w:r>
      <w:r w:rsidR="0039657B">
        <w:rPr>
          <w:sz w:val="24"/>
          <w:szCs w:val="24"/>
        </w:rPr>
        <w:instrText xml:space="preserve"> ADDIN EN.CITE.DATA </w:instrText>
      </w:r>
      <w:r w:rsidR="0039657B">
        <w:rPr>
          <w:sz w:val="24"/>
          <w:szCs w:val="24"/>
        </w:rPr>
      </w:r>
      <w:r w:rsidR="0039657B">
        <w:rPr>
          <w:sz w:val="24"/>
          <w:szCs w:val="24"/>
        </w:rPr>
        <w:fldChar w:fldCharType="end"/>
      </w:r>
      <w:r w:rsidR="00ED1F33">
        <w:rPr>
          <w:sz w:val="24"/>
          <w:szCs w:val="24"/>
        </w:rPr>
      </w:r>
      <w:r w:rsidR="00ED1F33">
        <w:rPr>
          <w:sz w:val="24"/>
          <w:szCs w:val="24"/>
        </w:rPr>
        <w:fldChar w:fldCharType="separate"/>
      </w:r>
      <w:r w:rsidR="0039657B" w:rsidRPr="0039657B">
        <w:rPr>
          <w:noProof/>
          <w:sz w:val="24"/>
          <w:szCs w:val="24"/>
          <w:vertAlign w:val="superscript"/>
        </w:rPr>
        <w:t>4, 10</w:t>
      </w:r>
      <w:r w:rsidR="00ED1F33">
        <w:rPr>
          <w:sz w:val="24"/>
          <w:szCs w:val="24"/>
        </w:rPr>
        <w:fldChar w:fldCharType="end"/>
      </w:r>
      <w:r w:rsidR="00F94214">
        <w:rPr>
          <w:sz w:val="24"/>
          <w:szCs w:val="24"/>
        </w:rPr>
        <w:t>.</w:t>
      </w:r>
      <w:r w:rsidR="00FE5F44">
        <w:rPr>
          <w:sz w:val="24"/>
          <w:szCs w:val="24"/>
        </w:rPr>
        <w:t xml:space="preserve"> </w:t>
      </w:r>
      <w:r w:rsidR="001E444F">
        <w:rPr>
          <w:sz w:val="24"/>
          <w:szCs w:val="24"/>
        </w:rPr>
        <w:t xml:space="preserve"> </w:t>
      </w:r>
      <w:r w:rsidR="002178A0" w:rsidRPr="00FE5F44">
        <w:rPr>
          <w:sz w:val="24"/>
          <w:szCs w:val="24"/>
        </w:rPr>
        <w:t>Ultimately, this is a conflict that</w:t>
      </w:r>
      <w:r w:rsidR="00F94214" w:rsidRPr="00FE5F44">
        <w:rPr>
          <w:sz w:val="24"/>
          <w:szCs w:val="24"/>
        </w:rPr>
        <w:t xml:space="preserve"> raises questions for both policy and practice about whether the </w:t>
      </w:r>
      <w:r w:rsidR="002178A0" w:rsidRPr="00FE5F44">
        <w:rPr>
          <w:sz w:val="24"/>
          <w:szCs w:val="24"/>
        </w:rPr>
        <w:t xml:space="preserve">considerations of </w:t>
      </w:r>
      <w:r w:rsidR="00F94214" w:rsidRPr="00FE5F44">
        <w:rPr>
          <w:sz w:val="24"/>
          <w:szCs w:val="24"/>
        </w:rPr>
        <w:t>costs should</w:t>
      </w:r>
      <w:r w:rsidR="002178A0" w:rsidRPr="00FE5F44">
        <w:rPr>
          <w:sz w:val="24"/>
          <w:szCs w:val="24"/>
        </w:rPr>
        <w:t>, in this particular service context,</w:t>
      </w:r>
      <w:r w:rsidR="00F94214" w:rsidRPr="00FE5F44">
        <w:rPr>
          <w:sz w:val="24"/>
          <w:szCs w:val="24"/>
        </w:rPr>
        <w:t xml:space="preserve"> </w:t>
      </w:r>
      <w:r w:rsidR="002178A0" w:rsidRPr="00FE5F44">
        <w:rPr>
          <w:sz w:val="24"/>
          <w:szCs w:val="24"/>
        </w:rPr>
        <w:t xml:space="preserve">outweigh </w:t>
      </w:r>
      <w:r w:rsidR="002178A0" w:rsidRPr="00FE5F44">
        <w:rPr>
          <w:sz w:val="24"/>
          <w:szCs w:val="24"/>
        </w:rPr>
        <w:lastRenderedPageBreak/>
        <w:t>considerations of need and quality.</w:t>
      </w:r>
      <w:r w:rsidR="00414E15">
        <w:rPr>
          <w:sz w:val="24"/>
          <w:szCs w:val="24"/>
        </w:rPr>
        <w:t xml:space="preserve">  However, the relative novelty and high variation in current practice among CCN teams in the English healthcare setting implies the most cost-effective or cost-minimizing practice may be yet to emerge. </w:t>
      </w:r>
    </w:p>
    <w:p w14:paraId="45B9B417" w14:textId="77777777" w:rsidR="001E444F" w:rsidRPr="001E444F" w:rsidRDefault="001E444F" w:rsidP="003D71E8">
      <w:pPr>
        <w:autoSpaceDE w:val="0"/>
        <w:autoSpaceDN w:val="0"/>
        <w:adjustRightInd w:val="0"/>
        <w:spacing w:after="0" w:line="480" w:lineRule="auto"/>
        <w:rPr>
          <w:sz w:val="24"/>
          <w:szCs w:val="24"/>
        </w:rPr>
      </w:pPr>
    </w:p>
    <w:p w14:paraId="003EAB2E" w14:textId="77777777" w:rsidR="001E444F" w:rsidRPr="001E444F" w:rsidRDefault="001E444F" w:rsidP="003D71E8">
      <w:pPr>
        <w:autoSpaceDE w:val="0"/>
        <w:autoSpaceDN w:val="0"/>
        <w:adjustRightInd w:val="0"/>
        <w:spacing w:after="0" w:line="480" w:lineRule="auto"/>
        <w:rPr>
          <w:i/>
          <w:sz w:val="24"/>
          <w:szCs w:val="24"/>
        </w:rPr>
      </w:pPr>
      <w:r w:rsidRPr="001E444F">
        <w:rPr>
          <w:i/>
          <w:sz w:val="24"/>
          <w:szCs w:val="24"/>
        </w:rPr>
        <w:t>Limitations of this research</w:t>
      </w:r>
    </w:p>
    <w:p w14:paraId="1AB88F1A" w14:textId="27BD7578" w:rsidR="009F5D6F" w:rsidRDefault="001E444F" w:rsidP="003D71E8">
      <w:pPr>
        <w:autoSpaceDE w:val="0"/>
        <w:autoSpaceDN w:val="0"/>
        <w:adjustRightInd w:val="0"/>
        <w:spacing w:after="0" w:line="480" w:lineRule="auto"/>
        <w:rPr>
          <w:sz w:val="24"/>
          <w:szCs w:val="24"/>
        </w:rPr>
      </w:pPr>
      <w:r>
        <w:rPr>
          <w:sz w:val="24"/>
          <w:szCs w:val="24"/>
        </w:rPr>
        <w:t xml:space="preserve">This research has highlighted many of the challenges associated with quasi-experimental analyses, such as the ITS analysis which underpins this study.  Primarily, the lack of a randomised control greatly limits the ability to determine causal inference in this case between the HES estimates of total paediatric hospital bed days and the introduction of the CCN teams. While both analysis figures presented appear to show a reduction in bed days in both areas </w:t>
      </w:r>
      <w:r w:rsidR="008C7882">
        <w:rPr>
          <w:sz w:val="24"/>
          <w:szCs w:val="24"/>
        </w:rPr>
        <w:t>through</w:t>
      </w:r>
      <w:r>
        <w:rPr>
          <w:sz w:val="24"/>
          <w:szCs w:val="24"/>
        </w:rPr>
        <w:t xml:space="preserve"> the ITS analysis, the large level of background ‘noise’ in the data from unrelated changes in hospital policy and demands for healthcare erodes any statistical significance.</w:t>
      </w:r>
      <w:r w:rsidR="00760F96">
        <w:rPr>
          <w:sz w:val="24"/>
          <w:szCs w:val="24"/>
        </w:rPr>
        <w:t xml:space="preserve"> Furthermore, our ITS analysis assumes a fixed pre- and post-implementation slope, while in reality the marginal effect of the CCN teams is likely to diminish over the long term there was insufficient theoretical or empirical evidence with which to define this relationship.  </w:t>
      </w:r>
    </w:p>
    <w:p w14:paraId="054ACD62" w14:textId="77777777" w:rsidR="001E444F" w:rsidRDefault="001E444F" w:rsidP="003D71E8">
      <w:pPr>
        <w:autoSpaceDE w:val="0"/>
        <w:autoSpaceDN w:val="0"/>
        <w:adjustRightInd w:val="0"/>
        <w:spacing w:after="0" w:line="480" w:lineRule="auto"/>
        <w:rPr>
          <w:sz w:val="24"/>
          <w:szCs w:val="24"/>
        </w:rPr>
      </w:pPr>
    </w:p>
    <w:p w14:paraId="21B5CEF8" w14:textId="3BEE65C7" w:rsidR="001E444F" w:rsidRDefault="001E444F" w:rsidP="003D71E8">
      <w:pPr>
        <w:pStyle w:val="Default"/>
        <w:spacing w:line="480" w:lineRule="auto"/>
        <w:rPr>
          <w:rFonts w:asciiTheme="minorHAnsi" w:hAnsiTheme="minorHAnsi" w:cstheme="minorBidi"/>
        </w:rPr>
      </w:pPr>
      <w:r>
        <w:rPr>
          <w:rFonts w:asciiTheme="minorHAnsi" w:hAnsiTheme="minorHAnsi" w:cstheme="minorBidi"/>
        </w:rPr>
        <w:t xml:space="preserve">While the results presented here suggest the CCN teams did not lead to a cost saving to the NHS from reduced hospital activity, this result is by no means definitive.  The definition of ‘activity’ is limited to bed days and thus overlooks other areas of potential impact of the CCN teams, for example around primary and emergency care.  </w:t>
      </w:r>
      <w:r w:rsidR="009F5D6F">
        <w:rPr>
          <w:rFonts w:asciiTheme="minorHAnsi" w:hAnsiTheme="minorHAnsi" w:cstheme="minorBidi"/>
        </w:rPr>
        <w:t xml:space="preserve">Thus, the cost of the teams may be offset if other possible reductions in service use were </w:t>
      </w:r>
      <w:r w:rsidR="002012E6">
        <w:rPr>
          <w:rFonts w:asciiTheme="minorHAnsi" w:hAnsiTheme="minorHAnsi" w:cstheme="minorBidi"/>
        </w:rPr>
        <w:t xml:space="preserve">measured and </w:t>
      </w:r>
      <w:r w:rsidR="009F5D6F">
        <w:rPr>
          <w:rFonts w:asciiTheme="minorHAnsi" w:hAnsiTheme="minorHAnsi" w:cstheme="minorBidi"/>
        </w:rPr>
        <w:t xml:space="preserve">observed.  Impact on primary care was not measured in this </w:t>
      </w:r>
      <w:r w:rsidR="002012E6">
        <w:rPr>
          <w:rFonts w:asciiTheme="minorHAnsi" w:hAnsiTheme="minorHAnsi" w:cstheme="minorBidi"/>
        </w:rPr>
        <w:t>research</w:t>
      </w:r>
      <w:r w:rsidR="009F5D6F">
        <w:rPr>
          <w:rFonts w:asciiTheme="minorHAnsi" w:hAnsiTheme="minorHAnsi" w:cstheme="minorBidi"/>
        </w:rPr>
        <w:t xml:space="preserve">.  </w:t>
      </w:r>
      <w:r>
        <w:rPr>
          <w:rFonts w:asciiTheme="minorHAnsi" w:hAnsiTheme="minorHAnsi" w:cstheme="minorBidi"/>
        </w:rPr>
        <w:t xml:space="preserve">Furthermore, the limited focus </w:t>
      </w:r>
      <w:r>
        <w:rPr>
          <w:rFonts w:asciiTheme="minorHAnsi" w:hAnsiTheme="minorHAnsi" w:cstheme="minorBidi"/>
        </w:rPr>
        <w:lastRenderedPageBreak/>
        <w:t>of the analysis on costs alone fails to value the non-monetary benefits of the CCN teams to their patients and families</w:t>
      </w:r>
      <w:r w:rsidR="00CD2FC1">
        <w:rPr>
          <w:rFonts w:asciiTheme="minorHAnsi" w:hAnsiTheme="minorHAnsi" w:cstheme="minorBidi"/>
        </w:rPr>
        <w:t>.</w:t>
      </w:r>
    </w:p>
    <w:p w14:paraId="0B8AF85D" w14:textId="63E51752" w:rsidR="005D25F2" w:rsidRDefault="00CB6303" w:rsidP="00CB6303">
      <w:pPr>
        <w:pStyle w:val="Default"/>
        <w:spacing w:line="480" w:lineRule="auto"/>
        <w:rPr>
          <w:rFonts w:asciiTheme="minorHAnsi" w:hAnsiTheme="minorHAnsi" w:cstheme="minorBidi"/>
        </w:rPr>
      </w:pPr>
      <w:r>
        <w:rPr>
          <w:rFonts w:asciiTheme="minorHAnsi" w:hAnsiTheme="minorHAnsi" w:cstheme="minorBidi"/>
        </w:rPr>
        <w:t xml:space="preserve">To attempt to overcome these limitations </w:t>
      </w:r>
      <w:r w:rsidR="005D25F2">
        <w:rPr>
          <w:rFonts w:asciiTheme="minorHAnsi" w:hAnsiTheme="minorHAnsi" w:cstheme="minorBidi"/>
        </w:rPr>
        <w:t>a number of parents in site 1 were approached to complete questionnaires concerning the 6 month period before allocation to a CCN team as well as the 6 month period after, these included a wider definition of medical care utilisation (covering</w:t>
      </w:r>
      <w:r w:rsidR="00F47FBC">
        <w:rPr>
          <w:rFonts w:asciiTheme="minorHAnsi" w:hAnsiTheme="minorHAnsi" w:cstheme="minorBidi"/>
        </w:rPr>
        <w:t xml:space="preserve"> all relevant</w:t>
      </w:r>
      <w:r w:rsidR="005D25F2">
        <w:rPr>
          <w:rFonts w:asciiTheme="minorHAnsi" w:hAnsiTheme="minorHAnsi" w:cstheme="minorBidi"/>
        </w:rPr>
        <w:t xml:space="preserve"> primary and secondary care) in addition to out of pocket payments and lost days of employment to provide care.  Using the wider, parent reported, estimate of healthcare, </w:t>
      </w:r>
      <w:r w:rsidR="005D25F2" w:rsidRPr="005D25F2">
        <w:rPr>
          <w:rFonts w:asciiTheme="minorHAnsi" w:hAnsiTheme="minorHAnsi" w:cstheme="minorBidi"/>
        </w:rPr>
        <w:t xml:space="preserve">the children with complex conditions </w:t>
      </w:r>
      <w:r w:rsidR="005D25F2">
        <w:rPr>
          <w:rFonts w:asciiTheme="minorHAnsi" w:hAnsiTheme="minorHAnsi" w:cstheme="minorBidi"/>
        </w:rPr>
        <w:t>were found to be associated with an average of</w:t>
      </w:r>
      <w:r w:rsidR="005D25F2" w:rsidRPr="005D25F2">
        <w:rPr>
          <w:rFonts w:asciiTheme="minorHAnsi" w:hAnsiTheme="minorHAnsi" w:cstheme="minorBidi"/>
        </w:rPr>
        <w:t xml:space="preserve"> £9,160 </w:t>
      </w:r>
      <w:r w:rsidR="005D25F2">
        <w:rPr>
          <w:rFonts w:asciiTheme="minorHAnsi" w:hAnsiTheme="minorHAnsi" w:cstheme="minorBidi"/>
        </w:rPr>
        <w:t>less</w:t>
      </w:r>
      <w:r w:rsidR="005D25F2" w:rsidRPr="005D25F2">
        <w:rPr>
          <w:rFonts w:asciiTheme="minorHAnsi" w:hAnsiTheme="minorHAnsi" w:cstheme="minorBidi"/>
        </w:rPr>
        <w:t xml:space="preserve"> </w:t>
      </w:r>
      <w:r w:rsidR="005D25F2">
        <w:rPr>
          <w:rFonts w:asciiTheme="minorHAnsi" w:hAnsiTheme="minorHAnsi" w:cstheme="minorBidi"/>
        </w:rPr>
        <w:t xml:space="preserve">healthcare utilisation (not including the cost of the CCN care delivered), and </w:t>
      </w:r>
      <w:r w:rsidR="005D25F2" w:rsidRPr="005D25F2">
        <w:rPr>
          <w:rFonts w:asciiTheme="minorHAnsi" w:hAnsiTheme="minorHAnsi" w:cstheme="minorBidi"/>
        </w:rPr>
        <w:t xml:space="preserve">parents </w:t>
      </w:r>
      <w:r w:rsidR="005D25F2">
        <w:rPr>
          <w:rFonts w:asciiTheme="minorHAnsi" w:hAnsiTheme="minorHAnsi" w:cstheme="minorBidi"/>
        </w:rPr>
        <w:t>an average of £5</w:t>
      </w:r>
      <w:r w:rsidR="005D25F2" w:rsidRPr="005D25F2">
        <w:rPr>
          <w:rFonts w:asciiTheme="minorHAnsi" w:hAnsiTheme="minorHAnsi" w:cstheme="minorBidi"/>
        </w:rPr>
        <w:t xml:space="preserve">85 better off in the 6 months </w:t>
      </w:r>
      <w:r w:rsidR="005D25F2">
        <w:rPr>
          <w:rFonts w:asciiTheme="minorHAnsi" w:hAnsiTheme="minorHAnsi" w:cstheme="minorBidi"/>
        </w:rPr>
        <w:t>after</w:t>
      </w:r>
      <w:r w:rsidR="005D25F2" w:rsidRPr="005D25F2">
        <w:rPr>
          <w:rFonts w:asciiTheme="minorHAnsi" w:hAnsiTheme="minorHAnsi" w:cstheme="minorBidi"/>
        </w:rPr>
        <w:t xml:space="preserve"> allocation to the CCN</w:t>
      </w:r>
      <w:r w:rsidR="005D25F2">
        <w:rPr>
          <w:rFonts w:asciiTheme="minorHAnsi" w:hAnsiTheme="minorHAnsi" w:cstheme="minorBidi"/>
        </w:rPr>
        <w:t xml:space="preserve"> team</w:t>
      </w:r>
      <w:r w:rsidR="005D25F2" w:rsidRPr="005D25F2">
        <w:rPr>
          <w:rFonts w:asciiTheme="minorHAnsi" w:hAnsiTheme="minorHAnsi" w:cstheme="minorBidi"/>
        </w:rPr>
        <w:t>.</w:t>
      </w:r>
      <w:r w:rsidR="005D25F2">
        <w:rPr>
          <w:rFonts w:asciiTheme="minorHAnsi" w:hAnsiTheme="minorHAnsi" w:cstheme="minorBidi"/>
        </w:rPr>
        <w:t xml:space="preserve">  However, parents reported difficulty in accurately</w:t>
      </w:r>
      <w:r w:rsidR="00FD525F">
        <w:rPr>
          <w:rFonts w:asciiTheme="minorHAnsi" w:hAnsiTheme="minorHAnsi" w:cstheme="minorBidi"/>
        </w:rPr>
        <w:t xml:space="preserve"> remembering their children’s care over the periods and only two full questionnaires were returned (with an additional three completed for the 6 months prior to allocation, and 12 completed for the 6 months after).  As a result, while this approach allowed for both a wider definition of healthcare utilisation and costs to the parents and carers, the potential bias was felt by the authors to be too significant to inform the primary analysis of this study.</w:t>
      </w:r>
      <w:r>
        <w:rPr>
          <w:rFonts w:asciiTheme="minorHAnsi" w:hAnsiTheme="minorHAnsi" w:cstheme="minorBidi"/>
        </w:rPr>
        <w:t xml:space="preserve">  The questionnaire additionally included an adapted version of the </w:t>
      </w:r>
      <w:r w:rsidRPr="00CB6303">
        <w:rPr>
          <w:rFonts w:asciiTheme="minorHAnsi" w:hAnsiTheme="minorHAnsi" w:cstheme="minorBidi"/>
        </w:rPr>
        <w:t>Medical Home Family Index questionnaires</w:t>
      </w:r>
      <w:r>
        <w:rPr>
          <w:rFonts w:asciiTheme="minorHAnsi" w:hAnsiTheme="minorHAnsi" w:cstheme="minorBidi"/>
        </w:rPr>
        <w:t xml:space="preserve"> which </w:t>
      </w:r>
      <w:r w:rsidRPr="00CB6303">
        <w:rPr>
          <w:rFonts w:asciiTheme="minorHAnsi" w:hAnsiTheme="minorHAnsi" w:cstheme="minorBidi"/>
        </w:rPr>
        <w:t>suggested an overall high level of satisfaction with the</w:t>
      </w:r>
      <w:r>
        <w:rPr>
          <w:rFonts w:asciiTheme="minorHAnsi" w:hAnsiTheme="minorHAnsi" w:cstheme="minorBidi"/>
        </w:rPr>
        <w:t xml:space="preserve"> </w:t>
      </w:r>
      <w:r w:rsidRPr="00CB6303">
        <w:rPr>
          <w:rFonts w:asciiTheme="minorHAnsi" w:hAnsiTheme="minorHAnsi" w:cstheme="minorBidi"/>
        </w:rPr>
        <w:t>level of care, which remained high throughout the analysis period</w:t>
      </w:r>
      <w:r>
        <w:rPr>
          <w:rFonts w:asciiTheme="minorHAnsi" w:hAnsiTheme="minorHAnsi" w:cstheme="minorBidi"/>
        </w:rPr>
        <w:t>.  Further details of these analyses are available in the main study report.</w:t>
      </w:r>
      <w:r>
        <w:rPr>
          <w:rFonts w:asciiTheme="minorHAnsi" w:hAnsiTheme="minorHAnsi" w:cstheme="minorBidi"/>
        </w:rPr>
        <w:fldChar w:fldCharType="begin"/>
      </w:r>
      <w:r>
        <w:rPr>
          <w:rFonts w:asciiTheme="minorHAnsi" w:hAnsiTheme="minorHAnsi" w:cstheme="minorBidi"/>
        </w:rPr>
        <w:instrText xml:space="preserve"> ADDIN EN.CITE &lt;EndNote&gt;&lt;Cite&gt;&lt;Author&gt;Spiers G&lt;/Author&gt;&lt;Year&gt;2016&lt;/Year&gt;&lt;RecNum&gt;6&lt;/RecNum&gt;&lt;DisplayText&gt;&lt;style face="superscript"&gt;6&lt;/style&gt;&lt;/DisplayText&gt;&lt;record&gt;&lt;rec-number&gt;6&lt;/rec-number&gt;&lt;foreign-keys&gt;&lt;key app="EN" db-id="29fa5xa2uxswsaetva4ptteo50epz9wv0w0x" timestamp="1483545107"&gt;6&lt;/key&gt;&lt;/foreign-keys&gt;&lt;ref-type name="Journal Article"&gt;17&lt;/ref-type&gt;&lt;contributors&gt;&lt;authors&gt;&lt;author&gt;Spiers G, &lt;/author&gt;&lt;author&gt;Allgar V, &lt;/author&gt;&lt;author&gt;Richardson G, &lt;/author&gt;&lt;author&gt;Thurland K, &lt;/author&gt;&lt;author&gt;Hinde S, &lt;/author&gt;&lt;author&gt;Birks Y, &lt;/author&gt;&lt;author&gt;Gridley K, &lt;/author&gt;&lt;author&gt;Duncan H, &lt;/author&gt;&lt;author&gt;Clarke S, &lt;/author&gt;&lt;author&gt;Cusworth L, &lt;/author&gt;&lt;author&gt;Parker G. &lt;/author&gt;&lt;/authors&gt;&lt;/contributors&gt;&lt;titles&gt;&lt;title&gt;Transforming Community Health Services for Children and Young People who are Ill: A Quasi-Experimental Evaluation&lt;/title&gt;&lt;secondary-title&gt;HS&amp;amp;DR &lt;/secondary-title&gt;&lt;/titles&gt;&lt;volume&gt;4&lt;/volume&gt;&lt;number&gt;25&lt;/number&gt;&lt;dates&gt;&lt;year&gt;2016&lt;/year&gt;&lt;/dates&gt;&lt;urls&gt;&lt;/urls&gt;&lt;/record&gt;&lt;/Cite&gt;&lt;/EndNote&gt;</w:instrText>
      </w:r>
      <w:r>
        <w:rPr>
          <w:rFonts w:asciiTheme="minorHAnsi" w:hAnsiTheme="minorHAnsi" w:cstheme="minorBidi"/>
        </w:rPr>
        <w:fldChar w:fldCharType="separate"/>
      </w:r>
      <w:r w:rsidRPr="00CB6303">
        <w:rPr>
          <w:rFonts w:asciiTheme="minorHAnsi" w:hAnsiTheme="minorHAnsi" w:cstheme="minorBidi"/>
          <w:noProof/>
          <w:vertAlign w:val="superscript"/>
        </w:rPr>
        <w:t>6</w:t>
      </w:r>
      <w:r>
        <w:rPr>
          <w:rFonts w:asciiTheme="minorHAnsi" w:hAnsiTheme="minorHAnsi" w:cstheme="minorBidi"/>
        </w:rPr>
        <w:fldChar w:fldCharType="end"/>
      </w:r>
    </w:p>
    <w:p w14:paraId="136B9D9C" w14:textId="77777777" w:rsidR="005D25F2" w:rsidRDefault="005D25F2" w:rsidP="003D71E8">
      <w:pPr>
        <w:pStyle w:val="Default"/>
        <w:spacing w:line="480" w:lineRule="auto"/>
        <w:rPr>
          <w:rFonts w:asciiTheme="minorHAnsi" w:hAnsiTheme="minorHAnsi" w:cstheme="minorBidi"/>
        </w:rPr>
      </w:pPr>
    </w:p>
    <w:p w14:paraId="2CF6723E" w14:textId="77777777" w:rsidR="00CD2FC1" w:rsidRDefault="00CD2FC1" w:rsidP="00F963EF">
      <w:pPr>
        <w:pStyle w:val="Default"/>
        <w:spacing w:line="480" w:lineRule="auto"/>
        <w:ind w:left="1440"/>
        <w:rPr>
          <w:rFonts w:asciiTheme="minorHAnsi" w:hAnsiTheme="minorHAnsi" w:cstheme="minorBidi"/>
        </w:rPr>
      </w:pPr>
    </w:p>
    <w:p w14:paraId="4A1EC646" w14:textId="77777777" w:rsidR="00CD2FC1" w:rsidRDefault="00CD2FC1" w:rsidP="003D71E8">
      <w:pPr>
        <w:pStyle w:val="Default"/>
        <w:spacing w:line="480" w:lineRule="auto"/>
        <w:rPr>
          <w:rFonts w:asciiTheme="minorHAnsi" w:hAnsiTheme="minorHAnsi" w:cstheme="minorBidi"/>
        </w:rPr>
      </w:pPr>
    </w:p>
    <w:p w14:paraId="25FB5482" w14:textId="064AD5B7" w:rsidR="001E444F" w:rsidRDefault="001E444F" w:rsidP="003D71E8">
      <w:pPr>
        <w:spacing w:line="480" w:lineRule="auto"/>
        <w:rPr>
          <w:b/>
          <w:sz w:val="24"/>
          <w:szCs w:val="24"/>
        </w:rPr>
      </w:pPr>
      <w:r>
        <w:rPr>
          <w:b/>
          <w:sz w:val="24"/>
          <w:szCs w:val="24"/>
        </w:rPr>
        <w:t>Conclusions</w:t>
      </w:r>
    </w:p>
    <w:p w14:paraId="35E5CD74" w14:textId="6FC28E95" w:rsidR="001E444F" w:rsidRDefault="001E444F" w:rsidP="003D71E8">
      <w:pPr>
        <w:spacing w:line="480" w:lineRule="auto"/>
        <w:rPr>
          <w:sz w:val="24"/>
          <w:szCs w:val="24"/>
        </w:rPr>
      </w:pPr>
      <w:r w:rsidRPr="00190138">
        <w:rPr>
          <w:sz w:val="24"/>
          <w:szCs w:val="24"/>
        </w:rPr>
        <w:lastRenderedPageBreak/>
        <w:t xml:space="preserve">The analyses conducted </w:t>
      </w:r>
      <w:r w:rsidR="00750729">
        <w:rPr>
          <w:sz w:val="24"/>
          <w:szCs w:val="24"/>
        </w:rPr>
        <w:t>here</w:t>
      </w:r>
      <w:r w:rsidR="00FE5F44">
        <w:rPr>
          <w:sz w:val="24"/>
          <w:szCs w:val="24"/>
        </w:rPr>
        <w:t xml:space="preserve"> </w:t>
      </w:r>
      <w:r w:rsidRPr="00190138">
        <w:rPr>
          <w:sz w:val="24"/>
          <w:szCs w:val="24"/>
        </w:rPr>
        <w:t xml:space="preserve">as part of </w:t>
      </w:r>
      <w:r w:rsidR="00750729">
        <w:rPr>
          <w:sz w:val="24"/>
          <w:szCs w:val="24"/>
        </w:rPr>
        <w:t>a wider</w:t>
      </w:r>
      <w:r w:rsidRPr="00190138">
        <w:rPr>
          <w:sz w:val="24"/>
          <w:szCs w:val="24"/>
        </w:rPr>
        <w:t xml:space="preserve"> study </w:t>
      </w:r>
      <w:r w:rsidR="00750729">
        <w:rPr>
          <w:sz w:val="24"/>
          <w:szCs w:val="24"/>
        </w:rPr>
        <w:t>provide</w:t>
      </w:r>
      <w:r w:rsidRPr="00190138">
        <w:rPr>
          <w:sz w:val="24"/>
          <w:szCs w:val="24"/>
        </w:rPr>
        <w:t xml:space="preserve"> a number of important findings. Primarily, the ITS analysis found that, while a reduction in hospital activity</w:t>
      </w:r>
      <w:r>
        <w:rPr>
          <w:sz w:val="24"/>
          <w:szCs w:val="24"/>
        </w:rPr>
        <w:t xml:space="preserve"> measured in bed days</w:t>
      </w:r>
      <w:r w:rsidRPr="00190138">
        <w:rPr>
          <w:sz w:val="24"/>
          <w:szCs w:val="24"/>
        </w:rPr>
        <w:t xml:space="preserve"> was seen</w:t>
      </w:r>
      <w:r>
        <w:rPr>
          <w:sz w:val="24"/>
          <w:szCs w:val="24"/>
        </w:rPr>
        <w:t xml:space="preserve"> as a result of the CCN team</w:t>
      </w:r>
      <w:r w:rsidRPr="00190138">
        <w:rPr>
          <w:sz w:val="24"/>
          <w:szCs w:val="24"/>
        </w:rPr>
        <w:t xml:space="preserve"> in the majority of analyses, </w:t>
      </w:r>
      <w:r>
        <w:rPr>
          <w:sz w:val="24"/>
          <w:szCs w:val="24"/>
        </w:rPr>
        <w:t>it did not reach statistical significance</w:t>
      </w:r>
      <w:r w:rsidRPr="00190138">
        <w:rPr>
          <w:sz w:val="24"/>
          <w:szCs w:val="24"/>
        </w:rPr>
        <w:t xml:space="preserve">.  </w:t>
      </w:r>
      <w:r>
        <w:rPr>
          <w:sz w:val="24"/>
          <w:szCs w:val="24"/>
        </w:rPr>
        <w:t>Secondly, t</w:t>
      </w:r>
      <w:r w:rsidRPr="00190138">
        <w:rPr>
          <w:sz w:val="24"/>
          <w:szCs w:val="24"/>
        </w:rPr>
        <w:t xml:space="preserve">he costing analyses found that, on average, </w:t>
      </w:r>
      <w:r>
        <w:rPr>
          <w:sz w:val="24"/>
          <w:szCs w:val="24"/>
        </w:rPr>
        <w:t>neither</w:t>
      </w:r>
      <w:r w:rsidRPr="00190138">
        <w:rPr>
          <w:sz w:val="24"/>
          <w:szCs w:val="24"/>
        </w:rPr>
        <w:t xml:space="preserve"> of the CCN teams were expected to be associated with a cost saving</w:t>
      </w:r>
      <w:r>
        <w:rPr>
          <w:sz w:val="24"/>
          <w:szCs w:val="24"/>
        </w:rPr>
        <w:t xml:space="preserve"> when considering the reduction in bed days alone. </w:t>
      </w:r>
    </w:p>
    <w:p w14:paraId="4C07A6E5" w14:textId="2A50347E" w:rsidR="001E444F" w:rsidRPr="00190138" w:rsidRDefault="001E444F" w:rsidP="003D71E8">
      <w:pPr>
        <w:spacing w:line="480" w:lineRule="auto"/>
        <w:rPr>
          <w:sz w:val="24"/>
          <w:szCs w:val="24"/>
        </w:rPr>
      </w:pPr>
      <w:r w:rsidRPr="00190138">
        <w:rPr>
          <w:sz w:val="24"/>
          <w:szCs w:val="24"/>
        </w:rPr>
        <w:t>In conclusion</w:t>
      </w:r>
      <w:r>
        <w:rPr>
          <w:sz w:val="24"/>
          <w:szCs w:val="24"/>
        </w:rPr>
        <w:t xml:space="preserve">, while these results show potential for CCN teams to reduce hospital activity, </w:t>
      </w:r>
      <w:r w:rsidRPr="00190138">
        <w:rPr>
          <w:sz w:val="24"/>
          <w:szCs w:val="24"/>
        </w:rPr>
        <w:t xml:space="preserve">further research is needed </w:t>
      </w:r>
      <w:r>
        <w:rPr>
          <w:sz w:val="24"/>
          <w:szCs w:val="24"/>
        </w:rPr>
        <w:t xml:space="preserve">in a number of areas.  The ethical and methodological challenges of evaluating a CCN team using </w:t>
      </w:r>
      <w:r w:rsidR="00753C00">
        <w:rPr>
          <w:sz w:val="24"/>
          <w:szCs w:val="24"/>
        </w:rPr>
        <w:t xml:space="preserve">a </w:t>
      </w:r>
      <w:proofErr w:type="gramStart"/>
      <w:r w:rsidR="00753C00">
        <w:rPr>
          <w:sz w:val="24"/>
          <w:szCs w:val="24"/>
        </w:rPr>
        <w:t xml:space="preserve">robust </w:t>
      </w:r>
      <w:r>
        <w:rPr>
          <w:sz w:val="24"/>
          <w:szCs w:val="24"/>
        </w:rPr>
        <w:t xml:space="preserve"> methodology</w:t>
      </w:r>
      <w:proofErr w:type="gramEnd"/>
      <w:r>
        <w:rPr>
          <w:sz w:val="24"/>
          <w:szCs w:val="24"/>
        </w:rPr>
        <w:t xml:space="preserve"> </w:t>
      </w:r>
      <w:r w:rsidRPr="00190138">
        <w:rPr>
          <w:sz w:val="24"/>
          <w:szCs w:val="24"/>
        </w:rPr>
        <w:t>highlight that the approach presented remains the most robust so should be developed further, incorporation of wider definition of impact of teams on NHS activity, derivation of marginal unit cost estimate</w:t>
      </w:r>
      <w:r>
        <w:rPr>
          <w:sz w:val="24"/>
          <w:szCs w:val="24"/>
        </w:rPr>
        <w:t>s</w:t>
      </w:r>
      <w:r w:rsidRPr="00190138">
        <w:rPr>
          <w:sz w:val="24"/>
          <w:szCs w:val="24"/>
        </w:rPr>
        <w:t xml:space="preserve">, </w:t>
      </w:r>
      <w:r>
        <w:rPr>
          <w:sz w:val="24"/>
          <w:szCs w:val="24"/>
        </w:rPr>
        <w:t>and the estimation</w:t>
      </w:r>
      <w:r w:rsidRPr="00190138">
        <w:rPr>
          <w:sz w:val="24"/>
          <w:szCs w:val="24"/>
        </w:rPr>
        <w:t xml:space="preserve"> of the health consequences of the teams </w:t>
      </w:r>
      <w:r>
        <w:rPr>
          <w:sz w:val="24"/>
          <w:szCs w:val="24"/>
        </w:rPr>
        <w:t>in terms of their ability to maintain or stabilise the health of the children.</w:t>
      </w:r>
      <w:r w:rsidR="00C854F1">
        <w:rPr>
          <w:sz w:val="24"/>
          <w:szCs w:val="24"/>
        </w:rPr>
        <w:t xml:space="preserve"> </w:t>
      </w:r>
      <w:r w:rsidR="00414E15">
        <w:rPr>
          <w:sz w:val="24"/>
          <w:szCs w:val="24"/>
        </w:rPr>
        <w:t xml:space="preserve"> Furthermore, the relative novelty and </w:t>
      </w:r>
      <w:r w:rsidR="00196ABD">
        <w:rPr>
          <w:sz w:val="24"/>
          <w:szCs w:val="24"/>
        </w:rPr>
        <w:t>service driven nature of the CCN model of care suggests that the most cost-ef</w:t>
      </w:r>
      <w:r w:rsidR="0002187F">
        <w:rPr>
          <w:sz w:val="24"/>
          <w:szCs w:val="24"/>
        </w:rPr>
        <w:t>fective service design has yet emerged</w:t>
      </w:r>
      <w:r w:rsidR="00196ABD">
        <w:rPr>
          <w:sz w:val="24"/>
          <w:szCs w:val="24"/>
        </w:rPr>
        <w:t>.</w:t>
      </w:r>
    </w:p>
    <w:p w14:paraId="5C9A6B2B" w14:textId="77777777" w:rsidR="001E444F" w:rsidRPr="004B41B9" w:rsidRDefault="001E444F" w:rsidP="003D71E8">
      <w:pPr>
        <w:spacing w:line="480" w:lineRule="auto"/>
        <w:rPr>
          <w:sz w:val="24"/>
          <w:szCs w:val="24"/>
        </w:rPr>
      </w:pPr>
    </w:p>
    <w:p w14:paraId="0A6EABA9" w14:textId="77777777" w:rsidR="00FE5F44" w:rsidRDefault="00FE5F44" w:rsidP="003D71E8">
      <w:pPr>
        <w:autoSpaceDE w:val="0"/>
        <w:autoSpaceDN w:val="0"/>
        <w:adjustRightInd w:val="0"/>
        <w:spacing w:after="0" w:line="480" w:lineRule="auto"/>
        <w:rPr>
          <w:sz w:val="24"/>
          <w:szCs w:val="24"/>
        </w:rPr>
        <w:sectPr w:rsidR="00FE5F44">
          <w:pgSz w:w="11906" w:h="16838"/>
          <w:pgMar w:top="1440" w:right="1440" w:bottom="1440" w:left="1440" w:header="708" w:footer="708" w:gutter="0"/>
          <w:cols w:space="708"/>
          <w:docGrid w:linePitch="360"/>
        </w:sectPr>
      </w:pPr>
    </w:p>
    <w:p w14:paraId="2AECCD9B" w14:textId="15E4ED42" w:rsidR="00D82B38" w:rsidRDefault="00D63A74" w:rsidP="003D71E8">
      <w:pPr>
        <w:autoSpaceDE w:val="0"/>
        <w:autoSpaceDN w:val="0"/>
        <w:adjustRightInd w:val="0"/>
        <w:spacing w:after="0" w:line="480" w:lineRule="auto"/>
        <w:rPr>
          <w:sz w:val="24"/>
          <w:szCs w:val="24"/>
        </w:rPr>
      </w:pPr>
      <w:r>
        <w:rPr>
          <w:sz w:val="24"/>
          <w:szCs w:val="24"/>
        </w:rPr>
        <w:lastRenderedPageBreak/>
        <w:t>References</w:t>
      </w:r>
    </w:p>
    <w:p w14:paraId="10AFF99A" w14:textId="77777777" w:rsidR="00CB6303" w:rsidRPr="00CB6303" w:rsidRDefault="00D82B38" w:rsidP="00CB6303">
      <w:pPr>
        <w:pStyle w:val="EndNoteBibliography"/>
        <w:spacing w:after="0"/>
        <w:ind w:left="720" w:hanging="720"/>
      </w:pPr>
      <w:r>
        <w:rPr>
          <w:sz w:val="24"/>
          <w:szCs w:val="24"/>
        </w:rPr>
        <w:fldChar w:fldCharType="begin"/>
      </w:r>
      <w:r>
        <w:rPr>
          <w:sz w:val="24"/>
          <w:szCs w:val="24"/>
        </w:rPr>
        <w:instrText xml:space="preserve"> ADDIN EN.REFLIST </w:instrText>
      </w:r>
      <w:r>
        <w:rPr>
          <w:sz w:val="24"/>
          <w:szCs w:val="24"/>
        </w:rPr>
        <w:fldChar w:fldCharType="separate"/>
      </w:r>
      <w:r w:rsidR="00CB6303" w:rsidRPr="00CB6303">
        <w:rPr>
          <w:b/>
        </w:rPr>
        <w:t>1.</w:t>
      </w:r>
      <w:r w:rsidR="00CB6303" w:rsidRPr="00CB6303">
        <w:tab/>
        <w:t xml:space="preserve">Department of Health. NHS at Home: Community Children’s Nursing Services. </w:t>
      </w:r>
      <w:r w:rsidR="00CB6303" w:rsidRPr="00CB6303">
        <w:rPr>
          <w:i/>
        </w:rPr>
        <w:t xml:space="preserve">London: Department of Health. </w:t>
      </w:r>
      <w:r w:rsidR="00CB6303" w:rsidRPr="00CB6303">
        <w:t>2011.</w:t>
      </w:r>
    </w:p>
    <w:p w14:paraId="5012FCC0" w14:textId="77777777" w:rsidR="00CB6303" w:rsidRPr="00CB6303" w:rsidRDefault="00CB6303" w:rsidP="00CB6303">
      <w:pPr>
        <w:pStyle w:val="EndNoteBibliography"/>
        <w:spacing w:after="0"/>
        <w:ind w:left="720" w:hanging="720"/>
      </w:pPr>
      <w:r w:rsidRPr="00CB6303">
        <w:rPr>
          <w:b/>
        </w:rPr>
        <w:t>2.</w:t>
      </w:r>
      <w:r w:rsidRPr="00CB6303">
        <w:tab/>
        <w:t>Department of Health. Transforming Community Services: Ambition, Action, Achievement. Transforming Services for Children, Young People and Families. London: Department of Health; 2009.</w:t>
      </w:r>
    </w:p>
    <w:p w14:paraId="6E0135B9" w14:textId="77777777" w:rsidR="00CB6303" w:rsidRPr="00CB6303" w:rsidRDefault="00CB6303" w:rsidP="00CB6303">
      <w:pPr>
        <w:pStyle w:val="EndNoteBibliography"/>
        <w:spacing w:after="0"/>
        <w:ind w:left="720" w:hanging="720"/>
      </w:pPr>
      <w:r w:rsidRPr="00CB6303">
        <w:rPr>
          <w:b/>
        </w:rPr>
        <w:t>3.</w:t>
      </w:r>
      <w:r w:rsidRPr="00CB6303">
        <w:tab/>
        <w:t xml:space="preserve">Parker G, Corden A, Heaton J. Experiences of and influences on continuity of care for service users and carers: synthesis of evidence from a research programme. </w:t>
      </w:r>
      <w:r w:rsidRPr="00CB6303">
        <w:rPr>
          <w:i/>
        </w:rPr>
        <w:t xml:space="preserve">Health Soc Care Community. </w:t>
      </w:r>
      <w:r w:rsidRPr="00CB6303">
        <w:t>Nov 2011;19(6):576-601.</w:t>
      </w:r>
    </w:p>
    <w:p w14:paraId="1231BE69" w14:textId="77777777" w:rsidR="00CB6303" w:rsidRPr="00CB6303" w:rsidRDefault="00CB6303" w:rsidP="00CB6303">
      <w:pPr>
        <w:pStyle w:val="EndNoteBibliography"/>
        <w:spacing w:after="0"/>
        <w:ind w:left="720" w:hanging="720"/>
      </w:pPr>
      <w:r w:rsidRPr="00CB6303">
        <w:rPr>
          <w:b/>
        </w:rPr>
        <w:t>4.</w:t>
      </w:r>
      <w:r w:rsidRPr="00CB6303">
        <w:tab/>
        <w:t xml:space="preserve">Callery P, Kyle RG, Banks M, Ewing C, Kirk S. Enhancing parents' confidence to care in acute childhood illness: triangulation of findings from a mixed methods study of Community Children's Nursing. </w:t>
      </w:r>
      <w:r w:rsidRPr="00CB6303">
        <w:rPr>
          <w:i/>
        </w:rPr>
        <w:t xml:space="preserve">Journal of Advanced Nursing. </w:t>
      </w:r>
      <w:r w:rsidRPr="00CB6303">
        <w:t>2013;69(11):2538-2548.</w:t>
      </w:r>
    </w:p>
    <w:p w14:paraId="7204DDE5" w14:textId="77777777" w:rsidR="00CB6303" w:rsidRPr="00CB6303" w:rsidRDefault="00CB6303" w:rsidP="00CB6303">
      <w:pPr>
        <w:pStyle w:val="EndNoteBibliography"/>
        <w:spacing w:after="0"/>
        <w:ind w:left="720" w:hanging="720"/>
      </w:pPr>
      <w:r w:rsidRPr="00CB6303">
        <w:rPr>
          <w:b/>
        </w:rPr>
        <w:t>5.</w:t>
      </w:r>
      <w:r w:rsidRPr="00CB6303">
        <w:tab/>
        <w:t xml:space="preserve">Kirk S. Families' experiences of caring at home for a technology-dependent child: a review of the literature. </w:t>
      </w:r>
      <w:r w:rsidRPr="00CB6303">
        <w:rPr>
          <w:i/>
        </w:rPr>
        <w:t xml:space="preserve">Child Care Health Dev. </w:t>
      </w:r>
      <w:r w:rsidRPr="00CB6303">
        <w:t>Mar 1998;24(2):101-114.</w:t>
      </w:r>
    </w:p>
    <w:p w14:paraId="17E3B4BC" w14:textId="77777777" w:rsidR="00CB6303" w:rsidRPr="00CB6303" w:rsidRDefault="00CB6303" w:rsidP="00CB6303">
      <w:pPr>
        <w:pStyle w:val="EndNoteBibliography"/>
        <w:spacing w:after="0"/>
        <w:ind w:left="720" w:hanging="720"/>
      </w:pPr>
      <w:r w:rsidRPr="00CB6303">
        <w:rPr>
          <w:b/>
        </w:rPr>
        <w:t>6.</w:t>
      </w:r>
      <w:r w:rsidRPr="00CB6303">
        <w:tab/>
        <w:t xml:space="preserve">Spiers G, Allgar V, Richardson G, et al. Transforming Community Health Services for Children and Young People who are Ill: A Quasi-Experimental Evaluation. </w:t>
      </w:r>
      <w:r w:rsidRPr="00CB6303">
        <w:rPr>
          <w:i/>
        </w:rPr>
        <w:t xml:space="preserve">HS&amp;DR </w:t>
      </w:r>
      <w:r w:rsidRPr="00CB6303">
        <w:t>2016;4(25).</w:t>
      </w:r>
    </w:p>
    <w:p w14:paraId="34429AAC" w14:textId="77777777" w:rsidR="00CB6303" w:rsidRPr="00CB6303" w:rsidRDefault="00CB6303" w:rsidP="00CB6303">
      <w:pPr>
        <w:pStyle w:val="EndNoteBibliography"/>
        <w:spacing w:after="0"/>
        <w:ind w:left="720" w:hanging="720"/>
      </w:pPr>
      <w:r w:rsidRPr="00CB6303">
        <w:rPr>
          <w:b/>
        </w:rPr>
        <w:t>7.</w:t>
      </w:r>
      <w:r w:rsidRPr="00CB6303">
        <w:tab/>
        <w:t xml:space="preserve">PSSRU. Unit Costs of Health &amp; Social Care 2013. </w:t>
      </w:r>
      <w:r w:rsidRPr="00CB6303">
        <w:rPr>
          <w:i/>
        </w:rPr>
        <w:t xml:space="preserve">PSSRY: University of Kent. </w:t>
      </w:r>
      <w:r w:rsidRPr="00CB6303">
        <w:t>2013.</w:t>
      </w:r>
    </w:p>
    <w:p w14:paraId="291EBA02" w14:textId="77777777" w:rsidR="00CB6303" w:rsidRPr="00CB6303" w:rsidRDefault="00CB6303" w:rsidP="00CB6303">
      <w:pPr>
        <w:pStyle w:val="EndNoteBibliography"/>
        <w:spacing w:after="0"/>
        <w:ind w:left="720" w:hanging="720"/>
      </w:pPr>
      <w:r w:rsidRPr="00CB6303">
        <w:rPr>
          <w:b/>
        </w:rPr>
        <w:t>8.</w:t>
      </w:r>
      <w:r w:rsidRPr="00CB6303">
        <w:tab/>
        <w:t xml:space="preserve">Department of Health. 2012-13 national schedule of reference costs. </w:t>
      </w:r>
      <w:r w:rsidRPr="00CB6303">
        <w:rPr>
          <w:i/>
        </w:rPr>
        <w:t xml:space="preserve">Department of Health: London. </w:t>
      </w:r>
      <w:r w:rsidRPr="00CB6303">
        <w:t>2013.</w:t>
      </w:r>
    </w:p>
    <w:p w14:paraId="1E956028" w14:textId="77777777" w:rsidR="00CB6303" w:rsidRPr="00CB6303" w:rsidRDefault="00CB6303" w:rsidP="00CB6303">
      <w:pPr>
        <w:pStyle w:val="EndNoteBibliography"/>
        <w:spacing w:after="0"/>
        <w:ind w:left="720" w:hanging="720"/>
      </w:pPr>
      <w:r w:rsidRPr="00CB6303">
        <w:rPr>
          <w:b/>
        </w:rPr>
        <w:t>9.</w:t>
      </w:r>
      <w:r w:rsidRPr="00CB6303">
        <w:tab/>
        <w:t>NICE. Guide to the methods of technology appraisal. 2013.</w:t>
      </w:r>
    </w:p>
    <w:p w14:paraId="302A73BE" w14:textId="77777777" w:rsidR="00CB6303" w:rsidRPr="00CB6303" w:rsidRDefault="00CB6303" w:rsidP="00CB6303">
      <w:pPr>
        <w:pStyle w:val="EndNoteBibliography"/>
        <w:ind w:left="720" w:hanging="720"/>
      </w:pPr>
      <w:r w:rsidRPr="00CB6303">
        <w:rPr>
          <w:b/>
        </w:rPr>
        <w:t>10.</w:t>
      </w:r>
      <w:r w:rsidRPr="00CB6303">
        <w:tab/>
        <w:t xml:space="preserve">Spiers G, Parker G, Gridley K, Atkin K. The psychosocial experience of parents receiving care closer to home for their ill child. </w:t>
      </w:r>
      <w:r w:rsidRPr="00CB6303">
        <w:rPr>
          <w:i/>
        </w:rPr>
        <w:t xml:space="preserve">Health &amp; Social Care in the Community. </w:t>
      </w:r>
      <w:r w:rsidRPr="00CB6303">
        <w:t>2011;19(6):653-660.</w:t>
      </w:r>
    </w:p>
    <w:p w14:paraId="29DDDDA4" w14:textId="22E7C2D7" w:rsidR="0039657B" w:rsidRDefault="00D82B38" w:rsidP="003D71E8">
      <w:pPr>
        <w:autoSpaceDE w:val="0"/>
        <w:autoSpaceDN w:val="0"/>
        <w:adjustRightInd w:val="0"/>
        <w:spacing w:after="0" w:line="480" w:lineRule="auto"/>
        <w:rPr>
          <w:sz w:val="24"/>
          <w:szCs w:val="24"/>
        </w:rPr>
        <w:sectPr w:rsidR="0039657B">
          <w:pgSz w:w="11906" w:h="16838"/>
          <w:pgMar w:top="1440" w:right="1440" w:bottom="1440" w:left="1440" w:header="708" w:footer="708" w:gutter="0"/>
          <w:cols w:space="708"/>
          <w:docGrid w:linePitch="360"/>
        </w:sectPr>
      </w:pPr>
      <w:r>
        <w:rPr>
          <w:sz w:val="24"/>
          <w:szCs w:val="24"/>
        </w:rPr>
        <w:fldChar w:fldCharType="end"/>
      </w:r>
    </w:p>
    <w:p w14:paraId="263B10CC" w14:textId="3F8CB0B9" w:rsidR="00872546" w:rsidRDefault="0039657B" w:rsidP="003D71E8">
      <w:pPr>
        <w:autoSpaceDE w:val="0"/>
        <w:autoSpaceDN w:val="0"/>
        <w:adjustRightInd w:val="0"/>
        <w:spacing w:after="0" w:line="480" w:lineRule="auto"/>
        <w:rPr>
          <w:sz w:val="24"/>
          <w:szCs w:val="24"/>
        </w:rPr>
      </w:pPr>
      <w:r>
        <w:rPr>
          <w:b/>
          <w:sz w:val="24"/>
          <w:szCs w:val="24"/>
        </w:rPr>
        <w:lastRenderedPageBreak/>
        <w:t>Tables</w:t>
      </w:r>
    </w:p>
    <w:p w14:paraId="4C77FD88" w14:textId="77777777" w:rsidR="0039657B" w:rsidRPr="00190138" w:rsidRDefault="0039657B" w:rsidP="0039657B">
      <w:pPr>
        <w:spacing w:after="0" w:line="360" w:lineRule="auto"/>
        <w:rPr>
          <w:sz w:val="24"/>
          <w:szCs w:val="24"/>
        </w:rPr>
      </w:pPr>
      <w:bookmarkStart w:id="1" w:name="_Ref437512320"/>
      <w:r w:rsidRPr="00190138">
        <w:rPr>
          <w:b/>
          <w:sz w:val="24"/>
          <w:szCs w:val="24"/>
        </w:rPr>
        <w:t xml:space="preserve">Table </w:t>
      </w:r>
      <w:r w:rsidRPr="00190138">
        <w:rPr>
          <w:b/>
          <w:sz w:val="24"/>
          <w:szCs w:val="24"/>
        </w:rPr>
        <w:fldChar w:fldCharType="begin"/>
      </w:r>
      <w:r w:rsidRPr="00190138">
        <w:rPr>
          <w:b/>
          <w:sz w:val="24"/>
          <w:szCs w:val="24"/>
        </w:rPr>
        <w:instrText xml:space="preserve"> SEQ Table \* ARABIC </w:instrText>
      </w:r>
      <w:r w:rsidRPr="00190138">
        <w:rPr>
          <w:b/>
          <w:sz w:val="24"/>
          <w:szCs w:val="24"/>
        </w:rPr>
        <w:fldChar w:fldCharType="separate"/>
      </w:r>
      <w:r>
        <w:rPr>
          <w:b/>
          <w:noProof/>
          <w:sz w:val="24"/>
          <w:szCs w:val="24"/>
        </w:rPr>
        <w:t>1</w:t>
      </w:r>
      <w:r w:rsidRPr="00190138">
        <w:rPr>
          <w:b/>
          <w:sz w:val="24"/>
          <w:szCs w:val="24"/>
        </w:rPr>
        <w:fldChar w:fldCharType="end"/>
      </w:r>
      <w:bookmarkEnd w:id="1"/>
      <w:r w:rsidRPr="00190138">
        <w:rPr>
          <w:b/>
          <w:sz w:val="24"/>
          <w:szCs w:val="24"/>
        </w:rPr>
        <w:t>:</w:t>
      </w:r>
      <w:r w:rsidRPr="00190138">
        <w:rPr>
          <w:sz w:val="24"/>
          <w:szCs w:val="24"/>
        </w:rPr>
        <w:t xml:space="preserve"> Overview of the key factors of each site</w:t>
      </w:r>
    </w:p>
    <w:tbl>
      <w:tblPr>
        <w:tblStyle w:val="TableGrid"/>
        <w:tblW w:w="10363" w:type="dxa"/>
        <w:tblInd w:w="-176" w:type="dxa"/>
        <w:tblLook w:val="04A0" w:firstRow="1" w:lastRow="0" w:firstColumn="1" w:lastColumn="0" w:noHBand="0" w:noVBand="1"/>
      </w:tblPr>
      <w:tblGrid>
        <w:gridCol w:w="1376"/>
        <w:gridCol w:w="2651"/>
        <w:gridCol w:w="2593"/>
        <w:gridCol w:w="3743"/>
      </w:tblGrid>
      <w:tr w:rsidR="0039657B" w:rsidRPr="00190138" w14:paraId="60685ACE" w14:textId="77777777" w:rsidTr="009F44EB">
        <w:trPr>
          <w:trHeight w:val="297"/>
        </w:trPr>
        <w:tc>
          <w:tcPr>
            <w:tcW w:w="597" w:type="dxa"/>
          </w:tcPr>
          <w:p w14:paraId="3246158F" w14:textId="77777777" w:rsidR="0039657B" w:rsidRPr="00190138" w:rsidRDefault="0039657B" w:rsidP="009F44EB">
            <w:pPr>
              <w:spacing w:line="276" w:lineRule="auto"/>
              <w:rPr>
                <w:b/>
                <w:sz w:val="24"/>
                <w:szCs w:val="24"/>
              </w:rPr>
            </w:pPr>
            <w:r w:rsidRPr="00190138">
              <w:rPr>
                <w:b/>
                <w:sz w:val="24"/>
                <w:szCs w:val="24"/>
              </w:rPr>
              <w:t>Site</w:t>
            </w:r>
          </w:p>
        </w:tc>
        <w:tc>
          <w:tcPr>
            <w:tcW w:w="2835" w:type="dxa"/>
          </w:tcPr>
          <w:p w14:paraId="45B5EFE8" w14:textId="77777777" w:rsidR="0039657B" w:rsidRPr="00190138" w:rsidRDefault="0039657B" w:rsidP="009F44EB">
            <w:pPr>
              <w:spacing w:line="276" w:lineRule="auto"/>
              <w:rPr>
                <w:b/>
                <w:sz w:val="24"/>
                <w:szCs w:val="24"/>
              </w:rPr>
            </w:pPr>
            <w:r w:rsidRPr="00190138">
              <w:rPr>
                <w:b/>
                <w:sz w:val="24"/>
                <w:szCs w:val="24"/>
              </w:rPr>
              <w:t>Summary of team function</w:t>
            </w:r>
          </w:p>
        </w:tc>
        <w:tc>
          <w:tcPr>
            <w:tcW w:w="2835" w:type="dxa"/>
          </w:tcPr>
          <w:p w14:paraId="6FC172C4" w14:textId="77777777" w:rsidR="0039657B" w:rsidRPr="00190138" w:rsidRDefault="0039657B" w:rsidP="009F44EB">
            <w:pPr>
              <w:spacing w:line="276" w:lineRule="auto"/>
              <w:rPr>
                <w:b/>
                <w:sz w:val="24"/>
                <w:szCs w:val="24"/>
              </w:rPr>
            </w:pPr>
            <w:r w:rsidRPr="00190138">
              <w:rPr>
                <w:b/>
                <w:sz w:val="24"/>
                <w:szCs w:val="24"/>
              </w:rPr>
              <w:t>Needs covered</w:t>
            </w:r>
          </w:p>
        </w:tc>
        <w:tc>
          <w:tcPr>
            <w:tcW w:w="4096" w:type="dxa"/>
          </w:tcPr>
          <w:p w14:paraId="6B5CC116" w14:textId="77777777" w:rsidR="0039657B" w:rsidRPr="00190138" w:rsidRDefault="0039657B" w:rsidP="009F44EB">
            <w:pPr>
              <w:spacing w:line="276" w:lineRule="auto"/>
              <w:rPr>
                <w:b/>
                <w:sz w:val="24"/>
                <w:szCs w:val="24"/>
              </w:rPr>
            </w:pPr>
            <w:r w:rsidRPr="00190138">
              <w:rPr>
                <w:b/>
                <w:sz w:val="24"/>
                <w:szCs w:val="24"/>
              </w:rPr>
              <w:t xml:space="preserve">Team makeup </w:t>
            </w:r>
          </w:p>
        </w:tc>
      </w:tr>
      <w:tr w:rsidR="0039657B" w:rsidRPr="00190138" w14:paraId="3730B9A0" w14:textId="77777777" w:rsidTr="009F44EB">
        <w:trPr>
          <w:trHeight w:val="1039"/>
        </w:trPr>
        <w:tc>
          <w:tcPr>
            <w:tcW w:w="597" w:type="dxa"/>
          </w:tcPr>
          <w:p w14:paraId="1E708DBE" w14:textId="77777777" w:rsidR="0039657B" w:rsidRPr="00190138" w:rsidRDefault="0039657B" w:rsidP="009F44EB">
            <w:pPr>
              <w:spacing w:line="276" w:lineRule="auto"/>
              <w:rPr>
                <w:b/>
                <w:sz w:val="24"/>
                <w:szCs w:val="24"/>
              </w:rPr>
            </w:pPr>
            <w:r w:rsidRPr="00190138">
              <w:rPr>
                <w:b/>
                <w:sz w:val="24"/>
                <w:szCs w:val="24"/>
              </w:rPr>
              <w:t>1</w:t>
            </w:r>
            <w:r>
              <w:rPr>
                <w:b/>
                <w:sz w:val="24"/>
                <w:szCs w:val="24"/>
              </w:rPr>
              <w:t>: Community based</w:t>
            </w:r>
          </w:p>
        </w:tc>
        <w:tc>
          <w:tcPr>
            <w:tcW w:w="2835" w:type="dxa"/>
            <w:vMerge w:val="restart"/>
            <w:vAlign w:val="center"/>
          </w:tcPr>
          <w:p w14:paraId="5EFA83FE" w14:textId="77777777" w:rsidR="0039657B" w:rsidRPr="00190138" w:rsidRDefault="0039657B" w:rsidP="009F44EB">
            <w:pPr>
              <w:spacing w:line="276" w:lineRule="auto"/>
              <w:rPr>
                <w:sz w:val="24"/>
                <w:szCs w:val="24"/>
              </w:rPr>
            </w:pPr>
            <w:r w:rsidRPr="00190138">
              <w:rPr>
                <w:sz w:val="24"/>
                <w:szCs w:val="24"/>
              </w:rPr>
              <w:t xml:space="preserve">Acute admission avoidance </w:t>
            </w:r>
            <w:r>
              <w:rPr>
                <w:sz w:val="24"/>
                <w:szCs w:val="24"/>
              </w:rPr>
              <w:t xml:space="preserve">(prioritised by the hospital based team) </w:t>
            </w:r>
            <w:r w:rsidRPr="00190138">
              <w:rPr>
                <w:sz w:val="24"/>
                <w:szCs w:val="24"/>
              </w:rPr>
              <w:t xml:space="preserve">and facilitate early discharge. </w:t>
            </w:r>
            <w:r>
              <w:rPr>
                <w:sz w:val="24"/>
                <w:szCs w:val="24"/>
              </w:rPr>
              <w:t>Provision of care for children with complex conditions (including case management by the community based team) and end of life care</w:t>
            </w:r>
          </w:p>
        </w:tc>
        <w:tc>
          <w:tcPr>
            <w:tcW w:w="2835" w:type="dxa"/>
            <w:vMerge w:val="restart"/>
            <w:vAlign w:val="center"/>
          </w:tcPr>
          <w:p w14:paraId="4BA69C89" w14:textId="77777777" w:rsidR="0039657B" w:rsidRPr="00190138" w:rsidRDefault="0039657B" w:rsidP="009F44EB">
            <w:pPr>
              <w:spacing w:line="276" w:lineRule="auto"/>
              <w:rPr>
                <w:sz w:val="24"/>
                <w:szCs w:val="24"/>
              </w:rPr>
            </w:pPr>
            <w:r w:rsidRPr="00190138">
              <w:rPr>
                <w:sz w:val="24"/>
                <w:szCs w:val="24"/>
              </w:rPr>
              <w:t>Acute, long-term, complex, palliative and end of life</w:t>
            </w:r>
          </w:p>
        </w:tc>
        <w:tc>
          <w:tcPr>
            <w:tcW w:w="4096" w:type="dxa"/>
          </w:tcPr>
          <w:p w14:paraId="51D017DF" w14:textId="77777777" w:rsidR="0039657B" w:rsidRPr="00190138" w:rsidRDefault="0039657B" w:rsidP="009F44EB">
            <w:pPr>
              <w:spacing w:line="276" w:lineRule="auto"/>
              <w:rPr>
                <w:sz w:val="24"/>
                <w:szCs w:val="24"/>
              </w:rPr>
            </w:pPr>
            <w:r w:rsidRPr="00190138">
              <w:rPr>
                <w:sz w:val="24"/>
                <w:szCs w:val="24"/>
              </w:rPr>
              <w:t xml:space="preserve">Around 19 </w:t>
            </w:r>
            <w:r>
              <w:rPr>
                <w:sz w:val="24"/>
                <w:szCs w:val="24"/>
              </w:rPr>
              <w:t>Whole Time Equivalent (</w:t>
            </w:r>
            <w:r w:rsidRPr="00190138">
              <w:rPr>
                <w:sz w:val="24"/>
                <w:szCs w:val="24"/>
              </w:rPr>
              <w:t>WTE</w:t>
            </w:r>
            <w:r>
              <w:rPr>
                <w:sz w:val="24"/>
                <w:szCs w:val="24"/>
              </w:rPr>
              <w:t>)</w:t>
            </w:r>
            <w:r w:rsidRPr="00190138">
              <w:rPr>
                <w:sz w:val="24"/>
                <w:szCs w:val="24"/>
              </w:rPr>
              <w:t>, bands 5-7 children’s nurses with some specialist nurses, some with non-medical prescribing</w:t>
            </w:r>
            <w:r>
              <w:rPr>
                <w:sz w:val="24"/>
                <w:szCs w:val="24"/>
              </w:rPr>
              <w:t>. Referrals taken from a range of health professionals as well as parents (self-referrals).</w:t>
            </w:r>
          </w:p>
        </w:tc>
      </w:tr>
      <w:tr w:rsidR="0039657B" w:rsidRPr="00190138" w14:paraId="3997F9D2" w14:textId="77777777" w:rsidTr="009F44EB">
        <w:trPr>
          <w:trHeight w:val="1039"/>
        </w:trPr>
        <w:tc>
          <w:tcPr>
            <w:tcW w:w="597" w:type="dxa"/>
          </w:tcPr>
          <w:p w14:paraId="634E1361" w14:textId="77777777" w:rsidR="0039657B" w:rsidRPr="00190138" w:rsidRDefault="0039657B" w:rsidP="009F44EB">
            <w:pPr>
              <w:spacing w:line="276" w:lineRule="auto"/>
              <w:rPr>
                <w:b/>
                <w:sz w:val="24"/>
                <w:szCs w:val="24"/>
              </w:rPr>
            </w:pPr>
            <w:r w:rsidRPr="00190138">
              <w:rPr>
                <w:b/>
                <w:sz w:val="24"/>
                <w:szCs w:val="24"/>
              </w:rPr>
              <w:t>2</w:t>
            </w:r>
            <w:r>
              <w:rPr>
                <w:b/>
                <w:sz w:val="24"/>
                <w:szCs w:val="24"/>
              </w:rPr>
              <w:t>: Hospital based</w:t>
            </w:r>
          </w:p>
        </w:tc>
        <w:tc>
          <w:tcPr>
            <w:tcW w:w="2835" w:type="dxa"/>
            <w:vMerge/>
          </w:tcPr>
          <w:p w14:paraId="454A4B6D" w14:textId="77777777" w:rsidR="0039657B" w:rsidRPr="00190138" w:rsidRDefault="0039657B" w:rsidP="009F44EB">
            <w:pPr>
              <w:spacing w:line="276" w:lineRule="auto"/>
              <w:rPr>
                <w:sz w:val="24"/>
                <w:szCs w:val="24"/>
              </w:rPr>
            </w:pPr>
          </w:p>
        </w:tc>
        <w:tc>
          <w:tcPr>
            <w:tcW w:w="2835" w:type="dxa"/>
            <w:vMerge/>
          </w:tcPr>
          <w:p w14:paraId="4E3C709C" w14:textId="77777777" w:rsidR="0039657B" w:rsidRPr="00190138" w:rsidRDefault="0039657B" w:rsidP="009F44EB">
            <w:pPr>
              <w:spacing w:line="276" w:lineRule="auto"/>
              <w:rPr>
                <w:sz w:val="24"/>
                <w:szCs w:val="24"/>
              </w:rPr>
            </w:pPr>
          </w:p>
        </w:tc>
        <w:tc>
          <w:tcPr>
            <w:tcW w:w="4096" w:type="dxa"/>
          </w:tcPr>
          <w:p w14:paraId="7FB8EC9B" w14:textId="77777777" w:rsidR="0039657B" w:rsidRPr="00190138" w:rsidRDefault="0039657B" w:rsidP="009F44EB">
            <w:pPr>
              <w:pStyle w:val="Default"/>
              <w:spacing w:line="276" w:lineRule="auto"/>
              <w:rPr>
                <w:rFonts w:asciiTheme="minorHAnsi" w:hAnsiTheme="minorHAnsi"/>
              </w:rPr>
            </w:pPr>
            <w:r w:rsidRPr="00190138">
              <w:rPr>
                <w:rFonts w:asciiTheme="minorHAnsi" w:hAnsiTheme="minorHAnsi"/>
              </w:rPr>
              <w:t>Around 11 WTE, bands 4-7, health care assistant and children’s nurses with some specialist nurses.</w:t>
            </w:r>
            <w:r>
              <w:rPr>
                <w:rFonts w:asciiTheme="minorHAnsi" w:hAnsiTheme="minorHAnsi"/>
              </w:rPr>
              <w:t xml:space="preserve"> Referrals taken from a range of health professionals, but not parents.</w:t>
            </w:r>
          </w:p>
          <w:p w14:paraId="7459F1A3" w14:textId="77777777" w:rsidR="0039657B" w:rsidRPr="00190138" w:rsidRDefault="0039657B" w:rsidP="009F44EB">
            <w:pPr>
              <w:spacing w:line="276" w:lineRule="auto"/>
              <w:rPr>
                <w:sz w:val="24"/>
                <w:szCs w:val="24"/>
              </w:rPr>
            </w:pPr>
          </w:p>
        </w:tc>
      </w:tr>
    </w:tbl>
    <w:p w14:paraId="1657ADA8" w14:textId="77777777" w:rsidR="0039657B" w:rsidRDefault="0039657B" w:rsidP="0039657B">
      <w:pPr>
        <w:spacing w:line="480" w:lineRule="auto"/>
        <w:rPr>
          <w:sz w:val="24"/>
          <w:szCs w:val="24"/>
        </w:rPr>
      </w:pPr>
    </w:p>
    <w:p w14:paraId="62B7BDDD" w14:textId="77777777" w:rsidR="0039657B" w:rsidRDefault="0039657B" w:rsidP="0039657B">
      <w:pPr>
        <w:spacing w:line="480" w:lineRule="auto"/>
        <w:rPr>
          <w:sz w:val="24"/>
          <w:szCs w:val="24"/>
        </w:rPr>
      </w:pPr>
    </w:p>
    <w:p w14:paraId="56CFD7EB" w14:textId="77777777" w:rsidR="0039657B" w:rsidRDefault="0039657B" w:rsidP="0039657B">
      <w:pPr>
        <w:spacing w:after="0" w:line="360" w:lineRule="auto"/>
        <w:rPr>
          <w:b/>
          <w:sz w:val="24"/>
          <w:szCs w:val="24"/>
        </w:rPr>
        <w:sectPr w:rsidR="0039657B">
          <w:pgSz w:w="11906" w:h="16838"/>
          <w:pgMar w:top="1440" w:right="1440" w:bottom="1440" w:left="1440" w:header="708" w:footer="708" w:gutter="0"/>
          <w:cols w:space="708"/>
          <w:docGrid w:linePitch="360"/>
        </w:sectPr>
      </w:pPr>
      <w:bookmarkStart w:id="2" w:name="_Ref437512856"/>
    </w:p>
    <w:p w14:paraId="61C379AE" w14:textId="49DA4D2F" w:rsidR="0039657B" w:rsidRPr="00190138" w:rsidRDefault="0039657B" w:rsidP="0039657B">
      <w:pPr>
        <w:spacing w:after="0" w:line="360" w:lineRule="auto"/>
        <w:rPr>
          <w:sz w:val="24"/>
          <w:szCs w:val="24"/>
        </w:rPr>
      </w:pPr>
      <w:r w:rsidRPr="0039657B">
        <w:rPr>
          <w:b/>
          <w:sz w:val="24"/>
          <w:szCs w:val="24"/>
        </w:rPr>
        <w:lastRenderedPageBreak/>
        <w:t xml:space="preserve">Table </w:t>
      </w:r>
      <w:r w:rsidRPr="0039657B">
        <w:rPr>
          <w:b/>
          <w:sz w:val="24"/>
          <w:szCs w:val="24"/>
        </w:rPr>
        <w:fldChar w:fldCharType="begin"/>
      </w:r>
      <w:r w:rsidRPr="0039657B">
        <w:rPr>
          <w:b/>
          <w:sz w:val="24"/>
          <w:szCs w:val="24"/>
        </w:rPr>
        <w:instrText xml:space="preserve"> SEQ Table \* ARABIC </w:instrText>
      </w:r>
      <w:r w:rsidRPr="0039657B">
        <w:rPr>
          <w:b/>
          <w:sz w:val="24"/>
          <w:szCs w:val="24"/>
        </w:rPr>
        <w:fldChar w:fldCharType="separate"/>
      </w:r>
      <w:r w:rsidRPr="0039657B">
        <w:rPr>
          <w:b/>
          <w:noProof/>
          <w:sz w:val="24"/>
          <w:szCs w:val="24"/>
        </w:rPr>
        <w:t>2</w:t>
      </w:r>
      <w:r w:rsidRPr="0039657B">
        <w:rPr>
          <w:b/>
          <w:sz w:val="24"/>
          <w:szCs w:val="24"/>
        </w:rPr>
        <w:fldChar w:fldCharType="end"/>
      </w:r>
      <w:bookmarkEnd w:id="2"/>
      <w:r w:rsidRPr="00190138">
        <w:rPr>
          <w:sz w:val="24"/>
          <w:szCs w:val="24"/>
        </w:rPr>
        <w:t xml:space="preserve">: </w:t>
      </w:r>
      <w:r>
        <w:rPr>
          <w:sz w:val="24"/>
          <w:szCs w:val="24"/>
        </w:rPr>
        <w:t xml:space="preserve">Results of the </w:t>
      </w:r>
      <w:r w:rsidRPr="00190138">
        <w:rPr>
          <w:sz w:val="24"/>
          <w:szCs w:val="24"/>
        </w:rPr>
        <w:t xml:space="preserve">ITS analysis and </w:t>
      </w:r>
      <w:r>
        <w:rPr>
          <w:sz w:val="24"/>
          <w:szCs w:val="24"/>
        </w:rPr>
        <w:t xml:space="preserve">combined </w:t>
      </w:r>
      <w:r w:rsidRPr="00190138">
        <w:rPr>
          <w:sz w:val="24"/>
          <w:szCs w:val="24"/>
        </w:rPr>
        <w:t>analyses</w:t>
      </w:r>
    </w:p>
    <w:tbl>
      <w:tblPr>
        <w:tblStyle w:val="TableGrid"/>
        <w:tblW w:w="13071" w:type="dxa"/>
        <w:tblInd w:w="108" w:type="dxa"/>
        <w:tblLayout w:type="fixed"/>
        <w:tblLook w:val="04A0" w:firstRow="1" w:lastRow="0" w:firstColumn="1" w:lastColumn="0" w:noHBand="0" w:noVBand="1"/>
      </w:tblPr>
      <w:tblGrid>
        <w:gridCol w:w="1337"/>
        <w:gridCol w:w="1310"/>
        <w:gridCol w:w="1150"/>
        <w:gridCol w:w="1175"/>
        <w:gridCol w:w="1349"/>
        <w:gridCol w:w="1350"/>
        <w:gridCol w:w="1350"/>
        <w:gridCol w:w="1350"/>
        <w:gridCol w:w="1350"/>
        <w:gridCol w:w="1350"/>
      </w:tblGrid>
      <w:tr w:rsidR="0039657B" w:rsidRPr="00190138" w14:paraId="6FAC0162" w14:textId="77777777" w:rsidTr="009F44EB">
        <w:trPr>
          <w:trHeight w:val="262"/>
        </w:trPr>
        <w:tc>
          <w:tcPr>
            <w:tcW w:w="1337" w:type="dxa"/>
            <w:vMerge w:val="restart"/>
          </w:tcPr>
          <w:p w14:paraId="231FF3F6" w14:textId="77777777" w:rsidR="0039657B" w:rsidRPr="00190138" w:rsidRDefault="0039657B" w:rsidP="009F44EB">
            <w:pPr>
              <w:rPr>
                <w:sz w:val="24"/>
                <w:szCs w:val="24"/>
              </w:rPr>
            </w:pPr>
            <w:r w:rsidRPr="00190138">
              <w:rPr>
                <w:sz w:val="24"/>
                <w:szCs w:val="24"/>
              </w:rPr>
              <w:t>Site and analysis</w:t>
            </w:r>
          </w:p>
        </w:tc>
        <w:tc>
          <w:tcPr>
            <w:tcW w:w="3635" w:type="dxa"/>
            <w:gridSpan w:val="3"/>
          </w:tcPr>
          <w:p w14:paraId="1BDEDF7D" w14:textId="77777777" w:rsidR="0039657B" w:rsidRPr="00190138" w:rsidRDefault="0039657B" w:rsidP="009F44EB">
            <w:pPr>
              <w:jc w:val="center"/>
              <w:rPr>
                <w:sz w:val="24"/>
                <w:szCs w:val="24"/>
              </w:rPr>
            </w:pPr>
            <w:r w:rsidRPr="00190138">
              <w:rPr>
                <w:sz w:val="24"/>
                <w:szCs w:val="24"/>
              </w:rPr>
              <w:t>Long term change in slope /100,000</w:t>
            </w:r>
          </w:p>
        </w:tc>
        <w:tc>
          <w:tcPr>
            <w:tcW w:w="1349" w:type="dxa"/>
          </w:tcPr>
          <w:p w14:paraId="50307DF3" w14:textId="77777777" w:rsidR="0039657B" w:rsidRPr="00190138" w:rsidRDefault="0039657B" w:rsidP="009F44EB">
            <w:pPr>
              <w:jc w:val="center"/>
              <w:rPr>
                <w:sz w:val="24"/>
                <w:szCs w:val="24"/>
              </w:rPr>
            </w:pPr>
            <w:r w:rsidRPr="00190138">
              <w:rPr>
                <w:sz w:val="24"/>
                <w:szCs w:val="24"/>
              </w:rPr>
              <w:t>Short term change in rate /100,000</w:t>
            </w:r>
          </w:p>
          <w:p w14:paraId="6F5CAE50" w14:textId="77777777" w:rsidR="0039657B" w:rsidRPr="00190138" w:rsidRDefault="0039657B" w:rsidP="009F44EB">
            <w:pPr>
              <w:jc w:val="center"/>
              <w:rPr>
                <w:sz w:val="24"/>
                <w:szCs w:val="24"/>
              </w:rPr>
            </w:pPr>
          </w:p>
        </w:tc>
        <w:tc>
          <w:tcPr>
            <w:tcW w:w="1350" w:type="dxa"/>
            <w:vMerge w:val="restart"/>
          </w:tcPr>
          <w:p w14:paraId="51982780" w14:textId="77777777" w:rsidR="0039657B" w:rsidRPr="00190138" w:rsidRDefault="0039657B" w:rsidP="009F44EB">
            <w:pPr>
              <w:jc w:val="center"/>
              <w:rPr>
                <w:sz w:val="24"/>
                <w:szCs w:val="24"/>
              </w:rPr>
            </w:pPr>
            <w:r w:rsidRPr="00190138">
              <w:rPr>
                <w:sz w:val="24"/>
                <w:szCs w:val="24"/>
              </w:rPr>
              <w:t xml:space="preserve">Total </w:t>
            </w:r>
            <w:r>
              <w:rPr>
                <w:sz w:val="24"/>
                <w:szCs w:val="24"/>
              </w:rPr>
              <w:t>bed days</w:t>
            </w:r>
            <w:r w:rsidRPr="00190138">
              <w:rPr>
                <w:sz w:val="24"/>
                <w:szCs w:val="24"/>
              </w:rPr>
              <w:t xml:space="preserve"> change over analysis period</w:t>
            </w:r>
            <w:r>
              <w:rPr>
                <w:sz w:val="24"/>
                <w:szCs w:val="24"/>
              </w:rPr>
              <w:t xml:space="preserve"> (average per year)</w:t>
            </w:r>
          </w:p>
        </w:tc>
        <w:tc>
          <w:tcPr>
            <w:tcW w:w="1350" w:type="dxa"/>
            <w:vMerge w:val="restart"/>
          </w:tcPr>
          <w:p w14:paraId="55303DD4" w14:textId="77777777" w:rsidR="0039657B" w:rsidRPr="00190138" w:rsidRDefault="0039657B" w:rsidP="009F44EB">
            <w:pPr>
              <w:jc w:val="center"/>
              <w:rPr>
                <w:sz w:val="24"/>
                <w:szCs w:val="24"/>
              </w:rPr>
            </w:pPr>
            <w:r w:rsidRPr="00190138">
              <w:rPr>
                <w:sz w:val="24"/>
                <w:szCs w:val="24"/>
              </w:rPr>
              <w:t>Cost of team to NHS, annualised</w:t>
            </w:r>
          </w:p>
        </w:tc>
        <w:tc>
          <w:tcPr>
            <w:tcW w:w="1350" w:type="dxa"/>
            <w:vMerge w:val="restart"/>
          </w:tcPr>
          <w:p w14:paraId="36C0D02C" w14:textId="77777777" w:rsidR="0039657B" w:rsidRPr="00190138" w:rsidRDefault="0039657B" w:rsidP="009F44EB">
            <w:pPr>
              <w:jc w:val="center"/>
              <w:rPr>
                <w:sz w:val="24"/>
                <w:szCs w:val="24"/>
              </w:rPr>
            </w:pPr>
            <w:r>
              <w:rPr>
                <w:sz w:val="24"/>
                <w:szCs w:val="24"/>
              </w:rPr>
              <w:t>Change in bed days c</w:t>
            </w:r>
            <w:r w:rsidRPr="00190138">
              <w:rPr>
                <w:sz w:val="24"/>
                <w:szCs w:val="24"/>
              </w:rPr>
              <w:t>ost, annualised</w:t>
            </w:r>
          </w:p>
        </w:tc>
        <w:tc>
          <w:tcPr>
            <w:tcW w:w="1350" w:type="dxa"/>
            <w:vMerge w:val="restart"/>
          </w:tcPr>
          <w:p w14:paraId="1DFEFFE1" w14:textId="77777777" w:rsidR="0039657B" w:rsidRPr="00190138" w:rsidRDefault="0039657B" w:rsidP="009F44EB">
            <w:pPr>
              <w:jc w:val="center"/>
              <w:rPr>
                <w:sz w:val="24"/>
                <w:szCs w:val="24"/>
              </w:rPr>
            </w:pPr>
            <w:r w:rsidRPr="00190138">
              <w:rPr>
                <w:sz w:val="24"/>
                <w:szCs w:val="24"/>
              </w:rPr>
              <w:t>Net cost impact</w:t>
            </w:r>
          </w:p>
        </w:tc>
        <w:tc>
          <w:tcPr>
            <w:tcW w:w="1350" w:type="dxa"/>
            <w:vMerge w:val="restart"/>
          </w:tcPr>
          <w:p w14:paraId="5AAB10AF" w14:textId="77777777" w:rsidR="0039657B" w:rsidRPr="00190138" w:rsidRDefault="0039657B" w:rsidP="009F44EB">
            <w:pPr>
              <w:jc w:val="center"/>
              <w:rPr>
                <w:sz w:val="24"/>
                <w:szCs w:val="24"/>
              </w:rPr>
            </w:pPr>
            <w:r w:rsidRPr="00190138">
              <w:rPr>
                <w:sz w:val="24"/>
                <w:szCs w:val="24"/>
              </w:rPr>
              <w:t>Probability of being cost saving</w:t>
            </w:r>
          </w:p>
        </w:tc>
      </w:tr>
      <w:tr w:rsidR="0039657B" w:rsidRPr="00190138" w14:paraId="70CACD4F" w14:textId="77777777" w:rsidTr="009F44EB">
        <w:trPr>
          <w:trHeight w:val="765"/>
        </w:trPr>
        <w:tc>
          <w:tcPr>
            <w:tcW w:w="1337" w:type="dxa"/>
            <w:vMerge/>
          </w:tcPr>
          <w:p w14:paraId="34BDF773" w14:textId="77777777" w:rsidR="0039657B" w:rsidRPr="00190138" w:rsidRDefault="0039657B" w:rsidP="009F44EB">
            <w:pPr>
              <w:rPr>
                <w:sz w:val="24"/>
                <w:szCs w:val="24"/>
              </w:rPr>
            </w:pPr>
          </w:p>
        </w:tc>
        <w:tc>
          <w:tcPr>
            <w:tcW w:w="1310" w:type="dxa"/>
          </w:tcPr>
          <w:p w14:paraId="76CAD183" w14:textId="77777777" w:rsidR="0039657B" w:rsidRPr="00190138" w:rsidRDefault="0039657B" w:rsidP="009F44EB">
            <w:pPr>
              <w:jc w:val="center"/>
              <w:rPr>
                <w:sz w:val="24"/>
                <w:szCs w:val="24"/>
              </w:rPr>
            </w:pPr>
            <w:r w:rsidRPr="00190138">
              <w:rPr>
                <w:sz w:val="24"/>
                <w:szCs w:val="24"/>
              </w:rPr>
              <w:t>Slope before team</w:t>
            </w:r>
          </w:p>
        </w:tc>
        <w:tc>
          <w:tcPr>
            <w:tcW w:w="1150" w:type="dxa"/>
          </w:tcPr>
          <w:p w14:paraId="5DD48D84" w14:textId="77777777" w:rsidR="0039657B" w:rsidRPr="00190138" w:rsidRDefault="0039657B" w:rsidP="009F44EB">
            <w:pPr>
              <w:jc w:val="center"/>
              <w:rPr>
                <w:sz w:val="24"/>
                <w:szCs w:val="24"/>
              </w:rPr>
            </w:pPr>
            <w:r w:rsidRPr="00190138">
              <w:rPr>
                <w:sz w:val="24"/>
                <w:szCs w:val="24"/>
              </w:rPr>
              <w:t>Slope after team</w:t>
            </w:r>
          </w:p>
        </w:tc>
        <w:tc>
          <w:tcPr>
            <w:tcW w:w="1175" w:type="dxa"/>
          </w:tcPr>
          <w:p w14:paraId="3E45F5C4" w14:textId="77777777" w:rsidR="0039657B" w:rsidRPr="00190138" w:rsidRDefault="0039657B" w:rsidP="009F44EB">
            <w:pPr>
              <w:jc w:val="center"/>
              <w:rPr>
                <w:sz w:val="24"/>
                <w:szCs w:val="24"/>
              </w:rPr>
            </w:pPr>
            <w:r w:rsidRPr="00190138">
              <w:rPr>
                <w:sz w:val="24"/>
                <w:szCs w:val="24"/>
              </w:rPr>
              <w:t>Difference in slope (p- value)</w:t>
            </w:r>
          </w:p>
        </w:tc>
        <w:tc>
          <w:tcPr>
            <w:tcW w:w="1349" w:type="dxa"/>
          </w:tcPr>
          <w:p w14:paraId="1CF240DD" w14:textId="77777777" w:rsidR="0039657B" w:rsidRPr="00190138" w:rsidRDefault="0039657B" w:rsidP="009F44EB">
            <w:pPr>
              <w:jc w:val="center"/>
              <w:rPr>
                <w:sz w:val="24"/>
                <w:szCs w:val="24"/>
              </w:rPr>
            </w:pPr>
            <w:r w:rsidRPr="00190138">
              <w:rPr>
                <w:sz w:val="24"/>
                <w:szCs w:val="24"/>
              </w:rPr>
              <w:t>Change</w:t>
            </w:r>
          </w:p>
          <w:p w14:paraId="14AF1DE7" w14:textId="77777777" w:rsidR="0039657B" w:rsidRPr="00190138" w:rsidRDefault="0039657B" w:rsidP="009F44EB">
            <w:pPr>
              <w:jc w:val="center"/>
              <w:rPr>
                <w:sz w:val="24"/>
                <w:szCs w:val="24"/>
              </w:rPr>
            </w:pPr>
            <w:r w:rsidRPr="00190138">
              <w:rPr>
                <w:sz w:val="24"/>
                <w:szCs w:val="24"/>
              </w:rPr>
              <w:t>(p-value)</w:t>
            </w:r>
          </w:p>
        </w:tc>
        <w:tc>
          <w:tcPr>
            <w:tcW w:w="1350" w:type="dxa"/>
            <w:vMerge/>
          </w:tcPr>
          <w:p w14:paraId="1D1AE290" w14:textId="77777777" w:rsidR="0039657B" w:rsidRPr="00190138" w:rsidRDefault="0039657B" w:rsidP="009F44EB">
            <w:pPr>
              <w:jc w:val="center"/>
              <w:rPr>
                <w:sz w:val="24"/>
                <w:szCs w:val="24"/>
              </w:rPr>
            </w:pPr>
          </w:p>
        </w:tc>
        <w:tc>
          <w:tcPr>
            <w:tcW w:w="1350" w:type="dxa"/>
            <w:vMerge/>
          </w:tcPr>
          <w:p w14:paraId="2B727845" w14:textId="77777777" w:rsidR="0039657B" w:rsidRPr="00190138" w:rsidRDefault="0039657B" w:rsidP="009F44EB">
            <w:pPr>
              <w:jc w:val="center"/>
              <w:rPr>
                <w:sz w:val="24"/>
                <w:szCs w:val="24"/>
              </w:rPr>
            </w:pPr>
          </w:p>
        </w:tc>
        <w:tc>
          <w:tcPr>
            <w:tcW w:w="1350" w:type="dxa"/>
            <w:vMerge/>
          </w:tcPr>
          <w:p w14:paraId="617CAD41" w14:textId="77777777" w:rsidR="0039657B" w:rsidRPr="00190138" w:rsidRDefault="0039657B" w:rsidP="009F44EB">
            <w:pPr>
              <w:jc w:val="center"/>
              <w:rPr>
                <w:sz w:val="24"/>
                <w:szCs w:val="24"/>
              </w:rPr>
            </w:pPr>
          </w:p>
        </w:tc>
        <w:tc>
          <w:tcPr>
            <w:tcW w:w="1350" w:type="dxa"/>
            <w:vMerge/>
          </w:tcPr>
          <w:p w14:paraId="070F8DAE" w14:textId="77777777" w:rsidR="0039657B" w:rsidRPr="00190138" w:rsidRDefault="0039657B" w:rsidP="009F44EB">
            <w:pPr>
              <w:jc w:val="center"/>
              <w:rPr>
                <w:sz w:val="24"/>
                <w:szCs w:val="24"/>
              </w:rPr>
            </w:pPr>
          </w:p>
        </w:tc>
        <w:tc>
          <w:tcPr>
            <w:tcW w:w="1350" w:type="dxa"/>
            <w:vMerge/>
          </w:tcPr>
          <w:p w14:paraId="7ABAF15F" w14:textId="77777777" w:rsidR="0039657B" w:rsidRPr="00190138" w:rsidRDefault="0039657B" w:rsidP="009F44EB">
            <w:pPr>
              <w:jc w:val="center"/>
              <w:rPr>
                <w:sz w:val="24"/>
                <w:szCs w:val="24"/>
              </w:rPr>
            </w:pPr>
          </w:p>
        </w:tc>
      </w:tr>
      <w:tr w:rsidR="0039657B" w:rsidRPr="00190138" w14:paraId="4ECFF066" w14:textId="77777777" w:rsidTr="009F44EB">
        <w:trPr>
          <w:trHeight w:val="535"/>
        </w:trPr>
        <w:tc>
          <w:tcPr>
            <w:tcW w:w="1337" w:type="dxa"/>
          </w:tcPr>
          <w:p w14:paraId="2F333D05" w14:textId="77777777" w:rsidR="0039657B" w:rsidRPr="00190138" w:rsidRDefault="0039657B" w:rsidP="009F44EB">
            <w:pPr>
              <w:rPr>
                <w:sz w:val="24"/>
                <w:szCs w:val="24"/>
              </w:rPr>
            </w:pPr>
            <w:r>
              <w:rPr>
                <w:sz w:val="24"/>
                <w:szCs w:val="24"/>
              </w:rPr>
              <w:t>Site 1</w:t>
            </w:r>
          </w:p>
        </w:tc>
        <w:tc>
          <w:tcPr>
            <w:tcW w:w="1310" w:type="dxa"/>
          </w:tcPr>
          <w:p w14:paraId="5BB8C341" w14:textId="77777777" w:rsidR="0039657B" w:rsidRPr="00190138" w:rsidRDefault="0039657B" w:rsidP="009F44EB">
            <w:pPr>
              <w:jc w:val="center"/>
              <w:rPr>
                <w:sz w:val="24"/>
                <w:szCs w:val="24"/>
              </w:rPr>
            </w:pPr>
            <w:r w:rsidRPr="00190138">
              <w:rPr>
                <w:sz w:val="24"/>
                <w:szCs w:val="24"/>
              </w:rPr>
              <w:t>10.49</w:t>
            </w:r>
          </w:p>
        </w:tc>
        <w:tc>
          <w:tcPr>
            <w:tcW w:w="1150" w:type="dxa"/>
          </w:tcPr>
          <w:p w14:paraId="5A2777AB" w14:textId="77777777" w:rsidR="0039657B" w:rsidRPr="00190138" w:rsidRDefault="0039657B" w:rsidP="009F44EB">
            <w:pPr>
              <w:jc w:val="center"/>
              <w:rPr>
                <w:sz w:val="24"/>
                <w:szCs w:val="24"/>
              </w:rPr>
            </w:pPr>
            <w:r w:rsidRPr="00190138">
              <w:rPr>
                <w:sz w:val="24"/>
                <w:szCs w:val="24"/>
              </w:rPr>
              <w:t>-2.85</w:t>
            </w:r>
          </w:p>
        </w:tc>
        <w:tc>
          <w:tcPr>
            <w:tcW w:w="1175" w:type="dxa"/>
          </w:tcPr>
          <w:p w14:paraId="3726B9E8" w14:textId="77777777" w:rsidR="0039657B" w:rsidRPr="00190138" w:rsidRDefault="0039657B" w:rsidP="009F44EB">
            <w:pPr>
              <w:jc w:val="center"/>
              <w:rPr>
                <w:sz w:val="24"/>
                <w:szCs w:val="24"/>
              </w:rPr>
            </w:pPr>
            <w:r w:rsidRPr="00190138">
              <w:rPr>
                <w:sz w:val="24"/>
                <w:szCs w:val="24"/>
              </w:rPr>
              <w:t>-13.34 (0.238)</w:t>
            </w:r>
          </w:p>
        </w:tc>
        <w:tc>
          <w:tcPr>
            <w:tcW w:w="1349" w:type="dxa"/>
          </w:tcPr>
          <w:p w14:paraId="63B6CA80" w14:textId="77777777" w:rsidR="0039657B" w:rsidRPr="00190138" w:rsidRDefault="0039657B" w:rsidP="009F44EB">
            <w:pPr>
              <w:jc w:val="center"/>
              <w:rPr>
                <w:sz w:val="24"/>
                <w:szCs w:val="24"/>
              </w:rPr>
            </w:pPr>
            <w:r w:rsidRPr="00190138">
              <w:rPr>
                <w:sz w:val="24"/>
                <w:szCs w:val="24"/>
              </w:rPr>
              <w:t>-22.98 (0.9</w:t>
            </w:r>
            <w:r>
              <w:rPr>
                <w:sz w:val="24"/>
                <w:szCs w:val="24"/>
              </w:rPr>
              <w:t>00</w:t>
            </w:r>
            <w:r w:rsidRPr="00190138">
              <w:rPr>
                <w:sz w:val="24"/>
                <w:szCs w:val="24"/>
              </w:rPr>
              <w:t>)</w:t>
            </w:r>
          </w:p>
        </w:tc>
        <w:tc>
          <w:tcPr>
            <w:tcW w:w="1350" w:type="dxa"/>
          </w:tcPr>
          <w:p w14:paraId="76838CCE" w14:textId="77777777" w:rsidR="0039657B" w:rsidRDefault="0039657B" w:rsidP="009F44EB">
            <w:pPr>
              <w:jc w:val="center"/>
              <w:rPr>
                <w:sz w:val="24"/>
                <w:szCs w:val="24"/>
              </w:rPr>
            </w:pPr>
            <w:r w:rsidRPr="00190138">
              <w:rPr>
                <w:sz w:val="24"/>
                <w:szCs w:val="24"/>
              </w:rPr>
              <w:t>-9,634</w:t>
            </w:r>
          </w:p>
          <w:p w14:paraId="2FBDA1CA" w14:textId="77777777" w:rsidR="0039657B" w:rsidRPr="00190138" w:rsidRDefault="0039657B" w:rsidP="009F44EB">
            <w:pPr>
              <w:jc w:val="center"/>
              <w:rPr>
                <w:sz w:val="24"/>
                <w:szCs w:val="24"/>
              </w:rPr>
            </w:pPr>
            <w:r>
              <w:rPr>
                <w:sz w:val="24"/>
                <w:szCs w:val="24"/>
              </w:rPr>
              <w:t>(-1,959)</w:t>
            </w:r>
          </w:p>
        </w:tc>
        <w:tc>
          <w:tcPr>
            <w:tcW w:w="1350" w:type="dxa"/>
          </w:tcPr>
          <w:p w14:paraId="18F48C0A" w14:textId="77777777" w:rsidR="0039657B" w:rsidRPr="00190138" w:rsidRDefault="0039657B" w:rsidP="009F44EB">
            <w:pPr>
              <w:jc w:val="center"/>
              <w:rPr>
                <w:sz w:val="24"/>
                <w:szCs w:val="24"/>
              </w:rPr>
            </w:pPr>
            <w:r w:rsidRPr="00190138">
              <w:rPr>
                <w:sz w:val="24"/>
                <w:szCs w:val="24"/>
              </w:rPr>
              <w:t>£1,111,049</w:t>
            </w:r>
          </w:p>
        </w:tc>
        <w:tc>
          <w:tcPr>
            <w:tcW w:w="1350" w:type="dxa"/>
          </w:tcPr>
          <w:p w14:paraId="78AD244F" w14:textId="77777777" w:rsidR="0039657B" w:rsidRPr="00190138" w:rsidRDefault="0039657B" w:rsidP="009F44EB">
            <w:pPr>
              <w:jc w:val="center"/>
              <w:rPr>
                <w:sz w:val="24"/>
                <w:szCs w:val="24"/>
              </w:rPr>
            </w:pPr>
            <w:r w:rsidRPr="00190138">
              <w:rPr>
                <w:sz w:val="24"/>
                <w:szCs w:val="24"/>
              </w:rPr>
              <w:t>-£578,272</w:t>
            </w:r>
          </w:p>
        </w:tc>
        <w:tc>
          <w:tcPr>
            <w:tcW w:w="1350" w:type="dxa"/>
          </w:tcPr>
          <w:p w14:paraId="2556F23F" w14:textId="77777777" w:rsidR="0039657B" w:rsidRPr="00190138" w:rsidRDefault="0039657B" w:rsidP="009F44EB">
            <w:pPr>
              <w:jc w:val="center"/>
              <w:rPr>
                <w:sz w:val="24"/>
                <w:szCs w:val="24"/>
              </w:rPr>
            </w:pPr>
            <w:r w:rsidRPr="00190138">
              <w:rPr>
                <w:sz w:val="24"/>
                <w:szCs w:val="24"/>
              </w:rPr>
              <w:t>£532,777</w:t>
            </w:r>
          </w:p>
        </w:tc>
        <w:tc>
          <w:tcPr>
            <w:tcW w:w="1350" w:type="dxa"/>
          </w:tcPr>
          <w:p w14:paraId="139824FE" w14:textId="77777777" w:rsidR="0039657B" w:rsidRPr="00190138" w:rsidRDefault="0039657B" w:rsidP="009F44EB">
            <w:pPr>
              <w:jc w:val="center"/>
              <w:rPr>
                <w:sz w:val="24"/>
                <w:szCs w:val="24"/>
              </w:rPr>
            </w:pPr>
            <w:r w:rsidRPr="00190138">
              <w:rPr>
                <w:sz w:val="24"/>
                <w:szCs w:val="24"/>
              </w:rPr>
              <w:t>26%</w:t>
            </w:r>
          </w:p>
        </w:tc>
      </w:tr>
      <w:tr w:rsidR="0039657B" w:rsidRPr="00190138" w14:paraId="08092AB3" w14:textId="77777777" w:rsidTr="009F44EB">
        <w:trPr>
          <w:trHeight w:val="251"/>
        </w:trPr>
        <w:tc>
          <w:tcPr>
            <w:tcW w:w="1337" w:type="dxa"/>
          </w:tcPr>
          <w:p w14:paraId="1A4667E0" w14:textId="77777777" w:rsidR="0039657B" w:rsidRPr="00190138" w:rsidRDefault="0039657B" w:rsidP="009F44EB">
            <w:pPr>
              <w:rPr>
                <w:sz w:val="24"/>
                <w:szCs w:val="24"/>
              </w:rPr>
            </w:pPr>
            <w:r>
              <w:rPr>
                <w:sz w:val="24"/>
                <w:szCs w:val="24"/>
              </w:rPr>
              <w:t>Site 2</w:t>
            </w:r>
          </w:p>
        </w:tc>
        <w:tc>
          <w:tcPr>
            <w:tcW w:w="1310" w:type="dxa"/>
          </w:tcPr>
          <w:p w14:paraId="1A0BC8A8" w14:textId="77777777" w:rsidR="0039657B" w:rsidRPr="00190138" w:rsidRDefault="0039657B" w:rsidP="009F44EB">
            <w:pPr>
              <w:jc w:val="center"/>
              <w:rPr>
                <w:sz w:val="24"/>
                <w:szCs w:val="24"/>
              </w:rPr>
            </w:pPr>
            <w:r w:rsidRPr="00190138">
              <w:rPr>
                <w:sz w:val="24"/>
                <w:szCs w:val="24"/>
              </w:rPr>
              <w:t>10.62</w:t>
            </w:r>
          </w:p>
        </w:tc>
        <w:tc>
          <w:tcPr>
            <w:tcW w:w="1150" w:type="dxa"/>
          </w:tcPr>
          <w:p w14:paraId="511D850F" w14:textId="77777777" w:rsidR="0039657B" w:rsidRPr="00190138" w:rsidRDefault="0039657B" w:rsidP="009F44EB">
            <w:pPr>
              <w:jc w:val="center"/>
              <w:rPr>
                <w:sz w:val="24"/>
                <w:szCs w:val="24"/>
              </w:rPr>
            </w:pPr>
            <w:r w:rsidRPr="00190138">
              <w:rPr>
                <w:sz w:val="24"/>
                <w:szCs w:val="24"/>
              </w:rPr>
              <w:t>2.57</w:t>
            </w:r>
          </w:p>
        </w:tc>
        <w:tc>
          <w:tcPr>
            <w:tcW w:w="1175" w:type="dxa"/>
          </w:tcPr>
          <w:p w14:paraId="74867AD8" w14:textId="77777777" w:rsidR="0039657B" w:rsidRPr="00190138" w:rsidRDefault="0039657B" w:rsidP="009F44EB">
            <w:pPr>
              <w:jc w:val="center"/>
              <w:rPr>
                <w:sz w:val="24"/>
                <w:szCs w:val="24"/>
              </w:rPr>
            </w:pPr>
            <w:r w:rsidRPr="00190138">
              <w:rPr>
                <w:sz w:val="24"/>
                <w:szCs w:val="24"/>
              </w:rPr>
              <w:t>-8.05 (0.274)</w:t>
            </w:r>
          </w:p>
        </w:tc>
        <w:tc>
          <w:tcPr>
            <w:tcW w:w="1349" w:type="dxa"/>
          </w:tcPr>
          <w:p w14:paraId="6623ADF9" w14:textId="77777777" w:rsidR="0039657B" w:rsidRPr="00190138" w:rsidRDefault="0039657B" w:rsidP="009F44EB">
            <w:pPr>
              <w:jc w:val="center"/>
              <w:rPr>
                <w:sz w:val="24"/>
                <w:szCs w:val="24"/>
              </w:rPr>
            </w:pPr>
            <w:r w:rsidRPr="00190138">
              <w:rPr>
                <w:sz w:val="24"/>
                <w:szCs w:val="24"/>
              </w:rPr>
              <w:t>-58.2 (0.594)</w:t>
            </w:r>
          </w:p>
        </w:tc>
        <w:tc>
          <w:tcPr>
            <w:tcW w:w="1350" w:type="dxa"/>
          </w:tcPr>
          <w:p w14:paraId="01D60CE4" w14:textId="77777777" w:rsidR="0039657B" w:rsidRDefault="0039657B" w:rsidP="009F44EB">
            <w:pPr>
              <w:jc w:val="center"/>
              <w:rPr>
                <w:sz w:val="24"/>
                <w:szCs w:val="24"/>
              </w:rPr>
            </w:pPr>
            <w:r w:rsidRPr="00190138">
              <w:rPr>
                <w:sz w:val="24"/>
                <w:szCs w:val="24"/>
              </w:rPr>
              <w:t>-8,969</w:t>
            </w:r>
          </w:p>
          <w:p w14:paraId="0BB93BBB" w14:textId="77777777" w:rsidR="0039657B" w:rsidRPr="00190138" w:rsidRDefault="0039657B" w:rsidP="009F44EB">
            <w:pPr>
              <w:jc w:val="center"/>
              <w:rPr>
                <w:sz w:val="24"/>
                <w:szCs w:val="24"/>
              </w:rPr>
            </w:pPr>
            <w:r>
              <w:rPr>
                <w:sz w:val="24"/>
                <w:szCs w:val="24"/>
              </w:rPr>
              <w:t>(-1,764)</w:t>
            </w:r>
          </w:p>
        </w:tc>
        <w:tc>
          <w:tcPr>
            <w:tcW w:w="1350" w:type="dxa"/>
          </w:tcPr>
          <w:p w14:paraId="5C35318D" w14:textId="77777777" w:rsidR="0039657B" w:rsidRPr="00190138" w:rsidRDefault="0039657B" w:rsidP="009F44EB">
            <w:pPr>
              <w:jc w:val="center"/>
              <w:rPr>
                <w:b/>
                <w:sz w:val="24"/>
                <w:szCs w:val="24"/>
              </w:rPr>
            </w:pPr>
            <w:r w:rsidRPr="00190138">
              <w:rPr>
                <w:sz w:val="24"/>
                <w:szCs w:val="24"/>
              </w:rPr>
              <w:t>£698,042</w:t>
            </w:r>
          </w:p>
        </w:tc>
        <w:tc>
          <w:tcPr>
            <w:tcW w:w="1350" w:type="dxa"/>
          </w:tcPr>
          <w:p w14:paraId="7FBADD07" w14:textId="77777777" w:rsidR="0039657B" w:rsidRPr="00190138" w:rsidRDefault="0039657B" w:rsidP="009F44EB">
            <w:pPr>
              <w:jc w:val="center"/>
              <w:rPr>
                <w:sz w:val="24"/>
                <w:szCs w:val="24"/>
              </w:rPr>
            </w:pPr>
            <w:r w:rsidRPr="00190138">
              <w:rPr>
                <w:sz w:val="24"/>
                <w:szCs w:val="24"/>
              </w:rPr>
              <w:t>-£501,030</w:t>
            </w:r>
          </w:p>
        </w:tc>
        <w:tc>
          <w:tcPr>
            <w:tcW w:w="1350" w:type="dxa"/>
          </w:tcPr>
          <w:p w14:paraId="3EBE5F43" w14:textId="77777777" w:rsidR="0039657B" w:rsidRPr="00190138" w:rsidRDefault="0039657B" w:rsidP="009F44EB">
            <w:pPr>
              <w:pStyle w:val="Default"/>
              <w:jc w:val="center"/>
              <w:rPr>
                <w:rFonts w:asciiTheme="minorHAnsi" w:hAnsiTheme="minorHAnsi"/>
              </w:rPr>
            </w:pPr>
            <w:r w:rsidRPr="00190138">
              <w:rPr>
                <w:rFonts w:asciiTheme="minorHAnsi" w:hAnsiTheme="minorHAnsi"/>
              </w:rPr>
              <w:t>£197,012</w:t>
            </w:r>
          </w:p>
        </w:tc>
        <w:tc>
          <w:tcPr>
            <w:tcW w:w="1350" w:type="dxa"/>
          </w:tcPr>
          <w:p w14:paraId="285961C9" w14:textId="77777777" w:rsidR="0039657B" w:rsidRPr="00190138" w:rsidRDefault="0039657B" w:rsidP="009F44EB">
            <w:pPr>
              <w:jc w:val="center"/>
              <w:rPr>
                <w:sz w:val="24"/>
                <w:szCs w:val="24"/>
              </w:rPr>
            </w:pPr>
            <w:r w:rsidRPr="00190138">
              <w:rPr>
                <w:sz w:val="24"/>
                <w:szCs w:val="24"/>
              </w:rPr>
              <w:t>35%</w:t>
            </w:r>
          </w:p>
        </w:tc>
      </w:tr>
    </w:tbl>
    <w:p w14:paraId="13648260" w14:textId="77777777" w:rsidR="0039657B" w:rsidRDefault="0039657B" w:rsidP="003D71E8">
      <w:pPr>
        <w:autoSpaceDE w:val="0"/>
        <w:autoSpaceDN w:val="0"/>
        <w:adjustRightInd w:val="0"/>
        <w:spacing w:after="0" w:line="480" w:lineRule="auto"/>
        <w:rPr>
          <w:sz w:val="24"/>
          <w:szCs w:val="24"/>
        </w:rPr>
      </w:pPr>
    </w:p>
    <w:p w14:paraId="774A244F" w14:textId="77777777" w:rsidR="0039657B" w:rsidRDefault="0039657B" w:rsidP="003D71E8">
      <w:pPr>
        <w:autoSpaceDE w:val="0"/>
        <w:autoSpaceDN w:val="0"/>
        <w:adjustRightInd w:val="0"/>
        <w:spacing w:after="0" w:line="480" w:lineRule="auto"/>
        <w:rPr>
          <w:sz w:val="24"/>
          <w:szCs w:val="24"/>
        </w:rPr>
        <w:sectPr w:rsidR="0039657B" w:rsidSect="00A3319D">
          <w:pgSz w:w="16838" w:h="11906" w:orient="landscape"/>
          <w:pgMar w:top="1440" w:right="1440" w:bottom="1440" w:left="1440" w:header="708" w:footer="708" w:gutter="0"/>
          <w:cols w:space="708"/>
          <w:docGrid w:linePitch="360"/>
        </w:sectPr>
      </w:pPr>
    </w:p>
    <w:p w14:paraId="52677153" w14:textId="725FECFF" w:rsidR="0039657B" w:rsidRDefault="0039657B" w:rsidP="003D71E8">
      <w:pPr>
        <w:autoSpaceDE w:val="0"/>
        <w:autoSpaceDN w:val="0"/>
        <w:adjustRightInd w:val="0"/>
        <w:spacing w:after="0" w:line="480" w:lineRule="auto"/>
        <w:rPr>
          <w:sz w:val="24"/>
          <w:szCs w:val="24"/>
        </w:rPr>
      </w:pPr>
      <w:r>
        <w:rPr>
          <w:b/>
          <w:sz w:val="24"/>
          <w:szCs w:val="24"/>
        </w:rPr>
        <w:lastRenderedPageBreak/>
        <w:t>Figures</w:t>
      </w:r>
    </w:p>
    <w:p w14:paraId="3E61FDD8" w14:textId="77777777" w:rsidR="0039657B" w:rsidRPr="00190138" w:rsidRDefault="0039657B" w:rsidP="0039657B">
      <w:pPr>
        <w:spacing w:after="0" w:line="360" w:lineRule="auto"/>
        <w:rPr>
          <w:sz w:val="24"/>
          <w:szCs w:val="24"/>
        </w:rPr>
      </w:pPr>
      <w:bookmarkStart w:id="3" w:name="_Ref439843090"/>
      <w:r w:rsidRPr="00190138">
        <w:rPr>
          <w:b/>
          <w:sz w:val="24"/>
          <w:szCs w:val="24"/>
        </w:rPr>
        <w:t xml:space="preserve">Figure </w:t>
      </w:r>
      <w:r>
        <w:rPr>
          <w:b/>
          <w:sz w:val="24"/>
          <w:szCs w:val="24"/>
        </w:rPr>
        <w:fldChar w:fldCharType="begin"/>
      </w:r>
      <w:r>
        <w:rPr>
          <w:b/>
          <w:sz w:val="24"/>
          <w:szCs w:val="24"/>
        </w:rPr>
        <w:instrText xml:space="preserve"> SEQ Figure \* ARABIC </w:instrText>
      </w:r>
      <w:r>
        <w:rPr>
          <w:b/>
          <w:sz w:val="24"/>
          <w:szCs w:val="24"/>
        </w:rPr>
        <w:fldChar w:fldCharType="separate"/>
      </w:r>
      <w:r>
        <w:rPr>
          <w:b/>
          <w:noProof/>
          <w:sz w:val="24"/>
          <w:szCs w:val="24"/>
        </w:rPr>
        <w:t>1</w:t>
      </w:r>
      <w:r>
        <w:rPr>
          <w:b/>
          <w:sz w:val="24"/>
          <w:szCs w:val="24"/>
        </w:rPr>
        <w:fldChar w:fldCharType="end"/>
      </w:r>
      <w:bookmarkEnd w:id="3"/>
      <w:r w:rsidRPr="00190138">
        <w:rPr>
          <w:b/>
          <w:sz w:val="24"/>
          <w:szCs w:val="24"/>
        </w:rPr>
        <w:t>:</w:t>
      </w:r>
      <w:r w:rsidRPr="00190138">
        <w:rPr>
          <w:sz w:val="24"/>
          <w:szCs w:val="24"/>
        </w:rPr>
        <w:t xml:space="preserve"> Analytical approach taken by ITS analysis</w:t>
      </w:r>
    </w:p>
    <w:p w14:paraId="50541FE2" w14:textId="77777777" w:rsidR="0039657B" w:rsidRPr="00190138" w:rsidRDefault="0039657B" w:rsidP="0039657B">
      <w:pPr>
        <w:spacing w:after="0" w:line="480" w:lineRule="auto"/>
        <w:rPr>
          <w:sz w:val="24"/>
          <w:szCs w:val="24"/>
        </w:rPr>
      </w:pPr>
      <w:r w:rsidRPr="00190138">
        <w:rPr>
          <w:noProof/>
          <w:sz w:val="24"/>
          <w:szCs w:val="24"/>
          <w:lang w:eastAsia="en-GB"/>
        </w:rPr>
        <w:drawing>
          <wp:inline distT="0" distB="0" distL="0" distR="0" wp14:anchorId="3A312AFB" wp14:editId="0B4AA64B">
            <wp:extent cx="5549281" cy="355423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061"/>
                    <a:stretch/>
                  </pic:blipFill>
                  <pic:spPr bwMode="auto">
                    <a:xfrm>
                      <a:off x="0" y="0"/>
                      <a:ext cx="5551243" cy="3555489"/>
                    </a:xfrm>
                    <a:prstGeom prst="rect">
                      <a:avLst/>
                    </a:prstGeom>
                    <a:noFill/>
                    <a:ln>
                      <a:noFill/>
                    </a:ln>
                    <a:extLst>
                      <a:ext uri="{53640926-AAD7-44D8-BBD7-CCE9431645EC}">
                        <a14:shadowObscured xmlns:a14="http://schemas.microsoft.com/office/drawing/2010/main"/>
                      </a:ext>
                    </a:extLst>
                  </pic:spPr>
                </pic:pic>
              </a:graphicData>
            </a:graphic>
          </wp:inline>
        </w:drawing>
      </w:r>
    </w:p>
    <w:p w14:paraId="465807D4" w14:textId="77777777" w:rsidR="0039657B" w:rsidRDefault="0039657B" w:rsidP="0039657B">
      <w:pPr>
        <w:spacing w:line="480" w:lineRule="auto"/>
        <w:rPr>
          <w:sz w:val="24"/>
          <w:szCs w:val="24"/>
        </w:rPr>
      </w:pPr>
    </w:p>
    <w:p w14:paraId="6513EE0B" w14:textId="5DC90A85" w:rsidR="0039657B" w:rsidRPr="0039657B" w:rsidRDefault="0039657B" w:rsidP="003D71E8">
      <w:pPr>
        <w:autoSpaceDE w:val="0"/>
        <w:autoSpaceDN w:val="0"/>
        <w:adjustRightInd w:val="0"/>
        <w:spacing w:after="0" w:line="480" w:lineRule="auto"/>
        <w:rPr>
          <w:sz w:val="24"/>
          <w:szCs w:val="24"/>
        </w:rPr>
      </w:pPr>
    </w:p>
    <w:sectPr w:rsidR="0039657B" w:rsidRPr="003965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B4EC7" w14:textId="77777777" w:rsidR="002D5B27" w:rsidRDefault="002D5B27" w:rsidP="003B3F7B">
      <w:pPr>
        <w:spacing w:after="0" w:line="240" w:lineRule="auto"/>
      </w:pPr>
      <w:r>
        <w:separator/>
      </w:r>
    </w:p>
  </w:endnote>
  <w:endnote w:type="continuationSeparator" w:id="0">
    <w:p w14:paraId="26A364B0" w14:textId="77777777" w:rsidR="002D5B27" w:rsidRDefault="002D5B27" w:rsidP="003B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380063"/>
      <w:docPartObj>
        <w:docPartGallery w:val="Page Numbers (Bottom of Page)"/>
        <w:docPartUnique/>
      </w:docPartObj>
    </w:sdtPr>
    <w:sdtEndPr>
      <w:rPr>
        <w:noProof/>
      </w:rPr>
    </w:sdtEndPr>
    <w:sdtContent>
      <w:p w14:paraId="46ADFAF1" w14:textId="392A96F0" w:rsidR="002D5B27" w:rsidRDefault="002D5B27">
        <w:pPr>
          <w:pStyle w:val="Footer"/>
          <w:jc w:val="right"/>
        </w:pPr>
        <w:r>
          <w:fldChar w:fldCharType="begin"/>
        </w:r>
        <w:r>
          <w:instrText xml:space="preserve"> PAGE   \* MERGEFORMAT </w:instrText>
        </w:r>
        <w:r>
          <w:fldChar w:fldCharType="separate"/>
        </w:r>
        <w:r w:rsidR="00CD3929">
          <w:rPr>
            <w:noProof/>
          </w:rPr>
          <w:t>19</w:t>
        </w:r>
        <w:r>
          <w:rPr>
            <w:noProof/>
          </w:rPr>
          <w:fldChar w:fldCharType="end"/>
        </w:r>
      </w:p>
    </w:sdtContent>
  </w:sdt>
  <w:p w14:paraId="3971BB67" w14:textId="77777777" w:rsidR="002D5B27" w:rsidRDefault="002D5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9CD60" w14:textId="77777777" w:rsidR="002D5B27" w:rsidRDefault="002D5B27" w:rsidP="003B3F7B">
      <w:pPr>
        <w:spacing w:after="0" w:line="240" w:lineRule="auto"/>
      </w:pPr>
      <w:r>
        <w:separator/>
      </w:r>
    </w:p>
  </w:footnote>
  <w:footnote w:type="continuationSeparator" w:id="0">
    <w:p w14:paraId="1D9EF5D8" w14:textId="77777777" w:rsidR="002D5B27" w:rsidRDefault="002D5B27" w:rsidP="003B3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1D2"/>
    <w:multiLevelType w:val="hybridMultilevel"/>
    <w:tmpl w:val="1D56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63F84"/>
    <w:multiLevelType w:val="hybridMultilevel"/>
    <w:tmpl w:val="B3AC6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AEC62D0">
      <w:numFmt w:val="bullet"/>
      <w:lvlText w:val="-"/>
      <w:lvlJc w:val="left"/>
      <w:pPr>
        <w:ind w:left="2880" w:hanging="360"/>
      </w:pPr>
      <w:rPr>
        <w:rFonts w:ascii="Calibri" w:eastAsiaTheme="minorHAnsi" w:hAnsi="Calibri"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21005"/>
    <w:multiLevelType w:val="hybridMultilevel"/>
    <w:tmpl w:val="90A6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21D12"/>
    <w:multiLevelType w:val="hybridMultilevel"/>
    <w:tmpl w:val="BBC626B0"/>
    <w:lvl w:ilvl="0" w:tplc="C8E0B47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11A79"/>
    <w:multiLevelType w:val="hybridMultilevel"/>
    <w:tmpl w:val="71D6A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F58FD"/>
    <w:multiLevelType w:val="hybridMultilevel"/>
    <w:tmpl w:val="749E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A4BB5"/>
    <w:multiLevelType w:val="hybridMultilevel"/>
    <w:tmpl w:val="13FE593E"/>
    <w:lvl w:ilvl="0" w:tplc="468272F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96D36"/>
    <w:multiLevelType w:val="hybridMultilevel"/>
    <w:tmpl w:val="4CB40856"/>
    <w:lvl w:ilvl="0" w:tplc="462C58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90C30"/>
    <w:multiLevelType w:val="hybridMultilevel"/>
    <w:tmpl w:val="4EFEC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17342"/>
    <w:multiLevelType w:val="hybridMultilevel"/>
    <w:tmpl w:val="16C8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53B59"/>
    <w:multiLevelType w:val="hybridMultilevel"/>
    <w:tmpl w:val="5428DE5C"/>
    <w:lvl w:ilvl="0" w:tplc="36C0AEE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973CD"/>
    <w:multiLevelType w:val="hybridMultilevel"/>
    <w:tmpl w:val="9950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22728"/>
    <w:multiLevelType w:val="hybridMultilevel"/>
    <w:tmpl w:val="D7E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1764F"/>
    <w:multiLevelType w:val="hybridMultilevel"/>
    <w:tmpl w:val="F072D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86CCE"/>
    <w:multiLevelType w:val="hybridMultilevel"/>
    <w:tmpl w:val="D55C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30627"/>
    <w:multiLevelType w:val="hybridMultilevel"/>
    <w:tmpl w:val="5E6488AC"/>
    <w:lvl w:ilvl="0" w:tplc="046C088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602C1"/>
    <w:multiLevelType w:val="hybridMultilevel"/>
    <w:tmpl w:val="9F5C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C34A7"/>
    <w:multiLevelType w:val="multilevel"/>
    <w:tmpl w:val="3AE022E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8"/>
  </w:num>
  <w:num w:numId="3">
    <w:abstractNumId w:val="11"/>
  </w:num>
  <w:num w:numId="4">
    <w:abstractNumId w:val="5"/>
  </w:num>
  <w:num w:numId="5">
    <w:abstractNumId w:val="14"/>
  </w:num>
  <w:num w:numId="6">
    <w:abstractNumId w:val="1"/>
  </w:num>
  <w:num w:numId="7">
    <w:abstractNumId w:val="12"/>
  </w:num>
  <w:num w:numId="8">
    <w:abstractNumId w:val="9"/>
  </w:num>
  <w:num w:numId="9">
    <w:abstractNumId w:val="17"/>
  </w:num>
  <w:num w:numId="10">
    <w:abstractNumId w:val="4"/>
  </w:num>
  <w:num w:numId="11">
    <w:abstractNumId w:val="13"/>
  </w:num>
  <w:num w:numId="12">
    <w:abstractNumId w:val="16"/>
  </w:num>
  <w:num w:numId="13">
    <w:abstractNumId w:val="0"/>
  </w:num>
  <w:num w:numId="14">
    <w:abstractNumId w:val="10"/>
  </w:num>
  <w:num w:numId="15">
    <w:abstractNumId w:val="6"/>
  </w:num>
  <w:num w:numId="16">
    <w:abstractNumId w:val="2"/>
  </w:num>
  <w:num w:numId="17">
    <w:abstractNumId w:val="3"/>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B7690"/>
    <w:rsid w:val="00000AFD"/>
    <w:rsid w:val="00017E88"/>
    <w:rsid w:val="0002187F"/>
    <w:rsid w:val="000251D0"/>
    <w:rsid w:val="000443C8"/>
    <w:rsid w:val="00047E2B"/>
    <w:rsid w:val="00052AC0"/>
    <w:rsid w:val="0005344E"/>
    <w:rsid w:val="00060068"/>
    <w:rsid w:val="00066C14"/>
    <w:rsid w:val="000705ED"/>
    <w:rsid w:val="000774A0"/>
    <w:rsid w:val="00077A75"/>
    <w:rsid w:val="00080DAA"/>
    <w:rsid w:val="00097E8D"/>
    <w:rsid w:val="000B3D22"/>
    <w:rsid w:val="000C3416"/>
    <w:rsid w:val="000C4ADA"/>
    <w:rsid w:val="000D10F0"/>
    <w:rsid w:val="000D3D50"/>
    <w:rsid w:val="000E017C"/>
    <w:rsid w:val="000E56A8"/>
    <w:rsid w:val="0011117E"/>
    <w:rsid w:val="001232D4"/>
    <w:rsid w:val="00125F8F"/>
    <w:rsid w:val="00127A8A"/>
    <w:rsid w:val="00136323"/>
    <w:rsid w:val="001455F0"/>
    <w:rsid w:val="0014633D"/>
    <w:rsid w:val="001565EB"/>
    <w:rsid w:val="00164281"/>
    <w:rsid w:val="001756E1"/>
    <w:rsid w:val="0018156A"/>
    <w:rsid w:val="001840EE"/>
    <w:rsid w:val="00185533"/>
    <w:rsid w:val="00186D9E"/>
    <w:rsid w:val="00187C0D"/>
    <w:rsid w:val="00190138"/>
    <w:rsid w:val="00196ABD"/>
    <w:rsid w:val="001A43B6"/>
    <w:rsid w:val="001B4325"/>
    <w:rsid w:val="001B7690"/>
    <w:rsid w:val="001B7CF9"/>
    <w:rsid w:val="001C1584"/>
    <w:rsid w:val="001D2ACC"/>
    <w:rsid w:val="001D2BED"/>
    <w:rsid w:val="001D7296"/>
    <w:rsid w:val="001E07B8"/>
    <w:rsid w:val="001E444F"/>
    <w:rsid w:val="001E4810"/>
    <w:rsid w:val="002012E6"/>
    <w:rsid w:val="00212216"/>
    <w:rsid w:val="00216B3B"/>
    <w:rsid w:val="002178A0"/>
    <w:rsid w:val="00220BD2"/>
    <w:rsid w:val="00222B0D"/>
    <w:rsid w:val="002455FA"/>
    <w:rsid w:val="00261A33"/>
    <w:rsid w:val="00262AA8"/>
    <w:rsid w:val="00266FA9"/>
    <w:rsid w:val="002814CC"/>
    <w:rsid w:val="002869FA"/>
    <w:rsid w:val="00297309"/>
    <w:rsid w:val="002A694D"/>
    <w:rsid w:val="002B4C38"/>
    <w:rsid w:val="002B6DBF"/>
    <w:rsid w:val="002C11BA"/>
    <w:rsid w:val="002C2D1F"/>
    <w:rsid w:val="002C6E41"/>
    <w:rsid w:val="002D48A6"/>
    <w:rsid w:val="002D5B27"/>
    <w:rsid w:val="002E181E"/>
    <w:rsid w:val="002E613A"/>
    <w:rsid w:val="002E67F1"/>
    <w:rsid w:val="002E7324"/>
    <w:rsid w:val="003103D1"/>
    <w:rsid w:val="00315584"/>
    <w:rsid w:val="003228FA"/>
    <w:rsid w:val="00322A19"/>
    <w:rsid w:val="00330B5C"/>
    <w:rsid w:val="0033482F"/>
    <w:rsid w:val="00346755"/>
    <w:rsid w:val="00350C34"/>
    <w:rsid w:val="00365A16"/>
    <w:rsid w:val="00372C2E"/>
    <w:rsid w:val="00384924"/>
    <w:rsid w:val="00390549"/>
    <w:rsid w:val="0039615C"/>
    <w:rsid w:val="0039657B"/>
    <w:rsid w:val="003A6C77"/>
    <w:rsid w:val="003B17FB"/>
    <w:rsid w:val="003B27C8"/>
    <w:rsid w:val="003B3F7B"/>
    <w:rsid w:val="003B6D9D"/>
    <w:rsid w:val="003C7842"/>
    <w:rsid w:val="003D71E8"/>
    <w:rsid w:val="003E1E75"/>
    <w:rsid w:val="003F2B57"/>
    <w:rsid w:val="00407D54"/>
    <w:rsid w:val="00414E15"/>
    <w:rsid w:val="00433379"/>
    <w:rsid w:val="00433F32"/>
    <w:rsid w:val="00436A8C"/>
    <w:rsid w:val="0045472C"/>
    <w:rsid w:val="004623D3"/>
    <w:rsid w:val="0046436E"/>
    <w:rsid w:val="00470726"/>
    <w:rsid w:val="00473EB6"/>
    <w:rsid w:val="00481323"/>
    <w:rsid w:val="00482639"/>
    <w:rsid w:val="00482C95"/>
    <w:rsid w:val="004A0C7B"/>
    <w:rsid w:val="004A11A0"/>
    <w:rsid w:val="004B3436"/>
    <w:rsid w:val="004B41B9"/>
    <w:rsid w:val="004B4E92"/>
    <w:rsid w:val="004D58E1"/>
    <w:rsid w:val="004D6C6C"/>
    <w:rsid w:val="004E282F"/>
    <w:rsid w:val="004E6629"/>
    <w:rsid w:val="004F27FB"/>
    <w:rsid w:val="004F6936"/>
    <w:rsid w:val="004F719D"/>
    <w:rsid w:val="00500A32"/>
    <w:rsid w:val="00507D76"/>
    <w:rsid w:val="00517BD3"/>
    <w:rsid w:val="00520B42"/>
    <w:rsid w:val="0053151A"/>
    <w:rsid w:val="00535E12"/>
    <w:rsid w:val="00536512"/>
    <w:rsid w:val="00544CED"/>
    <w:rsid w:val="00555D42"/>
    <w:rsid w:val="0056623A"/>
    <w:rsid w:val="005670E2"/>
    <w:rsid w:val="0056736A"/>
    <w:rsid w:val="0057333E"/>
    <w:rsid w:val="00576F1D"/>
    <w:rsid w:val="0058117E"/>
    <w:rsid w:val="00581689"/>
    <w:rsid w:val="00581F9A"/>
    <w:rsid w:val="005830D3"/>
    <w:rsid w:val="00585133"/>
    <w:rsid w:val="00586D71"/>
    <w:rsid w:val="0059122F"/>
    <w:rsid w:val="00593ADB"/>
    <w:rsid w:val="00595EFC"/>
    <w:rsid w:val="0059667D"/>
    <w:rsid w:val="00597104"/>
    <w:rsid w:val="005A1458"/>
    <w:rsid w:val="005A672A"/>
    <w:rsid w:val="005A7326"/>
    <w:rsid w:val="005C7985"/>
    <w:rsid w:val="005D25F2"/>
    <w:rsid w:val="005E2306"/>
    <w:rsid w:val="005F4D28"/>
    <w:rsid w:val="005F5BA1"/>
    <w:rsid w:val="00605524"/>
    <w:rsid w:val="00606D1F"/>
    <w:rsid w:val="00613611"/>
    <w:rsid w:val="00615022"/>
    <w:rsid w:val="00624804"/>
    <w:rsid w:val="00625965"/>
    <w:rsid w:val="00626ED1"/>
    <w:rsid w:val="00630715"/>
    <w:rsid w:val="00641E80"/>
    <w:rsid w:val="00641F29"/>
    <w:rsid w:val="00655935"/>
    <w:rsid w:val="0066071C"/>
    <w:rsid w:val="00660B72"/>
    <w:rsid w:val="00660D97"/>
    <w:rsid w:val="0066543A"/>
    <w:rsid w:val="006743F5"/>
    <w:rsid w:val="0067548F"/>
    <w:rsid w:val="00681142"/>
    <w:rsid w:val="00694CB0"/>
    <w:rsid w:val="006A0712"/>
    <w:rsid w:val="006A09DB"/>
    <w:rsid w:val="006A1062"/>
    <w:rsid w:val="006B41A6"/>
    <w:rsid w:val="006B7DB6"/>
    <w:rsid w:val="006D2DBE"/>
    <w:rsid w:val="006D3B18"/>
    <w:rsid w:val="006E5E8F"/>
    <w:rsid w:val="006E75BD"/>
    <w:rsid w:val="006F6BF1"/>
    <w:rsid w:val="00701360"/>
    <w:rsid w:val="00702AE3"/>
    <w:rsid w:val="00704D8F"/>
    <w:rsid w:val="00704FE4"/>
    <w:rsid w:val="007054E5"/>
    <w:rsid w:val="00716A9E"/>
    <w:rsid w:val="0072672C"/>
    <w:rsid w:val="00727739"/>
    <w:rsid w:val="00727C66"/>
    <w:rsid w:val="0073490B"/>
    <w:rsid w:val="00750729"/>
    <w:rsid w:val="00753C00"/>
    <w:rsid w:val="00760E0E"/>
    <w:rsid w:val="00760F96"/>
    <w:rsid w:val="00773905"/>
    <w:rsid w:val="0077504E"/>
    <w:rsid w:val="00784132"/>
    <w:rsid w:val="007849B1"/>
    <w:rsid w:val="00786974"/>
    <w:rsid w:val="007A1AEA"/>
    <w:rsid w:val="007B7096"/>
    <w:rsid w:val="007C2EBC"/>
    <w:rsid w:val="007F544D"/>
    <w:rsid w:val="007F6216"/>
    <w:rsid w:val="00800B22"/>
    <w:rsid w:val="00815B7D"/>
    <w:rsid w:val="00815C79"/>
    <w:rsid w:val="00826A09"/>
    <w:rsid w:val="008306F9"/>
    <w:rsid w:val="00831AB2"/>
    <w:rsid w:val="00854D9C"/>
    <w:rsid w:val="008672A0"/>
    <w:rsid w:val="00867F49"/>
    <w:rsid w:val="00870647"/>
    <w:rsid w:val="00872546"/>
    <w:rsid w:val="00884B60"/>
    <w:rsid w:val="00894C2B"/>
    <w:rsid w:val="008962CA"/>
    <w:rsid w:val="008A3040"/>
    <w:rsid w:val="008B6249"/>
    <w:rsid w:val="008C1D4E"/>
    <w:rsid w:val="008C3EDC"/>
    <w:rsid w:val="008C4970"/>
    <w:rsid w:val="008C7882"/>
    <w:rsid w:val="008E26AC"/>
    <w:rsid w:val="008E41EA"/>
    <w:rsid w:val="008F0E50"/>
    <w:rsid w:val="008F5735"/>
    <w:rsid w:val="008F5ADC"/>
    <w:rsid w:val="00903088"/>
    <w:rsid w:val="00903D91"/>
    <w:rsid w:val="009127C8"/>
    <w:rsid w:val="009157C0"/>
    <w:rsid w:val="00924B9F"/>
    <w:rsid w:val="00927460"/>
    <w:rsid w:val="00942762"/>
    <w:rsid w:val="009428DD"/>
    <w:rsid w:val="00943FCC"/>
    <w:rsid w:val="00953290"/>
    <w:rsid w:val="0096226B"/>
    <w:rsid w:val="0096734C"/>
    <w:rsid w:val="00973B77"/>
    <w:rsid w:val="009A25F5"/>
    <w:rsid w:val="009C494F"/>
    <w:rsid w:val="009C5283"/>
    <w:rsid w:val="009C65AE"/>
    <w:rsid w:val="009E14DB"/>
    <w:rsid w:val="009E5A45"/>
    <w:rsid w:val="009F44EB"/>
    <w:rsid w:val="009F5D6F"/>
    <w:rsid w:val="00A1787E"/>
    <w:rsid w:val="00A21AD2"/>
    <w:rsid w:val="00A31217"/>
    <w:rsid w:val="00A320A5"/>
    <w:rsid w:val="00A3319D"/>
    <w:rsid w:val="00A3437D"/>
    <w:rsid w:val="00A34688"/>
    <w:rsid w:val="00A66562"/>
    <w:rsid w:val="00A67798"/>
    <w:rsid w:val="00A8293C"/>
    <w:rsid w:val="00A860F5"/>
    <w:rsid w:val="00A870C8"/>
    <w:rsid w:val="00A91C8F"/>
    <w:rsid w:val="00A92913"/>
    <w:rsid w:val="00A947EA"/>
    <w:rsid w:val="00AB1291"/>
    <w:rsid w:val="00AB2A3A"/>
    <w:rsid w:val="00AB3CDE"/>
    <w:rsid w:val="00AB47AA"/>
    <w:rsid w:val="00AB6A8B"/>
    <w:rsid w:val="00AC09B3"/>
    <w:rsid w:val="00AC1D9B"/>
    <w:rsid w:val="00AD337E"/>
    <w:rsid w:val="00AD3535"/>
    <w:rsid w:val="00AD38B0"/>
    <w:rsid w:val="00AE0164"/>
    <w:rsid w:val="00AE578E"/>
    <w:rsid w:val="00AF4A7C"/>
    <w:rsid w:val="00B01F15"/>
    <w:rsid w:val="00B10B2E"/>
    <w:rsid w:val="00B11085"/>
    <w:rsid w:val="00B119B0"/>
    <w:rsid w:val="00B24FB0"/>
    <w:rsid w:val="00B25868"/>
    <w:rsid w:val="00B31BD2"/>
    <w:rsid w:val="00B370A1"/>
    <w:rsid w:val="00B44E34"/>
    <w:rsid w:val="00B46ACC"/>
    <w:rsid w:val="00B5293C"/>
    <w:rsid w:val="00B54605"/>
    <w:rsid w:val="00B64D9A"/>
    <w:rsid w:val="00B76BF1"/>
    <w:rsid w:val="00B83571"/>
    <w:rsid w:val="00B84285"/>
    <w:rsid w:val="00B962A2"/>
    <w:rsid w:val="00B97958"/>
    <w:rsid w:val="00BA5C2F"/>
    <w:rsid w:val="00BB7C07"/>
    <w:rsid w:val="00BC1013"/>
    <w:rsid w:val="00BC2313"/>
    <w:rsid w:val="00BD2BBD"/>
    <w:rsid w:val="00BF605F"/>
    <w:rsid w:val="00BF719D"/>
    <w:rsid w:val="00C16CC4"/>
    <w:rsid w:val="00C23281"/>
    <w:rsid w:val="00C2364C"/>
    <w:rsid w:val="00C24A80"/>
    <w:rsid w:val="00C24B68"/>
    <w:rsid w:val="00C32189"/>
    <w:rsid w:val="00C3350A"/>
    <w:rsid w:val="00C337F4"/>
    <w:rsid w:val="00C47023"/>
    <w:rsid w:val="00C50B3F"/>
    <w:rsid w:val="00C50EE7"/>
    <w:rsid w:val="00C73990"/>
    <w:rsid w:val="00C73D1F"/>
    <w:rsid w:val="00C854F1"/>
    <w:rsid w:val="00C91B32"/>
    <w:rsid w:val="00C91DE5"/>
    <w:rsid w:val="00CA0248"/>
    <w:rsid w:val="00CA303E"/>
    <w:rsid w:val="00CA6BCA"/>
    <w:rsid w:val="00CA6CC3"/>
    <w:rsid w:val="00CB6303"/>
    <w:rsid w:val="00CC2FFD"/>
    <w:rsid w:val="00CD2FC1"/>
    <w:rsid w:val="00CD3929"/>
    <w:rsid w:val="00CD4973"/>
    <w:rsid w:val="00CD5A9D"/>
    <w:rsid w:val="00CD635E"/>
    <w:rsid w:val="00CD6844"/>
    <w:rsid w:val="00CF31AE"/>
    <w:rsid w:val="00CF4E3F"/>
    <w:rsid w:val="00D068AA"/>
    <w:rsid w:val="00D22AC4"/>
    <w:rsid w:val="00D37140"/>
    <w:rsid w:val="00D375CA"/>
    <w:rsid w:val="00D43627"/>
    <w:rsid w:val="00D46AF6"/>
    <w:rsid w:val="00D4748F"/>
    <w:rsid w:val="00D57E22"/>
    <w:rsid w:val="00D63A74"/>
    <w:rsid w:val="00D755CD"/>
    <w:rsid w:val="00D8102A"/>
    <w:rsid w:val="00D82B38"/>
    <w:rsid w:val="00D85F9F"/>
    <w:rsid w:val="00D9029F"/>
    <w:rsid w:val="00D91AA5"/>
    <w:rsid w:val="00DB18C7"/>
    <w:rsid w:val="00DC5A71"/>
    <w:rsid w:val="00DE34C8"/>
    <w:rsid w:val="00DE7E47"/>
    <w:rsid w:val="00DF6436"/>
    <w:rsid w:val="00E02C41"/>
    <w:rsid w:val="00E04136"/>
    <w:rsid w:val="00E32D1A"/>
    <w:rsid w:val="00E337A1"/>
    <w:rsid w:val="00E451D2"/>
    <w:rsid w:val="00E45CAB"/>
    <w:rsid w:val="00E4746C"/>
    <w:rsid w:val="00E54089"/>
    <w:rsid w:val="00E65BBA"/>
    <w:rsid w:val="00E7685B"/>
    <w:rsid w:val="00E806F1"/>
    <w:rsid w:val="00E94676"/>
    <w:rsid w:val="00EA17AC"/>
    <w:rsid w:val="00ED1F33"/>
    <w:rsid w:val="00ED29E9"/>
    <w:rsid w:val="00ED5D91"/>
    <w:rsid w:val="00EE0CD6"/>
    <w:rsid w:val="00EE7CA8"/>
    <w:rsid w:val="00F00DE4"/>
    <w:rsid w:val="00F02F63"/>
    <w:rsid w:val="00F23588"/>
    <w:rsid w:val="00F2786E"/>
    <w:rsid w:val="00F30A20"/>
    <w:rsid w:val="00F3195E"/>
    <w:rsid w:val="00F34EEE"/>
    <w:rsid w:val="00F363B0"/>
    <w:rsid w:val="00F36880"/>
    <w:rsid w:val="00F41087"/>
    <w:rsid w:val="00F4212D"/>
    <w:rsid w:val="00F42964"/>
    <w:rsid w:val="00F47FBC"/>
    <w:rsid w:val="00F50C00"/>
    <w:rsid w:val="00F844CA"/>
    <w:rsid w:val="00F85311"/>
    <w:rsid w:val="00F87E58"/>
    <w:rsid w:val="00F90A4E"/>
    <w:rsid w:val="00F94214"/>
    <w:rsid w:val="00F963EF"/>
    <w:rsid w:val="00FA18B1"/>
    <w:rsid w:val="00FA446A"/>
    <w:rsid w:val="00FC0784"/>
    <w:rsid w:val="00FC1412"/>
    <w:rsid w:val="00FD525F"/>
    <w:rsid w:val="00FD6AF0"/>
    <w:rsid w:val="00FE5950"/>
    <w:rsid w:val="00FE5F44"/>
    <w:rsid w:val="00FF3B31"/>
    <w:rsid w:val="00FF5140"/>
    <w:rsid w:val="00FF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4C60"/>
  <w15:docId w15:val="{64C7D13B-D8E4-499B-851F-15C942C5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690"/>
    <w:pPr>
      <w:ind w:left="720"/>
      <w:contextualSpacing/>
    </w:pPr>
  </w:style>
  <w:style w:type="table" w:styleId="TableGrid">
    <w:name w:val="Table Grid"/>
    <w:basedOn w:val="TableNormal"/>
    <w:uiPriority w:val="39"/>
    <w:rsid w:val="00A8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304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320A5"/>
    <w:rPr>
      <w:sz w:val="16"/>
      <w:szCs w:val="16"/>
    </w:rPr>
  </w:style>
  <w:style w:type="paragraph" w:styleId="CommentText">
    <w:name w:val="annotation text"/>
    <w:basedOn w:val="Normal"/>
    <w:link w:val="CommentTextChar"/>
    <w:uiPriority w:val="99"/>
    <w:unhideWhenUsed/>
    <w:rsid w:val="00A320A5"/>
    <w:pPr>
      <w:spacing w:line="240" w:lineRule="auto"/>
    </w:pPr>
    <w:rPr>
      <w:sz w:val="20"/>
      <w:szCs w:val="20"/>
    </w:rPr>
  </w:style>
  <w:style w:type="character" w:customStyle="1" w:styleId="CommentTextChar">
    <w:name w:val="Comment Text Char"/>
    <w:basedOn w:val="DefaultParagraphFont"/>
    <w:link w:val="CommentText"/>
    <w:uiPriority w:val="99"/>
    <w:rsid w:val="00A320A5"/>
    <w:rPr>
      <w:sz w:val="20"/>
      <w:szCs w:val="20"/>
    </w:rPr>
  </w:style>
  <w:style w:type="paragraph" w:styleId="CommentSubject">
    <w:name w:val="annotation subject"/>
    <w:basedOn w:val="CommentText"/>
    <w:next w:val="CommentText"/>
    <w:link w:val="CommentSubjectChar"/>
    <w:uiPriority w:val="99"/>
    <w:semiHidden/>
    <w:unhideWhenUsed/>
    <w:rsid w:val="00A320A5"/>
    <w:rPr>
      <w:b/>
      <w:bCs/>
    </w:rPr>
  </w:style>
  <w:style w:type="character" w:customStyle="1" w:styleId="CommentSubjectChar">
    <w:name w:val="Comment Subject Char"/>
    <w:basedOn w:val="CommentTextChar"/>
    <w:link w:val="CommentSubject"/>
    <w:uiPriority w:val="99"/>
    <w:semiHidden/>
    <w:rsid w:val="00A320A5"/>
    <w:rPr>
      <w:b/>
      <w:bCs/>
      <w:sz w:val="20"/>
      <w:szCs w:val="20"/>
    </w:rPr>
  </w:style>
  <w:style w:type="paragraph" w:styleId="BalloonText">
    <w:name w:val="Balloon Text"/>
    <w:basedOn w:val="Normal"/>
    <w:link w:val="BalloonTextChar"/>
    <w:uiPriority w:val="99"/>
    <w:semiHidden/>
    <w:unhideWhenUsed/>
    <w:rsid w:val="00A32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0A5"/>
    <w:rPr>
      <w:rFonts w:ascii="Segoe UI" w:hAnsi="Segoe UI" w:cs="Segoe UI"/>
      <w:sz w:val="18"/>
      <w:szCs w:val="18"/>
    </w:rPr>
  </w:style>
  <w:style w:type="paragraph" w:styleId="FootnoteText">
    <w:name w:val="footnote text"/>
    <w:basedOn w:val="Normal"/>
    <w:link w:val="FootnoteTextChar"/>
    <w:uiPriority w:val="99"/>
    <w:semiHidden/>
    <w:unhideWhenUsed/>
    <w:rsid w:val="003B3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F7B"/>
    <w:rPr>
      <w:sz w:val="20"/>
      <w:szCs w:val="20"/>
    </w:rPr>
  </w:style>
  <w:style w:type="character" w:styleId="FootnoteReference">
    <w:name w:val="footnote reference"/>
    <w:basedOn w:val="DefaultParagraphFont"/>
    <w:uiPriority w:val="99"/>
    <w:semiHidden/>
    <w:unhideWhenUsed/>
    <w:rsid w:val="003B3F7B"/>
    <w:rPr>
      <w:vertAlign w:val="superscript"/>
    </w:rPr>
  </w:style>
  <w:style w:type="paragraph" w:styleId="Caption">
    <w:name w:val="caption"/>
    <w:basedOn w:val="Normal"/>
    <w:next w:val="Normal"/>
    <w:uiPriority w:val="35"/>
    <w:unhideWhenUsed/>
    <w:qFormat/>
    <w:rsid w:val="008F5735"/>
    <w:pPr>
      <w:spacing w:after="200" w:line="240" w:lineRule="auto"/>
    </w:pPr>
    <w:rPr>
      <w:b/>
      <w:bCs/>
      <w:color w:val="5B9BD5" w:themeColor="accent1"/>
      <w:sz w:val="18"/>
      <w:szCs w:val="18"/>
    </w:rPr>
  </w:style>
  <w:style w:type="paragraph" w:styleId="Revision">
    <w:name w:val="Revision"/>
    <w:hidden/>
    <w:uiPriority w:val="99"/>
    <w:semiHidden/>
    <w:rsid w:val="00924B9F"/>
    <w:pPr>
      <w:spacing w:after="0" w:line="240" w:lineRule="auto"/>
    </w:pPr>
  </w:style>
  <w:style w:type="paragraph" w:styleId="Header">
    <w:name w:val="header"/>
    <w:basedOn w:val="Normal"/>
    <w:link w:val="HeaderChar"/>
    <w:uiPriority w:val="99"/>
    <w:unhideWhenUsed/>
    <w:rsid w:val="007A1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AEA"/>
  </w:style>
  <w:style w:type="paragraph" w:styleId="Footer">
    <w:name w:val="footer"/>
    <w:basedOn w:val="Normal"/>
    <w:link w:val="FooterChar"/>
    <w:uiPriority w:val="99"/>
    <w:unhideWhenUsed/>
    <w:rsid w:val="007A1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AEA"/>
  </w:style>
  <w:style w:type="paragraph" w:customStyle="1" w:styleId="EndNoteBibliographyTitle">
    <w:name w:val="EndNote Bibliography Title"/>
    <w:basedOn w:val="Normal"/>
    <w:link w:val="EndNoteBibliographyTitleChar"/>
    <w:rsid w:val="00D82B3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D82B38"/>
    <w:rPr>
      <w:rFonts w:ascii="Calibri" w:hAnsi="Calibri"/>
      <w:noProof/>
      <w:lang w:val="en-US"/>
    </w:rPr>
  </w:style>
  <w:style w:type="paragraph" w:customStyle="1" w:styleId="EndNoteBibliography">
    <w:name w:val="EndNote Bibliography"/>
    <w:basedOn w:val="Normal"/>
    <w:link w:val="EndNoteBibliographyChar"/>
    <w:rsid w:val="00D82B3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D82B38"/>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3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7EFB-F453-4449-AB19-B94F6C32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E56E91E6.dotm</Template>
  <TotalTime>4</TotalTime>
  <Pages>19</Pages>
  <Words>5928</Words>
  <Characters>33793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Hinde</dc:creator>
  <cp:lastModifiedBy>Sebastian Hinde</cp:lastModifiedBy>
  <cp:revision>4</cp:revision>
  <cp:lastPrinted>2016-03-21T11:46:00Z</cp:lastPrinted>
  <dcterms:created xsi:type="dcterms:W3CDTF">2017-01-10T09:12:00Z</dcterms:created>
  <dcterms:modified xsi:type="dcterms:W3CDTF">2017-01-10T09:16:00Z</dcterms:modified>
</cp:coreProperties>
</file>