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7D3AE" w14:textId="77777777" w:rsidR="00F776C2" w:rsidRPr="00FA7349" w:rsidRDefault="00F776C2" w:rsidP="00F776C2">
      <w:pPr>
        <w:pStyle w:val="Heading1"/>
        <w:spacing w:before="0"/>
        <w:jc w:val="both"/>
        <w:rPr>
          <w:rFonts w:ascii="Times New Roman" w:hAnsi="Times New Roman"/>
          <w:color w:val="auto"/>
          <w:sz w:val="28"/>
          <w:szCs w:val="28"/>
        </w:rPr>
      </w:pPr>
      <w:r w:rsidRPr="00FA7349">
        <w:rPr>
          <w:rFonts w:ascii="Times New Roman" w:hAnsi="Times New Roman" w:cs="Times New Roman"/>
          <w:color w:val="auto"/>
          <w:sz w:val="28"/>
          <w:szCs w:val="28"/>
        </w:rPr>
        <w:t xml:space="preserve">What </w:t>
      </w:r>
      <w:r w:rsidR="00FA7349" w:rsidRPr="00FA7349">
        <w:rPr>
          <w:rFonts w:ascii="Times New Roman" w:hAnsi="Times New Roman" w:cs="Times New Roman"/>
          <w:color w:val="auto"/>
          <w:sz w:val="28"/>
          <w:szCs w:val="28"/>
        </w:rPr>
        <w:t xml:space="preserve">Is It </w:t>
      </w:r>
      <w:r w:rsidRPr="00FA7349">
        <w:rPr>
          <w:rFonts w:ascii="Times New Roman" w:hAnsi="Times New Roman" w:cs="Times New Roman"/>
          <w:color w:val="auto"/>
          <w:sz w:val="28"/>
          <w:szCs w:val="28"/>
        </w:rPr>
        <w:t xml:space="preserve">Like to </w:t>
      </w:r>
      <w:r w:rsidR="00FA7349" w:rsidRPr="00FA7349">
        <w:rPr>
          <w:rFonts w:ascii="Times New Roman" w:hAnsi="Times New Roman" w:cs="Times New Roman"/>
          <w:color w:val="auto"/>
          <w:sz w:val="28"/>
          <w:szCs w:val="28"/>
        </w:rPr>
        <w:t>B</w:t>
      </w:r>
      <w:r w:rsidRPr="00FA7349">
        <w:rPr>
          <w:rFonts w:ascii="Times New Roman" w:hAnsi="Times New Roman" w:cs="Times New Roman"/>
          <w:color w:val="auto"/>
          <w:sz w:val="28"/>
          <w:szCs w:val="28"/>
        </w:rPr>
        <w:t>e an A</w:t>
      </w:r>
      <w:r w:rsidR="005D7AF3" w:rsidRPr="00FA7349">
        <w:rPr>
          <w:rFonts w:ascii="Times New Roman" w:hAnsi="Times New Roman" w:cs="Times New Roman"/>
          <w:color w:val="auto"/>
          <w:sz w:val="28"/>
          <w:szCs w:val="28"/>
        </w:rPr>
        <w:t>lien?</w:t>
      </w:r>
      <w:r w:rsidRPr="00FA7349">
        <w:rPr>
          <w:rFonts w:ascii="Times New Roman" w:hAnsi="Times New Roman"/>
          <w:color w:val="auto"/>
          <w:sz w:val="28"/>
          <w:szCs w:val="28"/>
        </w:rPr>
        <w:t xml:space="preserve"> </w:t>
      </w:r>
    </w:p>
    <w:p w14:paraId="1470BF5D" w14:textId="77777777" w:rsidR="00F776C2" w:rsidRPr="00FA7349" w:rsidRDefault="00F776C2" w:rsidP="00F776C2">
      <w:pPr>
        <w:ind w:left="567" w:hanging="567"/>
        <w:jc w:val="both"/>
        <w:rPr>
          <w:b/>
        </w:rPr>
      </w:pPr>
      <w:r w:rsidRPr="00FA7349">
        <w:rPr>
          <w:b/>
        </w:rPr>
        <w:t>___________________________________</w:t>
      </w:r>
    </w:p>
    <w:p w14:paraId="4469FDB8" w14:textId="77777777" w:rsidR="00F776C2" w:rsidRPr="00FA7349" w:rsidRDefault="00F776C2" w:rsidP="00F776C2">
      <w:pPr>
        <w:jc w:val="both"/>
      </w:pPr>
    </w:p>
    <w:p w14:paraId="313758C2" w14:textId="77777777" w:rsidR="005D7AF3" w:rsidRPr="00FA7349" w:rsidRDefault="00F776C2" w:rsidP="00F776C2">
      <w:pPr>
        <w:jc w:val="both"/>
        <w:rPr>
          <w:rFonts w:ascii="Times New Roman" w:hAnsi="Times New Roman" w:cs="Times New Roman"/>
          <w:b/>
        </w:rPr>
      </w:pPr>
      <w:r w:rsidRPr="00FA7349">
        <w:rPr>
          <w:rFonts w:ascii="Times New Roman" w:hAnsi="Times New Roman" w:cs="Times New Roman"/>
          <w:b/>
        </w:rPr>
        <w:t>MATT MATRAVERS</w:t>
      </w:r>
    </w:p>
    <w:p w14:paraId="3354C6F2" w14:textId="77777777" w:rsidR="005D7AF3" w:rsidRPr="00FA7349" w:rsidRDefault="005D7AF3" w:rsidP="00F776C2">
      <w:pPr>
        <w:jc w:val="both"/>
        <w:rPr>
          <w:rFonts w:ascii="Times New Roman" w:hAnsi="Times New Roman" w:cs="Times New Roman"/>
        </w:rPr>
      </w:pPr>
    </w:p>
    <w:p w14:paraId="5A9AE2C3" w14:textId="77777777" w:rsidR="002578F1" w:rsidRDefault="002578F1" w:rsidP="00F776C2">
      <w:pPr>
        <w:jc w:val="both"/>
        <w:rPr>
          <w:rFonts w:ascii="Times New Roman" w:hAnsi="Times New Roman" w:cs="Times New Roman"/>
        </w:rPr>
      </w:pPr>
      <w:r w:rsidRPr="00EC110B">
        <w:rPr>
          <w:rFonts w:ascii="Times New Roman" w:hAnsi="Times New Roman" w:cs="Times New Roman"/>
          <w:smallCaps/>
        </w:rPr>
        <w:t>Abstract</w:t>
      </w:r>
      <w:r w:rsidRPr="00EC110B">
        <w:rPr>
          <w:rFonts w:ascii="Times New Roman" w:hAnsi="Times New Roman" w:cs="Times New Roman"/>
        </w:rPr>
        <w:tab/>
      </w:r>
    </w:p>
    <w:p w14:paraId="549369BC" w14:textId="77777777" w:rsidR="002578F1" w:rsidRDefault="002578F1" w:rsidP="00F776C2">
      <w:pPr>
        <w:jc w:val="both"/>
        <w:rPr>
          <w:rFonts w:ascii="Times New Roman" w:hAnsi="Times New Roman" w:cs="Times New Roman"/>
        </w:rPr>
      </w:pPr>
    </w:p>
    <w:p w14:paraId="364C21EC" w14:textId="77777777" w:rsidR="002578F1" w:rsidRDefault="002578F1" w:rsidP="00F776C2">
      <w:pPr>
        <w:jc w:val="both"/>
        <w:rPr>
          <w:rFonts w:ascii="Times New Roman" w:hAnsi="Times New Roman" w:cs="Times New Roman"/>
        </w:rPr>
      </w:pPr>
    </w:p>
    <w:p w14:paraId="61A87854" w14:textId="02FA3A18" w:rsidR="009959EE" w:rsidRPr="00FA7349" w:rsidRDefault="00B57156" w:rsidP="00F776C2">
      <w:pPr>
        <w:jc w:val="both"/>
        <w:rPr>
          <w:rFonts w:ascii="Times New Roman" w:hAnsi="Times New Roman" w:cs="Times New Roman"/>
        </w:rPr>
      </w:pPr>
      <w:r w:rsidRPr="00FA7349">
        <w:rPr>
          <w:rFonts w:ascii="Times New Roman" w:hAnsi="Times New Roman" w:cs="Times New Roman"/>
          <w:i/>
        </w:rPr>
        <w:t>Alien Landscapes</w:t>
      </w:r>
      <w:r w:rsidR="00E2766D">
        <w:rPr>
          <w:rFonts w:ascii="Times New Roman" w:hAnsi="Times New Roman" w:cs="Times New Roman"/>
          <w:i/>
        </w:rPr>
        <w:t>?</w:t>
      </w:r>
      <w:r w:rsidRPr="00FA7349">
        <w:rPr>
          <w:rFonts w:ascii="Times New Roman" w:hAnsi="Times New Roman" w:cs="Times New Roman"/>
        </w:rPr>
        <w:t xml:space="preserve">, its author Jonathan Glover, writes </w:t>
      </w:r>
      <w:r w:rsidR="00FA7349" w:rsidRPr="00FA7349">
        <w:rPr>
          <w:rFonts w:ascii="Times New Roman" w:hAnsi="Times New Roman" w:cs="Times New Roman"/>
        </w:rPr>
        <w:t>‘</w:t>
      </w:r>
      <w:r w:rsidRPr="00FA7349">
        <w:rPr>
          <w:rFonts w:ascii="Times New Roman" w:hAnsi="Times New Roman" w:cs="Times New Roman"/>
        </w:rPr>
        <w:t>is a book about mental disorders: how to think about them and how those of us outside can get a feel for what they are like from the inside</w:t>
      </w:r>
      <w:r w:rsidR="00FA7349" w:rsidRPr="00FA7349">
        <w:rPr>
          <w:rFonts w:ascii="Times New Roman" w:hAnsi="Times New Roman" w:cs="Times New Roman"/>
        </w:rPr>
        <w:t>’.</w:t>
      </w:r>
      <w:r w:rsidR="00FA7349" w:rsidRPr="00FA7349">
        <w:rPr>
          <w:rStyle w:val="EndnoteReference"/>
          <w:rFonts w:ascii="Times New Roman" w:hAnsi="Times New Roman" w:cs="Times New Roman"/>
        </w:rPr>
        <w:endnoteReference w:id="1"/>
      </w:r>
      <w:r w:rsidRPr="00FA7349">
        <w:rPr>
          <w:rFonts w:ascii="Times New Roman" w:hAnsi="Times New Roman" w:cs="Times New Roman"/>
        </w:rPr>
        <w:t xml:space="preserve"> </w:t>
      </w:r>
    </w:p>
    <w:p w14:paraId="171D29B3" w14:textId="64F77D34" w:rsidR="00CF7674" w:rsidRPr="00FA7349" w:rsidRDefault="00CF7674" w:rsidP="00FA7349">
      <w:pPr>
        <w:ind w:firstLine="709"/>
        <w:jc w:val="both"/>
        <w:rPr>
          <w:rFonts w:ascii="Times New Roman" w:hAnsi="Times New Roman" w:cs="Times New Roman"/>
        </w:rPr>
      </w:pPr>
      <w:r w:rsidRPr="00FA7349">
        <w:rPr>
          <w:rFonts w:ascii="Times New Roman" w:hAnsi="Times New Roman" w:cs="Times New Roman"/>
        </w:rPr>
        <w:t xml:space="preserve">My focus below will be on a particular aspect of Glover’s book – on responsibility – but it is worth saying something of the kind of book it is. </w:t>
      </w:r>
      <w:r w:rsidRPr="00FA7349">
        <w:rPr>
          <w:rFonts w:ascii="Times New Roman" w:hAnsi="Times New Roman" w:cs="Times New Roman"/>
          <w:i/>
        </w:rPr>
        <w:t>Alien Landscapes</w:t>
      </w:r>
      <w:r w:rsidR="00E2766D">
        <w:rPr>
          <w:rFonts w:ascii="Times New Roman" w:hAnsi="Times New Roman" w:cs="Times New Roman"/>
          <w:i/>
        </w:rPr>
        <w:t>?</w:t>
      </w:r>
      <w:r w:rsidRPr="00FA7349">
        <w:rPr>
          <w:rFonts w:ascii="Times New Roman" w:hAnsi="Times New Roman" w:cs="Times New Roman"/>
        </w:rPr>
        <w:t xml:space="preserve"> is not recognisably an academic work of philosophy, or of psychiatry, or even of the philosophy of psychiatry. It contains propositions, for sure, but not propositional arguments of the usual kind. Trying to locate a genre for it, it seems to me more like a</w:t>
      </w:r>
      <w:r w:rsidR="006113ED" w:rsidRPr="00FA7349">
        <w:rPr>
          <w:rFonts w:ascii="Times New Roman" w:hAnsi="Times New Roman" w:cs="Times New Roman"/>
        </w:rPr>
        <w:t xml:space="preserve"> </w:t>
      </w:r>
      <w:r w:rsidR="00A4467D" w:rsidRPr="00FA7349">
        <w:rPr>
          <w:rFonts w:ascii="Times New Roman" w:hAnsi="Times New Roman" w:cs="Times New Roman"/>
        </w:rPr>
        <w:t xml:space="preserve">meditation on mental </w:t>
      </w:r>
      <w:r w:rsidR="004544B1" w:rsidRPr="00FA7349">
        <w:rPr>
          <w:rFonts w:ascii="Times New Roman" w:hAnsi="Times New Roman" w:cs="Times New Roman"/>
        </w:rPr>
        <w:t>disorders</w:t>
      </w:r>
      <w:r w:rsidR="00A4467D" w:rsidRPr="00FA7349">
        <w:rPr>
          <w:rFonts w:ascii="Times New Roman" w:hAnsi="Times New Roman" w:cs="Times New Roman"/>
        </w:rPr>
        <w:t xml:space="preserve"> and psychiatry </w:t>
      </w:r>
      <w:r w:rsidR="00991BC8" w:rsidRPr="00FA7349">
        <w:rPr>
          <w:rFonts w:ascii="Times New Roman" w:hAnsi="Times New Roman" w:cs="Times New Roman"/>
        </w:rPr>
        <w:t>framed by</w:t>
      </w:r>
      <w:r w:rsidR="00A4467D" w:rsidRPr="00FA7349">
        <w:rPr>
          <w:rFonts w:ascii="Times New Roman" w:hAnsi="Times New Roman" w:cs="Times New Roman"/>
        </w:rPr>
        <w:t xml:space="preserve"> </w:t>
      </w:r>
      <w:r w:rsidR="00E473CE" w:rsidRPr="00FA7349">
        <w:rPr>
          <w:rFonts w:ascii="Times New Roman" w:hAnsi="Times New Roman" w:cs="Times New Roman"/>
        </w:rPr>
        <w:t>a whole background of</w:t>
      </w:r>
      <w:r w:rsidR="00A4467D" w:rsidRPr="00FA7349">
        <w:rPr>
          <w:rFonts w:ascii="Times New Roman" w:hAnsi="Times New Roman" w:cs="Times New Roman"/>
        </w:rPr>
        <w:t xml:space="preserve"> (sometimes only implicit) debates over the </w:t>
      </w:r>
      <w:r w:rsidR="00FA7349" w:rsidRPr="00FA7349">
        <w:rPr>
          <w:rFonts w:ascii="Times New Roman" w:hAnsi="Times New Roman" w:cs="Times New Roman"/>
        </w:rPr>
        <w:t>‘</w:t>
      </w:r>
      <w:r w:rsidR="00A4467D" w:rsidRPr="00FA7349">
        <w:rPr>
          <w:rFonts w:ascii="Times New Roman" w:hAnsi="Times New Roman" w:cs="Times New Roman"/>
        </w:rPr>
        <w:t>reality</w:t>
      </w:r>
      <w:r w:rsidR="00FA7349" w:rsidRPr="00FA7349">
        <w:rPr>
          <w:rFonts w:ascii="Times New Roman" w:hAnsi="Times New Roman" w:cs="Times New Roman"/>
        </w:rPr>
        <w:t>’</w:t>
      </w:r>
      <w:r w:rsidR="00A4467D" w:rsidRPr="00FA7349">
        <w:rPr>
          <w:rFonts w:ascii="Times New Roman" w:hAnsi="Times New Roman" w:cs="Times New Roman"/>
        </w:rPr>
        <w:t xml:space="preserve"> of mental illness</w:t>
      </w:r>
      <w:r w:rsidR="00BA49B5" w:rsidRPr="00FA7349">
        <w:rPr>
          <w:rFonts w:ascii="Times New Roman" w:hAnsi="Times New Roman" w:cs="Times New Roman"/>
        </w:rPr>
        <w:t>:</w:t>
      </w:r>
      <w:r w:rsidR="00A4467D" w:rsidRPr="00FA7349">
        <w:rPr>
          <w:rFonts w:ascii="Times New Roman" w:hAnsi="Times New Roman" w:cs="Times New Roman"/>
        </w:rPr>
        <w:t xml:space="preserve"> the </w:t>
      </w:r>
      <w:r w:rsidR="00FA7349" w:rsidRPr="00FA7349">
        <w:rPr>
          <w:rFonts w:ascii="Times New Roman" w:hAnsi="Times New Roman" w:cs="Times New Roman"/>
        </w:rPr>
        <w:t>‘</w:t>
      </w:r>
      <w:r w:rsidR="00A4467D" w:rsidRPr="00FA7349">
        <w:rPr>
          <w:rFonts w:ascii="Times New Roman" w:hAnsi="Times New Roman" w:cs="Times New Roman"/>
        </w:rPr>
        <w:t>anti-psychiatry</w:t>
      </w:r>
      <w:r w:rsidR="00FA7349" w:rsidRPr="00FA7349">
        <w:rPr>
          <w:rFonts w:ascii="Times New Roman" w:hAnsi="Times New Roman" w:cs="Times New Roman"/>
        </w:rPr>
        <w:t>’</w:t>
      </w:r>
      <w:r w:rsidR="00A4467D" w:rsidRPr="00FA7349">
        <w:rPr>
          <w:rFonts w:ascii="Times New Roman" w:hAnsi="Times New Roman" w:cs="Times New Roman"/>
        </w:rPr>
        <w:t xml:space="preserve"> movement</w:t>
      </w:r>
      <w:r w:rsidR="00BA49B5" w:rsidRPr="00FA7349">
        <w:rPr>
          <w:rFonts w:ascii="Times New Roman" w:hAnsi="Times New Roman" w:cs="Times New Roman"/>
        </w:rPr>
        <w:t>;</w:t>
      </w:r>
      <w:r w:rsidR="00A4467D" w:rsidRPr="00FA7349">
        <w:rPr>
          <w:rFonts w:ascii="Times New Roman" w:hAnsi="Times New Roman" w:cs="Times New Roman"/>
        </w:rPr>
        <w:t xml:space="preserve"> hope and despair over the chances of successful medical treatment</w:t>
      </w:r>
      <w:r w:rsidR="00BA49B5" w:rsidRPr="00FA7349">
        <w:rPr>
          <w:rFonts w:ascii="Times New Roman" w:hAnsi="Times New Roman" w:cs="Times New Roman"/>
        </w:rPr>
        <w:t xml:space="preserve"> for mental disorders;</w:t>
      </w:r>
      <w:r w:rsidR="00A4467D" w:rsidRPr="00FA7349">
        <w:rPr>
          <w:rFonts w:ascii="Times New Roman" w:hAnsi="Times New Roman" w:cs="Times New Roman"/>
        </w:rPr>
        <w:t xml:space="preserve"> the link between </w:t>
      </w:r>
      <w:r w:rsidR="00FA7349" w:rsidRPr="00FA7349">
        <w:rPr>
          <w:rFonts w:ascii="Times New Roman" w:hAnsi="Times New Roman" w:cs="Times New Roman"/>
        </w:rPr>
        <w:t>‘</w:t>
      </w:r>
      <w:r w:rsidR="00A4467D" w:rsidRPr="00FA7349">
        <w:rPr>
          <w:rFonts w:ascii="Times New Roman" w:hAnsi="Times New Roman" w:cs="Times New Roman"/>
        </w:rPr>
        <w:t>madness</w:t>
      </w:r>
      <w:r w:rsidR="00FA7349" w:rsidRPr="00FA7349">
        <w:rPr>
          <w:rFonts w:ascii="Times New Roman" w:hAnsi="Times New Roman" w:cs="Times New Roman"/>
        </w:rPr>
        <w:t>’</w:t>
      </w:r>
      <w:r w:rsidR="00A4467D" w:rsidRPr="00FA7349">
        <w:rPr>
          <w:rFonts w:ascii="Times New Roman" w:hAnsi="Times New Roman" w:cs="Times New Roman"/>
        </w:rPr>
        <w:t xml:space="preserve"> and genius</w:t>
      </w:r>
      <w:r w:rsidR="00BA49B5" w:rsidRPr="00FA7349">
        <w:rPr>
          <w:rFonts w:ascii="Times New Roman" w:hAnsi="Times New Roman" w:cs="Times New Roman"/>
        </w:rPr>
        <w:t>;</w:t>
      </w:r>
      <w:r w:rsidR="008E170D" w:rsidRPr="00FA7349">
        <w:rPr>
          <w:rFonts w:ascii="Times New Roman" w:hAnsi="Times New Roman" w:cs="Times New Roman"/>
        </w:rPr>
        <w:t xml:space="preserve"> whether autism is a disorder or a form of neurodiversity</w:t>
      </w:r>
      <w:r w:rsidR="00BA49B5" w:rsidRPr="00FA7349">
        <w:rPr>
          <w:rFonts w:ascii="Times New Roman" w:hAnsi="Times New Roman" w:cs="Times New Roman"/>
        </w:rPr>
        <w:t>;</w:t>
      </w:r>
      <w:r w:rsidR="00A4467D" w:rsidRPr="00FA7349">
        <w:rPr>
          <w:rFonts w:ascii="Times New Roman" w:hAnsi="Times New Roman" w:cs="Times New Roman"/>
        </w:rPr>
        <w:t xml:space="preserve"> and so on.</w:t>
      </w:r>
      <w:r w:rsidR="00E473CE" w:rsidRPr="00FA7349">
        <w:rPr>
          <w:rFonts w:ascii="Times New Roman" w:hAnsi="Times New Roman" w:cs="Times New Roman"/>
        </w:rPr>
        <w:t xml:space="preserve"> I imagine that absent an awareness of those debates the book might prove a somewhat frustrating read.</w:t>
      </w:r>
      <w:r w:rsidRPr="00FA7349">
        <w:rPr>
          <w:rFonts w:ascii="Times New Roman" w:hAnsi="Times New Roman" w:cs="Times New Roman"/>
        </w:rPr>
        <w:t xml:space="preserve"> </w:t>
      </w:r>
      <w:r w:rsidR="00CB27F0" w:rsidRPr="00FA7349">
        <w:rPr>
          <w:rFonts w:ascii="Times New Roman" w:hAnsi="Times New Roman" w:cs="Times New Roman"/>
        </w:rPr>
        <w:t xml:space="preserve">Nevertheless (and this perhaps says something of the limits of academic philosophy) it is a profound defence of philosophical thinking (and, dare I say, of a philosophical life). </w:t>
      </w:r>
    </w:p>
    <w:p w14:paraId="54D5832E" w14:textId="058B2AF5" w:rsidR="00A4467D" w:rsidRPr="00FA7349" w:rsidRDefault="00CF7674" w:rsidP="00FA7349">
      <w:pPr>
        <w:ind w:firstLine="709"/>
        <w:jc w:val="both"/>
        <w:rPr>
          <w:rFonts w:ascii="Times New Roman" w:hAnsi="Times New Roman" w:cs="Times New Roman"/>
        </w:rPr>
      </w:pPr>
      <w:r w:rsidRPr="00FA7349">
        <w:rPr>
          <w:rFonts w:ascii="Times New Roman" w:hAnsi="Times New Roman" w:cs="Times New Roman"/>
        </w:rPr>
        <w:t xml:space="preserve">Less formally, reading </w:t>
      </w:r>
      <w:r w:rsidR="00E473CE" w:rsidRPr="00FA7349">
        <w:rPr>
          <w:rFonts w:ascii="Times New Roman" w:hAnsi="Times New Roman" w:cs="Times New Roman"/>
          <w:i/>
        </w:rPr>
        <w:t>Alien Landscapes</w:t>
      </w:r>
      <w:r w:rsidR="00E2766D">
        <w:rPr>
          <w:rFonts w:ascii="Times New Roman" w:hAnsi="Times New Roman" w:cs="Times New Roman"/>
          <w:i/>
        </w:rPr>
        <w:t>?</w:t>
      </w:r>
      <w:r w:rsidRPr="00FA7349">
        <w:rPr>
          <w:rFonts w:ascii="Times New Roman" w:hAnsi="Times New Roman" w:cs="Times New Roman"/>
        </w:rPr>
        <w:t xml:space="preserve"> </w:t>
      </w:r>
      <w:r w:rsidR="00E473CE" w:rsidRPr="00FA7349">
        <w:rPr>
          <w:rFonts w:ascii="Times New Roman" w:hAnsi="Times New Roman" w:cs="Times New Roman"/>
        </w:rPr>
        <w:t>feels rather</w:t>
      </w:r>
      <w:r w:rsidRPr="00FA7349">
        <w:rPr>
          <w:rFonts w:ascii="Times New Roman" w:hAnsi="Times New Roman" w:cs="Times New Roman"/>
        </w:rPr>
        <w:t xml:space="preserve"> like </w:t>
      </w:r>
      <w:r w:rsidR="00E473CE" w:rsidRPr="00FA7349">
        <w:rPr>
          <w:rFonts w:ascii="Times New Roman" w:hAnsi="Times New Roman" w:cs="Times New Roman"/>
        </w:rPr>
        <w:t>conversing</w:t>
      </w:r>
      <w:r w:rsidRPr="00FA7349">
        <w:rPr>
          <w:rFonts w:ascii="Times New Roman" w:hAnsi="Times New Roman" w:cs="Times New Roman"/>
        </w:rPr>
        <w:t xml:space="preserve"> with a thoughtful,</w:t>
      </w:r>
      <w:r w:rsidR="008317ED" w:rsidRPr="00FA7349">
        <w:rPr>
          <w:rFonts w:ascii="Times New Roman" w:hAnsi="Times New Roman" w:cs="Times New Roman"/>
        </w:rPr>
        <w:t xml:space="preserve"> humane, and</w:t>
      </w:r>
      <w:r w:rsidRPr="00FA7349">
        <w:rPr>
          <w:rFonts w:ascii="Times New Roman" w:hAnsi="Times New Roman" w:cs="Times New Roman"/>
        </w:rPr>
        <w:t xml:space="preserve"> hugely well read dinner companion who in response to any claim offers the thought that one might look at the issue in another way; a way that (for the most part) is not meant as a knock-down argument, but rather as a means to revealing some aspects of the issue that are not apparent </w:t>
      </w:r>
      <w:r w:rsidR="009378CB" w:rsidRPr="00FA7349">
        <w:rPr>
          <w:rFonts w:ascii="Times New Roman" w:hAnsi="Times New Roman" w:cs="Times New Roman"/>
        </w:rPr>
        <w:t>in the</w:t>
      </w:r>
      <w:r w:rsidRPr="00FA7349">
        <w:rPr>
          <w:rFonts w:ascii="Times New Roman" w:hAnsi="Times New Roman" w:cs="Times New Roman"/>
        </w:rPr>
        <w:t xml:space="preserve"> thinking that generated the original claim. Throughout, there are personal examples drawn from both the famous and the ordinary. These not only flavour the book, but reflect a way of thinking. There may well be no correct answer to the abstract question, </w:t>
      </w:r>
      <w:r w:rsidR="00FA7349" w:rsidRPr="00FA7349">
        <w:rPr>
          <w:rFonts w:ascii="Times New Roman" w:hAnsi="Times New Roman" w:cs="Times New Roman"/>
        </w:rPr>
        <w:t>‘</w:t>
      </w:r>
      <w:r w:rsidRPr="00FA7349">
        <w:rPr>
          <w:rFonts w:ascii="Times New Roman" w:hAnsi="Times New Roman" w:cs="Times New Roman"/>
        </w:rPr>
        <w:t xml:space="preserve">is autism a disorder or is it </w:t>
      </w:r>
      <w:r w:rsidR="00E473CE" w:rsidRPr="00FA7349">
        <w:rPr>
          <w:rFonts w:ascii="Times New Roman" w:hAnsi="Times New Roman" w:cs="Times New Roman"/>
        </w:rPr>
        <w:t>merely a</w:t>
      </w:r>
      <w:r w:rsidR="00F66F60" w:rsidRPr="00FA7349">
        <w:rPr>
          <w:rFonts w:ascii="Times New Roman" w:hAnsi="Times New Roman" w:cs="Times New Roman"/>
        </w:rPr>
        <w:t xml:space="preserve"> </w:t>
      </w:r>
      <w:r w:rsidRPr="00FA7349">
        <w:rPr>
          <w:rFonts w:ascii="Times New Roman" w:hAnsi="Times New Roman" w:cs="Times New Roman"/>
        </w:rPr>
        <w:t>form of neurodiversity</w:t>
      </w:r>
      <w:r w:rsidR="00F66F60" w:rsidRPr="00FA7349">
        <w:rPr>
          <w:rFonts w:ascii="Times New Roman" w:hAnsi="Times New Roman" w:cs="Times New Roman"/>
        </w:rPr>
        <w:t>?</w:t>
      </w:r>
      <w:r w:rsidR="00FA7349" w:rsidRPr="00FA7349">
        <w:rPr>
          <w:rFonts w:ascii="Times New Roman" w:hAnsi="Times New Roman" w:cs="Times New Roman"/>
        </w:rPr>
        <w:t>’</w:t>
      </w:r>
      <w:r w:rsidRPr="00FA7349">
        <w:rPr>
          <w:rFonts w:ascii="Times New Roman" w:hAnsi="Times New Roman" w:cs="Times New Roman"/>
        </w:rPr>
        <w:t xml:space="preserve"> (indeed the question itself may be an inapt one), but</w:t>
      </w:r>
      <w:r w:rsidR="00E473CE" w:rsidRPr="00FA7349">
        <w:rPr>
          <w:rFonts w:ascii="Times New Roman" w:hAnsi="Times New Roman" w:cs="Times New Roman"/>
        </w:rPr>
        <w:t xml:space="preserve"> when deliberating or reading about these things it is important to remember that</w:t>
      </w:r>
      <w:r w:rsidRPr="00FA7349">
        <w:rPr>
          <w:rFonts w:ascii="Times New Roman" w:hAnsi="Times New Roman" w:cs="Times New Roman"/>
        </w:rPr>
        <w:t xml:space="preserve"> there are real people on both sides of the debate whose </w:t>
      </w:r>
      <w:r w:rsidR="000D4F65" w:rsidRPr="00FA7349">
        <w:rPr>
          <w:rFonts w:ascii="Times New Roman" w:hAnsi="Times New Roman" w:cs="Times New Roman"/>
        </w:rPr>
        <w:t xml:space="preserve">raw </w:t>
      </w:r>
      <w:r w:rsidRPr="00FA7349">
        <w:rPr>
          <w:rFonts w:ascii="Times New Roman" w:hAnsi="Times New Roman" w:cs="Times New Roman"/>
        </w:rPr>
        <w:t xml:space="preserve">voices tell us something. </w:t>
      </w:r>
      <w:r w:rsidR="00A4467D" w:rsidRPr="00FA7349">
        <w:rPr>
          <w:rFonts w:ascii="Times New Roman" w:hAnsi="Times New Roman" w:cs="Times New Roman"/>
        </w:rPr>
        <w:t xml:space="preserve"> </w:t>
      </w:r>
    </w:p>
    <w:p w14:paraId="1E165CAC" w14:textId="46FB9E2B" w:rsidR="007E5DEE" w:rsidRPr="00FA7349" w:rsidRDefault="00A85E7B" w:rsidP="00FA7349">
      <w:pPr>
        <w:ind w:firstLine="709"/>
        <w:jc w:val="both"/>
        <w:rPr>
          <w:rFonts w:ascii="Times New Roman" w:hAnsi="Times New Roman" w:cs="Times New Roman"/>
        </w:rPr>
      </w:pPr>
      <w:r w:rsidRPr="00FA7349">
        <w:rPr>
          <w:rFonts w:ascii="Times New Roman" w:hAnsi="Times New Roman" w:cs="Times New Roman"/>
        </w:rPr>
        <w:t>Given the somewhat loose shape of the book, and its range (there are discussions of, among other things, Anti</w:t>
      </w:r>
      <w:r w:rsidR="007E5DEE" w:rsidRPr="00FA7349">
        <w:rPr>
          <w:rFonts w:ascii="Times New Roman" w:hAnsi="Times New Roman" w:cs="Times New Roman"/>
        </w:rPr>
        <w:t>s</w:t>
      </w:r>
      <w:r w:rsidRPr="00FA7349">
        <w:rPr>
          <w:rFonts w:ascii="Times New Roman" w:hAnsi="Times New Roman" w:cs="Times New Roman"/>
        </w:rPr>
        <w:t>ocial Personality Disorder</w:t>
      </w:r>
      <w:r w:rsidR="00BA49B5" w:rsidRPr="00FA7349">
        <w:rPr>
          <w:rFonts w:ascii="Times New Roman" w:hAnsi="Times New Roman" w:cs="Times New Roman"/>
        </w:rPr>
        <w:t xml:space="preserve"> </w:t>
      </w:r>
      <w:r w:rsidR="00A36741">
        <w:rPr>
          <w:rFonts w:ascii="Times New Roman" w:hAnsi="Times New Roman" w:cs="Times New Roman"/>
        </w:rPr>
        <w:t>[ASPD]</w:t>
      </w:r>
      <w:r w:rsidRPr="00FA7349">
        <w:rPr>
          <w:rFonts w:ascii="Times New Roman" w:hAnsi="Times New Roman" w:cs="Times New Roman"/>
        </w:rPr>
        <w:t>, autism, eating disorders, addiction, dementia, and schizophrenia)</w:t>
      </w:r>
      <w:r w:rsidR="007E5DEE" w:rsidRPr="00FA7349">
        <w:rPr>
          <w:rFonts w:ascii="Times New Roman" w:hAnsi="Times New Roman" w:cs="Times New Roman"/>
        </w:rPr>
        <w:t xml:space="preserve"> in what follows below the focus is necessarily partial. The question it addresses is,</w:t>
      </w:r>
      <w:r w:rsidRPr="00FA7349">
        <w:rPr>
          <w:rFonts w:ascii="Times New Roman" w:hAnsi="Times New Roman" w:cs="Times New Roman"/>
        </w:rPr>
        <w:t xml:space="preserve">  </w:t>
      </w:r>
      <w:r w:rsidR="00FA7349" w:rsidRPr="00FA7349">
        <w:rPr>
          <w:rFonts w:ascii="Times New Roman" w:hAnsi="Times New Roman" w:cs="Times New Roman"/>
        </w:rPr>
        <w:t>‘</w:t>
      </w:r>
      <w:r w:rsidR="00E473CE" w:rsidRPr="00FA7349">
        <w:rPr>
          <w:rFonts w:ascii="Times New Roman" w:hAnsi="Times New Roman" w:cs="Times New Roman"/>
        </w:rPr>
        <w:t xml:space="preserve">Why might a book that seeks to help those without mental disorders understand what they are like </w:t>
      </w:r>
      <w:r w:rsidR="00A36741">
        <w:rPr>
          <w:rFonts w:ascii="Times New Roman" w:hAnsi="Times New Roman" w:cs="Times New Roman"/>
        </w:rPr>
        <w:t>“</w:t>
      </w:r>
      <w:r w:rsidR="00E473CE" w:rsidRPr="00FA7349">
        <w:rPr>
          <w:rFonts w:ascii="Times New Roman" w:hAnsi="Times New Roman" w:cs="Times New Roman"/>
        </w:rPr>
        <w:t>from the inside</w:t>
      </w:r>
      <w:r w:rsidR="00A36741">
        <w:rPr>
          <w:rFonts w:ascii="Times New Roman" w:hAnsi="Times New Roman" w:cs="Times New Roman"/>
        </w:rPr>
        <w:t>”</w:t>
      </w:r>
      <w:r w:rsidR="00E473CE" w:rsidRPr="00FA7349">
        <w:rPr>
          <w:rFonts w:ascii="Times New Roman" w:hAnsi="Times New Roman" w:cs="Times New Roman"/>
        </w:rPr>
        <w:t xml:space="preserve"> be of interest to laymen and practitioners in the criminal law?</w:t>
      </w:r>
      <w:r w:rsidR="00FA7349" w:rsidRPr="00FA7349">
        <w:rPr>
          <w:rFonts w:ascii="Times New Roman" w:hAnsi="Times New Roman" w:cs="Times New Roman"/>
        </w:rPr>
        <w:t>’</w:t>
      </w:r>
      <w:r w:rsidR="007E5DEE" w:rsidRPr="00FA7349">
        <w:rPr>
          <w:rFonts w:ascii="Times New Roman" w:hAnsi="Times New Roman" w:cs="Times New Roman"/>
        </w:rPr>
        <w:t xml:space="preserve">. Although Glover is not centrally concerned with criminal matters, this </w:t>
      </w:r>
      <w:r w:rsidR="00A36741">
        <w:rPr>
          <w:rFonts w:ascii="Times New Roman" w:hAnsi="Times New Roman" w:cs="Times New Roman"/>
        </w:rPr>
        <w:t xml:space="preserve">is </w:t>
      </w:r>
      <w:r w:rsidR="007E5DEE" w:rsidRPr="00FA7349">
        <w:rPr>
          <w:rFonts w:ascii="Times New Roman" w:hAnsi="Times New Roman" w:cs="Times New Roman"/>
        </w:rPr>
        <w:t>not</w:t>
      </w:r>
      <w:r w:rsidR="00A36741">
        <w:rPr>
          <w:rFonts w:ascii="Times New Roman" w:hAnsi="Times New Roman" w:cs="Times New Roman"/>
        </w:rPr>
        <w:t>,</w:t>
      </w:r>
      <w:r w:rsidR="007E5DEE" w:rsidRPr="00FA7349">
        <w:rPr>
          <w:rFonts w:ascii="Times New Roman" w:hAnsi="Times New Roman" w:cs="Times New Roman"/>
        </w:rPr>
        <w:t xml:space="preserve"> I think</w:t>
      </w:r>
      <w:r w:rsidR="00A36741">
        <w:rPr>
          <w:rFonts w:ascii="Times New Roman" w:hAnsi="Times New Roman" w:cs="Times New Roman"/>
        </w:rPr>
        <w:t>,</w:t>
      </w:r>
      <w:r w:rsidR="007E5DEE" w:rsidRPr="00FA7349">
        <w:rPr>
          <w:rFonts w:ascii="Times New Roman" w:hAnsi="Times New Roman" w:cs="Times New Roman"/>
        </w:rPr>
        <w:t xml:space="preserve"> an unfair question. Throughout the book, he is concerned with responsibility and, to a slightly lesser extent, with praise and blame. Moreover, </w:t>
      </w:r>
      <w:r w:rsidR="007E5DEE" w:rsidRPr="00FA7349">
        <w:rPr>
          <w:rFonts w:ascii="Times New Roman" w:hAnsi="Times New Roman" w:cs="Times New Roman"/>
          <w:i/>
        </w:rPr>
        <w:t>Alien Landscapes</w:t>
      </w:r>
      <w:r w:rsidR="00E2766D">
        <w:rPr>
          <w:rFonts w:ascii="Times New Roman" w:hAnsi="Times New Roman" w:cs="Times New Roman"/>
          <w:i/>
        </w:rPr>
        <w:t>?</w:t>
      </w:r>
      <w:r w:rsidR="007E5DEE" w:rsidRPr="00FA7349">
        <w:rPr>
          <w:rFonts w:ascii="Times New Roman" w:hAnsi="Times New Roman" w:cs="Times New Roman"/>
        </w:rPr>
        <w:t xml:space="preserve"> begins with first-person accounts of interviews with patients in a secure psychiatric hospital – patients who had convictions for serious crimes and a diagnosis of ASPD – so forensic matters are never far from the surface of the book.  </w:t>
      </w:r>
    </w:p>
    <w:p w14:paraId="5AEDE79B" w14:textId="77777777" w:rsidR="00E473CE" w:rsidRPr="00FA7349" w:rsidRDefault="007E5DEE" w:rsidP="00FA7349">
      <w:pPr>
        <w:ind w:firstLine="709"/>
        <w:jc w:val="both"/>
        <w:rPr>
          <w:rFonts w:ascii="Times New Roman" w:hAnsi="Times New Roman" w:cs="Times New Roman"/>
        </w:rPr>
      </w:pPr>
      <w:r w:rsidRPr="00FA7349">
        <w:rPr>
          <w:rFonts w:ascii="Times New Roman" w:hAnsi="Times New Roman" w:cs="Times New Roman"/>
        </w:rPr>
        <w:t xml:space="preserve">Why, then, might it matter that we understand </w:t>
      </w:r>
      <w:r w:rsidR="00BA49B5" w:rsidRPr="00FA7349">
        <w:rPr>
          <w:rFonts w:ascii="Times New Roman" w:hAnsi="Times New Roman" w:cs="Times New Roman"/>
        </w:rPr>
        <w:t xml:space="preserve">what mental disorders are like </w:t>
      </w:r>
      <w:r w:rsidR="00FA7349" w:rsidRPr="00FA7349">
        <w:rPr>
          <w:rFonts w:ascii="Times New Roman" w:hAnsi="Times New Roman" w:cs="Times New Roman"/>
        </w:rPr>
        <w:t>‘</w:t>
      </w:r>
      <w:r w:rsidRPr="00FA7349">
        <w:rPr>
          <w:rFonts w:ascii="Times New Roman" w:hAnsi="Times New Roman" w:cs="Times New Roman"/>
        </w:rPr>
        <w:t>from the inside</w:t>
      </w:r>
      <w:r w:rsidR="00FA7349" w:rsidRPr="00FA7349">
        <w:rPr>
          <w:rFonts w:ascii="Times New Roman" w:hAnsi="Times New Roman" w:cs="Times New Roman"/>
        </w:rPr>
        <w:t>’</w:t>
      </w:r>
      <w:r w:rsidRPr="00FA7349">
        <w:rPr>
          <w:rFonts w:ascii="Times New Roman" w:hAnsi="Times New Roman" w:cs="Times New Roman"/>
        </w:rPr>
        <w:t xml:space="preserve"> when it comes to criminal justice? </w:t>
      </w:r>
      <w:r w:rsidR="00E473CE" w:rsidRPr="00FA7349">
        <w:rPr>
          <w:rFonts w:ascii="Times New Roman" w:hAnsi="Times New Roman" w:cs="Times New Roman"/>
        </w:rPr>
        <w:t xml:space="preserve">One answer lies in what many people take to be the fundamental legitimacy condition of the criminal law: that (at least in its core elements) it seeks to punish only those who are </w:t>
      </w:r>
      <w:r w:rsidR="00E473CE" w:rsidRPr="00FA7349">
        <w:rPr>
          <w:rFonts w:ascii="Times New Roman" w:hAnsi="Times New Roman" w:cs="Times New Roman"/>
          <w:i/>
        </w:rPr>
        <w:t>blameworthy</w:t>
      </w:r>
      <w:r w:rsidR="00E473CE" w:rsidRPr="00FA7349">
        <w:rPr>
          <w:rFonts w:ascii="Times New Roman" w:hAnsi="Times New Roman" w:cs="Times New Roman"/>
        </w:rPr>
        <w:t xml:space="preserve"> to a degree proportionate to that blameworthiness. </w:t>
      </w:r>
    </w:p>
    <w:p w14:paraId="73DB1D31" w14:textId="77777777" w:rsidR="00E473CE" w:rsidRPr="00FA7349" w:rsidRDefault="00E473CE" w:rsidP="00FA7349">
      <w:pPr>
        <w:ind w:firstLine="709"/>
        <w:jc w:val="both"/>
        <w:rPr>
          <w:rFonts w:ascii="Times New Roman" w:hAnsi="Times New Roman" w:cs="Times New Roman"/>
        </w:rPr>
      </w:pPr>
      <w:r w:rsidRPr="00FA7349">
        <w:rPr>
          <w:rFonts w:ascii="Times New Roman" w:hAnsi="Times New Roman" w:cs="Times New Roman"/>
        </w:rPr>
        <w:lastRenderedPageBreak/>
        <w:t xml:space="preserve">This legitimacy condition gives rise to a number of debates in criminal law. For example, between those who stress the actual subjective state of the accused (for example, that he has had sexual intercourse </w:t>
      </w:r>
      <w:r w:rsidRPr="00FA7349">
        <w:rPr>
          <w:rFonts w:ascii="Times New Roman" w:hAnsi="Times New Roman" w:cs="Times New Roman"/>
          <w:i/>
        </w:rPr>
        <w:t>believing</w:t>
      </w:r>
      <w:r w:rsidRPr="00FA7349">
        <w:rPr>
          <w:rFonts w:ascii="Times New Roman" w:hAnsi="Times New Roman" w:cs="Times New Roman"/>
        </w:rPr>
        <w:t xml:space="preserve"> that the woman with whom he is having intercourse does not consent) and those who are prepared to allow that an individual can still be properly blameworthy if his conduct falls short of some (objective) standard (for example, that his belief that his victim has consented is unreasonable). Understanding mental disorder </w:t>
      </w:r>
      <w:r w:rsidR="00FA7349" w:rsidRPr="00FA7349">
        <w:rPr>
          <w:rFonts w:ascii="Times New Roman" w:hAnsi="Times New Roman" w:cs="Times New Roman"/>
        </w:rPr>
        <w:t>‘</w:t>
      </w:r>
      <w:r w:rsidRPr="00FA7349">
        <w:rPr>
          <w:rFonts w:ascii="Times New Roman" w:hAnsi="Times New Roman" w:cs="Times New Roman"/>
        </w:rPr>
        <w:t>from the inside</w:t>
      </w:r>
      <w:r w:rsidR="00FA7349" w:rsidRPr="00FA7349">
        <w:rPr>
          <w:rFonts w:ascii="Times New Roman" w:hAnsi="Times New Roman" w:cs="Times New Roman"/>
        </w:rPr>
        <w:t>’</w:t>
      </w:r>
      <w:r w:rsidRPr="00FA7349">
        <w:rPr>
          <w:rFonts w:ascii="Times New Roman" w:hAnsi="Times New Roman" w:cs="Times New Roman"/>
        </w:rPr>
        <w:t xml:space="preserve"> is important to both positions. Someone with narcissistic personality disorder, for example, might believe himself irresistible to women, but for a jury to assess that claim it is necessary for them to understand what it is to be someone with that disorder. </w:t>
      </w:r>
    </w:p>
    <w:p w14:paraId="37FBD29E" w14:textId="77777777" w:rsidR="00F776C2" w:rsidRPr="00FA7349" w:rsidRDefault="00E473CE" w:rsidP="00FA7349">
      <w:pPr>
        <w:ind w:firstLine="709"/>
        <w:jc w:val="both"/>
        <w:rPr>
          <w:rFonts w:ascii="Times New Roman" w:hAnsi="Times New Roman" w:cs="Times New Roman"/>
          <w:bCs/>
        </w:rPr>
      </w:pPr>
      <w:r w:rsidRPr="00FA7349">
        <w:rPr>
          <w:rFonts w:ascii="Times New Roman" w:hAnsi="Times New Roman" w:cs="Times New Roman"/>
        </w:rPr>
        <w:t xml:space="preserve">Even in partially objective tests the question of what it is </w:t>
      </w:r>
      <w:r w:rsidRPr="00FA7349">
        <w:rPr>
          <w:rFonts w:ascii="Times New Roman" w:hAnsi="Times New Roman" w:cs="Times New Roman"/>
          <w:i/>
        </w:rPr>
        <w:t>like</w:t>
      </w:r>
      <w:r w:rsidRPr="00FA7349">
        <w:rPr>
          <w:rFonts w:ascii="Times New Roman" w:hAnsi="Times New Roman" w:cs="Times New Roman"/>
        </w:rPr>
        <w:t xml:space="preserve"> to have a disorder can be relevant. Consider in English law the position of victims of sustained and extreme domestic abuse who kill their abusers.  Until 2010, the defendants in such cases had to rely on self-defence or provocation (neither of which is satisfactory as both require the reaction to be immediate)</w:t>
      </w:r>
      <w:r w:rsidR="00D137B5" w:rsidRPr="00FA7349">
        <w:rPr>
          <w:rFonts w:ascii="Times New Roman" w:hAnsi="Times New Roman" w:cs="Times New Roman"/>
        </w:rPr>
        <w:t xml:space="preserve"> or plead diminished responsibility</w:t>
      </w:r>
      <w:r w:rsidR="00BA49B5" w:rsidRPr="00FA7349">
        <w:rPr>
          <w:rFonts w:ascii="Times New Roman" w:hAnsi="Times New Roman" w:cs="Times New Roman"/>
        </w:rPr>
        <w:t xml:space="preserve"> if they had a diagnosed personality disorder</w:t>
      </w:r>
      <w:r w:rsidRPr="00FA7349">
        <w:rPr>
          <w:rFonts w:ascii="Times New Roman" w:hAnsi="Times New Roman" w:cs="Times New Roman"/>
        </w:rPr>
        <w:t xml:space="preserve">. In 2009, </w:t>
      </w:r>
      <w:r w:rsidRPr="00FA7349">
        <w:rPr>
          <w:rFonts w:ascii="Times New Roman" w:hAnsi="Times New Roman" w:cs="Times New Roman"/>
          <w:bCs/>
        </w:rPr>
        <w:t xml:space="preserve">S.54 of the Coroners and Justice Act introduced a new defence of </w:t>
      </w:r>
      <w:r w:rsidR="00FA7349" w:rsidRPr="00FA7349">
        <w:rPr>
          <w:rFonts w:ascii="Times New Roman" w:hAnsi="Times New Roman" w:cs="Times New Roman"/>
          <w:bCs/>
        </w:rPr>
        <w:t>‘</w:t>
      </w:r>
      <w:r w:rsidRPr="00FA7349">
        <w:rPr>
          <w:rFonts w:ascii="Times New Roman" w:hAnsi="Times New Roman" w:cs="Times New Roman"/>
          <w:bCs/>
        </w:rPr>
        <w:t>loss of control</w:t>
      </w:r>
      <w:r w:rsidR="00FA7349" w:rsidRPr="00FA7349">
        <w:rPr>
          <w:rFonts w:ascii="Times New Roman" w:hAnsi="Times New Roman" w:cs="Times New Roman"/>
          <w:bCs/>
        </w:rPr>
        <w:t>’</w:t>
      </w:r>
      <w:r w:rsidRPr="00FA7349">
        <w:rPr>
          <w:rFonts w:ascii="Times New Roman" w:hAnsi="Times New Roman" w:cs="Times New Roman"/>
          <w:bCs/>
        </w:rPr>
        <w:t>. Without going into the details, it establishes a</w:t>
      </w:r>
      <w:r w:rsidR="00D137B5" w:rsidRPr="00FA7349">
        <w:rPr>
          <w:rFonts w:ascii="Times New Roman" w:hAnsi="Times New Roman" w:cs="Times New Roman"/>
          <w:bCs/>
        </w:rPr>
        <w:t>n</w:t>
      </w:r>
      <w:r w:rsidRPr="00FA7349">
        <w:rPr>
          <w:rFonts w:ascii="Times New Roman" w:hAnsi="Times New Roman" w:cs="Times New Roman"/>
          <w:bCs/>
        </w:rPr>
        <w:t xml:space="preserve"> objective test of whether someone </w:t>
      </w:r>
      <w:r w:rsidR="00FA7349" w:rsidRPr="00FA7349">
        <w:rPr>
          <w:rFonts w:ascii="Times New Roman" w:hAnsi="Times New Roman" w:cs="Times New Roman"/>
          <w:bCs/>
        </w:rPr>
        <w:t>‘</w:t>
      </w:r>
      <w:r w:rsidRPr="00FA7349">
        <w:rPr>
          <w:rFonts w:ascii="Times New Roman" w:hAnsi="Times New Roman" w:cs="Times New Roman"/>
          <w:bCs/>
        </w:rPr>
        <w:t>with a normal degree of tolerance and self-restraint</w:t>
      </w:r>
      <w:r w:rsidR="00FA7349" w:rsidRPr="00FA7349">
        <w:rPr>
          <w:rFonts w:ascii="Times New Roman" w:hAnsi="Times New Roman" w:cs="Times New Roman"/>
          <w:bCs/>
        </w:rPr>
        <w:t>’</w:t>
      </w:r>
      <w:r w:rsidRPr="00FA7349">
        <w:rPr>
          <w:rFonts w:ascii="Times New Roman" w:hAnsi="Times New Roman" w:cs="Times New Roman"/>
          <w:bCs/>
        </w:rPr>
        <w:t xml:space="preserve"> would have reacted as the defendant did, but adds a critical additional element which is that this test is to be considered </w:t>
      </w:r>
      <w:r w:rsidR="00D137B5" w:rsidRPr="00FA7349">
        <w:rPr>
          <w:rFonts w:ascii="Times New Roman" w:hAnsi="Times New Roman" w:cs="Times New Roman"/>
          <w:bCs/>
          <w:i/>
        </w:rPr>
        <w:t>in</w:t>
      </w:r>
      <w:r w:rsidRPr="00FA7349">
        <w:rPr>
          <w:rFonts w:ascii="Times New Roman" w:hAnsi="Times New Roman" w:cs="Times New Roman"/>
          <w:bCs/>
          <w:i/>
        </w:rPr>
        <w:t xml:space="preserve"> the circumstances</w:t>
      </w:r>
      <w:r w:rsidRPr="00FA7349">
        <w:rPr>
          <w:rFonts w:ascii="Times New Roman" w:hAnsi="Times New Roman" w:cs="Times New Roman"/>
          <w:bCs/>
        </w:rPr>
        <w:t xml:space="preserve"> of the defendant. In practice, what this means is that the jury is </w:t>
      </w:r>
      <w:r w:rsidR="00D137B5" w:rsidRPr="00FA7349">
        <w:rPr>
          <w:rFonts w:ascii="Times New Roman" w:hAnsi="Times New Roman" w:cs="Times New Roman"/>
          <w:bCs/>
        </w:rPr>
        <w:t>to consider not</w:t>
      </w:r>
      <w:r w:rsidRPr="00FA7349">
        <w:rPr>
          <w:rFonts w:ascii="Times New Roman" w:hAnsi="Times New Roman" w:cs="Times New Roman"/>
          <w:bCs/>
        </w:rPr>
        <w:t xml:space="preserve"> what would a reasonable person have done, but what is it reasonable </w:t>
      </w:r>
      <w:r w:rsidRPr="00FA7349">
        <w:rPr>
          <w:rFonts w:ascii="Times New Roman" w:hAnsi="Times New Roman" w:cs="Times New Roman"/>
          <w:bCs/>
          <w:i/>
        </w:rPr>
        <w:t xml:space="preserve">for a battered woman </w:t>
      </w:r>
      <w:r w:rsidRPr="00FA7349">
        <w:rPr>
          <w:rFonts w:ascii="Times New Roman" w:hAnsi="Times New Roman" w:cs="Times New Roman"/>
          <w:bCs/>
        </w:rPr>
        <w:t>to have done.</w:t>
      </w:r>
      <w:r w:rsidR="00F776C2" w:rsidRPr="00FA7349">
        <w:rPr>
          <w:rStyle w:val="EndnoteReference"/>
          <w:rFonts w:ascii="Times New Roman" w:hAnsi="Times New Roman" w:cs="Times New Roman"/>
          <w:bCs/>
        </w:rPr>
        <w:endnoteReference w:id="2"/>
      </w:r>
      <w:r w:rsidR="00F776C2" w:rsidRPr="00FA7349">
        <w:rPr>
          <w:rFonts w:ascii="Times New Roman" w:hAnsi="Times New Roman" w:cs="Times New Roman"/>
          <w:bCs/>
        </w:rPr>
        <w:t xml:space="preserve"> In discussing this in student seminars since 2010, I have found the debate hinges on whether we can know what it is like (and, if we can, what it is) </w:t>
      </w:r>
      <w:r w:rsidR="00F776C2" w:rsidRPr="00FA7349">
        <w:rPr>
          <w:rFonts w:ascii="Times New Roman" w:hAnsi="Times New Roman" w:cs="Times New Roman"/>
          <w:bCs/>
          <w:i/>
        </w:rPr>
        <w:t>to be</w:t>
      </w:r>
      <w:r w:rsidR="00F776C2" w:rsidRPr="00FA7349">
        <w:rPr>
          <w:rFonts w:ascii="Times New Roman" w:hAnsi="Times New Roman" w:cs="Times New Roman"/>
          <w:bCs/>
        </w:rPr>
        <w:t xml:space="preserve"> a battered woman (or, in some variants, to suffer from </w:t>
      </w:r>
      <w:r w:rsidR="00FA7349" w:rsidRPr="00FA7349">
        <w:rPr>
          <w:rFonts w:ascii="Times New Roman" w:hAnsi="Times New Roman" w:cs="Times New Roman"/>
          <w:bCs/>
        </w:rPr>
        <w:t>‘</w:t>
      </w:r>
      <w:r w:rsidR="00F776C2" w:rsidRPr="00FA7349">
        <w:rPr>
          <w:rFonts w:ascii="Times New Roman" w:hAnsi="Times New Roman" w:cs="Times New Roman"/>
          <w:bCs/>
        </w:rPr>
        <w:t>battered woman syndrome</w:t>
      </w:r>
      <w:r w:rsidR="00FA7349" w:rsidRPr="00FA7349">
        <w:rPr>
          <w:rFonts w:ascii="Times New Roman" w:hAnsi="Times New Roman" w:cs="Times New Roman"/>
          <w:bCs/>
        </w:rPr>
        <w:t>’</w:t>
      </w:r>
      <w:r w:rsidR="00F776C2" w:rsidRPr="00FA7349">
        <w:rPr>
          <w:rFonts w:ascii="Times New Roman" w:hAnsi="Times New Roman" w:cs="Times New Roman"/>
          <w:bCs/>
        </w:rPr>
        <w:t>).</w:t>
      </w:r>
    </w:p>
    <w:p w14:paraId="52CBCDF1" w14:textId="77777777" w:rsidR="00F776C2" w:rsidRPr="00FA7349" w:rsidRDefault="00F776C2" w:rsidP="00FA7349">
      <w:pPr>
        <w:ind w:firstLine="709"/>
        <w:jc w:val="both"/>
        <w:rPr>
          <w:rFonts w:ascii="Times New Roman" w:hAnsi="Times New Roman" w:cs="Times New Roman"/>
          <w:bCs/>
        </w:rPr>
      </w:pPr>
      <w:r w:rsidRPr="00FA7349">
        <w:rPr>
          <w:rFonts w:ascii="Times New Roman" w:hAnsi="Times New Roman" w:cs="Times New Roman"/>
          <w:bCs/>
        </w:rPr>
        <w:t xml:space="preserve">Understanding what it is like </w:t>
      </w:r>
      <w:r w:rsidR="00FA7349" w:rsidRPr="00FA7349">
        <w:rPr>
          <w:rFonts w:ascii="Times New Roman" w:hAnsi="Times New Roman" w:cs="Times New Roman"/>
          <w:bCs/>
        </w:rPr>
        <w:t>‘</w:t>
      </w:r>
      <w:r w:rsidRPr="00FA7349">
        <w:rPr>
          <w:rFonts w:ascii="Times New Roman" w:hAnsi="Times New Roman" w:cs="Times New Roman"/>
          <w:bCs/>
        </w:rPr>
        <w:t>from the inside</w:t>
      </w:r>
      <w:r w:rsidR="00FA7349" w:rsidRPr="00FA7349">
        <w:rPr>
          <w:rFonts w:ascii="Times New Roman" w:hAnsi="Times New Roman" w:cs="Times New Roman"/>
          <w:bCs/>
        </w:rPr>
        <w:t>’</w:t>
      </w:r>
      <w:r w:rsidRPr="00FA7349">
        <w:rPr>
          <w:rFonts w:ascii="Times New Roman" w:hAnsi="Times New Roman" w:cs="Times New Roman"/>
          <w:bCs/>
        </w:rPr>
        <w:t xml:space="preserve"> requires, as Glover insists throughout his book, both science and the humanities. As already noted, the book begins with excerpts from interviews with serious offenders in Broadmoor secure psychiatric hospital. These interviews play two purposes in the book. The first is methodological, to show how interpretation might work. Glover engages with his interlocutors in ways that allow him (and us) to get some sense of what it is like to be them and thus establishes the pattern for the rest of the book. The second is a substantive discussion of Antisocial Personality Disorder, its relationship to </w:t>
      </w:r>
      <w:r w:rsidR="00FA7349" w:rsidRPr="00FA7349">
        <w:rPr>
          <w:rFonts w:ascii="Times New Roman" w:hAnsi="Times New Roman" w:cs="Times New Roman"/>
          <w:bCs/>
        </w:rPr>
        <w:t>‘</w:t>
      </w:r>
      <w:r w:rsidRPr="00FA7349">
        <w:rPr>
          <w:rFonts w:ascii="Times New Roman" w:hAnsi="Times New Roman" w:cs="Times New Roman"/>
          <w:bCs/>
        </w:rPr>
        <w:t>psychopathy</w:t>
      </w:r>
      <w:r w:rsidR="00FA7349" w:rsidRPr="00FA7349">
        <w:rPr>
          <w:rFonts w:ascii="Times New Roman" w:hAnsi="Times New Roman" w:cs="Times New Roman"/>
          <w:bCs/>
        </w:rPr>
        <w:t>’</w:t>
      </w:r>
      <w:r w:rsidRPr="00FA7349">
        <w:rPr>
          <w:rFonts w:ascii="Times New Roman" w:hAnsi="Times New Roman" w:cs="Times New Roman"/>
          <w:bCs/>
        </w:rPr>
        <w:t xml:space="preserve">, and the nature of psychopathy itself. </w:t>
      </w:r>
    </w:p>
    <w:p w14:paraId="6FA86885" w14:textId="77777777" w:rsidR="00F776C2" w:rsidRPr="00FA7349" w:rsidRDefault="00F776C2" w:rsidP="00FA7349">
      <w:pPr>
        <w:ind w:firstLine="709"/>
        <w:jc w:val="both"/>
        <w:rPr>
          <w:rFonts w:ascii="Times New Roman" w:hAnsi="Times New Roman" w:cs="Times New Roman"/>
          <w:bCs/>
        </w:rPr>
      </w:pPr>
      <w:r w:rsidRPr="00FA7349">
        <w:rPr>
          <w:rFonts w:ascii="Times New Roman" w:hAnsi="Times New Roman" w:cs="Times New Roman"/>
          <w:bCs/>
        </w:rPr>
        <w:t xml:space="preserve">With respect to the second purpose, Glover reflects on how his impressions of these patients compares with the Cleckley-Hare archetypal psychopath. Central to the Cleckley-Hare archetype is a lack of empathy and an associated degree of amoralism. Glover’s impressions of his interviewees are somewhat different. He is moved by their stories and finds both empathy and (degrees of) engagement with morality albeit often of a </w:t>
      </w:r>
      <w:r w:rsidR="00FA7349" w:rsidRPr="00FA7349">
        <w:rPr>
          <w:rFonts w:ascii="Times New Roman" w:hAnsi="Times New Roman" w:cs="Times New Roman"/>
          <w:bCs/>
        </w:rPr>
        <w:t>‘</w:t>
      </w:r>
      <w:r w:rsidRPr="00FA7349">
        <w:rPr>
          <w:rFonts w:ascii="Times New Roman" w:hAnsi="Times New Roman" w:cs="Times New Roman"/>
          <w:bCs/>
        </w:rPr>
        <w:t>shallow</w:t>
      </w:r>
      <w:r w:rsidR="00FA7349" w:rsidRPr="00FA7349">
        <w:rPr>
          <w:rFonts w:ascii="Times New Roman" w:hAnsi="Times New Roman" w:cs="Times New Roman"/>
          <w:bCs/>
        </w:rPr>
        <w:t>’</w:t>
      </w:r>
      <w:r w:rsidRPr="00FA7349">
        <w:rPr>
          <w:rFonts w:ascii="Times New Roman" w:hAnsi="Times New Roman" w:cs="Times New Roman"/>
          <w:bCs/>
        </w:rPr>
        <w:t xml:space="preserve"> kind. </w:t>
      </w:r>
    </w:p>
    <w:p w14:paraId="2ABEAB95" w14:textId="77777777" w:rsidR="00F776C2" w:rsidRPr="00FA7349" w:rsidRDefault="00F776C2" w:rsidP="00FA7349">
      <w:pPr>
        <w:ind w:firstLine="709"/>
        <w:jc w:val="both"/>
        <w:rPr>
          <w:rFonts w:ascii="Times New Roman" w:hAnsi="Times New Roman" w:cs="Times New Roman"/>
          <w:bCs/>
        </w:rPr>
      </w:pPr>
      <w:r w:rsidRPr="00FA7349">
        <w:rPr>
          <w:rFonts w:ascii="Times New Roman" w:hAnsi="Times New Roman" w:cs="Times New Roman"/>
          <w:bCs/>
        </w:rPr>
        <w:t xml:space="preserve">What, though, should we take from this? Glover is admirably modest in the claims he makes, but two stand out. First, that understanding these men </w:t>
      </w:r>
      <w:r w:rsidR="00FA7349" w:rsidRPr="00FA7349">
        <w:rPr>
          <w:rFonts w:ascii="Times New Roman" w:hAnsi="Times New Roman" w:cs="Times New Roman"/>
          <w:bCs/>
        </w:rPr>
        <w:t>‘</w:t>
      </w:r>
      <w:r w:rsidRPr="00FA7349">
        <w:rPr>
          <w:rFonts w:ascii="Times New Roman" w:hAnsi="Times New Roman" w:cs="Times New Roman"/>
          <w:bCs/>
        </w:rPr>
        <w:t>from the inside</w:t>
      </w:r>
      <w:r w:rsidR="00FA7349" w:rsidRPr="00FA7349">
        <w:rPr>
          <w:rFonts w:ascii="Times New Roman" w:hAnsi="Times New Roman" w:cs="Times New Roman"/>
          <w:bCs/>
        </w:rPr>
        <w:t>’</w:t>
      </w:r>
      <w:r w:rsidRPr="00FA7349">
        <w:rPr>
          <w:rFonts w:ascii="Times New Roman" w:hAnsi="Times New Roman" w:cs="Times New Roman"/>
          <w:bCs/>
        </w:rPr>
        <w:t xml:space="preserve">, and understanding what makes them different from one another and not just the diagnosis that they have in common, might lead to an openness to different ways to </w:t>
      </w:r>
      <w:r w:rsidR="00FA7349" w:rsidRPr="00FA7349">
        <w:rPr>
          <w:rFonts w:ascii="Times New Roman" w:hAnsi="Times New Roman" w:cs="Times New Roman"/>
          <w:bCs/>
        </w:rPr>
        <w:t>‘</w:t>
      </w:r>
      <w:r w:rsidRPr="00FA7349">
        <w:rPr>
          <w:rFonts w:ascii="Times New Roman" w:hAnsi="Times New Roman" w:cs="Times New Roman"/>
          <w:bCs/>
        </w:rPr>
        <w:t>reach</w:t>
      </w:r>
      <w:r w:rsidR="00FA7349" w:rsidRPr="00FA7349">
        <w:rPr>
          <w:rFonts w:ascii="Times New Roman" w:hAnsi="Times New Roman" w:cs="Times New Roman"/>
          <w:bCs/>
        </w:rPr>
        <w:t>’</w:t>
      </w:r>
      <w:r w:rsidRPr="00FA7349">
        <w:rPr>
          <w:rFonts w:ascii="Times New Roman" w:hAnsi="Times New Roman" w:cs="Times New Roman"/>
          <w:bCs/>
        </w:rPr>
        <w:t xml:space="preserve"> them. Thus, there is a long discussion (Chapter 5) of the effects of performing Shakespeare in Broadmoor. Relatedly, he expresses the worry that diagnostic categories – and in particular the diagnosis of ASPD </w:t>
      </w:r>
      <w:r w:rsidR="00FA7349" w:rsidRPr="00FA7349">
        <w:rPr>
          <w:rFonts w:ascii="Times New Roman" w:hAnsi="Times New Roman" w:cs="Times New Roman"/>
          <w:bCs/>
        </w:rPr>
        <w:t>‘</w:t>
      </w:r>
      <w:r w:rsidRPr="00FA7349">
        <w:rPr>
          <w:rFonts w:ascii="Times New Roman" w:hAnsi="Times New Roman" w:cs="Times New Roman"/>
          <w:bCs/>
        </w:rPr>
        <w:t>with all its Cleckley associations</w:t>
      </w:r>
      <w:r w:rsidR="00FA7349" w:rsidRPr="00FA7349">
        <w:rPr>
          <w:rFonts w:ascii="Times New Roman" w:hAnsi="Times New Roman" w:cs="Times New Roman"/>
          <w:bCs/>
        </w:rPr>
        <w:t>’</w:t>
      </w:r>
      <w:r w:rsidRPr="00FA7349">
        <w:rPr>
          <w:rFonts w:ascii="Times New Roman" w:hAnsi="Times New Roman" w:cs="Times New Roman"/>
          <w:bCs/>
        </w:rPr>
        <w:t xml:space="preserve"> might get </w:t>
      </w:r>
      <w:r w:rsidR="00FA7349" w:rsidRPr="00FA7349">
        <w:rPr>
          <w:rFonts w:ascii="Times New Roman" w:hAnsi="Times New Roman" w:cs="Times New Roman"/>
          <w:bCs/>
        </w:rPr>
        <w:t>‘</w:t>
      </w:r>
      <w:r w:rsidRPr="00FA7349">
        <w:rPr>
          <w:rFonts w:ascii="Times New Roman" w:hAnsi="Times New Roman" w:cs="Times New Roman"/>
          <w:bCs/>
        </w:rPr>
        <w:t>in the way</w:t>
      </w:r>
      <w:r w:rsidR="00FA7349" w:rsidRPr="00FA7349">
        <w:rPr>
          <w:rFonts w:ascii="Times New Roman" w:hAnsi="Times New Roman" w:cs="Times New Roman"/>
          <w:bCs/>
        </w:rPr>
        <w:t>’</w:t>
      </w:r>
      <w:r w:rsidRPr="00FA7349">
        <w:rPr>
          <w:rFonts w:ascii="Times New Roman" w:hAnsi="Times New Roman" w:cs="Times New Roman"/>
          <w:bCs/>
        </w:rPr>
        <w:t xml:space="preserve"> of engaging with each person; talking and listening to them </w:t>
      </w:r>
      <w:r w:rsidR="00FA7349" w:rsidRPr="00FA7349">
        <w:rPr>
          <w:rFonts w:ascii="Times New Roman" w:hAnsi="Times New Roman" w:cs="Times New Roman"/>
          <w:bCs/>
        </w:rPr>
        <w:t>‘</w:t>
      </w:r>
      <w:r w:rsidRPr="00FA7349">
        <w:rPr>
          <w:rFonts w:ascii="Times New Roman" w:hAnsi="Times New Roman" w:cs="Times New Roman"/>
          <w:bCs/>
        </w:rPr>
        <w:t>as the people they are</w:t>
      </w:r>
      <w:r w:rsidR="00FA7349" w:rsidRPr="00FA7349">
        <w:rPr>
          <w:rFonts w:ascii="Times New Roman" w:hAnsi="Times New Roman" w:cs="Times New Roman"/>
          <w:bCs/>
        </w:rPr>
        <w:t>’</w:t>
      </w:r>
      <w:r w:rsidRPr="00FA7349">
        <w:rPr>
          <w:rFonts w:ascii="Times New Roman" w:hAnsi="Times New Roman" w:cs="Times New Roman"/>
          <w:bCs/>
        </w:rPr>
        <w:t xml:space="preserve"> (</w:t>
      </w:r>
      <w:r w:rsidR="00FA7349">
        <w:rPr>
          <w:rFonts w:ascii="Times New Roman" w:hAnsi="Times New Roman" w:cs="Times New Roman"/>
          <w:bCs/>
        </w:rPr>
        <w:t xml:space="preserve">p. </w:t>
      </w:r>
      <w:r w:rsidRPr="00FA7349">
        <w:rPr>
          <w:rFonts w:ascii="Times New Roman" w:hAnsi="Times New Roman" w:cs="Times New Roman"/>
          <w:bCs/>
        </w:rPr>
        <w:t xml:space="preserve">73).   </w:t>
      </w:r>
    </w:p>
    <w:p w14:paraId="6FC930F1" w14:textId="28CC7C90"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At a therapeutic level, there is surely much to be said for this (one rather hopes that for therapists the diagnosis is only the start, but certainly public labelling of people as </w:t>
      </w:r>
      <w:r w:rsidR="00FA7349" w:rsidRPr="00FA7349">
        <w:rPr>
          <w:rFonts w:ascii="Times New Roman" w:hAnsi="Times New Roman" w:cs="Times New Roman"/>
        </w:rPr>
        <w:t>‘</w:t>
      </w:r>
      <w:r w:rsidRPr="00FA7349">
        <w:rPr>
          <w:rFonts w:ascii="Times New Roman" w:hAnsi="Times New Roman" w:cs="Times New Roman"/>
        </w:rPr>
        <w:t>psychopaths</w:t>
      </w:r>
      <w:r w:rsidR="00FA7349" w:rsidRPr="00FA7349">
        <w:rPr>
          <w:rFonts w:ascii="Times New Roman" w:hAnsi="Times New Roman" w:cs="Times New Roman"/>
        </w:rPr>
        <w:t>’</w:t>
      </w:r>
      <w:r w:rsidRPr="00FA7349">
        <w:rPr>
          <w:rFonts w:ascii="Times New Roman" w:hAnsi="Times New Roman" w:cs="Times New Roman"/>
        </w:rPr>
        <w:t xml:space="preserve">, </w:t>
      </w:r>
      <w:r w:rsidR="00FA7349" w:rsidRPr="00FA7349">
        <w:rPr>
          <w:rFonts w:ascii="Times New Roman" w:hAnsi="Times New Roman" w:cs="Times New Roman"/>
        </w:rPr>
        <w:t>‘</w:t>
      </w:r>
      <w:r w:rsidRPr="00FA7349">
        <w:rPr>
          <w:rFonts w:ascii="Times New Roman" w:hAnsi="Times New Roman" w:cs="Times New Roman"/>
        </w:rPr>
        <w:t>paedophiles</w:t>
      </w:r>
      <w:r w:rsidR="00FA7349" w:rsidRPr="00FA7349">
        <w:rPr>
          <w:rFonts w:ascii="Times New Roman" w:hAnsi="Times New Roman" w:cs="Times New Roman"/>
        </w:rPr>
        <w:t>’</w:t>
      </w:r>
      <w:r w:rsidRPr="00FA7349">
        <w:rPr>
          <w:rFonts w:ascii="Times New Roman" w:hAnsi="Times New Roman" w:cs="Times New Roman"/>
        </w:rPr>
        <w:t>, etc., has proved deeply unhelpful). But, in criminal law, Glo</w:t>
      </w:r>
      <w:r w:rsidR="00A36741">
        <w:rPr>
          <w:rFonts w:ascii="Times New Roman" w:hAnsi="Times New Roman" w:cs="Times New Roman"/>
        </w:rPr>
        <w:t>ver’s claim is more of a double-</w:t>
      </w:r>
      <w:r w:rsidRPr="00FA7349">
        <w:rPr>
          <w:rFonts w:ascii="Times New Roman" w:hAnsi="Times New Roman" w:cs="Times New Roman"/>
        </w:rPr>
        <w:t xml:space="preserve">edged sword than he seems to recognise. </w:t>
      </w:r>
    </w:p>
    <w:p w14:paraId="14678823" w14:textId="3DEFB50F"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lastRenderedPageBreak/>
        <w:t xml:space="preserve">Glover discusses criminal responsibility towards the beginning of Part Five of </w:t>
      </w:r>
      <w:r w:rsidRPr="00FA7349">
        <w:rPr>
          <w:rFonts w:ascii="Times New Roman" w:hAnsi="Times New Roman" w:cs="Times New Roman"/>
          <w:i/>
        </w:rPr>
        <w:t>Alien Landscapes</w:t>
      </w:r>
      <w:r w:rsidR="00E2766D">
        <w:rPr>
          <w:rFonts w:ascii="Times New Roman" w:hAnsi="Times New Roman" w:cs="Times New Roman"/>
          <w:i/>
        </w:rPr>
        <w:t>?</w:t>
      </w:r>
      <w:r w:rsidRPr="00FA7349">
        <w:rPr>
          <w:rFonts w:ascii="Times New Roman" w:hAnsi="Times New Roman" w:cs="Times New Roman"/>
        </w:rPr>
        <w:t xml:space="preserve">. As he notes there, criminal responsibility today tracks to a remarkable degree Aristotle’s analysis that involuntary actions </w:t>
      </w:r>
      <w:r w:rsidR="00FA7349" w:rsidRPr="00FA7349">
        <w:rPr>
          <w:rFonts w:ascii="Times New Roman" w:hAnsi="Times New Roman" w:cs="Times New Roman"/>
        </w:rPr>
        <w:t>‘</w:t>
      </w:r>
      <w:r w:rsidRPr="00FA7349">
        <w:rPr>
          <w:rFonts w:ascii="Times New Roman" w:hAnsi="Times New Roman" w:cs="Times New Roman"/>
        </w:rPr>
        <w:t>are those done in ignorance or under compulsion</w:t>
      </w:r>
      <w:r w:rsidR="00FA7349" w:rsidRPr="00FA7349">
        <w:rPr>
          <w:rFonts w:ascii="Times New Roman" w:hAnsi="Times New Roman" w:cs="Times New Roman"/>
        </w:rPr>
        <w:t>’</w:t>
      </w:r>
      <w:r w:rsidRPr="00FA7349">
        <w:rPr>
          <w:rFonts w:ascii="Times New Roman" w:hAnsi="Times New Roman" w:cs="Times New Roman"/>
        </w:rPr>
        <w:t xml:space="preserve"> (</w:t>
      </w:r>
      <w:r w:rsidR="00FA7349">
        <w:rPr>
          <w:rFonts w:ascii="Times New Roman" w:hAnsi="Times New Roman" w:cs="Times New Roman"/>
        </w:rPr>
        <w:t xml:space="preserve">p. </w:t>
      </w:r>
      <w:r w:rsidRPr="00FA7349">
        <w:rPr>
          <w:rFonts w:ascii="Times New Roman" w:hAnsi="Times New Roman" w:cs="Times New Roman"/>
        </w:rPr>
        <w:t>262). Broadly, the default position of the criminal law is that adult persons are capable of understanding, and governing themselves by, reasons.</w:t>
      </w:r>
      <w:r w:rsidRPr="00FA7349">
        <w:rPr>
          <w:rStyle w:val="EndnoteReference"/>
          <w:rFonts w:ascii="Times New Roman" w:hAnsi="Times New Roman" w:cs="Times New Roman"/>
        </w:rPr>
        <w:endnoteReference w:id="3"/>
      </w:r>
      <w:r w:rsidRPr="00FA7349">
        <w:rPr>
          <w:rFonts w:ascii="Times New Roman" w:hAnsi="Times New Roman" w:cs="Times New Roman"/>
        </w:rPr>
        <w:t xml:space="preserve"> Thus, the agent must be able to understand and to act on reasons. </w:t>
      </w:r>
    </w:p>
    <w:p w14:paraId="62DE607C"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This reason centred account grounds the recognition of two forms of non-culpably irrationality: first, in the language of M’Naghten, cases in which the agent did not to know </w:t>
      </w:r>
      <w:r w:rsidR="00FA7349" w:rsidRPr="00FA7349">
        <w:rPr>
          <w:rFonts w:ascii="Times New Roman" w:hAnsi="Times New Roman" w:cs="Times New Roman"/>
        </w:rPr>
        <w:t>‘</w:t>
      </w:r>
      <w:r w:rsidRPr="00FA7349">
        <w:rPr>
          <w:rFonts w:ascii="Times New Roman" w:hAnsi="Times New Roman" w:cs="Times New Roman"/>
        </w:rPr>
        <w:t>the nature and quality of the act</w:t>
      </w:r>
      <w:r w:rsidR="00FA7349" w:rsidRPr="00FA7349">
        <w:rPr>
          <w:rFonts w:ascii="Times New Roman" w:hAnsi="Times New Roman" w:cs="Times New Roman"/>
        </w:rPr>
        <w:t>’</w:t>
      </w:r>
      <w:r w:rsidRPr="00FA7349">
        <w:rPr>
          <w:rFonts w:ascii="Times New Roman" w:hAnsi="Times New Roman" w:cs="Times New Roman"/>
        </w:rPr>
        <w:t xml:space="preserve"> or that the act </w:t>
      </w:r>
      <w:r w:rsidR="00FA7349" w:rsidRPr="00FA7349">
        <w:rPr>
          <w:rFonts w:ascii="Times New Roman" w:hAnsi="Times New Roman" w:cs="Times New Roman"/>
        </w:rPr>
        <w:t>‘</w:t>
      </w:r>
      <w:r w:rsidRPr="00FA7349">
        <w:rPr>
          <w:rFonts w:ascii="Times New Roman" w:hAnsi="Times New Roman" w:cs="Times New Roman"/>
        </w:rPr>
        <w:t>was wrong</w:t>
      </w:r>
      <w:r w:rsidR="00FA7349" w:rsidRPr="00FA7349">
        <w:rPr>
          <w:rFonts w:ascii="Times New Roman" w:hAnsi="Times New Roman" w:cs="Times New Roman"/>
        </w:rPr>
        <w:t>’</w:t>
      </w:r>
      <w:r w:rsidRPr="00FA7349">
        <w:rPr>
          <w:rFonts w:ascii="Times New Roman" w:hAnsi="Times New Roman" w:cs="Times New Roman"/>
        </w:rPr>
        <w:t xml:space="preserve">. Second, and beyond M’Naghten, cases in which the agent faced a </w:t>
      </w:r>
      <w:r w:rsidR="00FA7349" w:rsidRPr="00FA7349">
        <w:rPr>
          <w:rFonts w:ascii="Times New Roman" w:hAnsi="Times New Roman" w:cs="Times New Roman"/>
        </w:rPr>
        <w:t>‘</w:t>
      </w:r>
      <w:r w:rsidRPr="00FA7349">
        <w:rPr>
          <w:rFonts w:ascii="Times New Roman" w:hAnsi="Times New Roman" w:cs="Times New Roman"/>
        </w:rPr>
        <w:t>hard choice</w:t>
      </w:r>
      <w:r w:rsidR="00FA7349" w:rsidRPr="00FA7349">
        <w:rPr>
          <w:rFonts w:ascii="Times New Roman" w:hAnsi="Times New Roman" w:cs="Times New Roman"/>
        </w:rPr>
        <w:t>’</w:t>
      </w:r>
      <w:r w:rsidRPr="00FA7349">
        <w:rPr>
          <w:rFonts w:ascii="Times New Roman" w:hAnsi="Times New Roman" w:cs="Times New Roman"/>
        </w:rPr>
        <w:t xml:space="preserve">, </w:t>
      </w:r>
      <w:r w:rsidR="00FA7349" w:rsidRPr="00FA7349">
        <w:rPr>
          <w:rFonts w:ascii="Times New Roman" w:hAnsi="Times New Roman" w:cs="Times New Roman"/>
        </w:rPr>
        <w:t>‘</w:t>
      </w:r>
      <w:r w:rsidRPr="00FA7349">
        <w:rPr>
          <w:rFonts w:ascii="Times New Roman" w:hAnsi="Times New Roman" w:cs="Times New Roman"/>
        </w:rPr>
        <w:t>irresistible impulse</w:t>
      </w:r>
      <w:r w:rsidR="00FA7349" w:rsidRPr="00FA7349">
        <w:rPr>
          <w:rFonts w:ascii="Times New Roman" w:hAnsi="Times New Roman" w:cs="Times New Roman"/>
        </w:rPr>
        <w:t>’</w:t>
      </w:r>
      <w:r w:rsidRPr="00FA7349">
        <w:rPr>
          <w:rFonts w:ascii="Times New Roman" w:hAnsi="Times New Roman" w:cs="Times New Roman"/>
        </w:rPr>
        <w:t>, or compulsion.</w:t>
      </w:r>
    </w:p>
    <w:p w14:paraId="0828509D"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Cases that fall into the first category include an agent who is delusional and kills the person in front of them believing that person to be the devil (thus, she does not know the nature and quality of her act). Also, an agent who recognises the person in front of them as a person, but believes that in killing him she is acting on a Divine command that authorises the act independent of the local criminal code (she does not know that what she is doing is wrong). Such people do not understand and act on reasons as we understand them. </w:t>
      </w:r>
    </w:p>
    <w:p w14:paraId="0DA9492A"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Cases that fall into the second category are most clear when the origin of the hard choice is external. If an agent breaks into a cabin because either a gunman is holding a pistol to his head and ordering h</w:t>
      </w:r>
      <w:r w:rsidR="00FA7349">
        <w:rPr>
          <w:rFonts w:ascii="Times New Roman" w:hAnsi="Times New Roman" w:cs="Times New Roman"/>
        </w:rPr>
        <w:t>im to do so or because the snow</w:t>
      </w:r>
      <w:r w:rsidRPr="00FA7349">
        <w:rPr>
          <w:rFonts w:ascii="Times New Roman" w:hAnsi="Times New Roman" w:cs="Times New Roman"/>
        </w:rPr>
        <w:t>storm has become so strong that his life is threatened, then he has a defence (of duress and necessity respectively). The thought here is that it is wrong or unjust for the law to demand of the agent that she does the right thing when doing the right thing is extraordinarily difficult (the law ought not to blame people where it could not reasonably expect them to obey).</w:t>
      </w:r>
    </w:p>
    <w:p w14:paraId="32689797"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What, then, of </w:t>
      </w:r>
      <w:r w:rsidR="00FA7349" w:rsidRPr="00FA7349">
        <w:rPr>
          <w:rFonts w:ascii="Times New Roman" w:hAnsi="Times New Roman" w:cs="Times New Roman"/>
        </w:rPr>
        <w:t>‘</w:t>
      </w:r>
      <w:r w:rsidRPr="00FA7349">
        <w:rPr>
          <w:rFonts w:ascii="Times New Roman" w:hAnsi="Times New Roman" w:cs="Times New Roman"/>
        </w:rPr>
        <w:t>psychopaths</w:t>
      </w:r>
      <w:r w:rsidR="00FA7349" w:rsidRPr="00FA7349">
        <w:rPr>
          <w:rFonts w:ascii="Times New Roman" w:hAnsi="Times New Roman" w:cs="Times New Roman"/>
        </w:rPr>
        <w:t>’</w:t>
      </w:r>
      <w:r w:rsidRPr="00FA7349">
        <w:rPr>
          <w:rFonts w:ascii="Times New Roman" w:hAnsi="Times New Roman" w:cs="Times New Roman"/>
        </w:rPr>
        <w:t xml:space="preserve"> or those with severe ASPD? The debate here is on-going, but it is at least plausible to say that if their lack of empathy is so complete that they cannot really understand morality </w:t>
      </w:r>
      <w:r w:rsidR="00FA7349" w:rsidRPr="00FA7349">
        <w:rPr>
          <w:rFonts w:ascii="Times New Roman" w:hAnsi="Times New Roman" w:cs="Times New Roman"/>
        </w:rPr>
        <w:t>‘</w:t>
      </w:r>
      <w:r w:rsidRPr="00FA7349">
        <w:rPr>
          <w:rFonts w:ascii="Times New Roman" w:hAnsi="Times New Roman" w:cs="Times New Roman"/>
        </w:rPr>
        <w:t>from the inside</w:t>
      </w:r>
      <w:r w:rsidR="00FA7349" w:rsidRPr="00FA7349">
        <w:rPr>
          <w:rFonts w:ascii="Times New Roman" w:hAnsi="Times New Roman" w:cs="Times New Roman"/>
        </w:rPr>
        <w:t>’</w:t>
      </w:r>
      <w:r w:rsidRPr="00FA7349">
        <w:rPr>
          <w:rFonts w:ascii="Times New Roman" w:hAnsi="Times New Roman" w:cs="Times New Roman"/>
        </w:rPr>
        <w:t xml:space="preserve"> (as it were), then they cannot be responsible (they would in old language be </w:t>
      </w:r>
      <w:r w:rsidR="00FA7349" w:rsidRPr="00FA7349">
        <w:rPr>
          <w:rFonts w:ascii="Times New Roman" w:hAnsi="Times New Roman" w:cs="Times New Roman"/>
        </w:rPr>
        <w:t>‘</w:t>
      </w:r>
      <w:r w:rsidRPr="00FA7349">
        <w:rPr>
          <w:rFonts w:ascii="Times New Roman" w:hAnsi="Times New Roman" w:cs="Times New Roman"/>
        </w:rPr>
        <w:t>morally insane</w:t>
      </w:r>
      <w:r w:rsidR="00FA7349" w:rsidRPr="00FA7349">
        <w:rPr>
          <w:rFonts w:ascii="Times New Roman" w:hAnsi="Times New Roman" w:cs="Times New Roman"/>
        </w:rPr>
        <w:t>’</w:t>
      </w:r>
      <w:r w:rsidRPr="00FA7349">
        <w:rPr>
          <w:rFonts w:ascii="Times New Roman" w:hAnsi="Times New Roman" w:cs="Times New Roman"/>
        </w:rPr>
        <w:t>).</w:t>
      </w:r>
      <w:r w:rsidRPr="00FA7349">
        <w:rPr>
          <w:rStyle w:val="EndnoteReference"/>
          <w:rFonts w:ascii="Times New Roman" w:hAnsi="Times New Roman" w:cs="Times New Roman"/>
        </w:rPr>
        <w:endnoteReference w:id="4"/>
      </w:r>
      <w:r w:rsidRPr="00FA7349">
        <w:rPr>
          <w:rFonts w:ascii="Times New Roman" w:hAnsi="Times New Roman" w:cs="Times New Roman"/>
        </w:rPr>
        <w:t xml:space="preserve"> Glover’s rescuing of individual patients from the diagnostic category of ASPD </w:t>
      </w:r>
      <w:r w:rsidR="00FA7349" w:rsidRPr="00FA7349">
        <w:rPr>
          <w:rFonts w:ascii="Times New Roman" w:hAnsi="Times New Roman" w:cs="Times New Roman"/>
        </w:rPr>
        <w:t>‘</w:t>
      </w:r>
      <w:r w:rsidRPr="00FA7349">
        <w:rPr>
          <w:rFonts w:ascii="Times New Roman" w:hAnsi="Times New Roman" w:cs="Times New Roman"/>
        </w:rPr>
        <w:t>with all its Cleckley associations</w:t>
      </w:r>
      <w:r w:rsidR="00FA7349" w:rsidRPr="00FA7349">
        <w:rPr>
          <w:rFonts w:ascii="Times New Roman" w:hAnsi="Times New Roman" w:cs="Times New Roman"/>
        </w:rPr>
        <w:t>’</w:t>
      </w:r>
      <w:r w:rsidRPr="00FA7349">
        <w:rPr>
          <w:rFonts w:ascii="Times New Roman" w:hAnsi="Times New Roman" w:cs="Times New Roman"/>
        </w:rPr>
        <w:t xml:space="preserve"> might then be a case in which his therapeutic and policy intuitions clash.</w:t>
      </w:r>
    </w:p>
    <w:p w14:paraId="718C52B2"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Perhaps Glover would press not so much on whether those he interviewed knew the nature and quality of their acts, but on whether their compulsion to commit the deeds that they did was such as to render them irresponsible or with diminished responsibility. In one way or another, the question of </w:t>
      </w:r>
      <w:r w:rsidR="00FA7349" w:rsidRPr="00FA7349">
        <w:rPr>
          <w:rFonts w:ascii="Times New Roman" w:hAnsi="Times New Roman" w:cs="Times New Roman"/>
        </w:rPr>
        <w:t>‘</w:t>
      </w:r>
      <w:r w:rsidRPr="00FA7349">
        <w:rPr>
          <w:rFonts w:ascii="Times New Roman" w:hAnsi="Times New Roman" w:cs="Times New Roman"/>
        </w:rPr>
        <w:t>inner constraints</w:t>
      </w:r>
      <w:r w:rsidR="00FA7349" w:rsidRPr="00FA7349">
        <w:rPr>
          <w:rFonts w:ascii="Times New Roman" w:hAnsi="Times New Roman" w:cs="Times New Roman"/>
        </w:rPr>
        <w:t>’</w:t>
      </w:r>
      <w:r w:rsidRPr="00FA7349">
        <w:rPr>
          <w:rFonts w:ascii="Times New Roman" w:hAnsi="Times New Roman" w:cs="Times New Roman"/>
        </w:rPr>
        <w:t xml:space="preserve"> or </w:t>
      </w:r>
      <w:r w:rsidR="00FA7349" w:rsidRPr="00FA7349">
        <w:rPr>
          <w:rFonts w:ascii="Times New Roman" w:hAnsi="Times New Roman" w:cs="Times New Roman"/>
        </w:rPr>
        <w:t>‘</w:t>
      </w:r>
      <w:r w:rsidRPr="00FA7349">
        <w:rPr>
          <w:rFonts w:ascii="Times New Roman" w:hAnsi="Times New Roman" w:cs="Times New Roman"/>
        </w:rPr>
        <w:t>internal compulsions</w:t>
      </w:r>
      <w:r w:rsidR="00FA7349" w:rsidRPr="00FA7349">
        <w:rPr>
          <w:rFonts w:ascii="Times New Roman" w:hAnsi="Times New Roman" w:cs="Times New Roman"/>
        </w:rPr>
        <w:t>’</w:t>
      </w:r>
      <w:r w:rsidRPr="00FA7349">
        <w:rPr>
          <w:rFonts w:ascii="Times New Roman" w:hAnsi="Times New Roman" w:cs="Times New Roman"/>
        </w:rPr>
        <w:t xml:space="preserve"> (</w:t>
      </w:r>
      <w:r w:rsidR="00FA7349">
        <w:rPr>
          <w:rFonts w:ascii="Times New Roman" w:hAnsi="Times New Roman" w:cs="Times New Roman"/>
        </w:rPr>
        <w:t xml:space="preserve">p. </w:t>
      </w:r>
      <w:r w:rsidRPr="00FA7349">
        <w:rPr>
          <w:rFonts w:ascii="Times New Roman" w:hAnsi="Times New Roman" w:cs="Times New Roman"/>
        </w:rPr>
        <w:t xml:space="preserve">263) animates much of the last two parts of the book. The discussions are framed by a number of concerns. First, that any account (such as Aristotle’s) that thinks of compulsion as only or primarily external is flawed. Addicts, those who are obsessive compulsive, and so on, are in ordinary language compelled to do what they do. Second, as Barbara Wootton put it in a passage quoted by Glover, it would nevertheless be a mistake to infer from the fact </w:t>
      </w:r>
      <w:r w:rsidR="00FA7349" w:rsidRPr="00FA7349">
        <w:rPr>
          <w:rFonts w:ascii="Times New Roman" w:hAnsi="Times New Roman" w:cs="Times New Roman"/>
        </w:rPr>
        <w:t>‘</w:t>
      </w:r>
      <w:r w:rsidRPr="00FA7349">
        <w:rPr>
          <w:rFonts w:ascii="Times New Roman" w:hAnsi="Times New Roman" w:cs="Times New Roman"/>
        </w:rPr>
        <w:t>that an impulse was not resisted</w:t>
      </w:r>
      <w:r w:rsidR="00FA7349" w:rsidRPr="00FA7349">
        <w:rPr>
          <w:rFonts w:ascii="Times New Roman" w:hAnsi="Times New Roman" w:cs="Times New Roman"/>
        </w:rPr>
        <w:t>’</w:t>
      </w:r>
      <w:r w:rsidRPr="00FA7349">
        <w:rPr>
          <w:rFonts w:ascii="Times New Roman" w:hAnsi="Times New Roman" w:cs="Times New Roman"/>
        </w:rPr>
        <w:t xml:space="preserve"> that it was </w:t>
      </w:r>
      <w:r w:rsidR="00FA7349" w:rsidRPr="00FA7349">
        <w:rPr>
          <w:rFonts w:ascii="Times New Roman" w:hAnsi="Times New Roman" w:cs="Times New Roman"/>
        </w:rPr>
        <w:t>‘</w:t>
      </w:r>
      <w:r w:rsidRPr="00FA7349">
        <w:rPr>
          <w:rFonts w:ascii="Times New Roman" w:hAnsi="Times New Roman" w:cs="Times New Roman"/>
        </w:rPr>
        <w:t>irresistible</w:t>
      </w:r>
      <w:r w:rsidR="00FA7349" w:rsidRPr="00FA7349">
        <w:rPr>
          <w:rFonts w:ascii="Times New Roman" w:hAnsi="Times New Roman" w:cs="Times New Roman"/>
        </w:rPr>
        <w:t>’</w:t>
      </w:r>
      <w:r w:rsidRPr="00FA7349">
        <w:rPr>
          <w:rFonts w:ascii="Times New Roman" w:hAnsi="Times New Roman" w:cs="Times New Roman"/>
        </w:rPr>
        <w:t xml:space="preserve"> (</w:t>
      </w:r>
      <w:r w:rsidR="00FA7349">
        <w:rPr>
          <w:rFonts w:ascii="Times New Roman" w:hAnsi="Times New Roman" w:cs="Times New Roman"/>
        </w:rPr>
        <w:t xml:space="preserve">p. </w:t>
      </w:r>
      <w:r w:rsidRPr="00FA7349">
        <w:rPr>
          <w:rFonts w:ascii="Times New Roman" w:hAnsi="Times New Roman" w:cs="Times New Roman"/>
        </w:rPr>
        <w:t xml:space="preserve">265) (hence the controversy over addiction). Third, that one way to think about these issues is to think about whether the impulse or act reflects on the </w:t>
      </w:r>
      <w:r w:rsidR="00FA7349" w:rsidRPr="00FA7349">
        <w:rPr>
          <w:rFonts w:ascii="Times New Roman" w:hAnsi="Times New Roman" w:cs="Times New Roman"/>
        </w:rPr>
        <w:t>‘</w:t>
      </w:r>
      <w:r w:rsidRPr="00FA7349">
        <w:rPr>
          <w:rFonts w:ascii="Times New Roman" w:hAnsi="Times New Roman" w:cs="Times New Roman"/>
        </w:rPr>
        <w:t>authentic</w:t>
      </w:r>
      <w:r w:rsidR="00FA7349" w:rsidRPr="00FA7349">
        <w:rPr>
          <w:rFonts w:ascii="Times New Roman" w:hAnsi="Times New Roman" w:cs="Times New Roman"/>
        </w:rPr>
        <w:t>’</w:t>
      </w:r>
      <w:r w:rsidRPr="00FA7349">
        <w:rPr>
          <w:rFonts w:ascii="Times New Roman" w:hAnsi="Times New Roman" w:cs="Times New Roman"/>
        </w:rPr>
        <w:t xml:space="preserve"> self of the agent (crudely, whether it is </w:t>
      </w:r>
      <w:r w:rsidR="00FA7349" w:rsidRPr="00FA7349">
        <w:rPr>
          <w:rFonts w:ascii="Times New Roman" w:hAnsi="Times New Roman" w:cs="Times New Roman"/>
        </w:rPr>
        <w:t>‘</w:t>
      </w:r>
      <w:r w:rsidRPr="00FA7349">
        <w:rPr>
          <w:rFonts w:ascii="Times New Roman" w:hAnsi="Times New Roman" w:cs="Times New Roman"/>
        </w:rPr>
        <w:t>him</w:t>
      </w:r>
      <w:r w:rsidR="00FA7349" w:rsidRPr="00FA7349">
        <w:rPr>
          <w:rFonts w:ascii="Times New Roman" w:hAnsi="Times New Roman" w:cs="Times New Roman"/>
        </w:rPr>
        <w:t>’</w:t>
      </w:r>
      <w:r w:rsidRPr="00FA7349">
        <w:rPr>
          <w:rFonts w:ascii="Times New Roman" w:hAnsi="Times New Roman" w:cs="Times New Roman"/>
        </w:rPr>
        <w:t xml:space="preserve"> or </w:t>
      </w:r>
      <w:r w:rsidR="00FA7349" w:rsidRPr="00FA7349">
        <w:rPr>
          <w:rFonts w:ascii="Times New Roman" w:hAnsi="Times New Roman" w:cs="Times New Roman"/>
        </w:rPr>
        <w:t>‘</w:t>
      </w:r>
      <w:r w:rsidRPr="00FA7349">
        <w:rPr>
          <w:rFonts w:ascii="Times New Roman" w:hAnsi="Times New Roman" w:cs="Times New Roman"/>
        </w:rPr>
        <w:t>his disease/disorder</w:t>
      </w:r>
      <w:r w:rsidR="00FA7349" w:rsidRPr="00FA7349">
        <w:rPr>
          <w:rFonts w:ascii="Times New Roman" w:hAnsi="Times New Roman" w:cs="Times New Roman"/>
        </w:rPr>
        <w:t>’</w:t>
      </w:r>
      <w:r w:rsidRPr="00FA7349">
        <w:rPr>
          <w:rFonts w:ascii="Times New Roman" w:hAnsi="Times New Roman" w:cs="Times New Roman"/>
        </w:rPr>
        <w:t xml:space="preserve"> that is implicated in the act). These are deep and difficult issues that touch on all manner of aspects of life (only a few of which will be mentioned below).</w:t>
      </w:r>
    </w:p>
    <w:p w14:paraId="2F4D6483"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In discussing these things, Glover begins with two cases of infanticide – Caroline Beale and Andrea Yates – where both women were incarcerated (at least temporarily) for the killing of their children. Glover wants to press the case that it is cruel and unjust for the law not to recognise </w:t>
      </w:r>
      <w:r w:rsidR="00FA7349" w:rsidRPr="00FA7349">
        <w:rPr>
          <w:rFonts w:ascii="Times New Roman" w:hAnsi="Times New Roman" w:cs="Times New Roman"/>
        </w:rPr>
        <w:t>‘</w:t>
      </w:r>
      <w:r w:rsidRPr="00FA7349">
        <w:rPr>
          <w:rFonts w:ascii="Times New Roman" w:hAnsi="Times New Roman" w:cs="Times New Roman"/>
        </w:rPr>
        <w:t>inner compulsions</w:t>
      </w:r>
      <w:r w:rsidR="00FA7349" w:rsidRPr="00FA7349">
        <w:rPr>
          <w:rFonts w:ascii="Times New Roman" w:hAnsi="Times New Roman" w:cs="Times New Roman"/>
        </w:rPr>
        <w:t>’</w:t>
      </w:r>
      <w:r w:rsidRPr="00FA7349">
        <w:rPr>
          <w:rFonts w:ascii="Times New Roman" w:hAnsi="Times New Roman" w:cs="Times New Roman"/>
        </w:rPr>
        <w:t xml:space="preserve"> (</w:t>
      </w:r>
      <w:r w:rsidR="00FA7349">
        <w:rPr>
          <w:rFonts w:ascii="Times New Roman" w:hAnsi="Times New Roman" w:cs="Times New Roman"/>
        </w:rPr>
        <w:t xml:space="preserve">p. </w:t>
      </w:r>
      <w:r w:rsidRPr="00FA7349">
        <w:rPr>
          <w:rFonts w:ascii="Times New Roman" w:hAnsi="Times New Roman" w:cs="Times New Roman"/>
        </w:rPr>
        <w:t>270). For once, I think the examples are not well chosen (and not just because the account of Yates is incomplete</w:t>
      </w:r>
      <w:r w:rsidRPr="00051AE9">
        <w:rPr>
          <w:rFonts w:ascii="Times New Roman" w:hAnsi="Times New Roman" w:cs="Times New Roman"/>
          <w:vertAlign w:val="superscript"/>
        </w:rPr>
        <w:endnoteReference w:id="5"/>
      </w:r>
      <w:r w:rsidRPr="00051AE9">
        <w:rPr>
          <w:rFonts w:ascii="Times New Roman" w:hAnsi="Times New Roman" w:cs="Times New Roman"/>
        </w:rPr>
        <w:t>). T</w:t>
      </w:r>
      <w:r w:rsidRPr="00FA7349">
        <w:rPr>
          <w:rFonts w:ascii="Times New Roman" w:hAnsi="Times New Roman" w:cs="Times New Roman"/>
        </w:rPr>
        <w:t xml:space="preserve">he details and psychiatric conditions in Beale’s and Yates’s cases differ, but arguably both failed to know the nature </w:t>
      </w:r>
      <w:r w:rsidRPr="00FA7349">
        <w:rPr>
          <w:rFonts w:ascii="Times New Roman" w:hAnsi="Times New Roman" w:cs="Times New Roman"/>
        </w:rPr>
        <w:lastRenderedPageBreak/>
        <w:t xml:space="preserve">and quality of their acts (Beale irrationally believed her baby to be already dead and Yates believed herself to be acting on the instructions of Satan to save her children from hell, although this was not accepted by her first jury). </w:t>
      </w:r>
    </w:p>
    <w:p w14:paraId="4715B428"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Whether these are compelling examples or not, I fully agree that with respect to criminal responsibility the law ought to recognise some internal compulsions. In England and Wales in the most serious cases – cases of homicide – this is mostly done through the idea of </w:t>
      </w:r>
      <w:r w:rsidR="00FA7349" w:rsidRPr="00FA7349">
        <w:rPr>
          <w:rFonts w:ascii="Times New Roman" w:hAnsi="Times New Roman" w:cs="Times New Roman"/>
        </w:rPr>
        <w:t>‘</w:t>
      </w:r>
      <w:r w:rsidRPr="00FA7349">
        <w:rPr>
          <w:rFonts w:ascii="Times New Roman" w:hAnsi="Times New Roman" w:cs="Times New Roman"/>
        </w:rPr>
        <w:t>diminished responsibility</w:t>
      </w:r>
      <w:r w:rsidR="00FA7349" w:rsidRPr="00FA7349">
        <w:rPr>
          <w:rFonts w:ascii="Times New Roman" w:hAnsi="Times New Roman" w:cs="Times New Roman"/>
        </w:rPr>
        <w:t>’</w:t>
      </w:r>
      <w:r w:rsidRPr="00FA7349">
        <w:rPr>
          <w:rFonts w:ascii="Times New Roman" w:hAnsi="Times New Roman" w:cs="Times New Roman"/>
        </w:rPr>
        <w:t xml:space="preserve"> (as already noted above a partial defence of </w:t>
      </w:r>
      <w:r w:rsidR="00FA7349" w:rsidRPr="00FA7349">
        <w:rPr>
          <w:rFonts w:ascii="Times New Roman" w:hAnsi="Times New Roman" w:cs="Times New Roman"/>
        </w:rPr>
        <w:t>‘</w:t>
      </w:r>
      <w:r w:rsidRPr="00FA7349">
        <w:rPr>
          <w:rFonts w:ascii="Times New Roman" w:hAnsi="Times New Roman" w:cs="Times New Roman"/>
        </w:rPr>
        <w:t>loss of control</w:t>
      </w:r>
      <w:r w:rsidR="00FA7349" w:rsidRPr="00FA7349">
        <w:rPr>
          <w:rFonts w:ascii="Times New Roman" w:hAnsi="Times New Roman" w:cs="Times New Roman"/>
        </w:rPr>
        <w:t>’</w:t>
      </w:r>
      <w:r w:rsidRPr="00FA7349">
        <w:rPr>
          <w:rFonts w:ascii="Times New Roman" w:hAnsi="Times New Roman" w:cs="Times New Roman"/>
        </w:rPr>
        <w:t xml:space="preserve"> is also available in some circumstances and there is a partial defence of </w:t>
      </w:r>
      <w:r w:rsidR="00FA7349" w:rsidRPr="00FA7349">
        <w:rPr>
          <w:rFonts w:ascii="Times New Roman" w:hAnsi="Times New Roman" w:cs="Times New Roman"/>
        </w:rPr>
        <w:t>‘</w:t>
      </w:r>
      <w:r w:rsidRPr="00FA7349">
        <w:rPr>
          <w:rFonts w:ascii="Times New Roman" w:hAnsi="Times New Roman" w:cs="Times New Roman"/>
        </w:rPr>
        <w:t>infanticide</w:t>
      </w:r>
      <w:r w:rsidR="00FA7349" w:rsidRPr="00FA7349">
        <w:rPr>
          <w:rFonts w:ascii="Times New Roman" w:hAnsi="Times New Roman" w:cs="Times New Roman"/>
        </w:rPr>
        <w:t>’</w:t>
      </w:r>
      <w:r w:rsidRPr="00FA7349">
        <w:rPr>
          <w:rFonts w:ascii="Times New Roman" w:hAnsi="Times New Roman" w:cs="Times New Roman"/>
        </w:rPr>
        <w:t xml:space="preserve">, which is discussed by Glover). However, as Glover notes, this gives rise to the question of how we distinguish an irresistible impulse from one that was merely not resisted. </w:t>
      </w:r>
    </w:p>
    <w:p w14:paraId="26AD2FB6"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In this respect, Glover’s use of Barbara Wootton is interesting in light of his concerns at the beginning of the book. As I have argued elsewhere,</w:t>
      </w:r>
      <w:r w:rsidR="00FA7349">
        <w:rPr>
          <w:rStyle w:val="EndnoteReference"/>
          <w:rFonts w:ascii="Times New Roman" w:hAnsi="Times New Roman" w:cs="Times New Roman"/>
        </w:rPr>
        <w:endnoteReference w:id="6"/>
      </w:r>
      <w:r w:rsidRPr="00FA7349">
        <w:rPr>
          <w:rFonts w:ascii="Times New Roman" w:hAnsi="Times New Roman" w:cs="Times New Roman"/>
        </w:rPr>
        <w:t xml:space="preserve"> Wootton’s concerns originated in her analysis of the use of diminished responsibility and in particular in an examination of the case of </w:t>
      </w:r>
      <w:r w:rsidRPr="00FA7349">
        <w:rPr>
          <w:rFonts w:ascii="Times New Roman" w:hAnsi="Times New Roman" w:cs="Times New Roman"/>
          <w:i/>
        </w:rPr>
        <w:t>R v Byrne.</w:t>
      </w:r>
      <w:r w:rsidRPr="00FA7349">
        <w:rPr>
          <w:rFonts w:ascii="Times New Roman" w:hAnsi="Times New Roman" w:cs="Times New Roman"/>
        </w:rPr>
        <w:t xml:space="preserve"> </w:t>
      </w:r>
    </w:p>
    <w:p w14:paraId="5D0C100A" w14:textId="378CD9F0"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Byrne was a sexual psychopath who murdered a young woman at a youth hostel before committing </w:t>
      </w:r>
      <w:r w:rsidR="00FA7349" w:rsidRPr="00FA7349">
        <w:rPr>
          <w:rFonts w:ascii="Times New Roman" w:hAnsi="Times New Roman" w:cs="Times New Roman"/>
        </w:rPr>
        <w:t>‘</w:t>
      </w:r>
      <w:r w:rsidRPr="00FA7349">
        <w:rPr>
          <w:rFonts w:ascii="Times New Roman" w:hAnsi="Times New Roman" w:cs="Times New Roman"/>
        </w:rPr>
        <w:t>horrifying mutilations on her dead body</w:t>
      </w:r>
      <w:r w:rsidR="00FA7349" w:rsidRPr="00FA7349">
        <w:rPr>
          <w:rFonts w:ascii="Times New Roman" w:hAnsi="Times New Roman" w:cs="Times New Roman"/>
        </w:rPr>
        <w:t>’</w:t>
      </w:r>
      <w:r w:rsidRPr="00FA7349">
        <w:rPr>
          <w:rFonts w:ascii="Times New Roman" w:hAnsi="Times New Roman" w:cs="Times New Roman"/>
        </w:rPr>
        <w:t xml:space="preserve">. In allowing a plea of diminished responsibility, the court held that Byrne found it difficult or impossible to control his violent sexual desires. The evidence for this being in large part his sexual history and the </w:t>
      </w:r>
      <w:r w:rsidR="00FA7349" w:rsidRPr="00FA7349">
        <w:rPr>
          <w:rFonts w:ascii="Times New Roman" w:hAnsi="Times New Roman" w:cs="Times New Roman"/>
        </w:rPr>
        <w:t>‘</w:t>
      </w:r>
      <w:r w:rsidRPr="00FA7349">
        <w:rPr>
          <w:rFonts w:ascii="Times New Roman" w:hAnsi="Times New Roman" w:cs="Times New Roman"/>
        </w:rPr>
        <w:t>revolting circumstances of the killing and the subsequent mutilations.</w:t>
      </w:r>
      <w:r w:rsidR="00FA7349" w:rsidRPr="00FA7349">
        <w:rPr>
          <w:rFonts w:ascii="Times New Roman" w:hAnsi="Times New Roman" w:cs="Times New Roman"/>
        </w:rPr>
        <w:t>’</w:t>
      </w:r>
      <w:r w:rsidRPr="00FA7349">
        <w:rPr>
          <w:rFonts w:ascii="Times New Roman" w:hAnsi="Times New Roman" w:cs="Times New Roman"/>
        </w:rPr>
        <w:t xml:space="preserve">  On appeal, the Court did not dispute that, </w:t>
      </w:r>
      <w:r w:rsidR="00FA7349" w:rsidRPr="00FA7349">
        <w:rPr>
          <w:rFonts w:ascii="Times New Roman" w:hAnsi="Times New Roman" w:cs="Times New Roman"/>
        </w:rPr>
        <w:t>‘</w:t>
      </w:r>
      <w:r w:rsidRPr="00FA7349">
        <w:rPr>
          <w:rFonts w:ascii="Times New Roman" w:hAnsi="Times New Roman" w:cs="Times New Roman"/>
        </w:rPr>
        <w:t xml:space="preserve">where the abnormality of mind is one which affects the accused’s </w:t>
      </w:r>
      <w:r w:rsidR="00D2148F">
        <w:rPr>
          <w:rFonts w:ascii="Times New Roman" w:hAnsi="Times New Roman" w:cs="Times New Roman"/>
        </w:rPr>
        <w:t>self control, the step between “he did not resist his impulse” and “</w:t>
      </w:r>
      <w:r w:rsidRPr="00FA7349">
        <w:rPr>
          <w:rFonts w:ascii="Times New Roman" w:hAnsi="Times New Roman" w:cs="Times New Roman"/>
        </w:rPr>
        <w:t>he could not resist his impulse</w:t>
      </w:r>
      <w:r w:rsidR="00D2148F">
        <w:rPr>
          <w:rFonts w:ascii="Times New Roman" w:hAnsi="Times New Roman" w:cs="Times New Roman"/>
        </w:rPr>
        <w:t>”</w:t>
      </w:r>
      <w:r w:rsidRPr="00FA7349">
        <w:rPr>
          <w:rFonts w:ascii="Times New Roman" w:hAnsi="Times New Roman" w:cs="Times New Roman"/>
        </w:rPr>
        <w:t xml:space="preserve"> is … one which is incapable of scientific proof,</w:t>
      </w:r>
      <w:r w:rsidR="00FA7349" w:rsidRPr="00FA7349">
        <w:rPr>
          <w:rFonts w:ascii="Times New Roman" w:hAnsi="Times New Roman" w:cs="Times New Roman"/>
        </w:rPr>
        <w:t>’</w:t>
      </w:r>
      <w:r w:rsidRPr="00FA7349">
        <w:rPr>
          <w:rFonts w:ascii="Times New Roman" w:hAnsi="Times New Roman" w:cs="Times New Roman"/>
        </w:rPr>
        <w:t xml:space="preserve"> or that </w:t>
      </w:r>
      <w:r w:rsidR="00FA7349" w:rsidRPr="00FA7349">
        <w:rPr>
          <w:rFonts w:ascii="Times New Roman" w:hAnsi="Times New Roman" w:cs="Times New Roman"/>
        </w:rPr>
        <w:t>‘</w:t>
      </w:r>
      <w:r w:rsidRPr="00FA7349">
        <w:rPr>
          <w:rFonts w:ascii="Times New Roman" w:hAnsi="Times New Roman" w:cs="Times New Roman"/>
        </w:rPr>
        <w:t>there is no scientific measurement of the degree of difficulty which an abnormal person finds in controlling his impulses.</w:t>
      </w:r>
      <w:r w:rsidR="00FA7349" w:rsidRPr="00FA7349">
        <w:rPr>
          <w:rFonts w:ascii="Times New Roman" w:hAnsi="Times New Roman" w:cs="Times New Roman"/>
        </w:rPr>
        <w:t>’</w:t>
      </w:r>
      <w:r w:rsidRPr="00FA7349">
        <w:rPr>
          <w:rFonts w:ascii="Times New Roman" w:hAnsi="Times New Roman" w:cs="Times New Roman"/>
        </w:rPr>
        <w:t xml:space="preserve"> Rather, these were matters that could only be left to the </w:t>
      </w:r>
      <w:r w:rsidR="00FA7349" w:rsidRPr="00FA7349">
        <w:rPr>
          <w:rFonts w:ascii="Times New Roman" w:hAnsi="Times New Roman" w:cs="Times New Roman"/>
        </w:rPr>
        <w:t>‘</w:t>
      </w:r>
      <w:r w:rsidRPr="00FA7349">
        <w:rPr>
          <w:rFonts w:ascii="Times New Roman" w:hAnsi="Times New Roman" w:cs="Times New Roman"/>
        </w:rPr>
        <w:t>common sense</w:t>
      </w:r>
      <w:r w:rsidR="00FA7349" w:rsidRPr="00FA7349">
        <w:rPr>
          <w:rFonts w:ascii="Times New Roman" w:hAnsi="Times New Roman" w:cs="Times New Roman"/>
        </w:rPr>
        <w:t>’</w:t>
      </w:r>
      <w:r w:rsidRPr="00FA7349">
        <w:rPr>
          <w:rFonts w:ascii="Times New Roman" w:hAnsi="Times New Roman" w:cs="Times New Roman"/>
        </w:rPr>
        <w:t xml:space="preserve"> of the jury</w:t>
      </w:r>
      <w:r w:rsidR="00FA7349">
        <w:rPr>
          <w:rFonts w:ascii="Times New Roman" w:hAnsi="Times New Roman" w:cs="Times New Roman"/>
        </w:rPr>
        <w:t>.</w:t>
      </w:r>
      <w:r w:rsidR="00FA7349">
        <w:rPr>
          <w:rStyle w:val="EndnoteReference"/>
          <w:rFonts w:ascii="Times New Roman" w:hAnsi="Times New Roman" w:cs="Times New Roman"/>
        </w:rPr>
        <w:endnoteReference w:id="7"/>
      </w:r>
      <w:r w:rsidRPr="00FA7349">
        <w:rPr>
          <w:rFonts w:ascii="Times New Roman" w:hAnsi="Times New Roman" w:cs="Times New Roman"/>
        </w:rPr>
        <w:t xml:space="preserve"> </w:t>
      </w:r>
    </w:p>
    <w:p w14:paraId="32D02EF1"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With Glover, we might now say that science has more to add, but it is still some way short of offering </w:t>
      </w:r>
      <w:r w:rsidR="00FA7349" w:rsidRPr="00FA7349">
        <w:rPr>
          <w:rFonts w:ascii="Times New Roman" w:hAnsi="Times New Roman" w:cs="Times New Roman"/>
        </w:rPr>
        <w:t>‘</w:t>
      </w:r>
      <w:r w:rsidRPr="00FA7349">
        <w:rPr>
          <w:rFonts w:ascii="Times New Roman" w:hAnsi="Times New Roman" w:cs="Times New Roman"/>
        </w:rPr>
        <w:t>scientific proof</w:t>
      </w:r>
      <w:r w:rsidR="00FA7349" w:rsidRPr="00FA7349">
        <w:rPr>
          <w:rFonts w:ascii="Times New Roman" w:hAnsi="Times New Roman" w:cs="Times New Roman"/>
        </w:rPr>
        <w:t>’</w:t>
      </w:r>
      <w:r w:rsidRPr="00FA7349">
        <w:rPr>
          <w:rFonts w:ascii="Times New Roman" w:hAnsi="Times New Roman" w:cs="Times New Roman"/>
        </w:rPr>
        <w:t xml:space="preserve"> and it is precisely for this reason that Glover’s investigation into what it is like to be mentally disordered is so interesting. However, the problem remains that whatever richness of interpretation is offered, what it is to be Byrne (for example) such that we can use our </w:t>
      </w:r>
      <w:r w:rsidR="00FA7349" w:rsidRPr="00FA7349">
        <w:rPr>
          <w:rFonts w:ascii="Times New Roman" w:hAnsi="Times New Roman" w:cs="Times New Roman"/>
        </w:rPr>
        <w:t>‘</w:t>
      </w:r>
      <w:r w:rsidRPr="00FA7349">
        <w:rPr>
          <w:rFonts w:ascii="Times New Roman" w:hAnsi="Times New Roman" w:cs="Times New Roman"/>
        </w:rPr>
        <w:t>common sense</w:t>
      </w:r>
      <w:r w:rsidR="00FA7349" w:rsidRPr="00FA7349">
        <w:rPr>
          <w:rFonts w:ascii="Times New Roman" w:hAnsi="Times New Roman" w:cs="Times New Roman"/>
        </w:rPr>
        <w:t>’</w:t>
      </w:r>
      <w:r w:rsidRPr="00FA7349">
        <w:rPr>
          <w:rFonts w:ascii="Times New Roman" w:hAnsi="Times New Roman" w:cs="Times New Roman"/>
        </w:rPr>
        <w:t xml:space="preserve"> or even rich informed interpretation to distinguish the degree of difficulty he experienced in responding to his sexual desires remains elusive. As Glover admits when it comes to addiction, </w:t>
      </w:r>
      <w:r w:rsidR="00FA7349" w:rsidRPr="00FA7349">
        <w:rPr>
          <w:rFonts w:ascii="Times New Roman" w:hAnsi="Times New Roman" w:cs="Times New Roman"/>
        </w:rPr>
        <w:t>‘</w:t>
      </w:r>
      <w:r w:rsidRPr="00FA7349">
        <w:rPr>
          <w:rFonts w:ascii="Times New Roman" w:hAnsi="Times New Roman" w:cs="Times New Roman"/>
        </w:rPr>
        <w:t>it is extremely hard to know where the blurred boundary comes between what is resistible and what is irresistible</w:t>
      </w:r>
      <w:r w:rsidR="00FA7349" w:rsidRPr="00FA7349">
        <w:rPr>
          <w:rFonts w:ascii="Times New Roman" w:hAnsi="Times New Roman" w:cs="Times New Roman"/>
        </w:rPr>
        <w:t>’</w:t>
      </w:r>
      <w:r w:rsidRPr="00FA7349">
        <w:rPr>
          <w:rFonts w:ascii="Times New Roman" w:hAnsi="Times New Roman" w:cs="Times New Roman"/>
        </w:rPr>
        <w:t xml:space="preserve"> (</w:t>
      </w:r>
      <w:r w:rsidR="00FA7349">
        <w:rPr>
          <w:rFonts w:ascii="Times New Roman" w:hAnsi="Times New Roman" w:cs="Times New Roman"/>
        </w:rPr>
        <w:t xml:space="preserve">p. </w:t>
      </w:r>
      <w:r w:rsidRPr="00FA7349">
        <w:rPr>
          <w:rFonts w:ascii="Times New Roman" w:hAnsi="Times New Roman" w:cs="Times New Roman"/>
        </w:rPr>
        <w:t>294).</w:t>
      </w:r>
    </w:p>
    <w:p w14:paraId="77A5AF2F"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In Byrne one of the things that may have moved the court was that he appeared to be able to live a normal life (to be normal) when not in the grip of his sexual desires. That points to the third element of Glover’s discussion of internal compulsions, which relates to the ways in which people’s acts (fail to) reflect people’s authentic selves. To put it starkly (and too crudely), one can think of Byrne as a normally stable person whose </w:t>
      </w:r>
      <w:r w:rsidR="00FA7349" w:rsidRPr="00FA7349">
        <w:rPr>
          <w:rFonts w:ascii="Times New Roman" w:hAnsi="Times New Roman" w:cs="Times New Roman"/>
        </w:rPr>
        <w:t>‘</w:t>
      </w:r>
      <w:r w:rsidRPr="00FA7349">
        <w:rPr>
          <w:rFonts w:ascii="Times New Roman" w:hAnsi="Times New Roman" w:cs="Times New Roman"/>
        </w:rPr>
        <w:t>abnormality of mind</w:t>
      </w:r>
      <w:r w:rsidR="00FA7349" w:rsidRPr="00FA7349">
        <w:rPr>
          <w:rFonts w:ascii="Times New Roman" w:hAnsi="Times New Roman" w:cs="Times New Roman"/>
        </w:rPr>
        <w:t>’</w:t>
      </w:r>
      <w:r w:rsidRPr="00FA7349">
        <w:rPr>
          <w:rFonts w:ascii="Times New Roman" w:hAnsi="Times New Roman" w:cs="Times New Roman"/>
        </w:rPr>
        <w:t xml:space="preserve"> made him attack women or one can think of him as a sexual psychopath who regards women as mere objects to be subjected to his will.</w:t>
      </w:r>
      <w:r w:rsidRPr="00FA7349">
        <w:rPr>
          <w:rStyle w:val="EndnoteReference"/>
          <w:rFonts w:ascii="Times New Roman" w:hAnsi="Times New Roman" w:cs="Times New Roman"/>
        </w:rPr>
        <w:endnoteReference w:id="8"/>
      </w:r>
      <w:r w:rsidRPr="00FA7349">
        <w:rPr>
          <w:rFonts w:ascii="Times New Roman" w:hAnsi="Times New Roman" w:cs="Times New Roman"/>
        </w:rPr>
        <w:t xml:space="preserve"> </w:t>
      </w:r>
    </w:p>
    <w:p w14:paraId="2A3EA3E6" w14:textId="31918FA0"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Glover’s discussion is framed by a preference for a certain account of authenticity that consists of </w:t>
      </w:r>
      <w:r w:rsidR="00FA7349" w:rsidRPr="00FA7349">
        <w:rPr>
          <w:rFonts w:ascii="Times New Roman" w:hAnsi="Times New Roman" w:cs="Times New Roman"/>
        </w:rPr>
        <w:t>‘</w:t>
      </w:r>
      <w:r w:rsidRPr="00FA7349">
        <w:rPr>
          <w:rFonts w:ascii="Times New Roman" w:hAnsi="Times New Roman" w:cs="Times New Roman"/>
        </w:rPr>
        <w:t>deep endorsement</w:t>
      </w:r>
      <w:r w:rsidR="00FA7349" w:rsidRPr="00FA7349">
        <w:rPr>
          <w:rFonts w:ascii="Times New Roman" w:hAnsi="Times New Roman" w:cs="Times New Roman"/>
        </w:rPr>
        <w:t>’</w:t>
      </w:r>
      <w:r w:rsidRPr="00FA7349">
        <w:rPr>
          <w:rFonts w:ascii="Times New Roman" w:hAnsi="Times New Roman" w:cs="Times New Roman"/>
        </w:rPr>
        <w:t xml:space="preserve"> (the agent reflects on and endorses her values over time) and </w:t>
      </w:r>
      <w:r w:rsidR="00FA7349" w:rsidRPr="00FA7349">
        <w:rPr>
          <w:rFonts w:ascii="Times New Roman" w:hAnsi="Times New Roman" w:cs="Times New Roman"/>
        </w:rPr>
        <w:t>‘</w:t>
      </w:r>
      <w:r w:rsidRPr="00FA7349">
        <w:rPr>
          <w:rFonts w:ascii="Times New Roman" w:hAnsi="Times New Roman" w:cs="Times New Roman"/>
        </w:rPr>
        <w:t>active autobiography</w:t>
      </w:r>
      <w:r w:rsidR="00FA7349" w:rsidRPr="00FA7349">
        <w:rPr>
          <w:rFonts w:ascii="Times New Roman" w:hAnsi="Times New Roman" w:cs="Times New Roman"/>
        </w:rPr>
        <w:t>’</w:t>
      </w:r>
      <w:r w:rsidRPr="00FA7349">
        <w:rPr>
          <w:rFonts w:ascii="Times New Roman" w:hAnsi="Times New Roman" w:cs="Times New Roman"/>
        </w:rPr>
        <w:t xml:space="preserve"> (there is a coherent, </w:t>
      </w:r>
      <w:r w:rsidR="00FA7349" w:rsidRPr="00FA7349">
        <w:rPr>
          <w:rFonts w:ascii="Times New Roman" w:hAnsi="Times New Roman" w:cs="Times New Roman"/>
        </w:rPr>
        <w:t>‘</w:t>
      </w:r>
      <w:r w:rsidRPr="00FA7349">
        <w:rPr>
          <w:rFonts w:ascii="Times New Roman" w:hAnsi="Times New Roman" w:cs="Times New Roman"/>
        </w:rPr>
        <w:t>self-creative</w:t>
      </w:r>
      <w:r w:rsidR="00FA7349" w:rsidRPr="00FA7349">
        <w:rPr>
          <w:rFonts w:ascii="Times New Roman" w:hAnsi="Times New Roman" w:cs="Times New Roman"/>
        </w:rPr>
        <w:t>’</w:t>
      </w:r>
      <w:r w:rsidRPr="00FA7349">
        <w:rPr>
          <w:rFonts w:ascii="Times New Roman" w:hAnsi="Times New Roman" w:cs="Times New Roman"/>
        </w:rPr>
        <w:t xml:space="preserve"> autobiographical story of the emergence of one’s character) (</w:t>
      </w:r>
      <w:r w:rsidR="00FA7349">
        <w:rPr>
          <w:rFonts w:ascii="Times New Roman" w:hAnsi="Times New Roman" w:cs="Times New Roman"/>
        </w:rPr>
        <w:t>pp. 376</w:t>
      </w:r>
      <w:r w:rsidR="00FA7349" w:rsidRPr="00FA7349">
        <w:rPr>
          <w:rFonts w:ascii="Times New Roman" w:hAnsi="Times New Roman" w:cs="Times New Roman"/>
        </w:rPr>
        <w:t>–</w:t>
      </w:r>
      <w:r w:rsidRPr="00FA7349">
        <w:rPr>
          <w:rFonts w:ascii="Times New Roman" w:hAnsi="Times New Roman" w:cs="Times New Roman"/>
        </w:rPr>
        <w:t>7). This account allows him (perhaps too quickly) to deal with a number of cases that might make others pause. For example, those with frontotemporal dementia who</w:t>
      </w:r>
      <w:r w:rsidR="00D2148F">
        <w:rPr>
          <w:rFonts w:ascii="Times New Roman" w:hAnsi="Times New Roman" w:cs="Times New Roman"/>
        </w:rPr>
        <w:t>se</w:t>
      </w:r>
      <w:r w:rsidRPr="00FA7349">
        <w:rPr>
          <w:rFonts w:ascii="Times New Roman" w:hAnsi="Times New Roman" w:cs="Times New Roman"/>
        </w:rPr>
        <w:t xml:space="preserve"> personalities take a significant turn for the worse are not responsible for their antisocial and criminal behaviours (although they might know what they are doing and that it is wrong) because even if they come to endorse their </w:t>
      </w:r>
      <w:r w:rsidR="00FA7349" w:rsidRPr="00FA7349">
        <w:rPr>
          <w:rFonts w:ascii="Times New Roman" w:hAnsi="Times New Roman" w:cs="Times New Roman"/>
        </w:rPr>
        <w:t>‘</w:t>
      </w:r>
      <w:r w:rsidRPr="00FA7349">
        <w:rPr>
          <w:rFonts w:ascii="Times New Roman" w:hAnsi="Times New Roman" w:cs="Times New Roman"/>
        </w:rPr>
        <w:t>new</w:t>
      </w:r>
      <w:r w:rsidR="00FA7349" w:rsidRPr="00FA7349">
        <w:rPr>
          <w:rFonts w:ascii="Times New Roman" w:hAnsi="Times New Roman" w:cs="Times New Roman"/>
        </w:rPr>
        <w:t>’</w:t>
      </w:r>
      <w:r w:rsidRPr="00FA7349">
        <w:rPr>
          <w:rFonts w:ascii="Times New Roman" w:hAnsi="Times New Roman" w:cs="Times New Roman"/>
        </w:rPr>
        <w:t xml:space="preserve"> personalities, their personalities are not the result of choice; there is no </w:t>
      </w:r>
      <w:r w:rsidR="00FA7349" w:rsidRPr="00FA7349">
        <w:rPr>
          <w:rFonts w:ascii="Times New Roman" w:hAnsi="Times New Roman" w:cs="Times New Roman"/>
        </w:rPr>
        <w:t>‘</w:t>
      </w:r>
      <w:r w:rsidRPr="00FA7349">
        <w:rPr>
          <w:rFonts w:ascii="Times New Roman" w:hAnsi="Times New Roman" w:cs="Times New Roman"/>
        </w:rPr>
        <w:t>self-creative</w:t>
      </w:r>
      <w:r w:rsidR="00FA7349" w:rsidRPr="00FA7349">
        <w:rPr>
          <w:rFonts w:ascii="Times New Roman" w:hAnsi="Times New Roman" w:cs="Times New Roman"/>
        </w:rPr>
        <w:t>’</w:t>
      </w:r>
      <w:r w:rsidRPr="00FA7349">
        <w:rPr>
          <w:rFonts w:ascii="Times New Roman" w:hAnsi="Times New Roman" w:cs="Times New Roman"/>
        </w:rPr>
        <w:t xml:space="preserve"> autobiographical story (but rather one of interruption by bra</w:t>
      </w:r>
      <w:r w:rsidR="00FA7349">
        <w:rPr>
          <w:rFonts w:ascii="Times New Roman" w:hAnsi="Times New Roman" w:cs="Times New Roman"/>
        </w:rPr>
        <w:t>in atrophy) (pp. 367</w:t>
      </w:r>
      <w:r w:rsidR="00FA7349" w:rsidRPr="00FA7349">
        <w:rPr>
          <w:rFonts w:ascii="Times New Roman" w:hAnsi="Times New Roman" w:cs="Times New Roman"/>
        </w:rPr>
        <w:t>–</w:t>
      </w:r>
      <w:r w:rsidRPr="00FA7349">
        <w:rPr>
          <w:rFonts w:ascii="Times New Roman" w:hAnsi="Times New Roman" w:cs="Times New Roman"/>
        </w:rPr>
        <w:t>8).</w:t>
      </w:r>
      <w:r w:rsidRPr="00FA7349">
        <w:rPr>
          <w:rStyle w:val="EndnoteReference"/>
          <w:rFonts w:ascii="Times New Roman" w:hAnsi="Times New Roman" w:cs="Times New Roman"/>
        </w:rPr>
        <w:endnoteReference w:id="9"/>
      </w:r>
    </w:p>
    <w:p w14:paraId="402271EA"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lastRenderedPageBreak/>
        <w:t xml:space="preserve">Cases like Byrne and those Glover encounters in his interviews are seldom like this. They do not result from hits on the head, brain tumours, or other sudden damage. Rather, in many cases what emerges is a terrible background of childhood neglect and abuse (compounded in some cases by genetic disadvantage). These stories fit less well into the authentic/non-authentic, chosen/unchosen, endorsed/imposed categories that help frame the other discussions. For this reason, with respect to his Broadmoor interviewees, in the end Glover favours a </w:t>
      </w:r>
      <w:r w:rsidR="00FA7349" w:rsidRPr="00FA7349">
        <w:rPr>
          <w:rFonts w:ascii="Times New Roman" w:hAnsi="Times New Roman" w:cs="Times New Roman"/>
        </w:rPr>
        <w:t>‘</w:t>
      </w:r>
      <w:r w:rsidRPr="00FA7349">
        <w:rPr>
          <w:rFonts w:ascii="Times New Roman" w:hAnsi="Times New Roman" w:cs="Times New Roman"/>
        </w:rPr>
        <w:t>dual view</w:t>
      </w:r>
      <w:r w:rsidR="00FA7349" w:rsidRPr="00FA7349">
        <w:rPr>
          <w:rFonts w:ascii="Times New Roman" w:hAnsi="Times New Roman" w:cs="Times New Roman"/>
        </w:rPr>
        <w:t>’</w:t>
      </w:r>
      <w:r w:rsidRPr="00FA7349">
        <w:rPr>
          <w:rFonts w:ascii="Times New Roman" w:hAnsi="Times New Roman" w:cs="Times New Roman"/>
        </w:rPr>
        <w:t xml:space="preserve"> such that we should treat them as responsible agents in the sense that we do not withhold from them Strawson’s </w:t>
      </w:r>
      <w:r w:rsidR="00FA7349" w:rsidRPr="00FA7349">
        <w:rPr>
          <w:rFonts w:ascii="Times New Roman" w:hAnsi="Times New Roman" w:cs="Times New Roman"/>
        </w:rPr>
        <w:t>‘</w:t>
      </w:r>
      <w:r w:rsidRPr="00FA7349">
        <w:rPr>
          <w:rFonts w:ascii="Times New Roman" w:hAnsi="Times New Roman" w:cs="Times New Roman"/>
        </w:rPr>
        <w:t>reactive attitudes</w:t>
      </w:r>
      <w:r w:rsidR="00FA7349" w:rsidRPr="00FA7349">
        <w:rPr>
          <w:rFonts w:ascii="Times New Roman" w:hAnsi="Times New Roman" w:cs="Times New Roman"/>
        </w:rPr>
        <w:t>’</w:t>
      </w:r>
      <w:r w:rsidRPr="00FA7349">
        <w:rPr>
          <w:rFonts w:ascii="Times New Roman" w:hAnsi="Times New Roman" w:cs="Times New Roman"/>
        </w:rPr>
        <w:t xml:space="preserve"> (we do not treat them as dangerous animals) whilst accepting that their personalities and behaviours are the results of large doses of </w:t>
      </w:r>
      <w:r w:rsidR="00FA7349" w:rsidRPr="00FA7349">
        <w:rPr>
          <w:rFonts w:ascii="Times New Roman" w:hAnsi="Times New Roman" w:cs="Times New Roman"/>
        </w:rPr>
        <w:t>‘</w:t>
      </w:r>
      <w:r w:rsidRPr="00FA7349">
        <w:rPr>
          <w:rFonts w:ascii="Times New Roman" w:hAnsi="Times New Roman" w:cs="Times New Roman"/>
        </w:rPr>
        <w:t>bad luck</w:t>
      </w:r>
      <w:r w:rsidR="00FA7349" w:rsidRPr="00FA7349">
        <w:rPr>
          <w:rFonts w:ascii="Times New Roman" w:hAnsi="Times New Roman" w:cs="Times New Roman"/>
        </w:rPr>
        <w:t>’</w:t>
      </w:r>
      <w:r w:rsidR="00FA7349">
        <w:rPr>
          <w:rFonts w:ascii="Times New Roman" w:hAnsi="Times New Roman" w:cs="Times New Roman"/>
        </w:rPr>
        <w:t xml:space="preserve"> (pp. 304</w:t>
      </w:r>
      <w:r w:rsidR="00FA7349" w:rsidRPr="00FA7349">
        <w:rPr>
          <w:rFonts w:ascii="Times New Roman" w:hAnsi="Times New Roman" w:cs="Times New Roman"/>
        </w:rPr>
        <w:t>–</w:t>
      </w:r>
      <w:r w:rsidRPr="00FA7349">
        <w:rPr>
          <w:rFonts w:ascii="Times New Roman" w:hAnsi="Times New Roman" w:cs="Times New Roman"/>
        </w:rPr>
        <w:t xml:space="preserve">5). </w:t>
      </w:r>
    </w:p>
    <w:p w14:paraId="0479032A" w14:textId="77777777" w:rsidR="00F776C2" w:rsidRPr="00FA7349" w:rsidRDefault="00F776C2" w:rsidP="00FA7349">
      <w:pPr>
        <w:ind w:firstLine="709"/>
        <w:jc w:val="both"/>
        <w:rPr>
          <w:rFonts w:ascii="Times New Roman" w:hAnsi="Times New Roman" w:cs="Times New Roman"/>
        </w:rPr>
      </w:pPr>
      <w:r w:rsidRPr="00FA7349">
        <w:rPr>
          <w:rFonts w:ascii="Times New Roman" w:hAnsi="Times New Roman" w:cs="Times New Roman"/>
        </w:rPr>
        <w:t xml:space="preserve">As Glover recognises, the same is true of all of us. Our stories may be less horrid and the outcomes more pleasant, but we are all moulded by </w:t>
      </w:r>
      <w:r w:rsidR="00FA7349" w:rsidRPr="00FA7349">
        <w:rPr>
          <w:rFonts w:ascii="Times New Roman" w:hAnsi="Times New Roman" w:cs="Times New Roman"/>
        </w:rPr>
        <w:t>‘</w:t>
      </w:r>
      <w:r w:rsidRPr="00FA7349">
        <w:rPr>
          <w:rFonts w:ascii="Times New Roman" w:hAnsi="Times New Roman" w:cs="Times New Roman"/>
        </w:rPr>
        <w:t>factors beyond our control</w:t>
      </w:r>
      <w:r w:rsidR="00FA7349" w:rsidRPr="00FA7349">
        <w:rPr>
          <w:rFonts w:ascii="Times New Roman" w:hAnsi="Times New Roman" w:cs="Times New Roman"/>
        </w:rPr>
        <w:t>’</w:t>
      </w:r>
      <w:r w:rsidRPr="00FA7349">
        <w:rPr>
          <w:rFonts w:ascii="Times New Roman" w:hAnsi="Times New Roman" w:cs="Times New Roman"/>
        </w:rPr>
        <w:t xml:space="preserve">. It is for that reason, of course, that the criminal law insists that in general causes are not excuses, but Glover’s sensitive enquiry into the lives of those whose </w:t>
      </w:r>
      <w:r w:rsidR="00FA7349" w:rsidRPr="00FA7349">
        <w:rPr>
          <w:rFonts w:ascii="Times New Roman" w:hAnsi="Times New Roman" w:cs="Times New Roman"/>
        </w:rPr>
        <w:t>‘</w:t>
      </w:r>
      <w:r w:rsidRPr="00FA7349">
        <w:rPr>
          <w:rFonts w:ascii="Times New Roman" w:hAnsi="Times New Roman" w:cs="Times New Roman"/>
        </w:rPr>
        <w:t>causes</w:t>
      </w:r>
      <w:r w:rsidR="00FA7349" w:rsidRPr="00FA7349">
        <w:rPr>
          <w:rFonts w:ascii="Times New Roman" w:hAnsi="Times New Roman" w:cs="Times New Roman"/>
        </w:rPr>
        <w:t>’</w:t>
      </w:r>
      <w:r w:rsidRPr="00FA7349">
        <w:rPr>
          <w:rFonts w:ascii="Times New Roman" w:hAnsi="Times New Roman" w:cs="Times New Roman"/>
        </w:rPr>
        <w:t xml:space="preserve"> lie in mental disorder nevertheless lays out a challenge. This is to fashion a criminal justice system – and more widely a society – which manages to respect both agency and chance. </w:t>
      </w:r>
    </w:p>
    <w:p w14:paraId="317B1DFA" w14:textId="3001C755" w:rsidR="00E73639" w:rsidRPr="00FA7349" w:rsidRDefault="00F776C2" w:rsidP="00FA7349">
      <w:pPr>
        <w:ind w:firstLine="709"/>
        <w:jc w:val="both"/>
        <w:rPr>
          <w:rFonts w:ascii="Times New Roman" w:hAnsi="Times New Roman" w:cs="Times New Roman"/>
        </w:rPr>
      </w:pPr>
      <w:r w:rsidRPr="00FA7349">
        <w:rPr>
          <w:rFonts w:ascii="Times New Roman" w:hAnsi="Times New Roman" w:cs="Times New Roman"/>
          <w:i/>
        </w:rPr>
        <w:t>Alien Landscapes</w:t>
      </w:r>
      <w:r w:rsidR="00E2766D">
        <w:rPr>
          <w:rFonts w:ascii="Times New Roman" w:hAnsi="Times New Roman" w:cs="Times New Roman"/>
          <w:i/>
        </w:rPr>
        <w:t>?</w:t>
      </w:r>
      <w:r w:rsidRPr="00FA7349">
        <w:rPr>
          <w:rFonts w:ascii="Times New Roman" w:hAnsi="Times New Roman" w:cs="Times New Roman"/>
        </w:rPr>
        <w:t xml:space="preserve"> is a rich book, full to the brim with examples, interpretations and suggestions. It is, I think, best read that way even if it seems to me sometimes to overreach itself.</w:t>
      </w:r>
      <w:r w:rsidRPr="00FA7349">
        <w:rPr>
          <w:rStyle w:val="EndnoteReference"/>
          <w:rFonts w:ascii="Times New Roman" w:hAnsi="Times New Roman" w:cs="Times New Roman"/>
        </w:rPr>
        <w:endnoteReference w:id="10"/>
      </w:r>
      <w:r w:rsidRPr="00FA7349">
        <w:rPr>
          <w:rFonts w:ascii="Times New Roman" w:hAnsi="Times New Roman" w:cs="Times New Roman"/>
        </w:rPr>
        <w:t xml:space="preserve"> </w:t>
      </w:r>
      <w:r w:rsidR="00EB6FE9" w:rsidRPr="00FA7349">
        <w:rPr>
          <w:rFonts w:ascii="Times New Roman" w:hAnsi="Times New Roman" w:cs="Times New Roman"/>
        </w:rPr>
        <w:t xml:space="preserve">In the criminal law, as elsewhere in life, we need – we have no choice but – to </w:t>
      </w:r>
      <w:r w:rsidR="00FA7349" w:rsidRPr="00FA7349">
        <w:rPr>
          <w:rFonts w:ascii="Times New Roman" w:hAnsi="Times New Roman" w:cs="Times New Roman"/>
        </w:rPr>
        <w:t>‘</w:t>
      </w:r>
      <w:r w:rsidR="00EB6FE9" w:rsidRPr="00FA7349">
        <w:rPr>
          <w:rFonts w:ascii="Times New Roman" w:hAnsi="Times New Roman" w:cs="Times New Roman"/>
        </w:rPr>
        <w:t>read</w:t>
      </w:r>
      <w:r w:rsidR="00FA7349" w:rsidRPr="00FA7349">
        <w:rPr>
          <w:rFonts w:ascii="Times New Roman" w:hAnsi="Times New Roman" w:cs="Times New Roman"/>
        </w:rPr>
        <w:t>’</w:t>
      </w:r>
      <w:r w:rsidR="00EB6FE9" w:rsidRPr="00FA7349">
        <w:rPr>
          <w:rFonts w:ascii="Times New Roman" w:hAnsi="Times New Roman" w:cs="Times New Roman"/>
        </w:rPr>
        <w:t xml:space="preserve"> other people.</w:t>
      </w:r>
      <w:r w:rsidR="00B02622" w:rsidRPr="00FA7349">
        <w:rPr>
          <w:rFonts w:ascii="Times New Roman" w:hAnsi="Times New Roman" w:cs="Times New Roman"/>
        </w:rPr>
        <w:t xml:space="preserve"> The mentally disordered present a challenge. Glover may well be right – and his book is certainly evidence that – </w:t>
      </w:r>
      <w:r w:rsidR="00FA7349" w:rsidRPr="00FA7349">
        <w:rPr>
          <w:rFonts w:ascii="Times New Roman" w:hAnsi="Times New Roman" w:cs="Times New Roman"/>
        </w:rPr>
        <w:t>‘</w:t>
      </w:r>
      <w:r w:rsidR="00B02622" w:rsidRPr="00FA7349">
        <w:rPr>
          <w:rFonts w:ascii="Times New Roman" w:hAnsi="Times New Roman" w:cs="Times New Roman"/>
        </w:rPr>
        <w:t>what seemed too strange to have any meaning is now potentially open to interpretation and all that may flow from that</w:t>
      </w:r>
      <w:r w:rsidR="00FA7349" w:rsidRPr="00FA7349">
        <w:rPr>
          <w:rFonts w:ascii="Times New Roman" w:hAnsi="Times New Roman" w:cs="Times New Roman"/>
        </w:rPr>
        <w:t>’</w:t>
      </w:r>
      <w:r w:rsidR="00B02622" w:rsidRPr="00FA7349">
        <w:rPr>
          <w:rFonts w:ascii="Times New Roman" w:hAnsi="Times New Roman" w:cs="Times New Roman"/>
        </w:rPr>
        <w:t>, but p</w:t>
      </w:r>
      <w:r w:rsidR="00C25AE9" w:rsidRPr="00FA7349">
        <w:rPr>
          <w:rFonts w:ascii="Times New Roman" w:hAnsi="Times New Roman" w:cs="Times New Roman"/>
        </w:rPr>
        <w:t>articularly in the criminal law</w:t>
      </w:r>
      <w:r w:rsidR="00B02622" w:rsidRPr="00FA7349">
        <w:rPr>
          <w:rFonts w:ascii="Times New Roman" w:hAnsi="Times New Roman" w:cs="Times New Roman"/>
        </w:rPr>
        <w:t xml:space="preserve"> </w:t>
      </w:r>
      <w:r w:rsidR="00E73639" w:rsidRPr="00FA7349">
        <w:rPr>
          <w:rFonts w:ascii="Times New Roman" w:hAnsi="Times New Roman" w:cs="Times New Roman"/>
        </w:rPr>
        <w:t>the issue is not whether things are open to interpretation but wh</w:t>
      </w:r>
      <w:r w:rsidR="00B02622" w:rsidRPr="00FA7349">
        <w:rPr>
          <w:rFonts w:ascii="Times New Roman" w:hAnsi="Times New Roman" w:cs="Times New Roman"/>
        </w:rPr>
        <w:t>at</w:t>
      </w:r>
      <w:r w:rsidR="00E73639" w:rsidRPr="00FA7349">
        <w:rPr>
          <w:rFonts w:ascii="Times New Roman" w:hAnsi="Times New Roman" w:cs="Times New Roman"/>
        </w:rPr>
        <w:t xml:space="preserve"> reason</w:t>
      </w:r>
      <w:r w:rsidR="00B02622" w:rsidRPr="00FA7349">
        <w:rPr>
          <w:rFonts w:ascii="Times New Roman" w:hAnsi="Times New Roman" w:cs="Times New Roman"/>
        </w:rPr>
        <w:t>s we have</w:t>
      </w:r>
      <w:r w:rsidR="00E73639" w:rsidRPr="00FA7349">
        <w:rPr>
          <w:rFonts w:ascii="Times New Roman" w:hAnsi="Times New Roman" w:cs="Times New Roman"/>
        </w:rPr>
        <w:t xml:space="preserve"> to believe our interpretations are valid.</w:t>
      </w:r>
    </w:p>
    <w:p w14:paraId="5B39D0BE" w14:textId="77777777" w:rsidR="00065839" w:rsidRPr="00FA7349" w:rsidRDefault="00065839" w:rsidP="00F776C2">
      <w:pPr>
        <w:jc w:val="both"/>
        <w:rPr>
          <w:rFonts w:ascii="Times New Roman" w:hAnsi="Times New Roman" w:cs="Times New Roman"/>
        </w:rPr>
      </w:pPr>
    </w:p>
    <w:p w14:paraId="5409E975" w14:textId="052F4210" w:rsidR="00065839" w:rsidRPr="002578F1" w:rsidRDefault="00F776C2" w:rsidP="002578F1">
      <w:pPr>
        <w:widowControl w:val="0"/>
        <w:autoSpaceDE w:val="0"/>
        <w:autoSpaceDN w:val="0"/>
        <w:adjustRightInd w:val="0"/>
        <w:jc w:val="both"/>
        <w:rPr>
          <w:rFonts w:ascii="Times New Roman" w:hAnsi="Times New Roman" w:cs="Times New Roman"/>
          <w:i/>
        </w:rPr>
      </w:pPr>
      <w:r w:rsidRPr="002578F1">
        <w:rPr>
          <w:rFonts w:ascii="Times New Roman" w:hAnsi="Times New Roman" w:cs="Times New Roman"/>
          <w:i/>
        </w:rPr>
        <w:t>Matt Matravers, York Law School, University of York</w:t>
      </w:r>
      <w:r w:rsidR="002578F1" w:rsidRPr="002578F1">
        <w:rPr>
          <w:rFonts w:ascii="Times New Roman" w:hAnsi="Times New Roman" w:cs="Times New Roman"/>
          <w:i/>
        </w:rPr>
        <w:t>,</w:t>
      </w:r>
      <w:r w:rsidR="002578F1" w:rsidRPr="002578F1">
        <w:rPr>
          <w:rFonts w:ascii="Times New Roman" w:hAnsi="Times New Roman" w:cs="Times New Roman"/>
          <w:i/>
          <w:color w:val="161616"/>
          <w:lang w:val="en-US"/>
        </w:rPr>
        <w:t xml:space="preserve"> Law and Management Building, </w:t>
      </w:r>
      <w:r w:rsidR="002578F1">
        <w:rPr>
          <w:rFonts w:ascii="Times New Roman" w:hAnsi="Times New Roman" w:cs="Times New Roman"/>
          <w:i/>
          <w:color w:val="161616"/>
          <w:lang w:val="en-US"/>
        </w:rPr>
        <w:t xml:space="preserve">Freboys Lane, </w:t>
      </w:r>
      <w:r w:rsidR="002578F1" w:rsidRPr="002578F1">
        <w:rPr>
          <w:rFonts w:ascii="Times New Roman" w:hAnsi="Times New Roman" w:cs="Times New Roman"/>
          <w:i/>
          <w:color w:val="161616"/>
          <w:lang w:val="en-US"/>
        </w:rPr>
        <w:t>York</w:t>
      </w:r>
      <w:r w:rsidR="00102863">
        <w:rPr>
          <w:rFonts w:ascii="Times New Roman" w:hAnsi="Times New Roman" w:cs="Times New Roman"/>
          <w:i/>
          <w:color w:val="161616"/>
          <w:lang w:val="en-US"/>
        </w:rPr>
        <w:t xml:space="preserve"> </w:t>
      </w:r>
      <w:bookmarkStart w:id="0" w:name="_GoBack"/>
      <w:bookmarkEnd w:id="0"/>
      <w:r w:rsidR="002578F1" w:rsidRPr="002578F1">
        <w:rPr>
          <w:rFonts w:ascii="Times New Roman" w:hAnsi="Times New Roman" w:cs="Times New Roman"/>
          <w:i/>
          <w:color w:val="161616"/>
          <w:lang w:val="en-US"/>
        </w:rPr>
        <w:t>YO10 5GD, UK</w:t>
      </w:r>
      <w:r w:rsidRPr="002578F1">
        <w:rPr>
          <w:rFonts w:ascii="Times New Roman" w:hAnsi="Times New Roman" w:cs="Times New Roman"/>
          <w:i/>
        </w:rPr>
        <w:t>.</w:t>
      </w:r>
      <w:r w:rsidR="002578F1" w:rsidRPr="002578F1">
        <w:rPr>
          <w:rFonts w:ascii="Times New Roman" w:hAnsi="Times New Roman" w:cs="Times New Roman"/>
          <w:i/>
        </w:rPr>
        <w:t xml:space="preserve"> </w:t>
      </w:r>
      <w:r w:rsidR="002578F1" w:rsidRPr="002578F1">
        <w:rPr>
          <w:rFonts w:ascii="Times New Roman" w:hAnsi="Times New Roman" w:cs="Times New Roman"/>
          <w:i/>
          <w:color w:val="601768"/>
          <w:u w:val="single" w:color="601768"/>
          <w:lang w:val="en-US"/>
        </w:rPr>
        <w:t>matt.matravers@york.ac.uk</w:t>
      </w:r>
    </w:p>
    <w:p w14:paraId="1B4DFE94" w14:textId="77777777" w:rsidR="008B0C4B" w:rsidRPr="00FA7349" w:rsidRDefault="008B0C4B" w:rsidP="00F776C2">
      <w:pPr>
        <w:jc w:val="both"/>
        <w:rPr>
          <w:rFonts w:ascii="Times New Roman" w:hAnsi="Times New Roman" w:cs="Times New Roman"/>
          <w:i/>
        </w:rPr>
      </w:pPr>
    </w:p>
    <w:p w14:paraId="11C46221" w14:textId="36DF5CF7" w:rsidR="00B57156" w:rsidRDefault="00B57156" w:rsidP="00F776C2">
      <w:pPr>
        <w:jc w:val="both"/>
        <w:rPr>
          <w:rFonts w:ascii="Times New Roman" w:hAnsi="Times New Roman" w:cs="Times New Roman"/>
        </w:rPr>
      </w:pPr>
    </w:p>
    <w:p w14:paraId="31FE3B8F" w14:textId="013FAFE6" w:rsidR="00EE06AC" w:rsidRPr="00FA7349" w:rsidRDefault="00EE06AC" w:rsidP="00F776C2">
      <w:pPr>
        <w:jc w:val="both"/>
        <w:rPr>
          <w:rFonts w:ascii="Times New Roman" w:hAnsi="Times New Roman" w:cs="Times New Roman"/>
        </w:rPr>
      </w:pPr>
      <w:r>
        <w:rPr>
          <w:rFonts w:ascii="Times New Roman" w:hAnsi="Times New Roman" w:cs="Times New Roman"/>
        </w:rPr>
        <w:t>NOTES</w:t>
      </w:r>
    </w:p>
    <w:sectPr w:rsidR="00EE06AC" w:rsidRPr="00FA7349" w:rsidSect="00F776C2">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210F53" w14:textId="77777777" w:rsidR="006C2957" w:rsidRDefault="006C2957" w:rsidP="00D90B95"/>
  </w:endnote>
  <w:endnote w:type="continuationSeparator" w:id="0">
    <w:p w14:paraId="6AAA324A" w14:textId="77777777" w:rsidR="006C2957" w:rsidRDefault="006C2957" w:rsidP="00D90B95"/>
  </w:endnote>
  <w:endnote w:id="1">
    <w:p w14:paraId="2642F763" w14:textId="77777777" w:rsidR="00A36741" w:rsidRPr="004E6872" w:rsidRDefault="00A36741" w:rsidP="004E6872">
      <w:pPr>
        <w:pStyle w:val="EndnoteText"/>
        <w:ind w:left="567" w:hanging="567"/>
        <w:jc w:val="both"/>
        <w:rPr>
          <w:rFonts w:ascii="Times New Roman" w:hAnsi="Times New Roman" w:cs="Times New Roman"/>
          <w:sz w:val="20"/>
          <w:szCs w:val="20"/>
          <w:lang w:val="en-US"/>
        </w:rPr>
      </w:pPr>
      <w:r w:rsidRPr="004E6872">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4E6872">
        <w:rPr>
          <w:rFonts w:ascii="Times New Roman" w:hAnsi="Times New Roman" w:cs="Times New Roman"/>
          <w:sz w:val="20"/>
          <w:szCs w:val="20"/>
        </w:rPr>
        <w:t xml:space="preserve">J. </w:t>
      </w:r>
      <w:r w:rsidRPr="004E6872">
        <w:rPr>
          <w:rFonts w:ascii="Times New Roman" w:hAnsi="Times New Roman" w:cs="Times New Roman"/>
          <w:color w:val="231F20"/>
          <w:sz w:val="20"/>
          <w:szCs w:val="20"/>
        </w:rPr>
        <w:t xml:space="preserve">Glover, </w:t>
      </w:r>
      <w:r w:rsidRPr="004E6872">
        <w:rPr>
          <w:rFonts w:ascii="Times New Roman" w:hAnsi="Times New Roman" w:cs="Times New Roman"/>
          <w:i/>
          <w:color w:val="231F20"/>
          <w:sz w:val="20"/>
          <w:szCs w:val="20"/>
        </w:rPr>
        <w:t>Alien Landscapes? Interpreting Disordered Minds</w:t>
      </w:r>
      <w:r w:rsidRPr="004E6872">
        <w:rPr>
          <w:rFonts w:ascii="Times New Roman" w:hAnsi="Times New Roman" w:cs="Times New Roman"/>
          <w:color w:val="231F20"/>
          <w:sz w:val="20"/>
          <w:szCs w:val="20"/>
        </w:rPr>
        <w:t xml:space="preserve"> (Cambridge, MA: Harvard University Press, 2014),</w:t>
      </w:r>
      <w:r w:rsidRPr="004E6872">
        <w:rPr>
          <w:rFonts w:ascii="Times New Roman" w:hAnsi="Times New Roman" w:cs="Times New Roman"/>
          <w:noProof/>
          <w:sz w:val="20"/>
          <w:szCs w:val="20"/>
        </w:rPr>
        <w:t xml:space="preserve"> ix. All unattributed quotations in parentheses refer to this book</w:t>
      </w:r>
      <w:r w:rsidRPr="004E6872">
        <w:rPr>
          <w:rFonts w:ascii="Times New Roman" w:hAnsi="Times New Roman" w:cs="Times New Roman"/>
          <w:color w:val="231F20"/>
          <w:sz w:val="20"/>
          <w:szCs w:val="20"/>
        </w:rPr>
        <w:t>.</w:t>
      </w:r>
      <w:r w:rsidRPr="004E6872">
        <w:rPr>
          <w:rFonts w:ascii="Times New Roman" w:hAnsi="Times New Roman" w:cs="Times New Roman"/>
          <w:sz w:val="20"/>
          <w:szCs w:val="20"/>
        </w:rPr>
        <w:t xml:space="preserve"> </w:t>
      </w:r>
    </w:p>
  </w:endnote>
  <w:endnote w:id="2">
    <w:p w14:paraId="721962DC" w14:textId="77777777" w:rsidR="00A36741" w:rsidRPr="004E6872" w:rsidRDefault="00A36741" w:rsidP="004E6872">
      <w:pPr>
        <w:pStyle w:val="EndnoteText"/>
        <w:ind w:left="567" w:hanging="567"/>
        <w:jc w:val="both"/>
        <w:rPr>
          <w:rFonts w:ascii="Times New Roman" w:hAnsi="Times New Roman" w:cs="Times New Roman"/>
          <w:sz w:val="20"/>
          <w:szCs w:val="20"/>
        </w:rPr>
      </w:pPr>
      <w:r w:rsidRPr="004E6872">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4E6872">
        <w:rPr>
          <w:rFonts w:ascii="Times New Roman" w:hAnsi="Times New Roman" w:cs="Times New Roman"/>
          <w:sz w:val="20"/>
          <w:szCs w:val="20"/>
        </w:rPr>
        <w:t>Partial defence to murder: loss of control</w:t>
      </w:r>
    </w:p>
    <w:p w14:paraId="52F28037" w14:textId="7687BF0B" w:rsidR="00A36741" w:rsidRPr="004E6872" w:rsidRDefault="00A36741" w:rsidP="00EE06AC">
      <w:pPr>
        <w:pStyle w:val="EndnoteText"/>
        <w:ind w:left="1134" w:hanging="283"/>
        <w:jc w:val="both"/>
        <w:rPr>
          <w:rFonts w:ascii="Times New Roman" w:hAnsi="Times New Roman" w:cs="Times New Roman"/>
          <w:sz w:val="20"/>
          <w:szCs w:val="20"/>
        </w:rPr>
      </w:pPr>
      <w:r w:rsidRPr="004E6872">
        <w:rPr>
          <w:rFonts w:ascii="Times New Roman" w:hAnsi="Times New Roman" w:cs="Times New Roman"/>
          <w:sz w:val="20"/>
          <w:szCs w:val="20"/>
        </w:rPr>
        <w:t>(1) Where a person (</w:t>
      </w:r>
      <w:r>
        <w:rPr>
          <w:rFonts w:ascii="Times New Roman" w:hAnsi="Times New Roman" w:cs="Times New Roman"/>
          <w:sz w:val="20"/>
          <w:szCs w:val="20"/>
        </w:rPr>
        <w:t>‘</w:t>
      </w:r>
      <w:r w:rsidRPr="004E6872">
        <w:rPr>
          <w:rFonts w:ascii="Times New Roman" w:hAnsi="Times New Roman" w:cs="Times New Roman"/>
          <w:sz w:val="20"/>
          <w:szCs w:val="20"/>
        </w:rPr>
        <w:t>D</w:t>
      </w:r>
      <w:r>
        <w:rPr>
          <w:rFonts w:ascii="Times New Roman" w:hAnsi="Times New Roman" w:cs="Times New Roman"/>
          <w:sz w:val="20"/>
          <w:szCs w:val="20"/>
        </w:rPr>
        <w:t>’</w:t>
      </w:r>
      <w:r w:rsidRPr="004E6872">
        <w:rPr>
          <w:rFonts w:ascii="Times New Roman" w:hAnsi="Times New Roman" w:cs="Times New Roman"/>
          <w:sz w:val="20"/>
          <w:szCs w:val="20"/>
        </w:rPr>
        <w:t>) kills or is a party to the killing of another (</w:t>
      </w:r>
      <w:r>
        <w:rPr>
          <w:rFonts w:ascii="Times New Roman" w:hAnsi="Times New Roman" w:cs="Times New Roman"/>
          <w:sz w:val="20"/>
          <w:szCs w:val="20"/>
        </w:rPr>
        <w:t>‘</w:t>
      </w:r>
      <w:r w:rsidRPr="004E6872">
        <w:rPr>
          <w:rFonts w:ascii="Times New Roman" w:hAnsi="Times New Roman" w:cs="Times New Roman"/>
          <w:sz w:val="20"/>
          <w:szCs w:val="20"/>
        </w:rPr>
        <w:t>V</w:t>
      </w:r>
      <w:r>
        <w:rPr>
          <w:rFonts w:ascii="Times New Roman" w:hAnsi="Times New Roman" w:cs="Times New Roman"/>
          <w:sz w:val="20"/>
          <w:szCs w:val="20"/>
        </w:rPr>
        <w:t>’</w:t>
      </w:r>
      <w:r w:rsidRPr="004E6872">
        <w:rPr>
          <w:rFonts w:ascii="Times New Roman" w:hAnsi="Times New Roman" w:cs="Times New Roman"/>
          <w:sz w:val="20"/>
          <w:szCs w:val="20"/>
        </w:rPr>
        <w:t>), D is not to be convicted of murder if—</w:t>
      </w:r>
    </w:p>
    <w:p w14:paraId="3C2DA635" w14:textId="6074E426" w:rsidR="00A36741" w:rsidRPr="004E6872" w:rsidRDefault="00A36741" w:rsidP="00EE06AC">
      <w:pPr>
        <w:pStyle w:val="EndnoteText"/>
        <w:ind w:left="1418" w:hanging="283"/>
        <w:jc w:val="both"/>
        <w:rPr>
          <w:rFonts w:ascii="Times New Roman" w:hAnsi="Times New Roman" w:cs="Times New Roman"/>
          <w:sz w:val="20"/>
          <w:szCs w:val="20"/>
        </w:rPr>
      </w:pPr>
      <w:r w:rsidRPr="004E6872">
        <w:rPr>
          <w:rFonts w:ascii="Times New Roman" w:hAnsi="Times New Roman" w:cs="Times New Roman"/>
          <w:sz w:val="20"/>
          <w:szCs w:val="20"/>
        </w:rPr>
        <w:t>(a)</w:t>
      </w:r>
      <w:r>
        <w:rPr>
          <w:rFonts w:ascii="Times New Roman" w:hAnsi="Times New Roman" w:cs="Times New Roman"/>
          <w:sz w:val="20"/>
          <w:szCs w:val="20"/>
        </w:rPr>
        <w:tab/>
        <w:t>D’</w:t>
      </w:r>
      <w:r w:rsidRPr="004E6872">
        <w:rPr>
          <w:rFonts w:ascii="Times New Roman" w:hAnsi="Times New Roman" w:cs="Times New Roman"/>
          <w:sz w:val="20"/>
          <w:szCs w:val="20"/>
        </w:rPr>
        <w:t>s acts and omissions in doing or being a party to the killing resulted from D</w:t>
      </w:r>
      <w:r>
        <w:rPr>
          <w:rFonts w:ascii="Times New Roman" w:hAnsi="Times New Roman" w:cs="Times New Roman"/>
          <w:sz w:val="20"/>
          <w:szCs w:val="20"/>
        </w:rPr>
        <w:t>’</w:t>
      </w:r>
      <w:r w:rsidRPr="004E6872">
        <w:rPr>
          <w:rFonts w:ascii="Times New Roman" w:hAnsi="Times New Roman" w:cs="Times New Roman"/>
          <w:sz w:val="20"/>
          <w:szCs w:val="20"/>
        </w:rPr>
        <w:t>s loss of self-control,</w:t>
      </w:r>
    </w:p>
    <w:p w14:paraId="3E4E0C21" w14:textId="6CAADF19" w:rsidR="00A36741" w:rsidRPr="004E6872" w:rsidRDefault="00A36741" w:rsidP="00EE06AC">
      <w:pPr>
        <w:pStyle w:val="EndnoteText"/>
        <w:ind w:left="1418" w:hanging="283"/>
        <w:jc w:val="both"/>
        <w:rPr>
          <w:rFonts w:ascii="Times New Roman" w:hAnsi="Times New Roman" w:cs="Times New Roman"/>
          <w:sz w:val="20"/>
          <w:szCs w:val="20"/>
        </w:rPr>
      </w:pPr>
      <w:r w:rsidRPr="004E6872">
        <w:rPr>
          <w:rFonts w:ascii="Times New Roman" w:hAnsi="Times New Roman" w:cs="Times New Roman"/>
          <w:sz w:val="20"/>
          <w:szCs w:val="20"/>
        </w:rPr>
        <w:t>(b)</w:t>
      </w:r>
      <w:r>
        <w:rPr>
          <w:rFonts w:ascii="Times New Roman" w:hAnsi="Times New Roman" w:cs="Times New Roman"/>
          <w:sz w:val="20"/>
          <w:szCs w:val="20"/>
        </w:rPr>
        <w:tab/>
      </w:r>
      <w:r w:rsidRPr="004E6872">
        <w:rPr>
          <w:rFonts w:ascii="Times New Roman" w:hAnsi="Times New Roman" w:cs="Times New Roman"/>
          <w:sz w:val="20"/>
          <w:szCs w:val="20"/>
        </w:rPr>
        <w:t>the loss of self-control had a qualifying trigger, and</w:t>
      </w:r>
    </w:p>
    <w:p w14:paraId="533435C3" w14:textId="583710BD" w:rsidR="00A36741" w:rsidRPr="004E6872" w:rsidRDefault="00A36741" w:rsidP="00EE06AC">
      <w:pPr>
        <w:pStyle w:val="EndnoteText"/>
        <w:ind w:left="1418" w:hanging="283"/>
        <w:jc w:val="both"/>
        <w:rPr>
          <w:rFonts w:ascii="Times New Roman" w:hAnsi="Times New Roman" w:cs="Times New Roman"/>
          <w:sz w:val="20"/>
          <w:szCs w:val="20"/>
        </w:rPr>
      </w:pPr>
      <w:r w:rsidRPr="004E6872">
        <w:rPr>
          <w:rFonts w:ascii="Times New Roman" w:hAnsi="Times New Roman" w:cs="Times New Roman"/>
          <w:sz w:val="20"/>
          <w:szCs w:val="20"/>
        </w:rPr>
        <w:t>(c)</w:t>
      </w:r>
      <w:r>
        <w:rPr>
          <w:rFonts w:ascii="Times New Roman" w:hAnsi="Times New Roman" w:cs="Times New Roman"/>
          <w:sz w:val="20"/>
          <w:szCs w:val="20"/>
        </w:rPr>
        <w:tab/>
      </w:r>
      <w:r w:rsidRPr="004E6872">
        <w:rPr>
          <w:rFonts w:ascii="Times New Roman" w:hAnsi="Times New Roman" w:cs="Times New Roman"/>
          <w:sz w:val="20"/>
          <w:szCs w:val="20"/>
        </w:rPr>
        <w:t>a person of D</w:t>
      </w:r>
      <w:r>
        <w:rPr>
          <w:rFonts w:ascii="Times New Roman" w:hAnsi="Times New Roman" w:cs="Times New Roman"/>
          <w:sz w:val="20"/>
          <w:szCs w:val="20"/>
        </w:rPr>
        <w:t>’</w:t>
      </w:r>
      <w:r w:rsidRPr="004E6872">
        <w:rPr>
          <w:rFonts w:ascii="Times New Roman" w:hAnsi="Times New Roman" w:cs="Times New Roman"/>
          <w:sz w:val="20"/>
          <w:szCs w:val="20"/>
        </w:rPr>
        <w:t>s sex and age, with a normal degree of tolerance and self-restraint and in the circumstances of D, might have reacted in the same or in a similar way to D.</w:t>
      </w:r>
    </w:p>
  </w:endnote>
  <w:endnote w:id="3">
    <w:p w14:paraId="14FF69A3" w14:textId="70AB4088" w:rsidR="00A36741" w:rsidRPr="004E6872" w:rsidRDefault="00A36741" w:rsidP="004E6872">
      <w:pPr>
        <w:pStyle w:val="EndnoteText"/>
        <w:ind w:left="567" w:hanging="567"/>
        <w:jc w:val="both"/>
        <w:rPr>
          <w:rFonts w:ascii="Times New Roman" w:hAnsi="Times New Roman" w:cs="Times New Roman"/>
          <w:sz w:val="20"/>
          <w:szCs w:val="20"/>
        </w:rPr>
      </w:pPr>
      <w:r w:rsidRPr="004E6872">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4E6872">
        <w:rPr>
          <w:rFonts w:ascii="Times New Roman" w:hAnsi="Times New Roman" w:cs="Times New Roman"/>
          <w:sz w:val="20"/>
          <w:szCs w:val="20"/>
        </w:rPr>
        <w:t>Glover discusses the English and Welsh M</w:t>
      </w:r>
      <w:r>
        <w:rPr>
          <w:rFonts w:ascii="Times New Roman" w:hAnsi="Times New Roman" w:cs="Times New Roman"/>
          <w:sz w:val="20"/>
          <w:szCs w:val="20"/>
        </w:rPr>
        <w:t>’</w:t>
      </w:r>
      <w:r w:rsidRPr="004E6872">
        <w:rPr>
          <w:rFonts w:ascii="Times New Roman" w:hAnsi="Times New Roman" w:cs="Times New Roman"/>
          <w:sz w:val="20"/>
          <w:szCs w:val="20"/>
        </w:rPr>
        <w:t xml:space="preserve">Naghten rules. The discussion here is more generic (though those rules are compatible with what is said here). Clearly, though, the details of any particular criminal code are specific to that code. </w:t>
      </w:r>
    </w:p>
  </w:endnote>
  <w:endnote w:id="4">
    <w:p w14:paraId="258445FE" w14:textId="7395D89C" w:rsidR="00A36741" w:rsidRPr="00EE06AC" w:rsidRDefault="00A36741" w:rsidP="004E6872">
      <w:pPr>
        <w:pStyle w:val="EndnoteText"/>
        <w:ind w:left="567" w:hanging="567"/>
        <w:jc w:val="both"/>
        <w:rPr>
          <w:rFonts w:ascii="Times New Roman" w:hAnsi="Times New Roman" w:cs="Times New Roman"/>
          <w:sz w:val="20"/>
          <w:szCs w:val="20"/>
        </w:rPr>
      </w:pPr>
      <w:r w:rsidRPr="004E6872">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EE06AC">
        <w:rPr>
          <w:rFonts w:ascii="Times New Roman" w:hAnsi="Times New Roman" w:cs="Times New Roman"/>
          <w:sz w:val="20"/>
          <w:szCs w:val="20"/>
        </w:rPr>
        <w:t>The literature on the responsibility of psychopaths is extensive, but see amongst others</w:t>
      </w:r>
      <w:r>
        <w:rPr>
          <w:rFonts w:ascii="Times New Roman" w:hAnsi="Times New Roman" w:cs="Times New Roman"/>
          <w:sz w:val="20"/>
          <w:szCs w:val="20"/>
        </w:rPr>
        <w:t>, R.A.</w:t>
      </w:r>
      <w:r w:rsidRPr="00EE06AC">
        <w:rPr>
          <w:rFonts w:ascii="Times New Roman" w:hAnsi="Times New Roman" w:cs="Times New Roman"/>
          <w:sz w:val="20"/>
          <w:szCs w:val="20"/>
        </w:rPr>
        <w:t xml:space="preserve"> </w:t>
      </w:r>
      <w:r w:rsidRPr="00EE06AC">
        <w:rPr>
          <w:rFonts w:ascii="Times New Roman" w:hAnsi="Times New Roman" w:cs="Times New Roman"/>
          <w:noProof/>
          <w:sz w:val="20"/>
          <w:szCs w:val="20"/>
        </w:rPr>
        <w:t xml:space="preserve">Duff, </w:t>
      </w:r>
      <w:r>
        <w:rPr>
          <w:rFonts w:ascii="Times New Roman" w:hAnsi="Times New Roman" w:cs="Times New Roman"/>
          <w:noProof/>
          <w:sz w:val="20"/>
          <w:szCs w:val="20"/>
        </w:rPr>
        <w:t>‘</w:t>
      </w:r>
      <w:r w:rsidRPr="00EE06AC">
        <w:rPr>
          <w:rFonts w:ascii="Times New Roman" w:hAnsi="Times New Roman" w:cs="Times New Roman"/>
          <w:noProof/>
          <w:sz w:val="20"/>
          <w:szCs w:val="20"/>
        </w:rPr>
        <w:t>Psychopathy and moral understanding</w:t>
      </w:r>
      <w:r>
        <w:rPr>
          <w:rFonts w:ascii="Times New Roman" w:hAnsi="Times New Roman" w:cs="Times New Roman"/>
          <w:noProof/>
          <w:sz w:val="20"/>
          <w:szCs w:val="20"/>
        </w:rPr>
        <w:t>’,</w:t>
      </w:r>
      <w:r w:rsidRPr="00EE06AC">
        <w:rPr>
          <w:rFonts w:ascii="Times New Roman" w:hAnsi="Times New Roman" w:cs="Times New Roman"/>
          <w:noProof/>
          <w:sz w:val="20"/>
          <w:szCs w:val="20"/>
        </w:rPr>
        <w:t xml:space="preserve"> </w:t>
      </w:r>
      <w:r w:rsidRPr="00EE06AC">
        <w:rPr>
          <w:rFonts w:ascii="Times New Roman" w:hAnsi="Times New Roman" w:cs="Times New Roman"/>
          <w:i/>
          <w:noProof/>
          <w:sz w:val="20"/>
          <w:szCs w:val="20"/>
        </w:rPr>
        <w:t>American Philosophical Quarterly</w:t>
      </w:r>
      <w:r w:rsidRPr="00EE06AC">
        <w:rPr>
          <w:rFonts w:ascii="Times New Roman" w:hAnsi="Times New Roman" w:cs="Times New Roman"/>
          <w:noProof/>
          <w:sz w:val="20"/>
          <w:szCs w:val="20"/>
        </w:rPr>
        <w:t xml:space="preserve"> 14</w:t>
      </w:r>
      <w:r>
        <w:rPr>
          <w:rFonts w:ascii="Times New Roman" w:hAnsi="Times New Roman" w:cs="Times New Roman"/>
          <w:noProof/>
          <w:sz w:val="20"/>
          <w:szCs w:val="20"/>
        </w:rPr>
        <w:t xml:space="preserve"> (1977)</w:t>
      </w:r>
      <w:r w:rsidRPr="00EE06AC">
        <w:rPr>
          <w:rFonts w:ascii="Times New Roman" w:hAnsi="Times New Roman" w:cs="Times New Roman"/>
          <w:noProof/>
          <w:sz w:val="20"/>
          <w:szCs w:val="20"/>
        </w:rPr>
        <w:t>: 189</w:t>
      </w:r>
      <w:r w:rsidRPr="00EE06AC">
        <w:rPr>
          <w:rFonts w:ascii="Times New Roman" w:hAnsi="Times New Roman" w:cs="Times New Roman"/>
          <w:sz w:val="20"/>
          <w:szCs w:val="20"/>
        </w:rPr>
        <w:t>–</w:t>
      </w:r>
      <w:r w:rsidRPr="00EE06AC">
        <w:rPr>
          <w:rFonts w:ascii="Times New Roman" w:hAnsi="Times New Roman" w:cs="Times New Roman"/>
          <w:noProof/>
          <w:sz w:val="20"/>
          <w:szCs w:val="20"/>
        </w:rPr>
        <w:t xml:space="preserve">200; </w:t>
      </w:r>
      <w:r>
        <w:rPr>
          <w:rFonts w:ascii="Times New Roman" w:hAnsi="Times New Roman" w:cs="Times New Roman"/>
          <w:noProof/>
          <w:sz w:val="20"/>
          <w:szCs w:val="20"/>
        </w:rPr>
        <w:t>S.J. Morse, ‘Deprivation and desert’ in W.C. Heffernan &amp;</w:t>
      </w:r>
      <w:r w:rsidRPr="00EE06AC">
        <w:rPr>
          <w:rFonts w:ascii="Times New Roman" w:hAnsi="Times New Roman" w:cs="Times New Roman"/>
          <w:noProof/>
          <w:sz w:val="20"/>
          <w:szCs w:val="20"/>
        </w:rPr>
        <w:t xml:space="preserve"> </w:t>
      </w:r>
      <w:r>
        <w:rPr>
          <w:rFonts w:ascii="Times New Roman" w:hAnsi="Times New Roman" w:cs="Times New Roman"/>
          <w:noProof/>
          <w:sz w:val="20"/>
          <w:szCs w:val="20"/>
        </w:rPr>
        <w:t>J. Kleinig (eds)</w:t>
      </w:r>
      <w:r w:rsidRPr="00EE06AC">
        <w:rPr>
          <w:rFonts w:ascii="Times New Roman" w:hAnsi="Times New Roman" w:cs="Times New Roman"/>
          <w:noProof/>
          <w:sz w:val="20"/>
          <w:szCs w:val="20"/>
        </w:rPr>
        <w:t xml:space="preserve"> </w:t>
      </w:r>
      <w:r w:rsidRPr="00EE06AC">
        <w:rPr>
          <w:rFonts w:ascii="Times New Roman" w:hAnsi="Times New Roman" w:cs="Times New Roman"/>
          <w:i/>
          <w:noProof/>
          <w:sz w:val="20"/>
          <w:szCs w:val="20"/>
        </w:rPr>
        <w:t xml:space="preserve">From </w:t>
      </w:r>
      <w:r>
        <w:rPr>
          <w:rFonts w:ascii="Times New Roman" w:hAnsi="Times New Roman" w:cs="Times New Roman"/>
          <w:i/>
          <w:noProof/>
          <w:sz w:val="20"/>
          <w:szCs w:val="20"/>
        </w:rPr>
        <w:t>Social Justice t</w:t>
      </w:r>
      <w:r w:rsidRPr="00EE06AC">
        <w:rPr>
          <w:rFonts w:ascii="Times New Roman" w:hAnsi="Times New Roman" w:cs="Times New Roman"/>
          <w:i/>
          <w:noProof/>
          <w:sz w:val="20"/>
          <w:szCs w:val="20"/>
        </w:rPr>
        <w:t xml:space="preserve">o Criminal Justice : Poverty and the </w:t>
      </w:r>
      <w:r>
        <w:rPr>
          <w:rFonts w:ascii="Times New Roman" w:hAnsi="Times New Roman" w:cs="Times New Roman"/>
          <w:i/>
          <w:noProof/>
          <w:sz w:val="20"/>
          <w:szCs w:val="20"/>
        </w:rPr>
        <w:t>Administration o</w:t>
      </w:r>
      <w:r w:rsidRPr="00EE06AC">
        <w:rPr>
          <w:rFonts w:ascii="Times New Roman" w:hAnsi="Times New Roman" w:cs="Times New Roman"/>
          <w:i/>
          <w:noProof/>
          <w:sz w:val="20"/>
          <w:szCs w:val="20"/>
        </w:rPr>
        <w:t>f Criminal Law</w:t>
      </w:r>
      <w:r>
        <w:rPr>
          <w:rFonts w:ascii="Times New Roman" w:hAnsi="Times New Roman" w:cs="Times New Roman"/>
          <w:noProof/>
          <w:sz w:val="20"/>
          <w:szCs w:val="20"/>
        </w:rPr>
        <w:t xml:space="preserve"> (Oxford: </w:t>
      </w:r>
      <w:r w:rsidRPr="00EE06AC">
        <w:rPr>
          <w:rFonts w:ascii="Times New Roman" w:hAnsi="Times New Roman" w:cs="Times New Roman"/>
          <w:noProof/>
          <w:sz w:val="20"/>
          <w:szCs w:val="20"/>
        </w:rPr>
        <w:t>Oxford University Press</w:t>
      </w:r>
      <w:r>
        <w:rPr>
          <w:rFonts w:ascii="Times New Roman" w:hAnsi="Times New Roman" w:cs="Times New Roman"/>
          <w:noProof/>
          <w:sz w:val="20"/>
          <w:szCs w:val="20"/>
        </w:rPr>
        <w:t>,</w:t>
      </w:r>
      <w:r w:rsidRPr="00EE06AC">
        <w:rPr>
          <w:rFonts w:ascii="Times New Roman" w:hAnsi="Times New Roman" w:cs="Times New Roman"/>
          <w:noProof/>
          <w:sz w:val="20"/>
          <w:szCs w:val="20"/>
        </w:rPr>
        <w:t xml:space="preserve"> 2000)</w:t>
      </w:r>
      <w:r>
        <w:rPr>
          <w:rFonts w:ascii="Times New Roman" w:hAnsi="Times New Roman" w:cs="Times New Roman"/>
          <w:noProof/>
          <w:sz w:val="20"/>
          <w:szCs w:val="20"/>
        </w:rPr>
        <w:t>,</w:t>
      </w:r>
      <w:r w:rsidRPr="00EE06AC">
        <w:rPr>
          <w:rFonts w:ascii="Times New Roman" w:hAnsi="Times New Roman" w:cs="Times New Roman"/>
          <w:b/>
          <w:noProof/>
          <w:sz w:val="20"/>
          <w:szCs w:val="20"/>
        </w:rPr>
        <w:t xml:space="preserve"> </w:t>
      </w:r>
      <w:r w:rsidRPr="00051AE9">
        <w:rPr>
          <w:rFonts w:ascii="Times New Roman" w:hAnsi="Times New Roman" w:cs="Times New Roman"/>
          <w:noProof/>
          <w:sz w:val="20"/>
          <w:szCs w:val="20"/>
        </w:rPr>
        <w:t>pp.</w:t>
      </w:r>
      <w:r>
        <w:rPr>
          <w:rFonts w:ascii="Times New Roman" w:hAnsi="Times New Roman" w:cs="Times New Roman"/>
          <w:b/>
          <w:noProof/>
          <w:sz w:val="20"/>
          <w:szCs w:val="20"/>
        </w:rPr>
        <w:t xml:space="preserve"> </w:t>
      </w:r>
      <w:r>
        <w:rPr>
          <w:rFonts w:ascii="Times New Roman" w:hAnsi="Times New Roman" w:cs="Times New Roman"/>
          <w:noProof/>
          <w:sz w:val="20"/>
          <w:szCs w:val="20"/>
        </w:rPr>
        <w:t>114</w:t>
      </w:r>
      <w:r w:rsidRPr="00EE06AC">
        <w:rPr>
          <w:rFonts w:ascii="Times New Roman" w:hAnsi="Times New Roman" w:cs="Times New Roman"/>
          <w:sz w:val="20"/>
          <w:szCs w:val="20"/>
        </w:rPr>
        <w:t>–</w:t>
      </w:r>
      <w:r w:rsidRPr="00EE06AC">
        <w:rPr>
          <w:rFonts w:ascii="Times New Roman" w:hAnsi="Times New Roman" w:cs="Times New Roman"/>
          <w:noProof/>
          <w:sz w:val="20"/>
          <w:szCs w:val="20"/>
        </w:rPr>
        <w:t xml:space="preserve">60, at pp. 149-50; </w:t>
      </w:r>
      <w:r>
        <w:rPr>
          <w:rFonts w:ascii="Times New Roman" w:hAnsi="Times New Roman" w:cs="Times New Roman"/>
          <w:noProof/>
          <w:sz w:val="20"/>
          <w:szCs w:val="20"/>
        </w:rPr>
        <w:t>M. Matravers, ‘</w:t>
      </w:r>
      <w:r w:rsidRPr="00EE06AC">
        <w:rPr>
          <w:rFonts w:ascii="Times New Roman" w:hAnsi="Times New Roman" w:cs="Times New Roman"/>
          <w:noProof/>
          <w:sz w:val="20"/>
          <w:szCs w:val="20"/>
        </w:rPr>
        <w:t>Holding psychopaths responsible</w:t>
      </w:r>
      <w:r>
        <w:rPr>
          <w:rFonts w:ascii="Times New Roman" w:hAnsi="Times New Roman" w:cs="Times New Roman"/>
          <w:noProof/>
          <w:sz w:val="20"/>
          <w:szCs w:val="20"/>
        </w:rPr>
        <w:t xml:space="preserve">’, </w:t>
      </w:r>
      <w:r w:rsidRPr="00EE06AC">
        <w:rPr>
          <w:rFonts w:ascii="Times New Roman" w:hAnsi="Times New Roman" w:cs="Times New Roman"/>
          <w:i/>
          <w:noProof/>
          <w:sz w:val="20"/>
          <w:szCs w:val="20"/>
        </w:rPr>
        <w:t>Philosophy, Psychiatry, &amp; Psychology</w:t>
      </w:r>
      <w:r w:rsidRPr="00EE06AC">
        <w:rPr>
          <w:rFonts w:ascii="Times New Roman" w:hAnsi="Times New Roman" w:cs="Times New Roman"/>
          <w:noProof/>
          <w:sz w:val="20"/>
          <w:szCs w:val="20"/>
        </w:rPr>
        <w:t xml:space="preserve"> 14 (2007)</w:t>
      </w:r>
      <w:r>
        <w:rPr>
          <w:rFonts w:ascii="Times New Roman" w:hAnsi="Times New Roman" w:cs="Times New Roman"/>
          <w:noProof/>
          <w:sz w:val="20"/>
          <w:szCs w:val="20"/>
        </w:rPr>
        <w:t>: 139</w:t>
      </w:r>
      <w:r w:rsidRPr="00EE06AC">
        <w:rPr>
          <w:rFonts w:ascii="Times New Roman" w:hAnsi="Times New Roman" w:cs="Times New Roman"/>
          <w:sz w:val="20"/>
          <w:szCs w:val="20"/>
        </w:rPr>
        <w:t>–</w:t>
      </w:r>
      <w:r w:rsidRPr="00EE06AC">
        <w:rPr>
          <w:rFonts w:ascii="Times New Roman" w:hAnsi="Times New Roman" w:cs="Times New Roman"/>
          <w:noProof/>
          <w:sz w:val="20"/>
          <w:szCs w:val="20"/>
        </w:rPr>
        <w:t xml:space="preserve">42; </w:t>
      </w:r>
      <w:r>
        <w:rPr>
          <w:rFonts w:ascii="Times New Roman" w:hAnsi="Times New Roman" w:cs="Times New Roman"/>
          <w:noProof/>
          <w:sz w:val="20"/>
          <w:szCs w:val="20"/>
        </w:rPr>
        <w:t xml:space="preserve">M. </w:t>
      </w:r>
      <w:r w:rsidRPr="00EE06AC">
        <w:rPr>
          <w:rFonts w:ascii="Times New Roman" w:hAnsi="Times New Roman" w:cs="Times New Roman"/>
          <w:noProof/>
          <w:sz w:val="20"/>
          <w:szCs w:val="20"/>
        </w:rPr>
        <w:t xml:space="preserve">Matravers, </w:t>
      </w:r>
      <w:r>
        <w:rPr>
          <w:rFonts w:ascii="Times New Roman" w:hAnsi="Times New Roman" w:cs="Times New Roman"/>
          <w:noProof/>
          <w:sz w:val="20"/>
          <w:szCs w:val="20"/>
        </w:rPr>
        <w:t>‘</w:t>
      </w:r>
      <w:r w:rsidRPr="00EE06AC">
        <w:rPr>
          <w:rFonts w:ascii="Times New Roman" w:hAnsi="Times New Roman" w:cs="Times New Roman"/>
          <w:noProof/>
          <w:sz w:val="20"/>
          <w:szCs w:val="20"/>
        </w:rPr>
        <w:t>Policies, law, and psychopathy</w:t>
      </w:r>
      <w:r>
        <w:rPr>
          <w:rFonts w:ascii="Times New Roman" w:hAnsi="Times New Roman" w:cs="Times New Roman"/>
          <w:noProof/>
          <w:sz w:val="20"/>
          <w:szCs w:val="20"/>
        </w:rPr>
        <w:t>: A</w:t>
      </w:r>
      <w:r w:rsidRPr="00EE06AC">
        <w:rPr>
          <w:rFonts w:ascii="Times New Roman" w:hAnsi="Times New Roman" w:cs="Times New Roman"/>
          <w:noProof/>
          <w:sz w:val="20"/>
          <w:szCs w:val="20"/>
        </w:rPr>
        <w:t xml:space="preserve"> critical s</w:t>
      </w:r>
      <w:r>
        <w:rPr>
          <w:rFonts w:ascii="Times New Roman" w:hAnsi="Times New Roman" w:cs="Times New Roman"/>
          <w:noProof/>
          <w:sz w:val="20"/>
          <w:szCs w:val="20"/>
        </w:rPr>
        <w:t>tance from political philosophy’ in L. Malatesti &amp;</w:t>
      </w:r>
      <w:r w:rsidRPr="00EE06AC">
        <w:rPr>
          <w:rFonts w:ascii="Times New Roman" w:hAnsi="Times New Roman" w:cs="Times New Roman"/>
          <w:noProof/>
          <w:sz w:val="20"/>
          <w:szCs w:val="20"/>
        </w:rPr>
        <w:t xml:space="preserve"> J. McMillan </w:t>
      </w:r>
      <w:r w:rsidRPr="00EE06AC">
        <w:rPr>
          <w:rFonts w:ascii="Times New Roman" w:hAnsi="Times New Roman" w:cs="Times New Roman"/>
          <w:i/>
          <w:noProof/>
          <w:sz w:val="20"/>
          <w:szCs w:val="20"/>
        </w:rPr>
        <w:t xml:space="preserve">Responsibility and Psychopathy: </w:t>
      </w:r>
      <w:r>
        <w:rPr>
          <w:rFonts w:ascii="Times New Roman" w:hAnsi="Times New Roman" w:cs="Times New Roman"/>
          <w:i/>
          <w:noProof/>
          <w:sz w:val="20"/>
          <w:szCs w:val="20"/>
        </w:rPr>
        <w:t>Interfacing Law, Psychiatry, a</w:t>
      </w:r>
      <w:r w:rsidRPr="00EE06AC">
        <w:rPr>
          <w:rFonts w:ascii="Times New Roman" w:hAnsi="Times New Roman" w:cs="Times New Roman"/>
          <w:i/>
          <w:noProof/>
          <w:sz w:val="20"/>
          <w:szCs w:val="20"/>
        </w:rPr>
        <w:t>nd Philosophy</w:t>
      </w:r>
      <w:r>
        <w:rPr>
          <w:rFonts w:ascii="Times New Roman" w:hAnsi="Times New Roman" w:cs="Times New Roman"/>
          <w:noProof/>
          <w:sz w:val="20"/>
          <w:szCs w:val="20"/>
        </w:rPr>
        <w:t xml:space="preserve"> (Oxford:</w:t>
      </w:r>
      <w:r w:rsidRPr="00EE06AC">
        <w:rPr>
          <w:rFonts w:ascii="Times New Roman" w:hAnsi="Times New Roman" w:cs="Times New Roman"/>
          <w:noProof/>
          <w:sz w:val="20"/>
          <w:szCs w:val="20"/>
        </w:rPr>
        <w:t xml:space="preserve"> Oxford University Press</w:t>
      </w:r>
      <w:r>
        <w:rPr>
          <w:rFonts w:ascii="Times New Roman" w:hAnsi="Times New Roman" w:cs="Times New Roman"/>
          <w:noProof/>
          <w:sz w:val="20"/>
          <w:szCs w:val="20"/>
        </w:rPr>
        <w:t xml:space="preserve">, </w:t>
      </w:r>
      <w:r w:rsidRPr="00051AE9">
        <w:rPr>
          <w:rFonts w:ascii="Times New Roman" w:hAnsi="Times New Roman" w:cs="Times New Roman"/>
          <w:noProof/>
          <w:sz w:val="20"/>
          <w:szCs w:val="20"/>
        </w:rPr>
        <w:t>2010), pp.</w:t>
      </w:r>
      <w:r w:rsidRPr="00EE06AC">
        <w:rPr>
          <w:rFonts w:ascii="Times New Roman" w:hAnsi="Times New Roman" w:cs="Times New Roman"/>
          <w:b/>
          <w:noProof/>
          <w:sz w:val="20"/>
          <w:szCs w:val="20"/>
        </w:rPr>
        <w:t xml:space="preserve"> </w:t>
      </w:r>
      <w:r>
        <w:rPr>
          <w:rFonts w:ascii="Times New Roman" w:hAnsi="Times New Roman" w:cs="Times New Roman"/>
          <w:noProof/>
          <w:sz w:val="20"/>
          <w:szCs w:val="20"/>
        </w:rPr>
        <w:t>63</w:t>
      </w:r>
      <w:r w:rsidRPr="00EE06AC">
        <w:rPr>
          <w:rFonts w:ascii="Times New Roman" w:hAnsi="Times New Roman" w:cs="Times New Roman"/>
          <w:sz w:val="20"/>
          <w:szCs w:val="20"/>
        </w:rPr>
        <w:t>–</w:t>
      </w:r>
      <w:r w:rsidRPr="00EE06AC">
        <w:rPr>
          <w:rFonts w:ascii="Times New Roman" w:hAnsi="Times New Roman" w:cs="Times New Roman"/>
          <w:noProof/>
          <w:sz w:val="20"/>
          <w:szCs w:val="20"/>
        </w:rPr>
        <w:t>75.</w:t>
      </w:r>
    </w:p>
  </w:endnote>
  <w:endnote w:id="5">
    <w:p w14:paraId="5E7DE874" w14:textId="50B19EE4" w:rsidR="00A36741" w:rsidRPr="004E6872" w:rsidRDefault="00A36741" w:rsidP="004E6872">
      <w:pPr>
        <w:pStyle w:val="EndnoteText"/>
        <w:ind w:left="567" w:hanging="567"/>
        <w:jc w:val="both"/>
        <w:rPr>
          <w:rFonts w:ascii="Times New Roman" w:hAnsi="Times New Roman" w:cs="Times New Roman"/>
          <w:sz w:val="20"/>
          <w:szCs w:val="20"/>
        </w:rPr>
      </w:pPr>
      <w:r w:rsidRPr="00EE06AC">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EE06AC">
        <w:rPr>
          <w:rFonts w:ascii="Times New Roman" w:hAnsi="Times New Roman" w:cs="Times New Roman"/>
          <w:sz w:val="20"/>
          <w:szCs w:val="20"/>
        </w:rPr>
        <w:t>Whilst factually accurate as far as it goes</w:t>
      </w:r>
      <w:r w:rsidRPr="004E6872">
        <w:rPr>
          <w:rFonts w:ascii="Times New Roman" w:hAnsi="Times New Roman" w:cs="Times New Roman"/>
          <w:sz w:val="20"/>
          <w:szCs w:val="20"/>
        </w:rPr>
        <w:t xml:space="preserve">, Glover leaves the Andrea Yates story at the point </w:t>
      </w:r>
      <w:r>
        <w:rPr>
          <w:rFonts w:ascii="Times New Roman" w:hAnsi="Times New Roman" w:cs="Times New Roman"/>
          <w:sz w:val="20"/>
          <w:szCs w:val="20"/>
        </w:rPr>
        <w:t>‘</w:t>
      </w:r>
      <w:r w:rsidRPr="004E6872">
        <w:rPr>
          <w:rFonts w:ascii="Times New Roman" w:hAnsi="Times New Roman" w:cs="Times New Roman"/>
          <w:sz w:val="20"/>
          <w:szCs w:val="20"/>
        </w:rPr>
        <w:t>the jury found her guilty of capital murder but substituted life imprisonment for the death sentence</w:t>
      </w:r>
      <w:r>
        <w:rPr>
          <w:rFonts w:ascii="Times New Roman" w:hAnsi="Times New Roman" w:cs="Times New Roman"/>
          <w:sz w:val="20"/>
          <w:szCs w:val="20"/>
        </w:rPr>
        <w:t>’</w:t>
      </w:r>
      <w:r w:rsidRPr="004E6872">
        <w:rPr>
          <w:rFonts w:ascii="Times New Roman" w:hAnsi="Times New Roman" w:cs="Times New Roman"/>
          <w:sz w:val="20"/>
          <w:szCs w:val="20"/>
        </w:rPr>
        <w:t xml:space="preserve"> (</w:t>
      </w:r>
      <w:r>
        <w:rPr>
          <w:rFonts w:ascii="Times New Roman" w:hAnsi="Times New Roman" w:cs="Times New Roman"/>
          <w:sz w:val="20"/>
          <w:szCs w:val="20"/>
        </w:rPr>
        <w:t xml:space="preserve">p. </w:t>
      </w:r>
      <w:r w:rsidRPr="004E6872">
        <w:rPr>
          <w:rFonts w:ascii="Times New Roman" w:hAnsi="Times New Roman" w:cs="Times New Roman"/>
          <w:sz w:val="20"/>
          <w:szCs w:val="20"/>
        </w:rPr>
        <w:t xml:space="preserve">271). I assume this is because he is drawing on a 2004 paper, but it leaves out that (for reasons not connected to her mental state) Yates successfully appealed against the verdict in 2006 and on retrial was found not guilty by reason of insanity. As of June 2015, she remains in a low security state mental hospital. </w:t>
      </w:r>
    </w:p>
  </w:endnote>
  <w:endnote w:id="6">
    <w:p w14:paraId="1F4B9969" w14:textId="50D134B9" w:rsidR="00A36741" w:rsidRPr="00051AE9" w:rsidRDefault="00A36741" w:rsidP="004E6872">
      <w:pPr>
        <w:pStyle w:val="EndnoteText"/>
        <w:ind w:left="567" w:hanging="567"/>
        <w:jc w:val="both"/>
        <w:rPr>
          <w:rFonts w:ascii="Times New Roman" w:hAnsi="Times New Roman" w:cs="Times New Roman"/>
          <w:sz w:val="20"/>
          <w:szCs w:val="20"/>
          <w:lang w:val="en-US"/>
        </w:rPr>
      </w:pPr>
      <w:r w:rsidRPr="004E6872">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051AE9">
        <w:rPr>
          <w:rFonts w:ascii="Times New Roman" w:hAnsi="Times New Roman" w:cs="Times New Roman"/>
          <w:sz w:val="20"/>
          <w:szCs w:val="20"/>
        </w:rPr>
        <w:t xml:space="preserve">M. </w:t>
      </w:r>
      <w:r w:rsidRPr="00051AE9">
        <w:rPr>
          <w:rFonts w:ascii="Times New Roman" w:hAnsi="Times New Roman" w:cs="Times New Roman"/>
          <w:noProof/>
          <w:sz w:val="20"/>
          <w:szCs w:val="20"/>
        </w:rPr>
        <w:t xml:space="preserve">Matravers &amp; A. Cocoru, ‘Revisiting the Hart/Wootton debate on responsibility’ in C. Pulman (ed.) </w:t>
      </w:r>
      <w:r w:rsidRPr="00051AE9">
        <w:rPr>
          <w:rFonts w:ascii="Times New Roman" w:hAnsi="Times New Roman" w:cs="Times New Roman"/>
          <w:i/>
          <w:color w:val="161616"/>
          <w:sz w:val="20"/>
          <w:szCs w:val="20"/>
          <w:lang w:val="en-US"/>
        </w:rPr>
        <w:t>Hart On Responsibility</w:t>
      </w:r>
      <w:r w:rsidRPr="00051AE9">
        <w:rPr>
          <w:rFonts w:ascii="Times New Roman" w:hAnsi="Times New Roman" w:cs="Times New Roman"/>
          <w:color w:val="161616"/>
          <w:sz w:val="20"/>
          <w:szCs w:val="20"/>
          <w:lang w:val="en-US"/>
        </w:rPr>
        <w:t xml:space="preserve"> (Basingstoke: Palgrave, 2014), pp. 129</w:t>
      </w:r>
      <w:r w:rsidRPr="00051AE9">
        <w:rPr>
          <w:rFonts w:ascii="Times New Roman" w:hAnsi="Times New Roman" w:cs="Times New Roman"/>
          <w:sz w:val="20"/>
          <w:szCs w:val="20"/>
        </w:rPr>
        <w:t>–</w:t>
      </w:r>
      <w:r w:rsidRPr="00051AE9">
        <w:rPr>
          <w:rFonts w:ascii="Times New Roman" w:hAnsi="Times New Roman" w:cs="Times New Roman"/>
          <w:color w:val="161616"/>
          <w:sz w:val="20"/>
          <w:szCs w:val="20"/>
          <w:lang w:val="en-US"/>
        </w:rPr>
        <w:t>153.</w:t>
      </w:r>
    </w:p>
  </w:endnote>
  <w:endnote w:id="7">
    <w:p w14:paraId="324920DF" w14:textId="145A7115" w:rsidR="00A36741" w:rsidRPr="004E6872" w:rsidRDefault="00A36741" w:rsidP="004E6872">
      <w:pPr>
        <w:pStyle w:val="EndnoteText"/>
        <w:ind w:left="567" w:hanging="567"/>
        <w:jc w:val="both"/>
        <w:rPr>
          <w:rFonts w:ascii="Times New Roman" w:hAnsi="Times New Roman" w:cs="Times New Roman"/>
          <w:sz w:val="20"/>
          <w:szCs w:val="20"/>
          <w:lang w:val="en-US"/>
        </w:rPr>
      </w:pPr>
      <w:r w:rsidRPr="00051AE9">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t xml:space="preserve">B. </w:t>
      </w:r>
      <w:r w:rsidRPr="00051AE9">
        <w:rPr>
          <w:rFonts w:ascii="Times New Roman" w:hAnsi="Times New Roman" w:cs="Times New Roman"/>
          <w:noProof/>
          <w:sz w:val="20"/>
          <w:szCs w:val="20"/>
        </w:rPr>
        <w:t xml:space="preserve">Wootton, </w:t>
      </w:r>
      <w:r w:rsidRPr="00051AE9">
        <w:rPr>
          <w:rFonts w:ascii="Times New Roman" w:hAnsi="Times New Roman" w:cs="Times New Roman"/>
          <w:i/>
          <w:noProof/>
          <w:sz w:val="20"/>
          <w:szCs w:val="20"/>
        </w:rPr>
        <w:t>Crime and the Criminal Law: Reflections of a Magistrate and Social Scientist</w:t>
      </w:r>
      <w:r w:rsidRPr="00051AE9">
        <w:rPr>
          <w:rFonts w:ascii="Times New Roman" w:hAnsi="Times New Roman" w:cs="Times New Roman"/>
          <w:noProof/>
          <w:sz w:val="20"/>
          <w:szCs w:val="20"/>
        </w:rPr>
        <w:t xml:space="preserve"> </w:t>
      </w:r>
      <w:r>
        <w:rPr>
          <w:rFonts w:ascii="Times New Roman" w:hAnsi="Times New Roman" w:cs="Times New Roman"/>
          <w:noProof/>
          <w:sz w:val="20"/>
          <w:szCs w:val="20"/>
        </w:rPr>
        <w:t>(</w:t>
      </w:r>
      <w:r w:rsidRPr="00051AE9">
        <w:rPr>
          <w:rFonts w:ascii="Times New Roman" w:hAnsi="Times New Roman" w:cs="Times New Roman"/>
          <w:noProof/>
          <w:sz w:val="20"/>
          <w:szCs w:val="20"/>
        </w:rPr>
        <w:t>London</w:t>
      </w:r>
      <w:r>
        <w:rPr>
          <w:rFonts w:ascii="Times New Roman" w:hAnsi="Times New Roman" w:cs="Times New Roman"/>
          <w:noProof/>
          <w:sz w:val="20"/>
          <w:szCs w:val="20"/>
        </w:rPr>
        <w:t xml:space="preserve">: </w:t>
      </w:r>
      <w:r w:rsidRPr="004E6872">
        <w:rPr>
          <w:rFonts w:ascii="Times New Roman" w:hAnsi="Times New Roman" w:cs="Times New Roman"/>
          <w:noProof/>
          <w:sz w:val="20"/>
          <w:szCs w:val="20"/>
        </w:rPr>
        <w:t>Stevens &amp; Sons</w:t>
      </w:r>
      <w:r>
        <w:rPr>
          <w:rFonts w:ascii="Times New Roman" w:hAnsi="Times New Roman" w:cs="Times New Roman"/>
          <w:noProof/>
          <w:sz w:val="20"/>
          <w:szCs w:val="20"/>
        </w:rPr>
        <w:t>, 1963).</w:t>
      </w:r>
    </w:p>
  </w:endnote>
  <w:endnote w:id="8">
    <w:p w14:paraId="3A7EC8AE" w14:textId="42E06B9A" w:rsidR="00A36741" w:rsidRPr="004E6872" w:rsidRDefault="00A36741" w:rsidP="004E6872">
      <w:pPr>
        <w:pStyle w:val="EndnoteText"/>
        <w:ind w:left="567" w:hanging="567"/>
        <w:jc w:val="both"/>
        <w:rPr>
          <w:rFonts w:ascii="Times New Roman" w:hAnsi="Times New Roman" w:cs="Times New Roman"/>
          <w:sz w:val="20"/>
          <w:szCs w:val="20"/>
        </w:rPr>
      </w:pPr>
      <w:r w:rsidRPr="004E6872">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4E6872">
        <w:rPr>
          <w:rFonts w:ascii="Times New Roman" w:hAnsi="Times New Roman" w:cs="Times New Roman"/>
          <w:sz w:val="20"/>
          <w:szCs w:val="20"/>
        </w:rPr>
        <w:t xml:space="preserve">There are related debates about whether, for example, deafness and autism are </w:t>
      </w:r>
      <w:r>
        <w:rPr>
          <w:rFonts w:ascii="Times New Roman" w:hAnsi="Times New Roman" w:cs="Times New Roman"/>
          <w:sz w:val="20"/>
          <w:szCs w:val="20"/>
        </w:rPr>
        <w:t>‘</w:t>
      </w:r>
      <w:r w:rsidRPr="004E6872">
        <w:rPr>
          <w:rFonts w:ascii="Times New Roman" w:hAnsi="Times New Roman" w:cs="Times New Roman"/>
          <w:sz w:val="20"/>
          <w:szCs w:val="20"/>
        </w:rPr>
        <w:t>disabilities</w:t>
      </w:r>
      <w:r>
        <w:rPr>
          <w:rFonts w:ascii="Times New Roman" w:hAnsi="Times New Roman" w:cs="Times New Roman"/>
          <w:sz w:val="20"/>
          <w:szCs w:val="20"/>
        </w:rPr>
        <w:t>’</w:t>
      </w:r>
      <w:r w:rsidRPr="004E6872">
        <w:rPr>
          <w:rFonts w:ascii="Times New Roman" w:hAnsi="Times New Roman" w:cs="Times New Roman"/>
          <w:sz w:val="20"/>
          <w:szCs w:val="20"/>
        </w:rPr>
        <w:t xml:space="preserve"> (such that a person </w:t>
      </w:r>
      <w:r>
        <w:rPr>
          <w:rFonts w:ascii="Times New Roman" w:hAnsi="Times New Roman" w:cs="Times New Roman"/>
          <w:sz w:val="20"/>
          <w:szCs w:val="20"/>
        </w:rPr>
        <w:t>‘</w:t>
      </w:r>
      <w:r w:rsidRPr="004E6872">
        <w:rPr>
          <w:rFonts w:ascii="Times New Roman" w:hAnsi="Times New Roman" w:cs="Times New Roman"/>
          <w:sz w:val="20"/>
          <w:szCs w:val="20"/>
        </w:rPr>
        <w:t>suffers</w:t>
      </w:r>
      <w:r>
        <w:rPr>
          <w:rFonts w:ascii="Times New Roman" w:hAnsi="Times New Roman" w:cs="Times New Roman"/>
          <w:sz w:val="20"/>
          <w:szCs w:val="20"/>
        </w:rPr>
        <w:t>’</w:t>
      </w:r>
      <w:r w:rsidRPr="004E6872">
        <w:rPr>
          <w:rFonts w:ascii="Times New Roman" w:hAnsi="Times New Roman" w:cs="Times New Roman"/>
          <w:sz w:val="20"/>
          <w:szCs w:val="20"/>
        </w:rPr>
        <w:t xml:space="preserve"> from being deaf or having autism) or whether they are </w:t>
      </w:r>
      <w:r>
        <w:rPr>
          <w:rFonts w:ascii="Times New Roman" w:hAnsi="Times New Roman" w:cs="Times New Roman"/>
          <w:sz w:val="20"/>
          <w:szCs w:val="20"/>
        </w:rPr>
        <w:t>‘</w:t>
      </w:r>
      <w:r w:rsidRPr="004E6872">
        <w:rPr>
          <w:rFonts w:ascii="Times New Roman" w:hAnsi="Times New Roman" w:cs="Times New Roman"/>
          <w:sz w:val="20"/>
          <w:szCs w:val="20"/>
        </w:rPr>
        <w:t>differences</w:t>
      </w:r>
      <w:r>
        <w:rPr>
          <w:rFonts w:ascii="Times New Roman" w:hAnsi="Times New Roman" w:cs="Times New Roman"/>
          <w:sz w:val="20"/>
          <w:szCs w:val="20"/>
        </w:rPr>
        <w:t>’</w:t>
      </w:r>
      <w:r w:rsidRPr="004E6872">
        <w:rPr>
          <w:rFonts w:ascii="Times New Roman" w:hAnsi="Times New Roman" w:cs="Times New Roman"/>
          <w:sz w:val="20"/>
          <w:szCs w:val="20"/>
        </w:rPr>
        <w:t xml:space="preserve"> (such that the deaf and </w:t>
      </w:r>
      <w:r>
        <w:rPr>
          <w:rFonts w:ascii="Times New Roman" w:hAnsi="Times New Roman" w:cs="Times New Roman"/>
          <w:sz w:val="20"/>
          <w:szCs w:val="20"/>
        </w:rPr>
        <w:t>‘</w:t>
      </w:r>
      <w:r w:rsidRPr="004E6872">
        <w:rPr>
          <w:rFonts w:ascii="Times New Roman" w:hAnsi="Times New Roman" w:cs="Times New Roman"/>
          <w:sz w:val="20"/>
          <w:szCs w:val="20"/>
        </w:rPr>
        <w:t>auts</w:t>
      </w:r>
      <w:r>
        <w:rPr>
          <w:rFonts w:ascii="Times New Roman" w:hAnsi="Times New Roman" w:cs="Times New Roman"/>
          <w:sz w:val="20"/>
          <w:szCs w:val="20"/>
        </w:rPr>
        <w:t>’</w:t>
      </w:r>
      <w:r w:rsidRPr="004E6872">
        <w:rPr>
          <w:rFonts w:ascii="Times New Roman" w:hAnsi="Times New Roman" w:cs="Times New Roman"/>
          <w:sz w:val="20"/>
          <w:szCs w:val="20"/>
        </w:rPr>
        <w:t xml:space="preserve"> are merely atypical persons</w:t>
      </w:r>
      <w:r>
        <w:rPr>
          <w:rFonts w:ascii="Times New Roman" w:hAnsi="Times New Roman" w:cs="Times New Roman"/>
          <w:sz w:val="20"/>
          <w:szCs w:val="20"/>
        </w:rPr>
        <w:t>)</w:t>
      </w:r>
      <w:r w:rsidRPr="004E6872">
        <w:rPr>
          <w:rFonts w:ascii="Times New Roman" w:hAnsi="Times New Roman" w:cs="Times New Roman"/>
          <w:sz w:val="20"/>
          <w:szCs w:val="20"/>
        </w:rPr>
        <w:t xml:space="preserve">. Glover discusses these issues in relation to autism in Chapter 18. </w:t>
      </w:r>
    </w:p>
  </w:endnote>
  <w:endnote w:id="9">
    <w:p w14:paraId="2CE5817F" w14:textId="329F9E8B" w:rsidR="00A36741" w:rsidRPr="00EE06AC" w:rsidRDefault="00A36741" w:rsidP="004E6872">
      <w:pPr>
        <w:pStyle w:val="EndnoteText"/>
        <w:ind w:left="567" w:hanging="567"/>
        <w:jc w:val="both"/>
        <w:rPr>
          <w:rFonts w:ascii="Times New Roman" w:hAnsi="Times New Roman" w:cs="Times New Roman"/>
          <w:sz w:val="20"/>
          <w:szCs w:val="20"/>
        </w:rPr>
      </w:pPr>
      <w:r w:rsidRPr="004E6872">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4E6872">
        <w:rPr>
          <w:rFonts w:ascii="Times New Roman" w:hAnsi="Times New Roman" w:cs="Times New Roman"/>
          <w:sz w:val="20"/>
          <w:szCs w:val="20"/>
        </w:rPr>
        <w:t xml:space="preserve">Tim </w:t>
      </w:r>
      <w:r w:rsidRPr="00EE06AC">
        <w:rPr>
          <w:rFonts w:ascii="Times New Roman" w:hAnsi="Times New Roman" w:cs="Times New Roman"/>
          <w:sz w:val="20"/>
          <w:szCs w:val="20"/>
        </w:rPr>
        <w:t>Scanlon takes a different view in discussing an agent whose personality changes after being hit on the head: T.M.</w:t>
      </w:r>
      <w:r w:rsidRPr="00EE06AC">
        <w:rPr>
          <w:rFonts w:ascii="Times New Roman" w:hAnsi="Times New Roman" w:cs="Times New Roman"/>
          <w:sz w:val="20"/>
          <w:szCs w:val="20"/>
        </w:rPr>
        <w:fldChar w:fldCharType="begin"/>
      </w:r>
      <w:r w:rsidRPr="00EE06AC">
        <w:rPr>
          <w:rFonts w:ascii="Times New Roman" w:hAnsi="Times New Roman" w:cs="Times New Roman"/>
          <w:sz w:val="20"/>
          <w:szCs w:val="20"/>
        </w:rPr>
        <w:instrText xml:space="preserve"> ADDIN EN.CITE &lt;EndNote&gt;&lt;Cite&gt;&lt;Author&gt;Scanlon&lt;/Author&gt;&lt;Year&gt;1998&lt;/Year&gt;&lt;RecNum&gt;47&lt;/RecNum&gt;&lt;Pages&gt;278-9&lt;/Pages&gt;&lt;DisplayText&gt;(Scanlon 1998, 278-9)&lt;/DisplayText&gt;&lt;record&gt;&lt;rec-number&gt;47&lt;/rec-number&gt;&lt;foreign-keys&gt;&lt;key app="EN" db-id="p50tfz5zopa05le0vrkxwx22zaz2stvpavtf" timestamp="0"&gt;47&lt;/key&gt;&lt;key app="ENWeb" db-id="S7HiEwrtqgcAAFJYTCo"&gt;850&lt;/key&gt;&lt;/foreign-keys&gt;&lt;ref-type name="Book"&gt;6&lt;/ref-type&gt;&lt;contributors&gt;&lt;authors&gt;&lt;author&gt;Scanlon, T. M.&lt;/author&gt;&lt;/authors&gt;&lt;/contributors&gt;&lt;titles&gt;&lt;title&gt;What We Owe to Each Other&lt;/title&gt;&lt;/titles&gt;&lt;dates&gt;&lt;year&gt;1998&lt;/year&gt;&lt;/dates&gt;&lt;pub-location&gt;Cambridge, Mass.&lt;/pub-location&gt;&lt;publisher&gt;Harvard University Press&lt;/publisher&gt;&lt;urls&gt;&lt;/urls&gt;&lt;/record&gt;&lt;/Cite&gt;&lt;/EndNote&gt;</w:instrText>
      </w:r>
      <w:r w:rsidRPr="00EE06AC">
        <w:rPr>
          <w:rFonts w:ascii="Times New Roman" w:hAnsi="Times New Roman" w:cs="Times New Roman"/>
          <w:sz w:val="20"/>
          <w:szCs w:val="20"/>
        </w:rPr>
        <w:fldChar w:fldCharType="separate"/>
      </w:r>
      <w:r w:rsidRPr="00EE06AC">
        <w:rPr>
          <w:rFonts w:ascii="Times New Roman" w:hAnsi="Times New Roman" w:cs="Times New Roman"/>
          <w:noProof/>
          <w:sz w:val="20"/>
          <w:szCs w:val="20"/>
        </w:rPr>
        <w:t xml:space="preserve"> Scanlon, </w:t>
      </w:r>
      <w:r w:rsidRPr="00EE06AC">
        <w:rPr>
          <w:rFonts w:ascii="Times New Roman" w:hAnsi="Times New Roman" w:cs="Times New Roman"/>
          <w:i/>
          <w:noProof/>
          <w:sz w:val="20"/>
          <w:szCs w:val="20"/>
        </w:rPr>
        <w:t>What We Owe to Each Other</w:t>
      </w:r>
      <w:r w:rsidRPr="00EE06AC">
        <w:rPr>
          <w:rFonts w:ascii="Times New Roman" w:hAnsi="Times New Roman" w:cs="Times New Roman"/>
          <w:noProof/>
          <w:sz w:val="20"/>
          <w:szCs w:val="20"/>
        </w:rPr>
        <w:t xml:space="preserve"> (Cambridge, MA: Harvard University Press, 1998), pp. 278</w:t>
      </w:r>
      <w:r w:rsidRPr="00EE06AC">
        <w:rPr>
          <w:rFonts w:ascii="Times New Roman" w:hAnsi="Times New Roman" w:cs="Times New Roman"/>
          <w:sz w:val="20"/>
          <w:szCs w:val="20"/>
        </w:rPr>
        <w:t>–</w:t>
      </w:r>
      <w:r w:rsidRPr="00EE06AC">
        <w:rPr>
          <w:rFonts w:ascii="Times New Roman" w:hAnsi="Times New Roman" w:cs="Times New Roman"/>
          <w:noProof/>
          <w:sz w:val="20"/>
          <w:szCs w:val="20"/>
        </w:rPr>
        <w:t>9)</w:t>
      </w:r>
      <w:r w:rsidRPr="00EE06AC">
        <w:rPr>
          <w:rFonts w:ascii="Times New Roman" w:hAnsi="Times New Roman" w:cs="Times New Roman"/>
          <w:sz w:val="20"/>
          <w:szCs w:val="20"/>
        </w:rPr>
        <w:fldChar w:fldCharType="end"/>
      </w:r>
      <w:r w:rsidRPr="00EE06AC">
        <w:rPr>
          <w:rFonts w:ascii="Times New Roman" w:hAnsi="Times New Roman" w:cs="Times New Roman"/>
          <w:sz w:val="20"/>
          <w:szCs w:val="20"/>
        </w:rPr>
        <w:t>.</w:t>
      </w:r>
    </w:p>
  </w:endnote>
  <w:endnote w:id="10">
    <w:p w14:paraId="7BA5A725" w14:textId="2123C052" w:rsidR="00A36741" w:rsidRPr="004E6872" w:rsidRDefault="00A36741" w:rsidP="004E6872">
      <w:pPr>
        <w:pStyle w:val="EndnoteText"/>
        <w:ind w:left="567" w:hanging="567"/>
        <w:jc w:val="both"/>
        <w:rPr>
          <w:rFonts w:ascii="Times New Roman" w:hAnsi="Times New Roman" w:cs="Times New Roman"/>
          <w:sz w:val="20"/>
          <w:szCs w:val="20"/>
        </w:rPr>
      </w:pPr>
      <w:r w:rsidRPr="004E6872">
        <w:rPr>
          <w:rStyle w:val="EndnoteReference"/>
          <w:rFonts w:ascii="Times New Roman" w:hAnsi="Times New Roman" w:cs="Times New Roman"/>
          <w:sz w:val="20"/>
          <w:szCs w:val="20"/>
          <w:vertAlign w:val="baseline"/>
        </w:rPr>
        <w:endnoteRef/>
      </w:r>
      <w:r>
        <w:rPr>
          <w:rFonts w:ascii="Times New Roman" w:hAnsi="Times New Roman" w:cs="Times New Roman"/>
          <w:sz w:val="20"/>
          <w:szCs w:val="20"/>
        </w:rPr>
        <w:tab/>
      </w:r>
      <w:r w:rsidRPr="004E6872">
        <w:rPr>
          <w:rFonts w:ascii="Times New Roman" w:hAnsi="Times New Roman" w:cs="Times New Roman"/>
          <w:sz w:val="20"/>
          <w:szCs w:val="20"/>
        </w:rPr>
        <w:t>Consider, for example, Glover</w:t>
      </w:r>
      <w:r>
        <w:rPr>
          <w:rFonts w:ascii="Times New Roman" w:hAnsi="Times New Roman" w:cs="Times New Roman"/>
          <w:sz w:val="20"/>
          <w:szCs w:val="20"/>
        </w:rPr>
        <w:t>’</w:t>
      </w:r>
      <w:r w:rsidRPr="004E6872">
        <w:rPr>
          <w:rFonts w:ascii="Times New Roman" w:hAnsi="Times New Roman" w:cs="Times New Roman"/>
          <w:sz w:val="20"/>
          <w:szCs w:val="20"/>
        </w:rPr>
        <w:t>s remark of van Gogh</w:t>
      </w:r>
      <w:r>
        <w:rPr>
          <w:rFonts w:ascii="Times New Roman" w:hAnsi="Times New Roman" w:cs="Times New Roman"/>
          <w:sz w:val="20"/>
          <w:szCs w:val="20"/>
        </w:rPr>
        <w:t>’</w:t>
      </w:r>
      <w:r w:rsidRPr="004E6872">
        <w:rPr>
          <w:rFonts w:ascii="Times New Roman" w:hAnsi="Times New Roman" w:cs="Times New Roman"/>
          <w:sz w:val="20"/>
          <w:szCs w:val="20"/>
        </w:rPr>
        <w:t xml:space="preserve">s </w:t>
      </w:r>
      <w:r w:rsidRPr="004E6872">
        <w:rPr>
          <w:rFonts w:ascii="Times New Roman" w:hAnsi="Times New Roman" w:cs="Times New Roman"/>
          <w:i/>
          <w:sz w:val="20"/>
          <w:szCs w:val="20"/>
        </w:rPr>
        <w:t>Wheatfield with Crows</w:t>
      </w:r>
      <w:r w:rsidRPr="004E6872">
        <w:rPr>
          <w:rFonts w:ascii="Times New Roman" w:hAnsi="Times New Roman" w:cs="Times New Roman"/>
          <w:sz w:val="20"/>
          <w:szCs w:val="20"/>
        </w:rPr>
        <w:t xml:space="preserve">, </w:t>
      </w:r>
      <w:r>
        <w:rPr>
          <w:rFonts w:ascii="Times New Roman" w:hAnsi="Times New Roman" w:cs="Times New Roman"/>
          <w:sz w:val="20"/>
          <w:szCs w:val="20"/>
        </w:rPr>
        <w:t>‘</w:t>
      </w:r>
      <w:r w:rsidRPr="004E6872">
        <w:rPr>
          <w:rFonts w:ascii="Times New Roman" w:hAnsi="Times New Roman" w:cs="Times New Roman"/>
          <w:sz w:val="20"/>
          <w:szCs w:val="20"/>
        </w:rPr>
        <w:t>the greatness of the painting comes partly from its making one kind of desperate state of mind intelligible from the inside</w:t>
      </w:r>
      <w:r>
        <w:rPr>
          <w:rFonts w:ascii="Times New Roman" w:hAnsi="Times New Roman" w:cs="Times New Roman"/>
          <w:sz w:val="20"/>
          <w:szCs w:val="20"/>
        </w:rPr>
        <w:t>’</w:t>
      </w:r>
      <w:r w:rsidRPr="004E6872">
        <w:rPr>
          <w:rFonts w:ascii="Times New Roman" w:hAnsi="Times New Roman" w:cs="Times New Roman"/>
          <w:sz w:val="20"/>
          <w:szCs w:val="20"/>
        </w:rPr>
        <w:t xml:space="preserve"> (</w:t>
      </w:r>
      <w:r>
        <w:rPr>
          <w:rFonts w:ascii="Times New Roman" w:hAnsi="Times New Roman" w:cs="Times New Roman"/>
          <w:sz w:val="20"/>
          <w:szCs w:val="20"/>
        </w:rPr>
        <w:t xml:space="preserve">p. </w:t>
      </w:r>
      <w:r w:rsidRPr="004E6872">
        <w:rPr>
          <w:rFonts w:ascii="Times New Roman" w:hAnsi="Times New Roman" w:cs="Times New Roman"/>
          <w:sz w:val="20"/>
          <w:szCs w:val="20"/>
        </w:rPr>
        <w:t>182). It would be odd to deny that the painting is great and that on viewing it – even in reproduction in this book – one is struck by the turbulence of the state of mind of the painter, but it is a leap to say that it renders the mind of the painter intelligible (or even clear) to the viewer.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A9869" w14:textId="77777777" w:rsidR="00A36741" w:rsidRPr="00F776C2" w:rsidRDefault="00A36741" w:rsidP="00F776C2">
    <w:pPr>
      <w:pStyle w:val="Footer"/>
      <w:jc w:val="both"/>
      <w:rPr>
        <w:rFonts w:ascii="Times New Roman" w:hAnsi="Times New Roman" w:cs="Times New Roman"/>
      </w:rPr>
    </w:pPr>
    <w:r w:rsidRPr="00F776C2">
      <w:rPr>
        <w:rFonts w:ascii="Times New Roman" w:hAnsi="Times New Roman" w:cs="Times New Roman"/>
        <w:spacing w:val="-3"/>
        <w:sz w:val="18"/>
      </w:rPr>
      <w:t>© Society for Applied Philosophy, 2016.</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FF38CF" w14:textId="77777777" w:rsidR="00A36741" w:rsidRPr="00F776C2" w:rsidRDefault="00A36741" w:rsidP="00F776C2">
    <w:pPr>
      <w:pStyle w:val="Footer"/>
      <w:jc w:val="both"/>
      <w:rPr>
        <w:rFonts w:ascii="Times New Roman" w:hAnsi="Times New Roman" w:cs="Times New Roman"/>
      </w:rPr>
    </w:pPr>
    <w:r w:rsidRPr="00F776C2">
      <w:rPr>
        <w:rFonts w:ascii="Times New Roman" w:hAnsi="Times New Roman" w:cs="Times New Roman"/>
        <w:spacing w:val="-3"/>
        <w:sz w:val="18"/>
      </w:rPr>
      <w:t>© Society for Applied Philosophy, 2016.</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F7DF" w14:textId="77777777" w:rsidR="00A36741" w:rsidRPr="00F776C2" w:rsidRDefault="00A36741" w:rsidP="00F776C2">
    <w:pPr>
      <w:pStyle w:val="Footer"/>
      <w:jc w:val="both"/>
      <w:rPr>
        <w:rFonts w:ascii="Times New Roman" w:hAnsi="Times New Roman" w:cs="Times New Roman"/>
      </w:rPr>
    </w:pPr>
    <w:r w:rsidRPr="00F776C2">
      <w:rPr>
        <w:rFonts w:ascii="Times New Roman" w:hAnsi="Times New Roman" w:cs="Times New Roman"/>
        <w:spacing w:val="-3"/>
        <w:sz w:val="18"/>
      </w:rPr>
      <w:t>© Society for Applied Philosophy, 2016, John Wiley &amp; Sons, 9600 Garsington Road, Oxford, OX4 2DQ, UK and 350 Main Street, Malden, MA 02148, USA.</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DFF52C" w14:textId="77777777" w:rsidR="006C2957" w:rsidRDefault="006C2957" w:rsidP="00D90B95">
      <w:r>
        <w:separator/>
      </w:r>
    </w:p>
  </w:footnote>
  <w:footnote w:type="continuationSeparator" w:id="0">
    <w:p w14:paraId="78D2304E" w14:textId="77777777" w:rsidR="006C2957" w:rsidRDefault="006C2957" w:rsidP="00D90B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482A49" w14:textId="77777777" w:rsidR="00A36741" w:rsidRPr="00F776C2" w:rsidRDefault="00A36741" w:rsidP="00F776C2">
    <w:pPr>
      <w:pStyle w:val="Header"/>
      <w:framePr w:wrap="around" w:vAnchor="text" w:hAnchor="margin" w:xAlign="outside" w:y="1"/>
      <w:rPr>
        <w:rStyle w:val="PageNumber"/>
        <w:rFonts w:ascii="Times New Roman" w:hAnsi="Times New Roman" w:cs="Times New Roman"/>
      </w:rPr>
    </w:pPr>
    <w:r w:rsidRPr="00F776C2">
      <w:rPr>
        <w:rStyle w:val="PageNumber"/>
        <w:rFonts w:ascii="Times New Roman" w:hAnsi="Times New Roman" w:cs="Times New Roman"/>
      </w:rPr>
      <w:fldChar w:fldCharType="begin"/>
    </w:r>
    <w:r w:rsidRPr="00F776C2">
      <w:rPr>
        <w:rStyle w:val="PageNumber"/>
        <w:rFonts w:ascii="Times New Roman" w:hAnsi="Times New Roman" w:cs="Times New Roman"/>
      </w:rPr>
      <w:instrText xml:space="preserve">PAGE  </w:instrText>
    </w:r>
    <w:r w:rsidRPr="00F776C2">
      <w:rPr>
        <w:rStyle w:val="PageNumber"/>
        <w:rFonts w:ascii="Times New Roman" w:hAnsi="Times New Roman" w:cs="Times New Roman"/>
      </w:rPr>
      <w:fldChar w:fldCharType="separate"/>
    </w:r>
    <w:r w:rsidR="00102863">
      <w:rPr>
        <w:rStyle w:val="PageNumber"/>
        <w:rFonts w:ascii="Times New Roman" w:hAnsi="Times New Roman" w:cs="Times New Roman"/>
        <w:noProof/>
      </w:rPr>
      <w:t>6</w:t>
    </w:r>
    <w:r w:rsidRPr="00F776C2">
      <w:rPr>
        <w:rStyle w:val="PageNumber"/>
        <w:rFonts w:ascii="Times New Roman" w:hAnsi="Times New Roman" w:cs="Times New Roman"/>
      </w:rPr>
      <w:fldChar w:fldCharType="end"/>
    </w:r>
  </w:p>
  <w:p w14:paraId="558B2216" w14:textId="77777777" w:rsidR="00A36741" w:rsidRPr="00F776C2" w:rsidRDefault="00A36741" w:rsidP="00F776C2">
    <w:pPr>
      <w:pStyle w:val="Header"/>
      <w:ind w:right="360" w:firstLine="360"/>
      <w:rPr>
        <w:i/>
      </w:rPr>
    </w:pPr>
    <w:r w:rsidRPr="00F776C2">
      <w:rPr>
        <w:rFonts w:ascii="Times New Roman" w:hAnsi="Times New Roman" w:cs="Times New Roman"/>
        <w:i/>
      </w:rPr>
      <w:t>Matt Matravers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C0146" w14:textId="77777777" w:rsidR="00A36741" w:rsidRPr="00F776C2" w:rsidRDefault="00A36741" w:rsidP="00F776C2">
    <w:pPr>
      <w:pStyle w:val="Header"/>
      <w:framePr w:wrap="around" w:vAnchor="text" w:hAnchor="margin" w:xAlign="outside" w:y="1"/>
      <w:rPr>
        <w:rStyle w:val="PageNumber"/>
        <w:rFonts w:ascii="Times New Roman" w:hAnsi="Times New Roman" w:cs="Times New Roman"/>
      </w:rPr>
    </w:pPr>
    <w:r w:rsidRPr="00F776C2">
      <w:rPr>
        <w:rStyle w:val="PageNumber"/>
        <w:rFonts w:ascii="Times New Roman" w:hAnsi="Times New Roman" w:cs="Times New Roman"/>
      </w:rPr>
      <w:fldChar w:fldCharType="begin"/>
    </w:r>
    <w:r w:rsidRPr="00F776C2">
      <w:rPr>
        <w:rStyle w:val="PageNumber"/>
        <w:rFonts w:ascii="Times New Roman" w:hAnsi="Times New Roman" w:cs="Times New Roman"/>
      </w:rPr>
      <w:instrText xml:space="preserve">PAGE  </w:instrText>
    </w:r>
    <w:r w:rsidRPr="00F776C2">
      <w:rPr>
        <w:rStyle w:val="PageNumber"/>
        <w:rFonts w:ascii="Times New Roman" w:hAnsi="Times New Roman" w:cs="Times New Roman"/>
      </w:rPr>
      <w:fldChar w:fldCharType="separate"/>
    </w:r>
    <w:r w:rsidR="00102863">
      <w:rPr>
        <w:rStyle w:val="PageNumber"/>
        <w:rFonts w:ascii="Times New Roman" w:hAnsi="Times New Roman" w:cs="Times New Roman"/>
        <w:noProof/>
      </w:rPr>
      <w:t>5</w:t>
    </w:r>
    <w:r w:rsidRPr="00F776C2">
      <w:rPr>
        <w:rStyle w:val="PageNumber"/>
        <w:rFonts w:ascii="Times New Roman" w:hAnsi="Times New Roman" w:cs="Times New Roman"/>
      </w:rPr>
      <w:fldChar w:fldCharType="end"/>
    </w:r>
  </w:p>
  <w:p w14:paraId="4E199E17" w14:textId="77777777" w:rsidR="00A36741" w:rsidRPr="00F776C2" w:rsidRDefault="00A36741" w:rsidP="00F776C2">
    <w:pPr>
      <w:pStyle w:val="Header"/>
      <w:ind w:right="360" w:firstLine="360"/>
      <w:jc w:val="right"/>
      <w:rPr>
        <w:i/>
      </w:rPr>
    </w:pPr>
    <w:r w:rsidRPr="00F776C2">
      <w:rPr>
        <w:rFonts w:ascii="Times New Roman" w:hAnsi="Times New Roman" w:cs="Times New Roman"/>
        <w:i/>
      </w:rPr>
      <w:t xml:space="preserve">What Is It </w:t>
    </w:r>
    <w:r>
      <w:rPr>
        <w:rFonts w:ascii="Times New Roman" w:hAnsi="Times New Roman" w:cs="Times New Roman"/>
        <w:i/>
      </w:rPr>
      <w:t>Like to B</w:t>
    </w:r>
    <w:r w:rsidRPr="00F776C2">
      <w:rPr>
        <w:rFonts w:ascii="Times New Roman" w:hAnsi="Times New Roman" w:cs="Times New Roman"/>
        <w:i/>
      </w:rPr>
      <w:t>e an Alien?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B6524" w14:textId="77777777" w:rsidR="00A36741" w:rsidRPr="00F776C2" w:rsidRDefault="00A36741" w:rsidP="00F776C2">
    <w:pPr>
      <w:pStyle w:val="Header"/>
      <w:jc w:val="both"/>
      <w:rPr>
        <w:rFonts w:ascii="Times New Roman" w:hAnsi="Times New Roman" w:cs="Times New Roman"/>
      </w:rPr>
    </w:pPr>
    <w:r w:rsidRPr="00F776C2">
      <w:rPr>
        <w:rFonts w:ascii="Times New Roman" w:hAnsi="Times New Roman" w:cs="Times New Roman"/>
        <w:i/>
        <w:spacing w:val="-3"/>
      </w:rPr>
      <w:t>Journal of Applied Philosophy, Vol. 33, No. ,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C018F5"/>
    <w:multiLevelType w:val="multilevel"/>
    <w:tmpl w:val="5F966DE6"/>
    <w:styleLink w:val="List0"/>
    <w:lvl w:ilvl="0">
      <w:start w:val="1"/>
      <w:numFmt w:val="decimal"/>
      <w:lvlText w:val="%1."/>
      <w:lvlJc w:val="left"/>
      <w:rPr>
        <w:rFonts w:ascii="Garamond" w:eastAsia="Garamond" w:hAnsi="Garamond" w:cs="Garamond"/>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Garamond" w:eastAsia="Garamond" w:hAnsi="Garamond" w:cs="Garamond"/>
        <w:position w:val="0"/>
      </w:rPr>
    </w:lvl>
    <w:lvl w:ilvl="3">
      <w:start w:val="1"/>
      <w:numFmt w:val="decimal"/>
      <w:lvlText w:val="%1.%2.%3.%4."/>
      <w:lvlJc w:val="left"/>
      <w:rPr>
        <w:rFonts w:ascii="Garamond" w:eastAsia="Garamond" w:hAnsi="Garamond" w:cs="Garamond"/>
        <w:position w:val="0"/>
      </w:rPr>
    </w:lvl>
    <w:lvl w:ilvl="4">
      <w:start w:val="1"/>
      <w:numFmt w:val="decimal"/>
      <w:lvlText w:val="%1.%2.%3.%4.%5."/>
      <w:lvlJc w:val="left"/>
      <w:rPr>
        <w:rFonts w:ascii="Garamond" w:eastAsia="Garamond" w:hAnsi="Garamond" w:cs="Garamond"/>
        <w:position w:val="0"/>
      </w:rPr>
    </w:lvl>
    <w:lvl w:ilvl="5">
      <w:start w:val="1"/>
      <w:numFmt w:val="decimal"/>
      <w:lvlText w:val="%1.%2.%3.%4.%5.%6."/>
      <w:lvlJc w:val="left"/>
      <w:rPr>
        <w:rFonts w:ascii="Garamond" w:eastAsia="Garamond" w:hAnsi="Garamond" w:cs="Garamond"/>
        <w:position w:val="0"/>
      </w:rPr>
    </w:lvl>
    <w:lvl w:ilvl="6">
      <w:start w:val="1"/>
      <w:numFmt w:val="decimal"/>
      <w:lvlText w:val="%1.%2.%3.%4.%5.%6.%7."/>
      <w:lvlJc w:val="left"/>
      <w:rPr>
        <w:rFonts w:ascii="Garamond" w:eastAsia="Garamond" w:hAnsi="Garamond" w:cs="Garamond"/>
        <w:position w:val="0"/>
      </w:rPr>
    </w:lvl>
    <w:lvl w:ilvl="7">
      <w:start w:val="1"/>
      <w:numFmt w:val="decimal"/>
      <w:lvlText w:val="%1.%2.%3.%4.%5.%6.%7.%8."/>
      <w:lvlJc w:val="left"/>
      <w:rPr>
        <w:rFonts w:ascii="Garamond" w:eastAsia="Garamond" w:hAnsi="Garamond" w:cs="Garamond"/>
        <w:position w:val="0"/>
      </w:rPr>
    </w:lvl>
    <w:lvl w:ilvl="8">
      <w:start w:val="1"/>
      <w:numFmt w:val="decimal"/>
      <w:lvlText w:val="%1.%2.%3.%4.%5.%6.%7.%8.%9."/>
      <w:lvlJc w:val="left"/>
      <w:rPr>
        <w:rFonts w:ascii="Garamond" w:eastAsia="Garamond" w:hAnsi="Garamond" w:cs="Garamond"/>
        <w:position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302"/>
  <w:defaultTabStop w:val="720"/>
  <w:evenAndOddHeaders/>
  <w:characterSpacingControl w:val="doNotCompres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thor-Date Copy&lt;/Style&gt;&lt;LeftDelim&gt;{&lt;/LeftDelim&gt;&lt;RightDelim&gt;}&lt;/RightDelim&gt;&lt;FontName&gt;Times New Roman&lt;/FontName&gt;&lt;FontSize&gt;11&lt;/FontSize&gt;&lt;ReflistTitle&gt;&lt;style face=&quot;bold&quot;&gt;References&lt;/style&gt;&lt;/ReflistTitle&gt;&lt;StartingRefnum&gt;1&lt;/StartingRefnum&gt;&lt;FirstLineIndent&gt;0&lt;/FirstLineIndent&gt;&lt;HangingIndent&gt;720&lt;/HangingIndent&gt;&lt;LineSpacing&gt;0&lt;/LineSpacing&gt;&lt;SpaceAfter&gt;2&lt;/SpaceAfter&gt;&lt;HyperlinksEnabled&gt;0&lt;/HyperlinksEnabled&gt;&lt;HyperlinksVisible&gt;0&lt;/HyperlinksVisible&gt;&lt;EnableBibliographyCategories&gt;0&lt;/EnableBibliographyCategories&gt;&lt;/ENLayout&gt;"/>
    <w:docVar w:name="EN.Libraries" w:val="&lt;Libraries&gt;&lt;item db-id=&quot;p50tfz5zopa05le0vrkxwx22zaz2stvpavtf&quot;&gt;newmaster&lt;record-ids&gt;&lt;item&gt;44&lt;/item&gt;&lt;item&gt;47&lt;/item&gt;&lt;item&gt;121&lt;/item&gt;&lt;item&gt;181&lt;/item&gt;&lt;item&gt;350&lt;/item&gt;&lt;item&gt;988&lt;/item&gt;&lt;item&gt;2015&lt;/item&gt;&lt;item&gt;2068&lt;/item&gt;&lt;/record-ids&gt;&lt;/item&gt;&lt;/Libraries&gt;"/>
  </w:docVars>
  <w:rsids>
    <w:rsidRoot w:val="007C503F"/>
    <w:rsid w:val="0001222F"/>
    <w:rsid w:val="00015110"/>
    <w:rsid w:val="00021ACB"/>
    <w:rsid w:val="00051AE9"/>
    <w:rsid w:val="00052BF2"/>
    <w:rsid w:val="00061B4C"/>
    <w:rsid w:val="000638B4"/>
    <w:rsid w:val="00065839"/>
    <w:rsid w:val="000C2291"/>
    <w:rsid w:val="000C262B"/>
    <w:rsid w:val="000D1F83"/>
    <w:rsid w:val="000D4F65"/>
    <w:rsid w:val="000D52BC"/>
    <w:rsid w:val="000F3DBF"/>
    <w:rsid w:val="00102863"/>
    <w:rsid w:val="00115186"/>
    <w:rsid w:val="00123E66"/>
    <w:rsid w:val="001768B6"/>
    <w:rsid w:val="00193953"/>
    <w:rsid w:val="0019445B"/>
    <w:rsid w:val="00194803"/>
    <w:rsid w:val="0022757F"/>
    <w:rsid w:val="00231023"/>
    <w:rsid w:val="00235092"/>
    <w:rsid w:val="002578F1"/>
    <w:rsid w:val="00275401"/>
    <w:rsid w:val="002C785A"/>
    <w:rsid w:val="002E68D7"/>
    <w:rsid w:val="0032653B"/>
    <w:rsid w:val="00383EB3"/>
    <w:rsid w:val="003B7981"/>
    <w:rsid w:val="003E7D27"/>
    <w:rsid w:val="003F14E3"/>
    <w:rsid w:val="00413812"/>
    <w:rsid w:val="0042788D"/>
    <w:rsid w:val="00431D3E"/>
    <w:rsid w:val="0044266C"/>
    <w:rsid w:val="004544B1"/>
    <w:rsid w:val="0046324D"/>
    <w:rsid w:val="004650CC"/>
    <w:rsid w:val="004774CD"/>
    <w:rsid w:val="00486DFE"/>
    <w:rsid w:val="004C20AF"/>
    <w:rsid w:val="004C5FDF"/>
    <w:rsid w:val="004D7B0A"/>
    <w:rsid w:val="004E6872"/>
    <w:rsid w:val="00506655"/>
    <w:rsid w:val="00517139"/>
    <w:rsid w:val="0053429F"/>
    <w:rsid w:val="0053617B"/>
    <w:rsid w:val="00571577"/>
    <w:rsid w:val="00572CE7"/>
    <w:rsid w:val="005A067A"/>
    <w:rsid w:val="005A1E21"/>
    <w:rsid w:val="005B75F7"/>
    <w:rsid w:val="005D11FB"/>
    <w:rsid w:val="005D7AF3"/>
    <w:rsid w:val="00602822"/>
    <w:rsid w:val="006113ED"/>
    <w:rsid w:val="00637358"/>
    <w:rsid w:val="006636E0"/>
    <w:rsid w:val="00664FF7"/>
    <w:rsid w:val="006C2957"/>
    <w:rsid w:val="006E1C66"/>
    <w:rsid w:val="00702427"/>
    <w:rsid w:val="00754BB0"/>
    <w:rsid w:val="007B39C5"/>
    <w:rsid w:val="007C503F"/>
    <w:rsid w:val="007E5DEE"/>
    <w:rsid w:val="007F568B"/>
    <w:rsid w:val="007F7D28"/>
    <w:rsid w:val="00800026"/>
    <w:rsid w:val="008067CD"/>
    <w:rsid w:val="00816DDB"/>
    <w:rsid w:val="00825D88"/>
    <w:rsid w:val="008317ED"/>
    <w:rsid w:val="00834D10"/>
    <w:rsid w:val="00853A89"/>
    <w:rsid w:val="008A7F6D"/>
    <w:rsid w:val="008B0C4B"/>
    <w:rsid w:val="008B64CF"/>
    <w:rsid w:val="008E170D"/>
    <w:rsid w:val="008E5F19"/>
    <w:rsid w:val="00927F30"/>
    <w:rsid w:val="009378CB"/>
    <w:rsid w:val="0095273F"/>
    <w:rsid w:val="00970836"/>
    <w:rsid w:val="009903F9"/>
    <w:rsid w:val="009911F2"/>
    <w:rsid w:val="00991BC8"/>
    <w:rsid w:val="0099321A"/>
    <w:rsid w:val="009959EE"/>
    <w:rsid w:val="009A09B3"/>
    <w:rsid w:val="009C3462"/>
    <w:rsid w:val="009D495B"/>
    <w:rsid w:val="009E1EED"/>
    <w:rsid w:val="00A16A13"/>
    <w:rsid w:val="00A36741"/>
    <w:rsid w:val="00A4467D"/>
    <w:rsid w:val="00A50146"/>
    <w:rsid w:val="00A51B5C"/>
    <w:rsid w:val="00A823FA"/>
    <w:rsid w:val="00A85E7B"/>
    <w:rsid w:val="00AE54F3"/>
    <w:rsid w:val="00AF6FE7"/>
    <w:rsid w:val="00B02622"/>
    <w:rsid w:val="00B037AC"/>
    <w:rsid w:val="00B57156"/>
    <w:rsid w:val="00B7190F"/>
    <w:rsid w:val="00B95871"/>
    <w:rsid w:val="00BA3873"/>
    <w:rsid w:val="00BA49B5"/>
    <w:rsid w:val="00BC2951"/>
    <w:rsid w:val="00BF79A2"/>
    <w:rsid w:val="00C064A9"/>
    <w:rsid w:val="00C131E8"/>
    <w:rsid w:val="00C25AE9"/>
    <w:rsid w:val="00C34C91"/>
    <w:rsid w:val="00C458A0"/>
    <w:rsid w:val="00C627BB"/>
    <w:rsid w:val="00C706D5"/>
    <w:rsid w:val="00CA4918"/>
    <w:rsid w:val="00CB27F0"/>
    <w:rsid w:val="00CB7706"/>
    <w:rsid w:val="00CF7674"/>
    <w:rsid w:val="00D137B5"/>
    <w:rsid w:val="00D2148F"/>
    <w:rsid w:val="00D23619"/>
    <w:rsid w:val="00D4258F"/>
    <w:rsid w:val="00D57A00"/>
    <w:rsid w:val="00D90B95"/>
    <w:rsid w:val="00DA0A47"/>
    <w:rsid w:val="00DA7B39"/>
    <w:rsid w:val="00DB5E4E"/>
    <w:rsid w:val="00DE542A"/>
    <w:rsid w:val="00DF3AC5"/>
    <w:rsid w:val="00E13294"/>
    <w:rsid w:val="00E16DAB"/>
    <w:rsid w:val="00E24F40"/>
    <w:rsid w:val="00E2766D"/>
    <w:rsid w:val="00E44EB7"/>
    <w:rsid w:val="00E473CE"/>
    <w:rsid w:val="00E560B9"/>
    <w:rsid w:val="00E73639"/>
    <w:rsid w:val="00EA1BB7"/>
    <w:rsid w:val="00EB15F4"/>
    <w:rsid w:val="00EB6FE9"/>
    <w:rsid w:val="00EE06AC"/>
    <w:rsid w:val="00F26C40"/>
    <w:rsid w:val="00F62D20"/>
    <w:rsid w:val="00F652FA"/>
    <w:rsid w:val="00F66F60"/>
    <w:rsid w:val="00F776C2"/>
    <w:rsid w:val="00F900CF"/>
    <w:rsid w:val="00F95C06"/>
    <w:rsid w:val="00FA550D"/>
    <w:rsid w:val="00FA7349"/>
    <w:rsid w:val="00FB6268"/>
    <w:rsid w:val="00FB628B"/>
    <w:rsid w:val="00FC331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DFA6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6C2"/>
    <w:pPr>
      <w:keepNext/>
      <w:keepLines/>
      <w:spacing w:before="480"/>
      <w:outlineLvl w:val="0"/>
    </w:pPr>
    <w:rPr>
      <w:rFonts w:asciiTheme="majorHAnsi" w:eastAsiaTheme="majorEastAsia" w:hAnsiTheme="majorHAnsi" w:cstheme="majorBidi"/>
      <w:b/>
      <w:bCs/>
      <w:color w:val="2C6EAB" w:themeColor="accent1" w:themeShade="B5"/>
      <w:sz w:val="32"/>
      <w:szCs w:val="32"/>
    </w:rPr>
  </w:style>
  <w:style w:type="paragraph" w:styleId="Heading6">
    <w:name w:val="heading 6"/>
    <w:basedOn w:val="Normal1"/>
    <w:next w:val="Normal1"/>
    <w:link w:val="Heading6Char"/>
    <w:semiHidden/>
    <w:unhideWhenUsed/>
    <w:qFormat/>
    <w:rsid w:val="005A067A"/>
    <w:pPr>
      <w:spacing w:line="240" w:lineRule="auto"/>
      <w:ind w:left="540" w:right="456"/>
      <w:contextualSpacing/>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qFormat/>
    <w:rsid w:val="00D90B95"/>
    <w:pPr>
      <w:jc w:val="both"/>
    </w:pPr>
    <w:rPr>
      <w:rFonts w:ascii="Times New Roman" w:hAnsi="Times New Roman" w:cs="Times New Roman"/>
      <w:sz w:val="18"/>
      <w:szCs w:val="18"/>
      <w:lang w:val="en-US"/>
    </w:rPr>
  </w:style>
  <w:style w:type="character" w:customStyle="1" w:styleId="FootnoteTextChar">
    <w:name w:val="Footnote Text Char"/>
    <w:basedOn w:val="DefaultParagraphFont"/>
    <w:link w:val="FootnoteText"/>
    <w:uiPriority w:val="99"/>
    <w:rsid w:val="00D90B95"/>
    <w:rPr>
      <w:rFonts w:ascii="Times New Roman" w:hAnsi="Times New Roman" w:cs="Times New Roman"/>
      <w:sz w:val="18"/>
      <w:szCs w:val="18"/>
      <w:lang w:val="en-US"/>
    </w:rPr>
  </w:style>
  <w:style w:type="paragraph" w:customStyle="1" w:styleId="EndNoteBibliographyTitle">
    <w:name w:val="EndNote Bibliography Title"/>
    <w:basedOn w:val="Normal"/>
    <w:rsid w:val="00065839"/>
    <w:pPr>
      <w:jc w:val="center"/>
    </w:pPr>
    <w:rPr>
      <w:rFonts w:ascii="Times New Roman" w:hAnsi="Times New Roman" w:cs="Times New Roman"/>
      <w:sz w:val="22"/>
      <w:lang w:val="en-US"/>
    </w:rPr>
  </w:style>
  <w:style w:type="paragraph" w:customStyle="1" w:styleId="EndNoteBibliography">
    <w:name w:val="EndNote Bibliography"/>
    <w:basedOn w:val="Normal"/>
    <w:rsid w:val="00065839"/>
    <w:rPr>
      <w:rFonts w:ascii="Times New Roman" w:hAnsi="Times New Roman" w:cs="Times New Roman"/>
      <w:sz w:val="22"/>
      <w:lang w:val="en-US"/>
    </w:rPr>
  </w:style>
  <w:style w:type="character" w:styleId="FootnoteReference">
    <w:name w:val="footnote reference"/>
    <w:basedOn w:val="DefaultParagraphFont"/>
    <w:uiPriority w:val="99"/>
    <w:unhideWhenUsed/>
    <w:rsid w:val="00D90B95"/>
    <w:rPr>
      <w:vertAlign w:val="superscript"/>
    </w:rPr>
  </w:style>
  <w:style w:type="paragraph" w:styleId="Header">
    <w:name w:val="header"/>
    <w:basedOn w:val="Normal"/>
    <w:link w:val="HeaderChar"/>
    <w:uiPriority w:val="99"/>
    <w:unhideWhenUsed/>
    <w:rsid w:val="00602822"/>
    <w:pPr>
      <w:tabs>
        <w:tab w:val="center" w:pos="4320"/>
        <w:tab w:val="right" w:pos="8640"/>
      </w:tabs>
    </w:pPr>
  </w:style>
  <w:style w:type="character" w:customStyle="1" w:styleId="HeaderChar">
    <w:name w:val="Header Char"/>
    <w:basedOn w:val="DefaultParagraphFont"/>
    <w:link w:val="Header"/>
    <w:uiPriority w:val="99"/>
    <w:rsid w:val="00602822"/>
  </w:style>
  <w:style w:type="paragraph" w:styleId="Footer">
    <w:name w:val="footer"/>
    <w:basedOn w:val="Normal"/>
    <w:link w:val="FooterChar"/>
    <w:uiPriority w:val="99"/>
    <w:unhideWhenUsed/>
    <w:rsid w:val="00602822"/>
    <w:pPr>
      <w:tabs>
        <w:tab w:val="center" w:pos="4320"/>
        <w:tab w:val="right" w:pos="8640"/>
      </w:tabs>
    </w:pPr>
  </w:style>
  <w:style w:type="character" w:customStyle="1" w:styleId="FooterChar">
    <w:name w:val="Footer Char"/>
    <w:basedOn w:val="DefaultParagraphFont"/>
    <w:link w:val="Footer"/>
    <w:uiPriority w:val="99"/>
    <w:rsid w:val="00602822"/>
  </w:style>
  <w:style w:type="character" w:styleId="PageNumber">
    <w:name w:val="page number"/>
    <w:basedOn w:val="DefaultParagraphFont"/>
    <w:uiPriority w:val="99"/>
    <w:semiHidden/>
    <w:unhideWhenUsed/>
    <w:rsid w:val="00602822"/>
  </w:style>
  <w:style w:type="paragraph" w:styleId="ListParagraph">
    <w:name w:val="List Paragraph"/>
    <w:basedOn w:val="Normal"/>
    <w:uiPriority w:val="34"/>
    <w:qFormat/>
    <w:rsid w:val="0019445B"/>
    <w:pPr>
      <w:ind w:left="720"/>
      <w:contextualSpacing/>
    </w:pPr>
  </w:style>
  <w:style w:type="numbering" w:customStyle="1" w:styleId="List0">
    <w:name w:val="List 0"/>
    <w:basedOn w:val="NoList"/>
    <w:rsid w:val="0019445B"/>
    <w:pPr>
      <w:numPr>
        <w:numId w:val="1"/>
      </w:numPr>
    </w:pPr>
  </w:style>
  <w:style w:type="paragraph" w:styleId="BalloonText">
    <w:name w:val="Balloon Text"/>
    <w:basedOn w:val="Normal"/>
    <w:link w:val="BalloonTextChar"/>
    <w:uiPriority w:val="99"/>
    <w:semiHidden/>
    <w:unhideWhenUsed/>
    <w:rsid w:val="001944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45B"/>
    <w:rPr>
      <w:rFonts w:ascii="Lucida Grande" w:hAnsi="Lucida Grande" w:cs="Lucida Grande"/>
      <w:sz w:val="18"/>
      <w:szCs w:val="18"/>
    </w:rPr>
  </w:style>
  <w:style w:type="character" w:customStyle="1" w:styleId="Heading6Char">
    <w:name w:val="Heading 6 Char"/>
    <w:basedOn w:val="DefaultParagraphFont"/>
    <w:link w:val="Heading6"/>
    <w:semiHidden/>
    <w:rsid w:val="005A067A"/>
    <w:rPr>
      <w:rFonts w:ascii="Times New Roman" w:eastAsia="Times New Roman" w:hAnsi="Times New Roman" w:cs="Times New Roman"/>
      <w:color w:val="000000"/>
      <w:sz w:val="22"/>
      <w:szCs w:val="20"/>
    </w:rPr>
  </w:style>
  <w:style w:type="paragraph" w:customStyle="1" w:styleId="Normal1">
    <w:name w:val="Normal1"/>
    <w:rsid w:val="005A067A"/>
    <w:pPr>
      <w:widowControl w:val="0"/>
      <w:spacing w:line="360" w:lineRule="auto"/>
      <w:jc w:val="both"/>
    </w:pPr>
    <w:rPr>
      <w:rFonts w:ascii="Times New Roman" w:eastAsia="Times New Roman" w:hAnsi="Times New Roman" w:cs="Times New Roman"/>
      <w:color w:val="000000"/>
      <w:sz w:val="22"/>
      <w:szCs w:val="20"/>
    </w:rPr>
  </w:style>
  <w:style w:type="paragraph" w:styleId="EndnoteText">
    <w:name w:val="endnote text"/>
    <w:basedOn w:val="Normal"/>
    <w:link w:val="EndnoteTextChar"/>
    <w:uiPriority w:val="99"/>
    <w:unhideWhenUsed/>
    <w:rsid w:val="00F776C2"/>
  </w:style>
  <w:style w:type="character" w:customStyle="1" w:styleId="EndnoteTextChar">
    <w:name w:val="Endnote Text Char"/>
    <w:basedOn w:val="DefaultParagraphFont"/>
    <w:link w:val="EndnoteText"/>
    <w:uiPriority w:val="99"/>
    <w:rsid w:val="00F776C2"/>
  </w:style>
  <w:style w:type="character" w:styleId="EndnoteReference">
    <w:name w:val="endnote reference"/>
    <w:basedOn w:val="DefaultParagraphFont"/>
    <w:uiPriority w:val="99"/>
    <w:unhideWhenUsed/>
    <w:rsid w:val="00F776C2"/>
    <w:rPr>
      <w:vertAlign w:val="superscript"/>
    </w:rPr>
  </w:style>
  <w:style w:type="character" w:customStyle="1" w:styleId="Heading1Char">
    <w:name w:val="Heading 1 Char"/>
    <w:basedOn w:val="DefaultParagraphFont"/>
    <w:link w:val="Heading1"/>
    <w:uiPriority w:val="9"/>
    <w:rsid w:val="00F776C2"/>
    <w:rPr>
      <w:rFonts w:asciiTheme="majorHAnsi" w:eastAsiaTheme="majorEastAsia" w:hAnsiTheme="majorHAnsi" w:cstheme="majorBidi"/>
      <w:b/>
      <w:bCs/>
      <w:color w:val="2C6EAB"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318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Mor96</b:Tag>
    <b:SourceType>JournalArticle</b:SourceType>
    <b:Guid>{45CF36D1-BFA5-48CA-BCD8-530625DD6D61}</b:Guid>
    <b:Title>Brain and Blame</b:Title>
    <b:JournalName>The Georgetown Law Journal</b:JournalName>
    <b:Year>1996</b:Year>
    <b:Pages>527-549</b:Pages>
    <b:Volume>84</b:Volume>
    <b:Issue>527</b:Issue>
    <b:Author>
      <b:Author>
        <b:NameList>
          <b:Person>
            <b:Last>Morse</b:Last>
            <b:Middle>J.</b:Middle>
            <b:First>Stephen</b:First>
          </b:Person>
        </b:NameList>
      </b:Author>
    </b:Author>
    <b:RefOrder>1</b:RefOrder>
  </b:Source>
  <b:Source>
    <b:Tag>Mor97</b:Tag>
    <b:SourceType>JournalArticle</b:SourceType>
    <b:Guid>{F7833B42-D497-4F5B-9A0D-60E0AA0140D1}</b:Guid>
    <b:Title>Immaturity and Irresponsibility</b:Title>
    <b:JournalName>The Journal of Criminal Law and Criminology</b:JournalName>
    <b:Year>1997</b:Year>
    <b:Pages>15-67</b:Pages>
    <b:Volume>88</b:Volume>
    <b:Issue>1</b:Issue>
    <b:Author>
      <b:Author>
        <b:NameList>
          <b:Person>
            <b:Last>Morse</b:Last>
            <b:Middle>J. </b:Middle>
            <b:First>Stephen</b:First>
          </b:Person>
        </b:NameList>
      </b:Author>
    </b:Author>
    <b:RefOrder>2</b:RefOrder>
  </b:Source>
  <b:Source>
    <b:Tag>Mor07</b:Tag>
    <b:SourceType>JournalArticle</b:SourceType>
    <b:Guid>{481D9AF8-96FA-45D8-BB3A-34EDEC0CC6FB}</b:Guid>
    <b:Title>The Non-Problem of Free Will in Forensic Psychiatry and Psychology</b:Title>
    <b:Year>2007</b:Year>
    <b:Pages>203-220</b:Pages>
    <b:JournalName>Behavioural Sciences &amp; the Law</b:JournalName>
    <b:Volume>25</b:Volume>
    <b:Author>
      <b:Author>
        <b:NameList>
          <b:Person>
            <b:Last>Morse</b:Last>
            <b:First>Stephen</b:First>
          </b:Person>
        </b:NameList>
      </b:Author>
    </b:Author>
    <b:RefOrder>3</b:RefOrder>
  </b:Source>
  <b:Source>
    <b:Tag>Wat04</b:Tag>
    <b:SourceType>BookSection</b:SourceType>
    <b:Guid>{B570BFA5-D4C7-4CF5-8DB5-69D981963114}</b:Guid>
    <b:Title>Two Faces of Responsibility</b:Title>
    <b:BookTitle>Agency and Answerability: Selected Essays</b:BookTitle>
    <b:Year>2004</b:Year>
    <b:Pages>260-286</b:Pages>
    <b:City>Oxford</b:City>
    <b:Publisher>Oxford University Press</b:Publisher>
    <b:Author>
      <b:Author>
        <b:NameList>
          <b:Person>
            <b:Last>Watson</b:Last>
            <b:First>Gary</b:First>
          </b:Person>
        </b:NameList>
      </b:Author>
    </b:Author>
    <b:RefOrder>4</b:RefOrder>
  </b:Source>
</b:Sources>
</file>

<file path=customXml/itemProps1.xml><?xml version="1.0" encoding="utf-8"?>
<ds:datastoreItem xmlns:ds="http://schemas.openxmlformats.org/officeDocument/2006/customXml" ds:itemID="{6095E49B-0A23-AC41-B4D1-45CA8BF9D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2795</Words>
  <Characters>15938</Characters>
  <Application>Microsoft Macintosh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Matravers</dc:creator>
  <cp:keywords/>
  <dc:description/>
  <cp:lastModifiedBy>Matt Matravers</cp:lastModifiedBy>
  <cp:revision>3</cp:revision>
  <dcterms:created xsi:type="dcterms:W3CDTF">2016-03-09T17:32:00Z</dcterms:created>
  <dcterms:modified xsi:type="dcterms:W3CDTF">2016-03-09T17:32:00Z</dcterms:modified>
</cp:coreProperties>
</file>