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767A4" w14:textId="0BB09905" w:rsidR="00113CB9" w:rsidRPr="00DB3D57" w:rsidRDefault="00113CB9" w:rsidP="00113CB9">
      <w:pPr>
        <w:pStyle w:val="BATitle"/>
        <w:jc w:val="both"/>
      </w:pPr>
      <w:r w:rsidRPr="00DB3D57">
        <w:t>Photoredox-cataly</w:t>
      </w:r>
      <w:r w:rsidR="00861E48" w:rsidRPr="00DB3D57">
        <w:t>z</w:t>
      </w:r>
      <w:r w:rsidRPr="00DB3D57">
        <w:t xml:space="preserve">ed reductive </w:t>
      </w:r>
      <w:r w:rsidR="00DC6F4B">
        <w:t xml:space="preserve">carbamoyl radical generation: A </w:t>
      </w:r>
      <w:bookmarkStart w:id="0" w:name="_GoBack"/>
      <w:bookmarkEnd w:id="0"/>
      <w:r w:rsidR="00AE64F4">
        <w:t xml:space="preserve"> </w:t>
      </w:r>
      <w:r w:rsidRPr="00DB3D57">
        <w:t>redox-neutral intermolecular addition–cycli</w:t>
      </w:r>
      <w:r w:rsidR="00861E48" w:rsidRPr="00DB3D57">
        <w:t>z</w:t>
      </w:r>
      <w:r w:rsidRPr="00DB3D57">
        <w:t>ation approach to fun</w:t>
      </w:r>
      <w:r w:rsidRPr="00DB3D57">
        <w:t>c</w:t>
      </w:r>
      <w:r w:rsidR="008A3954" w:rsidRPr="00DB3D57">
        <w:t>tionali</w:t>
      </w:r>
      <w:r w:rsidR="00861E48" w:rsidRPr="00DB3D57">
        <w:t>z</w:t>
      </w:r>
      <w:r w:rsidR="008A3954" w:rsidRPr="00DB3D57">
        <w:t>ed 3,4-dihydro</w:t>
      </w:r>
      <w:r w:rsidRPr="00DB3D57">
        <w:t>quinolin-2-ones.</w:t>
      </w:r>
    </w:p>
    <w:p w14:paraId="712FDC3C" w14:textId="3260D2F9" w:rsidR="00113CB9" w:rsidRPr="00DB3D57" w:rsidRDefault="00A7220A" w:rsidP="00113CB9">
      <w:pPr>
        <w:pStyle w:val="BBAuthorName"/>
        <w:rPr>
          <w:vertAlign w:val="superscript"/>
        </w:rPr>
      </w:pPr>
      <w:r w:rsidRPr="00DB3D57">
        <w:t>Wade F. Petersen, Richard J. K. Taylor,* and James</w:t>
      </w:r>
      <w:r w:rsidR="004177E0" w:rsidRPr="00DB3D57">
        <w:t xml:space="preserve"> R. Donald*</w:t>
      </w:r>
    </w:p>
    <w:p w14:paraId="5420EBF2" w14:textId="77777777" w:rsidR="00D955CF" w:rsidRPr="00DB3D57" w:rsidRDefault="004177E0" w:rsidP="00D955CF">
      <w:pPr>
        <w:pStyle w:val="BCAuthorAddress"/>
      </w:pPr>
      <w:r w:rsidRPr="00DB3D57">
        <w:t>Department of Chemistry, University of York, York, YO10 5DD, U.K.</w:t>
      </w:r>
    </w:p>
    <w:p w14:paraId="0E089063" w14:textId="77777777" w:rsidR="00113CB9" w:rsidRPr="00DB3D57" w:rsidRDefault="00D167E7" w:rsidP="00113CB9">
      <w:pPr>
        <w:pStyle w:val="BGKeywords"/>
      </w:pPr>
      <w:r w:rsidRPr="00DB3D57">
        <w:t>Supporting Information Placeholder</w:t>
      </w:r>
    </w:p>
    <w:p w14:paraId="7997E7E6" w14:textId="29AB3840" w:rsidR="00E7234C" w:rsidRPr="00DB3D57" w:rsidRDefault="00F830E8" w:rsidP="00E7234C">
      <w:r>
        <w:rPr>
          <w:noProof/>
        </w:rPr>
        <w:drawing>
          <wp:inline distT="0" distB="0" distL="0" distR="0" wp14:anchorId="1747B1E5" wp14:editId="720A9F0B">
            <wp:extent cx="2890520" cy="105156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85CC3" w14:textId="77777777" w:rsidR="00113CB9" w:rsidRPr="00DB3D57" w:rsidRDefault="00113CB9" w:rsidP="00113CB9">
      <w:pPr>
        <w:pStyle w:val="StyleBIEmailAddress95pt"/>
        <w:sectPr w:rsidR="00113CB9" w:rsidRPr="00DB3D57" w:rsidSect="00113CB9">
          <w:footerReference w:type="even" r:id="rId10"/>
          <w:footerReference w:type="default" r:id="rId11"/>
          <w:type w:val="continuous"/>
          <w:pgSz w:w="12240" w:h="15840" w:code="1"/>
          <w:pgMar w:top="720" w:right="1094" w:bottom="720" w:left="1094" w:header="720" w:footer="720" w:gutter="0"/>
          <w:cols w:space="720"/>
          <w:titlePg/>
        </w:sectPr>
      </w:pPr>
    </w:p>
    <w:p w14:paraId="7CFB8891" w14:textId="66A1E2BF" w:rsidR="00113CB9" w:rsidRPr="00DB3D57" w:rsidRDefault="00E71831" w:rsidP="00D22E70">
      <w:pPr>
        <w:pStyle w:val="BDAbstract"/>
      </w:pPr>
      <w:r w:rsidRPr="00DB3D57">
        <w:rPr>
          <w:rStyle w:val="BDAbstractTitleChar"/>
        </w:rPr>
        <w:lastRenderedPageBreak/>
        <w:t>ABSTRACT:</w:t>
      </w:r>
      <w:r w:rsidRPr="00DB3D57">
        <w:t xml:space="preserve"> </w:t>
      </w:r>
      <w:r w:rsidR="004177E0" w:rsidRPr="00DB3D57">
        <w:t xml:space="preserve">The first reductive generation of carbamoyl radicals </w:t>
      </w:r>
      <w:r w:rsidR="00EA54AB" w:rsidRPr="00DB3D57">
        <w:t>using</w:t>
      </w:r>
      <w:r w:rsidR="004177E0" w:rsidRPr="00DB3D57">
        <w:t xml:space="preserve"> photoredox catalysis </w:t>
      </w:r>
      <w:r w:rsidR="00EA54AB" w:rsidRPr="00DB3D57">
        <w:t>for</w:t>
      </w:r>
      <w:r w:rsidR="004177E0" w:rsidRPr="00DB3D57">
        <w:t xml:space="preserve"> their formation is reported. This approach facilitated the development of a redox-neutral synthesis of fun</w:t>
      </w:r>
      <w:r w:rsidR="008A3954" w:rsidRPr="00DB3D57">
        <w:t>ctionali</w:t>
      </w:r>
      <w:r w:rsidR="00861E48" w:rsidRPr="00DB3D57">
        <w:t>z</w:t>
      </w:r>
      <w:r w:rsidR="008A3954" w:rsidRPr="00DB3D57">
        <w:t>ed 3,4-dihydro</w:t>
      </w:r>
      <w:r w:rsidR="004177E0" w:rsidRPr="00DB3D57">
        <w:t>quinolin-2-ones via the novel inte</w:t>
      </w:r>
      <w:r w:rsidR="004177E0" w:rsidRPr="00DB3D57">
        <w:t>r</w:t>
      </w:r>
      <w:r w:rsidR="004177E0" w:rsidRPr="00DB3D57">
        <w:t>molecular addition–cycli</w:t>
      </w:r>
      <w:r w:rsidR="00285AD9" w:rsidRPr="00DB3D57">
        <w:t>z</w:t>
      </w:r>
      <w:r w:rsidR="004177E0" w:rsidRPr="00DB3D57">
        <w:t>ation of carbamoyl radical</w:t>
      </w:r>
      <w:r w:rsidR="00EA54AB" w:rsidRPr="00DB3D57">
        <w:t>s</w:t>
      </w:r>
      <w:r w:rsidR="004177E0" w:rsidRPr="00DB3D57">
        <w:t xml:space="preserve"> across electron-deficient alkene</w:t>
      </w:r>
      <w:r w:rsidR="00EA54AB" w:rsidRPr="00DB3D57">
        <w:t>s</w:t>
      </w:r>
      <w:r w:rsidR="004177E0" w:rsidRPr="00DB3D57">
        <w:t>. To illustrate the versatility of this reaction, a di</w:t>
      </w:r>
      <w:r w:rsidR="008A3954" w:rsidRPr="00DB3D57">
        <w:t>verse collection of 3,4-dihydro</w:t>
      </w:r>
      <w:r w:rsidR="004177E0" w:rsidRPr="00DB3D57">
        <w:t>quinolin-2-ones, including fused cyclic and spirocyclic systems inspired by natural products has been prepared.</w:t>
      </w:r>
    </w:p>
    <w:p w14:paraId="58B319D0" w14:textId="77777777" w:rsidR="004177E0" w:rsidRPr="00DB3D57" w:rsidRDefault="004177E0" w:rsidP="004177E0">
      <w:pPr>
        <w:pStyle w:val="TAMainText"/>
        <w:sectPr w:rsidR="004177E0" w:rsidRPr="00DB3D57" w:rsidSect="00113CB9">
          <w:type w:val="continuous"/>
          <w:pgSz w:w="12240" w:h="15840"/>
          <w:pgMar w:top="720" w:right="1094" w:bottom="720" w:left="1094" w:header="720" w:footer="720" w:gutter="0"/>
          <w:cols w:space="461"/>
        </w:sectPr>
      </w:pPr>
    </w:p>
    <w:p w14:paraId="69F21335" w14:textId="19D99AD1" w:rsidR="006B4630" w:rsidRPr="00DB3D57" w:rsidRDefault="00B74266" w:rsidP="006B4630">
      <w:pPr>
        <w:pStyle w:val="TAMainText"/>
      </w:pPr>
      <w:r w:rsidRPr="00DB3D57">
        <w:rPr>
          <w:lang w:val="en-GB"/>
        </w:rPr>
        <w:lastRenderedPageBreak/>
        <w:t xml:space="preserve">The field of photoredox catalysis has </w:t>
      </w:r>
      <w:r w:rsidR="00EA54AB" w:rsidRPr="00DB3D57">
        <w:rPr>
          <w:lang w:val="en-GB"/>
        </w:rPr>
        <w:t>expanded</w:t>
      </w:r>
      <w:r w:rsidRPr="00DB3D57">
        <w:rPr>
          <w:lang w:val="en-GB"/>
        </w:rPr>
        <w:t xml:space="preserve"> exponentia</w:t>
      </w:r>
      <w:r w:rsidRPr="00DB3D57">
        <w:rPr>
          <w:lang w:val="en-GB"/>
        </w:rPr>
        <w:t>l</w:t>
      </w:r>
      <w:r w:rsidRPr="00DB3D57">
        <w:rPr>
          <w:lang w:val="en-GB"/>
        </w:rPr>
        <w:t>ly over the last decade, becoming an extremely powerful pla</w:t>
      </w:r>
      <w:r w:rsidRPr="00DB3D57">
        <w:rPr>
          <w:lang w:val="en-GB"/>
        </w:rPr>
        <w:t>t</w:t>
      </w:r>
      <w:r w:rsidRPr="00DB3D57">
        <w:rPr>
          <w:lang w:val="en-GB"/>
        </w:rPr>
        <w:t>form for the development of novel chemistry.</w:t>
      </w:r>
      <w:r w:rsidRPr="00DB3D57">
        <w:rPr>
          <w:vertAlign w:val="superscript"/>
          <w:lang w:val="en-GB"/>
        </w:rPr>
        <w:t>1</w:t>
      </w:r>
      <w:r w:rsidRPr="00DB3D57">
        <w:rPr>
          <w:lang w:val="en-GB"/>
        </w:rPr>
        <w:t xml:space="preserve"> This approach makes use of visible light, a mild, safe and environmentally friendly form of energy, to drive reactions. The utili</w:t>
      </w:r>
      <w:r w:rsidR="00285AD9" w:rsidRPr="00DB3D57">
        <w:rPr>
          <w:lang w:val="en-GB"/>
        </w:rPr>
        <w:t>z</w:t>
      </w:r>
      <w:r w:rsidRPr="00DB3D57">
        <w:rPr>
          <w:lang w:val="en-GB"/>
        </w:rPr>
        <w:t>ation of photoredox catalysis in single electron transfer (SET) proces</w:t>
      </w:r>
      <w:r w:rsidRPr="00DB3D57">
        <w:rPr>
          <w:lang w:val="en-GB"/>
        </w:rPr>
        <w:t>s</w:t>
      </w:r>
      <w:r w:rsidRPr="00DB3D57">
        <w:rPr>
          <w:lang w:val="en-GB"/>
        </w:rPr>
        <w:t>es has fuelled exploration of alternatives to traditional radical chemistry, eliminating toxic reagents and harmful, unselective ultraviolet (UV) light; it has also facilitated the development of previously u</w:t>
      </w:r>
      <w:r w:rsidR="00D16A14" w:rsidRPr="00DB3D57">
        <w:rPr>
          <w:lang w:val="en-GB"/>
        </w:rPr>
        <w:t>nknown and unattainable reactions</w:t>
      </w:r>
      <w:r w:rsidRPr="00DB3D57">
        <w:rPr>
          <w:lang w:val="en-GB"/>
        </w:rPr>
        <w:t xml:space="preserve"> which e</w:t>
      </w:r>
      <w:r w:rsidRPr="00DB3D57">
        <w:rPr>
          <w:lang w:val="en-GB"/>
        </w:rPr>
        <w:t>x</w:t>
      </w:r>
      <w:r w:rsidRPr="00DB3D57">
        <w:rPr>
          <w:lang w:val="en-GB"/>
        </w:rPr>
        <w:t>ploit the simultaneous and continual generation of strongly oxidi</w:t>
      </w:r>
      <w:r w:rsidR="00285AD9" w:rsidRPr="00DB3D57">
        <w:rPr>
          <w:lang w:val="en-GB"/>
        </w:rPr>
        <w:t>z</w:t>
      </w:r>
      <w:r w:rsidRPr="00DB3D57">
        <w:rPr>
          <w:lang w:val="en-GB"/>
        </w:rPr>
        <w:t>ing and reducing species within the same reaction ve</w:t>
      </w:r>
      <w:r w:rsidRPr="00DB3D57">
        <w:rPr>
          <w:lang w:val="en-GB"/>
        </w:rPr>
        <w:t>s</w:t>
      </w:r>
      <w:r w:rsidRPr="00DB3D57">
        <w:rPr>
          <w:lang w:val="en-GB"/>
        </w:rPr>
        <w:t>sel.</w:t>
      </w:r>
    </w:p>
    <w:p w14:paraId="642E0C1C" w14:textId="5A6CC736" w:rsidR="00202457" w:rsidRPr="00DB3D57" w:rsidRDefault="00773FE4" w:rsidP="00773FE4">
      <w:pPr>
        <w:pStyle w:val="TAMainText"/>
      </w:pPr>
      <w:r w:rsidRPr="00DB3D57">
        <w:rPr>
          <w:lang w:val="en-GB"/>
        </w:rPr>
        <w:t>Carbamoyl radicals are versatile reactive intermediates e</w:t>
      </w:r>
      <w:r w:rsidRPr="00DB3D57">
        <w:rPr>
          <w:lang w:val="en-GB"/>
        </w:rPr>
        <w:t>s</w:t>
      </w:r>
      <w:r w:rsidRPr="00DB3D57">
        <w:rPr>
          <w:lang w:val="en-GB"/>
        </w:rPr>
        <w:t>pecially well s</w:t>
      </w:r>
      <w:r w:rsidR="003A297A" w:rsidRPr="00DB3D57">
        <w:rPr>
          <w:lang w:val="en-GB"/>
        </w:rPr>
        <w:t>uited to the synthesis of amide-</w:t>
      </w:r>
      <w:r w:rsidRPr="00DB3D57">
        <w:rPr>
          <w:lang w:val="en-GB"/>
        </w:rPr>
        <w:t>containing co</w:t>
      </w:r>
      <w:r w:rsidRPr="00DB3D57">
        <w:rPr>
          <w:lang w:val="en-GB"/>
        </w:rPr>
        <w:t>m</w:t>
      </w:r>
      <w:r w:rsidRPr="00DB3D57">
        <w:rPr>
          <w:lang w:val="en-GB"/>
        </w:rPr>
        <w:t>pounds.</w:t>
      </w:r>
      <w:r w:rsidR="00BF542A" w:rsidRPr="00DB3D57">
        <w:rPr>
          <w:vertAlign w:val="superscript"/>
          <w:lang w:val="en-GB"/>
        </w:rPr>
        <w:t>2–4</w:t>
      </w:r>
      <w:r w:rsidRPr="00DB3D57">
        <w:rPr>
          <w:lang w:val="en-GB"/>
        </w:rPr>
        <w:t xml:space="preserve"> However, existing methods for the generation of carbamoyl radicals are limited to two general strategies, which restricts further development of their application in synthesis. These are: (i) a classical radical chemistry approach involving homolytic C–X cleavage of a suitably functionali</w:t>
      </w:r>
      <w:r w:rsidR="00285AD9" w:rsidRPr="00DB3D57">
        <w:rPr>
          <w:lang w:val="en-GB"/>
        </w:rPr>
        <w:t>z</w:t>
      </w:r>
      <w:r w:rsidRPr="00DB3D57">
        <w:rPr>
          <w:lang w:val="en-GB"/>
        </w:rPr>
        <w:t>ed acyl pr</w:t>
      </w:r>
      <w:r w:rsidRPr="00DB3D57">
        <w:rPr>
          <w:lang w:val="en-GB"/>
        </w:rPr>
        <w:t>e</w:t>
      </w:r>
      <w:r w:rsidRPr="00DB3D57">
        <w:rPr>
          <w:lang w:val="en-GB"/>
        </w:rPr>
        <w:t>cursor induced by either a radic</w:t>
      </w:r>
      <w:r w:rsidR="003A297A" w:rsidRPr="00DB3D57">
        <w:rPr>
          <w:lang w:val="en-GB"/>
        </w:rPr>
        <w:t>al initiator, heat or UV light [Scheme 1 (a)]</w:t>
      </w:r>
      <w:r w:rsidRPr="00DB3D57">
        <w:rPr>
          <w:lang w:val="en-GB"/>
        </w:rPr>
        <w:t>,</w:t>
      </w:r>
      <w:r w:rsidR="007F65D5" w:rsidRPr="00DB3D57">
        <w:rPr>
          <w:vertAlign w:val="superscript"/>
          <w:lang w:val="en-GB"/>
        </w:rPr>
        <w:t xml:space="preserve">3a–c,e,4a,b,d,5 </w:t>
      </w:r>
      <w:r w:rsidRPr="00DB3D57">
        <w:rPr>
          <w:lang w:val="en-GB"/>
        </w:rPr>
        <w:t xml:space="preserve">and (ii), an oxidative approach via SET from an </w:t>
      </w:r>
      <w:r w:rsidRPr="00DB3D57">
        <w:rPr>
          <w:rFonts w:ascii="Symbol" w:hAnsi="Symbol"/>
          <w:lang w:val="en-GB"/>
        </w:rPr>
        <w:t></w:t>
      </w:r>
      <w:r w:rsidRPr="00DB3D57">
        <w:rPr>
          <w:lang w:val="en-GB"/>
        </w:rPr>
        <w:t xml:space="preserve">-amidocarboxylate to a stoichiometric chemical oxidant with subsequent decarboxylation </w:t>
      </w:r>
      <w:r w:rsidR="003A297A" w:rsidRPr="00DB3D57">
        <w:rPr>
          <w:lang w:val="en-GB"/>
        </w:rPr>
        <w:t>[Scheme 1 (b)]</w:t>
      </w:r>
      <w:r w:rsidRPr="00DB3D57">
        <w:rPr>
          <w:lang w:val="en-GB"/>
        </w:rPr>
        <w:t>.</w:t>
      </w:r>
      <w:r w:rsidR="00BC72CD" w:rsidRPr="00DB3D57">
        <w:rPr>
          <w:vertAlign w:val="superscript"/>
        </w:rPr>
        <w:t>3d,</w:t>
      </w:r>
      <w:r w:rsidR="007F65D5" w:rsidRPr="00DB3D57">
        <w:rPr>
          <w:vertAlign w:val="superscript"/>
        </w:rPr>
        <w:t>f,4c,e</w:t>
      </w:r>
    </w:p>
    <w:p w14:paraId="5A934A0A" w14:textId="44931197" w:rsidR="005338EC" w:rsidRPr="00DB3D57" w:rsidRDefault="006B4630" w:rsidP="005C33B1">
      <w:pPr>
        <w:pStyle w:val="TAMainText"/>
        <w:rPr>
          <w:lang w:val="en-GB"/>
        </w:rPr>
      </w:pPr>
      <w:r w:rsidRPr="00DB3D57">
        <w:rPr>
          <w:lang w:val="en-GB"/>
        </w:rPr>
        <w:t>We reasoned that an unprecedented reductive approach to carbamoyl radicals would provide a basis for the development of chemistry not possible under existing modes of generation. The photoredox-cataly</w:t>
      </w:r>
      <w:r w:rsidR="00285AD9" w:rsidRPr="00DB3D57">
        <w:rPr>
          <w:lang w:val="en-GB"/>
        </w:rPr>
        <w:t>z</w:t>
      </w:r>
      <w:r w:rsidRPr="00DB3D57">
        <w:rPr>
          <w:lang w:val="en-GB"/>
        </w:rPr>
        <w:t xml:space="preserve">ed single electron reduction of </w:t>
      </w:r>
      <w:r w:rsidRPr="00DB3D57">
        <w:rPr>
          <w:i/>
          <w:lang w:val="en-GB"/>
        </w:rPr>
        <w:t>N</w:t>
      </w:r>
      <w:r w:rsidRPr="00DB3D57">
        <w:rPr>
          <w:lang w:val="en-GB"/>
        </w:rPr>
        <w:t xml:space="preserve">-hydroxyphthalimido esters has been developed </w:t>
      </w:r>
      <w:r w:rsidR="005C33B1" w:rsidRPr="00DB3D57">
        <w:rPr>
          <w:lang w:val="en-GB"/>
        </w:rPr>
        <w:t xml:space="preserve">by Overman and co-workers </w:t>
      </w:r>
      <w:r w:rsidRPr="00DB3D57">
        <w:rPr>
          <w:lang w:val="en-GB"/>
        </w:rPr>
        <w:t>as a</w:t>
      </w:r>
      <w:r w:rsidR="005C33B1" w:rsidRPr="00DB3D57">
        <w:rPr>
          <w:lang w:val="en-GB"/>
        </w:rPr>
        <w:t xml:space="preserve"> general</w:t>
      </w:r>
      <w:r w:rsidRPr="00DB3D57">
        <w:rPr>
          <w:lang w:val="en-GB"/>
        </w:rPr>
        <w:t xml:space="preserve"> tactic for the generation of alkyl and methoxycarbonyl radicals.</w:t>
      </w:r>
      <w:r w:rsidR="00F60687" w:rsidRPr="00DB3D57">
        <w:rPr>
          <w:vertAlign w:val="superscript"/>
          <w:lang w:val="en-GB"/>
        </w:rPr>
        <w:t>6</w:t>
      </w:r>
      <w:r w:rsidRPr="00DB3D57">
        <w:rPr>
          <w:vertAlign w:val="superscript"/>
          <w:lang w:val="en-GB"/>
        </w:rPr>
        <w:t>,</w:t>
      </w:r>
      <w:r w:rsidR="00F60687" w:rsidRPr="00DB3D57">
        <w:rPr>
          <w:vertAlign w:val="superscript"/>
          <w:lang w:val="en-GB"/>
        </w:rPr>
        <w:t>7</w:t>
      </w:r>
      <w:r w:rsidRPr="00DB3D57">
        <w:rPr>
          <w:lang w:val="en-GB"/>
        </w:rPr>
        <w:t xml:space="preserve"> We proposed that the single </w:t>
      </w:r>
      <w:r w:rsidRPr="00DB3D57">
        <w:rPr>
          <w:lang w:val="en-GB"/>
        </w:rPr>
        <w:lastRenderedPageBreak/>
        <w:t>electron reductive decar</w:t>
      </w:r>
      <w:r w:rsidR="005338EC" w:rsidRPr="00DB3D57">
        <w:rPr>
          <w:lang w:val="en-GB"/>
        </w:rPr>
        <w:t xml:space="preserve">boxylation of </w:t>
      </w:r>
      <w:r w:rsidR="005338EC" w:rsidRPr="00DB3D57">
        <w:rPr>
          <w:i/>
          <w:lang w:val="en-GB"/>
        </w:rPr>
        <w:t>N</w:t>
      </w:r>
      <w:r w:rsidR="005338EC" w:rsidRPr="00DB3D57">
        <w:rPr>
          <w:lang w:val="en-GB"/>
        </w:rPr>
        <w:t xml:space="preserve">-hydroxyphthalimido oxamides would allow a novel entry into carbamoyl radicals </w:t>
      </w:r>
      <w:r w:rsidR="00E30215" w:rsidRPr="00DB3D57">
        <w:rPr>
          <w:lang w:val="en-GB"/>
        </w:rPr>
        <w:t>[Scheme 1 (c)]</w:t>
      </w:r>
      <w:r w:rsidR="005338EC" w:rsidRPr="00DB3D57">
        <w:rPr>
          <w:lang w:val="en-GB"/>
        </w:rPr>
        <w:t xml:space="preserve">. To validate our approach and showcase its utility, we proposed that the novel </w:t>
      </w:r>
      <w:r w:rsidR="00285AD9" w:rsidRPr="00DB3D57">
        <w:rPr>
          <w:lang w:val="en-GB"/>
        </w:rPr>
        <w:t xml:space="preserve">intermolecular addition of </w:t>
      </w:r>
    </w:p>
    <w:p w14:paraId="11C111E2" w14:textId="14EF5CD6" w:rsidR="00202457" w:rsidRPr="00DB3D57" w:rsidRDefault="00202457" w:rsidP="00202457">
      <w:pPr>
        <w:pStyle w:val="VCSchemeTitle"/>
        <w:rPr>
          <w:lang w:val="en-GB"/>
        </w:rPr>
      </w:pPr>
      <w:r w:rsidRPr="00DB3D57">
        <w:rPr>
          <w:lang w:val="en-GB"/>
        </w:rPr>
        <w:t xml:space="preserve">Scheme 1 </w:t>
      </w:r>
      <w:r w:rsidRPr="00DB3D57">
        <w:rPr>
          <w:bCs/>
        </w:rPr>
        <w:t>Generation and appli</w:t>
      </w:r>
      <w:r w:rsidR="008A55C8" w:rsidRPr="00DB3D57">
        <w:rPr>
          <w:bCs/>
        </w:rPr>
        <w:t>cation of</w:t>
      </w:r>
      <w:r w:rsidRPr="00DB3D57">
        <w:rPr>
          <w:bCs/>
        </w:rPr>
        <w:t xml:space="preserve"> carbamoyl rad</w:t>
      </w:r>
      <w:r w:rsidRPr="00DB3D57">
        <w:rPr>
          <w:bCs/>
        </w:rPr>
        <w:t>i</w:t>
      </w:r>
      <w:r w:rsidRPr="00DB3D57">
        <w:rPr>
          <w:bCs/>
        </w:rPr>
        <w:t>cal</w:t>
      </w:r>
      <w:r w:rsidR="008A55C8" w:rsidRPr="00DB3D57">
        <w:rPr>
          <w:bCs/>
        </w:rPr>
        <w:t>s</w:t>
      </w:r>
    </w:p>
    <w:p w14:paraId="1DDA9D3E" w14:textId="11541E4D" w:rsidR="006B4630" w:rsidRPr="00DB3D57" w:rsidRDefault="00D60724" w:rsidP="00202457">
      <w:pPr>
        <w:pStyle w:val="TAMainText"/>
        <w:ind w:firstLine="0"/>
        <w:rPr>
          <w:lang w:val="en-GB"/>
        </w:rPr>
      </w:pPr>
      <w:r>
        <w:rPr>
          <w:noProof/>
        </w:rPr>
        <w:drawing>
          <wp:inline distT="0" distB="0" distL="0" distR="0" wp14:anchorId="5AEF2EA0" wp14:editId="1B9D2C97">
            <wp:extent cx="3044825" cy="336453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336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75482" w14:textId="59169915" w:rsidR="00202457" w:rsidRPr="00DB3D57" w:rsidRDefault="005C33B1" w:rsidP="00202457">
      <w:pPr>
        <w:pStyle w:val="TAMainText"/>
        <w:ind w:firstLine="0"/>
        <w:rPr>
          <w:lang w:val="en-GB"/>
        </w:rPr>
      </w:pPr>
      <w:r w:rsidRPr="00DB3D57">
        <w:rPr>
          <w:i/>
          <w:lang w:val="en-GB"/>
        </w:rPr>
        <w:lastRenderedPageBreak/>
        <w:t>N</w:t>
      </w:r>
      <w:r w:rsidRPr="00DB3D57">
        <w:rPr>
          <w:lang w:val="en-GB"/>
        </w:rPr>
        <w:t>-aryl carbamoyl radi</w:t>
      </w:r>
      <w:r w:rsidR="00170634" w:rsidRPr="00DB3D57">
        <w:rPr>
          <w:lang w:val="en-GB"/>
        </w:rPr>
        <w:t>cal</w:t>
      </w:r>
      <w:r w:rsidRPr="00DB3D57">
        <w:rPr>
          <w:lang w:val="en-GB"/>
        </w:rPr>
        <w:t>s</w:t>
      </w:r>
      <w:r w:rsidR="00170634" w:rsidRPr="00DB3D57">
        <w:rPr>
          <w:lang w:val="en-GB"/>
        </w:rPr>
        <w:t xml:space="preserve"> across electron-deficient alkene</w:t>
      </w:r>
      <w:r w:rsidRPr="00DB3D57">
        <w:rPr>
          <w:lang w:val="en-GB"/>
        </w:rPr>
        <w:t>s</w:t>
      </w:r>
      <w:r w:rsidR="00170634" w:rsidRPr="00DB3D57">
        <w:rPr>
          <w:lang w:val="en-GB"/>
        </w:rPr>
        <w:t xml:space="preserve"> would form two new C–C bonds and construct the 3,4-dihydroquinolin-2-one architecture.</w:t>
      </w:r>
      <w:r w:rsidR="00F60687" w:rsidRPr="00DB3D57">
        <w:rPr>
          <w:vertAlign w:val="superscript"/>
          <w:lang w:val="en-GB"/>
        </w:rPr>
        <w:t>8</w:t>
      </w:r>
      <w:r w:rsidR="00170634" w:rsidRPr="00DB3D57">
        <w:rPr>
          <w:lang w:val="en-GB"/>
        </w:rPr>
        <w:t xml:space="preserve"> Since restoration of ar</w:t>
      </w:r>
      <w:r w:rsidR="00170634" w:rsidRPr="00DB3D57">
        <w:rPr>
          <w:lang w:val="en-GB"/>
        </w:rPr>
        <w:t>o</w:t>
      </w:r>
      <w:r w:rsidR="00170634" w:rsidRPr="00DB3D57">
        <w:rPr>
          <w:lang w:val="en-GB"/>
        </w:rPr>
        <w:t>maticity after radical addition necessitates single-electron ox</w:t>
      </w:r>
      <w:r w:rsidR="00170634" w:rsidRPr="00DB3D57">
        <w:rPr>
          <w:lang w:val="en-GB"/>
        </w:rPr>
        <w:t>i</w:t>
      </w:r>
      <w:r w:rsidR="00170634" w:rsidRPr="00DB3D57">
        <w:rPr>
          <w:lang w:val="en-GB"/>
        </w:rPr>
        <w:t xml:space="preserve">dation and loss of </w:t>
      </w:r>
      <w:r w:rsidR="00773FE4" w:rsidRPr="00DB3D57">
        <w:rPr>
          <w:lang w:val="en-GB"/>
        </w:rPr>
        <w:t>H</w:t>
      </w:r>
      <w:r w:rsidR="00773FE4" w:rsidRPr="00DB3D57">
        <w:rPr>
          <w:vertAlign w:val="superscript"/>
          <w:lang w:val="en-GB"/>
        </w:rPr>
        <w:t>+</w:t>
      </w:r>
      <w:r w:rsidR="00170634" w:rsidRPr="00DB3D57">
        <w:rPr>
          <w:lang w:val="en-GB"/>
        </w:rPr>
        <w:t xml:space="preserve">, carbamoyl radical generation via a </w:t>
      </w:r>
      <w:r w:rsidR="00170634" w:rsidRPr="00DB3D57">
        <w:rPr>
          <w:i/>
          <w:lang w:val="en-GB"/>
        </w:rPr>
        <w:t>r</w:t>
      </w:r>
      <w:r w:rsidR="00170634" w:rsidRPr="00DB3D57">
        <w:rPr>
          <w:i/>
          <w:lang w:val="en-GB"/>
        </w:rPr>
        <w:t>e</w:t>
      </w:r>
      <w:r w:rsidR="00170634" w:rsidRPr="00DB3D57">
        <w:rPr>
          <w:i/>
          <w:lang w:val="en-GB"/>
        </w:rPr>
        <w:t>ductive</w:t>
      </w:r>
      <w:r w:rsidR="00170634" w:rsidRPr="00DB3D57">
        <w:rPr>
          <w:lang w:val="en-GB"/>
        </w:rPr>
        <w:t xml:space="preserve"> SET would render the process redox-neutral and hence highly suitable to photoredox catalysis, which notably would represent </w:t>
      </w:r>
      <w:r w:rsidR="00202457" w:rsidRPr="00DB3D57">
        <w:rPr>
          <w:lang w:val="en-GB"/>
        </w:rPr>
        <w:t>the first application of this strategy to carbamoyl radical chemistry.</w:t>
      </w:r>
      <w:r w:rsidR="00F60687" w:rsidRPr="00DB3D57">
        <w:rPr>
          <w:vertAlign w:val="superscript"/>
          <w:lang w:val="en-GB"/>
        </w:rPr>
        <w:t>9</w:t>
      </w:r>
    </w:p>
    <w:p w14:paraId="34787CE6" w14:textId="40DD22A1" w:rsidR="00E352BA" w:rsidRPr="00DB3D57" w:rsidRDefault="00E352BA" w:rsidP="00E352BA">
      <w:pPr>
        <w:pStyle w:val="TAMainText"/>
        <w:rPr>
          <w:szCs w:val="19"/>
        </w:rPr>
      </w:pPr>
      <w:r w:rsidRPr="00DB3D57">
        <w:rPr>
          <w:lang w:val="en-GB"/>
        </w:rPr>
        <w:t>The proposed mechanistic cycle is depicted in Scheme 2. I</w:t>
      </w:r>
      <w:r w:rsidRPr="00DB3D57">
        <w:rPr>
          <w:lang w:val="en-GB"/>
        </w:rPr>
        <w:t>r</w:t>
      </w:r>
      <w:r w:rsidRPr="00DB3D57">
        <w:rPr>
          <w:lang w:val="en-GB"/>
        </w:rPr>
        <w:t xml:space="preserve">radiation of an appropriate photocatalyst </w:t>
      </w:r>
      <w:r w:rsidRPr="00DB3D57">
        <w:rPr>
          <w:b/>
          <w:lang w:val="en-GB"/>
        </w:rPr>
        <w:t>PC</w:t>
      </w:r>
      <w:r w:rsidRPr="00DB3D57">
        <w:rPr>
          <w:lang w:val="en-GB"/>
        </w:rPr>
        <w:t>,</w:t>
      </w:r>
      <w:r w:rsidRPr="00DB3D57">
        <w:rPr>
          <w:b/>
          <w:lang w:val="en-GB"/>
        </w:rPr>
        <w:t xml:space="preserve"> </w:t>
      </w:r>
      <w:r w:rsidRPr="00DB3D57">
        <w:rPr>
          <w:lang w:val="en-GB"/>
        </w:rPr>
        <w:t>(</w:t>
      </w:r>
      <w:r w:rsidRPr="00DB3D57">
        <w:rPr>
          <w:b/>
          <w:lang w:val="en-GB"/>
        </w:rPr>
        <w:t>1</w:t>
      </w:r>
      <w:r w:rsidRPr="00DB3D57">
        <w:rPr>
          <w:lang w:val="en-GB"/>
        </w:rPr>
        <w:t>) such as Ru(bpy)</w:t>
      </w:r>
      <w:r w:rsidRPr="00DB3D57">
        <w:rPr>
          <w:vertAlign w:val="subscript"/>
          <w:lang w:val="en-GB"/>
        </w:rPr>
        <w:t>3</w:t>
      </w:r>
      <w:r w:rsidRPr="00DB3D57">
        <w:t>·</w:t>
      </w:r>
      <w:r w:rsidRPr="00DB3D57">
        <w:rPr>
          <w:lang w:val="en-GB"/>
        </w:rPr>
        <w:t>6H</w:t>
      </w:r>
      <w:r w:rsidRPr="00DB3D57">
        <w:rPr>
          <w:vertAlign w:val="subscript"/>
          <w:lang w:val="en-GB"/>
        </w:rPr>
        <w:t>2</w:t>
      </w:r>
      <w:r w:rsidRPr="00DB3D57">
        <w:rPr>
          <w:lang w:val="en-GB"/>
        </w:rPr>
        <w:t xml:space="preserve">O or </w:t>
      </w:r>
      <w:r w:rsidRPr="00DB3D57">
        <w:rPr>
          <w:i/>
          <w:lang w:val="en-GB"/>
        </w:rPr>
        <w:t>fac</w:t>
      </w:r>
      <w:r w:rsidRPr="00DB3D57">
        <w:rPr>
          <w:lang w:val="en-GB"/>
        </w:rPr>
        <w:t>-Ir(ppy)</w:t>
      </w:r>
      <w:r w:rsidRPr="00DB3D57">
        <w:rPr>
          <w:vertAlign w:val="subscript"/>
          <w:lang w:val="en-GB"/>
        </w:rPr>
        <w:t>3</w:t>
      </w:r>
      <w:r w:rsidRPr="00DB3D57">
        <w:rPr>
          <w:lang w:val="en-GB"/>
        </w:rPr>
        <w:t xml:space="preserve"> with visible light would lead to the long-lived photoexcited state </w:t>
      </w:r>
      <w:r w:rsidRPr="00DB3D57">
        <w:rPr>
          <w:b/>
          <w:lang w:val="en-GB"/>
        </w:rPr>
        <w:t>PC</w:t>
      </w:r>
      <w:r w:rsidRPr="00DB3D57">
        <w:rPr>
          <w:b/>
          <w:vertAlign w:val="superscript"/>
          <w:lang w:val="en-GB"/>
        </w:rPr>
        <w:t>*</w:t>
      </w:r>
      <w:r w:rsidRPr="00DB3D57">
        <w:rPr>
          <w:lang w:val="en-GB"/>
        </w:rPr>
        <w:t xml:space="preserve"> (</w:t>
      </w:r>
      <w:r w:rsidRPr="00DB3D57">
        <w:rPr>
          <w:b/>
          <w:lang w:val="en-GB"/>
        </w:rPr>
        <w:t>2</w:t>
      </w:r>
      <w:r w:rsidRPr="00DB3D57">
        <w:rPr>
          <w:lang w:val="en-GB"/>
        </w:rPr>
        <w:t xml:space="preserve">) [Ru </w:t>
      </w:r>
      <w:r w:rsidR="00C66013" w:rsidRPr="00DB3D57">
        <w:rPr>
          <w:lang w:val="en-GB"/>
        </w:rPr>
        <w:sym w:font="Symbol" w:char="F074"/>
      </w:r>
      <w:r w:rsidRPr="00DB3D57">
        <w:rPr>
          <w:lang w:val="en-GB"/>
        </w:rPr>
        <w:t xml:space="preserve"> = 1.1 </w:t>
      </w:r>
      <w:r w:rsidR="000A5CBF" w:rsidRPr="00DB3D57">
        <w:rPr>
          <w:lang w:val="en-GB"/>
        </w:rPr>
        <w:sym w:font="Symbol" w:char="F020"/>
      </w:r>
      <w:r w:rsidR="000A5CBF" w:rsidRPr="00DB3D57">
        <w:rPr>
          <w:lang w:val="en-GB"/>
        </w:rPr>
        <w:sym w:font="Symbol" w:char="F06D"/>
      </w:r>
      <w:r w:rsidRPr="00DB3D57">
        <w:rPr>
          <w:lang w:val="en-GB"/>
        </w:rPr>
        <w:t>s, Ir</w:t>
      </w:r>
      <w:r w:rsidRPr="00DB3D57">
        <w:rPr>
          <w:b/>
          <w:bCs/>
        </w:rPr>
        <w:t xml:space="preserve"> </w:t>
      </w:r>
      <w:r w:rsidR="00C66013" w:rsidRPr="00DB3D57">
        <w:rPr>
          <w:lang w:val="en-GB"/>
        </w:rPr>
        <w:sym w:font="Symbol" w:char="F074"/>
      </w:r>
      <w:r w:rsidRPr="00DB3D57">
        <w:rPr>
          <w:lang w:val="en-GB"/>
        </w:rPr>
        <w:t xml:space="preserve"> = 1.9 </w:t>
      </w:r>
      <w:r w:rsidR="000A5CBF" w:rsidRPr="00DB3D57">
        <w:rPr>
          <w:lang w:val="en-GB"/>
        </w:rPr>
        <w:sym w:font="Symbol" w:char="F06D"/>
      </w:r>
      <w:r w:rsidRPr="00DB3D57">
        <w:rPr>
          <w:lang w:val="en-GB"/>
        </w:rPr>
        <w:t>s] which is a single-electron reductant [E</w:t>
      </w:r>
      <w:r w:rsidRPr="00DB3D57">
        <w:rPr>
          <w:vertAlign w:val="subscript"/>
          <w:lang w:val="en-GB"/>
        </w:rPr>
        <w:t>1/2</w:t>
      </w:r>
      <w:r w:rsidRPr="00DB3D57">
        <w:rPr>
          <w:lang w:val="en-GB"/>
        </w:rPr>
        <w:t xml:space="preserve"> (Ru</w:t>
      </w:r>
      <w:r w:rsidRPr="00DB3D57">
        <w:rPr>
          <w:vertAlign w:val="superscript"/>
          <w:lang w:val="en-GB"/>
        </w:rPr>
        <w:t>III</w:t>
      </w:r>
      <w:r w:rsidRPr="00DB3D57">
        <w:rPr>
          <w:lang w:val="en-GB"/>
        </w:rPr>
        <w:t>/Ru</w:t>
      </w:r>
      <w:r w:rsidRPr="00DB3D57">
        <w:rPr>
          <w:vertAlign w:val="superscript"/>
          <w:lang w:val="en-GB"/>
        </w:rPr>
        <w:t>II*</w:t>
      </w:r>
      <w:r w:rsidRPr="00DB3D57">
        <w:rPr>
          <w:lang w:val="en-GB"/>
        </w:rPr>
        <w:t>) = –0.81 V, E</w:t>
      </w:r>
      <w:r w:rsidRPr="00DB3D57">
        <w:rPr>
          <w:vertAlign w:val="subscript"/>
          <w:lang w:val="en-GB"/>
        </w:rPr>
        <w:t>1/2</w:t>
      </w:r>
      <w:r w:rsidRPr="00DB3D57">
        <w:rPr>
          <w:lang w:val="en-GB"/>
        </w:rPr>
        <w:t xml:space="preserve"> (Ir</w:t>
      </w:r>
      <w:r w:rsidRPr="00DB3D57">
        <w:rPr>
          <w:vertAlign w:val="superscript"/>
          <w:lang w:val="en-GB"/>
        </w:rPr>
        <w:t>IV+</w:t>
      </w:r>
      <w:r w:rsidRPr="00DB3D57">
        <w:rPr>
          <w:lang w:val="en-GB"/>
        </w:rPr>
        <w:t>/Ir</w:t>
      </w:r>
      <w:r w:rsidRPr="00DB3D57">
        <w:rPr>
          <w:vertAlign w:val="superscript"/>
          <w:lang w:val="en-GB"/>
        </w:rPr>
        <w:t>III*</w:t>
      </w:r>
      <w:r w:rsidRPr="00DB3D57">
        <w:rPr>
          <w:lang w:val="en-GB"/>
        </w:rPr>
        <w:t>) = –1.73 V vs SCE]</w:t>
      </w:r>
      <w:r w:rsidR="00F60687" w:rsidRPr="00DB3D57">
        <w:rPr>
          <w:vertAlign w:val="superscript"/>
          <w:lang w:val="en-GB"/>
        </w:rPr>
        <w:t>10</w:t>
      </w:r>
      <w:r w:rsidRPr="00DB3D57">
        <w:rPr>
          <w:lang w:val="en-GB"/>
        </w:rPr>
        <w:t xml:space="preserve"> capable of reducing </w:t>
      </w:r>
      <w:r w:rsidRPr="00DB3D57">
        <w:rPr>
          <w:i/>
          <w:lang w:val="en-GB"/>
        </w:rPr>
        <w:t>N</w:t>
      </w:r>
      <w:r w:rsidR="000E245B" w:rsidRPr="00DB3D57">
        <w:rPr>
          <w:lang w:val="en-GB"/>
        </w:rPr>
        <w:t>-</w:t>
      </w:r>
      <w:r w:rsidRPr="00DB3D57">
        <w:rPr>
          <w:lang w:val="en-GB"/>
        </w:rPr>
        <w:t xml:space="preserve">hydroxyphthalimido oxamide </w:t>
      </w:r>
      <w:r w:rsidRPr="00DB3D57">
        <w:rPr>
          <w:b/>
          <w:lang w:val="en-GB"/>
        </w:rPr>
        <w:t>3</w:t>
      </w:r>
      <w:r w:rsidRPr="00DB3D57">
        <w:rPr>
          <w:lang w:val="en-GB"/>
        </w:rPr>
        <w:t xml:space="preserve"> to the transient radical anion </w:t>
      </w:r>
      <w:r w:rsidRPr="00DB3D57">
        <w:rPr>
          <w:b/>
          <w:lang w:val="en-GB"/>
        </w:rPr>
        <w:t>4</w:t>
      </w:r>
      <w:r w:rsidRPr="00DB3D57">
        <w:rPr>
          <w:lang w:val="en-GB"/>
        </w:rPr>
        <w:t xml:space="preserve"> which should undergo homolytic cleavage to afford carbamoyl radical intermediate </w:t>
      </w:r>
      <w:r w:rsidRPr="00DB3D57">
        <w:rPr>
          <w:b/>
          <w:lang w:val="en-GB"/>
        </w:rPr>
        <w:t>5</w:t>
      </w:r>
      <w:r w:rsidRPr="00DB3D57">
        <w:rPr>
          <w:lang w:val="en-GB"/>
        </w:rPr>
        <w:t xml:space="preserve"> with the loss of CO</w:t>
      </w:r>
      <w:r w:rsidRPr="00DB3D57">
        <w:rPr>
          <w:vertAlign w:val="subscript"/>
          <w:lang w:val="en-GB"/>
        </w:rPr>
        <w:t>2</w:t>
      </w:r>
      <w:r w:rsidRPr="00DB3D57">
        <w:rPr>
          <w:lang w:val="en-GB"/>
        </w:rPr>
        <w:t xml:space="preserve"> and </w:t>
      </w:r>
      <w:r w:rsidR="000E245B" w:rsidRPr="00DB3D57">
        <w:rPr>
          <w:lang w:val="en-GB"/>
        </w:rPr>
        <w:t>NPhth</w:t>
      </w:r>
      <w:r w:rsidR="000E245B" w:rsidRPr="00DB3D57">
        <w:rPr>
          <w:vertAlign w:val="superscript"/>
          <w:lang w:val="en-GB"/>
        </w:rPr>
        <w:t>–</w:t>
      </w:r>
      <w:r w:rsidRPr="00DB3D57">
        <w:rPr>
          <w:lang w:val="en-GB"/>
        </w:rPr>
        <w:t>.</w:t>
      </w:r>
      <w:r w:rsidR="00F60687" w:rsidRPr="00DB3D57">
        <w:rPr>
          <w:vertAlign w:val="superscript"/>
          <w:lang w:val="en-GB"/>
        </w:rPr>
        <w:t>6</w:t>
      </w:r>
      <w:r w:rsidRPr="00DB3D57">
        <w:rPr>
          <w:vertAlign w:val="superscript"/>
          <w:lang w:val="en-GB"/>
        </w:rPr>
        <w:t>,</w:t>
      </w:r>
      <w:r w:rsidR="00F60687" w:rsidRPr="00DB3D57">
        <w:rPr>
          <w:vertAlign w:val="superscript"/>
          <w:lang w:val="en-GB"/>
        </w:rPr>
        <w:t>7</w:t>
      </w:r>
      <w:r w:rsidRPr="00DB3D57">
        <w:rPr>
          <w:lang w:val="en-GB"/>
        </w:rPr>
        <w:t xml:space="preserve"> The nucleophilic carbamoyl radical </w:t>
      </w:r>
      <w:r w:rsidRPr="00DB3D57">
        <w:rPr>
          <w:b/>
          <w:lang w:val="en-GB"/>
        </w:rPr>
        <w:t>5</w:t>
      </w:r>
      <w:r w:rsidR="003A297A" w:rsidRPr="00DB3D57">
        <w:rPr>
          <w:vertAlign w:val="superscript"/>
          <w:lang w:val="en-GB"/>
        </w:rPr>
        <w:t>4b</w:t>
      </w:r>
      <w:r w:rsidRPr="00DB3D57">
        <w:rPr>
          <w:lang w:val="en-GB"/>
        </w:rPr>
        <w:t xml:space="preserve"> is anti</w:t>
      </w:r>
      <w:r w:rsidRPr="00DB3D57">
        <w:rPr>
          <w:lang w:val="en-GB"/>
        </w:rPr>
        <w:t>c</w:t>
      </w:r>
      <w:r w:rsidRPr="00DB3D57">
        <w:rPr>
          <w:lang w:val="en-GB"/>
        </w:rPr>
        <w:t xml:space="preserve">ipated to </w:t>
      </w:r>
      <w:r w:rsidR="000A5CBF" w:rsidRPr="00DB3D57">
        <w:rPr>
          <w:lang w:val="en-GB"/>
        </w:rPr>
        <w:t xml:space="preserve">add </w:t>
      </w:r>
      <w:r w:rsidRPr="00DB3D57">
        <w:rPr>
          <w:lang w:val="en-GB"/>
        </w:rPr>
        <w:t xml:space="preserve">readily to electron-deficient alkene </w:t>
      </w:r>
      <w:r w:rsidRPr="00DB3D57">
        <w:rPr>
          <w:b/>
          <w:lang w:val="en-GB"/>
        </w:rPr>
        <w:t>6</w:t>
      </w:r>
      <w:r w:rsidR="000A5CBF" w:rsidRPr="00DB3D57">
        <w:rPr>
          <w:lang w:val="en-GB"/>
        </w:rPr>
        <w:t>,</w:t>
      </w:r>
      <w:r w:rsidRPr="00DB3D57">
        <w:rPr>
          <w:lang w:val="en-GB"/>
        </w:rPr>
        <w:t xml:space="preserve"> generating the electrophilic conjugate radical </w:t>
      </w:r>
      <w:r w:rsidRPr="00DB3D57">
        <w:rPr>
          <w:b/>
          <w:lang w:val="en-GB"/>
        </w:rPr>
        <w:t>7</w:t>
      </w:r>
      <w:r w:rsidR="000A5CBF" w:rsidRPr="00DB3D57">
        <w:rPr>
          <w:lang w:val="en-GB"/>
        </w:rPr>
        <w:t>,</w:t>
      </w:r>
      <w:r w:rsidRPr="00DB3D57">
        <w:rPr>
          <w:lang w:val="en-GB"/>
        </w:rPr>
        <w:t xml:space="preserve"> which can then engage in homolytic aromatic substitution (HAS) with the anilide to produce cyclohexadienyl radical </w:t>
      </w:r>
      <w:r w:rsidRPr="00DB3D57">
        <w:rPr>
          <w:b/>
          <w:lang w:val="en-GB"/>
        </w:rPr>
        <w:t>8</w:t>
      </w:r>
      <w:r w:rsidRPr="00DB3D57">
        <w:rPr>
          <w:lang w:val="en-GB"/>
        </w:rPr>
        <w:t>. Oxidation of the electron-rich intermediate</w:t>
      </w:r>
      <w:r w:rsidRPr="00DB3D57">
        <w:rPr>
          <w:b/>
          <w:lang w:val="en-GB"/>
        </w:rPr>
        <w:t xml:space="preserve"> 8</w:t>
      </w:r>
      <w:r w:rsidRPr="00DB3D57">
        <w:rPr>
          <w:lang w:val="en-GB"/>
        </w:rPr>
        <w:t xml:space="preserve"> by the oxidi</w:t>
      </w:r>
      <w:r w:rsidR="000A5CBF" w:rsidRPr="00DB3D57">
        <w:rPr>
          <w:lang w:val="en-GB"/>
        </w:rPr>
        <w:t>z</w:t>
      </w:r>
      <w:r w:rsidRPr="00DB3D57">
        <w:rPr>
          <w:lang w:val="en-GB"/>
        </w:rPr>
        <w:t xml:space="preserve">ed-state photocatalyst </w:t>
      </w:r>
      <w:r w:rsidRPr="00DB3D57">
        <w:rPr>
          <w:b/>
          <w:lang w:val="en-GB"/>
        </w:rPr>
        <w:t>PC</w:t>
      </w:r>
      <w:r w:rsidRPr="00DB3D57">
        <w:rPr>
          <w:b/>
          <w:vertAlign w:val="superscript"/>
          <w:lang w:val="en-GB"/>
        </w:rPr>
        <w:t>+</w:t>
      </w:r>
      <w:r w:rsidRPr="00DB3D57">
        <w:rPr>
          <w:lang w:val="en-GB"/>
        </w:rPr>
        <w:t>, (</w:t>
      </w:r>
      <w:r w:rsidRPr="00DB3D57">
        <w:rPr>
          <w:b/>
          <w:lang w:val="en-GB"/>
        </w:rPr>
        <w:t>9</w:t>
      </w:r>
      <w:r w:rsidRPr="00DB3D57">
        <w:rPr>
          <w:lang w:val="en-GB"/>
        </w:rPr>
        <w:t>) [E</w:t>
      </w:r>
      <w:r w:rsidRPr="00DB3D57">
        <w:rPr>
          <w:vertAlign w:val="subscript"/>
          <w:lang w:val="en-GB"/>
        </w:rPr>
        <w:t>1/2</w:t>
      </w:r>
      <w:r w:rsidRPr="00DB3D57">
        <w:rPr>
          <w:lang w:val="en-GB"/>
        </w:rPr>
        <w:t xml:space="preserve"> (Ru</w:t>
      </w:r>
      <w:r w:rsidRPr="00DB3D57">
        <w:rPr>
          <w:vertAlign w:val="superscript"/>
          <w:lang w:val="en-GB"/>
        </w:rPr>
        <w:t>III</w:t>
      </w:r>
      <w:r w:rsidRPr="00DB3D57">
        <w:rPr>
          <w:lang w:val="en-GB"/>
        </w:rPr>
        <w:t>/Ru</w:t>
      </w:r>
      <w:r w:rsidRPr="00DB3D57">
        <w:rPr>
          <w:vertAlign w:val="superscript"/>
          <w:lang w:val="en-GB"/>
        </w:rPr>
        <w:t>II</w:t>
      </w:r>
      <w:r w:rsidR="00B723E6" w:rsidRPr="00DB3D57">
        <w:rPr>
          <w:lang w:val="en-GB"/>
        </w:rPr>
        <w:t>) = +1.29 V</w:t>
      </w:r>
      <w:r w:rsidRPr="00DB3D57">
        <w:rPr>
          <w:lang w:val="en-GB"/>
        </w:rPr>
        <w:t>, E</w:t>
      </w:r>
      <w:r w:rsidRPr="00DB3D57">
        <w:rPr>
          <w:vertAlign w:val="subscript"/>
          <w:lang w:val="en-GB"/>
        </w:rPr>
        <w:t>1/2</w:t>
      </w:r>
      <w:r w:rsidRPr="00DB3D57">
        <w:rPr>
          <w:lang w:val="en-GB"/>
        </w:rPr>
        <w:t xml:space="preserve"> (Ir</w:t>
      </w:r>
      <w:r w:rsidRPr="00DB3D57">
        <w:rPr>
          <w:vertAlign w:val="superscript"/>
          <w:lang w:val="en-GB"/>
        </w:rPr>
        <w:t>IV+</w:t>
      </w:r>
      <w:r w:rsidRPr="00DB3D57">
        <w:rPr>
          <w:lang w:val="en-GB"/>
        </w:rPr>
        <w:t>/Ir</w:t>
      </w:r>
      <w:r w:rsidRPr="00DB3D57">
        <w:rPr>
          <w:vertAlign w:val="superscript"/>
          <w:lang w:val="en-GB"/>
        </w:rPr>
        <w:t>III</w:t>
      </w:r>
      <w:r w:rsidR="00B723E6" w:rsidRPr="00DB3D57">
        <w:rPr>
          <w:lang w:val="en-GB"/>
        </w:rPr>
        <w:t>) = +0.77 V vs SCE</w:t>
      </w:r>
      <w:r w:rsidRPr="00DB3D57">
        <w:rPr>
          <w:lang w:val="en-GB"/>
        </w:rPr>
        <w:t xml:space="preserve">] would regenerate the ground-state photocatalyst </w:t>
      </w:r>
      <w:r w:rsidRPr="00DB3D57">
        <w:rPr>
          <w:b/>
          <w:lang w:val="en-GB"/>
        </w:rPr>
        <w:t>PC</w:t>
      </w:r>
      <w:r w:rsidRPr="00DB3D57">
        <w:rPr>
          <w:lang w:val="en-GB"/>
        </w:rPr>
        <w:t xml:space="preserve"> (</w:t>
      </w:r>
      <w:r w:rsidRPr="00DB3D57">
        <w:rPr>
          <w:b/>
          <w:lang w:val="en-GB"/>
        </w:rPr>
        <w:t>1</w:t>
      </w:r>
      <w:r w:rsidRPr="00DB3D57">
        <w:rPr>
          <w:lang w:val="en-GB"/>
        </w:rPr>
        <w:t>)</w:t>
      </w:r>
      <w:r w:rsidR="00B723E6" w:rsidRPr="00DB3D57">
        <w:rPr>
          <w:lang w:val="en-GB"/>
        </w:rPr>
        <w:t xml:space="preserve"> and</w:t>
      </w:r>
      <w:r w:rsidRPr="00DB3D57">
        <w:rPr>
          <w:lang w:val="en-GB"/>
        </w:rPr>
        <w:t xml:space="preserve"> </w:t>
      </w:r>
      <w:r w:rsidR="00B723E6" w:rsidRPr="00DB3D57">
        <w:rPr>
          <w:lang w:val="en-GB"/>
        </w:rPr>
        <w:t>liberate</w:t>
      </w:r>
      <w:r w:rsidRPr="00DB3D57">
        <w:rPr>
          <w:lang w:val="en-GB"/>
        </w:rPr>
        <w:t xml:space="preserve"> cyclohexadienyl cation </w:t>
      </w:r>
      <w:r w:rsidRPr="00DB3D57">
        <w:rPr>
          <w:b/>
          <w:lang w:val="en-GB"/>
        </w:rPr>
        <w:t>10</w:t>
      </w:r>
      <w:r w:rsidR="000A5CBF" w:rsidRPr="00DB3D57">
        <w:rPr>
          <w:lang w:val="en-GB"/>
        </w:rPr>
        <w:t>,</w:t>
      </w:r>
      <w:r w:rsidRPr="00DB3D57">
        <w:rPr>
          <w:lang w:val="en-GB"/>
        </w:rPr>
        <w:t xml:space="preserve"> which can rearomati</w:t>
      </w:r>
      <w:r w:rsidR="00861E48" w:rsidRPr="00DB3D57">
        <w:rPr>
          <w:lang w:val="en-GB"/>
        </w:rPr>
        <w:t>z</w:t>
      </w:r>
      <w:r w:rsidRPr="00DB3D57">
        <w:rPr>
          <w:lang w:val="en-GB"/>
        </w:rPr>
        <w:t>e with loss of H</w:t>
      </w:r>
      <w:r w:rsidRPr="00DB3D57">
        <w:rPr>
          <w:vertAlign w:val="superscript"/>
          <w:lang w:val="en-GB"/>
        </w:rPr>
        <w:t>+</w:t>
      </w:r>
      <w:r w:rsidRPr="00DB3D57">
        <w:rPr>
          <w:lang w:val="en-GB"/>
        </w:rPr>
        <w:t xml:space="preserve"> to </w:t>
      </w:r>
      <w:r w:rsidR="000E245B" w:rsidRPr="00DB3D57">
        <w:rPr>
          <w:lang w:val="en-GB"/>
        </w:rPr>
        <w:t>give</w:t>
      </w:r>
      <w:r w:rsidRPr="00DB3D57">
        <w:rPr>
          <w:lang w:val="en-GB"/>
        </w:rPr>
        <w:t xml:space="preserve"> 3,4-dihydroquinolin-2-one </w:t>
      </w:r>
      <w:r w:rsidR="00B723E6" w:rsidRPr="00DB3D57">
        <w:rPr>
          <w:b/>
          <w:lang w:val="en-GB"/>
        </w:rPr>
        <w:t>11</w:t>
      </w:r>
      <w:r w:rsidR="00B723E6" w:rsidRPr="00DB3D57">
        <w:rPr>
          <w:lang w:val="en-GB"/>
        </w:rPr>
        <w:t>.</w:t>
      </w:r>
      <w:r w:rsidR="00B723E6" w:rsidRPr="00DB3D57">
        <w:rPr>
          <w:vertAlign w:val="superscript"/>
          <w:lang w:val="en-GB"/>
        </w:rPr>
        <w:t>1</w:t>
      </w:r>
      <w:r w:rsidR="003A297A" w:rsidRPr="00DB3D57">
        <w:rPr>
          <w:vertAlign w:val="superscript"/>
          <w:lang w:val="en-GB"/>
        </w:rPr>
        <w:t>0</w:t>
      </w:r>
    </w:p>
    <w:p w14:paraId="2F321CAF" w14:textId="77777777" w:rsidR="005535EB" w:rsidRPr="00DB3D57" w:rsidRDefault="005535EB" w:rsidP="005535EB">
      <w:pPr>
        <w:pStyle w:val="VCSchemeTitle"/>
        <w:rPr>
          <w:lang w:val="en-GB"/>
        </w:rPr>
      </w:pPr>
      <w:r w:rsidRPr="00DB3D57">
        <w:rPr>
          <w:lang w:val="en-GB"/>
        </w:rPr>
        <w:t>Scheme 2 Proposed Mechanism</w:t>
      </w:r>
      <w:r w:rsidR="006B4630" w:rsidRPr="00DB3D57">
        <w:rPr>
          <w:lang w:val="en-GB"/>
        </w:rPr>
        <w:t xml:space="preserve"> </w:t>
      </w:r>
    </w:p>
    <w:p w14:paraId="3D8247A0" w14:textId="7BD15CD9" w:rsidR="00BF6CB3" w:rsidRPr="00DB3D57" w:rsidRDefault="00034D5A" w:rsidP="005535EB">
      <w:pPr>
        <w:pStyle w:val="TAMainText"/>
        <w:ind w:firstLine="0"/>
        <w:rPr>
          <w:lang w:val="en-GB"/>
        </w:rPr>
      </w:pPr>
      <w:r w:rsidRPr="00DB3D57">
        <w:rPr>
          <w:noProof/>
        </w:rPr>
        <w:drawing>
          <wp:inline distT="0" distB="0" distL="0" distR="0" wp14:anchorId="7B850B2F" wp14:editId="5EF4D71E">
            <wp:extent cx="3044825" cy="2799336"/>
            <wp:effectExtent l="0" t="0" r="3175" b="0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79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23457" w14:textId="1A97F8F4" w:rsidR="00FF0FC7" w:rsidRPr="00DB3D57" w:rsidRDefault="00BF6CB3" w:rsidP="00FF0FC7">
      <w:pPr>
        <w:pStyle w:val="TAMainText"/>
        <w:rPr>
          <w:lang w:val="en-GB"/>
        </w:rPr>
      </w:pPr>
      <w:r w:rsidRPr="00DB3D57">
        <w:rPr>
          <w:lang w:val="en-GB"/>
        </w:rPr>
        <w:t>3,4-Dihydroquinolin-2-</w:t>
      </w:r>
      <w:r w:rsidR="00E352BA" w:rsidRPr="00DB3D57">
        <w:rPr>
          <w:lang w:val="en-GB"/>
        </w:rPr>
        <w:t>ones are a class of heterocycles</w:t>
      </w:r>
      <w:r w:rsidRPr="00DB3D57">
        <w:rPr>
          <w:lang w:val="en-GB"/>
        </w:rPr>
        <w:t xml:space="preserve"> with proven medicinal value, present within top-selling pharmace</w:t>
      </w:r>
      <w:r w:rsidRPr="00DB3D57">
        <w:rPr>
          <w:lang w:val="en-GB"/>
        </w:rPr>
        <w:t>u</w:t>
      </w:r>
      <w:r w:rsidRPr="00DB3D57">
        <w:rPr>
          <w:lang w:val="en-GB"/>
        </w:rPr>
        <w:t>ticals (e.g.</w:t>
      </w:r>
      <w:r w:rsidR="000A5CBF" w:rsidRPr="00DB3D57">
        <w:rPr>
          <w:lang w:val="en-GB"/>
        </w:rPr>
        <w:t>,</w:t>
      </w:r>
      <w:r w:rsidRPr="00DB3D57">
        <w:rPr>
          <w:lang w:val="en-GB"/>
        </w:rPr>
        <w:t xml:space="preserve"> </w:t>
      </w:r>
      <w:r w:rsidRPr="00DB3D57">
        <w:rPr>
          <w:b/>
          <w:lang w:val="en-GB"/>
        </w:rPr>
        <w:t>12</w:t>
      </w:r>
      <w:r w:rsidRPr="00DB3D57">
        <w:rPr>
          <w:lang w:val="en-GB"/>
        </w:rPr>
        <w:t>), natural product families (e.g.</w:t>
      </w:r>
      <w:r w:rsidR="000A5CBF" w:rsidRPr="00DB3D57">
        <w:rPr>
          <w:lang w:val="en-GB"/>
        </w:rPr>
        <w:t>,</w:t>
      </w:r>
      <w:r w:rsidRPr="00DB3D57">
        <w:rPr>
          <w:lang w:val="en-GB"/>
        </w:rPr>
        <w:t xml:space="preserve"> </w:t>
      </w:r>
      <w:r w:rsidRPr="00DB3D57">
        <w:rPr>
          <w:b/>
          <w:lang w:val="en-GB"/>
        </w:rPr>
        <w:t>13</w:t>
      </w:r>
      <w:r w:rsidRPr="00DB3D57">
        <w:rPr>
          <w:lang w:val="en-GB"/>
        </w:rPr>
        <w:t xml:space="preserve"> and </w:t>
      </w:r>
      <w:r w:rsidRPr="00DB3D57">
        <w:rPr>
          <w:b/>
          <w:lang w:val="en-GB"/>
        </w:rPr>
        <w:t>14</w:t>
      </w:r>
      <w:r w:rsidRPr="00DB3D57">
        <w:rPr>
          <w:lang w:val="en-GB"/>
        </w:rPr>
        <w:t>),</w:t>
      </w:r>
      <w:r w:rsidR="00205144" w:rsidRPr="00DB3D57">
        <w:rPr>
          <w:vertAlign w:val="superscript"/>
          <w:lang w:val="en-GB"/>
        </w:rPr>
        <w:t>1</w:t>
      </w:r>
      <w:r w:rsidR="003A297A" w:rsidRPr="00DB3D57">
        <w:rPr>
          <w:vertAlign w:val="superscript"/>
          <w:lang w:val="en-GB"/>
        </w:rPr>
        <w:t>1</w:t>
      </w:r>
      <w:r w:rsidRPr="00DB3D57">
        <w:rPr>
          <w:vertAlign w:val="superscript"/>
          <w:lang w:val="en-GB"/>
        </w:rPr>
        <w:t>,</w:t>
      </w:r>
      <w:r w:rsidR="00205144" w:rsidRPr="00DB3D57">
        <w:rPr>
          <w:vertAlign w:val="superscript"/>
          <w:lang w:val="en-GB"/>
        </w:rPr>
        <w:t>1</w:t>
      </w:r>
      <w:r w:rsidR="003A297A" w:rsidRPr="00DB3D57">
        <w:rPr>
          <w:vertAlign w:val="superscript"/>
          <w:lang w:val="en-GB"/>
        </w:rPr>
        <w:t>2</w:t>
      </w:r>
      <w:r w:rsidRPr="00DB3D57">
        <w:rPr>
          <w:lang w:val="en-GB"/>
        </w:rPr>
        <w:t xml:space="preserve"> and </w:t>
      </w:r>
      <w:r w:rsidR="00ED7CDC" w:rsidRPr="00DB3D57">
        <w:rPr>
          <w:lang w:val="en-GB"/>
        </w:rPr>
        <w:t>other bioactive</w:t>
      </w:r>
      <w:r w:rsidR="00CD2513" w:rsidRPr="00DB3D57">
        <w:rPr>
          <w:lang w:val="en-GB"/>
        </w:rPr>
        <w:t xml:space="preserve"> molecules (Figure 1)</w:t>
      </w:r>
      <w:r w:rsidR="00CD2513" w:rsidRPr="00DB3D57">
        <w:t>.</w:t>
      </w:r>
      <w:r w:rsidR="00205144" w:rsidRPr="00DB3D57">
        <w:rPr>
          <w:vertAlign w:val="superscript"/>
        </w:rPr>
        <w:t>1</w:t>
      </w:r>
      <w:r w:rsidR="003A297A" w:rsidRPr="00DB3D57">
        <w:rPr>
          <w:vertAlign w:val="superscript"/>
        </w:rPr>
        <w:t>3</w:t>
      </w:r>
      <w:r w:rsidR="00CD2513" w:rsidRPr="00DB3D57">
        <w:rPr>
          <w:lang w:val="en-GB"/>
        </w:rPr>
        <w:t xml:space="preserve"> Herein, as part of our program to develop new strategies for </w:t>
      </w:r>
      <w:r w:rsidRPr="00DB3D57">
        <w:rPr>
          <w:lang w:val="en-GB"/>
        </w:rPr>
        <w:t xml:space="preserve">the synthesis of medicinally relevant nitrogen-containing ring </w:t>
      </w:r>
      <w:r w:rsidR="0097640D" w:rsidRPr="00DB3D57">
        <w:rPr>
          <w:lang w:val="en-GB"/>
        </w:rPr>
        <w:t>systems,</w:t>
      </w:r>
      <w:r w:rsidR="00205144" w:rsidRPr="00DB3D57">
        <w:rPr>
          <w:vertAlign w:val="superscript"/>
          <w:lang w:val="en-GB"/>
        </w:rPr>
        <w:t>1</w:t>
      </w:r>
      <w:r w:rsidR="003A297A" w:rsidRPr="00DB3D57">
        <w:rPr>
          <w:vertAlign w:val="superscript"/>
          <w:lang w:val="en-GB"/>
        </w:rPr>
        <w:t>4</w:t>
      </w:r>
      <w:r w:rsidR="0097640D" w:rsidRPr="00DB3D57">
        <w:rPr>
          <w:vertAlign w:val="superscript"/>
          <w:lang w:val="en-GB"/>
        </w:rPr>
        <w:t>,</w:t>
      </w:r>
      <w:r w:rsidR="00205144" w:rsidRPr="00DB3D57">
        <w:rPr>
          <w:vertAlign w:val="superscript"/>
          <w:lang w:val="en-GB"/>
        </w:rPr>
        <w:t>1</w:t>
      </w:r>
      <w:r w:rsidR="003A297A" w:rsidRPr="00DB3D57">
        <w:rPr>
          <w:vertAlign w:val="superscript"/>
          <w:lang w:val="en-GB"/>
        </w:rPr>
        <w:t>5</w:t>
      </w:r>
      <w:r w:rsidR="0097640D" w:rsidRPr="00DB3D57">
        <w:rPr>
          <w:lang w:val="en-GB"/>
        </w:rPr>
        <w:t xml:space="preserve"> we demonstrate the reali</w:t>
      </w:r>
      <w:r w:rsidR="00285AD9" w:rsidRPr="00DB3D57">
        <w:rPr>
          <w:lang w:val="en-GB"/>
        </w:rPr>
        <w:t>z</w:t>
      </w:r>
      <w:r w:rsidR="0097640D" w:rsidRPr="00DB3D57">
        <w:rPr>
          <w:lang w:val="en-GB"/>
        </w:rPr>
        <w:t xml:space="preserve">ation of this novel </w:t>
      </w:r>
      <w:r w:rsidR="00B723E6" w:rsidRPr="00DB3D57">
        <w:rPr>
          <w:lang w:val="en-GB"/>
        </w:rPr>
        <w:t>lactam-forming stra</w:t>
      </w:r>
      <w:r w:rsidR="00B723E6" w:rsidRPr="00DB3D57">
        <w:rPr>
          <w:lang w:val="en-GB"/>
        </w:rPr>
        <w:t>t</w:t>
      </w:r>
      <w:r w:rsidR="00B723E6" w:rsidRPr="00DB3D57">
        <w:rPr>
          <w:lang w:val="en-GB"/>
        </w:rPr>
        <w:t>egy with the preparation of a diverse library</w:t>
      </w:r>
      <w:r w:rsidR="00021C5D" w:rsidRPr="00DB3D57">
        <w:rPr>
          <w:lang w:val="en-GB"/>
        </w:rPr>
        <w:t xml:space="preserve"> of</w:t>
      </w:r>
      <w:r w:rsidR="00B723E6" w:rsidRPr="00DB3D57">
        <w:rPr>
          <w:lang w:val="en-GB"/>
        </w:rPr>
        <w:t xml:space="preserve"> </w:t>
      </w:r>
      <w:r w:rsidR="008A3954" w:rsidRPr="00DB3D57">
        <w:rPr>
          <w:lang w:val="en-GB"/>
        </w:rPr>
        <w:t>3,4-dihydro</w:t>
      </w:r>
      <w:r w:rsidRPr="00DB3D57">
        <w:rPr>
          <w:lang w:val="en-GB"/>
        </w:rPr>
        <w:t>quinolin-2-ones.</w:t>
      </w:r>
    </w:p>
    <w:p w14:paraId="6FC98B4F" w14:textId="4AC8C224" w:rsidR="005338EC" w:rsidRPr="00DB3D57" w:rsidRDefault="005338EC" w:rsidP="00FF0FC7">
      <w:pPr>
        <w:pStyle w:val="TAMainText"/>
        <w:rPr>
          <w:lang w:val="en-GB"/>
        </w:rPr>
      </w:pPr>
      <w:r w:rsidRPr="00DB3D57">
        <w:t xml:space="preserve">A general route to access the </w:t>
      </w:r>
      <w:r w:rsidRPr="00DB3D57">
        <w:rPr>
          <w:i/>
        </w:rPr>
        <w:t>N</w:t>
      </w:r>
      <w:r w:rsidRPr="00DB3D57">
        <w:t>-hydroxyphthalimido o</w:t>
      </w:r>
      <w:r w:rsidRPr="00DB3D57">
        <w:t>x</w:t>
      </w:r>
      <w:r w:rsidRPr="00DB3D57">
        <w:t>amide radical precursors on gram-scale was developed, via the</w:t>
      </w:r>
      <w:r w:rsidR="00205144" w:rsidRPr="00DB3D57">
        <w:t xml:space="preserve"> acylation</w:t>
      </w:r>
      <w:r w:rsidR="00205144" w:rsidRPr="00DB3D57">
        <w:rPr>
          <w:lang w:val="en-GB"/>
        </w:rPr>
        <w:t xml:space="preserve"> of anilines with </w:t>
      </w:r>
      <w:r w:rsidR="00205144" w:rsidRPr="00DB3D57">
        <w:t xml:space="preserve">chloro </w:t>
      </w:r>
      <w:r w:rsidR="00205144" w:rsidRPr="00DB3D57">
        <w:rPr>
          <w:i/>
        </w:rPr>
        <w:t>N</w:t>
      </w:r>
      <w:r w:rsidR="00205144" w:rsidRPr="00DB3D57">
        <w:t>-phthalimidoyl oxalate, (see</w:t>
      </w:r>
      <w:r w:rsidRPr="00DB3D57">
        <w:t xml:space="preserve"> </w:t>
      </w:r>
    </w:p>
    <w:p w14:paraId="2727E3D7" w14:textId="6235DAD7" w:rsidR="00C12840" w:rsidRPr="00DB3D57" w:rsidRDefault="00C12840" w:rsidP="0086063A">
      <w:pPr>
        <w:pStyle w:val="TAMainText"/>
        <w:ind w:firstLine="0"/>
        <w:rPr>
          <w:noProof/>
        </w:rPr>
      </w:pPr>
      <w:r w:rsidRPr="00DB3D57">
        <w:rPr>
          <w:noProof/>
        </w:rPr>
        <w:lastRenderedPageBreak/>
        <w:drawing>
          <wp:inline distT="0" distB="0" distL="0" distR="0" wp14:anchorId="652C8ACC" wp14:editId="682D7878">
            <wp:extent cx="3044825" cy="1176784"/>
            <wp:effectExtent l="0" t="0" r="3175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17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B0637" w14:textId="0EB8BB33" w:rsidR="00FF0FC7" w:rsidRPr="00DB3D57" w:rsidRDefault="00FF0FC7" w:rsidP="0086063A">
      <w:pPr>
        <w:pStyle w:val="TAMainText"/>
        <w:ind w:firstLine="0"/>
        <w:rPr>
          <w:lang w:val="en-GB"/>
        </w:rPr>
      </w:pPr>
      <w:r w:rsidRPr="00DB3D57">
        <w:rPr>
          <w:b/>
          <w:lang w:val="en-GB"/>
        </w:rPr>
        <w:t xml:space="preserve">Figure 1. </w:t>
      </w:r>
      <w:r w:rsidRPr="00DB3D57">
        <w:t>A pharmaceutical and natural products with the 3,4-dihydroquinolin-2-one core.</w:t>
      </w:r>
    </w:p>
    <w:p w14:paraId="14756467" w14:textId="6C07C810" w:rsidR="006C3AF2" w:rsidRPr="00DB3D57" w:rsidRDefault="00205144" w:rsidP="005338EC">
      <w:pPr>
        <w:pStyle w:val="TAMainText"/>
        <w:ind w:firstLine="0"/>
        <w:rPr>
          <w:lang w:val="en-GB"/>
        </w:rPr>
      </w:pPr>
      <w:r w:rsidRPr="00DB3D57">
        <w:t>S</w:t>
      </w:r>
      <w:r w:rsidR="000A5CBF" w:rsidRPr="00DB3D57">
        <w:t xml:space="preserve">upporting </w:t>
      </w:r>
      <w:r w:rsidRPr="00DB3D57">
        <w:t>I</w:t>
      </w:r>
      <w:r w:rsidR="000A5CBF" w:rsidRPr="00DB3D57">
        <w:t>nformation</w:t>
      </w:r>
      <w:r w:rsidRPr="00DB3D57">
        <w:t>)</w:t>
      </w:r>
      <w:r w:rsidRPr="00DB3D57">
        <w:rPr>
          <w:lang w:val="en-GB"/>
        </w:rPr>
        <w:t>.</w:t>
      </w:r>
      <w:r w:rsidRPr="00DB3D57">
        <w:rPr>
          <w:vertAlign w:val="superscript"/>
          <w:lang w:val="en-GB"/>
        </w:rPr>
        <w:t>1</w:t>
      </w:r>
      <w:r w:rsidR="003A297A" w:rsidRPr="00DB3D57">
        <w:rPr>
          <w:vertAlign w:val="superscript"/>
          <w:lang w:val="en-GB"/>
        </w:rPr>
        <w:t>6</w:t>
      </w:r>
      <w:r w:rsidRPr="00DB3D57">
        <w:rPr>
          <w:lang w:val="en-GB"/>
        </w:rPr>
        <w:t xml:space="preserve"> The resulting oxamides were easily purified by </w:t>
      </w:r>
      <w:r w:rsidR="005338EC" w:rsidRPr="00DB3D57">
        <w:rPr>
          <w:lang w:val="en-GB"/>
        </w:rPr>
        <w:t>recrys</w:t>
      </w:r>
      <w:r w:rsidR="00E352BA" w:rsidRPr="00DB3D57">
        <w:rPr>
          <w:lang w:val="en-GB"/>
        </w:rPr>
        <w:t>tallization to afford bench-stable solids. The novel addition–cycli</w:t>
      </w:r>
      <w:r w:rsidR="00285AD9" w:rsidRPr="00DB3D57">
        <w:rPr>
          <w:lang w:val="en-GB"/>
        </w:rPr>
        <w:t>z</w:t>
      </w:r>
      <w:r w:rsidR="00E352BA" w:rsidRPr="00DB3D57">
        <w:rPr>
          <w:lang w:val="en-GB"/>
        </w:rPr>
        <w:t xml:space="preserve">ation process was initially evaluated for the formation of 3,4-dihydroquinolin-2-ones </w:t>
      </w:r>
      <w:r w:rsidR="00E352BA" w:rsidRPr="00DB3D57">
        <w:rPr>
          <w:b/>
        </w:rPr>
        <w:t xml:space="preserve">18 </w:t>
      </w:r>
      <w:r w:rsidR="00E352BA" w:rsidRPr="00DB3D57">
        <w:t xml:space="preserve">and </w:t>
      </w:r>
      <w:r w:rsidR="00E352BA" w:rsidRPr="00DB3D57">
        <w:rPr>
          <w:b/>
        </w:rPr>
        <w:t>19</w:t>
      </w:r>
      <w:r w:rsidR="00E352BA" w:rsidRPr="00DB3D57">
        <w:t xml:space="preserve"> using the oxamide derived from </w:t>
      </w:r>
      <w:r w:rsidR="00E352BA" w:rsidRPr="00DB3D57">
        <w:rPr>
          <w:i/>
        </w:rPr>
        <w:t>N</w:t>
      </w:r>
      <w:r w:rsidR="00E352BA" w:rsidRPr="00DB3D57">
        <w:t xml:space="preserve">-methylaniline </w:t>
      </w:r>
      <w:r w:rsidR="00E352BA" w:rsidRPr="00DB3D57">
        <w:rPr>
          <w:b/>
        </w:rPr>
        <w:t>15</w:t>
      </w:r>
      <w:r w:rsidR="00E352BA" w:rsidRPr="00DB3D57">
        <w:t xml:space="preserve"> and acrylates </w:t>
      </w:r>
      <w:r w:rsidR="00E352BA" w:rsidRPr="00DB3D57">
        <w:rPr>
          <w:b/>
        </w:rPr>
        <w:t>16</w:t>
      </w:r>
      <w:r w:rsidR="00E352BA" w:rsidRPr="00DB3D57">
        <w:t xml:space="preserve"> </w:t>
      </w:r>
      <w:r w:rsidR="00F71CBC" w:rsidRPr="00DB3D57">
        <w:t xml:space="preserve">and </w:t>
      </w:r>
      <w:r w:rsidR="00F71CBC" w:rsidRPr="00DB3D57">
        <w:rPr>
          <w:b/>
        </w:rPr>
        <w:t>17</w:t>
      </w:r>
      <w:r w:rsidR="00F71CBC" w:rsidRPr="00DB3D57">
        <w:t>. Selected optimi</w:t>
      </w:r>
      <w:r w:rsidR="000A5CBF" w:rsidRPr="00DB3D57">
        <w:t>z</w:t>
      </w:r>
      <w:r w:rsidR="00F71CBC" w:rsidRPr="00DB3D57">
        <w:t xml:space="preserve">ation </w:t>
      </w:r>
      <w:r w:rsidR="005C33B1" w:rsidRPr="00DB3D57">
        <w:t>results are</w:t>
      </w:r>
      <w:r w:rsidR="00F71CBC" w:rsidRPr="00DB3D57">
        <w:t xml:space="preserve"> summari</w:t>
      </w:r>
      <w:r w:rsidR="000A5CBF" w:rsidRPr="00DB3D57">
        <w:t>z</w:t>
      </w:r>
      <w:r w:rsidR="00F71CBC" w:rsidRPr="00DB3D57">
        <w:t xml:space="preserve">ed in Table 1. With oxamide </w:t>
      </w:r>
      <w:r w:rsidR="00F71CBC" w:rsidRPr="00DB3D57">
        <w:rPr>
          <w:b/>
        </w:rPr>
        <w:t>15</w:t>
      </w:r>
      <w:r w:rsidR="00F00264" w:rsidRPr="00DB3D57">
        <w:t>,</w:t>
      </w:r>
      <w:r w:rsidR="00F71CBC" w:rsidRPr="00DB3D57">
        <w:t xml:space="preserve"> radical acceptor </w:t>
      </w:r>
      <w:r w:rsidR="00F71CBC" w:rsidRPr="00DB3D57">
        <w:rPr>
          <w:b/>
        </w:rPr>
        <w:t>16</w:t>
      </w:r>
      <w:r w:rsidR="00F00264" w:rsidRPr="00DB3D57">
        <w:t xml:space="preserve"> and 2 mol</w:t>
      </w:r>
      <w:r w:rsidR="000A5CBF" w:rsidRPr="00DB3D57">
        <w:t xml:space="preserve"> </w:t>
      </w:r>
      <w:r w:rsidR="00F00264" w:rsidRPr="00DB3D57">
        <w:t>% Ru(bpy)</w:t>
      </w:r>
      <w:r w:rsidR="00F00264" w:rsidRPr="00DB3D57">
        <w:rPr>
          <w:vertAlign w:val="subscript"/>
        </w:rPr>
        <w:t>3</w:t>
      </w:r>
      <w:r w:rsidR="00F00264" w:rsidRPr="00DB3D57">
        <w:rPr>
          <w:rFonts w:cs="Arial"/>
          <w:color w:val="424242"/>
        </w:rPr>
        <w:t>·</w:t>
      </w:r>
      <w:r w:rsidR="00F00264" w:rsidRPr="00DB3D57">
        <w:t>6H</w:t>
      </w:r>
      <w:r w:rsidR="00F00264" w:rsidRPr="00DB3D57">
        <w:rPr>
          <w:vertAlign w:val="subscript"/>
        </w:rPr>
        <w:t>2</w:t>
      </w:r>
      <w:r w:rsidR="00F00264" w:rsidRPr="00DB3D57">
        <w:t xml:space="preserve">O, </w:t>
      </w:r>
      <w:r w:rsidR="00F71CBC" w:rsidRPr="00DB3D57">
        <w:t xml:space="preserve">after 24 h irradiation with </w:t>
      </w:r>
      <w:r w:rsidR="006F7F37" w:rsidRPr="00DB3D57">
        <w:t>blue LEDs in MeCN</w:t>
      </w:r>
      <w:r w:rsidR="004E50FF" w:rsidRPr="00DB3D57">
        <w:t>,</w:t>
      </w:r>
      <w:r w:rsidR="006F7F37" w:rsidRPr="00DB3D57">
        <w:t xml:space="preserve"> we observe</w:t>
      </w:r>
      <w:r w:rsidR="004E50FF" w:rsidRPr="00DB3D57">
        <w:t>d</w:t>
      </w:r>
      <w:r w:rsidR="006F7F37" w:rsidRPr="00DB3D57">
        <w:t xml:space="preserve"> the desired product </w:t>
      </w:r>
      <w:r w:rsidR="006F7F37" w:rsidRPr="00DB3D57">
        <w:rPr>
          <w:b/>
        </w:rPr>
        <w:t>18</w:t>
      </w:r>
      <w:r w:rsidR="006F7F37" w:rsidRPr="00DB3D57">
        <w:t xml:space="preserve"> in 19% yield (e</w:t>
      </w:r>
      <w:r w:rsidR="006F7F37" w:rsidRPr="00DB3D57">
        <w:t>n</w:t>
      </w:r>
      <w:r w:rsidR="006F7F37" w:rsidRPr="00DB3D57">
        <w:t xml:space="preserve">try 1). Variation of the photocatalyst significantly influenced reaction efficiency, with </w:t>
      </w:r>
      <w:r w:rsidR="0097640D" w:rsidRPr="00DB3D57">
        <w:rPr>
          <w:i/>
        </w:rPr>
        <w:t>fac</w:t>
      </w:r>
      <w:r w:rsidR="0097640D" w:rsidRPr="00DB3D57">
        <w:t>-Ir(ppy)</w:t>
      </w:r>
      <w:r w:rsidR="0097640D" w:rsidRPr="00DB3D57">
        <w:rPr>
          <w:vertAlign w:val="subscript"/>
        </w:rPr>
        <w:t>3</w:t>
      </w:r>
      <w:r w:rsidR="0097640D" w:rsidRPr="00DB3D57">
        <w:t xml:space="preserve"> found to be superior to both Ru(bpy)</w:t>
      </w:r>
      <w:r w:rsidR="0097640D" w:rsidRPr="00DB3D57">
        <w:rPr>
          <w:vertAlign w:val="subscript"/>
        </w:rPr>
        <w:t>3</w:t>
      </w:r>
      <w:r w:rsidR="0097640D" w:rsidRPr="00DB3D57">
        <w:rPr>
          <w:rFonts w:cs="Arial"/>
          <w:color w:val="424242"/>
        </w:rPr>
        <w:t>·</w:t>
      </w:r>
      <w:r w:rsidR="0097640D" w:rsidRPr="00DB3D57">
        <w:t>6H</w:t>
      </w:r>
      <w:r w:rsidR="0097640D" w:rsidRPr="00DB3D57">
        <w:rPr>
          <w:vertAlign w:val="subscript"/>
        </w:rPr>
        <w:t>2</w:t>
      </w:r>
      <w:r w:rsidR="0097640D" w:rsidRPr="00DB3D57">
        <w:t>O and</w:t>
      </w:r>
      <w:r w:rsidR="00C12840" w:rsidRPr="00DB3D57">
        <w:t xml:space="preserve"> eosin Y, leading to a 27% yield (e</w:t>
      </w:r>
      <w:r w:rsidR="00C12840" w:rsidRPr="00DB3D57">
        <w:t>n</w:t>
      </w:r>
      <w:r w:rsidR="00C12840" w:rsidRPr="00DB3D57">
        <w:t xml:space="preserve">tries 2 and 3). Next, a </w:t>
      </w:r>
      <w:r w:rsidR="00877E1F" w:rsidRPr="00DB3D57">
        <w:t xml:space="preserve">solvent screen </w:t>
      </w:r>
      <w:r w:rsidR="000E245B" w:rsidRPr="00DB3D57">
        <w:t xml:space="preserve">identified toluene to be optimal, affording lactam </w:t>
      </w:r>
      <w:r w:rsidR="000E245B" w:rsidRPr="00DB3D57">
        <w:rPr>
          <w:b/>
        </w:rPr>
        <w:t>18</w:t>
      </w:r>
      <w:r w:rsidR="000E245B" w:rsidRPr="00DB3D57">
        <w:t xml:space="preserve"> in 37%</w:t>
      </w:r>
      <w:r w:rsidR="0008764D" w:rsidRPr="00DB3D57">
        <w:t xml:space="preserve"> </w:t>
      </w:r>
      <w:r w:rsidR="004E50FF" w:rsidRPr="00DB3D57">
        <w:t xml:space="preserve">yield </w:t>
      </w:r>
      <w:r w:rsidR="00C86AEF" w:rsidRPr="00DB3D57">
        <w:t xml:space="preserve">(see entries 4–6). </w:t>
      </w:r>
      <w:r w:rsidR="00ED7CDC" w:rsidRPr="00DB3D57">
        <w:rPr>
          <w:lang w:val="en-GB"/>
        </w:rPr>
        <w:t>A</w:t>
      </w:r>
      <w:r w:rsidR="00C86AEF" w:rsidRPr="00DB3D57">
        <w:rPr>
          <w:lang w:val="en-GB"/>
        </w:rPr>
        <w:t xml:space="preserve"> more dilute set of conditions (0.04 M) was </w:t>
      </w:r>
      <w:r w:rsidR="00ED7CDC" w:rsidRPr="00DB3D57">
        <w:rPr>
          <w:lang w:val="en-GB"/>
        </w:rPr>
        <w:t xml:space="preserve">also </w:t>
      </w:r>
      <w:r w:rsidR="00C86AEF" w:rsidRPr="00DB3D57">
        <w:rPr>
          <w:lang w:val="en-GB"/>
        </w:rPr>
        <w:t xml:space="preserve">determined to be </w:t>
      </w:r>
      <w:r w:rsidR="00ED7CDC" w:rsidRPr="00DB3D57">
        <w:rPr>
          <w:lang w:val="en-GB"/>
        </w:rPr>
        <w:t xml:space="preserve">beneficial, affording a 48% yield by </w:t>
      </w:r>
      <w:r w:rsidR="00ED7CDC" w:rsidRPr="00DB3D57">
        <w:rPr>
          <w:vertAlign w:val="superscript"/>
          <w:lang w:val="en-GB"/>
        </w:rPr>
        <w:t>1</w:t>
      </w:r>
      <w:r w:rsidR="00ED7CDC" w:rsidRPr="00DB3D57">
        <w:rPr>
          <w:lang w:val="en-GB"/>
        </w:rPr>
        <w:t xml:space="preserve">H </w:t>
      </w:r>
      <w:r w:rsidR="00F00264" w:rsidRPr="00DB3D57">
        <w:rPr>
          <w:lang w:val="en-GB"/>
        </w:rPr>
        <w:t>NMR analysis</w:t>
      </w:r>
      <w:r w:rsidR="004E50FF" w:rsidRPr="00DB3D57">
        <w:rPr>
          <w:lang w:val="en-GB"/>
        </w:rPr>
        <w:t>,</w:t>
      </w:r>
      <w:r w:rsidR="00F00264" w:rsidRPr="00DB3D57">
        <w:rPr>
          <w:lang w:val="en-GB"/>
        </w:rPr>
        <w:t xml:space="preserve"> which</w:t>
      </w:r>
      <w:r w:rsidR="005338EC" w:rsidRPr="00DB3D57">
        <w:rPr>
          <w:lang w:val="en-GB"/>
        </w:rPr>
        <w:t xml:space="preserve"> translated into a 43% isolated yield (entries 6–9). We then applied the reaction conditions to methyl methac</w:t>
      </w:r>
      <w:r w:rsidRPr="00DB3D57">
        <w:rPr>
          <w:lang w:val="en-GB"/>
        </w:rPr>
        <w:t>rylate (</w:t>
      </w:r>
      <w:r w:rsidRPr="00DB3D57">
        <w:rPr>
          <w:b/>
          <w:lang w:val="en-GB"/>
        </w:rPr>
        <w:t>17</w:t>
      </w:r>
      <w:r w:rsidRPr="00DB3D57">
        <w:rPr>
          <w:lang w:val="en-GB"/>
        </w:rPr>
        <w:t>), an acceptor anticipated to better stabili</w:t>
      </w:r>
      <w:r w:rsidR="004E50FF" w:rsidRPr="00DB3D57">
        <w:rPr>
          <w:lang w:val="en-GB"/>
        </w:rPr>
        <w:t>z</w:t>
      </w:r>
      <w:r w:rsidRPr="00DB3D57">
        <w:rPr>
          <w:lang w:val="en-GB"/>
        </w:rPr>
        <w:t>e the intermed</w:t>
      </w:r>
      <w:r w:rsidRPr="00DB3D57">
        <w:rPr>
          <w:lang w:val="en-GB"/>
        </w:rPr>
        <w:t>i</w:t>
      </w:r>
      <w:r w:rsidRPr="00DB3D57">
        <w:rPr>
          <w:lang w:val="en-GB"/>
        </w:rPr>
        <w:t xml:space="preserve">ate conjugate </w:t>
      </w:r>
      <w:r w:rsidR="004E50FF" w:rsidRPr="00DB3D57">
        <w:rPr>
          <w:lang w:val="en-GB"/>
        </w:rPr>
        <w:t>radical. Gratifyingly 3,4-dihydroquinolin-2-one</w:t>
      </w:r>
    </w:p>
    <w:p w14:paraId="2972B190" w14:textId="03BF7C49" w:rsidR="00EB3463" w:rsidRPr="00DB3D57" w:rsidRDefault="00EB3463" w:rsidP="00EB3463">
      <w:pPr>
        <w:pStyle w:val="VDTableTitle"/>
      </w:pPr>
      <w:r w:rsidRPr="00DB3D57">
        <w:t>Table 1 Reaction Optimi</w:t>
      </w:r>
      <w:r w:rsidR="00861E48" w:rsidRPr="00DB3D57">
        <w:t>z</w:t>
      </w:r>
      <w:r w:rsidRPr="00DB3D57">
        <w:t>ation</w:t>
      </w:r>
    </w:p>
    <w:p w14:paraId="59D33369" w14:textId="476C1E99" w:rsidR="00EB3463" w:rsidRPr="00DB3D57" w:rsidRDefault="00764DC0" w:rsidP="00EB3463">
      <w:r w:rsidRPr="00DB3D57">
        <w:rPr>
          <w:noProof/>
        </w:rPr>
        <w:drawing>
          <wp:inline distT="0" distB="0" distL="0" distR="0" wp14:anchorId="64512C88" wp14:editId="4FD26F48">
            <wp:extent cx="3044825" cy="1042188"/>
            <wp:effectExtent l="0" t="0" r="3175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04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42"/>
        <w:gridCol w:w="1261"/>
        <w:gridCol w:w="1260"/>
        <w:gridCol w:w="1037"/>
      </w:tblGrid>
      <w:tr w:rsidR="0086063A" w:rsidRPr="00DB3D57" w14:paraId="2B129CED" w14:textId="77777777" w:rsidTr="00764DC0">
        <w:tc>
          <w:tcPr>
            <w:tcW w:w="675" w:type="dxa"/>
            <w:shd w:val="clear" w:color="auto" w:fill="D9D9D9"/>
          </w:tcPr>
          <w:p w14:paraId="25D1D80B" w14:textId="2357B368" w:rsidR="00EB3463" w:rsidRPr="00DB3D57" w:rsidRDefault="00A7220A" w:rsidP="00EB3463">
            <w:pPr>
              <w:pStyle w:val="TCTableBody"/>
            </w:pPr>
            <w:r w:rsidRPr="00DB3D57">
              <w:t>e</w:t>
            </w:r>
            <w:r w:rsidR="00EB3463" w:rsidRPr="00DB3D57">
              <w:t>ntry</w:t>
            </w:r>
          </w:p>
        </w:tc>
        <w:tc>
          <w:tcPr>
            <w:tcW w:w="851" w:type="dxa"/>
            <w:shd w:val="clear" w:color="auto" w:fill="D9D9D9"/>
          </w:tcPr>
          <w:p w14:paraId="7E59DBF5" w14:textId="19EA156C" w:rsidR="00EB3463" w:rsidRPr="00DB3D57" w:rsidRDefault="00A7220A" w:rsidP="00EB3463">
            <w:pPr>
              <w:pStyle w:val="TCTableBody"/>
            </w:pPr>
            <w:r w:rsidRPr="00DB3D57">
              <w:t>a</w:t>
            </w:r>
            <w:r w:rsidR="00EB3463" w:rsidRPr="00DB3D57">
              <w:t>cceptor (eq</w:t>
            </w:r>
            <w:r w:rsidR="008872D8" w:rsidRPr="00DB3D57">
              <w:t>uiv</w:t>
            </w:r>
            <w:r w:rsidR="00EB3463" w:rsidRPr="00DB3D57">
              <w:t>)</w:t>
            </w:r>
          </w:p>
        </w:tc>
        <w:tc>
          <w:tcPr>
            <w:tcW w:w="1276" w:type="dxa"/>
            <w:shd w:val="clear" w:color="auto" w:fill="D9D9D9"/>
          </w:tcPr>
          <w:p w14:paraId="2053828C" w14:textId="7CEE6400" w:rsidR="00EB3463" w:rsidRPr="00DB3D57" w:rsidRDefault="00A7220A" w:rsidP="00EB3463">
            <w:pPr>
              <w:pStyle w:val="TCTableBody"/>
            </w:pPr>
            <w:r w:rsidRPr="00DB3D57">
              <w:t>p</w:t>
            </w:r>
            <w:r w:rsidR="00EB3463" w:rsidRPr="00DB3D57">
              <w:t>hotocat</w:t>
            </w:r>
            <w:r w:rsidR="006F7F37" w:rsidRPr="00DB3D57">
              <w:t>alyst</w:t>
            </w:r>
          </w:p>
          <w:p w14:paraId="58584E86" w14:textId="63B65DED" w:rsidR="00EB3463" w:rsidRPr="00DB3D57" w:rsidRDefault="00EB3463" w:rsidP="00EB3463">
            <w:pPr>
              <w:pStyle w:val="TCTableBody"/>
            </w:pPr>
            <w:r w:rsidRPr="00DB3D57">
              <w:t>(2 mol</w:t>
            </w:r>
            <w:r w:rsidR="007D6851" w:rsidRPr="00DB3D57">
              <w:t xml:space="preserve"> </w:t>
            </w:r>
            <w:r w:rsidRPr="00DB3D57">
              <w:t>%)</w:t>
            </w:r>
          </w:p>
        </w:tc>
        <w:tc>
          <w:tcPr>
            <w:tcW w:w="1275" w:type="dxa"/>
            <w:shd w:val="clear" w:color="auto" w:fill="D9D9D9"/>
          </w:tcPr>
          <w:p w14:paraId="6F251AA3" w14:textId="106959A8" w:rsidR="001C0D59" w:rsidRPr="00DB3D57" w:rsidRDefault="00A7220A" w:rsidP="001C0D59">
            <w:pPr>
              <w:pStyle w:val="TCTableBody"/>
            </w:pPr>
            <w:r w:rsidRPr="00DB3D57">
              <w:t>s</w:t>
            </w:r>
            <w:r w:rsidR="00EB3463" w:rsidRPr="00DB3D57">
              <w:t>olvent</w:t>
            </w:r>
            <w:r w:rsidR="001C0D59" w:rsidRPr="00DB3D57">
              <w:t xml:space="preserve"> </w:t>
            </w:r>
          </w:p>
          <w:p w14:paraId="4EC942B8" w14:textId="7D7BC4AA" w:rsidR="00EB3463" w:rsidRPr="00DB3D57" w:rsidRDefault="00EB3463" w:rsidP="001C0D59">
            <w:pPr>
              <w:pStyle w:val="TCTableBody"/>
            </w:pPr>
            <w:r w:rsidRPr="00DB3D57">
              <w:t>(M)</w:t>
            </w:r>
          </w:p>
        </w:tc>
        <w:tc>
          <w:tcPr>
            <w:tcW w:w="1049" w:type="dxa"/>
            <w:shd w:val="clear" w:color="auto" w:fill="D9D9D9"/>
          </w:tcPr>
          <w:p w14:paraId="4C1EAB7E" w14:textId="29ADD575" w:rsidR="00EB3463" w:rsidRPr="00DB3D57" w:rsidRDefault="00A7220A" w:rsidP="00442BD1">
            <w:pPr>
              <w:pStyle w:val="TCTableBody"/>
            </w:pPr>
            <w:r w:rsidRPr="00DB3D57">
              <w:t>p</w:t>
            </w:r>
            <w:r w:rsidR="00EB3463" w:rsidRPr="00DB3D57">
              <w:t>roduct</w:t>
            </w:r>
            <w:r w:rsidR="00927265" w:rsidRPr="00DB3D57">
              <w:t>,</w:t>
            </w:r>
          </w:p>
          <w:p w14:paraId="1A117718" w14:textId="709E0D76" w:rsidR="00EB3463" w:rsidRPr="00DB3D57" w:rsidRDefault="00A7220A" w:rsidP="00442BD1">
            <w:pPr>
              <w:pStyle w:val="TCTableBody"/>
            </w:pPr>
            <w:r w:rsidRPr="00DB3D57">
              <w:t>y</w:t>
            </w:r>
            <w:r w:rsidR="00EB3463" w:rsidRPr="00DB3D57">
              <w:t>ield (%)</w:t>
            </w:r>
            <w:r w:rsidR="006F7F37" w:rsidRPr="00DB3D57">
              <w:rPr>
                <w:vertAlign w:val="superscript"/>
              </w:rPr>
              <w:t>a</w:t>
            </w:r>
          </w:p>
        </w:tc>
      </w:tr>
      <w:tr w:rsidR="0086063A" w:rsidRPr="00DB3D57" w14:paraId="70F688EB" w14:textId="77777777" w:rsidTr="00764DC0">
        <w:tc>
          <w:tcPr>
            <w:tcW w:w="675" w:type="dxa"/>
          </w:tcPr>
          <w:p w14:paraId="041AF556" w14:textId="09C27FD1" w:rsidR="001C0D59" w:rsidRPr="00DB3D57" w:rsidRDefault="001C0D59" w:rsidP="00EB3463">
            <w:pPr>
              <w:pStyle w:val="TCTableBody"/>
            </w:pPr>
            <w:r w:rsidRPr="00DB3D57">
              <w:t>1</w:t>
            </w:r>
            <w:r w:rsidRPr="00DB3D57">
              <w:rPr>
                <w:vertAlign w:val="superscript"/>
              </w:rPr>
              <w:t>b</w:t>
            </w:r>
          </w:p>
        </w:tc>
        <w:tc>
          <w:tcPr>
            <w:tcW w:w="851" w:type="dxa"/>
          </w:tcPr>
          <w:p w14:paraId="1942916D" w14:textId="69FA854B" w:rsidR="001C0D59" w:rsidRPr="00DB3D57" w:rsidRDefault="001C0D59" w:rsidP="00EB3463">
            <w:pPr>
              <w:pStyle w:val="TCTableBody"/>
            </w:pPr>
            <w:r w:rsidRPr="00DB3D57">
              <w:rPr>
                <w:b/>
              </w:rPr>
              <w:t>16</w:t>
            </w:r>
            <w:r w:rsidRPr="00DB3D57">
              <w:t xml:space="preserve"> (1.0)</w:t>
            </w:r>
          </w:p>
        </w:tc>
        <w:tc>
          <w:tcPr>
            <w:tcW w:w="1276" w:type="dxa"/>
          </w:tcPr>
          <w:p w14:paraId="29D1CA61" w14:textId="146E19B5" w:rsidR="001C0D59" w:rsidRPr="00DB3D57" w:rsidRDefault="001C0D59" w:rsidP="00EB3463">
            <w:pPr>
              <w:pStyle w:val="TCTableBody"/>
            </w:pPr>
            <w:r w:rsidRPr="00DB3D57">
              <w:t>Ru(bpy)</w:t>
            </w:r>
            <w:r w:rsidRPr="00DB3D57">
              <w:rPr>
                <w:vertAlign w:val="subscript"/>
              </w:rPr>
              <w:t>3</w:t>
            </w:r>
            <w:r w:rsidRPr="00DB3D57">
              <w:t>Cl</w:t>
            </w:r>
            <w:r w:rsidRPr="00DB3D57">
              <w:rPr>
                <w:vertAlign w:val="subscript"/>
              </w:rPr>
              <w:t>2</w:t>
            </w:r>
            <w:r w:rsidRPr="00DB3D57">
              <w:rPr>
                <w:vertAlign w:val="superscript"/>
              </w:rPr>
              <w:t>c</w:t>
            </w:r>
          </w:p>
        </w:tc>
        <w:tc>
          <w:tcPr>
            <w:tcW w:w="1275" w:type="dxa"/>
          </w:tcPr>
          <w:p w14:paraId="704DC586" w14:textId="4825B95C" w:rsidR="001C0D59" w:rsidRPr="00DB3D57" w:rsidRDefault="001C0D59" w:rsidP="00EB3463">
            <w:pPr>
              <w:pStyle w:val="TCTableBody"/>
            </w:pPr>
            <w:r w:rsidRPr="00DB3D57">
              <w:t>MeCN (0.12)</w:t>
            </w:r>
          </w:p>
        </w:tc>
        <w:tc>
          <w:tcPr>
            <w:tcW w:w="1049" w:type="dxa"/>
          </w:tcPr>
          <w:p w14:paraId="729FA129" w14:textId="68423968" w:rsidR="001C0D59" w:rsidRPr="00DB3D57" w:rsidRDefault="001C0D59" w:rsidP="00EB3463">
            <w:pPr>
              <w:pStyle w:val="TCTableBody"/>
            </w:pPr>
            <w:r w:rsidRPr="00DB3D57">
              <w:rPr>
                <w:b/>
              </w:rPr>
              <w:t>18</w:t>
            </w:r>
            <w:r w:rsidRPr="00DB3D57">
              <w:t>,</w:t>
            </w:r>
            <w:r w:rsidRPr="00DB3D57">
              <w:rPr>
                <w:b/>
              </w:rPr>
              <w:t xml:space="preserve"> </w:t>
            </w:r>
            <w:r w:rsidR="00764DC0" w:rsidRPr="00DB3D57">
              <w:t>19</w:t>
            </w:r>
          </w:p>
        </w:tc>
      </w:tr>
      <w:tr w:rsidR="0086063A" w:rsidRPr="00DB3D57" w14:paraId="66B7B786" w14:textId="77777777" w:rsidTr="00764DC0">
        <w:tc>
          <w:tcPr>
            <w:tcW w:w="675" w:type="dxa"/>
          </w:tcPr>
          <w:p w14:paraId="45C58BC0" w14:textId="5428FE30" w:rsidR="001C0D59" w:rsidRPr="00DB3D57" w:rsidRDefault="006F7F37" w:rsidP="00EB3463">
            <w:pPr>
              <w:pStyle w:val="TCTableBody"/>
            </w:pPr>
            <w:r w:rsidRPr="00DB3D57">
              <w:t>2</w:t>
            </w:r>
            <w:r w:rsidR="001C0D59" w:rsidRPr="00DB3D57">
              <w:rPr>
                <w:vertAlign w:val="superscript"/>
              </w:rPr>
              <w:t>b</w:t>
            </w:r>
          </w:p>
        </w:tc>
        <w:tc>
          <w:tcPr>
            <w:tcW w:w="851" w:type="dxa"/>
          </w:tcPr>
          <w:p w14:paraId="468F0CAE" w14:textId="76D2776C" w:rsidR="001C0D59" w:rsidRPr="00DB3D57" w:rsidRDefault="001C0D59" w:rsidP="00EB3463">
            <w:pPr>
              <w:pStyle w:val="TCTableBody"/>
            </w:pPr>
            <w:r w:rsidRPr="00DB3D57">
              <w:rPr>
                <w:b/>
              </w:rPr>
              <w:t>16</w:t>
            </w:r>
            <w:r w:rsidRPr="00DB3D57">
              <w:t xml:space="preserve"> (1.0)</w:t>
            </w:r>
          </w:p>
        </w:tc>
        <w:tc>
          <w:tcPr>
            <w:tcW w:w="1276" w:type="dxa"/>
          </w:tcPr>
          <w:p w14:paraId="78E6576F" w14:textId="4615E8F9" w:rsidR="001C0D59" w:rsidRPr="00DB3D57" w:rsidRDefault="001C0D59" w:rsidP="00EB3463">
            <w:pPr>
              <w:pStyle w:val="TCTableBody"/>
            </w:pPr>
            <w:r w:rsidRPr="00DB3D57">
              <w:rPr>
                <w:i/>
              </w:rPr>
              <w:t>fac</w:t>
            </w:r>
            <w:r w:rsidRPr="00DB3D57">
              <w:t>-Ir(ppy)</w:t>
            </w:r>
            <w:r w:rsidRPr="00DB3D57">
              <w:rPr>
                <w:vertAlign w:val="subscript"/>
              </w:rPr>
              <w:t>3</w:t>
            </w:r>
          </w:p>
        </w:tc>
        <w:tc>
          <w:tcPr>
            <w:tcW w:w="1275" w:type="dxa"/>
          </w:tcPr>
          <w:p w14:paraId="37B53091" w14:textId="3E3972DD" w:rsidR="001C0D59" w:rsidRPr="00DB3D57" w:rsidRDefault="001C0D59" w:rsidP="00B704F6">
            <w:pPr>
              <w:pStyle w:val="TCTableBody"/>
            </w:pPr>
            <w:r w:rsidRPr="00DB3D57">
              <w:t>Me</w:t>
            </w:r>
            <w:r w:rsidR="00B704F6" w:rsidRPr="00DB3D57">
              <w:t>C</w:t>
            </w:r>
            <w:r w:rsidRPr="00DB3D57">
              <w:t>N (0.12)</w:t>
            </w:r>
          </w:p>
        </w:tc>
        <w:tc>
          <w:tcPr>
            <w:tcW w:w="1049" w:type="dxa"/>
          </w:tcPr>
          <w:p w14:paraId="3D14EC3D" w14:textId="7542EB34" w:rsidR="001C0D59" w:rsidRPr="00DB3D57" w:rsidRDefault="001C0D59" w:rsidP="00EB3463">
            <w:pPr>
              <w:pStyle w:val="TCTableBody"/>
            </w:pPr>
            <w:r w:rsidRPr="00DB3D57">
              <w:rPr>
                <w:b/>
              </w:rPr>
              <w:t>18</w:t>
            </w:r>
            <w:r w:rsidR="00764DC0" w:rsidRPr="00DB3D57">
              <w:t>, 27</w:t>
            </w:r>
          </w:p>
        </w:tc>
      </w:tr>
      <w:tr w:rsidR="0086063A" w:rsidRPr="00DB3D57" w14:paraId="3F376D26" w14:textId="77777777" w:rsidTr="00764DC0">
        <w:tc>
          <w:tcPr>
            <w:tcW w:w="675" w:type="dxa"/>
          </w:tcPr>
          <w:p w14:paraId="310887F1" w14:textId="437D9090" w:rsidR="001C0D59" w:rsidRPr="00DB3D57" w:rsidRDefault="006F7F37" w:rsidP="00EB3463">
            <w:pPr>
              <w:pStyle w:val="TCTableBody"/>
            </w:pPr>
            <w:r w:rsidRPr="00DB3D57">
              <w:t>3</w:t>
            </w:r>
            <w:r w:rsidR="001C0D59" w:rsidRPr="00DB3D57">
              <w:rPr>
                <w:vertAlign w:val="superscript"/>
              </w:rPr>
              <w:t>b</w:t>
            </w:r>
          </w:p>
        </w:tc>
        <w:tc>
          <w:tcPr>
            <w:tcW w:w="851" w:type="dxa"/>
          </w:tcPr>
          <w:p w14:paraId="2F53F07C" w14:textId="033C511D" w:rsidR="001C0D59" w:rsidRPr="00DB3D57" w:rsidRDefault="001C0D59" w:rsidP="00EB3463">
            <w:pPr>
              <w:pStyle w:val="TCTableBody"/>
            </w:pPr>
            <w:r w:rsidRPr="00DB3D57">
              <w:rPr>
                <w:b/>
              </w:rPr>
              <w:t>16</w:t>
            </w:r>
            <w:r w:rsidRPr="00DB3D57">
              <w:t xml:space="preserve"> (1.0)</w:t>
            </w:r>
          </w:p>
        </w:tc>
        <w:tc>
          <w:tcPr>
            <w:tcW w:w="1276" w:type="dxa"/>
          </w:tcPr>
          <w:p w14:paraId="423D86E9" w14:textId="51978075" w:rsidR="001C0D59" w:rsidRPr="00DB3D57" w:rsidRDefault="001C0D59" w:rsidP="00EB3463">
            <w:pPr>
              <w:pStyle w:val="TCTableBody"/>
            </w:pPr>
            <w:r w:rsidRPr="00DB3D57">
              <w:t>Eosin Y</w:t>
            </w:r>
          </w:p>
        </w:tc>
        <w:tc>
          <w:tcPr>
            <w:tcW w:w="1275" w:type="dxa"/>
          </w:tcPr>
          <w:p w14:paraId="4D6D6585" w14:textId="3C756D38" w:rsidR="001C0D59" w:rsidRPr="00DB3D57" w:rsidRDefault="001C0D59" w:rsidP="00EB3463">
            <w:pPr>
              <w:pStyle w:val="TCTableBody"/>
            </w:pPr>
            <w:r w:rsidRPr="00DB3D57">
              <w:t>MeCN (0.12)</w:t>
            </w:r>
          </w:p>
        </w:tc>
        <w:tc>
          <w:tcPr>
            <w:tcW w:w="1049" w:type="dxa"/>
          </w:tcPr>
          <w:p w14:paraId="78DC8717" w14:textId="56C6A115" w:rsidR="001C0D59" w:rsidRPr="00DB3D57" w:rsidRDefault="001C0D59" w:rsidP="00EB3463">
            <w:pPr>
              <w:pStyle w:val="TCTableBody"/>
            </w:pPr>
            <w:r w:rsidRPr="00DB3D57">
              <w:rPr>
                <w:b/>
              </w:rPr>
              <w:t>18</w:t>
            </w:r>
            <w:r w:rsidR="00764DC0" w:rsidRPr="00DB3D57">
              <w:t>, 13</w:t>
            </w:r>
          </w:p>
        </w:tc>
      </w:tr>
      <w:tr w:rsidR="0086063A" w:rsidRPr="00DB3D57" w14:paraId="52CD1962" w14:textId="77777777" w:rsidTr="00764DC0">
        <w:tc>
          <w:tcPr>
            <w:tcW w:w="675" w:type="dxa"/>
          </w:tcPr>
          <w:p w14:paraId="4C6324F1" w14:textId="321123E3" w:rsidR="001C0D59" w:rsidRPr="00DB3D57" w:rsidRDefault="006F7F37" w:rsidP="00EB3463">
            <w:pPr>
              <w:pStyle w:val="TCTableBody"/>
            </w:pPr>
            <w:r w:rsidRPr="00DB3D57">
              <w:t>4</w:t>
            </w:r>
            <w:r w:rsidR="001C0D59" w:rsidRPr="00DB3D57">
              <w:rPr>
                <w:vertAlign w:val="superscript"/>
              </w:rPr>
              <w:t>b</w:t>
            </w:r>
          </w:p>
        </w:tc>
        <w:tc>
          <w:tcPr>
            <w:tcW w:w="851" w:type="dxa"/>
          </w:tcPr>
          <w:p w14:paraId="128D1F19" w14:textId="3C008826" w:rsidR="001C0D59" w:rsidRPr="00DB3D57" w:rsidRDefault="001C0D59" w:rsidP="00EB3463">
            <w:pPr>
              <w:pStyle w:val="TCTableBody"/>
            </w:pPr>
            <w:r w:rsidRPr="00DB3D57">
              <w:rPr>
                <w:b/>
              </w:rPr>
              <w:t>16</w:t>
            </w:r>
            <w:r w:rsidRPr="00DB3D57">
              <w:t xml:space="preserve"> (1.5)</w:t>
            </w:r>
          </w:p>
        </w:tc>
        <w:tc>
          <w:tcPr>
            <w:tcW w:w="1276" w:type="dxa"/>
          </w:tcPr>
          <w:p w14:paraId="4AEECAFD" w14:textId="3C27E6D7" w:rsidR="001C0D59" w:rsidRPr="00DB3D57" w:rsidRDefault="001C0D59" w:rsidP="00EB3463">
            <w:pPr>
              <w:pStyle w:val="TCTableBody"/>
            </w:pPr>
            <w:r w:rsidRPr="00DB3D57">
              <w:rPr>
                <w:i/>
              </w:rPr>
              <w:t>fac</w:t>
            </w:r>
            <w:r w:rsidRPr="00DB3D57">
              <w:t>-Ir(ppy)</w:t>
            </w:r>
            <w:r w:rsidRPr="00DB3D57">
              <w:rPr>
                <w:vertAlign w:val="subscript"/>
              </w:rPr>
              <w:t>3</w:t>
            </w:r>
          </w:p>
        </w:tc>
        <w:tc>
          <w:tcPr>
            <w:tcW w:w="1275" w:type="dxa"/>
          </w:tcPr>
          <w:p w14:paraId="45EE1BA2" w14:textId="7FEBE02C" w:rsidR="001C0D59" w:rsidRPr="00DB3D57" w:rsidRDefault="001C0D59" w:rsidP="00EB3463">
            <w:pPr>
              <w:pStyle w:val="TCTableBody"/>
            </w:pPr>
            <w:r w:rsidRPr="00DB3D57">
              <w:t>CH</w:t>
            </w:r>
            <w:r w:rsidRPr="00DB3D57">
              <w:rPr>
                <w:vertAlign w:val="subscript"/>
              </w:rPr>
              <w:t>2</w:t>
            </w:r>
            <w:r w:rsidRPr="00DB3D57">
              <w:t>Cl</w:t>
            </w:r>
            <w:r w:rsidRPr="00DB3D57">
              <w:rPr>
                <w:vertAlign w:val="subscript"/>
              </w:rPr>
              <w:t>2</w:t>
            </w:r>
            <w:r w:rsidRPr="00DB3D57">
              <w:t xml:space="preserve"> (0.12)</w:t>
            </w:r>
          </w:p>
        </w:tc>
        <w:tc>
          <w:tcPr>
            <w:tcW w:w="1049" w:type="dxa"/>
          </w:tcPr>
          <w:p w14:paraId="5AA6F9E1" w14:textId="39B8C9CE" w:rsidR="001C0D59" w:rsidRPr="00DB3D57" w:rsidRDefault="001C0D59" w:rsidP="00EB3463">
            <w:pPr>
              <w:pStyle w:val="TCTableBody"/>
            </w:pPr>
            <w:r w:rsidRPr="00DB3D57">
              <w:rPr>
                <w:b/>
              </w:rPr>
              <w:t>18</w:t>
            </w:r>
            <w:r w:rsidR="00764DC0" w:rsidRPr="00DB3D57">
              <w:t>, 26</w:t>
            </w:r>
          </w:p>
        </w:tc>
      </w:tr>
      <w:tr w:rsidR="0086063A" w:rsidRPr="00DB3D57" w14:paraId="5F6D5377" w14:textId="77777777" w:rsidTr="00764DC0">
        <w:trPr>
          <w:trHeight w:val="228"/>
        </w:trPr>
        <w:tc>
          <w:tcPr>
            <w:tcW w:w="675" w:type="dxa"/>
          </w:tcPr>
          <w:p w14:paraId="2153ACFB" w14:textId="014ADAF0" w:rsidR="001C0D59" w:rsidRPr="00DB3D57" w:rsidRDefault="006F7F37" w:rsidP="00EB3463">
            <w:pPr>
              <w:pStyle w:val="TCTableBody"/>
            </w:pPr>
            <w:r w:rsidRPr="00DB3D57">
              <w:t>5</w:t>
            </w:r>
            <w:r w:rsidR="001C0D59" w:rsidRPr="00DB3D57">
              <w:rPr>
                <w:vertAlign w:val="superscript"/>
              </w:rPr>
              <w:t>b</w:t>
            </w:r>
          </w:p>
        </w:tc>
        <w:tc>
          <w:tcPr>
            <w:tcW w:w="851" w:type="dxa"/>
          </w:tcPr>
          <w:p w14:paraId="221FCDA3" w14:textId="7B73DFA3" w:rsidR="001C0D59" w:rsidRPr="00DB3D57" w:rsidRDefault="001C0D59" w:rsidP="00EB3463">
            <w:pPr>
              <w:pStyle w:val="TCTableBody"/>
            </w:pPr>
            <w:r w:rsidRPr="00DB3D57">
              <w:rPr>
                <w:b/>
              </w:rPr>
              <w:t>16</w:t>
            </w:r>
            <w:r w:rsidRPr="00DB3D57">
              <w:t xml:space="preserve"> (1.5)</w:t>
            </w:r>
          </w:p>
        </w:tc>
        <w:tc>
          <w:tcPr>
            <w:tcW w:w="1276" w:type="dxa"/>
          </w:tcPr>
          <w:p w14:paraId="39209F63" w14:textId="61CF93E1" w:rsidR="001C0D59" w:rsidRPr="00DB3D57" w:rsidRDefault="001C0D59" w:rsidP="00EB3463">
            <w:pPr>
              <w:pStyle w:val="TCTableBody"/>
            </w:pPr>
            <w:r w:rsidRPr="00DB3D57">
              <w:rPr>
                <w:i/>
              </w:rPr>
              <w:t>fac</w:t>
            </w:r>
            <w:r w:rsidRPr="00DB3D57">
              <w:t>-Ir(ppy)</w:t>
            </w:r>
            <w:r w:rsidRPr="00DB3D57">
              <w:rPr>
                <w:vertAlign w:val="subscript"/>
              </w:rPr>
              <w:t>3</w:t>
            </w:r>
          </w:p>
        </w:tc>
        <w:tc>
          <w:tcPr>
            <w:tcW w:w="1275" w:type="dxa"/>
          </w:tcPr>
          <w:p w14:paraId="338F6325" w14:textId="1703E83B" w:rsidR="001C0D59" w:rsidRPr="00DB3D57" w:rsidRDefault="001C0D59" w:rsidP="00EB3463">
            <w:pPr>
              <w:pStyle w:val="TCTableBody"/>
            </w:pPr>
            <w:r w:rsidRPr="00DB3D57">
              <w:t>THF (0.12)</w:t>
            </w:r>
          </w:p>
        </w:tc>
        <w:tc>
          <w:tcPr>
            <w:tcW w:w="1049" w:type="dxa"/>
          </w:tcPr>
          <w:p w14:paraId="1EDB558A" w14:textId="2A52645C" w:rsidR="001C0D59" w:rsidRPr="00DB3D57" w:rsidRDefault="001C0D59" w:rsidP="00EB3463">
            <w:pPr>
              <w:pStyle w:val="TCTableBody"/>
            </w:pPr>
            <w:r w:rsidRPr="00DB3D57">
              <w:rPr>
                <w:b/>
              </w:rPr>
              <w:t>18</w:t>
            </w:r>
            <w:r w:rsidR="00764DC0" w:rsidRPr="00DB3D57">
              <w:t>, 17</w:t>
            </w:r>
          </w:p>
        </w:tc>
      </w:tr>
      <w:tr w:rsidR="0086063A" w:rsidRPr="00DB3D57" w14:paraId="7524B4BB" w14:textId="77777777" w:rsidTr="00764DC0">
        <w:tc>
          <w:tcPr>
            <w:tcW w:w="675" w:type="dxa"/>
          </w:tcPr>
          <w:p w14:paraId="0027EF40" w14:textId="20FB209D" w:rsidR="001C0D59" w:rsidRPr="00DB3D57" w:rsidRDefault="006F7F37" w:rsidP="00EB3463">
            <w:pPr>
              <w:pStyle w:val="TCTableBody"/>
            </w:pPr>
            <w:r w:rsidRPr="00DB3D57">
              <w:t>6</w:t>
            </w:r>
            <w:r w:rsidR="001C0D59" w:rsidRPr="00DB3D57">
              <w:rPr>
                <w:vertAlign w:val="superscript"/>
              </w:rPr>
              <w:t>b</w:t>
            </w:r>
          </w:p>
        </w:tc>
        <w:tc>
          <w:tcPr>
            <w:tcW w:w="851" w:type="dxa"/>
          </w:tcPr>
          <w:p w14:paraId="171216C3" w14:textId="27576C26" w:rsidR="001C0D59" w:rsidRPr="00DB3D57" w:rsidRDefault="001C0D59" w:rsidP="00EB3463">
            <w:pPr>
              <w:pStyle w:val="TCTableBody"/>
            </w:pPr>
            <w:r w:rsidRPr="00DB3D57">
              <w:rPr>
                <w:b/>
              </w:rPr>
              <w:t>16</w:t>
            </w:r>
            <w:r w:rsidRPr="00DB3D57">
              <w:t xml:space="preserve"> (1.5)</w:t>
            </w:r>
          </w:p>
        </w:tc>
        <w:tc>
          <w:tcPr>
            <w:tcW w:w="1276" w:type="dxa"/>
          </w:tcPr>
          <w:p w14:paraId="2BFFE646" w14:textId="73690D68" w:rsidR="001C0D59" w:rsidRPr="00DB3D57" w:rsidRDefault="001C0D59" w:rsidP="00EB3463">
            <w:pPr>
              <w:pStyle w:val="TCTableBody"/>
            </w:pPr>
            <w:r w:rsidRPr="00DB3D57">
              <w:rPr>
                <w:i/>
              </w:rPr>
              <w:t>fac</w:t>
            </w:r>
            <w:r w:rsidRPr="00DB3D57">
              <w:t>-Ir(ppy)</w:t>
            </w:r>
            <w:r w:rsidRPr="00DB3D57">
              <w:rPr>
                <w:vertAlign w:val="subscript"/>
              </w:rPr>
              <w:t>3</w:t>
            </w:r>
          </w:p>
        </w:tc>
        <w:tc>
          <w:tcPr>
            <w:tcW w:w="1275" w:type="dxa"/>
          </w:tcPr>
          <w:p w14:paraId="1331CC74" w14:textId="0BF0D6CF" w:rsidR="001C0D59" w:rsidRPr="00DB3D57" w:rsidRDefault="001C0D59" w:rsidP="00EB3463">
            <w:pPr>
              <w:pStyle w:val="TCTableBody"/>
            </w:pPr>
            <w:r w:rsidRPr="00DB3D57">
              <w:t>PhMe (0.12)</w:t>
            </w:r>
          </w:p>
        </w:tc>
        <w:tc>
          <w:tcPr>
            <w:tcW w:w="1049" w:type="dxa"/>
          </w:tcPr>
          <w:p w14:paraId="787D2C98" w14:textId="12274644" w:rsidR="001C0D59" w:rsidRPr="00DB3D57" w:rsidRDefault="001C0D59" w:rsidP="00EB3463">
            <w:pPr>
              <w:pStyle w:val="TCTableBody"/>
            </w:pPr>
            <w:r w:rsidRPr="00DB3D57">
              <w:rPr>
                <w:b/>
              </w:rPr>
              <w:t>18</w:t>
            </w:r>
            <w:r w:rsidR="00764DC0" w:rsidRPr="00DB3D57">
              <w:t>, 37</w:t>
            </w:r>
          </w:p>
        </w:tc>
      </w:tr>
      <w:tr w:rsidR="0086063A" w:rsidRPr="00DB3D57" w14:paraId="147464B9" w14:textId="77777777" w:rsidTr="00764DC0">
        <w:tc>
          <w:tcPr>
            <w:tcW w:w="675" w:type="dxa"/>
          </w:tcPr>
          <w:p w14:paraId="2255C7CE" w14:textId="08F458AD" w:rsidR="001C0D59" w:rsidRPr="00DB3D57" w:rsidRDefault="006F7F37" w:rsidP="00136B87">
            <w:pPr>
              <w:pStyle w:val="TCTableBody"/>
            </w:pPr>
            <w:r w:rsidRPr="00DB3D57">
              <w:t>7</w:t>
            </w:r>
            <w:r w:rsidR="001C0D59" w:rsidRPr="00DB3D57">
              <w:rPr>
                <w:vertAlign w:val="superscript"/>
              </w:rPr>
              <w:t>b</w:t>
            </w:r>
          </w:p>
        </w:tc>
        <w:tc>
          <w:tcPr>
            <w:tcW w:w="851" w:type="dxa"/>
          </w:tcPr>
          <w:p w14:paraId="4FDEF6CA" w14:textId="30A7FBDC" w:rsidR="001C0D59" w:rsidRPr="00DB3D57" w:rsidRDefault="001C0D59" w:rsidP="00EB3463">
            <w:pPr>
              <w:pStyle w:val="TCTableBody"/>
            </w:pPr>
            <w:r w:rsidRPr="00DB3D57">
              <w:rPr>
                <w:b/>
              </w:rPr>
              <w:t>16</w:t>
            </w:r>
            <w:r w:rsidRPr="00DB3D57">
              <w:t xml:space="preserve"> (1.5)</w:t>
            </w:r>
          </w:p>
        </w:tc>
        <w:tc>
          <w:tcPr>
            <w:tcW w:w="1276" w:type="dxa"/>
          </w:tcPr>
          <w:p w14:paraId="37AE82C4" w14:textId="0DA7FAAF" w:rsidR="001C0D59" w:rsidRPr="00DB3D57" w:rsidRDefault="001C0D59" w:rsidP="00EB3463">
            <w:pPr>
              <w:pStyle w:val="TCTableBody"/>
            </w:pPr>
            <w:r w:rsidRPr="00DB3D57">
              <w:rPr>
                <w:i/>
              </w:rPr>
              <w:t>fac</w:t>
            </w:r>
            <w:r w:rsidRPr="00DB3D57">
              <w:t>-Ir(ppy)</w:t>
            </w:r>
            <w:r w:rsidRPr="00DB3D57">
              <w:rPr>
                <w:vertAlign w:val="subscript"/>
              </w:rPr>
              <w:t>3</w:t>
            </w:r>
          </w:p>
        </w:tc>
        <w:tc>
          <w:tcPr>
            <w:tcW w:w="1275" w:type="dxa"/>
          </w:tcPr>
          <w:p w14:paraId="3CDB7BCF" w14:textId="50C4AD21" w:rsidR="001C0D59" w:rsidRPr="00DB3D57" w:rsidRDefault="001C0D59" w:rsidP="00EB3463">
            <w:pPr>
              <w:pStyle w:val="TCTableBody"/>
            </w:pPr>
            <w:r w:rsidRPr="00DB3D57">
              <w:t>PhMe (0.24)</w:t>
            </w:r>
          </w:p>
        </w:tc>
        <w:tc>
          <w:tcPr>
            <w:tcW w:w="1049" w:type="dxa"/>
          </w:tcPr>
          <w:p w14:paraId="4B298F89" w14:textId="548C402E" w:rsidR="001C0D59" w:rsidRPr="00DB3D57" w:rsidRDefault="001C0D59" w:rsidP="00EB3463">
            <w:pPr>
              <w:pStyle w:val="TCTableBody"/>
            </w:pPr>
            <w:r w:rsidRPr="00DB3D57">
              <w:rPr>
                <w:b/>
              </w:rPr>
              <w:t>18</w:t>
            </w:r>
            <w:r w:rsidR="00764DC0" w:rsidRPr="00DB3D57">
              <w:t>, 25</w:t>
            </w:r>
          </w:p>
        </w:tc>
      </w:tr>
      <w:tr w:rsidR="0086063A" w:rsidRPr="00DB3D57" w14:paraId="536D2C6E" w14:textId="77777777" w:rsidTr="00764DC0">
        <w:tc>
          <w:tcPr>
            <w:tcW w:w="675" w:type="dxa"/>
          </w:tcPr>
          <w:p w14:paraId="5048BA8A" w14:textId="49A10F17" w:rsidR="001C0D59" w:rsidRPr="00DB3D57" w:rsidRDefault="006F7F37" w:rsidP="00136B87">
            <w:pPr>
              <w:pStyle w:val="TCTableBody"/>
            </w:pPr>
            <w:r w:rsidRPr="00DB3D57">
              <w:rPr>
                <w:b/>
              </w:rPr>
              <w:t>8</w:t>
            </w:r>
            <w:r w:rsidR="001C0D59" w:rsidRPr="00DB3D57">
              <w:rPr>
                <w:b/>
                <w:vertAlign w:val="superscript"/>
              </w:rPr>
              <w:t>b</w:t>
            </w:r>
          </w:p>
        </w:tc>
        <w:tc>
          <w:tcPr>
            <w:tcW w:w="851" w:type="dxa"/>
          </w:tcPr>
          <w:p w14:paraId="112915DB" w14:textId="3775FDEA" w:rsidR="001C0D59" w:rsidRPr="00DB3D57" w:rsidRDefault="001C0D59" w:rsidP="00EB3463">
            <w:pPr>
              <w:pStyle w:val="TCTableBody"/>
            </w:pPr>
            <w:r w:rsidRPr="00DB3D57">
              <w:rPr>
                <w:b/>
              </w:rPr>
              <w:t>16 (1.5)</w:t>
            </w:r>
          </w:p>
        </w:tc>
        <w:tc>
          <w:tcPr>
            <w:tcW w:w="1276" w:type="dxa"/>
          </w:tcPr>
          <w:p w14:paraId="70381E3D" w14:textId="0048CEDD" w:rsidR="001C0D59" w:rsidRPr="00DB3D57" w:rsidRDefault="001C0D59" w:rsidP="00EB3463">
            <w:pPr>
              <w:pStyle w:val="TCTableBody"/>
            </w:pPr>
            <w:r w:rsidRPr="00DB3D57">
              <w:rPr>
                <w:b/>
                <w:i/>
              </w:rPr>
              <w:t>fac</w:t>
            </w:r>
            <w:r w:rsidRPr="00DB3D57">
              <w:rPr>
                <w:b/>
              </w:rPr>
              <w:t>-Ir(ppy)</w:t>
            </w:r>
            <w:r w:rsidRPr="00DB3D57">
              <w:rPr>
                <w:b/>
                <w:vertAlign w:val="subscript"/>
              </w:rPr>
              <w:t>3</w:t>
            </w:r>
          </w:p>
        </w:tc>
        <w:tc>
          <w:tcPr>
            <w:tcW w:w="1275" w:type="dxa"/>
          </w:tcPr>
          <w:p w14:paraId="33ED0664" w14:textId="2432ACB2" w:rsidR="001C0D59" w:rsidRPr="00DB3D57" w:rsidRDefault="001C0D59" w:rsidP="00EB3463">
            <w:pPr>
              <w:pStyle w:val="TCTableBody"/>
            </w:pPr>
            <w:r w:rsidRPr="00DB3D57">
              <w:rPr>
                <w:b/>
              </w:rPr>
              <w:t>PhMe (0.04)</w:t>
            </w:r>
          </w:p>
        </w:tc>
        <w:tc>
          <w:tcPr>
            <w:tcW w:w="1049" w:type="dxa"/>
          </w:tcPr>
          <w:p w14:paraId="271B0A77" w14:textId="0E41C8FE" w:rsidR="001C0D59" w:rsidRPr="00DB3D57" w:rsidRDefault="001C0D59" w:rsidP="006F7F37">
            <w:pPr>
              <w:pStyle w:val="TCTableBody"/>
            </w:pPr>
            <w:r w:rsidRPr="00DB3D57">
              <w:rPr>
                <w:b/>
              </w:rPr>
              <w:t>18</w:t>
            </w:r>
            <w:r w:rsidRPr="00DB3D57">
              <w:t>,</w:t>
            </w:r>
            <w:r w:rsidRPr="00DB3D57">
              <w:rPr>
                <w:b/>
              </w:rPr>
              <w:t xml:space="preserve"> 48</w:t>
            </w:r>
            <w:r w:rsidR="00046007" w:rsidRPr="00DB3D57">
              <w:t xml:space="preserve">, </w:t>
            </w:r>
            <w:r w:rsidRPr="00DB3D57">
              <w:rPr>
                <w:b/>
              </w:rPr>
              <w:t>43</w:t>
            </w:r>
            <w:r w:rsidR="006F7F37" w:rsidRPr="00DB3D57">
              <w:rPr>
                <w:b/>
                <w:vertAlign w:val="superscript"/>
              </w:rPr>
              <w:t>d</w:t>
            </w:r>
          </w:p>
        </w:tc>
      </w:tr>
      <w:tr w:rsidR="0086063A" w:rsidRPr="00DB3D57" w14:paraId="7F158778" w14:textId="77777777" w:rsidTr="00764DC0">
        <w:tc>
          <w:tcPr>
            <w:tcW w:w="675" w:type="dxa"/>
          </w:tcPr>
          <w:p w14:paraId="1E4E5074" w14:textId="443A0E0D" w:rsidR="001C0D59" w:rsidRPr="00DB3D57" w:rsidRDefault="006F7F37" w:rsidP="00136B87">
            <w:pPr>
              <w:pStyle w:val="TCTableBody"/>
            </w:pPr>
            <w:r w:rsidRPr="00DB3D57">
              <w:t>9</w:t>
            </w:r>
            <w:r w:rsidR="001C0D59" w:rsidRPr="00DB3D57">
              <w:rPr>
                <w:vertAlign w:val="superscript"/>
              </w:rPr>
              <w:t>b</w:t>
            </w:r>
          </w:p>
        </w:tc>
        <w:tc>
          <w:tcPr>
            <w:tcW w:w="851" w:type="dxa"/>
          </w:tcPr>
          <w:p w14:paraId="3D713979" w14:textId="449ACF6D" w:rsidR="001C0D59" w:rsidRPr="00DB3D57" w:rsidRDefault="001C0D59" w:rsidP="00EB3463">
            <w:pPr>
              <w:pStyle w:val="TCTableBody"/>
            </w:pPr>
            <w:r w:rsidRPr="00DB3D57">
              <w:rPr>
                <w:b/>
              </w:rPr>
              <w:t xml:space="preserve">16 </w:t>
            </w:r>
            <w:r w:rsidRPr="00DB3D57">
              <w:t>(1.5)</w:t>
            </w:r>
          </w:p>
        </w:tc>
        <w:tc>
          <w:tcPr>
            <w:tcW w:w="1276" w:type="dxa"/>
          </w:tcPr>
          <w:p w14:paraId="3BB6ADCD" w14:textId="0434AC1C" w:rsidR="001C0D59" w:rsidRPr="00DB3D57" w:rsidRDefault="001C0D59" w:rsidP="00EB3463">
            <w:pPr>
              <w:pStyle w:val="TCTableBody"/>
            </w:pPr>
            <w:r w:rsidRPr="00DB3D57">
              <w:rPr>
                <w:i/>
              </w:rPr>
              <w:t>fac</w:t>
            </w:r>
            <w:r w:rsidRPr="00DB3D57">
              <w:t>-Ir(ppy)</w:t>
            </w:r>
            <w:r w:rsidRPr="00DB3D57">
              <w:rPr>
                <w:vertAlign w:val="subscript"/>
              </w:rPr>
              <w:t>3</w:t>
            </w:r>
          </w:p>
        </w:tc>
        <w:tc>
          <w:tcPr>
            <w:tcW w:w="1275" w:type="dxa"/>
          </w:tcPr>
          <w:p w14:paraId="6A3658F4" w14:textId="4717FD1C" w:rsidR="001C0D59" w:rsidRPr="00DB3D57" w:rsidRDefault="001C0D59" w:rsidP="00EB3463">
            <w:pPr>
              <w:pStyle w:val="TCTableBody"/>
            </w:pPr>
            <w:r w:rsidRPr="00DB3D57">
              <w:t>PhMe (0.02)</w:t>
            </w:r>
          </w:p>
        </w:tc>
        <w:tc>
          <w:tcPr>
            <w:tcW w:w="1049" w:type="dxa"/>
          </w:tcPr>
          <w:p w14:paraId="41FF6D6B" w14:textId="7E8FE54A" w:rsidR="001C0D59" w:rsidRPr="00DB3D57" w:rsidRDefault="001C0D59" w:rsidP="00EB3463">
            <w:pPr>
              <w:pStyle w:val="TCTableBody"/>
            </w:pPr>
            <w:r w:rsidRPr="00DB3D57">
              <w:rPr>
                <w:b/>
              </w:rPr>
              <w:t>18</w:t>
            </w:r>
            <w:r w:rsidR="00764DC0" w:rsidRPr="00DB3D57">
              <w:t>, 49</w:t>
            </w:r>
          </w:p>
        </w:tc>
      </w:tr>
      <w:tr w:rsidR="0086063A" w:rsidRPr="00DB3D57" w14:paraId="4AEB66BB" w14:textId="77777777" w:rsidTr="00764DC0">
        <w:tc>
          <w:tcPr>
            <w:tcW w:w="675" w:type="dxa"/>
          </w:tcPr>
          <w:p w14:paraId="77FB127B" w14:textId="01C99F15" w:rsidR="001C0D59" w:rsidRPr="00DB3D57" w:rsidRDefault="006F7F37" w:rsidP="00136B87">
            <w:pPr>
              <w:pStyle w:val="TCTableBody"/>
            </w:pPr>
            <w:r w:rsidRPr="00DB3D57">
              <w:rPr>
                <w:b/>
              </w:rPr>
              <w:t>10</w:t>
            </w:r>
            <w:r w:rsidR="001C0D59" w:rsidRPr="00DB3D57">
              <w:rPr>
                <w:b/>
                <w:vertAlign w:val="superscript"/>
              </w:rPr>
              <w:t>b</w:t>
            </w:r>
          </w:p>
        </w:tc>
        <w:tc>
          <w:tcPr>
            <w:tcW w:w="851" w:type="dxa"/>
          </w:tcPr>
          <w:p w14:paraId="7600FDAE" w14:textId="02146523" w:rsidR="001C0D59" w:rsidRPr="00DB3D57" w:rsidRDefault="001C0D59" w:rsidP="00EB3463">
            <w:pPr>
              <w:pStyle w:val="TCTableBody"/>
            </w:pPr>
            <w:r w:rsidRPr="00DB3D57">
              <w:rPr>
                <w:b/>
              </w:rPr>
              <w:t>17 (1.5)</w:t>
            </w:r>
          </w:p>
        </w:tc>
        <w:tc>
          <w:tcPr>
            <w:tcW w:w="1276" w:type="dxa"/>
          </w:tcPr>
          <w:p w14:paraId="1F10E5F0" w14:textId="73BB6E02" w:rsidR="001C0D59" w:rsidRPr="00DB3D57" w:rsidRDefault="001C0D59" w:rsidP="00EB3463">
            <w:pPr>
              <w:pStyle w:val="TCTableBody"/>
            </w:pPr>
            <w:r w:rsidRPr="00DB3D57">
              <w:rPr>
                <w:b/>
                <w:i/>
              </w:rPr>
              <w:t>fac</w:t>
            </w:r>
            <w:r w:rsidRPr="00DB3D57">
              <w:rPr>
                <w:b/>
              </w:rPr>
              <w:t>-Ir(ppy)</w:t>
            </w:r>
            <w:r w:rsidRPr="00DB3D57">
              <w:rPr>
                <w:b/>
                <w:vertAlign w:val="subscript"/>
              </w:rPr>
              <w:t>3</w:t>
            </w:r>
          </w:p>
        </w:tc>
        <w:tc>
          <w:tcPr>
            <w:tcW w:w="1275" w:type="dxa"/>
          </w:tcPr>
          <w:p w14:paraId="6651E70D" w14:textId="7E55E9D8" w:rsidR="001C0D59" w:rsidRPr="00DB3D57" w:rsidRDefault="001C0D59" w:rsidP="00EB3463">
            <w:pPr>
              <w:pStyle w:val="TCTableBody"/>
            </w:pPr>
            <w:r w:rsidRPr="00DB3D57">
              <w:rPr>
                <w:b/>
              </w:rPr>
              <w:t>PhMe (0.04)</w:t>
            </w:r>
          </w:p>
        </w:tc>
        <w:tc>
          <w:tcPr>
            <w:tcW w:w="1049" w:type="dxa"/>
          </w:tcPr>
          <w:p w14:paraId="6F19C6C5" w14:textId="715C5532" w:rsidR="001C0D59" w:rsidRPr="00DB3D57" w:rsidRDefault="001C0D59" w:rsidP="006F7F37">
            <w:pPr>
              <w:pStyle w:val="TCTableBody"/>
            </w:pPr>
            <w:r w:rsidRPr="00DB3D57">
              <w:rPr>
                <w:b/>
              </w:rPr>
              <w:t>19</w:t>
            </w:r>
            <w:r w:rsidRPr="00DB3D57">
              <w:t>,</w:t>
            </w:r>
            <w:r w:rsidRPr="00DB3D57">
              <w:rPr>
                <w:b/>
              </w:rPr>
              <w:t xml:space="preserve"> 70</w:t>
            </w:r>
            <w:r w:rsidR="006F7F37" w:rsidRPr="00DB3D57">
              <w:rPr>
                <w:b/>
                <w:vertAlign w:val="superscript"/>
              </w:rPr>
              <w:t>d</w:t>
            </w:r>
          </w:p>
        </w:tc>
      </w:tr>
      <w:tr w:rsidR="0086063A" w:rsidRPr="00DB3D57" w14:paraId="0C860E85" w14:textId="77777777" w:rsidTr="00764DC0">
        <w:tc>
          <w:tcPr>
            <w:tcW w:w="675" w:type="dxa"/>
          </w:tcPr>
          <w:p w14:paraId="43D0F4D1" w14:textId="2E1570D5" w:rsidR="001C0D59" w:rsidRPr="00DB3D57" w:rsidRDefault="006F7F37" w:rsidP="00136B87">
            <w:pPr>
              <w:pStyle w:val="TCTableBody"/>
            </w:pPr>
            <w:r w:rsidRPr="00DB3D57">
              <w:t>11</w:t>
            </w:r>
            <w:r w:rsidR="001C0D59" w:rsidRPr="00DB3D57">
              <w:rPr>
                <w:vertAlign w:val="superscript"/>
              </w:rPr>
              <w:t>b</w:t>
            </w:r>
          </w:p>
        </w:tc>
        <w:tc>
          <w:tcPr>
            <w:tcW w:w="851" w:type="dxa"/>
          </w:tcPr>
          <w:p w14:paraId="424CCA72" w14:textId="6378AFB4" w:rsidR="001C0D59" w:rsidRPr="00DB3D57" w:rsidRDefault="001C0D59" w:rsidP="00EB3463">
            <w:pPr>
              <w:pStyle w:val="TCTableBody"/>
            </w:pPr>
            <w:r w:rsidRPr="00DB3D57">
              <w:rPr>
                <w:b/>
              </w:rPr>
              <w:t xml:space="preserve">17 </w:t>
            </w:r>
            <w:r w:rsidRPr="00DB3D57">
              <w:t>(1.5)</w:t>
            </w:r>
          </w:p>
        </w:tc>
        <w:tc>
          <w:tcPr>
            <w:tcW w:w="1276" w:type="dxa"/>
          </w:tcPr>
          <w:p w14:paraId="16FF4D0F" w14:textId="78784802" w:rsidR="001C0D59" w:rsidRPr="00DB3D57" w:rsidRDefault="001C0D59" w:rsidP="00EB3463">
            <w:pPr>
              <w:pStyle w:val="TCTableBody"/>
            </w:pPr>
            <w:r w:rsidRPr="00DB3D57">
              <w:t>–</w:t>
            </w:r>
          </w:p>
        </w:tc>
        <w:tc>
          <w:tcPr>
            <w:tcW w:w="1275" w:type="dxa"/>
          </w:tcPr>
          <w:p w14:paraId="5B3C0387" w14:textId="40F8F908" w:rsidR="001C0D59" w:rsidRPr="00DB3D57" w:rsidRDefault="001C0D59" w:rsidP="00EB3463">
            <w:pPr>
              <w:pStyle w:val="TCTableBody"/>
            </w:pPr>
            <w:r w:rsidRPr="00DB3D57">
              <w:t>PhMe (0.04)</w:t>
            </w:r>
          </w:p>
        </w:tc>
        <w:tc>
          <w:tcPr>
            <w:tcW w:w="1049" w:type="dxa"/>
          </w:tcPr>
          <w:p w14:paraId="28602C09" w14:textId="111386D5" w:rsidR="001C0D59" w:rsidRPr="00DB3D57" w:rsidRDefault="001C0D59" w:rsidP="00EB3463">
            <w:pPr>
              <w:pStyle w:val="TCTableBody"/>
            </w:pPr>
            <w:r w:rsidRPr="00DB3D57">
              <w:rPr>
                <w:b/>
              </w:rPr>
              <w:t>19</w:t>
            </w:r>
            <w:r w:rsidR="00764DC0" w:rsidRPr="00DB3D57">
              <w:t>, 0</w:t>
            </w:r>
          </w:p>
        </w:tc>
      </w:tr>
      <w:tr w:rsidR="0086063A" w:rsidRPr="00DB3D57" w14:paraId="107DDECB" w14:textId="77777777" w:rsidTr="00764DC0">
        <w:tc>
          <w:tcPr>
            <w:tcW w:w="675" w:type="dxa"/>
          </w:tcPr>
          <w:p w14:paraId="0DE7AF1B" w14:textId="3723CFE0" w:rsidR="001C0D59" w:rsidRPr="00DB3D57" w:rsidRDefault="006F7F37" w:rsidP="006F7F37">
            <w:pPr>
              <w:pStyle w:val="TCTableBody"/>
            </w:pPr>
            <w:r w:rsidRPr="00DB3D57">
              <w:t>12</w:t>
            </w:r>
            <w:r w:rsidRPr="00DB3D57">
              <w:rPr>
                <w:vertAlign w:val="superscript"/>
              </w:rPr>
              <w:t>e</w:t>
            </w:r>
          </w:p>
        </w:tc>
        <w:tc>
          <w:tcPr>
            <w:tcW w:w="851" w:type="dxa"/>
          </w:tcPr>
          <w:p w14:paraId="0C35476C" w14:textId="27F96AE1" w:rsidR="001C0D59" w:rsidRPr="00DB3D57" w:rsidRDefault="001C0D59" w:rsidP="00EB3463">
            <w:pPr>
              <w:pStyle w:val="TCTableBody"/>
            </w:pPr>
            <w:r w:rsidRPr="00DB3D57">
              <w:rPr>
                <w:b/>
              </w:rPr>
              <w:t>17</w:t>
            </w:r>
            <w:r w:rsidRPr="00DB3D57">
              <w:t xml:space="preserve"> (1.5)</w:t>
            </w:r>
          </w:p>
        </w:tc>
        <w:tc>
          <w:tcPr>
            <w:tcW w:w="1276" w:type="dxa"/>
          </w:tcPr>
          <w:p w14:paraId="7301BEF1" w14:textId="396F6365" w:rsidR="001C0D59" w:rsidRPr="00DB3D57" w:rsidRDefault="001C0D59" w:rsidP="00EB3463">
            <w:pPr>
              <w:pStyle w:val="TCTableBody"/>
            </w:pPr>
            <w:r w:rsidRPr="00DB3D57">
              <w:rPr>
                <w:i/>
              </w:rPr>
              <w:t>fac</w:t>
            </w:r>
            <w:r w:rsidRPr="00DB3D57">
              <w:t>-Ir(ppy)</w:t>
            </w:r>
            <w:r w:rsidRPr="00DB3D57">
              <w:rPr>
                <w:vertAlign w:val="subscript"/>
              </w:rPr>
              <w:t>3</w:t>
            </w:r>
          </w:p>
        </w:tc>
        <w:tc>
          <w:tcPr>
            <w:tcW w:w="1275" w:type="dxa"/>
          </w:tcPr>
          <w:p w14:paraId="2507130C" w14:textId="2A768199" w:rsidR="001C0D59" w:rsidRPr="00DB3D57" w:rsidRDefault="001C0D59" w:rsidP="00EB3463">
            <w:pPr>
              <w:pStyle w:val="TCTableBody"/>
            </w:pPr>
            <w:r w:rsidRPr="00DB3D57">
              <w:t>PhMe (0.04)</w:t>
            </w:r>
          </w:p>
        </w:tc>
        <w:tc>
          <w:tcPr>
            <w:tcW w:w="1049" w:type="dxa"/>
          </w:tcPr>
          <w:p w14:paraId="1B7271A1" w14:textId="68412666" w:rsidR="001C0D59" w:rsidRPr="00DB3D57" w:rsidRDefault="001C0D59" w:rsidP="00EB3463">
            <w:pPr>
              <w:pStyle w:val="TCTableBody"/>
            </w:pPr>
            <w:r w:rsidRPr="00DB3D57">
              <w:rPr>
                <w:b/>
              </w:rPr>
              <w:t>19</w:t>
            </w:r>
            <w:r w:rsidR="00764DC0" w:rsidRPr="00DB3D57">
              <w:t>, 0</w:t>
            </w:r>
          </w:p>
        </w:tc>
      </w:tr>
    </w:tbl>
    <w:p w14:paraId="3FCDB99D" w14:textId="62488279" w:rsidR="00EB3463" w:rsidRPr="00DB3D57" w:rsidRDefault="001C0D59" w:rsidP="001C0D59">
      <w:pPr>
        <w:pStyle w:val="FETableFootnote"/>
        <w:rPr>
          <w:lang w:val="en-GB"/>
        </w:rPr>
      </w:pPr>
      <w:r w:rsidRPr="00DB3D57">
        <w:rPr>
          <w:vertAlign w:val="superscript"/>
          <w:lang w:val="en-GB"/>
        </w:rPr>
        <w:t>a</w:t>
      </w:r>
      <w:r w:rsidRPr="00DB3D57">
        <w:rPr>
          <w:lang w:val="en-GB"/>
        </w:rPr>
        <w:t xml:space="preserve">Determined by </w:t>
      </w:r>
      <w:r w:rsidRPr="00DB3D57">
        <w:rPr>
          <w:vertAlign w:val="superscript"/>
          <w:lang w:val="en-GB"/>
        </w:rPr>
        <w:t>1</w:t>
      </w:r>
      <w:r w:rsidRPr="00DB3D57">
        <w:rPr>
          <w:lang w:val="en-GB"/>
        </w:rPr>
        <w:t xml:space="preserve">H NMR spectroscopy against an internal standard (BnOAc). </w:t>
      </w:r>
      <w:r w:rsidRPr="00DB3D57">
        <w:rPr>
          <w:vertAlign w:val="superscript"/>
          <w:lang w:val="en-GB"/>
        </w:rPr>
        <w:t>b</w:t>
      </w:r>
      <w:r w:rsidRPr="00DB3D57">
        <w:rPr>
          <w:lang w:val="en-GB"/>
        </w:rPr>
        <w:t>Irradiated with 60 W blue LEDs and fan coo</w:t>
      </w:r>
      <w:r w:rsidRPr="00DB3D57">
        <w:rPr>
          <w:lang w:val="en-GB"/>
        </w:rPr>
        <w:t>l</w:t>
      </w:r>
      <w:r w:rsidRPr="00DB3D57">
        <w:rPr>
          <w:lang w:val="en-GB"/>
        </w:rPr>
        <w:t>ing for 24 h.</w:t>
      </w:r>
      <w:r w:rsidRPr="00DB3D57">
        <w:rPr>
          <w:vertAlign w:val="superscript"/>
          <w:lang w:val="en-GB"/>
        </w:rPr>
        <w:t xml:space="preserve"> c</w:t>
      </w:r>
      <w:r w:rsidRPr="00DB3D57">
        <w:t>Hexahydrate.</w:t>
      </w:r>
      <w:r w:rsidRPr="00DB3D57">
        <w:rPr>
          <w:vertAlign w:val="superscript"/>
          <w:lang w:val="en-GB"/>
        </w:rPr>
        <w:t xml:space="preserve"> </w:t>
      </w:r>
      <w:r w:rsidR="006F7F37" w:rsidRPr="00DB3D57">
        <w:rPr>
          <w:vertAlign w:val="superscript"/>
          <w:lang w:val="en-GB"/>
        </w:rPr>
        <w:t>d</w:t>
      </w:r>
      <w:r w:rsidRPr="00DB3D57">
        <w:rPr>
          <w:lang w:val="en-GB"/>
        </w:rPr>
        <w:t xml:space="preserve">Isolated yield. </w:t>
      </w:r>
      <w:r w:rsidR="006F7F37" w:rsidRPr="00DB3D57">
        <w:rPr>
          <w:vertAlign w:val="superscript"/>
          <w:lang w:val="en-GB"/>
        </w:rPr>
        <w:t>e</w:t>
      </w:r>
      <w:r w:rsidR="00C12840" w:rsidRPr="00DB3D57">
        <w:rPr>
          <w:lang w:val="en-GB"/>
        </w:rPr>
        <w:t>C</w:t>
      </w:r>
      <w:r w:rsidRPr="00DB3D57">
        <w:rPr>
          <w:lang w:val="en-GB"/>
        </w:rPr>
        <w:t>onducted in the dark.</w:t>
      </w:r>
    </w:p>
    <w:p w14:paraId="70002EB8" w14:textId="7F8FE652" w:rsidR="00EB3463" w:rsidRPr="00DB3D57" w:rsidRDefault="005C33B1" w:rsidP="00EB3463">
      <w:pPr>
        <w:pStyle w:val="TAMainText"/>
        <w:ind w:firstLine="0"/>
        <w:rPr>
          <w:lang w:val="en-GB"/>
        </w:rPr>
      </w:pPr>
      <w:r w:rsidRPr="00DB3D57">
        <w:rPr>
          <w:b/>
          <w:lang w:val="en-GB"/>
        </w:rPr>
        <w:lastRenderedPageBreak/>
        <w:t>19</w:t>
      </w:r>
      <w:r w:rsidRPr="00DB3D57">
        <w:rPr>
          <w:lang w:val="en-GB"/>
        </w:rPr>
        <w:t xml:space="preserve"> was isolat</w:t>
      </w:r>
      <w:r w:rsidR="00136B87" w:rsidRPr="00DB3D57">
        <w:rPr>
          <w:lang w:val="en-GB"/>
        </w:rPr>
        <w:t>ed in 70% yield (entry 1</w:t>
      </w:r>
      <w:r w:rsidR="00E03C32" w:rsidRPr="00DB3D57">
        <w:rPr>
          <w:lang w:val="en-GB"/>
        </w:rPr>
        <w:t>0</w:t>
      </w:r>
      <w:r w:rsidR="00136B87" w:rsidRPr="00DB3D57">
        <w:rPr>
          <w:lang w:val="en-GB"/>
        </w:rPr>
        <w:t>). Finally, control expe</w:t>
      </w:r>
      <w:r w:rsidR="00136B87" w:rsidRPr="00DB3D57">
        <w:rPr>
          <w:lang w:val="en-GB"/>
        </w:rPr>
        <w:t>r</w:t>
      </w:r>
      <w:r w:rsidR="00136B87" w:rsidRPr="00DB3D57">
        <w:rPr>
          <w:lang w:val="en-GB"/>
        </w:rPr>
        <w:t>iments revealed that no product formation was observed either in the absence of photocatalyst or light (entries 1</w:t>
      </w:r>
      <w:r w:rsidR="00E03C32" w:rsidRPr="00DB3D57">
        <w:rPr>
          <w:lang w:val="en-GB"/>
        </w:rPr>
        <w:t>1</w:t>
      </w:r>
      <w:r w:rsidR="00136B87" w:rsidRPr="00DB3D57">
        <w:rPr>
          <w:lang w:val="en-GB"/>
        </w:rPr>
        <w:t xml:space="preserve"> and 1</w:t>
      </w:r>
      <w:r w:rsidR="00E03C32" w:rsidRPr="00DB3D57">
        <w:rPr>
          <w:lang w:val="en-GB"/>
        </w:rPr>
        <w:t>2</w:t>
      </w:r>
      <w:r w:rsidR="00136B87" w:rsidRPr="00DB3D57">
        <w:rPr>
          <w:lang w:val="en-GB"/>
        </w:rPr>
        <w:t>).</w:t>
      </w:r>
    </w:p>
    <w:p w14:paraId="5DA63D7A" w14:textId="52992A72" w:rsidR="006B4630" w:rsidRPr="00DB3D57" w:rsidRDefault="006B4630" w:rsidP="003D1201">
      <w:pPr>
        <w:pStyle w:val="TAMainText"/>
        <w:rPr>
          <w:lang w:val="en-GB"/>
        </w:rPr>
      </w:pPr>
      <w:r w:rsidRPr="00DB3D57">
        <w:rPr>
          <w:lang w:val="en-GB"/>
        </w:rPr>
        <w:t>At this juncture the reaction conditions were evaluated across a range of electron-deficient alkene radical acceptors (Scheme 3).</w:t>
      </w:r>
      <w:r w:rsidR="00675B60" w:rsidRPr="00DB3D57">
        <w:rPr>
          <w:vertAlign w:val="superscript"/>
          <w:lang w:val="en-GB"/>
        </w:rPr>
        <w:t>1</w:t>
      </w:r>
      <w:r w:rsidR="003A297A" w:rsidRPr="00DB3D57">
        <w:rPr>
          <w:vertAlign w:val="superscript"/>
          <w:lang w:val="en-GB"/>
        </w:rPr>
        <w:t>7</w:t>
      </w:r>
      <w:r w:rsidRPr="00DB3D57">
        <w:rPr>
          <w:lang w:val="en-GB"/>
        </w:rPr>
        <w:t xml:space="preserve"> In addition to quinolin-2-one </w:t>
      </w:r>
      <w:r w:rsidRPr="00DB3D57">
        <w:rPr>
          <w:b/>
          <w:lang w:val="en-GB"/>
        </w:rPr>
        <w:t>19</w:t>
      </w:r>
      <w:r w:rsidRPr="00DB3D57">
        <w:rPr>
          <w:lang w:val="en-GB"/>
        </w:rPr>
        <w:t>, a second qu</w:t>
      </w:r>
      <w:r w:rsidRPr="00DB3D57">
        <w:rPr>
          <w:lang w:val="en-GB"/>
        </w:rPr>
        <w:t>a</w:t>
      </w:r>
      <w:r w:rsidRPr="00DB3D57">
        <w:rPr>
          <w:lang w:val="en-GB"/>
        </w:rPr>
        <w:t xml:space="preserve">ternary substituted example </w:t>
      </w:r>
      <w:r w:rsidRPr="00DB3D57">
        <w:rPr>
          <w:b/>
          <w:lang w:val="en-GB"/>
        </w:rPr>
        <w:t>20</w:t>
      </w:r>
      <w:r w:rsidRPr="00DB3D57">
        <w:rPr>
          <w:lang w:val="en-GB"/>
        </w:rPr>
        <w:t xml:space="preserve"> was obtained in good yield. Several mono-substituted alkenes were competent reaction partners in this chemistry, offering ester, sulfone, ketone and nitrile substituted </w:t>
      </w:r>
      <w:r w:rsidR="005F61CB" w:rsidRPr="00DB3D57">
        <w:rPr>
          <w:lang w:val="en-GB"/>
        </w:rPr>
        <w:t>products</w:t>
      </w:r>
      <w:r w:rsidRPr="00DB3D57">
        <w:rPr>
          <w:lang w:val="en-GB"/>
        </w:rPr>
        <w:t xml:space="preserve"> </w:t>
      </w:r>
      <w:r w:rsidRPr="00DB3D57">
        <w:rPr>
          <w:b/>
          <w:lang w:val="en-GB"/>
        </w:rPr>
        <w:t xml:space="preserve">18 </w:t>
      </w:r>
      <w:r w:rsidRPr="00DB3D57">
        <w:rPr>
          <w:lang w:val="en-GB"/>
        </w:rPr>
        <w:t>and</w:t>
      </w:r>
      <w:r w:rsidRPr="00DB3D57">
        <w:rPr>
          <w:b/>
          <w:lang w:val="en-GB"/>
        </w:rPr>
        <w:t xml:space="preserve"> 21</w:t>
      </w:r>
      <w:r w:rsidRPr="00DB3D57">
        <w:rPr>
          <w:lang w:val="en-GB"/>
        </w:rPr>
        <w:t>–</w:t>
      </w:r>
      <w:r w:rsidRPr="00DB3D57">
        <w:rPr>
          <w:b/>
          <w:lang w:val="en-GB"/>
        </w:rPr>
        <w:t>2</w:t>
      </w:r>
      <w:r w:rsidR="000F49B4" w:rsidRPr="00DB3D57">
        <w:rPr>
          <w:b/>
          <w:lang w:val="en-GB"/>
        </w:rPr>
        <w:t>3</w:t>
      </w:r>
      <w:r w:rsidRPr="00DB3D57">
        <w:rPr>
          <w:lang w:val="en-GB"/>
        </w:rPr>
        <w:t xml:space="preserve"> in 43–81% yields. The yield of the reaction</w:t>
      </w:r>
      <w:r w:rsidR="005F61CB" w:rsidRPr="00DB3D57">
        <w:rPr>
          <w:lang w:val="en-GB"/>
        </w:rPr>
        <w:t>s</w:t>
      </w:r>
      <w:r w:rsidRPr="00DB3D57">
        <w:rPr>
          <w:lang w:val="en-GB"/>
        </w:rPr>
        <w:t xml:space="preserve"> correlate</w:t>
      </w:r>
      <w:r w:rsidR="005F61CB" w:rsidRPr="00DB3D57">
        <w:rPr>
          <w:lang w:val="en-GB"/>
        </w:rPr>
        <w:t xml:space="preserve">d </w:t>
      </w:r>
      <w:r w:rsidRPr="00DB3D57">
        <w:rPr>
          <w:lang w:val="en-GB"/>
        </w:rPr>
        <w:t>with the electron-withdrawing and radical stabili</w:t>
      </w:r>
      <w:r w:rsidR="004E50FF" w:rsidRPr="00DB3D57">
        <w:rPr>
          <w:lang w:val="en-GB"/>
        </w:rPr>
        <w:t>z</w:t>
      </w:r>
      <w:r w:rsidRPr="00DB3D57">
        <w:rPr>
          <w:lang w:val="en-GB"/>
        </w:rPr>
        <w:t>ing ability of the alkene su</w:t>
      </w:r>
      <w:r w:rsidRPr="00DB3D57">
        <w:rPr>
          <w:lang w:val="en-GB"/>
        </w:rPr>
        <w:t>b</w:t>
      </w:r>
      <w:r w:rsidRPr="00DB3D57">
        <w:rPr>
          <w:lang w:val="en-GB"/>
        </w:rPr>
        <w:t xml:space="preserve">stituent. </w:t>
      </w:r>
    </w:p>
    <w:p w14:paraId="27F96A77" w14:textId="7E3AF352" w:rsidR="00877E1F" w:rsidRPr="00DB3D57" w:rsidRDefault="00194169" w:rsidP="00877E1F">
      <w:pPr>
        <w:pStyle w:val="TAMainText"/>
      </w:pPr>
      <w:r w:rsidRPr="00DB3D57">
        <w:rPr>
          <w:lang w:val="en-GB"/>
        </w:rPr>
        <w:t>Fused cyclopentane</w:t>
      </w:r>
      <w:r w:rsidR="00B90EDE" w:rsidRPr="00DB3D57">
        <w:rPr>
          <w:lang w:val="en-GB"/>
        </w:rPr>
        <w:t xml:space="preserve"> </w:t>
      </w:r>
      <w:r w:rsidR="000F49B4" w:rsidRPr="00DB3D57">
        <w:rPr>
          <w:b/>
          <w:lang w:val="en-GB"/>
        </w:rPr>
        <w:t>24</w:t>
      </w:r>
      <w:r w:rsidR="00B90EDE" w:rsidRPr="00DB3D57">
        <w:rPr>
          <w:lang w:val="en-GB"/>
        </w:rPr>
        <w:t xml:space="preserve"> w</w:t>
      </w:r>
      <w:r w:rsidRPr="00DB3D57">
        <w:rPr>
          <w:lang w:val="en-GB"/>
        </w:rPr>
        <w:t>as</w:t>
      </w:r>
      <w:r w:rsidR="00B90EDE" w:rsidRPr="00DB3D57">
        <w:rPr>
          <w:lang w:val="en-GB"/>
        </w:rPr>
        <w:t xml:space="preserve"> isolated in mod</w:t>
      </w:r>
      <w:r w:rsidRPr="00DB3D57">
        <w:rPr>
          <w:lang w:val="en-GB"/>
        </w:rPr>
        <w:t>est yield</w:t>
      </w:r>
      <w:r w:rsidR="00B90EDE" w:rsidRPr="00DB3D57">
        <w:rPr>
          <w:lang w:val="en-GB"/>
        </w:rPr>
        <w:t xml:space="preserve"> as </w:t>
      </w:r>
      <w:r w:rsidRPr="00DB3D57">
        <w:rPr>
          <w:lang w:val="en-GB"/>
        </w:rPr>
        <w:t xml:space="preserve">a </w:t>
      </w:r>
      <w:r w:rsidR="00B90EDE" w:rsidRPr="00DB3D57">
        <w:rPr>
          <w:lang w:val="en-GB"/>
        </w:rPr>
        <w:t xml:space="preserve">single </w:t>
      </w:r>
      <w:r w:rsidRPr="00DB3D57">
        <w:rPr>
          <w:lang w:val="en-GB"/>
        </w:rPr>
        <w:t>diastereomer</w:t>
      </w:r>
      <w:r w:rsidR="00B90EDE" w:rsidRPr="00DB3D57">
        <w:rPr>
          <w:lang w:val="en-GB"/>
        </w:rPr>
        <w:t>, unambiguously determined as the antic</w:t>
      </w:r>
      <w:r w:rsidR="00B90EDE" w:rsidRPr="00DB3D57">
        <w:rPr>
          <w:lang w:val="en-GB"/>
        </w:rPr>
        <w:t>i</w:t>
      </w:r>
      <w:r w:rsidR="00B90EDE" w:rsidRPr="00DB3D57">
        <w:rPr>
          <w:lang w:val="en-GB"/>
        </w:rPr>
        <w:t xml:space="preserve">pated </w:t>
      </w:r>
      <w:r w:rsidR="00B90EDE" w:rsidRPr="00DB3D57">
        <w:rPr>
          <w:i/>
          <w:lang w:val="en-GB"/>
        </w:rPr>
        <w:t>cis</w:t>
      </w:r>
      <w:r w:rsidR="00B90EDE" w:rsidRPr="00DB3D57">
        <w:rPr>
          <w:lang w:val="en-GB"/>
        </w:rPr>
        <w:t>-fusion by the observation of an nOe correlation b</w:t>
      </w:r>
      <w:r w:rsidR="00B90EDE" w:rsidRPr="00DB3D57">
        <w:rPr>
          <w:lang w:val="en-GB"/>
        </w:rPr>
        <w:t>e</w:t>
      </w:r>
      <w:r w:rsidR="00B90EDE" w:rsidRPr="00DB3D57">
        <w:rPr>
          <w:lang w:val="en-GB"/>
        </w:rPr>
        <w:t xml:space="preserve">tween the benzylic methyl group and the proton at the ring junction. </w:t>
      </w:r>
      <w:r w:rsidR="004D492B" w:rsidRPr="00DB3D57">
        <w:rPr>
          <w:lang w:val="en-GB"/>
        </w:rPr>
        <w:t>Notably, c</w:t>
      </w:r>
      <w:r w:rsidRPr="00DB3D57">
        <w:rPr>
          <w:lang w:val="en-GB"/>
        </w:rPr>
        <w:t>ompound</w:t>
      </w:r>
      <w:r w:rsidR="00B90EDE" w:rsidRPr="00DB3D57">
        <w:rPr>
          <w:lang w:val="en-GB"/>
        </w:rPr>
        <w:t xml:space="preserve"> </w:t>
      </w:r>
      <w:r w:rsidR="000F49B4" w:rsidRPr="00DB3D57">
        <w:rPr>
          <w:b/>
          <w:lang w:val="en-GB"/>
        </w:rPr>
        <w:t>24</w:t>
      </w:r>
      <w:r w:rsidR="00B90EDE" w:rsidRPr="00DB3D57">
        <w:rPr>
          <w:lang w:val="en-GB"/>
        </w:rPr>
        <w:t xml:space="preserve"> contain</w:t>
      </w:r>
      <w:r w:rsidRPr="00DB3D57">
        <w:rPr>
          <w:lang w:val="en-GB"/>
        </w:rPr>
        <w:t>s</w:t>
      </w:r>
      <w:r w:rsidR="00B90EDE" w:rsidRPr="00DB3D57">
        <w:rPr>
          <w:lang w:val="en-GB"/>
        </w:rPr>
        <w:t xml:space="preserve"> the [6,6,5]-core of meloscine (</w:t>
      </w:r>
      <w:r w:rsidR="00B90EDE" w:rsidRPr="00DB3D57">
        <w:rPr>
          <w:b/>
          <w:lang w:val="en-GB"/>
        </w:rPr>
        <w:t>13</w:t>
      </w:r>
      <w:r w:rsidR="00B90EDE" w:rsidRPr="00DB3D57">
        <w:rPr>
          <w:lang w:val="en-GB"/>
        </w:rPr>
        <w:t xml:space="preserve">) and many of the other </w:t>
      </w:r>
      <w:r w:rsidR="00B90EDE" w:rsidRPr="00DB3D57">
        <w:t>melodinus alkaloids</w:t>
      </w:r>
      <w:r w:rsidR="00E3222E" w:rsidRPr="00DB3D57">
        <w:t>.</w:t>
      </w:r>
    </w:p>
    <w:p w14:paraId="2DFCED16" w14:textId="1858885F" w:rsidR="00BC1ECB" w:rsidRPr="00DB3D57" w:rsidRDefault="00B90EDE" w:rsidP="00BC1ECB">
      <w:pPr>
        <w:pStyle w:val="TAMainText"/>
        <w:rPr>
          <w:lang w:val="en-GB"/>
        </w:rPr>
      </w:pPr>
      <w:r w:rsidRPr="00DB3D57">
        <w:t>We next investigated the scope in terms of the oxamide i</w:t>
      </w:r>
      <w:r w:rsidRPr="00DB3D57">
        <w:t>n</w:t>
      </w:r>
      <w:r w:rsidRPr="00DB3D57">
        <w:t xml:space="preserve">puts </w:t>
      </w:r>
      <w:r w:rsidRPr="00DB3D57">
        <w:rPr>
          <w:b/>
        </w:rPr>
        <w:t>3</w:t>
      </w:r>
      <w:r w:rsidRPr="00DB3D57">
        <w:t xml:space="preserve"> using methyl methacrylate (</w:t>
      </w:r>
      <w:r w:rsidRPr="00DB3D57">
        <w:rPr>
          <w:b/>
        </w:rPr>
        <w:t>17</w:t>
      </w:r>
      <w:r w:rsidRPr="00DB3D57">
        <w:t>) as the common acce</w:t>
      </w:r>
      <w:r w:rsidRPr="00DB3D57">
        <w:t>p</w:t>
      </w:r>
      <w:r w:rsidRPr="00DB3D57">
        <w:t xml:space="preserve">tor. </w:t>
      </w:r>
      <w:r w:rsidR="00194169" w:rsidRPr="00DB3D57">
        <w:rPr>
          <w:lang w:val="en-GB"/>
        </w:rPr>
        <w:t xml:space="preserve">A series of </w:t>
      </w:r>
      <w:r w:rsidR="00194169" w:rsidRPr="00DB3D57">
        <w:rPr>
          <w:i/>
          <w:lang w:val="en-GB"/>
        </w:rPr>
        <w:t>p</w:t>
      </w:r>
      <w:r w:rsidR="00194169" w:rsidRPr="00DB3D57">
        <w:rPr>
          <w:lang w:val="en-GB"/>
        </w:rPr>
        <w:t xml:space="preserve">-substituted </w:t>
      </w:r>
      <w:r w:rsidR="00194169" w:rsidRPr="00DB3D57">
        <w:rPr>
          <w:i/>
          <w:lang w:val="en-GB"/>
        </w:rPr>
        <w:t>N</w:t>
      </w:r>
      <w:r w:rsidR="00194169" w:rsidRPr="00DB3D57">
        <w:rPr>
          <w:lang w:val="en-GB"/>
        </w:rPr>
        <w:t>-methyl oxamides were subjec</w:t>
      </w:r>
      <w:r w:rsidR="00194169" w:rsidRPr="00DB3D57">
        <w:rPr>
          <w:lang w:val="en-GB"/>
        </w:rPr>
        <w:t>t</w:t>
      </w:r>
      <w:r w:rsidR="00194169" w:rsidRPr="00DB3D57">
        <w:rPr>
          <w:lang w:val="en-GB"/>
        </w:rPr>
        <w:t xml:space="preserve">ed to the reaction, affording 3,4-dihydroquinolin-2-ones </w:t>
      </w:r>
      <w:r w:rsidR="000F49B4" w:rsidRPr="00DB3D57">
        <w:rPr>
          <w:b/>
          <w:lang w:val="en-GB"/>
        </w:rPr>
        <w:t>25</w:t>
      </w:r>
      <w:r w:rsidR="00194169" w:rsidRPr="00DB3D57">
        <w:rPr>
          <w:lang w:val="en-GB"/>
        </w:rPr>
        <w:t>–</w:t>
      </w:r>
      <w:r w:rsidR="000F49B4" w:rsidRPr="00DB3D57">
        <w:rPr>
          <w:b/>
          <w:lang w:val="en-GB"/>
        </w:rPr>
        <w:t>28</w:t>
      </w:r>
      <w:r w:rsidR="00194169" w:rsidRPr="00DB3D57">
        <w:rPr>
          <w:lang w:val="en-GB"/>
        </w:rPr>
        <w:t xml:space="preserve"> in </w:t>
      </w:r>
      <w:r w:rsidR="00021C5D" w:rsidRPr="00DB3D57">
        <w:rPr>
          <w:lang w:val="en-GB"/>
        </w:rPr>
        <w:t>57</w:t>
      </w:r>
      <w:r w:rsidR="00194169" w:rsidRPr="00DB3D57">
        <w:rPr>
          <w:lang w:val="en-GB"/>
        </w:rPr>
        <w:t>–80% yield with a range</w:t>
      </w:r>
      <w:r w:rsidR="00927265" w:rsidRPr="00DB3D57">
        <w:rPr>
          <w:lang w:val="en-GB"/>
        </w:rPr>
        <w:t xml:space="preserve"> of electron-withdrawing and </w:t>
      </w:r>
      <w:r w:rsidR="004E50FF" w:rsidRPr="00DB3D57">
        <w:rPr>
          <w:lang w:val="en-GB"/>
        </w:rPr>
        <w:t>electron-</w:t>
      </w:r>
      <w:r w:rsidR="00927265" w:rsidRPr="00DB3D57">
        <w:rPr>
          <w:lang w:val="en-GB"/>
        </w:rPr>
        <w:t>donating substituents and potentially useful functio</w:t>
      </w:r>
      <w:r w:rsidR="00927265" w:rsidRPr="00DB3D57">
        <w:rPr>
          <w:lang w:val="en-GB"/>
        </w:rPr>
        <w:t>n</w:t>
      </w:r>
      <w:r w:rsidR="00927265" w:rsidRPr="00DB3D57">
        <w:rPr>
          <w:lang w:val="en-GB"/>
        </w:rPr>
        <w:t>al</w:t>
      </w:r>
      <w:r w:rsidR="004E50FF" w:rsidRPr="00DB3D57">
        <w:rPr>
          <w:lang w:val="en-GB"/>
        </w:rPr>
        <w:t xml:space="preserve"> groups</w:t>
      </w:r>
      <w:r w:rsidR="00927265" w:rsidRPr="00DB3D57">
        <w:rPr>
          <w:lang w:val="en-GB"/>
        </w:rPr>
        <w:t xml:space="preserve">. Taken together with compound </w:t>
      </w:r>
      <w:r w:rsidR="00927265" w:rsidRPr="00DB3D57">
        <w:rPr>
          <w:b/>
          <w:lang w:val="en-GB"/>
        </w:rPr>
        <w:t xml:space="preserve">19 </w:t>
      </w:r>
      <w:r w:rsidR="00927265" w:rsidRPr="00DB3D57">
        <w:rPr>
          <w:lang w:val="en-GB"/>
        </w:rPr>
        <w:t xml:space="preserve">there is a clear trend of increasing yield for more electron-deficient oxamides. Interestingly, the </w:t>
      </w:r>
      <w:r w:rsidR="00927265" w:rsidRPr="00DB3D57">
        <w:rPr>
          <w:i/>
          <w:lang w:val="en-GB"/>
        </w:rPr>
        <w:t>m</w:t>
      </w:r>
      <w:r w:rsidR="00927265" w:rsidRPr="00DB3D57">
        <w:rPr>
          <w:lang w:val="en-GB"/>
        </w:rPr>
        <w:t>-methyl substituted oxamide afforded la</w:t>
      </w:r>
      <w:r w:rsidR="00927265" w:rsidRPr="00DB3D57">
        <w:rPr>
          <w:lang w:val="en-GB"/>
        </w:rPr>
        <w:t>c</w:t>
      </w:r>
      <w:r w:rsidR="00927265" w:rsidRPr="00DB3D57">
        <w:rPr>
          <w:lang w:val="en-GB"/>
        </w:rPr>
        <w:t xml:space="preserve">tam </w:t>
      </w:r>
      <w:r w:rsidR="000F49B4" w:rsidRPr="00DB3D57">
        <w:rPr>
          <w:b/>
          <w:lang w:val="en-GB"/>
        </w:rPr>
        <w:t>29</w:t>
      </w:r>
      <w:r w:rsidR="00927265" w:rsidRPr="00DB3D57">
        <w:rPr>
          <w:lang w:val="en-GB"/>
        </w:rPr>
        <w:t xml:space="preserve"> in 66% yield as a single regioisomer, owing to steric directing effects. In</w:t>
      </w:r>
      <w:r w:rsidR="0095315C" w:rsidRPr="00DB3D57">
        <w:rPr>
          <w:lang w:val="en-GB"/>
        </w:rPr>
        <w:t xml:space="preserve"> contrast, none of the desired lactam was observed when the analogous </w:t>
      </w:r>
      <w:r w:rsidR="0095315C" w:rsidRPr="00DB3D57">
        <w:rPr>
          <w:i/>
          <w:lang w:val="en-GB"/>
        </w:rPr>
        <w:t>o</w:t>
      </w:r>
      <w:r w:rsidR="0095315C" w:rsidRPr="00DB3D57">
        <w:rPr>
          <w:lang w:val="en-GB"/>
        </w:rPr>
        <w:t>-methyl substituted oxam</w:t>
      </w:r>
      <w:r w:rsidR="00B15DA1" w:rsidRPr="00DB3D57">
        <w:rPr>
          <w:lang w:val="en-GB"/>
        </w:rPr>
        <w:t xml:space="preserve">ide </w:t>
      </w:r>
      <w:r w:rsidR="00B15DA1" w:rsidRPr="00DB3D57">
        <w:rPr>
          <w:lang w:val="en-GB"/>
        </w:rPr>
        <w:lastRenderedPageBreak/>
        <w:t>was employed in the process</w:t>
      </w:r>
      <w:r w:rsidR="0095315C" w:rsidRPr="00DB3D57">
        <w:rPr>
          <w:lang w:val="en-GB"/>
        </w:rPr>
        <w:t>. Pleasingly, the</w:t>
      </w:r>
      <w:r w:rsidR="00B15DA1" w:rsidRPr="00DB3D57">
        <w:rPr>
          <w:lang w:val="en-GB"/>
        </w:rPr>
        <w:t xml:space="preserve"> smaller and more electron-withdrawing </w:t>
      </w:r>
      <w:r w:rsidR="00B15DA1" w:rsidRPr="00DB3D57">
        <w:rPr>
          <w:i/>
          <w:lang w:val="en-GB"/>
        </w:rPr>
        <w:t>o</w:t>
      </w:r>
      <w:r w:rsidR="00B15DA1" w:rsidRPr="00DB3D57">
        <w:rPr>
          <w:lang w:val="en-GB"/>
        </w:rPr>
        <w:t>-fluoro substituent</w:t>
      </w:r>
      <w:r w:rsidR="00B15DA1" w:rsidRPr="00DB3D57">
        <w:rPr>
          <w:b/>
          <w:bCs/>
        </w:rPr>
        <w:t xml:space="preserve"> </w:t>
      </w:r>
      <w:r w:rsidR="00B15DA1" w:rsidRPr="00DB3D57">
        <w:rPr>
          <w:lang w:val="en-GB"/>
        </w:rPr>
        <w:t xml:space="preserve">was compatible with the method, providing quinolin-2-one </w:t>
      </w:r>
      <w:r w:rsidR="00B15DA1" w:rsidRPr="00DB3D57">
        <w:rPr>
          <w:b/>
          <w:lang w:val="en-GB"/>
        </w:rPr>
        <w:t>3</w:t>
      </w:r>
      <w:r w:rsidR="000F49B4" w:rsidRPr="00DB3D57">
        <w:rPr>
          <w:b/>
          <w:lang w:val="en-GB"/>
        </w:rPr>
        <w:t>0</w:t>
      </w:r>
      <w:r w:rsidR="00B15DA1" w:rsidRPr="00DB3D57">
        <w:rPr>
          <w:lang w:val="en-GB"/>
        </w:rPr>
        <w:t xml:space="preserve"> in</w:t>
      </w:r>
      <w:r w:rsidR="00F71CBC" w:rsidRPr="00DB3D57">
        <w:rPr>
          <w:lang w:val="en-GB"/>
        </w:rPr>
        <w:t xml:space="preserve"> 41% yield. Finally, </w:t>
      </w:r>
      <w:r w:rsidR="00F71CBC" w:rsidRPr="00DB3D57">
        <w:t>the formation</w:t>
      </w:r>
      <w:r w:rsidR="00937852" w:rsidRPr="00DB3D57">
        <w:t xml:space="preserve"> of</w:t>
      </w:r>
      <w:r w:rsidR="00F71CBC" w:rsidRPr="00DB3D57">
        <w:t xml:space="preserve"> </w:t>
      </w:r>
      <w:r w:rsidR="00C12840" w:rsidRPr="00DB3D57">
        <w:t>products</w:t>
      </w:r>
      <w:r w:rsidR="00F71CBC" w:rsidRPr="00DB3D57">
        <w:rPr>
          <w:b/>
          <w:lang w:val="en-GB"/>
        </w:rPr>
        <w:t xml:space="preserve"> </w:t>
      </w:r>
      <w:r w:rsidR="000F49B4" w:rsidRPr="00DB3D57">
        <w:rPr>
          <w:b/>
          <w:lang w:val="en-GB"/>
        </w:rPr>
        <w:t>31</w:t>
      </w:r>
      <w:r w:rsidR="00F71CBC" w:rsidRPr="00DB3D57">
        <w:rPr>
          <w:lang w:val="en-GB"/>
        </w:rPr>
        <w:t xml:space="preserve"> and </w:t>
      </w:r>
      <w:r w:rsidR="000F49B4" w:rsidRPr="00DB3D57">
        <w:rPr>
          <w:b/>
          <w:lang w:val="en-GB"/>
        </w:rPr>
        <w:t>32</w:t>
      </w:r>
      <w:r w:rsidR="00F71CBC" w:rsidRPr="00DB3D57">
        <w:rPr>
          <w:lang w:val="en-GB"/>
        </w:rPr>
        <w:t xml:space="preserve"> is notable as the</w:t>
      </w:r>
      <w:r w:rsidR="00C12840" w:rsidRPr="00DB3D57">
        <w:rPr>
          <w:lang w:val="en-GB"/>
        </w:rPr>
        <w:t>y</w:t>
      </w:r>
      <w:r w:rsidR="00F71CBC" w:rsidRPr="00DB3D57">
        <w:rPr>
          <w:lang w:val="en-GB"/>
        </w:rPr>
        <w:t xml:space="preserve"> bear removable </w:t>
      </w:r>
      <w:r w:rsidR="00F71CBC" w:rsidRPr="00DB3D57">
        <w:rPr>
          <w:i/>
          <w:lang w:val="en-GB"/>
        </w:rPr>
        <w:t>N</w:t>
      </w:r>
      <w:r w:rsidR="00F71CBC" w:rsidRPr="00DB3D57">
        <w:rPr>
          <w:lang w:val="en-GB"/>
        </w:rPr>
        <w:t>-protecting groups</w:t>
      </w:r>
      <w:r w:rsidR="007817CF" w:rsidRPr="00DB3D57">
        <w:rPr>
          <w:vertAlign w:val="superscript"/>
          <w:lang w:val="en-GB"/>
        </w:rPr>
        <w:t>18</w:t>
      </w:r>
      <w:r w:rsidR="00F71CBC" w:rsidRPr="00DB3D57">
        <w:rPr>
          <w:lang w:val="en-GB"/>
        </w:rPr>
        <w:t xml:space="preserve"> and also because the intramolecular cycli</w:t>
      </w:r>
      <w:r w:rsidR="004E50FF" w:rsidRPr="00DB3D57">
        <w:rPr>
          <w:lang w:val="en-GB"/>
        </w:rPr>
        <w:t>z</w:t>
      </w:r>
      <w:r w:rsidR="00F71CBC" w:rsidRPr="00DB3D57">
        <w:rPr>
          <w:lang w:val="en-GB"/>
        </w:rPr>
        <w:t xml:space="preserve">ation occurred preferentially onto the anilide, rather than the pendant </w:t>
      </w:r>
      <w:r w:rsidR="00F71CBC" w:rsidRPr="00DB3D57">
        <w:rPr>
          <w:i/>
          <w:lang w:val="en-GB"/>
        </w:rPr>
        <w:t>N</w:t>
      </w:r>
      <w:r w:rsidR="00F71CBC" w:rsidRPr="00DB3D57">
        <w:rPr>
          <w:lang w:val="en-GB"/>
        </w:rPr>
        <w:t>-benzyl</w:t>
      </w:r>
      <w:r w:rsidR="00205144" w:rsidRPr="00DB3D57">
        <w:rPr>
          <w:bCs/>
          <w:vertAlign w:val="superscript"/>
        </w:rPr>
        <w:t>3f</w:t>
      </w:r>
      <w:r w:rsidR="00F71CBC" w:rsidRPr="00DB3D57">
        <w:rPr>
          <w:lang w:val="en-GB"/>
        </w:rPr>
        <w:t xml:space="preserve"> and </w:t>
      </w:r>
      <w:r w:rsidR="00F71CBC" w:rsidRPr="00DB3D57">
        <w:rPr>
          <w:i/>
          <w:lang w:val="en-GB"/>
        </w:rPr>
        <w:t>N</w:t>
      </w:r>
      <w:r w:rsidR="00F71CBC" w:rsidRPr="00DB3D57">
        <w:rPr>
          <w:lang w:val="en-GB"/>
        </w:rPr>
        <w:t>-</w:t>
      </w:r>
      <w:r w:rsidR="00E03C32" w:rsidRPr="00DB3D57">
        <w:rPr>
          <w:lang w:val="en-GB"/>
        </w:rPr>
        <w:t>allyl groups</w:t>
      </w:r>
      <w:r w:rsidR="00F00264" w:rsidRPr="00DB3D57">
        <w:rPr>
          <w:lang w:val="en-GB"/>
        </w:rPr>
        <w:t>,</w:t>
      </w:r>
      <w:r w:rsidR="000022F3" w:rsidRPr="00DB3D57">
        <w:rPr>
          <w:bCs/>
          <w:vertAlign w:val="superscript"/>
        </w:rPr>
        <w:t>5</w:t>
      </w:r>
      <w:r w:rsidR="003A297A" w:rsidRPr="00DB3D57">
        <w:rPr>
          <w:bCs/>
          <w:vertAlign w:val="superscript"/>
        </w:rPr>
        <w:t>c</w:t>
      </w:r>
      <w:r w:rsidR="00F00264" w:rsidRPr="00DB3D57">
        <w:rPr>
          <w:bCs/>
          <w:vertAlign w:val="superscript"/>
        </w:rPr>
        <w:t>,</w:t>
      </w:r>
      <w:r w:rsidR="000022F3" w:rsidRPr="00DB3D57">
        <w:rPr>
          <w:bCs/>
          <w:vertAlign w:val="superscript"/>
        </w:rPr>
        <w:t>5</w:t>
      </w:r>
      <w:r w:rsidR="003A297A" w:rsidRPr="00DB3D57">
        <w:rPr>
          <w:bCs/>
          <w:vertAlign w:val="superscript"/>
        </w:rPr>
        <w:t>b</w:t>
      </w:r>
      <w:r w:rsidR="00F00264" w:rsidRPr="00DB3D57">
        <w:rPr>
          <w:lang w:val="en-GB"/>
        </w:rPr>
        <w:t xml:space="preserve"> </w:t>
      </w:r>
      <w:r w:rsidR="00E03C32" w:rsidRPr="00DB3D57">
        <w:rPr>
          <w:lang w:val="en-GB"/>
        </w:rPr>
        <w:t xml:space="preserve">which </w:t>
      </w:r>
      <w:r w:rsidR="004878A2" w:rsidRPr="00DB3D57">
        <w:rPr>
          <w:lang w:val="en-GB"/>
        </w:rPr>
        <w:t>has</w:t>
      </w:r>
      <w:r w:rsidR="00E03C32" w:rsidRPr="00DB3D57">
        <w:rPr>
          <w:lang w:val="en-GB"/>
        </w:rPr>
        <w:t xml:space="preserve"> previously</w:t>
      </w:r>
      <w:r w:rsidR="004878A2" w:rsidRPr="00DB3D57">
        <w:rPr>
          <w:lang w:val="en-GB"/>
        </w:rPr>
        <w:t xml:space="preserve"> been</w:t>
      </w:r>
      <w:r w:rsidR="00E03C32" w:rsidRPr="00DB3D57">
        <w:rPr>
          <w:lang w:val="en-GB"/>
        </w:rPr>
        <w:t xml:space="preserve"> ob</w:t>
      </w:r>
      <w:r w:rsidR="00F00264" w:rsidRPr="00DB3D57">
        <w:rPr>
          <w:lang w:val="en-GB"/>
        </w:rPr>
        <w:t>served</w:t>
      </w:r>
      <w:r w:rsidR="00937852" w:rsidRPr="00DB3D57">
        <w:rPr>
          <w:lang w:val="en-GB"/>
        </w:rPr>
        <w:t xml:space="preserve"> in the liter</w:t>
      </w:r>
      <w:r w:rsidR="00937852" w:rsidRPr="00DB3D57">
        <w:rPr>
          <w:lang w:val="en-GB"/>
        </w:rPr>
        <w:t>a</w:t>
      </w:r>
      <w:r w:rsidR="00937852" w:rsidRPr="00DB3D57">
        <w:rPr>
          <w:lang w:val="en-GB"/>
        </w:rPr>
        <w:t>ture.</w:t>
      </w:r>
    </w:p>
    <w:p w14:paraId="5AB3A3F1" w14:textId="1F5649C2" w:rsidR="00937852" w:rsidRPr="00DB3D57" w:rsidRDefault="00E03C32" w:rsidP="00021C5D">
      <w:pPr>
        <w:pStyle w:val="TAMainText"/>
      </w:pPr>
      <w:r w:rsidRPr="00DB3D57">
        <w:rPr>
          <w:lang w:val="en-GB"/>
        </w:rPr>
        <w:t>The Taylor group has had a long-running interest in the sy</w:t>
      </w:r>
      <w:r w:rsidRPr="00DB3D57">
        <w:rPr>
          <w:lang w:val="en-GB"/>
        </w:rPr>
        <w:t>n</w:t>
      </w:r>
      <w:r w:rsidRPr="00DB3D57">
        <w:rPr>
          <w:lang w:val="en-GB"/>
        </w:rPr>
        <w:t>thesis of spirocyclic natural products and natural product-like scaffolds.</w:t>
      </w:r>
      <w:r w:rsidR="000022F3" w:rsidRPr="00DB3D57">
        <w:rPr>
          <w:vertAlign w:val="superscript"/>
          <w:lang w:val="en-GB"/>
        </w:rPr>
        <w:t>1</w:t>
      </w:r>
      <w:r w:rsidR="003A297A" w:rsidRPr="00DB3D57">
        <w:rPr>
          <w:vertAlign w:val="superscript"/>
          <w:lang w:val="en-GB"/>
        </w:rPr>
        <w:t>4</w:t>
      </w:r>
      <w:r w:rsidR="007E722F" w:rsidRPr="00DB3D57">
        <w:rPr>
          <w:vertAlign w:val="superscript"/>
          <w:lang w:val="en-GB"/>
        </w:rPr>
        <w:t>,</w:t>
      </w:r>
      <w:r w:rsidR="000022F3" w:rsidRPr="00DB3D57">
        <w:rPr>
          <w:vertAlign w:val="superscript"/>
          <w:lang w:val="en-GB"/>
        </w:rPr>
        <w:t>1</w:t>
      </w:r>
      <w:r w:rsidR="003A297A" w:rsidRPr="00DB3D57">
        <w:rPr>
          <w:vertAlign w:val="superscript"/>
          <w:lang w:val="en-GB"/>
        </w:rPr>
        <w:t>5</w:t>
      </w:r>
      <w:r w:rsidR="007E722F" w:rsidRPr="00DB3D57">
        <w:rPr>
          <w:vertAlign w:val="superscript"/>
          <w:lang w:val="en-GB"/>
        </w:rPr>
        <w:t>a</w:t>
      </w:r>
      <w:r w:rsidRPr="00DB3D57">
        <w:rPr>
          <w:lang w:val="en-GB"/>
        </w:rPr>
        <w:t xml:space="preserve"> Inspired by (+)-meloscine (</w:t>
      </w:r>
      <w:r w:rsidRPr="00DB3D57">
        <w:rPr>
          <w:b/>
          <w:lang w:val="en-GB"/>
        </w:rPr>
        <w:t>13</w:t>
      </w:r>
      <w:r w:rsidRPr="00DB3D57">
        <w:rPr>
          <w:lang w:val="en-GB"/>
        </w:rPr>
        <w:t>) and trigolutesin A (</w:t>
      </w:r>
      <w:r w:rsidRPr="00DB3D57">
        <w:rPr>
          <w:b/>
          <w:lang w:val="en-GB"/>
        </w:rPr>
        <w:t>14</w:t>
      </w:r>
      <w:r w:rsidRPr="00DB3D57">
        <w:rPr>
          <w:lang w:val="en-GB"/>
        </w:rPr>
        <w:t xml:space="preserve">), we questioned </w:t>
      </w:r>
      <w:r w:rsidR="00ED7CDC" w:rsidRPr="00DB3D57">
        <w:rPr>
          <w:lang w:val="en-GB"/>
        </w:rPr>
        <w:t>if</w:t>
      </w:r>
      <w:r w:rsidRPr="00DB3D57">
        <w:rPr>
          <w:lang w:val="en-GB"/>
        </w:rPr>
        <w:t xml:space="preserve"> a radical acceptor with an exocyclic </w:t>
      </w:r>
      <w:r w:rsidR="00ED7CDC" w:rsidRPr="00DB3D57">
        <w:rPr>
          <w:lang w:val="en-GB"/>
        </w:rPr>
        <w:t>alkene</w:t>
      </w:r>
      <w:r w:rsidRPr="00DB3D57">
        <w:rPr>
          <w:lang w:val="en-GB"/>
        </w:rPr>
        <w:t xml:space="preserve"> might provide an entry into</w:t>
      </w:r>
      <w:r w:rsidR="00E3222E" w:rsidRPr="00DB3D57">
        <w:rPr>
          <w:lang w:val="en-GB"/>
        </w:rPr>
        <w:t xml:space="preserve"> spirocycl</w:t>
      </w:r>
      <w:r w:rsidR="0008764D" w:rsidRPr="00DB3D57">
        <w:rPr>
          <w:lang w:val="en-GB"/>
        </w:rPr>
        <w:t>es</w:t>
      </w:r>
      <w:r w:rsidR="00E3222E" w:rsidRPr="00DB3D57">
        <w:rPr>
          <w:lang w:val="en-GB"/>
        </w:rPr>
        <w:t xml:space="preserve">. </w:t>
      </w:r>
      <w:r w:rsidR="00CB28C7" w:rsidRPr="00DB3D57">
        <w:rPr>
          <w:lang w:val="en-GB"/>
        </w:rPr>
        <w:t>T</w:t>
      </w:r>
      <w:r w:rsidR="00E3222E" w:rsidRPr="00DB3D57">
        <w:rPr>
          <w:lang w:val="en-GB"/>
        </w:rPr>
        <w:t xml:space="preserve">he reaction of oxamide </w:t>
      </w:r>
      <w:r w:rsidR="00E3222E" w:rsidRPr="00DB3D57">
        <w:rPr>
          <w:b/>
          <w:lang w:val="en-GB"/>
        </w:rPr>
        <w:t>15</w:t>
      </w:r>
      <w:r w:rsidR="00E3222E" w:rsidRPr="00DB3D57">
        <w:rPr>
          <w:lang w:val="en-GB"/>
        </w:rPr>
        <w:t xml:space="preserve"> with α-methylene-γ-butyrolactone</w:t>
      </w:r>
      <w:r w:rsidR="006C3AF2" w:rsidRPr="00DB3D57">
        <w:rPr>
          <w:lang w:val="en-GB"/>
        </w:rPr>
        <w:t xml:space="preserve"> produced the spirocyclic lactone-lactam </w:t>
      </w:r>
      <w:r w:rsidR="000F49B4" w:rsidRPr="00DB3D57">
        <w:rPr>
          <w:b/>
          <w:lang w:val="en-GB"/>
        </w:rPr>
        <w:t>33</w:t>
      </w:r>
      <w:r w:rsidR="006C3AF2" w:rsidRPr="00DB3D57">
        <w:rPr>
          <w:lang w:val="en-GB"/>
        </w:rPr>
        <w:t xml:space="preserve"> in 67% yield under the standard conditions. Similarly, </w:t>
      </w:r>
      <w:r w:rsidR="006C3AF2" w:rsidRPr="00DB3D57">
        <w:rPr>
          <w:i/>
          <w:lang w:val="en-GB"/>
        </w:rPr>
        <w:t>p</w:t>
      </w:r>
      <w:r w:rsidR="006C3AF2" w:rsidRPr="00DB3D57">
        <w:rPr>
          <w:lang w:val="en-GB"/>
        </w:rPr>
        <w:t>-trifluoromethyl, and chloro spiroc</w:t>
      </w:r>
      <w:r w:rsidR="006C3AF2" w:rsidRPr="00DB3D57">
        <w:rPr>
          <w:lang w:val="en-GB"/>
        </w:rPr>
        <w:t>y</w:t>
      </w:r>
      <w:r w:rsidR="006C3AF2" w:rsidRPr="00DB3D57">
        <w:rPr>
          <w:lang w:val="en-GB"/>
        </w:rPr>
        <w:t>cles were prepared in good yields (</w:t>
      </w:r>
      <w:r w:rsidR="000F49B4" w:rsidRPr="00DB3D57">
        <w:rPr>
          <w:b/>
          <w:lang w:val="en-GB"/>
        </w:rPr>
        <w:t>34</w:t>
      </w:r>
      <w:r w:rsidR="000F49B4" w:rsidRPr="00DB3D57">
        <w:rPr>
          <w:lang w:val="en-GB"/>
        </w:rPr>
        <w:t xml:space="preserve"> and</w:t>
      </w:r>
      <w:r w:rsidR="006C3AF2" w:rsidRPr="00DB3D57">
        <w:rPr>
          <w:lang w:val="en-GB"/>
        </w:rPr>
        <w:t xml:space="preserve"> </w:t>
      </w:r>
      <w:r w:rsidR="000F49B4" w:rsidRPr="00DB3D57">
        <w:rPr>
          <w:b/>
          <w:lang w:val="en-GB"/>
        </w:rPr>
        <w:t>35</w:t>
      </w:r>
      <w:r w:rsidR="006C3AF2" w:rsidRPr="00DB3D57">
        <w:rPr>
          <w:lang w:val="en-GB"/>
        </w:rPr>
        <w:t xml:space="preserve">). </w:t>
      </w:r>
      <w:r w:rsidR="00CB28C7" w:rsidRPr="00DB3D57">
        <w:rPr>
          <w:lang w:val="en-GB"/>
        </w:rPr>
        <w:t>T</w:t>
      </w:r>
      <w:r w:rsidR="006C3AF2" w:rsidRPr="00DB3D57">
        <w:rPr>
          <w:lang w:val="en-GB"/>
        </w:rPr>
        <w:t>o access su</w:t>
      </w:r>
      <w:r w:rsidR="006C3AF2" w:rsidRPr="00DB3D57">
        <w:rPr>
          <w:lang w:val="en-GB"/>
        </w:rPr>
        <w:t>b</w:t>
      </w:r>
      <w:r w:rsidR="006C3AF2" w:rsidRPr="00DB3D57">
        <w:rPr>
          <w:lang w:val="en-GB"/>
        </w:rPr>
        <w:t xml:space="preserve">stitution </w:t>
      </w:r>
      <w:r w:rsidR="0008764D" w:rsidRPr="00DB3D57">
        <w:rPr>
          <w:lang w:val="en-GB"/>
        </w:rPr>
        <w:t>reflecting</w:t>
      </w:r>
      <w:r w:rsidR="006C3AF2" w:rsidRPr="00DB3D57">
        <w:rPr>
          <w:lang w:val="en-GB"/>
        </w:rPr>
        <w:t xml:space="preserve"> that found in trigolutesin A (</w:t>
      </w:r>
      <w:r w:rsidR="006C3AF2" w:rsidRPr="00DB3D57">
        <w:rPr>
          <w:b/>
          <w:lang w:val="en-GB"/>
        </w:rPr>
        <w:t>14</w:t>
      </w:r>
      <w:r w:rsidR="006C3AF2" w:rsidRPr="00DB3D57">
        <w:rPr>
          <w:lang w:val="en-GB"/>
        </w:rPr>
        <w:t>), a</w:t>
      </w:r>
      <w:r w:rsidR="006C3AF2" w:rsidRPr="00DB3D57">
        <w:rPr>
          <w:i/>
          <w:lang w:val="en-GB"/>
        </w:rPr>
        <w:t xml:space="preserve"> m</w:t>
      </w:r>
      <w:r w:rsidR="006C3AF2" w:rsidRPr="00DB3D57">
        <w:rPr>
          <w:lang w:val="en-GB"/>
        </w:rPr>
        <w:t>-</w:t>
      </w:r>
      <w:r w:rsidR="004B2010" w:rsidRPr="00DB3D57">
        <w:rPr>
          <w:lang w:val="en-GB"/>
        </w:rPr>
        <w:t>methoxy oxamide was subjected to the reaction,</w:t>
      </w:r>
      <w:r w:rsidR="004878A2" w:rsidRPr="00DB3D57">
        <w:rPr>
          <w:lang w:val="en-GB"/>
        </w:rPr>
        <w:t xml:space="preserve"> which affor</w:t>
      </w:r>
      <w:r w:rsidR="004878A2" w:rsidRPr="00DB3D57">
        <w:rPr>
          <w:lang w:val="en-GB"/>
        </w:rPr>
        <w:t>d</w:t>
      </w:r>
      <w:r w:rsidR="004878A2" w:rsidRPr="00DB3D57">
        <w:rPr>
          <w:lang w:val="en-GB"/>
        </w:rPr>
        <w:t xml:space="preserve">ed the spirocyclic product as a mixture of two inseparable regioisomers </w:t>
      </w:r>
      <w:r w:rsidR="000F49B4" w:rsidRPr="00DB3D57">
        <w:rPr>
          <w:b/>
          <w:lang w:val="en-GB"/>
        </w:rPr>
        <w:t>36</w:t>
      </w:r>
      <w:r w:rsidR="004878A2" w:rsidRPr="00DB3D57">
        <w:rPr>
          <w:b/>
          <w:lang w:val="en-GB"/>
        </w:rPr>
        <w:t>a</w:t>
      </w:r>
      <w:r w:rsidR="004878A2" w:rsidRPr="00DB3D57">
        <w:rPr>
          <w:lang w:val="en-GB"/>
        </w:rPr>
        <w:t xml:space="preserve"> and </w:t>
      </w:r>
      <w:r w:rsidR="000F49B4" w:rsidRPr="00DB3D57">
        <w:rPr>
          <w:b/>
          <w:lang w:val="en-GB"/>
        </w:rPr>
        <w:t>36</w:t>
      </w:r>
      <w:r w:rsidR="004878A2" w:rsidRPr="00DB3D57">
        <w:rPr>
          <w:b/>
          <w:lang w:val="en-GB"/>
        </w:rPr>
        <w:t>b</w:t>
      </w:r>
      <w:r w:rsidR="004878A2" w:rsidRPr="00DB3D57">
        <w:rPr>
          <w:lang w:val="en-GB"/>
        </w:rPr>
        <w:t xml:space="preserve"> in a ratio of</w:t>
      </w:r>
      <w:r w:rsidR="005F61CB" w:rsidRPr="00DB3D57">
        <w:rPr>
          <w:lang w:val="en-GB"/>
        </w:rPr>
        <w:t xml:space="preserve"> </w:t>
      </w:r>
      <w:r w:rsidR="005F61CB" w:rsidRPr="00DB3D57">
        <w:t>1.00:0.56</w:t>
      </w:r>
      <w:r w:rsidR="00CB28C7" w:rsidRPr="00DB3D57">
        <w:t>,</w:t>
      </w:r>
      <w:r w:rsidR="005F61CB" w:rsidRPr="00DB3D57">
        <w:t xml:space="preserve"> respectively, </w:t>
      </w:r>
      <w:r w:rsidR="0008764D" w:rsidRPr="00DB3D57">
        <w:t>and</w:t>
      </w:r>
      <w:r w:rsidR="005F61CB" w:rsidRPr="00DB3D57">
        <w:t xml:space="preserve"> 43%</w:t>
      </w:r>
      <w:r w:rsidR="0008764D" w:rsidRPr="00DB3D57">
        <w:t xml:space="preserve"> combined yield</w:t>
      </w:r>
      <w:r w:rsidR="005F61CB" w:rsidRPr="00DB3D57">
        <w:t>.</w:t>
      </w:r>
      <w:r w:rsidR="000E245B" w:rsidRPr="00DB3D57">
        <w:t xml:space="preserve"> Interestingly</w:t>
      </w:r>
      <w:r w:rsidR="000E245B" w:rsidRPr="00DB3D57">
        <w:rPr>
          <w:lang w:val="en-GB"/>
        </w:rPr>
        <w:t>, in this case steric e</w:t>
      </w:r>
      <w:r w:rsidR="000E245B" w:rsidRPr="00DB3D57">
        <w:rPr>
          <w:lang w:val="en-GB"/>
        </w:rPr>
        <w:t>f</w:t>
      </w:r>
      <w:r w:rsidR="000E245B" w:rsidRPr="00DB3D57">
        <w:rPr>
          <w:lang w:val="en-GB"/>
        </w:rPr>
        <w:t>fects seem to play a less</w:t>
      </w:r>
      <w:r w:rsidR="008A3954" w:rsidRPr="00DB3D57">
        <w:rPr>
          <w:lang w:val="en-GB"/>
        </w:rPr>
        <w:t xml:space="preserve"> significant role in controlling regios</w:t>
      </w:r>
      <w:r w:rsidR="008A3954" w:rsidRPr="00DB3D57">
        <w:rPr>
          <w:lang w:val="en-GB"/>
        </w:rPr>
        <w:t>e</w:t>
      </w:r>
      <w:r w:rsidR="008A3954" w:rsidRPr="00DB3D57">
        <w:rPr>
          <w:lang w:val="en-GB"/>
        </w:rPr>
        <w:t>lectivity,</w:t>
      </w:r>
      <w:r w:rsidR="008A3954" w:rsidRPr="00DB3D57">
        <w:rPr>
          <w:bCs/>
        </w:rPr>
        <w:t xml:space="preserve"> </w:t>
      </w:r>
      <w:r w:rsidR="008A3954" w:rsidRPr="00DB3D57">
        <w:rPr>
          <w:lang w:val="en-GB"/>
        </w:rPr>
        <w:t xml:space="preserve">with orbital coefficients dominating the position of HAS. When </w:t>
      </w:r>
      <w:r w:rsidR="008A3954" w:rsidRPr="00DB3D57">
        <w:t>3-methylidene-</w:t>
      </w:r>
      <w:r w:rsidR="0008764D" w:rsidRPr="00DB3D57">
        <w:t>1-phenylpyrrolidin-2-one was used to trap the car</w:t>
      </w:r>
      <w:r w:rsidR="00570406" w:rsidRPr="00DB3D57">
        <w:t>bamoyl radical intermediate,</w:t>
      </w:r>
      <w:r w:rsidR="00937852" w:rsidRPr="00DB3D57">
        <w:t xml:space="preserve"> spirorocyclic bis-lactam </w:t>
      </w:r>
      <w:r w:rsidR="000F49B4" w:rsidRPr="00DB3D57">
        <w:rPr>
          <w:b/>
        </w:rPr>
        <w:t>37</w:t>
      </w:r>
      <w:r w:rsidR="00937852" w:rsidRPr="00DB3D57">
        <w:t xml:space="preserve"> was produced in 61% yield.</w:t>
      </w:r>
    </w:p>
    <w:p w14:paraId="3C9A85DB" w14:textId="67585888" w:rsidR="008872D8" w:rsidRPr="00DB3D57" w:rsidRDefault="00E86507" w:rsidP="008872D8">
      <w:pPr>
        <w:pStyle w:val="TAMainText"/>
        <w:rPr>
          <w:lang w:val="en-GB"/>
        </w:rPr>
        <w:sectPr w:rsidR="008872D8" w:rsidRPr="00DB3D57" w:rsidSect="00113CB9">
          <w:type w:val="continuous"/>
          <w:pgSz w:w="12240" w:h="15840"/>
          <w:pgMar w:top="720" w:right="1094" w:bottom="720" w:left="1094" w:header="720" w:footer="720" w:gutter="0"/>
          <w:cols w:num="2" w:space="461"/>
        </w:sectPr>
      </w:pPr>
      <w:r w:rsidRPr="00DB3D57">
        <w:rPr>
          <w:lang w:val="en-GB"/>
        </w:rPr>
        <w:t>This proof-of-principle study demonstrates how the novel</w:t>
      </w:r>
      <w:r w:rsidR="00CB28C7" w:rsidRPr="00DB3D57">
        <w:rPr>
          <w:lang w:val="en-GB"/>
        </w:rPr>
        <w:t xml:space="preserve"> reductive generation of carbamoyl radicals under photoredox catalysis provides a basis for the development of new </w:t>
      </w:r>
    </w:p>
    <w:p w14:paraId="3E5A9D84" w14:textId="4C3EFC50" w:rsidR="003D1201" w:rsidRPr="00DB3D57" w:rsidRDefault="003D1201" w:rsidP="003D1201">
      <w:pPr>
        <w:pStyle w:val="VCSchemeTitle"/>
        <w:rPr>
          <w:lang w:val="en-GB"/>
        </w:rPr>
      </w:pPr>
      <w:r w:rsidRPr="00DB3D57">
        <w:rPr>
          <w:lang w:val="en-GB"/>
        </w:rPr>
        <w:lastRenderedPageBreak/>
        <w:t>Scheme 3 Substrate Scope</w:t>
      </w:r>
    </w:p>
    <w:p w14:paraId="5761609E" w14:textId="16DEBADF" w:rsidR="00732385" w:rsidRPr="00DB3D57" w:rsidRDefault="009A4822" w:rsidP="003D1201">
      <w:pPr>
        <w:pStyle w:val="TAMainText"/>
        <w:ind w:firstLine="0"/>
        <w:rPr>
          <w:lang w:val="en-GB"/>
        </w:rPr>
        <w:sectPr w:rsidR="00732385" w:rsidRPr="00DB3D57" w:rsidSect="00D2745B">
          <w:type w:val="continuous"/>
          <w:pgSz w:w="12240" w:h="15840"/>
          <w:pgMar w:top="720" w:right="1094" w:bottom="720" w:left="1094" w:header="720" w:footer="720" w:gutter="0"/>
          <w:cols w:space="461"/>
        </w:sectPr>
      </w:pPr>
      <w:r>
        <w:rPr>
          <w:noProof/>
        </w:rPr>
        <w:drawing>
          <wp:inline distT="0" distB="0" distL="0" distR="0" wp14:anchorId="43218AB1" wp14:editId="440A536D">
            <wp:extent cx="6383020" cy="4051742"/>
            <wp:effectExtent l="0" t="0" r="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405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F5AC8" w14:textId="3B5B6CDA" w:rsidR="00332874" w:rsidRPr="00DB3D57" w:rsidRDefault="007817CF" w:rsidP="00E86507">
      <w:pPr>
        <w:pStyle w:val="TAMainText"/>
        <w:ind w:firstLine="0"/>
        <w:rPr>
          <w:lang w:val="en-GB"/>
        </w:rPr>
      </w:pPr>
      <w:r w:rsidRPr="00DB3D57">
        <w:rPr>
          <w:lang w:val="en-GB"/>
        </w:rPr>
        <w:lastRenderedPageBreak/>
        <w:t>chemistry, as exemplified by a redox-neutral intermolecular addition–</w:t>
      </w:r>
      <w:r w:rsidR="00EA3B43" w:rsidRPr="00DB3D57">
        <w:rPr>
          <w:lang w:val="en-GB"/>
        </w:rPr>
        <w:t>cycli</w:t>
      </w:r>
      <w:r w:rsidR="00CB28C7" w:rsidRPr="00DB3D57">
        <w:rPr>
          <w:lang w:val="en-GB"/>
        </w:rPr>
        <w:t>z</w:t>
      </w:r>
      <w:r w:rsidR="00EA3B43" w:rsidRPr="00DB3D57">
        <w:rPr>
          <w:lang w:val="en-GB"/>
        </w:rPr>
        <w:t>ation process to access functionali</w:t>
      </w:r>
      <w:r w:rsidRPr="00DB3D57">
        <w:rPr>
          <w:lang w:val="en-GB"/>
        </w:rPr>
        <w:t>z</w:t>
      </w:r>
      <w:r w:rsidR="00EA3B43" w:rsidRPr="00DB3D57">
        <w:rPr>
          <w:lang w:val="en-GB"/>
        </w:rPr>
        <w:t>ed 3,4-</w:t>
      </w:r>
      <w:r w:rsidR="00332874" w:rsidRPr="00DB3D57">
        <w:rPr>
          <w:lang w:val="en-GB"/>
        </w:rPr>
        <w:t>dihydroquinolin-2-ones. Under a general set of conditions, variation of the electron-deficient alkenes and readily pr</w:t>
      </w:r>
      <w:r w:rsidR="00332874" w:rsidRPr="00DB3D57">
        <w:rPr>
          <w:lang w:val="en-GB"/>
        </w:rPr>
        <w:t>e</w:t>
      </w:r>
      <w:r w:rsidR="00332874" w:rsidRPr="00DB3D57">
        <w:rPr>
          <w:lang w:val="en-GB"/>
        </w:rPr>
        <w:t>pared oxamides allows</w:t>
      </w:r>
      <w:r w:rsidR="008A55C8" w:rsidRPr="00DB3D57">
        <w:rPr>
          <w:lang w:val="en-GB"/>
        </w:rPr>
        <w:t xml:space="preserve"> </w:t>
      </w:r>
      <w:r w:rsidR="003137B6" w:rsidRPr="00DB3D57">
        <w:rPr>
          <w:lang w:val="en-GB"/>
        </w:rPr>
        <w:t>functionality</w:t>
      </w:r>
      <w:r w:rsidR="00332874" w:rsidRPr="00DB3D57">
        <w:rPr>
          <w:lang w:val="en-GB"/>
        </w:rPr>
        <w:t xml:space="preserve"> at all available positions of the 3,4-dihydroquinolin-2-one core via this new disco</w:t>
      </w:r>
      <w:r w:rsidR="00332874" w:rsidRPr="00DB3D57">
        <w:rPr>
          <w:lang w:val="en-GB"/>
        </w:rPr>
        <w:t>n</w:t>
      </w:r>
      <w:r w:rsidR="00332874" w:rsidRPr="00DB3D57">
        <w:rPr>
          <w:lang w:val="en-GB"/>
        </w:rPr>
        <w:t>nection, giving access to structures which would be difficult or lengthy to prepare using existing methods.</w:t>
      </w:r>
      <w:r w:rsidR="003A297A" w:rsidRPr="00DB3D57">
        <w:rPr>
          <w:vertAlign w:val="superscript"/>
          <w:lang w:val="en-GB"/>
        </w:rPr>
        <w:t>15</w:t>
      </w:r>
      <w:r w:rsidR="003137B6" w:rsidRPr="00DB3D57">
        <w:rPr>
          <w:vertAlign w:val="superscript"/>
          <w:lang w:val="en-GB"/>
        </w:rPr>
        <w:t>c</w:t>
      </w:r>
      <w:r w:rsidR="007A5860" w:rsidRPr="00DB3D57">
        <w:rPr>
          <w:vertAlign w:val="superscript"/>
          <w:lang w:val="en-GB"/>
        </w:rPr>
        <w:t xml:space="preserve"> </w:t>
      </w:r>
      <w:r w:rsidR="007A5860" w:rsidRPr="00DB3D57">
        <w:t>We are cu</w:t>
      </w:r>
      <w:r w:rsidR="007A5860" w:rsidRPr="00DB3D57">
        <w:t>r</w:t>
      </w:r>
      <w:r w:rsidR="007A5860" w:rsidRPr="00DB3D57">
        <w:t>rently using this reductive carbamoyl</w:t>
      </w:r>
      <w:r w:rsidR="007A5860" w:rsidRPr="00DB3D57">
        <w:rPr>
          <w:vertAlign w:val="superscript"/>
        </w:rPr>
        <w:t xml:space="preserve"> </w:t>
      </w:r>
      <w:r w:rsidR="007A5860" w:rsidRPr="00DB3D57">
        <w:t>radical generation for the development of methods to target</w:t>
      </w:r>
      <w:r w:rsidR="007A5860" w:rsidRPr="00DB3D57">
        <w:rPr>
          <w:vertAlign w:val="superscript"/>
        </w:rPr>
        <w:t xml:space="preserve"> </w:t>
      </w:r>
      <w:r w:rsidR="007A5860" w:rsidRPr="00DB3D57">
        <w:t>other heterocyclic sy</w:t>
      </w:r>
      <w:r w:rsidR="007A5860" w:rsidRPr="00DB3D57">
        <w:t>s</w:t>
      </w:r>
      <w:r w:rsidR="007A5860" w:rsidRPr="00DB3D57">
        <w:t>tems and for applications in synthesis.</w:t>
      </w:r>
    </w:p>
    <w:p w14:paraId="01FBF329" w14:textId="46635B3D" w:rsidR="00113CB9" w:rsidRPr="00DB3D57" w:rsidRDefault="0004402A" w:rsidP="00113CB9">
      <w:pPr>
        <w:pStyle w:val="TESupportingInfoTitle"/>
      </w:pPr>
      <w:r w:rsidRPr="00DB3D57">
        <w:t xml:space="preserve">ASSOCIATED </w:t>
      </w:r>
      <w:r w:rsidR="00E71831" w:rsidRPr="00DB3D57">
        <w:t xml:space="preserve">CONTENT </w:t>
      </w:r>
    </w:p>
    <w:p w14:paraId="01EF3674" w14:textId="725418A7" w:rsidR="00A24553" w:rsidRPr="00DB3D57" w:rsidRDefault="008331F9" w:rsidP="00F5083E">
      <w:pPr>
        <w:pStyle w:val="FAAuthorInfoSubtitle"/>
      </w:pPr>
      <w:r w:rsidRPr="00DB3D57">
        <w:t>Supporting Information</w:t>
      </w:r>
    </w:p>
    <w:p w14:paraId="546CB6C1" w14:textId="571F04A5" w:rsidR="00A24553" w:rsidRPr="00DB3D57" w:rsidRDefault="00A24553" w:rsidP="00A24553">
      <w:pPr>
        <w:pStyle w:val="TESupportingInformation"/>
      </w:pPr>
      <w:r w:rsidRPr="00DB3D57">
        <w:t>The Supporting Information is available free of charge on the ACS Publications website.</w:t>
      </w:r>
    </w:p>
    <w:p w14:paraId="04E43BD5" w14:textId="5C02156A" w:rsidR="00A24553" w:rsidRPr="00DB3D57" w:rsidRDefault="00F5083E" w:rsidP="00A24553">
      <w:pPr>
        <w:pStyle w:val="TESupportingInformation"/>
      </w:pPr>
      <w:r w:rsidRPr="00DB3D57">
        <w:t>Experimental procedures and compound characterization data</w:t>
      </w:r>
      <w:r w:rsidR="00A24553" w:rsidRPr="00DB3D57">
        <w:t xml:space="preserve"> (PDF)</w:t>
      </w:r>
    </w:p>
    <w:p w14:paraId="4E206508" w14:textId="77777777" w:rsidR="00113CB9" w:rsidRPr="00DB3D57" w:rsidRDefault="00E71831" w:rsidP="00113CB9">
      <w:pPr>
        <w:pStyle w:val="AuthorInformationTitle"/>
      </w:pPr>
      <w:r w:rsidRPr="00DB3D57">
        <w:t>AUTHOR INFORMATION</w:t>
      </w:r>
    </w:p>
    <w:p w14:paraId="4BD0C4A3" w14:textId="77777777" w:rsidR="00113CB9" w:rsidRPr="00DB3D57" w:rsidRDefault="00E71831" w:rsidP="00113CB9">
      <w:pPr>
        <w:pStyle w:val="FAAuthorInfoSubtitle"/>
      </w:pPr>
      <w:r w:rsidRPr="00DB3D57">
        <w:t>Corresponding Author</w:t>
      </w:r>
    </w:p>
    <w:p w14:paraId="23148E2A" w14:textId="15913BEB" w:rsidR="00113CB9" w:rsidRPr="00DB3D57" w:rsidRDefault="00E71831" w:rsidP="00113CB9">
      <w:pPr>
        <w:pStyle w:val="StyleFACorrespondingAuthorFootnote7pt"/>
        <w:rPr>
          <w:lang w:val="en-GB"/>
        </w:rPr>
      </w:pPr>
      <w:r w:rsidRPr="00DB3D57">
        <w:t xml:space="preserve">* </w:t>
      </w:r>
      <w:r w:rsidR="00934E2A" w:rsidRPr="00DB3D57">
        <w:t xml:space="preserve">E-mail: </w:t>
      </w:r>
      <w:r w:rsidR="00934E2A" w:rsidRPr="00DB3D57">
        <w:rPr>
          <w:lang w:val="en-GB"/>
        </w:rPr>
        <w:t>richard.taylor@york.ac.uk</w:t>
      </w:r>
    </w:p>
    <w:p w14:paraId="44E1EBC3" w14:textId="47C4359C" w:rsidR="00934E2A" w:rsidRPr="00DB3D57" w:rsidRDefault="00934E2A" w:rsidP="00934E2A">
      <w:pPr>
        <w:pStyle w:val="StyleFACorrespondingAuthorFootnote7pt"/>
        <w:rPr>
          <w:lang w:val="en-GB"/>
        </w:rPr>
      </w:pPr>
      <w:r w:rsidRPr="00DB3D57">
        <w:t xml:space="preserve">* E-mail: </w:t>
      </w:r>
      <w:r w:rsidRPr="00DB3D57">
        <w:rPr>
          <w:lang w:val="en-GB"/>
        </w:rPr>
        <w:t>james.donald@york.ac.uk</w:t>
      </w:r>
    </w:p>
    <w:p w14:paraId="3DC03FC1" w14:textId="5EA3FCCA" w:rsidR="007A246C" w:rsidRPr="00DB3D57" w:rsidRDefault="007A246C" w:rsidP="007A246C">
      <w:pPr>
        <w:pStyle w:val="FAAuthorInfoSubtitle"/>
      </w:pPr>
      <w:r w:rsidRPr="00DB3D57">
        <w:t>ORCID</w:t>
      </w:r>
    </w:p>
    <w:p w14:paraId="794B73BC" w14:textId="17CEEFF0" w:rsidR="007A246C" w:rsidRPr="00DB3D57" w:rsidRDefault="007A246C" w:rsidP="007A246C">
      <w:pPr>
        <w:pStyle w:val="FAAuthorInfoSubtitle"/>
        <w:rPr>
          <w:b w:val="0"/>
        </w:rPr>
      </w:pPr>
      <w:r w:rsidRPr="00DB3D57">
        <w:rPr>
          <w:b w:val="0"/>
        </w:rPr>
        <w:t>James R. Donald 0000-0002-2176-4902</w:t>
      </w:r>
    </w:p>
    <w:p w14:paraId="02548E6A" w14:textId="63F80AB9" w:rsidR="007A246C" w:rsidRPr="00DB3D57" w:rsidRDefault="007A246C" w:rsidP="007A246C">
      <w:pPr>
        <w:pStyle w:val="FAAuthorInfoSubtitle"/>
      </w:pPr>
      <w:r w:rsidRPr="00DB3D57">
        <w:t>Notes</w:t>
      </w:r>
    </w:p>
    <w:p w14:paraId="3113ADFB" w14:textId="15DDB03B" w:rsidR="00113CB9" w:rsidRPr="00DB3D57" w:rsidRDefault="007A246C" w:rsidP="00113CB9">
      <w:pPr>
        <w:pStyle w:val="StyleFACorrespondingAuthorFootnote7pt"/>
      </w:pPr>
      <w:r w:rsidRPr="00DB3D57">
        <w:t>The au</w:t>
      </w:r>
      <w:r w:rsidR="00934E2A" w:rsidRPr="00DB3D57">
        <w:t>thors declare no competing fi</w:t>
      </w:r>
      <w:r w:rsidRPr="00DB3D57">
        <w:t>nancial interest.</w:t>
      </w:r>
    </w:p>
    <w:p w14:paraId="5B063DE3" w14:textId="7808FDCB" w:rsidR="00113CB9" w:rsidRPr="00DB3D57" w:rsidRDefault="00E71831" w:rsidP="00113CB9">
      <w:pPr>
        <w:pStyle w:val="TDAckTitle"/>
      </w:pPr>
      <w:r w:rsidRPr="00DB3D57">
        <w:t>ACKNOWLEDGMENT</w:t>
      </w:r>
      <w:r w:rsidR="00934E2A" w:rsidRPr="00DB3D57">
        <w:t>S</w:t>
      </w:r>
      <w:r w:rsidRPr="00DB3D57">
        <w:t xml:space="preserve"> </w:t>
      </w:r>
    </w:p>
    <w:p w14:paraId="0EA87783" w14:textId="72847B52" w:rsidR="00934E2A" w:rsidRPr="00DB3D57" w:rsidRDefault="004B2010" w:rsidP="00934E2A">
      <w:pPr>
        <w:pStyle w:val="TDAcknowledgments"/>
      </w:pPr>
      <w:r w:rsidRPr="00DB3D57">
        <w:rPr>
          <w:lang w:val="en-GB"/>
        </w:rPr>
        <w:t>We</w:t>
      </w:r>
      <w:r w:rsidR="00934E2A" w:rsidRPr="00DB3D57">
        <w:rPr>
          <w:lang w:val="en-GB"/>
        </w:rPr>
        <w:t xml:space="preserve"> thank the National Research Foundation (NRF/95404, W.F.P.) </w:t>
      </w:r>
      <w:r w:rsidR="00F5083E" w:rsidRPr="00DB3D57">
        <w:rPr>
          <w:lang w:val="en-GB"/>
        </w:rPr>
        <w:t xml:space="preserve">and Elsevier (J.R.D.) </w:t>
      </w:r>
      <w:r w:rsidR="00934E2A" w:rsidRPr="00DB3D57">
        <w:t>for financial support.</w:t>
      </w:r>
    </w:p>
    <w:p w14:paraId="0AC7B60C" w14:textId="77777777" w:rsidR="00113CB9" w:rsidRPr="00DB3D57" w:rsidRDefault="00E71831" w:rsidP="00113CB9">
      <w:pPr>
        <w:pStyle w:val="TDAckTitle"/>
      </w:pPr>
      <w:r w:rsidRPr="00DB3D57">
        <w:t>REFERENCES</w:t>
      </w:r>
    </w:p>
    <w:p w14:paraId="6333B89C" w14:textId="10FE7940" w:rsidR="00732385" w:rsidRPr="00DB3D57" w:rsidRDefault="00732385" w:rsidP="002F2C83">
      <w:pPr>
        <w:pStyle w:val="TFReferencesSection"/>
        <w:rPr>
          <w:lang w:val="en-GB"/>
        </w:rPr>
      </w:pPr>
      <w:r w:rsidRPr="00DB3D57">
        <w:t>(1) For recent reviews</w:t>
      </w:r>
      <w:r w:rsidR="006E1F75" w:rsidRPr="00DB3D57">
        <w:t>,</w:t>
      </w:r>
      <w:r w:rsidRPr="00DB3D57">
        <w:t xml:space="preserve"> see: </w:t>
      </w:r>
      <w:r w:rsidR="002F2C83" w:rsidRPr="00DB3D57">
        <w:t xml:space="preserve">(a) </w:t>
      </w:r>
      <w:r w:rsidR="002F2C83" w:rsidRPr="00DB3D57">
        <w:rPr>
          <w:lang w:val="en-GB"/>
        </w:rPr>
        <w:t>Douglas, J. J.; Sevrin, M. J.; St</w:t>
      </w:r>
      <w:r w:rsidR="002F2C83" w:rsidRPr="00DB3D57">
        <w:rPr>
          <w:lang w:val="en-GB"/>
        </w:rPr>
        <w:t>e</w:t>
      </w:r>
      <w:r w:rsidR="002F2C83" w:rsidRPr="00DB3D57">
        <w:rPr>
          <w:lang w:val="en-GB"/>
        </w:rPr>
        <w:t xml:space="preserve">phenson, C. R. J. </w:t>
      </w:r>
      <w:r w:rsidR="002F2C83" w:rsidRPr="00DB3D57">
        <w:rPr>
          <w:i/>
          <w:lang w:val="en-GB"/>
        </w:rPr>
        <w:t>Org</w:t>
      </w:r>
      <w:r w:rsidR="002F2C83" w:rsidRPr="00DB3D57">
        <w:rPr>
          <w:lang w:val="en-GB"/>
        </w:rPr>
        <w:t xml:space="preserve">. </w:t>
      </w:r>
      <w:r w:rsidR="002F2C83" w:rsidRPr="00DB3D57">
        <w:rPr>
          <w:i/>
          <w:lang w:val="en-GB"/>
        </w:rPr>
        <w:t>Process</w:t>
      </w:r>
      <w:r w:rsidR="002F2C83" w:rsidRPr="00DB3D57">
        <w:rPr>
          <w:lang w:val="en-GB"/>
        </w:rPr>
        <w:t xml:space="preserve"> </w:t>
      </w:r>
      <w:r w:rsidR="002F2C83" w:rsidRPr="00DB3D57">
        <w:rPr>
          <w:i/>
          <w:lang w:val="en-GB"/>
        </w:rPr>
        <w:t>Res</w:t>
      </w:r>
      <w:r w:rsidR="002F2C83" w:rsidRPr="00DB3D57">
        <w:rPr>
          <w:lang w:val="en-GB"/>
        </w:rPr>
        <w:t xml:space="preserve">. </w:t>
      </w:r>
      <w:r w:rsidR="002F2C83" w:rsidRPr="00DB3D57">
        <w:rPr>
          <w:i/>
          <w:lang w:val="en-GB"/>
        </w:rPr>
        <w:t>Dev</w:t>
      </w:r>
      <w:r w:rsidR="002F2C83" w:rsidRPr="00DB3D57">
        <w:rPr>
          <w:lang w:val="en-GB"/>
        </w:rPr>
        <w:t xml:space="preserve">. </w:t>
      </w:r>
      <w:r w:rsidR="002F2C83" w:rsidRPr="00DB3D57">
        <w:rPr>
          <w:b/>
          <w:lang w:val="en-GB"/>
        </w:rPr>
        <w:t>2016</w:t>
      </w:r>
      <w:r w:rsidR="002F2C83" w:rsidRPr="00DB3D57">
        <w:rPr>
          <w:lang w:val="en-GB"/>
        </w:rPr>
        <w:t xml:space="preserve">, </w:t>
      </w:r>
      <w:r w:rsidR="002F2C83" w:rsidRPr="00DB3D57">
        <w:rPr>
          <w:i/>
          <w:lang w:val="en-GB"/>
        </w:rPr>
        <w:t>20</w:t>
      </w:r>
      <w:r w:rsidR="002F2C83" w:rsidRPr="00DB3D57">
        <w:rPr>
          <w:lang w:val="en-GB"/>
        </w:rPr>
        <w:t xml:space="preserve">, 1134; </w:t>
      </w:r>
      <w:r w:rsidRPr="00DB3D57">
        <w:t>(</w:t>
      </w:r>
      <w:r w:rsidR="002F2C83" w:rsidRPr="00DB3D57">
        <w:t>b</w:t>
      </w:r>
      <w:r w:rsidRPr="00DB3D57">
        <w:t>) Shaw</w:t>
      </w:r>
      <w:r w:rsidR="00624788" w:rsidRPr="00DB3D57">
        <w:t>, M. H.;</w:t>
      </w:r>
      <w:r w:rsidRPr="00DB3D57">
        <w:t xml:space="preserve"> Twilton</w:t>
      </w:r>
      <w:r w:rsidR="00624788" w:rsidRPr="00DB3D57">
        <w:t>,</w:t>
      </w:r>
      <w:r w:rsidRPr="00DB3D57">
        <w:t xml:space="preserve"> </w:t>
      </w:r>
      <w:r w:rsidR="00624788" w:rsidRPr="00DB3D57">
        <w:t>J.;</w:t>
      </w:r>
      <w:r w:rsidRPr="00DB3D57">
        <w:t xml:space="preserve"> MacMillan,</w:t>
      </w:r>
      <w:r w:rsidR="00624788" w:rsidRPr="00DB3D57">
        <w:t xml:space="preserve"> D. W. C.</w:t>
      </w:r>
      <w:r w:rsidRPr="00DB3D57">
        <w:t xml:space="preserve"> </w:t>
      </w:r>
      <w:r w:rsidRPr="00DB3D57">
        <w:rPr>
          <w:i/>
        </w:rPr>
        <w:t>J</w:t>
      </w:r>
      <w:r w:rsidRPr="00DB3D57">
        <w:t xml:space="preserve">. </w:t>
      </w:r>
      <w:r w:rsidRPr="00DB3D57">
        <w:rPr>
          <w:i/>
        </w:rPr>
        <w:t>Org</w:t>
      </w:r>
      <w:r w:rsidRPr="00DB3D57">
        <w:t xml:space="preserve">. </w:t>
      </w:r>
      <w:r w:rsidRPr="00DB3D57">
        <w:rPr>
          <w:i/>
        </w:rPr>
        <w:t>Chem</w:t>
      </w:r>
      <w:r w:rsidR="00624788" w:rsidRPr="00DB3D57">
        <w:t>.</w:t>
      </w:r>
      <w:r w:rsidRPr="00DB3D57">
        <w:t xml:space="preserve"> </w:t>
      </w:r>
      <w:r w:rsidRPr="00DB3D57">
        <w:rPr>
          <w:b/>
        </w:rPr>
        <w:t>2016</w:t>
      </w:r>
      <w:r w:rsidRPr="00DB3D57">
        <w:t xml:space="preserve">, </w:t>
      </w:r>
      <w:r w:rsidRPr="00DB3D57">
        <w:rPr>
          <w:i/>
        </w:rPr>
        <w:t>81</w:t>
      </w:r>
      <w:r w:rsidRPr="00DB3D57">
        <w:t>, 6898; (</w:t>
      </w:r>
      <w:r w:rsidR="002F2C83" w:rsidRPr="00DB3D57">
        <w:t>c</w:t>
      </w:r>
      <w:r w:rsidRPr="00DB3D57">
        <w:t>) Romero</w:t>
      </w:r>
      <w:r w:rsidR="00624788" w:rsidRPr="00DB3D57">
        <w:t>, N. A.;</w:t>
      </w:r>
      <w:r w:rsidRPr="00DB3D57">
        <w:t xml:space="preserve"> Nicewicz,</w:t>
      </w:r>
      <w:r w:rsidR="00624788" w:rsidRPr="00DB3D57">
        <w:t xml:space="preserve"> D. A.</w:t>
      </w:r>
      <w:r w:rsidRPr="00DB3D57">
        <w:t xml:space="preserve"> </w:t>
      </w:r>
      <w:r w:rsidRPr="00DB3D57">
        <w:rPr>
          <w:i/>
        </w:rPr>
        <w:t>Chem</w:t>
      </w:r>
      <w:r w:rsidRPr="00DB3D57">
        <w:t xml:space="preserve">. </w:t>
      </w:r>
      <w:r w:rsidRPr="00DB3D57">
        <w:rPr>
          <w:i/>
        </w:rPr>
        <w:t>Rev</w:t>
      </w:r>
      <w:r w:rsidR="00624788" w:rsidRPr="00DB3D57">
        <w:t>.</w:t>
      </w:r>
      <w:r w:rsidRPr="00DB3D57">
        <w:t xml:space="preserve"> </w:t>
      </w:r>
      <w:r w:rsidRPr="00DB3D57">
        <w:rPr>
          <w:b/>
        </w:rPr>
        <w:t>2016</w:t>
      </w:r>
      <w:r w:rsidRPr="00DB3D57">
        <w:t xml:space="preserve">, </w:t>
      </w:r>
      <w:r w:rsidRPr="00DB3D57">
        <w:rPr>
          <w:i/>
        </w:rPr>
        <w:t>116</w:t>
      </w:r>
      <w:r w:rsidRPr="00DB3D57">
        <w:t>, 10075; (</w:t>
      </w:r>
      <w:r w:rsidR="002F2C83" w:rsidRPr="00DB3D57">
        <w:t>d</w:t>
      </w:r>
      <w:r w:rsidRPr="00DB3D57">
        <w:t>) Meggers,</w:t>
      </w:r>
      <w:r w:rsidR="00624788" w:rsidRPr="00DB3D57">
        <w:t xml:space="preserve"> E.</w:t>
      </w:r>
      <w:r w:rsidRPr="00DB3D57">
        <w:t xml:space="preserve"> </w:t>
      </w:r>
      <w:r w:rsidRPr="00DB3D57">
        <w:rPr>
          <w:i/>
        </w:rPr>
        <w:t>Chem</w:t>
      </w:r>
      <w:r w:rsidRPr="00DB3D57">
        <w:t xml:space="preserve">. </w:t>
      </w:r>
      <w:r w:rsidRPr="00DB3D57">
        <w:rPr>
          <w:i/>
        </w:rPr>
        <w:t>Commun</w:t>
      </w:r>
      <w:r w:rsidR="00624788" w:rsidRPr="00DB3D57">
        <w:t>.</w:t>
      </w:r>
      <w:r w:rsidRPr="00DB3D57">
        <w:t xml:space="preserve"> </w:t>
      </w:r>
      <w:r w:rsidRPr="00DB3D57">
        <w:rPr>
          <w:b/>
        </w:rPr>
        <w:t>2015</w:t>
      </w:r>
      <w:r w:rsidRPr="00DB3D57">
        <w:t xml:space="preserve">, </w:t>
      </w:r>
      <w:r w:rsidRPr="00DB3D57">
        <w:rPr>
          <w:i/>
        </w:rPr>
        <w:t>51</w:t>
      </w:r>
      <w:r w:rsidR="00CB7474" w:rsidRPr="00DB3D57">
        <w:t>, 3290.</w:t>
      </w:r>
    </w:p>
    <w:p w14:paraId="523E1342" w14:textId="1FAA03A9" w:rsidR="00732385" w:rsidRPr="00DB3D57" w:rsidRDefault="00732385" w:rsidP="00624788">
      <w:pPr>
        <w:pStyle w:val="TFReferencesSection"/>
      </w:pPr>
      <w:r w:rsidRPr="00DB3D57">
        <w:t>(2) For a review of acyl radical chemistry including carbamoyl radicals</w:t>
      </w:r>
      <w:r w:rsidR="00096C5E" w:rsidRPr="00DB3D57">
        <w:t>,</w:t>
      </w:r>
      <w:r w:rsidRPr="00DB3D57">
        <w:t xml:space="preserve"> see: Chatgilialoglu, </w:t>
      </w:r>
      <w:r w:rsidR="00624788" w:rsidRPr="00DB3D57">
        <w:t xml:space="preserve">C.; </w:t>
      </w:r>
      <w:r w:rsidRPr="00DB3D57">
        <w:t xml:space="preserve">Crich, </w:t>
      </w:r>
      <w:r w:rsidR="00624788" w:rsidRPr="00DB3D57">
        <w:t xml:space="preserve">D.; </w:t>
      </w:r>
      <w:r w:rsidRPr="00DB3D57">
        <w:t>Komatsu</w:t>
      </w:r>
      <w:r w:rsidR="00624788" w:rsidRPr="00DB3D57">
        <w:t>,</w:t>
      </w:r>
      <w:r w:rsidRPr="00DB3D57">
        <w:t xml:space="preserve"> </w:t>
      </w:r>
      <w:r w:rsidR="00624788" w:rsidRPr="00DB3D57">
        <w:t xml:space="preserve">M.; </w:t>
      </w:r>
      <w:r w:rsidRPr="00DB3D57">
        <w:t>Ryu,</w:t>
      </w:r>
      <w:r w:rsidR="00624788" w:rsidRPr="00DB3D57">
        <w:t xml:space="preserve"> I. </w:t>
      </w:r>
      <w:r w:rsidR="00624788" w:rsidRPr="00DB3D57">
        <w:rPr>
          <w:i/>
        </w:rPr>
        <w:t>Chem</w:t>
      </w:r>
      <w:r w:rsidR="00624788" w:rsidRPr="00DB3D57">
        <w:t xml:space="preserve">. </w:t>
      </w:r>
      <w:r w:rsidR="00624788" w:rsidRPr="00DB3D57">
        <w:rPr>
          <w:i/>
        </w:rPr>
        <w:t>Rev</w:t>
      </w:r>
      <w:r w:rsidR="00624788" w:rsidRPr="00DB3D57">
        <w:t>.</w:t>
      </w:r>
      <w:r w:rsidRPr="00DB3D57">
        <w:t xml:space="preserve"> </w:t>
      </w:r>
      <w:r w:rsidRPr="00DB3D57">
        <w:rPr>
          <w:b/>
        </w:rPr>
        <w:t>1999</w:t>
      </w:r>
      <w:r w:rsidRPr="00DB3D57">
        <w:t xml:space="preserve">, </w:t>
      </w:r>
      <w:r w:rsidRPr="00DB3D57">
        <w:rPr>
          <w:i/>
        </w:rPr>
        <w:t>99</w:t>
      </w:r>
      <w:r w:rsidRPr="00DB3D57">
        <w:t>, 1991.</w:t>
      </w:r>
    </w:p>
    <w:p w14:paraId="1FC9EBF8" w14:textId="585B347F" w:rsidR="00BC46B7" w:rsidRPr="00DB3D57" w:rsidRDefault="00BC46B7" w:rsidP="001D5DD9">
      <w:pPr>
        <w:pStyle w:val="TFReferencesSection"/>
      </w:pPr>
      <w:r w:rsidRPr="00DB3D57">
        <w:t xml:space="preserve">(3) For </w:t>
      </w:r>
      <w:r w:rsidR="00AE3820" w:rsidRPr="00DB3D57">
        <w:t>pioneering early examples</w:t>
      </w:r>
      <w:r w:rsidR="00096C5E" w:rsidRPr="00DB3D57">
        <w:t>,</w:t>
      </w:r>
      <w:r w:rsidR="00AE3820" w:rsidRPr="00DB3D57">
        <w:t xml:space="preserve"> see: (a) Friedman, L.; Shech</w:t>
      </w:r>
      <w:r w:rsidR="00AE3820" w:rsidRPr="00DB3D57">
        <w:t>t</w:t>
      </w:r>
      <w:r w:rsidR="00AE3820" w:rsidRPr="00DB3D57">
        <w:t xml:space="preserve">er, H. </w:t>
      </w:r>
      <w:r w:rsidR="00AE3820" w:rsidRPr="00DB3D57">
        <w:rPr>
          <w:i/>
        </w:rPr>
        <w:t>Tetrahedron Lett</w:t>
      </w:r>
      <w:r w:rsidR="00AE3820" w:rsidRPr="00DB3D57">
        <w:t xml:space="preserve">. </w:t>
      </w:r>
      <w:r w:rsidR="00AE3820" w:rsidRPr="00DB3D57">
        <w:rPr>
          <w:b/>
        </w:rPr>
        <w:t>1961</w:t>
      </w:r>
      <w:r w:rsidR="00AE3820" w:rsidRPr="00DB3D57">
        <w:t xml:space="preserve">, </w:t>
      </w:r>
      <w:r w:rsidR="00AE3820" w:rsidRPr="00DB3D57">
        <w:rPr>
          <w:i/>
        </w:rPr>
        <w:t>2</w:t>
      </w:r>
      <w:r w:rsidR="00AE3820" w:rsidRPr="00DB3D57">
        <w:t xml:space="preserve">, 238; (b) Elad, D.; Rokach, J. </w:t>
      </w:r>
      <w:r w:rsidR="00AE3820" w:rsidRPr="00DB3D57">
        <w:rPr>
          <w:i/>
        </w:rPr>
        <w:t>J</w:t>
      </w:r>
      <w:r w:rsidR="00AE3820" w:rsidRPr="00DB3D57">
        <w:t xml:space="preserve">. </w:t>
      </w:r>
      <w:r w:rsidR="00AE3820" w:rsidRPr="00DB3D57">
        <w:rPr>
          <w:i/>
        </w:rPr>
        <w:t>Org</w:t>
      </w:r>
      <w:r w:rsidR="00AE3820" w:rsidRPr="00DB3D57">
        <w:t xml:space="preserve">. </w:t>
      </w:r>
      <w:r w:rsidR="00AE3820" w:rsidRPr="00DB3D57">
        <w:rPr>
          <w:i/>
        </w:rPr>
        <w:t>Chem</w:t>
      </w:r>
      <w:r w:rsidR="00AE3820" w:rsidRPr="00DB3D57">
        <w:t xml:space="preserve">. </w:t>
      </w:r>
      <w:r w:rsidR="00AE3820" w:rsidRPr="00DB3D57">
        <w:rPr>
          <w:b/>
        </w:rPr>
        <w:t>1964</w:t>
      </w:r>
      <w:r w:rsidR="00AE3820" w:rsidRPr="00DB3D57">
        <w:t xml:space="preserve">, </w:t>
      </w:r>
      <w:r w:rsidR="00AE3820" w:rsidRPr="00DB3D57">
        <w:rPr>
          <w:i/>
        </w:rPr>
        <w:t>29</w:t>
      </w:r>
      <w:r w:rsidR="00AE3820" w:rsidRPr="00DB3D57">
        <w:t xml:space="preserve">, 1855; (c) Barrett, A. G. M.; Kwonband, H.; Wallace, E. M. </w:t>
      </w:r>
      <w:r w:rsidR="00AE3820" w:rsidRPr="00DB3D57">
        <w:rPr>
          <w:i/>
        </w:rPr>
        <w:t>J</w:t>
      </w:r>
      <w:r w:rsidR="00AE3820" w:rsidRPr="00DB3D57">
        <w:t xml:space="preserve">. </w:t>
      </w:r>
      <w:r w:rsidR="00AE3820" w:rsidRPr="00DB3D57">
        <w:rPr>
          <w:i/>
        </w:rPr>
        <w:t>Chem</w:t>
      </w:r>
      <w:r w:rsidR="00AE3820" w:rsidRPr="00DB3D57">
        <w:t xml:space="preserve">. </w:t>
      </w:r>
      <w:r w:rsidR="00AE3820" w:rsidRPr="00DB3D57">
        <w:rPr>
          <w:i/>
        </w:rPr>
        <w:t>Soc</w:t>
      </w:r>
      <w:r w:rsidR="00AE3820" w:rsidRPr="00DB3D57">
        <w:t xml:space="preserve">., </w:t>
      </w:r>
      <w:r w:rsidR="00AE3820" w:rsidRPr="00DB3D57">
        <w:rPr>
          <w:i/>
        </w:rPr>
        <w:t>Chem</w:t>
      </w:r>
      <w:r w:rsidR="00AE3820" w:rsidRPr="00DB3D57">
        <w:t xml:space="preserve">. </w:t>
      </w:r>
      <w:r w:rsidR="00AE3820" w:rsidRPr="00DB3D57">
        <w:rPr>
          <w:i/>
        </w:rPr>
        <w:t>Commun</w:t>
      </w:r>
      <w:r w:rsidR="00AE3820" w:rsidRPr="00DB3D57">
        <w:t xml:space="preserve">. </w:t>
      </w:r>
      <w:r w:rsidR="00AE3820" w:rsidRPr="00DB3D57">
        <w:rPr>
          <w:b/>
        </w:rPr>
        <w:t>1993</w:t>
      </w:r>
      <w:r w:rsidR="00AE3820" w:rsidRPr="00DB3D57">
        <w:t xml:space="preserve">, 1760; (d) Coppa, </w:t>
      </w:r>
      <w:r w:rsidR="00CB4845" w:rsidRPr="00DB3D57">
        <w:t xml:space="preserve">F.; </w:t>
      </w:r>
      <w:r w:rsidR="00AE3820" w:rsidRPr="00DB3D57">
        <w:t>Fontana,</w:t>
      </w:r>
      <w:r w:rsidR="00CB4845" w:rsidRPr="00DB3D57">
        <w:t xml:space="preserve"> F.;</w:t>
      </w:r>
      <w:r w:rsidR="00AE3820" w:rsidRPr="00DB3D57">
        <w:t xml:space="preserve"> Lazzarini</w:t>
      </w:r>
      <w:r w:rsidR="00CB4845" w:rsidRPr="00DB3D57">
        <w:t>, E.;</w:t>
      </w:r>
      <w:r w:rsidR="00AE3820" w:rsidRPr="00DB3D57">
        <w:t xml:space="preserve"> Minisci, </w:t>
      </w:r>
      <w:r w:rsidR="00CB4845" w:rsidRPr="00DB3D57">
        <w:t xml:space="preserve">F. </w:t>
      </w:r>
      <w:r w:rsidR="00AE3820" w:rsidRPr="00DB3D57">
        <w:rPr>
          <w:i/>
        </w:rPr>
        <w:t>Heterocycles</w:t>
      </w:r>
      <w:r w:rsidR="00AE3820" w:rsidRPr="00DB3D57">
        <w:t xml:space="preserve">, </w:t>
      </w:r>
      <w:r w:rsidR="00AE3820" w:rsidRPr="00DB3D57">
        <w:rPr>
          <w:b/>
        </w:rPr>
        <w:t>1993</w:t>
      </w:r>
      <w:r w:rsidR="00AE3820" w:rsidRPr="00DB3D57">
        <w:t xml:space="preserve">, </w:t>
      </w:r>
      <w:r w:rsidR="00AE3820" w:rsidRPr="00DB3D57">
        <w:rPr>
          <w:i/>
        </w:rPr>
        <w:t>36</w:t>
      </w:r>
      <w:r w:rsidR="00AE3820" w:rsidRPr="00DB3D57">
        <w:t xml:space="preserve">, 2687; (e) </w:t>
      </w:r>
      <w:r w:rsidR="00672462" w:rsidRPr="00DB3D57">
        <w:t xml:space="preserve">Pattenden, G.; Reynolds, S. J. </w:t>
      </w:r>
      <w:r w:rsidR="00672462" w:rsidRPr="00DB3D57">
        <w:rPr>
          <w:i/>
        </w:rPr>
        <w:t>J</w:t>
      </w:r>
      <w:r w:rsidR="00672462" w:rsidRPr="00DB3D57">
        <w:t xml:space="preserve">. </w:t>
      </w:r>
      <w:r w:rsidR="00672462" w:rsidRPr="00DB3D57">
        <w:rPr>
          <w:i/>
        </w:rPr>
        <w:t>Chem</w:t>
      </w:r>
      <w:r w:rsidR="00672462" w:rsidRPr="00DB3D57">
        <w:t xml:space="preserve">. </w:t>
      </w:r>
      <w:r w:rsidR="00672462" w:rsidRPr="00DB3D57">
        <w:rPr>
          <w:i/>
        </w:rPr>
        <w:t>Soc</w:t>
      </w:r>
      <w:r w:rsidR="00672462" w:rsidRPr="00DB3D57">
        <w:t xml:space="preserve">. </w:t>
      </w:r>
      <w:r w:rsidR="00672462" w:rsidRPr="00DB3D57">
        <w:rPr>
          <w:i/>
        </w:rPr>
        <w:t>Perkin Trans</w:t>
      </w:r>
      <w:r w:rsidR="00672462" w:rsidRPr="00DB3D57">
        <w:t xml:space="preserve">. </w:t>
      </w:r>
      <w:r w:rsidR="00672462" w:rsidRPr="00DB3D57">
        <w:rPr>
          <w:i/>
        </w:rPr>
        <w:t>1</w:t>
      </w:r>
      <w:r w:rsidR="00672462" w:rsidRPr="00DB3D57">
        <w:t xml:space="preserve"> </w:t>
      </w:r>
      <w:r w:rsidR="00672462" w:rsidRPr="00DB3D57">
        <w:rPr>
          <w:b/>
        </w:rPr>
        <w:t>1994</w:t>
      </w:r>
      <w:r w:rsidR="00672462" w:rsidRPr="00DB3D57">
        <w:t xml:space="preserve">, 379; </w:t>
      </w:r>
      <w:r w:rsidR="00AE3820" w:rsidRPr="00DB3D57">
        <w:t xml:space="preserve">(f) </w:t>
      </w:r>
      <w:r w:rsidR="00CE1EE2" w:rsidRPr="00DB3D57">
        <w:t xml:space="preserve">Minisci, F.; Fontana, F.; Coppa, F.; Yan, Y. M. </w:t>
      </w:r>
      <w:r w:rsidR="00CE1EE2" w:rsidRPr="00DB3D57">
        <w:rPr>
          <w:i/>
        </w:rPr>
        <w:t>J</w:t>
      </w:r>
      <w:r w:rsidR="00CE1EE2" w:rsidRPr="00DB3D57">
        <w:t xml:space="preserve">. </w:t>
      </w:r>
      <w:r w:rsidR="00CE1EE2" w:rsidRPr="00DB3D57">
        <w:rPr>
          <w:i/>
        </w:rPr>
        <w:t>Org</w:t>
      </w:r>
      <w:r w:rsidR="00CE1EE2" w:rsidRPr="00DB3D57">
        <w:t xml:space="preserve">. </w:t>
      </w:r>
      <w:r w:rsidR="00CE1EE2" w:rsidRPr="00DB3D57">
        <w:rPr>
          <w:i/>
        </w:rPr>
        <w:t>Chem</w:t>
      </w:r>
      <w:r w:rsidR="00CE1EE2" w:rsidRPr="00DB3D57">
        <w:t xml:space="preserve">. </w:t>
      </w:r>
      <w:r w:rsidR="00CE1EE2" w:rsidRPr="00DB3D57">
        <w:rPr>
          <w:b/>
        </w:rPr>
        <w:t>1995</w:t>
      </w:r>
      <w:r w:rsidR="00CE1EE2" w:rsidRPr="00DB3D57">
        <w:t xml:space="preserve">, </w:t>
      </w:r>
      <w:r w:rsidR="00CE1EE2" w:rsidRPr="00DB3D57">
        <w:rPr>
          <w:i/>
        </w:rPr>
        <w:t>60</w:t>
      </w:r>
      <w:r w:rsidR="00C96F21" w:rsidRPr="00DB3D57">
        <w:t>, 5430.</w:t>
      </w:r>
    </w:p>
    <w:p w14:paraId="2477E227" w14:textId="35DE8EF2" w:rsidR="00AE3820" w:rsidRPr="00DB3D57" w:rsidRDefault="00AE3820" w:rsidP="001D5DD9">
      <w:pPr>
        <w:pStyle w:val="TFReferencesSection"/>
      </w:pPr>
      <w:r w:rsidRPr="00DB3D57">
        <w:t>(4) For more recent examples</w:t>
      </w:r>
      <w:r w:rsidR="00096C5E" w:rsidRPr="00DB3D57">
        <w:t>,</w:t>
      </w:r>
      <w:r w:rsidRPr="00DB3D57">
        <w:t xml:space="preserve"> see:</w:t>
      </w:r>
      <w:r w:rsidR="00CE1EE2" w:rsidRPr="00DB3D57">
        <w:t xml:space="preserve"> </w:t>
      </w:r>
      <w:r w:rsidR="00C96F21" w:rsidRPr="00DB3D57">
        <w:t>(</w:t>
      </w:r>
      <w:r w:rsidR="001D5DD9" w:rsidRPr="00DB3D57">
        <w:t>a</w:t>
      </w:r>
      <w:r w:rsidR="00C96F21" w:rsidRPr="00DB3D57">
        <w:t xml:space="preserve">) Fujiwara, S.; Shimizu, Y.; Shin-ike, T.; Kambe, N. </w:t>
      </w:r>
      <w:r w:rsidR="00C96F21" w:rsidRPr="00DB3D57">
        <w:rPr>
          <w:i/>
        </w:rPr>
        <w:t>Org</w:t>
      </w:r>
      <w:r w:rsidR="00C96F21" w:rsidRPr="00DB3D57">
        <w:t xml:space="preserve">. </w:t>
      </w:r>
      <w:r w:rsidR="00C96F21" w:rsidRPr="00DB3D57">
        <w:rPr>
          <w:i/>
        </w:rPr>
        <w:t>Lett</w:t>
      </w:r>
      <w:r w:rsidR="00C96F21" w:rsidRPr="00DB3D57">
        <w:t xml:space="preserve">. </w:t>
      </w:r>
      <w:r w:rsidR="00C96F21" w:rsidRPr="00DB3D57">
        <w:rPr>
          <w:b/>
        </w:rPr>
        <w:t>2001</w:t>
      </w:r>
      <w:r w:rsidR="00C96F21" w:rsidRPr="00DB3D57">
        <w:t>, 3, 2085</w:t>
      </w:r>
      <w:r w:rsidR="001D5DD9" w:rsidRPr="00DB3D57">
        <w:t>;</w:t>
      </w:r>
      <w:r w:rsidR="00C96F21" w:rsidRPr="00DB3D57">
        <w:t xml:space="preserve"> (</w:t>
      </w:r>
      <w:r w:rsidR="001D5DD9" w:rsidRPr="00DB3D57">
        <w:t>b</w:t>
      </w:r>
      <w:r w:rsidR="00C96F21" w:rsidRPr="00DB3D57">
        <w:t xml:space="preserve">) Cannella, R.; Clerici, A.; Panzeri, W.; Punta, C.; Porta, O. </w:t>
      </w:r>
      <w:r w:rsidR="00C96F21" w:rsidRPr="00DB3D57">
        <w:rPr>
          <w:i/>
        </w:rPr>
        <w:t>J</w:t>
      </w:r>
      <w:r w:rsidR="00C96F21" w:rsidRPr="00DB3D57">
        <w:t xml:space="preserve">. </w:t>
      </w:r>
      <w:r w:rsidR="00C96F21" w:rsidRPr="00DB3D57">
        <w:rPr>
          <w:i/>
        </w:rPr>
        <w:t>Am</w:t>
      </w:r>
      <w:r w:rsidR="00C96F21" w:rsidRPr="00DB3D57">
        <w:t xml:space="preserve">. </w:t>
      </w:r>
      <w:r w:rsidR="00C96F21" w:rsidRPr="00DB3D57">
        <w:rPr>
          <w:i/>
        </w:rPr>
        <w:t>Chem</w:t>
      </w:r>
      <w:r w:rsidR="00C96F21" w:rsidRPr="00DB3D57">
        <w:t xml:space="preserve">. </w:t>
      </w:r>
      <w:r w:rsidR="00C96F21" w:rsidRPr="00DB3D57">
        <w:rPr>
          <w:i/>
        </w:rPr>
        <w:t>Soc</w:t>
      </w:r>
      <w:r w:rsidR="00C96F21" w:rsidRPr="00DB3D57">
        <w:t xml:space="preserve">. </w:t>
      </w:r>
      <w:r w:rsidR="00C96F21" w:rsidRPr="00DB3D57">
        <w:rPr>
          <w:b/>
        </w:rPr>
        <w:t>2006</w:t>
      </w:r>
      <w:r w:rsidR="00C96F21" w:rsidRPr="00DB3D57">
        <w:t xml:space="preserve">, </w:t>
      </w:r>
      <w:r w:rsidR="00C96F21" w:rsidRPr="00DB3D57">
        <w:rPr>
          <w:i/>
        </w:rPr>
        <w:t>128</w:t>
      </w:r>
      <w:r w:rsidR="00C96F21" w:rsidRPr="00DB3D57">
        <w:t>, 5358; (</w:t>
      </w:r>
      <w:r w:rsidR="001D5DD9" w:rsidRPr="00DB3D57">
        <w:t>c</w:t>
      </w:r>
      <w:r w:rsidR="00C96F21" w:rsidRPr="00DB3D57">
        <w:t xml:space="preserve">) Li, M.; Wang, C.; Fang, P.; Ge, H.; </w:t>
      </w:r>
      <w:r w:rsidR="00C96F21" w:rsidRPr="00DB3D57">
        <w:rPr>
          <w:i/>
        </w:rPr>
        <w:t>Chem</w:t>
      </w:r>
      <w:r w:rsidR="00C96F21" w:rsidRPr="00DB3D57">
        <w:t xml:space="preserve">. </w:t>
      </w:r>
      <w:r w:rsidR="00C96F21" w:rsidRPr="00DB3D57">
        <w:rPr>
          <w:i/>
        </w:rPr>
        <w:t>Commun</w:t>
      </w:r>
      <w:r w:rsidR="00C96F21" w:rsidRPr="00DB3D57">
        <w:t xml:space="preserve">. </w:t>
      </w:r>
      <w:r w:rsidR="00C96F21" w:rsidRPr="00DB3D57">
        <w:rPr>
          <w:b/>
        </w:rPr>
        <w:t>2011</w:t>
      </w:r>
      <w:r w:rsidR="00C96F21" w:rsidRPr="00DB3D57">
        <w:t xml:space="preserve">, </w:t>
      </w:r>
      <w:r w:rsidR="00C96F21" w:rsidRPr="00DB3D57">
        <w:rPr>
          <w:i/>
        </w:rPr>
        <w:t>47</w:t>
      </w:r>
      <w:r w:rsidR="00C96F21" w:rsidRPr="00DB3D57">
        <w:t xml:space="preserve">, 6587; </w:t>
      </w:r>
      <w:r w:rsidR="001D5DD9" w:rsidRPr="00DB3D57">
        <w:t>(d) Mill</w:t>
      </w:r>
      <w:r w:rsidR="001D5DD9" w:rsidRPr="00DB3D57">
        <w:rPr>
          <w:rFonts w:cs="Lucida Grande"/>
          <w:color w:val="000000"/>
        </w:rPr>
        <w:t>á</w:t>
      </w:r>
      <w:r w:rsidR="001D5DD9" w:rsidRPr="00DB3D57">
        <w:t>n-Ortiz, A.; L</w:t>
      </w:r>
      <w:r w:rsidR="001D5DD9" w:rsidRPr="00DB3D57">
        <w:rPr>
          <w:rFonts w:cs="Lucida Grande"/>
          <w:color w:val="000000"/>
        </w:rPr>
        <w:t>ó</w:t>
      </w:r>
      <w:r w:rsidR="001D5DD9" w:rsidRPr="00DB3D57">
        <w:t>pez-Valdez, G.; Cortez-Guzm</w:t>
      </w:r>
      <w:r w:rsidR="001D5DD9" w:rsidRPr="00DB3D57">
        <w:rPr>
          <w:rFonts w:cs="Lucida Grande"/>
          <w:color w:val="000000"/>
        </w:rPr>
        <w:t>á</w:t>
      </w:r>
      <w:r w:rsidR="001D5DD9" w:rsidRPr="00DB3D57">
        <w:t xml:space="preserve">n, F.; Miranda, L. D. </w:t>
      </w:r>
      <w:r w:rsidR="001D5DD9" w:rsidRPr="00DB3D57">
        <w:rPr>
          <w:i/>
        </w:rPr>
        <w:t>Chem</w:t>
      </w:r>
      <w:r w:rsidR="001D5DD9" w:rsidRPr="00DB3D57">
        <w:t xml:space="preserve">. </w:t>
      </w:r>
      <w:r w:rsidR="001D5DD9" w:rsidRPr="00DB3D57">
        <w:rPr>
          <w:i/>
        </w:rPr>
        <w:t>Commun</w:t>
      </w:r>
      <w:r w:rsidR="001D5DD9" w:rsidRPr="00DB3D57">
        <w:t xml:space="preserve">. </w:t>
      </w:r>
      <w:r w:rsidR="001D5DD9" w:rsidRPr="00DB3D57">
        <w:rPr>
          <w:b/>
        </w:rPr>
        <w:t>2015</w:t>
      </w:r>
      <w:r w:rsidR="001D5DD9" w:rsidRPr="00DB3D57">
        <w:t xml:space="preserve">, </w:t>
      </w:r>
      <w:r w:rsidR="001D5DD9" w:rsidRPr="00DB3D57">
        <w:rPr>
          <w:i/>
        </w:rPr>
        <w:t>51</w:t>
      </w:r>
      <w:r w:rsidR="001D5DD9" w:rsidRPr="00DB3D57">
        <w:t xml:space="preserve">, 8345; </w:t>
      </w:r>
      <w:r w:rsidR="00C96F21" w:rsidRPr="00DB3D57">
        <w:t>(</w:t>
      </w:r>
      <w:r w:rsidR="001D5DD9" w:rsidRPr="00DB3D57">
        <w:t>e</w:t>
      </w:r>
      <w:r w:rsidR="00C96F21" w:rsidRPr="00DB3D57">
        <w:t xml:space="preserve">) Wang, H.; Guo, L.-N.; Wang, S.; Duan, X.-H. </w:t>
      </w:r>
      <w:r w:rsidR="00C96F21" w:rsidRPr="00DB3D57">
        <w:rPr>
          <w:i/>
        </w:rPr>
        <w:t>Org</w:t>
      </w:r>
      <w:r w:rsidR="00C96F21" w:rsidRPr="00DB3D57">
        <w:t xml:space="preserve">. </w:t>
      </w:r>
      <w:r w:rsidR="00C96F21" w:rsidRPr="00DB3D57">
        <w:rPr>
          <w:i/>
        </w:rPr>
        <w:t>Lett</w:t>
      </w:r>
      <w:r w:rsidR="00C96F21" w:rsidRPr="00DB3D57">
        <w:t xml:space="preserve">. </w:t>
      </w:r>
      <w:r w:rsidR="00C96F21" w:rsidRPr="00DB3D57">
        <w:rPr>
          <w:b/>
        </w:rPr>
        <w:t>2015</w:t>
      </w:r>
      <w:r w:rsidR="00C96F21" w:rsidRPr="00DB3D57">
        <w:t xml:space="preserve">, </w:t>
      </w:r>
      <w:r w:rsidR="00C96F21" w:rsidRPr="00DB3D57">
        <w:rPr>
          <w:i/>
        </w:rPr>
        <w:t>17</w:t>
      </w:r>
      <w:r w:rsidR="00C96F21" w:rsidRPr="00DB3D57">
        <w:t>, 3054</w:t>
      </w:r>
      <w:r w:rsidR="001D5DD9" w:rsidRPr="00DB3D57">
        <w:t>.</w:t>
      </w:r>
    </w:p>
    <w:p w14:paraId="6521626C" w14:textId="67662306" w:rsidR="00732385" w:rsidRPr="00DB3D57" w:rsidRDefault="007A246C" w:rsidP="00BF542A">
      <w:pPr>
        <w:pStyle w:val="TFReferencesSection"/>
      </w:pPr>
      <w:r w:rsidRPr="00DB3D57">
        <w:lastRenderedPageBreak/>
        <w:t>(</w:t>
      </w:r>
      <w:r w:rsidR="00BF542A" w:rsidRPr="00DB3D57">
        <w:t>5</w:t>
      </w:r>
      <w:r w:rsidRPr="00DB3D57">
        <w:t xml:space="preserve">) </w:t>
      </w:r>
      <w:r w:rsidR="00F67CEB" w:rsidRPr="00DB3D57">
        <w:t xml:space="preserve">(a) </w:t>
      </w:r>
      <w:r w:rsidR="00667A57" w:rsidRPr="00DB3D57">
        <w:t xml:space="preserve">Jackson, L. V.; Walton, J. C. </w:t>
      </w:r>
      <w:r w:rsidR="00667A57" w:rsidRPr="00DB3D57">
        <w:rPr>
          <w:i/>
        </w:rPr>
        <w:t>Chem</w:t>
      </w:r>
      <w:r w:rsidR="00667A57" w:rsidRPr="00DB3D57">
        <w:t xml:space="preserve">. </w:t>
      </w:r>
      <w:r w:rsidR="00667A57" w:rsidRPr="00DB3D57">
        <w:rPr>
          <w:i/>
        </w:rPr>
        <w:t>Commun</w:t>
      </w:r>
      <w:r w:rsidR="00667A57" w:rsidRPr="00DB3D57">
        <w:t xml:space="preserve">. </w:t>
      </w:r>
      <w:r w:rsidR="00667A57" w:rsidRPr="00DB3D57">
        <w:rPr>
          <w:b/>
        </w:rPr>
        <w:t>2000</w:t>
      </w:r>
      <w:r w:rsidR="00667A57" w:rsidRPr="00DB3D57">
        <w:t>, 2327.</w:t>
      </w:r>
      <w:r w:rsidR="00900917" w:rsidRPr="00DB3D57">
        <w:t xml:space="preserve">; </w:t>
      </w:r>
      <w:r w:rsidR="00F67CEB" w:rsidRPr="00DB3D57">
        <w:t xml:space="preserve">(b) </w:t>
      </w:r>
      <w:r w:rsidR="00667A57" w:rsidRPr="00DB3D57">
        <w:t xml:space="preserve">Scanlan, E. M.; Walton, J. C. </w:t>
      </w:r>
      <w:r w:rsidR="00667A57" w:rsidRPr="00DB3D57">
        <w:rPr>
          <w:i/>
        </w:rPr>
        <w:t>Chem</w:t>
      </w:r>
      <w:r w:rsidR="00667A57" w:rsidRPr="00DB3D57">
        <w:t xml:space="preserve">. </w:t>
      </w:r>
      <w:r w:rsidR="00667A57" w:rsidRPr="00DB3D57">
        <w:rPr>
          <w:i/>
        </w:rPr>
        <w:t>Commun</w:t>
      </w:r>
      <w:r w:rsidR="00667A57" w:rsidRPr="00DB3D57">
        <w:t xml:space="preserve">. </w:t>
      </w:r>
      <w:r w:rsidR="00667A57" w:rsidRPr="00DB3D57">
        <w:rPr>
          <w:b/>
        </w:rPr>
        <w:t>2002</w:t>
      </w:r>
      <w:r w:rsidR="00667A57" w:rsidRPr="00DB3D57">
        <w:t xml:space="preserve">, 2086; </w:t>
      </w:r>
      <w:r w:rsidR="00F67CEB" w:rsidRPr="00DB3D57">
        <w:t xml:space="preserve">(c) </w:t>
      </w:r>
      <w:r w:rsidR="00667A57" w:rsidRPr="00DB3D57">
        <w:t xml:space="preserve">Grainger, R. S.; Innocenti, P. </w:t>
      </w:r>
      <w:r w:rsidR="00667A57" w:rsidRPr="00DB3D57">
        <w:rPr>
          <w:i/>
        </w:rPr>
        <w:t>Angew</w:t>
      </w:r>
      <w:r w:rsidR="00667A57" w:rsidRPr="00DB3D57">
        <w:t xml:space="preserve">. </w:t>
      </w:r>
      <w:r w:rsidR="00667A57" w:rsidRPr="00DB3D57">
        <w:rPr>
          <w:i/>
        </w:rPr>
        <w:t>Chem</w:t>
      </w:r>
      <w:r w:rsidR="00667A57" w:rsidRPr="00DB3D57">
        <w:t xml:space="preserve">., </w:t>
      </w:r>
      <w:r w:rsidR="00667A57" w:rsidRPr="00DB3D57">
        <w:rPr>
          <w:i/>
        </w:rPr>
        <w:t>Int</w:t>
      </w:r>
      <w:r w:rsidR="00667A57" w:rsidRPr="00DB3D57">
        <w:t xml:space="preserve">. </w:t>
      </w:r>
      <w:r w:rsidR="00667A57" w:rsidRPr="00DB3D57">
        <w:rPr>
          <w:i/>
        </w:rPr>
        <w:t>Ed</w:t>
      </w:r>
      <w:r w:rsidR="00667A57" w:rsidRPr="00DB3D57">
        <w:t xml:space="preserve">. </w:t>
      </w:r>
      <w:r w:rsidR="00667A57" w:rsidRPr="00DB3D57">
        <w:rPr>
          <w:b/>
        </w:rPr>
        <w:t>2004</w:t>
      </w:r>
      <w:r w:rsidR="00667A57" w:rsidRPr="00DB3D57">
        <w:t xml:space="preserve">, </w:t>
      </w:r>
      <w:r w:rsidR="00667A57" w:rsidRPr="00DB3D57">
        <w:rPr>
          <w:i/>
        </w:rPr>
        <w:t>116</w:t>
      </w:r>
      <w:r w:rsidR="00667A57" w:rsidRPr="00DB3D57">
        <w:t>, 3527; (d)</w:t>
      </w:r>
      <w:r w:rsidR="00F67CEB" w:rsidRPr="00DB3D57">
        <w:t xml:space="preserve"> </w:t>
      </w:r>
      <w:r w:rsidR="00511CCF" w:rsidRPr="00DB3D57">
        <w:t>Benati, L.; Bencivenni, G.; Leardini, R.; M</w:t>
      </w:r>
      <w:r w:rsidR="00511CCF" w:rsidRPr="00DB3D57">
        <w:t>i</w:t>
      </w:r>
      <w:r w:rsidR="00511CCF" w:rsidRPr="00DB3D57">
        <w:t xml:space="preserve">nozzi, M.; Nanni, D.; Scialpi, R.; Spagnolo, P.; Zanardi, G. </w:t>
      </w:r>
      <w:r w:rsidR="00511CCF" w:rsidRPr="00DB3D57">
        <w:rPr>
          <w:i/>
        </w:rPr>
        <w:t>J</w:t>
      </w:r>
      <w:r w:rsidR="00511CCF" w:rsidRPr="00DB3D57">
        <w:t xml:space="preserve">. </w:t>
      </w:r>
      <w:r w:rsidR="00511CCF" w:rsidRPr="00DB3D57">
        <w:rPr>
          <w:i/>
        </w:rPr>
        <w:t>Org</w:t>
      </w:r>
      <w:r w:rsidR="00511CCF" w:rsidRPr="00DB3D57">
        <w:t xml:space="preserve">. </w:t>
      </w:r>
      <w:r w:rsidR="00511CCF" w:rsidRPr="00DB3D57">
        <w:rPr>
          <w:i/>
        </w:rPr>
        <w:t>Chem</w:t>
      </w:r>
      <w:r w:rsidR="00511CCF" w:rsidRPr="00DB3D57">
        <w:t xml:space="preserve">. </w:t>
      </w:r>
      <w:r w:rsidR="00511CCF" w:rsidRPr="00DB3D57">
        <w:rPr>
          <w:b/>
        </w:rPr>
        <w:t>2006</w:t>
      </w:r>
      <w:r w:rsidR="00511CCF" w:rsidRPr="00DB3D57">
        <w:t xml:space="preserve">, </w:t>
      </w:r>
      <w:r w:rsidR="00511CCF" w:rsidRPr="00DB3D57">
        <w:rPr>
          <w:i/>
        </w:rPr>
        <w:t>71</w:t>
      </w:r>
      <w:r w:rsidR="00E30215" w:rsidRPr="00DB3D57">
        <w:t>, 3192.</w:t>
      </w:r>
    </w:p>
    <w:p w14:paraId="73DFE3C1" w14:textId="5E4C4A54" w:rsidR="00732385" w:rsidRPr="00DB3D57" w:rsidRDefault="007A246C" w:rsidP="00732385">
      <w:pPr>
        <w:pStyle w:val="TFReferencesSection"/>
      </w:pPr>
      <w:r w:rsidRPr="00DB3D57">
        <w:t>(</w:t>
      </w:r>
      <w:r w:rsidR="00F60687" w:rsidRPr="00DB3D57">
        <w:t>6</w:t>
      </w:r>
      <w:r w:rsidRPr="00DB3D57">
        <w:t xml:space="preserve">) </w:t>
      </w:r>
      <w:r w:rsidR="00732385" w:rsidRPr="00DB3D57">
        <w:t>For a review of tertiary alkyl radical generation</w:t>
      </w:r>
      <w:r w:rsidR="003A297A" w:rsidRPr="00DB3D57">
        <w:t>,</w:t>
      </w:r>
      <w:r w:rsidR="00732385" w:rsidRPr="00DB3D57">
        <w:t xml:space="preserve"> see: Jamison </w:t>
      </w:r>
      <w:r w:rsidR="004D0CBB" w:rsidRPr="00DB3D57">
        <w:t xml:space="preserve">C. R.; </w:t>
      </w:r>
      <w:r w:rsidR="00732385" w:rsidRPr="00DB3D57">
        <w:t xml:space="preserve">Overman, </w:t>
      </w:r>
      <w:r w:rsidR="004D0CBB" w:rsidRPr="00DB3D57">
        <w:t xml:space="preserve">L. E. </w:t>
      </w:r>
      <w:r w:rsidR="00732385" w:rsidRPr="00DB3D57">
        <w:rPr>
          <w:i/>
        </w:rPr>
        <w:t>Acc</w:t>
      </w:r>
      <w:r w:rsidR="00732385" w:rsidRPr="00DB3D57">
        <w:t xml:space="preserve">. </w:t>
      </w:r>
      <w:r w:rsidR="00732385" w:rsidRPr="00DB3D57">
        <w:rPr>
          <w:i/>
        </w:rPr>
        <w:t>Chem</w:t>
      </w:r>
      <w:r w:rsidR="00732385" w:rsidRPr="00DB3D57">
        <w:t xml:space="preserve">. </w:t>
      </w:r>
      <w:r w:rsidR="00732385" w:rsidRPr="00DB3D57">
        <w:rPr>
          <w:i/>
        </w:rPr>
        <w:t>Res</w:t>
      </w:r>
      <w:r w:rsidR="004D0CBB" w:rsidRPr="00DB3D57">
        <w:t>.</w:t>
      </w:r>
      <w:r w:rsidR="00732385" w:rsidRPr="00DB3D57">
        <w:t xml:space="preserve"> </w:t>
      </w:r>
      <w:r w:rsidR="00732385" w:rsidRPr="00DB3D57">
        <w:rPr>
          <w:b/>
        </w:rPr>
        <w:t>2016</w:t>
      </w:r>
      <w:r w:rsidR="00732385" w:rsidRPr="00DB3D57">
        <w:t xml:space="preserve">, </w:t>
      </w:r>
      <w:r w:rsidR="00732385" w:rsidRPr="00DB3D57">
        <w:rPr>
          <w:i/>
        </w:rPr>
        <w:t>49</w:t>
      </w:r>
      <w:r w:rsidR="00974FEB" w:rsidRPr="00DB3D57">
        <w:t>, 1578.</w:t>
      </w:r>
    </w:p>
    <w:p w14:paraId="6F315587" w14:textId="2FCC580D" w:rsidR="00732385" w:rsidRPr="00DB3D57" w:rsidRDefault="007A246C" w:rsidP="00732385">
      <w:pPr>
        <w:pStyle w:val="TFReferencesSection"/>
      </w:pPr>
      <w:r w:rsidRPr="00DB3D57">
        <w:t>(</w:t>
      </w:r>
      <w:r w:rsidR="00F60687" w:rsidRPr="00DB3D57">
        <w:t>7</w:t>
      </w:r>
      <w:r w:rsidRPr="00DB3D57">
        <w:t xml:space="preserve">) </w:t>
      </w:r>
      <w:r w:rsidR="00732385" w:rsidRPr="00DB3D57">
        <w:t>For methoxycarbonyl radicals</w:t>
      </w:r>
      <w:r w:rsidR="003A297A" w:rsidRPr="00DB3D57">
        <w:t>,</w:t>
      </w:r>
      <w:r w:rsidR="00732385" w:rsidRPr="00DB3D57">
        <w:t xml:space="preserve"> see: Slutskyy</w:t>
      </w:r>
      <w:r w:rsidR="00AE024A" w:rsidRPr="00DB3D57">
        <w:t>,</w:t>
      </w:r>
      <w:r w:rsidR="00732385" w:rsidRPr="00DB3D57">
        <w:t xml:space="preserve"> </w:t>
      </w:r>
      <w:r w:rsidR="00AE024A" w:rsidRPr="00DB3D57">
        <w:t xml:space="preserve">Y.; </w:t>
      </w:r>
      <w:r w:rsidR="00732385" w:rsidRPr="00DB3D57">
        <w:t xml:space="preserve">Overman, </w:t>
      </w:r>
      <w:r w:rsidR="00AE024A" w:rsidRPr="00DB3D57">
        <w:t xml:space="preserve">L. E.; </w:t>
      </w:r>
      <w:r w:rsidR="00732385" w:rsidRPr="00DB3D57">
        <w:rPr>
          <w:i/>
        </w:rPr>
        <w:t>Org</w:t>
      </w:r>
      <w:r w:rsidR="00732385" w:rsidRPr="00DB3D57">
        <w:t xml:space="preserve">. </w:t>
      </w:r>
      <w:r w:rsidR="00732385" w:rsidRPr="00DB3D57">
        <w:rPr>
          <w:i/>
        </w:rPr>
        <w:t>Lett</w:t>
      </w:r>
      <w:r w:rsidR="00AE024A" w:rsidRPr="00DB3D57">
        <w:t>.</w:t>
      </w:r>
      <w:r w:rsidR="00732385" w:rsidRPr="00DB3D57">
        <w:t xml:space="preserve"> </w:t>
      </w:r>
      <w:r w:rsidR="00732385" w:rsidRPr="00DB3D57">
        <w:rPr>
          <w:b/>
        </w:rPr>
        <w:t>2016</w:t>
      </w:r>
      <w:r w:rsidR="00732385" w:rsidRPr="00DB3D57">
        <w:t xml:space="preserve">, </w:t>
      </w:r>
      <w:r w:rsidR="00732385" w:rsidRPr="00DB3D57">
        <w:rPr>
          <w:i/>
        </w:rPr>
        <w:t>18</w:t>
      </w:r>
      <w:r w:rsidR="00732385" w:rsidRPr="00DB3D57">
        <w:t>, 2564.</w:t>
      </w:r>
    </w:p>
    <w:p w14:paraId="1EAF4188" w14:textId="7BEE8C8F" w:rsidR="00B61817" w:rsidRPr="00DB3D57" w:rsidRDefault="007A246C" w:rsidP="00B61817">
      <w:pPr>
        <w:pStyle w:val="TFReferencesSection"/>
        <w:rPr>
          <w:bCs/>
          <w:lang w:val="en-GB"/>
        </w:rPr>
      </w:pPr>
      <w:r w:rsidRPr="00DB3D57">
        <w:t>(</w:t>
      </w:r>
      <w:r w:rsidR="00F60687" w:rsidRPr="00DB3D57">
        <w:t>8</w:t>
      </w:r>
      <w:r w:rsidRPr="00DB3D57">
        <w:t xml:space="preserve">) </w:t>
      </w:r>
      <w:r w:rsidR="00732385" w:rsidRPr="00DB3D57">
        <w:t>For related</w:t>
      </w:r>
      <w:r w:rsidR="00A15F60" w:rsidRPr="00DB3D57">
        <w:t xml:space="preserve"> radical cyclizations to form </w:t>
      </w:r>
      <w:r w:rsidR="00732385" w:rsidRPr="00DB3D57">
        <w:t>3,4-dihydro</w:t>
      </w:r>
      <w:r w:rsidR="00406571" w:rsidRPr="00DB3D57">
        <w:t>quinolin-2-ones</w:t>
      </w:r>
      <w:r w:rsidR="003A297A" w:rsidRPr="00DB3D57">
        <w:t>,</w:t>
      </w:r>
      <w:r w:rsidR="00406571" w:rsidRPr="00DB3D57">
        <w:t xml:space="preserve"> </w:t>
      </w:r>
      <w:r w:rsidR="00457E7C" w:rsidRPr="00DB3D57">
        <w:t xml:space="preserve">see: </w:t>
      </w:r>
      <w:r w:rsidR="00A15F60" w:rsidRPr="00DB3D57">
        <w:t xml:space="preserve">(a) </w:t>
      </w:r>
      <w:r w:rsidR="001D5DD9" w:rsidRPr="00DB3D57">
        <w:rPr>
          <w:bCs/>
        </w:rPr>
        <w:t xml:space="preserve">Mai, W.-P.; Sun, G.-C.; Wang, J.-T.; Song, G.; Mao, P.; Yang, L.-R.; Yuan, J.-W.; Xiao, Y.-M.; Qu, L.-B. </w:t>
      </w:r>
      <w:r w:rsidR="001D5DD9" w:rsidRPr="00DB3D57">
        <w:rPr>
          <w:bCs/>
          <w:i/>
        </w:rPr>
        <w:t>J</w:t>
      </w:r>
      <w:r w:rsidR="001D5DD9" w:rsidRPr="00DB3D57">
        <w:rPr>
          <w:bCs/>
        </w:rPr>
        <w:t xml:space="preserve">. </w:t>
      </w:r>
      <w:r w:rsidR="001D5DD9" w:rsidRPr="00DB3D57">
        <w:rPr>
          <w:bCs/>
          <w:i/>
        </w:rPr>
        <w:t>Org</w:t>
      </w:r>
      <w:r w:rsidR="001D5DD9" w:rsidRPr="00DB3D57">
        <w:rPr>
          <w:bCs/>
        </w:rPr>
        <w:t xml:space="preserve">. </w:t>
      </w:r>
      <w:r w:rsidR="001D5DD9" w:rsidRPr="00DB3D57">
        <w:rPr>
          <w:bCs/>
          <w:i/>
        </w:rPr>
        <w:t>Chem</w:t>
      </w:r>
      <w:r w:rsidR="001D5DD9" w:rsidRPr="00DB3D57">
        <w:rPr>
          <w:bCs/>
        </w:rPr>
        <w:t xml:space="preserve">. </w:t>
      </w:r>
      <w:r w:rsidR="001D5DD9" w:rsidRPr="00DB3D57">
        <w:rPr>
          <w:b/>
          <w:bCs/>
        </w:rPr>
        <w:t>2014</w:t>
      </w:r>
      <w:r w:rsidR="001D5DD9" w:rsidRPr="00DB3D57">
        <w:rPr>
          <w:bCs/>
        </w:rPr>
        <w:t xml:space="preserve">, </w:t>
      </w:r>
      <w:r w:rsidR="001D5DD9" w:rsidRPr="00DB3D57">
        <w:rPr>
          <w:bCs/>
          <w:i/>
        </w:rPr>
        <w:t>79</w:t>
      </w:r>
      <w:r w:rsidR="001D5DD9" w:rsidRPr="00DB3D57">
        <w:rPr>
          <w:bCs/>
        </w:rPr>
        <w:t>, 8094</w:t>
      </w:r>
      <w:r w:rsidR="00A15F60" w:rsidRPr="00DB3D57">
        <w:rPr>
          <w:bCs/>
        </w:rPr>
        <w:t xml:space="preserve">; </w:t>
      </w:r>
      <w:r w:rsidR="00406571" w:rsidRPr="00DB3D57">
        <w:rPr>
          <w:bCs/>
        </w:rPr>
        <w:t xml:space="preserve">(b) </w:t>
      </w:r>
      <w:r w:rsidR="00F30EA9" w:rsidRPr="00DB3D57">
        <w:rPr>
          <w:bCs/>
          <w:lang w:val="en-GB"/>
        </w:rPr>
        <w:t>Zhu,</w:t>
      </w:r>
      <w:r w:rsidR="00406571" w:rsidRPr="00DB3D57">
        <w:rPr>
          <w:bCs/>
          <w:lang w:val="en-GB"/>
        </w:rPr>
        <w:t xml:space="preserve"> </w:t>
      </w:r>
      <w:r w:rsidR="00F30EA9" w:rsidRPr="00DB3D57">
        <w:rPr>
          <w:bCs/>
          <w:lang w:val="en-GB"/>
        </w:rPr>
        <w:t>Y.-L.; Jiang,</w:t>
      </w:r>
      <w:r w:rsidR="00406571" w:rsidRPr="00DB3D57">
        <w:rPr>
          <w:bCs/>
          <w:lang w:val="en-GB"/>
        </w:rPr>
        <w:t xml:space="preserve"> </w:t>
      </w:r>
      <w:r w:rsidR="00F30EA9" w:rsidRPr="00DB3D57">
        <w:rPr>
          <w:bCs/>
          <w:lang w:val="en-GB"/>
        </w:rPr>
        <w:t>B.; Hao,</w:t>
      </w:r>
      <w:r w:rsidR="00406571" w:rsidRPr="00DB3D57">
        <w:rPr>
          <w:bCs/>
          <w:lang w:val="en-GB"/>
        </w:rPr>
        <w:t xml:space="preserve"> </w:t>
      </w:r>
      <w:r w:rsidR="00F30EA9" w:rsidRPr="00DB3D57">
        <w:rPr>
          <w:bCs/>
          <w:lang w:val="en-GB"/>
        </w:rPr>
        <w:t>W.-J.; Wang,</w:t>
      </w:r>
      <w:r w:rsidR="00406571" w:rsidRPr="00DB3D57">
        <w:rPr>
          <w:bCs/>
          <w:lang w:val="en-GB"/>
        </w:rPr>
        <w:t xml:space="preserve"> </w:t>
      </w:r>
      <w:r w:rsidR="00F30EA9" w:rsidRPr="00DB3D57">
        <w:rPr>
          <w:bCs/>
          <w:lang w:val="en-GB"/>
        </w:rPr>
        <w:t>A.-F.; Qiu,</w:t>
      </w:r>
      <w:r w:rsidR="00406571" w:rsidRPr="00DB3D57">
        <w:rPr>
          <w:bCs/>
          <w:lang w:val="en-GB"/>
        </w:rPr>
        <w:t xml:space="preserve"> </w:t>
      </w:r>
      <w:r w:rsidR="00F30EA9" w:rsidRPr="00DB3D57">
        <w:rPr>
          <w:bCs/>
          <w:lang w:val="en-GB"/>
        </w:rPr>
        <w:t>J.-K.; Wei,</w:t>
      </w:r>
      <w:r w:rsidR="00406571" w:rsidRPr="00DB3D57">
        <w:rPr>
          <w:bCs/>
          <w:lang w:val="en-GB"/>
        </w:rPr>
        <w:t xml:space="preserve"> </w:t>
      </w:r>
      <w:r w:rsidR="00F30EA9" w:rsidRPr="00DB3D57">
        <w:rPr>
          <w:bCs/>
          <w:lang w:val="en-GB"/>
        </w:rPr>
        <w:t>P.; Wang,</w:t>
      </w:r>
      <w:r w:rsidR="00406571" w:rsidRPr="00DB3D57">
        <w:rPr>
          <w:bCs/>
          <w:lang w:val="en-GB"/>
        </w:rPr>
        <w:t xml:space="preserve"> </w:t>
      </w:r>
      <w:r w:rsidR="00F30EA9" w:rsidRPr="00DB3D57">
        <w:rPr>
          <w:bCs/>
          <w:lang w:val="en-GB"/>
        </w:rPr>
        <w:t>D.-C.; Li,</w:t>
      </w:r>
      <w:r w:rsidR="00406571" w:rsidRPr="00DB3D57">
        <w:rPr>
          <w:bCs/>
          <w:lang w:val="en-GB"/>
        </w:rPr>
        <w:t xml:space="preserve"> </w:t>
      </w:r>
      <w:r w:rsidR="00F30EA9" w:rsidRPr="00DB3D57">
        <w:rPr>
          <w:bCs/>
          <w:lang w:val="en-GB"/>
        </w:rPr>
        <w:t>G.;</w:t>
      </w:r>
      <w:r w:rsidR="00406571" w:rsidRPr="00DB3D57">
        <w:rPr>
          <w:bCs/>
          <w:lang w:val="en-GB"/>
        </w:rPr>
        <w:t xml:space="preserve"> </w:t>
      </w:r>
      <w:r w:rsidR="00F30EA9" w:rsidRPr="00DB3D57">
        <w:rPr>
          <w:bCs/>
          <w:lang w:val="en-GB"/>
        </w:rPr>
        <w:t>Tu,</w:t>
      </w:r>
      <w:r w:rsidR="00406571" w:rsidRPr="00DB3D57">
        <w:rPr>
          <w:bCs/>
          <w:lang w:val="en-GB"/>
        </w:rPr>
        <w:t xml:space="preserve"> </w:t>
      </w:r>
      <w:r w:rsidR="00F30EA9" w:rsidRPr="00DB3D57">
        <w:rPr>
          <w:bCs/>
          <w:lang w:val="en-GB"/>
        </w:rPr>
        <w:t xml:space="preserve">S.-J. </w:t>
      </w:r>
      <w:r w:rsidR="00F30EA9" w:rsidRPr="00DB3D57">
        <w:rPr>
          <w:bCs/>
          <w:i/>
          <w:iCs/>
          <w:lang w:val="en-GB"/>
        </w:rPr>
        <w:t xml:space="preserve">Chem. Commun. </w:t>
      </w:r>
      <w:r w:rsidR="00F30EA9" w:rsidRPr="00DB3D57">
        <w:rPr>
          <w:b/>
          <w:bCs/>
          <w:lang w:val="en-GB"/>
        </w:rPr>
        <w:t>2016</w:t>
      </w:r>
      <w:r w:rsidR="00F30EA9" w:rsidRPr="00DB3D57">
        <w:rPr>
          <w:bCs/>
          <w:lang w:val="en-GB"/>
        </w:rPr>
        <w:t xml:space="preserve">, </w:t>
      </w:r>
      <w:r w:rsidR="00F30EA9" w:rsidRPr="00DB3D57">
        <w:rPr>
          <w:bCs/>
          <w:i/>
          <w:lang w:val="en-GB"/>
        </w:rPr>
        <w:t>52</w:t>
      </w:r>
      <w:r w:rsidR="00F30EA9" w:rsidRPr="00DB3D57">
        <w:rPr>
          <w:bCs/>
          <w:lang w:val="en-GB"/>
        </w:rPr>
        <w:t xml:space="preserve">, 1907; </w:t>
      </w:r>
      <w:r w:rsidR="00A15F60" w:rsidRPr="00DB3D57">
        <w:rPr>
          <w:bCs/>
        </w:rPr>
        <w:t>(</w:t>
      </w:r>
      <w:r w:rsidR="00406571" w:rsidRPr="00DB3D57">
        <w:rPr>
          <w:bCs/>
        </w:rPr>
        <w:t>c</w:t>
      </w:r>
      <w:r w:rsidR="00A15F60" w:rsidRPr="00DB3D57">
        <w:rPr>
          <w:bCs/>
        </w:rPr>
        <w:t xml:space="preserve">) </w:t>
      </w:r>
      <w:r w:rsidR="00406571" w:rsidRPr="00DB3D57">
        <w:rPr>
          <w:bCs/>
          <w:lang w:val="en-GB"/>
        </w:rPr>
        <w:t xml:space="preserve">Wang, A.-F.; Zhu, Y.-L.; Wang, S.-L.; Hao, W.-J.; Li, G.; Tu, S.-J.; Jiang, B. </w:t>
      </w:r>
      <w:r w:rsidR="00406571" w:rsidRPr="00DB3D57">
        <w:rPr>
          <w:bCs/>
          <w:i/>
          <w:lang w:val="en-GB"/>
        </w:rPr>
        <w:t>J</w:t>
      </w:r>
      <w:r w:rsidR="00406571" w:rsidRPr="00DB3D57">
        <w:rPr>
          <w:bCs/>
          <w:lang w:val="en-GB"/>
        </w:rPr>
        <w:t xml:space="preserve">. </w:t>
      </w:r>
      <w:r w:rsidR="00406571" w:rsidRPr="00DB3D57">
        <w:rPr>
          <w:bCs/>
          <w:i/>
          <w:lang w:val="en-GB"/>
        </w:rPr>
        <w:t>Org</w:t>
      </w:r>
      <w:r w:rsidR="00406571" w:rsidRPr="00DB3D57">
        <w:rPr>
          <w:bCs/>
          <w:lang w:val="en-GB"/>
        </w:rPr>
        <w:t xml:space="preserve">. </w:t>
      </w:r>
      <w:r w:rsidR="00406571" w:rsidRPr="00DB3D57">
        <w:rPr>
          <w:bCs/>
          <w:i/>
          <w:lang w:val="en-GB"/>
        </w:rPr>
        <w:t>Chem</w:t>
      </w:r>
      <w:r w:rsidR="00406571" w:rsidRPr="00DB3D57">
        <w:rPr>
          <w:bCs/>
          <w:lang w:val="en-GB"/>
        </w:rPr>
        <w:t xml:space="preserve">. </w:t>
      </w:r>
      <w:r w:rsidR="00406571" w:rsidRPr="00DB3D57">
        <w:rPr>
          <w:b/>
          <w:bCs/>
          <w:lang w:val="en-GB"/>
        </w:rPr>
        <w:t>2016</w:t>
      </w:r>
      <w:r w:rsidR="00406571" w:rsidRPr="00DB3D57">
        <w:rPr>
          <w:bCs/>
          <w:lang w:val="en-GB"/>
        </w:rPr>
        <w:t xml:space="preserve">, </w:t>
      </w:r>
      <w:r w:rsidR="00406571" w:rsidRPr="00DB3D57">
        <w:rPr>
          <w:bCs/>
          <w:i/>
          <w:lang w:val="en-GB"/>
        </w:rPr>
        <w:t>81</w:t>
      </w:r>
      <w:r w:rsidR="00F30EA9" w:rsidRPr="00DB3D57">
        <w:rPr>
          <w:bCs/>
          <w:lang w:val="en-GB"/>
        </w:rPr>
        <w:t xml:space="preserve">, 1099; (d) Zhu, Y.-L.; Wang, D.-C.; Jiang, B.; Hao, W.-J.; Wei, P.; Wang, A.-F.; Qiua, J.-K.; Tu, S.-J. </w:t>
      </w:r>
      <w:r w:rsidR="00F30EA9" w:rsidRPr="00DB3D57">
        <w:rPr>
          <w:bCs/>
          <w:i/>
          <w:lang w:val="en-GB"/>
        </w:rPr>
        <w:t>Org</w:t>
      </w:r>
      <w:r w:rsidR="00F30EA9" w:rsidRPr="00DB3D57">
        <w:rPr>
          <w:bCs/>
          <w:lang w:val="en-GB"/>
        </w:rPr>
        <w:t xml:space="preserve">. </w:t>
      </w:r>
      <w:r w:rsidR="00F30EA9" w:rsidRPr="00DB3D57">
        <w:rPr>
          <w:bCs/>
          <w:i/>
          <w:lang w:val="en-GB"/>
        </w:rPr>
        <w:t>Chem</w:t>
      </w:r>
      <w:r w:rsidR="00F30EA9" w:rsidRPr="00DB3D57">
        <w:rPr>
          <w:bCs/>
          <w:lang w:val="en-GB"/>
        </w:rPr>
        <w:t xml:space="preserve">. </w:t>
      </w:r>
      <w:r w:rsidR="00F30EA9" w:rsidRPr="00DB3D57">
        <w:rPr>
          <w:bCs/>
          <w:i/>
          <w:lang w:val="en-GB"/>
        </w:rPr>
        <w:t>Front</w:t>
      </w:r>
      <w:r w:rsidR="00F30EA9" w:rsidRPr="00DB3D57">
        <w:rPr>
          <w:bCs/>
          <w:lang w:val="en-GB"/>
        </w:rPr>
        <w:t xml:space="preserve">. </w:t>
      </w:r>
      <w:r w:rsidR="00F30EA9" w:rsidRPr="00DB3D57">
        <w:rPr>
          <w:b/>
          <w:bCs/>
          <w:lang w:val="en-GB"/>
        </w:rPr>
        <w:t>2016</w:t>
      </w:r>
      <w:r w:rsidR="00F30EA9" w:rsidRPr="00DB3D57">
        <w:rPr>
          <w:bCs/>
          <w:lang w:val="en-GB"/>
        </w:rPr>
        <w:t xml:space="preserve">, </w:t>
      </w:r>
      <w:r w:rsidR="00F30EA9" w:rsidRPr="00DB3D57">
        <w:rPr>
          <w:bCs/>
          <w:i/>
          <w:lang w:val="en-GB"/>
        </w:rPr>
        <w:t>3</w:t>
      </w:r>
      <w:r w:rsidR="00077507" w:rsidRPr="00DB3D57">
        <w:rPr>
          <w:bCs/>
          <w:lang w:val="en-GB"/>
        </w:rPr>
        <w:t xml:space="preserve">, 385; (e) </w:t>
      </w:r>
      <w:r w:rsidR="00077507" w:rsidRPr="00DB3D57">
        <w:rPr>
          <w:bCs/>
        </w:rPr>
        <w:t xml:space="preserve">Li, C.-G.; Xu, G.-Q.; Xu, P.-F. </w:t>
      </w:r>
      <w:r w:rsidR="00077507" w:rsidRPr="00DB3D57">
        <w:rPr>
          <w:bCs/>
          <w:i/>
        </w:rPr>
        <w:t>Org</w:t>
      </w:r>
      <w:r w:rsidR="00077507" w:rsidRPr="00DB3D57">
        <w:rPr>
          <w:bCs/>
        </w:rPr>
        <w:t xml:space="preserve">. </w:t>
      </w:r>
      <w:r w:rsidR="00077507" w:rsidRPr="00DB3D57">
        <w:rPr>
          <w:bCs/>
          <w:i/>
        </w:rPr>
        <w:t>Lett</w:t>
      </w:r>
      <w:r w:rsidR="00077507" w:rsidRPr="00DB3D57">
        <w:rPr>
          <w:bCs/>
        </w:rPr>
        <w:t>.</w:t>
      </w:r>
      <w:r w:rsidR="00E605FB" w:rsidRPr="00DB3D57">
        <w:rPr>
          <w:bCs/>
        </w:rPr>
        <w:t xml:space="preserve"> </w:t>
      </w:r>
      <w:r w:rsidR="00E605FB" w:rsidRPr="00DB3D57">
        <w:rPr>
          <w:b/>
          <w:bCs/>
        </w:rPr>
        <w:t>2017</w:t>
      </w:r>
      <w:r w:rsidR="00E605FB" w:rsidRPr="00DB3D57">
        <w:rPr>
          <w:bCs/>
        </w:rPr>
        <w:t>,</w:t>
      </w:r>
      <w:r w:rsidR="00077507" w:rsidRPr="00DB3D57">
        <w:rPr>
          <w:bCs/>
        </w:rPr>
        <w:t xml:space="preserve"> DOI:</w:t>
      </w:r>
      <w:r w:rsidR="00077507" w:rsidRPr="00DB3D57">
        <w:rPr>
          <w:b/>
          <w:bCs/>
        </w:rPr>
        <w:t xml:space="preserve"> </w:t>
      </w:r>
      <w:r w:rsidR="00077507" w:rsidRPr="00DB3D57">
        <w:rPr>
          <w:bCs/>
        </w:rPr>
        <w:t>10.1021/acs.orglett.6b03684</w:t>
      </w:r>
      <w:r w:rsidR="00B61817" w:rsidRPr="00DB3D57">
        <w:rPr>
          <w:bCs/>
        </w:rPr>
        <w:t xml:space="preserve">. </w:t>
      </w:r>
    </w:p>
    <w:p w14:paraId="05C4188A" w14:textId="2BDAD504" w:rsidR="00732385" w:rsidRPr="00DB3D57" w:rsidRDefault="007A246C" w:rsidP="00B61817">
      <w:pPr>
        <w:pStyle w:val="TFReferencesSection"/>
      </w:pPr>
      <w:r w:rsidRPr="00DB3D57">
        <w:t>(</w:t>
      </w:r>
      <w:r w:rsidR="00F60687" w:rsidRPr="00DB3D57">
        <w:t>9</w:t>
      </w:r>
      <w:r w:rsidRPr="00DB3D57">
        <w:t xml:space="preserve">) </w:t>
      </w:r>
      <w:r w:rsidR="00732385" w:rsidRPr="00DB3D57">
        <w:t>For related cycli</w:t>
      </w:r>
      <w:r w:rsidR="00A15F60" w:rsidRPr="00DB3D57">
        <w:t>z</w:t>
      </w:r>
      <w:r w:rsidR="00732385" w:rsidRPr="00DB3D57">
        <w:t>ations to form 1,2,3,4-tetrahydroquinolines under photoredox catalysis</w:t>
      </w:r>
      <w:r w:rsidR="003A297A" w:rsidRPr="00DB3D57">
        <w:t>,</w:t>
      </w:r>
      <w:r w:rsidR="00732385" w:rsidRPr="00DB3D57">
        <w:t xml:space="preserve"> see: (a) Zhu, </w:t>
      </w:r>
      <w:r w:rsidR="00AE024A" w:rsidRPr="00DB3D57">
        <w:t xml:space="preserve">S.; </w:t>
      </w:r>
      <w:r w:rsidR="00732385" w:rsidRPr="00DB3D57">
        <w:t xml:space="preserve">Das, </w:t>
      </w:r>
      <w:r w:rsidR="00AE024A" w:rsidRPr="00DB3D57">
        <w:t xml:space="preserve">A.; </w:t>
      </w:r>
      <w:r w:rsidR="00732385" w:rsidRPr="00DB3D57">
        <w:t xml:space="preserve">Bui, </w:t>
      </w:r>
      <w:r w:rsidR="00AE024A" w:rsidRPr="00DB3D57">
        <w:t xml:space="preserve">L.; </w:t>
      </w:r>
      <w:r w:rsidR="00732385" w:rsidRPr="00DB3D57">
        <w:t xml:space="preserve">Zhou, </w:t>
      </w:r>
      <w:r w:rsidR="00AE024A" w:rsidRPr="00DB3D57">
        <w:t xml:space="preserve">H.; </w:t>
      </w:r>
      <w:r w:rsidR="00732385" w:rsidRPr="00DB3D57">
        <w:t>Curran</w:t>
      </w:r>
      <w:r w:rsidR="00AE024A" w:rsidRPr="00DB3D57">
        <w:t>,</w:t>
      </w:r>
      <w:r w:rsidR="00732385" w:rsidRPr="00DB3D57">
        <w:t xml:space="preserve"> </w:t>
      </w:r>
      <w:r w:rsidR="00AE024A" w:rsidRPr="00DB3D57">
        <w:t>D. P.;</w:t>
      </w:r>
      <w:r w:rsidR="00732385" w:rsidRPr="00DB3D57">
        <w:t xml:space="preserve"> Rueping, </w:t>
      </w:r>
      <w:r w:rsidR="00AE024A" w:rsidRPr="00DB3D57">
        <w:t xml:space="preserve">M. </w:t>
      </w:r>
      <w:r w:rsidR="00732385" w:rsidRPr="00DB3D57">
        <w:rPr>
          <w:i/>
        </w:rPr>
        <w:t>J</w:t>
      </w:r>
      <w:r w:rsidR="00732385" w:rsidRPr="00DB3D57">
        <w:t xml:space="preserve">. </w:t>
      </w:r>
      <w:r w:rsidR="00732385" w:rsidRPr="00DB3D57">
        <w:rPr>
          <w:i/>
        </w:rPr>
        <w:t>Am</w:t>
      </w:r>
      <w:r w:rsidR="00732385" w:rsidRPr="00DB3D57">
        <w:t xml:space="preserve">. </w:t>
      </w:r>
      <w:r w:rsidR="00732385" w:rsidRPr="00DB3D57">
        <w:rPr>
          <w:i/>
        </w:rPr>
        <w:t>Chem</w:t>
      </w:r>
      <w:r w:rsidR="00732385" w:rsidRPr="00DB3D57">
        <w:t xml:space="preserve">. </w:t>
      </w:r>
      <w:r w:rsidR="00732385" w:rsidRPr="00DB3D57">
        <w:rPr>
          <w:i/>
        </w:rPr>
        <w:t>Soc</w:t>
      </w:r>
      <w:r w:rsidR="00732385" w:rsidRPr="00DB3D57">
        <w:t xml:space="preserve">. </w:t>
      </w:r>
      <w:r w:rsidR="00732385" w:rsidRPr="00DB3D57">
        <w:rPr>
          <w:b/>
        </w:rPr>
        <w:t>2013</w:t>
      </w:r>
      <w:r w:rsidR="00732385" w:rsidRPr="00DB3D57">
        <w:t xml:space="preserve">, </w:t>
      </w:r>
      <w:r w:rsidR="00732385" w:rsidRPr="00DB3D57">
        <w:rPr>
          <w:i/>
        </w:rPr>
        <w:t>135</w:t>
      </w:r>
      <w:r w:rsidR="00732385" w:rsidRPr="00DB3D57">
        <w:t xml:space="preserve">, 1823; (b) Chen, </w:t>
      </w:r>
      <w:r w:rsidR="00AE024A" w:rsidRPr="00DB3D57">
        <w:t xml:space="preserve">L.; </w:t>
      </w:r>
      <w:r w:rsidR="00732385" w:rsidRPr="00DB3D57">
        <w:t xml:space="preserve">Chao, </w:t>
      </w:r>
      <w:r w:rsidR="00AE024A" w:rsidRPr="00DB3D57">
        <w:t xml:space="preserve">C. S.; </w:t>
      </w:r>
      <w:r w:rsidR="00732385" w:rsidRPr="00DB3D57">
        <w:t xml:space="preserve">Pan, </w:t>
      </w:r>
      <w:r w:rsidR="00AE024A" w:rsidRPr="00DB3D57">
        <w:t xml:space="preserve">Y.; </w:t>
      </w:r>
      <w:r w:rsidR="00732385" w:rsidRPr="00DB3D57">
        <w:t xml:space="preserve">Dong, </w:t>
      </w:r>
      <w:r w:rsidR="00AE024A" w:rsidRPr="00DB3D57">
        <w:t xml:space="preserve">S.; </w:t>
      </w:r>
      <w:r w:rsidR="00732385" w:rsidRPr="00DB3D57">
        <w:t xml:space="preserve">Teo, </w:t>
      </w:r>
      <w:r w:rsidR="00AE024A" w:rsidRPr="00DB3D57">
        <w:t xml:space="preserve">Y. C.; </w:t>
      </w:r>
      <w:r w:rsidR="00732385" w:rsidRPr="00DB3D57">
        <w:t>Wang</w:t>
      </w:r>
      <w:r w:rsidR="00AE024A" w:rsidRPr="00DB3D57">
        <w:t>,</w:t>
      </w:r>
      <w:r w:rsidR="00732385" w:rsidRPr="00DB3D57">
        <w:t xml:space="preserve"> </w:t>
      </w:r>
      <w:r w:rsidR="00AE024A" w:rsidRPr="00DB3D57">
        <w:t>J.;</w:t>
      </w:r>
      <w:r w:rsidR="00732385" w:rsidRPr="00DB3D57">
        <w:t xml:space="preserve"> Tan, </w:t>
      </w:r>
      <w:r w:rsidR="00AE024A" w:rsidRPr="00DB3D57">
        <w:t xml:space="preserve">C.-H. </w:t>
      </w:r>
      <w:r w:rsidR="00732385" w:rsidRPr="00DB3D57">
        <w:rPr>
          <w:i/>
        </w:rPr>
        <w:t>Org</w:t>
      </w:r>
      <w:r w:rsidR="00732385" w:rsidRPr="00DB3D57">
        <w:t xml:space="preserve">. </w:t>
      </w:r>
      <w:r w:rsidR="00732385" w:rsidRPr="00DB3D57">
        <w:rPr>
          <w:i/>
        </w:rPr>
        <w:t>Biomol</w:t>
      </w:r>
      <w:r w:rsidR="00732385" w:rsidRPr="00DB3D57">
        <w:t xml:space="preserve">. </w:t>
      </w:r>
      <w:r w:rsidR="00732385" w:rsidRPr="00DB3D57">
        <w:rPr>
          <w:i/>
        </w:rPr>
        <w:t>Chem</w:t>
      </w:r>
      <w:r w:rsidR="00AE024A" w:rsidRPr="00DB3D57">
        <w:t>.</w:t>
      </w:r>
      <w:r w:rsidR="00732385" w:rsidRPr="00DB3D57">
        <w:t xml:space="preserve"> </w:t>
      </w:r>
      <w:r w:rsidR="00732385" w:rsidRPr="00DB3D57">
        <w:rPr>
          <w:b/>
        </w:rPr>
        <w:t>2013</w:t>
      </w:r>
      <w:r w:rsidR="00732385" w:rsidRPr="00DB3D57">
        <w:t xml:space="preserve">, </w:t>
      </w:r>
      <w:r w:rsidR="00732385" w:rsidRPr="00DB3D57">
        <w:rPr>
          <w:i/>
        </w:rPr>
        <w:t>11</w:t>
      </w:r>
      <w:r w:rsidR="00732385" w:rsidRPr="00DB3D57">
        <w:t>, 5922; (c) Lenhart</w:t>
      </w:r>
      <w:r w:rsidR="00AE024A" w:rsidRPr="00DB3D57">
        <w:t>,</w:t>
      </w:r>
      <w:r w:rsidR="00732385" w:rsidRPr="00DB3D57">
        <w:t xml:space="preserve"> </w:t>
      </w:r>
      <w:r w:rsidR="00AE024A" w:rsidRPr="00DB3D57">
        <w:t>D.;</w:t>
      </w:r>
      <w:r w:rsidR="00732385" w:rsidRPr="00DB3D57">
        <w:t xml:space="preserve"> Bach,</w:t>
      </w:r>
      <w:r w:rsidR="00AE024A" w:rsidRPr="00DB3D57">
        <w:t xml:space="preserve"> T.</w:t>
      </w:r>
      <w:r w:rsidR="00732385" w:rsidRPr="00DB3D57">
        <w:t xml:space="preserve"> </w:t>
      </w:r>
      <w:r w:rsidR="00732385" w:rsidRPr="00DB3D57">
        <w:rPr>
          <w:i/>
        </w:rPr>
        <w:t>Beilstein J</w:t>
      </w:r>
      <w:r w:rsidR="00732385" w:rsidRPr="00DB3D57">
        <w:t xml:space="preserve">. </w:t>
      </w:r>
      <w:r w:rsidR="00732385" w:rsidRPr="00DB3D57">
        <w:rPr>
          <w:i/>
        </w:rPr>
        <w:t>Org</w:t>
      </w:r>
      <w:r w:rsidR="00732385" w:rsidRPr="00DB3D57">
        <w:t xml:space="preserve">. </w:t>
      </w:r>
      <w:r w:rsidR="00732385" w:rsidRPr="00DB3D57">
        <w:rPr>
          <w:i/>
        </w:rPr>
        <w:t>Chem</w:t>
      </w:r>
      <w:r w:rsidR="00AE024A" w:rsidRPr="00DB3D57">
        <w:t>.</w:t>
      </w:r>
      <w:r w:rsidR="00732385" w:rsidRPr="00DB3D57">
        <w:t xml:space="preserve"> </w:t>
      </w:r>
      <w:r w:rsidR="00732385" w:rsidRPr="00DB3D57">
        <w:rPr>
          <w:b/>
        </w:rPr>
        <w:t>2014</w:t>
      </w:r>
      <w:r w:rsidR="00732385" w:rsidRPr="00DB3D57">
        <w:t xml:space="preserve">, </w:t>
      </w:r>
      <w:r w:rsidR="00732385" w:rsidRPr="00DB3D57">
        <w:rPr>
          <w:i/>
        </w:rPr>
        <w:t>10</w:t>
      </w:r>
      <w:r w:rsidR="00732385" w:rsidRPr="00DB3D57">
        <w:t xml:space="preserve">, 890; (d) Liang, </w:t>
      </w:r>
      <w:r w:rsidR="00AE024A" w:rsidRPr="00DB3D57">
        <w:t xml:space="preserve">Z.; </w:t>
      </w:r>
      <w:r w:rsidR="00732385" w:rsidRPr="00DB3D57">
        <w:t xml:space="preserve">Xu, </w:t>
      </w:r>
      <w:r w:rsidR="00AE024A" w:rsidRPr="00DB3D57">
        <w:t xml:space="preserve">S.; </w:t>
      </w:r>
      <w:r w:rsidR="00732385" w:rsidRPr="00DB3D57">
        <w:t>Tian</w:t>
      </w:r>
      <w:r w:rsidR="00AE024A" w:rsidRPr="00DB3D57">
        <w:t>,</w:t>
      </w:r>
      <w:r w:rsidR="00732385" w:rsidRPr="00DB3D57">
        <w:t xml:space="preserve"> </w:t>
      </w:r>
      <w:r w:rsidR="00AE024A" w:rsidRPr="00DB3D57">
        <w:t xml:space="preserve">W.; </w:t>
      </w:r>
      <w:r w:rsidR="00732385" w:rsidRPr="00DB3D57">
        <w:t xml:space="preserve">Zhang, </w:t>
      </w:r>
      <w:r w:rsidR="00AE024A" w:rsidRPr="00DB3D57">
        <w:t xml:space="preserve">R. </w:t>
      </w:r>
      <w:r w:rsidR="00732385" w:rsidRPr="00DB3D57">
        <w:rPr>
          <w:i/>
        </w:rPr>
        <w:t>Beilstein</w:t>
      </w:r>
      <w:r w:rsidR="00732385" w:rsidRPr="00DB3D57">
        <w:t xml:space="preserve"> </w:t>
      </w:r>
      <w:r w:rsidR="00732385" w:rsidRPr="00DB3D57">
        <w:rPr>
          <w:i/>
        </w:rPr>
        <w:t>J</w:t>
      </w:r>
      <w:r w:rsidR="00732385" w:rsidRPr="00DB3D57">
        <w:t xml:space="preserve">. </w:t>
      </w:r>
      <w:r w:rsidR="00732385" w:rsidRPr="00DB3D57">
        <w:rPr>
          <w:i/>
        </w:rPr>
        <w:t>Org</w:t>
      </w:r>
      <w:r w:rsidR="00732385" w:rsidRPr="00DB3D57">
        <w:t xml:space="preserve">. </w:t>
      </w:r>
      <w:r w:rsidR="00732385" w:rsidRPr="00DB3D57">
        <w:rPr>
          <w:i/>
        </w:rPr>
        <w:t>Chem</w:t>
      </w:r>
      <w:r w:rsidR="00AE024A" w:rsidRPr="00DB3D57">
        <w:t>.</w:t>
      </w:r>
      <w:r w:rsidR="00732385" w:rsidRPr="00DB3D57">
        <w:t xml:space="preserve"> </w:t>
      </w:r>
      <w:r w:rsidR="00732385" w:rsidRPr="00DB3D57">
        <w:rPr>
          <w:b/>
        </w:rPr>
        <w:t>2015</w:t>
      </w:r>
      <w:r w:rsidR="00732385" w:rsidRPr="00DB3D57">
        <w:t xml:space="preserve">, </w:t>
      </w:r>
      <w:r w:rsidR="00732385" w:rsidRPr="00DB3D57">
        <w:rPr>
          <w:i/>
        </w:rPr>
        <w:t>11</w:t>
      </w:r>
      <w:r w:rsidR="00732385" w:rsidRPr="00DB3D57">
        <w:t>, 425.</w:t>
      </w:r>
    </w:p>
    <w:p w14:paraId="4EEE18A2" w14:textId="31210EDF" w:rsidR="00732385" w:rsidRPr="00DB3D57" w:rsidRDefault="007A246C" w:rsidP="00732385">
      <w:pPr>
        <w:pStyle w:val="TFReferencesSection"/>
        <w:rPr>
          <w:bCs/>
        </w:rPr>
      </w:pPr>
      <w:r w:rsidRPr="00DB3D57">
        <w:t>(1</w:t>
      </w:r>
      <w:r w:rsidR="00F60687" w:rsidRPr="00DB3D57">
        <w:t>0</w:t>
      </w:r>
      <w:r w:rsidRPr="00DB3D57">
        <w:t xml:space="preserve">) </w:t>
      </w:r>
      <w:r w:rsidR="003A297A" w:rsidRPr="00DB3D57">
        <w:t xml:space="preserve">(a) </w:t>
      </w:r>
      <w:r w:rsidR="00732385" w:rsidRPr="00DB3D57">
        <w:t>Data for Ru(bpy)</w:t>
      </w:r>
      <w:r w:rsidR="00732385" w:rsidRPr="00DB3D57">
        <w:rPr>
          <w:vertAlign w:val="subscript"/>
        </w:rPr>
        <w:t>3</w:t>
      </w:r>
      <w:r w:rsidR="00732385" w:rsidRPr="00DB3D57">
        <w:rPr>
          <w:rFonts w:cs="Arial"/>
          <w:color w:val="424242"/>
        </w:rPr>
        <w:t>·</w:t>
      </w:r>
      <w:r w:rsidR="00732385" w:rsidRPr="00DB3D57">
        <w:t>6H</w:t>
      </w:r>
      <w:r w:rsidR="00732385" w:rsidRPr="00DB3D57">
        <w:rPr>
          <w:vertAlign w:val="subscript"/>
        </w:rPr>
        <w:t>2</w:t>
      </w:r>
      <w:r w:rsidR="00732385" w:rsidRPr="00DB3D57">
        <w:t xml:space="preserve">O: </w:t>
      </w:r>
      <w:r w:rsidR="00732385" w:rsidRPr="00DB3D57">
        <w:rPr>
          <w:bCs/>
        </w:rPr>
        <w:t xml:space="preserve">Bock, </w:t>
      </w:r>
      <w:r w:rsidR="00AE024A" w:rsidRPr="00DB3D57">
        <w:rPr>
          <w:bCs/>
        </w:rPr>
        <w:t xml:space="preserve">C. R.; </w:t>
      </w:r>
      <w:r w:rsidR="00732385" w:rsidRPr="00DB3D57">
        <w:rPr>
          <w:bCs/>
        </w:rPr>
        <w:t xml:space="preserve">Connor, </w:t>
      </w:r>
      <w:r w:rsidR="00AE024A" w:rsidRPr="00DB3D57">
        <w:rPr>
          <w:bCs/>
        </w:rPr>
        <w:t xml:space="preserve">J. A.; </w:t>
      </w:r>
      <w:r w:rsidR="00732385" w:rsidRPr="00DB3D57">
        <w:rPr>
          <w:bCs/>
        </w:rPr>
        <w:t xml:space="preserve">Gutierrez, </w:t>
      </w:r>
      <w:r w:rsidR="00AE024A" w:rsidRPr="00DB3D57">
        <w:rPr>
          <w:bCs/>
        </w:rPr>
        <w:t xml:space="preserve">A. R.; </w:t>
      </w:r>
      <w:r w:rsidR="00732385" w:rsidRPr="00DB3D57">
        <w:rPr>
          <w:bCs/>
        </w:rPr>
        <w:t xml:space="preserve">Meyer, </w:t>
      </w:r>
      <w:r w:rsidR="00AE024A" w:rsidRPr="00DB3D57">
        <w:rPr>
          <w:bCs/>
        </w:rPr>
        <w:t xml:space="preserve">T. J.; </w:t>
      </w:r>
      <w:r w:rsidR="00732385" w:rsidRPr="00DB3D57">
        <w:rPr>
          <w:bCs/>
        </w:rPr>
        <w:t xml:space="preserve">Whitten, </w:t>
      </w:r>
      <w:r w:rsidR="00AE024A" w:rsidRPr="00DB3D57">
        <w:rPr>
          <w:bCs/>
        </w:rPr>
        <w:t xml:space="preserve">D. G.; </w:t>
      </w:r>
      <w:r w:rsidR="00732385" w:rsidRPr="00DB3D57">
        <w:rPr>
          <w:bCs/>
        </w:rPr>
        <w:t xml:space="preserve">Sullivan </w:t>
      </w:r>
      <w:r w:rsidR="00AE024A" w:rsidRPr="00DB3D57">
        <w:rPr>
          <w:bCs/>
        </w:rPr>
        <w:t xml:space="preserve">B. P.; </w:t>
      </w:r>
      <w:r w:rsidR="00732385" w:rsidRPr="00DB3D57">
        <w:rPr>
          <w:bCs/>
        </w:rPr>
        <w:t xml:space="preserve">Nagle, </w:t>
      </w:r>
      <w:r w:rsidR="00AE024A" w:rsidRPr="00DB3D57">
        <w:rPr>
          <w:bCs/>
        </w:rPr>
        <w:t xml:space="preserve">J. K. </w:t>
      </w:r>
      <w:r w:rsidR="00732385" w:rsidRPr="00DB3D57">
        <w:rPr>
          <w:bCs/>
          <w:i/>
        </w:rPr>
        <w:t>J</w:t>
      </w:r>
      <w:r w:rsidR="00732385" w:rsidRPr="00DB3D57">
        <w:rPr>
          <w:bCs/>
        </w:rPr>
        <w:t xml:space="preserve">. </w:t>
      </w:r>
      <w:r w:rsidR="00732385" w:rsidRPr="00DB3D57">
        <w:rPr>
          <w:bCs/>
          <w:i/>
        </w:rPr>
        <w:t>Am</w:t>
      </w:r>
      <w:r w:rsidR="00732385" w:rsidRPr="00DB3D57">
        <w:rPr>
          <w:bCs/>
        </w:rPr>
        <w:t xml:space="preserve">. </w:t>
      </w:r>
      <w:r w:rsidR="00732385" w:rsidRPr="00DB3D57">
        <w:rPr>
          <w:bCs/>
          <w:i/>
        </w:rPr>
        <w:t>Chem</w:t>
      </w:r>
      <w:r w:rsidR="00732385" w:rsidRPr="00DB3D57">
        <w:rPr>
          <w:bCs/>
        </w:rPr>
        <w:t xml:space="preserve">. </w:t>
      </w:r>
      <w:r w:rsidR="00732385" w:rsidRPr="00DB3D57">
        <w:rPr>
          <w:bCs/>
          <w:i/>
        </w:rPr>
        <w:t>Soc</w:t>
      </w:r>
      <w:r w:rsidR="00AE024A" w:rsidRPr="00DB3D57">
        <w:rPr>
          <w:bCs/>
        </w:rPr>
        <w:t>.</w:t>
      </w:r>
      <w:r w:rsidR="00732385" w:rsidRPr="00DB3D57">
        <w:rPr>
          <w:bCs/>
        </w:rPr>
        <w:t xml:space="preserve"> </w:t>
      </w:r>
      <w:r w:rsidR="00732385" w:rsidRPr="00DB3D57">
        <w:rPr>
          <w:b/>
          <w:bCs/>
        </w:rPr>
        <w:t>1979</w:t>
      </w:r>
      <w:r w:rsidR="00732385" w:rsidRPr="00DB3D57">
        <w:rPr>
          <w:bCs/>
        </w:rPr>
        <w:t>, 101, 4815;</w:t>
      </w:r>
      <w:r w:rsidR="003A297A" w:rsidRPr="00DB3D57">
        <w:rPr>
          <w:bCs/>
        </w:rPr>
        <w:t xml:space="preserve"> (b)</w:t>
      </w:r>
      <w:r w:rsidR="00732385" w:rsidRPr="00DB3D57">
        <w:rPr>
          <w:bCs/>
        </w:rPr>
        <w:t xml:space="preserve"> </w:t>
      </w:r>
      <w:r w:rsidR="00900917" w:rsidRPr="00DB3D57">
        <w:rPr>
          <w:bCs/>
        </w:rPr>
        <w:t>d</w:t>
      </w:r>
      <w:r w:rsidR="00732385" w:rsidRPr="00DB3D57">
        <w:rPr>
          <w:bCs/>
        </w:rPr>
        <w:t xml:space="preserve">ata for </w:t>
      </w:r>
      <w:r w:rsidR="00732385" w:rsidRPr="00DB3D57">
        <w:rPr>
          <w:bCs/>
          <w:i/>
        </w:rPr>
        <w:t>fac</w:t>
      </w:r>
      <w:r w:rsidR="00732385" w:rsidRPr="00DB3D57">
        <w:rPr>
          <w:bCs/>
        </w:rPr>
        <w:t>-Ir(ppy)</w:t>
      </w:r>
      <w:r w:rsidR="00732385" w:rsidRPr="00DB3D57">
        <w:rPr>
          <w:bCs/>
          <w:vertAlign w:val="subscript"/>
        </w:rPr>
        <w:t>3</w:t>
      </w:r>
      <w:r w:rsidR="00732385" w:rsidRPr="00DB3D57">
        <w:rPr>
          <w:bCs/>
        </w:rPr>
        <w:t xml:space="preserve">: Flamigni, </w:t>
      </w:r>
      <w:r w:rsidR="00AE024A" w:rsidRPr="00DB3D57">
        <w:rPr>
          <w:bCs/>
        </w:rPr>
        <w:t xml:space="preserve">L.; </w:t>
      </w:r>
      <w:r w:rsidR="00732385" w:rsidRPr="00DB3D57">
        <w:rPr>
          <w:bCs/>
        </w:rPr>
        <w:t xml:space="preserve">Barbieri, </w:t>
      </w:r>
      <w:r w:rsidR="00AE024A" w:rsidRPr="00DB3D57">
        <w:rPr>
          <w:bCs/>
        </w:rPr>
        <w:t xml:space="preserve">A.; </w:t>
      </w:r>
      <w:r w:rsidR="00732385" w:rsidRPr="00DB3D57">
        <w:rPr>
          <w:bCs/>
        </w:rPr>
        <w:t xml:space="preserve">Sabatini, </w:t>
      </w:r>
      <w:r w:rsidR="00AE024A" w:rsidRPr="00DB3D57">
        <w:rPr>
          <w:bCs/>
        </w:rPr>
        <w:t xml:space="preserve">C.; </w:t>
      </w:r>
      <w:r w:rsidR="00732385" w:rsidRPr="00DB3D57">
        <w:rPr>
          <w:bCs/>
        </w:rPr>
        <w:t>Ventura</w:t>
      </w:r>
      <w:r w:rsidR="00AE024A" w:rsidRPr="00DB3D57">
        <w:rPr>
          <w:bCs/>
        </w:rPr>
        <w:t>,</w:t>
      </w:r>
      <w:r w:rsidR="00732385" w:rsidRPr="00DB3D57">
        <w:rPr>
          <w:bCs/>
        </w:rPr>
        <w:t xml:space="preserve"> </w:t>
      </w:r>
      <w:r w:rsidR="00AE024A" w:rsidRPr="00DB3D57">
        <w:rPr>
          <w:bCs/>
        </w:rPr>
        <w:t xml:space="preserve">B.; </w:t>
      </w:r>
      <w:r w:rsidR="00732385" w:rsidRPr="00DB3D57">
        <w:rPr>
          <w:bCs/>
        </w:rPr>
        <w:t>Bar</w:t>
      </w:r>
      <w:r w:rsidR="00732385" w:rsidRPr="00DB3D57">
        <w:rPr>
          <w:bCs/>
        </w:rPr>
        <w:t>i</w:t>
      </w:r>
      <w:r w:rsidR="00732385" w:rsidRPr="00DB3D57">
        <w:rPr>
          <w:bCs/>
        </w:rPr>
        <w:t xml:space="preserve">gelletti, </w:t>
      </w:r>
      <w:r w:rsidR="00AE024A" w:rsidRPr="00DB3D57">
        <w:rPr>
          <w:bCs/>
        </w:rPr>
        <w:t xml:space="preserve">F. </w:t>
      </w:r>
      <w:r w:rsidR="00732385" w:rsidRPr="00DB3D57">
        <w:rPr>
          <w:bCs/>
          <w:i/>
        </w:rPr>
        <w:t>Top</w:t>
      </w:r>
      <w:r w:rsidR="00732385" w:rsidRPr="00DB3D57">
        <w:rPr>
          <w:bCs/>
        </w:rPr>
        <w:t xml:space="preserve">. </w:t>
      </w:r>
      <w:r w:rsidR="00732385" w:rsidRPr="00DB3D57">
        <w:rPr>
          <w:bCs/>
          <w:i/>
        </w:rPr>
        <w:t>Curr</w:t>
      </w:r>
      <w:r w:rsidR="00732385" w:rsidRPr="00DB3D57">
        <w:rPr>
          <w:bCs/>
        </w:rPr>
        <w:t xml:space="preserve">. </w:t>
      </w:r>
      <w:r w:rsidR="00732385" w:rsidRPr="00DB3D57">
        <w:rPr>
          <w:bCs/>
          <w:i/>
        </w:rPr>
        <w:t>Chem</w:t>
      </w:r>
      <w:r w:rsidR="00AE024A" w:rsidRPr="00DB3D57">
        <w:rPr>
          <w:bCs/>
        </w:rPr>
        <w:t>.</w:t>
      </w:r>
      <w:r w:rsidR="00732385" w:rsidRPr="00DB3D57">
        <w:rPr>
          <w:bCs/>
        </w:rPr>
        <w:t xml:space="preserve"> </w:t>
      </w:r>
      <w:r w:rsidR="00732385" w:rsidRPr="00DB3D57">
        <w:rPr>
          <w:b/>
          <w:bCs/>
        </w:rPr>
        <w:t>2007</w:t>
      </w:r>
      <w:r w:rsidR="00732385" w:rsidRPr="00DB3D57">
        <w:rPr>
          <w:bCs/>
        </w:rPr>
        <w:t xml:space="preserve">, </w:t>
      </w:r>
      <w:r w:rsidR="00732385" w:rsidRPr="00DB3D57">
        <w:rPr>
          <w:bCs/>
          <w:i/>
        </w:rPr>
        <w:t>281</w:t>
      </w:r>
      <w:r w:rsidR="00732385" w:rsidRPr="00DB3D57">
        <w:rPr>
          <w:bCs/>
        </w:rPr>
        <w:t>, 143.</w:t>
      </w:r>
    </w:p>
    <w:p w14:paraId="6C5EC2DA" w14:textId="0444160B" w:rsidR="00DF4AF4" w:rsidRPr="00DB3D57" w:rsidRDefault="00DF4AF4" w:rsidP="00DF4AF4">
      <w:pPr>
        <w:pStyle w:val="TFReferencesSection"/>
      </w:pPr>
      <w:r w:rsidRPr="00DB3D57">
        <w:t>(</w:t>
      </w:r>
      <w:r w:rsidR="00205144" w:rsidRPr="00DB3D57">
        <w:t>1</w:t>
      </w:r>
      <w:r w:rsidR="00F60687" w:rsidRPr="00DB3D57">
        <w:t>1</w:t>
      </w:r>
      <w:r w:rsidRPr="00DB3D57">
        <w:t xml:space="preserve">) Bernauer, K.; Englert, G.; Wetter, W.; Weiss, E. </w:t>
      </w:r>
      <w:r w:rsidRPr="00DB3D57">
        <w:rPr>
          <w:i/>
        </w:rPr>
        <w:t>Helv</w:t>
      </w:r>
      <w:r w:rsidRPr="00DB3D57">
        <w:t xml:space="preserve">. </w:t>
      </w:r>
      <w:r w:rsidRPr="00DB3D57">
        <w:rPr>
          <w:i/>
        </w:rPr>
        <w:t>Chim</w:t>
      </w:r>
      <w:r w:rsidRPr="00DB3D57">
        <w:t xml:space="preserve">. </w:t>
      </w:r>
      <w:r w:rsidRPr="00DB3D57">
        <w:rPr>
          <w:i/>
        </w:rPr>
        <w:t>Acta</w:t>
      </w:r>
      <w:r w:rsidRPr="00DB3D57">
        <w:t xml:space="preserve"> </w:t>
      </w:r>
      <w:r w:rsidRPr="00DB3D57">
        <w:rPr>
          <w:b/>
        </w:rPr>
        <w:t>1969</w:t>
      </w:r>
      <w:r w:rsidRPr="00DB3D57">
        <w:t>, 52, 1886.</w:t>
      </w:r>
    </w:p>
    <w:p w14:paraId="0A661824" w14:textId="17333AA9" w:rsidR="00DF4AF4" w:rsidRPr="00DB3D57" w:rsidRDefault="00DF4AF4" w:rsidP="00DF4AF4">
      <w:pPr>
        <w:pStyle w:val="TFReferencesSection"/>
      </w:pPr>
      <w:r w:rsidRPr="00DB3D57">
        <w:t>(</w:t>
      </w:r>
      <w:r w:rsidR="00205144" w:rsidRPr="00DB3D57">
        <w:t>1</w:t>
      </w:r>
      <w:r w:rsidR="00F60687" w:rsidRPr="00DB3D57">
        <w:t>2</w:t>
      </w:r>
      <w:r w:rsidRPr="00DB3D57">
        <w:t xml:space="preserve">) Ma, S.-S.; Mei, W.-L.; Guo, Z.-K.; Liu, S.-B.; Zhao, Y.-X.; Yang, D.-L.; Zeng, Y.-B.; Jiang, B.; Dai, H.-F. </w:t>
      </w:r>
      <w:r w:rsidRPr="00DB3D57">
        <w:rPr>
          <w:i/>
        </w:rPr>
        <w:t>Org</w:t>
      </w:r>
      <w:r w:rsidRPr="00DB3D57">
        <w:t xml:space="preserve">. </w:t>
      </w:r>
      <w:r w:rsidRPr="00DB3D57">
        <w:rPr>
          <w:i/>
        </w:rPr>
        <w:t>Lett</w:t>
      </w:r>
      <w:r w:rsidRPr="00DB3D57">
        <w:t xml:space="preserve">. </w:t>
      </w:r>
      <w:r w:rsidRPr="00DB3D57">
        <w:rPr>
          <w:b/>
        </w:rPr>
        <w:t>2003</w:t>
      </w:r>
      <w:r w:rsidRPr="00DB3D57">
        <w:t xml:space="preserve">, </w:t>
      </w:r>
      <w:r w:rsidRPr="00DB3D57">
        <w:rPr>
          <w:i/>
        </w:rPr>
        <w:t>15</w:t>
      </w:r>
      <w:r w:rsidRPr="00DB3D57">
        <w:t>, 1492.</w:t>
      </w:r>
    </w:p>
    <w:p w14:paraId="5FC38FCB" w14:textId="6BCD561B" w:rsidR="00DF4AF4" w:rsidRPr="00DB3D57" w:rsidRDefault="00DF4AF4" w:rsidP="00DF4AF4">
      <w:pPr>
        <w:pStyle w:val="TFReferencesSection"/>
      </w:pPr>
      <w:r w:rsidRPr="00DB3D57">
        <w:t>(</w:t>
      </w:r>
      <w:r w:rsidR="00205144" w:rsidRPr="00DB3D57">
        <w:t>1</w:t>
      </w:r>
      <w:r w:rsidR="00F60687" w:rsidRPr="00DB3D57">
        <w:t>3</w:t>
      </w:r>
      <w:r w:rsidRPr="00DB3D57">
        <w:t xml:space="preserve">) </w:t>
      </w:r>
      <w:r w:rsidR="008A55C8" w:rsidRPr="00DB3D57">
        <w:t>S</w:t>
      </w:r>
      <w:r w:rsidRPr="00DB3D57">
        <w:t>ee</w:t>
      </w:r>
      <w:r w:rsidR="008A55C8" w:rsidRPr="00DB3D57">
        <w:t>, for example</w:t>
      </w:r>
      <w:r w:rsidRPr="00DB3D57">
        <w:t xml:space="preserve">: Walsh, M. J.; Brimacombe, K. R.; Veith, H.; Bougie, J. M.; Daniel, T.; Leister, W.; Cantley, L. C.; Israelsen, W. J.; Vander Heiden, M. G.; Shen, M.; Auld, D. S.; Thomas, C. J.; Boxer, M. B. </w:t>
      </w:r>
      <w:r w:rsidRPr="00DB3D57">
        <w:rPr>
          <w:i/>
        </w:rPr>
        <w:t>Bioorg</w:t>
      </w:r>
      <w:r w:rsidRPr="00DB3D57">
        <w:t xml:space="preserve">. </w:t>
      </w:r>
      <w:r w:rsidRPr="00DB3D57">
        <w:rPr>
          <w:i/>
        </w:rPr>
        <w:t>Med</w:t>
      </w:r>
      <w:r w:rsidRPr="00DB3D57">
        <w:t xml:space="preserve">. </w:t>
      </w:r>
      <w:r w:rsidRPr="00DB3D57">
        <w:rPr>
          <w:i/>
        </w:rPr>
        <w:t>Chem</w:t>
      </w:r>
      <w:r w:rsidRPr="00DB3D57">
        <w:t xml:space="preserve">. </w:t>
      </w:r>
      <w:r w:rsidRPr="00DB3D57">
        <w:rPr>
          <w:i/>
        </w:rPr>
        <w:t>Lett</w:t>
      </w:r>
      <w:r w:rsidRPr="00DB3D57">
        <w:t xml:space="preserve">. </w:t>
      </w:r>
      <w:r w:rsidRPr="00DB3D57">
        <w:rPr>
          <w:b/>
        </w:rPr>
        <w:t>2011</w:t>
      </w:r>
      <w:r w:rsidRPr="00DB3D57">
        <w:t xml:space="preserve">, </w:t>
      </w:r>
      <w:r w:rsidRPr="00DB3D57">
        <w:rPr>
          <w:i/>
        </w:rPr>
        <w:t>21</w:t>
      </w:r>
      <w:r w:rsidR="00457E7C" w:rsidRPr="00DB3D57">
        <w:t>, 6322.</w:t>
      </w:r>
    </w:p>
    <w:p w14:paraId="1F33E907" w14:textId="453E904A" w:rsidR="00732385" w:rsidRPr="00DB3D57" w:rsidRDefault="007A246C" w:rsidP="00DF4AF4">
      <w:pPr>
        <w:pStyle w:val="TFReferencesSection"/>
      </w:pPr>
      <w:r w:rsidRPr="00DB3D57">
        <w:t>(</w:t>
      </w:r>
      <w:r w:rsidR="00205144" w:rsidRPr="00DB3D57">
        <w:t>1</w:t>
      </w:r>
      <w:r w:rsidR="00F60687" w:rsidRPr="00DB3D57">
        <w:t>4</w:t>
      </w:r>
      <w:r w:rsidRPr="00DB3D57">
        <w:t xml:space="preserve">) </w:t>
      </w:r>
      <w:r w:rsidR="00732385" w:rsidRPr="00DB3D57">
        <w:t xml:space="preserve">For </w:t>
      </w:r>
      <w:r w:rsidR="00BF76AE" w:rsidRPr="00DB3D57">
        <w:t xml:space="preserve">selected </w:t>
      </w:r>
      <w:r w:rsidR="00732385" w:rsidRPr="00DB3D57">
        <w:t>recent examples</w:t>
      </w:r>
      <w:r w:rsidR="003A297A" w:rsidRPr="00DB3D57">
        <w:t>,</w:t>
      </w:r>
      <w:r w:rsidR="00732385" w:rsidRPr="00DB3D57">
        <w:t xml:space="preserve"> see: (a) Clarke, </w:t>
      </w:r>
      <w:r w:rsidR="00AE024A" w:rsidRPr="00DB3D57">
        <w:t xml:space="preserve">A. K.; </w:t>
      </w:r>
      <w:r w:rsidR="00732385" w:rsidRPr="00DB3D57">
        <w:t xml:space="preserve">James, </w:t>
      </w:r>
      <w:r w:rsidR="00AE024A" w:rsidRPr="00DB3D57">
        <w:t xml:space="preserve">M. J.; </w:t>
      </w:r>
      <w:r w:rsidR="00732385" w:rsidRPr="00DB3D57">
        <w:t xml:space="preserve">O’Brien, </w:t>
      </w:r>
      <w:r w:rsidR="003C6F6A" w:rsidRPr="00DB3D57">
        <w:t xml:space="preserve">P.; </w:t>
      </w:r>
      <w:r w:rsidR="00732385" w:rsidRPr="00DB3D57">
        <w:t>Taylor</w:t>
      </w:r>
      <w:r w:rsidR="003C6F6A" w:rsidRPr="00DB3D57">
        <w:t>,</w:t>
      </w:r>
      <w:r w:rsidR="00732385" w:rsidRPr="00DB3D57">
        <w:t xml:space="preserve"> </w:t>
      </w:r>
      <w:r w:rsidR="003C6F6A" w:rsidRPr="00DB3D57">
        <w:t xml:space="preserve">R. J. K.; </w:t>
      </w:r>
      <w:r w:rsidR="00732385" w:rsidRPr="00DB3D57">
        <w:t xml:space="preserve">Unsworth, </w:t>
      </w:r>
      <w:r w:rsidR="003C6F6A" w:rsidRPr="00DB3D57">
        <w:t xml:space="preserve">W. P. </w:t>
      </w:r>
      <w:r w:rsidR="00732385" w:rsidRPr="00DB3D57">
        <w:rPr>
          <w:i/>
        </w:rPr>
        <w:t>Angew</w:t>
      </w:r>
      <w:r w:rsidR="00732385" w:rsidRPr="00DB3D57">
        <w:t xml:space="preserve">. </w:t>
      </w:r>
      <w:r w:rsidR="00732385" w:rsidRPr="00DB3D57">
        <w:rPr>
          <w:i/>
        </w:rPr>
        <w:t>Chem</w:t>
      </w:r>
      <w:r w:rsidR="00732385" w:rsidRPr="00DB3D57">
        <w:t xml:space="preserve">., </w:t>
      </w:r>
      <w:r w:rsidR="00732385" w:rsidRPr="00DB3D57">
        <w:rPr>
          <w:i/>
        </w:rPr>
        <w:t>Int</w:t>
      </w:r>
      <w:r w:rsidR="00732385" w:rsidRPr="00DB3D57">
        <w:t xml:space="preserve">. </w:t>
      </w:r>
      <w:r w:rsidR="00732385" w:rsidRPr="00DB3D57">
        <w:rPr>
          <w:i/>
        </w:rPr>
        <w:t>Ed</w:t>
      </w:r>
      <w:r w:rsidR="003C6F6A" w:rsidRPr="00DB3D57">
        <w:t>.</w:t>
      </w:r>
      <w:r w:rsidR="00732385" w:rsidRPr="00DB3D57">
        <w:t xml:space="preserve"> </w:t>
      </w:r>
      <w:r w:rsidR="00732385" w:rsidRPr="00DB3D57">
        <w:rPr>
          <w:b/>
        </w:rPr>
        <w:t>2016</w:t>
      </w:r>
      <w:r w:rsidR="00732385" w:rsidRPr="00DB3D57">
        <w:t xml:space="preserve">, </w:t>
      </w:r>
      <w:r w:rsidR="00732385" w:rsidRPr="00DB3D57">
        <w:rPr>
          <w:i/>
        </w:rPr>
        <w:t>55</w:t>
      </w:r>
      <w:r w:rsidR="00732385" w:rsidRPr="00DB3D57">
        <w:t xml:space="preserve">, 13798; (b) Chambers, </w:t>
      </w:r>
      <w:r w:rsidR="003C6F6A" w:rsidRPr="00DB3D57">
        <w:t xml:space="preserve">S. J.; </w:t>
      </w:r>
      <w:r w:rsidR="00732385" w:rsidRPr="00DB3D57">
        <w:t xml:space="preserve">Coulthard, </w:t>
      </w:r>
      <w:r w:rsidR="003C6F6A" w:rsidRPr="00DB3D57">
        <w:t xml:space="preserve">G.; </w:t>
      </w:r>
      <w:r w:rsidR="00732385" w:rsidRPr="00DB3D57">
        <w:t>U</w:t>
      </w:r>
      <w:r w:rsidR="00732385" w:rsidRPr="00DB3D57">
        <w:t>n</w:t>
      </w:r>
      <w:r w:rsidR="00732385" w:rsidRPr="00DB3D57">
        <w:t xml:space="preserve">sworth, </w:t>
      </w:r>
      <w:r w:rsidR="003C6F6A" w:rsidRPr="00DB3D57">
        <w:t xml:space="preserve">W. P.; </w:t>
      </w:r>
      <w:r w:rsidR="00732385" w:rsidRPr="00DB3D57">
        <w:t>O’Brien</w:t>
      </w:r>
      <w:r w:rsidR="003C6F6A" w:rsidRPr="00DB3D57">
        <w:t>,</w:t>
      </w:r>
      <w:r w:rsidR="00732385" w:rsidRPr="00DB3D57">
        <w:t xml:space="preserve"> </w:t>
      </w:r>
      <w:r w:rsidR="003C6F6A" w:rsidRPr="00DB3D57">
        <w:t>P.;</w:t>
      </w:r>
      <w:r w:rsidR="00732385" w:rsidRPr="00DB3D57">
        <w:t xml:space="preserve"> Taylor, </w:t>
      </w:r>
      <w:r w:rsidR="003C6F6A" w:rsidRPr="00DB3D57">
        <w:t xml:space="preserve">R. J. K. </w:t>
      </w:r>
      <w:r w:rsidR="00732385" w:rsidRPr="00DB3D57">
        <w:rPr>
          <w:i/>
        </w:rPr>
        <w:t>Chem</w:t>
      </w:r>
      <w:r w:rsidR="00732385" w:rsidRPr="00DB3D57">
        <w:t xml:space="preserve">. </w:t>
      </w:r>
      <w:r w:rsidR="00732385" w:rsidRPr="00DB3D57">
        <w:rPr>
          <w:i/>
        </w:rPr>
        <w:t>Eur</w:t>
      </w:r>
      <w:r w:rsidR="00732385" w:rsidRPr="00DB3D57">
        <w:t xml:space="preserve">. </w:t>
      </w:r>
      <w:r w:rsidR="00732385" w:rsidRPr="00DB3D57">
        <w:rPr>
          <w:i/>
        </w:rPr>
        <w:t>J</w:t>
      </w:r>
      <w:r w:rsidR="00732385" w:rsidRPr="00DB3D57">
        <w:t xml:space="preserve">. </w:t>
      </w:r>
      <w:r w:rsidR="00732385" w:rsidRPr="00DB3D57">
        <w:rPr>
          <w:b/>
        </w:rPr>
        <w:t>2016</w:t>
      </w:r>
      <w:r w:rsidR="00732385" w:rsidRPr="00DB3D57">
        <w:t xml:space="preserve">, </w:t>
      </w:r>
      <w:r w:rsidR="00732385" w:rsidRPr="00DB3D57">
        <w:rPr>
          <w:i/>
        </w:rPr>
        <w:t>22</w:t>
      </w:r>
      <w:r w:rsidR="00732385" w:rsidRPr="00DB3D57">
        <w:t xml:space="preserve">, 6496; (c) Liddon, </w:t>
      </w:r>
      <w:r w:rsidR="003C6F6A" w:rsidRPr="00DB3D57">
        <w:t xml:space="preserve">J. T. R.; </w:t>
      </w:r>
      <w:r w:rsidR="00732385" w:rsidRPr="00DB3D57">
        <w:t xml:space="preserve">James, </w:t>
      </w:r>
      <w:r w:rsidR="003C6F6A" w:rsidRPr="00DB3D57">
        <w:t xml:space="preserve">M. J.; </w:t>
      </w:r>
      <w:r w:rsidR="00732385" w:rsidRPr="00DB3D57">
        <w:t xml:space="preserve">Clarke, </w:t>
      </w:r>
      <w:r w:rsidR="003C6F6A" w:rsidRPr="00DB3D57">
        <w:t xml:space="preserve">A. K.; </w:t>
      </w:r>
      <w:r w:rsidR="00732385" w:rsidRPr="00DB3D57">
        <w:t xml:space="preserve">O’Brien, </w:t>
      </w:r>
      <w:r w:rsidR="003C6F6A" w:rsidRPr="00DB3D57">
        <w:t xml:space="preserve">P.; </w:t>
      </w:r>
      <w:r w:rsidR="00732385" w:rsidRPr="00DB3D57">
        <w:t>Taylor</w:t>
      </w:r>
      <w:r w:rsidR="003C6F6A" w:rsidRPr="00DB3D57">
        <w:t>,</w:t>
      </w:r>
      <w:r w:rsidR="00732385" w:rsidRPr="00DB3D57">
        <w:t xml:space="preserve"> </w:t>
      </w:r>
      <w:r w:rsidR="003C6F6A" w:rsidRPr="00DB3D57">
        <w:t>R. J. K.;</w:t>
      </w:r>
      <w:r w:rsidR="00732385" w:rsidRPr="00DB3D57">
        <w:t xml:space="preserve"> Unsworth, </w:t>
      </w:r>
      <w:r w:rsidR="003C6F6A" w:rsidRPr="00DB3D57">
        <w:t xml:space="preserve">W. P. </w:t>
      </w:r>
      <w:r w:rsidR="00732385" w:rsidRPr="00DB3D57">
        <w:rPr>
          <w:i/>
        </w:rPr>
        <w:t>Chem</w:t>
      </w:r>
      <w:r w:rsidR="00732385" w:rsidRPr="00DB3D57">
        <w:t xml:space="preserve">. </w:t>
      </w:r>
      <w:r w:rsidR="00732385" w:rsidRPr="00DB3D57">
        <w:rPr>
          <w:i/>
        </w:rPr>
        <w:t>Eur</w:t>
      </w:r>
      <w:r w:rsidR="00732385" w:rsidRPr="00DB3D57">
        <w:t xml:space="preserve">. </w:t>
      </w:r>
      <w:r w:rsidR="00732385" w:rsidRPr="00DB3D57">
        <w:rPr>
          <w:i/>
        </w:rPr>
        <w:t>J</w:t>
      </w:r>
      <w:r w:rsidR="003C6F6A" w:rsidRPr="00DB3D57">
        <w:t>.</w:t>
      </w:r>
      <w:r w:rsidR="00732385" w:rsidRPr="00DB3D57">
        <w:t xml:space="preserve"> </w:t>
      </w:r>
      <w:r w:rsidR="00732385" w:rsidRPr="00DB3D57">
        <w:rPr>
          <w:b/>
        </w:rPr>
        <w:t>2016</w:t>
      </w:r>
      <w:r w:rsidR="00732385" w:rsidRPr="00DB3D57">
        <w:t xml:space="preserve">, </w:t>
      </w:r>
      <w:r w:rsidR="00732385" w:rsidRPr="00DB3D57">
        <w:rPr>
          <w:i/>
        </w:rPr>
        <w:t>22</w:t>
      </w:r>
      <w:r w:rsidR="00732385" w:rsidRPr="00DB3D57">
        <w:t xml:space="preserve">, 8777; (d) James, </w:t>
      </w:r>
      <w:r w:rsidR="003C6F6A" w:rsidRPr="00DB3D57">
        <w:t xml:space="preserve">M. J.; </w:t>
      </w:r>
      <w:r w:rsidR="00732385" w:rsidRPr="00DB3D57">
        <w:t xml:space="preserve">Cuthbertson, </w:t>
      </w:r>
      <w:r w:rsidR="003C6F6A" w:rsidRPr="00DB3D57">
        <w:t xml:space="preserve">J. D.; </w:t>
      </w:r>
      <w:r w:rsidR="00732385" w:rsidRPr="00DB3D57">
        <w:t xml:space="preserve">O’Brien, </w:t>
      </w:r>
      <w:r w:rsidR="003C6F6A" w:rsidRPr="00DB3D57">
        <w:t xml:space="preserve">P.; </w:t>
      </w:r>
      <w:r w:rsidR="00732385" w:rsidRPr="00DB3D57">
        <w:t>Taylor</w:t>
      </w:r>
      <w:r w:rsidR="003C6F6A" w:rsidRPr="00DB3D57">
        <w:t>,</w:t>
      </w:r>
      <w:r w:rsidR="00732385" w:rsidRPr="00DB3D57">
        <w:t xml:space="preserve"> </w:t>
      </w:r>
      <w:r w:rsidR="003C6F6A" w:rsidRPr="00DB3D57">
        <w:t xml:space="preserve">R. J. K.; </w:t>
      </w:r>
      <w:r w:rsidR="00732385" w:rsidRPr="00DB3D57">
        <w:t>U</w:t>
      </w:r>
      <w:r w:rsidR="00732385" w:rsidRPr="00DB3D57">
        <w:t>n</w:t>
      </w:r>
      <w:r w:rsidR="00732385" w:rsidRPr="00DB3D57">
        <w:t xml:space="preserve">sworth, </w:t>
      </w:r>
      <w:r w:rsidR="003C6F6A" w:rsidRPr="00DB3D57">
        <w:t xml:space="preserve">W. P. </w:t>
      </w:r>
      <w:r w:rsidR="00732385" w:rsidRPr="00DB3D57">
        <w:rPr>
          <w:i/>
        </w:rPr>
        <w:t>Angew</w:t>
      </w:r>
      <w:r w:rsidR="00732385" w:rsidRPr="00DB3D57">
        <w:t xml:space="preserve">. </w:t>
      </w:r>
      <w:r w:rsidR="00732385" w:rsidRPr="00DB3D57">
        <w:rPr>
          <w:i/>
        </w:rPr>
        <w:t>Chem</w:t>
      </w:r>
      <w:r w:rsidR="00732385" w:rsidRPr="00DB3D57">
        <w:t xml:space="preserve">., </w:t>
      </w:r>
      <w:r w:rsidR="00732385" w:rsidRPr="00DB3D57">
        <w:rPr>
          <w:i/>
        </w:rPr>
        <w:t>Int</w:t>
      </w:r>
      <w:r w:rsidR="00732385" w:rsidRPr="00DB3D57">
        <w:t xml:space="preserve">. </w:t>
      </w:r>
      <w:r w:rsidR="00732385" w:rsidRPr="00DB3D57">
        <w:rPr>
          <w:i/>
        </w:rPr>
        <w:t>Ed</w:t>
      </w:r>
      <w:r w:rsidR="003C6F6A" w:rsidRPr="00DB3D57">
        <w:t>.</w:t>
      </w:r>
      <w:r w:rsidR="00732385" w:rsidRPr="00DB3D57">
        <w:t xml:space="preserve"> </w:t>
      </w:r>
      <w:r w:rsidR="00732385" w:rsidRPr="00DB3D57">
        <w:rPr>
          <w:b/>
        </w:rPr>
        <w:t>2015</w:t>
      </w:r>
      <w:r w:rsidR="00732385" w:rsidRPr="00DB3D57">
        <w:t xml:space="preserve">, </w:t>
      </w:r>
      <w:r w:rsidR="00732385" w:rsidRPr="00DB3D57">
        <w:rPr>
          <w:i/>
        </w:rPr>
        <w:t>54</w:t>
      </w:r>
      <w:r w:rsidR="00732385" w:rsidRPr="00DB3D57">
        <w:t>, 7640.</w:t>
      </w:r>
    </w:p>
    <w:p w14:paraId="257F73C8" w14:textId="5C445A06" w:rsidR="00732385" w:rsidRPr="00DB3D57" w:rsidRDefault="007A246C" w:rsidP="00732385">
      <w:pPr>
        <w:pStyle w:val="TFReferencesSection"/>
      </w:pPr>
      <w:r w:rsidRPr="00DB3D57">
        <w:t>(</w:t>
      </w:r>
      <w:r w:rsidR="00205144" w:rsidRPr="00DB3D57">
        <w:t>1</w:t>
      </w:r>
      <w:r w:rsidR="00F60687" w:rsidRPr="00DB3D57">
        <w:t>5</w:t>
      </w:r>
      <w:r w:rsidRPr="00DB3D57">
        <w:t xml:space="preserve">) </w:t>
      </w:r>
      <w:r w:rsidR="00732385" w:rsidRPr="00DB3D57">
        <w:t xml:space="preserve">For </w:t>
      </w:r>
      <w:r w:rsidR="00F67CEB" w:rsidRPr="00DB3D57">
        <w:t xml:space="preserve">selected </w:t>
      </w:r>
      <w:r w:rsidR="00732385" w:rsidRPr="00DB3D57">
        <w:t xml:space="preserve">recent examples </w:t>
      </w:r>
      <w:r w:rsidR="00CB7474" w:rsidRPr="00DB3D57">
        <w:t>of</w:t>
      </w:r>
      <w:r w:rsidR="00A15F60" w:rsidRPr="00DB3D57">
        <w:t xml:space="preserve"> radical cycliz</w:t>
      </w:r>
      <w:r w:rsidR="00732385" w:rsidRPr="00DB3D57">
        <w:t>ation</w:t>
      </w:r>
      <w:r w:rsidR="003A297A" w:rsidRPr="00DB3D57">
        <w:t>,</w:t>
      </w:r>
      <w:r w:rsidR="00732385" w:rsidRPr="00DB3D57">
        <w:t xml:space="preserve"> see: (a) </w:t>
      </w:r>
      <w:r w:rsidR="00732385" w:rsidRPr="00DB3D57">
        <w:rPr>
          <w:rFonts w:cs="Verdana"/>
          <w:color w:val="161616"/>
        </w:rPr>
        <w:t xml:space="preserve">Drouhin, </w:t>
      </w:r>
      <w:r w:rsidR="003C6F6A" w:rsidRPr="00DB3D57">
        <w:rPr>
          <w:rFonts w:cs="Verdana"/>
          <w:color w:val="161616"/>
        </w:rPr>
        <w:t xml:space="preserve">P.; </w:t>
      </w:r>
      <w:r w:rsidR="00732385" w:rsidRPr="00DB3D57">
        <w:rPr>
          <w:rFonts w:cs="Verdana"/>
          <w:color w:val="161616"/>
        </w:rPr>
        <w:t xml:space="preserve">Hurst, </w:t>
      </w:r>
      <w:r w:rsidR="003C6F6A" w:rsidRPr="00DB3D57">
        <w:rPr>
          <w:rFonts w:cs="Verdana"/>
          <w:color w:val="161616"/>
        </w:rPr>
        <w:t xml:space="preserve">T. E.; </w:t>
      </w:r>
      <w:r w:rsidR="00732385" w:rsidRPr="00DB3D57">
        <w:rPr>
          <w:rFonts w:cs="Verdana"/>
          <w:color w:val="161616"/>
        </w:rPr>
        <w:t>Whitwood</w:t>
      </w:r>
      <w:r w:rsidR="003C6F6A" w:rsidRPr="00DB3D57">
        <w:rPr>
          <w:rFonts w:cs="Verdana"/>
          <w:color w:val="161616"/>
        </w:rPr>
        <w:t>,</w:t>
      </w:r>
      <w:r w:rsidR="00732385" w:rsidRPr="00DB3D57">
        <w:rPr>
          <w:rFonts w:cs="Verdana"/>
          <w:color w:val="161616"/>
        </w:rPr>
        <w:t xml:space="preserve"> </w:t>
      </w:r>
      <w:r w:rsidR="003C6F6A" w:rsidRPr="00DB3D57">
        <w:rPr>
          <w:rFonts w:cs="Verdana"/>
          <w:color w:val="161616"/>
        </w:rPr>
        <w:t xml:space="preserve">A. C.; </w:t>
      </w:r>
      <w:r w:rsidR="00732385" w:rsidRPr="00DB3D57">
        <w:rPr>
          <w:rFonts w:cs="Verdana"/>
          <w:color w:val="161616"/>
        </w:rPr>
        <w:t xml:space="preserve">Taylor, </w:t>
      </w:r>
      <w:r w:rsidR="003C6F6A" w:rsidRPr="00DB3D57">
        <w:rPr>
          <w:rFonts w:cs="Verdana"/>
          <w:color w:val="161616"/>
        </w:rPr>
        <w:t xml:space="preserve">R. J. K.; </w:t>
      </w:r>
      <w:r w:rsidR="00732385" w:rsidRPr="00DB3D57">
        <w:rPr>
          <w:rFonts w:cs="Verdana"/>
          <w:i/>
          <w:iCs/>
          <w:color w:val="161616"/>
        </w:rPr>
        <w:t>Tetr</w:t>
      </w:r>
      <w:r w:rsidR="00732385" w:rsidRPr="00DB3D57">
        <w:rPr>
          <w:rFonts w:cs="Verdana"/>
          <w:i/>
          <w:iCs/>
          <w:color w:val="161616"/>
        </w:rPr>
        <w:t>a</w:t>
      </w:r>
      <w:r w:rsidR="00732385" w:rsidRPr="00DB3D57">
        <w:rPr>
          <w:rFonts w:cs="Verdana"/>
          <w:i/>
          <w:iCs/>
          <w:color w:val="161616"/>
        </w:rPr>
        <w:t>hedron</w:t>
      </w:r>
      <w:r w:rsidR="00732385" w:rsidRPr="00DB3D57">
        <w:rPr>
          <w:rFonts w:cs="Verdana"/>
          <w:color w:val="161616"/>
        </w:rPr>
        <w:t xml:space="preserve">, </w:t>
      </w:r>
      <w:r w:rsidR="00732385" w:rsidRPr="00DB3D57">
        <w:rPr>
          <w:rFonts w:cs="Verdana"/>
          <w:b/>
          <w:color w:val="161616"/>
        </w:rPr>
        <w:t>2015</w:t>
      </w:r>
      <w:r w:rsidR="00732385" w:rsidRPr="00DB3D57">
        <w:rPr>
          <w:rFonts w:cs="Verdana"/>
          <w:color w:val="161616"/>
        </w:rPr>
        <w:t xml:space="preserve">, </w:t>
      </w:r>
      <w:r w:rsidR="00732385" w:rsidRPr="00DB3D57">
        <w:rPr>
          <w:rFonts w:cs="Verdana"/>
          <w:bCs/>
          <w:i/>
          <w:color w:val="161616"/>
        </w:rPr>
        <w:t>71</w:t>
      </w:r>
      <w:r w:rsidR="00732385" w:rsidRPr="00DB3D57">
        <w:rPr>
          <w:rFonts w:cs="Verdana"/>
          <w:color w:val="161616"/>
        </w:rPr>
        <w:t xml:space="preserve">, 7124; (b) </w:t>
      </w:r>
      <w:r w:rsidR="00732385" w:rsidRPr="00DB3D57">
        <w:t>Drouhin</w:t>
      </w:r>
      <w:r w:rsidR="003C6F6A" w:rsidRPr="00DB3D57">
        <w:t>,</w:t>
      </w:r>
      <w:r w:rsidR="00732385" w:rsidRPr="00DB3D57">
        <w:t xml:space="preserve"> </w:t>
      </w:r>
      <w:r w:rsidR="003C6F6A" w:rsidRPr="00DB3D57">
        <w:t xml:space="preserve">P.; </w:t>
      </w:r>
      <w:r w:rsidR="00732385" w:rsidRPr="00DB3D57">
        <w:t xml:space="preserve">Taylor, </w:t>
      </w:r>
      <w:r w:rsidR="003C6F6A" w:rsidRPr="00DB3D57">
        <w:t xml:space="preserve">R. J. K.; </w:t>
      </w:r>
      <w:r w:rsidR="00732385" w:rsidRPr="00DB3D57">
        <w:rPr>
          <w:i/>
        </w:rPr>
        <w:t>Eur</w:t>
      </w:r>
      <w:r w:rsidR="00732385" w:rsidRPr="00DB3D57">
        <w:t xml:space="preserve">. </w:t>
      </w:r>
      <w:r w:rsidR="00732385" w:rsidRPr="00DB3D57">
        <w:rPr>
          <w:i/>
        </w:rPr>
        <w:t>J</w:t>
      </w:r>
      <w:r w:rsidR="00732385" w:rsidRPr="00DB3D57">
        <w:t xml:space="preserve">. </w:t>
      </w:r>
      <w:r w:rsidR="00732385" w:rsidRPr="00DB3D57">
        <w:rPr>
          <w:i/>
        </w:rPr>
        <w:t>Org</w:t>
      </w:r>
      <w:r w:rsidR="00732385" w:rsidRPr="00DB3D57">
        <w:t xml:space="preserve">. </w:t>
      </w:r>
      <w:r w:rsidR="00732385" w:rsidRPr="00DB3D57">
        <w:rPr>
          <w:i/>
        </w:rPr>
        <w:t>Chem</w:t>
      </w:r>
      <w:r w:rsidR="003C6F6A" w:rsidRPr="00DB3D57">
        <w:t>.</w:t>
      </w:r>
      <w:r w:rsidR="00732385" w:rsidRPr="00DB3D57">
        <w:t xml:space="preserve"> </w:t>
      </w:r>
      <w:r w:rsidR="00732385" w:rsidRPr="00DB3D57">
        <w:rPr>
          <w:b/>
        </w:rPr>
        <w:t>2015</w:t>
      </w:r>
      <w:r w:rsidR="00732385" w:rsidRPr="00DB3D57">
        <w:t>, 2333; (</w:t>
      </w:r>
      <w:r w:rsidR="00F67CEB" w:rsidRPr="00DB3D57">
        <w:t>c</w:t>
      </w:r>
      <w:r w:rsidR="00732385" w:rsidRPr="00DB3D57">
        <w:t xml:space="preserve">) Hurst, </w:t>
      </w:r>
      <w:r w:rsidR="003C6F6A" w:rsidRPr="00DB3D57">
        <w:t xml:space="preserve">T. E.; </w:t>
      </w:r>
      <w:r w:rsidR="00732385" w:rsidRPr="00DB3D57">
        <w:t xml:space="preserve">Gorman, </w:t>
      </w:r>
      <w:r w:rsidR="003C6F6A" w:rsidRPr="00DB3D57">
        <w:t xml:space="preserve">R. M.; </w:t>
      </w:r>
      <w:r w:rsidR="00732385" w:rsidRPr="00DB3D57">
        <w:t xml:space="preserve">Drouhin, </w:t>
      </w:r>
      <w:r w:rsidR="003C6F6A" w:rsidRPr="00DB3D57">
        <w:t xml:space="preserve">P.; </w:t>
      </w:r>
      <w:r w:rsidR="00732385" w:rsidRPr="00DB3D57">
        <w:t>Perry</w:t>
      </w:r>
      <w:r w:rsidR="003C6F6A" w:rsidRPr="00DB3D57">
        <w:t>,</w:t>
      </w:r>
      <w:r w:rsidR="00732385" w:rsidRPr="00DB3D57">
        <w:t xml:space="preserve"> </w:t>
      </w:r>
      <w:r w:rsidR="003C6F6A" w:rsidRPr="00DB3D57">
        <w:t xml:space="preserve">A.; </w:t>
      </w:r>
      <w:r w:rsidR="00732385" w:rsidRPr="00DB3D57">
        <w:t xml:space="preserve">Taylor, </w:t>
      </w:r>
      <w:r w:rsidR="003C6F6A" w:rsidRPr="00DB3D57">
        <w:t xml:space="preserve">R. J. K. </w:t>
      </w:r>
      <w:r w:rsidR="00732385" w:rsidRPr="00DB3D57">
        <w:rPr>
          <w:i/>
        </w:rPr>
        <w:t>Chem</w:t>
      </w:r>
      <w:r w:rsidR="00732385" w:rsidRPr="00DB3D57">
        <w:t xml:space="preserve">. </w:t>
      </w:r>
      <w:r w:rsidR="00732385" w:rsidRPr="00DB3D57">
        <w:rPr>
          <w:i/>
        </w:rPr>
        <w:t>Eur</w:t>
      </w:r>
      <w:r w:rsidR="00732385" w:rsidRPr="00DB3D57">
        <w:t xml:space="preserve">. </w:t>
      </w:r>
      <w:r w:rsidR="00732385" w:rsidRPr="00DB3D57">
        <w:rPr>
          <w:i/>
        </w:rPr>
        <w:t>J</w:t>
      </w:r>
      <w:r w:rsidR="0027170D" w:rsidRPr="00DB3D57">
        <w:t>.</w:t>
      </w:r>
      <w:r w:rsidR="00732385" w:rsidRPr="00DB3D57">
        <w:t xml:space="preserve"> </w:t>
      </w:r>
      <w:r w:rsidR="00732385" w:rsidRPr="00DB3D57">
        <w:rPr>
          <w:b/>
        </w:rPr>
        <w:t>2014</w:t>
      </w:r>
      <w:r w:rsidR="00732385" w:rsidRPr="00DB3D57">
        <w:t xml:space="preserve">, </w:t>
      </w:r>
      <w:r w:rsidR="00732385" w:rsidRPr="00DB3D57">
        <w:rPr>
          <w:i/>
        </w:rPr>
        <w:t>20</w:t>
      </w:r>
      <w:r w:rsidR="00732385" w:rsidRPr="00DB3D57">
        <w:t>, 14063.</w:t>
      </w:r>
    </w:p>
    <w:p w14:paraId="37881AC8" w14:textId="446A4948" w:rsidR="00675B60" w:rsidRPr="00DB3D57" w:rsidRDefault="007A246C" w:rsidP="00675B60">
      <w:pPr>
        <w:pStyle w:val="TFReferencesSection"/>
      </w:pPr>
      <w:r w:rsidRPr="00DB3D57">
        <w:t>(</w:t>
      </w:r>
      <w:r w:rsidR="00205144" w:rsidRPr="00DB3D57">
        <w:t>1</w:t>
      </w:r>
      <w:r w:rsidR="00F60687" w:rsidRPr="00DB3D57">
        <w:t>6</w:t>
      </w:r>
      <w:r w:rsidRPr="00DB3D57">
        <w:t xml:space="preserve">) </w:t>
      </w:r>
      <w:r w:rsidR="00732385" w:rsidRPr="00DB3D57">
        <w:t xml:space="preserve">Lackner, </w:t>
      </w:r>
      <w:r w:rsidR="0027170D" w:rsidRPr="00DB3D57">
        <w:t xml:space="preserve">G. L.; </w:t>
      </w:r>
      <w:r w:rsidR="00732385" w:rsidRPr="00DB3D57">
        <w:t>Quasdorf</w:t>
      </w:r>
      <w:r w:rsidR="0027170D" w:rsidRPr="00DB3D57">
        <w:t>,</w:t>
      </w:r>
      <w:r w:rsidR="00732385" w:rsidRPr="00DB3D57">
        <w:t xml:space="preserve"> </w:t>
      </w:r>
      <w:r w:rsidR="0027170D" w:rsidRPr="00DB3D57">
        <w:t xml:space="preserve">K. W.; </w:t>
      </w:r>
      <w:r w:rsidR="00732385" w:rsidRPr="00DB3D57">
        <w:t xml:space="preserve">Overman, </w:t>
      </w:r>
      <w:r w:rsidR="0027170D" w:rsidRPr="00DB3D57">
        <w:t xml:space="preserve">L. E.; </w:t>
      </w:r>
      <w:r w:rsidR="00732385" w:rsidRPr="00DB3D57">
        <w:rPr>
          <w:i/>
        </w:rPr>
        <w:t>J</w:t>
      </w:r>
      <w:r w:rsidR="00732385" w:rsidRPr="00DB3D57">
        <w:t xml:space="preserve">. </w:t>
      </w:r>
      <w:r w:rsidR="00732385" w:rsidRPr="00DB3D57">
        <w:rPr>
          <w:i/>
        </w:rPr>
        <w:t>Am</w:t>
      </w:r>
      <w:r w:rsidR="00732385" w:rsidRPr="00DB3D57">
        <w:t xml:space="preserve">. </w:t>
      </w:r>
      <w:r w:rsidR="00732385" w:rsidRPr="00DB3D57">
        <w:rPr>
          <w:i/>
        </w:rPr>
        <w:t>Chem</w:t>
      </w:r>
      <w:r w:rsidR="00732385" w:rsidRPr="00DB3D57">
        <w:t xml:space="preserve">. </w:t>
      </w:r>
      <w:r w:rsidR="00732385" w:rsidRPr="00DB3D57">
        <w:rPr>
          <w:i/>
        </w:rPr>
        <w:t>Soc</w:t>
      </w:r>
      <w:r w:rsidR="0027170D" w:rsidRPr="00DB3D57">
        <w:t>.</w:t>
      </w:r>
      <w:r w:rsidR="00732385" w:rsidRPr="00DB3D57">
        <w:t xml:space="preserve"> </w:t>
      </w:r>
      <w:r w:rsidR="00732385" w:rsidRPr="00DB3D57">
        <w:rPr>
          <w:b/>
        </w:rPr>
        <w:t>2013</w:t>
      </w:r>
      <w:r w:rsidR="00732385" w:rsidRPr="00DB3D57">
        <w:t xml:space="preserve">, </w:t>
      </w:r>
      <w:r w:rsidR="00732385" w:rsidRPr="00DB3D57">
        <w:rPr>
          <w:i/>
        </w:rPr>
        <w:t>135</w:t>
      </w:r>
      <w:r w:rsidR="00732385" w:rsidRPr="00DB3D57">
        <w:t>, 15342.</w:t>
      </w:r>
    </w:p>
    <w:p w14:paraId="66587DB1" w14:textId="5C366A51" w:rsidR="00FB4F94" w:rsidRPr="00DB3D57" w:rsidRDefault="00675B60" w:rsidP="00FB4F94">
      <w:pPr>
        <w:pStyle w:val="TFReferencesSection"/>
      </w:pPr>
      <w:r w:rsidRPr="00DB3D57">
        <w:t>(1</w:t>
      </w:r>
      <w:r w:rsidR="00F60687" w:rsidRPr="00DB3D57">
        <w:t>7</w:t>
      </w:r>
      <w:r w:rsidRPr="00DB3D57">
        <w:t>)</w:t>
      </w:r>
      <w:r w:rsidR="00FB4F94" w:rsidRPr="00DB3D57">
        <w:t xml:space="preserve"> </w:t>
      </w:r>
      <w:r w:rsidR="00383303" w:rsidRPr="00DB3D57">
        <w:t>Butyl vinyl ether did not provide detectable levels of 3,4-dihydroquinolin-2-one formation; this was expected given the ele</w:t>
      </w:r>
      <w:r w:rsidR="00383303" w:rsidRPr="00DB3D57">
        <w:t>c</w:t>
      </w:r>
      <w:r w:rsidR="00383303" w:rsidRPr="00DB3D57">
        <w:t>tron-rich nature of the olefin and the nucleophilic character of ca</w:t>
      </w:r>
      <w:r w:rsidR="00383303" w:rsidRPr="00DB3D57">
        <w:t>r</w:t>
      </w:r>
      <w:r w:rsidR="00383303" w:rsidRPr="00DB3D57">
        <w:t>bamoyl radicals; see reference 4b and references cited therein. Sim</w:t>
      </w:r>
      <w:r w:rsidR="00383303" w:rsidRPr="00DB3D57">
        <w:t>i</w:t>
      </w:r>
      <w:r w:rsidR="00383303" w:rsidRPr="00DB3D57">
        <w:t>lar reactivity was observed by Overman for related methoxycarbo</w:t>
      </w:r>
      <w:r w:rsidR="00383303" w:rsidRPr="00DB3D57">
        <w:t>n</w:t>
      </w:r>
      <w:r w:rsidR="00383303" w:rsidRPr="00DB3D57">
        <w:t>yl radicals; see reference 8.</w:t>
      </w:r>
    </w:p>
    <w:p w14:paraId="175BEABB" w14:textId="11EDE5E5" w:rsidR="001E50D9" w:rsidRDefault="00675B60" w:rsidP="001E50D9">
      <w:pPr>
        <w:pStyle w:val="TFReferencesSection"/>
        <w:rPr>
          <w:lang w:val="en-GB"/>
        </w:rPr>
      </w:pPr>
      <w:r w:rsidRPr="00DB3D57">
        <w:t>(1</w:t>
      </w:r>
      <w:r w:rsidR="00F60687" w:rsidRPr="00DB3D57">
        <w:t>8</w:t>
      </w:r>
      <w:r w:rsidRPr="00DB3D57">
        <w:t>)</w:t>
      </w:r>
      <w:r w:rsidR="00FB4F94" w:rsidRPr="00DB3D57">
        <w:t xml:space="preserve"> </w:t>
      </w:r>
      <w:r w:rsidR="00FB4F94" w:rsidRPr="00DB3D57">
        <w:rPr>
          <w:lang w:val="en-GB"/>
        </w:rPr>
        <w:t xml:space="preserve">No </w:t>
      </w:r>
      <w:r w:rsidR="00277969" w:rsidRPr="00DB3D57">
        <w:rPr>
          <w:lang w:val="en-GB"/>
        </w:rPr>
        <w:t>3,4-dihydroquinolin-2-one</w:t>
      </w:r>
      <w:r w:rsidR="00FB4F94" w:rsidRPr="00DB3D57">
        <w:rPr>
          <w:lang w:val="en-GB"/>
        </w:rPr>
        <w:t xml:space="preserve"> formation was observed with an oxamide bearing an electron-withdrawing </w:t>
      </w:r>
      <w:r w:rsidR="00FB4F94" w:rsidRPr="00DB3D57">
        <w:rPr>
          <w:i/>
          <w:lang w:val="en-GB"/>
        </w:rPr>
        <w:t>N</w:t>
      </w:r>
      <w:r w:rsidR="00FB4F94" w:rsidRPr="00DB3D57">
        <w:rPr>
          <w:lang w:val="en-GB"/>
        </w:rPr>
        <w:t>Boc substituent</w:t>
      </w:r>
      <w:r w:rsidR="001E50D9" w:rsidRPr="00DB3D57">
        <w:rPr>
          <w:lang w:val="en-GB"/>
        </w:rPr>
        <w:t>.</w:t>
      </w:r>
    </w:p>
    <w:p w14:paraId="03EDFE39" w14:textId="77777777" w:rsidR="001E50D9" w:rsidRPr="001E50D9" w:rsidRDefault="001E50D9" w:rsidP="001E50D9">
      <w:pPr>
        <w:rPr>
          <w:lang w:val="en-GB"/>
        </w:rPr>
        <w:sectPr w:rsidR="001E50D9" w:rsidRPr="001E50D9" w:rsidSect="00732385">
          <w:type w:val="continuous"/>
          <w:pgSz w:w="12240" w:h="15840"/>
          <w:pgMar w:top="720" w:right="1094" w:bottom="720" w:left="1094" w:header="720" w:footer="720" w:gutter="0"/>
          <w:cols w:num="2" w:space="720"/>
        </w:sectPr>
      </w:pPr>
    </w:p>
    <w:p w14:paraId="31F61374" w14:textId="305BE0E7" w:rsidR="00113CB9" w:rsidRDefault="00113CB9" w:rsidP="00113CB9">
      <w:pPr>
        <w:pStyle w:val="SNSynopsisTOC"/>
        <w:sectPr w:rsidR="00113CB9" w:rsidSect="00D2745B">
          <w:type w:val="continuous"/>
          <w:pgSz w:w="12240" w:h="15840"/>
          <w:pgMar w:top="720" w:right="1094" w:bottom="720" w:left="1094" w:header="720" w:footer="720" w:gutter="0"/>
          <w:cols w:space="461"/>
        </w:sectPr>
      </w:pPr>
    </w:p>
    <w:p w14:paraId="2A4D8832" w14:textId="77777777" w:rsidR="00113CB9" w:rsidRPr="00C45E7B" w:rsidRDefault="00113CB9" w:rsidP="003D6F95">
      <w:pPr>
        <w:pStyle w:val="SNSynopsisTOC"/>
      </w:pPr>
    </w:p>
    <w:sectPr w:rsidR="00113CB9" w:rsidRPr="00C45E7B" w:rsidSect="003D6F95">
      <w:headerReference w:type="even" r:id="rId17"/>
      <w:footerReference w:type="even" r:id="rId18"/>
      <w:footerReference w:type="default" r:id="rId19"/>
      <w:type w:val="continuous"/>
      <w:pgSz w:w="12240" w:h="15840"/>
      <w:pgMar w:top="720" w:right="1094" w:bottom="720" w:left="1094" w:header="720" w:footer="720" w:gutter="0"/>
      <w:cols w:space="46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E8023" w14:textId="77777777" w:rsidR="00D60724" w:rsidRDefault="00D60724">
      <w:r>
        <w:separator/>
      </w:r>
    </w:p>
    <w:p w14:paraId="7F4685E5" w14:textId="77777777" w:rsidR="00D60724" w:rsidRDefault="00D60724"/>
  </w:endnote>
  <w:endnote w:type="continuationSeparator" w:id="0">
    <w:p w14:paraId="38582BAB" w14:textId="77777777" w:rsidR="00D60724" w:rsidRDefault="00D60724">
      <w:r>
        <w:continuationSeparator/>
      </w:r>
    </w:p>
    <w:p w14:paraId="299003C2" w14:textId="77777777" w:rsidR="00D60724" w:rsidRDefault="00D60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7" w:usb1="00000000" w:usb2="00000000" w:usb3="00000000" w:csb0="00000011" w:csb1="00000000"/>
  </w:font>
  <w:font w:name="Myriad Pro Light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8B4F7" w14:textId="77777777" w:rsidR="00D60724" w:rsidRDefault="00D60724">
    <w:pPr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PAGE  </w:t>
    </w:r>
    <w:r>
      <w:rPr>
        <w:rStyle w:val="PageNumber"/>
        <w:noProof/>
      </w:rPr>
      <w:t>2</w:t>
    </w:r>
  </w:p>
  <w:p w14:paraId="2EE33F06" w14:textId="77777777" w:rsidR="00D60724" w:rsidRDefault="00D60724">
    <w:pPr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FC23A" w14:textId="77777777" w:rsidR="00D60724" w:rsidRDefault="00D60724">
    <w:pPr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38A40" w14:textId="77777777" w:rsidR="00D60724" w:rsidRDefault="00D607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6BBA500" w14:textId="77777777" w:rsidR="00D60724" w:rsidRDefault="00D60724">
    <w:pPr>
      <w:pStyle w:val="Footer"/>
      <w:ind w:right="360"/>
    </w:pPr>
  </w:p>
  <w:p w14:paraId="67B5AC44" w14:textId="77777777" w:rsidR="00D60724" w:rsidRDefault="00D60724"/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1C74B" w14:textId="77777777" w:rsidR="00D60724" w:rsidRDefault="00D607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64C75712" w14:textId="77777777" w:rsidR="00D60724" w:rsidRDefault="00D60724">
    <w:pPr>
      <w:pStyle w:val="Footer"/>
      <w:ind w:right="360"/>
    </w:pPr>
  </w:p>
  <w:p w14:paraId="4E642AAD" w14:textId="77777777" w:rsidR="00D60724" w:rsidRDefault="00D6072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EA8D9" w14:textId="77777777" w:rsidR="00D60724" w:rsidRDefault="00D60724">
      <w:r>
        <w:separator/>
      </w:r>
    </w:p>
    <w:p w14:paraId="5F507FFF" w14:textId="77777777" w:rsidR="00D60724" w:rsidRDefault="00D60724"/>
  </w:footnote>
  <w:footnote w:type="continuationSeparator" w:id="0">
    <w:p w14:paraId="1710D4D7" w14:textId="77777777" w:rsidR="00D60724" w:rsidRDefault="00D60724">
      <w:r>
        <w:continuationSeparator/>
      </w:r>
    </w:p>
    <w:p w14:paraId="7BC1EB62" w14:textId="77777777" w:rsidR="00D60724" w:rsidRDefault="00D60724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1FA59" w14:textId="77777777" w:rsidR="00D60724" w:rsidRDefault="00D6072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84622AB"/>
    <w:multiLevelType w:val="singleLevel"/>
    <w:tmpl w:val="6FF0DD10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4">
    <w:nsid w:val="3CC4793E"/>
    <w:multiLevelType w:val="hybridMultilevel"/>
    <w:tmpl w:val="1E5E52AA"/>
    <w:lvl w:ilvl="0" w:tplc="A2DA1DF6">
      <w:start w:val="1"/>
      <w:numFmt w:val="decimal"/>
      <w:pStyle w:val="RSCR02References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6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ttachedTemplate r:id="rId1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58"/>
    <w:rsid w:val="000022F3"/>
    <w:rsid w:val="0000449E"/>
    <w:rsid w:val="00021C5D"/>
    <w:rsid w:val="00034D5A"/>
    <w:rsid w:val="0004402A"/>
    <w:rsid w:val="00046007"/>
    <w:rsid w:val="00077507"/>
    <w:rsid w:val="0008764D"/>
    <w:rsid w:val="00090F02"/>
    <w:rsid w:val="00096C5E"/>
    <w:rsid w:val="000A5CBF"/>
    <w:rsid w:val="000E245B"/>
    <w:rsid w:val="000F49B4"/>
    <w:rsid w:val="00113CB9"/>
    <w:rsid w:val="00136B87"/>
    <w:rsid w:val="001550A5"/>
    <w:rsid w:val="00170634"/>
    <w:rsid w:val="00186B63"/>
    <w:rsid w:val="00194169"/>
    <w:rsid w:val="001C0D59"/>
    <w:rsid w:val="001D5DD9"/>
    <w:rsid w:val="001E50D9"/>
    <w:rsid w:val="00202457"/>
    <w:rsid w:val="002024E6"/>
    <w:rsid w:val="00205144"/>
    <w:rsid w:val="002171BE"/>
    <w:rsid w:val="00222E7A"/>
    <w:rsid w:val="00253D2F"/>
    <w:rsid w:val="0027170D"/>
    <w:rsid w:val="00277969"/>
    <w:rsid w:val="002805AF"/>
    <w:rsid w:val="00285AD9"/>
    <w:rsid w:val="002F2124"/>
    <w:rsid w:val="002F2C83"/>
    <w:rsid w:val="003137B6"/>
    <w:rsid w:val="00332874"/>
    <w:rsid w:val="00344FB1"/>
    <w:rsid w:val="00351A07"/>
    <w:rsid w:val="00377ABA"/>
    <w:rsid w:val="00383303"/>
    <w:rsid w:val="003A297A"/>
    <w:rsid w:val="003C6F6A"/>
    <w:rsid w:val="003D1201"/>
    <w:rsid w:val="003D6F95"/>
    <w:rsid w:val="00406571"/>
    <w:rsid w:val="004177E0"/>
    <w:rsid w:val="00442BD1"/>
    <w:rsid w:val="00457E7C"/>
    <w:rsid w:val="004878A2"/>
    <w:rsid w:val="004B2010"/>
    <w:rsid w:val="004D0CBB"/>
    <w:rsid w:val="004D104C"/>
    <w:rsid w:val="004D492B"/>
    <w:rsid w:val="004E50FF"/>
    <w:rsid w:val="00511CCF"/>
    <w:rsid w:val="005338EC"/>
    <w:rsid w:val="00552E08"/>
    <w:rsid w:val="005535EB"/>
    <w:rsid w:val="00570406"/>
    <w:rsid w:val="00574338"/>
    <w:rsid w:val="005C33B1"/>
    <w:rsid w:val="005E6E3C"/>
    <w:rsid w:val="005F61CB"/>
    <w:rsid w:val="00607820"/>
    <w:rsid w:val="00624788"/>
    <w:rsid w:val="006426D3"/>
    <w:rsid w:val="00643EA1"/>
    <w:rsid w:val="00667A57"/>
    <w:rsid w:val="00671BFB"/>
    <w:rsid w:val="00672462"/>
    <w:rsid w:val="00675B60"/>
    <w:rsid w:val="00683D88"/>
    <w:rsid w:val="006B4630"/>
    <w:rsid w:val="006B5D0F"/>
    <w:rsid w:val="006C3AF2"/>
    <w:rsid w:val="006E1F75"/>
    <w:rsid w:val="006F318E"/>
    <w:rsid w:val="006F7F37"/>
    <w:rsid w:val="007225F4"/>
    <w:rsid w:val="00725424"/>
    <w:rsid w:val="00732385"/>
    <w:rsid w:val="007463CA"/>
    <w:rsid w:val="00764DC0"/>
    <w:rsid w:val="00773FE4"/>
    <w:rsid w:val="007817CF"/>
    <w:rsid w:val="00784723"/>
    <w:rsid w:val="007A246C"/>
    <w:rsid w:val="007A5860"/>
    <w:rsid w:val="007C151F"/>
    <w:rsid w:val="007D6851"/>
    <w:rsid w:val="007E67C4"/>
    <w:rsid w:val="007E722F"/>
    <w:rsid w:val="007F65D5"/>
    <w:rsid w:val="007F79E9"/>
    <w:rsid w:val="00811695"/>
    <w:rsid w:val="0081459C"/>
    <w:rsid w:val="008331F9"/>
    <w:rsid w:val="008348A2"/>
    <w:rsid w:val="0084341F"/>
    <w:rsid w:val="0086063A"/>
    <w:rsid w:val="00861E48"/>
    <w:rsid w:val="00877E1F"/>
    <w:rsid w:val="008872D8"/>
    <w:rsid w:val="008A3954"/>
    <w:rsid w:val="008A55C8"/>
    <w:rsid w:val="008F4758"/>
    <w:rsid w:val="00900917"/>
    <w:rsid w:val="00927265"/>
    <w:rsid w:val="00934E2A"/>
    <w:rsid w:val="00937852"/>
    <w:rsid w:val="0094121C"/>
    <w:rsid w:val="0095315C"/>
    <w:rsid w:val="00974FEB"/>
    <w:rsid w:val="0097640D"/>
    <w:rsid w:val="009A1345"/>
    <w:rsid w:val="009A4822"/>
    <w:rsid w:val="009A78DC"/>
    <w:rsid w:val="009D07E8"/>
    <w:rsid w:val="00A15F60"/>
    <w:rsid w:val="00A24553"/>
    <w:rsid w:val="00A307FD"/>
    <w:rsid w:val="00A7220A"/>
    <w:rsid w:val="00A72807"/>
    <w:rsid w:val="00AA1E44"/>
    <w:rsid w:val="00AE024A"/>
    <w:rsid w:val="00AE3820"/>
    <w:rsid w:val="00AE64F4"/>
    <w:rsid w:val="00B0332A"/>
    <w:rsid w:val="00B15DA1"/>
    <w:rsid w:val="00B35E09"/>
    <w:rsid w:val="00B61817"/>
    <w:rsid w:val="00B704F6"/>
    <w:rsid w:val="00B723E6"/>
    <w:rsid w:val="00B74266"/>
    <w:rsid w:val="00B74C0D"/>
    <w:rsid w:val="00B90EDE"/>
    <w:rsid w:val="00BC1ECB"/>
    <w:rsid w:val="00BC46B7"/>
    <w:rsid w:val="00BC72CD"/>
    <w:rsid w:val="00BF542A"/>
    <w:rsid w:val="00BF6CB3"/>
    <w:rsid w:val="00BF76AE"/>
    <w:rsid w:val="00C12840"/>
    <w:rsid w:val="00C2251F"/>
    <w:rsid w:val="00C3079C"/>
    <w:rsid w:val="00C526A1"/>
    <w:rsid w:val="00C66013"/>
    <w:rsid w:val="00C746AF"/>
    <w:rsid w:val="00C86AEF"/>
    <w:rsid w:val="00C96F21"/>
    <w:rsid w:val="00CB28C7"/>
    <w:rsid w:val="00CB4845"/>
    <w:rsid w:val="00CB7474"/>
    <w:rsid w:val="00CC56D0"/>
    <w:rsid w:val="00CD2513"/>
    <w:rsid w:val="00CE1EE2"/>
    <w:rsid w:val="00D05B52"/>
    <w:rsid w:val="00D11844"/>
    <w:rsid w:val="00D167E7"/>
    <w:rsid w:val="00D16A14"/>
    <w:rsid w:val="00D22840"/>
    <w:rsid w:val="00D22E70"/>
    <w:rsid w:val="00D2745B"/>
    <w:rsid w:val="00D467DE"/>
    <w:rsid w:val="00D60724"/>
    <w:rsid w:val="00D65FF0"/>
    <w:rsid w:val="00D955CF"/>
    <w:rsid w:val="00DA1851"/>
    <w:rsid w:val="00DA42E6"/>
    <w:rsid w:val="00DB3D57"/>
    <w:rsid w:val="00DC6F4B"/>
    <w:rsid w:val="00DD78CF"/>
    <w:rsid w:val="00DF4AF4"/>
    <w:rsid w:val="00E03C32"/>
    <w:rsid w:val="00E30215"/>
    <w:rsid w:val="00E3222E"/>
    <w:rsid w:val="00E352BA"/>
    <w:rsid w:val="00E52381"/>
    <w:rsid w:val="00E605FB"/>
    <w:rsid w:val="00E71831"/>
    <w:rsid w:val="00E7234C"/>
    <w:rsid w:val="00E86507"/>
    <w:rsid w:val="00EA3B43"/>
    <w:rsid w:val="00EA54AB"/>
    <w:rsid w:val="00EB3463"/>
    <w:rsid w:val="00ED7CDC"/>
    <w:rsid w:val="00EE1BA5"/>
    <w:rsid w:val="00F00264"/>
    <w:rsid w:val="00F0769C"/>
    <w:rsid w:val="00F30EA9"/>
    <w:rsid w:val="00F5083E"/>
    <w:rsid w:val="00F60687"/>
    <w:rsid w:val="00F67CEB"/>
    <w:rsid w:val="00F71CBC"/>
    <w:rsid w:val="00F830E8"/>
    <w:rsid w:val="00FB146B"/>
    <w:rsid w:val="00FB2F72"/>
    <w:rsid w:val="00FB4250"/>
    <w:rsid w:val="00FB4F94"/>
    <w:rsid w:val="00FB7584"/>
    <w:rsid w:val="00FC02DA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385F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jc w:val="both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865479"/>
    <w:pPr>
      <w:keepNext/>
      <w:spacing w:before="180" w:after="60"/>
      <w:ind w:left="480" w:hanging="240"/>
      <w:outlineLvl w:val="0"/>
    </w:pPr>
    <w:rPr>
      <w:rFonts w:ascii="Myriad Pro Light" w:hAnsi="Myriad Pro Light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865479"/>
    <w:pPr>
      <w:keepNext/>
      <w:spacing w:before="60" w:after="60"/>
      <w:outlineLvl w:val="1"/>
    </w:pPr>
    <w:rPr>
      <w:rFonts w:ascii="Myriad Pro Light" w:hAnsi="Myriad Pro Light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865479"/>
    <w:pPr>
      <w:keepNext/>
      <w:spacing w:before="60" w:after="60"/>
      <w:ind w:left="180"/>
      <w:outlineLvl w:val="2"/>
    </w:pPr>
    <w:rPr>
      <w:rFonts w:ascii="Myriad Pro Light" w:hAnsi="Myriad Pro Light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b/>
      <w:sz w:val="40"/>
    </w:rPr>
  </w:style>
  <w:style w:type="paragraph" w:styleId="FootnoteText">
    <w:name w:val="footnote text"/>
    <w:basedOn w:val="Normal"/>
    <w:next w:val="TFReferencesSection"/>
    <w:semiHidden/>
  </w:style>
  <w:style w:type="paragraph" w:customStyle="1" w:styleId="TFReferencesSection">
    <w:name w:val="TF_References_Section"/>
    <w:basedOn w:val="Normal"/>
    <w:next w:val="Normal"/>
    <w:autoRedefine/>
    <w:rsid w:val="00AC5F97"/>
    <w:pPr>
      <w:spacing w:after="0"/>
      <w:ind w:firstLine="187"/>
    </w:pPr>
    <w:rPr>
      <w:rFonts w:ascii="Arno Pro" w:hAnsi="Arno Pro"/>
      <w:kern w:val="19"/>
      <w:sz w:val="17"/>
      <w:szCs w:val="14"/>
    </w:rPr>
  </w:style>
  <w:style w:type="paragraph" w:customStyle="1" w:styleId="TAMainText">
    <w:name w:val="TA_Main_Text"/>
    <w:basedOn w:val="Normal"/>
    <w:autoRedefine/>
    <w:rsid w:val="000E75E3"/>
    <w:pPr>
      <w:spacing w:after="60"/>
      <w:ind w:firstLine="180"/>
    </w:pPr>
    <w:rPr>
      <w:rFonts w:ascii="Arno Pro" w:hAnsi="Arno Pro"/>
      <w:kern w:val="21"/>
      <w:sz w:val="19"/>
    </w:rPr>
  </w:style>
  <w:style w:type="paragraph" w:customStyle="1" w:styleId="BATitle">
    <w:name w:val="BA_Title"/>
    <w:basedOn w:val="Normal"/>
    <w:next w:val="BBAuthorName"/>
    <w:autoRedefine/>
    <w:rsid w:val="00427112"/>
    <w:pPr>
      <w:spacing w:before="1400" w:after="180"/>
      <w:jc w:val="left"/>
    </w:pPr>
    <w:rPr>
      <w:rFonts w:ascii="Myriad Pro Light" w:hAnsi="Myriad Pro Light"/>
      <w:b/>
      <w:kern w:val="36"/>
      <w:sz w:val="34"/>
    </w:rPr>
  </w:style>
  <w:style w:type="paragraph" w:customStyle="1" w:styleId="BBAuthorName">
    <w:name w:val="BB_Author_Name"/>
    <w:basedOn w:val="Normal"/>
    <w:next w:val="BCAuthorAddress"/>
    <w:autoRedefine/>
    <w:rsid w:val="000E75E3"/>
    <w:pPr>
      <w:spacing w:after="180"/>
      <w:jc w:val="left"/>
    </w:pPr>
    <w:rPr>
      <w:rFonts w:ascii="Arno Pro" w:hAnsi="Arno Pro"/>
      <w:kern w:val="26"/>
    </w:rPr>
  </w:style>
  <w:style w:type="paragraph" w:customStyle="1" w:styleId="BCAuthorAddress">
    <w:name w:val="BC_Author_Address"/>
    <w:basedOn w:val="Normal"/>
    <w:next w:val="BIEmailAddress"/>
    <w:autoRedefine/>
    <w:rsid w:val="00AC5F97"/>
    <w:pPr>
      <w:spacing w:after="60"/>
      <w:jc w:val="left"/>
    </w:pPr>
    <w:rPr>
      <w:rFonts w:ascii="Arno Pro" w:hAnsi="Arno Pro"/>
      <w:kern w:val="22"/>
      <w:sz w:val="20"/>
    </w:rPr>
  </w:style>
  <w:style w:type="paragraph" w:customStyle="1" w:styleId="BIEmailAddress">
    <w:name w:val="BI_Email_Address"/>
    <w:basedOn w:val="Normal"/>
    <w:next w:val="AIReceivedDate"/>
    <w:autoRedefine/>
    <w:rsid w:val="003A0F5F"/>
    <w:pPr>
      <w:spacing w:after="100"/>
      <w:jc w:val="left"/>
    </w:pPr>
    <w:rPr>
      <w:rFonts w:ascii="Arno Pro" w:hAnsi="Arno Pro"/>
      <w:sz w:val="18"/>
    </w:rPr>
  </w:style>
  <w:style w:type="paragraph" w:customStyle="1" w:styleId="AIReceivedDate">
    <w:name w:val="AI_Received_Date"/>
    <w:basedOn w:val="Normal"/>
    <w:next w:val="Normal"/>
    <w:autoRedefine/>
    <w:rsid w:val="00A444E1"/>
    <w:pPr>
      <w:spacing w:after="100"/>
      <w:jc w:val="left"/>
    </w:pPr>
    <w:rPr>
      <w:rFonts w:ascii="Arno Pro" w:hAnsi="Arno Pro"/>
      <w:sz w:val="18"/>
    </w:rPr>
  </w:style>
  <w:style w:type="paragraph" w:customStyle="1" w:styleId="BDAbstract">
    <w:name w:val="BD_Abstract"/>
    <w:basedOn w:val="Normal"/>
    <w:next w:val="TAMainText"/>
    <w:link w:val="BDAbstractChar"/>
    <w:autoRedefine/>
    <w:rsid w:val="000E75E3"/>
    <w:pPr>
      <w:pBdr>
        <w:top w:val="single" w:sz="4" w:space="1" w:color="auto"/>
        <w:bottom w:val="single" w:sz="4" w:space="1" w:color="auto"/>
      </w:pBdr>
      <w:spacing w:before="100" w:after="600"/>
    </w:pPr>
    <w:rPr>
      <w:rFonts w:ascii="Arno Pro" w:hAnsi="Arno Pro"/>
      <w:kern w:val="21"/>
      <w:sz w:val="19"/>
    </w:rPr>
  </w:style>
  <w:style w:type="paragraph" w:customStyle="1" w:styleId="TDAcknowledgments">
    <w:name w:val="TD_Acknowledgments"/>
    <w:basedOn w:val="Normal"/>
    <w:next w:val="Normal"/>
    <w:link w:val="TDAcknowledgmentsChar"/>
    <w:autoRedefine/>
    <w:rsid w:val="00E75388"/>
    <w:pPr>
      <w:spacing w:after="0"/>
    </w:pPr>
    <w:rPr>
      <w:rFonts w:ascii="Arno Pro" w:hAnsi="Arno Pro"/>
      <w:kern w:val="20"/>
      <w:sz w:val="18"/>
    </w:rPr>
  </w:style>
  <w:style w:type="paragraph" w:customStyle="1" w:styleId="TESupportingInformation">
    <w:name w:val="TE_Supporting_Information"/>
    <w:basedOn w:val="Normal"/>
    <w:next w:val="Normal"/>
    <w:autoRedefine/>
    <w:rsid w:val="00157E12"/>
    <w:pPr>
      <w:spacing w:after="0"/>
    </w:pPr>
    <w:rPr>
      <w:rFonts w:ascii="Arno Pro" w:hAnsi="Arno Pro"/>
      <w:kern w:val="20"/>
      <w:sz w:val="18"/>
    </w:rPr>
  </w:style>
  <w:style w:type="paragraph" w:customStyle="1" w:styleId="VCSchemeTitle">
    <w:name w:val="VC_Scheme_Title"/>
    <w:basedOn w:val="Normal"/>
    <w:next w:val="Normal"/>
    <w:autoRedefine/>
    <w:rsid w:val="00427112"/>
    <w:pPr>
      <w:spacing w:after="180"/>
    </w:pPr>
    <w:rPr>
      <w:rFonts w:ascii="Arno Pro" w:hAnsi="Arno Pro"/>
      <w:b/>
      <w:kern w:val="21"/>
      <w:sz w:val="19"/>
    </w:rPr>
  </w:style>
  <w:style w:type="paragraph" w:customStyle="1" w:styleId="VDTableTitle">
    <w:name w:val="VD_Table_Title"/>
    <w:basedOn w:val="Normal"/>
    <w:next w:val="Normal"/>
    <w:autoRedefine/>
    <w:rsid w:val="00427112"/>
    <w:pPr>
      <w:spacing w:after="180"/>
    </w:pPr>
    <w:rPr>
      <w:rFonts w:ascii="Arno Pro" w:hAnsi="Arno Pro"/>
      <w:b/>
      <w:kern w:val="21"/>
      <w:sz w:val="19"/>
      <w:szCs w:val="19"/>
    </w:rPr>
  </w:style>
  <w:style w:type="paragraph" w:customStyle="1" w:styleId="VAFigureCaption">
    <w:name w:val="VA_Figure_Caption"/>
    <w:basedOn w:val="Normal"/>
    <w:next w:val="Normal"/>
    <w:autoRedefine/>
    <w:rsid w:val="000E75E3"/>
    <w:pPr>
      <w:spacing w:before="200" w:after="120"/>
    </w:pPr>
    <w:rPr>
      <w:rFonts w:ascii="Arno Pro" w:hAnsi="Arno Pro"/>
      <w:kern w:val="20"/>
      <w:sz w:val="18"/>
    </w:rPr>
  </w:style>
  <w:style w:type="paragraph" w:customStyle="1" w:styleId="VBChartTitle">
    <w:name w:val="VB_Chart_Title"/>
    <w:basedOn w:val="Normal"/>
    <w:next w:val="Normal"/>
    <w:autoRedefine/>
    <w:rsid w:val="00427112"/>
    <w:pPr>
      <w:spacing w:after="180"/>
    </w:pPr>
    <w:rPr>
      <w:rFonts w:ascii="Arno Pro" w:hAnsi="Arno Pro"/>
      <w:b/>
      <w:kern w:val="21"/>
      <w:sz w:val="19"/>
    </w:rPr>
  </w:style>
  <w:style w:type="paragraph" w:customStyle="1" w:styleId="FETableFootnote">
    <w:name w:val="FE_Table_Footnote"/>
    <w:basedOn w:val="Normal"/>
    <w:next w:val="Normal"/>
    <w:autoRedefine/>
    <w:rsid w:val="000E75E3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FCChartFootnote">
    <w:name w:val="FC_Chart_Footnote"/>
    <w:basedOn w:val="Normal"/>
    <w:next w:val="Normal"/>
    <w:autoRedefine/>
    <w:rsid w:val="00157E12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FDSchemeFootnote">
    <w:name w:val="FD_Scheme_Footnote"/>
    <w:basedOn w:val="Normal"/>
    <w:next w:val="Normal"/>
    <w:autoRedefine/>
    <w:rsid w:val="00157E12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TCTableBody">
    <w:name w:val="TC_Table_Body"/>
    <w:basedOn w:val="Normal"/>
    <w:next w:val="Normal"/>
    <w:link w:val="TCTableBodyChar"/>
    <w:autoRedefine/>
    <w:rsid w:val="00EB3463"/>
    <w:pPr>
      <w:spacing w:before="20" w:after="60"/>
      <w:jc w:val="center"/>
    </w:pPr>
    <w:rPr>
      <w:rFonts w:ascii="Arno Pro" w:hAnsi="Arno Pro"/>
      <w:kern w:val="20"/>
      <w:sz w:val="18"/>
    </w:rPr>
  </w:style>
  <w:style w:type="paragraph" w:customStyle="1" w:styleId="StyleFACorrespondingAuthorFootnote7pt">
    <w:name w:val="Style FA_Corresponding_Author_Footnote + 7 pt"/>
    <w:basedOn w:val="Normal"/>
    <w:next w:val="BGKeywords"/>
    <w:link w:val="StyleFACorrespondingAuthorFootnote7ptChar"/>
    <w:autoRedefine/>
    <w:rsid w:val="000D2D84"/>
    <w:pPr>
      <w:spacing w:after="0"/>
      <w:jc w:val="left"/>
    </w:pPr>
    <w:rPr>
      <w:rFonts w:ascii="Arno Pro" w:hAnsi="Arno Pro"/>
      <w:kern w:val="20"/>
      <w:sz w:val="18"/>
    </w:rPr>
  </w:style>
  <w:style w:type="paragraph" w:customStyle="1" w:styleId="BEAuthorBiography">
    <w:name w:val="BE_Author_Biography"/>
    <w:basedOn w:val="Normal"/>
    <w:autoRedefine/>
    <w:rsid w:val="003A0F5F"/>
    <w:rPr>
      <w:rFonts w:ascii="Arno Pro" w:hAnsi="Arno Pro"/>
      <w:sz w:val="22"/>
    </w:rPr>
  </w:style>
  <w:style w:type="paragraph" w:customStyle="1" w:styleId="StyleBIEmailAddress95pt">
    <w:name w:val="Style BI_Email_Address + 9.5 pt"/>
    <w:basedOn w:val="BIEmailAddress"/>
    <w:rsid w:val="007F6792"/>
    <w:pPr>
      <w:spacing w:after="60"/>
    </w:pPr>
    <w:rPr>
      <w:sz w:val="19"/>
    </w:rPr>
  </w:style>
  <w:style w:type="paragraph" w:customStyle="1" w:styleId="SNSynopsisTOC">
    <w:name w:val="SN_Synopsis_TOC"/>
    <w:basedOn w:val="Normal"/>
    <w:next w:val="Normal"/>
    <w:autoRedefine/>
    <w:rsid w:val="000E75E3"/>
    <w:pPr>
      <w:spacing w:after="60"/>
    </w:pPr>
    <w:rPr>
      <w:rFonts w:ascii="Arno Pro" w:hAnsi="Arno Pro"/>
      <w:kern w:val="22"/>
      <w:sz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Normal"/>
    <w:next w:val="BHBriefs"/>
    <w:autoRedefine/>
    <w:rsid w:val="00AC5F97"/>
    <w:pPr>
      <w:spacing w:after="220"/>
      <w:jc w:val="left"/>
    </w:pPr>
    <w:rPr>
      <w:rFonts w:ascii="Arno Pro" w:hAnsi="Arno Pro"/>
      <w:i/>
      <w:kern w:val="22"/>
      <w:sz w:val="20"/>
    </w:rPr>
  </w:style>
  <w:style w:type="paragraph" w:customStyle="1" w:styleId="BHBriefs">
    <w:name w:val="BH_Briefs"/>
    <w:basedOn w:val="Normal"/>
    <w:next w:val="BDAbstract"/>
    <w:autoRedefine/>
    <w:rsid w:val="000E75E3"/>
    <w:pPr>
      <w:spacing w:before="180" w:after="60"/>
      <w:jc w:val="left"/>
    </w:pPr>
    <w:rPr>
      <w:rFonts w:ascii="Arno Pro" w:hAnsi="Arno Pro"/>
      <w:kern w:val="22"/>
      <w:sz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96302"/>
    <w:rPr>
      <w:rFonts w:ascii="Tahoma" w:hAnsi="Tahoma" w:cs="Tahoma"/>
      <w:sz w:val="16"/>
      <w:szCs w:val="16"/>
    </w:rPr>
  </w:style>
  <w:style w:type="character" w:styleId="EndnoteReference">
    <w:name w:val="endnote reference"/>
    <w:semiHidden/>
    <w:rsid w:val="00A66EDD"/>
    <w:rPr>
      <w:rFonts w:ascii="Times" w:hAnsi="Times"/>
      <w:sz w:val="18"/>
      <w:vertAlign w:val="superscript"/>
    </w:rPr>
  </w:style>
  <w:style w:type="paragraph" w:customStyle="1" w:styleId="StyleTCTableBodyBold">
    <w:name w:val="Style TC_Table_Body + Bold"/>
    <w:basedOn w:val="TCTableBody"/>
    <w:link w:val="StyleTCTableBodyBoldChar"/>
    <w:rsid w:val="000E75E3"/>
    <w:rPr>
      <w:b/>
      <w:bCs/>
      <w:kern w:val="22"/>
      <w:sz w:val="15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0D2D84"/>
    <w:rPr>
      <w:rFonts w:ascii="Arno Pro" w:hAnsi="Arno Pro"/>
      <w:kern w:val="20"/>
      <w:sz w:val="18"/>
      <w:lang w:val="en-US" w:eastAsia="en-US" w:bidi="ar-SA"/>
    </w:rPr>
  </w:style>
  <w:style w:type="paragraph" w:customStyle="1" w:styleId="BDAbstractTitle">
    <w:name w:val="BD_Abstract_Title"/>
    <w:basedOn w:val="BDAbstract"/>
    <w:link w:val="BDAbstractTitleChar"/>
    <w:rsid w:val="006532A9"/>
    <w:rPr>
      <w:b/>
    </w:rPr>
  </w:style>
  <w:style w:type="character" w:customStyle="1" w:styleId="BDAbstractChar">
    <w:name w:val="BD_Abstract Char"/>
    <w:link w:val="BDAbstract"/>
    <w:rsid w:val="000E75E3"/>
    <w:rPr>
      <w:rFonts w:ascii="Arno Pro" w:hAnsi="Arno Pro"/>
      <w:kern w:val="21"/>
      <w:sz w:val="19"/>
      <w:lang w:val="en-US" w:eastAsia="en-US" w:bidi="ar-SA"/>
    </w:rPr>
  </w:style>
  <w:style w:type="character" w:customStyle="1" w:styleId="BDAbstractTitleChar">
    <w:name w:val="BD_Abstract_Title Char"/>
    <w:link w:val="BDAbstractTitle"/>
    <w:rsid w:val="006532A9"/>
    <w:rPr>
      <w:rFonts w:ascii="Arno Pro" w:hAnsi="Arno Pro"/>
      <w:b/>
      <w:kern w:val="21"/>
      <w:sz w:val="19"/>
      <w:lang w:val="en-US" w:eastAsia="en-US" w:bidi="ar-SA"/>
    </w:rPr>
  </w:style>
  <w:style w:type="paragraph" w:customStyle="1" w:styleId="TDAckTitle">
    <w:name w:val="TD_Ack_Title"/>
    <w:basedOn w:val="TDAcknowledgments"/>
    <w:link w:val="TDAckTitleChar"/>
    <w:rsid w:val="00AC5F97"/>
    <w:pPr>
      <w:spacing w:before="180" w:after="60"/>
    </w:pPr>
    <w:rPr>
      <w:rFonts w:ascii="Myriad Pro Light" w:hAnsi="Myriad Pro Light"/>
      <w:b/>
      <w:kern w:val="23"/>
      <w:sz w:val="21"/>
    </w:rPr>
  </w:style>
  <w:style w:type="character" w:customStyle="1" w:styleId="TDAcknowledgmentsChar">
    <w:name w:val="TD_Acknowledgments Char"/>
    <w:link w:val="TDAcknowledgments"/>
    <w:rsid w:val="00E75388"/>
    <w:rPr>
      <w:rFonts w:ascii="Arno Pro" w:hAnsi="Arno Pro"/>
      <w:kern w:val="20"/>
      <w:sz w:val="18"/>
      <w:lang w:val="en-US" w:eastAsia="en-US" w:bidi="ar-SA"/>
    </w:rPr>
  </w:style>
  <w:style w:type="character" w:customStyle="1" w:styleId="TDAckTitleChar">
    <w:name w:val="TD_Ack_Title Char"/>
    <w:link w:val="TDAckTitle"/>
    <w:rsid w:val="00AC5F97"/>
    <w:rPr>
      <w:rFonts w:ascii="Myriad Pro Light" w:hAnsi="Myriad Pro Light"/>
      <w:b/>
      <w:kern w:val="23"/>
      <w:sz w:val="21"/>
      <w:lang w:val="en-US" w:eastAsia="en-US" w:bidi="ar-SA"/>
    </w:rPr>
  </w:style>
  <w:style w:type="paragraph" w:customStyle="1" w:styleId="TESupportingInfoTitle">
    <w:name w:val="TE_Supporting_Info_Title"/>
    <w:basedOn w:val="TESupportingInformation"/>
    <w:autoRedefine/>
    <w:rsid w:val="00141659"/>
    <w:pPr>
      <w:spacing w:before="180" w:after="60"/>
    </w:pPr>
    <w:rPr>
      <w:rFonts w:ascii="Myriad Pro Light" w:hAnsi="Myriad Pro Light"/>
      <w:b/>
      <w:caps/>
      <w:sz w:val="21"/>
      <w:szCs w:val="18"/>
    </w:rPr>
  </w:style>
  <w:style w:type="paragraph" w:customStyle="1" w:styleId="AuthorInformationTitle">
    <w:name w:val="Author_Information_Title"/>
    <w:basedOn w:val="TDAckTitle"/>
    <w:rsid w:val="00AC5F97"/>
  </w:style>
  <w:style w:type="paragraph" w:customStyle="1" w:styleId="FAAuthorInfoSubtitle">
    <w:name w:val="FA_Author_Info_Subtitle"/>
    <w:basedOn w:val="Normal"/>
    <w:link w:val="FAAuthorInfoSubtitleChar"/>
    <w:autoRedefine/>
    <w:rsid w:val="00DE78D2"/>
    <w:pPr>
      <w:spacing w:before="120" w:after="60"/>
      <w:jc w:val="left"/>
    </w:pPr>
    <w:rPr>
      <w:rFonts w:ascii="Myriad Pro Light" w:hAnsi="Myriad Pro Light"/>
      <w:b/>
      <w:kern w:val="21"/>
      <w:sz w:val="19"/>
      <w:szCs w:val="14"/>
    </w:rPr>
  </w:style>
  <w:style w:type="character" w:customStyle="1" w:styleId="FAAuthorInfoSubtitleChar">
    <w:name w:val="FA_Author_Info_Subtitle Char"/>
    <w:link w:val="FAAuthorInfoSubtitle"/>
    <w:rsid w:val="00DE78D2"/>
    <w:rPr>
      <w:rFonts w:ascii="Myriad Pro Light" w:hAnsi="Myriad Pro Light"/>
      <w:b/>
      <w:kern w:val="21"/>
      <w:sz w:val="19"/>
      <w:szCs w:val="14"/>
      <w:lang w:val="en-US" w:eastAsia="en-US" w:bidi="ar-SA"/>
    </w:rPr>
  </w:style>
  <w:style w:type="character" w:customStyle="1" w:styleId="TCTableBodyChar">
    <w:name w:val="TC_Table_Body Char"/>
    <w:link w:val="TCTableBody"/>
    <w:rsid w:val="00EB3463"/>
    <w:rPr>
      <w:rFonts w:ascii="Arno Pro" w:hAnsi="Arno Pro"/>
      <w:kern w:val="20"/>
      <w:sz w:val="18"/>
    </w:rPr>
  </w:style>
  <w:style w:type="character" w:customStyle="1" w:styleId="StyleTCTableBodyBoldChar">
    <w:name w:val="Style TC_Table_Body + Bold Char"/>
    <w:link w:val="StyleTCTableBodyBold"/>
    <w:rsid w:val="000E75E3"/>
    <w:rPr>
      <w:rFonts w:ascii="Arno Pro" w:hAnsi="Arno Pro"/>
      <w:b/>
      <w:bCs/>
      <w:kern w:val="22"/>
      <w:sz w:val="15"/>
      <w:lang w:val="en-US" w:eastAsia="en-US" w:bidi="ar-SA"/>
    </w:rPr>
  </w:style>
  <w:style w:type="paragraph" w:customStyle="1" w:styleId="TFExperimentalSection">
    <w:name w:val="TF_Experimental_Section"/>
    <w:basedOn w:val="TFReferencesSection"/>
    <w:qFormat/>
    <w:rsid w:val="00A307FD"/>
  </w:style>
  <w:style w:type="paragraph" w:customStyle="1" w:styleId="TESectionHeading">
    <w:name w:val="TE_Section_Heading"/>
    <w:basedOn w:val="TESupportingInfoTitle"/>
    <w:qFormat/>
    <w:rsid w:val="008331F9"/>
  </w:style>
  <w:style w:type="paragraph" w:customStyle="1" w:styleId="RSCH01PaperTitle">
    <w:name w:val="RSC H01 Paper Title"/>
    <w:basedOn w:val="Normal"/>
    <w:next w:val="Normal"/>
    <w:link w:val="RSCH01PaperTitleChar"/>
    <w:qFormat/>
    <w:rsid w:val="00113CB9"/>
    <w:pPr>
      <w:tabs>
        <w:tab w:val="left" w:pos="284"/>
      </w:tabs>
      <w:spacing w:before="400" w:after="160"/>
      <w:jc w:val="left"/>
    </w:pPr>
    <w:rPr>
      <w:rFonts w:asciiTheme="minorHAnsi" w:eastAsiaTheme="minorHAnsi" w:hAnsiTheme="minorHAnsi"/>
      <w:b/>
      <w:sz w:val="29"/>
      <w:szCs w:val="32"/>
      <w:lang w:val="en-GB"/>
    </w:rPr>
  </w:style>
  <w:style w:type="character" w:customStyle="1" w:styleId="RSCH01PaperTitleChar">
    <w:name w:val="RSC H01 Paper Title Char"/>
    <w:basedOn w:val="DefaultParagraphFont"/>
    <w:link w:val="RSCH01PaperTitle"/>
    <w:rsid w:val="00113CB9"/>
    <w:rPr>
      <w:rFonts w:asciiTheme="minorHAnsi" w:eastAsiaTheme="minorHAnsi" w:hAnsiTheme="minorHAnsi"/>
      <w:b/>
      <w:sz w:val="29"/>
      <w:szCs w:val="32"/>
      <w:lang w:val="en-GB"/>
    </w:rPr>
  </w:style>
  <w:style w:type="paragraph" w:customStyle="1" w:styleId="RSCH02PaperAuthorsandByline">
    <w:name w:val="RSC H02 Paper Authors and Byline"/>
    <w:basedOn w:val="Normal"/>
    <w:link w:val="RSCH02PaperAuthorsandBylineChar"/>
    <w:qFormat/>
    <w:rsid w:val="004177E0"/>
    <w:pPr>
      <w:spacing w:after="120" w:line="240" w:lineRule="exact"/>
      <w:jc w:val="left"/>
    </w:pPr>
    <w:rPr>
      <w:rFonts w:asciiTheme="minorHAnsi" w:eastAsiaTheme="minorHAnsi" w:hAnsiTheme="minorHAnsi"/>
      <w:sz w:val="20"/>
      <w:szCs w:val="22"/>
      <w:lang w:val="en-GB"/>
    </w:rPr>
  </w:style>
  <w:style w:type="character" w:customStyle="1" w:styleId="RSCH02PaperAuthorsandBylineChar">
    <w:name w:val="RSC H02 Paper Authors and Byline Char"/>
    <w:basedOn w:val="DefaultParagraphFont"/>
    <w:link w:val="RSCH02PaperAuthorsandByline"/>
    <w:rsid w:val="004177E0"/>
    <w:rPr>
      <w:rFonts w:asciiTheme="minorHAnsi" w:eastAsiaTheme="minorHAnsi" w:hAnsiTheme="minorHAnsi"/>
      <w:szCs w:val="22"/>
      <w:lang w:val="en-GB"/>
    </w:rPr>
  </w:style>
  <w:style w:type="paragraph" w:customStyle="1" w:styleId="RSCB02ArticleText">
    <w:name w:val="RSC B02 Article Text"/>
    <w:basedOn w:val="Normal"/>
    <w:link w:val="RSCB02ArticleTextChar"/>
    <w:qFormat/>
    <w:rsid w:val="004177E0"/>
    <w:pPr>
      <w:spacing w:after="0" w:line="240" w:lineRule="exact"/>
    </w:pPr>
    <w:rPr>
      <w:rFonts w:asciiTheme="minorHAnsi" w:eastAsiaTheme="minorHAnsi" w:hAnsiTheme="minorHAnsi"/>
      <w:w w:val="108"/>
      <w:sz w:val="18"/>
      <w:szCs w:val="18"/>
      <w:lang w:val="en-GB"/>
    </w:rPr>
  </w:style>
  <w:style w:type="character" w:customStyle="1" w:styleId="RSCB02ArticleTextChar">
    <w:name w:val="RSC B02 Article Text Char"/>
    <w:basedOn w:val="DefaultParagraphFont"/>
    <w:link w:val="RSCB02ArticleText"/>
    <w:rsid w:val="004177E0"/>
    <w:rPr>
      <w:rFonts w:asciiTheme="minorHAnsi" w:eastAsiaTheme="minorHAnsi" w:hAnsiTheme="minorHAnsi"/>
      <w:w w:val="108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EB3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732385"/>
    <w:rPr>
      <w:rFonts w:ascii="Times" w:hAnsi="Times"/>
      <w:sz w:val="24"/>
    </w:rPr>
  </w:style>
  <w:style w:type="paragraph" w:customStyle="1" w:styleId="RSCR02References">
    <w:name w:val="RSC R02 References"/>
    <w:basedOn w:val="RSCB02ArticleText"/>
    <w:link w:val="RSCR02ReferencesChar"/>
    <w:qFormat/>
    <w:rsid w:val="00732385"/>
    <w:pPr>
      <w:numPr>
        <w:numId w:val="7"/>
      </w:numPr>
      <w:spacing w:line="200" w:lineRule="exact"/>
      <w:ind w:left="284" w:hanging="284"/>
    </w:pPr>
    <w:rPr>
      <w:w w:val="105"/>
    </w:rPr>
  </w:style>
  <w:style w:type="character" w:customStyle="1" w:styleId="RSCR02ReferencesChar">
    <w:name w:val="RSC R02 References Char"/>
    <w:basedOn w:val="DefaultParagraphFont"/>
    <w:link w:val="RSCR02References"/>
    <w:rsid w:val="00732385"/>
    <w:rPr>
      <w:rFonts w:asciiTheme="minorHAnsi" w:eastAsiaTheme="minorHAnsi" w:hAnsiTheme="minorHAnsi"/>
      <w:w w:val="105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5338EC"/>
    <w:rPr>
      <w:rFonts w:ascii="Times" w:hAnsi="Times"/>
      <w:sz w:val="24"/>
    </w:rPr>
  </w:style>
  <w:style w:type="paragraph" w:styleId="NormalWeb">
    <w:name w:val="Normal (Web)"/>
    <w:basedOn w:val="Normal"/>
    <w:uiPriority w:val="99"/>
    <w:semiHidden/>
    <w:unhideWhenUsed/>
    <w:rsid w:val="002F2C83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  <w:jc w:val="both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865479"/>
    <w:pPr>
      <w:keepNext/>
      <w:spacing w:before="180" w:after="60"/>
      <w:ind w:left="480" w:hanging="240"/>
      <w:outlineLvl w:val="0"/>
    </w:pPr>
    <w:rPr>
      <w:rFonts w:ascii="Myriad Pro Light" w:hAnsi="Myriad Pro Light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865479"/>
    <w:pPr>
      <w:keepNext/>
      <w:spacing w:before="60" w:after="60"/>
      <w:outlineLvl w:val="1"/>
    </w:pPr>
    <w:rPr>
      <w:rFonts w:ascii="Myriad Pro Light" w:hAnsi="Myriad Pro Light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865479"/>
    <w:pPr>
      <w:keepNext/>
      <w:spacing w:before="60" w:after="60"/>
      <w:ind w:left="180"/>
      <w:outlineLvl w:val="2"/>
    </w:pPr>
    <w:rPr>
      <w:rFonts w:ascii="Myriad Pro Light" w:hAnsi="Myriad Pro Light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b/>
      <w:sz w:val="40"/>
    </w:rPr>
  </w:style>
  <w:style w:type="paragraph" w:styleId="FootnoteText">
    <w:name w:val="footnote text"/>
    <w:basedOn w:val="Normal"/>
    <w:next w:val="TFReferencesSection"/>
    <w:semiHidden/>
  </w:style>
  <w:style w:type="paragraph" w:customStyle="1" w:styleId="TFReferencesSection">
    <w:name w:val="TF_References_Section"/>
    <w:basedOn w:val="Normal"/>
    <w:next w:val="Normal"/>
    <w:autoRedefine/>
    <w:rsid w:val="00AC5F97"/>
    <w:pPr>
      <w:spacing w:after="0"/>
      <w:ind w:firstLine="187"/>
    </w:pPr>
    <w:rPr>
      <w:rFonts w:ascii="Arno Pro" w:hAnsi="Arno Pro"/>
      <w:kern w:val="19"/>
      <w:sz w:val="17"/>
      <w:szCs w:val="14"/>
    </w:rPr>
  </w:style>
  <w:style w:type="paragraph" w:customStyle="1" w:styleId="TAMainText">
    <w:name w:val="TA_Main_Text"/>
    <w:basedOn w:val="Normal"/>
    <w:autoRedefine/>
    <w:rsid w:val="000E75E3"/>
    <w:pPr>
      <w:spacing w:after="60"/>
      <w:ind w:firstLine="180"/>
    </w:pPr>
    <w:rPr>
      <w:rFonts w:ascii="Arno Pro" w:hAnsi="Arno Pro"/>
      <w:kern w:val="21"/>
      <w:sz w:val="19"/>
    </w:rPr>
  </w:style>
  <w:style w:type="paragraph" w:customStyle="1" w:styleId="BATitle">
    <w:name w:val="BA_Title"/>
    <w:basedOn w:val="Normal"/>
    <w:next w:val="BBAuthorName"/>
    <w:autoRedefine/>
    <w:rsid w:val="00427112"/>
    <w:pPr>
      <w:spacing w:before="1400" w:after="180"/>
      <w:jc w:val="left"/>
    </w:pPr>
    <w:rPr>
      <w:rFonts w:ascii="Myriad Pro Light" w:hAnsi="Myriad Pro Light"/>
      <w:b/>
      <w:kern w:val="36"/>
      <w:sz w:val="34"/>
    </w:rPr>
  </w:style>
  <w:style w:type="paragraph" w:customStyle="1" w:styleId="BBAuthorName">
    <w:name w:val="BB_Author_Name"/>
    <w:basedOn w:val="Normal"/>
    <w:next w:val="BCAuthorAddress"/>
    <w:autoRedefine/>
    <w:rsid w:val="000E75E3"/>
    <w:pPr>
      <w:spacing w:after="180"/>
      <w:jc w:val="left"/>
    </w:pPr>
    <w:rPr>
      <w:rFonts w:ascii="Arno Pro" w:hAnsi="Arno Pro"/>
      <w:kern w:val="26"/>
    </w:rPr>
  </w:style>
  <w:style w:type="paragraph" w:customStyle="1" w:styleId="BCAuthorAddress">
    <w:name w:val="BC_Author_Address"/>
    <w:basedOn w:val="Normal"/>
    <w:next w:val="BIEmailAddress"/>
    <w:autoRedefine/>
    <w:rsid w:val="00AC5F97"/>
    <w:pPr>
      <w:spacing w:after="60"/>
      <w:jc w:val="left"/>
    </w:pPr>
    <w:rPr>
      <w:rFonts w:ascii="Arno Pro" w:hAnsi="Arno Pro"/>
      <w:kern w:val="22"/>
      <w:sz w:val="20"/>
    </w:rPr>
  </w:style>
  <w:style w:type="paragraph" w:customStyle="1" w:styleId="BIEmailAddress">
    <w:name w:val="BI_Email_Address"/>
    <w:basedOn w:val="Normal"/>
    <w:next w:val="AIReceivedDate"/>
    <w:autoRedefine/>
    <w:rsid w:val="003A0F5F"/>
    <w:pPr>
      <w:spacing w:after="100"/>
      <w:jc w:val="left"/>
    </w:pPr>
    <w:rPr>
      <w:rFonts w:ascii="Arno Pro" w:hAnsi="Arno Pro"/>
      <w:sz w:val="18"/>
    </w:rPr>
  </w:style>
  <w:style w:type="paragraph" w:customStyle="1" w:styleId="AIReceivedDate">
    <w:name w:val="AI_Received_Date"/>
    <w:basedOn w:val="Normal"/>
    <w:next w:val="Normal"/>
    <w:autoRedefine/>
    <w:rsid w:val="00A444E1"/>
    <w:pPr>
      <w:spacing w:after="100"/>
      <w:jc w:val="left"/>
    </w:pPr>
    <w:rPr>
      <w:rFonts w:ascii="Arno Pro" w:hAnsi="Arno Pro"/>
      <w:sz w:val="18"/>
    </w:rPr>
  </w:style>
  <w:style w:type="paragraph" w:customStyle="1" w:styleId="BDAbstract">
    <w:name w:val="BD_Abstract"/>
    <w:basedOn w:val="Normal"/>
    <w:next w:val="TAMainText"/>
    <w:link w:val="BDAbstractChar"/>
    <w:autoRedefine/>
    <w:rsid w:val="000E75E3"/>
    <w:pPr>
      <w:pBdr>
        <w:top w:val="single" w:sz="4" w:space="1" w:color="auto"/>
        <w:bottom w:val="single" w:sz="4" w:space="1" w:color="auto"/>
      </w:pBdr>
      <w:spacing w:before="100" w:after="600"/>
    </w:pPr>
    <w:rPr>
      <w:rFonts w:ascii="Arno Pro" w:hAnsi="Arno Pro"/>
      <w:kern w:val="21"/>
      <w:sz w:val="19"/>
    </w:rPr>
  </w:style>
  <w:style w:type="paragraph" w:customStyle="1" w:styleId="TDAcknowledgments">
    <w:name w:val="TD_Acknowledgments"/>
    <w:basedOn w:val="Normal"/>
    <w:next w:val="Normal"/>
    <w:link w:val="TDAcknowledgmentsChar"/>
    <w:autoRedefine/>
    <w:rsid w:val="00E75388"/>
    <w:pPr>
      <w:spacing w:after="0"/>
    </w:pPr>
    <w:rPr>
      <w:rFonts w:ascii="Arno Pro" w:hAnsi="Arno Pro"/>
      <w:kern w:val="20"/>
      <w:sz w:val="18"/>
    </w:rPr>
  </w:style>
  <w:style w:type="paragraph" w:customStyle="1" w:styleId="TESupportingInformation">
    <w:name w:val="TE_Supporting_Information"/>
    <w:basedOn w:val="Normal"/>
    <w:next w:val="Normal"/>
    <w:autoRedefine/>
    <w:rsid w:val="00157E12"/>
    <w:pPr>
      <w:spacing w:after="0"/>
    </w:pPr>
    <w:rPr>
      <w:rFonts w:ascii="Arno Pro" w:hAnsi="Arno Pro"/>
      <w:kern w:val="20"/>
      <w:sz w:val="18"/>
    </w:rPr>
  </w:style>
  <w:style w:type="paragraph" w:customStyle="1" w:styleId="VCSchemeTitle">
    <w:name w:val="VC_Scheme_Title"/>
    <w:basedOn w:val="Normal"/>
    <w:next w:val="Normal"/>
    <w:autoRedefine/>
    <w:rsid w:val="00427112"/>
    <w:pPr>
      <w:spacing w:after="180"/>
    </w:pPr>
    <w:rPr>
      <w:rFonts w:ascii="Arno Pro" w:hAnsi="Arno Pro"/>
      <w:b/>
      <w:kern w:val="21"/>
      <w:sz w:val="19"/>
    </w:rPr>
  </w:style>
  <w:style w:type="paragraph" w:customStyle="1" w:styleId="VDTableTitle">
    <w:name w:val="VD_Table_Title"/>
    <w:basedOn w:val="Normal"/>
    <w:next w:val="Normal"/>
    <w:autoRedefine/>
    <w:rsid w:val="00427112"/>
    <w:pPr>
      <w:spacing w:after="180"/>
    </w:pPr>
    <w:rPr>
      <w:rFonts w:ascii="Arno Pro" w:hAnsi="Arno Pro"/>
      <w:b/>
      <w:kern w:val="21"/>
      <w:sz w:val="19"/>
      <w:szCs w:val="19"/>
    </w:rPr>
  </w:style>
  <w:style w:type="paragraph" w:customStyle="1" w:styleId="VAFigureCaption">
    <w:name w:val="VA_Figure_Caption"/>
    <w:basedOn w:val="Normal"/>
    <w:next w:val="Normal"/>
    <w:autoRedefine/>
    <w:rsid w:val="000E75E3"/>
    <w:pPr>
      <w:spacing w:before="200" w:after="120"/>
    </w:pPr>
    <w:rPr>
      <w:rFonts w:ascii="Arno Pro" w:hAnsi="Arno Pro"/>
      <w:kern w:val="20"/>
      <w:sz w:val="18"/>
    </w:rPr>
  </w:style>
  <w:style w:type="paragraph" w:customStyle="1" w:styleId="VBChartTitle">
    <w:name w:val="VB_Chart_Title"/>
    <w:basedOn w:val="Normal"/>
    <w:next w:val="Normal"/>
    <w:autoRedefine/>
    <w:rsid w:val="00427112"/>
    <w:pPr>
      <w:spacing w:after="180"/>
    </w:pPr>
    <w:rPr>
      <w:rFonts w:ascii="Arno Pro" w:hAnsi="Arno Pro"/>
      <w:b/>
      <w:kern w:val="21"/>
      <w:sz w:val="19"/>
    </w:rPr>
  </w:style>
  <w:style w:type="paragraph" w:customStyle="1" w:styleId="FETableFootnote">
    <w:name w:val="FE_Table_Footnote"/>
    <w:basedOn w:val="Normal"/>
    <w:next w:val="Normal"/>
    <w:autoRedefine/>
    <w:rsid w:val="000E75E3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FCChartFootnote">
    <w:name w:val="FC_Chart_Footnote"/>
    <w:basedOn w:val="Normal"/>
    <w:next w:val="Normal"/>
    <w:autoRedefine/>
    <w:rsid w:val="00157E12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FDSchemeFootnote">
    <w:name w:val="FD_Scheme_Footnote"/>
    <w:basedOn w:val="Normal"/>
    <w:next w:val="Normal"/>
    <w:autoRedefine/>
    <w:rsid w:val="00157E12"/>
    <w:pPr>
      <w:spacing w:before="60" w:after="120"/>
      <w:ind w:firstLine="187"/>
    </w:pPr>
    <w:rPr>
      <w:rFonts w:ascii="Arno Pro" w:hAnsi="Arno Pro"/>
      <w:sz w:val="18"/>
    </w:rPr>
  </w:style>
  <w:style w:type="paragraph" w:customStyle="1" w:styleId="TCTableBody">
    <w:name w:val="TC_Table_Body"/>
    <w:basedOn w:val="Normal"/>
    <w:next w:val="Normal"/>
    <w:link w:val="TCTableBodyChar"/>
    <w:autoRedefine/>
    <w:rsid w:val="00EB3463"/>
    <w:pPr>
      <w:spacing w:before="20" w:after="60"/>
      <w:jc w:val="center"/>
    </w:pPr>
    <w:rPr>
      <w:rFonts w:ascii="Arno Pro" w:hAnsi="Arno Pro"/>
      <w:kern w:val="20"/>
      <w:sz w:val="18"/>
    </w:rPr>
  </w:style>
  <w:style w:type="paragraph" w:customStyle="1" w:styleId="StyleFACorrespondingAuthorFootnote7pt">
    <w:name w:val="Style FA_Corresponding_Author_Footnote + 7 pt"/>
    <w:basedOn w:val="Normal"/>
    <w:next w:val="BGKeywords"/>
    <w:link w:val="StyleFACorrespondingAuthorFootnote7ptChar"/>
    <w:autoRedefine/>
    <w:rsid w:val="000D2D84"/>
    <w:pPr>
      <w:spacing w:after="0"/>
      <w:jc w:val="left"/>
    </w:pPr>
    <w:rPr>
      <w:rFonts w:ascii="Arno Pro" w:hAnsi="Arno Pro"/>
      <w:kern w:val="20"/>
      <w:sz w:val="18"/>
    </w:rPr>
  </w:style>
  <w:style w:type="paragraph" w:customStyle="1" w:styleId="BEAuthorBiography">
    <w:name w:val="BE_Author_Biography"/>
    <w:basedOn w:val="Normal"/>
    <w:autoRedefine/>
    <w:rsid w:val="003A0F5F"/>
    <w:rPr>
      <w:rFonts w:ascii="Arno Pro" w:hAnsi="Arno Pro"/>
      <w:sz w:val="22"/>
    </w:rPr>
  </w:style>
  <w:style w:type="paragraph" w:customStyle="1" w:styleId="StyleBIEmailAddress95pt">
    <w:name w:val="Style BI_Email_Address + 9.5 pt"/>
    <w:basedOn w:val="BIEmailAddress"/>
    <w:rsid w:val="007F6792"/>
    <w:pPr>
      <w:spacing w:after="60"/>
    </w:pPr>
    <w:rPr>
      <w:sz w:val="19"/>
    </w:rPr>
  </w:style>
  <w:style w:type="paragraph" w:customStyle="1" w:styleId="SNSynopsisTOC">
    <w:name w:val="SN_Synopsis_TOC"/>
    <w:basedOn w:val="Normal"/>
    <w:next w:val="Normal"/>
    <w:autoRedefine/>
    <w:rsid w:val="000E75E3"/>
    <w:pPr>
      <w:spacing w:after="60"/>
    </w:pPr>
    <w:rPr>
      <w:rFonts w:ascii="Arno Pro" w:hAnsi="Arno Pro"/>
      <w:kern w:val="22"/>
      <w:sz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Normal"/>
    <w:next w:val="BHBriefs"/>
    <w:autoRedefine/>
    <w:rsid w:val="00AC5F97"/>
    <w:pPr>
      <w:spacing w:after="220"/>
      <w:jc w:val="left"/>
    </w:pPr>
    <w:rPr>
      <w:rFonts w:ascii="Arno Pro" w:hAnsi="Arno Pro"/>
      <w:i/>
      <w:kern w:val="22"/>
      <w:sz w:val="20"/>
    </w:rPr>
  </w:style>
  <w:style w:type="paragraph" w:customStyle="1" w:styleId="BHBriefs">
    <w:name w:val="BH_Briefs"/>
    <w:basedOn w:val="Normal"/>
    <w:next w:val="BDAbstract"/>
    <w:autoRedefine/>
    <w:rsid w:val="000E75E3"/>
    <w:pPr>
      <w:spacing w:before="180" w:after="60"/>
      <w:jc w:val="left"/>
    </w:pPr>
    <w:rPr>
      <w:rFonts w:ascii="Arno Pro" w:hAnsi="Arno Pro"/>
      <w:kern w:val="22"/>
      <w:sz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96302"/>
    <w:rPr>
      <w:rFonts w:ascii="Tahoma" w:hAnsi="Tahoma" w:cs="Tahoma"/>
      <w:sz w:val="16"/>
      <w:szCs w:val="16"/>
    </w:rPr>
  </w:style>
  <w:style w:type="character" w:styleId="EndnoteReference">
    <w:name w:val="endnote reference"/>
    <w:semiHidden/>
    <w:rsid w:val="00A66EDD"/>
    <w:rPr>
      <w:rFonts w:ascii="Times" w:hAnsi="Times"/>
      <w:sz w:val="18"/>
      <w:vertAlign w:val="superscript"/>
    </w:rPr>
  </w:style>
  <w:style w:type="paragraph" w:customStyle="1" w:styleId="StyleTCTableBodyBold">
    <w:name w:val="Style TC_Table_Body + Bold"/>
    <w:basedOn w:val="TCTableBody"/>
    <w:link w:val="StyleTCTableBodyBoldChar"/>
    <w:rsid w:val="000E75E3"/>
    <w:rPr>
      <w:b/>
      <w:bCs/>
      <w:kern w:val="22"/>
      <w:sz w:val="15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0D2D84"/>
    <w:rPr>
      <w:rFonts w:ascii="Arno Pro" w:hAnsi="Arno Pro"/>
      <w:kern w:val="20"/>
      <w:sz w:val="18"/>
      <w:lang w:val="en-US" w:eastAsia="en-US" w:bidi="ar-SA"/>
    </w:rPr>
  </w:style>
  <w:style w:type="paragraph" w:customStyle="1" w:styleId="BDAbstractTitle">
    <w:name w:val="BD_Abstract_Title"/>
    <w:basedOn w:val="BDAbstract"/>
    <w:link w:val="BDAbstractTitleChar"/>
    <w:rsid w:val="006532A9"/>
    <w:rPr>
      <w:b/>
    </w:rPr>
  </w:style>
  <w:style w:type="character" w:customStyle="1" w:styleId="BDAbstractChar">
    <w:name w:val="BD_Abstract Char"/>
    <w:link w:val="BDAbstract"/>
    <w:rsid w:val="000E75E3"/>
    <w:rPr>
      <w:rFonts w:ascii="Arno Pro" w:hAnsi="Arno Pro"/>
      <w:kern w:val="21"/>
      <w:sz w:val="19"/>
      <w:lang w:val="en-US" w:eastAsia="en-US" w:bidi="ar-SA"/>
    </w:rPr>
  </w:style>
  <w:style w:type="character" w:customStyle="1" w:styleId="BDAbstractTitleChar">
    <w:name w:val="BD_Abstract_Title Char"/>
    <w:link w:val="BDAbstractTitle"/>
    <w:rsid w:val="006532A9"/>
    <w:rPr>
      <w:rFonts w:ascii="Arno Pro" w:hAnsi="Arno Pro"/>
      <w:b/>
      <w:kern w:val="21"/>
      <w:sz w:val="19"/>
      <w:lang w:val="en-US" w:eastAsia="en-US" w:bidi="ar-SA"/>
    </w:rPr>
  </w:style>
  <w:style w:type="paragraph" w:customStyle="1" w:styleId="TDAckTitle">
    <w:name w:val="TD_Ack_Title"/>
    <w:basedOn w:val="TDAcknowledgments"/>
    <w:link w:val="TDAckTitleChar"/>
    <w:rsid w:val="00AC5F97"/>
    <w:pPr>
      <w:spacing w:before="180" w:after="60"/>
    </w:pPr>
    <w:rPr>
      <w:rFonts w:ascii="Myriad Pro Light" w:hAnsi="Myriad Pro Light"/>
      <w:b/>
      <w:kern w:val="23"/>
      <w:sz w:val="21"/>
    </w:rPr>
  </w:style>
  <w:style w:type="character" w:customStyle="1" w:styleId="TDAcknowledgmentsChar">
    <w:name w:val="TD_Acknowledgments Char"/>
    <w:link w:val="TDAcknowledgments"/>
    <w:rsid w:val="00E75388"/>
    <w:rPr>
      <w:rFonts w:ascii="Arno Pro" w:hAnsi="Arno Pro"/>
      <w:kern w:val="20"/>
      <w:sz w:val="18"/>
      <w:lang w:val="en-US" w:eastAsia="en-US" w:bidi="ar-SA"/>
    </w:rPr>
  </w:style>
  <w:style w:type="character" w:customStyle="1" w:styleId="TDAckTitleChar">
    <w:name w:val="TD_Ack_Title Char"/>
    <w:link w:val="TDAckTitle"/>
    <w:rsid w:val="00AC5F97"/>
    <w:rPr>
      <w:rFonts w:ascii="Myriad Pro Light" w:hAnsi="Myriad Pro Light"/>
      <w:b/>
      <w:kern w:val="23"/>
      <w:sz w:val="21"/>
      <w:lang w:val="en-US" w:eastAsia="en-US" w:bidi="ar-SA"/>
    </w:rPr>
  </w:style>
  <w:style w:type="paragraph" w:customStyle="1" w:styleId="TESupportingInfoTitle">
    <w:name w:val="TE_Supporting_Info_Title"/>
    <w:basedOn w:val="TESupportingInformation"/>
    <w:autoRedefine/>
    <w:rsid w:val="00141659"/>
    <w:pPr>
      <w:spacing w:before="180" w:after="60"/>
    </w:pPr>
    <w:rPr>
      <w:rFonts w:ascii="Myriad Pro Light" w:hAnsi="Myriad Pro Light"/>
      <w:b/>
      <w:caps/>
      <w:sz w:val="21"/>
      <w:szCs w:val="18"/>
    </w:rPr>
  </w:style>
  <w:style w:type="paragraph" w:customStyle="1" w:styleId="AuthorInformationTitle">
    <w:name w:val="Author_Information_Title"/>
    <w:basedOn w:val="TDAckTitle"/>
    <w:rsid w:val="00AC5F97"/>
  </w:style>
  <w:style w:type="paragraph" w:customStyle="1" w:styleId="FAAuthorInfoSubtitle">
    <w:name w:val="FA_Author_Info_Subtitle"/>
    <w:basedOn w:val="Normal"/>
    <w:link w:val="FAAuthorInfoSubtitleChar"/>
    <w:autoRedefine/>
    <w:rsid w:val="00DE78D2"/>
    <w:pPr>
      <w:spacing w:before="120" w:after="60"/>
      <w:jc w:val="left"/>
    </w:pPr>
    <w:rPr>
      <w:rFonts w:ascii="Myriad Pro Light" w:hAnsi="Myriad Pro Light"/>
      <w:b/>
      <w:kern w:val="21"/>
      <w:sz w:val="19"/>
      <w:szCs w:val="14"/>
    </w:rPr>
  </w:style>
  <w:style w:type="character" w:customStyle="1" w:styleId="FAAuthorInfoSubtitleChar">
    <w:name w:val="FA_Author_Info_Subtitle Char"/>
    <w:link w:val="FAAuthorInfoSubtitle"/>
    <w:rsid w:val="00DE78D2"/>
    <w:rPr>
      <w:rFonts w:ascii="Myriad Pro Light" w:hAnsi="Myriad Pro Light"/>
      <w:b/>
      <w:kern w:val="21"/>
      <w:sz w:val="19"/>
      <w:szCs w:val="14"/>
      <w:lang w:val="en-US" w:eastAsia="en-US" w:bidi="ar-SA"/>
    </w:rPr>
  </w:style>
  <w:style w:type="character" w:customStyle="1" w:styleId="TCTableBodyChar">
    <w:name w:val="TC_Table_Body Char"/>
    <w:link w:val="TCTableBody"/>
    <w:rsid w:val="00EB3463"/>
    <w:rPr>
      <w:rFonts w:ascii="Arno Pro" w:hAnsi="Arno Pro"/>
      <w:kern w:val="20"/>
      <w:sz w:val="18"/>
    </w:rPr>
  </w:style>
  <w:style w:type="character" w:customStyle="1" w:styleId="StyleTCTableBodyBoldChar">
    <w:name w:val="Style TC_Table_Body + Bold Char"/>
    <w:link w:val="StyleTCTableBodyBold"/>
    <w:rsid w:val="000E75E3"/>
    <w:rPr>
      <w:rFonts w:ascii="Arno Pro" w:hAnsi="Arno Pro"/>
      <w:b/>
      <w:bCs/>
      <w:kern w:val="22"/>
      <w:sz w:val="15"/>
      <w:lang w:val="en-US" w:eastAsia="en-US" w:bidi="ar-SA"/>
    </w:rPr>
  </w:style>
  <w:style w:type="paragraph" w:customStyle="1" w:styleId="TFExperimentalSection">
    <w:name w:val="TF_Experimental_Section"/>
    <w:basedOn w:val="TFReferencesSection"/>
    <w:qFormat/>
    <w:rsid w:val="00A307FD"/>
  </w:style>
  <w:style w:type="paragraph" w:customStyle="1" w:styleId="TESectionHeading">
    <w:name w:val="TE_Section_Heading"/>
    <w:basedOn w:val="TESupportingInfoTitle"/>
    <w:qFormat/>
    <w:rsid w:val="008331F9"/>
  </w:style>
  <w:style w:type="paragraph" w:customStyle="1" w:styleId="RSCH01PaperTitle">
    <w:name w:val="RSC H01 Paper Title"/>
    <w:basedOn w:val="Normal"/>
    <w:next w:val="Normal"/>
    <w:link w:val="RSCH01PaperTitleChar"/>
    <w:qFormat/>
    <w:rsid w:val="00113CB9"/>
    <w:pPr>
      <w:tabs>
        <w:tab w:val="left" w:pos="284"/>
      </w:tabs>
      <w:spacing w:before="400" w:after="160"/>
      <w:jc w:val="left"/>
    </w:pPr>
    <w:rPr>
      <w:rFonts w:asciiTheme="minorHAnsi" w:eastAsiaTheme="minorHAnsi" w:hAnsiTheme="minorHAnsi"/>
      <w:b/>
      <w:sz w:val="29"/>
      <w:szCs w:val="32"/>
      <w:lang w:val="en-GB"/>
    </w:rPr>
  </w:style>
  <w:style w:type="character" w:customStyle="1" w:styleId="RSCH01PaperTitleChar">
    <w:name w:val="RSC H01 Paper Title Char"/>
    <w:basedOn w:val="DefaultParagraphFont"/>
    <w:link w:val="RSCH01PaperTitle"/>
    <w:rsid w:val="00113CB9"/>
    <w:rPr>
      <w:rFonts w:asciiTheme="minorHAnsi" w:eastAsiaTheme="minorHAnsi" w:hAnsiTheme="minorHAnsi"/>
      <w:b/>
      <w:sz w:val="29"/>
      <w:szCs w:val="32"/>
      <w:lang w:val="en-GB"/>
    </w:rPr>
  </w:style>
  <w:style w:type="paragraph" w:customStyle="1" w:styleId="RSCH02PaperAuthorsandByline">
    <w:name w:val="RSC H02 Paper Authors and Byline"/>
    <w:basedOn w:val="Normal"/>
    <w:link w:val="RSCH02PaperAuthorsandBylineChar"/>
    <w:qFormat/>
    <w:rsid w:val="004177E0"/>
    <w:pPr>
      <w:spacing w:after="120" w:line="240" w:lineRule="exact"/>
      <w:jc w:val="left"/>
    </w:pPr>
    <w:rPr>
      <w:rFonts w:asciiTheme="minorHAnsi" w:eastAsiaTheme="minorHAnsi" w:hAnsiTheme="minorHAnsi"/>
      <w:sz w:val="20"/>
      <w:szCs w:val="22"/>
      <w:lang w:val="en-GB"/>
    </w:rPr>
  </w:style>
  <w:style w:type="character" w:customStyle="1" w:styleId="RSCH02PaperAuthorsandBylineChar">
    <w:name w:val="RSC H02 Paper Authors and Byline Char"/>
    <w:basedOn w:val="DefaultParagraphFont"/>
    <w:link w:val="RSCH02PaperAuthorsandByline"/>
    <w:rsid w:val="004177E0"/>
    <w:rPr>
      <w:rFonts w:asciiTheme="minorHAnsi" w:eastAsiaTheme="minorHAnsi" w:hAnsiTheme="minorHAnsi"/>
      <w:szCs w:val="22"/>
      <w:lang w:val="en-GB"/>
    </w:rPr>
  </w:style>
  <w:style w:type="paragraph" w:customStyle="1" w:styleId="RSCB02ArticleText">
    <w:name w:val="RSC B02 Article Text"/>
    <w:basedOn w:val="Normal"/>
    <w:link w:val="RSCB02ArticleTextChar"/>
    <w:qFormat/>
    <w:rsid w:val="004177E0"/>
    <w:pPr>
      <w:spacing w:after="0" w:line="240" w:lineRule="exact"/>
    </w:pPr>
    <w:rPr>
      <w:rFonts w:asciiTheme="minorHAnsi" w:eastAsiaTheme="minorHAnsi" w:hAnsiTheme="minorHAnsi"/>
      <w:w w:val="108"/>
      <w:sz w:val="18"/>
      <w:szCs w:val="18"/>
      <w:lang w:val="en-GB"/>
    </w:rPr>
  </w:style>
  <w:style w:type="character" w:customStyle="1" w:styleId="RSCB02ArticleTextChar">
    <w:name w:val="RSC B02 Article Text Char"/>
    <w:basedOn w:val="DefaultParagraphFont"/>
    <w:link w:val="RSCB02ArticleText"/>
    <w:rsid w:val="004177E0"/>
    <w:rPr>
      <w:rFonts w:asciiTheme="minorHAnsi" w:eastAsiaTheme="minorHAnsi" w:hAnsiTheme="minorHAnsi"/>
      <w:w w:val="108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EB3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732385"/>
    <w:rPr>
      <w:rFonts w:ascii="Times" w:hAnsi="Times"/>
      <w:sz w:val="24"/>
    </w:rPr>
  </w:style>
  <w:style w:type="paragraph" w:customStyle="1" w:styleId="RSCR02References">
    <w:name w:val="RSC R02 References"/>
    <w:basedOn w:val="RSCB02ArticleText"/>
    <w:link w:val="RSCR02ReferencesChar"/>
    <w:qFormat/>
    <w:rsid w:val="00732385"/>
    <w:pPr>
      <w:numPr>
        <w:numId w:val="7"/>
      </w:numPr>
      <w:spacing w:line="200" w:lineRule="exact"/>
      <w:ind w:left="284" w:hanging="284"/>
    </w:pPr>
    <w:rPr>
      <w:w w:val="105"/>
    </w:rPr>
  </w:style>
  <w:style w:type="character" w:customStyle="1" w:styleId="RSCR02ReferencesChar">
    <w:name w:val="RSC R02 References Char"/>
    <w:basedOn w:val="DefaultParagraphFont"/>
    <w:link w:val="RSCR02References"/>
    <w:rsid w:val="00732385"/>
    <w:rPr>
      <w:rFonts w:asciiTheme="minorHAnsi" w:eastAsiaTheme="minorHAnsi" w:hAnsiTheme="minorHAnsi"/>
      <w:w w:val="105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5338EC"/>
    <w:rPr>
      <w:rFonts w:ascii="Times" w:hAnsi="Times"/>
      <w:sz w:val="24"/>
    </w:rPr>
  </w:style>
  <w:style w:type="paragraph" w:styleId="NormalWeb">
    <w:name w:val="Normal (Web)"/>
    <w:basedOn w:val="Normal"/>
    <w:uiPriority w:val="99"/>
    <w:semiHidden/>
    <w:unhideWhenUsed/>
    <w:rsid w:val="002F2C83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4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image" Target="media/image2.emf"/><Relationship Id="rId13" Type="http://schemas.openxmlformats.org/officeDocument/2006/relationships/image" Target="media/image3.emf"/><Relationship Id="rId14" Type="http://schemas.openxmlformats.org/officeDocument/2006/relationships/image" Target="media/image4.emf"/><Relationship Id="rId15" Type="http://schemas.openxmlformats.org/officeDocument/2006/relationships/image" Target="media/image5.emf"/><Relationship Id="rId16" Type="http://schemas.openxmlformats.org/officeDocument/2006/relationships/image" Target="media/image6.emf"/><Relationship Id="rId17" Type="http://schemas.openxmlformats.org/officeDocument/2006/relationships/header" Target="header1.xml"/><Relationship Id="rId18" Type="http://schemas.openxmlformats.org/officeDocument/2006/relationships/footer" Target="footer3.xml"/><Relationship Id="rId19" Type="http://schemas.openxmlformats.org/officeDocument/2006/relationships/footer" Target="footer4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amesdonald:Downloads:acs_template_msw2011_ol_m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B6E5B9-7E38-8B40-9DD4-51804C89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acs_template_msw2011_ol_mac.dotx</Template>
  <TotalTime>5</TotalTime>
  <Pages>4</Pages>
  <Words>2641</Words>
  <Characters>15057</Characters>
  <Application>Microsoft Macintosh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Electronic Submission to ACS Journals</vt:lpstr>
    </vt:vector>
  </TitlesOfParts>
  <Company>ACS</Company>
  <LinksUpToDate>false</LinksUpToDate>
  <CharactersWithSpaces>17663</CharactersWithSpaces>
  <SharedDoc>false</SharedDoc>
  <HLinks>
    <vt:vector size="6" baseType="variant">
      <vt:variant>
        <vt:i4>5505098</vt:i4>
      </vt:variant>
      <vt:variant>
        <vt:i4>0</vt:i4>
      </vt:variant>
      <vt:variant>
        <vt:i4>0</vt:i4>
      </vt:variant>
      <vt:variant>
        <vt:i4>5</vt:i4>
      </vt:variant>
      <vt:variant>
        <vt:lpwstr>http://pubs.acs.org/page/4authors/index.html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to ACS Journals</dc:title>
  <dc:subject/>
  <dc:creator>James Donald</dc:creator>
  <cp:keywords/>
  <cp:lastModifiedBy>James Donald</cp:lastModifiedBy>
  <cp:revision>7</cp:revision>
  <cp:lastPrinted>2017-01-04T13:52:00Z</cp:lastPrinted>
  <dcterms:created xsi:type="dcterms:W3CDTF">2017-01-26T13:44:00Z</dcterms:created>
  <dcterms:modified xsi:type="dcterms:W3CDTF">2017-01-26T14:23:00Z</dcterms:modified>
</cp:coreProperties>
</file>