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126E" w:rsidRPr="0025126E" w:rsidRDefault="0025126E" w:rsidP="0025126E">
      <w:pPr>
        <w:rPr>
          <w:b/>
        </w:rPr>
      </w:pPr>
      <w:r w:rsidRPr="0025126E">
        <w:rPr>
          <w:b/>
        </w:rPr>
        <w:t>Development of a gained stability index for describing biochar stability: Relation of high recalcitrance index (R50) with accelerated ageing tests</w:t>
      </w:r>
    </w:p>
    <w:p w:rsidR="0025126E" w:rsidRDefault="0025126E" w:rsidP="0025126E">
      <w:r>
        <w:t xml:space="preserve">Natalia </w:t>
      </w:r>
      <w:proofErr w:type="spellStart"/>
      <w:r>
        <w:t>Gómeza</w:t>
      </w:r>
      <w:proofErr w:type="spellEnd"/>
      <w:r>
        <w:t xml:space="preserve">, Jose Guillermo </w:t>
      </w:r>
      <w:proofErr w:type="spellStart"/>
      <w:r>
        <w:t>Rosasa</w:t>
      </w:r>
      <w:proofErr w:type="spellEnd"/>
      <w:r>
        <w:t xml:space="preserve">, Surjit </w:t>
      </w:r>
      <w:proofErr w:type="spellStart"/>
      <w:r>
        <w:t>Singhb</w:t>
      </w:r>
      <w:proofErr w:type="spellEnd"/>
      <w:r>
        <w:t xml:space="preserve">, Andy B. </w:t>
      </w:r>
      <w:proofErr w:type="spellStart"/>
      <w:r>
        <w:t>Rossb</w:t>
      </w:r>
      <w:proofErr w:type="spellEnd"/>
      <w:r>
        <w:t xml:space="preserve">, Marta Elena </w:t>
      </w:r>
      <w:proofErr w:type="spellStart"/>
      <w:r>
        <w:t>Sáncheza</w:t>
      </w:r>
      <w:proofErr w:type="spellEnd"/>
      <w:r>
        <w:t xml:space="preserve">, Jorge </w:t>
      </w:r>
      <w:proofErr w:type="spellStart"/>
      <w:r>
        <w:t>Caraa</w:t>
      </w:r>
      <w:proofErr w:type="spellEnd"/>
      <w:r>
        <w:t xml:space="preserve">, </w:t>
      </w:r>
    </w:p>
    <w:p w:rsidR="0025126E" w:rsidRDefault="0025126E" w:rsidP="0025126E"/>
    <w:p w:rsidR="0025126E" w:rsidRDefault="0025126E" w:rsidP="0025126E"/>
    <w:p w:rsidR="0025126E" w:rsidRPr="00CC7D66" w:rsidRDefault="0025126E" w:rsidP="0025126E">
      <w:pPr>
        <w:rPr>
          <w:b/>
        </w:rPr>
      </w:pPr>
      <w:r w:rsidRPr="00CC7D66">
        <w:rPr>
          <w:b/>
        </w:rPr>
        <w:t>Abstract</w:t>
      </w:r>
    </w:p>
    <w:p w:rsidR="0025126E" w:rsidRDefault="0025126E" w:rsidP="0025126E"/>
    <w:p w:rsidR="0025126E" w:rsidRDefault="0025126E" w:rsidP="0025126E">
      <w:r>
        <w:t xml:space="preserve">Carbon stability is an important parameter to measure prior to the application of biochar to soil and in the past few years, several methods have been developed to measure it. The carbon sequestration potential (CO2 reduction) for biochar can be estimated by the recalcitrance index (R50 index). This study investigates further refinement of the R50 index as a measure of carbon stability. The following key findings were observed: 1) prior washing of the biochar in water before measurement of the R50 index influences the measure of char stability determined, particularly for biochar containing high levels of water leachable inorganic materials; 2) a new subscale is proposed to interpret the understanding of the biochar stability changes as a function of pyrolysis temperature defined as “gained stability” and 3) a strong correlation (R = 0.97) was observed between the R50 index and the accelerated ageing test when their function is </w:t>
      </w:r>
      <w:proofErr w:type="spellStart"/>
      <w:r>
        <w:t>linearised</w:t>
      </w:r>
      <w:proofErr w:type="spellEnd"/>
      <w:r>
        <w:t>, providing a better understanding of the carbon stability evaluation.</w:t>
      </w:r>
    </w:p>
    <w:p w:rsidR="0025126E" w:rsidRDefault="0025126E" w:rsidP="0025126E">
      <w:r>
        <w:t>Keywords: Biochar</w:t>
      </w:r>
      <w:proofErr w:type="gramStart"/>
      <w:r>
        <w:t>;  Stability</w:t>
      </w:r>
      <w:proofErr w:type="gramEnd"/>
      <w:r>
        <w:t xml:space="preserve"> methods;  R50 index;  Inorganic elements;  </w:t>
      </w:r>
      <w:r>
        <w:t>Accelerated ageing test</w:t>
      </w:r>
    </w:p>
    <w:p w:rsidR="0025126E" w:rsidRDefault="0025126E" w:rsidP="0025126E"/>
    <w:p w:rsidR="0025126E" w:rsidRPr="00CC7D66" w:rsidRDefault="0025126E" w:rsidP="0025126E">
      <w:pPr>
        <w:rPr>
          <w:b/>
        </w:rPr>
      </w:pPr>
      <w:r w:rsidRPr="00CC7D66">
        <w:rPr>
          <w:b/>
        </w:rPr>
        <w:t>1. Introduction</w:t>
      </w:r>
    </w:p>
    <w:p w:rsidR="0025126E" w:rsidRDefault="0025126E" w:rsidP="0025126E">
      <w:bookmarkStart w:id="0" w:name="_GoBack"/>
      <w:bookmarkEnd w:id="0"/>
    </w:p>
    <w:p w:rsidR="0025126E" w:rsidRDefault="0025126E" w:rsidP="0025126E">
      <w:r>
        <w:t xml:space="preserve">The production of biochar for agricultural applications has far reaching benefits such as the sequestration of carbon the ability to retain nutrients and water and reducing fertilizer consumption, thereby reducing greenhouse gas emissions [1]. The ability for biochar to retain carbon in a stable form is considered to be a very important property. “Terra </w:t>
      </w:r>
      <w:proofErr w:type="spellStart"/>
      <w:r>
        <w:t>Preta</w:t>
      </w:r>
      <w:proofErr w:type="spellEnd"/>
      <w:r>
        <w:t xml:space="preserve">” soils of the Amazon region demonstrates carbon stability generated from anthropogenic sources dating back 500–7000 years [2]. However, it is also recognised that several mechanisms cause degradation to the char structure. Thus, the stability of biochar is fundamental to the knowledge of determining the residence time of biochar derived carbon within soil, further contributing to the mitigation of climate change and additional benefits to the environment [3]. The char is produced from the thermochemical degradation of cellulose, hemicellulose and lignin under medium-high temperatures either in the absence of O2. These conditions decompose the biomasses into three main products such as char, gas </w:t>
      </w:r>
      <w:r>
        <w:lastRenderedPageBreak/>
        <w:t>and oil. Depending on the production system and process conditions (temperature, residence time, O2 content) the biochar will develop different physicochemical properties [4</w:t>
      </w:r>
      <w:proofErr w:type="gramStart"/>
      <w:r>
        <w:t>,5</w:t>
      </w:r>
      <w:proofErr w:type="gramEnd"/>
      <w:r>
        <w:t>].</w:t>
      </w:r>
    </w:p>
    <w:p w:rsidR="0025126E" w:rsidRDefault="0025126E" w:rsidP="0025126E"/>
    <w:p w:rsidR="0025126E" w:rsidRDefault="0025126E" w:rsidP="0025126E">
      <w:r>
        <w:t xml:space="preserve">Harvey et al. [6] developed a method for identifying the qualitative stability of biochar based on its thermal degradation in comparison to graphite. The hypothesis notes that biochar will require higher energy inputs to oxidise a unit mass of biochar-C to CO2 if it possess a high recalcitrance value (R50). The recalcitrance index is determined by thermogravimetric analysis of the biochar in a flow of air at a constant heating rate. The methodology can detect changes in the stability of the carbonaceous fraction of the biochar however, the interaction of the biochar inorganic matter during the R50 test were not considered by Harvey et al. [6]. Windeatt et al. [7] identified changes in R50 value when a biochar high in potassium was water washed. In this study, it was demonstrated that some macronutrients would be lost when biochar remains within soils due to natural leaching of rain water runoff. Therefore, this present study aims to determine the influence of inorganic compounds on the thermogravimetric combustion profiles of water washed biochar in order to assess the impact on the R50 index. Two types of low lignin biomasses (woody and non woody materials) containing higher levels of inorganic matter [8] were </w:t>
      </w:r>
      <w:proofErr w:type="spellStart"/>
      <w:r>
        <w:t>pyrolysed</w:t>
      </w:r>
      <w:proofErr w:type="spellEnd"/>
      <w:r>
        <w:t xml:space="preserve"> at different temperatures (450–650 °C). Pyrolysis was performed using different reactors at different scales to further investigate the variability of biochar produced. Harvey et al. [6] proposed a reference scale for describing biochar of different stability and a modification of the R50 index scale is herein proposed for biochar stability assessment to take into account cellulose evolution during slow pyrolysis. In addition, accelerated ageing tests developed by the UKBR Institute [9] to assess the residence time associate with a similar oxidative behaviour that biochar would show in soils has been evaluated and related to the recalcitrance index.</w:t>
      </w:r>
    </w:p>
    <w:p w:rsidR="0025126E" w:rsidRDefault="0025126E" w:rsidP="0025126E"/>
    <w:p w:rsidR="0025126E" w:rsidRPr="00CC7D66" w:rsidRDefault="0025126E" w:rsidP="0025126E">
      <w:pPr>
        <w:rPr>
          <w:b/>
        </w:rPr>
      </w:pPr>
      <w:r w:rsidRPr="00CC7D66">
        <w:rPr>
          <w:b/>
        </w:rPr>
        <w:t>2. Materials and methods</w:t>
      </w:r>
    </w:p>
    <w:p w:rsidR="0025126E" w:rsidRDefault="0025126E" w:rsidP="0025126E"/>
    <w:p w:rsidR="0025126E" w:rsidRDefault="0025126E" w:rsidP="0025126E">
      <w:r>
        <w:t>2.1. Biochar production</w:t>
      </w:r>
    </w:p>
    <w:p w:rsidR="0025126E" w:rsidRDefault="0025126E" w:rsidP="0025126E"/>
    <w:p w:rsidR="0025126E" w:rsidRDefault="0025126E" w:rsidP="0025126E">
      <w:r>
        <w:t>2.1.1. Raw material</w:t>
      </w:r>
    </w:p>
    <w:p w:rsidR="0025126E" w:rsidRDefault="0025126E" w:rsidP="0025126E"/>
    <w:p w:rsidR="0025126E" w:rsidRDefault="0025126E" w:rsidP="0025126E">
      <w:r>
        <w:t xml:space="preserve">The raw material used include rape straw and vine shoot biomass from the north of Spain. Straws generally possess low lignin content [10] and vine shoots typically have also low lignin content as shown by Jiménez et al. [11] despite being a woody biomass containing high level of inorganic matter [8]. In addition, pure cellulose </w:t>
      </w:r>
      <w:r>
        <w:lastRenderedPageBreak/>
        <w:t xml:space="preserve">(99%) from filter paper </w:t>
      </w:r>
      <w:proofErr w:type="spellStart"/>
      <w:r>
        <w:t>Whatman</w:t>
      </w:r>
      <w:proofErr w:type="spellEnd"/>
      <w:r>
        <w:t xml:space="preserve"> TM (Cat No 1001 090) was used as a model compound to calibrate the subscale proposed in this study.</w:t>
      </w:r>
    </w:p>
    <w:p w:rsidR="0025126E" w:rsidRDefault="0025126E" w:rsidP="0025126E"/>
    <w:p w:rsidR="0025126E" w:rsidRDefault="0025126E" w:rsidP="0025126E">
      <w:r>
        <w:t>2.1.2. Production in a semi-pilot plant pyrolysis unit</w:t>
      </w:r>
    </w:p>
    <w:p w:rsidR="0025126E" w:rsidRDefault="0025126E" w:rsidP="0025126E"/>
    <w:p w:rsidR="0025126E" w:rsidRDefault="0025126E" w:rsidP="0025126E">
      <w:r>
        <w:t xml:space="preserve">The pyrolysis process was performed in a semi-pilot scale kiln reactor </w:t>
      </w:r>
      <w:proofErr w:type="spellStart"/>
      <w:r>
        <w:t>Nabertherm</w:t>
      </w:r>
      <w:proofErr w:type="spellEnd"/>
      <w:r>
        <w:t xml:space="preserve"> RSR 120/1000/13. The reactor dimensions were 1.47 m length (L) and 0.1 m internal diameter (D), able to operate in either a continuous or batch mode. The chamber was heated externally by electrical heaters and the central heated zone of the reactor was 0.75 m of the quartz reactor tube. The schematic can be seen on Fig. 1.</w:t>
      </w:r>
    </w:p>
    <w:p w:rsidR="0025126E" w:rsidRDefault="0025126E" w:rsidP="0025126E"/>
    <w:p w:rsidR="0025126E" w:rsidRDefault="0025126E" w:rsidP="0025126E">
      <w:r w:rsidRPr="0025126E">
        <w:rPr>
          <w:noProof/>
          <w:lang w:eastAsia="en-GB"/>
        </w:rPr>
        <w:drawing>
          <wp:inline distT="0" distB="0" distL="0" distR="0">
            <wp:extent cx="5731510" cy="3618402"/>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618402"/>
                    </a:xfrm>
                    <a:prstGeom prst="rect">
                      <a:avLst/>
                    </a:prstGeom>
                    <a:noFill/>
                    <a:ln>
                      <a:noFill/>
                    </a:ln>
                  </pic:spPr>
                </pic:pic>
              </a:graphicData>
            </a:graphic>
          </wp:inline>
        </w:drawing>
      </w:r>
      <w:r>
        <w:t xml:space="preserve">Fig. 1. </w:t>
      </w:r>
      <w:r>
        <w:t>Semi-pilot plant reactor scheme. 1) Feed hopper; 2) helium gas pot; 3) rotatory reactor chamber; 4) char pot; 5) condensation system; 6) gas sampling; 7) vacuum pump.</w:t>
      </w:r>
    </w:p>
    <w:p w:rsidR="0025126E" w:rsidRDefault="0025126E" w:rsidP="0025126E"/>
    <w:p w:rsidR="0025126E" w:rsidRDefault="0025126E" w:rsidP="0025126E">
      <w:r>
        <w:t>By working in the continuous mode, the reactor approaches conditions expected in industrial scale operation. In this continuous mode, the selected highest heating temperatures (HHT) ranged from 450, 550 and 650 °C for the rape straw, and from 550 and 650 °C for the vine shoot. The residence time (</w:t>
      </w:r>
      <w:proofErr w:type="spellStart"/>
      <w:proofErr w:type="gramStart"/>
      <w:r>
        <w:t>tr</w:t>
      </w:r>
      <w:proofErr w:type="spellEnd"/>
      <w:proofErr w:type="gramEnd"/>
      <w:r>
        <w:t xml:space="preserve">) was given by the inclination angle of the reactor of 4.8°, the rotation speed of the glass quartz chamber (2.25 rpm) and the biomass physical features. To simplify the dynamic calculus, the residence time was calculated from </w:t>
      </w:r>
      <w:proofErr w:type="spellStart"/>
      <w:proofErr w:type="gramStart"/>
      <w:r>
        <w:t>tr</w:t>
      </w:r>
      <w:proofErr w:type="spellEnd"/>
      <w:proofErr w:type="gramEnd"/>
      <w:r>
        <w:t xml:space="preserve"> = M/</w:t>
      </w:r>
      <w:proofErr w:type="spellStart"/>
      <w:r>
        <w:t>Qf</w:t>
      </w:r>
      <w:proofErr w:type="spellEnd"/>
      <w:r>
        <w:t xml:space="preserve">. The average feeding flow </w:t>
      </w:r>
      <w:r>
        <w:lastRenderedPageBreak/>
        <w:t>rate (</w:t>
      </w:r>
      <w:proofErr w:type="spellStart"/>
      <w:proofErr w:type="gramStart"/>
      <w:r>
        <w:t>Qf</w:t>
      </w:r>
      <w:proofErr w:type="spellEnd"/>
      <w:proofErr w:type="gramEnd"/>
      <w:r>
        <w:t>) for these materials were 525 g/h for rape straw and 1050 g/h for vine shoot, and their differences derive from their different density. It was obtained in cold conditions by fixing the velocity of the feeding system endless screw and measuring the outlet mass flow rate (g/h). The mass holdup (M) was determined by stopping the rotation after the steady state was attained and subtracting the material. The residence time was nearly to 15 min along the tube in both biomasses. These conditions are categorised as conventional pyrolysis as the retention time is considered up to 5 min [12]. Furthermore, the heating ramp is calculated from the lineal velocity of the bed (v = L/</w:t>
      </w:r>
      <w:proofErr w:type="spellStart"/>
      <w:r>
        <w:t>tr</w:t>
      </w:r>
      <w:proofErr w:type="spellEnd"/>
      <w:r>
        <w:t xml:space="preserve">) and the temperature gradient (ΔT/ΔL) in the heated transition zone HtZ2 (ΔL = 0.15 m). The obtained heating ramp was slightly higher (3–6 °C/s) than slow pyrolysis conditions (0.5–2 °C/s) but still considerably lower than fast pyrolysis conditions </w:t>
      </w:r>
      <w:proofErr w:type="gramStart"/>
      <w:r>
        <w:t>( &gt;</w:t>
      </w:r>
      <w:proofErr w:type="gramEnd"/>
      <w:r>
        <w:t xml:space="preserve"> 16.6 °C/s). A helium gas flow rate of 250 l/h was maintained during the test, and the gases were entrained through an exhaust under vacuum. The char chamber was maintained at 180 °C to ensure not </w:t>
      </w:r>
      <w:proofErr w:type="spellStart"/>
      <w:r>
        <w:t>vapors</w:t>
      </w:r>
      <w:proofErr w:type="spellEnd"/>
      <w:r>
        <w:t xml:space="preserve"> condensation.</w:t>
      </w:r>
    </w:p>
    <w:p w:rsidR="0025126E" w:rsidRDefault="0025126E" w:rsidP="0025126E"/>
    <w:p w:rsidR="0025126E" w:rsidRDefault="0025126E" w:rsidP="0025126E">
      <w:r>
        <w:t>Operation was also performed in batch mode by modifying the same reactor without rotation (fixed bed) without incline. The load of 100 g of cellulose was placed in the heated zone. A heating ramp rate of 5 °C/min was programmed from room temperature to 750 °C. It was then held for 1 h at 750 °C under isothermal conditions. A helium gas flow rate of 250 l/h was maintained during the test.</w:t>
      </w:r>
    </w:p>
    <w:p w:rsidR="0025126E" w:rsidRDefault="0025126E" w:rsidP="0025126E"/>
    <w:p w:rsidR="0025126E" w:rsidRDefault="0025126E" w:rsidP="0025126E">
      <w:r>
        <w:t>2.1.3. Production in a pilot plant pyrolysis unit</w:t>
      </w:r>
    </w:p>
    <w:p w:rsidR="0025126E" w:rsidRDefault="0025126E" w:rsidP="0025126E"/>
    <w:p w:rsidR="0025126E" w:rsidRDefault="0025126E" w:rsidP="0025126E">
      <w:proofErr w:type="spellStart"/>
      <w:r>
        <w:t>Biochars</w:t>
      </w:r>
      <w:proofErr w:type="spellEnd"/>
      <w:r>
        <w:t xml:space="preserve"> were also produced in an auger pilot plant (semi-continuous mode). Further details of the reactor configuration, schematic and operating conditions are described elsewhere [13</w:t>
      </w:r>
      <w:proofErr w:type="gramStart"/>
      <w:r>
        <w:t>,14</w:t>
      </w:r>
      <w:proofErr w:type="gramEnd"/>
      <w:r>
        <w:t>]. The pyrolysis was performed in isothermal conditions at the pyrolysis temperature of 550 ± 30 °C and 15 min of residence time. This residence time was given by the speed of the endless screw and the volume of the material [15]. The endless screw speed was fixed constant based on previous studies, as well as the volume of the material was fixed through an intermediate chamber. In this scale 10 kg of raw biomass were processed in each test.</w:t>
      </w:r>
    </w:p>
    <w:p w:rsidR="0025126E" w:rsidRDefault="0025126E" w:rsidP="0025126E"/>
    <w:p w:rsidR="0025126E" w:rsidRDefault="0025126E" w:rsidP="0025126E">
      <w:r>
        <w:t>2.2. Analytical methodology</w:t>
      </w:r>
    </w:p>
    <w:p w:rsidR="0025126E" w:rsidRDefault="0025126E" w:rsidP="0025126E"/>
    <w:p w:rsidR="0025126E" w:rsidRDefault="0025126E" w:rsidP="0025126E">
      <w:r>
        <w:t>2.2.1. Sample preparation</w:t>
      </w:r>
    </w:p>
    <w:p w:rsidR="0025126E" w:rsidRDefault="0025126E" w:rsidP="0025126E"/>
    <w:p w:rsidR="0025126E" w:rsidRDefault="0025126E" w:rsidP="0025126E">
      <w:r>
        <w:t xml:space="preserve">The biomasses pass through a cutting branch machine to get a length of 30 mm and 50 mm for the rape straw and vine shoot, respectively. Afterwards, they were dried </w:t>
      </w:r>
      <w:r>
        <w:lastRenderedPageBreak/>
        <w:t>within a greenhouse for 48 h extended on the ground and homogenised with a shovel, collecting part for the pilot plant tests. For the semi-pilot tests, the material was grinded in a laboratory mill “JGMR6 cutting and shearing” with a mesh size of 4 mm.</w:t>
      </w:r>
    </w:p>
    <w:p w:rsidR="0025126E" w:rsidRDefault="0025126E" w:rsidP="0025126E"/>
    <w:p w:rsidR="0025126E" w:rsidRDefault="0025126E" w:rsidP="0025126E">
      <w:r>
        <w:t xml:space="preserve">After the pilot plant test, all the solid fraction passed through a riffle box (53 cm length and 25 cm wide) taking ¼ of the sample, and this process was repeated for a second time to get a sample size nearly of 150 g. Then, it was grinded in a blade mill passing through a mesh size of 0.5 mm. </w:t>
      </w:r>
      <w:proofErr w:type="gramStart"/>
      <w:r>
        <w:t>Afterwards</w:t>
      </w:r>
      <w:proofErr w:type="gramEnd"/>
      <w:r>
        <w:t xml:space="preserve">, the sample was homogenised and representative samples for analyses were obtained by coning and quartering. For the semi-pilot reactor samples, all the solid fraction passed through an automatic rotatory sample divisor FRISTSCH </w:t>
      </w:r>
      <w:proofErr w:type="spellStart"/>
      <w:r>
        <w:t>laborette</w:t>
      </w:r>
      <w:proofErr w:type="spellEnd"/>
      <w:r>
        <w:t xml:space="preserve"> 24, getting samples of nearly 8 g that were grinded in a blade mill passing through a mesh size of 0.5 mm. Previous to any test, the samples were always homogenised and taken from different parts with a spatula.</w:t>
      </w:r>
    </w:p>
    <w:p w:rsidR="0025126E" w:rsidRDefault="0025126E" w:rsidP="0025126E"/>
    <w:p w:rsidR="0025126E" w:rsidRDefault="0025126E" w:rsidP="0025126E">
      <w:r>
        <w:t>2.2.2. Chemical characterisation of the raw and charred materials</w:t>
      </w:r>
    </w:p>
    <w:p w:rsidR="0025126E" w:rsidRDefault="0025126E" w:rsidP="0025126E"/>
    <w:p w:rsidR="0025126E" w:rsidRDefault="0025126E" w:rsidP="0025126E">
      <w:r>
        <w:t>The raw and charred materials obtained after pyrolysis were characterised by ultimate and proximate analyses. The ultimate analysis used a LECO CHN-600 analyser (from LECO Corporation, St. Joseph, Michigan, USA). The chemical elements C, H, N, were determined according to ASTM 5373. The total S content was determined with a LECO SC-132 analyser according to ASTM 4239. The O content was obtained by difference. The proximate analysis was performed for moisture, volatile matter and ash content, according to the norms UNE-EN 14,774–1:2010, UNE-EN 15,148:2010 and UNE-EN 14,775–2010, respectively.</w:t>
      </w:r>
    </w:p>
    <w:p w:rsidR="0025126E" w:rsidRDefault="0025126E" w:rsidP="0025126E"/>
    <w:p w:rsidR="0025126E" w:rsidRDefault="0025126E" w:rsidP="0025126E">
      <w:r>
        <w:t xml:space="preserve">The inorganic elements K, Ca, P, Mg and Na of charred materials were determined using inductively coupled plasma mass spectrometry (ICP-MS, Perkin Elmer ELAN DRC-e) following acid digestion in nitric acid. Samples (0.2 g) were digested in a microwave digester system (Perkin Elmer, </w:t>
      </w:r>
      <w:proofErr w:type="spellStart"/>
      <w:r>
        <w:t>Multiwave</w:t>
      </w:r>
      <w:proofErr w:type="spellEnd"/>
      <w:r>
        <w:t xml:space="preserve"> 3000) in 10 ml of nitric acid and heated from room temperature to 150 °C keeping it 100 min. After the digestion, they were diluted in pure water to get a dilution factor of 5000 with 2% of nitric acid for the ICP-MS analyses. The ICP-MS analyses were performed in duplicates.</w:t>
      </w:r>
    </w:p>
    <w:p w:rsidR="0025126E" w:rsidRDefault="0025126E" w:rsidP="0025126E"/>
    <w:p w:rsidR="0025126E" w:rsidRDefault="0025126E" w:rsidP="0025126E">
      <w:r>
        <w:t xml:space="preserve">The losses of leachable elements from the biochar due to solubilisation and weathering in soil (lixiviation following application to soil), were determined with 1 g of selected samples that were water washed in 100 ml of deionised water and by stirring for 1 h at 80 °C. Later, they were filtered with a 0.25 </w:t>
      </w:r>
      <w:proofErr w:type="spellStart"/>
      <w:r>
        <w:t>μm</w:t>
      </w:r>
      <w:proofErr w:type="spellEnd"/>
      <w:r>
        <w:t xml:space="preserve"> paper filter and air dried overnight under </w:t>
      </w:r>
      <w:proofErr w:type="gramStart"/>
      <w:r>
        <w:t>a</w:t>
      </w:r>
      <w:proofErr w:type="gramEnd"/>
      <w:r>
        <w:t xml:space="preserve"> extractor at room temperature.</w:t>
      </w:r>
    </w:p>
    <w:p w:rsidR="0025126E" w:rsidRDefault="0025126E" w:rsidP="0025126E"/>
    <w:p w:rsidR="0025126E" w:rsidRDefault="0025126E" w:rsidP="0025126E">
      <w:r>
        <w:t>2.3. Stability tests</w:t>
      </w:r>
    </w:p>
    <w:p w:rsidR="0025126E" w:rsidRDefault="0025126E" w:rsidP="0025126E"/>
    <w:p w:rsidR="0025126E" w:rsidRDefault="0025126E" w:rsidP="0025126E">
      <w:r>
        <w:t>2.3.1. R50 index</w:t>
      </w:r>
    </w:p>
    <w:p w:rsidR="0025126E" w:rsidRDefault="0025126E" w:rsidP="0025126E"/>
    <w:p w:rsidR="0025126E" w:rsidRDefault="0025126E" w:rsidP="0025126E">
      <w:r>
        <w:t xml:space="preserve">The R50 recalcitrance index was determined by thermogravimetric analysis (TGA) following the method described by Harvey et al. [6]. Samples of approximately 10 mg of biochar contained in alumina crucibles were heated from room temperature to 900 °C with a heating ramp rate of 10 °C/min in a constant air flow (50 ml/min) in a </w:t>
      </w:r>
      <w:proofErr w:type="spellStart"/>
      <w:r>
        <w:t>thermobalanced</w:t>
      </w:r>
      <w:proofErr w:type="spellEnd"/>
      <w:r>
        <w:t xml:space="preserve"> </w:t>
      </w:r>
      <w:proofErr w:type="spellStart"/>
      <w:r>
        <w:t>Mettler</w:t>
      </w:r>
      <w:proofErr w:type="spellEnd"/>
      <w:r>
        <w:t xml:space="preserve"> Toledo TGA/DSC1. The experiment was carried out at least twice for each sample and the reproducibility was good with deviations between thermogravimetric curves mainly occurring below 3.3% that gives </w:t>
      </w:r>
      <w:proofErr w:type="gramStart"/>
      <w:r>
        <w:t>an</w:t>
      </w:r>
      <w:proofErr w:type="gramEnd"/>
      <w:r>
        <w:t xml:space="preserve"> unique value of R50 per sample.</w:t>
      </w:r>
    </w:p>
    <w:p w:rsidR="0025126E" w:rsidRDefault="0025126E" w:rsidP="0025126E"/>
    <w:p w:rsidR="0025126E" w:rsidRDefault="0025126E" w:rsidP="0025126E">
      <w:r>
        <w:t>Thermogravimetric profiles were corrected for moisture and ash following the method described by Harvey et al. (2012) [6] and the index was obtained according to the Eq. (1):</w:t>
      </w:r>
    </w:p>
    <w:p w:rsidR="0025126E" w:rsidRDefault="0025126E" w:rsidP="0025126E"/>
    <w:p w:rsidR="0025126E" w:rsidRDefault="0025126E" w:rsidP="0025126E">
      <w:proofErr w:type="gramStart"/>
      <w:r>
        <w:t>equation(</w:t>
      </w:r>
      <w:proofErr w:type="gramEnd"/>
      <w:r>
        <w:t xml:space="preserve">1) </w:t>
      </w:r>
      <w:r>
        <w:t>R50T,X = T50X/T50GRAPHITE</w:t>
      </w:r>
    </w:p>
    <w:p w:rsidR="0025126E" w:rsidRDefault="0025126E" w:rsidP="0025126E">
      <w:proofErr w:type="gramStart"/>
      <w:r>
        <w:t>where</w:t>
      </w:r>
      <w:proofErr w:type="gramEnd"/>
      <w:r>
        <w:t xml:space="preserve"> T50 is the temperature at which 50% of the mass loss was oxidized, being TX for the biochar and TGRAPHITE for graphite. The T50 graphite value was taken as 886 °C [6].</w:t>
      </w:r>
    </w:p>
    <w:p w:rsidR="0025126E" w:rsidRDefault="0025126E" w:rsidP="0025126E"/>
    <w:p w:rsidR="0025126E" w:rsidRDefault="0025126E" w:rsidP="0025126E">
      <w:r>
        <w:t xml:space="preserve">Two types of tests were performed to evaluate the influence of leachable inorganics in the TGA </w:t>
      </w:r>
      <w:proofErr w:type="spellStart"/>
      <w:r>
        <w:t>thermogram</w:t>
      </w:r>
      <w:proofErr w:type="spellEnd"/>
      <w:r>
        <w:t xml:space="preserve"> profiles used to determine the R50 index. Initially, TGA analysis was performed on the unwashed </w:t>
      </w:r>
      <w:proofErr w:type="spellStart"/>
      <w:r>
        <w:t>biochars</w:t>
      </w:r>
      <w:proofErr w:type="spellEnd"/>
      <w:r>
        <w:t xml:space="preserve"> followed by TGA analysis of the washed </w:t>
      </w:r>
      <w:proofErr w:type="spellStart"/>
      <w:r>
        <w:t>biochars</w:t>
      </w:r>
      <w:proofErr w:type="spellEnd"/>
      <w:r>
        <w:t xml:space="preserve">. Therefore, a comparison between the TGA </w:t>
      </w:r>
      <w:proofErr w:type="spellStart"/>
      <w:r>
        <w:t>thermograms</w:t>
      </w:r>
      <w:proofErr w:type="spellEnd"/>
      <w:r>
        <w:t xml:space="preserve"> for the unwashed and washed </w:t>
      </w:r>
      <w:proofErr w:type="spellStart"/>
      <w:r>
        <w:t>biochars</w:t>
      </w:r>
      <w:proofErr w:type="spellEnd"/>
      <w:r>
        <w:t xml:space="preserve"> was assessed.</w:t>
      </w:r>
    </w:p>
    <w:p w:rsidR="0025126E" w:rsidRDefault="0025126E" w:rsidP="0025126E"/>
    <w:p w:rsidR="0025126E" w:rsidRDefault="0025126E" w:rsidP="0025126E">
      <w:r>
        <w:t>2.3.2. Accelerated ageing test</w:t>
      </w:r>
    </w:p>
    <w:p w:rsidR="0025126E" w:rsidRDefault="0025126E" w:rsidP="0025126E"/>
    <w:p w:rsidR="0025126E" w:rsidRDefault="0025126E" w:rsidP="0025126E">
      <w:r>
        <w:t xml:space="preserve">The accelerated ageing tests were performed based on the methodology developed by Cross and </w:t>
      </w:r>
      <w:proofErr w:type="spellStart"/>
      <w:r>
        <w:t>Sohi</w:t>
      </w:r>
      <w:proofErr w:type="spellEnd"/>
      <w:r>
        <w:t xml:space="preserve"> [9] and included thermal and chemical oxidation of the samples. The combination of the carbon content variation and the measurement of the mass loss provided a measure of the carbon stability. Thus, the carbon content was determined via ultimate analysis before and after the tests as detailed in Section 2.2.1. The remaining carbon (ΔC) is determined by Eq. (2</w:t>
      </w:r>
      <w:proofErr w:type="gramStart"/>
      <w:r>
        <w:t>)[</w:t>
      </w:r>
      <w:proofErr w:type="gramEnd"/>
      <w:r>
        <w:t>9]:</w:t>
      </w:r>
    </w:p>
    <w:p w:rsidR="0025126E" w:rsidRDefault="0025126E" w:rsidP="0025126E"/>
    <w:p w:rsidR="0025126E" w:rsidRDefault="0025126E" w:rsidP="0025126E"/>
    <w:p w:rsidR="0025126E" w:rsidRDefault="0025126E" w:rsidP="0025126E">
      <w:proofErr w:type="gramStart"/>
      <w:r>
        <w:t>equation(</w:t>
      </w:r>
      <w:proofErr w:type="gramEnd"/>
      <w:r>
        <w:t xml:space="preserve">2)  </w:t>
      </w:r>
      <w:r>
        <w:t xml:space="preserve">ΔC = (Br × </w:t>
      </w:r>
      <w:proofErr w:type="spellStart"/>
      <w:r>
        <w:t>BrC</w:t>
      </w:r>
      <w:proofErr w:type="spellEnd"/>
      <w:r>
        <w:t>)/(</w:t>
      </w:r>
      <w:proofErr w:type="spellStart"/>
      <w:r>
        <w:t>Bt</w:t>
      </w:r>
      <w:proofErr w:type="spellEnd"/>
      <w:r>
        <w:t xml:space="preserve"> × </w:t>
      </w:r>
      <w:proofErr w:type="spellStart"/>
      <w:r>
        <w:t>BtC</w:t>
      </w:r>
      <w:proofErr w:type="spellEnd"/>
      <w:r>
        <w:t>) × 100</w:t>
      </w:r>
    </w:p>
    <w:p w:rsidR="0025126E" w:rsidRDefault="0025126E" w:rsidP="0025126E">
      <w:proofErr w:type="gramStart"/>
      <w:r>
        <w:t>where</w:t>
      </w:r>
      <w:proofErr w:type="gramEnd"/>
      <w:r>
        <w:t xml:space="preserve"> Br is the residual mass of biochar after oxidation and </w:t>
      </w:r>
      <w:proofErr w:type="spellStart"/>
      <w:r>
        <w:t>BrC</w:t>
      </w:r>
      <w:proofErr w:type="spellEnd"/>
      <w:r>
        <w:t xml:space="preserve"> denotes the percentage of carbon and </w:t>
      </w:r>
      <w:proofErr w:type="spellStart"/>
      <w:r>
        <w:t>Bt</w:t>
      </w:r>
      <w:proofErr w:type="spellEnd"/>
      <w:r>
        <w:t xml:space="preserve"> is the initial mass of the biochar post-treatment and </w:t>
      </w:r>
      <w:proofErr w:type="spellStart"/>
      <w:r>
        <w:t>BtC</w:t>
      </w:r>
      <w:proofErr w:type="spellEnd"/>
      <w:r>
        <w:t xml:space="preserve"> represents the post-treatment percentage of carbon. The tests were performed four times per material.</w:t>
      </w:r>
    </w:p>
    <w:p w:rsidR="0025126E" w:rsidRDefault="0025126E" w:rsidP="0025126E"/>
    <w:p w:rsidR="0025126E" w:rsidRPr="00CC7D66" w:rsidRDefault="0025126E" w:rsidP="0025126E">
      <w:pPr>
        <w:rPr>
          <w:b/>
        </w:rPr>
      </w:pPr>
      <w:r w:rsidRPr="00CC7D66">
        <w:rPr>
          <w:b/>
        </w:rPr>
        <w:t>3. Results and discussion</w:t>
      </w:r>
    </w:p>
    <w:p w:rsidR="0025126E" w:rsidRDefault="0025126E" w:rsidP="0025126E"/>
    <w:p w:rsidR="0025126E" w:rsidRDefault="0025126E" w:rsidP="0025126E">
      <w:r>
        <w:t>3.1. Feedstock composition</w:t>
      </w:r>
    </w:p>
    <w:p w:rsidR="0025126E" w:rsidRDefault="0025126E" w:rsidP="0025126E"/>
    <w:p w:rsidR="0025126E" w:rsidRDefault="0025126E" w:rsidP="0025126E">
      <w:r>
        <w:t xml:space="preserve">The characterisation of the raw and charred materials is shown in Table 1. The raw materials contain C, H, N, O contents close to the average values of 47% of C, 6% of H, &lt;3% of N and 54% of O, identified in 150 residual biomasses by </w:t>
      </w:r>
      <w:proofErr w:type="spellStart"/>
      <w:r>
        <w:t>García</w:t>
      </w:r>
      <w:proofErr w:type="spellEnd"/>
      <w:r>
        <w:t xml:space="preserve"> et al. [16]. According to Table 1 the increase in the pyrolysis temperature results in an increase in the C content and a decrease in the O and H content coming from the increment of thermal degradation and loss of functional groups [17] in the biochar. Temperatures between 350 a 550 °C promote this thermal degradation reflected on the losses of volatiles and higher differences in C and O contents whilst at higher pyrolysis temperatures (550–650 °C), carbonisation is considered to be the dominant process [18] where hydrogen is released from radical losses and structural rearranged. The main inorganic elements of the biomasses are shown in Fig. 2(</w:t>
      </w:r>
      <w:proofErr w:type="spellStart"/>
      <w:r>
        <w:t>a</w:t>
      </w:r>
      <w:proofErr w:type="gramStart"/>
      <w:r>
        <w:t>,b</w:t>
      </w:r>
      <w:proofErr w:type="spellEnd"/>
      <w:proofErr w:type="gramEnd"/>
      <w:r>
        <w:t xml:space="preserve">). They generally follow the trend identified for agricultural residues (K2O &gt; </w:t>
      </w:r>
      <w:proofErr w:type="spellStart"/>
      <w:r>
        <w:t>CaO</w:t>
      </w:r>
      <w:proofErr w:type="spellEnd"/>
      <w:r>
        <w:t xml:space="preserve"> &gt; P2O5 &gt; </w:t>
      </w:r>
      <w:proofErr w:type="spellStart"/>
      <w:r>
        <w:t>MgO</w:t>
      </w:r>
      <w:proofErr w:type="spellEnd"/>
      <w:r>
        <w:t>) [19].</w:t>
      </w:r>
    </w:p>
    <w:p w:rsidR="0025126E" w:rsidRDefault="0025126E" w:rsidP="0025126E"/>
    <w:p w:rsidR="0025126E" w:rsidRDefault="0025126E" w:rsidP="0025126E">
      <w:r w:rsidRPr="0025126E">
        <w:rPr>
          <w:noProof/>
          <w:lang w:eastAsia="en-GB"/>
        </w:rPr>
        <w:drawing>
          <wp:inline distT="0" distB="0" distL="0" distR="0">
            <wp:extent cx="5731510" cy="1230600"/>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1230600"/>
                    </a:xfrm>
                    <a:prstGeom prst="rect">
                      <a:avLst/>
                    </a:prstGeom>
                    <a:noFill/>
                    <a:ln>
                      <a:noFill/>
                    </a:ln>
                  </pic:spPr>
                </pic:pic>
              </a:graphicData>
            </a:graphic>
          </wp:inline>
        </w:drawing>
      </w:r>
    </w:p>
    <w:p w:rsidR="0025126E" w:rsidRDefault="0025126E" w:rsidP="0025126E">
      <w:r>
        <w:t xml:space="preserve">Table 1.  </w:t>
      </w:r>
      <w:r>
        <w:t>Characterisation of biomasses and bio-chars produced from the semi-pilot (S-pilot) and the pilot reactor at different working temperatures (HHT).</w:t>
      </w:r>
    </w:p>
    <w:p w:rsidR="0025126E" w:rsidRDefault="0025126E" w:rsidP="0025126E"/>
    <w:p w:rsidR="0025126E" w:rsidRDefault="0025126E" w:rsidP="0025126E"/>
    <w:p w:rsidR="0025126E" w:rsidRDefault="0025126E" w:rsidP="0025126E"/>
    <w:p w:rsidR="0025126E" w:rsidRDefault="0025126E" w:rsidP="0025126E"/>
    <w:p w:rsidR="0025126E" w:rsidRDefault="0025126E" w:rsidP="0025126E"/>
    <w:p w:rsidR="0025126E" w:rsidRDefault="0025126E" w:rsidP="0025126E"/>
    <w:p w:rsidR="0025126E" w:rsidRDefault="0025126E" w:rsidP="0025126E">
      <w:r w:rsidRPr="0025126E">
        <w:rPr>
          <w:noProof/>
          <w:lang w:eastAsia="en-GB"/>
        </w:rPr>
        <w:drawing>
          <wp:inline distT="0" distB="0" distL="0" distR="0">
            <wp:extent cx="5731510" cy="254266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542665"/>
                    </a:xfrm>
                    <a:prstGeom prst="rect">
                      <a:avLst/>
                    </a:prstGeom>
                    <a:noFill/>
                    <a:ln>
                      <a:noFill/>
                    </a:ln>
                  </pic:spPr>
                </pic:pic>
              </a:graphicData>
            </a:graphic>
          </wp:inline>
        </w:drawing>
      </w:r>
    </w:p>
    <w:p w:rsidR="0025126E" w:rsidRDefault="0025126E" w:rsidP="0025126E">
      <w:r>
        <w:t xml:space="preserve">Fig. 2.  </w:t>
      </w:r>
      <w:r>
        <w:t xml:space="preserve">Inorganic elements (ppm) from the biomass and un-washed and washed </w:t>
      </w:r>
      <w:proofErr w:type="spellStart"/>
      <w:r>
        <w:t>biochars</w:t>
      </w:r>
      <w:proofErr w:type="spellEnd"/>
      <w:r>
        <w:t xml:space="preserve"> from the semi-pilot and pilot reactor.</w:t>
      </w:r>
    </w:p>
    <w:p w:rsidR="0025126E" w:rsidRDefault="0025126E" w:rsidP="0025126E"/>
    <w:p w:rsidR="0025126E" w:rsidRDefault="0025126E" w:rsidP="0025126E">
      <w:r>
        <w:t>3.2. R50 index</w:t>
      </w:r>
    </w:p>
    <w:p w:rsidR="0025126E" w:rsidRDefault="0025126E" w:rsidP="0025126E"/>
    <w:p w:rsidR="0025126E" w:rsidRDefault="0025126E" w:rsidP="0025126E">
      <w:r>
        <w:t xml:space="preserve">3.2.1. Leaching </w:t>
      </w:r>
      <w:proofErr w:type="spellStart"/>
      <w:r>
        <w:t>biochars</w:t>
      </w:r>
      <w:proofErr w:type="spellEnd"/>
      <w:r>
        <w:t xml:space="preserve"> and its effect on the combustion profiles</w:t>
      </w:r>
    </w:p>
    <w:p w:rsidR="0025126E" w:rsidRDefault="0025126E" w:rsidP="0025126E"/>
    <w:p w:rsidR="0025126E" w:rsidRDefault="0025126E" w:rsidP="0025126E">
      <w:r>
        <w:t xml:space="preserve">The K, Na, Mg, Ca and P elements concentration of the un-washed and washed </w:t>
      </w:r>
      <w:proofErr w:type="spellStart"/>
      <w:r>
        <w:t>biochars</w:t>
      </w:r>
      <w:proofErr w:type="spellEnd"/>
      <w:r>
        <w:t xml:space="preserve"> are shown in Fig. 2 for the rape straw (RSCs; c, d, e, </w:t>
      </w:r>
      <w:proofErr w:type="spellStart"/>
      <w:r>
        <w:t>i</w:t>
      </w:r>
      <w:proofErr w:type="spellEnd"/>
      <w:r>
        <w:t xml:space="preserve"> and j) and vine shoot (VSCs; f, g and h) </w:t>
      </w:r>
      <w:proofErr w:type="spellStart"/>
      <w:r>
        <w:t>biochars</w:t>
      </w:r>
      <w:proofErr w:type="spellEnd"/>
      <w:r>
        <w:t xml:space="preserve"> from the semi-pilot and pilot scale. Typically, their concentration is higher as the pyrolysis temperature increases. For the RSCs, K Ca and Na content decreased and, Mg and P were found in similar levels following washing, suggesting they are low-water leachable. The losses of K, Ca and others have been shown previously in biomasses [20] and </w:t>
      </w:r>
      <w:proofErr w:type="spellStart"/>
      <w:r>
        <w:t>biochars</w:t>
      </w:r>
      <w:proofErr w:type="spellEnd"/>
      <w:r>
        <w:t xml:space="preserve"> [21]. Kong et al. [21] reported that </w:t>
      </w:r>
      <w:proofErr w:type="spellStart"/>
      <w:r>
        <w:t>biochars</w:t>
      </w:r>
      <w:proofErr w:type="spellEnd"/>
      <w:r>
        <w:t xml:space="preserve"> produced from the woody part and </w:t>
      </w:r>
      <w:proofErr w:type="spellStart"/>
      <w:r>
        <w:t>biochars</w:t>
      </w:r>
      <w:proofErr w:type="spellEnd"/>
      <w:r>
        <w:t xml:space="preserve"> produced from the bark, leached approximately 40% and 20% Ca respectively. This </w:t>
      </w:r>
      <w:proofErr w:type="spellStart"/>
      <w:r>
        <w:t>behavior</w:t>
      </w:r>
      <w:proofErr w:type="spellEnd"/>
      <w:r>
        <w:t xml:space="preserve"> is related to the varying nature of the raw material and its inorganic matter forms that affect how they are incorporated into the biochar structure during pyrolysis affecting the potential for leaching. For the VSCs, the levels of P and K content decreased and the concentration of Ca, Na, and Mg increased, with the exception of Mg in h. The Ca+2 ions in </w:t>
      </w:r>
      <w:proofErr w:type="spellStart"/>
      <w:r>
        <w:t>vineshoot</w:t>
      </w:r>
      <w:proofErr w:type="spellEnd"/>
      <w:r>
        <w:t xml:space="preserve"> is located in the cell wall acting as crosslinking of </w:t>
      </w:r>
      <w:proofErr w:type="spellStart"/>
      <w:r>
        <w:t>pectins</w:t>
      </w:r>
      <w:proofErr w:type="spellEnd"/>
      <w:r>
        <w:t xml:space="preserve"> [22]. It is likely that during the pyrolysis it was bounded in the biochar structure in high proportion and, losses of water leachable inorganic matter meant a high </w:t>
      </w:r>
      <w:r>
        <w:lastRenderedPageBreak/>
        <w:t xml:space="preserve">concentration of them. It is remarkable that the different </w:t>
      </w:r>
      <w:proofErr w:type="spellStart"/>
      <w:r>
        <w:t>behavior</w:t>
      </w:r>
      <w:proofErr w:type="spellEnd"/>
      <w:r>
        <w:t xml:space="preserve"> in the leaching of inorganics from biochar suggest that are feedstock dependent.</w:t>
      </w:r>
    </w:p>
    <w:p w:rsidR="0025126E" w:rsidRDefault="0025126E" w:rsidP="0025126E"/>
    <w:p w:rsidR="0025126E" w:rsidRDefault="0025126E" w:rsidP="0025126E">
      <w:r>
        <w:t xml:space="preserve">The combustion profiles of the biochar by TGA for the un-washed and washed </w:t>
      </w:r>
      <w:proofErr w:type="spellStart"/>
      <w:r>
        <w:t>biochars</w:t>
      </w:r>
      <w:proofErr w:type="spellEnd"/>
      <w:r>
        <w:t xml:space="preserve"> are shown in Fig. 3. The influence of the removal of alkali metals is shown when the combustion profiles is displaced at higher temperatures compared to the un-washed </w:t>
      </w:r>
      <w:proofErr w:type="spellStart"/>
      <w:r>
        <w:t>biochars</w:t>
      </w:r>
      <w:proofErr w:type="spellEnd"/>
      <w:r>
        <w:t>. Thus, the T50 value at 50% mass loss during combustion is influenced by the presence of inorganics, masking a potentially higher stability. Other authors [20] and [23] have studied the effect of macronutrients in biomass combustion processes, and reported that inorganics influence volatiles release d</w:t>
      </w:r>
      <w:r>
        <w:t>uring pyrolysis and combustion.</w:t>
      </w:r>
    </w:p>
    <w:p w:rsidR="0025126E" w:rsidRDefault="0025126E" w:rsidP="0025126E">
      <w:r w:rsidRPr="0025126E">
        <w:rPr>
          <w:noProof/>
          <w:lang w:eastAsia="en-GB"/>
        </w:rPr>
        <w:drawing>
          <wp:inline distT="0" distB="0" distL="0" distR="0">
            <wp:extent cx="5731510" cy="4259806"/>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259806"/>
                    </a:xfrm>
                    <a:prstGeom prst="rect">
                      <a:avLst/>
                    </a:prstGeom>
                    <a:noFill/>
                    <a:ln>
                      <a:noFill/>
                    </a:ln>
                  </pic:spPr>
                </pic:pic>
              </a:graphicData>
            </a:graphic>
          </wp:inline>
        </w:drawing>
      </w:r>
      <w:r>
        <w:t xml:space="preserve">Fig 3: </w:t>
      </w:r>
      <w:r>
        <w:t xml:space="preserve">Combustion profiles of un-washed and washed </w:t>
      </w:r>
      <w:proofErr w:type="spellStart"/>
      <w:r>
        <w:t>biochars</w:t>
      </w:r>
      <w:proofErr w:type="spellEnd"/>
      <w:r>
        <w:t xml:space="preserve"> from semi-pilot and pilot plant.</w:t>
      </w:r>
    </w:p>
    <w:p w:rsidR="0025126E" w:rsidRDefault="0025126E" w:rsidP="0025126E"/>
    <w:p w:rsidR="0025126E" w:rsidRDefault="0025126E" w:rsidP="0025126E">
      <w:r>
        <w:t>A comparison of the combustion profiles displacements (Fig. 3) indicates that washing of VSCs results in a higher displacement of the T50 than RSCs. For RSCs the displacement is higher in RSC at 450 °C in which leachable K is at a maximum, decreasing to levels similar to that for VSCs (</w:t>
      </w:r>
      <w:r>
        <w:rPr>
          <w:rFonts w:ascii="Cambria Math" w:hAnsi="Cambria Math" w:cs="Cambria Math"/>
        </w:rPr>
        <w:t>∼</w:t>
      </w:r>
      <w:r>
        <w:t xml:space="preserve">15500 ppm). This result suggests that K should be reduced below a particular value to see the displacement of the combustion profiles. The K effect on combustion profiles was studied by </w:t>
      </w:r>
      <w:proofErr w:type="spellStart"/>
      <w:r>
        <w:t>Fahmi</w:t>
      </w:r>
      <w:proofErr w:type="spellEnd"/>
      <w:r>
        <w:t xml:space="preserve"> et al. </w:t>
      </w:r>
      <w:r>
        <w:lastRenderedPageBreak/>
        <w:t xml:space="preserve">[24] identifying that the maximum rate of mass loss from the combustion profile was moved to higher temperatures when K and Na content decreased. For VSCs the result also indicates that P is easily removed whereas in the case of RSCs it is insoluble and immobilized. As hypothesised, the lixiviation of K and P suggest that both were the elements that cause the higher influence in VSCs. According to </w:t>
      </w:r>
      <w:proofErr w:type="spellStart"/>
      <w:r>
        <w:t>Boström</w:t>
      </w:r>
      <w:proofErr w:type="spellEnd"/>
      <w:r>
        <w:t xml:space="preserve"> et al. [25] the P can be released as either P2O5 or P4O10 in combustion processes and the boiling point of P2O5 is 360 °C. It is likely that the effect of K combined with the release of P could promote an increased transfer of oxygen to the carbon surface reducing the burnout temperature.</w:t>
      </w:r>
    </w:p>
    <w:p w:rsidR="0025126E" w:rsidRDefault="0025126E" w:rsidP="0025126E"/>
    <w:p w:rsidR="0025126E" w:rsidRDefault="0025126E" w:rsidP="0025126E">
      <w:r>
        <w:t>3.2.2. Evaluation of R50 index values and a proposal of a new subscale</w:t>
      </w:r>
    </w:p>
    <w:p w:rsidR="0025126E" w:rsidRDefault="0025126E" w:rsidP="0025126E"/>
    <w:p w:rsidR="0025126E" w:rsidRDefault="0025126E" w:rsidP="0025126E">
      <w:r>
        <w:t xml:space="preserve">The effect of washing on the R50 index value of the chars produced in the semi-pilot (medium scale) and pilot (large scale) are summarised in Table 2. According to that, the influence of washing, the changes in the production systems or the changes in HHT from 450 to 650 °C are relatively small (maximum 0.05 </w:t>
      </w:r>
      <w:proofErr w:type="spellStart"/>
      <w:r>
        <w:t>ud</w:t>
      </w:r>
      <w:proofErr w:type="spellEnd"/>
      <w:r>
        <w:t xml:space="preserve">) When the chars are categorised between high (class A), medium (class B) or low (class C) stability, the un-washed chars and most of washed chars were into as class C (R50 &lt; 0.5) and when VSC at 650 °C (semi-pilot scale) and 550 °C (pilot scale) are washed they exhibit class B stability (0.5 &lt; R50 &lt; 0.7). Part of this findings have been identified to come from the T50 is divided by T50GRAPHITE (886 °C) [6] that seems to be a high reference to appreciate how the structural changes in biochar are reflected on its recalcitrant value. It is therefore proposed by the authors a new subscale to describe the changes occurring during the R50 index test, that are focused on assessments of biochar stability as shown in the schematic in Fig. 4. According to this figure, in the scale given by Harvey et al. [6], there are irrelevant data for biochar evaluation which are below the stability of the original biomass value </w:t>
      </w:r>
      <w:proofErr w:type="gramStart"/>
      <w:r>
        <w:t>Then</w:t>
      </w:r>
      <w:proofErr w:type="gramEnd"/>
      <w:r>
        <w:t xml:space="preserve">, taking the biomass stability as a reference, the evolution of the structure is better understood. For this reason the R50 index value of the raw cellulose (R50 = 0.37 [6]; CELL) is taken as a new zero value in the scale. In addition, the structure of the graphite would be raised in the case of biochar production at approximately 2500 °C [26]. This production condition is not considered suitable nor practical for the intended reduction of the carbon footprint </w:t>
      </w:r>
      <w:proofErr w:type="gramStart"/>
      <w:r>
        <w:t>that biochar offers</w:t>
      </w:r>
      <w:proofErr w:type="gramEnd"/>
      <w:r>
        <w:t xml:space="preserve">, due the high energy consumption. It is further proposed the graphite reference be replaced by a </w:t>
      </w:r>
      <w:proofErr w:type="spellStart"/>
      <w:r>
        <w:t>pyrolysed</w:t>
      </w:r>
      <w:proofErr w:type="spellEnd"/>
      <w:r>
        <w:t xml:space="preserve"> cellulose (PCELL) reference, as it is one of the main components of lignocellulosic biomass. Some studies have performed an evaluation of biochar production in a self-sustainable manner from laboratory to pilot scale [13], [14] and [27], where the highest HHT was found to be 750 °C and typical residence times ≤ 20 min. Limiting commonly biochar production in a range between 350 to 750 °C temperatures, pure cellulose was </w:t>
      </w:r>
      <w:proofErr w:type="spellStart"/>
      <w:r>
        <w:t>pyrolysed</w:t>
      </w:r>
      <w:proofErr w:type="spellEnd"/>
      <w:r>
        <w:t xml:space="preserve"> at 750 °C. The R50 value was 0.62 that is the new unit of the scale. This new scale is termed “gained stability” (GS). It is derived from the R50 index and </w:t>
      </w:r>
      <w:r>
        <w:lastRenderedPageBreak/>
        <w:t>compatible, taking it as a previous value. Conversion from R50 index to gained stability index of any studied char (x) is made by applying the following Eq. (4):</w:t>
      </w:r>
    </w:p>
    <w:p w:rsidR="0025126E" w:rsidRDefault="0025126E" w:rsidP="0025126E"/>
    <w:p w:rsidR="0025126E" w:rsidRDefault="0025126E" w:rsidP="0025126E"/>
    <w:p w:rsidR="0025126E" w:rsidRDefault="0025126E" w:rsidP="0025126E">
      <w:proofErr w:type="gramStart"/>
      <w:r>
        <w:t>equation(</w:t>
      </w:r>
      <w:proofErr w:type="gramEnd"/>
      <w:r>
        <w:t xml:space="preserve">4) </w:t>
      </w:r>
      <w:r>
        <w:t>GS = (R50X − R50CELL)/(R50PCELL − R50CELL)</w:t>
      </w:r>
    </w:p>
    <w:p w:rsidR="0025126E" w:rsidRDefault="0025126E" w:rsidP="0025126E">
      <w:proofErr w:type="gramStart"/>
      <w:r>
        <w:t>where</w:t>
      </w:r>
      <w:proofErr w:type="gramEnd"/>
      <w:r>
        <w:t xml:space="preserve"> R50X is the R50 value of the charred product under analysis; R50PCELL is the R50 value of </w:t>
      </w:r>
      <w:proofErr w:type="spellStart"/>
      <w:r>
        <w:t>pyrolysed</w:t>
      </w:r>
      <w:proofErr w:type="spellEnd"/>
      <w:r>
        <w:t xml:space="preserve"> cellulose (1 h, HHT = 750 °C) previously determined (R50PCELL = 0.62, T50 = 545 °C) and RCELL is the R50 value of the cellulose (RCELL = 0.37). Therefore, Eq. (4) can be simplified as:</w:t>
      </w:r>
    </w:p>
    <w:p w:rsidR="0025126E" w:rsidRDefault="0025126E" w:rsidP="0025126E"/>
    <w:p w:rsidR="0025126E" w:rsidRDefault="0025126E" w:rsidP="0025126E">
      <w:proofErr w:type="gramStart"/>
      <w:r>
        <w:t>equation(</w:t>
      </w:r>
      <w:proofErr w:type="gramEnd"/>
      <w:r>
        <w:t xml:space="preserve">5) </w:t>
      </w:r>
      <w:r>
        <w:t>GS = (R50X − 0.37)/0.25</w:t>
      </w:r>
    </w:p>
    <w:p w:rsidR="0025126E" w:rsidRDefault="0025126E" w:rsidP="0025126E"/>
    <w:p w:rsidR="0025126E" w:rsidRDefault="0025126E" w:rsidP="0025126E">
      <w:r w:rsidRPr="0025126E">
        <w:rPr>
          <w:noProof/>
          <w:lang w:eastAsia="en-GB"/>
        </w:rPr>
        <w:drawing>
          <wp:inline distT="0" distB="0" distL="0" distR="0">
            <wp:extent cx="5743575" cy="2186710"/>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5264" cy="2194968"/>
                    </a:xfrm>
                    <a:prstGeom prst="rect">
                      <a:avLst/>
                    </a:prstGeom>
                    <a:noFill/>
                    <a:ln>
                      <a:noFill/>
                    </a:ln>
                  </pic:spPr>
                </pic:pic>
              </a:graphicData>
            </a:graphic>
          </wp:inline>
        </w:drawing>
      </w:r>
    </w:p>
    <w:p w:rsidR="0025126E" w:rsidRDefault="0025126E" w:rsidP="0025126E">
      <w:r>
        <w:t xml:space="preserve">Table 2.  </w:t>
      </w:r>
      <w:r>
        <w:t>R50 index from un-washed (</w:t>
      </w:r>
      <w:proofErr w:type="spellStart"/>
      <w:proofErr w:type="gramStart"/>
      <w:r>
        <w:t>Uw</w:t>
      </w:r>
      <w:proofErr w:type="spellEnd"/>
      <w:proofErr w:type="gramEnd"/>
      <w:r>
        <w:t xml:space="preserve">) and washed (w) </w:t>
      </w:r>
      <w:proofErr w:type="spellStart"/>
      <w:r>
        <w:t>biochars</w:t>
      </w:r>
      <w:proofErr w:type="spellEnd"/>
      <w:r>
        <w:t xml:space="preserve"> produced from the semi-pilot (S-pilot) and the pilot reactor at different working temperatures (HHT).</w:t>
      </w:r>
    </w:p>
    <w:p w:rsidR="0025126E" w:rsidRDefault="0025126E" w:rsidP="0025126E"/>
    <w:p w:rsidR="0025126E" w:rsidRDefault="0025126E" w:rsidP="0025126E"/>
    <w:p w:rsidR="0025126E" w:rsidRDefault="0025126E" w:rsidP="0025126E">
      <w:r w:rsidRPr="0025126E">
        <w:rPr>
          <w:noProof/>
          <w:lang w:eastAsia="en-GB"/>
        </w:rPr>
        <w:lastRenderedPageBreak/>
        <w:drawing>
          <wp:inline distT="0" distB="0" distL="0" distR="0">
            <wp:extent cx="5734050" cy="3605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899" cy="3617881"/>
                    </a:xfrm>
                    <a:prstGeom prst="rect">
                      <a:avLst/>
                    </a:prstGeom>
                    <a:noFill/>
                    <a:ln>
                      <a:noFill/>
                    </a:ln>
                  </pic:spPr>
                </pic:pic>
              </a:graphicData>
            </a:graphic>
          </wp:inline>
        </w:drawing>
      </w:r>
    </w:p>
    <w:p w:rsidR="0025126E" w:rsidRDefault="0025126E" w:rsidP="0025126E">
      <w:r>
        <w:t xml:space="preserve">Fig. 4. </w:t>
      </w:r>
      <w:r>
        <w:t>Scheme o</w:t>
      </w:r>
      <w:r>
        <w:t>f gained stability index (R50).</w:t>
      </w:r>
    </w:p>
    <w:p w:rsidR="0025126E" w:rsidRDefault="0025126E" w:rsidP="0025126E"/>
    <w:p w:rsidR="0025126E" w:rsidRDefault="0025126E" w:rsidP="0025126E">
      <w:r>
        <w:t xml:space="preserve">In this new subscale it is considered that some chars could get values higher than the unit when they will have been produced at higher residence times (&gt;1 h), at higher temperatures (&gt;750 °C) or they come from </w:t>
      </w:r>
      <w:proofErr w:type="spellStart"/>
      <w:r>
        <w:t>non lignocellulosic</w:t>
      </w:r>
      <w:proofErr w:type="spellEnd"/>
      <w:r>
        <w:t xml:space="preserve"> source. For example, graphite is now considered as the equivalent structure of biochar produced at extreme pyrolysis conditions (HTT &gt; 2500 °C) possessing a gained stability index of 2.52.</w:t>
      </w:r>
    </w:p>
    <w:p w:rsidR="0025126E" w:rsidRDefault="0025126E" w:rsidP="0025126E">
      <w:r>
        <w:t xml:space="preserve">The Table 2 summaries the GS values for the previous R50 index values. Taking as reference the washed and un-washed char from VSC at 550 °C, the 0.05 </w:t>
      </w:r>
      <w:proofErr w:type="spellStart"/>
      <w:r>
        <w:t>ud</w:t>
      </w:r>
      <w:proofErr w:type="spellEnd"/>
      <w:r>
        <w:t xml:space="preserve"> variation between R50 values has changed to 0.2 </w:t>
      </w:r>
      <w:proofErr w:type="spellStart"/>
      <w:r>
        <w:t>ud</w:t>
      </w:r>
      <w:proofErr w:type="spellEnd"/>
      <w:r>
        <w:t xml:space="preserve"> variation in GS values. This 0.2 </w:t>
      </w:r>
      <w:proofErr w:type="spellStart"/>
      <w:r>
        <w:t>ud</w:t>
      </w:r>
      <w:proofErr w:type="spellEnd"/>
      <w:r>
        <w:t xml:space="preserve"> variation means that leachable elements mask 20% of the stability gained by the cellulose during its structural change to char at 750 °C. Thus, the effect of leachable elements become relevant when performing thermogravimetric assays. Furthermore, the stability variation from producing char at 650 °C rather than 450 °C is now 16% of the stability gained by the cellulose that can be considered a significant structural change in the char caused by the HHT. Finally, variations deriving from working at the same temperature but with different reactors (semi-pilot and pilot scales) reflects a change of 12% between the washed RSCs at 550 °C, shedding light on the influence pyrolysis conditions on the stability of the resulting </w:t>
      </w:r>
      <w:proofErr w:type="spellStart"/>
      <w:r>
        <w:t>biochars</w:t>
      </w:r>
      <w:proofErr w:type="spellEnd"/>
      <w:r>
        <w:t>. Then, the GS index would represent how the structural stability gained by the cellulose needs more energy to be oxidised and being more recalcitrant.</w:t>
      </w:r>
    </w:p>
    <w:p w:rsidR="0025126E" w:rsidRDefault="0025126E" w:rsidP="0025126E"/>
    <w:p w:rsidR="0025126E" w:rsidRDefault="0025126E" w:rsidP="0025126E">
      <w:r>
        <w:lastRenderedPageBreak/>
        <w:t xml:space="preserve">3.3. Accelerated ageing test and its </w:t>
      </w:r>
      <w:proofErr w:type="spellStart"/>
      <w:r>
        <w:t>rrelation</w:t>
      </w:r>
      <w:proofErr w:type="spellEnd"/>
      <w:r>
        <w:t xml:space="preserve"> with R50</w:t>
      </w:r>
    </w:p>
    <w:p w:rsidR="0025126E" w:rsidRDefault="0025126E" w:rsidP="0025126E"/>
    <w:p w:rsidR="0025126E" w:rsidRDefault="0025126E" w:rsidP="0025126E">
      <w:r>
        <w:t xml:space="preserve">Cross and </w:t>
      </w:r>
      <w:proofErr w:type="spellStart"/>
      <w:r>
        <w:t>Sohi</w:t>
      </w:r>
      <w:proofErr w:type="spellEnd"/>
      <w:r>
        <w:t xml:space="preserve"> [9] developed a method to estimate the permanency of biochar in soils based on a slow and oxidative degradation similar to that thought to occur to carbon in soils. The released carbon is expected to be degraded within 100 years based on a Q10 estimation. Table 3 compares the results from the semi-pilot and pilot scales produced chars. As can be seen, as the HHT increases, there is an increase in the remaining carbon. Moreover, as the thermal treatment is further the stability also is higher as biochar from pilot plant showed higher stability than semi-pilot scale.</w:t>
      </w:r>
    </w:p>
    <w:p w:rsidR="0025126E" w:rsidRDefault="0025126E" w:rsidP="0025126E"/>
    <w:p w:rsidR="0025126E" w:rsidRDefault="0025126E" w:rsidP="0025126E">
      <w:r w:rsidRPr="0025126E">
        <w:rPr>
          <w:noProof/>
          <w:lang w:eastAsia="en-GB"/>
        </w:rPr>
        <w:drawing>
          <wp:inline distT="0" distB="0" distL="0" distR="0">
            <wp:extent cx="5705475" cy="2454838"/>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2783" cy="2466588"/>
                    </a:xfrm>
                    <a:prstGeom prst="rect">
                      <a:avLst/>
                    </a:prstGeom>
                    <a:noFill/>
                    <a:ln>
                      <a:noFill/>
                    </a:ln>
                  </pic:spPr>
                </pic:pic>
              </a:graphicData>
            </a:graphic>
          </wp:inline>
        </w:drawing>
      </w:r>
    </w:p>
    <w:p w:rsidR="0025126E" w:rsidRDefault="0025126E" w:rsidP="0025126E">
      <w:r>
        <w:t xml:space="preserve">Table 3.  </w:t>
      </w:r>
      <w:r>
        <w:t xml:space="preserve">Ageing test from </w:t>
      </w:r>
      <w:proofErr w:type="spellStart"/>
      <w:r>
        <w:t>biochars</w:t>
      </w:r>
      <w:proofErr w:type="spellEnd"/>
      <w:r>
        <w:t xml:space="preserve"> produced from the semi-pilot (S-pilot) and the pilot reactor at different working temperatures (HHT).</w:t>
      </w:r>
    </w:p>
    <w:p w:rsidR="0025126E" w:rsidRDefault="0025126E" w:rsidP="0025126E"/>
    <w:p w:rsidR="0025126E" w:rsidRDefault="0025126E" w:rsidP="0025126E">
      <w:r>
        <w:t xml:space="preserve">An assessment of both R50 and accelerated ageing test, identifies the need to bridge the gap between these two approaches being essential to better understand the carbon stability. Nguyen et al. [28] studied the black carbon </w:t>
      </w:r>
      <w:proofErr w:type="spellStart"/>
      <w:r>
        <w:t>behavior</w:t>
      </w:r>
      <w:proofErr w:type="spellEnd"/>
      <w:r>
        <w:t xml:space="preserve"> from charred material coming from the soil of burnt forests by </w:t>
      </w:r>
      <w:proofErr w:type="spellStart"/>
      <w:r>
        <w:t>analyzing</w:t>
      </w:r>
      <w:proofErr w:type="spellEnd"/>
      <w:r>
        <w:t xml:space="preserve"> samples from 2, 3, 5, 20, 30, 50, 80, and 100 years. They found that those charred materials became stabilised in terms of their carbon emissions after 30 years. </w:t>
      </w:r>
      <w:proofErr w:type="spellStart"/>
      <w:r>
        <w:t>Stablising</w:t>
      </w:r>
      <w:proofErr w:type="spellEnd"/>
      <w:r>
        <w:t xml:space="preserve"> an analogous </w:t>
      </w:r>
      <w:proofErr w:type="spellStart"/>
      <w:r>
        <w:t>behavior</w:t>
      </w:r>
      <w:proofErr w:type="spellEnd"/>
      <w:r>
        <w:t xml:space="preserve">, despite R50 is currently linked to a degradative </w:t>
      </w:r>
      <w:proofErr w:type="spellStart"/>
      <w:r>
        <w:t>behavior</w:t>
      </w:r>
      <w:proofErr w:type="spellEnd"/>
      <w:r>
        <w:t xml:space="preserve">, this relation is settled in short terms of time, not being enough to determinate the global pattern of biochar stability </w:t>
      </w:r>
      <w:proofErr w:type="spellStart"/>
      <w:r>
        <w:t>behavior</w:t>
      </w:r>
      <w:proofErr w:type="spellEnd"/>
      <w:r>
        <w:t xml:space="preserve"> in soils in long terms. As a consequence, the link between R50 and accelerated ageing test could help to fill the gap. Both R50 index and accelerated ageing tests should be adjusted previous to identify a correlation between them. For this purpose, some assumptions have to be defined. Firstly, the R50 index is analysed from the gained stability sub-</w:t>
      </w:r>
      <w:proofErr w:type="spellStart"/>
      <w:r>
        <w:t>escale</w:t>
      </w:r>
      <w:proofErr w:type="spellEnd"/>
      <w:r>
        <w:t xml:space="preserve">. Secondly, some modifications have to be made in the ageing test. According to Cross and </w:t>
      </w:r>
      <w:proofErr w:type="spellStart"/>
      <w:r>
        <w:t>Sohi</w:t>
      </w:r>
      <w:proofErr w:type="spellEnd"/>
      <w:r>
        <w:t xml:space="preserve"> [9], the stability of some </w:t>
      </w:r>
      <w:proofErr w:type="spellStart"/>
      <w:r>
        <w:t>unpyrolysed</w:t>
      </w:r>
      <w:proofErr w:type="spellEnd"/>
      <w:r>
        <w:t xml:space="preserve"> feedstock were found to be around 40% but these </w:t>
      </w:r>
      <w:r>
        <w:lastRenderedPageBreak/>
        <w:t xml:space="preserve">authors proposed that physical access of the oxidant were impeded at the cellular scale by intact cell walls. Thus, based on this assumption and that almost 90% of the biomass carbon is lost in 5 years [29], the zero scale is taken for the biomass expecting being almost completed degraded under the oxidation time fixed by the method. Thirdly, both tests establish that the stability of the graphite is close to 100% being a reference point. Finally, to generate another relevant point in both scales, accelerated ageing tests was performed on </w:t>
      </w:r>
      <w:proofErr w:type="spellStart"/>
      <w:r>
        <w:t>pyrolysed</w:t>
      </w:r>
      <w:proofErr w:type="spellEnd"/>
      <w:r>
        <w:t xml:space="preserve"> cellulose (1 h, HHT = 750 °C; Table 3).</w:t>
      </w:r>
    </w:p>
    <w:p w:rsidR="0025126E" w:rsidRDefault="0025126E" w:rsidP="0025126E"/>
    <w:p w:rsidR="0025126E" w:rsidRDefault="0025126E" w:rsidP="0025126E">
      <w:r>
        <w:t xml:space="preserve">For setting the correlation, washed </w:t>
      </w:r>
      <w:proofErr w:type="spellStart"/>
      <w:r>
        <w:t>biochars</w:t>
      </w:r>
      <w:proofErr w:type="spellEnd"/>
      <w:r>
        <w:t xml:space="preserve"> were taken as a reference as inorganic matter has been proven to mask the real value in the R50 index. It was also rejected </w:t>
      </w:r>
      <w:proofErr w:type="spellStart"/>
      <w:r>
        <w:t>biochars</w:t>
      </w:r>
      <w:proofErr w:type="spellEnd"/>
      <w:r>
        <w:t xml:space="preserve"> with high volatiles which come from the adsorption of volatiles during pyrolysis and not from their intrinsic content. This type of </w:t>
      </w:r>
      <w:proofErr w:type="spellStart"/>
      <w:r>
        <w:t>biochars</w:t>
      </w:r>
      <w:proofErr w:type="spellEnd"/>
      <w:r>
        <w:t xml:space="preserve"> are characterised by a strong odour coming adsorbed hydrocarbons showing high moisture content and a higher volatile content than expected. This limitation is included due to R50 index is not able to detect them but accelerated ageing tests are sensitive to that (see Appendix A). Thus, VSC 550 °C semi-pilot is not included.</w:t>
      </w:r>
    </w:p>
    <w:p w:rsidR="0025126E" w:rsidRDefault="0025126E" w:rsidP="0025126E"/>
    <w:p w:rsidR="0025126E" w:rsidRDefault="0025126E" w:rsidP="0025126E">
      <w:r>
        <w:t xml:space="preserve">The Fig. 5 shows the relation between the GS index and the accelerated ageing test. A strong correlation (R = 0.97) is found when their function is </w:t>
      </w:r>
      <w:proofErr w:type="spellStart"/>
      <w:r>
        <w:t>linearised</w:t>
      </w:r>
      <w:proofErr w:type="spellEnd"/>
      <w:r>
        <w:t xml:space="preserve"> according with the following equation: y = 10.57 × ln(x) + 98.44, being y the percent point of the accelerated ageing test and x the GS value for a given biochar. It can be noted that as the structural thermal strength increases, the remaining biochar carbon increases within the soil for biochar produced above 450 °C. Further work should be necessary for matching the </w:t>
      </w:r>
      <w:proofErr w:type="spellStart"/>
      <w:r>
        <w:t>behavior</w:t>
      </w:r>
      <w:proofErr w:type="spellEnd"/>
      <w:r>
        <w:t xml:space="preserve"> at lower temperatures. Finally, it is assumable from the figure that cellulose </w:t>
      </w:r>
      <w:proofErr w:type="spellStart"/>
      <w:r>
        <w:t>pyrolysed</w:t>
      </w:r>
      <w:proofErr w:type="spellEnd"/>
      <w:r>
        <w:t xml:space="preserve"> at 750 °C seems to match as good reference for biochar stability.</w:t>
      </w:r>
    </w:p>
    <w:p w:rsidR="0025126E" w:rsidRDefault="0025126E" w:rsidP="0025126E"/>
    <w:p w:rsidR="0025126E" w:rsidRDefault="0025126E" w:rsidP="0025126E">
      <w:r w:rsidRPr="0025126E">
        <w:rPr>
          <w:noProof/>
          <w:lang w:eastAsia="en-GB"/>
        </w:rPr>
        <w:lastRenderedPageBreak/>
        <w:drawing>
          <wp:inline distT="0" distB="0" distL="0" distR="0">
            <wp:extent cx="5924550" cy="383186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8067" cy="3840612"/>
                    </a:xfrm>
                    <a:prstGeom prst="rect">
                      <a:avLst/>
                    </a:prstGeom>
                    <a:noFill/>
                    <a:ln>
                      <a:noFill/>
                    </a:ln>
                  </pic:spPr>
                </pic:pic>
              </a:graphicData>
            </a:graphic>
          </wp:inline>
        </w:drawing>
      </w:r>
    </w:p>
    <w:p w:rsidR="0025126E" w:rsidRDefault="0025126E" w:rsidP="0025126E">
      <w:r>
        <w:t xml:space="preserve">Fig. 5.  </w:t>
      </w:r>
      <w:r>
        <w:t>Stability correlation from the gained stability index (R50 index) and the logarithm of the percent points from accelerated ageing tests. Biomass zero value is considered 0.0001 for GSCELL and 0.01 for the percent point of its ageing test.</w:t>
      </w:r>
    </w:p>
    <w:p w:rsidR="0025126E" w:rsidRDefault="0025126E" w:rsidP="0025126E"/>
    <w:p w:rsidR="0025126E" w:rsidRPr="00C0624D" w:rsidRDefault="0025126E" w:rsidP="0025126E">
      <w:pPr>
        <w:rPr>
          <w:b/>
        </w:rPr>
      </w:pPr>
      <w:r w:rsidRPr="00C0624D">
        <w:rPr>
          <w:b/>
        </w:rPr>
        <w:t>4. Conclusions</w:t>
      </w:r>
    </w:p>
    <w:p w:rsidR="0025126E" w:rsidRDefault="0025126E" w:rsidP="0025126E"/>
    <w:p w:rsidR="0025126E" w:rsidRDefault="0025126E" w:rsidP="0025126E">
      <w:r>
        <w:t>The current work has demonstrated an improvement in the R50 index used to characterise carbon stability. Firstly, it was shown that biochar should be washed prior to thermogravimetric analysis in order to obtain an accurate measure of the R50 index. Biochar washing accounts for natural leaching (water runoff) that are likely to occur after soil application. Secondly, a new subscale modified from the R50 index is proposed to gain further information about the changes developed by the biochar, termed as “gained stability”. This scale is also based on the evaluation of the pyrolysis conditions for biochar production in a sustainable manner. Furthermore, relation with the ageing test was determined linking the R50 index with a long term temporary scale. The thermal stability is a function of structural bond energy and can now be linked with the stability that biochar will show under a slow, oxidative (abiotic and enzyme-mediated) degradation similar that they would develop in soils.</w:t>
      </w:r>
    </w:p>
    <w:p w:rsidR="0025126E" w:rsidRDefault="0025126E" w:rsidP="0025126E"/>
    <w:p w:rsidR="0025126E" w:rsidRDefault="0025126E" w:rsidP="0025126E"/>
    <w:p w:rsidR="0025126E" w:rsidRDefault="0025126E" w:rsidP="0025126E"/>
    <w:p w:rsidR="0025126E" w:rsidRPr="00C0624D" w:rsidRDefault="0025126E" w:rsidP="0025126E">
      <w:pPr>
        <w:rPr>
          <w:b/>
        </w:rPr>
      </w:pPr>
      <w:r w:rsidRPr="00C0624D">
        <w:rPr>
          <w:b/>
        </w:rPr>
        <w:lastRenderedPageBreak/>
        <w:t>Acknowledgements</w:t>
      </w:r>
    </w:p>
    <w:p w:rsidR="0025126E" w:rsidRDefault="0025126E" w:rsidP="0025126E"/>
    <w:p w:rsidR="0025126E" w:rsidRDefault="0025126E" w:rsidP="0025126E">
      <w:r>
        <w:t xml:space="preserve">The authors wish to thank Ciudad de la </w:t>
      </w:r>
      <w:proofErr w:type="spellStart"/>
      <w:r>
        <w:t>Energía</w:t>
      </w:r>
      <w:proofErr w:type="spellEnd"/>
      <w:r>
        <w:t xml:space="preserve"> Foundation for funding Natalia Gómez </w:t>
      </w:r>
      <w:proofErr w:type="spellStart"/>
      <w:r>
        <w:t>Marín</w:t>
      </w:r>
      <w:proofErr w:type="spellEnd"/>
      <w:r>
        <w:t xml:space="preserve"> to undertake this research under the </w:t>
      </w:r>
      <w:proofErr w:type="spellStart"/>
      <w:r>
        <w:t>Ciuden</w:t>
      </w:r>
      <w:proofErr w:type="spellEnd"/>
      <w:r>
        <w:t>-University of León agreement during the year 2014 and to the European Commission, Directorate General for Research &amp; Innovation for funding the FERTIPLUS Project (Grant Agreement N°: 289853) supporting Surjit Singh.</w:t>
      </w:r>
    </w:p>
    <w:p w:rsidR="0025126E" w:rsidRDefault="0025126E" w:rsidP="0025126E"/>
    <w:p w:rsidR="0025126E" w:rsidRPr="00C0624D" w:rsidRDefault="0025126E" w:rsidP="0025126E">
      <w:pPr>
        <w:rPr>
          <w:b/>
        </w:rPr>
      </w:pPr>
      <w:r w:rsidRPr="00C0624D">
        <w:rPr>
          <w:b/>
        </w:rPr>
        <w:t>Appendix A</w:t>
      </w:r>
    </w:p>
    <w:p w:rsidR="0025126E" w:rsidRDefault="0025126E" w:rsidP="0025126E"/>
    <w:p w:rsidR="0025126E" w:rsidRDefault="0025126E" w:rsidP="0025126E">
      <w:r>
        <w:t xml:space="preserve">The ageing test is able to identify the difference between contaminated char batches with low-volatiles from the same process. Two </w:t>
      </w:r>
      <w:proofErr w:type="spellStart"/>
      <w:r>
        <w:t>biochars</w:t>
      </w:r>
      <w:proofErr w:type="spellEnd"/>
      <w:r>
        <w:t xml:space="preserve"> from rape straw processed in the semi-pilot reactor and with the same working conditions (550 °C) are compared as they developed different characteristics after pyrolysis process as shows Fig. A1. The first biochar was processed correctly and is label as uncontaminated (550A). The second biochar presented high levels of moisture and volatiles and is label as contaminated (550B). The contamination of the latest is caused by high levels of volatiles, resulting from a lower temperatures in the char chamber when the char has already been produced and is stored during pyrolysis processing. This phenomena </w:t>
      </w:r>
      <w:proofErr w:type="spellStart"/>
      <w:r>
        <w:t>causedcondensation</w:t>
      </w:r>
      <w:proofErr w:type="spellEnd"/>
      <w:r>
        <w:t xml:space="preserve"> and adsorption of light volatiles that become in contact with biochar surface in the char chamber. This younger char has low oxidation surface and adsorb hydrophobic molecules [30]. This </w:t>
      </w:r>
      <w:proofErr w:type="spellStart"/>
      <w:r>
        <w:t>behavior</w:t>
      </w:r>
      <w:proofErr w:type="spellEnd"/>
      <w:r>
        <w:t xml:space="preserve"> has been reported also by other authors during char production [31] and [32]. The samples are characterised by a strong odour coming adsorbed hydrocarbons, showing high moisture content and a higher volatile content than expected that mask low volatiles such as acetone, benzene, methyl ethyl ketone, </w:t>
      </w:r>
      <w:proofErr w:type="spellStart"/>
      <w:r>
        <w:t>etc</w:t>
      </w:r>
      <w:proofErr w:type="spellEnd"/>
      <w:r>
        <w:t xml:space="preserve"> [32]. Those low-volatiles are constantly released at room temperature giving biochar the strong odour.</w:t>
      </w:r>
    </w:p>
    <w:p w:rsidR="0025126E" w:rsidRDefault="0025126E" w:rsidP="0025126E"/>
    <w:p w:rsidR="0025126E" w:rsidRDefault="0025126E" w:rsidP="0025126E">
      <w:r w:rsidRPr="0025126E">
        <w:rPr>
          <w:noProof/>
          <w:lang w:eastAsia="en-GB"/>
        </w:rPr>
        <w:lastRenderedPageBreak/>
        <w:drawing>
          <wp:inline distT="0" distB="0" distL="0" distR="0">
            <wp:extent cx="5619750" cy="3310860"/>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5457" cy="3320114"/>
                    </a:xfrm>
                    <a:prstGeom prst="rect">
                      <a:avLst/>
                    </a:prstGeom>
                    <a:noFill/>
                    <a:ln>
                      <a:noFill/>
                    </a:ln>
                  </pic:spPr>
                </pic:pic>
              </a:graphicData>
            </a:graphic>
          </wp:inline>
        </w:drawing>
      </w:r>
    </w:p>
    <w:p w:rsidR="0025126E" w:rsidRDefault="0025126E" w:rsidP="0025126E">
      <w:r>
        <w:t xml:space="preserve">Fig. A1.  </w:t>
      </w:r>
      <w:r>
        <w:t>Relation between volatiles and stability given by ageing test from chars.</w:t>
      </w:r>
    </w:p>
    <w:p w:rsidR="0025126E" w:rsidRDefault="0025126E" w:rsidP="0025126E"/>
    <w:p w:rsidR="0025126E" w:rsidRDefault="0025126E" w:rsidP="0025126E">
      <w:r>
        <w:t>Table A2 shows the stability differences between uncontaminated and contaminated char. By comparison of both uncontaminated and contaminated chars a difference in 10% of volatiles between them (see Table A1) decreases the stability percent point almost 20%. The fact that ageing test can identify this difference, might come from its correlation with the volatile content (R = 0.73) (see Fig. A1).</w:t>
      </w:r>
    </w:p>
    <w:p w:rsidR="0025126E" w:rsidRDefault="0025126E" w:rsidP="0025126E"/>
    <w:p w:rsidR="0025126E" w:rsidRDefault="0025126E" w:rsidP="0025126E">
      <w:r>
        <w:t xml:space="preserve">Table A1. </w:t>
      </w:r>
      <w:r>
        <w:t>Characterisation of uncontaminated (550 °C A) and contaminated c</w:t>
      </w:r>
      <w:r w:rsidR="00C0624D">
        <w:t>har (550 °C B) from rape straw.</w:t>
      </w:r>
    </w:p>
    <w:p w:rsidR="0025126E" w:rsidRDefault="00C0624D" w:rsidP="0025126E">
      <w:r w:rsidRPr="0025126E">
        <w:rPr>
          <w:noProof/>
          <w:lang w:eastAsia="en-GB"/>
        </w:rPr>
        <w:drawing>
          <wp:inline distT="0" distB="0" distL="0" distR="0" wp14:anchorId="16748D03" wp14:editId="10526A82">
            <wp:extent cx="5467061" cy="89535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1778" cy="897760"/>
                    </a:xfrm>
                    <a:prstGeom prst="rect">
                      <a:avLst/>
                    </a:prstGeom>
                    <a:noFill/>
                    <a:ln>
                      <a:noFill/>
                    </a:ln>
                  </pic:spPr>
                </pic:pic>
              </a:graphicData>
            </a:graphic>
          </wp:inline>
        </w:drawing>
      </w:r>
    </w:p>
    <w:p w:rsidR="00C0624D" w:rsidRDefault="00C0624D" w:rsidP="00C0624D">
      <w:r>
        <w:t>Table A2. Comparison of uncontaminated (550 °C A) and contaminated char (550 °C B) from rape straw.</w:t>
      </w:r>
    </w:p>
    <w:p w:rsidR="0025126E" w:rsidRDefault="00C0624D" w:rsidP="0025126E">
      <w:r w:rsidRPr="0025126E">
        <w:rPr>
          <w:noProof/>
          <w:lang w:eastAsia="en-GB"/>
        </w:rPr>
        <w:drawing>
          <wp:inline distT="0" distB="0" distL="0" distR="0" wp14:anchorId="77AEA610" wp14:editId="02259B11">
            <wp:extent cx="5731510" cy="135392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353925"/>
                    </a:xfrm>
                    <a:prstGeom prst="rect">
                      <a:avLst/>
                    </a:prstGeom>
                    <a:noFill/>
                    <a:ln>
                      <a:noFill/>
                    </a:ln>
                  </pic:spPr>
                </pic:pic>
              </a:graphicData>
            </a:graphic>
          </wp:inline>
        </w:drawing>
      </w:r>
    </w:p>
    <w:p w:rsidR="0025126E" w:rsidRDefault="0025126E" w:rsidP="0025126E"/>
    <w:p w:rsidR="0025126E" w:rsidRPr="00C0624D" w:rsidRDefault="0025126E" w:rsidP="0025126E">
      <w:pPr>
        <w:rPr>
          <w:b/>
        </w:rPr>
      </w:pPr>
      <w:r w:rsidRPr="00C0624D">
        <w:rPr>
          <w:b/>
        </w:rPr>
        <w:t>References</w:t>
      </w:r>
    </w:p>
    <w:p w:rsidR="0025126E" w:rsidRDefault="0025126E" w:rsidP="0025126E"/>
    <w:p w:rsidR="0025126E" w:rsidRDefault="00C0624D" w:rsidP="0025126E">
      <w:r>
        <w:t xml:space="preserve">[1] </w:t>
      </w:r>
      <w:r w:rsidR="0025126E">
        <w:t xml:space="preserve">K. Qian, A. Kumar, </w:t>
      </w:r>
      <w:r>
        <w:t xml:space="preserve">H. Zhang, D. </w:t>
      </w:r>
      <w:proofErr w:type="spellStart"/>
      <w:r>
        <w:t>Bellmer</w:t>
      </w:r>
      <w:proofErr w:type="spellEnd"/>
      <w:r>
        <w:t xml:space="preserve">, R. </w:t>
      </w:r>
      <w:proofErr w:type="spellStart"/>
      <w:r>
        <w:t>Huhnke</w:t>
      </w:r>
      <w:proofErr w:type="spellEnd"/>
      <w:r>
        <w:t xml:space="preserve">, </w:t>
      </w:r>
      <w:r w:rsidR="0025126E">
        <w:t>Recent adv</w:t>
      </w:r>
      <w:r>
        <w:t xml:space="preserve">ances in utilization of biochar, </w:t>
      </w:r>
      <w:r w:rsidR="0025126E">
        <w:t>Renew. Sustain. Energy</w:t>
      </w:r>
      <w:r>
        <w:t xml:space="preserve"> Rev., 42 (2015), pp. 1055–1064</w:t>
      </w:r>
    </w:p>
    <w:p w:rsidR="0025126E" w:rsidRDefault="00C0624D" w:rsidP="0025126E">
      <w:r>
        <w:t xml:space="preserve">[2] </w:t>
      </w:r>
      <w:r w:rsidR="0025126E">
        <w:t>C.C. Johannes L</w:t>
      </w:r>
      <w:r>
        <w:t xml:space="preserve">ehmann, David Laird, Saran </w:t>
      </w:r>
      <w:proofErr w:type="spellStart"/>
      <w:r>
        <w:t>Sohi</w:t>
      </w:r>
      <w:proofErr w:type="spellEnd"/>
      <w:r>
        <w:t xml:space="preserve">, </w:t>
      </w:r>
      <w:r w:rsidR="0025126E">
        <w:t>S</w:t>
      </w:r>
      <w:r>
        <w:t xml:space="preserve">tability of biochar in the soil, </w:t>
      </w:r>
      <w:r w:rsidR="0025126E">
        <w:t xml:space="preserve">Biochar for Environmental Management: Science and Technology, </w:t>
      </w:r>
      <w:proofErr w:type="spellStart"/>
      <w:r w:rsidR="0025126E">
        <w:t>Earthscan</w:t>
      </w:r>
      <w:proofErr w:type="spellEnd"/>
      <w:r w:rsidR="0025126E">
        <w:t xml:space="preserve"> Publishers Ltd, London (2009), pp. 183–198</w:t>
      </w:r>
    </w:p>
    <w:p w:rsidR="0025126E" w:rsidRDefault="0025126E" w:rsidP="0025126E"/>
    <w:p w:rsidR="0025126E" w:rsidRDefault="00C0624D" w:rsidP="0025126E">
      <w:r>
        <w:t xml:space="preserve">[3] </w:t>
      </w:r>
      <w:r w:rsidR="0025126E">
        <w:t xml:space="preserve">A. </w:t>
      </w:r>
      <w:proofErr w:type="spellStart"/>
      <w:r w:rsidR="0025126E">
        <w:t>Budai</w:t>
      </w:r>
      <w:proofErr w:type="spellEnd"/>
      <w:r w:rsidR="0025126E">
        <w:t xml:space="preserve">, A.R. Zimmerman, A.L. Cowie, J.B.W. Webber, B.P. Singh, B. Glaser, C.A. </w:t>
      </w:r>
      <w:proofErr w:type="spellStart"/>
      <w:r w:rsidR="0025126E">
        <w:t>Masiello</w:t>
      </w:r>
      <w:proofErr w:type="spellEnd"/>
      <w:r w:rsidR="0025126E">
        <w:t xml:space="preserve">, D. </w:t>
      </w:r>
      <w:proofErr w:type="spellStart"/>
      <w:r w:rsidR="0025126E">
        <w:t>Andersson</w:t>
      </w:r>
      <w:proofErr w:type="spellEnd"/>
      <w:r w:rsidR="0025126E">
        <w:t xml:space="preserve">, F. Shields, J. Lehmann, M. Camps </w:t>
      </w:r>
      <w:proofErr w:type="spellStart"/>
      <w:r w:rsidR="0025126E">
        <w:t>Arbestain</w:t>
      </w:r>
      <w:proofErr w:type="spellEnd"/>
      <w:r w:rsidR="0025126E">
        <w:t xml:space="preserve">, </w:t>
      </w:r>
      <w:r>
        <w:t xml:space="preserve">M. Williams, S. </w:t>
      </w:r>
      <w:proofErr w:type="spellStart"/>
      <w:r>
        <w:t>Sohi</w:t>
      </w:r>
      <w:proofErr w:type="spellEnd"/>
      <w:r>
        <w:t xml:space="preserve">, S. Joseph, </w:t>
      </w:r>
      <w:r w:rsidR="0025126E">
        <w:t>Biochar Carbon Stability Test Method: An Assessment of Methods to Determin</w:t>
      </w:r>
      <w:r>
        <w:t xml:space="preserve">e Biochar Carbon Stability, </w:t>
      </w:r>
      <w:r w:rsidR="0025126E">
        <w:t>International Biochar Initiative (2013)</w:t>
      </w:r>
    </w:p>
    <w:p w:rsidR="0025126E" w:rsidRDefault="0025126E" w:rsidP="0025126E"/>
    <w:p w:rsidR="0025126E" w:rsidRDefault="00C0624D" w:rsidP="0025126E">
      <w:r>
        <w:t xml:space="preserve">[4] </w:t>
      </w:r>
      <w:r w:rsidR="0025126E">
        <w:t>Y. Sun, B. Gao, Y. Yao, J. Fang, M. Z</w:t>
      </w:r>
      <w:r>
        <w:t xml:space="preserve">hang, Y. Zhou, H. Chen, L. Yang, </w:t>
      </w:r>
      <w:r w:rsidR="0025126E">
        <w:t>Effects of feedstock type, production method, and pyrolysis temperature on b</w:t>
      </w:r>
      <w:r>
        <w:t xml:space="preserve">iochar and </w:t>
      </w:r>
      <w:proofErr w:type="spellStart"/>
      <w:r>
        <w:t>hydrochar</w:t>
      </w:r>
      <w:proofErr w:type="spellEnd"/>
      <w:r>
        <w:t xml:space="preserve"> properties, </w:t>
      </w:r>
      <w:r w:rsidR="0025126E">
        <w:t>Chem. Eng. J., 240 (2014), pp. 574–578</w:t>
      </w:r>
    </w:p>
    <w:p w:rsidR="0025126E" w:rsidRDefault="0025126E" w:rsidP="0025126E"/>
    <w:p w:rsidR="0025126E" w:rsidRDefault="0025126E" w:rsidP="0025126E">
      <w:r>
        <w:t>[5]</w:t>
      </w:r>
      <w:r w:rsidR="00C0624D">
        <w:t xml:space="preserve"> </w:t>
      </w:r>
      <w:r>
        <w:t>M.I. Al-</w:t>
      </w:r>
      <w:proofErr w:type="spellStart"/>
      <w:r>
        <w:t>Wabel</w:t>
      </w:r>
      <w:proofErr w:type="spellEnd"/>
      <w:r>
        <w:t>, A. Al-</w:t>
      </w:r>
      <w:proofErr w:type="spellStart"/>
      <w:r>
        <w:t>Omran</w:t>
      </w:r>
      <w:proofErr w:type="spellEnd"/>
      <w:r>
        <w:t>, A.H. El-</w:t>
      </w:r>
      <w:proofErr w:type="spellStart"/>
      <w:r>
        <w:t>Naggar</w:t>
      </w:r>
      <w:proofErr w:type="spellEnd"/>
      <w:r>
        <w:t>, M. Nadeem, A.R.A. Usman</w:t>
      </w:r>
      <w:r w:rsidR="00C0624D">
        <w:t xml:space="preserve">, </w:t>
      </w:r>
      <w:proofErr w:type="gramStart"/>
      <w:r>
        <w:t>Pyrolysis</w:t>
      </w:r>
      <w:proofErr w:type="gramEnd"/>
      <w:r>
        <w:t xml:space="preserve"> temperature induced changes in characteristics and chemical composition of biochar </w:t>
      </w:r>
      <w:r w:rsidR="00C0624D">
        <w:t xml:space="preserve">produced from </w:t>
      </w:r>
      <w:proofErr w:type="spellStart"/>
      <w:r w:rsidR="00C0624D">
        <w:t>conocarpus</w:t>
      </w:r>
      <w:proofErr w:type="spellEnd"/>
      <w:r w:rsidR="00C0624D">
        <w:t xml:space="preserve"> wastes, </w:t>
      </w:r>
      <w:proofErr w:type="spellStart"/>
      <w:r>
        <w:t>Bioresour</w:t>
      </w:r>
      <w:proofErr w:type="spellEnd"/>
      <w:r>
        <w:t>. Technol., 131 (2013), pp. 374–379</w:t>
      </w:r>
    </w:p>
    <w:p w:rsidR="0025126E" w:rsidRDefault="0025126E" w:rsidP="0025126E"/>
    <w:p w:rsidR="0025126E" w:rsidRDefault="0025126E" w:rsidP="0025126E"/>
    <w:p w:rsidR="0025126E" w:rsidRDefault="00C0624D" w:rsidP="0025126E">
      <w:r>
        <w:t xml:space="preserve">[6] </w:t>
      </w:r>
      <w:r w:rsidR="0025126E">
        <w:t xml:space="preserve">O.R. Harvey, L.-J. </w:t>
      </w:r>
      <w:proofErr w:type="spellStart"/>
      <w:r w:rsidR="0025126E">
        <w:t>Kuo</w:t>
      </w:r>
      <w:proofErr w:type="spellEnd"/>
      <w:r w:rsidR="0025126E">
        <w:t xml:space="preserve">, A.R. Zimmerman, P. </w:t>
      </w:r>
      <w:proofErr w:type="spellStart"/>
      <w:r w:rsidR="0025126E">
        <w:t>Louchoua</w:t>
      </w:r>
      <w:r>
        <w:t>rn</w:t>
      </w:r>
      <w:proofErr w:type="spellEnd"/>
      <w:r>
        <w:t xml:space="preserve">, J.E. </w:t>
      </w:r>
      <w:proofErr w:type="spellStart"/>
      <w:r>
        <w:t>Amonette</w:t>
      </w:r>
      <w:proofErr w:type="spellEnd"/>
      <w:r>
        <w:t xml:space="preserve">, B.E. Herbert, </w:t>
      </w:r>
      <w:r w:rsidR="0025126E">
        <w:t>An index-based approach to assessing recalcitrance and soil carbon sequestration potential of engineered black carbons (</w:t>
      </w:r>
      <w:proofErr w:type="spellStart"/>
      <w:r w:rsidR="0025126E">
        <w:t>Biochars</w:t>
      </w:r>
      <w:proofErr w:type="spellEnd"/>
      <w:r w:rsidR="0025126E">
        <w:t>), Env</w:t>
      </w:r>
      <w:r>
        <w:t xml:space="preserve">ironmental Science &amp; Technology, </w:t>
      </w:r>
      <w:r w:rsidR="0025126E">
        <w:t>Am. Chem. Soc., 46 (2012), pp. 1415–1421</w:t>
      </w:r>
    </w:p>
    <w:p w:rsidR="0025126E" w:rsidRDefault="0025126E" w:rsidP="0025126E"/>
    <w:p w:rsidR="0025126E" w:rsidRDefault="00C0624D" w:rsidP="0025126E">
      <w:r>
        <w:t xml:space="preserve">[7] </w:t>
      </w:r>
      <w:r w:rsidR="0025126E">
        <w:t>J.H. Windeatt, A.B. Ross, P.T. Williams, P.M</w:t>
      </w:r>
      <w:r>
        <w:t xml:space="preserve">. Forster, M.A. </w:t>
      </w:r>
      <w:proofErr w:type="spellStart"/>
      <w:r>
        <w:t>Nahil</w:t>
      </w:r>
      <w:proofErr w:type="spellEnd"/>
      <w:r>
        <w:t xml:space="preserve">, S. Singh, </w:t>
      </w:r>
      <w:r w:rsidR="0025126E">
        <w:t xml:space="preserve">Characteristics of </w:t>
      </w:r>
      <w:proofErr w:type="spellStart"/>
      <w:r w:rsidR="0025126E">
        <w:t>biochars</w:t>
      </w:r>
      <w:proofErr w:type="spellEnd"/>
      <w:r w:rsidR="0025126E">
        <w:t xml:space="preserve"> from crop residues: potential for carbon sequestration and </w:t>
      </w:r>
      <w:r>
        <w:t xml:space="preserve">soil amendment, </w:t>
      </w:r>
      <w:r w:rsidR="0025126E">
        <w:t xml:space="preserve">J. Environ. </w:t>
      </w:r>
      <w:proofErr w:type="gramStart"/>
      <w:r w:rsidR="0025126E">
        <w:t>Manage.,</w:t>
      </w:r>
      <w:proofErr w:type="gramEnd"/>
      <w:r w:rsidR="0025126E">
        <w:t xml:space="preserve"> 146 (2014), pp. 189–197</w:t>
      </w:r>
    </w:p>
    <w:p w:rsidR="0025126E" w:rsidRDefault="0025126E" w:rsidP="0025126E"/>
    <w:p w:rsidR="0025126E" w:rsidRDefault="00C0624D" w:rsidP="0025126E">
      <w:r>
        <w:t xml:space="preserve">[8] </w:t>
      </w:r>
      <w:r w:rsidR="0025126E">
        <w:t xml:space="preserve">R. </w:t>
      </w:r>
      <w:proofErr w:type="spellStart"/>
      <w:r w:rsidR="0025126E">
        <w:t>Fahmi</w:t>
      </w:r>
      <w:proofErr w:type="spellEnd"/>
      <w:r w:rsidR="0025126E">
        <w:t>, A.V. Bridgwater, I.</w:t>
      </w:r>
      <w:r>
        <w:t xml:space="preserve"> </w:t>
      </w:r>
      <w:proofErr w:type="spellStart"/>
      <w:r>
        <w:t>Donnison</w:t>
      </w:r>
      <w:proofErr w:type="spellEnd"/>
      <w:r>
        <w:t xml:space="preserve">, N. Yates, J.M. Jones, </w:t>
      </w:r>
      <w:r w:rsidR="0025126E">
        <w:t>The effect of lignin and inorganic species in biomass on pyrolysis oi</w:t>
      </w:r>
      <w:r>
        <w:t xml:space="preserve">l yields, quality and stability, </w:t>
      </w:r>
      <w:r w:rsidR="0025126E">
        <w:t>Fuel, 87 (2008), pp. 1230–1240</w:t>
      </w:r>
    </w:p>
    <w:p w:rsidR="0025126E" w:rsidRDefault="0025126E" w:rsidP="0025126E"/>
    <w:p w:rsidR="0025126E" w:rsidRDefault="00C0624D" w:rsidP="0025126E">
      <w:r>
        <w:t xml:space="preserve">[9] A. Cross, S.P. </w:t>
      </w:r>
      <w:proofErr w:type="spellStart"/>
      <w:r>
        <w:t>Sohi</w:t>
      </w:r>
      <w:proofErr w:type="spellEnd"/>
      <w:r>
        <w:t xml:space="preserve">, </w:t>
      </w:r>
      <w:r w:rsidR="0025126E">
        <w:t>A method for screening the relative</w:t>
      </w:r>
      <w:r>
        <w:t xml:space="preserve"> long-term stability of biochar, </w:t>
      </w:r>
      <w:r w:rsidR="0025126E">
        <w:t>GCB Bioenergy, 5 (2013), pp. 215–220</w:t>
      </w:r>
    </w:p>
    <w:p w:rsidR="0025126E" w:rsidRDefault="0025126E" w:rsidP="0025126E"/>
    <w:p w:rsidR="0025126E" w:rsidRDefault="00C0624D" w:rsidP="0025126E">
      <w:r>
        <w:t xml:space="preserve">[10] P. McKendry, </w:t>
      </w:r>
      <w:r w:rsidR="0025126E">
        <w:t>Energy production from biomas</w:t>
      </w:r>
      <w:r>
        <w:t xml:space="preserve">s (part 1): overview of biomass, </w:t>
      </w:r>
      <w:proofErr w:type="spellStart"/>
      <w:r w:rsidR="0025126E">
        <w:t>Bioresour</w:t>
      </w:r>
      <w:proofErr w:type="spellEnd"/>
      <w:r w:rsidR="0025126E">
        <w:t>. Technol., 83 (2002), pp. 37–46</w:t>
      </w:r>
    </w:p>
    <w:p w:rsidR="0025126E" w:rsidRDefault="0025126E" w:rsidP="0025126E"/>
    <w:p w:rsidR="0025126E" w:rsidRDefault="00C0624D" w:rsidP="0025126E">
      <w:r>
        <w:t xml:space="preserve">[11] </w:t>
      </w:r>
      <w:r w:rsidR="0025126E">
        <w:t>L. Jiménez, V. Angulo, E. Ramos</w:t>
      </w:r>
      <w:r>
        <w:t xml:space="preserve">, M.J. De la Torre, J.L. Ferrer, </w:t>
      </w:r>
      <w:r w:rsidR="0025126E">
        <w:t xml:space="preserve">Comparison of various pulping processes for </w:t>
      </w:r>
      <w:r>
        <w:t xml:space="preserve">producing pulp from vine shoots, </w:t>
      </w:r>
      <w:r w:rsidR="0025126E">
        <w:t>Ind. Crops Prod., 23 (2006), pp. 122–130</w:t>
      </w:r>
    </w:p>
    <w:p w:rsidR="0025126E" w:rsidRDefault="0025126E" w:rsidP="0025126E"/>
    <w:p w:rsidR="0025126E" w:rsidRDefault="00C0624D" w:rsidP="0025126E">
      <w:r>
        <w:t xml:space="preserve">[12] P. </w:t>
      </w:r>
      <w:proofErr w:type="spellStart"/>
      <w:r>
        <w:t>Basu</w:t>
      </w:r>
      <w:proofErr w:type="spellEnd"/>
      <w:r>
        <w:t xml:space="preserve">, Chapter 5—pyrolysis, </w:t>
      </w:r>
      <w:proofErr w:type="spellStart"/>
      <w:r w:rsidR="0025126E">
        <w:t>Prabir</w:t>
      </w:r>
      <w:proofErr w:type="spellEnd"/>
      <w:r w:rsidR="0025126E">
        <w:t xml:space="preserve"> </w:t>
      </w:r>
      <w:proofErr w:type="spellStart"/>
      <w:r w:rsidR="0025126E">
        <w:t>Basu</w:t>
      </w:r>
      <w:proofErr w:type="spellEnd"/>
      <w:r w:rsidR="0025126E">
        <w:t xml:space="preserve"> (Ed.), Biomass Gasification, Pyrolysis and </w:t>
      </w:r>
      <w:proofErr w:type="spellStart"/>
      <w:r w:rsidR="0025126E">
        <w:t>Torrefaction</w:t>
      </w:r>
      <w:proofErr w:type="spellEnd"/>
      <w:r w:rsidR="0025126E">
        <w:t xml:space="preserve"> (second edition), Academic Press, Boston (2013), pp. 147–176</w:t>
      </w:r>
    </w:p>
    <w:p w:rsidR="0025126E" w:rsidRDefault="0025126E" w:rsidP="0025126E"/>
    <w:p w:rsidR="0025126E" w:rsidRDefault="00C0624D" w:rsidP="0025126E">
      <w:r>
        <w:t xml:space="preserve">[13] </w:t>
      </w:r>
      <w:r w:rsidR="0025126E">
        <w:t xml:space="preserve">N. Gómez, J.G. Rosas, J. Cara, O. </w:t>
      </w:r>
      <w:proofErr w:type="spellStart"/>
      <w:r w:rsidR="0025126E">
        <w:t>Martínez</w:t>
      </w:r>
      <w:proofErr w:type="spellEnd"/>
      <w:r w:rsidR="0025126E">
        <w:t xml:space="preserve">, </w:t>
      </w:r>
      <w:r>
        <w:t xml:space="preserve">J.A. </w:t>
      </w:r>
      <w:proofErr w:type="spellStart"/>
      <w:r>
        <w:t>Alburquerque</w:t>
      </w:r>
      <w:proofErr w:type="spellEnd"/>
      <w:r>
        <w:t xml:space="preserve">, M.E. Sánchez, </w:t>
      </w:r>
      <w:r w:rsidR="0025126E">
        <w:t>Slow pyrolysis of relevant biomasses in the Mediterranean basin. Part 1. Effect of temperature on proce</w:t>
      </w:r>
      <w:r>
        <w:t xml:space="preserve">ss performance on a pilot scale, </w:t>
      </w:r>
      <w:r w:rsidR="0025126E">
        <w:t>J. Clean. Prod., 120 (2016), pp. 181–190 http://dx.doi.org/10.1016/j.jclepro.2014.10.082</w:t>
      </w:r>
    </w:p>
    <w:p w:rsidR="0025126E" w:rsidRDefault="0025126E" w:rsidP="0025126E"/>
    <w:p w:rsidR="0025126E" w:rsidRDefault="00C0624D" w:rsidP="0025126E">
      <w:r>
        <w:t xml:space="preserve">[14] </w:t>
      </w:r>
      <w:r w:rsidR="0025126E">
        <w:t>J.G. Rosas, N. Gómez, J. Cara, J</w:t>
      </w:r>
      <w:r>
        <w:t xml:space="preserve">. </w:t>
      </w:r>
      <w:proofErr w:type="spellStart"/>
      <w:r>
        <w:t>Ubalde</w:t>
      </w:r>
      <w:proofErr w:type="spellEnd"/>
      <w:r>
        <w:t xml:space="preserve">, X. Sort, M.E. Sánchez, </w:t>
      </w:r>
      <w:r w:rsidR="0025126E">
        <w:t>Assessment of sustainable biochar production for carbon a</w:t>
      </w:r>
      <w:r>
        <w:t xml:space="preserve">batement from vineyard residues, </w:t>
      </w:r>
      <w:r w:rsidR="0025126E">
        <w:t>J. Anal. Appl. Pyrolysis, 113 (2015), pp. 239–247</w:t>
      </w:r>
    </w:p>
    <w:p w:rsidR="0025126E" w:rsidRDefault="0025126E" w:rsidP="0025126E"/>
    <w:p w:rsidR="0025126E" w:rsidRDefault="00C0624D" w:rsidP="0025126E">
      <w:r>
        <w:t xml:space="preserve">[15] </w:t>
      </w:r>
      <w:r w:rsidR="0025126E">
        <w:t xml:space="preserve">R.W. </w:t>
      </w:r>
      <w:proofErr w:type="spellStart"/>
      <w:r w:rsidR="0025126E">
        <w:t>Nachenius</w:t>
      </w:r>
      <w:proofErr w:type="spellEnd"/>
      <w:r w:rsidR="0025126E">
        <w:t>, T.A. va</w:t>
      </w:r>
      <w:r>
        <w:t xml:space="preserve">n de </w:t>
      </w:r>
      <w:proofErr w:type="spellStart"/>
      <w:r>
        <w:t>Wardt</w:t>
      </w:r>
      <w:proofErr w:type="spellEnd"/>
      <w:r>
        <w:t xml:space="preserve">, F. </w:t>
      </w:r>
      <w:proofErr w:type="spellStart"/>
      <w:r>
        <w:t>Ronsse</w:t>
      </w:r>
      <w:proofErr w:type="spellEnd"/>
      <w:r>
        <w:t xml:space="preserve">, W. </w:t>
      </w:r>
      <w:proofErr w:type="spellStart"/>
      <w:r>
        <w:t>Prins</w:t>
      </w:r>
      <w:proofErr w:type="spellEnd"/>
      <w:r>
        <w:t xml:space="preserve">, </w:t>
      </w:r>
      <w:r w:rsidR="0025126E">
        <w:t>Residence time distributions of coarse biomass partic</w:t>
      </w:r>
      <w:r>
        <w:t xml:space="preserve">les in a screw conveyor reactor, </w:t>
      </w:r>
      <w:r w:rsidR="0025126E">
        <w:t>Fuel Process. Technol., 130 (2015), pp. 87–95</w:t>
      </w:r>
    </w:p>
    <w:p w:rsidR="0025126E" w:rsidRDefault="0025126E" w:rsidP="0025126E"/>
    <w:p w:rsidR="0025126E" w:rsidRDefault="00C0624D" w:rsidP="0025126E">
      <w:r>
        <w:t xml:space="preserve">[16] </w:t>
      </w:r>
      <w:r w:rsidR="0025126E">
        <w:t xml:space="preserve">R. </w:t>
      </w:r>
      <w:proofErr w:type="spellStart"/>
      <w:r w:rsidR="0025126E">
        <w:t>García</w:t>
      </w:r>
      <w:proofErr w:type="spellEnd"/>
      <w:r w:rsidR="0025126E">
        <w:t xml:space="preserve">, C. </w:t>
      </w:r>
      <w:r>
        <w:t xml:space="preserve">Pizarro, A.G. </w:t>
      </w:r>
      <w:proofErr w:type="spellStart"/>
      <w:r>
        <w:t>Lavín</w:t>
      </w:r>
      <w:proofErr w:type="spellEnd"/>
      <w:r>
        <w:t xml:space="preserve">, J.L. Bueno, </w:t>
      </w:r>
      <w:r w:rsidR="0025126E">
        <w:t>Characterization of Spanis</w:t>
      </w:r>
      <w:r>
        <w:t xml:space="preserve">h biomass wastes for energy use, </w:t>
      </w:r>
      <w:proofErr w:type="spellStart"/>
      <w:r w:rsidR="0025126E">
        <w:t>Bioresour</w:t>
      </w:r>
      <w:proofErr w:type="spellEnd"/>
      <w:r w:rsidR="0025126E">
        <w:t>. Technol., 103 (2012), pp. 249–258</w:t>
      </w:r>
    </w:p>
    <w:p w:rsidR="0025126E" w:rsidRDefault="0025126E" w:rsidP="0025126E"/>
    <w:p w:rsidR="0025126E" w:rsidRDefault="00C0624D" w:rsidP="0025126E">
      <w:r>
        <w:t xml:space="preserve">[17] </w:t>
      </w:r>
      <w:r w:rsidR="0025126E">
        <w:t xml:space="preserve">P. </w:t>
      </w:r>
      <w:proofErr w:type="spellStart"/>
      <w:r w:rsidR="0025126E">
        <w:t>Parthasarat</w:t>
      </w:r>
      <w:r>
        <w:t>hy</w:t>
      </w:r>
      <w:proofErr w:type="spellEnd"/>
      <w:r>
        <w:t xml:space="preserve">, K.S. Narayanan, L. </w:t>
      </w:r>
      <w:proofErr w:type="spellStart"/>
      <w:r>
        <w:t>Arockiam</w:t>
      </w:r>
      <w:proofErr w:type="spellEnd"/>
      <w:r>
        <w:t xml:space="preserve">, </w:t>
      </w:r>
      <w:r w:rsidR="0025126E">
        <w:t>Study on kinetic parameters of different biomass samples us</w:t>
      </w:r>
      <w:r>
        <w:t xml:space="preserve">ing thermo-gravimetric analysis, </w:t>
      </w:r>
      <w:r w:rsidR="0025126E">
        <w:t>Biomass Bioenergy, 58 (2013), pp. 58–66</w:t>
      </w:r>
    </w:p>
    <w:p w:rsidR="0025126E" w:rsidRDefault="0025126E" w:rsidP="0025126E"/>
    <w:p w:rsidR="0025126E" w:rsidRDefault="00C0624D" w:rsidP="0025126E">
      <w:r>
        <w:lastRenderedPageBreak/>
        <w:t xml:space="preserve">[18] </w:t>
      </w:r>
      <w:r w:rsidR="0025126E">
        <w:t xml:space="preserve">M. Carrier, A. </w:t>
      </w:r>
      <w:proofErr w:type="spellStart"/>
      <w:r w:rsidR="0025126E">
        <w:t>Loppinet-Serani</w:t>
      </w:r>
      <w:proofErr w:type="spellEnd"/>
      <w:r w:rsidR="0025126E">
        <w:t xml:space="preserve">, D. </w:t>
      </w:r>
      <w:proofErr w:type="spellStart"/>
      <w:r w:rsidR="0025126E">
        <w:t>Denux</w:t>
      </w:r>
      <w:proofErr w:type="spellEnd"/>
      <w:r w:rsidR="0025126E">
        <w:t xml:space="preserve">, J.-M. </w:t>
      </w:r>
      <w:proofErr w:type="spellStart"/>
      <w:r w:rsidR="0025126E">
        <w:t>Lasnier</w:t>
      </w:r>
      <w:proofErr w:type="spellEnd"/>
      <w:r w:rsidR="0025126E">
        <w:t>, F. Ham-</w:t>
      </w:r>
      <w:proofErr w:type="spellStart"/>
      <w:r w:rsidR="0025126E">
        <w:t>Pic</w:t>
      </w:r>
      <w:r>
        <w:t>havant</w:t>
      </w:r>
      <w:proofErr w:type="spellEnd"/>
      <w:r>
        <w:t xml:space="preserve">, F. </w:t>
      </w:r>
      <w:proofErr w:type="spellStart"/>
      <w:r>
        <w:t>Cansell</w:t>
      </w:r>
      <w:proofErr w:type="spellEnd"/>
      <w:r>
        <w:t xml:space="preserve">, C. </w:t>
      </w:r>
      <w:proofErr w:type="spellStart"/>
      <w:r>
        <w:t>Aymonier</w:t>
      </w:r>
      <w:proofErr w:type="spellEnd"/>
      <w:r>
        <w:t xml:space="preserve">, </w:t>
      </w:r>
      <w:r w:rsidR="0025126E">
        <w:t>Thermogravimetric analysis as a new method to determine the lignocellulosic com</w:t>
      </w:r>
      <w:r>
        <w:t xml:space="preserve">position of biomass, </w:t>
      </w:r>
      <w:r w:rsidR="0025126E">
        <w:t>Biomass Bioenergy, 35 (2011), pp. 298–307</w:t>
      </w:r>
    </w:p>
    <w:p w:rsidR="0025126E" w:rsidRDefault="0025126E" w:rsidP="0025126E"/>
    <w:p w:rsidR="0025126E" w:rsidRDefault="00C0624D" w:rsidP="0025126E">
      <w:r>
        <w:t xml:space="preserve">[19] </w:t>
      </w:r>
      <w:r w:rsidR="0025126E">
        <w:t xml:space="preserve">S.V. </w:t>
      </w:r>
      <w:proofErr w:type="spellStart"/>
      <w:r w:rsidR="0025126E">
        <w:t>Vassilev</w:t>
      </w:r>
      <w:proofErr w:type="spellEnd"/>
      <w:r w:rsidR="0025126E">
        <w:t>, D. Baxter</w:t>
      </w:r>
      <w:r>
        <w:t xml:space="preserve">, L.K. Andersen, C.G. </w:t>
      </w:r>
      <w:proofErr w:type="spellStart"/>
      <w:r>
        <w:t>Vassileva</w:t>
      </w:r>
      <w:proofErr w:type="spellEnd"/>
      <w:r>
        <w:t xml:space="preserve">, </w:t>
      </w:r>
      <w:r w:rsidR="0025126E">
        <w:t xml:space="preserve">An overview of the </w:t>
      </w:r>
      <w:r>
        <w:t xml:space="preserve">chemical composition of biomass, </w:t>
      </w:r>
      <w:r w:rsidR="0025126E">
        <w:t>Fuel, 89 (2010), pp. 913–933</w:t>
      </w:r>
    </w:p>
    <w:p w:rsidR="0025126E" w:rsidRDefault="0025126E" w:rsidP="0025126E"/>
    <w:p w:rsidR="0025126E" w:rsidRDefault="00C0624D" w:rsidP="0025126E">
      <w:r>
        <w:t xml:space="preserve">[20] </w:t>
      </w:r>
      <w:r w:rsidR="0025126E">
        <w:t xml:space="preserve">H. Liu, </w:t>
      </w:r>
      <w:r>
        <w:t xml:space="preserve">L. Zhang, Z. Han, B. </w:t>
      </w:r>
      <w:proofErr w:type="spellStart"/>
      <w:r>
        <w:t>Xie</w:t>
      </w:r>
      <w:proofErr w:type="spellEnd"/>
      <w:r>
        <w:t xml:space="preserve">, S. Wu, </w:t>
      </w:r>
      <w:r w:rsidR="0025126E">
        <w:t>The effects of leaching methods on the combustio</w:t>
      </w:r>
      <w:r>
        <w:t xml:space="preserve">n characteristics of rice straw, </w:t>
      </w:r>
      <w:r w:rsidR="0025126E">
        <w:t>Biomass Bioenergy, 49 (2013), pp. 22–27</w:t>
      </w:r>
    </w:p>
    <w:p w:rsidR="0025126E" w:rsidRDefault="0025126E" w:rsidP="0025126E"/>
    <w:p w:rsidR="0025126E" w:rsidRDefault="00C0624D" w:rsidP="0025126E">
      <w:r>
        <w:t xml:space="preserve">[21] </w:t>
      </w:r>
      <w:r w:rsidR="0025126E">
        <w:t xml:space="preserve">Z. Kong, </w:t>
      </w:r>
      <w:r>
        <w:t xml:space="preserve">S.B. </w:t>
      </w:r>
      <w:proofErr w:type="spellStart"/>
      <w:r>
        <w:t>Liaw</w:t>
      </w:r>
      <w:proofErr w:type="spellEnd"/>
      <w:r>
        <w:t xml:space="preserve">, X. Gao, Y. Yu, H. Wu, </w:t>
      </w:r>
      <w:r w:rsidR="0025126E">
        <w:t xml:space="preserve">Leaching characteristics of inherent inorganic nutrients in </w:t>
      </w:r>
      <w:proofErr w:type="spellStart"/>
      <w:r w:rsidR="0025126E">
        <w:t>biochars</w:t>
      </w:r>
      <w:proofErr w:type="spellEnd"/>
      <w:r w:rsidR="0025126E">
        <w:t xml:space="preserve"> from the slow and f</w:t>
      </w:r>
      <w:r>
        <w:t xml:space="preserve">ast pyrolysis of </w:t>
      </w:r>
      <w:proofErr w:type="spellStart"/>
      <w:r>
        <w:t>mallee</w:t>
      </w:r>
      <w:proofErr w:type="spellEnd"/>
      <w:r>
        <w:t xml:space="preserve"> biomass, </w:t>
      </w:r>
      <w:r w:rsidR="0025126E">
        <w:t>Fuel, 128 (2014), pp. 433–441</w:t>
      </w:r>
    </w:p>
    <w:p w:rsidR="0025126E" w:rsidRDefault="0025126E" w:rsidP="0025126E"/>
    <w:p w:rsidR="0025126E" w:rsidRDefault="00C0624D" w:rsidP="0025126E">
      <w:r>
        <w:t xml:space="preserve">[22] M. Keller, </w:t>
      </w:r>
      <w:r w:rsidR="0025126E">
        <w:t>Chapter 7—environmental co</w:t>
      </w:r>
      <w:r>
        <w:t xml:space="preserve">nstraints and stress physiology, </w:t>
      </w:r>
      <w:r w:rsidR="0025126E">
        <w:t>M. Keller (Ed.), The Science of Grapevines, Academic Press, San Diego (2010), pp. 227–310</w:t>
      </w:r>
    </w:p>
    <w:p w:rsidR="0025126E" w:rsidRDefault="0025126E" w:rsidP="0025126E"/>
    <w:p w:rsidR="0025126E" w:rsidRDefault="00C0624D" w:rsidP="0025126E">
      <w:r>
        <w:t xml:space="preserve">[23] </w:t>
      </w:r>
      <w:r w:rsidR="0025126E">
        <w:t xml:space="preserve">R. </w:t>
      </w:r>
      <w:proofErr w:type="spellStart"/>
      <w:r w:rsidR="0025126E">
        <w:t>Fahmi</w:t>
      </w:r>
      <w:proofErr w:type="spellEnd"/>
      <w:r w:rsidR="0025126E">
        <w:t xml:space="preserve">, A.V. Bridgwater, L.I. Darvell, J.M. Jones, N. Yates, S. </w:t>
      </w:r>
      <w:proofErr w:type="spellStart"/>
      <w:r w:rsidR="0025126E">
        <w:t>Thain</w:t>
      </w:r>
      <w:proofErr w:type="spellEnd"/>
      <w:r w:rsidR="0025126E">
        <w:t xml:space="preserve">, I.S. </w:t>
      </w:r>
      <w:proofErr w:type="spellStart"/>
      <w:r w:rsidR="0025126E">
        <w:t>Donnison</w:t>
      </w:r>
      <w:proofErr w:type="spellEnd"/>
      <w:r>
        <w:t xml:space="preserve">, </w:t>
      </w:r>
      <w:r w:rsidR="0025126E">
        <w:t xml:space="preserve">The effect of alkali metals on combustion and pyrolysis of </w:t>
      </w:r>
      <w:proofErr w:type="spellStart"/>
      <w:r w:rsidR="0025126E">
        <w:t>Lolium</w:t>
      </w:r>
      <w:proofErr w:type="spellEnd"/>
      <w:r w:rsidR="0025126E">
        <w:t xml:space="preserve"> and </w:t>
      </w:r>
      <w:proofErr w:type="spellStart"/>
      <w:r w:rsidR="0025126E">
        <w:t>Festuca</w:t>
      </w:r>
      <w:proofErr w:type="spellEnd"/>
      <w:r w:rsidR="0025126E">
        <w:t xml:space="preserve"> grasses, switchgrass and willow</w:t>
      </w:r>
      <w:r>
        <w:t>, Fuel, 86 (2007), pp. 1560–156</w:t>
      </w:r>
    </w:p>
    <w:p w:rsidR="0025126E" w:rsidRDefault="00C0624D" w:rsidP="0025126E">
      <w:r>
        <w:t xml:space="preserve">[24] </w:t>
      </w:r>
      <w:r w:rsidR="0025126E">
        <w:t xml:space="preserve">R. </w:t>
      </w:r>
      <w:proofErr w:type="spellStart"/>
      <w:r w:rsidR="0025126E">
        <w:t>Fahmi</w:t>
      </w:r>
      <w:proofErr w:type="spellEnd"/>
      <w:r w:rsidR="0025126E">
        <w:t xml:space="preserve">, A.V. Bridgwater, S.C. </w:t>
      </w:r>
      <w:proofErr w:type="spellStart"/>
      <w:r w:rsidR="0025126E">
        <w:t>Thain</w:t>
      </w:r>
      <w:proofErr w:type="spellEnd"/>
      <w:r w:rsidR="0025126E">
        <w:t xml:space="preserve">, I.S. </w:t>
      </w:r>
      <w:proofErr w:type="spellStart"/>
      <w:r>
        <w:t>Donnison</w:t>
      </w:r>
      <w:proofErr w:type="spellEnd"/>
      <w:r>
        <w:t xml:space="preserve">, P.M. Morris, N. Yates, </w:t>
      </w:r>
      <w:r w:rsidR="0025126E">
        <w:t xml:space="preserve">Prediction of </w:t>
      </w:r>
      <w:proofErr w:type="spellStart"/>
      <w:r w:rsidR="0025126E">
        <w:t>Klason</w:t>
      </w:r>
      <w:proofErr w:type="spellEnd"/>
      <w:r w:rsidR="0025126E">
        <w:t xml:space="preserve"> lignin and lignin thermal degradation products by </w:t>
      </w:r>
      <w:proofErr w:type="spellStart"/>
      <w:r w:rsidR="0025126E">
        <w:t>Py</w:t>
      </w:r>
      <w:proofErr w:type="spellEnd"/>
      <w:r w:rsidR="0025126E">
        <w:t>–GC/MS in a collectio</w:t>
      </w:r>
      <w:r>
        <w:t xml:space="preserve">n of </w:t>
      </w:r>
      <w:proofErr w:type="spellStart"/>
      <w:r>
        <w:t>Lolium</w:t>
      </w:r>
      <w:proofErr w:type="spellEnd"/>
      <w:r>
        <w:t xml:space="preserve"> and </w:t>
      </w:r>
      <w:proofErr w:type="spellStart"/>
      <w:r>
        <w:t>Festuca</w:t>
      </w:r>
      <w:proofErr w:type="spellEnd"/>
      <w:r>
        <w:t xml:space="preserve"> grasses, </w:t>
      </w:r>
      <w:r w:rsidR="0025126E">
        <w:t>J. Anal. Appl. Pyrolysis, 80 (2007), pp. 16–23</w:t>
      </w:r>
    </w:p>
    <w:p w:rsidR="0025126E" w:rsidRDefault="0025126E" w:rsidP="0025126E"/>
    <w:p w:rsidR="0025126E" w:rsidRDefault="00C0624D" w:rsidP="0025126E">
      <w:r>
        <w:t xml:space="preserve">[25] </w:t>
      </w:r>
      <w:r w:rsidR="0025126E">
        <w:t xml:space="preserve">D. </w:t>
      </w:r>
      <w:proofErr w:type="spellStart"/>
      <w:r w:rsidR="0025126E">
        <w:t>Boström</w:t>
      </w:r>
      <w:proofErr w:type="spellEnd"/>
      <w:r w:rsidR="0025126E">
        <w:t xml:space="preserve">, N. </w:t>
      </w:r>
      <w:proofErr w:type="spellStart"/>
      <w:r w:rsidR="0025126E">
        <w:t>Skoglund</w:t>
      </w:r>
      <w:proofErr w:type="spellEnd"/>
      <w:r w:rsidR="0025126E">
        <w:t xml:space="preserve">, A. Grimm, C. </w:t>
      </w:r>
      <w:proofErr w:type="spellStart"/>
      <w:r w:rsidR="0025126E">
        <w:t>Boman</w:t>
      </w:r>
      <w:proofErr w:type="spellEnd"/>
      <w:r w:rsidR="0025126E">
        <w:t>, M.</w:t>
      </w:r>
      <w:r>
        <w:t xml:space="preserve"> </w:t>
      </w:r>
      <w:proofErr w:type="spellStart"/>
      <w:r>
        <w:t>Öhman</w:t>
      </w:r>
      <w:proofErr w:type="spellEnd"/>
      <w:r>
        <w:t xml:space="preserve">, M. </w:t>
      </w:r>
      <w:proofErr w:type="spellStart"/>
      <w:r>
        <w:t>Broström</w:t>
      </w:r>
      <w:proofErr w:type="spellEnd"/>
      <w:r>
        <w:t xml:space="preserve">, R. Backman, </w:t>
      </w:r>
      <w:r w:rsidR="0025126E">
        <w:t>Ash transformation chemistry during combus</w:t>
      </w:r>
      <w:r>
        <w:t xml:space="preserve">tion of biomass, Energy &amp; Fuels, </w:t>
      </w:r>
      <w:r w:rsidR="0025126E">
        <w:t>Am. Chem. Soc., 26 (2011), pp. 85–93</w:t>
      </w:r>
    </w:p>
    <w:p w:rsidR="0025126E" w:rsidRDefault="0025126E" w:rsidP="0025126E"/>
    <w:p w:rsidR="0025126E" w:rsidRDefault="00C0624D" w:rsidP="0025126E">
      <w:r>
        <w:t xml:space="preserve">[26] D. Adriana, C. Alan, M. Paul, Physical properties of biochar, </w:t>
      </w:r>
      <w:r w:rsidR="0025126E">
        <w:t xml:space="preserve">S.J. Johannes Lehmann (Ed.), Biochar for Environmental Management: Science and Technology, </w:t>
      </w:r>
      <w:proofErr w:type="spellStart"/>
      <w:r w:rsidR="0025126E">
        <w:t>Earthscan</w:t>
      </w:r>
      <w:proofErr w:type="spellEnd"/>
      <w:r w:rsidR="0025126E">
        <w:t>, UK and USA (2009) (pp. 416)</w:t>
      </w:r>
    </w:p>
    <w:p w:rsidR="0025126E" w:rsidRDefault="0025126E" w:rsidP="0025126E"/>
    <w:p w:rsidR="0025126E" w:rsidRDefault="00C0624D" w:rsidP="0025126E">
      <w:r>
        <w:t xml:space="preserve">[27] K. Crombie, O. </w:t>
      </w:r>
      <w:proofErr w:type="spellStart"/>
      <w:r>
        <w:t>Mašek</w:t>
      </w:r>
      <w:proofErr w:type="spellEnd"/>
      <w:r>
        <w:t xml:space="preserve">, </w:t>
      </w:r>
      <w:r w:rsidR="0025126E">
        <w:t>Investigating the potential for a self-sustaining slow pyrolysis system und</w:t>
      </w:r>
      <w:r>
        <w:t xml:space="preserve">er varying operating conditions, </w:t>
      </w:r>
      <w:proofErr w:type="spellStart"/>
      <w:r w:rsidR="0025126E">
        <w:t>Bioresour</w:t>
      </w:r>
      <w:proofErr w:type="spellEnd"/>
      <w:r w:rsidR="0025126E">
        <w:t>. Technol., 162 (2014), pp. 148–156</w:t>
      </w:r>
    </w:p>
    <w:p w:rsidR="0025126E" w:rsidRDefault="0025126E" w:rsidP="0025126E"/>
    <w:p w:rsidR="0025126E" w:rsidRDefault="00C0624D" w:rsidP="0025126E">
      <w:r>
        <w:t xml:space="preserve">[28] </w:t>
      </w:r>
      <w:r w:rsidR="0025126E">
        <w:t xml:space="preserve">B. Nguyen, J. Lehmann, J. </w:t>
      </w:r>
      <w:proofErr w:type="spellStart"/>
      <w:r w:rsidR="0025126E">
        <w:t>Kinyangi</w:t>
      </w:r>
      <w:proofErr w:type="spellEnd"/>
      <w:r w:rsidR="0025126E">
        <w:t>, R.</w:t>
      </w:r>
      <w:r>
        <w:t xml:space="preserve"> </w:t>
      </w:r>
      <w:proofErr w:type="spellStart"/>
      <w:r>
        <w:t>Smernik</w:t>
      </w:r>
      <w:proofErr w:type="spellEnd"/>
      <w:r>
        <w:t xml:space="preserve">, S. </w:t>
      </w:r>
      <w:proofErr w:type="spellStart"/>
      <w:r>
        <w:t>Riha</w:t>
      </w:r>
      <w:proofErr w:type="spellEnd"/>
      <w:r>
        <w:t xml:space="preserve">, M. Engelhard, </w:t>
      </w:r>
      <w:r w:rsidR="0025126E">
        <w:t>Long-term Black Carbon Dynamics in Cultivated Soil, Biogeochemistry, 89, Springer, Netherlands (2008), pp. 295–308</w:t>
      </w:r>
    </w:p>
    <w:p w:rsidR="0025126E" w:rsidRDefault="0025126E" w:rsidP="0025126E"/>
    <w:p w:rsidR="0025126E" w:rsidRDefault="00C0624D" w:rsidP="0025126E">
      <w:r>
        <w:t xml:space="preserve">[29] </w:t>
      </w:r>
      <w:r w:rsidR="0025126E">
        <w:t>J. Lehm</w:t>
      </w:r>
      <w:r>
        <w:t xml:space="preserve">ann, J. Gaunt, M. </w:t>
      </w:r>
      <w:proofErr w:type="spellStart"/>
      <w:r>
        <w:t>Rondon</w:t>
      </w:r>
      <w:proofErr w:type="spellEnd"/>
      <w:r>
        <w:t xml:space="preserve">, </w:t>
      </w:r>
      <w:r w:rsidR="0025126E">
        <w:t>Bio-char Sequestration in Terrestrial Ecosystems—A Review Mitigation and Adaptati</w:t>
      </w:r>
      <w:r>
        <w:t xml:space="preserve">on Strategies for Global Change, </w:t>
      </w:r>
      <w:r w:rsidR="0025126E">
        <w:t>Kluwer Academic Publishers (2006), pp. 395–419</w:t>
      </w:r>
    </w:p>
    <w:p w:rsidR="0025126E" w:rsidRDefault="0025126E" w:rsidP="0025126E"/>
    <w:p w:rsidR="0025126E" w:rsidRDefault="00C0624D" w:rsidP="0025126E">
      <w:r>
        <w:t xml:space="preserve">[30] </w:t>
      </w:r>
      <w:r w:rsidR="0025126E">
        <w:t>J. Major, C.</w:t>
      </w:r>
      <w:r>
        <w:t xml:space="preserve"> Steiner, A. </w:t>
      </w:r>
      <w:proofErr w:type="spellStart"/>
      <w:r>
        <w:t>Downie</w:t>
      </w:r>
      <w:proofErr w:type="spellEnd"/>
      <w:r>
        <w:t xml:space="preserve">, J. Lehmann, </w:t>
      </w:r>
      <w:r w:rsidR="0025126E">
        <w:t>Bioch</w:t>
      </w:r>
      <w:r>
        <w:t xml:space="preserve">ar effects on nutrient leaching, </w:t>
      </w:r>
      <w:r w:rsidR="0025126E">
        <w:t xml:space="preserve">S.J. Lehmann, J. Stephen (Eds.), Biochar for Environmental </w:t>
      </w:r>
      <w:proofErr w:type="spellStart"/>
      <w:r w:rsidR="0025126E">
        <w:t>Managment</w:t>
      </w:r>
      <w:proofErr w:type="spellEnd"/>
      <w:r w:rsidR="0025126E">
        <w:t xml:space="preserve">: Science and Technology, </w:t>
      </w:r>
      <w:proofErr w:type="spellStart"/>
      <w:r w:rsidR="0025126E">
        <w:t>Earthscan</w:t>
      </w:r>
      <w:proofErr w:type="spellEnd"/>
      <w:r w:rsidR="0025126E">
        <w:t>, UK and USA (2009)</w:t>
      </w:r>
    </w:p>
    <w:p w:rsidR="0025126E" w:rsidRDefault="0025126E" w:rsidP="0025126E"/>
    <w:p w:rsidR="0025126E" w:rsidRDefault="00C0624D" w:rsidP="0025126E">
      <w:r>
        <w:t xml:space="preserve">[31], W. Buss, O. </w:t>
      </w:r>
      <w:proofErr w:type="spellStart"/>
      <w:r>
        <w:t>Mašek</w:t>
      </w:r>
      <w:proofErr w:type="spellEnd"/>
      <w:r>
        <w:t xml:space="preserve">, </w:t>
      </w:r>
      <w:r w:rsidR="0025126E">
        <w:t>Mobile organic compounds in biochar—a potential source of contamination—phytotoxic effects on cress seed</w:t>
      </w:r>
      <w:r>
        <w:t xml:space="preserve"> (</w:t>
      </w:r>
      <w:proofErr w:type="spellStart"/>
      <w:r>
        <w:t>Lepidium</w:t>
      </w:r>
      <w:proofErr w:type="spellEnd"/>
      <w:r>
        <w:t xml:space="preserve"> </w:t>
      </w:r>
      <w:proofErr w:type="spellStart"/>
      <w:r>
        <w:t>sativum</w:t>
      </w:r>
      <w:proofErr w:type="spellEnd"/>
      <w:r>
        <w:t xml:space="preserve">) germination, </w:t>
      </w:r>
      <w:r w:rsidR="0025126E">
        <w:t xml:space="preserve">J. Environ. </w:t>
      </w:r>
      <w:proofErr w:type="gramStart"/>
      <w:r w:rsidR="0025126E">
        <w:t>Manage.,</w:t>
      </w:r>
      <w:proofErr w:type="gramEnd"/>
      <w:r w:rsidR="0025126E">
        <w:t xml:space="preserve"> 137 (2014), pp. 111–119</w:t>
      </w:r>
    </w:p>
    <w:p w:rsidR="0025126E" w:rsidRDefault="0025126E" w:rsidP="0025126E"/>
    <w:p w:rsidR="0025126E" w:rsidRDefault="0025126E" w:rsidP="0025126E">
      <w:r>
        <w:t>[32]</w:t>
      </w:r>
      <w:r w:rsidR="00C0624D">
        <w:t xml:space="preserve"> </w:t>
      </w:r>
      <w:r>
        <w:t xml:space="preserve">K.A. </w:t>
      </w:r>
      <w:proofErr w:type="spellStart"/>
      <w:r>
        <w:t>Spokas</w:t>
      </w:r>
      <w:proofErr w:type="spellEnd"/>
      <w:r>
        <w:t xml:space="preserve">, J.M. Novak, C.E. Stewart, K.B. Cantrell, M. </w:t>
      </w:r>
      <w:proofErr w:type="spellStart"/>
      <w:r>
        <w:t>Uchimiya</w:t>
      </w:r>
      <w:proofErr w:type="spellEnd"/>
      <w:r>
        <w:t xml:space="preserve">, M.G. </w:t>
      </w:r>
      <w:proofErr w:type="spellStart"/>
      <w:r>
        <w:t>DuSaire</w:t>
      </w:r>
      <w:proofErr w:type="spellEnd"/>
      <w:r>
        <w:t>, K.S. Ro</w:t>
      </w:r>
      <w:r w:rsidR="00C0624D">
        <w:t xml:space="preserve">, </w:t>
      </w:r>
      <w:r>
        <w:t>Qualitative analysis of volatile organic compounds on biochar</w:t>
      </w:r>
      <w:r w:rsidR="00C0624D">
        <w:t xml:space="preserve">, </w:t>
      </w:r>
      <w:r>
        <w:t>Chemosphere, 85 (2011), pp. 869–882</w:t>
      </w:r>
    </w:p>
    <w:p w:rsidR="0025126E" w:rsidRDefault="0025126E" w:rsidP="0025126E"/>
    <w:p w:rsidR="005B0D14" w:rsidRPr="002A237B" w:rsidRDefault="005B0D14" w:rsidP="002A237B"/>
    <w:sectPr w:rsidR="005B0D14" w:rsidRPr="002A237B" w:rsidSect="00C4308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15E78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964D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0D2C5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FFE02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2034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02CF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1093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26A5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DCCD14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26E"/>
    <w:rsid w:val="000A395C"/>
    <w:rsid w:val="001C2F45"/>
    <w:rsid w:val="0025126E"/>
    <w:rsid w:val="00273123"/>
    <w:rsid w:val="002A237B"/>
    <w:rsid w:val="00330467"/>
    <w:rsid w:val="003400F1"/>
    <w:rsid w:val="00416AA0"/>
    <w:rsid w:val="0056264E"/>
    <w:rsid w:val="005B0D14"/>
    <w:rsid w:val="005C161B"/>
    <w:rsid w:val="006422C8"/>
    <w:rsid w:val="006F163E"/>
    <w:rsid w:val="00873D7B"/>
    <w:rsid w:val="00880119"/>
    <w:rsid w:val="00890E90"/>
    <w:rsid w:val="0091059B"/>
    <w:rsid w:val="00930117"/>
    <w:rsid w:val="00A36CF5"/>
    <w:rsid w:val="00AA254F"/>
    <w:rsid w:val="00AD1B4C"/>
    <w:rsid w:val="00AD3173"/>
    <w:rsid w:val="00B23E4E"/>
    <w:rsid w:val="00B3772F"/>
    <w:rsid w:val="00B73992"/>
    <w:rsid w:val="00B7564E"/>
    <w:rsid w:val="00BF7C01"/>
    <w:rsid w:val="00C0624D"/>
    <w:rsid w:val="00C43089"/>
    <w:rsid w:val="00CA19CD"/>
    <w:rsid w:val="00CC7D66"/>
    <w:rsid w:val="00D00D33"/>
    <w:rsid w:val="00E057DF"/>
    <w:rsid w:val="00E209F2"/>
    <w:rsid w:val="00EB66B1"/>
    <w:rsid w:val="00F367F1"/>
    <w:rsid w:val="00F419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B95E6E-F5B2-48A8-8563-C53EB2828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264E"/>
    <w:pPr>
      <w:spacing w:before="120" w:after="0"/>
    </w:pPr>
  </w:style>
  <w:style w:type="paragraph" w:styleId="Heading1">
    <w:name w:val="heading 1"/>
    <w:basedOn w:val="Normal"/>
    <w:next w:val="Normal"/>
    <w:link w:val="Heading1Char"/>
    <w:autoRedefine/>
    <w:uiPriority w:val="9"/>
    <w:qFormat/>
    <w:rsid w:val="00EB66B1"/>
    <w:pPr>
      <w:keepNext/>
      <w:keepLines/>
      <w:outlineLvl w:val="0"/>
    </w:pPr>
    <w:rPr>
      <w:rFonts w:eastAsiaTheme="majorEastAsia"/>
      <w:b/>
      <w:bCs/>
      <w:sz w:val="36"/>
      <w:szCs w:val="28"/>
    </w:rPr>
  </w:style>
  <w:style w:type="paragraph" w:styleId="Heading2">
    <w:name w:val="heading 2"/>
    <w:basedOn w:val="Normal"/>
    <w:next w:val="Normal"/>
    <w:link w:val="Heading2Char"/>
    <w:autoRedefine/>
    <w:uiPriority w:val="9"/>
    <w:unhideWhenUsed/>
    <w:qFormat/>
    <w:rsid w:val="00EB66B1"/>
    <w:pPr>
      <w:keepNext/>
      <w:keepLines/>
      <w:spacing w:before="240" w:after="120"/>
      <w:outlineLvl w:val="1"/>
    </w:pPr>
    <w:rPr>
      <w:rFonts w:eastAsiaTheme="majorEastAsia"/>
      <w:b/>
      <w:bCs/>
      <w:sz w:val="28"/>
      <w:szCs w:val="26"/>
    </w:rPr>
  </w:style>
  <w:style w:type="paragraph" w:styleId="Heading3">
    <w:name w:val="heading 3"/>
    <w:basedOn w:val="Normal"/>
    <w:next w:val="Normal"/>
    <w:link w:val="Heading3Char"/>
    <w:autoRedefine/>
    <w:uiPriority w:val="9"/>
    <w:unhideWhenUsed/>
    <w:qFormat/>
    <w:rsid w:val="00EB66B1"/>
    <w:pPr>
      <w:keepNext/>
      <w:keepLines/>
      <w:spacing w:before="240" w:after="120"/>
      <w:outlineLvl w:val="2"/>
    </w:pPr>
    <w:rPr>
      <w:rFonts w:eastAsiaTheme="majorEastAsia"/>
      <w:b/>
      <w:bCs/>
    </w:rPr>
  </w:style>
  <w:style w:type="paragraph" w:styleId="Heading4">
    <w:name w:val="heading 4"/>
    <w:basedOn w:val="Normal"/>
    <w:next w:val="Normal"/>
    <w:link w:val="Heading4Char"/>
    <w:autoRedefine/>
    <w:uiPriority w:val="9"/>
    <w:unhideWhenUsed/>
    <w:qFormat/>
    <w:rsid w:val="00EB66B1"/>
    <w:pPr>
      <w:keepNext/>
      <w:keepLines/>
      <w:spacing w:before="240" w:after="120"/>
      <w:outlineLvl w:val="3"/>
    </w:pPr>
    <w:rPr>
      <w:rFonts w:eastAsiaTheme="majorEastAsia"/>
      <w:b/>
      <w:bCs/>
      <w:iCs/>
    </w:rPr>
  </w:style>
  <w:style w:type="paragraph" w:styleId="Heading5">
    <w:name w:val="heading 5"/>
    <w:basedOn w:val="Normal"/>
    <w:next w:val="Normal"/>
    <w:link w:val="Heading5Char"/>
    <w:autoRedefine/>
    <w:uiPriority w:val="9"/>
    <w:unhideWhenUsed/>
    <w:qFormat/>
    <w:rsid w:val="00273123"/>
    <w:pPr>
      <w:keepNext/>
      <w:keepLines/>
      <w:spacing w:before="240" w:after="120"/>
      <w:outlineLvl w:val="4"/>
    </w:pPr>
    <w:rPr>
      <w:rFonts w:eastAsiaTheme="majorEastAsia"/>
      <w:b/>
    </w:rPr>
  </w:style>
  <w:style w:type="paragraph" w:styleId="Heading6">
    <w:name w:val="heading 6"/>
    <w:basedOn w:val="Normal"/>
    <w:next w:val="Normal"/>
    <w:link w:val="Heading6Char"/>
    <w:uiPriority w:val="9"/>
    <w:unhideWhenUsed/>
    <w:qFormat/>
    <w:rsid w:val="006F163E"/>
    <w:pPr>
      <w:keepNext/>
      <w:keepLines/>
      <w:spacing w:before="240" w:after="120"/>
      <w:outlineLvl w:val="5"/>
    </w:pPr>
    <w:rPr>
      <w:rFonts w:eastAsiaTheme="majorEastAsia"/>
      <w:b/>
      <w:iCs/>
    </w:rPr>
  </w:style>
  <w:style w:type="paragraph" w:styleId="Heading7">
    <w:name w:val="heading 7"/>
    <w:basedOn w:val="Normal"/>
    <w:next w:val="Normal"/>
    <w:link w:val="Heading7Char"/>
    <w:uiPriority w:val="9"/>
    <w:unhideWhenUsed/>
    <w:qFormat/>
    <w:rsid w:val="006F163E"/>
    <w:pPr>
      <w:keepNext/>
      <w:keepLines/>
      <w:spacing w:before="240" w:after="120"/>
      <w:outlineLvl w:val="6"/>
    </w:pPr>
    <w:rPr>
      <w:rFonts w:eastAsiaTheme="majorEastAsia" w:cstheme="majorBidi"/>
      <w:b/>
      <w:i/>
      <w:iCs/>
    </w:rPr>
  </w:style>
  <w:style w:type="paragraph" w:styleId="Heading8">
    <w:name w:val="heading 8"/>
    <w:basedOn w:val="Normal"/>
    <w:next w:val="Normal"/>
    <w:link w:val="Heading8Char"/>
    <w:uiPriority w:val="9"/>
    <w:unhideWhenUsed/>
    <w:qFormat/>
    <w:rsid w:val="006F163E"/>
    <w:pPr>
      <w:keepNext/>
      <w:keepLines/>
      <w:spacing w:before="240" w:after="12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6F163E"/>
    <w:pPr>
      <w:keepNext/>
      <w:keepLines/>
      <w:spacing w:before="240" w:after="12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Normal"/>
    <w:next w:val="Normal"/>
    <w:link w:val="SubheadingChar"/>
    <w:rsid w:val="00E209F2"/>
    <w:pPr>
      <w:keepNext/>
    </w:pPr>
    <w:rPr>
      <w:b/>
    </w:rPr>
  </w:style>
  <w:style w:type="character" w:customStyle="1" w:styleId="SubheadingChar">
    <w:name w:val="Subheading Char"/>
    <w:basedOn w:val="DefaultParagraphFont"/>
    <w:link w:val="Subheading"/>
    <w:rsid w:val="00E209F2"/>
    <w:rPr>
      <w:rFonts w:ascii="Arial" w:hAnsi="Arial" w:cs="Arial"/>
      <w:b/>
      <w:sz w:val="28"/>
    </w:rPr>
  </w:style>
  <w:style w:type="paragraph" w:styleId="Caption">
    <w:name w:val="caption"/>
    <w:basedOn w:val="Normal"/>
    <w:next w:val="Normal"/>
    <w:uiPriority w:val="35"/>
    <w:unhideWhenUsed/>
    <w:qFormat/>
    <w:rsid w:val="000A395C"/>
    <w:pPr>
      <w:spacing w:line="240" w:lineRule="auto"/>
    </w:pPr>
    <w:rPr>
      <w:b/>
      <w:bCs/>
      <w:szCs w:val="18"/>
    </w:rPr>
  </w:style>
  <w:style w:type="paragraph" w:styleId="Title">
    <w:name w:val="Title"/>
    <w:basedOn w:val="Normal"/>
    <w:next w:val="Normal"/>
    <w:link w:val="TitleChar"/>
    <w:autoRedefine/>
    <w:uiPriority w:val="10"/>
    <w:qFormat/>
    <w:rsid w:val="005B0D14"/>
    <w:pPr>
      <w:keepNext/>
      <w:pBdr>
        <w:bottom w:val="single" w:sz="8" w:space="4" w:color="auto"/>
      </w:pBdr>
      <w:spacing w:before="240" w:after="120" w:line="240" w:lineRule="auto"/>
      <w:contextualSpacing/>
      <w:outlineLvl w:val="0"/>
    </w:pPr>
    <w:rPr>
      <w:rFonts w:eastAsiaTheme="majorEastAsia"/>
      <w:b/>
      <w:spacing w:val="5"/>
      <w:sz w:val="36"/>
      <w:szCs w:val="52"/>
    </w:rPr>
  </w:style>
  <w:style w:type="character" w:customStyle="1" w:styleId="TitleChar">
    <w:name w:val="Title Char"/>
    <w:basedOn w:val="DefaultParagraphFont"/>
    <w:link w:val="Title"/>
    <w:uiPriority w:val="10"/>
    <w:rsid w:val="005B0D14"/>
    <w:rPr>
      <w:rFonts w:eastAsiaTheme="majorEastAsia"/>
      <w:b/>
      <w:spacing w:val="5"/>
      <w:sz w:val="36"/>
      <w:szCs w:val="52"/>
    </w:rPr>
  </w:style>
  <w:style w:type="paragraph" w:styleId="Subtitle">
    <w:name w:val="Subtitle"/>
    <w:basedOn w:val="Normal"/>
    <w:next w:val="Normal"/>
    <w:link w:val="SubtitleChar"/>
    <w:autoRedefine/>
    <w:uiPriority w:val="11"/>
    <w:qFormat/>
    <w:rsid w:val="00EB66B1"/>
    <w:pPr>
      <w:keepNext/>
      <w:numPr>
        <w:ilvl w:val="1"/>
      </w:numPr>
    </w:pPr>
    <w:rPr>
      <w:rFonts w:eastAsiaTheme="majorEastAsia"/>
      <w:iCs/>
      <w:spacing w:val="15"/>
      <w:sz w:val="28"/>
    </w:rPr>
  </w:style>
  <w:style w:type="character" w:customStyle="1" w:styleId="SubtitleChar">
    <w:name w:val="Subtitle Char"/>
    <w:basedOn w:val="DefaultParagraphFont"/>
    <w:link w:val="Subtitle"/>
    <w:uiPriority w:val="11"/>
    <w:rsid w:val="00EB66B1"/>
    <w:rPr>
      <w:rFonts w:ascii="Arial" w:eastAsiaTheme="majorEastAsia" w:hAnsi="Arial" w:cs="Arial"/>
      <w:iCs/>
      <w:spacing w:val="15"/>
      <w:sz w:val="28"/>
      <w:szCs w:val="24"/>
    </w:rPr>
  </w:style>
  <w:style w:type="character" w:customStyle="1" w:styleId="Heading1Char">
    <w:name w:val="Heading 1 Char"/>
    <w:basedOn w:val="DefaultParagraphFont"/>
    <w:link w:val="Heading1"/>
    <w:uiPriority w:val="9"/>
    <w:rsid w:val="00EB66B1"/>
    <w:rPr>
      <w:rFonts w:ascii="Arial" w:eastAsiaTheme="majorEastAsia" w:hAnsi="Arial" w:cs="Arial"/>
      <w:b/>
      <w:bCs/>
      <w:sz w:val="36"/>
      <w:szCs w:val="28"/>
    </w:rPr>
  </w:style>
  <w:style w:type="character" w:customStyle="1" w:styleId="Heading2Char">
    <w:name w:val="Heading 2 Char"/>
    <w:basedOn w:val="DefaultParagraphFont"/>
    <w:link w:val="Heading2"/>
    <w:uiPriority w:val="9"/>
    <w:rsid w:val="00EB66B1"/>
    <w:rPr>
      <w:rFonts w:ascii="Arial" w:eastAsiaTheme="majorEastAsia" w:hAnsi="Arial" w:cs="Arial"/>
      <w:b/>
      <w:bCs/>
      <w:sz w:val="28"/>
      <w:szCs w:val="26"/>
    </w:rPr>
  </w:style>
  <w:style w:type="character" w:customStyle="1" w:styleId="Heading3Char">
    <w:name w:val="Heading 3 Char"/>
    <w:basedOn w:val="DefaultParagraphFont"/>
    <w:link w:val="Heading3"/>
    <w:uiPriority w:val="9"/>
    <w:rsid w:val="00EB66B1"/>
    <w:rPr>
      <w:rFonts w:ascii="Arial" w:eastAsiaTheme="majorEastAsia" w:hAnsi="Arial" w:cs="Arial"/>
      <w:b/>
      <w:bCs/>
      <w:sz w:val="24"/>
    </w:rPr>
  </w:style>
  <w:style w:type="character" w:customStyle="1" w:styleId="Heading4Char">
    <w:name w:val="Heading 4 Char"/>
    <w:basedOn w:val="DefaultParagraphFont"/>
    <w:link w:val="Heading4"/>
    <w:uiPriority w:val="9"/>
    <w:rsid w:val="00EB66B1"/>
    <w:rPr>
      <w:rFonts w:ascii="Arial" w:eastAsiaTheme="majorEastAsia" w:hAnsi="Arial" w:cs="Arial"/>
      <w:b/>
      <w:bCs/>
      <w:iCs/>
      <w:sz w:val="24"/>
    </w:rPr>
  </w:style>
  <w:style w:type="character" w:customStyle="1" w:styleId="Heading5Char">
    <w:name w:val="Heading 5 Char"/>
    <w:basedOn w:val="DefaultParagraphFont"/>
    <w:link w:val="Heading5"/>
    <w:uiPriority w:val="9"/>
    <w:rsid w:val="00273123"/>
    <w:rPr>
      <w:rFonts w:ascii="Arial" w:eastAsiaTheme="majorEastAsia" w:hAnsi="Arial" w:cs="Arial"/>
      <w:b/>
      <w:sz w:val="24"/>
    </w:rPr>
  </w:style>
  <w:style w:type="character" w:customStyle="1" w:styleId="Heading6Char">
    <w:name w:val="Heading 6 Char"/>
    <w:basedOn w:val="DefaultParagraphFont"/>
    <w:link w:val="Heading6"/>
    <w:uiPriority w:val="9"/>
    <w:rsid w:val="006F163E"/>
    <w:rPr>
      <w:rFonts w:ascii="Arial" w:eastAsiaTheme="majorEastAsia" w:hAnsi="Arial" w:cs="Arial"/>
      <w:b/>
      <w:iCs/>
      <w:sz w:val="24"/>
    </w:rPr>
  </w:style>
  <w:style w:type="paragraph" w:styleId="Quote">
    <w:name w:val="Quote"/>
    <w:basedOn w:val="Normal"/>
    <w:next w:val="Normal"/>
    <w:link w:val="QuoteChar1"/>
    <w:uiPriority w:val="29"/>
    <w:qFormat/>
    <w:rsid w:val="00AD1B4C"/>
    <w:pPr>
      <w:ind w:left="794" w:right="794"/>
    </w:pPr>
    <w:rPr>
      <w:i/>
      <w:iCs/>
    </w:rPr>
  </w:style>
  <w:style w:type="character" w:customStyle="1" w:styleId="QuoteChar">
    <w:name w:val="Quote Char"/>
    <w:basedOn w:val="DefaultParagraphFont"/>
    <w:uiPriority w:val="29"/>
    <w:rsid w:val="00E209F2"/>
    <w:rPr>
      <w:rFonts w:ascii="Arial" w:hAnsi="Arial" w:cs="Arial"/>
      <w:i/>
      <w:iCs/>
      <w:color w:val="000000" w:themeColor="text1"/>
      <w:sz w:val="28"/>
    </w:rPr>
  </w:style>
  <w:style w:type="character" w:customStyle="1" w:styleId="QuoteChar1">
    <w:name w:val="Quote Char1"/>
    <w:basedOn w:val="DefaultParagraphFont"/>
    <w:link w:val="Quote"/>
    <w:uiPriority w:val="29"/>
    <w:rsid w:val="00AD1B4C"/>
    <w:rPr>
      <w:i/>
      <w:iCs/>
    </w:rPr>
  </w:style>
  <w:style w:type="paragraph" w:styleId="ListBullet">
    <w:name w:val="List Bullet"/>
    <w:basedOn w:val="Normal"/>
    <w:uiPriority w:val="99"/>
    <w:semiHidden/>
    <w:unhideWhenUsed/>
    <w:rsid w:val="00E209F2"/>
    <w:pPr>
      <w:numPr>
        <w:numId w:val="1"/>
      </w:numPr>
      <w:contextualSpacing/>
    </w:pPr>
  </w:style>
  <w:style w:type="paragraph" w:styleId="ListNumber">
    <w:name w:val="List Number"/>
    <w:basedOn w:val="Normal"/>
    <w:uiPriority w:val="99"/>
    <w:semiHidden/>
    <w:unhideWhenUsed/>
    <w:rsid w:val="00E209F2"/>
    <w:pPr>
      <w:numPr>
        <w:numId w:val="2"/>
      </w:numPr>
      <w:contextualSpacing/>
    </w:pPr>
  </w:style>
  <w:style w:type="paragraph" w:styleId="TableofFigures">
    <w:name w:val="table of figures"/>
    <w:basedOn w:val="Normal"/>
    <w:next w:val="Normal"/>
    <w:uiPriority w:val="99"/>
    <w:semiHidden/>
    <w:unhideWhenUsed/>
    <w:rsid w:val="00E209F2"/>
  </w:style>
  <w:style w:type="character" w:styleId="IntenseEmphasis">
    <w:name w:val="Intense Emphasis"/>
    <w:basedOn w:val="DefaultParagraphFont"/>
    <w:uiPriority w:val="21"/>
    <w:qFormat/>
    <w:rsid w:val="00416AA0"/>
    <w:rPr>
      <w:b/>
      <w:bCs/>
      <w:i/>
      <w:iCs/>
      <w:color w:val="auto"/>
    </w:rPr>
  </w:style>
  <w:style w:type="paragraph" w:styleId="IntenseQuote">
    <w:name w:val="Intense Quote"/>
    <w:basedOn w:val="Normal"/>
    <w:next w:val="Normal"/>
    <w:link w:val="IntenseQuoteChar"/>
    <w:uiPriority w:val="30"/>
    <w:qFormat/>
    <w:rsid w:val="001C2F45"/>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1C2F45"/>
    <w:rPr>
      <w:rFonts w:ascii="Arial" w:hAnsi="Arial" w:cs="Arial"/>
      <w:b/>
      <w:bCs/>
      <w:i/>
      <w:iCs/>
      <w:sz w:val="24"/>
    </w:rPr>
  </w:style>
  <w:style w:type="character" w:styleId="SubtleReference">
    <w:name w:val="Subtle Reference"/>
    <w:basedOn w:val="DefaultParagraphFont"/>
    <w:uiPriority w:val="31"/>
    <w:qFormat/>
    <w:rsid w:val="00B7564E"/>
    <w:rPr>
      <w:smallCaps/>
      <w:color w:val="auto"/>
      <w:u w:val="single"/>
    </w:rPr>
  </w:style>
  <w:style w:type="character" w:customStyle="1" w:styleId="Heading7Char">
    <w:name w:val="Heading 7 Char"/>
    <w:basedOn w:val="DefaultParagraphFont"/>
    <w:link w:val="Heading7"/>
    <w:uiPriority w:val="9"/>
    <w:rsid w:val="006F163E"/>
    <w:rPr>
      <w:rFonts w:ascii="Arial" w:eastAsiaTheme="majorEastAsia" w:hAnsi="Arial" w:cstheme="majorBidi"/>
      <w:b/>
      <w:i/>
      <w:iCs/>
      <w:sz w:val="24"/>
    </w:rPr>
  </w:style>
  <w:style w:type="character" w:customStyle="1" w:styleId="Heading8Char">
    <w:name w:val="Heading 8 Char"/>
    <w:basedOn w:val="DefaultParagraphFont"/>
    <w:link w:val="Heading8"/>
    <w:uiPriority w:val="9"/>
    <w:rsid w:val="006F163E"/>
    <w:rPr>
      <w:rFonts w:ascii="Arial" w:eastAsiaTheme="majorEastAsia" w:hAnsi="Arial" w:cstheme="majorBidi"/>
      <w:sz w:val="24"/>
      <w:szCs w:val="20"/>
    </w:rPr>
  </w:style>
  <w:style w:type="character" w:customStyle="1" w:styleId="Heading9Char">
    <w:name w:val="Heading 9 Char"/>
    <w:basedOn w:val="DefaultParagraphFont"/>
    <w:link w:val="Heading9"/>
    <w:uiPriority w:val="9"/>
    <w:rsid w:val="006F163E"/>
    <w:rPr>
      <w:rFonts w:ascii="Arial" w:eastAsiaTheme="majorEastAsia" w:hAnsi="Arial" w:cstheme="majorBidi"/>
      <w:i/>
      <w:iCs/>
      <w:sz w:val="24"/>
      <w:szCs w:val="20"/>
    </w:rPr>
  </w:style>
  <w:style w:type="character" w:styleId="IntenseReference">
    <w:name w:val="Intense Reference"/>
    <w:basedOn w:val="DefaultParagraphFont"/>
    <w:uiPriority w:val="32"/>
    <w:qFormat/>
    <w:rsid w:val="00AD1B4C"/>
    <w:rPr>
      <w:b/>
      <w:bCs/>
      <w:smallCaps/>
      <w:color w:val="auto"/>
      <w:spacing w:val="5"/>
      <w:u w:val="single"/>
    </w:rPr>
  </w:style>
  <w:style w:type="paragraph" w:styleId="TOCHeading">
    <w:name w:val="TOC Heading"/>
    <w:basedOn w:val="Heading1"/>
    <w:next w:val="Normal"/>
    <w:uiPriority w:val="39"/>
    <w:semiHidden/>
    <w:unhideWhenUsed/>
    <w:qFormat/>
    <w:rsid w:val="002A237B"/>
    <w:pPr>
      <w:spacing w:before="480"/>
      <w:outlineLvl w:val="9"/>
    </w:pPr>
    <w:rPr>
      <w:rFonts w:cstheme="majorBidi"/>
      <w:sz w:val="28"/>
    </w:rPr>
  </w:style>
  <w:style w:type="paragraph" w:styleId="BlockText">
    <w:name w:val="Block Text"/>
    <w:basedOn w:val="Normal"/>
    <w:uiPriority w:val="99"/>
    <w:semiHidden/>
    <w:unhideWhenUsed/>
    <w:rsid w:val="00B23E4E"/>
    <w:pPr>
      <w:pBdr>
        <w:top w:val="single" w:sz="2" w:space="10" w:color="auto" w:shadow="1"/>
        <w:left w:val="single" w:sz="2" w:space="10" w:color="auto" w:shadow="1"/>
        <w:bottom w:val="single" w:sz="2" w:space="10" w:color="auto" w:shadow="1"/>
        <w:right w:val="single" w:sz="2" w:space="10" w:color="auto" w:shadow="1"/>
      </w:pBdr>
      <w:ind w:left="1152" w:right="1152"/>
    </w:pPr>
    <w:rPr>
      <w:rFonts w:eastAsiaTheme="minorEastAsia" w:cstheme="minorBidi"/>
      <w:i/>
      <w:iCs/>
    </w:rPr>
  </w:style>
  <w:style w:type="character" w:styleId="PlaceholderText">
    <w:name w:val="Placeholder Text"/>
    <w:basedOn w:val="DefaultParagraphFont"/>
    <w:uiPriority w:val="99"/>
    <w:semiHidden/>
    <w:rsid w:val="00AD3173"/>
    <w:rPr>
      <w:color w:val="auto"/>
    </w:rPr>
  </w:style>
  <w:style w:type="paragraph" w:styleId="TOAHeading">
    <w:name w:val="toa heading"/>
    <w:basedOn w:val="Normal"/>
    <w:next w:val="Normal"/>
    <w:uiPriority w:val="99"/>
    <w:semiHidden/>
    <w:unhideWhenUsed/>
    <w:rsid w:val="00BF7C01"/>
    <w:rPr>
      <w:rFonts w:eastAsiaTheme="majorEastAsia" w:cstheme="majorBidi"/>
      <w:b/>
      <w:bCs/>
      <w:sz w:val="28"/>
    </w:rPr>
  </w:style>
  <w:style w:type="paragraph" w:styleId="PlainText">
    <w:name w:val="Plain Text"/>
    <w:basedOn w:val="Normal"/>
    <w:link w:val="PlainTextChar"/>
    <w:uiPriority w:val="99"/>
    <w:semiHidden/>
    <w:unhideWhenUsed/>
    <w:rsid w:val="00330467"/>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330467"/>
    <w:rPr>
      <w:rFonts w:ascii="Consolas" w:hAnsi="Consolas"/>
      <w:szCs w:val="21"/>
    </w:rPr>
  </w:style>
  <w:style w:type="paragraph" w:styleId="BodyText3">
    <w:name w:val="Body Text 3"/>
    <w:basedOn w:val="Normal"/>
    <w:link w:val="BodyText3Char"/>
    <w:uiPriority w:val="99"/>
    <w:semiHidden/>
    <w:unhideWhenUsed/>
    <w:rsid w:val="00890E90"/>
    <w:pPr>
      <w:spacing w:after="120"/>
    </w:pPr>
    <w:rPr>
      <w:sz w:val="20"/>
      <w:szCs w:val="16"/>
    </w:rPr>
  </w:style>
  <w:style w:type="character" w:customStyle="1" w:styleId="BodyText3Char">
    <w:name w:val="Body Text 3 Char"/>
    <w:basedOn w:val="DefaultParagraphFont"/>
    <w:link w:val="BodyText3"/>
    <w:uiPriority w:val="99"/>
    <w:semiHidden/>
    <w:rsid w:val="00890E90"/>
    <w:rPr>
      <w:sz w:val="20"/>
      <w:szCs w:val="16"/>
    </w:rPr>
  </w:style>
  <w:style w:type="paragraph" w:styleId="BodyText">
    <w:name w:val="Body Text"/>
    <w:basedOn w:val="Normal"/>
    <w:link w:val="BodyTextChar"/>
    <w:uiPriority w:val="99"/>
    <w:semiHidden/>
    <w:unhideWhenUsed/>
    <w:rsid w:val="00890E90"/>
    <w:pPr>
      <w:spacing w:after="120"/>
    </w:pPr>
  </w:style>
  <w:style w:type="character" w:customStyle="1" w:styleId="BodyTextChar">
    <w:name w:val="Body Text Char"/>
    <w:basedOn w:val="DefaultParagraphFont"/>
    <w:link w:val="BodyText"/>
    <w:uiPriority w:val="99"/>
    <w:semiHidden/>
    <w:rsid w:val="00890E90"/>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rsid w:val="00890E90"/>
  </w:style>
  <w:style w:type="paragraph" w:styleId="BodyTextIndent3">
    <w:name w:val="Body Text Indent 3"/>
    <w:basedOn w:val="Normal"/>
    <w:link w:val="BodyTextIndent3Char"/>
    <w:uiPriority w:val="99"/>
    <w:unhideWhenUsed/>
    <w:rsid w:val="00D00D33"/>
    <w:pPr>
      <w:spacing w:after="120"/>
      <w:ind w:left="283"/>
    </w:pPr>
    <w:rPr>
      <w:sz w:val="20"/>
      <w:szCs w:val="16"/>
    </w:rPr>
  </w:style>
  <w:style w:type="character" w:customStyle="1" w:styleId="BodyTextIndent3Char">
    <w:name w:val="Body Text Indent 3 Char"/>
    <w:basedOn w:val="DefaultParagraphFont"/>
    <w:link w:val="BodyTextIndent3"/>
    <w:uiPriority w:val="99"/>
    <w:rsid w:val="00D00D33"/>
    <w:rPr>
      <w:sz w:val="20"/>
      <w:szCs w:val="16"/>
    </w:rPr>
  </w:style>
  <w:style w:type="paragraph" w:styleId="DocumentMap">
    <w:name w:val="Document Map"/>
    <w:basedOn w:val="Normal"/>
    <w:link w:val="DocumentMapChar"/>
    <w:uiPriority w:val="99"/>
    <w:semiHidden/>
    <w:unhideWhenUsed/>
    <w:rsid w:val="00B3772F"/>
    <w:pPr>
      <w:spacing w:before="0" w:line="240" w:lineRule="auto"/>
    </w:pPr>
    <w:rPr>
      <w:rFonts w:cs="Tahoma"/>
      <w:szCs w:val="16"/>
    </w:rPr>
  </w:style>
  <w:style w:type="character" w:customStyle="1" w:styleId="DocumentMapChar">
    <w:name w:val="Document Map Char"/>
    <w:basedOn w:val="DefaultParagraphFont"/>
    <w:link w:val="DocumentMap"/>
    <w:uiPriority w:val="99"/>
    <w:semiHidden/>
    <w:rsid w:val="00B3772F"/>
    <w:rPr>
      <w:rFonts w:cs="Tahoma"/>
      <w:szCs w:val="16"/>
    </w:rPr>
  </w:style>
  <w:style w:type="paragraph" w:styleId="EndnoteText">
    <w:name w:val="endnote text"/>
    <w:basedOn w:val="Normal"/>
    <w:link w:val="EndnoteTextChar"/>
    <w:uiPriority w:val="99"/>
    <w:unhideWhenUsed/>
    <w:rsid w:val="00B3772F"/>
    <w:pPr>
      <w:spacing w:before="0" w:line="240" w:lineRule="auto"/>
    </w:pPr>
    <w:rPr>
      <w:szCs w:val="20"/>
    </w:rPr>
  </w:style>
  <w:style w:type="character" w:customStyle="1" w:styleId="EndnoteTextChar">
    <w:name w:val="Endnote Text Char"/>
    <w:basedOn w:val="DefaultParagraphFont"/>
    <w:link w:val="EndnoteText"/>
    <w:uiPriority w:val="99"/>
    <w:rsid w:val="00B3772F"/>
    <w:rPr>
      <w:szCs w:val="20"/>
    </w:rPr>
  </w:style>
  <w:style w:type="character" w:styleId="Emphasis">
    <w:name w:val="Emphasis"/>
    <w:basedOn w:val="DefaultParagraphFont"/>
    <w:uiPriority w:val="20"/>
    <w:qFormat/>
    <w:rsid w:val="00B3772F"/>
    <w:rPr>
      <w:i/>
      <w:iCs/>
    </w:rPr>
  </w:style>
  <w:style w:type="paragraph" w:styleId="EnvelopeReturn">
    <w:name w:val="envelope return"/>
    <w:basedOn w:val="Normal"/>
    <w:uiPriority w:val="99"/>
    <w:semiHidden/>
    <w:unhideWhenUsed/>
    <w:rsid w:val="00B3772F"/>
    <w:pPr>
      <w:spacing w:before="0" w:line="240" w:lineRule="auto"/>
    </w:pPr>
    <w:rPr>
      <w:rFonts w:eastAsiaTheme="majorEastAsia" w:cstheme="majorBidi"/>
      <w:szCs w:val="20"/>
    </w:rPr>
  </w:style>
  <w:style w:type="paragraph" w:styleId="MessageHeader">
    <w:name w:val="Message Header"/>
    <w:basedOn w:val="Normal"/>
    <w:link w:val="MessageHeaderChar"/>
    <w:uiPriority w:val="99"/>
    <w:semiHidden/>
    <w:unhideWhenUsed/>
    <w:rsid w:val="003400F1"/>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eastAsiaTheme="majorEastAsia" w:cstheme="majorBidi"/>
    </w:rPr>
  </w:style>
  <w:style w:type="character" w:customStyle="1" w:styleId="MessageHeaderChar">
    <w:name w:val="Message Header Char"/>
    <w:basedOn w:val="DefaultParagraphFont"/>
    <w:link w:val="MessageHeader"/>
    <w:uiPriority w:val="99"/>
    <w:semiHidden/>
    <w:rsid w:val="003400F1"/>
    <w:rPr>
      <w:rFonts w:eastAsiaTheme="majorEastAsia" w:cstheme="majorBidi"/>
      <w:shd w:val="pct20" w:color="auto" w:fill="auto"/>
    </w:rPr>
  </w:style>
  <w:style w:type="paragraph" w:styleId="NoSpacing">
    <w:name w:val="No Spacing"/>
    <w:uiPriority w:val="1"/>
    <w:qFormat/>
    <w:rsid w:val="003400F1"/>
    <w:pPr>
      <w:spacing w:after="0" w:line="240" w:lineRule="auto"/>
    </w:pPr>
  </w:style>
  <w:style w:type="paragraph" w:styleId="NormalWeb">
    <w:name w:val="Normal (Web)"/>
    <w:basedOn w:val="Normal"/>
    <w:uiPriority w:val="99"/>
    <w:semiHidden/>
    <w:unhideWhenUsed/>
    <w:rsid w:val="00930117"/>
    <w:rPr>
      <w:rFonts w:cs="Times New Roman"/>
    </w:rPr>
  </w:style>
  <w:style w:type="paragraph" w:styleId="Index1">
    <w:name w:val="index 1"/>
    <w:basedOn w:val="Normal"/>
    <w:next w:val="Normal"/>
    <w:autoRedefine/>
    <w:uiPriority w:val="99"/>
    <w:semiHidden/>
    <w:unhideWhenUsed/>
    <w:rsid w:val="00873D7B"/>
    <w:pPr>
      <w:spacing w:before="0" w:line="240" w:lineRule="auto"/>
      <w:ind w:left="240" w:hanging="240"/>
    </w:pPr>
  </w:style>
  <w:style w:type="paragraph" w:styleId="IndexHeading">
    <w:name w:val="index heading"/>
    <w:basedOn w:val="Normal"/>
    <w:next w:val="Index1"/>
    <w:uiPriority w:val="99"/>
    <w:semiHidden/>
    <w:unhideWhenUsed/>
    <w:rsid w:val="00873D7B"/>
    <w:rPr>
      <w:rFonts w:eastAsiaTheme="majorEastAsia" w:cstheme="maj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21</Pages>
  <Words>5578</Words>
  <Characters>31797</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37301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Ross [PRE]</dc:creator>
  <cp:keywords/>
  <dc:description/>
  <cp:lastModifiedBy>Andrew Ross [PRE]</cp:lastModifiedBy>
  <cp:revision>2</cp:revision>
  <dcterms:created xsi:type="dcterms:W3CDTF">2017-02-06T10:52:00Z</dcterms:created>
  <dcterms:modified xsi:type="dcterms:W3CDTF">2017-02-06T11:14:00Z</dcterms:modified>
</cp:coreProperties>
</file>