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10" w:rsidRPr="00E306F0" w:rsidRDefault="001F0682" w:rsidP="00D01999">
      <w:pPr>
        <w:pStyle w:val="Title1"/>
        <w:rPr>
          <w:lang w:val="en-US"/>
        </w:rPr>
      </w:pPr>
      <w:bookmarkStart w:id="0" w:name="_GoBack"/>
      <w:bookmarkEnd w:id="0"/>
      <w:r w:rsidRPr="00E306F0">
        <w:rPr>
          <w:lang w:val="en-GB"/>
        </w:rPr>
        <w:t>A Cu-Catalysed Radical Cross-Dehydrogenative Coupling Approach to Acridanes and Related Heterocycles</w:t>
      </w:r>
    </w:p>
    <w:p w:rsidR="00F007F5" w:rsidRPr="00E306F0" w:rsidRDefault="00ED29CD" w:rsidP="00F007F5">
      <w:pPr>
        <w:pStyle w:val="Authors"/>
        <w:rPr>
          <w:vertAlign w:val="superscript"/>
        </w:rPr>
      </w:pPr>
      <w:r>
        <w:rPr>
          <w:noProof/>
          <w:lang w:eastAsia="en-GB"/>
        </w:rPr>
        <mc:AlternateContent>
          <mc:Choice Requires="wps">
            <w:drawing>
              <wp:anchor distT="180340" distB="0" distL="114300" distR="180340" simplePos="0" relativeHeight="251656704" behindDoc="0" locked="1" layoutInCell="1" allowOverlap="1">
                <wp:simplePos x="0" y="0"/>
                <wp:positionH relativeFrom="column">
                  <wp:posOffset>-81915</wp:posOffset>
                </wp:positionH>
                <wp:positionV relativeFrom="page">
                  <wp:posOffset>8907145</wp:posOffset>
                </wp:positionV>
                <wp:extent cx="2556510" cy="958215"/>
                <wp:effectExtent l="0" t="0" r="0" b="0"/>
                <wp:wrapSquare wrapText="right"/>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958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DBD" w:rsidRPr="007E3A49" w:rsidRDefault="00365DBD" w:rsidP="00BF14BC">
                            <w:pPr>
                              <w:pStyle w:val="Adress"/>
                              <w:pBdr>
                                <w:top w:val="single" w:sz="4" w:space="1" w:color="000000"/>
                              </w:pBdr>
                              <w:rPr>
                                <w:lang w:val="en-GB"/>
                              </w:rPr>
                            </w:pPr>
                            <w:r w:rsidRPr="000D37AC">
                              <w:rPr>
                                <w:lang w:val="en-GB"/>
                              </w:rPr>
                              <w:t>[a]</w:t>
                            </w:r>
                            <w:r w:rsidRPr="000D37AC">
                              <w:rPr>
                                <w:lang w:val="en-GB"/>
                              </w:rPr>
                              <w:tab/>
                            </w:r>
                            <w:r>
                              <w:rPr>
                                <w:lang w:val="en-GB"/>
                              </w:rPr>
                              <w:t>T. E. Hurst, R. J. K. Taylor</w:t>
                            </w:r>
                            <w:r>
                              <w:rPr>
                                <w:lang w:val="en-GB"/>
                              </w:rPr>
                              <w:br/>
                              <w:t>Department of Chemistry</w:t>
                            </w:r>
                            <w:r>
                              <w:rPr>
                                <w:lang w:val="en-GB"/>
                              </w:rPr>
                              <w:br/>
                              <w:t>University of York</w:t>
                            </w:r>
                            <w:r>
                              <w:rPr>
                                <w:lang w:val="en-GB"/>
                              </w:rPr>
                              <w:br/>
                            </w:r>
                            <w:r w:rsidRPr="00B81E96">
                              <w:rPr>
                                <w:lang w:val="en-GB"/>
                              </w:rPr>
                              <w:t>Heslington, York, YO10 5DD, UK</w:t>
                            </w:r>
                            <w:r w:rsidRPr="007E3A49">
                              <w:rPr>
                                <w:lang w:val="en-GB"/>
                              </w:rPr>
                              <w:br/>
                              <w:t xml:space="preserve">E-mail: </w:t>
                            </w:r>
                            <w:r>
                              <w:rPr>
                                <w:lang w:val="en-GB"/>
                              </w:rPr>
                              <w:t>richard.taylor@york.ac.uk</w:t>
                            </w:r>
                          </w:p>
                          <w:p w:rsidR="00365DBD" w:rsidRPr="007E3A49" w:rsidRDefault="00365DBD" w:rsidP="00BF14BC">
                            <w:pPr>
                              <w:pStyle w:val="Footnote"/>
                            </w:pPr>
                            <w:r w:rsidRPr="007E3A49">
                              <w:tab/>
                            </w:r>
                            <w:r w:rsidRPr="004532F9">
                              <w:t xml:space="preserve">Supporting information for this article is </w:t>
                            </w:r>
                            <w:r>
                              <w:t>given via a link at the end of the document.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6.45pt;margin-top:701.35pt;width:201.3pt;height:75.45pt;z-index:251656704;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" stroked="f">
                <v:fill opacity="0"/>
                <v:textbox style="mso-fit-shape-to-text:t">
                  <w:txbxContent>
                    <w:p w:rsidR="00365DBD" w:rsidRPr="007E3A49" w:rsidRDefault="00365DBD" w:rsidP="00BF14BC">
                      <w:pPr>
                        <w:pStyle w:val="Adress"/>
                        <w:pBdr>
                          <w:top w:val="single" w:sz="4" w:space="1" w:color="000000"/>
                        </w:pBdr>
                        <w:rPr>
                          <w:lang w:val="en-GB"/>
                        </w:rPr>
                      </w:pPr>
                      <w:r w:rsidRPr="000D37AC">
                        <w:rPr>
                          <w:lang w:val="en-GB"/>
                        </w:rPr>
                        <w:t>[a]</w:t>
                      </w:r>
                      <w:r w:rsidRPr="000D37AC">
                        <w:rPr>
                          <w:lang w:val="en-GB"/>
                        </w:rPr>
                        <w:tab/>
                      </w:r>
                      <w:r>
                        <w:rPr>
                          <w:lang w:val="en-GB"/>
                        </w:rPr>
                        <w:t>T. E. Hurst, R. J. K. Taylor</w:t>
                      </w:r>
                      <w:r>
                        <w:rPr>
                          <w:lang w:val="en-GB"/>
                        </w:rPr>
                        <w:br/>
                        <w:t>Department of Chemistry</w:t>
                      </w:r>
                      <w:r>
                        <w:rPr>
                          <w:lang w:val="en-GB"/>
                        </w:rPr>
                        <w:br/>
                        <w:t>University of York</w:t>
                      </w:r>
                      <w:r>
                        <w:rPr>
                          <w:lang w:val="en-GB"/>
                        </w:rPr>
                        <w:br/>
                      </w:r>
                      <w:r w:rsidRPr="00B81E96">
                        <w:rPr>
                          <w:lang w:val="en-GB"/>
                        </w:rPr>
                        <w:t>Heslington, York, YO10 5DD, UK</w:t>
                      </w:r>
                      <w:r w:rsidRPr="007E3A49">
                        <w:rPr>
                          <w:lang w:val="en-GB"/>
                        </w:rPr>
                        <w:br/>
                        <w:t xml:space="preserve">E-mail: </w:t>
                      </w:r>
                      <w:r>
                        <w:rPr>
                          <w:lang w:val="en-GB"/>
                        </w:rPr>
                        <w:t>richard.taylor@york.ac.uk</w:t>
                      </w:r>
                    </w:p>
                    <w:p w:rsidR="00365DBD" w:rsidRPr="007E3A49" w:rsidRDefault="00365DBD" w:rsidP="00BF14BC">
                      <w:pPr>
                        <w:pStyle w:val="Footnote"/>
                      </w:pPr>
                      <w:r w:rsidRPr="007E3A49">
                        <w:tab/>
                      </w:r>
                      <w:r w:rsidRPr="004532F9">
                        <w:t xml:space="preserve">Supporting information for this article is </w:t>
                      </w:r>
                      <w:r>
                        <w:t>given via a link at the end of the document.</w:t>
                      </w:r>
                    </w:p>
                  </w:txbxContent>
                </v:textbox>
                <w10:wrap type="square" side="right" anchory="page"/>
                <w10:anchorlock/>
              </v:shape>
            </w:pict>
          </mc:Fallback>
        </mc:AlternateContent>
      </w:r>
      <w:r w:rsidR="001F0682" w:rsidRPr="00E306F0">
        <w:t>Timothy E. Hurst*</w:t>
      </w:r>
      <w:r w:rsidR="001F0682" w:rsidRPr="00E306F0">
        <w:rPr>
          <w:vertAlign w:val="superscript"/>
        </w:rPr>
        <w:t>[a]</w:t>
      </w:r>
      <w:r w:rsidR="001F0682" w:rsidRPr="00E306F0">
        <w:t xml:space="preserve"> and Richard J. K. Taylor</w:t>
      </w:r>
      <w:r w:rsidR="00F007F5" w:rsidRPr="00E306F0">
        <w:t>*</w:t>
      </w:r>
      <w:r w:rsidR="00F007F5" w:rsidRPr="00E306F0">
        <w:rPr>
          <w:vertAlign w:val="superscript"/>
        </w:rPr>
        <w:t>[a]</w:t>
      </w:r>
    </w:p>
    <w:p w:rsidR="0030323E" w:rsidRPr="00E306F0" w:rsidRDefault="0030323E" w:rsidP="0030323E">
      <w:pPr>
        <w:pStyle w:val="Dedication"/>
      </w:pPr>
    </w:p>
    <w:p w:rsidR="006D4F77" w:rsidRPr="00E306F0" w:rsidRDefault="006D4F77" w:rsidP="006D4F77">
      <w:pPr>
        <w:pStyle w:val="Dedication"/>
        <w:rPr>
          <w:lang w:val="en-US"/>
        </w:rPr>
        <w:sectPr w:rsidR="006D4F77" w:rsidRPr="00E306F0">
          <w:headerReference w:type="even" r:id="rId7"/>
          <w:headerReference w:type="default" r:id="rId8"/>
          <w:footerReference w:type="default" r:id="rId9"/>
          <w:headerReference w:type="first" r:id="rId10"/>
          <w:pgSz w:w="11906" w:h="16838" w:code="9"/>
          <w:pgMar w:top="1134" w:right="936" w:bottom="1134" w:left="936" w:header="1021" w:footer="0" w:gutter="0"/>
          <w:cols w:space="425"/>
          <w:docGrid w:linePitch="360"/>
        </w:sectPr>
      </w:pPr>
    </w:p>
    <w:p w:rsidR="00DD7094" w:rsidRPr="00E306F0" w:rsidRDefault="002D5B99" w:rsidP="00DD7094">
      <w:pPr>
        <w:pStyle w:val="Abstract"/>
      </w:pPr>
      <w:r w:rsidRPr="00E306F0">
        <w:rPr>
          <w:b/>
          <w:lang w:val="en-US"/>
        </w:rPr>
        <w:t>Abstract:</w:t>
      </w:r>
      <w:r w:rsidRPr="00E306F0">
        <w:rPr>
          <w:lang w:val="en-US"/>
        </w:rPr>
        <w:t xml:space="preserve"> </w:t>
      </w:r>
      <w:r w:rsidR="0030323E" w:rsidRPr="00E306F0">
        <w:rPr>
          <w:lang w:val="de-DE"/>
        </w:rPr>
        <w:t xml:space="preserve">The synthesis of acridanes and related compounds via the Cu-catalysed </w:t>
      </w:r>
      <w:r w:rsidR="0050022B" w:rsidRPr="00E306F0">
        <w:rPr>
          <w:lang w:val="de-DE"/>
        </w:rPr>
        <w:t>radical cross-dehydrogenative coupling</w:t>
      </w:r>
      <w:r w:rsidR="0030323E" w:rsidRPr="00E306F0">
        <w:rPr>
          <w:lang w:val="de-DE"/>
        </w:rPr>
        <w:t xml:space="preserve"> of simple 2-[2-(arylamino)aryl]malonates is reported. This method can be further streamlined to a one-pot protocol involving the </w:t>
      </w:r>
      <w:r w:rsidR="0030323E" w:rsidRPr="00E306F0">
        <w:rPr>
          <w:i/>
          <w:lang w:val="de-DE"/>
        </w:rPr>
        <w:t>in situ</w:t>
      </w:r>
      <w:r w:rsidR="0030323E" w:rsidRPr="00E306F0">
        <w:rPr>
          <w:lang w:val="de-DE"/>
        </w:rPr>
        <w:t xml:space="preserve"> fomation of the 2-[2-(arylamino)aryl]malonate by α-arylation of diethyl malonate with a 2-bromodiarylamine under Pd-catalysis, followed by the subsequent Cu-catalysed cyclisation.</w:t>
      </w:r>
    </w:p>
    <w:p w:rsidR="00551D58" w:rsidRPr="00E306F0" w:rsidRDefault="00551D58" w:rsidP="00551D58">
      <w:pPr>
        <w:pStyle w:val="HExperimentalSection"/>
        <w:rPr>
          <w:lang w:val="en-US"/>
        </w:rPr>
      </w:pPr>
      <w:r w:rsidRPr="00E306F0">
        <w:rPr>
          <w:lang w:val="en-US"/>
        </w:rPr>
        <w:t>Introduction</w:t>
      </w:r>
    </w:p>
    <w:p w:rsidR="006D4F77" w:rsidRPr="00E306F0" w:rsidRDefault="0030323E" w:rsidP="002F6F44">
      <w:pPr>
        <w:pStyle w:val="P1withIndendation"/>
        <w:ind w:firstLine="0"/>
      </w:pPr>
      <w:r w:rsidRPr="00E306F0">
        <w:t>In recent years C-H activation has emerged as a powerful and attractive method in organic synthesis since it enables the formation of C-C bonds without pre-functionalisation of one or both of the coupling partners, thus leading to more efficient and atom-economical processes. Within the wider pantheon of C-H activation, cross-dehydrogenative couplings (CDC) have proved to be versatile procedures for the selective formation of C-C bonds from two different C-H systems under oxidative conditions.</w:t>
      </w:r>
      <w:r w:rsidR="003A0C7A" w:rsidRPr="00E306F0">
        <w:rPr>
          <w:vertAlign w:val="superscript"/>
        </w:rPr>
        <w:t>[</w:t>
      </w:r>
      <w:r w:rsidRPr="00E306F0">
        <w:rPr>
          <w:vertAlign w:val="superscript"/>
        </w:rPr>
        <w:t>1</w:t>
      </w:r>
      <w:r w:rsidR="003A0C7A" w:rsidRPr="00E306F0">
        <w:rPr>
          <w:vertAlign w:val="superscript"/>
        </w:rPr>
        <w:t>]</w:t>
      </w:r>
      <w:r w:rsidRPr="00E306F0">
        <w:t xml:space="preserve"> Our contribution in this area involves the synthesis of diverse nitrogen heterocycles via the Cu-catalysed oxidative coupling of C</w:t>
      </w:r>
      <w:r w:rsidRPr="00E306F0">
        <w:rPr>
          <w:vertAlign w:val="subscript"/>
        </w:rPr>
        <w:t>sp2</w:t>
      </w:r>
      <w:r w:rsidRPr="00E306F0">
        <w:t>-H/C</w:t>
      </w:r>
      <w:r w:rsidRPr="00E306F0">
        <w:rPr>
          <w:vertAlign w:val="subscript"/>
        </w:rPr>
        <w:t>sp3</w:t>
      </w:r>
      <w:r w:rsidRPr="00E306F0">
        <w:t>-H bonds;</w:t>
      </w:r>
      <w:r w:rsidR="00BE1549" w:rsidRPr="00E306F0">
        <w:rPr>
          <w:vertAlign w:val="superscript"/>
        </w:rPr>
        <w:t>[</w:t>
      </w:r>
      <w:r w:rsidRPr="00E306F0">
        <w:rPr>
          <w:vertAlign w:val="superscript"/>
        </w:rPr>
        <w:t>2</w:t>
      </w:r>
      <w:r w:rsidR="00BE1549" w:rsidRPr="00E306F0">
        <w:rPr>
          <w:vertAlign w:val="superscript"/>
        </w:rPr>
        <w:t>]</w:t>
      </w:r>
      <w:r w:rsidRPr="00E306F0">
        <w:t xml:space="preserve"> a radical variant of the CDC processs.</w:t>
      </w:r>
    </w:p>
    <w:p w:rsidR="00AB62DA" w:rsidRPr="00E306F0" w:rsidRDefault="00161E13" w:rsidP="00AB62DA">
      <w:pPr>
        <w:pStyle w:val="P1withIndendation"/>
        <w:ind w:firstLine="0"/>
        <w:rPr>
          <w:vertAlign w:val="superscript"/>
        </w:rPr>
      </w:pPr>
      <w:r w:rsidRPr="00E306F0">
        <w:t xml:space="preserve">9,10-Dihydroacridines (acridanes) have garnered much </w:t>
      </w:r>
      <w:r w:rsidR="004845F9" w:rsidRPr="00E306F0">
        <w:t>attention</w:t>
      </w:r>
      <w:r w:rsidR="004845F9" w:rsidRPr="00E306F0">
        <w:rPr>
          <w:vertAlign w:val="superscript"/>
        </w:rPr>
        <w:t>[3]</w:t>
      </w:r>
      <w:r w:rsidR="004845F9" w:rsidRPr="00E306F0">
        <w:t xml:space="preserve"> due to their potent biological activity, including inhibition of class IIa histone deacetylase</w:t>
      </w:r>
      <w:r w:rsidR="004845F9" w:rsidRPr="00E306F0">
        <w:rPr>
          <w:vertAlign w:val="superscript"/>
        </w:rPr>
        <w:t>[4]</w:t>
      </w:r>
      <w:r w:rsidR="004845F9" w:rsidRPr="00E306F0">
        <w:t xml:space="preserve"> and HIV reverse transcriptase,</w:t>
      </w:r>
      <w:r w:rsidR="004845F9" w:rsidRPr="00E306F0">
        <w:rPr>
          <w:vertAlign w:val="superscript"/>
        </w:rPr>
        <w:t>[5]</w:t>
      </w:r>
      <w:r w:rsidR="004845F9" w:rsidRPr="00E306F0">
        <w:t xml:space="preserve"> neuroleptic activity,</w:t>
      </w:r>
      <w:r w:rsidR="004845F9" w:rsidRPr="00E306F0">
        <w:rPr>
          <w:vertAlign w:val="superscript"/>
        </w:rPr>
        <w:t>[6]</w:t>
      </w:r>
      <w:r w:rsidR="004845F9" w:rsidRPr="00E306F0">
        <w:t xml:space="preserve"> and as activators of K</w:t>
      </w:r>
      <w:r w:rsidR="004845F9" w:rsidRPr="00E306F0">
        <w:rPr>
          <w:vertAlign w:val="subscript"/>
        </w:rPr>
        <w:t>2P</w:t>
      </w:r>
      <w:r w:rsidR="004845F9" w:rsidRPr="00E306F0">
        <w:t xml:space="preserve"> potassium channels</w:t>
      </w:r>
      <w:r w:rsidR="004845F9" w:rsidRPr="00E306F0">
        <w:rPr>
          <w:vertAlign w:val="superscript"/>
        </w:rPr>
        <w:t>7</w:t>
      </w:r>
      <w:r w:rsidR="004845F9" w:rsidRPr="00E306F0">
        <w:t xml:space="preserve"> (</w:t>
      </w:r>
      <w:r w:rsidR="004845F9" w:rsidRPr="00E306F0">
        <w:rPr>
          <w:i/>
        </w:rPr>
        <w:t>e</w:t>
      </w:r>
      <w:r w:rsidR="004845F9" w:rsidRPr="00E306F0">
        <w:t>.</w:t>
      </w:r>
      <w:r w:rsidR="004845F9" w:rsidRPr="00E306F0">
        <w:rPr>
          <w:i/>
        </w:rPr>
        <w:t>g</w:t>
      </w:r>
      <w:r w:rsidR="004845F9" w:rsidRPr="00E306F0">
        <w:t xml:space="preserve">. </w:t>
      </w:r>
      <w:r w:rsidR="004845F9" w:rsidRPr="00E306F0">
        <w:rPr>
          <w:b/>
        </w:rPr>
        <w:t>1</w:t>
      </w:r>
      <w:r w:rsidR="004845F9" w:rsidRPr="00E306F0">
        <w:t>, Figure 1). Furthermore, acridanes</w:t>
      </w:r>
      <w:r w:rsidR="005A132B" w:rsidRPr="00E306F0">
        <w:t xml:space="preserve"> have been employed as chemiluminescent sensors in</w:t>
      </w:r>
      <w:r w:rsidR="00AB62DA" w:rsidRPr="00E306F0">
        <w:t xml:space="preserve"> immunoassays</w:t>
      </w:r>
      <w:r w:rsidR="00AB62DA" w:rsidRPr="00E306F0">
        <w:rPr>
          <w:vertAlign w:val="superscript"/>
        </w:rPr>
        <w:t>[8]</w:t>
      </w:r>
      <w:r w:rsidR="00AB62DA" w:rsidRPr="00E306F0">
        <w:t xml:space="preserve"> (</w:t>
      </w:r>
      <w:r w:rsidR="00AB62DA" w:rsidRPr="00E306F0">
        <w:rPr>
          <w:i/>
        </w:rPr>
        <w:t>e.g.</w:t>
      </w:r>
      <w:r w:rsidR="00AB62DA" w:rsidRPr="00E306F0">
        <w:t xml:space="preserve"> </w:t>
      </w:r>
      <w:r w:rsidR="00AB62DA" w:rsidRPr="00E306F0">
        <w:rPr>
          <w:b/>
        </w:rPr>
        <w:t>2</w:t>
      </w:r>
      <w:r w:rsidR="00AB62DA" w:rsidRPr="00E306F0">
        <w:t>), as NADH analogues in hydride-transfer reactions,</w:t>
      </w:r>
      <w:r w:rsidR="00AB62DA" w:rsidRPr="00E306F0">
        <w:rPr>
          <w:vertAlign w:val="superscript"/>
        </w:rPr>
        <w:t>[9]</w:t>
      </w:r>
      <w:r w:rsidR="00AB62DA" w:rsidRPr="00E306F0">
        <w:t xml:space="preserve"> as host materials in OLEDs</w:t>
      </w:r>
      <w:r w:rsidR="00AB62DA" w:rsidRPr="00E306F0">
        <w:rPr>
          <w:vertAlign w:val="superscript"/>
        </w:rPr>
        <w:t>[10]</w:t>
      </w:r>
      <w:r w:rsidR="00AB62DA" w:rsidRPr="00E306F0">
        <w:t xml:space="preserve"> (</w:t>
      </w:r>
      <w:r w:rsidR="00AB62DA" w:rsidRPr="00E306F0">
        <w:rPr>
          <w:i/>
        </w:rPr>
        <w:t>e.g.</w:t>
      </w:r>
      <w:r w:rsidR="00AB62DA" w:rsidRPr="00E306F0">
        <w:t xml:space="preserve"> </w:t>
      </w:r>
      <w:r w:rsidR="00AB62DA" w:rsidRPr="00E306F0">
        <w:rPr>
          <w:b/>
        </w:rPr>
        <w:t>3</w:t>
      </w:r>
      <w:r w:rsidR="00AB62DA" w:rsidRPr="00E306F0">
        <w:t>), as photoswitches,</w:t>
      </w:r>
      <w:r w:rsidR="00AB62DA" w:rsidRPr="00E306F0">
        <w:rPr>
          <w:vertAlign w:val="superscript"/>
        </w:rPr>
        <w:t>[11]</w:t>
      </w:r>
      <w:r w:rsidR="00AB62DA" w:rsidRPr="00E306F0">
        <w:t xml:space="preserve"> and as molecular motors.</w:t>
      </w:r>
      <w:r w:rsidR="00AB62DA" w:rsidRPr="00E306F0">
        <w:rPr>
          <w:vertAlign w:val="superscript"/>
        </w:rPr>
        <w:t>[12]</w:t>
      </w:r>
      <w:r w:rsidR="00AB62DA" w:rsidRPr="00E306F0">
        <w:t xml:space="preserve"> Moreover, acridanes are valuable building blocks being readily oxidised to acridines and acridones,</w:t>
      </w:r>
      <w:r w:rsidR="00AB62DA" w:rsidRPr="00E306F0">
        <w:rPr>
          <w:vertAlign w:val="superscript"/>
        </w:rPr>
        <w:t>[13]</w:t>
      </w:r>
      <w:r w:rsidR="00AB62DA" w:rsidRPr="00E306F0">
        <w:t xml:space="preserve"> functionalised by C-H activation,</w:t>
      </w:r>
      <w:r w:rsidR="00AB62DA" w:rsidRPr="00E306F0">
        <w:rPr>
          <w:vertAlign w:val="superscript"/>
        </w:rPr>
        <w:t>[14]</w:t>
      </w:r>
      <w:r w:rsidR="00AB62DA" w:rsidRPr="00E306F0">
        <w:t xml:space="preserve"> and easily converted into 5</w:t>
      </w:r>
      <w:r w:rsidR="00AB62DA" w:rsidRPr="00E306F0">
        <w:rPr>
          <w:i/>
        </w:rPr>
        <w:t>H</w:t>
      </w:r>
      <w:r w:rsidR="00AB62DA" w:rsidRPr="00E306F0">
        <w:t>-dibenzo[</w:t>
      </w:r>
      <w:r w:rsidR="00AB62DA" w:rsidRPr="00E306F0">
        <w:rPr>
          <w:i/>
        </w:rPr>
        <w:t>b</w:t>
      </w:r>
      <w:r w:rsidR="00AB62DA" w:rsidRPr="00E306F0">
        <w:t>,</w:t>
      </w:r>
      <w:r w:rsidR="00AB62DA" w:rsidRPr="00E306F0">
        <w:rPr>
          <w:i/>
        </w:rPr>
        <w:t>f</w:t>
      </w:r>
      <w:r w:rsidR="00AB62DA" w:rsidRPr="00E306F0">
        <w:t>]azepines and 5,11-dihydro-10</w:t>
      </w:r>
      <w:r w:rsidR="00AB62DA" w:rsidRPr="00E306F0">
        <w:rPr>
          <w:i/>
        </w:rPr>
        <w:t>H</w:t>
      </w:r>
      <w:r w:rsidR="00AB62DA" w:rsidRPr="00E306F0">
        <w:t>-dibenzo[</w:t>
      </w:r>
      <w:r w:rsidR="00AB62DA" w:rsidRPr="00E306F0">
        <w:rPr>
          <w:i/>
        </w:rPr>
        <w:t>b</w:t>
      </w:r>
      <w:r w:rsidR="00AB62DA" w:rsidRPr="00E306F0">
        <w:t>,</w:t>
      </w:r>
      <w:r w:rsidR="00AB62DA" w:rsidRPr="00E306F0">
        <w:rPr>
          <w:i/>
        </w:rPr>
        <w:t>e</w:t>
      </w:r>
      <w:r w:rsidR="00AB62DA" w:rsidRPr="00E306F0">
        <w:t>][1,4]diazepines via ring expansion.</w:t>
      </w:r>
      <w:r w:rsidR="00AB62DA" w:rsidRPr="00E306F0">
        <w:rPr>
          <w:vertAlign w:val="superscript"/>
        </w:rPr>
        <w:t>[15]</w:t>
      </w:r>
    </w:p>
    <w:p w:rsidR="00AB62DA" w:rsidRPr="00E306F0" w:rsidRDefault="00AB62DA" w:rsidP="00607F62">
      <w:pPr>
        <w:pStyle w:val="P1withIndendation"/>
      </w:pPr>
    </w:p>
    <w:p w:rsidR="00AB62DA" w:rsidRPr="00E306F0" w:rsidRDefault="00AB62DA" w:rsidP="00607F62">
      <w:pPr>
        <w:pStyle w:val="P1withIndendation"/>
      </w:pPr>
    </w:p>
    <w:p w:rsidR="00AB62DA" w:rsidRPr="00E306F0" w:rsidRDefault="00AB62DA" w:rsidP="00607F62">
      <w:pPr>
        <w:pStyle w:val="P1withIndendation"/>
      </w:pPr>
    </w:p>
    <w:p w:rsidR="005A132B" w:rsidRPr="00E306F0" w:rsidRDefault="005A132B" w:rsidP="00607F62">
      <w:pPr>
        <w:pStyle w:val="P1withIndendation"/>
      </w:pPr>
    </w:p>
    <w:p w:rsidR="00C24977" w:rsidRPr="00E306F0" w:rsidRDefault="00ED29CD" w:rsidP="004845F9">
      <w:pPr>
        <w:rPr>
          <w:rFonts w:ascii="Arial" w:hAnsi="Arial" w:cs="Arial"/>
          <w:color w:val="FF0000"/>
          <w:sz w:val="14"/>
          <w:szCs w:val="16"/>
          <w:lang w:val="en-GB"/>
        </w:rPr>
      </w:pPr>
      <w:r>
        <w:rPr>
          <w:noProof/>
          <w:lang w:val="en-GB" w:eastAsia="en-GB"/>
        </w:rPr>
        <w:drawing>
          <wp:inline distT="0" distB="0" distL="0" distR="0">
            <wp:extent cx="3114675" cy="141922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1419225"/>
                    </a:xfrm>
                    <a:prstGeom prst="rect">
                      <a:avLst/>
                    </a:prstGeom>
                    <a:noFill/>
                    <a:ln>
                      <a:noFill/>
                    </a:ln>
                  </pic:spPr>
                </pic:pic>
              </a:graphicData>
            </a:graphic>
          </wp:inline>
        </w:drawing>
      </w:r>
    </w:p>
    <w:p w:rsidR="00C24977" w:rsidRPr="00E306F0" w:rsidRDefault="00C24977" w:rsidP="00C24977">
      <w:pPr>
        <w:pStyle w:val="FigureCaption"/>
      </w:pPr>
      <w:r w:rsidRPr="00E306F0">
        <w:rPr>
          <w:b/>
        </w:rPr>
        <w:t>Figure 1</w:t>
      </w:r>
      <w:r w:rsidRPr="00E306F0">
        <w:t>. Examples demonstrating the utility of acridanes.</w:t>
      </w:r>
    </w:p>
    <w:p w:rsidR="00586987" w:rsidRPr="00E306F0" w:rsidRDefault="00A81652" w:rsidP="00586987">
      <w:pPr>
        <w:pStyle w:val="P1withIndendation"/>
        <w:ind w:firstLine="0"/>
      </w:pPr>
      <w:r w:rsidRPr="00E306F0">
        <w:t>Given the proven utility of acridanes, the sparse number of general methods available for their preparation is surprising.</w:t>
      </w:r>
      <w:r w:rsidR="00BE1549" w:rsidRPr="00E306F0">
        <w:rPr>
          <w:vertAlign w:val="superscript"/>
        </w:rPr>
        <w:t>[</w:t>
      </w:r>
      <w:r w:rsidRPr="00E306F0">
        <w:rPr>
          <w:vertAlign w:val="superscript"/>
        </w:rPr>
        <w:t>3</w:t>
      </w:r>
      <w:r w:rsidR="00BE1549" w:rsidRPr="00E306F0">
        <w:rPr>
          <w:vertAlign w:val="superscript"/>
        </w:rPr>
        <w:t>]</w:t>
      </w:r>
      <w:r w:rsidRPr="00E306F0">
        <w:t xml:space="preserve"> Traditionally, they have been prepared by </w:t>
      </w:r>
      <w:r w:rsidR="00D37F26" w:rsidRPr="00E306F0">
        <w:t xml:space="preserve">nucleophilic </w:t>
      </w:r>
      <w:r w:rsidRPr="00E306F0">
        <w:t xml:space="preserve">addition to existing acridines </w:t>
      </w:r>
      <w:r w:rsidRPr="00E306F0">
        <w:rPr>
          <w:b/>
        </w:rPr>
        <w:t>4</w:t>
      </w:r>
      <w:r w:rsidRPr="00E306F0">
        <w:t xml:space="preserve"> or acridinium salts </w:t>
      </w:r>
      <w:r w:rsidRPr="00E306F0">
        <w:rPr>
          <w:b/>
        </w:rPr>
        <w:t>5</w:t>
      </w:r>
      <w:r w:rsidRPr="00E306F0">
        <w:t xml:space="preserve"> (Scheme 1, eqn 1),</w:t>
      </w:r>
      <w:r w:rsidR="00BE1549" w:rsidRPr="00E306F0">
        <w:rPr>
          <w:vertAlign w:val="superscript"/>
        </w:rPr>
        <w:t>[</w:t>
      </w:r>
      <w:r w:rsidRPr="00E306F0">
        <w:rPr>
          <w:vertAlign w:val="superscript"/>
        </w:rPr>
        <w:t>16</w:t>
      </w:r>
      <w:r w:rsidR="00BE1549" w:rsidRPr="00E306F0">
        <w:rPr>
          <w:vertAlign w:val="superscript"/>
        </w:rPr>
        <w:t>]</w:t>
      </w:r>
      <w:r w:rsidRPr="00E306F0">
        <w:t xml:space="preserve"> or by a Friedel-Crafts type cyclisation of diarylamines </w:t>
      </w:r>
      <w:r w:rsidRPr="00E306F0">
        <w:rPr>
          <w:b/>
        </w:rPr>
        <w:t>7</w:t>
      </w:r>
      <w:r w:rsidRPr="00E306F0">
        <w:t xml:space="preserve"> with strong acid (Scheme 1, eqn 2).</w:t>
      </w:r>
      <w:r w:rsidR="00BE1549" w:rsidRPr="00E306F0">
        <w:rPr>
          <w:vertAlign w:val="superscript"/>
        </w:rPr>
        <w:t>[</w:t>
      </w:r>
      <w:r w:rsidRPr="00E306F0">
        <w:rPr>
          <w:vertAlign w:val="superscript"/>
        </w:rPr>
        <w:t>17</w:t>
      </w:r>
      <w:r w:rsidR="00BE1549" w:rsidRPr="00E306F0">
        <w:rPr>
          <w:vertAlign w:val="superscript"/>
        </w:rPr>
        <w:t>]</w:t>
      </w:r>
      <w:r w:rsidRPr="00E306F0">
        <w:t xml:space="preserve"> However, the need to rely either on the commercial availability or potentially lengthy synthesis of acridines </w:t>
      </w:r>
      <w:r w:rsidRPr="00E306F0">
        <w:rPr>
          <w:b/>
        </w:rPr>
        <w:t>4</w:t>
      </w:r>
      <w:r w:rsidRPr="00E306F0">
        <w:t xml:space="preserve">, coupled with the </w:t>
      </w:r>
      <w:r w:rsidR="006922F3" w:rsidRPr="00E306F0">
        <w:t xml:space="preserve">requirements for the use of strong acids </w:t>
      </w:r>
      <w:r w:rsidR="00586987" w:rsidRPr="00E306F0">
        <w:t>and well known problems of site-</w:t>
      </w:r>
      <w:r w:rsidRPr="00E306F0">
        <w:t xml:space="preserve">selectivity associated with Friedel-Crafts cyclisations, means that new approaches to highly </w:t>
      </w:r>
      <w:r w:rsidR="00586987" w:rsidRPr="00E306F0">
        <w:t>substituted acridane derivatives are of considerable interest.</w:t>
      </w:r>
    </w:p>
    <w:p w:rsidR="00586987" w:rsidRPr="00E306F0" w:rsidRDefault="00586987" w:rsidP="00586987">
      <w:pPr>
        <w:pStyle w:val="P1withIndendation"/>
        <w:rPr>
          <w:lang w:val="en-CA"/>
        </w:rPr>
      </w:pPr>
      <w:r w:rsidRPr="00E306F0">
        <w:t>Thus, in continuation of our studies on the synthesis of diverse heterocyclic scaffolds via the oxidative cyclisation of linear precursors using inexpensive copper salts,</w:t>
      </w:r>
      <w:r w:rsidRPr="00E306F0">
        <w:rPr>
          <w:vertAlign w:val="superscript"/>
        </w:rPr>
        <w:t>[2]</w:t>
      </w:r>
      <w:r w:rsidRPr="00E306F0">
        <w:t xml:space="preserve"> our goal was to exploit this simple yet powerful methodology in the preparation of </w:t>
      </w:r>
      <w:r w:rsidRPr="00E306F0">
        <w:rPr>
          <w:lang w:val="de-DE"/>
        </w:rPr>
        <w:t xml:space="preserve">acridane derivatives </w:t>
      </w:r>
      <w:r w:rsidRPr="00E306F0">
        <w:rPr>
          <w:b/>
          <w:lang w:val="de-DE"/>
        </w:rPr>
        <w:t>10</w:t>
      </w:r>
      <w:r w:rsidRPr="00E306F0">
        <w:rPr>
          <w:lang w:val="de-DE"/>
        </w:rPr>
        <w:t xml:space="preserve"> from 2-[2-(arylamino)aryl]malonates </w:t>
      </w:r>
      <w:r w:rsidRPr="00E306F0">
        <w:rPr>
          <w:b/>
          <w:lang w:val="de-DE"/>
        </w:rPr>
        <w:t>9</w:t>
      </w:r>
      <w:r w:rsidRPr="00E306F0">
        <w:rPr>
          <w:lang w:val="de-DE"/>
        </w:rPr>
        <w:t xml:space="preserve"> (Scheme 1, eqn 3).</w:t>
      </w:r>
    </w:p>
    <w:p w:rsidR="00161E13" w:rsidRPr="00E306F0" w:rsidRDefault="00161E13" w:rsidP="002F6F44">
      <w:pPr>
        <w:pStyle w:val="P1withIndendation"/>
      </w:pPr>
    </w:p>
    <w:p w:rsidR="00161E13" w:rsidRPr="00E306F0" w:rsidRDefault="00ED29CD" w:rsidP="00161E13">
      <w:pPr>
        <w:spacing w:before="360"/>
        <w:rPr>
          <w:rFonts w:ascii="Arial" w:hAnsi="Arial" w:cs="Arial"/>
          <w:color w:val="FF0000"/>
          <w:sz w:val="14"/>
          <w:szCs w:val="16"/>
          <w:lang w:val="en-GB"/>
        </w:rPr>
      </w:pPr>
      <w:r>
        <w:rPr>
          <w:noProof/>
          <w:lang w:val="en-GB" w:eastAsia="en-GB"/>
        </w:rPr>
        <w:lastRenderedPageBreak/>
        <w:drawing>
          <wp:inline distT="0" distB="0" distL="0" distR="0">
            <wp:extent cx="3086100" cy="423862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4238625"/>
                    </a:xfrm>
                    <a:prstGeom prst="rect">
                      <a:avLst/>
                    </a:prstGeom>
                    <a:noFill/>
                    <a:ln>
                      <a:noFill/>
                    </a:ln>
                  </pic:spPr>
                </pic:pic>
              </a:graphicData>
            </a:graphic>
          </wp:inline>
        </w:drawing>
      </w:r>
    </w:p>
    <w:p w:rsidR="00161E13" w:rsidRPr="00E306F0" w:rsidRDefault="00161E13" w:rsidP="00161E13">
      <w:pPr>
        <w:pStyle w:val="SchemeCaption"/>
      </w:pPr>
      <w:r w:rsidRPr="00E306F0">
        <w:rPr>
          <w:b/>
        </w:rPr>
        <w:t>Scheme 1.</w:t>
      </w:r>
      <w:r w:rsidRPr="00E306F0">
        <w:t xml:space="preserve"> </w:t>
      </w:r>
      <w:r w:rsidR="00A81652" w:rsidRPr="00E306F0">
        <w:rPr>
          <w:lang w:val="de-DE"/>
        </w:rPr>
        <w:t>Approaches for the synthesis of acridanes</w:t>
      </w:r>
      <w:r w:rsidR="00586987" w:rsidRPr="00E306F0">
        <w:t>.</w:t>
      </w:r>
    </w:p>
    <w:p w:rsidR="0072161F" w:rsidRPr="00E306F0" w:rsidRDefault="0072161F" w:rsidP="005A132B">
      <w:pPr>
        <w:pStyle w:val="P1withIndendation"/>
        <w:rPr>
          <w:lang w:val="en-CA"/>
        </w:rPr>
      </w:pPr>
      <w:r w:rsidRPr="00E306F0">
        <w:rPr>
          <w:lang w:val="de-DE"/>
        </w:rPr>
        <w:t xml:space="preserve">The likely mechanism for this </w:t>
      </w:r>
      <w:r w:rsidR="00C73621" w:rsidRPr="00E306F0">
        <w:rPr>
          <w:lang w:val="de-DE"/>
        </w:rPr>
        <w:t>process</w:t>
      </w:r>
      <w:r w:rsidR="00586987" w:rsidRPr="00E306F0">
        <w:rPr>
          <w:lang w:val="de-DE"/>
        </w:rPr>
        <w:t>,</w:t>
      </w:r>
      <w:r w:rsidR="00747387" w:rsidRPr="00E306F0">
        <w:rPr>
          <w:lang w:val="de-DE"/>
        </w:rPr>
        <w:t xml:space="preserve"> </w:t>
      </w:r>
      <w:r w:rsidR="006927D1" w:rsidRPr="00E306F0">
        <w:rPr>
          <w:lang w:val="de-DE"/>
        </w:rPr>
        <w:t>by analo</w:t>
      </w:r>
      <w:r w:rsidR="00586987" w:rsidRPr="00E306F0">
        <w:rPr>
          <w:lang w:val="de-DE"/>
        </w:rPr>
        <w:t>gy with earlier studies,</w:t>
      </w:r>
      <w:r w:rsidR="00586987" w:rsidRPr="00E306F0">
        <w:rPr>
          <w:vertAlign w:val="superscript"/>
          <w:lang w:val="de-DE"/>
        </w:rPr>
        <w:t>[</w:t>
      </w:r>
      <w:r w:rsidR="006927D1" w:rsidRPr="00E306F0">
        <w:rPr>
          <w:vertAlign w:val="superscript"/>
          <w:lang w:val="de-DE"/>
        </w:rPr>
        <w:t>2d,2f]</w:t>
      </w:r>
      <w:r w:rsidR="00747387" w:rsidRPr="00E306F0">
        <w:rPr>
          <w:lang w:val="de-DE"/>
        </w:rPr>
        <w:t xml:space="preserve"> </w:t>
      </w:r>
      <w:r w:rsidR="00586987" w:rsidRPr="00E306F0">
        <w:rPr>
          <w:lang w:val="de-DE"/>
        </w:rPr>
        <w:t>is shown in Scheme 1.</w:t>
      </w:r>
      <w:r w:rsidR="00586987" w:rsidRPr="00E306F0">
        <w:rPr>
          <w:vertAlign w:val="superscript"/>
          <w:lang w:val="de-DE"/>
        </w:rPr>
        <w:t xml:space="preserve"> </w:t>
      </w:r>
      <w:r w:rsidR="00586987" w:rsidRPr="00E306F0">
        <w:rPr>
          <w:lang w:val="de-DE"/>
        </w:rPr>
        <w:t xml:space="preserve"> I</w:t>
      </w:r>
      <w:r w:rsidR="00747387" w:rsidRPr="00E306F0">
        <w:rPr>
          <w:lang w:val="de-DE"/>
        </w:rPr>
        <w:t xml:space="preserve">nitially, proton abstraction and single electron oxidation </w:t>
      </w:r>
      <w:r w:rsidR="00586987" w:rsidRPr="00E306F0">
        <w:rPr>
          <w:lang w:val="de-DE"/>
        </w:rPr>
        <w:t>would give</w:t>
      </w:r>
      <w:r w:rsidR="00747387" w:rsidRPr="00E306F0">
        <w:rPr>
          <w:lang w:val="de-DE"/>
        </w:rPr>
        <w:t xml:space="preserve"> malonyl radical </w:t>
      </w:r>
      <w:r w:rsidR="00747387" w:rsidRPr="00E306F0">
        <w:rPr>
          <w:b/>
          <w:lang w:val="de-DE"/>
        </w:rPr>
        <w:t>A</w:t>
      </w:r>
      <w:r w:rsidR="00747387" w:rsidRPr="00E306F0">
        <w:rPr>
          <w:lang w:val="de-DE"/>
        </w:rPr>
        <w:t xml:space="preserve">, which </w:t>
      </w:r>
      <w:r w:rsidR="00586987" w:rsidRPr="00E306F0">
        <w:rPr>
          <w:lang w:val="de-DE"/>
        </w:rPr>
        <w:t>would undergo</w:t>
      </w:r>
      <w:r w:rsidR="00747387" w:rsidRPr="00E306F0">
        <w:rPr>
          <w:lang w:val="de-DE"/>
        </w:rPr>
        <w:t xml:space="preserve"> intramolecular homolytic aromatic substitution to give </w:t>
      </w:r>
      <w:r w:rsidR="00747387" w:rsidRPr="00E306F0">
        <w:rPr>
          <w:b/>
          <w:lang w:val="de-DE"/>
        </w:rPr>
        <w:t>B</w:t>
      </w:r>
      <w:r w:rsidR="00747387" w:rsidRPr="00E306F0">
        <w:rPr>
          <w:lang w:val="de-DE"/>
        </w:rPr>
        <w:t xml:space="preserve">, followed by further oxidation to give the cyclohexadienyl cation </w:t>
      </w:r>
      <w:r w:rsidR="00747387" w:rsidRPr="00E306F0">
        <w:rPr>
          <w:b/>
          <w:lang w:val="de-DE"/>
        </w:rPr>
        <w:t>C</w:t>
      </w:r>
      <w:r w:rsidR="006927D1" w:rsidRPr="00E306F0">
        <w:rPr>
          <w:lang w:val="de-DE"/>
        </w:rPr>
        <w:t xml:space="preserve">, which </w:t>
      </w:r>
      <w:r w:rsidR="00586987" w:rsidRPr="00E306F0">
        <w:rPr>
          <w:lang w:val="de-DE"/>
        </w:rPr>
        <w:t xml:space="preserve">would </w:t>
      </w:r>
      <w:r w:rsidR="006927D1" w:rsidRPr="00E306F0">
        <w:rPr>
          <w:lang w:val="de-DE"/>
        </w:rPr>
        <w:t xml:space="preserve">finally </w:t>
      </w:r>
      <w:r w:rsidR="00747387" w:rsidRPr="00E306F0">
        <w:rPr>
          <w:lang w:val="de-DE"/>
        </w:rPr>
        <w:t xml:space="preserve">aromatise to </w:t>
      </w:r>
      <w:r w:rsidR="00586987" w:rsidRPr="00E306F0">
        <w:rPr>
          <w:lang w:val="de-DE"/>
        </w:rPr>
        <w:t>generate</w:t>
      </w:r>
      <w:r w:rsidR="00747387" w:rsidRPr="00E306F0">
        <w:rPr>
          <w:lang w:val="de-DE"/>
        </w:rPr>
        <w:t xml:space="preserve"> the </w:t>
      </w:r>
      <w:r w:rsidR="009A430A" w:rsidRPr="00E306F0">
        <w:rPr>
          <w:lang w:val="de-DE"/>
        </w:rPr>
        <w:t>desired</w:t>
      </w:r>
      <w:r w:rsidR="00747387" w:rsidRPr="00E306F0">
        <w:rPr>
          <w:lang w:val="de-DE"/>
        </w:rPr>
        <w:t xml:space="preserve"> product </w:t>
      </w:r>
      <w:r w:rsidR="00747387" w:rsidRPr="00E306F0">
        <w:rPr>
          <w:b/>
          <w:lang w:val="de-DE"/>
        </w:rPr>
        <w:t>10</w:t>
      </w:r>
      <w:r w:rsidR="00747387" w:rsidRPr="00E306F0">
        <w:rPr>
          <w:lang w:val="de-DE"/>
        </w:rPr>
        <w:t xml:space="preserve">. </w:t>
      </w:r>
      <w:r w:rsidR="00586987" w:rsidRPr="00E306F0">
        <w:rPr>
          <w:lang w:val="de-DE"/>
        </w:rPr>
        <w:t xml:space="preserve"> </w:t>
      </w:r>
      <w:r w:rsidR="00F83046" w:rsidRPr="00E306F0">
        <w:rPr>
          <w:lang w:val="de-DE"/>
        </w:rPr>
        <w:t>Evidence for a</w:t>
      </w:r>
      <w:r w:rsidR="00747387" w:rsidRPr="00E306F0">
        <w:rPr>
          <w:lang w:val="de-DE"/>
        </w:rPr>
        <w:t xml:space="preserve"> radical </w:t>
      </w:r>
      <w:r w:rsidR="00586987" w:rsidRPr="00E306F0">
        <w:rPr>
          <w:lang w:val="de-DE"/>
        </w:rPr>
        <w:t>based mechanism in these copper-</w:t>
      </w:r>
      <w:r w:rsidR="006927D1" w:rsidRPr="00E306F0">
        <w:rPr>
          <w:lang w:val="de-DE"/>
        </w:rPr>
        <w:t>mediated oxidative coupling reactions includes radical c</w:t>
      </w:r>
      <w:r w:rsidR="00586987" w:rsidRPr="00E306F0">
        <w:rPr>
          <w:lang w:val="de-DE"/>
        </w:rPr>
        <w:t>lock experiments</w:t>
      </w:r>
      <w:r w:rsidR="006927D1" w:rsidRPr="00E306F0">
        <w:rPr>
          <w:lang w:val="de-DE"/>
        </w:rPr>
        <w:t>,</w:t>
      </w:r>
      <w:r w:rsidR="006927D1" w:rsidRPr="00E306F0">
        <w:rPr>
          <w:vertAlign w:val="superscript"/>
          <w:lang w:val="de-DE"/>
        </w:rPr>
        <w:t>[2d]</w:t>
      </w:r>
      <w:r w:rsidR="006927D1" w:rsidRPr="00E306F0">
        <w:rPr>
          <w:lang w:val="de-DE"/>
        </w:rPr>
        <w:t xml:space="preserve"> as well as DFT calculations conducted by K</w:t>
      </w:r>
      <w:r w:rsidR="00193421" w:rsidRPr="00E306F0">
        <w:rPr>
          <w:rFonts w:cs="Arial"/>
          <w:lang w:val="de-DE"/>
        </w:rPr>
        <w:t>ü</w:t>
      </w:r>
      <w:r w:rsidR="006927D1" w:rsidRPr="00E306F0">
        <w:rPr>
          <w:lang w:val="de-DE"/>
        </w:rPr>
        <w:t>ndig in related systems</w:t>
      </w:r>
      <w:r w:rsidR="00193421" w:rsidRPr="00E306F0">
        <w:rPr>
          <w:lang w:val="de-DE"/>
        </w:rPr>
        <w:t>.</w:t>
      </w:r>
      <w:r w:rsidR="00193421" w:rsidRPr="00E306F0">
        <w:rPr>
          <w:vertAlign w:val="superscript"/>
          <w:lang w:val="de-DE"/>
        </w:rPr>
        <w:t>[2f]</w:t>
      </w:r>
      <w:r w:rsidR="00586987" w:rsidRPr="00E306F0">
        <w:rPr>
          <w:vertAlign w:val="superscript"/>
          <w:lang w:val="de-DE"/>
        </w:rPr>
        <w:t xml:space="preserve">  </w:t>
      </w:r>
      <w:r w:rsidR="00586987" w:rsidRPr="00E306F0">
        <w:rPr>
          <w:lang w:val="de-DE"/>
        </w:rPr>
        <w:t>Clearly, two equivalents of copper salt are nominally required to effect both single electron oxidations involved in the process. However, in related studies we have demonstrated that a catalytic amount of the copper salt may be used with air serving as the terminal oxidant.</w:t>
      </w:r>
      <w:r w:rsidR="00586987" w:rsidRPr="00E306F0">
        <w:rPr>
          <w:vertAlign w:val="superscript"/>
          <w:lang w:val="de-DE"/>
        </w:rPr>
        <w:t>[2a-d]</w:t>
      </w:r>
      <w:r w:rsidR="00586987" w:rsidRPr="00E306F0">
        <w:rPr>
          <w:lang w:val="de-DE"/>
        </w:rPr>
        <w:t xml:space="preserve"> </w:t>
      </w:r>
    </w:p>
    <w:p w:rsidR="00A93E2D" w:rsidRPr="00E306F0" w:rsidRDefault="00A93E2D" w:rsidP="00A93E2D">
      <w:pPr>
        <w:pStyle w:val="H1"/>
      </w:pPr>
      <w:r w:rsidRPr="00E306F0">
        <w:t>Results and Discussion</w:t>
      </w:r>
    </w:p>
    <w:p w:rsidR="00663CFE" w:rsidRPr="00E306F0" w:rsidRDefault="00663CFE" w:rsidP="002F6F44">
      <w:pPr>
        <w:pStyle w:val="P1withIndendation"/>
        <w:ind w:firstLine="0"/>
      </w:pPr>
      <w:r w:rsidRPr="00E306F0">
        <w:t xml:space="preserve">The initial task was to develop a flexible and modular approach for the synthesis of linear precursors </w:t>
      </w:r>
      <w:r w:rsidRPr="00E306F0">
        <w:rPr>
          <w:b/>
        </w:rPr>
        <w:t>15</w:t>
      </w:r>
      <w:r w:rsidRPr="00E306F0">
        <w:t xml:space="preserve"> </w:t>
      </w:r>
      <w:r w:rsidR="00365DBD" w:rsidRPr="00E306F0">
        <w:t xml:space="preserve">(Scheme 2) </w:t>
      </w:r>
      <w:r w:rsidRPr="00E306F0">
        <w:t>which would allow the facile introduction of substituents at various positions around the acridane skeleton.</w:t>
      </w:r>
    </w:p>
    <w:p w:rsidR="008057D6" w:rsidRPr="00E306F0" w:rsidRDefault="008057D6" w:rsidP="008057D6">
      <w:pPr>
        <w:pStyle w:val="P1withIndendation"/>
      </w:pPr>
      <w:r w:rsidRPr="00E306F0">
        <w:t xml:space="preserve">In the event, </w:t>
      </w:r>
      <w:r w:rsidRPr="00E306F0">
        <w:rPr>
          <w:i/>
        </w:rPr>
        <w:t>N</w:t>
      </w:r>
      <w:r w:rsidRPr="00E306F0">
        <w:t xml:space="preserve">-aryloxindoles </w:t>
      </w:r>
      <w:r w:rsidRPr="00E306F0">
        <w:rPr>
          <w:b/>
        </w:rPr>
        <w:t>11</w:t>
      </w:r>
      <w:r w:rsidRPr="00E306F0">
        <w:t xml:space="preserve"> proved to be versatile starting materials for the preparation of cyclisation precursors </w:t>
      </w:r>
      <w:r w:rsidRPr="00E306F0">
        <w:rPr>
          <w:b/>
        </w:rPr>
        <w:t>15</w:t>
      </w:r>
      <w:r w:rsidRPr="00E306F0">
        <w:t xml:space="preserve"> via a 3 step protocol (Scheme 2).  First, ring-opening of the lactam moiety was carried out by treatment with NaOH in refluxing THF, followed by </w:t>
      </w:r>
      <w:r w:rsidRPr="00E306F0">
        <w:rPr>
          <w:i/>
        </w:rPr>
        <w:t>in situ</w:t>
      </w:r>
      <w:r w:rsidRPr="00E306F0">
        <w:t xml:space="preserve"> formation of the dianions </w:t>
      </w:r>
      <w:r w:rsidRPr="00E306F0">
        <w:rPr>
          <w:b/>
        </w:rPr>
        <w:t>12</w:t>
      </w:r>
      <w:r w:rsidRPr="00E306F0">
        <w:t xml:space="preserve"> by addition of </w:t>
      </w:r>
      <w:r w:rsidRPr="00E306F0">
        <w:rPr>
          <w:i/>
        </w:rPr>
        <w:t>n</w:t>
      </w:r>
      <w:r w:rsidRPr="00E306F0">
        <w:t>-BuLi at low</w:t>
      </w:r>
      <w:r w:rsidR="00365DBD" w:rsidRPr="00E306F0">
        <w:t xml:space="preserve"> </w:t>
      </w:r>
      <w:r w:rsidRPr="00E306F0">
        <w:t xml:space="preserve">temperature and subsequent trapping with the appropriate electrophile to give carboxylic acids </w:t>
      </w:r>
      <w:r w:rsidRPr="00E306F0">
        <w:rPr>
          <w:b/>
        </w:rPr>
        <w:t>13</w:t>
      </w:r>
      <w:r w:rsidRPr="00E306F0">
        <w:t>.</w:t>
      </w:r>
      <w:r w:rsidRPr="00E306F0">
        <w:rPr>
          <w:vertAlign w:val="superscript"/>
        </w:rPr>
        <w:t>[18]</w:t>
      </w:r>
      <w:r w:rsidRPr="00E306F0">
        <w:t xml:space="preserve"> Then, simple esterification, deprotonation with LiHMDS and trapping with the requisite cyano- or chloroformate delivered 2-[2-(arylamino)aryl]malonates </w:t>
      </w:r>
      <w:r w:rsidRPr="00E306F0">
        <w:rPr>
          <w:b/>
        </w:rPr>
        <w:t>15a</w:t>
      </w:r>
      <w:r w:rsidRPr="00E306F0">
        <w:t>-</w:t>
      </w:r>
      <w:r w:rsidRPr="00E306F0">
        <w:rPr>
          <w:b/>
        </w:rPr>
        <w:t>j</w:t>
      </w:r>
      <w:r w:rsidRPr="00E306F0">
        <w:t>.  In this manner, control over the substitution pattern on the aromatic rings, as well at the nitrogen atom and ester functionality could be readily achieved (14–63%</w:t>
      </w:r>
      <w:r w:rsidR="00365DBD" w:rsidRPr="00E306F0">
        <w:t xml:space="preserve"> un</w:t>
      </w:r>
      <w:r w:rsidRPr="00E306F0">
        <w:t>optimised overall yields; see SI for details).</w:t>
      </w:r>
    </w:p>
    <w:p w:rsidR="00A42756" w:rsidRPr="00E306F0" w:rsidRDefault="00ED29CD" w:rsidP="00A42756">
      <w:pPr>
        <w:spacing w:before="360"/>
        <w:rPr>
          <w:rFonts w:ascii="Arial" w:hAnsi="Arial" w:cs="Arial"/>
          <w:color w:val="FF0000"/>
          <w:sz w:val="14"/>
          <w:szCs w:val="16"/>
          <w:lang w:val="en-GB"/>
        </w:rPr>
      </w:pPr>
      <w:r>
        <w:rPr>
          <w:noProof/>
          <w:lang w:val="en-GB" w:eastAsia="en-GB"/>
        </w:rPr>
        <w:drawing>
          <wp:inline distT="0" distB="0" distL="0" distR="0">
            <wp:extent cx="3000375" cy="3371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3371850"/>
                    </a:xfrm>
                    <a:prstGeom prst="rect">
                      <a:avLst/>
                    </a:prstGeom>
                    <a:noFill/>
                    <a:ln>
                      <a:noFill/>
                    </a:ln>
                  </pic:spPr>
                </pic:pic>
              </a:graphicData>
            </a:graphic>
          </wp:inline>
        </w:drawing>
      </w:r>
    </w:p>
    <w:p w:rsidR="00A42756" w:rsidRPr="00E306F0" w:rsidRDefault="00A61ACE" w:rsidP="00A42756">
      <w:pPr>
        <w:pStyle w:val="SchemeCaption"/>
        <w:rPr>
          <w:lang w:val="de-DE"/>
        </w:rPr>
      </w:pPr>
      <w:r w:rsidRPr="00E306F0">
        <w:rPr>
          <w:b/>
        </w:rPr>
        <w:t>Scheme 2</w:t>
      </w:r>
      <w:r w:rsidR="00A42756" w:rsidRPr="00E306F0">
        <w:rPr>
          <w:b/>
        </w:rPr>
        <w:t>.</w:t>
      </w:r>
      <w:r w:rsidR="00A42756" w:rsidRPr="00E306F0">
        <w:t xml:space="preserve"> </w:t>
      </w:r>
      <w:r w:rsidRPr="00E306F0">
        <w:rPr>
          <w:lang w:val="de-DE"/>
        </w:rPr>
        <w:t xml:space="preserve">Modular synthesis of cyclisation precursors </w:t>
      </w:r>
      <w:r w:rsidRPr="00E306F0">
        <w:rPr>
          <w:b/>
          <w:lang w:val="de-DE"/>
        </w:rPr>
        <w:t>15</w:t>
      </w:r>
      <w:r w:rsidR="00365DBD" w:rsidRPr="00E306F0">
        <w:rPr>
          <w:b/>
          <w:lang w:val="de-DE"/>
        </w:rPr>
        <w:t>a-j</w:t>
      </w:r>
      <w:r w:rsidRPr="00E306F0">
        <w:rPr>
          <w:lang w:val="de-DE"/>
        </w:rPr>
        <w:t>.</w:t>
      </w:r>
    </w:p>
    <w:p w:rsidR="00365DBD" w:rsidRPr="00E306F0" w:rsidRDefault="00365DBD" w:rsidP="00365DBD">
      <w:pPr>
        <w:pStyle w:val="P1withIndendation"/>
        <w:ind w:firstLine="0"/>
        <w:rPr>
          <w:lang w:val="de-DE"/>
        </w:rPr>
      </w:pPr>
      <w:r w:rsidRPr="00E306F0">
        <w:t xml:space="preserve">With ready access to the required linear substrates established, the cyclisation of model substrate </w:t>
      </w:r>
      <w:r w:rsidRPr="00E306F0">
        <w:rPr>
          <w:b/>
        </w:rPr>
        <w:t>15a</w:t>
      </w:r>
      <w:r w:rsidRPr="00E306F0">
        <w:t xml:space="preserve"> was then examined.  Pleasingly, treatment of </w:t>
      </w:r>
      <w:r w:rsidRPr="00E306F0">
        <w:rPr>
          <w:b/>
        </w:rPr>
        <w:t>15a</w:t>
      </w:r>
      <w:r w:rsidRPr="00E306F0">
        <w:t xml:space="preserve"> under the conditions previously reported</w:t>
      </w:r>
      <w:r w:rsidRPr="00E306F0">
        <w:rPr>
          <w:vertAlign w:val="superscript"/>
        </w:rPr>
        <w:t>[2b]</w:t>
      </w:r>
      <w:r w:rsidRPr="00E306F0">
        <w:t xml:space="preserve"> in our synthesis of oxindoles [Cu(2-ethylhexanoate)</w:t>
      </w:r>
      <w:r w:rsidRPr="00E306F0">
        <w:rPr>
          <w:vertAlign w:val="subscript"/>
        </w:rPr>
        <w:t>2</w:t>
      </w:r>
      <w:r w:rsidRPr="00E306F0">
        <w:t xml:space="preserve"> (10 mol%), toluene, reflux, open flask] delivered the desired acridane </w:t>
      </w:r>
      <w:r w:rsidRPr="00E306F0">
        <w:rPr>
          <w:b/>
        </w:rPr>
        <w:t>16a</w:t>
      </w:r>
      <w:r w:rsidRPr="00E306F0">
        <w:t xml:space="preserve"> in 87% yield without the need for further optimisation (Scheme 3).  It is also noteworthy that the oxidative coupling could be performed in the presence of only 5 mol% or 2 mol% of the catalyst, with only a minor drop in yield (Scheme 3, footnote a).</w:t>
      </w:r>
    </w:p>
    <w:p w:rsidR="00C10E31" w:rsidRPr="00E306F0" w:rsidRDefault="00365DBD" w:rsidP="00AB62DA">
      <w:pPr>
        <w:pStyle w:val="P1withIndendation"/>
      </w:pPr>
      <w:r w:rsidRPr="00E306F0">
        <w:rPr>
          <w:lang w:val="de-DE"/>
        </w:rPr>
        <w:t xml:space="preserve">Following this successful initial result, the generality of this new copper-catalysed approach to acridanes was explored (Scheme 3).  First, cyclisation of </w:t>
      </w:r>
      <w:r w:rsidRPr="00E306F0">
        <w:rPr>
          <w:b/>
          <w:lang w:val="de-DE"/>
        </w:rPr>
        <w:t>15b</w:t>
      </w:r>
      <w:r w:rsidRPr="00E306F0">
        <w:rPr>
          <w:lang w:val="de-DE"/>
        </w:rPr>
        <w:t xml:space="preserve">, bearing a removable protecting group on nitrogen, was carried out to give </w:t>
      </w:r>
      <w:r w:rsidRPr="00E306F0">
        <w:rPr>
          <w:i/>
          <w:lang w:val="de-DE"/>
        </w:rPr>
        <w:t>N</w:t>
      </w:r>
      <w:r w:rsidRPr="00E306F0">
        <w:rPr>
          <w:lang w:val="de-DE"/>
        </w:rPr>
        <w:t>-</w:t>
      </w:r>
      <w:r w:rsidR="008057D6" w:rsidRPr="00E306F0">
        <w:rPr>
          <w:lang w:val="de-DE"/>
        </w:rPr>
        <w:t xml:space="preserve">benzylacridane </w:t>
      </w:r>
      <w:r w:rsidR="008057D6" w:rsidRPr="00E306F0">
        <w:rPr>
          <w:b/>
          <w:lang w:val="de-DE"/>
        </w:rPr>
        <w:t>16b</w:t>
      </w:r>
      <w:r w:rsidR="008057D6" w:rsidRPr="00E306F0">
        <w:rPr>
          <w:lang w:val="de-DE"/>
        </w:rPr>
        <w:t xml:space="preserve">, albeit in reduced yield compared to </w:t>
      </w:r>
      <w:r w:rsidR="008057D6" w:rsidRPr="00E306F0">
        <w:rPr>
          <w:i/>
          <w:lang w:val="de-DE"/>
        </w:rPr>
        <w:t>N</w:t>
      </w:r>
      <w:r w:rsidR="008057D6" w:rsidRPr="00E306F0">
        <w:rPr>
          <w:lang w:val="de-DE"/>
        </w:rPr>
        <w:t xml:space="preserve">-ethyl derivative </w:t>
      </w:r>
      <w:r w:rsidR="008057D6" w:rsidRPr="00E306F0">
        <w:rPr>
          <w:b/>
          <w:lang w:val="de-DE"/>
        </w:rPr>
        <w:t>16a</w:t>
      </w:r>
      <w:r w:rsidR="008057D6" w:rsidRPr="00E306F0">
        <w:rPr>
          <w:lang w:val="de-DE"/>
        </w:rPr>
        <w:t xml:space="preserve">. Next, acridanes </w:t>
      </w:r>
      <w:r w:rsidR="008057D6" w:rsidRPr="00E306F0">
        <w:rPr>
          <w:b/>
          <w:lang w:val="de-DE"/>
        </w:rPr>
        <w:t>16c</w:t>
      </w:r>
      <w:r w:rsidR="008057D6" w:rsidRPr="00E306F0">
        <w:rPr>
          <w:lang w:val="de-DE"/>
        </w:rPr>
        <w:t>-</w:t>
      </w:r>
      <w:r w:rsidR="008057D6" w:rsidRPr="00E306F0">
        <w:rPr>
          <w:b/>
          <w:lang w:val="de-DE"/>
        </w:rPr>
        <w:t>f</w:t>
      </w:r>
      <w:r w:rsidR="008057D6" w:rsidRPr="00E306F0">
        <w:rPr>
          <w:lang w:val="de-DE"/>
        </w:rPr>
        <w:t xml:space="preserve"> bearing differentially </w:t>
      </w:r>
      <w:r w:rsidR="008057D6" w:rsidRPr="00E306F0">
        <w:rPr>
          <w:lang w:val="de-DE"/>
        </w:rPr>
        <w:lastRenderedPageBreak/>
        <w:t>protected esters (</w:t>
      </w:r>
      <w:r w:rsidR="008057D6" w:rsidRPr="00E306F0">
        <w:rPr>
          <w:i/>
          <w:lang w:val="de-DE"/>
        </w:rPr>
        <w:t>e</w:t>
      </w:r>
      <w:r w:rsidR="008057D6" w:rsidRPr="00E306F0">
        <w:rPr>
          <w:lang w:val="de-DE"/>
        </w:rPr>
        <w:t>.</w:t>
      </w:r>
      <w:r w:rsidR="008057D6" w:rsidRPr="00E306F0">
        <w:rPr>
          <w:i/>
          <w:lang w:val="de-DE"/>
        </w:rPr>
        <w:t>g</w:t>
      </w:r>
      <w:r w:rsidR="008057D6" w:rsidRPr="00E306F0">
        <w:rPr>
          <w:lang w:val="de-DE"/>
        </w:rPr>
        <w:t xml:space="preserve">. allyl, Bn, Fmoc) were </w:t>
      </w:r>
      <w:r w:rsidR="008057D6" w:rsidRPr="00E306F0">
        <w:t>prepared, thus opening the possibility for further manipulation of the cyclised products (</w:t>
      </w:r>
      <w:r w:rsidR="008057D6" w:rsidRPr="00E306F0">
        <w:rPr>
          <w:i/>
        </w:rPr>
        <w:t>vide infra</w:t>
      </w:r>
      <w:r w:rsidR="008057D6" w:rsidRPr="00E306F0">
        <w:t xml:space="preserve">). The Fmoc-protected ester </w:t>
      </w:r>
      <w:r w:rsidR="008057D6" w:rsidRPr="00E306F0">
        <w:rPr>
          <w:b/>
        </w:rPr>
        <w:t>16e</w:t>
      </w:r>
      <w:r w:rsidR="008057D6" w:rsidRPr="00E306F0">
        <w:t xml:space="preserve"> was crystalline, allowing unambiguous confirmation of its structure through X-ray crystallographic analysis (see SI).</w:t>
      </w:r>
    </w:p>
    <w:p w:rsidR="008057D6" w:rsidRPr="00E306F0" w:rsidRDefault="008057D6" w:rsidP="008057D6">
      <w:pPr>
        <w:pStyle w:val="P1withIndendation"/>
      </w:pPr>
      <w:r w:rsidRPr="00E306F0">
        <w:t xml:space="preserve">Next, the introduction of substituents at various positions on either aromatic ring of the acridane skeleton was explored, with </w:t>
      </w:r>
      <w:r w:rsidRPr="00E306F0">
        <w:rPr>
          <w:b/>
        </w:rPr>
        <w:t>16g</w:t>
      </w:r>
      <w:r w:rsidRPr="00E306F0">
        <w:t>-</w:t>
      </w:r>
      <w:r w:rsidRPr="00E306F0">
        <w:rPr>
          <w:b/>
        </w:rPr>
        <w:t>j</w:t>
      </w:r>
      <w:r w:rsidRPr="00E306F0">
        <w:t xml:space="preserve"> obtained in good to excellent yields. Incorporation of a nitrogen atom into one of the aromatic rings was also possible, leading to isolation of the corresponding aza-acridane </w:t>
      </w:r>
      <w:r w:rsidRPr="00E306F0">
        <w:rPr>
          <w:b/>
        </w:rPr>
        <w:t>16k</w:t>
      </w:r>
      <w:r w:rsidRPr="00E306F0">
        <w:t xml:space="preserve"> in 66% yield.</w:t>
      </w:r>
    </w:p>
    <w:p w:rsidR="00365DBD" w:rsidRPr="00E306F0" w:rsidRDefault="008057D6" w:rsidP="00365DBD">
      <w:pPr>
        <w:pStyle w:val="P1withIndendation"/>
        <w:ind w:firstLine="0"/>
        <w:rPr>
          <w:lang w:val="de-DE"/>
        </w:rPr>
      </w:pPr>
      <w:r w:rsidRPr="00E306F0">
        <w:t xml:space="preserve">Having established the effectiveness of the copper-catalysed route to acridanes </w:t>
      </w:r>
      <w:r w:rsidRPr="00E306F0">
        <w:rPr>
          <w:b/>
        </w:rPr>
        <w:t>16a</w:t>
      </w:r>
      <w:r w:rsidRPr="00E306F0">
        <w:t>-</w:t>
      </w:r>
      <w:r w:rsidRPr="00E306F0">
        <w:rPr>
          <w:b/>
        </w:rPr>
        <w:t>k</w:t>
      </w:r>
      <w:r w:rsidRPr="00E306F0">
        <w:t>, this method was extended to the synthesis of other related heterocycles of interest, such as xanthenes and thioxanthenes (Scheme 3, last two entries).  However, cyclisation of a linear diaryl ether in the presence of 10 mol% Cu(2-ethylhexanoate)</w:t>
      </w:r>
      <w:r w:rsidRPr="00E306F0">
        <w:rPr>
          <w:vertAlign w:val="subscript"/>
        </w:rPr>
        <w:t>2</w:t>
      </w:r>
      <w:r w:rsidRPr="00E306F0">
        <w:t xml:space="preserve"> under the standard reaction conditions delivered xanthene </w:t>
      </w:r>
      <w:r w:rsidRPr="00E306F0">
        <w:rPr>
          <w:b/>
        </w:rPr>
        <w:t>16l</w:t>
      </w:r>
      <w:r w:rsidRPr="00E306F0">
        <w:t xml:space="preserve"> in a disappointing 33% yield.  Also isolated was an equal amount of a by-product identified as ethyl 2-oxo-2-(2-phenoxyphenyl)acetate, which arises from competing decarboxylation and aerial oxidation of the starting material. This problem was exacerbated in the case of thioxanthene </w:t>
      </w:r>
      <w:r w:rsidRPr="00E306F0">
        <w:rPr>
          <w:b/>
        </w:rPr>
        <w:t>16m</w:t>
      </w:r>
      <w:r w:rsidRPr="00E306F0">
        <w:t xml:space="preserve">, which was isolated in only 20% yield along with 53% of the undesired by-product. Further optimisation of these latter processes is clearly required but fortunately, in </w:t>
      </w:r>
      <w:r w:rsidRPr="00E306F0">
        <w:rPr>
          <w:lang w:val="de-DE"/>
        </w:rPr>
        <w:t xml:space="preserve">both cases, the yield of the </w:t>
      </w:r>
      <w:r w:rsidR="00365DBD" w:rsidRPr="00E306F0">
        <w:rPr>
          <w:lang w:val="de-DE"/>
        </w:rPr>
        <w:t>oxidation by-products could be minimised</w:t>
      </w:r>
      <w:r w:rsidRPr="00E306F0">
        <w:rPr>
          <w:lang w:val="de-DE"/>
        </w:rPr>
        <w:t xml:space="preserve"> by performing the cyclisation under an atmosphere of argon, leading to formation </w:t>
      </w:r>
      <w:r w:rsidR="00365DBD" w:rsidRPr="00E306F0">
        <w:rPr>
          <w:lang w:val="de-DE"/>
        </w:rPr>
        <w:t xml:space="preserve">of xanthene </w:t>
      </w:r>
      <w:r w:rsidR="00365DBD" w:rsidRPr="00E306F0">
        <w:rPr>
          <w:b/>
          <w:lang w:val="de-DE"/>
        </w:rPr>
        <w:t>16l</w:t>
      </w:r>
      <w:r w:rsidR="00365DBD" w:rsidRPr="00E306F0">
        <w:rPr>
          <w:lang w:val="de-DE"/>
        </w:rPr>
        <w:t xml:space="preserve"> and thioxanthene </w:t>
      </w:r>
      <w:r w:rsidR="00365DBD" w:rsidRPr="00E306F0">
        <w:rPr>
          <w:b/>
          <w:lang w:val="de-DE"/>
        </w:rPr>
        <w:t>16m</w:t>
      </w:r>
      <w:r w:rsidR="00365DBD" w:rsidRPr="00E306F0">
        <w:rPr>
          <w:lang w:val="de-DE"/>
        </w:rPr>
        <w:t xml:space="preserve"> in 47% and 44% yields, respectively. </w:t>
      </w:r>
      <w:r w:rsidR="00B93F42" w:rsidRPr="00E306F0">
        <w:rPr>
          <w:lang w:val="de-DE"/>
        </w:rPr>
        <w:t xml:space="preserve">While formation of the desired products </w:t>
      </w:r>
      <w:r w:rsidR="00B93F42" w:rsidRPr="00E306F0">
        <w:rPr>
          <w:b/>
          <w:lang w:val="de-DE"/>
        </w:rPr>
        <w:t>16l</w:t>
      </w:r>
      <w:r w:rsidR="00B93F42" w:rsidRPr="00E306F0">
        <w:rPr>
          <w:lang w:val="de-DE"/>
        </w:rPr>
        <w:t xml:space="preserve"> and </w:t>
      </w:r>
      <w:r w:rsidR="00B93F42" w:rsidRPr="00E306F0">
        <w:rPr>
          <w:b/>
          <w:lang w:val="de-DE"/>
        </w:rPr>
        <w:t>16m</w:t>
      </w:r>
      <w:r w:rsidR="00B93F42" w:rsidRPr="00E306F0">
        <w:rPr>
          <w:lang w:val="de-DE"/>
        </w:rPr>
        <w:t xml:space="preserve"> is enhanced</w:t>
      </w:r>
      <w:r w:rsidR="00365DBD" w:rsidRPr="00E306F0">
        <w:rPr>
          <w:lang w:val="de-DE"/>
        </w:rPr>
        <w:t xml:space="preserve"> under these conditions, performing the reaction under argon necessitates the use of 2.5 equivalents of copper salt to allow the reaction to proceed to completion (see proposed mechanism, Scheme 1)</w:t>
      </w:r>
    </w:p>
    <w:p w:rsidR="00C10E31" w:rsidRPr="00E306F0" w:rsidRDefault="00C10E31" w:rsidP="00836974">
      <w:pPr>
        <w:pStyle w:val="P1withIndendation"/>
      </w:pPr>
    </w:p>
    <w:p w:rsidR="00A61ACE" w:rsidRPr="00E306F0" w:rsidRDefault="00ED29CD" w:rsidP="00CF1B1B">
      <w:pPr>
        <w:spacing w:before="360"/>
        <w:rPr>
          <w:rFonts w:ascii="Arial" w:hAnsi="Arial" w:cs="Arial"/>
          <w:color w:val="FF0000"/>
          <w:sz w:val="14"/>
          <w:szCs w:val="16"/>
          <w:lang w:val="en-GB"/>
        </w:rPr>
      </w:pPr>
      <w:r>
        <w:rPr>
          <w:noProof/>
          <w:lang w:val="en-GB" w:eastAsia="en-GB"/>
        </w:rPr>
        <w:drawing>
          <wp:inline distT="0" distB="0" distL="0" distR="0">
            <wp:extent cx="3105150" cy="479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4791075"/>
                    </a:xfrm>
                    <a:prstGeom prst="rect">
                      <a:avLst/>
                    </a:prstGeom>
                    <a:noFill/>
                    <a:ln>
                      <a:noFill/>
                    </a:ln>
                  </pic:spPr>
                </pic:pic>
              </a:graphicData>
            </a:graphic>
          </wp:inline>
        </w:drawing>
      </w:r>
    </w:p>
    <w:p w:rsidR="003A070F" w:rsidRPr="00E306F0" w:rsidRDefault="00FA44B8" w:rsidP="003A070F">
      <w:pPr>
        <w:pStyle w:val="SchemeCaption"/>
        <w:rPr>
          <w:bCs/>
        </w:rPr>
      </w:pPr>
      <w:r w:rsidRPr="00E306F0">
        <w:rPr>
          <w:b/>
        </w:rPr>
        <w:t>Scheme 3</w:t>
      </w:r>
      <w:r w:rsidR="00A61ACE" w:rsidRPr="00E306F0">
        <w:rPr>
          <w:b/>
        </w:rPr>
        <w:t>.</w:t>
      </w:r>
      <w:r w:rsidRPr="00E306F0">
        <w:t xml:space="preserve"> Scope of the Cu-catalysed synthesis of acridanes.</w:t>
      </w:r>
      <w:r w:rsidR="003A070F" w:rsidRPr="00E306F0">
        <w:t xml:space="preserve"> </w:t>
      </w:r>
      <w:r w:rsidR="00BE1549" w:rsidRPr="00E306F0">
        <w:t>[</w:t>
      </w:r>
      <w:r w:rsidR="003A070F" w:rsidRPr="00E306F0">
        <w:rPr>
          <w:bCs/>
        </w:rPr>
        <w:t>a</w:t>
      </w:r>
      <w:r w:rsidR="00BE1549" w:rsidRPr="00E306F0">
        <w:rPr>
          <w:bCs/>
        </w:rPr>
        <w:t>]</w:t>
      </w:r>
      <w:r w:rsidR="003A070F" w:rsidRPr="00E306F0">
        <w:rPr>
          <w:bCs/>
        </w:rPr>
        <w:t xml:space="preserve"> </w:t>
      </w:r>
      <w:r w:rsidR="003A070F" w:rsidRPr="00E306F0">
        <w:rPr>
          <w:b/>
          <w:bCs/>
        </w:rPr>
        <w:t>16a</w:t>
      </w:r>
      <w:r w:rsidR="003A070F" w:rsidRPr="00E306F0">
        <w:rPr>
          <w:bCs/>
        </w:rPr>
        <w:t xml:space="preserve"> was obtained in 83% and 84% yield when Cu(2-ethylhexanoate)</w:t>
      </w:r>
      <w:r w:rsidR="003A070F" w:rsidRPr="00E306F0">
        <w:rPr>
          <w:bCs/>
          <w:vertAlign w:val="subscript"/>
        </w:rPr>
        <w:t>2</w:t>
      </w:r>
      <w:r w:rsidR="003A070F" w:rsidRPr="00E306F0">
        <w:rPr>
          <w:bCs/>
        </w:rPr>
        <w:t xml:space="preserve"> (5 mol% and 2 mol%) were used, respectively. </w:t>
      </w:r>
      <w:r w:rsidR="00BE1549" w:rsidRPr="00E306F0">
        <w:rPr>
          <w:bCs/>
        </w:rPr>
        <w:t>[</w:t>
      </w:r>
      <w:r w:rsidR="003A070F" w:rsidRPr="00E306F0">
        <w:rPr>
          <w:bCs/>
        </w:rPr>
        <w:t>b</w:t>
      </w:r>
      <w:r w:rsidR="00BE1549" w:rsidRPr="00E306F0">
        <w:rPr>
          <w:bCs/>
        </w:rPr>
        <w:t>]</w:t>
      </w:r>
      <w:r w:rsidR="003A070F" w:rsidRPr="00E306F0">
        <w:rPr>
          <w:bCs/>
          <w:i/>
        </w:rPr>
        <w:t xml:space="preserve"> </w:t>
      </w:r>
      <w:r w:rsidR="003A070F" w:rsidRPr="00E306F0">
        <w:rPr>
          <w:bCs/>
        </w:rPr>
        <w:t>Cu(2-ethylhexanoate)</w:t>
      </w:r>
      <w:r w:rsidR="003A070F" w:rsidRPr="00E306F0">
        <w:rPr>
          <w:bCs/>
          <w:vertAlign w:val="subscript"/>
        </w:rPr>
        <w:t>2</w:t>
      </w:r>
      <w:r w:rsidR="003A070F" w:rsidRPr="00E306F0">
        <w:rPr>
          <w:bCs/>
        </w:rPr>
        <w:t xml:space="preserve"> (2.5 equiv) and DIPEA (2.5 equiv) were used under an atmosphere of argon.</w:t>
      </w:r>
    </w:p>
    <w:p w:rsidR="00F146A7" w:rsidRPr="00E306F0" w:rsidRDefault="00654554" w:rsidP="00F146A7">
      <w:pPr>
        <w:pStyle w:val="P1withIndendation"/>
        <w:ind w:firstLine="0"/>
      </w:pPr>
      <w:r w:rsidRPr="00E306F0">
        <w:t xml:space="preserve">In order to demonstrate the utility of the acridanes derived from the copper-catalysed cyclisation, a brief study on their further functionalisation was carried out (Scheme 4). For example, treatment of </w:t>
      </w:r>
      <w:r w:rsidRPr="00E306F0">
        <w:rPr>
          <w:b/>
        </w:rPr>
        <w:t>16a</w:t>
      </w:r>
      <w:r w:rsidRPr="00E306F0">
        <w:t xml:space="preserve"> with an excess of KOH in EtOH/H</w:t>
      </w:r>
      <w:r w:rsidRPr="00E306F0">
        <w:rPr>
          <w:vertAlign w:val="subscript"/>
        </w:rPr>
        <w:t>2</w:t>
      </w:r>
      <w:r w:rsidRPr="00E306F0">
        <w:t xml:space="preserve">O resulted in saponification and decarboxylation to give acid </w:t>
      </w:r>
      <w:r w:rsidRPr="00E306F0">
        <w:rPr>
          <w:b/>
        </w:rPr>
        <w:t>17</w:t>
      </w:r>
      <w:r w:rsidRPr="00E306F0">
        <w:t xml:space="preserve"> in excellent yield, thus providing an alternative route which may be of use in the synthesis of analogues of chemiluminescent sensors such as </w:t>
      </w:r>
      <w:r w:rsidRPr="00E306F0">
        <w:rPr>
          <w:b/>
        </w:rPr>
        <w:t>2</w:t>
      </w:r>
      <w:r w:rsidRPr="00E306F0">
        <w:t xml:space="preserve"> (Figure 1).  Reduction of the esters was also achieved in the presence of LiAlH</w:t>
      </w:r>
      <w:r w:rsidRPr="00E306F0">
        <w:rPr>
          <w:vertAlign w:val="subscript"/>
        </w:rPr>
        <w:t>4</w:t>
      </w:r>
      <w:r w:rsidRPr="00E306F0">
        <w:t xml:space="preserve"> to give diol </w:t>
      </w:r>
      <w:r w:rsidRPr="00E306F0">
        <w:rPr>
          <w:b/>
        </w:rPr>
        <w:t>18</w:t>
      </w:r>
      <w:r w:rsidR="00D044E8" w:rsidRPr="00E306F0">
        <w:t xml:space="preserve"> in 94% yield.</w:t>
      </w:r>
      <w:r w:rsidRPr="00E306F0">
        <w:t xml:space="preserve"> Furthermore, selective functionalisation of the allyl ester in </w:t>
      </w:r>
      <w:r w:rsidRPr="00E306F0">
        <w:rPr>
          <w:b/>
        </w:rPr>
        <w:t>16c</w:t>
      </w:r>
      <w:r w:rsidRPr="00E306F0">
        <w:t xml:space="preserve"> was carried out by decarboxylative allylic alkylation on treatment with 4 mol% Pd(PPh</w:t>
      </w:r>
      <w:r w:rsidRPr="00E306F0">
        <w:rPr>
          <w:vertAlign w:val="subscript"/>
        </w:rPr>
        <w:t>3</w:t>
      </w:r>
      <w:r w:rsidRPr="00E306F0">
        <w:t>)</w:t>
      </w:r>
      <w:r w:rsidRPr="00E306F0">
        <w:rPr>
          <w:vertAlign w:val="subscript"/>
        </w:rPr>
        <w:t>4</w:t>
      </w:r>
      <w:r w:rsidRPr="00E306F0">
        <w:t xml:space="preserve"> to give </w:t>
      </w:r>
      <w:r w:rsidRPr="00E306F0">
        <w:rPr>
          <w:b/>
        </w:rPr>
        <w:t>19</w:t>
      </w:r>
      <w:r w:rsidRPr="00E306F0">
        <w:t xml:space="preserve">, thereby generating a new quaternary </w:t>
      </w:r>
      <w:r w:rsidR="00F146A7" w:rsidRPr="00E306F0">
        <w:t xml:space="preserve">carbon centre, again in excellent yield. Finally, hydrogenolysis of the benzyl protecting group in </w:t>
      </w:r>
      <w:r w:rsidR="00F146A7" w:rsidRPr="00E306F0">
        <w:rPr>
          <w:b/>
        </w:rPr>
        <w:t>16b</w:t>
      </w:r>
      <w:r w:rsidR="00F146A7" w:rsidRPr="00E306F0">
        <w:t xml:space="preserve"> delivered acridane </w:t>
      </w:r>
      <w:r w:rsidR="00F146A7" w:rsidRPr="00E306F0">
        <w:rPr>
          <w:b/>
        </w:rPr>
        <w:t>20</w:t>
      </w:r>
      <w:r w:rsidR="00F146A7" w:rsidRPr="00E306F0">
        <w:t xml:space="preserve"> bearing a free N-H group in reasonable, un-optimised yield.</w:t>
      </w:r>
    </w:p>
    <w:p w:rsidR="00607F62" w:rsidRPr="00E306F0" w:rsidRDefault="00607F62" w:rsidP="002F6F44">
      <w:pPr>
        <w:pStyle w:val="P1withIndendation"/>
      </w:pPr>
    </w:p>
    <w:p w:rsidR="006A16A8" w:rsidRPr="00E306F0" w:rsidRDefault="00ED29CD" w:rsidP="006A16A8">
      <w:pPr>
        <w:spacing w:before="360"/>
        <w:rPr>
          <w:rFonts w:ascii="Arial" w:hAnsi="Arial" w:cs="Arial"/>
          <w:color w:val="FF0000"/>
          <w:sz w:val="14"/>
          <w:szCs w:val="16"/>
          <w:lang w:val="en-GB"/>
        </w:rPr>
      </w:pPr>
      <w:r>
        <w:rPr>
          <w:noProof/>
          <w:lang w:val="en-GB" w:eastAsia="en-GB"/>
        </w:rPr>
        <w:lastRenderedPageBreak/>
        <w:drawing>
          <wp:inline distT="0" distB="0" distL="0" distR="0">
            <wp:extent cx="3057525" cy="19716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1971675"/>
                    </a:xfrm>
                    <a:prstGeom prst="rect">
                      <a:avLst/>
                    </a:prstGeom>
                    <a:noFill/>
                    <a:ln>
                      <a:noFill/>
                    </a:ln>
                  </pic:spPr>
                </pic:pic>
              </a:graphicData>
            </a:graphic>
          </wp:inline>
        </w:drawing>
      </w:r>
    </w:p>
    <w:p w:rsidR="006A16A8" w:rsidRPr="00E306F0" w:rsidRDefault="006A16A8" w:rsidP="00B551E4">
      <w:pPr>
        <w:pStyle w:val="SchemeCaption"/>
      </w:pPr>
      <w:r w:rsidRPr="00E306F0">
        <w:rPr>
          <w:b/>
        </w:rPr>
        <w:t>Scheme 4.</w:t>
      </w:r>
      <w:r w:rsidRPr="00E306F0">
        <w:t xml:space="preserve"> </w:t>
      </w:r>
      <w:r w:rsidRPr="00E306F0">
        <w:rPr>
          <w:lang w:val="de-DE"/>
        </w:rPr>
        <w:t>Further derivatisation of acridanes obtained from oxidative coupling.</w:t>
      </w:r>
      <w:r w:rsidRPr="00E306F0">
        <w:rPr>
          <w:sz w:val="17"/>
        </w:rPr>
        <w:t xml:space="preserve">  </w:t>
      </w:r>
    </w:p>
    <w:p w:rsidR="004C6538" w:rsidRPr="00E306F0" w:rsidRDefault="004845F9" w:rsidP="004845F9">
      <w:pPr>
        <w:pStyle w:val="P1withIndendation"/>
      </w:pPr>
      <w:r w:rsidRPr="00E306F0">
        <w:t xml:space="preserve">In a final aspect to this work, we </w:t>
      </w:r>
      <w:r w:rsidR="00D37F26" w:rsidRPr="00E306F0">
        <w:t>e</w:t>
      </w:r>
      <w:r w:rsidRPr="00E306F0">
        <w:t>xplore</w:t>
      </w:r>
      <w:r w:rsidR="00D37F26" w:rsidRPr="00E306F0">
        <w:t>d</w:t>
      </w:r>
      <w:r w:rsidRPr="00E306F0">
        <w:t xml:space="preserve"> the potential of an expedited, one-pot approach to acridanes </w:t>
      </w:r>
      <w:r w:rsidRPr="00E306F0">
        <w:rPr>
          <w:b/>
        </w:rPr>
        <w:t xml:space="preserve">16 </w:t>
      </w:r>
      <w:r w:rsidRPr="00E306F0">
        <w:t xml:space="preserve">based on the α-arylation of 1,3-dicarbonyl compounds with </w:t>
      </w:r>
      <w:r w:rsidR="004C6538" w:rsidRPr="00E306F0">
        <w:t xml:space="preserve">haloarenes </w:t>
      </w:r>
      <w:r w:rsidR="004C6538" w:rsidRPr="00E306F0">
        <w:rPr>
          <w:b/>
        </w:rPr>
        <w:t xml:space="preserve">21 </w:t>
      </w:r>
      <w:r w:rsidR="004C6538" w:rsidRPr="00E306F0">
        <w:t xml:space="preserve">generating intermediates </w:t>
      </w:r>
      <w:r w:rsidR="004C6538" w:rsidRPr="00E306F0">
        <w:rPr>
          <w:b/>
        </w:rPr>
        <w:t xml:space="preserve">15 </w:t>
      </w:r>
      <w:r w:rsidR="004C6538" w:rsidRPr="00E306F0">
        <w:rPr>
          <w:i/>
        </w:rPr>
        <w:t>in situ</w:t>
      </w:r>
      <w:r w:rsidR="004C6538" w:rsidRPr="00E306F0">
        <w:rPr>
          <w:b/>
        </w:rPr>
        <w:t xml:space="preserve"> </w:t>
      </w:r>
      <w:r w:rsidR="004C6538" w:rsidRPr="00E306F0">
        <w:t>which would then undergo the oxidative coupling procedure (Scheme 5). Given the well-known ability of copper salts to catalyse both processes,</w:t>
      </w:r>
      <w:r w:rsidR="00BE1549" w:rsidRPr="00E306F0">
        <w:rPr>
          <w:vertAlign w:val="superscript"/>
        </w:rPr>
        <w:t>[</w:t>
      </w:r>
      <w:r w:rsidR="004C6538" w:rsidRPr="00E306F0">
        <w:rPr>
          <w:vertAlign w:val="superscript"/>
        </w:rPr>
        <w:t>19</w:t>
      </w:r>
      <w:r w:rsidR="00BE1549" w:rsidRPr="00E306F0">
        <w:rPr>
          <w:vertAlign w:val="superscript"/>
        </w:rPr>
        <w:t>]</w:t>
      </w:r>
      <w:r w:rsidR="004C6538" w:rsidRPr="00E306F0">
        <w:t xml:space="preserve"> a highly efficient transformation seemed attainable.</w:t>
      </w:r>
    </w:p>
    <w:p w:rsidR="006A16A8" w:rsidRPr="00E306F0" w:rsidRDefault="00ED29CD" w:rsidP="001C57A1">
      <w:pPr>
        <w:spacing w:before="360"/>
        <w:rPr>
          <w:rFonts w:ascii="Arial" w:hAnsi="Arial" w:cs="Arial"/>
          <w:color w:val="FF0000"/>
          <w:sz w:val="14"/>
          <w:szCs w:val="16"/>
          <w:lang w:val="en-GB"/>
        </w:rPr>
      </w:pPr>
      <w:r>
        <w:rPr>
          <w:noProof/>
          <w:lang w:val="en-GB" w:eastAsia="en-GB"/>
        </w:rPr>
        <w:drawing>
          <wp:inline distT="0" distB="0" distL="0" distR="0">
            <wp:extent cx="309562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5625" cy="838200"/>
                    </a:xfrm>
                    <a:prstGeom prst="rect">
                      <a:avLst/>
                    </a:prstGeom>
                    <a:noFill/>
                    <a:ln>
                      <a:noFill/>
                    </a:ln>
                  </pic:spPr>
                </pic:pic>
              </a:graphicData>
            </a:graphic>
          </wp:inline>
        </w:drawing>
      </w:r>
    </w:p>
    <w:p w:rsidR="006A16A8" w:rsidRPr="00E306F0" w:rsidRDefault="006A16A8" w:rsidP="006A16A8">
      <w:pPr>
        <w:pStyle w:val="SchemeCaption"/>
      </w:pPr>
      <w:r w:rsidRPr="00E306F0">
        <w:rPr>
          <w:b/>
        </w:rPr>
        <w:t>Scheme 5.</w:t>
      </w:r>
      <w:r w:rsidRPr="00E306F0">
        <w:t xml:space="preserve"> </w:t>
      </w:r>
      <w:r w:rsidR="001C57A1" w:rsidRPr="00E306F0">
        <w:rPr>
          <w:lang w:val="de-DE"/>
        </w:rPr>
        <w:t xml:space="preserve">Retrosynthesis of acridanes </w:t>
      </w:r>
      <w:r w:rsidR="001C57A1" w:rsidRPr="00E306F0">
        <w:rPr>
          <w:b/>
          <w:lang w:val="de-DE"/>
        </w:rPr>
        <w:t>16</w:t>
      </w:r>
      <w:r w:rsidR="001C57A1" w:rsidRPr="00E306F0">
        <w:rPr>
          <w:lang w:val="de-DE"/>
        </w:rPr>
        <w:t xml:space="preserve"> </w:t>
      </w:r>
      <w:r w:rsidR="001C57A1" w:rsidRPr="00E306F0">
        <w:rPr>
          <w:i/>
          <w:lang w:val="de-DE"/>
        </w:rPr>
        <w:t>via</w:t>
      </w:r>
      <w:r w:rsidR="001C57A1" w:rsidRPr="00E306F0">
        <w:rPr>
          <w:lang w:val="de-DE"/>
        </w:rPr>
        <w:t xml:space="preserve"> a one-pot α-arylation/cyclisation process.</w:t>
      </w:r>
    </w:p>
    <w:p w:rsidR="00654554" w:rsidRPr="00E306F0" w:rsidRDefault="00B551E4" w:rsidP="002F6F44">
      <w:pPr>
        <w:pStyle w:val="P1withIndendation"/>
      </w:pPr>
      <w:r w:rsidRPr="00E306F0">
        <w:t xml:space="preserve">The requisite 2-halodiarylamines </w:t>
      </w:r>
      <w:r w:rsidRPr="00E306F0">
        <w:rPr>
          <w:b/>
        </w:rPr>
        <w:t>21</w:t>
      </w:r>
      <w:r w:rsidRPr="00E306F0">
        <w:t xml:space="preserve"> were easily prepared by the addition of commercially available 2-haloanilines </w:t>
      </w:r>
      <w:r w:rsidRPr="00E306F0">
        <w:rPr>
          <w:b/>
        </w:rPr>
        <w:t>22</w:t>
      </w:r>
      <w:r w:rsidRPr="00E306F0">
        <w:t xml:space="preserve"> to benzynes prepared </w:t>
      </w:r>
      <w:r w:rsidRPr="00E306F0">
        <w:rPr>
          <w:i/>
        </w:rPr>
        <w:t>in situ</w:t>
      </w:r>
      <w:r w:rsidRPr="00E306F0">
        <w:t xml:space="preserve"> from 2-(trimethylsilyl)phenyl triflates </w:t>
      </w:r>
      <w:r w:rsidRPr="00E306F0">
        <w:rPr>
          <w:b/>
        </w:rPr>
        <w:t>23</w:t>
      </w:r>
      <w:r w:rsidRPr="00E306F0">
        <w:t xml:space="preserve"> in the presence of CsF, then subsequent </w:t>
      </w:r>
      <w:r w:rsidRPr="00E306F0">
        <w:rPr>
          <w:i/>
        </w:rPr>
        <w:t>N</w:t>
      </w:r>
      <w:r w:rsidRPr="00E306F0">
        <w:t>-alkylation (Scheme 6; see SI for more details).</w:t>
      </w:r>
      <w:r w:rsidR="00BE1549" w:rsidRPr="00E306F0">
        <w:rPr>
          <w:vertAlign w:val="superscript"/>
        </w:rPr>
        <w:t>[</w:t>
      </w:r>
      <w:r w:rsidRPr="00E306F0">
        <w:rPr>
          <w:vertAlign w:val="superscript"/>
        </w:rPr>
        <w:t>20</w:t>
      </w:r>
      <w:r w:rsidR="00BE1549" w:rsidRPr="00E306F0">
        <w:rPr>
          <w:vertAlign w:val="superscript"/>
        </w:rPr>
        <w:t>]</w:t>
      </w:r>
    </w:p>
    <w:p w:rsidR="00B551E4" w:rsidRPr="00E306F0" w:rsidRDefault="00ED29CD" w:rsidP="00B551E4">
      <w:pPr>
        <w:spacing w:before="360"/>
        <w:rPr>
          <w:rFonts w:ascii="Arial" w:hAnsi="Arial" w:cs="Arial"/>
          <w:color w:val="FF0000"/>
          <w:sz w:val="14"/>
          <w:szCs w:val="16"/>
          <w:lang w:val="en-GB"/>
        </w:rPr>
      </w:pPr>
      <w:r>
        <w:rPr>
          <w:noProof/>
          <w:lang w:val="en-GB" w:eastAsia="en-GB"/>
        </w:rPr>
        <w:drawing>
          <wp:inline distT="0" distB="0" distL="0" distR="0">
            <wp:extent cx="3086100"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0" cy="590550"/>
                    </a:xfrm>
                    <a:prstGeom prst="rect">
                      <a:avLst/>
                    </a:prstGeom>
                    <a:noFill/>
                    <a:ln>
                      <a:noFill/>
                    </a:ln>
                  </pic:spPr>
                </pic:pic>
              </a:graphicData>
            </a:graphic>
          </wp:inline>
        </w:drawing>
      </w:r>
    </w:p>
    <w:p w:rsidR="00B551E4" w:rsidRPr="00E306F0" w:rsidRDefault="00B551E4" w:rsidP="00B551E4">
      <w:pPr>
        <w:pStyle w:val="SchemeCaption"/>
      </w:pPr>
      <w:r w:rsidRPr="00E306F0">
        <w:rPr>
          <w:b/>
        </w:rPr>
        <w:t>Scheme 6.</w:t>
      </w:r>
      <w:r w:rsidRPr="00E306F0">
        <w:t xml:space="preserve"> Synthesis of 2-halodiarylamines </w:t>
      </w:r>
      <w:r w:rsidRPr="00E306F0">
        <w:rPr>
          <w:b/>
        </w:rPr>
        <w:t>21a</w:t>
      </w:r>
      <w:r w:rsidRPr="00E306F0">
        <w:t>-</w:t>
      </w:r>
      <w:r w:rsidRPr="00E306F0">
        <w:rPr>
          <w:b/>
        </w:rPr>
        <w:t>d</w:t>
      </w:r>
      <w:r w:rsidRPr="00E306F0">
        <w:t>.</w:t>
      </w:r>
    </w:p>
    <w:p w:rsidR="00F146A7" w:rsidRPr="00E306F0" w:rsidRDefault="002F6F44" w:rsidP="00F146A7">
      <w:pPr>
        <w:pStyle w:val="P1withIndendation"/>
        <w:ind w:firstLine="0"/>
      </w:pPr>
      <w:r w:rsidRPr="00E306F0">
        <w:t xml:space="preserve">Next, the crucial transition-metal catalysed α-arylation reaction between diethyl malonate and 2-halodiarylamines </w:t>
      </w:r>
      <w:r w:rsidRPr="00E306F0">
        <w:rPr>
          <w:b/>
        </w:rPr>
        <w:t>21a</w:t>
      </w:r>
      <w:r w:rsidRPr="00E306F0">
        <w:t>-</w:t>
      </w:r>
      <w:r w:rsidRPr="00E306F0">
        <w:rPr>
          <w:b/>
        </w:rPr>
        <w:t>b</w:t>
      </w:r>
      <w:r w:rsidRPr="00E306F0">
        <w:t xml:space="preserve"> was examined, selected results of which are shown in Table 1.  In the event, none of the desired α-arylation product was observed </w:t>
      </w:r>
      <w:r w:rsidR="00F146A7" w:rsidRPr="00E306F0">
        <w:t>on heating either 2-iodo- or 2-bromo-</w:t>
      </w:r>
      <w:r w:rsidR="00F146A7" w:rsidRPr="00E306F0">
        <w:rPr>
          <w:i/>
        </w:rPr>
        <w:t>N</w:t>
      </w:r>
      <w:r w:rsidR="00F146A7" w:rsidRPr="00E306F0">
        <w:t>-methyl-</w:t>
      </w:r>
      <w:r w:rsidR="00F146A7" w:rsidRPr="00E306F0">
        <w:rPr>
          <w:i/>
        </w:rPr>
        <w:t>N</w:t>
      </w:r>
      <w:r w:rsidR="00F146A7" w:rsidRPr="00E306F0">
        <w:t xml:space="preserve">-phenylaniline </w:t>
      </w:r>
      <w:r w:rsidR="00F146A7" w:rsidRPr="00E306F0">
        <w:rPr>
          <w:b/>
        </w:rPr>
        <w:t>21a</w:t>
      </w:r>
      <w:r w:rsidR="00F146A7" w:rsidRPr="00E306F0">
        <w:t>-</w:t>
      </w:r>
      <w:r w:rsidR="00F146A7" w:rsidRPr="00E306F0">
        <w:rPr>
          <w:b/>
        </w:rPr>
        <w:t>b</w:t>
      </w:r>
      <w:r w:rsidR="00F146A7" w:rsidRPr="00E306F0">
        <w:t xml:space="preserve"> with diethyl malonate in the presence of CuI and 2-picolinic acid</w:t>
      </w:r>
      <w:r w:rsidR="00F146A7" w:rsidRPr="00E306F0">
        <w:rPr>
          <w:vertAlign w:val="superscript"/>
        </w:rPr>
        <w:t>19a</w:t>
      </w:r>
      <w:r w:rsidR="00F146A7" w:rsidRPr="00E306F0">
        <w:t xml:space="preserve"> (Table 1, entries 1-2).  Similarly, other copper-based catalyst systems reported</w:t>
      </w:r>
      <w:r w:rsidR="00F146A7" w:rsidRPr="00E306F0">
        <w:rPr>
          <w:vertAlign w:val="superscript"/>
        </w:rPr>
        <w:t>[19b-d]</w:t>
      </w:r>
      <w:r w:rsidR="00F146A7" w:rsidRPr="00E306F0">
        <w:t xml:space="preserve"> for the coupling of dialkyl malonates with simple haloarenes proved equally ineffective (results not shown).  Thus, attention turned to the use of palladium catalysts to effect the initial transformation.</w:t>
      </w:r>
    </w:p>
    <w:p w:rsidR="009B6E34" w:rsidRPr="00E306F0" w:rsidRDefault="009B6E34" w:rsidP="009B6E34">
      <w:pPr>
        <w:pStyle w:val="P1withIndendation"/>
      </w:pPr>
    </w:p>
    <w:tbl>
      <w:tblPr>
        <w:tblW w:w="0" w:type="auto"/>
        <w:tblLayout w:type="fixed"/>
        <w:tblLook w:val="01E0" w:firstRow="1" w:lastRow="1" w:firstColumn="1" w:lastColumn="1" w:noHBand="0" w:noVBand="0"/>
      </w:tblPr>
      <w:tblGrid>
        <w:gridCol w:w="567"/>
        <w:gridCol w:w="426"/>
        <w:gridCol w:w="3260"/>
        <w:gridCol w:w="622"/>
      </w:tblGrid>
      <w:tr w:rsidR="002F6F44" w:rsidRPr="00E306F0">
        <w:tc>
          <w:tcPr>
            <w:tcW w:w="4875" w:type="dxa"/>
            <w:gridSpan w:val="4"/>
            <w:tcBorders>
              <w:bottom w:val="single" w:sz="8" w:space="0" w:color="000000"/>
            </w:tcBorders>
            <w:shd w:val="clear" w:color="auto" w:fill="auto"/>
          </w:tcPr>
          <w:p w:rsidR="002F6F44" w:rsidRPr="00E306F0" w:rsidRDefault="002F6F44" w:rsidP="002F6F44">
            <w:pPr>
              <w:pStyle w:val="TableCaption"/>
            </w:pPr>
            <w:r w:rsidRPr="00E306F0">
              <w:rPr>
                <w:b/>
              </w:rPr>
              <w:t>Table 1.</w:t>
            </w:r>
            <w:r w:rsidRPr="00E306F0">
              <w:t xml:space="preserve"> </w:t>
            </w:r>
            <w:r w:rsidRPr="00E306F0">
              <w:rPr>
                <w:lang w:val="de-DE"/>
              </w:rPr>
              <w:t xml:space="preserve">Optimisation of the α-arylation of </w:t>
            </w:r>
            <w:r w:rsidRPr="00E306F0">
              <w:rPr>
                <w:b/>
                <w:lang w:val="de-DE"/>
              </w:rPr>
              <w:t>21a</w:t>
            </w:r>
            <w:r w:rsidRPr="00E306F0">
              <w:rPr>
                <w:lang w:val="de-DE"/>
              </w:rPr>
              <w:t>-</w:t>
            </w:r>
            <w:r w:rsidRPr="00E306F0">
              <w:rPr>
                <w:b/>
                <w:lang w:val="de-DE"/>
              </w:rPr>
              <w:t>b</w:t>
            </w:r>
            <w:r w:rsidRPr="00E306F0">
              <w:rPr>
                <w:lang w:val="de-DE"/>
              </w:rPr>
              <w:t xml:space="preserve"> with diethyl malonate.</w:t>
            </w:r>
          </w:p>
          <w:p w:rsidR="00585399" w:rsidRPr="00E306F0" w:rsidRDefault="00ED29CD" w:rsidP="00864342">
            <w:pPr>
              <w:jc w:val="center"/>
            </w:pPr>
            <w:r>
              <w:rPr>
                <w:noProof/>
                <w:lang w:val="en-GB" w:eastAsia="en-GB"/>
              </w:rPr>
              <w:drawing>
                <wp:inline distT="0" distB="0" distL="0" distR="0">
                  <wp:extent cx="2628900" cy="904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inline>
              </w:drawing>
            </w:r>
          </w:p>
        </w:tc>
      </w:tr>
      <w:tr w:rsidR="002F6F44" w:rsidRPr="00E306F0">
        <w:tc>
          <w:tcPr>
            <w:tcW w:w="567" w:type="dxa"/>
            <w:tcBorders>
              <w:top w:val="single" w:sz="8" w:space="0" w:color="000000"/>
              <w:bottom w:val="single" w:sz="8" w:space="0" w:color="000000"/>
            </w:tcBorders>
          </w:tcPr>
          <w:p w:rsidR="002F6F44" w:rsidRPr="00E306F0" w:rsidRDefault="002F6F44" w:rsidP="002F6F44">
            <w:pPr>
              <w:pStyle w:val="TableHead"/>
            </w:pPr>
            <w:r w:rsidRPr="00E306F0">
              <w:t>Entry</w:t>
            </w:r>
          </w:p>
        </w:tc>
        <w:tc>
          <w:tcPr>
            <w:tcW w:w="426" w:type="dxa"/>
            <w:tcBorders>
              <w:top w:val="single" w:sz="8" w:space="0" w:color="000000"/>
              <w:bottom w:val="single" w:sz="8" w:space="0" w:color="000000"/>
            </w:tcBorders>
          </w:tcPr>
          <w:p w:rsidR="002F6F44" w:rsidRPr="00E306F0" w:rsidRDefault="002F6F44" w:rsidP="003A0C7A">
            <w:pPr>
              <w:pStyle w:val="TableHead"/>
            </w:pPr>
            <w:r w:rsidRPr="00E306F0">
              <w:t>X</w:t>
            </w:r>
          </w:p>
        </w:tc>
        <w:tc>
          <w:tcPr>
            <w:tcW w:w="3260" w:type="dxa"/>
            <w:tcBorders>
              <w:top w:val="single" w:sz="8" w:space="0" w:color="000000"/>
              <w:bottom w:val="single" w:sz="8" w:space="0" w:color="000000"/>
            </w:tcBorders>
          </w:tcPr>
          <w:p w:rsidR="002F6F44" w:rsidRPr="00E306F0" w:rsidRDefault="002F6F44" w:rsidP="002F6F44">
            <w:pPr>
              <w:pStyle w:val="TableHead"/>
            </w:pPr>
            <w:r w:rsidRPr="00E306F0">
              <w:t>Conditions</w:t>
            </w:r>
          </w:p>
        </w:tc>
        <w:tc>
          <w:tcPr>
            <w:tcW w:w="622" w:type="dxa"/>
            <w:tcBorders>
              <w:top w:val="single" w:sz="8" w:space="0" w:color="000000"/>
              <w:bottom w:val="single" w:sz="8" w:space="0" w:color="000000"/>
            </w:tcBorders>
          </w:tcPr>
          <w:p w:rsidR="002F6F44" w:rsidRPr="00E306F0" w:rsidRDefault="00585399" w:rsidP="003A0C7A">
            <w:pPr>
              <w:pStyle w:val="TableHead"/>
            </w:pPr>
            <w:r w:rsidRPr="00E306F0">
              <w:t>Yield</w:t>
            </w:r>
          </w:p>
        </w:tc>
      </w:tr>
      <w:tr w:rsidR="002F6F44" w:rsidRPr="00E306F0">
        <w:tc>
          <w:tcPr>
            <w:tcW w:w="567" w:type="dxa"/>
            <w:tcBorders>
              <w:top w:val="single" w:sz="8" w:space="0" w:color="000000"/>
            </w:tcBorders>
          </w:tcPr>
          <w:p w:rsidR="002F6F44" w:rsidRPr="00E306F0" w:rsidRDefault="002F6F44" w:rsidP="003A0C7A">
            <w:pPr>
              <w:pStyle w:val="TableBody"/>
            </w:pPr>
            <w:r w:rsidRPr="00E306F0">
              <w:t>1</w:t>
            </w:r>
          </w:p>
        </w:tc>
        <w:tc>
          <w:tcPr>
            <w:tcW w:w="426" w:type="dxa"/>
            <w:tcBorders>
              <w:top w:val="single" w:sz="8" w:space="0" w:color="000000"/>
            </w:tcBorders>
          </w:tcPr>
          <w:p w:rsidR="002F6F44" w:rsidRPr="00E306F0" w:rsidRDefault="002F6F44" w:rsidP="003A0C7A">
            <w:pPr>
              <w:pStyle w:val="TableBody"/>
            </w:pPr>
            <w:r w:rsidRPr="00E306F0">
              <w:t>I</w:t>
            </w:r>
          </w:p>
        </w:tc>
        <w:tc>
          <w:tcPr>
            <w:tcW w:w="3260" w:type="dxa"/>
            <w:tcBorders>
              <w:top w:val="single" w:sz="8" w:space="0" w:color="000000"/>
            </w:tcBorders>
          </w:tcPr>
          <w:p w:rsidR="00585399" w:rsidRPr="00E306F0" w:rsidRDefault="00585399" w:rsidP="00585399">
            <w:pPr>
              <w:pStyle w:val="TableBody"/>
            </w:pPr>
            <w:r w:rsidRPr="00E306F0">
              <w:t>CuI (10 mol%), 2-picolinic acid (20 mol%)</w:t>
            </w:r>
          </w:p>
          <w:p w:rsidR="002F6F44" w:rsidRPr="00E306F0" w:rsidRDefault="00585399" w:rsidP="00585399">
            <w:pPr>
              <w:pStyle w:val="TableBody"/>
            </w:pPr>
            <w:r w:rsidRPr="00E306F0">
              <w:rPr>
                <w:lang w:val="de-DE"/>
              </w:rPr>
              <w:t>Cs</w:t>
            </w:r>
            <w:r w:rsidRPr="00E306F0">
              <w:rPr>
                <w:vertAlign w:val="subscript"/>
                <w:lang w:val="de-DE"/>
              </w:rPr>
              <w:t>2</w:t>
            </w:r>
            <w:r w:rsidRPr="00E306F0">
              <w:rPr>
                <w:lang w:val="de-DE"/>
              </w:rPr>
              <w:t>CO</w:t>
            </w:r>
            <w:r w:rsidRPr="00E306F0">
              <w:rPr>
                <w:vertAlign w:val="subscript"/>
                <w:lang w:val="de-DE"/>
              </w:rPr>
              <w:t>3</w:t>
            </w:r>
            <w:r w:rsidRPr="00E306F0">
              <w:rPr>
                <w:lang w:val="de-DE"/>
              </w:rPr>
              <w:t xml:space="preserve"> (3 equiv), dioxane, reflux, 17 h</w:t>
            </w:r>
          </w:p>
        </w:tc>
        <w:tc>
          <w:tcPr>
            <w:tcW w:w="622" w:type="dxa"/>
            <w:tcBorders>
              <w:top w:val="single" w:sz="8" w:space="0" w:color="000000"/>
            </w:tcBorders>
          </w:tcPr>
          <w:p w:rsidR="002F6F44" w:rsidRPr="00E306F0" w:rsidRDefault="00585399" w:rsidP="003A0C7A">
            <w:pPr>
              <w:pStyle w:val="TableBody"/>
            </w:pPr>
            <w:r w:rsidRPr="00E306F0">
              <w:rPr>
                <w:rFonts w:cs="Arial"/>
              </w:rPr>
              <w:t>–</w:t>
            </w:r>
            <w:r w:rsidRPr="00E306F0">
              <w:rPr>
                <w:rFonts w:cs="Arial"/>
                <w:vertAlign w:val="superscript"/>
              </w:rPr>
              <w:t>[a]</w:t>
            </w:r>
          </w:p>
        </w:tc>
      </w:tr>
      <w:tr w:rsidR="002F6F44" w:rsidRPr="00E306F0">
        <w:tc>
          <w:tcPr>
            <w:tcW w:w="567" w:type="dxa"/>
          </w:tcPr>
          <w:p w:rsidR="002F6F44" w:rsidRPr="00E306F0" w:rsidRDefault="002F6F44" w:rsidP="003A0C7A">
            <w:pPr>
              <w:pStyle w:val="TableBody"/>
            </w:pPr>
            <w:r w:rsidRPr="00E306F0">
              <w:t>2</w:t>
            </w:r>
          </w:p>
        </w:tc>
        <w:tc>
          <w:tcPr>
            <w:tcW w:w="426" w:type="dxa"/>
          </w:tcPr>
          <w:p w:rsidR="002F6F44" w:rsidRPr="00E306F0" w:rsidRDefault="002F6F44" w:rsidP="003A0C7A">
            <w:pPr>
              <w:pStyle w:val="TableBody"/>
            </w:pPr>
            <w:r w:rsidRPr="00E306F0">
              <w:t>Br</w:t>
            </w:r>
          </w:p>
        </w:tc>
        <w:tc>
          <w:tcPr>
            <w:tcW w:w="3260" w:type="dxa"/>
          </w:tcPr>
          <w:p w:rsidR="00585399" w:rsidRPr="00E306F0" w:rsidRDefault="00585399" w:rsidP="00585399">
            <w:pPr>
              <w:pStyle w:val="TableBody"/>
            </w:pPr>
            <w:r w:rsidRPr="00E306F0">
              <w:t>CuI (10 mol%), 2-picolinic acid (20 mol%)</w:t>
            </w:r>
          </w:p>
          <w:p w:rsidR="002F6F44" w:rsidRPr="00E306F0" w:rsidRDefault="00585399" w:rsidP="00585399">
            <w:pPr>
              <w:pStyle w:val="TableBody"/>
            </w:pPr>
            <w:r w:rsidRPr="00E306F0">
              <w:rPr>
                <w:lang w:val="de-DE"/>
              </w:rPr>
              <w:t>Cs</w:t>
            </w:r>
            <w:r w:rsidRPr="00E306F0">
              <w:rPr>
                <w:vertAlign w:val="subscript"/>
                <w:lang w:val="de-DE"/>
              </w:rPr>
              <w:t>2</w:t>
            </w:r>
            <w:r w:rsidRPr="00E306F0">
              <w:rPr>
                <w:lang w:val="de-DE"/>
              </w:rPr>
              <w:t>CO</w:t>
            </w:r>
            <w:r w:rsidRPr="00E306F0">
              <w:rPr>
                <w:vertAlign w:val="subscript"/>
                <w:lang w:val="de-DE"/>
              </w:rPr>
              <w:t>3</w:t>
            </w:r>
            <w:r w:rsidRPr="00E306F0">
              <w:rPr>
                <w:lang w:val="de-DE"/>
              </w:rPr>
              <w:t xml:space="preserve"> (3 equiv), dioxane, reflux, 17 h</w:t>
            </w:r>
          </w:p>
        </w:tc>
        <w:tc>
          <w:tcPr>
            <w:tcW w:w="622" w:type="dxa"/>
          </w:tcPr>
          <w:p w:rsidR="002F6F44" w:rsidRPr="00E306F0" w:rsidRDefault="00585399" w:rsidP="003A0C7A">
            <w:pPr>
              <w:pStyle w:val="TableBody"/>
            </w:pPr>
            <w:r w:rsidRPr="00E306F0">
              <w:rPr>
                <w:rFonts w:cs="Arial"/>
              </w:rPr>
              <w:t>–</w:t>
            </w:r>
            <w:r w:rsidRPr="00E306F0">
              <w:rPr>
                <w:rFonts w:cs="Arial"/>
                <w:vertAlign w:val="superscript"/>
              </w:rPr>
              <w:t>[a]</w:t>
            </w:r>
          </w:p>
        </w:tc>
      </w:tr>
      <w:tr w:rsidR="009D3DD7" w:rsidRPr="00E306F0">
        <w:tc>
          <w:tcPr>
            <w:tcW w:w="567" w:type="dxa"/>
          </w:tcPr>
          <w:p w:rsidR="009D3DD7" w:rsidRPr="00E306F0" w:rsidRDefault="009D3DD7" w:rsidP="003A0C7A">
            <w:pPr>
              <w:pStyle w:val="TableBody"/>
            </w:pPr>
            <w:r w:rsidRPr="00E306F0">
              <w:t>3</w:t>
            </w:r>
          </w:p>
        </w:tc>
        <w:tc>
          <w:tcPr>
            <w:tcW w:w="426" w:type="dxa"/>
          </w:tcPr>
          <w:p w:rsidR="009D3DD7" w:rsidRPr="00E306F0" w:rsidRDefault="009D3DD7" w:rsidP="003A0C7A">
            <w:pPr>
              <w:pStyle w:val="TableBody"/>
            </w:pPr>
            <w:r w:rsidRPr="00E306F0">
              <w:t>I</w:t>
            </w:r>
          </w:p>
        </w:tc>
        <w:tc>
          <w:tcPr>
            <w:tcW w:w="3260" w:type="dxa"/>
          </w:tcPr>
          <w:p w:rsidR="009D3DD7" w:rsidRPr="00E306F0" w:rsidRDefault="009D3DD7" w:rsidP="00585399">
            <w:pPr>
              <w:pStyle w:val="TableBody"/>
            </w:pPr>
            <w:r w:rsidRPr="00E306F0">
              <w:t>Pd(OAc)</w:t>
            </w:r>
            <w:r w:rsidRPr="00E306F0">
              <w:rPr>
                <w:vertAlign w:val="subscript"/>
              </w:rPr>
              <w:t>2</w:t>
            </w:r>
            <w:r w:rsidRPr="00E306F0">
              <w:t xml:space="preserve"> (2 mol%), </w:t>
            </w:r>
            <w:r w:rsidRPr="00E306F0">
              <w:rPr>
                <w:i/>
                <w:vertAlign w:val="superscript"/>
              </w:rPr>
              <w:t>t</w:t>
            </w:r>
            <w:r w:rsidRPr="00E306F0">
              <w:t>BuMePhos (4.4 mol%)</w:t>
            </w:r>
          </w:p>
          <w:p w:rsidR="009D3DD7" w:rsidRPr="00E306F0" w:rsidRDefault="009D3DD7" w:rsidP="00585399">
            <w:pPr>
              <w:pStyle w:val="TableBody"/>
            </w:pPr>
            <w:r w:rsidRPr="00E306F0">
              <w:t>K</w:t>
            </w:r>
            <w:r w:rsidRPr="00E306F0">
              <w:rPr>
                <w:vertAlign w:val="subscript"/>
              </w:rPr>
              <w:t>3</w:t>
            </w:r>
            <w:r w:rsidRPr="00E306F0">
              <w:t>PO</w:t>
            </w:r>
            <w:r w:rsidRPr="00E306F0">
              <w:rPr>
                <w:vertAlign w:val="subscript"/>
              </w:rPr>
              <w:t>4</w:t>
            </w:r>
            <w:r w:rsidRPr="00E306F0">
              <w:t xml:space="preserve"> (2.4 equiv), toluene, reflux, 18 h</w:t>
            </w:r>
          </w:p>
        </w:tc>
        <w:tc>
          <w:tcPr>
            <w:tcW w:w="622" w:type="dxa"/>
          </w:tcPr>
          <w:p w:rsidR="009D3DD7" w:rsidRPr="00E306F0" w:rsidRDefault="009D3DD7" w:rsidP="003A0C7A">
            <w:pPr>
              <w:pStyle w:val="TableBody"/>
            </w:pPr>
            <w:r w:rsidRPr="00E306F0">
              <w:rPr>
                <w:rFonts w:cs="Arial"/>
              </w:rPr>
              <w:t>–</w:t>
            </w:r>
            <w:r w:rsidRPr="00E306F0">
              <w:rPr>
                <w:rFonts w:cs="Arial"/>
                <w:vertAlign w:val="superscript"/>
              </w:rPr>
              <w:t>[a]</w:t>
            </w:r>
          </w:p>
        </w:tc>
      </w:tr>
      <w:tr w:rsidR="009D3DD7" w:rsidRPr="00E306F0">
        <w:tc>
          <w:tcPr>
            <w:tcW w:w="567" w:type="dxa"/>
          </w:tcPr>
          <w:p w:rsidR="009D3DD7" w:rsidRPr="00E306F0" w:rsidRDefault="009D3DD7" w:rsidP="003A0C7A">
            <w:pPr>
              <w:pStyle w:val="TableBody"/>
            </w:pPr>
            <w:r w:rsidRPr="00E306F0">
              <w:t>4</w:t>
            </w:r>
          </w:p>
        </w:tc>
        <w:tc>
          <w:tcPr>
            <w:tcW w:w="426" w:type="dxa"/>
          </w:tcPr>
          <w:p w:rsidR="009D3DD7" w:rsidRPr="00E306F0" w:rsidRDefault="009D3DD7" w:rsidP="003A0C7A">
            <w:pPr>
              <w:pStyle w:val="TableBody"/>
            </w:pPr>
            <w:r w:rsidRPr="00E306F0">
              <w:t>Br</w:t>
            </w:r>
          </w:p>
        </w:tc>
        <w:tc>
          <w:tcPr>
            <w:tcW w:w="3260" w:type="dxa"/>
          </w:tcPr>
          <w:p w:rsidR="009D3DD7" w:rsidRPr="00E306F0" w:rsidRDefault="009D3DD7" w:rsidP="009D3DD7">
            <w:pPr>
              <w:pStyle w:val="TableBody"/>
            </w:pPr>
            <w:r w:rsidRPr="00E306F0">
              <w:t>Pd(OAc)</w:t>
            </w:r>
            <w:r w:rsidRPr="00E306F0">
              <w:rPr>
                <w:vertAlign w:val="subscript"/>
              </w:rPr>
              <w:t>2</w:t>
            </w:r>
            <w:r w:rsidRPr="00E306F0">
              <w:t xml:space="preserve"> (2 mol%), </w:t>
            </w:r>
            <w:r w:rsidRPr="00E306F0">
              <w:rPr>
                <w:i/>
                <w:vertAlign w:val="superscript"/>
              </w:rPr>
              <w:t>t</w:t>
            </w:r>
            <w:r w:rsidRPr="00E306F0">
              <w:t>BuMePhos (4.4 mol%)</w:t>
            </w:r>
          </w:p>
          <w:p w:rsidR="009D3DD7" w:rsidRPr="00E306F0" w:rsidRDefault="009D3DD7" w:rsidP="009D3DD7">
            <w:pPr>
              <w:pStyle w:val="TableBody"/>
            </w:pPr>
            <w:r w:rsidRPr="00E306F0">
              <w:t>K</w:t>
            </w:r>
            <w:r w:rsidRPr="00E306F0">
              <w:rPr>
                <w:vertAlign w:val="subscript"/>
              </w:rPr>
              <w:t>3</w:t>
            </w:r>
            <w:r w:rsidRPr="00E306F0">
              <w:t>PO</w:t>
            </w:r>
            <w:r w:rsidRPr="00E306F0">
              <w:rPr>
                <w:vertAlign w:val="subscript"/>
              </w:rPr>
              <w:t>4</w:t>
            </w:r>
            <w:r w:rsidRPr="00E306F0">
              <w:t xml:space="preserve"> (2.4 equiv), toluene, reflux, 18 h</w:t>
            </w:r>
          </w:p>
        </w:tc>
        <w:tc>
          <w:tcPr>
            <w:tcW w:w="622" w:type="dxa"/>
          </w:tcPr>
          <w:p w:rsidR="009D3DD7" w:rsidRPr="00E306F0" w:rsidRDefault="009D3DD7" w:rsidP="003A0C7A">
            <w:pPr>
              <w:pStyle w:val="TableBody"/>
            </w:pPr>
            <w:r w:rsidRPr="00E306F0">
              <w:rPr>
                <w:rFonts w:cs="Arial"/>
              </w:rPr>
              <w:t>–</w:t>
            </w:r>
            <w:r w:rsidRPr="00E306F0">
              <w:rPr>
                <w:rFonts w:cs="Arial"/>
                <w:vertAlign w:val="superscript"/>
              </w:rPr>
              <w:t>[a]</w:t>
            </w:r>
          </w:p>
        </w:tc>
      </w:tr>
      <w:tr w:rsidR="002F6F44" w:rsidRPr="00E306F0">
        <w:tc>
          <w:tcPr>
            <w:tcW w:w="567" w:type="dxa"/>
          </w:tcPr>
          <w:p w:rsidR="002F6F44" w:rsidRPr="00E306F0" w:rsidRDefault="009D3DD7" w:rsidP="003A0C7A">
            <w:pPr>
              <w:pStyle w:val="TableBody"/>
            </w:pPr>
            <w:r w:rsidRPr="00E306F0">
              <w:t>5</w:t>
            </w:r>
          </w:p>
        </w:tc>
        <w:tc>
          <w:tcPr>
            <w:tcW w:w="426" w:type="dxa"/>
          </w:tcPr>
          <w:p w:rsidR="002F6F44" w:rsidRPr="00E306F0" w:rsidRDefault="002F6F44" w:rsidP="003A0C7A">
            <w:pPr>
              <w:pStyle w:val="TableBody"/>
            </w:pPr>
            <w:r w:rsidRPr="00E306F0">
              <w:t>I</w:t>
            </w:r>
          </w:p>
        </w:tc>
        <w:tc>
          <w:tcPr>
            <w:tcW w:w="3260" w:type="dxa"/>
          </w:tcPr>
          <w:p w:rsidR="00585399" w:rsidRPr="00E306F0" w:rsidRDefault="00585399" w:rsidP="00585399">
            <w:pPr>
              <w:pStyle w:val="TableBody"/>
            </w:pPr>
            <w:r w:rsidRPr="00E306F0">
              <w:t>Pd</w:t>
            </w:r>
            <w:r w:rsidRPr="00E306F0">
              <w:rPr>
                <w:vertAlign w:val="subscript"/>
              </w:rPr>
              <w:t>2</w:t>
            </w:r>
            <w:r w:rsidRPr="00E306F0">
              <w:t>dba</w:t>
            </w:r>
            <w:r w:rsidRPr="00E306F0">
              <w:rPr>
                <w:vertAlign w:val="subscript"/>
              </w:rPr>
              <w:t>3</w:t>
            </w:r>
            <w:r w:rsidRPr="00E306F0">
              <w:t>·CHCl</w:t>
            </w:r>
            <w:r w:rsidRPr="00E306F0">
              <w:rPr>
                <w:vertAlign w:val="subscript"/>
              </w:rPr>
              <w:t>3</w:t>
            </w:r>
            <w:r w:rsidRPr="00E306F0">
              <w:t xml:space="preserve"> (1 mol%), </w:t>
            </w:r>
            <w:r w:rsidRPr="00E306F0">
              <w:rPr>
                <w:i/>
                <w:vertAlign w:val="superscript"/>
              </w:rPr>
              <w:t>t</w:t>
            </w:r>
            <w:r w:rsidRPr="00E306F0">
              <w:t>Bu</w:t>
            </w:r>
            <w:r w:rsidRPr="00E306F0">
              <w:rPr>
                <w:vertAlign w:val="subscript"/>
              </w:rPr>
              <w:t>3</w:t>
            </w:r>
            <w:r w:rsidRPr="00E306F0">
              <w:t>P·HBF</w:t>
            </w:r>
            <w:r w:rsidRPr="00E306F0">
              <w:rPr>
                <w:vertAlign w:val="subscript"/>
              </w:rPr>
              <w:t>4</w:t>
            </w:r>
            <w:r w:rsidRPr="00E306F0">
              <w:t xml:space="preserve"> (4 mol%)</w:t>
            </w:r>
          </w:p>
          <w:p w:rsidR="002F6F44" w:rsidRPr="00E306F0" w:rsidRDefault="00585399" w:rsidP="00585399">
            <w:pPr>
              <w:pStyle w:val="TableBody"/>
            </w:pPr>
            <w:r w:rsidRPr="00E306F0">
              <w:rPr>
                <w:lang w:val="de-DE"/>
              </w:rPr>
              <w:t>K</w:t>
            </w:r>
            <w:r w:rsidRPr="00E306F0">
              <w:rPr>
                <w:vertAlign w:val="subscript"/>
                <w:lang w:val="de-DE"/>
              </w:rPr>
              <w:t>3</w:t>
            </w:r>
            <w:r w:rsidRPr="00E306F0">
              <w:rPr>
                <w:lang w:val="de-DE"/>
              </w:rPr>
              <w:t>PO</w:t>
            </w:r>
            <w:r w:rsidRPr="00E306F0">
              <w:rPr>
                <w:vertAlign w:val="subscript"/>
                <w:lang w:val="de-DE"/>
              </w:rPr>
              <w:t>4</w:t>
            </w:r>
            <w:r w:rsidRPr="00E306F0">
              <w:rPr>
                <w:lang w:val="de-DE"/>
              </w:rPr>
              <w:t xml:space="preserve"> (3 equiv), toluene, 70 °C, 15 h</w:t>
            </w:r>
          </w:p>
        </w:tc>
        <w:tc>
          <w:tcPr>
            <w:tcW w:w="622" w:type="dxa"/>
          </w:tcPr>
          <w:p w:rsidR="002F6F44" w:rsidRPr="00E306F0" w:rsidRDefault="00585399" w:rsidP="003A0C7A">
            <w:pPr>
              <w:pStyle w:val="TableBody"/>
            </w:pPr>
            <w:r w:rsidRPr="00E306F0">
              <w:t>32%</w:t>
            </w:r>
          </w:p>
        </w:tc>
      </w:tr>
      <w:tr w:rsidR="002F6F44" w:rsidRPr="00E306F0">
        <w:tc>
          <w:tcPr>
            <w:tcW w:w="567" w:type="dxa"/>
          </w:tcPr>
          <w:p w:rsidR="002F6F44" w:rsidRPr="00E306F0" w:rsidRDefault="009D3DD7" w:rsidP="003A0C7A">
            <w:pPr>
              <w:pStyle w:val="TableBody"/>
            </w:pPr>
            <w:r w:rsidRPr="00E306F0">
              <w:t>6</w:t>
            </w:r>
          </w:p>
        </w:tc>
        <w:tc>
          <w:tcPr>
            <w:tcW w:w="426" w:type="dxa"/>
          </w:tcPr>
          <w:p w:rsidR="002F6F44" w:rsidRPr="00E306F0" w:rsidRDefault="002F6F44" w:rsidP="003A0C7A">
            <w:pPr>
              <w:pStyle w:val="TableBody"/>
            </w:pPr>
            <w:r w:rsidRPr="00E306F0">
              <w:t>I</w:t>
            </w:r>
          </w:p>
        </w:tc>
        <w:tc>
          <w:tcPr>
            <w:tcW w:w="3260" w:type="dxa"/>
          </w:tcPr>
          <w:p w:rsidR="00585399" w:rsidRPr="00E306F0" w:rsidRDefault="00585399" w:rsidP="00585399">
            <w:pPr>
              <w:pStyle w:val="TableBody"/>
            </w:pPr>
            <w:r w:rsidRPr="00E306F0">
              <w:t>Pd</w:t>
            </w:r>
            <w:r w:rsidRPr="00E306F0">
              <w:rPr>
                <w:vertAlign w:val="subscript"/>
              </w:rPr>
              <w:t>2</w:t>
            </w:r>
            <w:r w:rsidRPr="00E306F0">
              <w:t>dba</w:t>
            </w:r>
            <w:r w:rsidRPr="00E306F0">
              <w:rPr>
                <w:vertAlign w:val="subscript"/>
              </w:rPr>
              <w:t>3</w:t>
            </w:r>
            <w:r w:rsidRPr="00E306F0">
              <w:t>·CHCl</w:t>
            </w:r>
            <w:r w:rsidRPr="00E306F0">
              <w:rPr>
                <w:vertAlign w:val="subscript"/>
              </w:rPr>
              <w:t>3</w:t>
            </w:r>
            <w:r w:rsidRPr="00E306F0">
              <w:t xml:space="preserve"> (1 mol%), </w:t>
            </w:r>
            <w:r w:rsidRPr="00E306F0">
              <w:rPr>
                <w:i/>
                <w:vertAlign w:val="superscript"/>
              </w:rPr>
              <w:t>t</w:t>
            </w:r>
            <w:r w:rsidRPr="00E306F0">
              <w:t>Bu</w:t>
            </w:r>
            <w:r w:rsidRPr="00E306F0">
              <w:rPr>
                <w:vertAlign w:val="subscript"/>
              </w:rPr>
              <w:t>3</w:t>
            </w:r>
            <w:r w:rsidRPr="00E306F0">
              <w:t>P·HBF</w:t>
            </w:r>
            <w:r w:rsidRPr="00E306F0">
              <w:rPr>
                <w:vertAlign w:val="subscript"/>
              </w:rPr>
              <w:t>4</w:t>
            </w:r>
            <w:r w:rsidRPr="00E306F0">
              <w:t xml:space="preserve"> (4 mol%)</w:t>
            </w:r>
          </w:p>
          <w:p w:rsidR="002F6F44" w:rsidRPr="00E306F0" w:rsidRDefault="00585399" w:rsidP="00585399">
            <w:pPr>
              <w:pStyle w:val="TableBody"/>
            </w:pPr>
            <w:r w:rsidRPr="00E306F0">
              <w:rPr>
                <w:lang w:val="de-DE"/>
              </w:rPr>
              <w:t>K</w:t>
            </w:r>
            <w:r w:rsidRPr="00E306F0">
              <w:rPr>
                <w:vertAlign w:val="subscript"/>
                <w:lang w:val="de-DE"/>
              </w:rPr>
              <w:t>3</w:t>
            </w:r>
            <w:r w:rsidRPr="00E306F0">
              <w:rPr>
                <w:lang w:val="de-DE"/>
              </w:rPr>
              <w:t>PO</w:t>
            </w:r>
            <w:r w:rsidRPr="00E306F0">
              <w:rPr>
                <w:vertAlign w:val="subscript"/>
                <w:lang w:val="de-DE"/>
              </w:rPr>
              <w:t>4</w:t>
            </w:r>
            <w:r w:rsidRPr="00E306F0">
              <w:rPr>
                <w:lang w:val="de-DE"/>
              </w:rPr>
              <w:t xml:space="preserve"> (3 equiv), toluene, reflux, 14 h</w:t>
            </w:r>
          </w:p>
        </w:tc>
        <w:tc>
          <w:tcPr>
            <w:tcW w:w="622" w:type="dxa"/>
          </w:tcPr>
          <w:p w:rsidR="002F6F44" w:rsidRPr="00E306F0" w:rsidRDefault="00585399" w:rsidP="003A0C7A">
            <w:pPr>
              <w:pStyle w:val="TableBody"/>
            </w:pPr>
            <w:r w:rsidRPr="00E306F0">
              <w:t>61%</w:t>
            </w:r>
          </w:p>
        </w:tc>
      </w:tr>
      <w:tr w:rsidR="00585399" w:rsidRPr="00E306F0">
        <w:tc>
          <w:tcPr>
            <w:tcW w:w="567" w:type="dxa"/>
            <w:tcBorders>
              <w:bottom w:val="single" w:sz="8" w:space="0" w:color="000000"/>
            </w:tcBorders>
          </w:tcPr>
          <w:p w:rsidR="00585399" w:rsidRPr="00E306F0" w:rsidRDefault="009D3DD7" w:rsidP="002F6F44">
            <w:pPr>
              <w:pStyle w:val="TableBody"/>
              <w:rPr>
                <w:b/>
              </w:rPr>
            </w:pPr>
            <w:r w:rsidRPr="00E306F0">
              <w:rPr>
                <w:b/>
              </w:rPr>
              <w:t>7</w:t>
            </w:r>
          </w:p>
        </w:tc>
        <w:tc>
          <w:tcPr>
            <w:tcW w:w="426" w:type="dxa"/>
            <w:tcBorders>
              <w:bottom w:val="single" w:sz="8" w:space="0" w:color="000000"/>
            </w:tcBorders>
          </w:tcPr>
          <w:p w:rsidR="00585399" w:rsidRPr="00E306F0" w:rsidRDefault="00585399" w:rsidP="003A0C7A">
            <w:pPr>
              <w:pStyle w:val="TableBody"/>
              <w:rPr>
                <w:b/>
              </w:rPr>
            </w:pPr>
            <w:r w:rsidRPr="00E306F0">
              <w:rPr>
                <w:b/>
              </w:rPr>
              <w:t>Br</w:t>
            </w:r>
          </w:p>
        </w:tc>
        <w:tc>
          <w:tcPr>
            <w:tcW w:w="3260" w:type="dxa"/>
            <w:tcBorders>
              <w:bottom w:val="single" w:sz="8" w:space="0" w:color="000000"/>
            </w:tcBorders>
          </w:tcPr>
          <w:p w:rsidR="00585399" w:rsidRPr="00E306F0" w:rsidRDefault="00585399" w:rsidP="00585399">
            <w:pPr>
              <w:pStyle w:val="TableBody"/>
              <w:rPr>
                <w:b/>
              </w:rPr>
            </w:pPr>
            <w:r w:rsidRPr="00E306F0">
              <w:rPr>
                <w:b/>
              </w:rPr>
              <w:t>Pd</w:t>
            </w:r>
            <w:r w:rsidRPr="00E306F0">
              <w:rPr>
                <w:b/>
                <w:vertAlign w:val="subscript"/>
              </w:rPr>
              <w:t>2</w:t>
            </w:r>
            <w:r w:rsidRPr="00E306F0">
              <w:rPr>
                <w:b/>
              </w:rPr>
              <w:t>dba</w:t>
            </w:r>
            <w:r w:rsidRPr="00E306F0">
              <w:rPr>
                <w:b/>
                <w:vertAlign w:val="subscript"/>
              </w:rPr>
              <w:t>3</w:t>
            </w:r>
            <w:r w:rsidRPr="00E306F0">
              <w:rPr>
                <w:b/>
              </w:rPr>
              <w:t>·CHCl</w:t>
            </w:r>
            <w:r w:rsidRPr="00E306F0">
              <w:rPr>
                <w:b/>
                <w:vertAlign w:val="subscript"/>
              </w:rPr>
              <w:t>3</w:t>
            </w:r>
            <w:r w:rsidRPr="00E306F0">
              <w:rPr>
                <w:b/>
              </w:rPr>
              <w:t xml:space="preserve"> (1 mol%), </w:t>
            </w:r>
            <w:r w:rsidRPr="00E306F0">
              <w:rPr>
                <w:b/>
                <w:i/>
                <w:vertAlign w:val="superscript"/>
              </w:rPr>
              <w:t>t</w:t>
            </w:r>
            <w:r w:rsidRPr="00E306F0">
              <w:rPr>
                <w:b/>
              </w:rPr>
              <w:t>Bu</w:t>
            </w:r>
            <w:r w:rsidRPr="00E306F0">
              <w:rPr>
                <w:b/>
                <w:vertAlign w:val="subscript"/>
              </w:rPr>
              <w:t>3</w:t>
            </w:r>
            <w:r w:rsidRPr="00E306F0">
              <w:rPr>
                <w:b/>
              </w:rPr>
              <w:t>P·HBF</w:t>
            </w:r>
            <w:r w:rsidRPr="00E306F0">
              <w:rPr>
                <w:b/>
                <w:vertAlign w:val="subscript"/>
              </w:rPr>
              <w:t>4</w:t>
            </w:r>
            <w:r w:rsidRPr="00E306F0">
              <w:rPr>
                <w:b/>
              </w:rPr>
              <w:t xml:space="preserve"> (4 mol%)</w:t>
            </w:r>
          </w:p>
          <w:p w:rsidR="00585399" w:rsidRPr="00E306F0" w:rsidRDefault="00585399" w:rsidP="003A0C7A">
            <w:pPr>
              <w:pStyle w:val="TableBody"/>
              <w:rPr>
                <w:b/>
              </w:rPr>
            </w:pPr>
            <w:r w:rsidRPr="00E306F0">
              <w:rPr>
                <w:b/>
                <w:lang w:val="de-DE"/>
              </w:rPr>
              <w:t>K</w:t>
            </w:r>
            <w:r w:rsidRPr="00E306F0">
              <w:rPr>
                <w:b/>
                <w:vertAlign w:val="subscript"/>
                <w:lang w:val="de-DE"/>
              </w:rPr>
              <w:t>3</w:t>
            </w:r>
            <w:r w:rsidRPr="00E306F0">
              <w:rPr>
                <w:b/>
                <w:lang w:val="de-DE"/>
              </w:rPr>
              <w:t>PO</w:t>
            </w:r>
            <w:r w:rsidRPr="00E306F0">
              <w:rPr>
                <w:b/>
                <w:vertAlign w:val="subscript"/>
                <w:lang w:val="de-DE"/>
              </w:rPr>
              <w:t>4</w:t>
            </w:r>
            <w:r w:rsidRPr="00E306F0">
              <w:rPr>
                <w:b/>
                <w:lang w:val="de-DE"/>
              </w:rPr>
              <w:t xml:space="preserve"> (3 equiv), toluene, reflux, 17 h</w:t>
            </w:r>
          </w:p>
        </w:tc>
        <w:tc>
          <w:tcPr>
            <w:tcW w:w="622" w:type="dxa"/>
            <w:tcBorders>
              <w:bottom w:val="single" w:sz="8" w:space="0" w:color="000000"/>
            </w:tcBorders>
          </w:tcPr>
          <w:p w:rsidR="00585399" w:rsidRPr="00E306F0" w:rsidRDefault="00585399" w:rsidP="003A0C7A">
            <w:pPr>
              <w:pStyle w:val="TableBody"/>
              <w:rPr>
                <w:b/>
              </w:rPr>
            </w:pPr>
            <w:r w:rsidRPr="00E306F0">
              <w:rPr>
                <w:b/>
              </w:rPr>
              <w:t>72%</w:t>
            </w:r>
          </w:p>
        </w:tc>
      </w:tr>
      <w:tr w:rsidR="002F6F44" w:rsidRPr="00E306F0">
        <w:tc>
          <w:tcPr>
            <w:tcW w:w="4875" w:type="dxa"/>
            <w:gridSpan w:val="4"/>
            <w:tcBorders>
              <w:top w:val="single" w:sz="8" w:space="0" w:color="000000"/>
            </w:tcBorders>
          </w:tcPr>
          <w:p w:rsidR="002F6F44" w:rsidRPr="00E306F0" w:rsidRDefault="002F6F44" w:rsidP="00F146A7">
            <w:pPr>
              <w:pStyle w:val="TableFoot"/>
            </w:pPr>
            <w:r w:rsidRPr="00E306F0">
              <w:t xml:space="preserve">[a] </w:t>
            </w:r>
            <w:r w:rsidR="00585399" w:rsidRPr="00E306F0">
              <w:t xml:space="preserve">Starting materials only were observed by </w:t>
            </w:r>
            <w:r w:rsidR="00585399" w:rsidRPr="00E306F0">
              <w:rPr>
                <w:vertAlign w:val="superscript"/>
              </w:rPr>
              <w:t>1</w:t>
            </w:r>
            <w:r w:rsidR="00585399" w:rsidRPr="00E306F0">
              <w:t xml:space="preserve">H NMR analysis of the </w:t>
            </w:r>
            <w:r w:rsidR="00F146A7" w:rsidRPr="00E306F0">
              <w:t>unpurified</w:t>
            </w:r>
            <w:r w:rsidR="00585399" w:rsidRPr="00E306F0">
              <w:t xml:space="preserve"> reaction mixture.</w:t>
            </w:r>
          </w:p>
        </w:tc>
      </w:tr>
    </w:tbl>
    <w:p w:rsidR="009B6E34" w:rsidRPr="00E306F0" w:rsidRDefault="009B6E34" w:rsidP="009B6E34">
      <w:pPr>
        <w:pStyle w:val="P1withIndendation"/>
      </w:pPr>
      <w:r w:rsidRPr="00E306F0">
        <w:t>No α-arylation was observed using the Pd(OAc)</w:t>
      </w:r>
      <w:r w:rsidRPr="00E306F0">
        <w:rPr>
          <w:vertAlign w:val="subscript"/>
        </w:rPr>
        <w:t>2</w:t>
      </w:r>
      <w:r w:rsidRPr="00E306F0">
        <w:t>/</w:t>
      </w:r>
      <w:r w:rsidRPr="00E306F0">
        <w:rPr>
          <w:i/>
        </w:rPr>
        <w:t>t</w:t>
      </w:r>
      <w:r w:rsidRPr="00E306F0">
        <w:t>-BuMePhos catalyst system developed by Buchwald (Table 1, entries 3-4),</w:t>
      </w:r>
      <w:r w:rsidRPr="00E306F0">
        <w:rPr>
          <w:vertAlign w:val="superscript"/>
        </w:rPr>
        <w:t>[21]</w:t>
      </w:r>
      <w:r w:rsidRPr="00E306F0">
        <w:t xml:space="preserve"> but an encouraging 32% yield of </w:t>
      </w:r>
      <w:r w:rsidRPr="00E306F0">
        <w:rPr>
          <w:b/>
        </w:rPr>
        <w:t>15n</w:t>
      </w:r>
      <w:r w:rsidRPr="00E306F0">
        <w:t xml:space="preserve"> was obtained on switching to Pd</w:t>
      </w:r>
      <w:r w:rsidRPr="00E306F0">
        <w:rPr>
          <w:vertAlign w:val="subscript"/>
        </w:rPr>
        <w:t>2</w:t>
      </w:r>
      <w:r w:rsidRPr="00E306F0">
        <w:t>dba</w:t>
      </w:r>
      <w:r w:rsidRPr="00E306F0">
        <w:rPr>
          <w:vertAlign w:val="subscript"/>
        </w:rPr>
        <w:t>3</w:t>
      </w:r>
      <w:r w:rsidRPr="00E306F0">
        <w:t>·CHCl</w:t>
      </w:r>
      <w:r w:rsidRPr="00E306F0">
        <w:rPr>
          <w:vertAlign w:val="subscript"/>
        </w:rPr>
        <w:t>3</w:t>
      </w:r>
      <w:r w:rsidRPr="00E306F0">
        <w:t xml:space="preserve"> (1 mol%) as the catalyst with the bench stable ligand </w:t>
      </w:r>
      <w:r w:rsidRPr="00E306F0">
        <w:rPr>
          <w:i/>
          <w:vertAlign w:val="superscript"/>
        </w:rPr>
        <w:t>t</w:t>
      </w:r>
      <w:r w:rsidRPr="00E306F0">
        <w:t>Bu</w:t>
      </w:r>
      <w:r w:rsidRPr="00E306F0">
        <w:rPr>
          <w:vertAlign w:val="subscript"/>
        </w:rPr>
        <w:t>3</w:t>
      </w:r>
      <w:r w:rsidRPr="00E306F0">
        <w:t>P·HBF</w:t>
      </w:r>
      <w:r w:rsidRPr="00E306F0">
        <w:rPr>
          <w:vertAlign w:val="subscript"/>
        </w:rPr>
        <w:t>4</w:t>
      </w:r>
      <w:r w:rsidRPr="00E306F0">
        <w:t xml:space="preserve"> (4 mol%) in toluene at 70 °C (Table 1, entry 5).</w:t>
      </w:r>
      <w:r w:rsidRPr="00E306F0">
        <w:rPr>
          <w:vertAlign w:val="superscript"/>
        </w:rPr>
        <w:t>[22]</w:t>
      </w:r>
      <w:r w:rsidRPr="00E306F0">
        <w:t xml:space="preserve"> Increasing the reaction temperature allowed us to isolate 2-[2-(arylamino)aryl]malonate </w:t>
      </w:r>
      <w:r w:rsidRPr="00E306F0">
        <w:rPr>
          <w:b/>
        </w:rPr>
        <w:t>15n</w:t>
      </w:r>
      <w:r w:rsidRPr="00E306F0">
        <w:t xml:space="preserve"> in 61% (from </w:t>
      </w:r>
      <w:r w:rsidRPr="00E306F0">
        <w:rPr>
          <w:b/>
        </w:rPr>
        <w:t>21a</w:t>
      </w:r>
      <w:r w:rsidRPr="00E306F0">
        <w:t xml:space="preserve">) and 72% (from </w:t>
      </w:r>
      <w:r w:rsidRPr="00E306F0">
        <w:rPr>
          <w:b/>
        </w:rPr>
        <w:t>21b</w:t>
      </w:r>
      <w:r w:rsidRPr="00E306F0">
        <w:t>) yields, respectively.</w:t>
      </w:r>
    </w:p>
    <w:p w:rsidR="00F146A7" w:rsidRPr="00E306F0" w:rsidRDefault="009B6E34" w:rsidP="00F146A7">
      <w:pPr>
        <w:pStyle w:val="P1withIndendation"/>
        <w:ind w:firstLine="0"/>
      </w:pPr>
      <w:r w:rsidRPr="00E306F0">
        <w:t>With conditions for the malonate coupling in hand, attention then turned to establishing the one-pot α-arylation/cyclisation protocol to prepare acridanes directly (Scheme 7). To this end, the Pd-catalysed α-arylation reaction between 2-bromo-</w:t>
      </w:r>
      <w:r w:rsidRPr="00E306F0">
        <w:rPr>
          <w:i/>
        </w:rPr>
        <w:t>N</w:t>
      </w:r>
      <w:r w:rsidRPr="00E306F0">
        <w:t>-</w:t>
      </w:r>
      <w:r w:rsidR="00643EB1" w:rsidRPr="00E306F0">
        <w:t>methyl-</w:t>
      </w:r>
      <w:r w:rsidR="00643EB1" w:rsidRPr="00E306F0">
        <w:rPr>
          <w:i/>
        </w:rPr>
        <w:t>N</w:t>
      </w:r>
      <w:r w:rsidR="00643EB1" w:rsidRPr="00E306F0">
        <w:t xml:space="preserve">-phenylaniline </w:t>
      </w:r>
      <w:r w:rsidR="00643EB1" w:rsidRPr="00E306F0">
        <w:rPr>
          <w:b/>
        </w:rPr>
        <w:t>21b</w:t>
      </w:r>
      <w:r w:rsidR="00643EB1" w:rsidRPr="00E306F0">
        <w:t xml:space="preserve"> and diethyl malonate was first carried out using the optimised conditions described above under an </w:t>
      </w:r>
      <w:r w:rsidR="006922F3" w:rsidRPr="00E306F0">
        <w:t>atmosphere of argon.</w:t>
      </w:r>
      <w:r w:rsidR="004845F9" w:rsidRPr="00E306F0">
        <w:t xml:space="preserve"> Subsequently, the reaction flask was simply opened to the air, Cu(2-ethylhexanoate)</w:t>
      </w:r>
      <w:r w:rsidR="004845F9" w:rsidRPr="00E306F0">
        <w:rPr>
          <w:vertAlign w:val="subscript"/>
        </w:rPr>
        <w:t>2</w:t>
      </w:r>
      <w:r w:rsidR="004845F9" w:rsidRPr="00E306F0">
        <w:t xml:space="preserve"> (15 mol%) was added, and heating continued for a further 24 h to facilitate the </w:t>
      </w:r>
      <w:r w:rsidR="005F264C" w:rsidRPr="00E306F0">
        <w:t xml:space="preserve">cyclisation.  In this manner, the target acridane </w:t>
      </w:r>
      <w:r w:rsidR="005F264C" w:rsidRPr="00E306F0">
        <w:rPr>
          <w:b/>
        </w:rPr>
        <w:t>16n</w:t>
      </w:r>
      <w:r w:rsidR="005F264C" w:rsidRPr="00E306F0">
        <w:t xml:space="preserve"> was isolated in a pleasing 74% overall yield over the 2 steps. Furthermore, substituents could be readily introduced on one, or both, aromatic rings, </w:t>
      </w:r>
      <w:r w:rsidR="00F146A7" w:rsidRPr="00E306F0">
        <w:rPr>
          <w:lang w:val="de-DE"/>
        </w:rPr>
        <w:t xml:space="preserve">allowing access to more highly substituted acridanes such as </w:t>
      </w:r>
      <w:r w:rsidR="00F146A7" w:rsidRPr="00E306F0">
        <w:rPr>
          <w:b/>
          <w:lang w:val="de-DE"/>
        </w:rPr>
        <w:t>16o</w:t>
      </w:r>
      <w:r w:rsidR="00F146A7" w:rsidRPr="00E306F0">
        <w:rPr>
          <w:lang w:val="de-DE"/>
        </w:rPr>
        <w:t xml:space="preserve"> and </w:t>
      </w:r>
      <w:r w:rsidR="00F146A7" w:rsidRPr="00E306F0">
        <w:rPr>
          <w:b/>
          <w:lang w:val="de-DE"/>
        </w:rPr>
        <w:t>16p</w:t>
      </w:r>
      <w:r w:rsidR="00F146A7" w:rsidRPr="00E306F0">
        <w:rPr>
          <w:lang w:val="de-DE"/>
        </w:rPr>
        <w:t xml:space="preserve"> using this efficient one-pot procedure.</w:t>
      </w:r>
    </w:p>
    <w:p w:rsidR="002F6F44" w:rsidRPr="00E306F0" w:rsidRDefault="002F6F44" w:rsidP="009B6E34">
      <w:pPr>
        <w:pStyle w:val="P1withIndendation"/>
        <w:rPr>
          <w:lang w:val="de-DE"/>
        </w:rPr>
      </w:pPr>
    </w:p>
    <w:p w:rsidR="004C6538" w:rsidRPr="00E306F0" w:rsidRDefault="004C6538" w:rsidP="004C6538">
      <w:pPr>
        <w:pStyle w:val="P1withIndendation"/>
        <w:ind w:firstLine="0"/>
      </w:pPr>
    </w:p>
    <w:p w:rsidR="006A16A8" w:rsidRPr="00E306F0" w:rsidRDefault="00ED29CD" w:rsidP="005F264C">
      <w:pPr>
        <w:spacing w:before="360"/>
        <w:rPr>
          <w:rFonts w:ascii="Arial" w:hAnsi="Arial" w:cs="Arial"/>
          <w:color w:val="FF0000"/>
          <w:sz w:val="14"/>
          <w:szCs w:val="16"/>
          <w:lang w:val="en-GB"/>
        </w:rPr>
      </w:pPr>
      <w:r>
        <w:rPr>
          <w:noProof/>
          <w:lang w:val="en-GB" w:eastAsia="en-GB"/>
        </w:rPr>
        <w:drawing>
          <wp:inline distT="0" distB="0" distL="0" distR="0">
            <wp:extent cx="3067050" cy="2524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2524125"/>
                    </a:xfrm>
                    <a:prstGeom prst="rect">
                      <a:avLst/>
                    </a:prstGeom>
                    <a:noFill/>
                    <a:ln>
                      <a:noFill/>
                    </a:ln>
                  </pic:spPr>
                </pic:pic>
              </a:graphicData>
            </a:graphic>
          </wp:inline>
        </w:drawing>
      </w:r>
    </w:p>
    <w:p w:rsidR="006A16A8" w:rsidRPr="00E306F0" w:rsidRDefault="004C6538" w:rsidP="006A16A8">
      <w:pPr>
        <w:pStyle w:val="SchemeCaption"/>
        <w:rPr>
          <w:lang w:val="de-DE"/>
        </w:rPr>
      </w:pPr>
      <w:r w:rsidRPr="00E306F0">
        <w:rPr>
          <w:b/>
        </w:rPr>
        <w:t>Scheme 7</w:t>
      </w:r>
      <w:r w:rsidR="006A16A8" w:rsidRPr="00E306F0">
        <w:rPr>
          <w:b/>
        </w:rPr>
        <w:t>.</w:t>
      </w:r>
      <w:r w:rsidR="006A16A8" w:rsidRPr="00E306F0">
        <w:t xml:space="preserve"> </w:t>
      </w:r>
      <w:r w:rsidRPr="00E306F0">
        <w:rPr>
          <w:lang w:val="de-DE"/>
        </w:rPr>
        <w:t>Scope of the one-pot α-arylation/cyclisation approach to acridanes.</w:t>
      </w:r>
    </w:p>
    <w:p w:rsidR="009B6E34" w:rsidRPr="00E306F0" w:rsidRDefault="009B6E34" w:rsidP="009B6E34">
      <w:pPr>
        <w:pStyle w:val="H1"/>
      </w:pPr>
      <w:r w:rsidRPr="00E306F0">
        <w:t>Conclusions</w:t>
      </w:r>
    </w:p>
    <w:p w:rsidR="009B6E34" w:rsidRPr="00E306F0" w:rsidRDefault="009B6E34" w:rsidP="009B6E34">
      <w:pPr>
        <w:pStyle w:val="P1"/>
      </w:pPr>
      <w:r w:rsidRPr="00E306F0">
        <w:t>In summary, we report a Cu-catalysed radical cross-dehydrogenative coupling approach to acridanes and related heterocycles from readily available 2-[2-(arylamino)aryl]malonates. This highly atom-economical method uses inexpensive Cu(2-ethylhexanoate)</w:t>
      </w:r>
      <w:r w:rsidRPr="00E306F0">
        <w:rPr>
          <w:vertAlign w:val="subscript"/>
        </w:rPr>
        <w:t>2</w:t>
      </w:r>
      <w:r w:rsidRPr="00E306F0">
        <w:t xml:space="preserve"> as the catalyst under mild conditions, thus avoiding many of the problems associated with existing classical strategies for the synthesis of acridanes. The diester moiety resulting from the oxidative coupling reaction serves as a useful handle for further functionalisation. In addition, we have established a streamlined protocol involving the </w:t>
      </w:r>
      <w:r w:rsidRPr="00E306F0">
        <w:rPr>
          <w:i/>
        </w:rPr>
        <w:t xml:space="preserve">in situ </w:t>
      </w:r>
      <w:r w:rsidRPr="00E306F0">
        <w:t xml:space="preserve">formation of the cyclisation precursor by the α-arylation of diethyl malonate with a 2-bromodiarylamine under Pd-catalysis, followed by subsequent Cu-catalysed cyclisation to </w:t>
      </w:r>
      <w:r w:rsidR="00AB62DA" w:rsidRPr="00E306F0">
        <w:t xml:space="preserve">give </w:t>
      </w:r>
      <w:r w:rsidRPr="00E306F0">
        <w:t>the acridanes in a single pot. Further studies will be carried out to utilise this new methodology in target synthesis.</w:t>
      </w:r>
    </w:p>
    <w:p w:rsidR="009575D6" w:rsidRPr="00E306F0" w:rsidRDefault="009575D6" w:rsidP="009575D6">
      <w:pPr>
        <w:pStyle w:val="HExperimentalSection"/>
        <w:rPr>
          <w:lang w:val="en-US"/>
        </w:rPr>
      </w:pPr>
      <w:r w:rsidRPr="00E306F0">
        <w:rPr>
          <w:lang w:val="en-US"/>
        </w:rPr>
        <w:t>Experimental Section</w:t>
      </w:r>
    </w:p>
    <w:p w:rsidR="007C6615" w:rsidRPr="00E306F0" w:rsidRDefault="009575D6" w:rsidP="001F45C3">
      <w:pPr>
        <w:pStyle w:val="ExperimentalSection"/>
      </w:pPr>
      <w:r w:rsidRPr="00E306F0">
        <w:rPr>
          <w:b/>
        </w:rPr>
        <w:t>Representative procedure for the copper-catalysed synthesis of acridanes</w:t>
      </w:r>
      <w:r w:rsidRPr="00E306F0">
        <w:t xml:space="preserve">: To a solution of the cyclisation precursor </w:t>
      </w:r>
      <w:r w:rsidR="00D37F26" w:rsidRPr="00E306F0">
        <w:rPr>
          <w:b/>
        </w:rPr>
        <w:t>15</w:t>
      </w:r>
      <w:r w:rsidR="00D37F26" w:rsidRPr="00E306F0">
        <w:t xml:space="preserve"> </w:t>
      </w:r>
      <w:r w:rsidRPr="00E306F0">
        <w:t xml:space="preserve">(1.00 mmol) in toluene (10 mL) was added copper(II) 2-ethylhexanoate (35.0 mg, 0.100 </w:t>
      </w:r>
      <w:r w:rsidR="004845F9" w:rsidRPr="00E306F0">
        <w:t xml:space="preserve">mmol). The reaction mixture was heated at reflux (oil bath at 120 °C) for 17 h with the condenser left open to the air. After cooling to rt, saturated </w:t>
      </w:r>
      <w:r w:rsidR="007C6615" w:rsidRPr="00E306F0">
        <w:t>NH</w:t>
      </w:r>
      <w:r w:rsidR="007C6615" w:rsidRPr="00E306F0">
        <w:rPr>
          <w:vertAlign w:val="subscript"/>
        </w:rPr>
        <w:t>4</w:t>
      </w:r>
      <w:r w:rsidR="007C6615" w:rsidRPr="00E306F0">
        <w:t>Cl (25 mL) was added and the aqueous phase extracted with EtOAc (3 × 25 mL). The combined organics were washed with 10% NH</w:t>
      </w:r>
      <w:r w:rsidR="007C6615" w:rsidRPr="00E306F0">
        <w:rPr>
          <w:vertAlign w:val="subscript"/>
        </w:rPr>
        <w:t>4</w:t>
      </w:r>
      <w:r w:rsidR="007C6615" w:rsidRPr="00E306F0">
        <w:t>OH (25 mL), dried over MgSO</w:t>
      </w:r>
      <w:r w:rsidR="007C6615" w:rsidRPr="00E306F0">
        <w:rPr>
          <w:vertAlign w:val="subscript"/>
        </w:rPr>
        <w:t>4</w:t>
      </w:r>
      <w:r w:rsidR="007C6615" w:rsidRPr="00E306F0">
        <w:t xml:space="preserve">, filtered, and concentrated </w:t>
      </w:r>
      <w:r w:rsidR="007C6615" w:rsidRPr="00E306F0">
        <w:rPr>
          <w:i/>
        </w:rPr>
        <w:t>in vacuo</w:t>
      </w:r>
      <w:r w:rsidR="007C6615" w:rsidRPr="00E306F0">
        <w:t>. Purification by flash column chromatography, eluting with EtOAc</w:t>
      </w:r>
      <w:r w:rsidR="00321941" w:rsidRPr="00E306F0">
        <w:t>/h</w:t>
      </w:r>
      <w:r w:rsidR="007C6615" w:rsidRPr="00E306F0">
        <w:t>exane, afforded the title compound</w:t>
      </w:r>
      <w:r w:rsidR="00D37F26" w:rsidRPr="00E306F0">
        <w:t xml:space="preserve"> </w:t>
      </w:r>
      <w:r w:rsidR="00D37F26" w:rsidRPr="00E306F0">
        <w:rPr>
          <w:b/>
        </w:rPr>
        <w:t>16</w:t>
      </w:r>
      <w:r w:rsidR="00D37F26" w:rsidRPr="00E306F0">
        <w:t xml:space="preserve"> (see SI for details)</w:t>
      </w:r>
      <w:r w:rsidR="007C6615" w:rsidRPr="00E306F0">
        <w:t>.</w:t>
      </w:r>
    </w:p>
    <w:p w:rsidR="00B6147F" w:rsidRPr="00E306F0" w:rsidRDefault="00B6147F" w:rsidP="001F45C3">
      <w:pPr>
        <w:pStyle w:val="ExperimentalSection"/>
      </w:pPr>
    </w:p>
    <w:p w:rsidR="00E4350D" w:rsidRPr="00E306F0" w:rsidRDefault="004C6538" w:rsidP="00E4350D">
      <w:pPr>
        <w:pStyle w:val="HAcknowledgements"/>
        <w:rPr>
          <w:color w:val="FF0000"/>
        </w:rPr>
      </w:pPr>
      <w:r w:rsidRPr="00E306F0">
        <w:t>Acknowledgements</w:t>
      </w:r>
    </w:p>
    <w:p w:rsidR="004C6538" w:rsidRPr="00E306F0" w:rsidRDefault="004C6538" w:rsidP="004C6538">
      <w:pPr>
        <w:pStyle w:val="Acknowledgements"/>
        <w:rPr>
          <w:lang w:val="en-US"/>
        </w:rPr>
      </w:pPr>
      <w:r w:rsidRPr="00E306F0">
        <w:rPr>
          <w:lang w:val="en-US"/>
        </w:rPr>
        <w:t>We thank the Engineering and Physical Sciences Research Council for postdoctoral funding (T.E.H.; EP/J000124/1) and Dr A. C. Whitwood (University of York) for assistance with X-ray crystallography.</w:t>
      </w:r>
    </w:p>
    <w:p w:rsidR="004556E1" w:rsidRPr="00E306F0" w:rsidRDefault="00F45722" w:rsidP="00F45722">
      <w:pPr>
        <w:pStyle w:val="Keywords"/>
      </w:pPr>
      <w:r w:rsidRPr="00E306F0">
        <w:rPr>
          <w:b/>
        </w:rPr>
        <w:t>Keywords:</w:t>
      </w:r>
      <w:r w:rsidRPr="00E306F0">
        <w:t xml:space="preserve"> </w:t>
      </w:r>
      <w:r w:rsidR="007C6615" w:rsidRPr="00E306F0">
        <w:t>acridanes</w:t>
      </w:r>
      <w:r w:rsidRPr="00E306F0">
        <w:t xml:space="preserve"> • </w:t>
      </w:r>
      <w:r w:rsidR="007C6615" w:rsidRPr="00E306F0">
        <w:t>copper</w:t>
      </w:r>
      <w:r w:rsidRPr="00E306F0">
        <w:t xml:space="preserve"> • </w:t>
      </w:r>
      <w:r w:rsidR="00461895" w:rsidRPr="00E306F0">
        <w:t>catalysis</w:t>
      </w:r>
      <w:r w:rsidRPr="00E306F0">
        <w:t xml:space="preserve"> • </w:t>
      </w:r>
      <w:r w:rsidR="00461895" w:rsidRPr="00E306F0">
        <w:t>cross-dehydrogenative coupling</w:t>
      </w:r>
      <w:r w:rsidRPr="00E306F0">
        <w:t xml:space="preserve"> •</w:t>
      </w:r>
      <w:r w:rsidR="00461895" w:rsidRPr="00E306F0">
        <w:t xml:space="preserve"> one-pot</w:t>
      </w:r>
    </w:p>
    <w:p w:rsidR="00A33868" w:rsidRPr="00E306F0" w:rsidRDefault="00A33868" w:rsidP="008563C4">
      <w:pPr>
        <w:pStyle w:val="References"/>
        <w:rPr>
          <w:lang w:val="de-DE"/>
        </w:rPr>
      </w:pPr>
      <w:r w:rsidRPr="00E306F0">
        <w:t>[1]</w:t>
      </w:r>
      <w:r w:rsidRPr="00E306F0">
        <w:tab/>
      </w:r>
      <w:r w:rsidR="00B73921" w:rsidRPr="00E306F0">
        <w:t xml:space="preserve">a) </w:t>
      </w:r>
      <w:r w:rsidR="008563C4" w:rsidRPr="00E306F0">
        <w:rPr>
          <w:lang w:val="de-DE"/>
        </w:rPr>
        <w:t xml:space="preserve">S. A. Girard, T. Knauber, C.-J. Li, </w:t>
      </w:r>
      <w:r w:rsidR="008563C4" w:rsidRPr="00E306F0">
        <w:rPr>
          <w:i/>
          <w:lang w:val="de-DE"/>
        </w:rPr>
        <w:t>Angew</w:t>
      </w:r>
      <w:r w:rsidR="008563C4" w:rsidRPr="00E306F0">
        <w:rPr>
          <w:lang w:val="de-DE"/>
        </w:rPr>
        <w:t xml:space="preserve">. </w:t>
      </w:r>
      <w:r w:rsidR="008563C4" w:rsidRPr="00E306F0">
        <w:rPr>
          <w:i/>
          <w:lang w:val="de-DE"/>
        </w:rPr>
        <w:t>Chem</w:t>
      </w:r>
      <w:r w:rsidR="008563C4" w:rsidRPr="00E306F0">
        <w:rPr>
          <w:lang w:val="de-DE"/>
        </w:rPr>
        <w:t xml:space="preserve">. </w:t>
      </w:r>
      <w:r w:rsidR="008563C4" w:rsidRPr="00E306F0">
        <w:rPr>
          <w:i/>
          <w:lang w:val="de-DE"/>
        </w:rPr>
        <w:t>Int</w:t>
      </w:r>
      <w:r w:rsidR="008563C4" w:rsidRPr="00E306F0">
        <w:rPr>
          <w:lang w:val="de-DE"/>
        </w:rPr>
        <w:t xml:space="preserve">. </w:t>
      </w:r>
      <w:r w:rsidR="008563C4" w:rsidRPr="00E306F0">
        <w:rPr>
          <w:i/>
          <w:lang w:val="de-DE"/>
        </w:rPr>
        <w:t>Ed</w:t>
      </w:r>
      <w:r w:rsidR="008563C4" w:rsidRPr="00E306F0">
        <w:rPr>
          <w:lang w:val="de-DE"/>
        </w:rPr>
        <w:t xml:space="preserve">. </w:t>
      </w:r>
      <w:r w:rsidR="008563C4" w:rsidRPr="00E306F0">
        <w:rPr>
          <w:b/>
          <w:lang w:val="de-DE"/>
        </w:rPr>
        <w:t>2014</w:t>
      </w:r>
      <w:r w:rsidR="008563C4" w:rsidRPr="00E306F0">
        <w:rPr>
          <w:lang w:val="de-DE"/>
        </w:rPr>
        <w:t xml:space="preserve">, </w:t>
      </w:r>
      <w:r w:rsidR="008563C4" w:rsidRPr="00E306F0">
        <w:rPr>
          <w:i/>
          <w:lang w:val="de-DE"/>
        </w:rPr>
        <w:t>53</w:t>
      </w:r>
      <w:r w:rsidR="008563C4" w:rsidRPr="00E306F0">
        <w:rPr>
          <w:lang w:val="de-DE"/>
        </w:rPr>
        <w:t>, 74</w:t>
      </w:r>
      <w:r w:rsidR="00B73921" w:rsidRPr="00E306F0">
        <w:rPr>
          <w:lang w:val="de-DE"/>
        </w:rPr>
        <w:t>-</w:t>
      </w:r>
      <w:r w:rsidR="008563C4" w:rsidRPr="00E306F0">
        <w:rPr>
          <w:lang w:val="de-DE"/>
        </w:rPr>
        <w:t xml:space="preserve">100 and references therein; </w:t>
      </w:r>
      <w:r w:rsidR="00B73921" w:rsidRPr="00E306F0">
        <w:rPr>
          <w:lang w:val="de-DE"/>
        </w:rPr>
        <w:t xml:space="preserve">b) </w:t>
      </w:r>
      <w:r w:rsidR="008563C4" w:rsidRPr="00E306F0">
        <w:rPr>
          <w:lang w:val="de-DE"/>
        </w:rPr>
        <w:t xml:space="preserve">C.-J. Li, </w:t>
      </w:r>
      <w:r w:rsidR="008563C4" w:rsidRPr="00E306F0">
        <w:rPr>
          <w:i/>
          <w:lang w:val="de-DE"/>
        </w:rPr>
        <w:t>Acc</w:t>
      </w:r>
      <w:r w:rsidR="008563C4" w:rsidRPr="00E306F0">
        <w:rPr>
          <w:lang w:val="de-DE"/>
        </w:rPr>
        <w:t xml:space="preserve">. </w:t>
      </w:r>
      <w:r w:rsidR="008563C4" w:rsidRPr="00E306F0">
        <w:rPr>
          <w:i/>
          <w:lang w:val="de-DE"/>
        </w:rPr>
        <w:t>Chem</w:t>
      </w:r>
      <w:r w:rsidR="008563C4" w:rsidRPr="00E306F0">
        <w:rPr>
          <w:lang w:val="de-DE"/>
        </w:rPr>
        <w:t xml:space="preserve">. </w:t>
      </w:r>
      <w:r w:rsidR="008563C4" w:rsidRPr="00E306F0">
        <w:rPr>
          <w:i/>
          <w:lang w:val="de-DE"/>
        </w:rPr>
        <w:t>Res</w:t>
      </w:r>
      <w:r w:rsidR="00B73921" w:rsidRPr="00E306F0">
        <w:rPr>
          <w:lang w:val="de-DE"/>
        </w:rPr>
        <w:t>.</w:t>
      </w:r>
      <w:r w:rsidR="008563C4" w:rsidRPr="00E306F0">
        <w:rPr>
          <w:lang w:val="de-DE"/>
        </w:rPr>
        <w:t xml:space="preserve"> </w:t>
      </w:r>
      <w:r w:rsidR="008563C4" w:rsidRPr="00E306F0">
        <w:rPr>
          <w:b/>
          <w:lang w:val="de-DE"/>
        </w:rPr>
        <w:t>2009</w:t>
      </w:r>
      <w:r w:rsidR="008563C4" w:rsidRPr="00E306F0">
        <w:rPr>
          <w:lang w:val="de-DE"/>
        </w:rPr>
        <w:t xml:space="preserve">, </w:t>
      </w:r>
      <w:r w:rsidR="008563C4" w:rsidRPr="00E306F0">
        <w:rPr>
          <w:i/>
          <w:lang w:val="de-DE"/>
        </w:rPr>
        <w:t>42</w:t>
      </w:r>
      <w:r w:rsidR="008563C4" w:rsidRPr="00E306F0">
        <w:rPr>
          <w:lang w:val="de-DE"/>
        </w:rPr>
        <w:t>, 335</w:t>
      </w:r>
      <w:r w:rsidR="00B73921" w:rsidRPr="00E306F0">
        <w:rPr>
          <w:lang w:val="de-DE"/>
        </w:rPr>
        <w:t>-</w:t>
      </w:r>
      <w:r w:rsidR="008563C4" w:rsidRPr="00E306F0">
        <w:rPr>
          <w:bCs/>
          <w:lang w:val="de-DE"/>
        </w:rPr>
        <w:t>344</w:t>
      </w:r>
      <w:r w:rsidR="008563C4" w:rsidRPr="00E306F0">
        <w:rPr>
          <w:lang w:val="de-DE"/>
        </w:rPr>
        <w:t>.</w:t>
      </w:r>
    </w:p>
    <w:p w:rsidR="00A33868" w:rsidRPr="00E306F0" w:rsidRDefault="00A33868" w:rsidP="006478CC">
      <w:pPr>
        <w:pStyle w:val="References"/>
      </w:pPr>
      <w:r w:rsidRPr="00E306F0">
        <w:t>[2]</w:t>
      </w:r>
      <w:r w:rsidRPr="00E306F0">
        <w:tab/>
      </w:r>
      <w:r w:rsidR="00B73921" w:rsidRPr="00E306F0">
        <w:rPr>
          <w:lang w:val="de-DE"/>
        </w:rPr>
        <w:t xml:space="preserve">a) P. Drouhin, R. J. K. Taylor, </w:t>
      </w:r>
      <w:r w:rsidR="00B73921" w:rsidRPr="00E306F0">
        <w:rPr>
          <w:i/>
          <w:lang w:val="de-DE"/>
        </w:rPr>
        <w:t>Eur</w:t>
      </w:r>
      <w:r w:rsidR="00B73921" w:rsidRPr="00E306F0">
        <w:rPr>
          <w:lang w:val="de-DE"/>
        </w:rPr>
        <w:t xml:space="preserve">. </w:t>
      </w:r>
      <w:r w:rsidR="00B73921" w:rsidRPr="00E306F0">
        <w:rPr>
          <w:i/>
          <w:lang w:val="de-DE"/>
        </w:rPr>
        <w:t>J</w:t>
      </w:r>
      <w:r w:rsidR="00B73921" w:rsidRPr="00E306F0">
        <w:rPr>
          <w:lang w:val="de-DE"/>
        </w:rPr>
        <w:t xml:space="preserve">. </w:t>
      </w:r>
      <w:r w:rsidR="00B73921" w:rsidRPr="00E306F0">
        <w:rPr>
          <w:i/>
          <w:lang w:val="de-DE"/>
        </w:rPr>
        <w:t>Org</w:t>
      </w:r>
      <w:r w:rsidR="00B73921" w:rsidRPr="00E306F0">
        <w:rPr>
          <w:lang w:val="de-DE"/>
        </w:rPr>
        <w:t xml:space="preserve">. </w:t>
      </w:r>
      <w:r w:rsidR="00B73921" w:rsidRPr="00E306F0">
        <w:rPr>
          <w:i/>
          <w:lang w:val="de-DE"/>
        </w:rPr>
        <w:t>Chem</w:t>
      </w:r>
      <w:r w:rsidR="00B73921" w:rsidRPr="00E306F0">
        <w:rPr>
          <w:lang w:val="de-DE"/>
        </w:rPr>
        <w:t xml:space="preserve">. </w:t>
      </w:r>
      <w:r w:rsidR="00B73921" w:rsidRPr="00E306F0">
        <w:rPr>
          <w:b/>
          <w:lang w:val="de-DE"/>
        </w:rPr>
        <w:t>2015</w:t>
      </w:r>
      <w:r w:rsidR="00B73921" w:rsidRPr="00E306F0">
        <w:rPr>
          <w:lang w:val="de-DE"/>
        </w:rPr>
        <w:t xml:space="preserve">, 2333-2336; b) T. E. Hurst, R. M. Gorman, P. Drouhin, A. Perry, R. J. K. Taylor, </w:t>
      </w:r>
      <w:r w:rsidR="00B73921" w:rsidRPr="00E306F0">
        <w:rPr>
          <w:i/>
          <w:lang w:val="de-DE"/>
        </w:rPr>
        <w:t>Chem</w:t>
      </w:r>
      <w:r w:rsidR="00B73921" w:rsidRPr="00E306F0">
        <w:rPr>
          <w:lang w:val="de-DE"/>
        </w:rPr>
        <w:t xml:space="preserve">. </w:t>
      </w:r>
      <w:r w:rsidR="00B73921" w:rsidRPr="00E306F0">
        <w:rPr>
          <w:i/>
          <w:lang w:val="de-DE"/>
        </w:rPr>
        <w:t>Eur</w:t>
      </w:r>
      <w:r w:rsidR="00B73921" w:rsidRPr="00E306F0">
        <w:rPr>
          <w:lang w:val="de-DE"/>
        </w:rPr>
        <w:t xml:space="preserve">. </w:t>
      </w:r>
      <w:r w:rsidR="00B73921" w:rsidRPr="00E306F0">
        <w:rPr>
          <w:i/>
          <w:lang w:val="de-DE"/>
        </w:rPr>
        <w:t>J</w:t>
      </w:r>
      <w:r w:rsidR="00B73921" w:rsidRPr="00E306F0">
        <w:rPr>
          <w:lang w:val="de-DE"/>
        </w:rPr>
        <w:t xml:space="preserve">. </w:t>
      </w:r>
      <w:r w:rsidR="00B73921" w:rsidRPr="00E306F0">
        <w:rPr>
          <w:b/>
          <w:lang w:val="de-DE"/>
        </w:rPr>
        <w:t>2014</w:t>
      </w:r>
      <w:r w:rsidR="00B73921" w:rsidRPr="00E306F0">
        <w:rPr>
          <w:lang w:val="de-DE"/>
        </w:rPr>
        <w:t xml:space="preserve">, </w:t>
      </w:r>
      <w:r w:rsidR="00B73921" w:rsidRPr="00E306F0">
        <w:rPr>
          <w:i/>
          <w:lang w:val="de-DE"/>
        </w:rPr>
        <w:t>20</w:t>
      </w:r>
      <w:r w:rsidR="00B73921" w:rsidRPr="00E306F0">
        <w:rPr>
          <w:lang w:val="de-DE"/>
        </w:rPr>
        <w:t xml:space="preserve">, 14063-14073; c) </w:t>
      </w:r>
      <w:r w:rsidR="00B73921" w:rsidRPr="00E306F0">
        <w:rPr>
          <w:bCs/>
          <w:lang w:val="de-DE"/>
        </w:rPr>
        <w:t xml:space="preserve">J. E. M. N. Klein, A. Perry, D. S. Pugh, R. J. K. Taylor, </w:t>
      </w:r>
      <w:r w:rsidR="00B73921" w:rsidRPr="00E306F0">
        <w:rPr>
          <w:bCs/>
          <w:i/>
          <w:lang w:val="de-DE"/>
        </w:rPr>
        <w:t>Org</w:t>
      </w:r>
      <w:r w:rsidR="00B73921" w:rsidRPr="00E306F0">
        <w:rPr>
          <w:bCs/>
          <w:lang w:val="de-DE"/>
        </w:rPr>
        <w:t xml:space="preserve">. </w:t>
      </w:r>
      <w:r w:rsidR="00B73921" w:rsidRPr="00E306F0">
        <w:rPr>
          <w:bCs/>
          <w:i/>
          <w:lang w:val="de-DE"/>
        </w:rPr>
        <w:t>Lett</w:t>
      </w:r>
      <w:r w:rsidR="00B73921" w:rsidRPr="00E306F0">
        <w:rPr>
          <w:bCs/>
          <w:lang w:val="de-DE"/>
        </w:rPr>
        <w:t xml:space="preserve">. </w:t>
      </w:r>
      <w:r w:rsidR="00B73921" w:rsidRPr="00E306F0">
        <w:rPr>
          <w:b/>
          <w:bCs/>
          <w:lang w:val="de-DE"/>
        </w:rPr>
        <w:t>2010</w:t>
      </w:r>
      <w:r w:rsidR="00B73921" w:rsidRPr="00E306F0">
        <w:rPr>
          <w:bCs/>
          <w:lang w:val="de-DE"/>
        </w:rPr>
        <w:t xml:space="preserve">, </w:t>
      </w:r>
      <w:r w:rsidR="00B73921" w:rsidRPr="00E306F0">
        <w:rPr>
          <w:bCs/>
          <w:i/>
          <w:lang w:val="de-DE"/>
        </w:rPr>
        <w:t>12</w:t>
      </w:r>
      <w:r w:rsidR="00B73921" w:rsidRPr="00E306F0">
        <w:rPr>
          <w:bCs/>
          <w:lang w:val="de-DE"/>
        </w:rPr>
        <w:t xml:space="preserve">, 3446-3449; d) A. Perry, R. J. K. Taylor, </w:t>
      </w:r>
      <w:r w:rsidR="00B73921" w:rsidRPr="00E306F0">
        <w:rPr>
          <w:bCs/>
          <w:i/>
          <w:lang w:val="de-DE"/>
        </w:rPr>
        <w:t>Chem</w:t>
      </w:r>
      <w:r w:rsidR="00B73921" w:rsidRPr="00E306F0">
        <w:rPr>
          <w:bCs/>
          <w:lang w:val="de-DE"/>
        </w:rPr>
        <w:t xml:space="preserve">. </w:t>
      </w:r>
      <w:r w:rsidR="00B73921" w:rsidRPr="00E306F0">
        <w:rPr>
          <w:bCs/>
          <w:i/>
          <w:lang w:val="de-DE"/>
        </w:rPr>
        <w:t>Commun</w:t>
      </w:r>
      <w:r w:rsidR="00B73921" w:rsidRPr="00E306F0">
        <w:rPr>
          <w:bCs/>
          <w:lang w:val="de-DE"/>
        </w:rPr>
        <w:t xml:space="preserve">. </w:t>
      </w:r>
      <w:r w:rsidR="00B73921" w:rsidRPr="00E306F0">
        <w:rPr>
          <w:b/>
          <w:bCs/>
          <w:lang w:val="de-DE"/>
        </w:rPr>
        <w:t>2009</w:t>
      </w:r>
      <w:r w:rsidR="00B73921" w:rsidRPr="00E306F0">
        <w:rPr>
          <w:bCs/>
          <w:lang w:val="de-DE"/>
        </w:rPr>
        <w:t xml:space="preserve">, 3249-3251; </w:t>
      </w:r>
      <w:r w:rsidR="006478CC" w:rsidRPr="00E306F0">
        <w:rPr>
          <w:bCs/>
          <w:lang w:val="de-DE"/>
        </w:rPr>
        <w:t xml:space="preserve">See also </w:t>
      </w:r>
      <w:r w:rsidR="00B73921" w:rsidRPr="00E306F0">
        <w:rPr>
          <w:bCs/>
          <w:lang w:val="de-DE"/>
        </w:rPr>
        <w:t xml:space="preserve">e) </w:t>
      </w:r>
      <w:r w:rsidR="00B73921" w:rsidRPr="00E306F0">
        <w:rPr>
          <w:lang w:val="en-US"/>
        </w:rPr>
        <w:t xml:space="preserve">Y.-X. Jia, E. P. Kündig, </w:t>
      </w:r>
      <w:r w:rsidR="00B73921" w:rsidRPr="00E306F0">
        <w:rPr>
          <w:i/>
          <w:lang w:val="en-US"/>
        </w:rPr>
        <w:t>Angew</w:t>
      </w:r>
      <w:r w:rsidR="00B73921" w:rsidRPr="00E306F0">
        <w:rPr>
          <w:lang w:val="en-US"/>
        </w:rPr>
        <w:t xml:space="preserve">. </w:t>
      </w:r>
      <w:r w:rsidR="00B73921" w:rsidRPr="00E306F0">
        <w:rPr>
          <w:i/>
          <w:lang w:val="en-US"/>
        </w:rPr>
        <w:t>Chem</w:t>
      </w:r>
      <w:r w:rsidR="00B73921" w:rsidRPr="00E306F0">
        <w:rPr>
          <w:lang w:val="en-US"/>
        </w:rPr>
        <w:t xml:space="preserve">. </w:t>
      </w:r>
      <w:r w:rsidR="00B73921" w:rsidRPr="00E306F0">
        <w:rPr>
          <w:i/>
          <w:lang w:val="en-US"/>
        </w:rPr>
        <w:t>Int</w:t>
      </w:r>
      <w:r w:rsidR="00B73921" w:rsidRPr="00E306F0">
        <w:rPr>
          <w:lang w:val="en-US"/>
        </w:rPr>
        <w:t xml:space="preserve">. </w:t>
      </w:r>
      <w:r w:rsidR="00B73921" w:rsidRPr="00E306F0">
        <w:rPr>
          <w:i/>
          <w:lang w:val="en-US"/>
        </w:rPr>
        <w:t>Ed</w:t>
      </w:r>
      <w:r w:rsidR="00B73921" w:rsidRPr="00E306F0">
        <w:rPr>
          <w:lang w:val="en-US"/>
        </w:rPr>
        <w:t xml:space="preserve">. </w:t>
      </w:r>
      <w:r w:rsidR="00B73921" w:rsidRPr="00E306F0">
        <w:rPr>
          <w:b/>
          <w:lang w:val="en-US"/>
        </w:rPr>
        <w:t>2009</w:t>
      </w:r>
      <w:r w:rsidR="00B73921" w:rsidRPr="00E306F0">
        <w:rPr>
          <w:lang w:val="en-US"/>
        </w:rPr>
        <w:t xml:space="preserve">, </w:t>
      </w:r>
      <w:r w:rsidR="00B73921" w:rsidRPr="00E306F0">
        <w:rPr>
          <w:i/>
          <w:lang w:val="en-US"/>
        </w:rPr>
        <w:t>48</w:t>
      </w:r>
      <w:r w:rsidR="00B73921" w:rsidRPr="00E306F0">
        <w:rPr>
          <w:lang w:val="en-US"/>
        </w:rPr>
        <w:t>, 1636</w:t>
      </w:r>
      <w:r w:rsidR="00B73921" w:rsidRPr="00E306F0">
        <w:rPr>
          <w:lang w:val="de-DE"/>
        </w:rPr>
        <w:t>-</w:t>
      </w:r>
      <w:r w:rsidR="006478CC" w:rsidRPr="00E306F0">
        <w:rPr>
          <w:lang w:val="en-US"/>
        </w:rPr>
        <w:t>1639; f)</w:t>
      </w:r>
      <w:r w:rsidR="006478CC" w:rsidRPr="00E306F0">
        <w:t xml:space="preserve"> </w:t>
      </w:r>
      <w:hyperlink r:id="rId20" w:history="1">
        <w:r w:rsidR="006478CC" w:rsidRPr="00E306F0">
          <w:rPr>
            <w:lang w:val="en-CA"/>
          </w:rPr>
          <w:t>C. Dey</w:t>
        </w:r>
      </w:hyperlink>
      <w:r w:rsidR="006478CC" w:rsidRPr="00E306F0">
        <w:rPr>
          <w:lang w:val="en-CA"/>
        </w:rPr>
        <w:t>, </w:t>
      </w:r>
      <w:hyperlink r:id="rId21" w:history="1">
        <w:r w:rsidR="006478CC" w:rsidRPr="00E306F0">
          <w:rPr>
            <w:lang w:val="en-CA"/>
          </w:rPr>
          <w:t>E. Larionov</w:t>
        </w:r>
      </w:hyperlink>
      <w:r w:rsidR="006478CC" w:rsidRPr="00E306F0">
        <w:rPr>
          <w:lang w:val="en-CA"/>
        </w:rPr>
        <w:t xml:space="preserve">a, </w:t>
      </w:r>
      <w:hyperlink r:id="rId22" w:history="1">
        <w:r w:rsidR="006478CC" w:rsidRPr="00E306F0">
          <w:rPr>
            <w:lang w:val="en-CA"/>
          </w:rPr>
          <w:t>E. P. Kündig</w:t>
        </w:r>
      </w:hyperlink>
      <w:r w:rsidR="006478CC" w:rsidRPr="00E306F0">
        <w:rPr>
          <w:lang w:val="en-US"/>
        </w:rPr>
        <w:t xml:space="preserve">, </w:t>
      </w:r>
      <w:r w:rsidR="006478CC" w:rsidRPr="00E306F0">
        <w:rPr>
          <w:i/>
          <w:lang w:val="en-US"/>
        </w:rPr>
        <w:t>Org</w:t>
      </w:r>
      <w:r w:rsidR="006478CC" w:rsidRPr="00E306F0">
        <w:rPr>
          <w:lang w:val="en-US"/>
        </w:rPr>
        <w:t xml:space="preserve">. </w:t>
      </w:r>
      <w:r w:rsidR="006478CC" w:rsidRPr="00E306F0">
        <w:rPr>
          <w:i/>
          <w:lang w:val="en-US"/>
        </w:rPr>
        <w:t>Biomol</w:t>
      </w:r>
      <w:r w:rsidR="006478CC" w:rsidRPr="00E306F0">
        <w:rPr>
          <w:lang w:val="en-US"/>
        </w:rPr>
        <w:t xml:space="preserve">. </w:t>
      </w:r>
      <w:r w:rsidR="006478CC" w:rsidRPr="00E306F0">
        <w:rPr>
          <w:i/>
          <w:lang w:val="en-US"/>
        </w:rPr>
        <w:t>Chem</w:t>
      </w:r>
      <w:r w:rsidR="006478CC" w:rsidRPr="00E306F0">
        <w:rPr>
          <w:lang w:val="en-US"/>
        </w:rPr>
        <w:t xml:space="preserve">. </w:t>
      </w:r>
      <w:r w:rsidR="006478CC" w:rsidRPr="00E306F0">
        <w:rPr>
          <w:b/>
        </w:rPr>
        <w:t>2013</w:t>
      </w:r>
      <w:r w:rsidR="006478CC" w:rsidRPr="00E306F0">
        <w:t xml:space="preserve">, </w:t>
      </w:r>
      <w:r w:rsidR="006478CC" w:rsidRPr="00E306F0">
        <w:rPr>
          <w:i/>
        </w:rPr>
        <w:t>11</w:t>
      </w:r>
      <w:r w:rsidR="006478CC" w:rsidRPr="00E306F0">
        <w:t>, 6734-6743.</w:t>
      </w:r>
    </w:p>
    <w:p w:rsidR="00C00B4A" w:rsidRPr="00E306F0" w:rsidRDefault="00C00B4A" w:rsidP="00A33868">
      <w:pPr>
        <w:pStyle w:val="References"/>
        <w:rPr>
          <w:rFonts w:cs="Helvetica-Narrow-Bold"/>
          <w:bCs/>
        </w:rPr>
      </w:pPr>
      <w:r w:rsidRPr="00E306F0">
        <w:rPr>
          <w:lang w:val="en-US"/>
        </w:rPr>
        <w:t>[3]</w:t>
      </w:r>
      <w:r w:rsidRPr="00E306F0">
        <w:rPr>
          <w:lang w:val="en-US"/>
        </w:rPr>
        <w:tab/>
      </w:r>
      <w:r w:rsidR="00586987" w:rsidRPr="00E306F0">
        <w:rPr>
          <w:lang w:val="en-US"/>
        </w:rPr>
        <w:t xml:space="preserve">For a recent review of acridines and their derivatives see: </w:t>
      </w:r>
      <w:r w:rsidRPr="00E306F0">
        <w:rPr>
          <w:rFonts w:cs="Helvetica-Narrow-Bold"/>
          <w:bCs/>
        </w:rPr>
        <w:t>A. Schmidt, M. Liu,</w:t>
      </w:r>
      <w:r w:rsidRPr="00E306F0">
        <w:rPr>
          <w:rFonts w:cs="Helvetica-Narrow-Bold"/>
          <w:bCs/>
          <w:i/>
        </w:rPr>
        <w:t xml:space="preserve"> Adv. Het. Chem. </w:t>
      </w:r>
      <w:r w:rsidRPr="00E306F0">
        <w:rPr>
          <w:rFonts w:cs="Helvetica-Narrow-Bold"/>
          <w:b/>
          <w:bCs/>
        </w:rPr>
        <w:t>2015</w:t>
      </w:r>
      <w:r w:rsidRPr="00E306F0">
        <w:rPr>
          <w:rFonts w:cs="Helvetica-Narrow-Bold"/>
          <w:bCs/>
        </w:rPr>
        <w:t xml:space="preserve">, </w:t>
      </w:r>
      <w:r w:rsidRPr="00E306F0">
        <w:rPr>
          <w:rFonts w:cs="Helvetica-Narrow-Bold"/>
          <w:bCs/>
          <w:i/>
        </w:rPr>
        <w:t>115</w:t>
      </w:r>
      <w:r w:rsidRPr="00E306F0">
        <w:rPr>
          <w:rFonts w:cs="Helvetica-Narrow-Bold"/>
          <w:bCs/>
        </w:rPr>
        <w:t>, 287</w:t>
      </w:r>
      <w:r w:rsidRPr="00E306F0">
        <w:t>-</w:t>
      </w:r>
      <w:r w:rsidRPr="00E306F0">
        <w:rPr>
          <w:rFonts w:cs="Helvetica-Narrow-Bold"/>
          <w:bCs/>
        </w:rPr>
        <w:t>353.</w:t>
      </w:r>
    </w:p>
    <w:p w:rsidR="00C00B4A" w:rsidRPr="00E306F0" w:rsidRDefault="00C00B4A" w:rsidP="00A33868">
      <w:pPr>
        <w:pStyle w:val="References"/>
        <w:rPr>
          <w:rFonts w:cs="Helvetica-Narrow-Bold"/>
          <w:bCs/>
          <w:lang w:val="de-DE"/>
        </w:rPr>
      </w:pPr>
      <w:r w:rsidRPr="00E306F0">
        <w:rPr>
          <w:rFonts w:cs="Helvetica-Narrow-Bold"/>
          <w:bCs/>
        </w:rPr>
        <w:t>[4]</w:t>
      </w:r>
      <w:r w:rsidRPr="00E306F0">
        <w:rPr>
          <w:rFonts w:cs="Helvetica-Narrow-Bold"/>
          <w:bCs/>
        </w:rPr>
        <w:tab/>
      </w:r>
      <w:r w:rsidRPr="00E306F0">
        <w:rPr>
          <w:rFonts w:cs="Helvetica-Narrow-Bold"/>
          <w:bCs/>
          <w:lang w:val="de-DE"/>
        </w:rPr>
        <w:t xml:space="preserve">P. Tessier, D. V. Smil, A. Wahhab, S. Leit, J. Rahil, Z. Li, R. Déziel, J. M. Besterman, </w:t>
      </w:r>
      <w:r w:rsidRPr="00E306F0">
        <w:rPr>
          <w:rFonts w:cs="Helvetica-Narrow-Bold"/>
          <w:bCs/>
          <w:i/>
          <w:lang w:val="de-DE"/>
        </w:rPr>
        <w:t>Bioorg</w:t>
      </w:r>
      <w:r w:rsidRPr="00E306F0">
        <w:rPr>
          <w:rFonts w:cs="Helvetica-Narrow-Bold"/>
          <w:bCs/>
          <w:lang w:val="de-DE"/>
        </w:rPr>
        <w:t xml:space="preserve">. </w:t>
      </w:r>
      <w:r w:rsidRPr="00E306F0">
        <w:rPr>
          <w:rFonts w:cs="Helvetica-Narrow-Bold"/>
          <w:bCs/>
          <w:i/>
          <w:lang w:val="de-DE"/>
        </w:rPr>
        <w:t>Med</w:t>
      </w:r>
      <w:r w:rsidRPr="00E306F0">
        <w:rPr>
          <w:rFonts w:cs="Helvetica-Narrow-Bold"/>
          <w:bCs/>
          <w:lang w:val="de-DE"/>
        </w:rPr>
        <w:t xml:space="preserve">. </w:t>
      </w:r>
      <w:r w:rsidRPr="00E306F0">
        <w:rPr>
          <w:rFonts w:cs="Helvetica-Narrow-Bold"/>
          <w:bCs/>
          <w:i/>
          <w:lang w:val="de-DE"/>
        </w:rPr>
        <w:t>Chem</w:t>
      </w:r>
      <w:r w:rsidRPr="00E306F0">
        <w:rPr>
          <w:rFonts w:cs="Helvetica-Narrow-Bold"/>
          <w:bCs/>
          <w:lang w:val="de-DE"/>
        </w:rPr>
        <w:t xml:space="preserve">. </w:t>
      </w:r>
      <w:r w:rsidRPr="00E306F0">
        <w:rPr>
          <w:rFonts w:cs="Helvetica-Narrow-Bold"/>
          <w:bCs/>
          <w:i/>
          <w:lang w:val="de-DE"/>
        </w:rPr>
        <w:t>Lett</w:t>
      </w:r>
      <w:r w:rsidRPr="00E306F0">
        <w:rPr>
          <w:rFonts w:cs="Helvetica-Narrow-Bold"/>
          <w:bCs/>
          <w:lang w:val="de-DE"/>
        </w:rPr>
        <w:t xml:space="preserve">. </w:t>
      </w:r>
      <w:r w:rsidRPr="00E306F0">
        <w:rPr>
          <w:rFonts w:cs="Helvetica-Narrow-Bold"/>
          <w:b/>
          <w:bCs/>
          <w:lang w:val="de-DE"/>
        </w:rPr>
        <w:t>2009</w:t>
      </w:r>
      <w:r w:rsidRPr="00E306F0">
        <w:rPr>
          <w:rFonts w:cs="Helvetica-Narrow-Bold"/>
          <w:bCs/>
          <w:lang w:val="de-DE"/>
        </w:rPr>
        <w:t xml:space="preserve">, </w:t>
      </w:r>
      <w:r w:rsidRPr="00E306F0">
        <w:rPr>
          <w:rFonts w:cs="Helvetica-Narrow-Bold"/>
          <w:bCs/>
          <w:i/>
          <w:lang w:val="de-DE"/>
        </w:rPr>
        <w:t>19</w:t>
      </w:r>
      <w:r w:rsidRPr="00E306F0">
        <w:rPr>
          <w:rFonts w:cs="Helvetica-Narrow-Bold"/>
          <w:bCs/>
          <w:lang w:val="de-DE"/>
        </w:rPr>
        <w:t>, 5684-5688.</w:t>
      </w:r>
    </w:p>
    <w:p w:rsidR="00F1152E" w:rsidRPr="00E306F0" w:rsidRDefault="00C00B4A" w:rsidP="00F1152E">
      <w:pPr>
        <w:pStyle w:val="References"/>
        <w:rPr>
          <w:rFonts w:cs="Helvetica-Narrow-Bold"/>
          <w:bCs/>
        </w:rPr>
      </w:pPr>
      <w:r w:rsidRPr="00E306F0">
        <w:rPr>
          <w:rFonts w:cs="Helvetica-Narrow-Bold"/>
          <w:bCs/>
          <w:lang w:val="de-DE"/>
        </w:rPr>
        <w:t>[5]</w:t>
      </w:r>
      <w:r w:rsidRPr="00E306F0">
        <w:rPr>
          <w:rFonts w:cs="Helvetica-Narrow-Bold"/>
          <w:bCs/>
          <w:lang w:val="de-DE"/>
        </w:rPr>
        <w:tab/>
      </w:r>
      <w:r w:rsidR="00147525" w:rsidRPr="00E306F0">
        <w:rPr>
          <w:rFonts w:cs="Helvetica-Narrow-Bold"/>
          <w:bCs/>
          <w:lang w:val="de-DE"/>
        </w:rPr>
        <w:t xml:space="preserve">B. L. Johnson, M. Patel, J. D. Rodgers, H. Wang, </w:t>
      </w:r>
      <w:r w:rsidR="00F1152E" w:rsidRPr="00E306F0">
        <w:rPr>
          <w:rFonts w:cs="Helvetica-Narrow-Bold"/>
          <w:bCs/>
          <w:i/>
        </w:rPr>
        <w:t>US</w:t>
      </w:r>
      <w:r w:rsidR="00F1152E" w:rsidRPr="00E306F0">
        <w:rPr>
          <w:rFonts w:cs="Helvetica-Narrow-Bold"/>
          <w:bCs/>
        </w:rPr>
        <w:t xml:space="preserve"> </w:t>
      </w:r>
      <w:r w:rsidR="00F1152E" w:rsidRPr="00E306F0">
        <w:rPr>
          <w:rFonts w:cs="Helvetica-Narrow-Bold"/>
          <w:bCs/>
          <w:i/>
        </w:rPr>
        <w:t>Pat</w:t>
      </w:r>
      <w:r w:rsidR="00F1152E" w:rsidRPr="00E306F0">
        <w:rPr>
          <w:rFonts w:cs="Helvetica-Narrow-Bold"/>
          <w:bCs/>
        </w:rPr>
        <w:t xml:space="preserve">., US6593337B1, </w:t>
      </w:r>
      <w:r w:rsidR="00F1152E" w:rsidRPr="00E306F0">
        <w:rPr>
          <w:rFonts w:cs="Helvetica-Narrow-Bold"/>
          <w:b/>
          <w:bCs/>
        </w:rPr>
        <w:t>2003</w:t>
      </w:r>
      <w:r w:rsidR="00F1152E" w:rsidRPr="00E306F0">
        <w:rPr>
          <w:rFonts w:cs="Helvetica-Narrow-Bold"/>
          <w:bCs/>
        </w:rPr>
        <w:t>.</w:t>
      </w:r>
    </w:p>
    <w:p w:rsidR="00F1152E" w:rsidRPr="00E306F0" w:rsidRDefault="00F1152E" w:rsidP="00F1152E">
      <w:pPr>
        <w:pStyle w:val="References"/>
        <w:rPr>
          <w:rFonts w:cs="Helvetica-Narrow-Bold"/>
          <w:bCs/>
          <w:lang w:val="de-DE"/>
        </w:rPr>
      </w:pPr>
      <w:r w:rsidRPr="00E306F0">
        <w:rPr>
          <w:rFonts w:cs="Helvetica-Narrow-Bold"/>
          <w:bCs/>
        </w:rPr>
        <w:t>[6]</w:t>
      </w:r>
      <w:r w:rsidRPr="00E306F0">
        <w:rPr>
          <w:rFonts w:cs="Helvetica-Narrow-Bold"/>
          <w:bCs/>
        </w:rPr>
        <w:tab/>
      </w:r>
      <w:r w:rsidRPr="00E306F0">
        <w:rPr>
          <w:rFonts w:cs="Helvetica-Narrow-Bold"/>
          <w:bCs/>
          <w:lang w:val="de-DE"/>
        </w:rPr>
        <w:t xml:space="preserve">C. Kaiser, P. J. Fowler, D. H. Tedeschi, B. M. Lester, E. Garvey, C. L. Zirkle, E. A. Nodiff, A. J. Saggiomo, </w:t>
      </w:r>
      <w:r w:rsidRPr="00E306F0">
        <w:rPr>
          <w:rFonts w:cs="Helvetica-Narrow-Bold"/>
          <w:bCs/>
          <w:i/>
          <w:lang w:val="de-DE"/>
        </w:rPr>
        <w:t>J</w:t>
      </w:r>
      <w:r w:rsidRPr="00E306F0">
        <w:rPr>
          <w:rFonts w:cs="Helvetica-Narrow-Bold"/>
          <w:bCs/>
          <w:lang w:val="de-DE"/>
        </w:rPr>
        <w:t xml:space="preserve">. </w:t>
      </w:r>
      <w:r w:rsidRPr="00E306F0">
        <w:rPr>
          <w:rFonts w:cs="Helvetica-Narrow-Bold"/>
          <w:bCs/>
          <w:i/>
          <w:lang w:val="de-DE"/>
        </w:rPr>
        <w:t>Med</w:t>
      </w:r>
      <w:r w:rsidRPr="00E306F0">
        <w:rPr>
          <w:rFonts w:cs="Helvetica-Narrow-Bold"/>
          <w:bCs/>
          <w:lang w:val="de-DE"/>
        </w:rPr>
        <w:t xml:space="preserve">. </w:t>
      </w:r>
      <w:r w:rsidRPr="00E306F0">
        <w:rPr>
          <w:rFonts w:cs="Helvetica-Narrow-Bold"/>
          <w:bCs/>
          <w:i/>
          <w:lang w:val="de-DE"/>
        </w:rPr>
        <w:t>Chem</w:t>
      </w:r>
      <w:r w:rsidRPr="00E306F0">
        <w:rPr>
          <w:rFonts w:cs="Helvetica-Narrow-Bold"/>
          <w:bCs/>
          <w:lang w:val="de-DE"/>
        </w:rPr>
        <w:t xml:space="preserve">. </w:t>
      </w:r>
      <w:r w:rsidRPr="00E306F0">
        <w:rPr>
          <w:rFonts w:cs="Helvetica-Narrow-Bold"/>
          <w:b/>
          <w:bCs/>
          <w:lang w:val="de-DE"/>
        </w:rPr>
        <w:t>1974</w:t>
      </w:r>
      <w:r w:rsidRPr="00E306F0">
        <w:rPr>
          <w:rFonts w:cs="Helvetica-Narrow-Bold"/>
          <w:bCs/>
          <w:lang w:val="de-DE"/>
        </w:rPr>
        <w:t xml:space="preserve">, </w:t>
      </w:r>
      <w:r w:rsidRPr="00E306F0">
        <w:rPr>
          <w:rFonts w:cs="Helvetica-Narrow-Bold"/>
          <w:bCs/>
          <w:i/>
          <w:lang w:val="de-DE"/>
        </w:rPr>
        <w:t>17</w:t>
      </w:r>
      <w:r w:rsidRPr="00E306F0">
        <w:rPr>
          <w:rFonts w:cs="Helvetica-Narrow-Bold"/>
          <w:bCs/>
          <w:lang w:val="de-DE"/>
        </w:rPr>
        <w:t>, 57-62.</w:t>
      </w:r>
    </w:p>
    <w:p w:rsidR="00F1152E" w:rsidRPr="00E306F0" w:rsidRDefault="00F1152E" w:rsidP="00F1152E">
      <w:pPr>
        <w:pStyle w:val="References"/>
        <w:rPr>
          <w:rFonts w:cs="Helvetica-Narrow-Bold"/>
          <w:bCs/>
        </w:rPr>
      </w:pPr>
      <w:r w:rsidRPr="00E306F0">
        <w:rPr>
          <w:rFonts w:cs="Helvetica-Narrow-Bold"/>
          <w:bCs/>
          <w:lang w:val="de-DE"/>
        </w:rPr>
        <w:t>[7]</w:t>
      </w:r>
      <w:r w:rsidRPr="00E306F0">
        <w:rPr>
          <w:rFonts w:cs="Helvetica-Narrow-Bold"/>
          <w:bCs/>
          <w:lang w:val="de-DE"/>
        </w:rPr>
        <w:tab/>
      </w:r>
      <w:r w:rsidRPr="00E306F0">
        <w:rPr>
          <w:rFonts w:cs="Helvetica-Narrow-Bold"/>
          <w:bCs/>
        </w:rPr>
        <w:t xml:space="preserve">S. N. Bagriantsev, K.-H. Ang, A. Gallardo-Godoy, K. A. Clark, M. R. Arkin, A. R. Renslo, D. L. Minor, Jr., </w:t>
      </w:r>
      <w:r w:rsidRPr="00E306F0">
        <w:rPr>
          <w:rFonts w:cs="Helvetica-Narrow-Bold"/>
          <w:bCs/>
          <w:i/>
        </w:rPr>
        <w:t>ACS</w:t>
      </w:r>
      <w:r w:rsidRPr="00E306F0">
        <w:rPr>
          <w:rFonts w:cs="Helvetica-Narrow-Bold"/>
          <w:bCs/>
        </w:rPr>
        <w:t xml:space="preserve"> </w:t>
      </w:r>
      <w:r w:rsidRPr="00E306F0">
        <w:rPr>
          <w:rFonts w:cs="Helvetica-Narrow-Bold"/>
          <w:bCs/>
          <w:i/>
        </w:rPr>
        <w:t>Chem</w:t>
      </w:r>
      <w:r w:rsidRPr="00E306F0">
        <w:rPr>
          <w:rFonts w:cs="Helvetica-Narrow-Bold"/>
          <w:bCs/>
        </w:rPr>
        <w:t xml:space="preserve">. </w:t>
      </w:r>
      <w:r w:rsidRPr="00E306F0">
        <w:rPr>
          <w:rFonts w:cs="Helvetica-Narrow-Bold"/>
          <w:bCs/>
          <w:i/>
        </w:rPr>
        <w:t>Biol</w:t>
      </w:r>
      <w:r w:rsidRPr="00E306F0">
        <w:rPr>
          <w:rFonts w:cs="Helvetica-Narrow-Bold"/>
          <w:bCs/>
        </w:rPr>
        <w:t xml:space="preserve">. </w:t>
      </w:r>
      <w:r w:rsidRPr="00E306F0">
        <w:rPr>
          <w:rFonts w:cs="Helvetica-Narrow-Bold"/>
          <w:b/>
          <w:bCs/>
        </w:rPr>
        <w:t>2013</w:t>
      </w:r>
      <w:r w:rsidRPr="00E306F0">
        <w:rPr>
          <w:rFonts w:cs="Helvetica-Narrow-Bold"/>
          <w:bCs/>
        </w:rPr>
        <w:t xml:space="preserve">, </w:t>
      </w:r>
      <w:r w:rsidRPr="00E306F0">
        <w:rPr>
          <w:rFonts w:cs="Helvetica-Narrow-Bold"/>
          <w:bCs/>
          <w:i/>
        </w:rPr>
        <w:t>8</w:t>
      </w:r>
      <w:r w:rsidRPr="00E306F0">
        <w:rPr>
          <w:rFonts w:cs="Helvetica-Narrow-Bold"/>
          <w:bCs/>
        </w:rPr>
        <w:t>, 1841-1851.</w:t>
      </w:r>
    </w:p>
    <w:p w:rsidR="00F1152E" w:rsidRPr="00E306F0" w:rsidRDefault="00F1152E" w:rsidP="00F1152E">
      <w:pPr>
        <w:pStyle w:val="References"/>
        <w:rPr>
          <w:rFonts w:cs="Helvetica-Narrow-Bold"/>
          <w:bCs/>
          <w:lang w:val="de-DE"/>
        </w:rPr>
      </w:pPr>
      <w:r w:rsidRPr="00E306F0">
        <w:rPr>
          <w:rFonts w:cs="Helvetica-Narrow-Bold"/>
          <w:bCs/>
        </w:rPr>
        <w:t>[8]</w:t>
      </w:r>
      <w:r w:rsidRPr="00E306F0">
        <w:rPr>
          <w:rFonts w:cs="Helvetica-Narrow-Bold"/>
          <w:bCs/>
        </w:rPr>
        <w:tab/>
      </w:r>
      <w:r w:rsidRPr="00E306F0">
        <w:rPr>
          <w:rFonts w:cs="Helvetica-Narrow-Bold"/>
          <w:bCs/>
          <w:lang w:val="de-DE"/>
        </w:rPr>
        <w:t xml:space="preserve">a) H. Akhavan-Tafti, R. DeSilva, Z. Arghavani, R. A. Eickholt, R. S. Handley, B. A. Schoenfelner, K. Sugioka, Y. Sugioka, A. P. Schaap, </w:t>
      </w:r>
      <w:r w:rsidRPr="00E306F0">
        <w:rPr>
          <w:rFonts w:cs="Helvetica-Narrow-Bold"/>
          <w:bCs/>
          <w:i/>
          <w:lang w:val="de-DE"/>
        </w:rPr>
        <w:t>J</w:t>
      </w:r>
      <w:r w:rsidRPr="00E306F0">
        <w:rPr>
          <w:rFonts w:cs="Helvetica-Narrow-Bold"/>
          <w:bCs/>
          <w:lang w:val="de-DE"/>
        </w:rPr>
        <w:t xml:space="preserve">. </w:t>
      </w:r>
      <w:r w:rsidRPr="00E306F0">
        <w:rPr>
          <w:rFonts w:cs="Helvetica-Narrow-Bold"/>
          <w:bCs/>
          <w:i/>
          <w:lang w:val="de-DE"/>
        </w:rPr>
        <w:t>Org</w:t>
      </w:r>
      <w:r w:rsidRPr="00E306F0">
        <w:rPr>
          <w:rFonts w:cs="Helvetica-Narrow-Bold"/>
          <w:bCs/>
          <w:lang w:val="de-DE"/>
        </w:rPr>
        <w:t xml:space="preserve">. </w:t>
      </w:r>
      <w:r w:rsidRPr="00E306F0">
        <w:rPr>
          <w:rFonts w:cs="Helvetica-Narrow-Bold"/>
          <w:bCs/>
          <w:i/>
          <w:lang w:val="de-DE"/>
        </w:rPr>
        <w:t>Chem</w:t>
      </w:r>
      <w:r w:rsidRPr="00E306F0">
        <w:rPr>
          <w:rFonts w:cs="Helvetica-Narrow-Bold"/>
          <w:bCs/>
          <w:lang w:val="de-DE"/>
        </w:rPr>
        <w:t xml:space="preserve">. </w:t>
      </w:r>
      <w:r w:rsidRPr="00E306F0">
        <w:rPr>
          <w:rFonts w:cs="Helvetica-Narrow-Bold"/>
          <w:b/>
          <w:bCs/>
          <w:lang w:val="de-DE"/>
        </w:rPr>
        <w:t>1998</w:t>
      </w:r>
      <w:r w:rsidRPr="00E306F0">
        <w:rPr>
          <w:rFonts w:cs="Helvetica-Narrow-Bold"/>
          <w:bCs/>
          <w:lang w:val="de-DE"/>
        </w:rPr>
        <w:t xml:space="preserve">, </w:t>
      </w:r>
      <w:r w:rsidRPr="00E306F0">
        <w:rPr>
          <w:rFonts w:cs="Helvetica-Narrow-Bold"/>
          <w:bCs/>
          <w:i/>
          <w:lang w:val="de-DE"/>
        </w:rPr>
        <w:t>63</w:t>
      </w:r>
      <w:r w:rsidRPr="00E306F0">
        <w:rPr>
          <w:rFonts w:cs="Helvetica-Narrow-Bold"/>
          <w:bCs/>
          <w:lang w:val="de-DE"/>
        </w:rPr>
        <w:t xml:space="preserve">, 930-937; b) H. Akhavan-Tafti, R. DeSilva, R. Eickholt, R. Handley, M. Mazelis, M. Sandison, </w:t>
      </w:r>
      <w:r w:rsidRPr="00E306F0">
        <w:rPr>
          <w:rFonts w:cs="Helvetica-Narrow-Bold"/>
          <w:bCs/>
          <w:i/>
          <w:lang w:val="de-DE"/>
        </w:rPr>
        <w:t>Talanta</w:t>
      </w:r>
      <w:r w:rsidRPr="00E306F0">
        <w:rPr>
          <w:rFonts w:cs="Helvetica-Narrow-Bold"/>
          <w:bCs/>
          <w:lang w:val="de-DE"/>
        </w:rPr>
        <w:t xml:space="preserve"> </w:t>
      </w:r>
      <w:r w:rsidRPr="00E306F0">
        <w:rPr>
          <w:rFonts w:cs="Helvetica-Narrow-Bold"/>
          <w:b/>
          <w:bCs/>
          <w:lang w:val="de-DE"/>
        </w:rPr>
        <w:t>2003</w:t>
      </w:r>
      <w:r w:rsidRPr="00E306F0">
        <w:rPr>
          <w:rFonts w:cs="Helvetica-Narrow-Bold"/>
          <w:bCs/>
          <w:lang w:val="de-DE"/>
        </w:rPr>
        <w:t xml:space="preserve">, </w:t>
      </w:r>
      <w:r w:rsidRPr="00E306F0">
        <w:rPr>
          <w:rFonts w:cs="Helvetica-Narrow-Bold"/>
          <w:bCs/>
          <w:i/>
          <w:lang w:val="de-DE"/>
        </w:rPr>
        <w:t>60</w:t>
      </w:r>
      <w:r w:rsidRPr="00E306F0">
        <w:rPr>
          <w:rFonts w:cs="Helvetica-Narrow-Bold"/>
          <w:bCs/>
          <w:lang w:val="de-DE"/>
        </w:rPr>
        <w:t>, 345</w:t>
      </w:r>
      <w:r w:rsidR="00DE16B3" w:rsidRPr="00E306F0">
        <w:rPr>
          <w:rFonts w:cs="Helvetica-Narrow-Bold"/>
          <w:bCs/>
          <w:lang w:val="de-DE"/>
        </w:rPr>
        <w:t>-</w:t>
      </w:r>
      <w:r w:rsidRPr="00E306F0">
        <w:rPr>
          <w:rFonts w:cs="Helvetica-Narrow-Bold"/>
          <w:bCs/>
          <w:lang w:val="de-DE"/>
        </w:rPr>
        <w:t>354; for recent examples see c) M. Di Fusco, A. Quintavalla, M. Lombardo, M. Guardigli, M. Mirasoli, C. Trombini</w:t>
      </w:r>
      <w:r w:rsidR="00DE16B3" w:rsidRPr="00E306F0">
        <w:rPr>
          <w:rFonts w:cs="Helvetica-Narrow-Bold"/>
          <w:bCs/>
          <w:lang w:val="de-DE"/>
        </w:rPr>
        <w:t>,</w:t>
      </w:r>
      <w:r w:rsidRPr="00E306F0">
        <w:rPr>
          <w:rFonts w:cs="Helvetica-Narrow-Bold"/>
          <w:bCs/>
          <w:lang w:val="de-DE"/>
        </w:rPr>
        <w:t xml:space="preserve"> A. Roda, </w:t>
      </w:r>
      <w:r w:rsidRPr="00E306F0">
        <w:rPr>
          <w:rFonts w:cs="Helvetica-Narrow-Bold"/>
          <w:bCs/>
          <w:i/>
          <w:lang w:val="de-DE"/>
        </w:rPr>
        <w:t>Anal</w:t>
      </w:r>
      <w:r w:rsidRPr="00E306F0">
        <w:rPr>
          <w:rFonts w:cs="Helvetica-Narrow-Bold"/>
          <w:bCs/>
          <w:lang w:val="de-DE"/>
        </w:rPr>
        <w:t xml:space="preserve">. </w:t>
      </w:r>
      <w:r w:rsidRPr="00E306F0">
        <w:rPr>
          <w:rFonts w:cs="Helvetica-Narrow-Bold"/>
          <w:bCs/>
          <w:i/>
          <w:lang w:val="de-DE"/>
        </w:rPr>
        <w:t>Bioanal</w:t>
      </w:r>
      <w:r w:rsidRPr="00E306F0">
        <w:rPr>
          <w:rFonts w:cs="Helvetica-Narrow-Bold"/>
          <w:bCs/>
          <w:lang w:val="de-DE"/>
        </w:rPr>
        <w:t xml:space="preserve">. </w:t>
      </w:r>
      <w:r w:rsidRPr="00E306F0">
        <w:rPr>
          <w:rFonts w:cs="Helvetica-Narrow-Bold"/>
          <w:bCs/>
          <w:i/>
          <w:lang w:val="de-DE"/>
        </w:rPr>
        <w:t>Chem</w:t>
      </w:r>
      <w:r w:rsidR="00DE16B3" w:rsidRPr="00E306F0">
        <w:rPr>
          <w:rFonts w:cs="Helvetica-Narrow-Bold"/>
          <w:bCs/>
          <w:lang w:val="de-DE"/>
        </w:rPr>
        <w:t>.</w:t>
      </w:r>
      <w:r w:rsidRPr="00E306F0">
        <w:rPr>
          <w:rFonts w:cs="Helvetica-Narrow-Bold"/>
          <w:bCs/>
          <w:lang w:val="de-DE"/>
        </w:rPr>
        <w:t xml:space="preserve"> </w:t>
      </w:r>
      <w:r w:rsidRPr="00E306F0">
        <w:rPr>
          <w:rFonts w:cs="Helvetica-Narrow-Bold"/>
          <w:b/>
          <w:bCs/>
          <w:lang w:val="de-DE"/>
        </w:rPr>
        <w:t>2015</w:t>
      </w:r>
      <w:r w:rsidRPr="00E306F0">
        <w:rPr>
          <w:rFonts w:cs="Helvetica-Narrow-Bold"/>
          <w:bCs/>
          <w:lang w:val="de-DE"/>
        </w:rPr>
        <w:t xml:space="preserve">, </w:t>
      </w:r>
      <w:r w:rsidRPr="00E306F0">
        <w:rPr>
          <w:rFonts w:cs="Helvetica-Narrow-Bold"/>
          <w:bCs/>
          <w:i/>
          <w:lang w:val="de-DE"/>
        </w:rPr>
        <w:t>407</w:t>
      </w:r>
      <w:r w:rsidR="00DE16B3" w:rsidRPr="00E306F0">
        <w:rPr>
          <w:rFonts w:cs="Helvetica-Narrow-Bold"/>
          <w:bCs/>
          <w:lang w:val="de-DE"/>
        </w:rPr>
        <w:t>, 1567-</w:t>
      </w:r>
      <w:r w:rsidRPr="00E306F0">
        <w:rPr>
          <w:rFonts w:cs="Helvetica-Narrow-Bold"/>
          <w:bCs/>
          <w:lang w:val="de-DE"/>
        </w:rPr>
        <w:t>1576 and references therein.</w:t>
      </w:r>
    </w:p>
    <w:p w:rsidR="00DE16B3" w:rsidRPr="00E306F0" w:rsidRDefault="00DE16B3" w:rsidP="00F1152E">
      <w:pPr>
        <w:pStyle w:val="References"/>
      </w:pPr>
      <w:r w:rsidRPr="00E306F0">
        <w:rPr>
          <w:rFonts w:cs="Helvetica-Narrow-Bold"/>
          <w:bCs/>
          <w:lang w:val="de-DE"/>
        </w:rPr>
        <w:t>[9]</w:t>
      </w:r>
      <w:r w:rsidRPr="00E306F0">
        <w:rPr>
          <w:rFonts w:cs="Helvetica-Narrow-Bold"/>
          <w:bCs/>
          <w:lang w:val="de-DE"/>
        </w:rPr>
        <w:tab/>
      </w:r>
      <w:r w:rsidRPr="00E306F0">
        <w:t xml:space="preserve">a) S. N. Dhuri, Y.-M. Lee, M. Sook Seo, J. Cho, D. D. Narulkar, S. Fukuzumi, W. Nam, </w:t>
      </w:r>
      <w:r w:rsidRPr="00E306F0">
        <w:rPr>
          <w:i/>
        </w:rPr>
        <w:t>Dalton</w:t>
      </w:r>
      <w:r w:rsidRPr="00E306F0">
        <w:t xml:space="preserve"> </w:t>
      </w:r>
      <w:r w:rsidRPr="00E306F0">
        <w:rPr>
          <w:i/>
        </w:rPr>
        <w:t>Trans</w:t>
      </w:r>
      <w:r w:rsidRPr="00E306F0">
        <w:t xml:space="preserve">. </w:t>
      </w:r>
      <w:r w:rsidRPr="00E306F0">
        <w:rPr>
          <w:b/>
        </w:rPr>
        <w:t>2015</w:t>
      </w:r>
      <w:r w:rsidRPr="00E306F0">
        <w:t xml:space="preserve">, </w:t>
      </w:r>
      <w:r w:rsidRPr="00E306F0">
        <w:rPr>
          <w:b/>
          <w:i/>
        </w:rPr>
        <w:t>44</w:t>
      </w:r>
      <w:r w:rsidRPr="00E306F0">
        <w:t xml:space="preserve">, 7634-7642 and references therein; b) Y. Han, Y.-M. Lee, M. Mariappan, S. Fukuzumi, W. Nam, </w:t>
      </w:r>
      <w:r w:rsidRPr="00E306F0">
        <w:rPr>
          <w:i/>
        </w:rPr>
        <w:t>Chem</w:t>
      </w:r>
      <w:r w:rsidRPr="00E306F0">
        <w:t xml:space="preserve">. </w:t>
      </w:r>
      <w:r w:rsidRPr="00E306F0">
        <w:rPr>
          <w:i/>
        </w:rPr>
        <w:t>Commun</w:t>
      </w:r>
      <w:r w:rsidRPr="00E306F0">
        <w:t xml:space="preserve">. </w:t>
      </w:r>
      <w:r w:rsidRPr="00E306F0">
        <w:rPr>
          <w:b/>
        </w:rPr>
        <w:t>2010</w:t>
      </w:r>
      <w:r w:rsidRPr="00E306F0">
        <w:t xml:space="preserve">, </w:t>
      </w:r>
      <w:r w:rsidRPr="00E306F0">
        <w:rPr>
          <w:i/>
        </w:rPr>
        <w:t>46</w:t>
      </w:r>
      <w:r w:rsidRPr="00E306F0">
        <w:t>, 8160-8162.</w:t>
      </w:r>
    </w:p>
    <w:p w:rsidR="00DE16B3" w:rsidRPr="00E306F0" w:rsidRDefault="00DE16B3" w:rsidP="00F1152E">
      <w:pPr>
        <w:pStyle w:val="References"/>
      </w:pPr>
      <w:r w:rsidRPr="00E306F0">
        <w:t>[10]</w:t>
      </w:r>
      <w:r w:rsidRPr="00E306F0">
        <w:tab/>
        <w:t xml:space="preserve">a) G. Méhes, H. Nomura, Q. Zhang, T. Nakagawa, C. Adachi, </w:t>
      </w:r>
      <w:r w:rsidRPr="00E306F0">
        <w:rPr>
          <w:i/>
        </w:rPr>
        <w:t>Angew</w:t>
      </w:r>
      <w:r w:rsidRPr="00E306F0">
        <w:t xml:space="preserve">. </w:t>
      </w:r>
      <w:r w:rsidRPr="00E306F0">
        <w:rPr>
          <w:i/>
        </w:rPr>
        <w:t>Chem</w:t>
      </w:r>
      <w:r w:rsidRPr="00E306F0">
        <w:t xml:space="preserve">. </w:t>
      </w:r>
      <w:r w:rsidRPr="00E306F0">
        <w:rPr>
          <w:i/>
        </w:rPr>
        <w:t>Int</w:t>
      </w:r>
      <w:r w:rsidRPr="00E306F0">
        <w:t xml:space="preserve">. </w:t>
      </w:r>
      <w:r w:rsidRPr="00E306F0">
        <w:rPr>
          <w:i/>
        </w:rPr>
        <w:t>Ed</w:t>
      </w:r>
      <w:r w:rsidRPr="00E306F0">
        <w:t xml:space="preserve">. </w:t>
      </w:r>
      <w:r w:rsidRPr="00E306F0">
        <w:rPr>
          <w:b/>
        </w:rPr>
        <w:t>2012</w:t>
      </w:r>
      <w:r w:rsidRPr="00E306F0">
        <w:t xml:space="preserve">, </w:t>
      </w:r>
      <w:r w:rsidRPr="00E306F0">
        <w:rPr>
          <w:i/>
        </w:rPr>
        <w:t>51</w:t>
      </w:r>
      <w:r w:rsidRPr="00E306F0">
        <w:t xml:space="preserve">, 11311-11315; for recent examples see b) </w:t>
      </w:r>
      <w:r w:rsidRPr="00E306F0">
        <w:rPr>
          <w:rFonts w:cs="ScalaSansLF-Italic"/>
          <w:iCs/>
        </w:rPr>
        <w:t xml:space="preserve">L. Ding, S.-C. Dong, Z.-Q. Jiang, H. Chen, L.-S. Liao, </w:t>
      </w:r>
      <w:r w:rsidRPr="00E306F0">
        <w:rPr>
          <w:rFonts w:cs="ScalaSansLF-Italic"/>
          <w:i/>
          <w:iCs/>
        </w:rPr>
        <w:t>Adv</w:t>
      </w:r>
      <w:r w:rsidRPr="00E306F0">
        <w:rPr>
          <w:rFonts w:cs="ScalaSansLF-Italic"/>
          <w:iCs/>
        </w:rPr>
        <w:t xml:space="preserve">. </w:t>
      </w:r>
      <w:r w:rsidRPr="00E306F0">
        <w:rPr>
          <w:rFonts w:cs="ScalaSansLF-Italic"/>
          <w:i/>
          <w:iCs/>
        </w:rPr>
        <w:t>Funct</w:t>
      </w:r>
      <w:r w:rsidRPr="00E306F0">
        <w:rPr>
          <w:rFonts w:cs="ScalaSansLF-Italic"/>
          <w:iCs/>
        </w:rPr>
        <w:t xml:space="preserve">. </w:t>
      </w:r>
      <w:r w:rsidRPr="00E306F0">
        <w:rPr>
          <w:rFonts w:cs="ScalaSansLF-Italic"/>
          <w:i/>
          <w:iCs/>
        </w:rPr>
        <w:t>Mater</w:t>
      </w:r>
      <w:r w:rsidRPr="00E306F0">
        <w:rPr>
          <w:rFonts w:cs="ScalaSansLF-Italic"/>
          <w:iCs/>
        </w:rPr>
        <w:t xml:space="preserve">. </w:t>
      </w:r>
      <w:r w:rsidRPr="00E306F0">
        <w:rPr>
          <w:rFonts w:cs="ScalaSansLF-Italic"/>
          <w:b/>
          <w:iCs/>
        </w:rPr>
        <w:t>2015</w:t>
      </w:r>
      <w:r w:rsidRPr="00E306F0">
        <w:rPr>
          <w:rFonts w:cs="ScalaSansLF-Italic"/>
          <w:iCs/>
        </w:rPr>
        <w:t xml:space="preserve">, </w:t>
      </w:r>
      <w:r w:rsidRPr="00E306F0">
        <w:rPr>
          <w:rFonts w:cs="ScalaSansLF-Italic"/>
          <w:i/>
          <w:iCs/>
        </w:rPr>
        <w:t>25</w:t>
      </w:r>
      <w:r w:rsidRPr="00E306F0">
        <w:rPr>
          <w:rFonts w:cs="ScalaSansLF-Italic"/>
          <w:iCs/>
        </w:rPr>
        <w:t>, 645</w:t>
      </w:r>
      <w:r w:rsidRPr="00E306F0">
        <w:t>-</w:t>
      </w:r>
      <w:r w:rsidRPr="00E306F0">
        <w:rPr>
          <w:rFonts w:cs="ScalaSansLF-Italic"/>
          <w:iCs/>
        </w:rPr>
        <w:t xml:space="preserve">650 </w:t>
      </w:r>
      <w:r w:rsidRPr="00E306F0">
        <w:t>and references therein.</w:t>
      </w:r>
    </w:p>
    <w:p w:rsidR="00164325" w:rsidRPr="00E306F0" w:rsidRDefault="00DE16B3" w:rsidP="00164325">
      <w:pPr>
        <w:pStyle w:val="References"/>
      </w:pPr>
      <w:r w:rsidRPr="00E306F0">
        <w:t>[11]</w:t>
      </w:r>
      <w:r w:rsidRPr="00E306F0">
        <w:tab/>
      </w:r>
      <w:r w:rsidR="00164325" w:rsidRPr="00E306F0">
        <w:t xml:space="preserve">A. Raskosova, R. Stößer, W. Abraham, </w:t>
      </w:r>
      <w:r w:rsidR="00164325" w:rsidRPr="00E306F0">
        <w:rPr>
          <w:i/>
        </w:rPr>
        <w:t>Chem</w:t>
      </w:r>
      <w:r w:rsidR="00164325" w:rsidRPr="00E306F0">
        <w:t xml:space="preserve">. </w:t>
      </w:r>
      <w:r w:rsidR="00164325" w:rsidRPr="00E306F0">
        <w:rPr>
          <w:i/>
        </w:rPr>
        <w:t>Commun</w:t>
      </w:r>
      <w:r w:rsidR="00164325" w:rsidRPr="00E306F0">
        <w:t xml:space="preserve">. </w:t>
      </w:r>
      <w:r w:rsidR="00164325" w:rsidRPr="00E306F0">
        <w:rPr>
          <w:b/>
        </w:rPr>
        <w:t>2013</w:t>
      </w:r>
      <w:r w:rsidR="00164325" w:rsidRPr="00E306F0">
        <w:t xml:space="preserve">, </w:t>
      </w:r>
      <w:r w:rsidR="00164325" w:rsidRPr="00E306F0">
        <w:rPr>
          <w:i/>
        </w:rPr>
        <w:t>49</w:t>
      </w:r>
      <w:r w:rsidR="00164325" w:rsidRPr="00E306F0">
        <w:t>, 3964-3966 and references therein.</w:t>
      </w:r>
    </w:p>
    <w:p w:rsidR="00164325" w:rsidRPr="00E306F0" w:rsidRDefault="00164325" w:rsidP="00164325">
      <w:pPr>
        <w:pStyle w:val="References"/>
      </w:pPr>
      <w:r w:rsidRPr="00E306F0">
        <w:t>[12]</w:t>
      </w:r>
      <w:r w:rsidRPr="00E306F0">
        <w:tab/>
        <w:t xml:space="preserve">a) A. A. Kulago, E. M. Mes, M. Klok, A. Meetsma, A. M. Brouwer, B. L. Feringa, </w:t>
      </w:r>
      <w:r w:rsidRPr="00E306F0">
        <w:rPr>
          <w:i/>
        </w:rPr>
        <w:t>J</w:t>
      </w:r>
      <w:r w:rsidRPr="00E306F0">
        <w:t xml:space="preserve">. </w:t>
      </w:r>
      <w:r w:rsidRPr="00E306F0">
        <w:rPr>
          <w:i/>
        </w:rPr>
        <w:t>Org</w:t>
      </w:r>
      <w:r w:rsidRPr="00E306F0">
        <w:t xml:space="preserve">. </w:t>
      </w:r>
      <w:r w:rsidRPr="00E306F0">
        <w:rPr>
          <w:i/>
        </w:rPr>
        <w:t>Chem</w:t>
      </w:r>
      <w:r w:rsidRPr="00E306F0">
        <w:t xml:space="preserve">. </w:t>
      </w:r>
      <w:r w:rsidRPr="00E306F0">
        <w:rPr>
          <w:b/>
        </w:rPr>
        <w:t>2010</w:t>
      </w:r>
      <w:r w:rsidRPr="00E306F0">
        <w:t xml:space="preserve">, </w:t>
      </w:r>
      <w:r w:rsidRPr="00E306F0">
        <w:rPr>
          <w:i/>
        </w:rPr>
        <w:t>75</w:t>
      </w:r>
      <w:r w:rsidRPr="00E306F0">
        <w:t xml:space="preserve">, 666-679; b) A. Vetter, W. Abraham, </w:t>
      </w:r>
      <w:r w:rsidRPr="00E306F0">
        <w:rPr>
          <w:i/>
        </w:rPr>
        <w:t>Org</w:t>
      </w:r>
      <w:r w:rsidRPr="00E306F0">
        <w:t xml:space="preserve">. </w:t>
      </w:r>
      <w:r w:rsidRPr="00E306F0">
        <w:rPr>
          <w:i/>
        </w:rPr>
        <w:t>Biomol</w:t>
      </w:r>
      <w:r w:rsidRPr="00E306F0">
        <w:t xml:space="preserve">. </w:t>
      </w:r>
      <w:r w:rsidRPr="00E306F0">
        <w:rPr>
          <w:i/>
        </w:rPr>
        <w:t>Chem</w:t>
      </w:r>
      <w:r w:rsidRPr="00E306F0">
        <w:t xml:space="preserve">. </w:t>
      </w:r>
      <w:r w:rsidRPr="00E306F0">
        <w:rPr>
          <w:b/>
        </w:rPr>
        <w:t>2010</w:t>
      </w:r>
      <w:r w:rsidRPr="00E306F0">
        <w:t xml:space="preserve">, </w:t>
      </w:r>
      <w:r w:rsidRPr="00E306F0">
        <w:rPr>
          <w:i/>
        </w:rPr>
        <w:t>8</w:t>
      </w:r>
      <w:r w:rsidRPr="00E306F0">
        <w:t>, 4666-4681.</w:t>
      </w:r>
    </w:p>
    <w:p w:rsidR="00164325" w:rsidRPr="00E306F0" w:rsidRDefault="00164325" w:rsidP="00164325">
      <w:pPr>
        <w:pStyle w:val="References"/>
      </w:pPr>
      <w:r w:rsidRPr="00E306F0">
        <w:t>[13]</w:t>
      </w:r>
      <w:r w:rsidRPr="00E306F0">
        <w:tab/>
        <w:t xml:space="preserve">a) D. V. Jawale, E. Gravel, N. Shah, V. Dauvois, H. Li, I. N. N. Namboothiri, E. Doris, </w:t>
      </w:r>
      <w:r w:rsidRPr="00E306F0">
        <w:rPr>
          <w:i/>
        </w:rPr>
        <w:t>Chem</w:t>
      </w:r>
      <w:r w:rsidRPr="00E306F0">
        <w:t xml:space="preserve">. </w:t>
      </w:r>
      <w:r w:rsidRPr="00E306F0">
        <w:rPr>
          <w:i/>
        </w:rPr>
        <w:t>Eur</w:t>
      </w:r>
      <w:r w:rsidRPr="00E306F0">
        <w:t xml:space="preserve">. </w:t>
      </w:r>
      <w:r w:rsidRPr="00E306F0">
        <w:rPr>
          <w:i/>
        </w:rPr>
        <w:t>J</w:t>
      </w:r>
      <w:r w:rsidRPr="00E306F0">
        <w:t xml:space="preserve">. </w:t>
      </w:r>
      <w:r w:rsidRPr="00E306F0">
        <w:rPr>
          <w:b/>
        </w:rPr>
        <w:t>2015</w:t>
      </w:r>
      <w:r w:rsidRPr="00E306F0">
        <w:t xml:space="preserve">, </w:t>
      </w:r>
      <w:r w:rsidRPr="00E306F0">
        <w:rPr>
          <w:i/>
        </w:rPr>
        <w:t>21</w:t>
      </w:r>
      <w:r w:rsidRPr="00E306F0">
        <w:t xml:space="preserve">, 7039-7042 and references therein; b) B. Zhang, Y. Cuia, N. Jiao, </w:t>
      </w:r>
      <w:r w:rsidRPr="00E306F0">
        <w:rPr>
          <w:i/>
        </w:rPr>
        <w:t>Chem</w:t>
      </w:r>
      <w:r w:rsidRPr="00E306F0">
        <w:t xml:space="preserve">. </w:t>
      </w:r>
      <w:r w:rsidRPr="00E306F0">
        <w:rPr>
          <w:i/>
        </w:rPr>
        <w:t>Commun</w:t>
      </w:r>
      <w:r w:rsidRPr="00E306F0">
        <w:t xml:space="preserve">. </w:t>
      </w:r>
      <w:r w:rsidRPr="00E306F0">
        <w:rPr>
          <w:b/>
        </w:rPr>
        <w:t>2012</w:t>
      </w:r>
      <w:r w:rsidRPr="00E306F0">
        <w:t xml:space="preserve">, </w:t>
      </w:r>
      <w:r w:rsidRPr="00E306F0">
        <w:rPr>
          <w:i/>
        </w:rPr>
        <w:t>48</w:t>
      </w:r>
      <w:r w:rsidRPr="00E306F0">
        <w:t>, 4498-4500.</w:t>
      </w:r>
    </w:p>
    <w:p w:rsidR="0053552E" w:rsidRPr="00E306F0" w:rsidRDefault="00164325" w:rsidP="0053552E">
      <w:pPr>
        <w:pStyle w:val="References"/>
      </w:pPr>
      <w:r w:rsidRPr="00E306F0">
        <w:t>[14]</w:t>
      </w:r>
      <w:r w:rsidRPr="00E306F0">
        <w:tab/>
      </w:r>
      <w:r w:rsidR="0053552E" w:rsidRPr="00E306F0">
        <w:t xml:space="preserve">a) G. Pandey, D. Jadhav, S. K. Tiwari, B. Singh, </w:t>
      </w:r>
      <w:r w:rsidR="0053552E" w:rsidRPr="00E306F0">
        <w:rPr>
          <w:i/>
        </w:rPr>
        <w:t>Adv</w:t>
      </w:r>
      <w:r w:rsidR="0053552E" w:rsidRPr="00E306F0">
        <w:t xml:space="preserve">. </w:t>
      </w:r>
      <w:r w:rsidR="0053552E" w:rsidRPr="00E306F0">
        <w:rPr>
          <w:i/>
        </w:rPr>
        <w:t>Synth</w:t>
      </w:r>
      <w:r w:rsidR="0053552E" w:rsidRPr="00E306F0">
        <w:t xml:space="preserve">. </w:t>
      </w:r>
      <w:r w:rsidR="0053552E" w:rsidRPr="00E306F0">
        <w:rPr>
          <w:i/>
        </w:rPr>
        <w:t>Catal</w:t>
      </w:r>
      <w:r w:rsidR="0053552E" w:rsidRPr="00E306F0">
        <w:t xml:space="preserve">. </w:t>
      </w:r>
      <w:r w:rsidR="0053552E" w:rsidRPr="00E306F0">
        <w:rPr>
          <w:b/>
        </w:rPr>
        <w:t>2014</w:t>
      </w:r>
      <w:r w:rsidR="0053552E" w:rsidRPr="00E306F0">
        <w:t xml:space="preserve">, </w:t>
      </w:r>
      <w:r w:rsidR="0053552E" w:rsidRPr="00E306F0">
        <w:rPr>
          <w:i/>
        </w:rPr>
        <w:t>356</w:t>
      </w:r>
      <w:r w:rsidR="0053552E" w:rsidRPr="00E306F0">
        <w:t xml:space="preserve">, 2813-2818; b) Á. Pintér, M. Klussmann, </w:t>
      </w:r>
      <w:r w:rsidR="0053552E" w:rsidRPr="00E306F0">
        <w:rPr>
          <w:i/>
        </w:rPr>
        <w:t>Adv</w:t>
      </w:r>
      <w:r w:rsidR="0053552E" w:rsidRPr="00E306F0">
        <w:t xml:space="preserve">. </w:t>
      </w:r>
      <w:r w:rsidR="0053552E" w:rsidRPr="00E306F0">
        <w:rPr>
          <w:i/>
        </w:rPr>
        <w:t>Synth</w:t>
      </w:r>
      <w:r w:rsidR="0053552E" w:rsidRPr="00E306F0">
        <w:t xml:space="preserve">. </w:t>
      </w:r>
      <w:r w:rsidR="0053552E" w:rsidRPr="00E306F0">
        <w:rPr>
          <w:i/>
        </w:rPr>
        <w:t>Catal</w:t>
      </w:r>
      <w:r w:rsidR="0053552E" w:rsidRPr="00E306F0">
        <w:t xml:space="preserve">. </w:t>
      </w:r>
      <w:r w:rsidR="0053552E" w:rsidRPr="00E306F0">
        <w:rPr>
          <w:b/>
        </w:rPr>
        <w:t>2012</w:t>
      </w:r>
      <w:r w:rsidR="0053552E" w:rsidRPr="00E306F0">
        <w:t xml:space="preserve">, </w:t>
      </w:r>
      <w:r w:rsidR="0053552E" w:rsidRPr="00E306F0">
        <w:rPr>
          <w:i/>
        </w:rPr>
        <w:t>354</w:t>
      </w:r>
      <w:r w:rsidR="0053552E" w:rsidRPr="00E306F0">
        <w:t>, 701-711.</w:t>
      </w:r>
    </w:p>
    <w:p w:rsidR="0053552E" w:rsidRPr="00E306F0" w:rsidRDefault="0053552E" w:rsidP="0053552E">
      <w:pPr>
        <w:pStyle w:val="References"/>
      </w:pPr>
      <w:r w:rsidRPr="00E306F0">
        <w:t>[15]</w:t>
      </w:r>
      <w:r w:rsidRPr="00E306F0">
        <w:tab/>
        <w:t xml:space="preserve">a) T. Stopka, L. Marzo, M. Zurro, S. Janich, E.-U. Würthwein, C. G. Daniliuc, J. Alemán, O. G. Mancheño, </w:t>
      </w:r>
      <w:r w:rsidRPr="00E306F0">
        <w:rPr>
          <w:i/>
        </w:rPr>
        <w:t>Angew</w:t>
      </w:r>
      <w:r w:rsidRPr="00E306F0">
        <w:t xml:space="preserve">. </w:t>
      </w:r>
      <w:r w:rsidRPr="00E306F0">
        <w:rPr>
          <w:i/>
        </w:rPr>
        <w:t>Chem</w:t>
      </w:r>
      <w:r w:rsidRPr="00E306F0">
        <w:t xml:space="preserve">. </w:t>
      </w:r>
      <w:r w:rsidRPr="00E306F0">
        <w:rPr>
          <w:i/>
        </w:rPr>
        <w:t>Int</w:t>
      </w:r>
      <w:r w:rsidRPr="00E306F0">
        <w:t xml:space="preserve">. </w:t>
      </w:r>
      <w:r w:rsidRPr="00E306F0">
        <w:rPr>
          <w:i/>
        </w:rPr>
        <w:t>Ed</w:t>
      </w:r>
      <w:r w:rsidRPr="00E306F0">
        <w:t xml:space="preserve">. </w:t>
      </w:r>
      <w:r w:rsidRPr="00E306F0">
        <w:rPr>
          <w:b/>
        </w:rPr>
        <w:t>2015</w:t>
      </w:r>
      <w:r w:rsidRPr="00E306F0">
        <w:t xml:space="preserve">, </w:t>
      </w:r>
      <w:r w:rsidRPr="00E306F0">
        <w:rPr>
          <w:i/>
        </w:rPr>
        <w:t>54</w:t>
      </w:r>
      <w:r w:rsidRPr="00E306F0">
        <w:t>, 5049-5053; b) H. Cho,</w:t>
      </w:r>
      <w:r w:rsidRPr="00E306F0">
        <w:rPr>
          <w:i/>
          <w:iCs/>
        </w:rPr>
        <w:t xml:space="preserve"> </w:t>
      </w:r>
      <w:r w:rsidRPr="00E306F0">
        <w:t xml:space="preserve">Y. Iwama, K. Okano, H. Tokuyama, </w:t>
      </w:r>
      <w:r w:rsidRPr="00E306F0">
        <w:rPr>
          <w:i/>
        </w:rPr>
        <w:t>Chem</w:t>
      </w:r>
      <w:r w:rsidRPr="00E306F0">
        <w:t xml:space="preserve">. </w:t>
      </w:r>
      <w:r w:rsidRPr="00E306F0">
        <w:rPr>
          <w:i/>
        </w:rPr>
        <w:t>Pharm</w:t>
      </w:r>
      <w:r w:rsidRPr="00E306F0">
        <w:t xml:space="preserve">. </w:t>
      </w:r>
      <w:r w:rsidRPr="00E306F0">
        <w:rPr>
          <w:i/>
        </w:rPr>
        <w:t>Bull</w:t>
      </w:r>
      <w:r w:rsidRPr="00E306F0">
        <w:t xml:space="preserve">. </w:t>
      </w:r>
      <w:r w:rsidRPr="00E306F0">
        <w:rPr>
          <w:b/>
        </w:rPr>
        <w:t>2014</w:t>
      </w:r>
      <w:r w:rsidRPr="00E306F0">
        <w:t xml:space="preserve">, </w:t>
      </w:r>
      <w:r w:rsidRPr="00E306F0">
        <w:rPr>
          <w:i/>
        </w:rPr>
        <w:t>62</w:t>
      </w:r>
      <w:r w:rsidRPr="00E306F0">
        <w:t>, 354-363.</w:t>
      </w:r>
    </w:p>
    <w:p w:rsidR="0053552E" w:rsidRPr="00E306F0" w:rsidRDefault="0053552E" w:rsidP="0053552E">
      <w:pPr>
        <w:pStyle w:val="References"/>
      </w:pPr>
      <w:r w:rsidRPr="00E306F0">
        <w:t>[16]</w:t>
      </w:r>
      <w:r w:rsidRPr="00E306F0">
        <w:tab/>
        <w:t xml:space="preserve">For lead references see ref 4 and: a) T. Takeda, Y. Uchimura, H. Kawai, R. Katoono, K. Fujiwarab, T. Suzuki, </w:t>
      </w:r>
      <w:r w:rsidRPr="00E306F0">
        <w:rPr>
          <w:i/>
        </w:rPr>
        <w:t>Chem</w:t>
      </w:r>
      <w:r w:rsidRPr="00E306F0">
        <w:t xml:space="preserve">. </w:t>
      </w:r>
      <w:r w:rsidRPr="00E306F0">
        <w:rPr>
          <w:i/>
        </w:rPr>
        <w:t>Commun</w:t>
      </w:r>
      <w:r w:rsidRPr="00E306F0">
        <w:t xml:space="preserve">. </w:t>
      </w:r>
      <w:r w:rsidRPr="00E306F0">
        <w:rPr>
          <w:b/>
        </w:rPr>
        <w:t>2014</w:t>
      </w:r>
      <w:r w:rsidRPr="00E306F0">
        <w:t xml:space="preserve">, </w:t>
      </w:r>
      <w:r w:rsidRPr="00E306F0">
        <w:rPr>
          <w:i/>
        </w:rPr>
        <w:t>50</w:t>
      </w:r>
      <w:r w:rsidRPr="00E306F0">
        <w:t>, 3924-3927;</w:t>
      </w:r>
      <w:r w:rsidR="00D64EFA" w:rsidRPr="00E306F0">
        <w:t xml:space="preserve"> </w:t>
      </w:r>
      <w:r w:rsidRPr="00E306F0">
        <w:t xml:space="preserve">b) A. Natrajan and D. Wen, </w:t>
      </w:r>
      <w:r w:rsidRPr="00E306F0">
        <w:rPr>
          <w:i/>
        </w:rPr>
        <w:t>Green</w:t>
      </w:r>
      <w:r w:rsidRPr="00E306F0">
        <w:t xml:space="preserve"> </w:t>
      </w:r>
      <w:r w:rsidRPr="00E306F0">
        <w:rPr>
          <w:i/>
        </w:rPr>
        <w:t>Chem</w:t>
      </w:r>
      <w:r w:rsidRPr="00E306F0">
        <w:t xml:space="preserve">. </w:t>
      </w:r>
      <w:r w:rsidRPr="00E306F0">
        <w:rPr>
          <w:i/>
        </w:rPr>
        <w:t>Lett</w:t>
      </w:r>
      <w:r w:rsidRPr="00E306F0">
        <w:t xml:space="preserve">. </w:t>
      </w:r>
      <w:r w:rsidRPr="00E306F0">
        <w:rPr>
          <w:i/>
        </w:rPr>
        <w:t>Rev</w:t>
      </w:r>
      <w:r w:rsidR="00D64EFA" w:rsidRPr="00E306F0">
        <w:t>.</w:t>
      </w:r>
      <w:r w:rsidRPr="00E306F0">
        <w:t xml:space="preserve"> </w:t>
      </w:r>
      <w:r w:rsidRPr="00E306F0">
        <w:rPr>
          <w:b/>
        </w:rPr>
        <w:t>2013</w:t>
      </w:r>
      <w:r w:rsidRPr="00E306F0">
        <w:t xml:space="preserve">, </w:t>
      </w:r>
      <w:r w:rsidRPr="00E306F0">
        <w:rPr>
          <w:i/>
        </w:rPr>
        <w:t>6</w:t>
      </w:r>
      <w:r w:rsidRPr="00E306F0">
        <w:t>, 237</w:t>
      </w:r>
      <w:r w:rsidR="00D64EFA" w:rsidRPr="00E306F0">
        <w:t>-</w:t>
      </w:r>
      <w:r w:rsidRPr="00E306F0">
        <w:t>248</w:t>
      </w:r>
      <w:r w:rsidR="00D64EFA" w:rsidRPr="00E306F0">
        <w:t xml:space="preserve">; </w:t>
      </w:r>
      <w:r w:rsidRPr="00E306F0">
        <w:t>c) A. Hernán-Gómez, E. Herd, M. Uzelac, T. Cadenbach, A. R. Kennedy, I. Borilovic, G. Aromí</w:t>
      </w:r>
      <w:r w:rsidR="00D64EFA" w:rsidRPr="00E306F0">
        <w:t>,</w:t>
      </w:r>
      <w:r w:rsidRPr="00E306F0">
        <w:t xml:space="preserve"> E. Hevia, </w:t>
      </w:r>
      <w:r w:rsidRPr="00E306F0">
        <w:rPr>
          <w:i/>
        </w:rPr>
        <w:t>Organometallics</w:t>
      </w:r>
      <w:r w:rsidRPr="00E306F0">
        <w:t xml:space="preserve"> </w:t>
      </w:r>
      <w:r w:rsidRPr="00E306F0">
        <w:rPr>
          <w:b/>
        </w:rPr>
        <w:t>2015</w:t>
      </w:r>
      <w:r w:rsidRPr="00E306F0">
        <w:t xml:space="preserve">, </w:t>
      </w:r>
      <w:r w:rsidRPr="00E306F0">
        <w:rPr>
          <w:i/>
        </w:rPr>
        <w:t>34</w:t>
      </w:r>
      <w:r w:rsidR="00D64EFA" w:rsidRPr="00E306F0">
        <w:t>, 2614-</w:t>
      </w:r>
      <w:r w:rsidRPr="00E306F0">
        <w:t>2623</w:t>
      </w:r>
      <w:r w:rsidR="00D64EFA" w:rsidRPr="00E306F0">
        <w:t xml:space="preserve">; </w:t>
      </w:r>
      <w:r w:rsidRPr="00E306F0">
        <w:t>d) T. Liang, J. Xiao, Z. Xiong</w:t>
      </w:r>
      <w:r w:rsidR="00D64EFA" w:rsidRPr="00E306F0">
        <w:t>,</w:t>
      </w:r>
      <w:r w:rsidRPr="00E306F0">
        <w:t xml:space="preserve"> X. Li, </w:t>
      </w:r>
      <w:r w:rsidRPr="00E306F0">
        <w:rPr>
          <w:i/>
        </w:rPr>
        <w:t>J</w:t>
      </w:r>
      <w:r w:rsidRPr="00E306F0">
        <w:t xml:space="preserve">. </w:t>
      </w:r>
      <w:r w:rsidRPr="00E306F0">
        <w:rPr>
          <w:i/>
        </w:rPr>
        <w:t>Org</w:t>
      </w:r>
      <w:r w:rsidRPr="00E306F0">
        <w:t xml:space="preserve">. </w:t>
      </w:r>
      <w:r w:rsidRPr="00E306F0">
        <w:rPr>
          <w:i/>
        </w:rPr>
        <w:t>Chem</w:t>
      </w:r>
      <w:r w:rsidRPr="00E306F0">
        <w:t xml:space="preserve">. </w:t>
      </w:r>
      <w:r w:rsidRPr="00E306F0">
        <w:rPr>
          <w:b/>
        </w:rPr>
        <w:t>2012</w:t>
      </w:r>
      <w:r w:rsidRPr="00E306F0">
        <w:t xml:space="preserve">, </w:t>
      </w:r>
      <w:r w:rsidRPr="00E306F0">
        <w:rPr>
          <w:i/>
        </w:rPr>
        <w:t>77</w:t>
      </w:r>
      <w:r w:rsidR="00D64EFA" w:rsidRPr="00E306F0">
        <w:t>, 3583-</w:t>
      </w:r>
      <w:r w:rsidRPr="00E306F0">
        <w:t>3588.</w:t>
      </w:r>
    </w:p>
    <w:p w:rsidR="00D64EFA" w:rsidRPr="00E306F0" w:rsidRDefault="00D64EFA" w:rsidP="00D64EFA">
      <w:pPr>
        <w:pStyle w:val="References"/>
      </w:pPr>
      <w:r w:rsidRPr="00E306F0">
        <w:t>[17]</w:t>
      </w:r>
      <w:r w:rsidRPr="00E306F0">
        <w:tab/>
        <w:t xml:space="preserve">For lead references see: a) X.-D. Han, Y.-L. Zhao, J. Meng, C.-Q. Ren, Q. Liu, </w:t>
      </w:r>
      <w:r w:rsidRPr="00E306F0">
        <w:rPr>
          <w:i/>
        </w:rPr>
        <w:t>J</w:t>
      </w:r>
      <w:r w:rsidRPr="00E306F0">
        <w:t xml:space="preserve">. </w:t>
      </w:r>
      <w:r w:rsidRPr="00E306F0">
        <w:rPr>
          <w:i/>
        </w:rPr>
        <w:t>Org</w:t>
      </w:r>
      <w:r w:rsidRPr="00E306F0">
        <w:t xml:space="preserve">. </w:t>
      </w:r>
      <w:r w:rsidRPr="00E306F0">
        <w:rPr>
          <w:i/>
        </w:rPr>
        <w:t>Chem</w:t>
      </w:r>
      <w:r w:rsidRPr="00E306F0">
        <w:t xml:space="preserve">. </w:t>
      </w:r>
      <w:r w:rsidRPr="00E306F0">
        <w:rPr>
          <w:b/>
        </w:rPr>
        <w:t>2012</w:t>
      </w:r>
      <w:r w:rsidRPr="00E306F0">
        <w:t xml:space="preserve">, </w:t>
      </w:r>
      <w:r w:rsidRPr="00E306F0">
        <w:rPr>
          <w:i/>
        </w:rPr>
        <w:t>77</w:t>
      </w:r>
      <w:r w:rsidRPr="00E306F0">
        <w:t xml:space="preserve">, 5173-5178; b) T. L. Andrew, T. M. Swager, </w:t>
      </w:r>
      <w:r w:rsidRPr="00E306F0">
        <w:rPr>
          <w:i/>
        </w:rPr>
        <w:t>J</w:t>
      </w:r>
      <w:r w:rsidRPr="00E306F0">
        <w:t xml:space="preserve">. </w:t>
      </w:r>
      <w:r w:rsidRPr="00E306F0">
        <w:rPr>
          <w:i/>
        </w:rPr>
        <w:t>Org</w:t>
      </w:r>
      <w:r w:rsidRPr="00E306F0">
        <w:t xml:space="preserve">. </w:t>
      </w:r>
      <w:r w:rsidRPr="00E306F0">
        <w:rPr>
          <w:i/>
        </w:rPr>
        <w:t>Chem</w:t>
      </w:r>
      <w:r w:rsidRPr="00E306F0">
        <w:t xml:space="preserve">. </w:t>
      </w:r>
      <w:r w:rsidRPr="00E306F0">
        <w:rPr>
          <w:b/>
        </w:rPr>
        <w:t>2011</w:t>
      </w:r>
      <w:r w:rsidRPr="00E306F0">
        <w:t xml:space="preserve">, </w:t>
      </w:r>
      <w:r w:rsidRPr="00E306F0">
        <w:rPr>
          <w:i/>
        </w:rPr>
        <w:t>76</w:t>
      </w:r>
      <w:r w:rsidRPr="00E306F0">
        <w:t>, 2976-2993.</w:t>
      </w:r>
    </w:p>
    <w:p w:rsidR="00D64EFA" w:rsidRPr="00E306F0" w:rsidRDefault="00D64EFA" w:rsidP="00D64EFA">
      <w:pPr>
        <w:pStyle w:val="References"/>
      </w:pPr>
      <w:r w:rsidRPr="00E306F0">
        <w:t>[18]</w:t>
      </w:r>
      <w:r w:rsidRPr="00E306F0">
        <w:tab/>
        <w:t xml:space="preserve">P. C. Fuenfschilling, W. Zaugg, U. Beutler, D. Kaufmann, O. Lohse, J.-P. Mutz, U. Onken, J.-L. Reber, D. Shenton, </w:t>
      </w:r>
      <w:r w:rsidRPr="00E306F0">
        <w:rPr>
          <w:i/>
        </w:rPr>
        <w:t>Org</w:t>
      </w:r>
      <w:r w:rsidRPr="00E306F0">
        <w:t xml:space="preserve">. </w:t>
      </w:r>
      <w:r w:rsidRPr="00E306F0">
        <w:rPr>
          <w:i/>
        </w:rPr>
        <w:t>Process</w:t>
      </w:r>
      <w:r w:rsidRPr="00E306F0">
        <w:t xml:space="preserve"> </w:t>
      </w:r>
      <w:r w:rsidRPr="00E306F0">
        <w:rPr>
          <w:i/>
        </w:rPr>
        <w:t>Res</w:t>
      </w:r>
      <w:r w:rsidRPr="00E306F0">
        <w:t xml:space="preserve">. </w:t>
      </w:r>
      <w:r w:rsidRPr="00E306F0">
        <w:rPr>
          <w:i/>
        </w:rPr>
        <w:t>Dev</w:t>
      </w:r>
      <w:r w:rsidRPr="00E306F0">
        <w:t xml:space="preserve">. </w:t>
      </w:r>
      <w:r w:rsidRPr="00E306F0">
        <w:rPr>
          <w:b/>
        </w:rPr>
        <w:t>2005</w:t>
      </w:r>
      <w:r w:rsidRPr="00E306F0">
        <w:t xml:space="preserve">, </w:t>
      </w:r>
      <w:r w:rsidRPr="00E306F0">
        <w:rPr>
          <w:i/>
        </w:rPr>
        <w:t>9</w:t>
      </w:r>
      <w:r w:rsidRPr="00E306F0">
        <w:t>, 272-277.</w:t>
      </w:r>
    </w:p>
    <w:p w:rsidR="00D64EFA" w:rsidRPr="00E306F0" w:rsidRDefault="00D64EFA" w:rsidP="00D64EFA">
      <w:pPr>
        <w:pStyle w:val="References"/>
        <w:rPr>
          <w:bCs/>
        </w:rPr>
      </w:pPr>
      <w:r w:rsidRPr="00E306F0">
        <w:t>[19]</w:t>
      </w:r>
      <w:r w:rsidRPr="00E306F0">
        <w:tab/>
        <w:t xml:space="preserve">a) </w:t>
      </w:r>
      <w:r w:rsidRPr="00E306F0">
        <w:rPr>
          <w:bCs/>
        </w:rPr>
        <w:t xml:space="preserve">S. F. Yip, H. Y. Cheung, Z. Zhou, F. Y. Kwong, </w:t>
      </w:r>
      <w:r w:rsidRPr="00E306F0">
        <w:rPr>
          <w:bCs/>
          <w:i/>
        </w:rPr>
        <w:t>Org</w:t>
      </w:r>
      <w:r w:rsidRPr="00E306F0">
        <w:rPr>
          <w:bCs/>
        </w:rPr>
        <w:t xml:space="preserve">. </w:t>
      </w:r>
      <w:r w:rsidRPr="00E306F0">
        <w:rPr>
          <w:bCs/>
          <w:i/>
        </w:rPr>
        <w:t>Lett</w:t>
      </w:r>
      <w:r w:rsidRPr="00E306F0">
        <w:rPr>
          <w:bCs/>
        </w:rPr>
        <w:t xml:space="preserve">. </w:t>
      </w:r>
      <w:r w:rsidRPr="00E306F0">
        <w:rPr>
          <w:b/>
          <w:bCs/>
        </w:rPr>
        <w:t>2007</w:t>
      </w:r>
      <w:r w:rsidRPr="00E306F0">
        <w:rPr>
          <w:bCs/>
        </w:rPr>
        <w:t xml:space="preserve">, </w:t>
      </w:r>
      <w:r w:rsidRPr="00E306F0">
        <w:rPr>
          <w:bCs/>
          <w:i/>
        </w:rPr>
        <w:t>9</w:t>
      </w:r>
      <w:r w:rsidRPr="00E306F0">
        <w:rPr>
          <w:bCs/>
        </w:rPr>
        <w:t>, 3469</w:t>
      </w:r>
      <w:r w:rsidRPr="00E306F0">
        <w:t>-</w:t>
      </w:r>
      <w:r w:rsidRPr="00E306F0">
        <w:rPr>
          <w:bCs/>
        </w:rPr>
        <w:t xml:space="preserve">3472; b) X. Xie, G. Cai, D. Ma, </w:t>
      </w:r>
      <w:r w:rsidRPr="00E306F0">
        <w:rPr>
          <w:bCs/>
          <w:i/>
        </w:rPr>
        <w:t>Org</w:t>
      </w:r>
      <w:r w:rsidRPr="00E306F0">
        <w:rPr>
          <w:bCs/>
        </w:rPr>
        <w:t xml:space="preserve">. </w:t>
      </w:r>
      <w:r w:rsidRPr="00E306F0">
        <w:rPr>
          <w:bCs/>
          <w:i/>
        </w:rPr>
        <w:t>Lett</w:t>
      </w:r>
      <w:r w:rsidRPr="00E306F0">
        <w:rPr>
          <w:bCs/>
        </w:rPr>
        <w:t xml:space="preserve">. </w:t>
      </w:r>
      <w:r w:rsidRPr="00E306F0">
        <w:rPr>
          <w:b/>
          <w:bCs/>
        </w:rPr>
        <w:t>2005</w:t>
      </w:r>
      <w:r w:rsidRPr="00E306F0">
        <w:rPr>
          <w:bCs/>
        </w:rPr>
        <w:t xml:space="preserve">, </w:t>
      </w:r>
      <w:r w:rsidRPr="00E306F0">
        <w:rPr>
          <w:bCs/>
          <w:i/>
        </w:rPr>
        <w:t>7</w:t>
      </w:r>
      <w:r w:rsidRPr="00E306F0">
        <w:rPr>
          <w:bCs/>
        </w:rPr>
        <w:t>, 4693</w:t>
      </w:r>
      <w:r w:rsidRPr="00E306F0">
        <w:t>-</w:t>
      </w:r>
      <w:r w:rsidRPr="00E306F0">
        <w:rPr>
          <w:bCs/>
        </w:rPr>
        <w:t xml:space="preserve">4695; c) H.-J. Cristau, P. P. Cellier, J.-F. Spindler, M. Taillefer, </w:t>
      </w:r>
      <w:r w:rsidRPr="00E306F0">
        <w:rPr>
          <w:bCs/>
          <w:i/>
        </w:rPr>
        <w:t>Chem</w:t>
      </w:r>
      <w:r w:rsidRPr="00E306F0">
        <w:rPr>
          <w:bCs/>
        </w:rPr>
        <w:t xml:space="preserve">. </w:t>
      </w:r>
      <w:r w:rsidRPr="00E306F0">
        <w:rPr>
          <w:bCs/>
          <w:i/>
        </w:rPr>
        <w:t>Eur</w:t>
      </w:r>
      <w:r w:rsidRPr="00E306F0">
        <w:rPr>
          <w:bCs/>
        </w:rPr>
        <w:t xml:space="preserve">. </w:t>
      </w:r>
      <w:r w:rsidRPr="00E306F0">
        <w:rPr>
          <w:bCs/>
          <w:i/>
        </w:rPr>
        <w:t>J</w:t>
      </w:r>
      <w:r w:rsidRPr="00E306F0">
        <w:rPr>
          <w:bCs/>
        </w:rPr>
        <w:t xml:space="preserve">. </w:t>
      </w:r>
      <w:r w:rsidRPr="00E306F0">
        <w:rPr>
          <w:b/>
          <w:bCs/>
        </w:rPr>
        <w:t>2004</w:t>
      </w:r>
      <w:r w:rsidRPr="00E306F0">
        <w:rPr>
          <w:bCs/>
        </w:rPr>
        <w:t xml:space="preserve">, </w:t>
      </w:r>
      <w:r w:rsidRPr="00E306F0">
        <w:rPr>
          <w:bCs/>
          <w:i/>
        </w:rPr>
        <w:t>10</w:t>
      </w:r>
      <w:r w:rsidRPr="00E306F0">
        <w:rPr>
          <w:bCs/>
        </w:rPr>
        <w:t xml:space="preserve">, 5607-5622; d) E. J. Hennessy, S. L. Buchwald, </w:t>
      </w:r>
      <w:r w:rsidRPr="00E306F0">
        <w:rPr>
          <w:bCs/>
          <w:i/>
        </w:rPr>
        <w:t>Org</w:t>
      </w:r>
      <w:r w:rsidRPr="00E306F0">
        <w:rPr>
          <w:bCs/>
        </w:rPr>
        <w:t xml:space="preserve">. </w:t>
      </w:r>
      <w:r w:rsidRPr="00E306F0">
        <w:rPr>
          <w:bCs/>
          <w:i/>
        </w:rPr>
        <w:t>Lett</w:t>
      </w:r>
      <w:r w:rsidRPr="00E306F0">
        <w:rPr>
          <w:bCs/>
        </w:rPr>
        <w:t xml:space="preserve">. </w:t>
      </w:r>
      <w:r w:rsidRPr="00E306F0">
        <w:rPr>
          <w:b/>
          <w:bCs/>
        </w:rPr>
        <w:t>2002</w:t>
      </w:r>
      <w:r w:rsidRPr="00E306F0">
        <w:rPr>
          <w:bCs/>
        </w:rPr>
        <w:t xml:space="preserve">, </w:t>
      </w:r>
      <w:r w:rsidRPr="00E306F0">
        <w:rPr>
          <w:bCs/>
          <w:i/>
        </w:rPr>
        <w:t>4</w:t>
      </w:r>
      <w:r w:rsidRPr="00E306F0">
        <w:rPr>
          <w:bCs/>
        </w:rPr>
        <w:t>, 269</w:t>
      </w:r>
      <w:r w:rsidRPr="00E306F0">
        <w:t>-</w:t>
      </w:r>
      <w:r w:rsidRPr="00E306F0">
        <w:rPr>
          <w:bCs/>
        </w:rPr>
        <w:t>272.</w:t>
      </w:r>
    </w:p>
    <w:p w:rsidR="00D64EFA" w:rsidRPr="00E306F0" w:rsidRDefault="00D64EFA" w:rsidP="00D64EFA">
      <w:pPr>
        <w:pStyle w:val="References"/>
        <w:rPr>
          <w:bCs/>
        </w:rPr>
      </w:pPr>
      <w:r w:rsidRPr="00E306F0">
        <w:rPr>
          <w:bCs/>
        </w:rPr>
        <w:t>[20]</w:t>
      </w:r>
      <w:r w:rsidRPr="00E306F0">
        <w:rPr>
          <w:bCs/>
        </w:rPr>
        <w:tab/>
        <w:t xml:space="preserve">Z. Liu, R. C. Larock, </w:t>
      </w:r>
      <w:r w:rsidRPr="00E306F0">
        <w:rPr>
          <w:bCs/>
          <w:i/>
          <w:iCs/>
        </w:rPr>
        <w:t>J</w:t>
      </w:r>
      <w:r w:rsidRPr="00E306F0">
        <w:rPr>
          <w:bCs/>
          <w:iCs/>
        </w:rPr>
        <w:t>.</w:t>
      </w:r>
      <w:r w:rsidRPr="00E306F0">
        <w:rPr>
          <w:bCs/>
          <w:i/>
          <w:iCs/>
        </w:rPr>
        <w:t xml:space="preserve"> Org</w:t>
      </w:r>
      <w:r w:rsidRPr="00E306F0">
        <w:rPr>
          <w:bCs/>
          <w:iCs/>
        </w:rPr>
        <w:t>.</w:t>
      </w:r>
      <w:r w:rsidRPr="00E306F0">
        <w:rPr>
          <w:bCs/>
          <w:i/>
          <w:iCs/>
        </w:rPr>
        <w:t xml:space="preserve"> Chem</w:t>
      </w:r>
      <w:r w:rsidRPr="00E306F0">
        <w:rPr>
          <w:bCs/>
          <w:iCs/>
        </w:rPr>
        <w:t>.</w:t>
      </w:r>
      <w:r w:rsidRPr="00E306F0">
        <w:rPr>
          <w:bCs/>
          <w:i/>
          <w:iCs/>
        </w:rPr>
        <w:t xml:space="preserve"> </w:t>
      </w:r>
      <w:r w:rsidRPr="00E306F0">
        <w:rPr>
          <w:b/>
          <w:bCs/>
        </w:rPr>
        <w:t>2006</w:t>
      </w:r>
      <w:r w:rsidRPr="00E306F0">
        <w:rPr>
          <w:bCs/>
        </w:rPr>
        <w:t xml:space="preserve">, </w:t>
      </w:r>
      <w:r w:rsidRPr="00E306F0">
        <w:rPr>
          <w:bCs/>
          <w:i/>
          <w:iCs/>
        </w:rPr>
        <w:t>71</w:t>
      </w:r>
      <w:r w:rsidRPr="00E306F0">
        <w:rPr>
          <w:bCs/>
        </w:rPr>
        <w:t>, 3198-3209.</w:t>
      </w:r>
    </w:p>
    <w:p w:rsidR="00D64EFA" w:rsidRPr="00E306F0" w:rsidRDefault="00D64EFA" w:rsidP="00D64EFA">
      <w:pPr>
        <w:pStyle w:val="References"/>
        <w:rPr>
          <w:bCs/>
        </w:rPr>
      </w:pPr>
      <w:r w:rsidRPr="00E306F0">
        <w:rPr>
          <w:bCs/>
        </w:rPr>
        <w:t>[21]</w:t>
      </w:r>
      <w:r w:rsidRPr="00E306F0">
        <w:rPr>
          <w:bCs/>
        </w:rPr>
        <w:tab/>
        <w:t xml:space="preserve">J. M. Fox, X. Huang, A. Chieffi, S. L. Buchwald, </w:t>
      </w:r>
      <w:r w:rsidRPr="00E306F0">
        <w:rPr>
          <w:bCs/>
          <w:i/>
        </w:rPr>
        <w:t>J</w:t>
      </w:r>
      <w:r w:rsidRPr="00E306F0">
        <w:rPr>
          <w:bCs/>
        </w:rPr>
        <w:t xml:space="preserve">. </w:t>
      </w:r>
      <w:r w:rsidRPr="00E306F0">
        <w:rPr>
          <w:bCs/>
          <w:i/>
        </w:rPr>
        <w:t>Am</w:t>
      </w:r>
      <w:r w:rsidRPr="00E306F0">
        <w:rPr>
          <w:bCs/>
        </w:rPr>
        <w:t xml:space="preserve">. </w:t>
      </w:r>
      <w:r w:rsidRPr="00E306F0">
        <w:rPr>
          <w:bCs/>
          <w:i/>
        </w:rPr>
        <w:t>Chem</w:t>
      </w:r>
      <w:r w:rsidRPr="00E306F0">
        <w:rPr>
          <w:bCs/>
        </w:rPr>
        <w:t xml:space="preserve">. </w:t>
      </w:r>
      <w:r w:rsidRPr="00E306F0">
        <w:rPr>
          <w:bCs/>
          <w:i/>
        </w:rPr>
        <w:t>Soc</w:t>
      </w:r>
      <w:r w:rsidRPr="00E306F0">
        <w:rPr>
          <w:bCs/>
        </w:rPr>
        <w:t xml:space="preserve">. </w:t>
      </w:r>
      <w:r w:rsidRPr="00E306F0">
        <w:rPr>
          <w:b/>
          <w:bCs/>
        </w:rPr>
        <w:t>2000</w:t>
      </w:r>
      <w:r w:rsidRPr="00E306F0">
        <w:rPr>
          <w:bCs/>
        </w:rPr>
        <w:t xml:space="preserve">, </w:t>
      </w:r>
      <w:r w:rsidRPr="00E306F0">
        <w:rPr>
          <w:bCs/>
          <w:i/>
        </w:rPr>
        <w:t>122</w:t>
      </w:r>
      <w:r w:rsidRPr="00E306F0">
        <w:rPr>
          <w:bCs/>
        </w:rPr>
        <w:t>, 1360-1370.</w:t>
      </w:r>
    </w:p>
    <w:p w:rsidR="00D64EFA" w:rsidRPr="00E306F0" w:rsidRDefault="00D64EFA" w:rsidP="00D64EFA">
      <w:pPr>
        <w:pStyle w:val="References"/>
        <w:rPr>
          <w:bCs/>
        </w:rPr>
      </w:pPr>
      <w:r w:rsidRPr="00E306F0">
        <w:rPr>
          <w:bCs/>
        </w:rPr>
        <w:t>[22]</w:t>
      </w:r>
      <w:r w:rsidRPr="00E306F0">
        <w:rPr>
          <w:bCs/>
        </w:rPr>
        <w:tab/>
        <w:t xml:space="preserve">K. Oda, M. Akita, S. Hiroto, H. Shinokubo, </w:t>
      </w:r>
      <w:r w:rsidRPr="00E306F0">
        <w:rPr>
          <w:bCs/>
          <w:i/>
        </w:rPr>
        <w:t>Org</w:t>
      </w:r>
      <w:r w:rsidRPr="00E306F0">
        <w:rPr>
          <w:bCs/>
        </w:rPr>
        <w:t xml:space="preserve">. </w:t>
      </w:r>
      <w:r w:rsidRPr="00E306F0">
        <w:rPr>
          <w:bCs/>
          <w:i/>
        </w:rPr>
        <w:t>Lett</w:t>
      </w:r>
      <w:r w:rsidRPr="00E306F0">
        <w:rPr>
          <w:bCs/>
        </w:rPr>
        <w:t xml:space="preserve">. </w:t>
      </w:r>
      <w:r w:rsidRPr="00E306F0">
        <w:rPr>
          <w:b/>
          <w:bCs/>
        </w:rPr>
        <w:t>2014</w:t>
      </w:r>
      <w:r w:rsidRPr="00E306F0">
        <w:rPr>
          <w:bCs/>
        </w:rPr>
        <w:t xml:space="preserve">, </w:t>
      </w:r>
      <w:r w:rsidRPr="00E306F0">
        <w:rPr>
          <w:bCs/>
          <w:i/>
        </w:rPr>
        <w:t>16</w:t>
      </w:r>
      <w:r w:rsidRPr="00E306F0">
        <w:rPr>
          <w:bCs/>
        </w:rPr>
        <w:t>, 1818-1821.</w:t>
      </w:r>
    </w:p>
    <w:p w:rsidR="00773C4B" w:rsidRPr="00E306F0" w:rsidRDefault="00773C4B" w:rsidP="00773C4B">
      <w:pPr>
        <w:rPr>
          <w:lang w:val="en-GB"/>
        </w:rPr>
      </w:pPr>
    </w:p>
    <w:p w:rsidR="00773C4B" w:rsidRPr="00E306F0" w:rsidRDefault="00773C4B" w:rsidP="00773C4B">
      <w:pPr>
        <w:rPr>
          <w:lang w:val="en-GB"/>
        </w:rPr>
        <w:sectPr w:rsidR="00773C4B" w:rsidRPr="00E306F0">
          <w:type w:val="continuous"/>
          <w:pgSz w:w="11906" w:h="16838" w:code="9"/>
          <w:pgMar w:top="1673" w:right="936" w:bottom="1134" w:left="936" w:header="709" w:footer="709" w:gutter="0"/>
          <w:cols w:num="2" w:space="284"/>
          <w:docGrid w:linePitch="360"/>
        </w:sectPr>
      </w:pPr>
    </w:p>
    <w:p w:rsidR="00773C4B" w:rsidRPr="00E306F0" w:rsidRDefault="00773C4B" w:rsidP="00773C4B">
      <w:pPr>
        <w:rPr>
          <w:bCs/>
          <w:lang w:val="en-GB"/>
        </w:rPr>
      </w:pPr>
    </w:p>
    <w:p w:rsidR="00773C4B" w:rsidRPr="00E306F0" w:rsidRDefault="00773C4B" w:rsidP="00773C4B">
      <w:pPr>
        <w:rPr>
          <w:bCs/>
          <w:lang w:val="en-GB"/>
        </w:rPr>
        <w:sectPr w:rsidR="00773C4B" w:rsidRPr="00E306F0">
          <w:type w:val="continuous"/>
          <w:pgSz w:w="11906" w:h="16838" w:code="9"/>
          <w:pgMar w:top="1134" w:right="936" w:bottom="1134" w:left="936" w:header="1021" w:footer="0" w:gutter="0"/>
          <w:cols w:num="2" w:space="284"/>
          <w:docGrid w:linePitch="360"/>
        </w:sectPr>
      </w:pPr>
    </w:p>
    <w:p w:rsidR="00773C4B" w:rsidRPr="00E306F0" w:rsidRDefault="00773C4B" w:rsidP="00773C4B">
      <w:pPr>
        <w:rPr>
          <w:bCs/>
          <w:lang w:val="en-GB"/>
        </w:rPr>
      </w:pPr>
    </w:p>
    <w:p w:rsidR="00A8458D" w:rsidRPr="00E306F0" w:rsidRDefault="00A8458D" w:rsidP="00A8458D">
      <w:pPr>
        <w:rPr>
          <w:b/>
          <w:lang w:val="en-GB"/>
        </w:rPr>
      </w:pPr>
      <w:r w:rsidRPr="00E306F0">
        <w:rPr>
          <w:b/>
          <w:lang w:val="en-GB"/>
        </w:rPr>
        <w:t>Entry for the Table of Contents</w:t>
      </w:r>
      <w:r w:rsidRPr="00E306F0">
        <w:rPr>
          <w:lang w:val="en-GB"/>
        </w:rPr>
        <w:t xml:space="preserve"> (Please choose one layout)</w:t>
      </w:r>
    </w:p>
    <w:p w:rsidR="00A8458D" w:rsidRPr="00E306F0" w:rsidRDefault="00A8458D" w:rsidP="00A8458D">
      <w:pPr>
        <w:rPr>
          <w:b/>
          <w:lang w:val="en-GB"/>
        </w:rPr>
      </w:pPr>
    </w:p>
    <w:p w:rsidR="00A8458D" w:rsidRPr="00E306F0" w:rsidRDefault="00A8458D" w:rsidP="00A8458D">
      <w:pPr>
        <w:spacing w:after="240"/>
        <w:rPr>
          <w:lang w:val="en-GB"/>
        </w:rPr>
      </w:pPr>
      <w:r w:rsidRPr="00E306F0">
        <w:rPr>
          <w:lang w:val="en-GB"/>
        </w:rPr>
        <w:t>Layout 1:</w:t>
      </w:r>
    </w:p>
    <w:p w:rsidR="00A8458D" w:rsidRPr="00E306F0" w:rsidRDefault="00A8458D" w:rsidP="00A8458D">
      <w:pPr>
        <w:rPr>
          <w:lang w:val="en-GB"/>
        </w:rPr>
      </w:pPr>
    </w:p>
    <w:tbl>
      <w:tblPr>
        <w:tblW w:w="10093" w:type="dxa"/>
        <w:tblLook w:val="01E0" w:firstRow="1" w:lastRow="1" w:firstColumn="1" w:lastColumn="1" w:noHBand="0" w:noVBand="0"/>
      </w:tblPr>
      <w:tblGrid>
        <w:gridCol w:w="3118"/>
        <w:gridCol w:w="284"/>
        <w:gridCol w:w="3118"/>
        <w:gridCol w:w="284"/>
        <w:gridCol w:w="3289"/>
      </w:tblGrid>
      <w:tr w:rsidR="00A8458D" w:rsidRPr="00E306F0">
        <w:trPr>
          <w:trHeight w:hRule="exact" w:val="340"/>
        </w:trPr>
        <w:tc>
          <w:tcPr>
            <w:tcW w:w="10093" w:type="dxa"/>
            <w:gridSpan w:val="5"/>
            <w:tcBorders>
              <w:bottom w:val="single" w:sz="36" w:space="0" w:color="BFBFBF"/>
            </w:tcBorders>
            <w:shd w:val="clear" w:color="auto" w:fill="auto"/>
          </w:tcPr>
          <w:p w:rsidR="00A8458D" w:rsidRPr="00E306F0" w:rsidRDefault="00A8458D" w:rsidP="003B6C60">
            <w:pPr>
              <w:pStyle w:val="ColumnTitleTOC"/>
            </w:pPr>
            <w:r w:rsidRPr="00E306F0">
              <w:t>COMMUNICATION</w:t>
            </w:r>
          </w:p>
        </w:tc>
      </w:tr>
      <w:tr w:rsidR="00A8458D" w:rsidRPr="00E306F0">
        <w:trPr>
          <w:trHeight w:val="340"/>
        </w:trPr>
        <w:tc>
          <w:tcPr>
            <w:tcW w:w="3118" w:type="dxa"/>
            <w:vMerge w:val="restart"/>
            <w:tcBorders>
              <w:top w:val="single" w:sz="36" w:space="0" w:color="BFBFBF"/>
            </w:tcBorders>
            <w:shd w:val="clear" w:color="auto" w:fill="auto"/>
          </w:tcPr>
          <w:p w:rsidR="00A8458D" w:rsidRPr="00E306F0" w:rsidRDefault="00A8458D" w:rsidP="003B6C60">
            <w:pPr>
              <w:pStyle w:val="TableOfContentText"/>
            </w:pPr>
            <w:r w:rsidRPr="00E306F0">
              <w:t>Text for Table of Contents</w:t>
            </w:r>
          </w:p>
        </w:tc>
        <w:tc>
          <w:tcPr>
            <w:tcW w:w="284" w:type="dxa"/>
            <w:tcBorders>
              <w:top w:val="single" w:sz="36" w:space="0" w:color="BFBFBF"/>
            </w:tcBorders>
            <w:shd w:val="clear" w:color="auto" w:fill="auto"/>
          </w:tcPr>
          <w:p w:rsidR="00A8458D" w:rsidRPr="00E306F0" w:rsidRDefault="00A8458D" w:rsidP="003B6C60">
            <w:pPr>
              <w:rPr>
                <w:lang w:val="en-GB"/>
              </w:rPr>
            </w:pPr>
          </w:p>
        </w:tc>
        <w:tc>
          <w:tcPr>
            <w:tcW w:w="3118" w:type="dxa"/>
            <w:vMerge w:val="restart"/>
            <w:tcBorders>
              <w:top w:val="single" w:sz="36" w:space="0" w:color="BFBFBF"/>
            </w:tcBorders>
            <w:shd w:val="clear" w:color="auto" w:fill="auto"/>
          </w:tcPr>
          <w:p w:rsidR="00A8458D" w:rsidRPr="00E306F0" w:rsidRDefault="00ED29CD" w:rsidP="003B6C60">
            <w:pPr>
              <w:rPr>
                <w:lang w:val="en-GB"/>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97790</wp:posOffset>
                      </wp:positionV>
                      <wp:extent cx="1590040" cy="1485900"/>
                      <wp:effectExtent l="0" t="0" r="4445" b="0"/>
                      <wp:wrapNone/>
                      <wp:docPr id="14" name="Rectangle 35" descr="Text Box: ((Insert TOC Graphic here: max. width: 5.5 cm; max. height: 5.0 c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14859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DBD" w:rsidRPr="00AA4EE1" w:rsidRDefault="00365DBD" w:rsidP="00A8458D">
                                  <w:pPr>
                                    <w:spacing w:before="1200"/>
                                    <w:jc w:val="center"/>
                                    <w:rPr>
                                      <w:sz w:val="18"/>
                                      <w:lang w:val="en-US"/>
                                    </w:rPr>
                                  </w:pPr>
                                  <w:r w:rsidRPr="00AA4EE1">
                                    <w:rPr>
                                      <w:sz w:val="18"/>
                                      <w:lang w:val="en-US"/>
                                    </w:rPr>
                                    <w:t>((Insert TOC Graphic here: max. width: 5.5 cm; max. height: 5.0 cm</w:t>
                                  </w:r>
                                  <w:r>
                                    <w:rPr>
                                      <w:sz w:val="18"/>
                                      <w:lang w:val="en-US"/>
                                    </w:rPr>
                                    <w:t>; NOTE: the final letter height should not be less than 2 mm.</w:t>
                                  </w:r>
                                  <w:r w:rsidRPr="00AA4EE1">
                                    <w:rPr>
                                      <w:sz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alt="Text Box: ((Insert TOC Graphic here: max. width: 5.5 cm; max. height: 5.0 cm))" style="position:absolute;margin-left:-5.3pt;margin-top:7.7pt;width:125.2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" fillcolor="#eaeaea" stroked="f">
                      <v:textbox>
                        <w:txbxContent>
                          <w:p w:rsidR="00365DBD" w:rsidRPr="00AA4EE1" w:rsidRDefault="00365DBD" w:rsidP="00A8458D">
                            <w:pPr>
                              <w:spacing w:before="1200"/>
                              <w:jc w:val="center"/>
                              <w:rPr>
                                <w:sz w:val="18"/>
                                <w:lang w:val="en-US"/>
                              </w:rPr>
                            </w:pPr>
                            <w:r w:rsidRPr="00AA4EE1">
                              <w:rPr>
                                <w:sz w:val="18"/>
                                <w:lang w:val="en-US"/>
                              </w:rPr>
                              <w:t>((Insert TOC Graphic here: max. width: 5.5 cm; max. height: 5.0 cm</w:t>
                            </w:r>
                            <w:r>
                              <w:rPr>
                                <w:sz w:val="18"/>
                                <w:lang w:val="en-US"/>
                              </w:rPr>
                              <w:t>; NOTE: the final letter height should not be less than 2 mm.</w:t>
                            </w:r>
                            <w:r w:rsidRPr="00AA4EE1">
                              <w:rPr>
                                <w:sz w:val="18"/>
                                <w:lang w:val="en-US"/>
                              </w:rPr>
                              <w:t>))</w:t>
                            </w:r>
                          </w:p>
                        </w:txbxContent>
                      </v:textbox>
                    </v:rect>
                  </w:pict>
                </mc:Fallback>
              </mc:AlternateContent>
            </w:r>
          </w:p>
        </w:tc>
        <w:tc>
          <w:tcPr>
            <w:tcW w:w="284" w:type="dxa"/>
            <w:tcBorders>
              <w:top w:val="single" w:sz="36" w:space="0" w:color="BFBFBF"/>
            </w:tcBorders>
            <w:shd w:val="clear" w:color="auto" w:fill="auto"/>
          </w:tcPr>
          <w:p w:rsidR="00A8458D" w:rsidRPr="00E306F0" w:rsidRDefault="00A8458D" w:rsidP="003B6C60">
            <w:pPr>
              <w:rPr>
                <w:lang w:val="en-GB"/>
              </w:rPr>
            </w:pPr>
          </w:p>
        </w:tc>
        <w:tc>
          <w:tcPr>
            <w:tcW w:w="3289" w:type="dxa"/>
            <w:vMerge w:val="restart"/>
            <w:tcBorders>
              <w:top w:val="single" w:sz="36" w:space="0" w:color="BFBFBF"/>
            </w:tcBorders>
            <w:shd w:val="clear" w:color="auto" w:fill="auto"/>
          </w:tcPr>
          <w:p w:rsidR="004318ED" w:rsidRPr="00E306F0" w:rsidRDefault="004318ED" w:rsidP="004318ED">
            <w:pPr>
              <w:pStyle w:val="TitleTOC"/>
            </w:pPr>
            <w:r w:rsidRPr="00E306F0">
              <w:t>Key Topic*</w:t>
            </w:r>
          </w:p>
          <w:p w:rsidR="00A8458D" w:rsidRPr="00E306F0" w:rsidRDefault="00A8458D" w:rsidP="003B6C60">
            <w:pPr>
              <w:pStyle w:val="AuthorsTOC"/>
            </w:pPr>
            <w:r w:rsidRPr="00E306F0">
              <w:t>Auth</w:t>
            </w:r>
            <w:r w:rsidR="001332DF" w:rsidRPr="00E306F0">
              <w:t>or(s), Corresponding Author(s)*</w:t>
            </w:r>
          </w:p>
          <w:p w:rsidR="00A8458D" w:rsidRPr="00E306F0" w:rsidRDefault="00A8458D" w:rsidP="003B6C60">
            <w:pPr>
              <w:pStyle w:val="PageNumbers"/>
              <w:rPr>
                <w:lang w:val="en-GB"/>
              </w:rPr>
            </w:pPr>
            <w:r w:rsidRPr="00E306F0">
              <w:rPr>
                <w:lang w:val="en-GB"/>
              </w:rPr>
              <w:t>Page No. – Page No.</w:t>
            </w:r>
          </w:p>
          <w:p w:rsidR="00A8458D" w:rsidRPr="00E306F0" w:rsidRDefault="00A8458D" w:rsidP="003B6C60">
            <w:pPr>
              <w:pStyle w:val="TitleTOC"/>
              <w:framePr w:hSpace="141" w:wrap="around" w:vAnchor="page" w:hAnchor="margin" w:y="1504"/>
            </w:pPr>
            <w:r w:rsidRPr="00E306F0">
              <w:t>Title</w:t>
            </w:r>
          </w:p>
          <w:p w:rsidR="00A8458D" w:rsidRPr="00E306F0" w:rsidRDefault="00A8458D" w:rsidP="003B6C60">
            <w:pPr>
              <w:framePr w:hSpace="141" w:wrap="around" w:vAnchor="page" w:hAnchor="margin" w:y="1504"/>
              <w:rPr>
                <w:lang w:val="en-GB"/>
              </w:rPr>
            </w:pPr>
          </w:p>
        </w:tc>
      </w:tr>
      <w:tr w:rsidR="00A8458D" w:rsidRPr="00E306F0">
        <w:trPr>
          <w:trHeight w:hRule="exact" w:val="2796"/>
        </w:trPr>
        <w:tc>
          <w:tcPr>
            <w:tcW w:w="3118" w:type="dxa"/>
            <w:vMerge/>
            <w:shd w:val="clear" w:color="auto" w:fill="auto"/>
          </w:tcPr>
          <w:p w:rsidR="00A8458D" w:rsidRPr="00E306F0" w:rsidRDefault="00A8458D" w:rsidP="003B6C60">
            <w:pPr>
              <w:rPr>
                <w:lang w:val="en-GB"/>
              </w:rPr>
            </w:pPr>
          </w:p>
        </w:tc>
        <w:tc>
          <w:tcPr>
            <w:tcW w:w="284" w:type="dxa"/>
            <w:shd w:val="clear" w:color="auto" w:fill="auto"/>
          </w:tcPr>
          <w:p w:rsidR="00A8458D" w:rsidRPr="00E306F0" w:rsidRDefault="00A8458D" w:rsidP="003B6C60">
            <w:pPr>
              <w:rPr>
                <w:lang w:val="en-GB"/>
              </w:rPr>
            </w:pPr>
          </w:p>
        </w:tc>
        <w:tc>
          <w:tcPr>
            <w:tcW w:w="3118" w:type="dxa"/>
            <w:vMerge/>
            <w:shd w:val="clear" w:color="auto" w:fill="auto"/>
          </w:tcPr>
          <w:p w:rsidR="00A8458D" w:rsidRPr="00E306F0" w:rsidRDefault="00A8458D" w:rsidP="003B6C60">
            <w:pPr>
              <w:rPr>
                <w:lang w:val="en-GB"/>
              </w:rPr>
            </w:pPr>
          </w:p>
        </w:tc>
        <w:tc>
          <w:tcPr>
            <w:tcW w:w="284" w:type="dxa"/>
            <w:shd w:val="clear" w:color="auto" w:fill="auto"/>
          </w:tcPr>
          <w:p w:rsidR="00A8458D" w:rsidRPr="00E306F0" w:rsidRDefault="00A8458D" w:rsidP="003B6C60">
            <w:pPr>
              <w:rPr>
                <w:lang w:val="en-GB"/>
              </w:rPr>
            </w:pPr>
          </w:p>
        </w:tc>
        <w:tc>
          <w:tcPr>
            <w:tcW w:w="3289" w:type="dxa"/>
            <w:vMerge/>
            <w:shd w:val="clear" w:color="auto" w:fill="auto"/>
          </w:tcPr>
          <w:p w:rsidR="00A8458D" w:rsidRPr="00E306F0" w:rsidRDefault="00A8458D" w:rsidP="003B6C60">
            <w:pPr>
              <w:rPr>
                <w:lang w:val="en-GB"/>
              </w:rPr>
            </w:pPr>
          </w:p>
        </w:tc>
      </w:tr>
    </w:tbl>
    <w:p w:rsidR="00A8458D" w:rsidRPr="00E306F0" w:rsidRDefault="004318ED" w:rsidP="00A8458D">
      <w:pPr>
        <w:rPr>
          <w:lang w:val="en-GB"/>
        </w:rPr>
      </w:pPr>
      <w:r w:rsidRPr="00E306F0">
        <w:rPr>
          <w:rFonts w:ascii="Arial" w:hAnsi="Arial" w:cs="Arial"/>
          <w:sz w:val="18"/>
          <w:lang w:val="en-GB"/>
        </w:rPr>
        <w:t>*</w:t>
      </w:r>
      <w:r w:rsidRPr="00E306F0">
        <w:rPr>
          <w:rFonts w:ascii="Arial" w:hAnsi="Arial" w:cs="Arial"/>
          <w:sz w:val="18"/>
          <w:lang w:val="en-US"/>
        </w:rPr>
        <w:t>one or two words that highlight the emphasis of the paper or the field of the study</w:t>
      </w:r>
    </w:p>
    <w:p w:rsidR="00A8458D" w:rsidRPr="00E306F0" w:rsidRDefault="00A8458D" w:rsidP="00A8458D">
      <w:pPr>
        <w:rPr>
          <w:lang w:val="en-GB"/>
        </w:rPr>
      </w:pPr>
    </w:p>
    <w:p w:rsidR="00A8458D" w:rsidRPr="00E306F0" w:rsidRDefault="00A8458D" w:rsidP="00A8458D">
      <w:pPr>
        <w:spacing w:after="240"/>
        <w:rPr>
          <w:lang w:val="en-GB"/>
        </w:rPr>
      </w:pPr>
      <w:r w:rsidRPr="00E306F0">
        <w:rPr>
          <w:lang w:val="en-GB"/>
        </w:rPr>
        <w:t>Layout 2:</w:t>
      </w:r>
    </w:p>
    <w:tbl>
      <w:tblPr>
        <w:tblW w:w="10093" w:type="dxa"/>
        <w:tblLayout w:type="fixed"/>
        <w:tblLook w:val="01E0" w:firstRow="1" w:lastRow="1" w:firstColumn="1" w:lastColumn="1" w:noHBand="0" w:noVBand="0"/>
      </w:tblPr>
      <w:tblGrid>
        <w:gridCol w:w="6520"/>
        <w:gridCol w:w="284"/>
        <w:gridCol w:w="3289"/>
      </w:tblGrid>
      <w:tr w:rsidR="00A8458D" w:rsidRPr="00E306F0">
        <w:trPr>
          <w:trHeight w:hRule="exact" w:val="340"/>
        </w:trPr>
        <w:tc>
          <w:tcPr>
            <w:tcW w:w="10093" w:type="dxa"/>
            <w:gridSpan w:val="3"/>
            <w:tcBorders>
              <w:bottom w:val="single" w:sz="36" w:space="0" w:color="BFBFBF"/>
            </w:tcBorders>
            <w:shd w:val="clear" w:color="auto" w:fill="auto"/>
          </w:tcPr>
          <w:p w:rsidR="00A8458D" w:rsidRPr="00E306F0" w:rsidRDefault="00A8458D" w:rsidP="003B6C60">
            <w:pPr>
              <w:pStyle w:val="ColumnTitleTOC"/>
            </w:pPr>
            <w:r w:rsidRPr="00E306F0">
              <w:t>COMMUNICATION</w:t>
            </w:r>
          </w:p>
        </w:tc>
      </w:tr>
      <w:tr w:rsidR="00A8458D">
        <w:trPr>
          <w:trHeight w:val="340"/>
        </w:trPr>
        <w:tc>
          <w:tcPr>
            <w:tcW w:w="6520" w:type="dxa"/>
            <w:vMerge w:val="restart"/>
            <w:tcBorders>
              <w:top w:val="single" w:sz="36" w:space="0" w:color="BFBFBF"/>
            </w:tcBorders>
            <w:shd w:val="clear" w:color="auto" w:fill="auto"/>
          </w:tcPr>
          <w:p w:rsidR="00A8458D" w:rsidRPr="00E306F0" w:rsidRDefault="00037C07" w:rsidP="00037C07">
            <w:pPr>
              <w:pStyle w:val="TableOfContentText"/>
              <w:spacing w:before="1680"/>
            </w:pPr>
            <w:r w:rsidRPr="00E306F0">
              <w:rPr>
                <w:lang w:val="de-DE"/>
              </w:rPr>
              <w:t xml:space="preserve">The synthesis of acridanes and related compounds via the Cu-catalysed oxidative cyclisation of simple linear precursors is described. A one-pot protocol involving </w:t>
            </w:r>
            <w:r w:rsidRPr="00E306F0">
              <w:rPr>
                <w:rFonts w:cs="Arial"/>
                <w:lang w:val="de-DE"/>
              </w:rPr>
              <w:t>α</w:t>
            </w:r>
            <w:r w:rsidRPr="00E306F0">
              <w:rPr>
                <w:lang w:val="de-DE"/>
              </w:rPr>
              <w:t>-arylation of diethyl malonate with a 2-bromodiarylamine under Pd-catalysis, followed by the subsequent Cu-catalysed cyclisation is also demonstrated</w:t>
            </w:r>
            <w:r w:rsidR="008912ED" w:rsidRPr="00E306F0">
              <w:rPr>
                <w:lang w:val="de-DE"/>
              </w:rPr>
              <w:t>.</w:t>
            </w:r>
            <w:r w:rsidR="00ED29CD">
              <w:rPr>
                <w:noProof/>
                <w:lang w:eastAsia="en-GB"/>
              </w:rPr>
              <mc:AlternateContent>
                <mc:Choice Requires="wps">
                  <w:drawing>
                    <wp:anchor distT="0" distB="0" distL="114300" distR="114300" simplePos="0" relativeHeight="251658752" behindDoc="0" locked="0" layoutInCell="1" allowOverlap="1">
                      <wp:simplePos x="0" y="0"/>
                      <wp:positionH relativeFrom="column">
                        <wp:posOffset>-71755</wp:posOffset>
                      </wp:positionH>
                      <wp:positionV relativeFrom="paragraph">
                        <wp:posOffset>73025</wp:posOffset>
                      </wp:positionV>
                      <wp:extent cx="3312160" cy="647065"/>
                      <wp:effectExtent l="0" t="0" r="0" b="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64706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DBD" w:rsidRPr="00AA4EE1" w:rsidRDefault="00ED29CD" w:rsidP="008912ED">
                                  <w:pPr>
                                    <w:rPr>
                                      <w:sz w:val="18"/>
                                      <w:lang w:val="en-US"/>
                                    </w:rPr>
                                  </w:pPr>
                                  <w:r>
                                    <w:rPr>
                                      <w:noProof/>
                                      <w:lang w:val="en-GB" w:eastAsia="en-GB"/>
                                    </w:rPr>
                                    <w:drawing>
                                      <wp:inline distT="0" distB="0" distL="0" distR="0">
                                        <wp:extent cx="230505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8" style="position:absolute;margin-left:-5.65pt;margin-top:5.75pt;width:260.8pt;height:5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" fillcolor="#eaeaea" stroked="f">
                      <v:textbox>
                        <w:txbxContent>
                          <w:p w:rsidR="00365DBD" w:rsidRPr="00AA4EE1" w:rsidRDefault="00ED29CD" w:rsidP="008912ED">
                            <w:pPr>
                              <w:rPr>
                                <w:sz w:val="18"/>
                                <w:lang w:val="en-US"/>
                              </w:rPr>
                            </w:pPr>
                            <w:r>
                              <w:rPr>
                                <w:noProof/>
                                <w:lang w:val="en-GB" w:eastAsia="en-GB"/>
                              </w:rPr>
                              <w:drawing>
                                <wp:inline distT="0" distB="0" distL="0" distR="0">
                                  <wp:extent cx="230505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714375"/>
                                          </a:xfrm>
                                          <a:prstGeom prst="rect">
                                            <a:avLst/>
                                          </a:prstGeom>
                                          <a:noFill/>
                                          <a:ln>
                                            <a:noFill/>
                                          </a:ln>
                                        </pic:spPr>
                                      </pic:pic>
                                    </a:graphicData>
                                  </a:graphic>
                                </wp:inline>
                              </w:drawing>
                            </w:r>
                          </w:p>
                        </w:txbxContent>
                      </v:textbox>
                    </v:rect>
                  </w:pict>
                </mc:Fallback>
              </mc:AlternateContent>
            </w:r>
          </w:p>
        </w:tc>
        <w:tc>
          <w:tcPr>
            <w:tcW w:w="284" w:type="dxa"/>
            <w:tcBorders>
              <w:top w:val="single" w:sz="36" w:space="0" w:color="BFBFBF"/>
            </w:tcBorders>
            <w:shd w:val="clear" w:color="auto" w:fill="auto"/>
          </w:tcPr>
          <w:p w:rsidR="00A8458D" w:rsidRPr="00E306F0" w:rsidRDefault="00A8458D" w:rsidP="003B6C60">
            <w:pPr>
              <w:rPr>
                <w:lang w:val="en-GB"/>
              </w:rPr>
            </w:pPr>
          </w:p>
        </w:tc>
        <w:tc>
          <w:tcPr>
            <w:tcW w:w="3289" w:type="dxa"/>
            <w:vMerge w:val="restart"/>
            <w:tcBorders>
              <w:top w:val="single" w:sz="36" w:space="0" w:color="BFBFBF"/>
            </w:tcBorders>
            <w:shd w:val="clear" w:color="auto" w:fill="auto"/>
          </w:tcPr>
          <w:p w:rsidR="004318ED" w:rsidRPr="00E306F0" w:rsidRDefault="008912ED" w:rsidP="004318ED">
            <w:pPr>
              <w:pStyle w:val="TitleTOC"/>
            </w:pPr>
            <w:r w:rsidRPr="00E306F0">
              <w:t>Copper Catalysis</w:t>
            </w:r>
          </w:p>
          <w:p w:rsidR="00A8458D" w:rsidRPr="00E306F0" w:rsidRDefault="008912ED" w:rsidP="003B6C60">
            <w:pPr>
              <w:pStyle w:val="AuthorsTOC"/>
            </w:pPr>
            <w:r w:rsidRPr="00E306F0">
              <w:t>Timothy E. Hurst* and Richard J. K. Taylor*</w:t>
            </w:r>
          </w:p>
          <w:p w:rsidR="00A8458D" w:rsidRPr="00E306F0" w:rsidRDefault="00A8458D" w:rsidP="003B6C60">
            <w:pPr>
              <w:pStyle w:val="PageNumbers"/>
              <w:rPr>
                <w:lang w:val="en-GB"/>
              </w:rPr>
            </w:pPr>
            <w:r w:rsidRPr="00E306F0">
              <w:rPr>
                <w:lang w:val="en-GB"/>
              </w:rPr>
              <w:t>Page No. – Page No.</w:t>
            </w:r>
          </w:p>
          <w:p w:rsidR="00A8458D" w:rsidRDefault="008912ED" w:rsidP="003B6C60">
            <w:pPr>
              <w:pStyle w:val="TitleTOC"/>
              <w:framePr w:hSpace="141" w:wrap="around" w:vAnchor="page" w:hAnchor="margin" w:y="1504"/>
            </w:pPr>
            <w:r w:rsidRPr="00E306F0">
              <w:t>A Cu-Catalysed Radical Cross-Dehydrogenative Coupling Approach to Acridanes and Related Heterocycles</w:t>
            </w:r>
          </w:p>
          <w:p w:rsidR="00A8458D" w:rsidRPr="009E5C87" w:rsidRDefault="00A8458D" w:rsidP="003B6C60">
            <w:pPr>
              <w:framePr w:hSpace="141" w:wrap="around" w:vAnchor="page" w:hAnchor="margin" w:y="1504"/>
              <w:rPr>
                <w:lang w:val="en-GB"/>
              </w:rPr>
            </w:pPr>
          </w:p>
        </w:tc>
      </w:tr>
      <w:tr w:rsidR="00A8458D">
        <w:trPr>
          <w:trHeight w:hRule="exact" w:val="2722"/>
        </w:trPr>
        <w:tc>
          <w:tcPr>
            <w:tcW w:w="6520" w:type="dxa"/>
            <w:vMerge/>
            <w:shd w:val="clear" w:color="auto" w:fill="auto"/>
          </w:tcPr>
          <w:p w:rsidR="00A8458D" w:rsidRDefault="00A8458D" w:rsidP="003B6C60">
            <w:pPr>
              <w:rPr>
                <w:lang w:val="en-GB"/>
              </w:rPr>
            </w:pPr>
          </w:p>
        </w:tc>
        <w:tc>
          <w:tcPr>
            <w:tcW w:w="284" w:type="dxa"/>
            <w:shd w:val="clear" w:color="auto" w:fill="auto"/>
          </w:tcPr>
          <w:p w:rsidR="00A8458D" w:rsidRDefault="00A8458D" w:rsidP="003B6C60">
            <w:pPr>
              <w:rPr>
                <w:lang w:val="en-GB"/>
              </w:rPr>
            </w:pPr>
          </w:p>
        </w:tc>
        <w:tc>
          <w:tcPr>
            <w:tcW w:w="3289" w:type="dxa"/>
            <w:vMerge/>
            <w:shd w:val="clear" w:color="auto" w:fill="auto"/>
          </w:tcPr>
          <w:p w:rsidR="00A8458D" w:rsidRDefault="00A8458D" w:rsidP="003B6C60">
            <w:pPr>
              <w:rPr>
                <w:lang w:val="en-GB"/>
              </w:rPr>
            </w:pPr>
          </w:p>
        </w:tc>
      </w:tr>
    </w:tbl>
    <w:p w:rsidR="00773C4B" w:rsidRPr="008F525A" w:rsidRDefault="00773C4B" w:rsidP="008912ED">
      <w:pPr>
        <w:rPr>
          <w:bCs/>
          <w:lang w:val="en-GB"/>
        </w:rPr>
      </w:pPr>
    </w:p>
    <w:sectPr w:rsidR="00773C4B" w:rsidRPr="008F525A" w:rsidSect="000D37AC">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BD" w:rsidRDefault="00365DBD">
      <w:r>
        <w:separator/>
      </w:r>
    </w:p>
  </w:endnote>
  <w:endnote w:type="continuationSeparator" w:id="0">
    <w:p w:rsidR="00365DBD" w:rsidRDefault="0036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arrow-Bold">
    <w:panose1 w:val="00000000000000000000"/>
    <w:charset w:val="00"/>
    <w:family w:val="swiss"/>
    <w:notTrueType/>
    <w:pitch w:val="default"/>
    <w:sig w:usb0="00000003" w:usb1="00000000" w:usb2="00000000" w:usb3="00000000" w:csb0="00000001" w:csb1="00000000"/>
  </w:font>
  <w:font w:name="ScalaSansLF-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BD" w:rsidRDefault="00365DBD" w:rsidP="000C4579">
    <w:pPr>
      <w:pStyle w:val="Footer"/>
      <w:pBdr>
        <w:top w:val="single" w:sz="18" w:space="1" w:color="C0C0C0"/>
      </w:pBdr>
    </w:pPr>
  </w:p>
  <w:p w:rsidR="00365DBD" w:rsidRDefault="00365DBD" w:rsidP="000C4579">
    <w:pPr>
      <w:pStyle w:val="Footer"/>
    </w:pPr>
  </w:p>
  <w:p w:rsidR="00365DBD" w:rsidRDefault="00365DBD" w:rsidP="000C4579">
    <w:pPr>
      <w:pStyle w:val="Footer"/>
    </w:pPr>
  </w:p>
  <w:p w:rsidR="00365DBD" w:rsidRPr="00205632" w:rsidRDefault="00365DBD" w:rsidP="000C4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BD" w:rsidRDefault="00365DBD">
      <w:r>
        <w:separator/>
      </w:r>
    </w:p>
  </w:footnote>
  <w:footnote w:type="continuationSeparator" w:id="0">
    <w:p w:rsidR="00365DBD" w:rsidRDefault="00365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BD" w:rsidRPr="00C8278A" w:rsidRDefault="00ED29CD" w:rsidP="00490E63">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val="de-DE"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7444" o:spid="_x0000_s2061" type="#_x0000_t75" style="position:absolute;margin-left:0;margin-top:0;width:688.65pt;height:937.8pt;z-index:-251658240;mso-position-horizontal:center;mso-position-horizontal-relative:margin;mso-position-vertical:center;mso-position-vertical-relative:margin" o:allowincell="f">
          <v:imagedata r:id="rId1" o:title="Wiley-VCH_gedreht" gain="19661f" blacklevel="22938f"/>
          <w10:wrap anchorx="margin" anchory="margin"/>
        </v:shape>
      </w:pict>
    </w:r>
    <w:r w:rsidR="00365DBD" w:rsidRPr="001D7ECC">
      <w:rPr>
        <w:rFonts w:ascii="Arial Narrow" w:hAnsi="Arial Narrow" w:cs="Arial"/>
        <w:b/>
        <w:bCs/>
        <w:noProof/>
        <w:color w:val="C0C0C0"/>
        <w:sz w:val="40"/>
        <w:szCs w:val="36"/>
        <w:lang w:val="en-GB" w:eastAsia="en-GB"/>
      </w:rPr>
      <w:drawing>
        <wp:inline distT="0" distB="0" distL="0" distR="0">
          <wp:extent cx="1457325"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371475"/>
                  </a:xfrm>
                  <a:prstGeom prst="rect">
                    <a:avLst/>
                  </a:prstGeom>
                  <a:noFill/>
                  <a:ln>
                    <a:noFill/>
                  </a:ln>
                </pic:spPr>
              </pic:pic>
            </a:graphicData>
          </a:graphic>
        </wp:inline>
      </w:drawing>
    </w:r>
    <w:r w:rsidR="00365DBD">
      <w:rPr>
        <w:rFonts w:ascii="Arial Narrow" w:hAnsi="Arial Narrow" w:cs="Arial"/>
        <w:b/>
        <w:bCs/>
        <w:color w:val="C0C0C0"/>
        <w:sz w:val="40"/>
        <w:szCs w:val="36"/>
      </w:rPr>
      <w:tab/>
    </w:r>
    <w:r w:rsidR="00365DBD">
      <w:rPr>
        <w:rFonts w:ascii="Arial Narrow" w:hAnsi="Arial Narrow" w:cs="Arial"/>
        <w:b/>
        <w:bCs/>
        <w:color w:val="C0C0C0"/>
        <w:sz w:val="40"/>
        <w:szCs w:val="36"/>
      </w:rPr>
      <w:tab/>
      <w:t xml:space="preserve">                            </w:t>
    </w:r>
    <w:r w:rsidR="00365DBD" w:rsidRPr="00FB4551">
      <w:rPr>
        <w:rFonts w:ascii="Arial" w:hAnsi="Arial" w:cs="Arial"/>
        <w:b/>
        <w:bCs/>
        <w:color w:val="C0C0C0"/>
      </w:rPr>
      <w:t>www.chemsuschem.org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BD" w:rsidRPr="00971FC5" w:rsidRDefault="00ED29CD" w:rsidP="000C4579">
    <w:pPr>
      <w:pStyle w:val="Header"/>
      <w:pBdr>
        <w:bottom w:val="single" w:sz="18" w:space="1" w:color="C0C0C0"/>
      </w:pBdr>
      <w:rPr>
        <w:rFonts w:ascii="Arial Narrow" w:hAnsi="Arial Narrow" w:cs="Arial"/>
        <w:sz w:val="32"/>
        <w:szCs w:val="36"/>
      </w:rPr>
    </w:pPr>
    <w:r>
      <w:rPr>
        <w:noProof/>
        <w:sz w:val="20"/>
        <w:lang w:val="de-DE"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7445" o:spid="_x0000_s2062" type="#_x0000_t75" style="position:absolute;margin-left:0;margin-top:0;width:688.65pt;height:937.8pt;z-index:-251657216;mso-position-horizontal:center;mso-position-horizontal-relative:margin;mso-position-vertical:center;mso-position-vertical-relative:margin" o:allowincell="f">
          <v:imagedata r:id="rId1" o:title="Wiley-VCH_gedreht" gain="19661f" blacklevel="22938f"/>
          <w10:wrap anchorx="margin" anchory="margin"/>
        </v:shape>
      </w:pict>
    </w:r>
    <w:r w:rsidR="00365DBD" w:rsidRPr="00971FC5">
      <w:rPr>
        <w:noProof/>
        <w:sz w:val="20"/>
        <w:lang w:val="en-GB" w:eastAsia="en-GB"/>
      </w:rPr>
      <w:drawing>
        <wp:anchor distT="0" distB="0" distL="114300" distR="114300" simplePos="0" relativeHeight="251656192" behindDoc="0" locked="0" layoutInCell="1" allowOverlap="1">
          <wp:simplePos x="0" y="0"/>
          <wp:positionH relativeFrom="column">
            <wp:posOffset>5344160</wp:posOffset>
          </wp:positionH>
          <wp:positionV relativeFrom="paragraph">
            <wp:posOffset>-40005</wp:posOffset>
          </wp:positionV>
          <wp:extent cx="1079500" cy="273050"/>
          <wp:effectExtent l="0" t="0" r="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anchor>
      </w:drawing>
    </w:r>
    <w:r w:rsidR="00365DBD" w:rsidRPr="00971FC5">
      <w:rPr>
        <w:rFonts w:ascii="Arial Narrow" w:hAnsi="Arial Narrow" w:cs="Arial"/>
        <w:b/>
        <w:bCs/>
        <w:color w:val="C0C0C0"/>
        <w:sz w:val="32"/>
        <w:szCs w:val="36"/>
      </w:rPr>
      <w:t>COMMUNICATION</w:t>
    </w:r>
    <w:r w:rsidR="00365DBD" w:rsidRPr="00971FC5">
      <w:rPr>
        <w:rFonts w:ascii="Arial Narrow" w:hAnsi="Arial Narrow" w:cs="Arial"/>
        <w:sz w:val="32"/>
        <w:szCs w:val="36"/>
      </w:rPr>
      <w:tab/>
    </w:r>
    <w:r w:rsidR="00365DBD" w:rsidRPr="00971FC5">
      <w:rPr>
        <w:rFonts w:ascii="Arial Narrow" w:hAnsi="Arial Narrow" w:cs="Arial"/>
        <w:sz w:val="32"/>
        <w:szCs w:val="3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BD" w:rsidRDefault="00ED29CD">
    <w:pPr>
      <w:pStyle w:val="Header"/>
    </w:pPr>
    <w:r>
      <w:rPr>
        <w:noProof/>
        <w:lang w:val="de-DE"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7443" o:spid="_x0000_s2060" type="#_x0000_t75" style="position:absolute;margin-left:0;margin-top:0;width:688.65pt;height:937.8pt;z-index:-251659264;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425"/>
  <w:hyphenationZone w:val="425"/>
  <w:drawingGridHorizontalSpacing w:val="120"/>
  <w:displayHorizontalDrawingGridEvery w:val="2"/>
  <w:noPunctuationKerning/>
  <w:characterSpacingControl w:val="doNotCompress"/>
  <w:hdrShapeDefaults>
    <o:shapedefaults v:ext="edit" spidmax="2063">
      <o:colormru v:ext="edit" colors="#eaeaea"/>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79"/>
    <w:rsid w:val="0000214A"/>
    <w:rsid w:val="00002DBC"/>
    <w:rsid w:val="00003927"/>
    <w:rsid w:val="0000457A"/>
    <w:rsid w:val="00010410"/>
    <w:rsid w:val="00011D51"/>
    <w:rsid w:val="00013DD7"/>
    <w:rsid w:val="00022DB4"/>
    <w:rsid w:val="00027F3A"/>
    <w:rsid w:val="00033C26"/>
    <w:rsid w:val="00033D1A"/>
    <w:rsid w:val="00033F43"/>
    <w:rsid w:val="00036490"/>
    <w:rsid w:val="00037C07"/>
    <w:rsid w:val="000407AD"/>
    <w:rsid w:val="0004091A"/>
    <w:rsid w:val="00042BF0"/>
    <w:rsid w:val="00045AB9"/>
    <w:rsid w:val="0005096E"/>
    <w:rsid w:val="0005140E"/>
    <w:rsid w:val="00055485"/>
    <w:rsid w:val="0006281D"/>
    <w:rsid w:val="00063E0F"/>
    <w:rsid w:val="0006489B"/>
    <w:rsid w:val="000650AB"/>
    <w:rsid w:val="0006694D"/>
    <w:rsid w:val="000669E3"/>
    <w:rsid w:val="00066B8E"/>
    <w:rsid w:val="00070B55"/>
    <w:rsid w:val="00070E0D"/>
    <w:rsid w:val="0007315F"/>
    <w:rsid w:val="00077560"/>
    <w:rsid w:val="00077AA6"/>
    <w:rsid w:val="0008077D"/>
    <w:rsid w:val="00082B05"/>
    <w:rsid w:val="00093052"/>
    <w:rsid w:val="0009539C"/>
    <w:rsid w:val="00095C2F"/>
    <w:rsid w:val="000A37F3"/>
    <w:rsid w:val="000A77DC"/>
    <w:rsid w:val="000B6DF3"/>
    <w:rsid w:val="000C1AF1"/>
    <w:rsid w:val="000C1DBD"/>
    <w:rsid w:val="000C4579"/>
    <w:rsid w:val="000C5344"/>
    <w:rsid w:val="000C53F1"/>
    <w:rsid w:val="000D37AC"/>
    <w:rsid w:val="000D70F8"/>
    <w:rsid w:val="000D75B7"/>
    <w:rsid w:val="000D7701"/>
    <w:rsid w:val="000E0815"/>
    <w:rsid w:val="000E0CEA"/>
    <w:rsid w:val="000E0EC4"/>
    <w:rsid w:val="000E1C81"/>
    <w:rsid w:val="000E517A"/>
    <w:rsid w:val="000E5FDC"/>
    <w:rsid w:val="000E718F"/>
    <w:rsid w:val="000E76B8"/>
    <w:rsid w:val="000F29A4"/>
    <w:rsid w:val="000F2C63"/>
    <w:rsid w:val="000F2EA1"/>
    <w:rsid w:val="000F5BD1"/>
    <w:rsid w:val="000F7847"/>
    <w:rsid w:val="001037A1"/>
    <w:rsid w:val="00103EF7"/>
    <w:rsid w:val="00104119"/>
    <w:rsid w:val="0010543E"/>
    <w:rsid w:val="00105F97"/>
    <w:rsid w:val="00107E8C"/>
    <w:rsid w:val="001158DE"/>
    <w:rsid w:val="00120F2E"/>
    <w:rsid w:val="001237B3"/>
    <w:rsid w:val="0012381E"/>
    <w:rsid w:val="001322FF"/>
    <w:rsid w:val="0013316F"/>
    <w:rsid w:val="001332DF"/>
    <w:rsid w:val="001344F7"/>
    <w:rsid w:val="001348CD"/>
    <w:rsid w:val="0014043E"/>
    <w:rsid w:val="00141356"/>
    <w:rsid w:val="00143551"/>
    <w:rsid w:val="0014374D"/>
    <w:rsid w:val="00143B89"/>
    <w:rsid w:val="00147525"/>
    <w:rsid w:val="001475BF"/>
    <w:rsid w:val="00152E6D"/>
    <w:rsid w:val="00155FB7"/>
    <w:rsid w:val="0015631F"/>
    <w:rsid w:val="00156F09"/>
    <w:rsid w:val="00157C67"/>
    <w:rsid w:val="00161E13"/>
    <w:rsid w:val="0016203E"/>
    <w:rsid w:val="001639AE"/>
    <w:rsid w:val="00164325"/>
    <w:rsid w:val="001654DF"/>
    <w:rsid w:val="00166BEB"/>
    <w:rsid w:val="00166D41"/>
    <w:rsid w:val="001678B6"/>
    <w:rsid w:val="0017048F"/>
    <w:rsid w:val="00171F8A"/>
    <w:rsid w:val="00172F48"/>
    <w:rsid w:val="001732A4"/>
    <w:rsid w:val="001800AA"/>
    <w:rsid w:val="0018165B"/>
    <w:rsid w:val="00181774"/>
    <w:rsid w:val="00184380"/>
    <w:rsid w:val="00186601"/>
    <w:rsid w:val="001878D0"/>
    <w:rsid w:val="0019014F"/>
    <w:rsid w:val="00193421"/>
    <w:rsid w:val="00194818"/>
    <w:rsid w:val="00194A21"/>
    <w:rsid w:val="00196DEB"/>
    <w:rsid w:val="00197F42"/>
    <w:rsid w:val="001A0D55"/>
    <w:rsid w:val="001A3120"/>
    <w:rsid w:val="001A39AE"/>
    <w:rsid w:val="001A438D"/>
    <w:rsid w:val="001B0DFC"/>
    <w:rsid w:val="001C1039"/>
    <w:rsid w:val="001C21E3"/>
    <w:rsid w:val="001C26A7"/>
    <w:rsid w:val="001C57A1"/>
    <w:rsid w:val="001D1155"/>
    <w:rsid w:val="001D13EA"/>
    <w:rsid w:val="001D216B"/>
    <w:rsid w:val="001D29CA"/>
    <w:rsid w:val="001D54CA"/>
    <w:rsid w:val="001D7ECC"/>
    <w:rsid w:val="001E164A"/>
    <w:rsid w:val="001E2F1C"/>
    <w:rsid w:val="001F0682"/>
    <w:rsid w:val="001F16EF"/>
    <w:rsid w:val="001F1A2D"/>
    <w:rsid w:val="001F252B"/>
    <w:rsid w:val="001F4235"/>
    <w:rsid w:val="001F45C3"/>
    <w:rsid w:val="001F4EE4"/>
    <w:rsid w:val="00200C6E"/>
    <w:rsid w:val="0020306E"/>
    <w:rsid w:val="00203153"/>
    <w:rsid w:val="00205632"/>
    <w:rsid w:val="00212CDE"/>
    <w:rsid w:val="00213D0E"/>
    <w:rsid w:val="002221BA"/>
    <w:rsid w:val="00222D97"/>
    <w:rsid w:val="0022537E"/>
    <w:rsid w:val="0022582C"/>
    <w:rsid w:val="00232C14"/>
    <w:rsid w:val="0023440C"/>
    <w:rsid w:val="002362C7"/>
    <w:rsid w:val="00241D85"/>
    <w:rsid w:val="00242E54"/>
    <w:rsid w:val="002433F0"/>
    <w:rsid w:val="00243927"/>
    <w:rsid w:val="00244B50"/>
    <w:rsid w:val="00260EDA"/>
    <w:rsid w:val="00261387"/>
    <w:rsid w:val="00261882"/>
    <w:rsid w:val="0026553A"/>
    <w:rsid w:val="00265DCA"/>
    <w:rsid w:val="00267F8A"/>
    <w:rsid w:val="002702BC"/>
    <w:rsid w:val="0027068B"/>
    <w:rsid w:val="00287256"/>
    <w:rsid w:val="00287B32"/>
    <w:rsid w:val="00291C93"/>
    <w:rsid w:val="002A36FA"/>
    <w:rsid w:val="002A561E"/>
    <w:rsid w:val="002A69D1"/>
    <w:rsid w:val="002B16E2"/>
    <w:rsid w:val="002B22BA"/>
    <w:rsid w:val="002B25E2"/>
    <w:rsid w:val="002B453B"/>
    <w:rsid w:val="002B7CA9"/>
    <w:rsid w:val="002C36E0"/>
    <w:rsid w:val="002C6B86"/>
    <w:rsid w:val="002C7A84"/>
    <w:rsid w:val="002D0B17"/>
    <w:rsid w:val="002D24CB"/>
    <w:rsid w:val="002D42FF"/>
    <w:rsid w:val="002D5148"/>
    <w:rsid w:val="002D5B99"/>
    <w:rsid w:val="002E066F"/>
    <w:rsid w:val="002E2CA8"/>
    <w:rsid w:val="002F0269"/>
    <w:rsid w:val="002F1479"/>
    <w:rsid w:val="002F17FB"/>
    <w:rsid w:val="002F56D6"/>
    <w:rsid w:val="002F6A4C"/>
    <w:rsid w:val="002F6F44"/>
    <w:rsid w:val="002F73A5"/>
    <w:rsid w:val="003006A7"/>
    <w:rsid w:val="003007EE"/>
    <w:rsid w:val="00301167"/>
    <w:rsid w:val="00301D1E"/>
    <w:rsid w:val="0030323E"/>
    <w:rsid w:val="00303FBE"/>
    <w:rsid w:val="003040CB"/>
    <w:rsid w:val="00305F24"/>
    <w:rsid w:val="0030791A"/>
    <w:rsid w:val="003079D2"/>
    <w:rsid w:val="00307C5A"/>
    <w:rsid w:val="003116F4"/>
    <w:rsid w:val="00312ED2"/>
    <w:rsid w:val="0032048F"/>
    <w:rsid w:val="00321941"/>
    <w:rsid w:val="003219A5"/>
    <w:rsid w:val="00322D02"/>
    <w:rsid w:val="00322E1F"/>
    <w:rsid w:val="00323FC3"/>
    <w:rsid w:val="00324724"/>
    <w:rsid w:val="00324B59"/>
    <w:rsid w:val="00325147"/>
    <w:rsid w:val="003254D1"/>
    <w:rsid w:val="00325516"/>
    <w:rsid w:val="003275FF"/>
    <w:rsid w:val="0033054D"/>
    <w:rsid w:val="0033157E"/>
    <w:rsid w:val="00331B5E"/>
    <w:rsid w:val="00333FAD"/>
    <w:rsid w:val="0033586B"/>
    <w:rsid w:val="00336A5A"/>
    <w:rsid w:val="0033774E"/>
    <w:rsid w:val="003403BB"/>
    <w:rsid w:val="00340A08"/>
    <w:rsid w:val="003447D7"/>
    <w:rsid w:val="0034496B"/>
    <w:rsid w:val="00347B35"/>
    <w:rsid w:val="00347FFE"/>
    <w:rsid w:val="003514BB"/>
    <w:rsid w:val="00354B57"/>
    <w:rsid w:val="00355DB2"/>
    <w:rsid w:val="00364753"/>
    <w:rsid w:val="00364A2A"/>
    <w:rsid w:val="003657B6"/>
    <w:rsid w:val="00365DBD"/>
    <w:rsid w:val="00366676"/>
    <w:rsid w:val="00375415"/>
    <w:rsid w:val="00376792"/>
    <w:rsid w:val="00376F37"/>
    <w:rsid w:val="0038506F"/>
    <w:rsid w:val="00390DD7"/>
    <w:rsid w:val="00396BE2"/>
    <w:rsid w:val="003A070F"/>
    <w:rsid w:val="003A0C7A"/>
    <w:rsid w:val="003A2718"/>
    <w:rsid w:val="003B04BA"/>
    <w:rsid w:val="003B0FC4"/>
    <w:rsid w:val="003B6C60"/>
    <w:rsid w:val="003B70C8"/>
    <w:rsid w:val="003C134A"/>
    <w:rsid w:val="003C1CCA"/>
    <w:rsid w:val="003C2972"/>
    <w:rsid w:val="003C2C9C"/>
    <w:rsid w:val="003C6E1A"/>
    <w:rsid w:val="003C779A"/>
    <w:rsid w:val="003D0F51"/>
    <w:rsid w:val="003D1C1A"/>
    <w:rsid w:val="003E54CD"/>
    <w:rsid w:val="003E7319"/>
    <w:rsid w:val="003F1223"/>
    <w:rsid w:val="003F2556"/>
    <w:rsid w:val="003F50D4"/>
    <w:rsid w:val="0040080D"/>
    <w:rsid w:val="0040270E"/>
    <w:rsid w:val="00403876"/>
    <w:rsid w:val="004062B1"/>
    <w:rsid w:val="004070B6"/>
    <w:rsid w:val="004072DD"/>
    <w:rsid w:val="00411AA6"/>
    <w:rsid w:val="00413114"/>
    <w:rsid w:val="00414412"/>
    <w:rsid w:val="00415971"/>
    <w:rsid w:val="00416B05"/>
    <w:rsid w:val="00422AFE"/>
    <w:rsid w:val="00423593"/>
    <w:rsid w:val="00424978"/>
    <w:rsid w:val="0042545B"/>
    <w:rsid w:val="00427CBD"/>
    <w:rsid w:val="00431151"/>
    <w:rsid w:val="004318ED"/>
    <w:rsid w:val="00432307"/>
    <w:rsid w:val="00435D6F"/>
    <w:rsid w:val="00436338"/>
    <w:rsid w:val="00437B5A"/>
    <w:rsid w:val="00444E3C"/>
    <w:rsid w:val="004453D9"/>
    <w:rsid w:val="00445D5C"/>
    <w:rsid w:val="004465F9"/>
    <w:rsid w:val="004466B0"/>
    <w:rsid w:val="00452E09"/>
    <w:rsid w:val="00454A2D"/>
    <w:rsid w:val="004556E1"/>
    <w:rsid w:val="004609E1"/>
    <w:rsid w:val="00460C28"/>
    <w:rsid w:val="00461895"/>
    <w:rsid w:val="00461BD2"/>
    <w:rsid w:val="00462A09"/>
    <w:rsid w:val="004644E1"/>
    <w:rsid w:val="0046574E"/>
    <w:rsid w:val="004657E8"/>
    <w:rsid w:val="004660B7"/>
    <w:rsid w:val="00467E99"/>
    <w:rsid w:val="00470790"/>
    <w:rsid w:val="00470FBB"/>
    <w:rsid w:val="00473029"/>
    <w:rsid w:val="00473EE4"/>
    <w:rsid w:val="00477B4C"/>
    <w:rsid w:val="00477B99"/>
    <w:rsid w:val="004812B4"/>
    <w:rsid w:val="004841CA"/>
    <w:rsid w:val="004845F9"/>
    <w:rsid w:val="00485C84"/>
    <w:rsid w:val="00486215"/>
    <w:rsid w:val="0048630D"/>
    <w:rsid w:val="00490E63"/>
    <w:rsid w:val="004921CF"/>
    <w:rsid w:val="004930F0"/>
    <w:rsid w:val="00493CEF"/>
    <w:rsid w:val="004A0BA8"/>
    <w:rsid w:val="004A489D"/>
    <w:rsid w:val="004A4A2E"/>
    <w:rsid w:val="004A4CD0"/>
    <w:rsid w:val="004A56DE"/>
    <w:rsid w:val="004A73A8"/>
    <w:rsid w:val="004A75D5"/>
    <w:rsid w:val="004A771F"/>
    <w:rsid w:val="004A78AE"/>
    <w:rsid w:val="004B004E"/>
    <w:rsid w:val="004B0589"/>
    <w:rsid w:val="004B0B74"/>
    <w:rsid w:val="004B1783"/>
    <w:rsid w:val="004B5349"/>
    <w:rsid w:val="004B65AE"/>
    <w:rsid w:val="004B7661"/>
    <w:rsid w:val="004C1836"/>
    <w:rsid w:val="004C22E6"/>
    <w:rsid w:val="004C2834"/>
    <w:rsid w:val="004C2FAC"/>
    <w:rsid w:val="004C3CC9"/>
    <w:rsid w:val="004C471F"/>
    <w:rsid w:val="004C5F41"/>
    <w:rsid w:val="004C6538"/>
    <w:rsid w:val="004C6D04"/>
    <w:rsid w:val="004D090A"/>
    <w:rsid w:val="004D31C6"/>
    <w:rsid w:val="004D4293"/>
    <w:rsid w:val="004D5ABB"/>
    <w:rsid w:val="004D6DB8"/>
    <w:rsid w:val="004E3F83"/>
    <w:rsid w:val="004E4A53"/>
    <w:rsid w:val="004E4DFF"/>
    <w:rsid w:val="004E5278"/>
    <w:rsid w:val="004E6423"/>
    <w:rsid w:val="004E74F4"/>
    <w:rsid w:val="004F0129"/>
    <w:rsid w:val="004F1543"/>
    <w:rsid w:val="004F257F"/>
    <w:rsid w:val="004F35CD"/>
    <w:rsid w:val="004F7EB9"/>
    <w:rsid w:val="0050022B"/>
    <w:rsid w:val="00501639"/>
    <w:rsid w:val="00501EFF"/>
    <w:rsid w:val="0050277D"/>
    <w:rsid w:val="005035EB"/>
    <w:rsid w:val="0050689B"/>
    <w:rsid w:val="005068AA"/>
    <w:rsid w:val="00506EDB"/>
    <w:rsid w:val="00511093"/>
    <w:rsid w:val="00512A8E"/>
    <w:rsid w:val="00520422"/>
    <w:rsid w:val="0052085F"/>
    <w:rsid w:val="0052404D"/>
    <w:rsid w:val="00525C3C"/>
    <w:rsid w:val="00530284"/>
    <w:rsid w:val="005321B0"/>
    <w:rsid w:val="0053418A"/>
    <w:rsid w:val="005349D6"/>
    <w:rsid w:val="0053552E"/>
    <w:rsid w:val="00536BC1"/>
    <w:rsid w:val="00537F36"/>
    <w:rsid w:val="00541205"/>
    <w:rsid w:val="005433DE"/>
    <w:rsid w:val="0054420E"/>
    <w:rsid w:val="005472E5"/>
    <w:rsid w:val="0055057E"/>
    <w:rsid w:val="00550B0C"/>
    <w:rsid w:val="0055113D"/>
    <w:rsid w:val="00551D58"/>
    <w:rsid w:val="005546BC"/>
    <w:rsid w:val="005551F3"/>
    <w:rsid w:val="00556A65"/>
    <w:rsid w:val="00561C0E"/>
    <w:rsid w:val="005662EA"/>
    <w:rsid w:val="00567B5A"/>
    <w:rsid w:val="00567C18"/>
    <w:rsid w:val="0057009B"/>
    <w:rsid w:val="005735B3"/>
    <w:rsid w:val="005801F0"/>
    <w:rsid w:val="005826CC"/>
    <w:rsid w:val="005839B9"/>
    <w:rsid w:val="00585399"/>
    <w:rsid w:val="00586987"/>
    <w:rsid w:val="00586DF8"/>
    <w:rsid w:val="00591AB8"/>
    <w:rsid w:val="00597954"/>
    <w:rsid w:val="005A0311"/>
    <w:rsid w:val="005A132B"/>
    <w:rsid w:val="005A20F3"/>
    <w:rsid w:val="005B10C2"/>
    <w:rsid w:val="005B15A7"/>
    <w:rsid w:val="005B3509"/>
    <w:rsid w:val="005B430B"/>
    <w:rsid w:val="005B43B7"/>
    <w:rsid w:val="005B5D4F"/>
    <w:rsid w:val="005B6716"/>
    <w:rsid w:val="005B6C80"/>
    <w:rsid w:val="005B71FC"/>
    <w:rsid w:val="005C08BF"/>
    <w:rsid w:val="005C4CEE"/>
    <w:rsid w:val="005C4F38"/>
    <w:rsid w:val="005C5196"/>
    <w:rsid w:val="005C7CD8"/>
    <w:rsid w:val="005D1EBB"/>
    <w:rsid w:val="005D43FD"/>
    <w:rsid w:val="005D65E6"/>
    <w:rsid w:val="005D76D9"/>
    <w:rsid w:val="005F19CB"/>
    <w:rsid w:val="005F264C"/>
    <w:rsid w:val="005F5348"/>
    <w:rsid w:val="005F74E7"/>
    <w:rsid w:val="006011C8"/>
    <w:rsid w:val="006024FD"/>
    <w:rsid w:val="0060310C"/>
    <w:rsid w:val="00605777"/>
    <w:rsid w:val="00605FAC"/>
    <w:rsid w:val="00607F62"/>
    <w:rsid w:val="00612117"/>
    <w:rsid w:val="006150DB"/>
    <w:rsid w:val="006200AB"/>
    <w:rsid w:val="00620450"/>
    <w:rsid w:val="006206F2"/>
    <w:rsid w:val="00620753"/>
    <w:rsid w:val="006208DC"/>
    <w:rsid w:val="00620911"/>
    <w:rsid w:val="00620C61"/>
    <w:rsid w:val="00627F57"/>
    <w:rsid w:val="00643EB1"/>
    <w:rsid w:val="00644209"/>
    <w:rsid w:val="00645FF9"/>
    <w:rsid w:val="00647525"/>
    <w:rsid w:val="006478CC"/>
    <w:rsid w:val="006479FE"/>
    <w:rsid w:val="00654554"/>
    <w:rsid w:val="00654E17"/>
    <w:rsid w:val="00656634"/>
    <w:rsid w:val="0066216C"/>
    <w:rsid w:val="00663CFE"/>
    <w:rsid w:val="00665E34"/>
    <w:rsid w:val="006675EA"/>
    <w:rsid w:val="006705C9"/>
    <w:rsid w:val="00671E1E"/>
    <w:rsid w:val="006722A0"/>
    <w:rsid w:val="006724B9"/>
    <w:rsid w:val="00672587"/>
    <w:rsid w:val="0067512C"/>
    <w:rsid w:val="00677AB5"/>
    <w:rsid w:val="00677D6F"/>
    <w:rsid w:val="006812E2"/>
    <w:rsid w:val="00681A96"/>
    <w:rsid w:val="00685DA5"/>
    <w:rsid w:val="0068673B"/>
    <w:rsid w:val="006922F3"/>
    <w:rsid w:val="006927D1"/>
    <w:rsid w:val="00694EC1"/>
    <w:rsid w:val="006956E5"/>
    <w:rsid w:val="0069644B"/>
    <w:rsid w:val="006976AD"/>
    <w:rsid w:val="00697E3B"/>
    <w:rsid w:val="006A02C7"/>
    <w:rsid w:val="006A108F"/>
    <w:rsid w:val="006A16A8"/>
    <w:rsid w:val="006A2254"/>
    <w:rsid w:val="006A6116"/>
    <w:rsid w:val="006A7E4F"/>
    <w:rsid w:val="006B04A7"/>
    <w:rsid w:val="006B369F"/>
    <w:rsid w:val="006B4DC6"/>
    <w:rsid w:val="006B4E8D"/>
    <w:rsid w:val="006B5DE9"/>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1D6"/>
    <w:rsid w:val="006D3595"/>
    <w:rsid w:val="006D4F77"/>
    <w:rsid w:val="006D6793"/>
    <w:rsid w:val="006D67F8"/>
    <w:rsid w:val="006E041E"/>
    <w:rsid w:val="006E5BEA"/>
    <w:rsid w:val="006E7083"/>
    <w:rsid w:val="006F0EB7"/>
    <w:rsid w:val="006F6671"/>
    <w:rsid w:val="006F77BC"/>
    <w:rsid w:val="00700F72"/>
    <w:rsid w:val="007013DE"/>
    <w:rsid w:val="00701830"/>
    <w:rsid w:val="00702F63"/>
    <w:rsid w:val="00710812"/>
    <w:rsid w:val="00711E9D"/>
    <w:rsid w:val="007130CE"/>
    <w:rsid w:val="00713548"/>
    <w:rsid w:val="00713B1C"/>
    <w:rsid w:val="00714DB9"/>
    <w:rsid w:val="00714DC9"/>
    <w:rsid w:val="0071700B"/>
    <w:rsid w:val="00717BD5"/>
    <w:rsid w:val="00720FED"/>
    <w:rsid w:val="0072161F"/>
    <w:rsid w:val="00722DDB"/>
    <w:rsid w:val="007249D7"/>
    <w:rsid w:val="007252DA"/>
    <w:rsid w:val="00732798"/>
    <w:rsid w:val="00737264"/>
    <w:rsid w:val="007406C2"/>
    <w:rsid w:val="007407AE"/>
    <w:rsid w:val="00740CE1"/>
    <w:rsid w:val="0074126C"/>
    <w:rsid w:val="00741B47"/>
    <w:rsid w:val="00745DE7"/>
    <w:rsid w:val="00746C0D"/>
    <w:rsid w:val="00747387"/>
    <w:rsid w:val="00750326"/>
    <w:rsid w:val="0075278E"/>
    <w:rsid w:val="00754F5F"/>
    <w:rsid w:val="00757401"/>
    <w:rsid w:val="00757673"/>
    <w:rsid w:val="007576FA"/>
    <w:rsid w:val="00757C71"/>
    <w:rsid w:val="00763D77"/>
    <w:rsid w:val="00763EDE"/>
    <w:rsid w:val="00764F01"/>
    <w:rsid w:val="00765C4D"/>
    <w:rsid w:val="007663E0"/>
    <w:rsid w:val="00773904"/>
    <w:rsid w:val="00773C4B"/>
    <w:rsid w:val="00773D16"/>
    <w:rsid w:val="00773D68"/>
    <w:rsid w:val="007740A8"/>
    <w:rsid w:val="00775C8A"/>
    <w:rsid w:val="00775F73"/>
    <w:rsid w:val="007776E8"/>
    <w:rsid w:val="007815C4"/>
    <w:rsid w:val="00783FBE"/>
    <w:rsid w:val="0078628B"/>
    <w:rsid w:val="0078784C"/>
    <w:rsid w:val="007958BF"/>
    <w:rsid w:val="007A6D99"/>
    <w:rsid w:val="007A7E01"/>
    <w:rsid w:val="007B05F5"/>
    <w:rsid w:val="007B6A97"/>
    <w:rsid w:val="007C2805"/>
    <w:rsid w:val="007C3D60"/>
    <w:rsid w:val="007C5712"/>
    <w:rsid w:val="007C6615"/>
    <w:rsid w:val="007C672F"/>
    <w:rsid w:val="007D0337"/>
    <w:rsid w:val="007D0701"/>
    <w:rsid w:val="007D2ED9"/>
    <w:rsid w:val="007E1BF4"/>
    <w:rsid w:val="007E2CB8"/>
    <w:rsid w:val="007E3705"/>
    <w:rsid w:val="007E3A49"/>
    <w:rsid w:val="007E3F5B"/>
    <w:rsid w:val="007E52D5"/>
    <w:rsid w:val="007E6725"/>
    <w:rsid w:val="007E7187"/>
    <w:rsid w:val="007F00BA"/>
    <w:rsid w:val="007F202F"/>
    <w:rsid w:val="007F20D9"/>
    <w:rsid w:val="007F2447"/>
    <w:rsid w:val="007F46F6"/>
    <w:rsid w:val="007F664A"/>
    <w:rsid w:val="007F66E6"/>
    <w:rsid w:val="007F68CC"/>
    <w:rsid w:val="00804822"/>
    <w:rsid w:val="008057D6"/>
    <w:rsid w:val="00813005"/>
    <w:rsid w:val="00813FEF"/>
    <w:rsid w:val="00817ACD"/>
    <w:rsid w:val="00823231"/>
    <w:rsid w:val="00823310"/>
    <w:rsid w:val="008249B7"/>
    <w:rsid w:val="00826879"/>
    <w:rsid w:val="008272FD"/>
    <w:rsid w:val="00827A4E"/>
    <w:rsid w:val="00832891"/>
    <w:rsid w:val="008339A8"/>
    <w:rsid w:val="00836959"/>
    <w:rsid w:val="00836974"/>
    <w:rsid w:val="00847D4E"/>
    <w:rsid w:val="00851D03"/>
    <w:rsid w:val="008536CE"/>
    <w:rsid w:val="00854C3B"/>
    <w:rsid w:val="00855988"/>
    <w:rsid w:val="008563C4"/>
    <w:rsid w:val="00856D80"/>
    <w:rsid w:val="00860C40"/>
    <w:rsid w:val="00862A5B"/>
    <w:rsid w:val="00862D4C"/>
    <w:rsid w:val="00864342"/>
    <w:rsid w:val="0086441B"/>
    <w:rsid w:val="00865C7C"/>
    <w:rsid w:val="00870558"/>
    <w:rsid w:val="00873E64"/>
    <w:rsid w:val="00874EBC"/>
    <w:rsid w:val="00875FFC"/>
    <w:rsid w:val="008773A8"/>
    <w:rsid w:val="00880861"/>
    <w:rsid w:val="00884733"/>
    <w:rsid w:val="00886901"/>
    <w:rsid w:val="008912ED"/>
    <w:rsid w:val="008935DC"/>
    <w:rsid w:val="00896252"/>
    <w:rsid w:val="0089651C"/>
    <w:rsid w:val="00896608"/>
    <w:rsid w:val="008A75A2"/>
    <w:rsid w:val="008C0905"/>
    <w:rsid w:val="008C26A3"/>
    <w:rsid w:val="008C4A56"/>
    <w:rsid w:val="008C642F"/>
    <w:rsid w:val="008D05CC"/>
    <w:rsid w:val="008D0D68"/>
    <w:rsid w:val="008D306F"/>
    <w:rsid w:val="008D3292"/>
    <w:rsid w:val="008D3912"/>
    <w:rsid w:val="008E1877"/>
    <w:rsid w:val="008E4A2E"/>
    <w:rsid w:val="008E4C32"/>
    <w:rsid w:val="008F195C"/>
    <w:rsid w:val="008F3789"/>
    <w:rsid w:val="008F525A"/>
    <w:rsid w:val="008F5663"/>
    <w:rsid w:val="008F6D3F"/>
    <w:rsid w:val="008F71A1"/>
    <w:rsid w:val="008F7FE1"/>
    <w:rsid w:val="00900B9E"/>
    <w:rsid w:val="00901A45"/>
    <w:rsid w:val="00902AF3"/>
    <w:rsid w:val="00915FA4"/>
    <w:rsid w:val="009179FB"/>
    <w:rsid w:val="009203FD"/>
    <w:rsid w:val="0092483C"/>
    <w:rsid w:val="009264DF"/>
    <w:rsid w:val="009273BC"/>
    <w:rsid w:val="009317ED"/>
    <w:rsid w:val="0093355D"/>
    <w:rsid w:val="00935D92"/>
    <w:rsid w:val="009361EB"/>
    <w:rsid w:val="00941003"/>
    <w:rsid w:val="009425B3"/>
    <w:rsid w:val="0094442E"/>
    <w:rsid w:val="00945BF2"/>
    <w:rsid w:val="0094711E"/>
    <w:rsid w:val="0094724E"/>
    <w:rsid w:val="00952951"/>
    <w:rsid w:val="00953A07"/>
    <w:rsid w:val="00954442"/>
    <w:rsid w:val="00955B6D"/>
    <w:rsid w:val="009570F0"/>
    <w:rsid w:val="00957398"/>
    <w:rsid w:val="009575D6"/>
    <w:rsid w:val="0096219B"/>
    <w:rsid w:val="00963289"/>
    <w:rsid w:val="00963607"/>
    <w:rsid w:val="009658DA"/>
    <w:rsid w:val="0096675F"/>
    <w:rsid w:val="00966884"/>
    <w:rsid w:val="00967386"/>
    <w:rsid w:val="00971D8C"/>
    <w:rsid w:val="00971FC5"/>
    <w:rsid w:val="00972425"/>
    <w:rsid w:val="009733F5"/>
    <w:rsid w:val="0098401D"/>
    <w:rsid w:val="009849E5"/>
    <w:rsid w:val="0098683C"/>
    <w:rsid w:val="0098753E"/>
    <w:rsid w:val="00987AE0"/>
    <w:rsid w:val="0099178D"/>
    <w:rsid w:val="009923A9"/>
    <w:rsid w:val="00996071"/>
    <w:rsid w:val="009964CD"/>
    <w:rsid w:val="00997637"/>
    <w:rsid w:val="009A27D2"/>
    <w:rsid w:val="009A3E4B"/>
    <w:rsid w:val="009A430A"/>
    <w:rsid w:val="009A53C8"/>
    <w:rsid w:val="009A6414"/>
    <w:rsid w:val="009B3D65"/>
    <w:rsid w:val="009B426B"/>
    <w:rsid w:val="009B5513"/>
    <w:rsid w:val="009B626F"/>
    <w:rsid w:val="009B6E34"/>
    <w:rsid w:val="009B7251"/>
    <w:rsid w:val="009C0ABF"/>
    <w:rsid w:val="009C43E7"/>
    <w:rsid w:val="009D14CA"/>
    <w:rsid w:val="009D3DD7"/>
    <w:rsid w:val="009D5757"/>
    <w:rsid w:val="009D7DB0"/>
    <w:rsid w:val="009E1D78"/>
    <w:rsid w:val="009E20AB"/>
    <w:rsid w:val="009E295D"/>
    <w:rsid w:val="009E5B17"/>
    <w:rsid w:val="009E78B5"/>
    <w:rsid w:val="009E7925"/>
    <w:rsid w:val="009E798E"/>
    <w:rsid w:val="009F1127"/>
    <w:rsid w:val="009F6FBF"/>
    <w:rsid w:val="009F70DC"/>
    <w:rsid w:val="009F7794"/>
    <w:rsid w:val="00A001C3"/>
    <w:rsid w:val="00A00946"/>
    <w:rsid w:val="00A026E0"/>
    <w:rsid w:val="00A02C15"/>
    <w:rsid w:val="00A0349A"/>
    <w:rsid w:val="00A04427"/>
    <w:rsid w:val="00A04B91"/>
    <w:rsid w:val="00A04D83"/>
    <w:rsid w:val="00A054B0"/>
    <w:rsid w:val="00A069E1"/>
    <w:rsid w:val="00A1019C"/>
    <w:rsid w:val="00A11648"/>
    <w:rsid w:val="00A13704"/>
    <w:rsid w:val="00A2029A"/>
    <w:rsid w:val="00A23518"/>
    <w:rsid w:val="00A24878"/>
    <w:rsid w:val="00A25ED4"/>
    <w:rsid w:val="00A26E89"/>
    <w:rsid w:val="00A30DC0"/>
    <w:rsid w:val="00A32D0C"/>
    <w:rsid w:val="00A33868"/>
    <w:rsid w:val="00A3587B"/>
    <w:rsid w:val="00A41956"/>
    <w:rsid w:val="00A42756"/>
    <w:rsid w:val="00A43EB3"/>
    <w:rsid w:val="00A44DD4"/>
    <w:rsid w:val="00A47DD9"/>
    <w:rsid w:val="00A50FB9"/>
    <w:rsid w:val="00A51F4E"/>
    <w:rsid w:val="00A5397B"/>
    <w:rsid w:val="00A54DA6"/>
    <w:rsid w:val="00A57D58"/>
    <w:rsid w:val="00A60772"/>
    <w:rsid w:val="00A6116D"/>
    <w:rsid w:val="00A61ACE"/>
    <w:rsid w:val="00A65F2C"/>
    <w:rsid w:val="00A71DC3"/>
    <w:rsid w:val="00A72188"/>
    <w:rsid w:val="00A734EF"/>
    <w:rsid w:val="00A737D3"/>
    <w:rsid w:val="00A73873"/>
    <w:rsid w:val="00A8041F"/>
    <w:rsid w:val="00A8062A"/>
    <w:rsid w:val="00A807A5"/>
    <w:rsid w:val="00A81652"/>
    <w:rsid w:val="00A842F8"/>
    <w:rsid w:val="00A8458D"/>
    <w:rsid w:val="00A87B0A"/>
    <w:rsid w:val="00A93198"/>
    <w:rsid w:val="00A93E2D"/>
    <w:rsid w:val="00A9668D"/>
    <w:rsid w:val="00A97137"/>
    <w:rsid w:val="00AA1BF0"/>
    <w:rsid w:val="00AA4441"/>
    <w:rsid w:val="00AA4EE1"/>
    <w:rsid w:val="00AA5045"/>
    <w:rsid w:val="00AA73FE"/>
    <w:rsid w:val="00AA7D8F"/>
    <w:rsid w:val="00AB14AF"/>
    <w:rsid w:val="00AB1B67"/>
    <w:rsid w:val="00AB3FDD"/>
    <w:rsid w:val="00AB62DA"/>
    <w:rsid w:val="00AC390C"/>
    <w:rsid w:val="00AC51F3"/>
    <w:rsid w:val="00AC532F"/>
    <w:rsid w:val="00AC710B"/>
    <w:rsid w:val="00AC768E"/>
    <w:rsid w:val="00AC7B67"/>
    <w:rsid w:val="00AD0B89"/>
    <w:rsid w:val="00AD2C66"/>
    <w:rsid w:val="00AD47D4"/>
    <w:rsid w:val="00AD62D8"/>
    <w:rsid w:val="00AE1546"/>
    <w:rsid w:val="00AE1C05"/>
    <w:rsid w:val="00AE33D9"/>
    <w:rsid w:val="00AE7A63"/>
    <w:rsid w:val="00AF267E"/>
    <w:rsid w:val="00AF63C3"/>
    <w:rsid w:val="00AF7CE1"/>
    <w:rsid w:val="00B00E7C"/>
    <w:rsid w:val="00B011E3"/>
    <w:rsid w:val="00B0301F"/>
    <w:rsid w:val="00B0351C"/>
    <w:rsid w:val="00B03934"/>
    <w:rsid w:val="00B048B1"/>
    <w:rsid w:val="00B11686"/>
    <w:rsid w:val="00B12C6B"/>
    <w:rsid w:val="00B13276"/>
    <w:rsid w:val="00B139D9"/>
    <w:rsid w:val="00B22DD8"/>
    <w:rsid w:val="00B26826"/>
    <w:rsid w:val="00B31D15"/>
    <w:rsid w:val="00B31D8E"/>
    <w:rsid w:val="00B32E81"/>
    <w:rsid w:val="00B34146"/>
    <w:rsid w:val="00B351C5"/>
    <w:rsid w:val="00B437D7"/>
    <w:rsid w:val="00B43C10"/>
    <w:rsid w:val="00B46744"/>
    <w:rsid w:val="00B477DB"/>
    <w:rsid w:val="00B50307"/>
    <w:rsid w:val="00B5050B"/>
    <w:rsid w:val="00B50EBF"/>
    <w:rsid w:val="00B53ED3"/>
    <w:rsid w:val="00B54E3D"/>
    <w:rsid w:val="00B551E4"/>
    <w:rsid w:val="00B55214"/>
    <w:rsid w:val="00B55FAF"/>
    <w:rsid w:val="00B57779"/>
    <w:rsid w:val="00B6147F"/>
    <w:rsid w:val="00B64AEB"/>
    <w:rsid w:val="00B64D08"/>
    <w:rsid w:val="00B70A39"/>
    <w:rsid w:val="00B70AB2"/>
    <w:rsid w:val="00B72EEE"/>
    <w:rsid w:val="00B73921"/>
    <w:rsid w:val="00B76F72"/>
    <w:rsid w:val="00B809B1"/>
    <w:rsid w:val="00B81E96"/>
    <w:rsid w:val="00B824F1"/>
    <w:rsid w:val="00B87183"/>
    <w:rsid w:val="00B92AD4"/>
    <w:rsid w:val="00B93F42"/>
    <w:rsid w:val="00BA1684"/>
    <w:rsid w:val="00BA61BC"/>
    <w:rsid w:val="00BB1819"/>
    <w:rsid w:val="00BB42DF"/>
    <w:rsid w:val="00BB4EBA"/>
    <w:rsid w:val="00BB5DA9"/>
    <w:rsid w:val="00BC014F"/>
    <w:rsid w:val="00BC0164"/>
    <w:rsid w:val="00BC28D4"/>
    <w:rsid w:val="00BC5B54"/>
    <w:rsid w:val="00BC751C"/>
    <w:rsid w:val="00BC78A2"/>
    <w:rsid w:val="00BD142D"/>
    <w:rsid w:val="00BD3F95"/>
    <w:rsid w:val="00BD505D"/>
    <w:rsid w:val="00BD61A7"/>
    <w:rsid w:val="00BE09CA"/>
    <w:rsid w:val="00BE114C"/>
    <w:rsid w:val="00BE1549"/>
    <w:rsid w:val="00BE7761"/>
    <w:rsid w:val="00BF03A9"/>
    <w:rsid w:val="00BF0F57"/>
    <w:rsid w:val="00BF14BC"/>
    <w:rsid w:val="00BF7292"/>
    <w:rsid w:val="00C00948"/>
    <w:rsid w:val="00C00B4A"/>
    <w:rsid w:val="00C01589"/>
    <w:rsid w:val="00C047F9"/>
    <w:rsid w:val="00C06CDB"/>
    <w:rsid w:val="00C06D0F"/>
    <w:rsid w:val="00C070FB"/>
    <w:rsid w:val="00C10E31"/>
    <w:rsid w:val="00C118B0"/>
    <w:rsid w:val="00C13799"/>
    <w:rsid w:val="00C2460C"/>
    <w:rsid w:val="00C24977"/>
    <w:rsid w:val="00C2552A"/>
    <w:rsid w:val="00C308BE"/>
    <w:rsid w:val="00C31F5F"/>
    <w:rsid w:val="00C32053"/>
    <w:rsid w:val="00C36154"/>
    <w:rsid w:val="00C40FD8"/>
    <w:rsid w:val="00C41733"/>
    <w:rsid w:val="00C43D44"/>
    <w:rsid w:val="00C462C4"/>
    <w:rsid w:val="00C55A65"/>
    <w:rsid w:val="00C60C71"/>
    <w:rsid w:val="00C632B3"/>
    <w:rsid w:val="00C63B7C"/>
    <w:rsid w:val="00C70D48"/>
    <w:rsid w:val="00C71038"/>
    <w:rsid w:val="00C73621"/>
    <w:rsid w:val="00C7592C"/>
    <w:rsid w:val="00C77158"/>
    <w:rsid w:val="00C77DFE"/>
    <w:rsid w:val="00C80D4B"/>
    <w:rsid w:val="00C8278A"/>
    <w:rsid w:val="00C8558C"/>
    <w:rsid w:val="00C85ABE"/>
    <w:rsid w:val="00C90A57"/>
    <w:rsid w:val="00C91F07"/>
    <w:rsid w:val="00C92120"/>
    <w:rsid w:val="00C942FC"/>
    <w:rsid w:val="00C966DA"/>
    <w:rsid w:val="00C976B2"/>
    <w:rsid w:val="00CA1213"/>
    <w:rsid w:val="00CA2E29"/>
    <w:rsid w:val="00CA3607"/>
    <w:rsid w:val="00CA72F1"/>
    <w:rsid w:val="00CB0CF2"/>
    <w:rsid w:val="00CB2DCB"/>
    <w:rsid w:val="00CB4591"/>
    <w:rsid w:val="00CB6F85"/>
    <w:rsid w:val="00CC0473"/>
    <w:rsid w:val="00CC1794"/>
    <w:rsid w:val="00CC1E8D"/>
    <w:rsid w:val="00CC3970"/>
    <w:rsid w:val="00CC3ED1"/>
    <w:rsid w:val="00CC4988"/>
    <w:rsid w:val="00CD241B"/>
    <w:rsid w:val="00CD66D5"/>
    <w:rsid w:val="00CE0A40"/>
    <w:rsid w:val="00CE1852"/>
    <w:rsid w:val="00CE2946"/>
    <w:rsid w:val="00CE4329"/>
    <w:rsid w:val="00CE7FAE"/>
    <w:rsid w:val="00CF1014"/>
    <w:rsid w:val="00CF1B1B"/>
    <w:rsid w:val="00CF5093"/>
    <w:rsid w:val="00CF7619"/>
    <w:rsid w:val="00D00EA0"/>
    <w:rsid w:val="00D01999"/>
    <w:rsid w:val="00D01A50"/>
    <w:rsid w:val="00D044E8"/>
    <w:rsid w:val="00D05D33"/>
    <w:rsid w:val="00D160F3"/>
    <w:rsid w:val="00D17B72"/>
    <w:rsid w:val="00D17E86"/>
    <w:rsid w:val="00D201E6"/>
    <w:rsid w:val="00D20FFB"/>
    <w:rsid w:val="00D23118"/>
    <w:rsid w:val="00D2517E"/>
    <w:rsid w:val="00D25CD7"/>
    <w:rsid w:val="00D3261D"/>
    <w:rsid w:val="00D33A08"/>
    <w:rsid w:val="00D35F06"/>
    <w:rsid w:val="00D36226"/>
    <w:rsid w:val="00D37F26"/>
    <w:rsid w:val="00D455D4"/>
    <w:rsid w:val="00D45E62"/>
    <w:rsid w:val="00D46DC4"/>
    <w:rsid w:val="00D5062B"/>
    <w:rsid w:val="00D53541"/>
    <w:rsid w:val="00D55E39"/>
    <w:rsid w:val="00D60633"/>
    <w:rsid w:val="00D620FF"/>
    <w:rsid w:val="00D63E1C"/>
    <w:rsid w:val="00D64EFA"/>
    <w:rsid w:val="00D65A90"/>
    <w:rsid w:val="00D65BF3"/>
    <w:rsid w:val="00D73D35"/>
    <w:rsid w:val="00D74C34"/>
    <w:rsid w:val="00D761E4"/>
    <w:rsid w:val="00D7679A"/>
    <w:rsid w:val="00D76A3B"/>
    <w:rsid w:val="00D83505"/>
    <w:rsid w:val="00D872B1"/>
    <w:rsid w:val="00D91D07"/>
    <w:rsid w:val="00DA55F6"/>
    <w:rsid w:val="00DC1CC0"/>
    <w:rsid w:val="00DC273F"/>
    <w:rsid w:val="00DC38B8"/>
    <w:rsid w:val="00DC4475"/>
    <w:rsid w:val="00DC58C0"/>
    <w:rsid w:val="00DC6337"/>
    <w:rsid w:val="00DD3A2B"/>
    <w:rsid w:val="00DD61DE"/>
    <w:rsid w:val="00DD7094"/>
    <w:rsid w:val="00DE11A5"/>
    <w:rsid w:val="00DE14E1"/>
    <w:rsid w:val="00DE16B3"/>
    <w:rsid w:val="00DE25A0"/>
    <w:rsid w:val="00DE4E91"/>
    <w:rsid w:val="00DF0B35"/>
    <w:rsid w:val="00DF39D2"/>
    <w:rsid w:val="00DF56A7"/>
    <w:rsid w:val="00DF6BBB"/>
    <w:rsid w:val="00DF7125"/>
    <w:rsid w:val="00E017F3"/>
    <w:rsid w:val="00E01912"/>
    <w:rsid w:val="00E02FD6"/>
    <w:rsid w:val="00E037D6"/>
    <w:rsid w:val="00E04749"/>
    <w:rsid w:val="00E07A22"/>
    <w:rsid w:val="00E16674"/>
    <w:rsid w:val="00E21911"/>
    <w:rsid w:val="00E2417A"/>
    <w:rsid w:val="00E25B4B"/>
    <w:rsid w:val="00E26437"/>
    <w:rsid w:val="00E306F0"/>
    <w:rsid w:val="00E37F4B"/>
    <w:rsid w:val="00E411A9"/>
    <w:rsid w:val="00E42584"/>
    <w:rsid w:val="00E4350D"/>
    <w:rsid w:val="00E4387D"/>
    <w:rsid w:val="00E43A22"/>
    <w:rsid w:val="00E5325E"/>
    <w:rsid w:val="00E54CEB"/>
    <w:rsid w:val="00E557D7"/>
    <w:rsid w:val="00E55E85"/>
    <w:rsid w:val="00E55EED"/>
    <w:rsid w:val="00E560EA"/>
    <w:rsid w:val="00E56AF6"/>
    <w:rsid w:val="00E62588"/>
    <w:rsid w:val="00E6313E"/>
    <w:rsid w:val="00E7396A"/>
    <w:rsid w:val="00E73FD6"/>
    <w:rsid w:val="00E74EFA"/>
    <w:rsid w:val="00E75850"/>
    <w:rsid w:val="00E76CD4"/>
    <w:rsid w:val="00E86CF4"/>
    <w:rsid w:val="00E90586"/>
    <w:rsid w:val="00E9183E"/>
    <w:rsid w:val="00E91C1D"/>
    <w:rsid w:val="00E935D0"/>
    <w:rsid w:val="00E936B6"/>
    <w:rsid w:val="00E94476"/>
    <w:rsid w:val="00E9455C"/>
    <w:rsid w:val="00E948E4"/>
    <w:rsid w:val="00E960BA"/>
    <w:rsid w:val="00E96C90"/>
    <w:rsid w:val="00E9768D"/>
    <w:rsid w:val="00EA067A"/>
    <w:rsid w:val="00EA1A26"/>
    <w:rsid w:val="00EA2F92"/>
    <w:rsid w:val="00EA5A23"/>
    <w:rsid w:val="00EA7141"/>
    <w:rsid w:val="00EB27E9"/>
    <w:rsid w:val="00EB5774"/>
    <w:rsid w:val="00EB6169"/>
    <w:rsid w:val="00EB64CF"/>
    <w:rsid w:val="00EB74A3"/>
    <w:rsid w:val="00EC1F3E"/>
    <w:rsid w:val="00EC65CA"/>
    <w:rsid w:val="00EC7C2A"/>
    <w:rsid w:val="00ED29CD"/>
    <w:rsid w:val="00ED2C01"/>
    <w:rsid w:val="00ED6E9E"/>
    <w:rsid w:val="00ED734A"/>
    <w:rsid w:val="00ED7B9C"/>
    <w:rsid w:val="00EE2467"/>
    <w:rsid w:val="00EE3131"/>
    <w:rsid w:val="00EE6D9A"/>
    <w:rsid w:val="00EE7426"/>
    <w:rsid w:val="00EF0027"/>
    <w:rsid w:val="00EF0F49"/>
    <w:rsid w:val="00EF26EB"/>
    <w:rsid w:val="00EF291C"/>
    <w:rsid w:val="00EF51CC"/>
    <w:rsid w:val="00EF584E"/>
    <w:rsid w:val="00EF697C"/>
    <w:rsid w:val="00F007F5"/>
    <w:rsid w:val="00F01D4C"/>
    <w:rsid w:val="00F02583"/>
    <w:rsid w:val="00F04C12"/>
    <w:rsid w:val="00F052B6"/>
    <w:rsid w:val="00F059B1"/>
    <w:rsid w:val="00F10D6D"/>
    <w:rsid w:val="00F1152E"/>
    <w:rsid w:val="00F115D4"/>
    <w:rsid w:val="00F132BB"/>
    <w:rsid w:val="00F13641"/>
    <w:rsid w:val="00F14219"/>
    <w:rsid w:val="00F146A7"/>
    <w:rsid w:val="00F14A3D"/>
    <w:rsid w:val="00F1565A"/>
    <w:rsid w:val="00F156C3"/>
    <w:rsid w:val="00F25E14"/>
    <w:rsid w:val="00F271F7"/>
    <w:rsid w:val="00F36B32"/>
    <w:rsid w:val="00F444F7"/>
    <w:rsid w:val="00F45722"/>
    <w:rsid w:val="00F462EB"/>
    <w:rsid w:val="00F50082"/>
    <w:rsid w:val="00F519C6"/>
    <w:rsid w:val="00F51B2D"/>
    <w:rsid w:val="00F54B9B"/>
    <w:rsid w:val="00F55497"/>
    <w:rsid w:val="00F55F4D"/>
    <w:rsid w:val="00F56075"/>
    <w:rsid w:val="00F57A5E"/>
    <w:rsid w:val="00F62599"/>
    <w:rsid w:val="00F62C3C"/>
    <w:rsid w:val="00F63B47"/>
    <w:rsid w:val="00F64602"/>
    <w:rsid w:val="00F655EA"/>
    <w:rsid w:val="00F65701"/>
    <w:rsid w:val="00F7230C"/>
    <w:rsid w:val="00F74C22"/>
    <w:rsid w:val="00F80B2F"/>
    <w:rsid w:val="00F81D1A"/>
    <w:rsid w:val="00F83046"/>
    <w:rsid w:val="00F84389"/>
    <w:rsid w:val="00F851EC"/>
    <w:rsid w:val="00F854CA"/>
    <w:rsid w:val="00F855A7"/>
    <w:rsid w:val="00F86B1F"/>
    <w:rsid w:val="00F87A5C"/>
    <w:rsid w:val="00F87AF0"/>
    <w:rsid w:val="00F94259"/>
    <w:rsid w:val="00F96F1F"/>
    <w:rsid w:val="00FA0025"/>
    <w:rsid w:val="00FA0E7F"/>
    <w:rsid w:val="00FA24B0"/>
    <w:rsid w:val="00FA4314"/>
    <w:rsid w:val="00FA44B8"/>
    <w:rsid w:val="00FA45BB"/>
    <w:rsid w:val="00FA5099"/>
    <w:rsid w:val="00FA72FD"/>
    <w:rsid w:val="00FB04B7"/>
    <w:rsid w:val="00FB698B"/>
    <w:rsid w:val="00FC2F44"/>
    <w:rsid w:val="00FC62BC"/>
    <w:rsid w:val="00FC63D2"/>
    <w:rsid w:val="00FD1481"/>
    <w:rsid w:val="00FD30D6"/>
    <w:rsid w:val="00FD6378"/>
    <w:rsid w:val="00FE2612"/>
    <w:rsid w:val="00FE2DE8"/>
    <w:rsid w:val="00FE7F47"/>
    <w:rsid w:val="00FF018B"/>
    <w:rsid w:val="00FF0708"/>
    <w:rsid w:val="00FF0CF2"/>
    <w:rsid w:val="00FF170B"/>
    <w:rsid w:val="00FF3038"/>
    <w:rsid w:val="00FF432E"/>
    <w:rsid w:val="00FF47AC"/>
    <w:rsid w:val="00FF7048"/>
    <w:rsid w:val="00FF7BA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eaeaea"/>
    </o:shapedefaults>
    <o:shapelayout v:ext="edit">
      <o:idmap v:ext="edit" data="1"/>
    </o:shapelayout>
  </w:shapeDefaults>
  <w:decimalSymbol w:val="."/>
  <w:listSeparator w:val=","/>
  <w15:docId w15:val="{2D89008B-E524-4214-9296-C55D1D76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6F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2D5B99"/>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0D37AC"/>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8C642F"/>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0D37AC"/>
    <w:pPr>
      <w:spacing w:after="120" w:line="180" w:lineRule="exact"/>
      <w:jc w:val="both"/>
    </w:pPr>
    <w:rPr>
      <w:rFonts w:ascii="Arial" w:hAnsi="Arial"/>
      <w:sz w:val="14"/>
      <w:szCs w:val="14"/>
      <w:lang w:val="en-GB"/>
    </w:rPr>
  </w:style>
  <w:style w:type="paragraph" w:customStyle="1" w:styleId="TableHead">
    <w:name w:val="TableHead"/>
    <w:basedOn w:val="TableCaption"/>
    <w:qFormat/>
    <w:rsid w:val="00EF51CC"/>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8C642F"/>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HAcknowledgements">
    <w:name w:val="HAcknowledgements"/>
    <w:basedOn w:val="Normal"/>
    <w:qFormat/>
    <w:rsid w:val="008C642F"/>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8C642F"/>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2D5B99"/>
    <w:pPr>
      <w:spacing w:after="360" w:line="225" w:lineRule="exact"/>
      <w:jc w:val="both"/>
    </w:pPr>
    <w:rPr>
      <w:rFonts w:ascii="Arial" w:hAnsi="Arial"/>
      <w:sz w:val="16"/>
      <w:szCs w:val="20"/>
      <w:lang w:val="en-GB"/>
    </w:rPr>
  </w:style>
  <w:style w:type="paragraph" w:customStyle="1" w:styleId="P1">
    <w:name w:val="P1"/>
    <w:basedOn w:val="P1withoutIndendation"/>
    <w:qFormat/>
    <w:rsid w:val="009A3E4B"/>
    <w:rPr>
      <w:lang w:val="en-US"/>
    </w:rPr>
  </w:style>
  <w:style w:type="paragraph" w:customStyle="1" w:styleId="H1">
    <w:name w:val="H1"/>
    <w:basedOn w:val="Normal"/>
    <w:qFormat/>
    <w:rsid w:val="00A93E2D"/>
    <w:pPr>
      <w:spacing w:before="480" w:after="230" w:line="225" w:lineRule="exact"/>
    </w:pPr>
    <w:rPr>
      <w:rFonts w:ascii="Arial" w:hAnsi="Arial"/>
      <w:b/>
      <w:sz w:val="22"/>
      <w:lang w:val="en-GB"/>
    </w:rPr>
  </w:style>
  <w:style w:type="character" w:styleId="CommentReference">
    <w:name w:val="annotation reference"/>
    <w:basedOn w:val="DefaultParagraphFont"/>
    <w:uiPriority w:val="99"/>
    <w:semiHidden/>
    <w:unhideWhenUsed/>
    <w:rsid w:val="00161E13"/>
    <w:rPr>
      <w:sz w:val="16"/>
      <w:szCs w:val="16"/>
    </w:rPr>
  </w:style>
  <w:style w:type="paragraph" w:styleId="CommentText">
    <w:name w:val="annotation text"/>
    <w:basedOn w:val="Normal"/>
    <w:link w:val="CommentTextChar"/>
    <w:uiPriority w:val="99"/>
    <w:semiHidden/>
    <w:unhideWhenUsed/>
    <w:rsid w:val="00161E13"/>
    <w:rPr>
      <w:sz w:val="20"/>
      <w:szCs w:val="20"/>
    </w:rPr>
  </w:style>
  <w:style w:type="character" w:customStyle="1" w:styleId="CommentTextChar">
    <w:name w:val="Comment Text Char"/>
    <w:basedOn w:val="DefaultParagraphFont"/>
    <w:link w:val="CommentText"/>
    <w:uiPriority w:val="99"/>
    <w:semiHidden/>
    <w:rsid w:val="00161E13"/>
    <w:rPr>
      <w:lang w:val="de-DE" w:eastAsia="ja-JP"/>
    </w:rPr>
  </w:style>
  <w:style w:type="paragraph" w:styleId="CommentSubject">
    <w:name w:val="annotation subject"/>
    <w:basedOn w:val="CommentText"/>
    <w:next w:val="CommentText"/>
    <w:link w:val="CommentSubjectChar"/>
    <w:uiPriority w:val="99"/>
    <w:semiHidden/>
    <w:unhideWhenUsed/>
    <w:rsid w:val="00161E13"/>
    <w:rPr>
      <w:b/>
      <w:bCs/>
    </w:rPr>
  </w:style>
  <w:style w:type="character" w:customStyle="1" w:styleId="CommentSubjectChar">
    <w:name w:val="Comment Subject Char"/>
    <w:basedOn w:val="CommentTextChar"/>
    <w:link w:val="CommentSubject"/>
    <w:uiPriority w:val="99"/>
    <w:semiHidden/>
    <w:rsid w:val="00161E13"/>
    <w:rPr>
      <w:b/>
      <w:bCs/>
      <w:lang w:val="de-DE" w:eastAsia="ja-JP"/>
    </w:rPr>
  </w:style>
  <w:style w:type="paragraph" w:customStyle="1" w:styleId="RSCF01FootnoteAuthorAddress">
    <w:name w:val="RSC F01 Footnote Author Address"/>
    <w:link w:val="RSCF01FootnoteAuthorAddressChar"/>
    <w:qFormat/>
    <w:rsid w:val="00585399"/>
    <w:pPr>
      <w:numPr>
        <w:numId w:val="1"/>
      </w:numPr>
      <w:pBdr>
        <w:top w:val="single" w:sz="12" w:space="1" w:color="A6A6A6" w:themeColor="background1" w:themeShade="A6"/>
      </w:pBdr>
      <w:ind w:left="85" w:hanging="85"/>
      <w:suppressOverlap/>
    </w:pPr>
    <w:rPr>
      <w:rFonts w:asciiTheme="minorHAnsi" w:eastAsiaTheme="minorEastAsia" w:hAnsiTheme="minorHAnsi"/>
      <w:i/>
      <w:w w:val="105"/>
      <w:sz w:val="14"/>
      <w:szCs w:val="14"/>
      <w:lang w:val="en-GB" w:eastAsia="en-GB"/>
    </w:rPr>
  </w:style>
  <w:style w:type="character" w:customStyle="1" w:styleId="RSCF01FootnoteAuthorAddressChar">
    <w:name w:val="RSC F01 Footnote Author Address Char"/>
    <w:basedOn w:val="DefaultParagraphFont"/>
    <w:link w:val="RSCF01FootnoteAuthorAddress"/>
    <w:rsid w:val="00585399"/>
    <w:rPr>
      <w:rFonts w:asciiTheme="minorHAnsi" w:eastAsiaTheme="minorEastAsia" w:hAnsiTheme="minorHAnsi"/>
      <w:i/>
      <w:w w:val="105"/>
      <w:sz w:val="14"/>
      <w:szCs w:val="14"/>
      <w:lang w:val="en-GB" w:eastAsia="en-GB"/>
    </w:rPr>
  </w:style>
  <w:style w:type="paragraph" w:customStyle="1" w:styleId="RSCT03TableBody">
    <w:name w:val="RSC T03 Table Body"/>
    <w:basedOn w:val="Normal"/>
    <w:link w:val="RSCT03TableBodyChar"/>
    <w:qFormat/>
    <w:rsid w:val="00585399"/>
    <w:pPr>
      <w:keepNext/>
      <w:keepLines/>
      <w:spacing w:line="220" w:lineRule="exact"/>
      <w:jc w:val="center"/>
    </w:pPr>
    <w:rPr>
      <w:rFonts w:asciiTheme="minorHAnsi" w:eastAsia="Times New Roman" w:hAnsiTheme="minorHAnsi"/>
      <w:sz w:val="16"/>
      <w:szCs w:val="16"/>
      <w:lang w:val="en-GB" w:eastAsia="en-GB"/>
    </w:rPr>
  </w:style>
  <w:style w:type="character" w:customStyle="1" w:styleId="RSCT03TableBodyChar">
    <w:name w:val="RSC T03 Table Body Char"/>
    <w:basedOn w:val="DefaultParagraphFont"/>
    <w:link w:val="RSCT03TableBody"/>
    <w:rsid w:val="00585399"/>
    <w:rPr>
      <w:rFonts w:asciiTheme="minorHAnsi" w:eastAsia="Times New Roman" w:hAnsiTheme="minorHAnsi"/>
      <w:sz w:val="16"/>
      <w:szCs w:val="16"/>
      <w:lang w:val="en-GB" w:eastAsia="en-GB"/>
    </w:rPr>
  </w:style>
  <w:style w:type="character" w:styleId="Hyperlink">
    <w:name w:val="Hyperlink"/>
    <w:basedOn w:val="DefaultParagraphFont"/>
    <w:uiPriority w:val="99"/>
    <w:unhideWhenUsed/>
    <w:rsid w:val="006478CC"/>
    <w:rPr>
      <w:color w:val="0563C1" w:themeColor="hyperlink"/>
      <w:u w:val="single"/>
    </w:rPr>
  </w:style>
  <w:style w:type="character" w:styleId="Strong">
    <w:name w:val="Strong"/>
    <w:basedOn w:val="DefaultParagraphFont"/>
    <w:uiPriority w:val="22"/>
    <w:qFormat/>
    <w:rsid w:val="00647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hyperlink" Target="http://pubs.rsc.org/en/results?searchtext=Author%3AEvgeny%20Larionov" TargetMode="External"/><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pubs.rsc.org/en/results?searchtext=Author%3AChandan%20D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emf"/><Relationship Id="rId10" Type="http://schemas.openxmlformats.org/officeDocument/2006/relationships/header" Target="header3.xml"/><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hyperlink" Target="http://pubs.rsc.org/en/results?searchtext=Author%3AE.%20Peter%20K%C3%BCnd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o\AppData\Local\Temp\Temp1_wvch_short_communication_2005_2046_dot.zip\commun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communication.dot</Template>
  <TotalTime>0</TotalTime>
  <Pages>10</Pages>
  <Words>3093</Words>
  <Characters>17635</Characters>
  <Application>Microsoft Office Word</Application>
  <DocSecurity>4</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timbo</dc:creator>
  <cp:keywords/>
  <dc:description/>
  <cp:lastModifiedBy>Matthew Wigzell</cp:lastModifiedBy>
  <cp:revision>2</cp:revision>
  <cp:lastPrinted>2014-03-21T18:01:00Z</cp:lastPrinted>
  <dcterms:created xsi:type="dcterms:W3CDTF">2017-01-30T09:28:00Z</dcterms:created>
  <dcterms:modified xsi:type="dcterms:W3CDTF">2017-01-30T09:28:00Z</dcterms:modified>
</cp:coreProperties>
</file>