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139E" w14:textId="54242D47" w:rsidR="00526FE9" w:rsidRPr="004F1D23" w:rsidRDefault="003E2D4B" w:rsidP="00914FAF">
      <w:pPr>
        <w:jc w:val="both"/>
        <w:rPr>
          <w:rFonts w:ascii="Times" w:hAnsi="Times"/>
          <w:b/>
          <w:i/>
        </w:rPr>
      </w:pPr>
      <w:r w:rsidRPr="004F1D23">
        <w:rPr>
          <w:rFonts w:ascii="Times" w:hAnsi="Times"/>
          <w:b/>
        </w:rPr>
        <w:t xml:space="preserve">The ECJ sacrifices </w:t>
      </w:r>
      <w:r w:rsidR="00AA7395" w:rsidRPr="004F1D23">
        <w:rPr>
          <w:rFonts w:ascii="Times" w:hAnsi="Times"/>
          <w:b/>
        </w:rPr>
        <w:t xml:space="preserve">EU citizenship in vain: </w:t>
      </w:r>
      <w:r w:rsidR="0094773E" w:rsidRPr="004F1D23">
        <w:rPr>
          <w:rFonts w:ascii="Times" w:hAnsi="Times"/>
          <w:b/>
          <w:i/>
        </w:rPr>
        <w:t>Commission v UK</w:t>
      </w:r>
    </w:p>
    <w:p w14:paraId="72EAC59A" w14:textId="77777777" w:rsidR="00B941DA" w:rsidRPr="004F1D23" w:rsidRDefault="00B941DA" w:rsidP="00914FAF">
      <w:pPr>
        <w:jc w:val="both"/>
        <w:rPr>
          <w:rFonts w:ascii="Times" w:hAnsi="Times"/>
          <w:i/>
        </w:rPr>
      </w:pPr>
    </w:p>
    <w:p w14:paraId="33AB9ABC" w14:textId="3D704F36" w:rsidR="00B941DA" w:rsidRPr="004F1D23" w:rsidRDefault="00B941DA" w:rsidP="00914FAF">
      <w:pPr>
        <w:jc w:val="both"/>
        <w:rPr>
          <w:rFonts w:ascii="Times" w:eastAsia="Times New Roman" w:hAnsi="Times" w:cs="Times New Roman"/>
        </w:rPr>
      </w:pPr>
      <w:r w:rsidRPr="004F1D23">
        <w:rPr>
          <w:rFonts w:ascii="Times" w:hAnsi="Times"/>
        </w:rPr>
        <w:t xml:space="preserve">Case C-308/14 </w:t>
      </w:r>
      <w:r w:rsidRPr="004F1D23">
        <w:rPr>
          <w:rFonts w:ascii="Times" w:hAnsi="Times"/>
          <w:i/>
        </w:rPr>
        <w:t xml:space="preserve">Commission v UK </w:t>
      </w:r>
      <w:bookmarkStart w:id="0" w:name="http://eur-lex.europa.eu/legal-content/A"/>
      <w:r w:rsidRPr="004F1D23">
        <w:rPr>
          <w:rStyle w:val="Strong"/>
          <w:rFonts w:ascii="Times" w:eastAsia="Times New Roman" w:hAnsi="Times" w:cs="Lucida Grande"/>
          <w:b w:val="0"/>
          <w:bdr w:val="none" w:sz="0" w:space="0" w:color="auto" w:frame="1"/>
          <w:shd w:val="clear" w:color="auto" w:fill="FFFFFF"/>
        </w:rPr>
        <w:t>Judgment of the Court (First Chamber) of 14 June 2016</w:t>
      </w:r>
      <w:bookmarkEnd w:id="0"/>
      <w:r w:rsidR="00702EC3" w:rsidRPr="004F1D23">
        <w:rPr>
          <w:rStyle w:val="Strong"/>
          <w:rFonts w:ascii="Times" w:eastAsia="Times New Roman" w:hAnsi="Times" w:cs="Lucida Grande"/>
          <w:bdr w:val="none" w:sz="0" w:space="0" w:color="auto" w:frame="1"/>
          <w:shd w:val="clear" w:color="auto" w:fill="FFFFFF"/>
        </w:rPr>
        <w:t xml:space="preserve"> </w:t>
      </w:r>
      <w:r w:rsidRPr="004F1D23">
        <w:rPr>
          <w:rFonts w:ascii="Times" w:eastAsia="Times New Roman" w:hAnsi="Times" w:cs="Lucida Grande"/>
          <w:shd w:val="clear" w:color="auto" w:fill="FFFFFF"/>
        </w:rPr>
        <w:t>EU:C:2016:436</w:t>
      </w:r>
    </w:p>
    <w:p w14:paraId="406298D6" w14:textId="77777777" w:rsidR="00B34D4B" w:rsidRPr="004F1D23" w:rsidRDefault="00B34D4B" w:rsidP="00914FAF">
      <w:pPr>
        <w:jc w:val="both"/>
        <w:rPr>
          <w:rFonts w:ascii="Times" w:hAnsi="Times"/>
        </w:rPr>
      </w:pPr>
    </w:p>
    <w:p w14:paraId="1FEF9C2A" w14:textId="77777777" w:rsidR="00D92983" w:rsidRPr="004F1D23" w:rsidRDefault="00D92983" w:rsidP="00914FAF">
      <w:pPr>
        <w:jc w:val="both"/>
        <w:rPr>
          <w:rFonts w:ascii="Times" w:hAnsi="Times"/>
          <w:b/>
        </w:rPr>
      </w:pPr>
      <w:r w:rsidRPr="004F1D23">
        <w:rPr>
          <w:rFonts w:ascii="Times" w:hAnsi="Times"/>
          <w:b/>
        </w:rPr>
        <w:t xml:space="preserve">1 Introduction </w:t>
      </w:r>
    </w:p>
    <w:p w14:paraId="373308C5" w14:textId="77777777" w:rsidR="00A80DD5" w:rsidRPr="004F1D23" w:rsidRDefault="00A80DD5" w:rsidP="00914FAF">
      <w:pPr>
        <w:jc w:val="both"/>
        <w:rPr>
          <w:rFonts w:ascii="Times" w:hAnsi="Times"/>
          <w:u w:val="single"/>
        </w:rPr>
      </w:pPr>
    </w:p>
    <w:p w14:paraId="6C211516" w14:textId="79064F60" w:rsidR="00C42F9E" w:rsidRPr="004F1D23" w:rsidRDefault="00FA1A7D" w:rsidP="00914FAF">
      <w:pPr>
        <w:jc w:val="both"/>
        <w:rPr>
          <w:rFonts w:ascii="Times" w:hAnsi="Times"/>
        </w:rPr>
      </w:pPr>
      <w:r w:rsidRPr="004F1D23">
        <w:rPr>
          <w:rFonts w:ascii="Times" w:hAnsi="Times"/>
        </w:rPr>
        <w:t>The ECJ h</w:t>
      </w:r>
      <w:r w:rsidR="001A18D8" w:rsidRPr="004F1D23">
        <w:rPr>
          <w:rFonts w:ascii="Times" w:hAnsi="Times"/>
        </w:rPr>
        <w:t>as played politics and lost. This</w:t>
      </w:r>
      <w:r w:rsidRPr="004F1D23">
        <w:rPr>
          <w:rFonts w:ascii="Times" w:hAnsi="Times"/>
        </w:rPr>
        <w:t xml:space="preserve"> judgment, touching on questions of national welfare sovereignty and the UK’s claimed prerogative to discriminate on the grounds of nationality, was released nine days before the UK referendum on EU membership.</w:t>
      </w:r>
      <w:r w:rsidR="00A53443" w:rsidRPr="004F1D23">
        <w:rPr>
          <w:rStyle w:val="FootnoteReference"/>
          <w:rFonts w:ascii="Times" w:hAnsi="Times"/>
        </w:rPr>
        <w:footnoteReference w:id="1"/>
      </w:r>
      <w:r w:rsidRPr="004F1D23">
        <w:rPr>
          <w:rFonts w:ascii="Times" w:hAnsi="Times"/>
        </w:rPr>
        <w:t xml:space="preserve"> </w:t>
      </w:r>
      <w:r w:rsidR="00F77CDE" w:rsidRPr="004F1D23">
        <w:rPr>
          <w:rFonts w:ascii="Times" w:hAnsi="Times"/>
        </w:rPr>
        <w:t>Under these circumstances</w:t>
      </w:r>
      <w:r w:rsidRPr="004F1D23">
        <w:rPr>
          <w:rFonts w:ascii="Times" w:hAnsi="Times"/>
        </w:rPr>
        <w:t xml:space="preserve">, </w:t>
      </w:r>
      <w:r w:rsidR="00F77CDE" w:rsidRPr="004F1D23">
        <w:rPr>
          <w:rFonts w:ascii="Times" w:hAnsi="Times"/>
        </w:rPr>
        <w:t xml:space="preserve">the Court </w:t>
      </w:r>
      <w:r w:rsidR="001A18D8" w:rsidRPr="004F1D23">
        <w:rPr>
          <w:rFonts w:ascii="Times" w:hAnsi="Times"/>
        </w:rPr>
        <w:t>is</w:t>
      </w:r>
      <w:r w:rsidR="00F77CDE" w:rsidRPr="004F1D23">
        <w:rPr>
          <w:rFonts w:ascii="Times" w:hAnsi="Times"/>
        </w:rPr>
        <w:t xml:space="preserve"> a </w:t>
      </w:r>
      <w:r w:rsidRPr="004F1D23">
        <w:rPr>
          <w:rFonts w:ascii="Times" w:hAnsi="Times"/>
        </w:rPr>
        <w:t>political actor</w:t>
      </w:r>
      <w:r w:rsidR="00B941DA" w:rsidRPr="004F1D23">
        <w:rPr>
          <w:rFonts w:ascii="Times" w:hAnsi="Times"/>
        </w:rPr>
        <w:t>.</w:t>
      </w:r>
      <w:r w:rsidRPr="004F1D23">
        <w:rPr>
          <w:rFonts w:ascii="Times" w:hAnsi="Times"/>
        </w:rPr>
        <w:t xml:space="preserve"> It is impossible to </w:t>
      </w:r>
      <w:r w:rsidR="003E2D4B" w:rsidRPr="004F1D23">
        <w:rPr>
          <w:rFonts w:ascii="Times" w:hAnsi="Times"/>
        </w:rPr>
        <w:t>know</w:t>
      </w:r>
      <w:r w:rsidRPr="004F1D23">
        <w:rPr>
          <w:rFonts w:ascii="Times" w:hAnsi="Times"/>
        </w:rPr>
        <w:t xml:space="preserve"> the i</w:t>
      </w:r>
      <w:r w:rsidR="00C42F9E" w:rsidRPr="004F1D23">
        <w:rPr>
          <w:rFonts w:ascii="Times" w:hAnsi="Times"/>
        </w:rPr>
        <w:t xml:space="preserve">ntersection of </w:t>
      </w:r>
      <w:r w:rsidRPr="004F1D23">
        <w:rPr>
          <w:rFonts w:ascii="Times" w:hAnsi="Times"/>
        </w:rPr>
        <w:t>legal</w:t>
      </w:r>
      <w:r w:rsidR="00C42F9E" w:rsidRPr="004F1D23">
        <w:rPr>
          <w:rFonts w:ascii="Times" w:hAnsi="Times"/>
        </w:rPr>
        <w:t xml:space="preserve"> and political </w:t>
      </w:r>
      <w:r w:rsidRPr="004F1D23">
        <w:rPr>
          <w:rFonts w:ascii="Times" w:hAnsi="Times"/>
        </w:rPr>
        <w:t>in the minds of judges, but th</w:t>
      </w:r>
      <w:r w:rsidR="004847B0" w:rsidRPr="004F1D23">
        <w:rPr>
          <w:rFonts w:ascii="Times" w:hAnsi="Times"/>
        </w:rPr>
        <w:t>ose minds</w:t>
      </w:r>
      <w:r w:rsidRPr="004F1D23">
        <w:rPr>
          <w:rFonts w:ascii="Times" w:hAnsi="Times"/>
        </w:rPr>
        <w:t xml:space="preserve"> do not operate in a vacuum. </w:t>
      </w:r>
      <w:r w:rsidR="0065774F" w:rsidRPr="004F1D23">
        <w:rPr>
          <w:rFonts w:ascii="Times" w:hAnsi="Times"/>
        </w:rPr>
        <w:t xml:space="preserve">If we were to disregard the </w:t>
      </w:r>
      <w:r w:rsidR="008656CC" w:rsidRPr="004F1D23">
        <w:rPr>
          <w:rFonts w:ascii="Times" w:hAnsi="Times"/>
        </w:rPr>
        <w:t>desire to maintain the Union</w:t>
      </w:r>
      <w:r w:rsidR="0065774F" w:rsidRPr="004F1D23">
        <w:rPr>
          <w:rFonts w:ascii="Times" w:hAnsi="Times"/>
        </w:rPr>
        <w:t>, then</w:t>
      </w:r>
      <w:r w:rsidR="008656CC" w:rsidRPr="004F1D23">
        <w:rPr>
          <w:rFonts w:ascii="Times" w:hAnsi="Times"/>
        </w:rPr>
        <w:t xml:space="preserve"> </w:t>
      </w:r>
      <w:r w:rsidR="0065774F" w:rsidRPr="004F1D23">
        <w:rPr>
          <w:rFonts w:ascii="Times" w:hAnsi="Times"/>
        </w:rPr>
        <w:t xml:space="preserve">we would be hard-pressed to explain the Court’s </w:t>
      </w:r>
      <w:r w:rsidR="002C0753" w:rsidRPr="004F1D23">
        <w:rPr>
          <w:rFonts w:ascii="Times" w:hAnsi="Times"/>
        </w:rPr>
        <w:t>choices</w:t>
      </w:r>
      <w:r w:rsidR="008656CC" w:rsidRPr="004F1D23">
        <w:rPr>
          <w:rFonts w:ascii="Times" w:hAnsi="Times"/>
        </w:rPr>
        <w:t xml:space="preserve"> </w:t>
      </w:r>
      <w:r w:rsidR="00B34D4B" w:rsidRPr="004F1D23">
        <w:rPr>
          <w:rFonts w:ascii="Times" w:hAnsi="Times"/>
        </w:rPr>
        <w:t xml:space="preserve">to </w:t>
      </w:r>
      <w:r w:rsidR="00222176" w:rsidRPr="004F1D23">
        <w:rPr>
          <w:rFonts w:ascii="Times" w:hAnsi="Times"/>
        </w:rPr>
        <w:t xml:space="preserve">avoid engaging with </w:t>
      </w:r>
      <w:r w:rsidR="008656CC" w:rsidRPr="004F1D23">
        <w:rPr>
          <w:rFonts w:ascii="Times" w:hAnsi="Times"/>
        </w:rPr>
        <w:t>key</w:t>
      </w:r>
      <w:r w:rsidR="00222176" w:rsidRPr="004F1D23">
        <w:rPr>
          <w:rFonts w:ascii="Times" w:hAnsi="Times"/>
        </w:rPr>
        <w:t xml:space="preserve"> legal provisions</w:t>
      </w:r>
      <w:r w:rsidR="00B34D4B" w:rsidRPr="004F1D23">
        <w:rPr>
          <w:rFonts w:ascii="Times" w:hAnsi="Times"/>
        </w:rPr>
        <w:t xml:space="preserve">, </w:t>
      </w:r>
      <w:r w:rsidR="00222176" w:rsidRPr="004F1D23">
        <w:rPr>
          <w:rFonts w:ascii="Times" w:hAnsi="Times"/>
        </w:rPr>
        <w:t xml:space="preserve">to </w:t>
      </w:r>
      <w:r w:rsidR="00B34D4B" w:rsidRPr="004F1D23">
        <w:rPr>
          <w:rFonts w:ascii="Times" w:hAnsi="Times"/>
        </w:rPr>
        <w:t xml:space="preserve">embroider conditions into </w:t>
      </w:r>
      <w:r w:rsidR="008656CC" w:rsidRPr="004F1D23">
        <w:rPr>
          <w:rFonts w:ascii="Times" w:hAnsi="Times"/>
        </w:rPr>
        <w:t>others</w:t>
      </w:r>
      <w:r w:rsidR="00B34D4B" w:rsidRPr="004F1D23">
        <w:rPr>
          <w:rFonts w:ascii="Times" w:hAnsi="Times"/>
        </w:rPr>
        <w:t xml:space="preserve">, </w:t>
      </w:r>
      <w:r w:rsidR="007A7A06" w:rsidRPr="004F1D23">
        <w:rPr>
          <w:rFonts w:ascii="Times" w:hAnsi="Times"/>
        </w:rPr>
        <w:t>and</w:t>
      </w:r>
      <w:r w:rsidR="00222176" w:rsidRPr="004F1D23">
        <w:rPr>
          <w:rFonts w:ascii="Times" w:hAnsi="Times"/>
        </w:rPr>
        <w:t xml:space="preserve"> to</w:t>
      </w:r>
      <w:r w:rsidR="007A7A06" w:rsidRPr="004F1D23">
        <w:rPr>
          <w:rFonts w:ascii="Times" w:hAnsi="Times"/>
        </w:rPr>
        <w:t xml:space="preserve"> sacrifice the last vestiges of EU citizenship upo</w:t>
      </w:r>
      <w:r w:rsidR="00644B0D" w:rsidRPr="004F1D23">
        <w:rPr>
          <w:rFonts w:ascii="Times" w:hAnsi="Times"/>
        </w:rPr>
        <w:t>n the altar of the UK’s nativist tendencies</w:t>
      </w:r>
      <w:r w:rsidR="00B34D4B" w:rsidRPr="004F1D23">
        <w:rPr>
          <w:rFonts w:ascii="Times" w:hAnsi="Times"/>
        </w:rPr>
        <w:t xml:space="preserve">. </w:t>
      </w:r>
    </w:p>
    <w:p w14:paraId="4C32DC09" w14:textId="77777777" w:rsidR="00C42F9E" w:rsidRPr="004F1D23" w:rsidRDefault="00C42F9E" w:rsidP="00914FAF">
      <w:pPr>
        <w:jc w:val="both"/>
        <w:rPr>
          <w:rFonts w:ascii="Times" w:hAnsi="Times"/>
        </w:rPr>
      </w:pPr>
    </w:p>
    <w:p w14:paraId="5630269A" w14:textId="15AF3365" w:rsidR="00C42F9E" w:rsidRPr="004F1D23" w:rsidRDefault="004E060D" w:rsidP="00914FAF">
      <w:pPr>
        <w:jc w:val="both"/>
        <w:rPr>
          <w:rFonts w:ascii="Times" w:hAnsi="Times"/>
        </w:rPr>
      </w:pPr>
      <w:r w:rsidRPr="004F1D23">
        <w:rPr>
          <w:rFonts w:ascii="Times" w:hAnsi="Times"/>
        </w:rPr>
        <w:t xml:space="preserve">Over decades, </w:t>
      </w:r>
      <w:r w:rsidR="00603B8B" w:rsidRPr="004F1D23">
        <w:rPr>
          <w:rFonts w:ascii="Times" w:hAnsi="Times"/>
        </w:rPr>
        <w:t xml:space="preserve">the ECJ </w:t>
      </w:r>
      <w:r w:rsidR="008656CC" w:rsidRPr="004F1D23">
        <w:rPr>
          <w:rFonts w:ascii="Times" w:hAnsi="Times"/>
        </w:rPr>
        <w:t xml:space="preserve">had </w:t>
      </w:r>
      <w:r w:rsidR="00222176" w:rsidRPr="004F1D23">
        <w:rPr>
          <w:rFonts w:ascii="Times" w:hAnsi="Times"/>
        </w:rPr>
        <w:t>painstakingly</w:t>
      </w:r>
      <w:r w:rsidR="000D379F" w:rsidRPr="004F1D23">
        <w:rPr>
          <w:rStyle w:val="FootnoteReference"/>
          <w:rFonts w:ascii="Times" w:hAnsi="Times"/>
        </w:rPr>
        <w:footnoteReference w:id="2"/>
      </w:r>
      <w:r w:rsidR="000D379F" w:rsidRPr="004F1D23">
        <w:rPr>
          <w:rFonts w:ascii="Times" w:hAnsi="Times"/>
        </w:rPr>
        <w:t xml:space="preserve"> </w:t>
      </w:r>
      <w:r w:rsidR="00222176" w:rsidRPr="004F1D23">
        <w:rPr>
          <w:rFonts w:ascii="Times" w:hAnsi="Times"/>
        </w:rPr>
        <w:t xml:space="preserve">constructed a </w:t>
      </w:r>
      <w:r w:rsidR="000D379F" w:rsidRPr="004F1D23">
        <w:rPr>
          <w:rFonts w:ascii="Times" w:hAnsi="Times"/>
        </w:rPr>
        <w:t>controversial</w:t>
      </w:r>
      <w:r w:rsidR="004847B0" w:rsidRPr="004F1D23">
        <w:rPr>
          <w:rFonts w:ascii="Times" w:hAnsi="Times"/>
        </w:rPr>
        <w:t>,</w:t>
      </w:r>
      <w:r w:rsidR="000D379F" w:rsidRPr="004F1D23">
        <w:rPr>
          <w:rStyle w:val="FootnoteReference"/>
          <w:rFonts w:ascii="Times" w:hAnsi="Times"/>
        </w:rPr>
        <w:footnoteReference w:id="3"/>
      </w:r>
      <w:r w:rsidR="000D379F" w:rsidRPr="004F1D23">
        <w:rPr>
          <w:rFonts w:ascii="Times" w:hAnsi="Times"/>
        </w:rPr>
        <w:t xml:space="preserve"> </w:t>
      </w:r>
      <w:r w:rsidR="00222176" w:rsidRPr="004F1D23">
        <w:rPr>
          <w:rFonts w:ascii="Times" w:hAnsi="Times"/>
        </w:rPr>
        <w:t>complex and subtl</w:t>
      </w:r>
      <w:r w:rsidRPr="004F1D23">
        <w:rPr>
          <w:rFonts w:ascii="Times" w:hAnsi="Times"/>
        </w:rPr>
        <w:t>e body of case law to give meaning to the ‘fundamental status’</w:t>
      </w:r>
      <w:bookmarkStart w:id="1" w:name="_Ref331419186"/>
      <w:r w:rsidRPr="004F1D23">
        <w:rPr>
          <w:rStyle w:val="FootnoteReference"/>
          <w:rFonts w:ascii="Times" w:hAnsi="Times"/>
        </w:rPr>
        <w:footnoteReference w:id="4"/>
      </w:r>
      <w:bookmarkEnd w:id="1"/>
      <w:r w:rsidRPr="004F1D23">
        <w:rPr>
          <w:rFonts w:ascii="Times" w:hAnsi="Times"/>
        </w:rPr>
        <w:t xml:space="preserve"> of EU citizenship</w:t>
      </w:r>
      <w:r w:rsidR="00222176" w:rsidRPr="004F1D23">
        <w:rPr>
          <w:rFonts w:ascii="Times" w:hAnsi="Times"/>
        </w:rPr>
        <w:t>,</w:t>
      </w:r>
      <w:r w:rsidR="000D379F" w:rsidRPr="004F1D23">
        <w:rPr>
          <w:rStyle w:val="FootnoteReference"/>
          <w:rFonts w:ascii="Times" w:hAnsi="Times"/>
        </w:rPr>
        <w:footnoteReference w:id="5"/>
      </w:r>
      <w:r w:rsidR="00222176" w:rsidRPr="004F1D23">
        <w:rPr>
          <w:rFonts w:ascii="Times" w:hAnsi="Times"/>
        </w:rPr>
        <w:t xml:space="preserve"> </w:t>
      </w:r>
      <w:r w:rsidR="00603B8B" w:rsidRPr="004F1D23">
        <w:rPr>
          <w:rFonts w:ascii="Times" w:hAnsi="Times"/>
        </w:rPr>
        <w:t>in what Adv</w:t>
      </w:r>
      <w:r w:rsidR="004847B0" w:rsidRPr="004F1D23">
        <w:rPr>
          <w:rFonts w:ascii="Times" w:hAnsi="Times"/>
        </w:rPr>
        <w:t>o</w:t>
      </w:r>
      <w:r w:rsidR="00603B8B" w:rsidRPr="004F1D23">
        <w:rPr>
          <w:rFonts w:ascii="Times" w:hAnsi="Times"/>
        </w:rPr>
        <w:t xml:space="preserve">cate General Szpunar </w:t>
      </w:r>
      <w:r w:rsidRPr="004F1D23">
        <w:rPr>
          <w:rFonts w:ascii="Times" w:hAnsi="Times"/>
        </w:rPr>
        <w:t xml:space="preserve">recently </w:t>
      </w:r>
      <w:r w:rsidR="00603B8B" w:rsidRPr="004F1D23">
        <w:rPr>
          <w:rFonts w:ascii="Times" w:hAnsi="Times"/>
        </w:rPr>
        <w:t>described as a ‘</w:t>
      </w:r>
      <w:r w:rsidRPr="004F1D23">
        <w:rPr>
          <w:rFonts w:ascii="Times" w:eastAsia="Times New Roman" w:hAnsi="Times" w:cs="Arial"/>
          <w:shd w:val="clear" w:color="auto" w:fill="FFFFFF"/>
        </w:rPr>
        <w:t>vast jurisprudential endeavour</w:t>
      </w:r>
      <w:r w:rsidR="00603B8B" w:rsidRPr="004F1D23">
        <w:rPr>
          <w:rFonts w:ascii="Times" w:eastAsia="Times New Roman" w:hAnsi="Times" w:cs="Arial"/>
          <w:shd w:val="clear" w:color="auto" w:fill="FFFFFF"/>
        </w:rPr>
        <w:t>’.</w:t>
      </w:r>
      <w:r w:rsidR="00603B8B" w:rsidRPr="004F1D23">
        <w:rPr>
          <w:rStyle w:val="FootnoteReference"/>
          <w:rFonts w:ascii="Times" w:eastAsia="Times New Roman" w:hAnsi="Times" w:cs="Arial"/>
          <w:shd w:val="clear" w:color="auto" w:fill="FFFFFF"/>
        </w:rPr>
        <w:footnoteReference w:id="6"/>
      </w:r>
      <w:r w:rsidRPr="004F1D23">
        <w:rPr>
          <w:rFonts w:ascii="Times" w:eastAsia="Times New Roman" w:hAnsi="Times" w:cs="Arial"/>
          <w:shd w:val="clear" w:color="auto" w:fill="FFFFFF"/>
        </w:rPr>
        <w:t xml:space="preserve"> In the last few </w:t>
      </w:r>
      <w:r w:rsidR="00603B8B" w:rsidRPr="004F1D23">
        <w:rPr>
          <w:rFonts w:ascii="Times" w:eastAsia="Times New Roman" w:hAnsi="Times" w:cs="Arial"/>
          <w:shd w:val="clear" w:color="auto" w:fill="FFFFFF"/>
        </w:rPr>
        <w:t xml:space="preserve">years, however, </w:t>
      </w:r>
      <w:r w:rsidR="00603B8B" w:rsidRPr="004F1D23">
        <w:rPr>
          <w:rFonts w:ascii="Times" w:hAnsi="Times"/>
        </w:rPr>
        <w:t>t</w:t>
      </w:r>
      <w:r w:rsidR="00222176" w:rsidRPr="004F1D23">
        <w:rPr>
          <w:rFonts w:ascii="Times" w:hAnsi="Times"/>
        </w:rPr>
        <w:t xml:space="preserve">he </w:t>
      </w:r>
      <w:r w:rsidR="00711D4C" w:rsidRPr="004F1D23">
        <w:rPr>
          <w:rFonts w:ascii="Times" w:hAnsi="Times"/>
        </w:rPr>
        <w:t xml:space="preserve">Court </w:t>
      </w:r>
      <w:r w:rsidR="00222176" w:rsidRPr="004F1D23">
        <w:rPr>
          <w:rFonts w:ascii="Times" w:hAnsi="Times"/>
        </w:rPr>
        <w:t xml:space="preserve">has </w:t>
      </w:r>
      <w:r w:rsidR="00711D4C" w:rsidRPr="004F1D23">
        <w:rPr>
          <w:rFonts w:ascii="Times" w:hAnsi="Times"/>
        </w:rPr>
        <w:t>executed</w:t>
      </w:r>
      <w:r w:rsidR="00222176" w:rsidRPr="004F1D23">
        <w:rPr>
          <w:rFonts w:ascii="Times" w:hAnsi="Times"/>
        </w:rPr>
        <w:t xml:space="preserve"> a swift dismantling project.</w:t>
      </w:r>
      <w:bookmarkStart w:id="2" w:name="_Ref331425102"/>
      <w:r w:rsidR="006F3DFE" w:rsidRPr="004F1D23">
        <w:rPr>
          <w:rStyle w:val="FootnoteReference"/>
          <w:rFonts w:ascii="Times" w:hAnsi="Times"/>
        </w:rPr>
        <w:footnoteReference w:id="7"/>
      </w:r>
      <w:bookmarkEnd w:id="2"/>
      <w:r w:rsidR="00222176" w:rsidRPr="004F1D23">
        <w:rPr>
          <w:rFonts w:ascii="Times" w:hAnsi="Times"/>
        </w:rPr>
        <w:t xml:space="preserve"> In </w:t>
      </w:r>
      <w:r w:rsidR="00222176" w:rsidRPr="004F1D23">
        <w:rPr>
          <w:rFonts w:ascii="Times" w:hAnsi="Times"/>
          <w:i/>
        </w:rPr>
        <w:t>Brey</w:t>
      </w:r>
      <w:r w:rsidR="00222176" w:rsidRPr="004F1D23">
        <w:rPr>
          <w:rFonts w:ascii="Times" w:hAnsi="Times"/>
        </w:rPr>
        <w:t>,</w:t>
      </w:r>
      <w:bookmarkStart w:id="3" w:name="_Ref331344117"/>
      <w:r w:rsidR="00A53443" w:rsidRPr="004F1D23">
        <w:rPr>
          <w:rStyle w:val="FootnoteReference"/>
          <w:rFonts w:ascii="Times" w:hAnsi="Times"/>
        </w:rPr>
        <w:footnoteReference w:id="8"/>
      </w:r>
      <w:bookmarkEnd w:id="3"/>
      <w:r w:rsidR="00222176" w:rsidRPr="004F1D23">
        <w:rPr>
          <w:rFonts w:ascii="Times" w:hAnsi="Times"/>
        </w:rPr>
        <w:t xml:space="preserve"> the scope of benefits that could be withheld from </w:t>
      </w:r>
      <w:r w:rsidR="0065774F" w:rsidRPr="004F1D23">
        <w:rPr>
          <w:rFonts w:ascii="Times" w:hAnsi="Times"/>
        </w:rPr>
        <w:t>non-</w:t>
      </w:r>
      <w:r w:rsidR="00A53443" w:rsidRPr="004F1D23">
        <w:rPr>
          <w:rFonts w:ascii="Times" w:hAnsi="Times"/>
        </w:rPr>
        <w:t xml:space="preserve">nationals was widened; in </w:t>
      </w:r>
      <w:r w:rsidR="00A53443" w:rsidRPr="004F1D23">
        <w:rPr>
          <w:rFonts w:ascii="Times" w:hAnsi="Times"/>
          <w:i/>
        </w:rPr>
        <w:t>Dano</w:t>
      </w:r>
      <w:r w:rsidR="00A53443" w:rsidRPr="004F1D23">
        <w:rPr>
          <w:rStyle w:val="FootnoteReference"/>
          <w:rFonts w:ascii="Times" w:hAnsi="Times"/>
          <w:i/>
        </w:rPr>
        <w:footnoteReference w:id="9"/>
      </w:r>
      <w:r w:rsidR="00A53443" w:rsidRPr="004F1D23">
        <w:rPr>
          <w:rFonts w:ascii="Times" w:hAnsi="Times"/>
        </w:rPr>
        <w:t xml:space="preserve"> the </w:t>
      </w:r>
      <w:r w:rsidR="0065774F" w:rsidRPr="004F1D23">
        <w:rPr>
          <w:rFonts w:ascii="Times" w:hAnsi="Times"/>
        </w:rPr>
        <w:t>Court found that proportionality-based case-by-</w:t>
      </w:r>
      <w:r w:rsidR="00A53443" w:rsidRPr="004F1D23">
        <w:rPr>
          <w:rFonts w:ascii="Times" w:hAnsi="Times"/>
        </w:rPr>
        <w:t xml:space="preserve">case assessments </w:t>
      </w:r>
      <w:r w:rsidR="0065774F" w:rsidRPr="004F1D23">
        <w:rPr>
          <w:rFonts w:ascii="Times" w:hAnsi="Times"/>
        </w:rPr>
        <w:t xml:space="preserve">were not necessary </w:t>
      </w:r>
      <w:r w:rsidR="00A53443" w:rsidRPr="004F1D23">
        <w:rPr>
          <w:rFonts w:ascii="Times" w:hAnsi="Times"/>
        </w:rPr>
        <w:t xml:space="preserve">if a claimant might be deemed to have moved ‘solely’ for the purpose of claiming benefits. </w:t>
      </w:r>
      <w:r w:rsidR="0065774F" w:rsidRPr="004F1D23">
        <w:rPr>
          <w:rFonts w:ascii="Times" w:hAnsi="Times"/>
        </w:rPr>
        <w:t>The proportionality principle</w:t>
      </w:r>
      <w:r w:rsidR="00A53443" w:rsidRPr="004F1D23">
        <w:rPr>
          <w:rFonts w:ascii="Times" w:hAnsi="Times"/>
        </w:rPr>
        <w:t xml:space="preserve"> was </w:t>
      </w:r>
      <w:r w:rsidR="0065774F" w:rsidRPr="004F1D23">
        <w:rPr>
          <w:rFonts w:ascii="Times" w:hAnsi="Times"/>
        </w:rPr>
        <w:t xml:space="preserve">also </w:t>
      </w:r>
      <w:r w:rsidR="0065774F" w:rsidRPr="004F1D23">
        <w:rPr>
          <w:rFonts w:ascii="Times" w:hAnsi="Times"/>
        </w:rPr>
        <w:lastRenderedPageBreak/>
        <w:t>revoked in the context of</w:t>
      </w:r>
      <w:r w:rsidR="008656CC" w:rsidRPr="004F1D23">
        <w:rPr>
          <w:rFonts w:ascii="Times" w:hAnsi="Times"/>
        </w:rPr>
        <w:t xml:space="preserve"> jobseekers </w:t>
      </w:r>
      <w:r w:rsidR="00A53443" w:rsidRPr="004F1D23">
        <w:rPr>
          <w:rFonts w:ascii="Times" w:hAnsi="Times"/>
        </w:rPr>
        <w:t xml:space="preserve">in </w:t>
      </w:r>
      <w:r w:rsidR="00A53443" w:rsidRPr="004F1D23">
        <w:rPr>
          <w:rFonts w:ascii="Times" w:hAnsi="Times"/>
          <w:i/>
        </w:rPr>
        <w:t>Aliman</w:t>
      </w:r>
      <w:r w:rsidR="002A7B21" w:rsidRPr="004F1D23">
        <w:rPr>
          <w:rFonts w:ascii="Times" w:hAnsi="Times"/>
          <w:i/>
        </w:rPr>
        <w:t>o</w:t>
      </w:r>
      <w:r w:rsidR="00A53443" w:rsidRPr="004F1D23">
        <w:rPr>
          <w:rFonts w:ascii="Times" w:hAnsi="Times"/>
          <w:i/>
        </w:rPr>
        <w:t>vic</w:t>
      </w:r>
      <w:bookmarkStart w:id="4" w:name="_Ref331426607"/>
      <w:r w:rsidR="00A53443" w:rsidRPr="004F1D23">
        <w:rPr>
          <w:rStyle w:val="FootnoteReference"/>
          <w:rFonts w:ascii="Times" w:hAnsi="Times"/>
        </w:rPr>
        <w:footnoteReference w:id="10"/>
      </w:r>
      <w:bookmarkEnd w:id="4"/>
      <w:r w:rsidR="00A53443" w:rsidRPr="004F1D23">
        <w:rPr>
          <w:rFonts w:ascii="Times" w:hAnsi="Times"/>
        </w:rPr>
        <w:t xml:space="preserve"> and </w:t>
      </w:r>
      <w:r w:rsidR="00A53443" w:rsidRPr="004F1D23">
        <w:rPr>
          <w:rFonts w:ascii="Times" w:hAnsi="Times"/>
          <w:i/>
        </w:rPr>
        <w:t>Garcia Nieto.</w:t>
      </w:r>
      <w:r w:rsidR="00A53443" w:rsidRPr="004F1D23">
        <w:rPr>
          <w:rStyle w:val="FootnoteReference"/>
          <w:rFonts w:ascii="Times" w:hAnsi="Times"/>
        </w:rPr>
        <w:footnoteReference w:id="11"/>
      </w:r>
      <w:r w:rsidR="00A53443" w:rsidRPr="004F1D23">
        <w:rPr>
          <w:rFonts w:ascii="Times" w:hAnsi="Times"/>
          <w:i/>
        </w:rPr>
        <w:t xml:space="preserve"> </w:t>
      </w:r>
      <w:r w:rsidR="00A53443" w:rsidRPr="004F1D23">
        <w:rPr>
          <w:rFonts w:ascii="Times" w:hAnsi="Times"/>
        </w:rPr>
        <w:t xml:space="preserve">And in </w:t>
      </w:r>
      <w:r w:rsidR="00A53443" w:rsidRPr="004F1D23">
        <w:rPr>
          <w:rFonts w:ascii="Times" w:hAnsi="Times"/>
          <w:i/>
        </w:rPr>
        <w:t xml:space="preserve">Commission v UK </w:t>
      </w:r>
      <w:r w:rsidR="00A53443" w:rsidRPr="004F1D23">
        <w:rPr>
          <w:rFonts w:ascii="Times" w:hAnsi="Times"/>
        </w:rPr>
        <w:t xml:space="preserve">the Court has </w:t>
      </w:r>
      <w:r w:rsidR="008C2CF3" w:rsidRPr="004F1D23">
        <w:rPr>
          <w:rFonts w:ascii="Times" w:hAnsi="Times"/>
        </w:rPr>
        <w:t>kicked over the traces</w:t>
      </w:r>
      <w:r w:rsidR="00A53443" w:rsidRPr="004F1D23">
        <w:rPr>
          <w:rFonts w:ascii="Times" w:hAnsi="Times"/>
        </w:rPr>
        <w:t xml:space="preserve"> of EU citizenship.</w:t>
      </w:r>
    </w:p>
    <w:p w14:paraId="1045B9EA" w14:textId="77777777" w:rsidR="00C9706F" w:rsidRPr="004F1D23" w:rsidRDefault="00C9706F" w:rsidP="00914FAF">
      <w:pPr>
        <w:jc w:val="both"/>
        <w:rPr>
          <w:rFonts w:ascii="Times" w:hAnsi="Times"/>
        </w:rPr>
      </w:pPr>
    </w:p>
    <w:p w14:paraId="5DFA02EC" w14:textId="4C2E03A7" w:rsidR="00BB7316" w:rsidRPr="004F1D23" w:rsidRDefault="00C9706F" w:rsidP="00914FAF">
      <w:pPr>
        <w:jc w:val="both"/>
        <w:rPr>
          <w:rFonts w:ascii="Times" w:hAnsi="Times"/>
        </w:rPr>
      </w:pPr>
      <w:r w:rsidRPr="004F1D23">
        <w:rPr>
          <w:rFonts w:ascii="Times" w:hAnsi="Times"/>
        </w:rPr>
        <w:t>The UK right to reside test applied to Child Benefit and Child Tax Credit</w:t>
      </w:r>
      <w:r w:rsidR="0011334F" w:rsidRPr="004F1D23">
        <w:rPr>
          <w:rStyle w:val="FootnoteReference"/>
          <w:rFonts w:ascii="Times" w:hAnsi="Times"/>
        </w:rPr>
        <w:footnoteReference w:id="12"/>
      </w:r>
      <w:r w:rsidRPr="004F1D23">
        <w:rPr>
          <w:rFonts w:ascii="Times" w:hAnsi="Times"/>
        </w:rPr>
        <w:t xml:space="preserve"> excludes EU nationals from eligibility unless they meet the criteria in Article 7 of Directive 2004/38.</w:t>
      </w:r>
      <w:r w:rsidR="007B0D8C" w:rsidRPr="004F1D23">
        <w:rPr>
          <w:rStyle w:val="FootnoteReference"/>
          <w:rFonts w:ascii="Times" w:hAnsi="Times"/>
        </w:rPr>
        <w:footnoteReference w:id="13"/>
      </w:r>
      <w:r w:rsidRPr="004F1D23">
        <w:rPr>
          <w:rFonts w:ascii="Times" w:hAnsi="Times"/>
        </w:rPr>
        <w:t xml:space="preserve"> This triggers big questions about non-discrimination, the interaction and hierarchy of laws and principles, the use of EU citizenship and legitimacy of automatic exclusions, and the rights and status of EU citizen children. It is disappointing that none of these questions received much of an airing. Given the recent trajectory of the Court’s rea</w:t>
      </w:r>
      <w:r w:rsidR="0065774F" w:rsidRPr="004F1D23">
        <w:rPr>
          <w:rFonts w:ascii="Times" w:hAnsi="Times"/>
        </w:rPr>
        <w:t>soning,</w:t>
      </w:r>
      <w:r w:rsidRPr="004F1D23">
        <w:rPr>
          <w:rFonts w:ascii="Times" w:hAnsi="Times"/>
        </w:rPr>
        <w:t xml:space="preserve"> and the timing of the judgment, the approval of the right to reside </w:t>
      </w:r>
      <w:r w:rsidR="0065774F" w:rsidRPr="004F1D23">
        <w:rPr>
          <w:rFonts w:ascii="Times" w:hAnsi="Times"/>
        </w:rPr>
        <w:t>test</w:t>
      </w:r>
      <w:r w:rsidRPr="004F1D23">
        <w:rPr>
          <w:rFonts w:ascii="Times" w:hAnsi="Times"/>
        </w:rPr>
        <w:t xml:space="preserve"> is not surprising. But the brief, </w:t>
      </w:r>
      <w:r w:rsidR="00BB7316" w:rsidRPr="004F1D23">
        <w:rPr>
          <w:rFonts w:ascii="Times" w:hAnsi="Times"/>
        </w:rPr>
        <w:t xml:space="preserve">contorted means </w:t>
      </w:r>
      <w:r w:rsidRPr="004F1D23">
        <w:rPr>
          <w:rFonts w:ascii="Times" w:hAnsi="Times"/>
        </w:rPr>
        <w:t>by which the</w:t>
      </w:r>
      <w:r w:rsidR="00BB7316" w:rsidRPr="004F1D23">
        <w:rPr>
          <w:rFonts w:ascii="Times" w:hAnsi="Times"/>
        </w:rPr>
        <w:t xml:space="preserve"> A</w:t>
      </w:r>
      <w:r w:rsidR="007B0D8C" w:rsidRPr="004F1D23">
        <w:rPr>
          <w:rFonts w:ascii="Times" w:hAnsi="Times"/>
        </w:rPr>
        <w:t>dvocate General</w:t>
      </w:r>
      <w:r w:rsidR="00BB7316" w:rsidRPr="004F1D23">
        <w:rPr>
          <w:rFonts w:ascii="Times" w:hAnsi="Times"/>
        </w:rPr>
        <w:t xml:space="preserve"> and the Court get there,</w:t>
      </w:r>
      <w:r w:rsidRPr="004F1D23">
        <w:rPr>
          <w:rFonts w:ascii="Times" w:hAnsi="Times"/>
        </w:rPr>
        <w:t xml:space="preserve"> the </w:t>
      </w:r>
      <w:r w:rsidR="00BB7316" w:rsidRPr="004F1D23">
        <w:rPr>
          <w:rFonts w:ascii="Times" w:hAnsi="Times"/>
        </w:rPr>
        <w:t xml:space="preserve">sweeping acceptance of automatic exclusions of those falling foul of the </w:t>
      </w:r>
      <w:r w:rsidR="0065774F" w:rsidRPr="004F1D23">
        <w:rPr>
          <w:rFonts w:ascii="Times" w:hAnsi="Times"/>
        </w:rPr>
        <w:t>test</w:t>
      </w:r>
      <w:r w:rsidR="00BB7316" w:rsidRPr="004F1D23">
        <w:rPr>
          <w:rFonts w:ascii="Times" w:hAnsi="Times"/>
        </w:rPr>
        <w:t>, and the deference shown to the public finances trump card, are startling and, to anyone familiar with the Court’s often studious, robust and visionary reasoning,</w:t>
      </w:r>
      <w:r w:rsidR="00BB7316" w:rsidRPr="004F1D23">
        <w:rPr>
          <w:rStyle w:val="FootnoteReference"/>
          <w:rFonts w:ascii="Times" w:hAnsi="Times"/>
        </w:rPr>
        <w:footnoteReference w:id="14"/>
      </w:r>
      <w:r w:rsidR="00BB7316" w:rsidRPr="004F1D23">
        <w:rPr>
          <w:rFonts w:ascii="Times" w:hAnsi="Times"/>
        </w:rPr>
        <w:t xml:space="preserve"> uncharacteristically careless. It has done itself and EU citizens a disservice, to little avail.</w:t>
      </w:r>
      <w:r w:rsidR="00644B0D" w:rsidRPr="004F1D23">
        <w:rPr>
          <w:rStyle w:val="FootnoteReference"/>
          <w:rFonts w:ascii="Times" w:hAnsi="Times"/>
        </w:rPr>
        <w:footnoteReference w:id="15"/>
      </w:r>
      <w:r w:rsidR="00BB7316" w:rsidRPr="004F1D23">
        <w:rPr>
          <w:rFonts w:ascii="Times" w:hAnsi="Times"/>
        </w:rPr>
        <w:t xml:space="preserve"> More than the Commission, it is the losing party in this case.</w:t>
      </w:r>
    </w:p>
    <w:p w14:paraId="5B4F0B6C" w14:textId="77777777" w:rsidR="00BB7316" w:rsidRPr="004F1D23" w:rsidRDefault="00BB7316" w:rsidP="00914FAF">
      <w:pPr>
        <w:jc w:val="both"/>
        <w:rPr>
          <w:rFonts w:ascii="Times" w:hAnsi="Times"/>
        </w:rPr>
      </w:pPr>
    </w:p>
    <w:p w14:paraId="02761976" w14:textId="29AD0A34" w:rsidR="00644B0D" w:rsidRPr="004F1D23" w:rsidRDefault="00374417" w:rsidP="00914FAF">
      <w:pPr>
        <w:jc w:val="both"/>
        <w:rPr>
          <w:rFonts w:ascii="Times" w:hAnsi="Times"/>
        </w:rPr>
      </w:pPr>
      <w:r w:rsidRPr="004F1D23">
        <w:rPr>
          <w:rFonts w:ascii="Times" w:hAnsi="Times"/>
        </w:rPr>
        <w:t xml:space="preserve">This piece addresses four key issues arising from the case: (i) the elevation of the </w:t>
      </w:r>
      <w:r w:rsidRPr="004F1D23">
        <w:rPr>
          <w:rFonts w:ascii="Times" w:hAnsi="Times"/>
          <w:i/>
        </w:rPr>
        <w:t>Brey</w:t>
      </w:r>
      <w:r w:rsidRPr="004F1D23">
        <w:rPr>
          <w:rFonts w:ascii="Times" w:hAnsi="Times"/>
        </w:rPr>
        <w:t xml:space="preserve"> formulation permitting right to reside tests above all other relevant legal provisions; (ii) the </w:t>
      </w:r>
      <w:r w:rsidR="00196C29" w:rsidRPr="004F1D23">
        <w:rPr>
          <w:rFonts w:ascii="Times" w:hAnsi="Times"/>
        </w:rPr>
        <w:t xml:space="preserve">mangling and dodging of the discrimination question; (iii) the problematic findings on ‘systematic verification’ and the reversed burden of proof; and (iv) the condoning of a test that results in automatic exclusions from social security, marking a </w:t>
      </w:r>
      <w:r w:rsidRPr="004F1D23">
        <w:rPr>
          <w:rFonts w:ascii="Times" w:hAnsi="Times"/>
        </w:rPr>
        <w:t xml:space="preserve">departure from the rest of </w:t>
      </w:r>
      <w:r w:rsidRPr="004F1D23">
        <w:rPr>
          <w:rFonts w:ascii="Times" w:hAnsi="Times"/>
          <w:i/>
        </w:rPr>
        <w:t>Brey</w:t>
      </w:r>
      <w:r w:rsidR="00196C29" w:rsidRPr="004F1D23">
        <w:rPr>
          <w:rFonts w:ascii="Times" w:hAnsi="Times"/>
          <w:i/>
        </w:rPr>
        <w:t xml:space="preserve">, </w:t>
      </w:r>
      <w:r w:rsidR="00196C29" w:rsidRPr="004F1D23">
        <w:rPr>
          <w:rFonts w:ascii="Times" w:hAnsi="Times"/>
        </w:rPr>
        <w:t xml:space="preserve">killing proportionality, </w:t>
      </w:r>
      <w:r w:rsidRPr="004F1D23">
        <w:rPr>
          <w:rFonts w:ascii="Times" w:hAnsi="Times"/>
        </w:rPr>
        <w:t>extinguishing citizenship</w:t>
      </w:r>
      <w:r w:rsidR="00196C29" w:rsidRPr="004F1D23">
        <w:rPr>
          <w:rFonts w:ascii="Times" w:hAnsi="Times"/>
        </w:rPr>
        <w:t xml:space="preserve">-based claims to equal treatment, and disregarding the rights and welfare of children. </w:t>
      </w:r>
    </w:p>
    <w:p w14:paraId="07BB7493" w14:textId="77777777" w:rsidR="00644B0D" w:rsidRPr="004F1D23" w:rsidRDefault="00644B0D" w:rsidP="00914FAF">
      <w:pPr>
        <w:jc w:val="both"/>
        <w:rPr>
          <w:rFonts w:ascii="Times" w:hAnsi="Times"/>
        </w:rPr>
      </w:pPr>
    </w:p>
    <w:p w14:paraId="3D73E16E" w14:textId="2224880C" w:rsidR="00A53443" w:rsidRPr="004F1D23" w:rsidRDefault="00D92983" w:rsidP="00914FAF">
      <w:pPr>
        <w:jc w:val="both"/>
        <w:rPr>
          <w:rFonts w:ascii="Times" w:hAnsi="Times"/>
          <w:b/>
        </w:rPr>
      </w:pPr>
      <w:r w:rsidRPr="004F1D23">
        <w:rPr>
          <w:rFonts w:ascii="Times" w:hAnsi="Times"/>
          <w:b/>
        </w:rPr>
        <w:t xml:space="preserve">2 </w:t>
      </w:r>
      <w:r w:rsidR="00C9706F" w:rsidRPr="004F1D23">
        <w:rPr>
          <w:rFonts w:ascii="Times" w:hAnsi="Times"/>
          <w:b/>
        </w:rPr>
        <w:t xml:space="preserve">The facts </w:t>
      </w:r>
    </w:p>
    <w:p w14:paraId="219C0202" w14:textId="77777777" w:rsidR="00AA7395" w:rsidRPr="004F1D23" w:rsidRDefault="00AA7395" w:rsidP="00914FAF">
      <w:pPr>
        <w:jc w:val="both"/>
        <w:rPr>
          <w:rFonts w:ascii="Times" w:hAnsi="Times"/>
        </w:rPr>
      </w:pPr>
    </w:p>
    <w:p w14:paraId="7905D519" w14:textId="08CBED18" w:rsidR="00B566D9" w:rsidRPr="004F1D23" w:rsidRDefault="00644B0D" w:rsidP="00914FAF">
      <w:pPr>
        <w:jc w:val="both"/>
        <w:rPr>
          <w:rFonts w:ascii="Times" w:hAnsi="Times"/>
        </w:rPr>
      </w:pPr>
      <w:r w:rsidRPr="004F1D23">
        <w:rPr>
          <w:rFonts w:ascii="Times" w:hAnsi="Times"/>
        </w:rPr>
        <w:t xml:space="preserve">The Commission had received </w:t>
      </w:r>
      <w:r w:rsidR="00B566D9" w:rsidRPr="004F1D23">
        <w:rPr>
          <w:rFonts w:ascii="Times" w:hAnsi="Times"/>
        </w:rPr>
        <w:t>‘numerous’</w:t>
      </w:r>
      <w:r w:rsidRPr="004F1D23">
        <w:rPr>
          <w:rFonts w:ascii="Times" w:hAnsi="Times"/>
        </w:rPr>
        <w:t xml:space="preserve"> complaints</w:t>
      </w:r>
      <w:r w:rsidR="00B566D9" w:rsidRPr="004F1D23">
        <w:rPr>
          <w:rStyle w:val="FootnoteReference"/>
          <w:rFonts w:ascii="Times" w:hAnsi="Times"/>
        </w:rPr>
        <w:footnoteReference w:id="16"/>
      </w:r>
      <w:r w:rsidRPr="004F1D23">
        <w:rPr>
          <w:rFonts w:ascii="Times" w:hAnsi="Times"/>
        </w:rPr>
        <w:t xml:space="preserve"> about the UK right to reside test for eligibility for </w:t>
      </w:r>
      <w:r w:rsidR="002D2AEA" w:rsidRPr="004F1D23">
        <w:rPr>
          <w:rFonts w:ascii="Times" w:hAnsi="Times"/>
        </w:rPr>
        <w:t>several welfare benefits</w:t>
      </w:r>
      <w:r w:rsidRPr="004F1D23">
        <w:rPr>
          <w:rFonts w:ascii="Times" w:hAnsi="Times"/>
        </w:rPr>
        <w:t>.</w:t>
      </w:r>
      <w:r w:rsidR="00522606" w:rsidRPr="004F1D23">
        <w:rPr>
          <w:rStyle w:val="FootnoteReference"/>
          <w:rFonts w:ascii="Times" w:hAnsi="Times"/>
        </w:rPr>
        <w:t xml:space="preserve"> </w:t>
      </w:r>
      <w:r w:rsidR="002D2AEA" w:rsidRPr="004F1D23">
        <w:rPr>
          <w:rFonts w:ascii="Times" w:hAnsi="Times"/>
        </w:rPr>
        <w:t xml:space="preserve"> </w:t>
      </w:r>
      <w:r w:rsidRPr="004F1D23">
        <w:rPr>
          <w:rFonts w:ascii="Times" w:hAnsi="Times"/>
        </w:rPr>
        <w:t xml:space="preserve">Unlike the benefits at issue in </w:t>
      </w:r>
      <w:r w:rsidRPr="004F1D23">
        <w:rPr>
          <w:rFonts w:ascii="Times" w:hAnsi="Times"/>
          <w:i/>
        </w:rPr>
        <w:t>Brey</w:t>
      </w:r>
      <w:r w:rsidRPr="004F1D23">
        <w:rPr>
          <w:rFonts w:ascii="Times" w:hAnsi="Times"/>
        </w:rPr>
        <w:t xml:space="preserve">, </w:t>
      </w:r>
      <w:r w:rsidRPr="004F1D23">
        <w:rPr>
          <w:rFonts w:ascii="Times" w:hAnsi="Times"/>
          <w:i/>
        </w:rPr>
        <w:t xml:space="preserve">Dano, Alimanovic </w:t>
      </w:r>
      <w:r w:rsidRPr="004F1D23">
        <w:rPr>
          <w:rFonts w:ascii="Times" w:hAnsi="Times"/>
        </w:rPr>
        <w:t xml:space="preserve">or </w:t>
      </w:r>
      <w:r w:rsidRPr="004F1D23">
        <w:rPr>
          <w:rFonts w:ascii="Times" w:hAnsi="Times"/>
          <w:i/>
        </w:rPr>
        <w:t>Garcia Nieto</w:t>
      </w:r>
      <w:r w:rsidR="00E90BBB" w:rsidRPr="004F1D23">
        <w:rPr>
          <w:rFonts w:ascii="Times" w:hAnsi="Times"/>
        </w:rPr>
        <w:t>, these benefits a</w:t>
      </w:r>
      <w:r w:rsidRPr="004F1D23">
        <w:rPr>
          <w:rFonts w:ascii="Times" w:hAnsi="Times"/>
        </w:rPr>
        <w:t xml:space="preserve">re not special non-contributory benefits, which are </w:t>
      </w:r>
      <w:r w:rsidR="00E90BBB" w:rsidRPr="004F1D23">
        <w:rPr>
          <w:rFonts w:ascii="Times" w:hAnsi="Times"/>
        </w:rPr>
        <w:t>partly social assistance. They a</w:t>
      </w:r>
      <w:r w:rsidR="00F356E3" w:rsidRPr="004F1D23">
        <w:rPr>
          <w:rFonts w:ascii="Times" w:hAnsi="Times"/>
        </w:rPr>
        <w:t>re family benefits, so pure</w:t>
      </w:r>
      <w:r w:rsidRPr="004F1D23">
        <w:rPr>
          <w:rFonts w:ascii="Times" w:hAnsi="Times"/>
        </w:rPr>
        <w:t xml:space="preserve"> social security benefits,</w:t>
      </w:r>
      <w:r w:rsidR="009018E0" w:rsidRPr="004F1D23">
        <w:rPr>
          <w:rStyle w:val="FootnoteReference"/>
          <w:rFonts w:ascii="Times" w:hAnsi="Times"/>
        </w:rPr>
        <w:footnoteReference w:id="17"/>
      </w:r>
      <w:r w:rsidRPr="004F1D23">
        <w:rPr>
          <w:rFonts w:ascii="Times" w:hAnsi="Times"/>
        </w:rPr>
        <w:t xml:space="preserve"> falling within Regulation 883/2004.</w:t>
      </w:r>
      <w:r w:rsidR="009018E0" w:rsidRPr="004F1D23">
        <w:rPr>
          <w:rStyle w:val="FootnoteReference"/>
          <w:rFonts w:ascii="Times" w:hAnsi="Times"/>
        </w:rPr>
        <w:footnoteReference w:id="18"/>
      </w:r>
      <w:r w:rsidR="00522606" w:rsidRPr="004F1D23">
        <w:rPr>
          <w:rFonts w:ascii="Times" w:hAnsi="Times"/>
        </w:rPr>
        <w:t xml:space="preserve"> UK nationals automatically have a right to reside. EU nationals must demonstrate that they meet the criteria for a right to reside under Article 7 of Directive 2004/38, by showing that they are ‘qualified persons’ under Regulation 6 of the Immigration (European Economic Area) Regulations 2006.</w:t>
      </w:r>
      <w:r w:rsidR="00F356E3" w:rsidRPr="004F1D23">
        <w:rPr>
          <w:rStyle w:val="FootnoteReference"/>
          <w:rFonts w:ascii="Times" w:hAnsi="Times"/>
        </w:rPr>
        <w:footnoteReference w:id="19"/>
      </w:r>
      <w:r w:rsidR="00522606" w:rsidRPr="004F1D23">
        <w:rPr>
          <w:rFonts w:ascii="Times" w:hAnsi="Times"/>
        </w:rPr>
        <w:t xml:space="preserve"> As self sufficiency is never accepted in the UK as a route to gain benefits (since any benefit application is deemed to dissolve any claim to self-sufficiency),</w:t>
      </w:r>
      <w:r w:rsidR="007B0D8C" w:rsidRPr="004F1D23">
        <w:rPr>
          <w:rStyle w:val="FootnoteReference"/>
          <w:rFonts w:ascii="Times" w:hAnsi="Times"/>
        </w:rPr>
        <w:footnoteReference w:id="20"/>
      </w:r>
      <w:r w:rsidR="00522606" w:rsidRPr="004F1D23">
        <w:rPr>
          <w:rFonts w:ascii="Times" w:hAnsi="Times"/>
        </w:rPr>
        <w:t xml:space="preserve"> and as jobseeker entitlements are dwindling,</w:t>
      </w:r>
      <w:bookmarkStart w:id="5" w:name="_Ref331421720"/>
      <w:r w:rsidR="007B0D8C" w:rsidRPr="004F1D23">
        <w:rPr>
          <w:rStyle w:val="FootnoteReference"/>
          <w:rFonts w:ascii="Times" w:hAnsi="Times"/>
        </w:rPr>
        <w:footnoteReference w:id="21"/>
      </w:r>
      <w:bookmarkEnd w:id="5"/>
      <w:r w:rsidR="00522606" w:rsidRPr="004F1D23">
        <w:rPr>
          <w:rFonts w:ascii="Times" w:hAnsi="Times"/>
        </w:rPr>
        <w:t xml:space="preserve"> and the window during which a jobseeker right to reside is accepted is narrowing,</w:t>
      </w:r>
      <w:r w:rsidR="007B0D8C" w:rsidRPr="004F1D23">
        <w:rPr>
          <w:rStyle w:val="FootnoteReference"/>
          <w:rFonts w:ascii="Times" w:hAnsi="Times"/>
        </w:rPr>
        <w:footnoteReference w:id="22"/>
      </w:r>
      <w:r w:rsidR="00522606" w:rsidRPr="004F1D23">
        <w:rPr>
          <w:rFonts w:ascii="Times" w:hAnsi="Times"/>
        </w:rPr>
        <w:t xml:space="preserve"> the </w:t>
      </w:r>
      <w:r w:rsidR="007B0D8C" w:rsidRPr="004F1D23">
        <w:rPr>
          <w:rFonts w:ascii="Times" w:hAnsi="Times"/>
        </w:rPr>
        <w:t>right to reside</w:t>
      </w:r>
      <w:r w:rsidR="00522606" w:rsidRPr="004F1D23">
        <w:rPr>
          <w:rFonts w:ascii="Times" w:hAnsi="Times"/>
        </w:rPr>
        <w:t xml:space="preserve"> test typically means that a claimant must either be in work or be the family member of someone who is in work, or else have permanent residence (for which, again, </w:t>
      </w:r>
      <w:r w:rsidR="00522606" w:rsidRPr="004F1D23">
        <w:rPr>
          <w:rFonts w:ascii="Times" w:hAnsi="Times"/>
          <w:i/>
        </w:rPr>
        <w:t>work</w:t>
      </w:r>
      <w:r w:rsidR="00522606" w:rsidRPr="004F1D23">
        <w:rPr>
          <w:rFonts w:ascii="Times" w:hAnsi="Times"/>
        </w:rPr>
        <w:t xml:space="preserve"> history is the primary factor).</w:t>
      </w:r>
      <w:bookmarkStart w:id="6" w:name="_Ref331422908"/>
      <w:r w:rsidR="00820E92" w:rsidRPr="004F1D23">
        <w:rPr>
          <w:rStyle w:val="FootnoteReference"/>
          <w:rFonts w:ascii="Times" w:hAnsi="Times"/>
        </w:rPr>
        <w:footnoteReference w:id="23"/>
      </w:r>
      <w:bookmarkEnd w:id="6"/>
      <w:r w:rsidR="00522606" w:rsidRPr="004F1D23">
        <w:rPr>
          <w:rFonts w:ascii="Times" w:hAnsi="Times"/>
        </w:rPr>
        <w:t xml:space="preserve"> </w:t>
      </w:r>
    </w:p>
    <w:p w14:paraId="6FCD2022" w14:textId="77777777" w:rsidR="00B566D9" w:rsidRPr="004F1D23" w:rsidRDefault="00B566D9" w:rsidP="00914FAF">
      <w:pPr>
        <w:jc w:val="both"/>
        <w:rPr>
          <w:rFonts w:ascii="Times" w:hAnsi="Times"/>
        </w:rPr>
      </w:pPr>
    </w:p>
    <w:p w14:paraId="342D73B5" w14:textId="3D837C7C" w:rsidR="00937064" w:rsidRPr="004F1D23" w:rsidRDefault="00E90BBB" w:rsidP="00914FAF">
      <w:pPr>
        <w:jc w:val="both"/>
        <w:rPr>
          <w:rFonts w:ascii="Times" w:hAnsi="Times"/>
        </w:rPr>
      </w:pPr>
      <w:r w:rsidRPr="004F1D23">
        <w:rPr>
          <w:rFonts w:ascii="Times" w:hAnsi="Times"/>
        </w:rPr>
        <w:t>The Commission initiated infringement proceedings against the UK</w:t>
      </w:r>
      <w:r w:rsidR="002D2AEA" w:rsidRPr="004F1D23">
        <w:rPr>
          <w:rFonts w:ascii="Times" w:hAnsi="Times"/>
        </w:rPr>
        <w:t xml:space="preserve"> and</w:t>
      </w:r>
      <w:r w:rsidR="0065774F" w:rsidRPr="004F1D23">
        <w:rPr>
          <w:rFonts w:ascii="Times" w:hAnsi="Times"/>
        </w:rPr>
        <w:t>,</w:t>
      </w:r>
      <w:r w:rsidR="002D2AEA" w:rsidRPr="004F1D23">
        <w:rPr>
          <w:rFonts w:ascii="Times" w:hAnsi="Times"/>
        </w:rPr>
        <w:t xml:space="preserve"> being dissatisfied with the UK’s responses</w:t>
      </w:r>
      <w:r w:rsidR="0065774F" w:rsidRPr="004F1D23">
        <w:rPr>
          <w:rFonts w:ascii="Times" w:hAnsi="Times"/>
        </w:rPr>
        <w:t>,</w:t>
      </w:r>
      <w:r w:rsidR="002D2AEA" w:rsidRPr="004F1D23">
        <w:rPr>
          <w:rFonts w:ascii="Times" w:hAnsi="Times"/>
        </w:rPr>
        <w:t xml:space="preserve"> brought the action before the Court. In light of the judgment in </w:t>
      </w:r>
      <w:r w:rsidR="002D2AEA" w:rsidRPr="004F1D23">
        <w:rPr>
          <w:rFonts w:ascii="Times" w:hAnsi="Times"/>
          <w:i/>
        </w:rPr>
        <w:t>Brey</w:t>
      </w:r>
      <w:r w:rsidR="002D2AEA" w:rsidRPr="004F1D23">
        <w:rPr>
          <w:rFonts w:ascii="Times" w:hAnsi="Times"/>
        </w:rPr>
        <w:t>, the Commission decided to exclude the special non-contributory benefits that had been part of its pre-litigation investigation, and focus instead on the rules for Child Benefit and Child Tax Credit.</w:t>
      </w:r>
      <w:r w:rsidRPr="004F1D23">
        <w:rPr>
          <w:rFonts w:ascii="Times" w:hAnsi="Times"/>
        </w:rPr>
        <w:t xml:space="preserve"> </w:t>
      </w:r>
      <w:r w:rsidR="009548F2" w:rsidRPr="004F1D23">
        <w:rPr>
          <w:rFonts w:ascii="Times" w:hAnsi="Times"/>
        </w:rPr>
        <w:t xml:space="preserve">The Commission </w:t>
      </w:r>
      <w:r w:rsidR="00FE1ED2" w:rsidRPr="004F1D23">
        <w:rPr>
          <w:rFonts w:ascii="Times" w:hAnsi="Times"/>
        </w:rPr>
        <w:t xml:space="preserve">had two heads of claim. Firstly, that </w:t>
      </w:r>
      <w:r w:rsidR="009548F2" w:rsidRPr="004F1D23">
        <w:rPr>
          <w:rFonts w:ascii="Times" w:hAnsi="Times"/>
        </w:rPr>
        <w:t>the test added a condition to Regulation 883/2004</w:t>
      </w:r>
      <w:r w:rsidR="00FE1ED2" w:rsidRPr="004F1D23">
        <w:rPr>
          <w:rFonts w:ascii="Times" w:hAnsi="Times"/>
        </w:rPr>
        <w:t xml:space="preserve">, altering the habitual residence test (which should have a Union meaning), and, in effect disapplying the system within that Regulation for determining competence, resulting in persons for whom no Member State was competent for family benefits.  </w:t>
      </w:r>
      <w:r w:rsidR="00196C29" w:rsidRPr="004F1D23">
        <w:rPr>
          <w:rFonts w:ascii="Times" w:hAnsi="Times"/>
        </w:rPr>
        <w:t>It argued that Article 11(3)(e) of Regulation 883/2004, which provides that ‘</w:t>
      </w:r>
      <w:r w:rsidR="00196C29" w:rsidRPr="004F1D23">
        <w:rPr>
          <w:rFonts w:ascii="Times" w:eastAsia="Times New Roman" w:hAnsi="Times" w:cs="Times New Roman"/>
        </w:rPr>
        <w:t xml:space="preserve">any other person to whom subparagraphs (a) to (d) do not apply shall be subject to the legislation of the Member State of residence’ determines whose legislation was applicable, and was distorted by the additional ‘right to reside’ condition, which effectively left people for whom the UK was the competent state, without coverage for family benefits, akin to a situation in which no Member State is competent.  </w:t>
      </w:r>
      <w:r w:rsidR="00FE1ED2" w:rsidRPr="004F1D23">
        <w:rPr>
          <w:rFonts w:ascii="Times" w:hAnsi="Times"/>
        </w:rPr>
        <w:t>Secondly, since the test only created conditions for EU nationals, not UK nationals, the Commission argued that it was directly discriminatory, contrary to Article 4 of Regulation 883/2004</w:t>
      </w:r>
      <w:r w:rsidR="00FD0F9F" w:rsidRPr="004F1D23">
        <w:rPr>
          <w:rFonts w:ascii="Times" w:hAnsi="Times"/>
        </w:rPr>
        <w:t>, headed “Equality of treatment”</w:t>
      </w:r>
      <w:r w:rsidR="00937064" w:rsidRPr="004F1D23">
        <w:rPr>
          <w:rFonts w:ascii="Times" w:hAnsi="Times"/>
        </w:rPr>
        <w:t xml:space="preserve">, and which states: </w:t>
      </w:r>
    </w:p>
    <w:p w14:paraId="3AA293FA" w14:textId="77777777" w:rsidR="00937064" w:rsidRPr="004F1D23" w:rsidRDefault="00937064" w:rsidP="00914FAF">
      <w:pPr>
        <w:jc w:val="both"/>
        <w:rPr>
          <w:rFonts w:ascii="Times" w:hAnsi="Times"/>
        </w:rPr>
      </w:pPr>
    </w:p>
    <w:p w14:paraId="2B56A287" w14:textId="72A88244" w:rsidR="00644B0D" w:rsidRPr="004F1D23" w:rsidRDefault="00FD0F9F" w:rsidP="00914FAF">
      <w:pPr>
        <w:jc w:val="both"/>
        <w:rPr>
          <w:rFonts w:ascii="Times" w:hAnsi="Times"/>
        </w:rPr>
      </w:pPr>
      <w:r w:rsidRPr="004F1D23">
        <w:rPr>
          <w:rFonts w:ascii="Times" w:hAnsi="Times"/>
        </w:rPr>
        <w:t>“</w:t>
      </w:r>
      <w:r w:rsidR="00937064" w:rsidRPr="004F1D23">
        <w:rPr>
          <w:rFonts w:ascii="Times" w:hAnsi="Times"/>
          <w:i/>
        </w:rPr>
        <w:t>Unless otherwise provided for by this Regulation, persons to whom this Regulation applies shall enjoy the same benefits and be subject to the same obligations under the legislation of any Member State as the nationals thereof</w:t>
      </w:r>
      <w:r w:rsidRPr="004F1D23">
        <w:rPr>
          <w:rFonts w:ascii="Times" w:hAnsi="Times"/>
        </w:rPr>
        <w:t>.”</w:t>
      </w:r>
      <w:r w:rsidR="00FE1ED2" w:rsidRPr="004F1D23">
        <w:rPr>
          <w:rFonts w:ascii="Times" w:hAnsi="Times"/>
        </w:rPr>
        <w:t xml:space="preserve"> </w:t>
      </w:r>
    </w:p>
    <w:p w14:paraId="35A5D75B" w14:textId="77777777" w:rsidR="00644B0D" w:rsidRPr="004F1D23" w:rsidRDefault="00644B0D" w:rsidP="00914FAF">
      <w:pPr>
        <w:jc w:val="both"/>
        <w:rPr>
          <w:rFonts w:ascii="Times" w:hAnsi="Times"/>
        </w:rPr>
      </w:pPr>
    </w:p>
    <w:p w14:paraId="58BA14A6" w14:textId="3D98A16D" w:rsidR="00C9706F" w:rsidRPr="004F1D23" w:rsidRDefault="00D92983" w:rsidP="00914FAF">
      <w:pPr>
        <w:jc w:val="both"/>
        <w:rPr>
          <w:rFonts w:ascii="Times" w:hAnsi="Times"/>
          <w:b/>
        </w:rPr>
      </w:pPr>
      <w:r w:rsidRPr="004F1D23">
        <w:rPr>
          <w:rFonts w:ascii="Times" w:hAnsi="Times"/>
          <w:b/>
        </w:rPr>
        <w:t xml:space="preserve">3 </w:t>
      </w:r>
      <w:r w:rsidR="00A963C3" w:rsidRPr="004F1D23">
        <w:rPr>
          <w:rFonts w:ascii="Times" w:hAnsi="Times"/>
          <w:b/>
        </w:rPr>
        <w:t xml:space="preserve">Advocate General </w:t>
      </w:r>
      <w:r w:rsidR="00A963C3" w:rsidRPr="004F1D23">
        <w:rPr>
          <w:rFonts w:ascii="Times" w:eastAsia="Times New Roman" w:hAnsi="Times" w:cs="Lucida Grande"/>
          <w:b/>
          <w:bCs/>
          <w:bdr w:val="none" w:sz="0" w:space="0" w:color="auto" w:frame="1"/>
          <w:shd w:val="clear" w:color="auto" w:fill="FFFFFF"/>
        </w:rPr>
        <w:t>Cruz Villalón’s</w:t>
      </w:r>
      <w:r w:rsidR="00A963C3" w:rsidRPr="004F1D23">
        <w:rPr>
          <w:rFonts w:ascii="Times" w:hAnsi="Times"/>
          <w:b/>
        </w:rPr>
        <w:t xml:space="preserve"> Opinion</w:t>
      </w:r>
    </w:p>
    <w:p w14:paraId="29EBD8A0" w14:textId="77777777" w:rsidR="00A963C3" w:rsidRPr="004F1D23" w:rsidRDefault="00A963C3" w:rsidP="00914FAF">
      <w:pPr>
        <w:jc w:val="both"/>
        <w:rPr>
          <w:rFonts w:ascii="Times" w:hAnsi="Times"/>
          <w:u w:val="single"/>
        </w:rPr>
      </w:pPr>
    </w:p>
    <w:p w14:paraId="2DC063CB" w14:textId="5B9D4F61" w:rsidR="00E01D74" w:rsidRPr="004F1D23" w:rsidRDefault="00A80DD5" w:rsidP="00914FAF">
      <w:pPr>
        <w:jc w:val="both"/>
        <w:rPr>
          <w:rFonts w:ascii="Times" w:eastAsia="Times New Roman" w:hAnsi="Times" w:cs="Arial"/>
          <w:shd w:val="clear" w:color="auto" w:fill="FFFFFF"/>
        </w:rPr>
      </w:pPr>
      <w:r w:rsidRPr="004F1D23">
        <w:rPr>
          <w:rFonts w:ascii="Times" w:hAnsi="Times"/>
        </w:rPr>
        <w:t>In an Opinion delivered on the 6</w:t>
      </w:r>
      <w:r w:rsidRPr="004F1D23">
        <w:rPr>
          <w:rFonts w:ascii="Times" w:hAnsi="Times"/>
          <w:vertAlign w:val="superscript"/>
        </w:rPr>
        <w:t>th</w:t>
      </w:r>
      <w:r w:rsidRPr="004F1D23">
        <w:rPr>
          <w:rFonts w:ascii="Times" w:hAnsi="Times"/>
        </w:rPr>
        <w:t xml:space="preserve"> of October 2015,</w:t>
      </w:r>
      <w:r w:rsidRPr="004F1D23">
        <w:rPr>
          <w:rStyle w:val="FootnoteReference"/>
          <w:rFonts w:ascii="Times" w:hAnsi="Times"/>
          <w:b/>
        </w:rPr>
        <w:footnoteReference w:id="24"/>
      </w:r>
      <w:r w:rsidRPr="004F1D23">
        <w:rPr>
          <w:rFonts w:ascii="Times" w:hAnsi="Times"/>
        </w:rPr>
        <w:t xml:space="preserve"> t</w:t>
      </w:r>
      <w:r w:rsidR="00A963C3" w:rsidRPr="004F1D23">
        <w:rPr>
          <w:rFonts w:ascii="Times" w:hAnsi="Times"/>
        </w:rPr>
        <w:t xml:space="preserve">he Advocate General, having summarised the heads of claim and the arguments of the parties </w:t>
      </w:r>
      <w:r w:rsidR="00E01D74" w:rsidRPr="004F1D23">
        <w:rPr>
          <w:rFonts w:ascii="Times" w:hAnsi="Times"/>
        </w:rPr>
        <w:t xml:space="preserve">began his discussion of the first head – the creation of an extra condition for Regulation 883/2004, by asserting that the Commission’s argument had ‘in fact’ been </w:t>
      </w:r>
      <w:r w:rsidR="00FD0F9F" w:rsidRPr="004F1D23">
        <w:rPr>
          <w:rFonts w:ascii="Times" w:hAnsi="Times"/>
        </w:rPr>
        <w:t>“</w:t>
      </w:r>
      <w:r w:rsidR="00E01D74" w:rsidRPr="004F1D23">
        <w:rPr>
          <w:rFonts w:ascii="Times" w:eastAsia="Times New Roman" w:hAnsi="Times" w:cs="Arial"/>
          <w:shd w:val="clear" w:color="auto" w:fill="FFFFFF"/>
        </w:rPr>
        <w:t>weakening over the course of this dispute</w:t>
      </w:r>
      <w:r w:rsidR="00FD0F9F" w:rsidRPr="004F1D23">
        <w:rPr>
          <w:rFonts w:ascii="Times" w:eastAsia="Times New Roman" w:hAnsi="Times" w:cs="Arial"/>
          <w:shd w:val="clear" w:color="auto" w:fill="FFFFFF"/>
        </w:rPr>
        <w:t>”</w:t>
      </w:r>
      <w:r w:rsidR="00E01D74" w:rsidRPr="004F1D23">
        <w:rPr>
          <w:rFonts w:ascii="Times" w:eastAsia="Times New Roman" w:hAnsi="Times" w:cs="Arial"/>
          <w:shd w:val="clear" w:color="auto" w:fill="FFFFFF"/>
        </w:rPr>
        <w:t>.</w:t>
      </w:r>
      <w:r w:rsidR="008E0CB2" w:rsidRPr="004F1D23">
        <w:rPr>
          <w:rStyle w:val="FootnoteReference"/>
          <w:rFonts w:ascii="Times" w:eastAsia="Times New Roman" w:hAnsi="Times" w:cs="Arial"/>
          <w:shd w:val="clear" w:color="auto" w:fill="FFFFFF"/>
        </w:rPr>
        <w:footnoteReference w:id="25"/>
      </w:r>
      <w:r w:rsidR="0065774F" w:rsidRPr="004F1D23">
        <w:rPr>
          <w:rFonts w:ascii="Times" w:eastAsia="Times New Roman" w:hAnsi="Times" w:cs="Arial"/>
          <w:shd w:val="clear" w:color="auto" w:fill="FFFFFF"/>
        </w:rPr>
        <w:t xml:space="preserve"> This was, according to the Advocate General</w:t>
      </w:r>
      <w:r w:rsidR="00E01D74" w:rsidRPr="004F1D23">
        <w:rPr>
          <w:rFonts w:ascii="Times" w:eastAsia="Times New Roman" w:hAnsi="Times" w:cs="Arial"/>
          <w:shd w:val="clear" w:color="auto" w:fill="FFFFFF"/>
        </w:rPr>
        <w:t xml:space="preserve">, because the UK had maintained that the right to reside test was independent of, not part of, the habitual residence test. </w:t>
      </w:r>
      <w:r w:rsidR="008E0CB2" w:rsidRPr="004F1D23">
        <w:rPr>
          <w:rFonts w:ascii="Times" w:eastAsia="Times New Roman" w:hAnsi="Times" w:cs="Arial"/>
          <w:shd w:val="clear" w:color="auto" w:fill="FFFFFF"/>
        </w:rPr>
        <w:t xml:space="preserve">Accepting that the benefits should be classified as social security, the </w:t>
      </w:r>
      <w:r w:rsidR="009018E0" w:rsidRPr="004F1D23">
        <w:rPr>
          <w:rFonts w:ascii="Times" w:eastAsia="Times New Roman" w:hAnsi="Times" w:cs="Arial"/>
          <w:shd w:val="clear" w:color="auto" w:fill="FFFFFF"/>
        </w:rPr>
        <w:t>Advocate General</w:t>
      </w:r>
      <w:r w:rsidR="0096730F" w:rsidRPr="004F1D23">
        <w:rPr>
          <w:rFonts w:ascii="Times" w:eastAsia="Times New Roman" w:hAnsi="Times" w:cs="Arial"/>
          <w:shd w:val="clear" w:color="auto" w:fill="FFFFFF"/>
        </w:rPr>
        <w:t xml:space="preserve"> found that regardless of “ambiguous”</w:t>
      </w:r>
      <w:r w:rsidR="008E0CB2" w:rsidRPr="004F1D23">
        <w:rPr>
          <w:rFonts w:ascii="Times" w:eastAsia="Times New Roman" w:hAnsi="Times" w:cs="Arial"/>
          <w:shd w:val="clear" w:color="auto" w:fill="FFFFFF"/>
        </w:rPr>
        <w:t xml:space="preserve"> wording</w:t>
      </w:r>
      <w:r w:rsidR="009018E0" w:rsidRPr="004F1D23">
        <w:rPr>
          <w:rStyle w:val="FootnoteReference"/>
          <w:rFonts w:ascii="Times" w:eastAsia="Times New Roman" w:hAnsi="Times" w:cs="Arial"/>
          <w:shd w:val="clear" w:color="auto" w:fill="FFFFFF"/>
        </w:rPr>
        <w:footnoteReference w:id="26"/>
      </w:r>
      <w:r w:rsidR="008E0CB2" w:rsidRPr="004F1D23">
        <w:rPr>
          <w:rFonts w:ascii="Times" w:eastAsia="Times New Roman" w:hAnsi="Times" w:cs="Arial"/>
          <w:shd w:val="clear" w:color="auto" w:fill="FFFFFF"/>
        </w:rPr>
        <w:t xml:space="preserve"> in U</w:t>
      </w:r>
      <w:r w:rsidR="0096730F" w:rsidRPr="004F1D23">
        <w:rPr>
          <w:rFonts w:ascii="Times" w:eastAsia="Times New Roman" w:hAnsi="Times" w:cs="Arial"/>
          <w:shd w:val="clear" w:color="auto" w:fill="FFFFFF"/>
        </w:rPr>
        <w:t>K legislation that resulted in “</w:t>
      </w:r>
      <w:r w:rsidR="008E0CB2" w:rsidRPr="004F1D23">
        <w:rPr>
          <w:rFonts w:ascii="Times" w:eastAsia="Times New Roman" w:hAnsi="Times" w:cs="Arial"/>
          <w:shd w:val="clear" w:color="auto" w:fill="FFFFFF"/>
        </w:rPr>
        <w:t>unnecessary intertwining</w:t>
      </w:r>
      <w:r w:rsidR="0096730F" w:rsidRPr="004F1D23">
        <w:rPr>
          <w:rFonts w:ascii="Times" w:eastAsia="Times New Roman" w:hAnsi="Times" w:cs="Arial"/>
          <w:shd w:val="clear" w:color="auto" w:fill="FFFFFF"/>
        </w:rPr>
        <w:t>”</w:t>
      </w:r>
      <w:r w:rsidR="009018E0" w:rsidRPr="004F1D23">
        <w:rPr>
          <w:rStyle w:val="FootnoteReference"/>
          <w:rFonts w:ascii="Times" w:eastAsia="Times New Roman" w:hAnsi="Times" w:cs="Arial"/>
          <w:shd w:val="clear" w:color="auto" w:fill="FFFFFF"/>
        </w:rPr>
        <w:footnoteReference w:id="27"/>
      </w:r>
      <w:r w:rsidR="009018E0" w:rsidRPr="004F1D23">
        <w:rPr>
          <w:rFonts w:ascii="Times" w:eastAsia="Times New Roman" w:hAnsi="Times" w:cs="Arial"/>
          <w:shd w:val="clear" w:color="auto" w:fill="FFFFFF"/>
        </w:rPr>
        <w:t xml:space="preserve"> </w:t>
      </w:r>
      <w:r w:rsidR="008E0CB2" w:rsidRPr="004F1D23">
        <w:rPr>
          <w:rFonts w:ascii="Times" w:eastAsia="Times New Roman" w:hAnsi="Times" w:cs="Arial"/>
          <w:shd w:val="clear" w:color="auto" w:fill="FFFFFF"/>
        </w:rPr>
        <w:t>of the right to reside and habitual residence, the right to reside test was independent of Regulation 883/2004, and did not affect applicability of the conflict of laws principles in Article 11 (speci</w:t>
      </w:r>
      <w:r w:rsidR="0096730F" w:rsidRPr="004F1D23">
        <w:rPr>
          <w:rFonts w:ascii="Times" w:eastAsia="Times New Roman" w:hAnsi="Times" w:cs="Arial"/>
          <w:shd w:val="clear" w:color="auto" w:fill="FFFFFF"/>
        </w:rPr>
        <w:t>fically 11(3)(e)), so that the “crux”</w:t>
      </w:r>
      <w:r w:rsidR="008E0CB2" w:rsidRPr="004F1D23">
        <w:rPr>
          <w:rFonts w:ascii="Times" w:eastAsia="Times New Roman" w:hAnsi="Times" w:cs="Arial"/>
          <w:shd w:val="clear" w:color="auto" w:fill="FFFFFF"/>
        </w:rPr>
        <w:t xml:space="preserve"> of the case had to be the discrimination question, and the first head has to be dismissed. </w:t>
      </w:r>
    </w:p>
    <w:p w14:paraId="0CAEE95D" w14:textId="77777777" w:rsidR="008E0CB2" w:rsidRPr="004F1D23" w:rsidRDefault="008E0CB2" w:rsidP="00914FAF">
      <w:pPr>
        <w:jc w:val="both"/>
        <w:rPr>
          <w:rFonts w:ascii="Times" w:eastAsia="Times New Roman" w:hAnsi="Times" w:cs="Arial"/>
          <w:shd w:val="clear" w:color="auto" w:fill="FFFFFF"/>
        </w:rPr>
      </w:pPr>
    </w:p>
    <w:p w14:paraId="1C5A94AA" w14:textId="03F3B534" w:rsidR="0000384E" w:rsidRPr="004F1D23" w:rsidRDefault="008E0CB2" w:rsidP="00914FAF">
      <w:pPr>
        <w:jc w:val="both"/>
        <w:rPr>
          <w:rFonts w:ascii="Times" w:eastAsia="Times New Roman" w:hAnsi="Times" w:cs="Arial"/>
          <w:shd w:val="clear" w:color="auto" w:fill="FFFFFF"/>
        </w:rPr>
      </w:pPr>
      <w:r w:rsidRPr="004F1D23">
        <w:rPr>
          <w:rFonts w:ascii="Times" w:eastAsia="Times New Roman" w:hAnsi="Times" w:cs="Times New Roman"/>
        </w:rPr>
        <w:t xml:space="preserve">The bulk of the </w:t>
      </w:r>
      <w:r w:rsidR="0096730F" w:rsidRPr="004F1D23">
        <w:rPr>
          <w:rFonts w:ascii="Times" w:eastAsia="Times New Roman" w:hAnsi="Times" w:cs="Times New Roman"/>
        </w:rPr>
        <w:t>Advocate General’s</w:t>
      </w:r>
      <w:r w:rsidRPr="004F1D23">
        <w:rPr>
          <w:rFonts w:ascii="Times" w:eastAsia="Times New Roman" w:hAnsi="Times" w:cs="Times New Roman"/>
        </w:rPr>
        <w:t xml:space="preserve"> analysis was devoted to the question of discrimination</w:t>
      </w:r>
      <w:r w:rsidR="007F56D6" w:rsidRPr="004F1D23">
        <w:rPr>
          <w:rFonts w:ascii="Times" w:eastAsia="Times New Roman" w:hAnsi="Times" w:cs="Times New Roman"/>
        </w:rPr>
        <w:t>, and the Commission’s argument that the test created an extra condition solely for non-nationals, violat</w:t>
      </w:r>
      <w:r w:rsidR="00D340A6" w:rsidRPr="004F1D23">
        <w:rPr>
          <w:rFonts w:ascii="Times" w:eastAsia="Times New Roman" w:hAnsi="Times" w:cs="Times New Roman"/>
        </w:rPr>
        <w:t>ing</w:t>
      </w:r>
      <w:r w:rsidR="007F56D6" w:rsidRPr="004F1D23">
        <w:rPr>
          <w:rFonts w:ascii="Times" w:eastAsia="Times New Roman" w:hAnsi="Times" w:cs="Times New Roman"/>
        </w:rPr>
        <w:t xml:space="preserve"> the non-discrimination principle in Article 4 of Regulation 883/2004</w:t>
      </w:r>
      <w:r w:rsidRPr="004F1D23">
        <w:rPr>
          <w:rFonts w:ascii="Times" w:eastAsia="Times New Roman" w:hAnsi="Times" w:cs="Times New Roman"/>
        </w:rPr>
        <w:t xml:space="preserve">. </w:t>
      </w:r>
      <w:r w:rsidR="0000384E" w:rsidRPr="004F1D23">
        <w:rPr>
          <w:rFonts w:ascii="Times" w:eastAsia="Times New Roman" w:hAnsi="Times" w:cs="Times New Roman"/>
        </w:rPr>
        <w:t xml:space="preserve">The AG </w:t>
      </w:r>
      <w:r w:rsidR="00711D4C" w:rsidRPr="004F1D23">
        <w:rPr>
          <w:rFonts w:ascii="Times" w:eastAsia="Times New Roman" w:hAnsi="Times" w:cs="Times New Roman"/>
        </w:rPr>
        <w:t>said the</w:t>
      </w:r>
      <w:r w:rsidR="0000384E" w:rsidRPr="004F1D23">
        <w:rPr>
          <w:rFonts w:ascii="Times" w:eastAsia="Times New Roman" w:hAnsi="Times" w:cs="Times New Roman"/>
        </w:rPr>
        <w:t xml:space="preserve"> </w:t>
      </w:r>
      <w:r w:rsidR="0096730F" w:rsidRPr="004F1D23">
        <w:rPr>
          <w:rFonts w:ascii="Times" w:eastAsia="Times New Roman" w:hAnsi="Times" w:cs="Times New Roman"/>
        </w:rPr>
        <w:t>“</w:t>
      </w:r>
      <w:r w:rsidR="0000384E" w:rsidRPr="004F1D23">
        <w:rPr>
          <w:rFonts w:ascii="Times" w:eastAsia="Times New Roman" w:hAnsi="Times" w:cs="Arial"/>
          <w:shd w:val="clear" w:color="auto" w:fill="FFFFFF"/>
        </w:rPr>
        <w:t xml:space="preserve">argument requires a slightly more complex response, in contrast to how it </w:t>
      </w:r>
      <w:r w:rsidR="0096730F" w:rsidRPr="004F1D23">
        <w:rPr>
          <w:rFonts w:ascii="Times" w:eastAsia="Times New Roman" w:hAnsi="Times" w:cs="Arial"/>
          <w:shd w:val="clear" w:color="auto" w:fill="FFFFFF"/>
        </w:rPr>
        <w:t>was presented by the Commission”</w:t>
      </w:r>
      <w:r w:rsidR="0000384E" w:rsidRPr="004F1D23">
        <w:rPr>
          <w:rFonts w:ascii="Times" w:eastAsia="Times New Roman" w:hAnsi="Times" w:cs="Arial"/>
          <w:shd w:val="clear" w:color="auto" w:fill="FFFFFF"/>
        </w:rPr>
        <w:t>.</w:t>
      </w:r>
      <w:r w:rsidR="009018E0" w:rsidRPr="004F1D23">
        <w:rPr>
          <w:rStyle w:val="FootnoteReference"/>
          <w:rFonts w:ascii="Times" w:eastAsia="Times New Roman" w:hAnsi="Times" w:cs="Arial"/>
          <w:shd w:val="clear" w:color="auto" w:fill="FFFFFF"/>
        </w:rPr>
        <w:footnoteReference w:id="28"/>
      </w:r>
      <w:r w:rsidR="0000384E" w:rsidRPr="004F1D23">
        <w:rPr>
          <w:rFonts w:ascii="Times" w:eastAsia="Times New Roman" w:hAnsi="Times" w:cs="Arial"/>
          <w:shd w:val="clear" w:color="auto" w:fill="FFFFFF"/>
        </w:rPr>
        <w:t xml:space="preserve"> He went on to find that the provisions in Directive 200</w:t>
      </w:r>
      <w:r w:rsidR="0096730F" w:rsidRPr="004F1D23">
        <w:rPr>
          <w:rFonts w:ascii="Times" w:eastAsia="Times New Roman" w:hAnsi="Times" w:cs="Arial"/>
          <w:shd w:val="clear" w:color="auto" w:fill="FFFFFF"/>
        </w:rPr>
        <w:t>4/38 must be read into (and be “fully effective”</w:t>
      </w:r>
      <w:r w:rsidR="0000384E" w:rsidRPr="004F1D23">
        <w:rPr>
          <w:rFonts w:ascii="Times" w:eastAsia="Times New Roman" w:hAnsi="Times" w:cs="Arial"/>
          <w:shd w:val="clear" w:color="auto" w:fill="FFFFFF"/>
        </w:rPr>
        <w:t xml:space="preserve"> within) the fram</w:t>
      </w:r>
      <w:r w:rsidR="00087A74" w:rsidRPr="004F1D23">
        <w:rPr>
          <w:rFonts w:ascii="Times" w:eastAsia="Times New Roman" w:hAnsi="Times" w:cs="Arial"/>
          <w:shd w:val="clear" w:color="auto" w:fill="FFFFFF"/>
        </w:rPr>
        <w:t>ework of Regulation 883/2004.</w:t>
      </w:r>
      <w:r w:rsidR="008F2438" w:rsidRPr="004F1D23">
        <w:rPr>
          <w:rStyle w:val="FootnoteReference"/>
          <w:rFonts w:ascii="Times" w:eastAsia="Times New Roman" w:hAnsi="Times" w:cs="Arial"/>
          <w:shd w:val="clear" w:color="auto" w:fill="FFFFFF"/>
        </w:rPr>
        <w:footnoteReference w:id="29"/>
      </w:r>
      <w:r w:rsidR="00087A74" w:rsidRPr="004F1D23">
        <w:rPr>
          <w:rFonts w:ascii="Times" w:eastAsia="Times New Roman" w:hAnsi="Times" w:cs="Arial"/>
          <w:shd w:val="clear" w:color="auto" w:fill="FFFFFF"/>
        </w:rPr>
        <w:t xml:space="preserve"> To back this up,</w:t>
      </w:r>
      <w:r w:rsidR="001C7615" w:rsidRPr="004F1D23">
        <w:rPr>
          <w:rFonts w:ascii="Times" w:eastAsia="Times New Roman" w:hAnsi="Times" w:cs="Arial"/>
          <w:shd w:val="clear" w:color="auto" w:fill="FFFFFF"/>
        </w:rPr>
        <w:t xml:space="preserve"> he</w:t>
      </w:r>
      <w:r w:rsidR="0000384E" w:rsidRPr="004F1D23">
        <w:rPr>
          <w:rFonts w:ascii="Times" w:eastAsia="Times New Roman" w:hAnsi="Times" w:cs="Arial"/>
          <w:shd w:val="clear" w:color="auto" w:fill="FFFFFF"/>
        </w:rPr>
        <w:t xml:space="preserve"> quoted para</w:t>
      </w:r>
      <w:r w:rsidR="0065774F" w:rsidRPr="004F1D23">
        <w:rPr>
          <w:rFonts w:ascii="Times" w:eastAsia="Times New Roman" w:hAnsi="Times" w:cs="Arial"/>
          <w:shd w:val="clear" w:color="auto" w:fill="FFFFFF"/>
        </w:rPr>
        <w:t>graph</w:t>
      </w:r>
      <w:r w:rsidR="0000384E" w:rsidRPr="004F1D23">
        <w:rPr>
          <w:rFonts w:ascii="Times" w:eastAsia="Times New Roman" w:hAnsi="Times" w:cs="Arial"/>
          <w:shd w:val="clear" w:color="auto" w:fill="FFFFFF"/>
        </w:rPr>
        <w:t xml:space="preserve"> 44 of </w:t>
      </w:r>
      <w:r w:rsidR="0000384E" w:rsidRPr="004F1D23">
        <w:rPr>
          <w:rFonts w:ascii="Times" w:eastAsia="Times New Roman" w:hAnsi="Times" w:cs="Arial"/>
          <w:i/>
          <w:shd w:val="clear" w:color="auto" w:fill="FFFFFF"/>
        </w:rPr>
        <w:t>Brey</w:t>
      </w:r>
      <w:r w:rsidR="001C7615" w:rsidRPr="004F1D23">
        <w:rPr>
          <w:rFonts w:ascii="Times" w:eastAsia="Times New Roman" w:hAnsi="Times" w:cs="Arial"/>
          <w:shd w:val="clear" w:color="auto" w:fill="FFFFFF"/>
        </w:rPr>
        <w:t xml:space="preserve"> in which the Court</w:t>
      </w:r>
      <w:r w:rsidR="0065774F" w:rsidRPr="004F1D23">
        <w:rPr>
          <w:rFonts w:ascii="Times" w:eastAsia="Times New Roman" w:hAnsi="Times" w:cs="Arial"/>
          <w:shd w:val="clear" w:color="auto" w:fill="FFFFFF"/>
        </w:rPr>
        <w:t xml:space="preserve"> had</w:t>
      </w:r>
      <w:r w:rsidR="001C7615" w:rsidRPr="004F1D23">
        <w:rPr>
          <w:rFonts w:ascii="Times" w:eastAsia="Times New Roman" w:hAnsi="Times" w:cs="Arial"/>
          <w:shd w:val="clear" w:color="auto" w:fill="FFFFFF"/>
        </w:rPr>
        <w:t xml:space="preserve"> held that</w:t>
      </w:r>
      <w:r w:rsidR="0096730F" w:rsidRPr="004F1D23">
        <w:rPr>
          <w:rFonts w:ascii="Times" w:eastAsia="Times New Roman" w:hAnsi="Times" w:cs="Arial"/>
          <w:shd w:val="clear" w:color="auto" w:fill="FFFFFF"/>
        </w:rPr>
        <w:t xml:space="preserve"> “</w:t>
      </w:r>
      <w:r w:rsidR="0000384E" w:rsidRPr="004F1D23">
        <w:rPr>
          <w:rFonts w:ascii="Times" w:eastAsia="Times New Roman" w:hAnsi="Times" w:cs="Arial"/>
          <w:shd w:val="clear" w:color="auto" w:fill="FFFFFF"/>
        </w:rPr>
        <w:t>there is nothing to prevent, in principle, the granting of social benefits to Union citizens who are not economically active being made conditional upon those citizens meeting the necessary requirements for obtaining a legal right of resid</w:t>
      </w:r>
      <w:r w:rsidR="0096730F" w:rsidRPr="004F1D23">
        <w:rPr>
          <w:rFonts w:ascii="Times" w:eastAsia="Times New Roman" w:hAnsi="Times" w:cs="Arial"/>
          <w:shd w:val="clear" w:color="auto" w:fill="FFFFFF"/>
        </w:rPr>
        <w:t>ence in the host Member State”</w:t>
      </w:r>
      <w:r w:rsidR="001C7615" w:rsidRPr="004F1D23">
        <w:rPr>
          <w:rFonts w:ascii="Times" w:eastAsia="Times New Roman" w:hAnsi="Times" w:cs="Arial"/>
          <w:shd w:val="clear" w:color="auto" w:fill="FFFFFF"/>
        </w:rPr>
        <w:t>.</w:t>
      </w:r>
      <w:r w:rsidR="008F2438" w:rsidRPr="004F1D23">
        <w:rPr>
          <w:rStyle w:val="FootnoteReference"/>
          <w:rFonts w:ascii="Times" w:eastAsia="Times New Roman" w:hAnsi="Times" w:cs="Arial"/>
          <w:shd w:val="clear" w:color="auto" w:fill="FFFFFF"/>
        </w:rPr>
        <w:footnoteReference w:id="30"/>
      </w:r>
      <w:r w:rsidR="001C7615" w:rsidRPr="004F1D23">
        <w:rPr>
          <w:rFonts w:ascii="Times" w:eastAsia="Times New Roman" w:hAnsi="Times" w:cs="Arial"/>
          <w:shd w:val="clear" w:color="auto" w:fill="FFFFFF"/>
        </w:rPr>
        <w:t xml:space="preserve"> The Advocate General </w:t>
      </w:r>
      <w:r w:rsidR="00A175C0" w:rsidRPr="004F1D23">
        <w:rPr>
          <w:rFonts w:ascii="Times" w:eastAsia="Times New Roman" w:hAnsi="Times" w:cs="Arial"/>
          <w:shd w:val="clear" w:color="auto" w:fill="FFFFFF"/>
        </w:rPr>
        <w:t>add</w:t>
      </w:r>
      <w:r w:rsidR="001C7615" w:rsidRPr="004F1D23">
        <w:rPr>
          <w:rFonts w:ascii="Times" w:eastAsia="Times New Roman" w:hAnsi="Times" w:cs="Arial"/>
          <w:shd w:val="clear" w:color="auto" w:fill="FFFFFF"/>
        </w:rPr>
        <w:t xml:space="preserve">ed </w:t>
      </w:r>
      <w:r w:rsidR="0096730F" w:rsidRPr="004F1D23">
        <w:rPr>
          <w:rFonts w:ascii="Times" w:eastAsia="Times New Roman" w:hAnsi="Times" w:cs="Arial"/>
          <w:shd w:val="clear" w:color="auto" w:fill="FFFFFF"/>
        </w:rPr>
        <w:t>that</w:t>
      </w:r>
      <w:r w:rsidR="001C459F" w:rsidRPr="004F1D23">
        <w:rPr>
          <w:rFonts w:ascii="Times" w:eastAsia="Times New Roman" w:hAnsi="Times" w:cs="Arial"/>
          <w:shd w:val="clear" w:color="auto" w:fill="FFFFFF"/>
        </w:rPr>
        <w:t xml:space="preserve"> </w:t>
      </w:r>
      <w:r w:rsidR="0065774F" w:rsidRPr="004F1D23">
        <w:rPr>
          <w:rFonts w:ascii="Times" w:eastAsia="Times New Roman" w:hAnsi="Times" w:cs="Arial"/>
          <w:shd w:val="clear" w:color="auto" w:fill="FFFFFF"/>
        </w:rPr>
        <w:t>the Court</w:t>
      </w:r>
      <w:r w:rsidR="001C459F" w:rsidRPr="004F1D23">
        <w:rPr>
          <w:rFonts w:ascii="Times" w:eastAsia="Times New Roman" w:hAnsi="Times" w:cs="Arial"/>
          <w:shd w:val="clear" w:color="auto" w:fill="FFFFFF"/>
        </w:rPr>
        <w:t xml:space="preserve"> did not indicate that </w:t>
      </w:r>
      <w:r w:rsidR="0065774F" w:rsidRPr="004F1D23">
        <w:rPr>
          <w:rFonts w:ascii="Times" w:eastAsia="Times New Roman" w:hAnsi="Times" w:cs="Arial"/>
          <w:shd w:val="clear" w:color="auto" w:fill="FFFFFF"/>
        </w:rPr>
        <w:t xml:space="preserve">this finding </w:t>
      </w:r>
      <w:r w:rsidR="001C459F" w:rsidRPr="004F1D23">
        <w:rPr>
          <w:rFonts w:ascii="Times" w:eastAsia="Times New Roman" w:hAnsi="Times" w:cs="Arial"/>
          <w:shd w:val="clear" w:color="auto" w:fill="FFFFFF"/>
        </w:rPr>
        <w:t>did not also apply to social security</w:t>
      </w:r>
      <w:r w:rsidR="0000384E" w:rsidRPr="004F1D23">
        <w:rPr>
          <w:rFonts w:ascii="Times" w:eastAsia="Times New Roman" w:hAnsi="Times" w:cs="Arial"/>
          <w:shd w:val="clear" w:color="auto" w:fill="FFFFFF"/>
        </w:rPr>
        <w:t>.</w:t>
      </w:r>
      <w:r w:rsidR="008F2438" w:rsidRPr="004F1D23">
        <w:rPr>
          <w:rStyle w:val="FootnoteReference"/>
          <w:rFonts w:ascii="Times" w:eastAsia="Times New Roman" w:hAnsi="Times" w:cs="Arial"/>
          <w:shd w:val="clear" w:color="auto" w:fill="FFFFFF"/>
        </w:rPr>
        <w:footnoteReference w:id="31"/>
      </w:r>
      <w:r w:rsidR="0096730F" w:rsidRPr="004F1D23">
        <w:rPr>
          <w:rFonts w:ascii="Times" w:eastAsia="Times New Roman" w:hAnsi="Times" w:cs="Arial"/>
          <w:shd w:val="clear" w:color="auto" w:fill="FFFFFF"/>
        </w:rPr>
        <w:t xml:space="preserve"> He found that a “</w:t>
      </w:r>
      <w:r w:rsidR="0000384E" w:rsidRPr="004F1D23">
        <w:rPr>
          <w:rFonts w:ascii="Times" w:eastAsia="Times New Roman" w:hAnsi="Times" w:cs="Arial"/>
          <w:shd w:val="clear" w:color="auto" w:fill="FFFFFF"/>
        </w:rPr>
        <w:t xml:space="preserve">difference in treatment as regards the right of residence is inherent in the system and, </w:t>
      </w:r>
      <w:r w:rsidR="0096730F" w:rsidRPr="004F1D23">
        <w:rPr>
          <w:rFonts w:ascii="Times" w:eastAsia="Times New Roman" w:hAnsi="Times" w:cs="Arial"/>
          <w:shd w:val="clear" w:color="auto" w:fill="FFFFFF"/>
        </w:rPr>
        <w:t>to a certain extent, inevitable”</w:t>
      </w:r>
      <w:r w:rsidR="0000384E" w:rsidRPr="004F1D23">
        <w:rPr>
          <w:rFonts w:ascii="Times" w:eastAsia="Times New Roman" w:hAnsi="Times" w:cs="Arial"/>
          <w:shd w:val="clear" w:color="auto" w:fill="FFFFFF"/>
        </w:rPr>
        <w:t>,</w:t>
      </w:r>
      <w:r w:rsidR="008F2438" w:rsidRPr="004F1D23">
        <w:rPr>
          <w:rStyle w:val="FootnoteReference"/>
          <w:rFonts w:ascii="Times" w:eastAsia="Times New Roman" w:hAnsi="Times" w:cs="Arial"/>
          <w:shd w:val="clear" w:color="auto" w:fill="FFFFFF"/>
        </w:rPr>
        <w:footnoteReference w:id="32"/>
      </w:r>
      <w:r w:rsidR="0000384E" w:rsidRPr="004F1D23">
        <w:rPr>
          <w:rFonts w:ascii="Times" w:eastAsia="Times New Roman" w:hAnsi="Times" w:cs="Arial"/>
          <w:shd w:val="clear" w:color="auto" w:fill="FFFFFF"/>
        </w:rPr>
        <w:t xml:space="preserve"> and found that Regulation 883/2004 could only confer entitlements upon those deemed under Directive 2</w:t>
      </w:r>
      <w:r w:rsidR="0096730F" w:rsidRPr="004F1D23">
        <w:rPr>
          <w:rFonts w:ascii="Times" w:eastAsia="Times New Roman" w:hAnsi="Times" w:cs="Arial"/>
          <w:shd w:val="clear" w:color="auto" w:fill="FFFFFF"/>
        </w:rPr>
        <w:t>004/38 to be exercising lawful</w:t>
      </w:r>
      <w:r w:rsidR="0000384E" w:rsidRPr="004F1D23">
        <w:rPr>
          <w:rFonts w:ascii="Times" w:eastAsia="Times New Roman" w:hAnsi="Times" w:cs="Arial"/>
          <w:shd w:val="clear" w:color="auto" w:fill="FFFFFF"/>
        </w:rPr>
        <w:t xml:space="preserve"> residence. So the question of discrimination under Article 4 was </w:t>
      </w:r>
      <w:r w:rsidR="001C7615" w:rsidRPr="004F1D23">
        <w:rPr>
          <w:rFonts w:ascii="Times" w:eastAsia="Times New Roman" w:hAnsi="Times" w:cs="Arial"/>
          <w:shd w:val="clear" w:color="auto" w:fill="FFFFFF"/>
        </w:rPr>
        <w:t>avoided by finding that it was</w:t>
      </w:r>
      <w:r w:rsidR="0000384E" w:rsidRPr="004F1D23">
        <w:rPr>
          <w:rFonts w:ascii="Times" w:eastAsia="Times New Roman" w:hAnsi="Times" w:cs="Arial"/>
          <w:shd w:val="clear" w:color="auto" w:fill="FFFFFF"/>
        </w:rPr>
        <w:t xml:space="preserve"> not engaged; </w:t>
      </w:r>
      <w:r w:rsidR="0096730F" w:rsidRPr="004F1D23">
        <w:rPr>
          <w:rFonts w:ascii="Times" w:eastAsia="Times New Roman" w:hAnsi="Times" w:cs="Arial"/>
          <w:shd w:val="clear" w:color="auto" w:fill="FFFFFF"/>
        </w:rPr>
        <w:t>“</w:t>
      </w:r>
      <w:r w:rsidR="0000384E" w:rsidRPr="004F1D23">
        <w:rPr>
          <w:rFonts w:ascii="Times" w:hAnsi="Times" w:cs="Arial"/>
        </w:rPr>
        <w:t>any difference in treatment between UK nationals and nationals of other Member States occurs at a stage before that of the practical application of Article 4 of Regulation No 883/2004, and does not therefore affect its applicability in principle.</w:t>
      </w:r>
      <w:r w:rsidR="0096730F" w:rsidRPr="004F1D23">
        <w:rPr>
          <w:rFonts w:ascii="Times" w:hAnsi="Times" w:cs="Arial"/>
        </w:rPr>
        <w:t>”</w:t>
      </w:r>
      <w:r w:rsidR="008F2438" w:rsidRPr="004F1D23">
        <w:rPr>
          <w:rStyle w:val="FootnoteReference"/>
          <w:rFonts w:ascii="Times" w:hAnsi="Times" w:cs="Arial"/>
        </w:rPr>
        <w:footnoteReference w:id="33"/>
      </w:r>
    </w:p>
    <w:p w14:paraId="5A05F487" w14:textId="77777777" w:rsidR="0000384E" w:rsidRPr="004F1D23" w:rsidRDefault="0000384E" w:rsidP="00914FAF">
      <w:pPr>
        <w:jc w:val="both"/>
        <w:rPr>
          <w:rFonts w:ascii="Times" w:eastAsia="Times New Roman" w:hAnsi="Times" w:cs="Times New Roman"/>
        </w:rPr>
      </w:pPr>
    </w:p>
    <w:p w14:paraId="135ED014" w14:textId="450A766A" w:rsidR="005F1628" w:rsidRPr="004F1D23" w:rsidRDefault="008F2438" w:rsidP="00914FAF">
      <w:pPr>
        <w:jc w:val="both"/>
        <w:rPr>
          <w:rFonts w:ascii="Times" w:eastAsia="Times New Roman" w:hAnsi="Times" w:cs="Times New Roman"/>
        </w:rPr>
      </w:pPr>
      <w:r w:rsidRPr="004F1D23">
        <w:rPr>
          <w:rFonts w:ascii="Times" w:eastAsia="Times New Roman" w:hAnsi="Times" w:cs="Times New Roman"/>
        </w:rPr>
        <w:t>Moving</w:t>
      </w:r>
      <w:r w:rsidR="005F1628" w:rsidRPr="004F1D23">
        <w:rPr>
          <w:rFonts w:ascii="Times" w:eastAsia="Times New Roman" w:hAnsi="Times" w:cs="Times New Roman"/>
        </w:rPr>
        <w:t xml:space="preserve"> on to ask whether the process of checking claimants’ rights to reside was discriminatory</w:t>
      </w:r>
      <w:r w:rsidRPr="004F1D23">
        <w:rPr>
          <w:rFonts w:ascii="Times" w:eastAsia="Times New Roman" w:hAnsi="Times" w:cs="Times New Roman"/>
        </w:rPr>
        <w:t>, the Advocate General</w:t>
      </w:r>
      <w:r w:rsidR="005F1628" w:rsidRPr="004F1D23">
        <w:rPr>
          <w:rFonts w:ascii="Times" w:eastAsia="Times New Roman" w:hAnsi="Times" w:cs="Times New Roman"/>
        </w:rPr>
        <w:t xml:space="preserve"> found that it did create an indirectly discriminatory difference in treatment</w:t>
      </w:r>
      <w:r w:rsidRPr="004F1D23">
        <w:rPr>
          <w:rFonts w:ascii="Times" w:eastAsia="Times New Roman" w:hAnsi="Times" w:cs="Times New Roman"/>
        </w:rPr>
        <w:t>. He</w:t>
      </w:r>
      <w:r w:rsidR="005F1628" w:rsidRPr="004F1D23">
        <w:rPr>
          <w:rFonts w:ascii="Times" w:eastAsia="Times New Roman" w:hAnsi="Times" w:cs="Times New Roman"/>
        </w:rPr>
        <w:t xml:space="preserve"> </w:t>
      </w:r>
      <w:r w:rsidRPr="004F1D23">
        <w:rPr>
          <w:rFonts w:ascii="Times" w:eastAsia="Times New Roman" w:hAnsi="Times" w:cs="Times New Roman"/>
        </w:rPr>
        <w:t xml:space="preserve">dealt with the </w:t>
      </w:r>
      <w:r w:rsidR="001C7615" w:rsidRPr="004F1D23">
        <w:rPr>
          <w:rFonts w:ascii="Times" w:eastAsia="Times New Roman" w:hAnsi="Times" w:cs="Times New Roman"/>
        </w:rPr>
        <w:t>question of justification</w:t>
      </w:r>
      <w:r w:rsidRPr="004F1D23">
        <w:rPr>
          <w:rFonts w:ascii="Times" w:eastAsia="Times New Roman" w:hAnsi="Times" w:cs="Times New Roman"/>
        </w:rPr>
        <w:t xml:space="preserve"> briefly</w:t>
      </w:r>
      <w:r w:rsidR="001C7615" w:rsidRPr="004F1D23">
        <w:rPr>
          <w:rFonts w:ascii="Times" w:eastAsia="Times New Roman" w:hAnsi="Times" w:cs="Times New Roman"/>
        </w:rPr>
        <w:t>, stating</w:t>
      </w:r>
      <w:r w:rsidRPr="004F1D23">
        <w:rPr>
          <w:rFonts w:ascii="Times" w:eastAsia="Times New Roman" w:hAnsi="Times" w:cs="Times New Roman"/>
        </w:rPr>
        <w:t xml:space="preserve"> that</w:t>
      </w:r>
      <w:r w:rsidR="001C7615" w:rsidRPr="004F1D23">
        <w:rPr>
          <w:rFonts w:ascii="Times" w:eastAsia="Times New Roman" w:hAnsi="Times" w:cs="Times New Roman"/>
        </w:rPr>
        <w:t xml:space="preserve"> </w:t>
      </w:r>
      <w:r w:rsidR="0096730F" w:rsidRPr="004F1D23">
        <w:rPr>
          <w:rFonts w:ascii="Times" w:eastAsia="Times New Roman" w:hAnsi="Times" w:cs="Times New Roman"/>
        </w:rPr>
        <w:t>“</w:t>
      </w:r>
      <w:r w:rsidR="005F1628" w:rsidRPr="004F1D23">
        <w:rPr>
          <w:rFonts w:ascii="Times" w:eastAsia="Times New Roman" w:hAnsi="Times" w:cs="Arial"/>
          <w:shd w:val="clear" w:color="auto" w:fill="FFFFFF"/>
        </w:rPr>
        <w:t>without any need to pursue the argument further, I consider that the necessity of protecting the host Member State’s public finances</w:t>
      </w:r>
      <w:r w:rsidRPr="004F1D23">
        <w:rPr>
          <w:rFonts w:ascii="Times" w:eastAsia="Times New Roman" w:hAnsi="Times" w:cs="Arial"/>
          <w:shd w:val="clear" w:color="auto" w:fill="FFFFFF"/>
        </w:rPr>
        <w:t>…</w:t>
      </w:r>
      <w:r w:rsidR="005F1628" w:rsidRPr="004F1D23">
        <w:rPr>
          <w:rFonts w:ascii="Times" w:eastAsia="Times New Roman" w:hAnsi="Times" w:cs="Arial"/>
          <w:shd w:val="clear" w:color="auto" w:fill="FFFFFF"/>
        </w:rPr>
        <w:t> is in principle sufficient justification for a Member State to check the lawful</w:t>
      </w:r>
      <w:r w:rsidR="0096730F" w:rsidRPr="004F1D23">
        <w:rPr>
          <w:rFonts w:ascii="Times" w:eastAsia="Times New Roman" w:hAnsi="Times" w:cs="Arial"/>
          <w:shd w:val="clear" w:color="auto" w:fill="FFFFFF"/>
        </w:rPr>
        <w:t>ness of residence at that point”</w:t>
      </w:r>
      <w:r w:rsidR="005F1628" w:rsidRPr="004F1D23">
        <w:rPr>
          <w:rFonts w:ascii="Times" w:eastAsia="Times New Roman" w:hAnsi="Times" w:cs="Arial"/>
          <w:shd w:val="clear" w:color="auto" w:fill="FFFFFF"/>
        </w:rPr>
        <w:t>.</w:t>
      </w:r>
      <w:r w:rsidR="005F1628" w:rsidRPr="004F1D23">
        <w:rPr>
          <w:rStyle w:val="FootnoteReference"/>
          <w:rFonts w:ascii="Times" w:eastAsia="Times New Roman" w:hAnsi="Times" w:cs="Arial"/>
          <w:shd w:val="clear" w:color="auto" w:fill="FFFFFF"/>
        </w:rPr>
        <w:footnoteReference w:id="34"/>
      </w:r>
    </w:p>
    <w:p w14:paraId="2DDDDF54" w14:textId="261EA270" w:rsidR="0000384E" w:rsidRPr="004F1D23" w:rsidRDefault="005F1628" w:rsidP="00914FAF">
      <w:pPr>
        <w:jc w:val="both"/>
        <w:rPr>
          <w:rFonts w:ascii="Times" w:eastAsia="Times New Roman" w:hAnsi="Times" w:cs="Times New Roman"/>
        </w:rPr>
      </w:pPr>
      <w:r w:rsidRPr="004F1D23">
        <w:rPr>
          <w:rFonts w:ascii="Times" w:eastAsia="Times New Roman" w:hAnsi="Times" w:cs="Times New Roman"/>
        </w:rPr>
        <w:t xml:space="preserve"> </w:t>
      </w:r>
    </w:p>
    <w:p w14:paraId="263B021A" w14:textId="0EC1E4BF" w:rsidR="00846F02" w:rsidRPr="004F1D23" w:rsidRDefault="005F1628" w:rsidP="00914FAF">
      <w:pPr>
        <w:jc w:val="both"/>
        <w:rPr>
          <w:rFonts w:ascii="Times" w:eastAsia="Times New Roman" w:hAnsi="Times" w:cs="Arial"/>
          <w:shd w:val="clear" w:color="auto" w:fill="FFFFFF"/>
        </w:rPr>
      </w:pPr>
      <w:r w:rsidRPr="004F1D23">
        <w:rPr>
          <w:rFonts w:ascii="Times" w:eastAsia="Times New Roman" w:hAnsi="Times" w:cs="Times New Roman"/>
        </w:rPr>
        <w:t xml:space="preserve">Next, the </w:t>
      </w:r>
      <w:r w:rsidR="001C7615" w:rsidRPr="004F1D23">
        <w:rPr>
          <w:rFonts w:ascii="Times" w:eastAsia="Times New Roman" w:hAnsi="Times" w:cs="Times New Roman"/>
        </w:rPr>
        <w:t>Advocate General</w:t>
      </w:r>
      <w:r w:rsidRPr="004F1D23">
        <w:rPr>
          <w:rFonts w:ascii="Times" w:eastAsia="Times New Roman" w:hAnsi="Times" w:cs="Times New Roman"/>
        </w:rPr>
        <w:t xml:space="preserve"> confirmed that the process of verification </w:t>
      </w:r>
      <w:r w:rsidR="00056F3A" w:rsidRPr="004F1D23">
        <w:rPr>
          <w:rFonts w:ascii="Times" w:eastAsia="Times New Roman" w:hAnsi="Times" w:cs="Times New Roman"/>
        </w:rPr>
        <w:t>of a right to reside must abide by certain rules – it must be interpreted in conform</w:t>
      </w:r>
      <w:r w:rsidR="0096730F" w:rsidRPr="004F1D23">
        <w:rPr>
          <w:rFonts w:ascii="Times" w:eastAsia="Times New Roman" w:hAnsi="Times" w:cs="Times New Roman"/>
        </w:rPr>
        <w:t>ity with the “fundamental right”</w:t>
      </w:r>
      <w:r w:rsidR="00056F3A" w:rsidRPr="004F1D23">
        <w:rPr>
          <w:rFonts w:ascii="Times" w:eastAsia="Times New Roman" w:hAnsi="Times" w:cs="Times New Roman"/>
        </w:rPr>
        <w:t xml:space="preserve"> </w:t>
      </w:r>
      <w:r w:rsidR="0096730F" w:rsidRPr="004F1D23">
        <w:rPr>
          <w:rFonts w:ascii="Times" w:eastAsia="Times New Roman" w:hAnsi="Times" w:cs="Times New Roman"/>
        </w:rPr>
        <w:t>of free movement, be conducted “</w:t>
      </w:r>
      <w:r w:rsidR="00056F3A" w:rsidRPr="004F1D23">
        <w:rPr>
          <w:rFonts w:ascii="Times" w:eastAsia="Times New Roman" w:hAnsi="Times" w:cs="Times New Roman"/>
        </w:rPr>
        <w:t>as un</w:t>
      </w:r>
      <w:r w:rsidR="008F2438" w:rsidRPr="004F1D23">
        <w:rPr>
          <w:rFonts w:ascii="Times" w:eastAsia="Times New Roman" w:hAnsi="Times" w:cs="Times New Roman"/>
        </w:rPr>
        <w:t>in</w:t>
      </w:r>
      <w:r w:rsidR="0096730F" w:rsidRPr="004F1D23">
        <w:rPr>
          <w:rFonts w:ascii="Times" w:eastAsia="Times New Roman" w:hAnsi="Times" w:cs="Times New Roman"/>
        </w:rPr>
        <w:t>trusively as possible”</w:t>
      </w:r>
      <w:r w:rsidR="00056F3A" w:rsidRPr="004F1D23">
        <w:rPr>
          <w:rFonts w:ascii="Times" w:eastAsia="Times New Roman" w:hAnsi="Times" w:cs="Times New Roman"/>
        </w:rPr>
        <w:t>,</w:t>
      </w:r>
      <w:r w:rsidR="008F2438" w:rsidRPr="004F1D23">
        <w:rPr>
          <w:rStyle w:val="FootnoteReference"/>
          <w:rFonts w:ascii="Times" w:eastAsia="Times New Roman" w:hAnsi="Times" w:cs="Times New Roman"/>
        </w:rPr>
        <w:footnoteReference w:id="35"/>
      </w:r>
      <w:r w:rsidR="00056F3A" w:rsidRPr="004F1D23">
        <w:rPr>
          <w:rFonts w:ascii="Times" w:eastAsia="Times New Roman" w:hAnsi="Times" w:cs="Times New Roman"/>
        </w:rPr>
        <w:t xml:space="preserve"> and specifically must comply with Article 14(2) of Directive 2004/38 which</w:t>
      </w:r>
      <w:r w:rsidR="0096730F" w:rsidRPr="004F1D23">
        <w:rPr>
          <w:rFonts w:ascii="Times" w:eastAsia="Times New Roman" w:hAnsi="Times" w:cs="Times New Roman"/>
        </w:rPr>
        <w:t xml:space="preserve"> states that such verification “</w:t>
      </w:r>
      <w:r w:rsidR="00056F3A" w:rsidRPr="004F1D23">
        <w:rPr>
          <w:rFonts w:ascii="Times" w:eastAsia="Times New Roman" w:hAnsi="Times" w:cs="Times New Roman"/>
        </w:rPr>
        <w:t>shall no</w:t>
      </w:r>
      <w:r w:rsidR="0096730F" w:rsidRPr="004F1D23">
        <w:rPr>
          <w:rFonts w:ascii="Times" w:eastAsia="Times New Roman" w:hAnsi="Times" w:cs="Times New Roman"/>
        </w:rPr>
        <w:t>t be carried out systematically”</w:t>
      </w:r>
      <w:r w:rsidR="00056F3A" w:rsidRPr="004F1D23">
        <w:rPr>
          <w:rFonts w:ascii="Times" w:eastAsia="Times New Roman" w:hAnsi="Times" w:cs="Times New Roman"/>
        </w:rPr>
        <w:t xml:space="preserve">. </w:t>
      </w:r>
      <w:r w:rsidR="001C7615" w:rsidRPr="004F1D23">
        <w:rPr>
          <w:rFonts w:ascii="Times" w:eastAsia="Times New Roman" w:hAnsi="Times" w:cs="Times New Roman"/>
        </w:rPr>
        <w:t>He</w:t>
      </w:r>
      <w:r w:rsidR="00846F02" w:rsidRPr="004F1D23">
        <w:rPr>
          <w:rFonts w:ascii="Times" w:eastAsia="Times New Roman" w:hAnsi="Times" w:cs="Times New Roman"/>
        </w:rPr>
        <w:t xml:space="preserve"> found that</w:t>
      </w:r>
      <w:r w:rsidR="0065774F" w:rsidRPr="004F1D23">
        <w:rPr>
          <w:rFonts w:ascii="Times" w:eastAsia="Times New Roman" w:hAnsi="Times" w:cs="Times New Roman"/>
        </w:rPr>
        <w:t xml:space="preserve"> UK checks were not systematic, and</w:t>
      </w:r>
      <w:r w:rsidR="00846F02" w:rsidRPr="004F1D23">
        <w:rPr>
          <w:rFonts w:ascii="Times" w:eastAsia="Times New Roman" w:hAnsi="Times" w:cs="Times New Roman"/>
        </w:rPr>
        <w:t xml:space="preserve"> that </w:t>
      </w:r>
      <w:r w:rsidR="00846F02" w:rsidRPr="004F1D23">
        <w:rPr>
          <w:rFonts w:ascii="Times" w:eastAsia="Times New Roman" w:hAnsi="Times" w:cs="Arial"/>
          <w:shd w:val="clear" w:color="auto" w:fill="FFFFFF"/>
        </w:rPr>
        <w:t xml:space="preserve">although all </w:t>
      </w:r>
      <w:r w:rsidR="001C7615" w:rsidRPr="004F1D23">
        <w:rPr>
          <w:rFonts w:ascii="Times" w:eastAsia="Times New Roman" w:hAnsi="Times" w:cs="Arial"/>
          <w:shd w:val="clear" w:color="auto" w:fill="FFFFFF"/>
        </w:rPr>
        <w:t>claimants had to provide information</w:t>
      </w:r>
      <w:r w:rsidR="0096730F" w:rsidRPr="004F1D23">
        <w:rPr>
          <w:rFonts w:ascii="Times" w:eastAsia="Times New Roman" w:hAnsi="Times" w:cs="Arial"/>
          <w:shd w:val="clear" w:color="auto" w:fill="FFFFFF"/>
        </w:rPr>
        <w:t xml:space="preserve"> at the point of claim, it was “</w:t>
      </w:r>
      <w:r w:rsidR="001C7615" w:rsidRPr="004F1D23">
        <w:rPr>
          <w:rFonts w:ascii="Times" w:eastAsia="Times New Roman" w:hAnsi="Times" w:cs="Arial"/>
          <w:shd w:val="clear" w:color="auto" w:fill="FFFFFF"/>
        </w:rPr>
        <w:t xml:space="preserve">only in cases of doubt… </w:t>
      </w:r>
      <w:r w:rsidR="00846F02" w:rsidRPr="004F1D23">
        <w:rPr>
          <w:rFonts w:ascii="Times" w:eastAsia="Times New Roman" w:hAnsi="Times" w:cs="Arial"/>
          <w:shd w:val="clear" w:color="auto" w:fill="FFFFFF"/>
        </w:rPr>
        <w:t>that the UK authorities will carry out the necessary checks</w:t>
      </w:r>
      <w:r w:rsidR="0096730F" w:rsidRPr="004F1D23">
        <w:rPr>
          <w:rFonts w:ascii="Times" w:eastAsia="Times New Roman" w:hAnsi="Times" w:cs="Arial"/>
          <w:shd w:val="clear" w:color="auto" w:fill="FFFFFF"/>
        </w:rPr>
        <w:t>”</w:t>
      </w:r>
      <w:r w:rsidR="001C7615" w:rsidRPr="004F1D23">
        <w:rPr>
          <w:rFonts w:ascii="Times" w:eastAsia="Times New Roman" w:hAnsi="Times" w:cs="Arial"/>
          <w:shd w:val="clear" w:color="auto" w:fill="FFFFFF"/>
        </w:rPr>
        <w:t xml:space="preserve"> for a right to reside under</w:t>
      </w:r>
      <w:r w:rsidR="00846F02" w:rsidRPr="004F1D23">
        <w:rPr>
          <w:rFonts w:ascii="Times" w:eastAsia="Times New Roman" w:hAnsi="Times" w:cs="Arial"/>
          <w:shd w:val="clear" w:color="auto" w:fill="FFFFFF"/>
        </w:rPr>
        <w:t xml:space="preserve"> Directive 2004/38.</w:t>
      </w:r>
      <w:r w:rsidR="0007543E" w:rsidRPr="004F1D23">
        <w:rPr>
          <w:rStyle w:val="FootnoteReference"/>
          <w:rFonts w:ascii="Times" w:eastAsia="Times New Roman" w:hAnsi="Times" w:cs="Arial"/>
          <w:shd w:val="clear" w:color="auto" w:fill="FFFFFF"/>
        </w:rPr>
        <w:footnoteReference w:id="36"/>
      </w:r>
    </w:p>
    <w:p w14:paraId="7A6D8FB4" w14:textId="77777777" w:rsidR="00846F02" w:rsidRPr="004F1D23" w:rsidRDefault="00846F02" w:rsidP="00914FAF">
      <w:pPr>
        <w:jc w:val="both"/>
        <w:rPr>
          <w:rFonts w:ascii="Times" w:eastAsia="Times New Roman" w:hAnsi="Times" w:cs="Arial"/>
          <w:shd w:val="clear" w:color="auto" w:fill="FFFFFF"/>
        </w:rPr>
      </w:pPr>
    </w:p>
    <w:p w14:paraId="1F1DCFC2" w14:textId="77A8EFC7" w:rsidR="005F1628" w:rsidRPr="004F1D23" w:rsidRDefault="00846F02" w:rsidP="00914FAF">
      <w:pPr>
        <w:jc w:val="both"/>
        <w:rPr>
          <w:rFonts w:ascii="Times" w:eastAsia="Times New Roman" w:hAnsi="Times" w:cs="Times New Roman"/>
        </w:rPr>
      </w:pPr>
      <w:r w:rsidRPr="004F1D23">
        <w:rPr>
          <w:rFonts w:ascii="Times" w:eastAsia="Times New Roman" w:hAnsi="Times" w:cs="Arial"/>
          <w:shd w:val="clear" w:color="auto" w:fill="FFFFFF"/>
        </w:rPr>
        <w:t xml:space="preserve">However, the </w:t>
      </w:r>
      <w:r w:rsidR="0007543E" w:rsidRPr="004F1D23">
        <w:rPr>
          <w:rFonts w:ascii="Times" w:eastAsia="Times New Roman" w:hAnsi="Times" w:cs="Arial"/>
          <w:shd w:val="clear" w:color="auto" w:fill="FFFFFF"/>
        </w:rPr>
        <w:t xml:space="preserve">UK was not </w:t>
      </w:r>
      <w:r w:rsidR="00D340A6" w:rsidRPr="004F1D23">
        <w:rPr>
          <w:rFonts w:ascii="Times" w:eastAsia="Times New Roman" w:hAnsi="Times" w:cs="Arial"/>
          <w:shd w:val="clear" w:color="auto" w:fill="FFFFFF"/>
        </w:rPr>
        <w:t xml:space="preserve">to </w:t>
      </w:r>
      <w:r w:rsidR="0007543E" w:rsidRPr="004F1D23">
        <w:rPr>
          <w:rFonts w:ascii="Times" w:eastAsia="Times New Roman" w:hAnsi="Times" w:cs="Arial"/>
          <w:shd w:val="clear" w:color="auto" w:fill="FFFFFF"/>
        </w:rPr>
        <w:t>consider itself free to impose tests that resulted in automatic exclusions. The Advocate General finished with an invocation of EU citizenship as</w:t>
      </w:r>
      <w:r w:rsidR="007C0A36" w:rsidRPr="004F1D23">
        <w:rPr>
          <w:rFonts w:ascii="Times" w:eastAsia="Times New Roman" w:hAnsi="Times" w:cs="Arial"/>
          <w:shd w:val="clear" w:color="auto" w:fill="FFFFFF"/>
        </w:rPr>
        <w:t xml:space="preserve"> preclud</w:t>
      </w:r>
      <w:r w:rsidR="0007543E" w:rsidRPr="004F1D23">
        <w:rPr>
          <w:rFonts w:ascii="Times" w:eastAsia="Times New Roman" w:hAnsi="Times" w:cs="Arial"/>
          <w:shd w:val="clear" w:color="auto" w:fill="FFFFFF"/>
        </w:rPr>
        <w:t>ing</w:t>
      </w:r>
      <w:r w:rsidR="007C0A36" w:rsidRPr="004F1D23">
        <w:rPr>
          <w:rFonts w:ascii="Times" w:eastAsia="Times New Roman" w:hAnsi="Times" w:cs="Arial"/>
          <w:shd w:val="clear" w:color="auto" w:fill="FFFFFF"/>
        </w:rPr>
        <w:t xml:space="preserve"> </w:t>
      </w:r>
      <w:r w:rsidR="0007543E" w:rsidRPr="004F1D23">
        <w:rPr>
          <w:rFonts w:ascii="Times" w:eastAsia="Times New Roman" w:hAnsi="Times" w:cs="Arial"/>
          <w:shd w:val="clear" w:color="auto" w:fill="FFFFFF"/>
        </w:rPr>
        <w:t xml:space="preserve">a legislative approach that was </w:t>
      </w:r>
      <w:r w:rsidR="0096730F" w:rsidRPr="004F1D23">
        <w:rPr>
          <w:rFonts w:ascii="Times" w:eastAsia="Times New Roman" w:hAnsi="Times" w:cs="Arial"/>
          <w:shd w:val="clear" w:color="auto" w:fill="FFFFFF"/>
        </w:rPr>
        <w:t>“</w:t>
      </w:r>
      <w:r w:rsidR="007C0A36" w:rsidRPr="004F1D23">
        <w:rPr>
          <w:rFonts w:ascii="Times" w:eastAsia="Times New Roman" w:hAnsi="Times" w:cs="Arial"/>
          <w:shd w:val="clear" w:color="auto" w:fill="FFFFFF"/>
        </w:rPr>
        <w:t xml:space="preserve">tantamount to presuming… [that a claimant </w:t>
      </w:r>
      <w:r w:rsidR="0007543E" w:rsidRPr="004F1D23">
        <w:rPr>
          <w:rFonts w:ascii="Times" w:eastAsia="Times New Roman" w:hAnsi="Times" w:cs="Arial"/>
          <w:shd w:val="clear" w:color="auto" w:fill="FFFFFF"/>
        </w:rPr>
        <w:t>was</w:t>
      </w:r>
      <w:r w:rsidR="0096730F" w:rsidRPr="004F1D23">
        <w:rPr>
          <w:rFonts w:ascii="Times" w:eastAsia="Times New Roman" w:hAnsi="Times" w:cs="Arial"/>
          <w:shd w:val="clear" w:color="auto" w:fill="FFFFFF"/>
        </w:rPr>
        <w:t>] unlawfully present”</w:t>
      </w:r>
      <w:r w:rsidR="007C0A36" w:rsidRPr="004F1D23">
        <w:rPr>
          <w:rFonts w:ascii="Times" w:eastAsia="Times New Roman" w:hAnsi="Times" w:cs="Arial"/>
          <w:shd w:val="clear" w:color="auto" w:fill="FFFFFF"/>
        </w:rPr>
        <w:t xml:space="preserve"> so that citizens should not have to prove that thi</w:t>
      </w:r>
      <w:r w:rsidR="0096730F" w:rsidRPr="004F1D23">
        <w:rPr>
          <w:rFonts w:ascii="Times" w:eastAsia="Times New Roman" w:hAnsi="Times" w:cs="Arial"/>
          <w:shd w:val="clear" w:color="auto" w:fill="FFFFFF"/>
        </w:rPr>
        <w:t>s is not the case. In fact, as “</w:t>
      </w:r>
      <w:r w:rsidR="007C0A36" w:rsidRPr="004F1D23">
        <w:rPr>
          <w:rFonts w:ascii="Times" w:eastAsia="Times New Roman" w:hAnsi="Times" w:cs="Arial"/>
          <w:shd w:val="clear" w:color="auto" w:fill="FFFFFF"/>
        </w:rPr>
        <w:t>a matter of principle, the opposite presu</w:t>
      </w:r>
      <w:r w:rsidR="0096730F" w:rsidRPr="004F1D23">
        <w:rPr>
          <w:rFonts w:ascii="Times" w:eastAsia="Times New Roman" w:hAnsi="Times" w:cs="Arial"/>
          <w:shd w:val="clear" w:color="auto" w:fill="FFFFFF"/>
        </w:rPr>
        <w:t>mption should, in fact, be made”</w:t>
      </w:r>
      <w:r w:rsidR="007C0A36" w:rsidRPr="004F1D23">
        <w:rPr>
          <w:rFonts w:ascii="Times" w:eastAsia="Times New Roman" w:hAnsi="Times" w:cs="Arial"/>
          <w:shd w:val="clear" w:color="auto" w:fill="FFFFFF"/>
        </w:rPr>
        <w:t>.</w:t>
      </w:r>
      <w:r w:rsidR="0007543E" w:rsidRPr="004F1D23">
        <w:rPr>
          <w:rStyle w:val="FootnoteReference"/>
          <w:rFonts w:ascii="Times" w:eastAsia="Times New Roman" w:hAnsi="Times" w:cs="Arial"/>
          <w:shd w:val="clear" w:color="auto" w:fill="FFFFFF"/>
        </w:rPr>
        <w:footnoteReference w:id="37"/>
      </w:r>
      <w:r w:rsidR="007C0A36" w:rsidRPr="004F1D23">
        <w:rPr>
          <w:rFonts w:ascii="Times" w:eastAsia="Times New Roman" w:hAnsi="Times" w:cs="Arial"/>
          <w:shd w:val="clear" w:color="auto" w:fill="FFFFFF"/>
        </w:rPr>
        <w:t xml:space="preserve"> He found that the UK was compliant here as well – </w:t>
      </w:r>
      <w:r w:rsidRPr="004F1D23">
        <w:rPr>
          <w:rFonts w:ascii="Times" w:eastAsia="Times New Roman" w:hAnsi="Times" w:cs="Arial"/>
          <w:shd w:val="clear" w:color="auto" w:fill="FFFFFF"/>
        </w:rPr>
        <w:t xml:space="preserve">it could not be inferred that the UK </w:t>
      </w:r>
      <w:r w:rsidR="0007543E" w:rsidRPr="004F1D23">
        <w:rPr>
          <w:rFonts w:ascii="Times" w:eastAsia="Times New Roman" w:hAnsi="Times" w:cs="Arial"/>
          <w:shd w:val="clear" w:color="auto" w:fill="FFFFFF"/>
        </w:rPr>
        <w:t xml:space="preserve">presumed that benefit claimants were unlawfully present, which would have been </w:t>
      </w:r>
      <w:r w:rsidRPr="004F1D23">
        <w:rPr>
          <w:rFonts w:ascii="Times" w:eastAsia="Times New Roman" w:hAnsi="Times" w:cs="Arial"/>
          <w:shd w:val="clear" w:color="auto" w:fill="FFFFFF"/>
        </w:rPr>
        <w:t>contrary to Article</w:t>
      </w:r>
      <w:r w:rsidR="0007543E" w:rsidRPr="004F1D23">
        <w:rPr>
          <w:rFonts w:ascii="Times" w:eastAsia="Times New Roman" w:hAnsi="Times" w:cs="Arial"/>
          <w:shd w:val="clear" w:color="auto" w:fill="FFFFFF"/>
        </w:rPr>
        <w:t> 20(2) TFEU and Article 21 TFEU</w:t>
      </w:r>
      <w:r w:rsidRPr="004F1D23">
        <w:rPr>
          <w:rFonts w:ascii="Times" w:eastAsia="Times New Roman" w:hAnsi="Times" w:cs="Arial"/>
          <w:shd w:val="clear" w:color="auto" w:fill="FFFFFF"/>
        </w:rPr>
        <w:t>.</w:t>
      </w:r>
      <w:r w:rsidR="0007543E" w:rsidRPr="004F1D23">
        <w:rPr>
          <w:rStyle w:val="FootnoteReference"/>
          <w:rFonts w:ascii="Times" w:eastAsia="Times New Roman" w:hAnsi="Times" w:cs="Arial"/>
          <w:shd w:val="clear" w:color="auto" w:fill="FFFFFF"/>
        </w:rPr>
        <w:footnoteReference w:id="38"/>
      </w:r>
      <w:r w:rsidRPr="004F1D23">
        <w:rPr>
          <w:rFonts w:ascii="Times" w:eastAsia="Times New Roman" w:hAnsi="Times" w:cs="Arial"/>
          <w:shd w:val="clear" w:color="auto" w:fill="FFFFFF"/>
        </w:rPr>
        <w:t xml:space="preserve"> </w:t>
      </w:r>
      <w:r w:rsidR="0007543E" w:rsidRPr="004F1D23">
        <w:rPr>
          <w:rFonts w:ascii="Times" w:eastAsia="Times New Roman" w:hAnsi="Times" w:cs="Times New Roman"/>
        </w:rPr>
        <w:t>He concluded by arguing that those failing the right to reside test were entitled to rely on t</w:t>
      </w:r>
      <w:r w:rsidR="007C0A36" w:rsidRPr="004F1D23">
        <w:rPr>
          <w:rFonts w:ascii="Times" w:eastAsia="Times New Roman" w:hAnsi="Times" w:cs="Times New Roman"/>
        </w:rPr>
        <w:t xml:space="preserve">he proportionality principle in </w:t>
      </w:r>
      <w:r w:rsidR="007C0A36" w:rsidRPr="004F1D23">
        <w:rPr>
          <w:rFonts w:ascii="Times" w:eastAsia="Times New Roman" w:hAnsi="Times" w:cs="Times New Roman"/>
          <w:i/>
        </w:rPr>
        <w:t>Brey</w:t>
      </w:r>
      <w:r w:rsidR="007C0A36" w:rsidRPr="004F1D23">
        <w:rPr>
          <w:rFonts w:ascii="Times" w:eastAsia="Times New Roman" w:hAnsi="Times" w:cs="Times New Roman"/>
        </w:rPr>
        <w:t xml:space="preserve">, </w:t>
      </w:r>
      <w:r w:rsidR="0007543E" w:rsidRPr="004F1D23">
        <w:rPr>
          <w:rFonts w:ascii="Times" w:eastAsia="Times New Roman" w:hAnsi="Times" w:cs="Times New Roman"/>
        </w:rPr>
        <w:t>so have case-</w:t>
      </w:r>
      <w:r w:rsidR="007C0A36" w:rsidRPr="004F1D23">
        <w:rPr>
          <w:rFonts w:ascii="Times" w:eastAsia="Times New Roman" w:hAnsi="Times" w:cs="Times New Roman"/>
        </w:rPr>
        <w:t>by-case assessment</w:t>
      </w:r>
      <w:r w:rsidR="0007543E" w:rsidRPr="004F1D23">
        <w:rPr>
          <w:rFonts w:ascii="Times" w:eastAsia="Times New Roman" w:hAnsi="Times" w:cs="Times New Roman"/>
        </w:rPr>
        <w:t>s</w:t>
      </w:r>
      <w:r w:rsidR="007C0A36" w:rsidRPr="004F1D23">
        <w:rPr>
          <w:rFonts w:ascii="Times" w:eastAsia="Times New Roman" w:hAnsi="Times" w:cs="Times New Roman"/>
        </w:rPr>
        <w:t xml:space="preserve"> of their circumstances, to assess whether they might have a right to reside as self-sufficient persons, or wh</w:t>
      </w:r>
      <w:r w:rsidR="0096730F" w:rsidRPr="004F1D23">
        <w:rPr>
          <w:rFonts w:ascii="Times" w:eastAsia="Times New Roman" w:hAnsi="Times" w:cs="Times New Roman"/>
        </w:rPr>
        <w:t>ether they posed unreasonable (“</w:t>
      </w:r>
      <w:r w:rsidR="007C0A36" w:rsidRPr="004F1D23">
        <w:rPr>
          <w:rFonts w:ascii="Times" w:eastAsia="Times New Roman" w:hAnsi="Times" w:cs="Times New Roman"/>
        </w:rPr>
        <w:t>excessive</w:t>
      </w:r>
      <w:r w:rsidR="0096730F" w:rsidRPr="004F1D23">
        <w:rPr>
          <w:rFonts w:ascii="Times" w:eastAsia="Times New Roman" w:hAnsi="Times" w:cs="Times New Roman"/>
        </w:rPr>
        <w:t>”</w:t>
      </w:r>
      <w:r w:rsidR="007C0A36" w:rsidRPr="004F1D23">
        <w:rPr>
          <w:rFonts w:ascii="Times" w:eastAsia="Times New Roman" w:hAnsi="Times" w:cs="Times New Roman"/>
        </w:rPr>
        <w:t xml:space="preserve">) burdens. </w:t>
      </w:r>
      <w:r w:rsidR="0007543E" w:rsidRPr="004F1D23">
        <w:rPr>
          <w:rFonts w:ascii="Times" w:eastAsia="Times New Roman" w:hAnsi="Times" w:cs="Times New Roman"/>
        </w:rPr>
        <w:t>He concluded that it not been shown that the UK did not provide this.</w:t>
      </w:r>
      <w:r w:rsidR="0096730F" w:rsidRPr="004F1D23">
        <w:rPr>
          <w:rStyle w:val="FootnoteReference"/>
          <w:rFonts w:ascii="Times" w:eastAsia="Times New Roman" w:hAnsi="Times" w:cs="Times New Roman"/>
        </w:rPr>
        <w:footnoteReference w:id="39"/>
      </w:r>
      <w:r w:rsidR="0007543E" w:rsidRPr="004F1D23">
        <w:rPr>
          <w:rFonts w:ascii="Times" w:eastAsia="Times New Roman" w:hAnsi="Times" w:cs="Times New Roman"/>
        </w:rPr>
        <w:t xml:space="preserve"> </w:t>
      </w:r>
    </w:p>
    <w:p w14:paraId="1EDB9090" w14:textId="3A1EE2E0" w:rsidR="0000384E" w:rsidRPr="004F1D23" w:rsidRDefault="0000384E" w:rsidP="00914FAF">
      <w:pPr>
        <w:jc w:val="both"/>
        <w:rPr>
          <w:rFonts w:ascii="Times" w:eastAsia="Times New Roman" w:hAnsi="Times" w:cs="Times New Roman"/>
        </w:rPr>
      </w:pPr>
    </w:p>
    <w:p w14:paraId="60FCEA04" w14:textId="77777777" w:rsidR="00FC35AA" w:rsidRPr="004F1D23" w:rsidRDefault="00FC35AA" w:rsidP="00914FAF">
      <w:pPr>
        <w:jc w:val="both"/>
        <w:rPr>
          <w:rFonts w:ascii="Times" w:hAnsi="Times"/>
        </w:rPr>
      </w:pPr>
    </w:p>
    <w:p w14:paraId="75B71658" w14:textId="560B66C8" w:rsidR="00C9706F" w:rsidRPr="004F1D23" w:rsidRDefault="00D92983" w:rsidP="00914FAF">
      <w:pPr>
        <w:jc w:val="both"/>
        <w:rPr>
          <w:rFonts w:ascii="Times" w:hAnsi="Times"/>
          <w:b/>
        </w:rPr>
      </w:pPr>
      <w:r w:rsidRPr="004F1D23">
        <w:rPr>
          <w:rFonts w:ascii="Times" w:hAnsi="Times"/>
          <w:b/>
        </w:rPr>
        <w:t xml:space="preserve">4 </w:t>
      </w:r>
      <w:r w:rsidR="00C9706F" w:rsidRPr="004F1D23">
        <w:rPr>
          <w:rFonts w:ascii="Times" w:hAnsi="Times"/>
          <w:b/>
        </w:rPr>
        <w:t>The judgment</w:t>
      </w:r>
    </w:p>
    <w:p w14:paraId="4F1D87BA" w14:textId="77777777" w:rsidR="00FE4C1A" w:rsidRPr="004F1D23" w:rsidRDefault="00FE4C1A" w:rsidP="00914FAF">
      <w:pPr>
        <w:jc w:val="both"/>
        <w:rPr>
          <w:rFonts w:ascii="Times" w:hAnsi="Times"/>
        </w:rPr>
      </w:pPr>
    </w:p>
    <w:p w14:paraId="0614242B" w14:textId="2A4E748C" w:rsidR="00235C1A" w:rsidRPr="004F1D23" w:rsidRDefault="00937064" w:rsidP="00914FAF">
      <w:pPr>
        <w:jc w:val="both"/>
        <w:rPr>
          <w:rFonts w:ascii="Times" w:hAnsi="Times"/>
        </w:rPr>
      </w:pPr>
      <w:r w:rsidRPr="004F1D23">
        <w:rPr>
          <w:rFonts w:ascii="Times" w:hAnsi="Times"/>
        </w:rPr>
        <w:t>In summarising the arguments of the parties, the Court noted a problem of divergent trans</w:t>
      </w:r>
      <w:r w:rsidR="00235C1A" w:rsidRPr="004F1D23">
        <w:rPr>
          <w:rFonts w:ascii="Times" w:hAnsi="Times"/>
        </w:rPr>
        <w:t>lation in the much-relied upon</w:t>
      </w:r>
      <w:r w:rsidRPr="004F1D23">
        <w:rPr>
          <w:rFonts w:ascii="Times" w:hAnsi="Times"/>
        </w:rPr>
        <w:t xml:space="preserve"> </w:t>
      </w:r>
      <w:r w:rsidR="00235C1A" w:rsidRPr="004F1D23">
        <w:rPr>
          <w:rFonts w:ascii="Times" w:hAnsi="Times"/>
        </w:rPr>
        <w:t xml:space="preserve">paragraph 44 of </w:t>
      </w:r>
      <w:r w:rsidRPr="004F1D23">
        <w:rPr>
          <w:rFonts w:ascii="Times" w:hAnsi="Times"/>
          <w:i/>
        </w:rPr>
        <w:t>Brey</w:t>
      </w:r>
      <w:r w:rsidR="00235C1A" w:rsidRPr="004F1D23">
        <w:rPr>
          <w:rFonts w:ascii="Times" w:hAnsi="Times"/>
        </w:rPr>
        <w:t>, which in the English version appeared to app</w:t>
      </w:r>
      <w:r w:rsidR="0096730F" w:rsidRPr="004F1D23">
        <w:rPr>
          <w:rFonts w:ascii="Times" w:hAnsi="Times"/>
        </w:rPr>
        <w:t>rove right to reside tests for “social security benefits”</w:t>
      </w:r>
      <w:r w:rsidR="00235C1A" w:rsidRPr="004F1D23">
        <w:rPr>
          <w:rFonts w:ascii="Times" w:hAnsi="Times"/>
        </w:rPr>
        <w:t>, but in the orig</w:t>
      </w:r>
      <w:r w:rsidR="0096730F" w:rsidRPr="004F1D23">
        <w:rPr>
          <w:rFonts w:ascii="Times" w:hAnsi="Times"/>
        </w:rPr>
        <w:t>inal German version, refers to “</w:t>
      </w:r>
      <w:r w:rsidR="00235C1A" w:rsidRPr="004F1D23">
        <w:rPr>
          <w:rFonts w:ascii="Times" w:hAnsi="Times"/>
        </w:rPr>
        <w:t>social benefits</w:t>
      </w:r>
      <w:r w:rsidR="0096730F" w:rsidRPr="004F1D23">
        <w:rPr>
          <w:rFonts w:ascii="Times" w:hAnsi="Times"/>
        </w:rPr>
        <w:t>”</w:t>
      </w:r>
      <w:r w:rsidR="00235C1A" w:rsidRPr="004F1D23">
        <w:rPr>
          <w:rFonts w:ascii="Times" w:hAnsi="Times"/>
        </w:rPr>
        <w:t xml:space="preserve">. The Commission argued that it therefore was not establishing a principle for social </w:t>
      </w:r>
      <w:r w:rsidR="00235C1A" w:rsidRPr="004F1D23">
        <w:rPr>
          <w:rFonts w:ascii="Times" w:hAnsi="Times"/>
          <w:i/>
        </w:rPr>
        <w:t>security</w:t>
      </w:r>
      <w:r w:rsidR="00235C1A" w:rsidRPr="004F1D23">
        <w:rPr>
          <w:rFonts w:ascii="Times" w:hAnsi="Times"/>
        </w:rPr>
        <w:t xml:space="preserve"> benefits, which were not at issue in </w:t>
      </w:r>
      <w:r w:rsidR="002E375C" w:rsidRPr="004F1D23">
        <w:rPr>
          <w:rFonts w:ascii="Times" w:hAnsi="Times"/>
          <w:i/>
        </w:rPr>
        <w:t>Brey</w:t>
      </w:r>
      <w:r w:rsidR="00235C1A" w:rsidRPr="004F1D23">
        <w:rPr>
          <w:rFonts w:ascii="Times" w:hAnsi="Times"/>
        </w:rPr>
        <w:t xml:space="preserve">, while the UK argued that ‘social benefits’ was a broader term that did capture social security benefits. </w:t>
      </w:r>
    </w:p>
    <w:p w14:paraId="4621069F" w14:textId="77777777" w:rsidR="00A175C0" w:rsidRPr="004F1D23" w:rsidRDefault="00A175C0" w:rsidP="00914FAF">
      <w:pPr>
        <w:jc w:val="both"/>
        <w:rPr>
          <w:rFonts w:ascii="Times" w:hAnsi="Times"/>
        </w:rPr>
      </w:pPr>
    </w:p>
    <w:p w14:paraId="4DC0713A" w14:textId="4C02443E" w:rsidR="00235C1A" w:rsidRPr="004F1D23" w:rsidRDefault="00235C1A" w:rsidP="00914FAF">
      <w:pPr>
        <w:jc w:val="both"/>
        <w:rPr>
          <w:rFonts w:ascii="Times" w:eastAsia="Times New Roman" w:hAnsi="Times" w:cs="Arial"/>
          <w:shd w:val="clear" w:color="auto" w:fill="FFFFFF"/>
        </w:rPr>
      </w:pPr>
      <w:r w:rsidRPr="004F1D23">
        <w:rPr>
          <w:rFonts w:ascii="Times" w:hAnsi="Times"/>
        </w:rPr>
        <w:t xml:space="preserve">The Court noted the UK’s position that it </w:t>
      </w:r>
      <w:r w:rsidR="0096730F" w:rsidRPr="004F1D23">
        <w:rPr>
          <w:rFonts w:ascii="Times" w:hAnsi="Times"/>
        </w:rPr>
        <w:t>would be “difficult to conceive”</w:t>
      </w:r>
      <w:r w:rsidRPr="004F1D23">
        <w:rPr>
          <w:rFonts w:ascii="Times" w:hAnsi="Times"/>
        </w:rPr>
        <w:t xml:space="preserve"> a system allowing benefit restrictions for some benefits, but not for those at issue, which were </w:t>
      </w:r>
      <w:r w:rsidR="0096730F" w:rsidRPr="004F1D23">
        <w:rPr>
          <w:rFonts w:ascii="Times" w:hAnsi="Times"/>
        </w:rPr>
        <w:t>“</w:t>
      </w:r>
      <w:r w:rsidRPr="004F1D23">
        <w:rPr>
          <w:rFonts w:ascii="Times" w:eastAsia="Times New Roman" w:hAnsi="Times" w:cs="Arial"/>
          <w:shd w:val="clear" w:color="auto" w:fill="FFFFFF"/>
        </w:rPr>
        <w:t>funded from taxation, also have the potential to impose an unreasonable burden on the public finances of the host Member State,</w:t>
      </w:r>
      <w:r w:rsidR="0096730F" w:rsidRPr="004F1D23">
        <w:rPr>
          <w:rFonts w:ascii="Times" w:eastAsia="Times New Roman" w:hAnsi="Times" w:cs="Arial"/>
          <w:shd w:val="clear" w:color="auto" w:fill="FFFFFF"/>
        </w:rPr>
        <w:t>” and displayed “</w:t>
      </w:r>
      <w:r w:rsidRPr="004F1D23">
        <w:rPr>
          <w:rFonts w:ascii="Times" w:eastAsia="Times New Roman" w:hAnsi="Times" w:cs="Arial"/>
          <w:shd w:val="clear" w:color="auto" w:fill="FFFFFF"/>
        </w:rPr>
        <w:t>in any event some chara</w:t>
      </w:r>
      <w:r w:rsidR="0096730F" w:rsidRPr="004F1D23">
        <w:rPr>
          <w:rFonts w:ascii="Times" w:eastAsia="Times New Roman" w:hAnsi="Times" w:cs="Arial"/>
          <w:shd w:val="clear" w:color="auto" w:fill="FFFFFF"/>
        </w:rPr>
        <w:t>cteristics of social assistance”</w:t>
      </w:r>
      <w:r w:rsidRPr="004F1D23">
        <w:rPr>
          <w:rFonts w:ascii="Times" w:eastAsia="Times New Roman" w:hAnsi="Times" w:cs="Arial"/>
          <w:shd w:val="clear" w:color="auto" w:fill="FFFFFF"/>
        </w:rPr>
        <w:t>.</w:t>
      </w:r>
    </w:p>
    <w:p w14:paraId="69F12F55" w14:textId="77777777" w:rsidR="00235C1A" w:rsidRPr="004F1D23" w:rsidRDefault="00235C1A" w:rsidP="00914FAF">
      <w:pPr>
        <w:jc w:val="both"/>
        <w:rPr>
          <w:rFonts w:ascii="Times" w:eastAsia="Times New Roman" w:hAnsi="Times" w:cs="Arial"/>
          <w:shd w:val="clear" w:color="auto" w:fill="FFFFFF"/>
        </w:rPr>
      </w:pPr>
    </w:p>
    <w:p w14:paraId="34CF364B" w14:textId="67CD6147" w:rsidR="00235C1A" w:rsidRPr="004F1D23" w:rsidRDefault="00235C1A" w:rsidP="00914FAF">
      <w:pPr>
        <w:jc w:val="both"/>
        <w:rPr>
          <w:rFonts w:ascii="Times" w:eastAsia="Times New Roman" w:hAnsi="Times" w:cs="Arial"/>
          <w:shd w:val="clear" w:color="auto" w:fill="FFFFFF"/>
        </w:rPr>
      </w:pPr>
      <w:r w:rsidRPr="004F1D23">
        <w:rPr>
          <w:rFonts w:ascii="Times" w:eastAsia="Times New Roman" w:hAnsi="Times" w:cs="Arial"/>
          <w:shd w:val="clear" w:color="auto" w:fill="FFFFFF"/>
        </w:rPr>
        <w:t>The Court also noted a further point of dispute</w:t>
      </w:r>
      <w:r w:rsidR="002E375C" w:rsidRPr="004F1D23">
        <w:rPr>
          <w:rFonts w:ascii="Times" w:eastAsia="Times New Roman" w:hAnsi="Times" w:cs="Arial"/>
          <w:shd w:val="clear" w:color="auto" w:fill="FFFFFF"/>
        </w:rPr>
        <w:t>; t</w:t>
      </w:r>
      <w:r w:rsidRPr="004F1D23">
        <w:rPr>
          <w:rFonts w:ascii="Times" w:eastAsia="Times New Roman" w:hAnsi="Times" w:cs="Arial"/>
          <w:shd w:val="clear" w:color="auto" w:fill="FFFFFF"/>
        </w:rPr>
        <w:t xml:space="preserve">he Commission alleged that the right to reside test </w:t>
      </w:r>
      <w:r w:rsidR="002E375C" w:rsidRPr="004F1D23">
        <w:rPr>
          <w:rFonts w:ascii="Times" w:eastAsia="Times New Roman" w:hAnsi="Times" w:cs="Arial"/>
          <w:shd w:val="clear" w:color="auto" w:fill="FFFFFF"/>
        </w:rPr>
        <w:t xml:space="preserve">does not allow for a </w:t>
      </w:r>
      <w:r w:rsidRPr="004F1D23">
        <w:rPr>
          <w:rFonts w:ascii="Times" w:eastAsia="Times New Roman" w:hAnsi="Times" w:cs="Arial"/>
          <w:shd w:val="clear" w:color="auto" w:fill="FFFFFF"/>
        </w:rPr>
        <w:t>proportionality</w:t>
      </w:r>
      <w:r w:rsidR="002E375C" w:rsidRPr="004F1D23">
        <w:rPr>
          <w:rFonts w:ascii="Times" w:eastAsia="Times New Roman" w:hAnsi="Times" w:cs="Arial"/>
          <w:shd w:val="clear" w:color="auto" w:fill="FFFFFF"/>
        </w:rPr>
        <w:t xml:space="preserve"> assessment as required by the</w:t>
      </w:r>
      <w:r w:rsidRPr="004F1D23">
        <w:rPr>
          <w:rFonts w:ascii="Times" w:eastAsia="Times New Roman" w:hAnsi="Times" w:cs="Arial"/>
          <w:shd w:val="clear" w:color="auto" w:fill="FFFFFF"/>
        </w:rPr>
        <w:t xml:space="preserve"> </w:t>
      </w:r>
      <w:r w:rsidRPr="004F1D23">
        <w:rPr>
          <w:rFonts w:ascii="Times" w:eastAsia="Times New Roman" w:hAnsi="Times" w:cs="Arial"/>
          <w:i/>
          <w:shd w:val="clear" w:color="auto" w:fill="FFFFFF"/>
        </w:rPr>
        <w:t>Brey</w:t>
      </w:r>
      <w:r w:rsidR="002E375C" w:rsidRPr="004F1D23">
        <w:rPr>
          <w:rFonts w:ascii="Times" w:eastAsia="Times New Roman" w:hAnsi="Times" w:cs="Arial"/>
          <w:i/>
          <w:shd w:val="clear" w:color="auto" w:fill="FFFFFF"/>
        </w:rPr>
        <w:t xml:space="preserve"> </w:t>
      </w:r>
      <w:r w:rsidR="002E375C" w:rsidRPr="004F1D23">
        <w:rPr>
          <w:rFonts w:ascii="Times" w:eastAsia="Times New Roman" w:hAnsi="Times" w:cs="Arial"/>
          <w:shd w:val="clear" w:color="auto" w:fill="FFFFFF"/>
        </w:rPr>
        <w:t>judgment</w:t>
      </w:r>
      <w:r w:rsidR="0096730F" w:rsidRPr="004F1D23">
        <w:rPr>
          <w:rFonts w:ascii="Times" w:eastAsia="Times New Roman" w:hAnsi="Times" w:cs="Arial"/>
          <w:shd w:val="clear" w:color="auto" w:fill="FFFFFF"/>
        </w:rPr>
        <w:t>, since it “</w:t>
      </w:r>
      <w:r w:rsidRPr="004F1D23">
        <w:rPr>
          <w:rFonts w:ascii="Times" w:eastAsia="Times New Roman" w:hAnsi="Times" w:cs="Arial"/>
          <w:shd w:val="clear" w:color="auto" w:fill="FFFFFF"/>
        </w:rPr>
        <w:t>is an automatic mechanism that systematically and ineluctably bars claimants</w:t>
      </w:r>
      <w:r w:rsidR="0096730F" w:rsidRPr="004F1D23">
        <w:rPr>
          <w:rFonts w:ascii="Times" w:eastAsia="Times New Roman" w:hAnsi="Times" w:cs="Arial"/>
          <w:shd w:val="clear" w:color="auto" w:fill="FFFFFF"/>
        </w:rPr>
        <w:t>”</w:t>
      </w:r>
      <w:r w:rsidR="00AC4CCD" w:rsidRPr="004F1D23">
        <w:rPr>
          <w:rFonts w:ascii="Times" w:eastAsia="Times New Roman" w:hAnsi="Times" w:cs="Arial"/>
          <w:shd w:val="clear" w:color="auto" w:fill="FFFFFF"/>
        </w:rPr>
        <w:t xml:space="preserve"> giving no regard to individual circumstances.</w:t>
      </w:r>
      <w:r w:rsidRPr="004F1D23">
        <w:rPr>
          <w:rFonts w:ascii="Times" w:eastAsia="Times New Roman" w:hAnsi="Times" w:cs="Arial"/>
          <w:shd w:val="clear" w:color="auto" w:fill="FFFFFF"/>
        </w:rPr>
        <w:t xml:space="preserve"> The UK replied</w:t>
      </w:r>
      <w:r w:rsidR="0096730F" w:rsidRPr="004F1D23">
        <w:rPr>
          <w:rFonts w:ascii="Times" w:eastAsia="Times New Roman" w:hAnsi="Times" w:cs="Arial"/>
          <w:shd w:val="clear" w:color="auto" w:fill="FFFFFF"/>
        </w:rPr>
        <w:t xml:space="preserve"> that this was a new complaint</w:t>
      </w:r>
      <w:r w:rsidR="00B5174F" w:rsidRPr="004F1D23">
        <w:rPr>
          <w:rFonts w:ascii="Times" w:eastAsia="Times New Roman" w:hAnsi="Times" w:cs="Arial"/>
          <w:shd w:val="clear" w:color="auto" w:fill="FFFFFF"/>
        </w:rPr>
        <w:t>,</w:t>
      </w:r>
      <w:r w:rsidR="0065774F" w:rsidRPr="004F1D23">
        <w:rPr>
          <w:rFonts w:ascii="Times" w:eastAsia="Times New Roman" w:hAnsi="Times" w:cs="Arial"/>
          <w:shd w:val="clear" w:color="auto" w:fill="FFFFFF"/>
        </w:rPr>
        <w:t xml:space="preserve"> which should be declared inadmissible in accordance with Article 127 of the Rules of Procedure.</w:t>
      </w:r>
      <w:bookmarkStart w:id="7" w:name="_Ref331752127"/>
      <w:r w:rsidR="0065774F" w:rsidRPr="004F1D23">
        <w:rPr>
          <w:rStyle w:val="FootnoteReference"/>
          <w:rFonts w:ascii="Times" w:eastAsia="Times New Roman" w:hAnsi="Times" w:cs="Arial"/>
          <w:shd w:val="clear" w:color="auto" w:fill="FFFFFF"/>
        </w:rPr>
        <w:footnoteReference w:id="40"/>
      </w:r>
      <w:bookmarkEnd w:id="7"/>
      <w:r w:rsidR="0065774F" w:rsidRPr="004F1D23">
        <w:rPr>
          <w:rFonts w:ascii="Times" w:eastAsia="Times New Roman" w:hAnsi="Times" w:cs="Arial"/>
          <w:shd w:val="clear" w:color="auto" w:fill="FFFFFF"/>
        </w:rPr>
        <w:t xml:space="preserve"> </w:t>
      </w:r>
      <w:r w:rsidR="0096730F" w:rsidRPr="004F1D23">
        <w:rPr>
          <w:rFonts w:ascii="Times" w:eastAsia="Times New Roman" w:hAnsi="Times" w:cs="Arial"/>
          <w:shd w:val="clear" w:color="auto" w:fill="FFFFFF"/>
        </w:rPr>
        <w:t xml:space="preserve"> </w:t>
      </w:r>
    </w:p>
    <w:p w14:paraId="08DDDF14" w14:textId="77777777" w:rsidR="00235C1A" w:rsidRPr="004F1D23" w:rsidRDefault="00235C1A" w:rsidP="00914FAF">
      <w:pPr>
        <w:jc w:val="both"/>
        <w:rPr>
          <w:rFonts w:ascii="Times" w:eastAsia="Times New Roman" w:hAnsi="Times" w:cs="Arial"/>
          <w:shd w:val="clear" w:color="auto" w:fill="FFFFFF"/>
        </w:rPr>
      </w:pPr>
    </w:p>
    <w:p w14:paraId="42C3C15B" w14:textId="471D5934" w:rsidR="00235C1A" w:rsidRPr="004F1D23" w:rsidRDefault="00235C1A" w:rsidP="00914FAF">
      <w:pPr>
        <w:jc w:val="both"/>
        <w:rPr>
          <w:rFonts w:ascii="Times" w:eastAsia="Times New Roman" w:hAnsi="Times" w:cs="Times New Roman"/>
        </w:rPr>
      </w:pPr>
      <w:r w:rsidRPr="004F1D23">
        <w:rPr>
          <w:rFonts w:ascii="Times" w:eastAsia="Times New Roman" w:hAnsi="Times" w:cs="Times New Roman"/>
        </w:rPr>
        <w:t xml:space="preserve">The </w:t>
      </w:r>
      <w:r w:rsidR="00B5174F" w:rsidRPr="004F1D23">
        <w:rPr>
          <w:rFonts w:ascii="Times" w:eastAsia="Times New Roman" w:hAnsi="Times" w:cs="Times New Roman"/>
        </w:rPr>
        <w:t>findings of the Court bega</w:t>
      </w:r>
      <w:r w:rsidRPr="004F1D23">
        <w:rPr>
          <w:rFonts w:ascii="Times" w:eastAsia="Times New Roman" w:hAnsi="Times" w:cs="Times New Roman"/>
        </w:rPr>
        <w:t xml:space="preserve">n </w:t>
      </w:r>
      <w:r w:rsidR="00B5174F" w:rsidRPr="004F1D23">
        <w:rPr>
          <w:rFonts w:ascii="Times" w:eastAsia="Times New Roman" w:hAnsi="Times" w:cs="Times New Roman"/>
        </w:rPr>
        <w:t>with a confirmation</w:t>
      </w:r>
      <w:r w:rsidRPr="004F1D23">
        <w:rPr>
          <w:rFonts w:ascii="Times" w:eastAsia="Times New Roman" w:hAnsi="Times" w:cs="Times New Roman"/>
        </w:rPr>
        <w:t xml:space="preserve"> that the benefits at issue were family benefits </w:t>
      </w:r>
      <w:r w:rsidR="0096730F" w:rsidRPr="004F1D23">
        <w:rPr>
          <w:rFonts w:ascii="Times" w:eastAsia="Times New Roman" w:hAnsi="Times" w:cs="Times New Roman"/>
        </w:rPr>
        <w:t>“</w:t>
      </w:r>
      <w:r w:rsidRPr="004F1D23">
        <w:rPr>
          <w:rFonts w:ascii="Times" w:eastAsia="Times New Roman" w:hAnsi="Times" w:cs="Arial"/>
          <w:shd w:val="clear" w:color="auto" w:fill="FFFFFF"/>
        </w:rPr>
        <w:t>granted automatically to families that meet certain objective criteria relating in particular to their size, income and capital resources, without any individual and discretionary assessment of personal needs, and which are intended to meet family expenses</w:t>
      </w:r>
      <w:r w:rsidR="0096730F" w:rsidRPr="004F1D23">
        <w:rPr>
          <w:rFonts w:ascii="Times" w:eastAsia="Times New Roman" w:hAnsi="Times" w:cs="Arial"/>
          <w:shd w:val="clear" w:color="auto" w:fill="FFFFFF"/>
        </w:rPr>
        <w:t>”</w:t>
      </w:r>
      <w:r w:rsidR="002E375C" w:rsidRPr="004F1D23">
        <w:rPr>
          <w:rStyle w:val="FootnoteReference"/>
          <w:rFonts w:ascii="Times" w:eastAsia="Times New Roman" w:hAnsi="Times" w:cs="Arial"/>
          <w:shd w:val="clear" w:color="auto" w:fill="FFFFFF"/>
        </w:rPr>
        <w:footnoteReference w:id="41"/>
      </w:r>
      <w:r w:rsidRPr="004F1D23">
        <w:rPr>
          <w:rFonts w:ascii="Times" w:eastAsia="Times New Roman" w:hAnsi="Times" w:cs="Arial"/>
          <w:shd w:val="clear" w:color="auto" w:fill="FFFFFF"/>
        </w:rPr>
        <w:t xml:space="preserve"> and so</w:t>
      </w:r>
      <w:r w:rsidR="002E375C" w:rsidRPr="004F1D23">
        <w:rPr>
          <w:rFonts w:ascii="Times" w:eastAsia="Times New Roman" w:hAnsi="Times" w:cs="Arial"/>
          <w:shd w:val="clear" w:color="auto" w:fill="FFFFFF"/>
        </w:rPr>
        <w:t xml:space="preserve"> </w:t>
      </w:r>
      <w:r w:rsidRPr="004F1D23">
        <w:rPr>
          <w:rFonts w:ascii="Times" w:eastAsia="Times New Roman" w:hAnsi="Times" w:cs="Arial"/>
          <w:shd w:val="clear" w:color="auto" w:fill="FFFFFF"/>
        </w:rPr>
        <w:t xml:space="preserve">must be characterised as </w:t>
      </w:r>
      <w:r w:rsidRPr="004F1D23">
        <w:rPr>
          <w:rFonts w:ascii="Times" w:eastAsia="Times New Roman" w:hAnsi="Times" w:cs="Times New Roman"/>
        </w:rPr>
        <w:t>social security benefits covered by Regulation 883/2004</w:t>
      </w:r>
      <w:r w:rsidR="002E375C" w:rsidRPr="004F1D23">
        <w:rPr>
          <w:rFonts w:ascii="Times" w:eastAsia="Times New Roman" w:hAnsi="Times" w:cs="Times New Roman"/>
        </w:rPr>
        <w:t xml:space="preserve">, </w:t>
      </w:r>
      <w:r w:rsidR="002E375C" w:rsidRPr="004F1D23">
        <w:rPr>
          <w:rFonts w:ascii="Times" w:eastAsia="Times New Roman" w:hAnsi="Times" w:cs="Arial"/>
          <w:shd w:val="clear" w:color="auto" w:fill="FFFFFF"/>
        </w:rPr>
        <w:t xml:space="preserve">drawing upon </w:t>
      </w:r>
      <w:r w:rsidR="002E375C" w:rsidRPr="004F1D23">
        <w:rPr>
          <w:rFonts w:ascii="Times" w:eastAsia="Times New Roman" w:hAnsi="Times" w:cs="Arial"/>
          <w:i/>
          <w:iCs/>
          <w:shd w:val="clear" w:color="auto" w:fill="FFFFFF"/>
        </w:rPr>
        <w:t>Hoever and Zachow</w:t>
      </w:r>
      <w:r w:rsidRPr="004F1D23">
        <w:rPr>
          <w:rFonts w:ascii="Times" w:eastAsia="Times New Roman" w:hAnsi="Times" w:cs="Times New Roman"/>
        </w:rPr>
        <w:t>.</w:t>
      </w:r>
      <w:r w:rsidR="002E375C" w:rsidRPr="004F1D23">
        <w:rPr>
          <w:rStyle w:val="FootnoteReference"/>
          <w:rFonts w:ascii="Times" w:eastAsia="Times New Roman" w:hAnsi="Times" w:cs="Times New Roman"/>
        </w:rPr>
        <w:footnoteReference w:id="42"/>
      </w:r>
      <w:r w:rsidRPr="004F1D23">
        <w:rPr>
          <w:rFonts w:ascii="Times" w:eastAsia="Times New Roman" w:hAnsi="Times" w:cs="Times New Roman"/>
        </w:rPr>
        <w:t xml:space="preserve"> </w:t>
      </w:r>
    </w:p>
    <w:p w14:paraId="5F5CF2A1" w14:textId="77777777" w:rsidR="00DE11CA" w:rsidRPr="004F1D23" w:rsidRDefault="00DE11CA" w:rsidP="00914FAF">
      <w:pPr>
        <w:jc w:val="both"/>
        <w:rPr>
          <w:rFonts w:ascii="Times" w:eastAsia="Times New Roman" w:hAnsi="Times" w:cs="Times New Roman"/>
        </w:rPr>
      </w:pPr>
    </w:p>
    <w:p w14:paraId="563F0E8E" w14:textId="037FBF95" w:rsidR="00100253" w:rsidRPr="004F1D23" w:rsidRDefault="00DE11CA" w:rsidP="00914FAF">
      <w:pPr>
        <w:jc w:val="both"/>
        <w:rPr>
          <w:rFonts w:ascii="Times" w:eastAsia="Times New Roman" w:hAnsi="Times" w:cs="Arial"/>
          <w:shd w:val="clear" w:color="auto" w:fill="FFFFFF"/>
        </w:rPr>
      </w:pPr>
      <w:r w:rsidRPr="004F1D23">
        <w:rPr>
          <w:rFonts w:ascii="Times" w:eastAsia="Times New Roman" w:hAnsi="Times" w:cs="Times New Roman"/>
        </w:rPr>
        <w:t>Addressing the Commission’s main ground – that the right to reside test adds an extra condition for the application of Article 11(3)(e) that is not otherwise provided for in Regulation 883/2004, the Court emphasi</w:t>
      </w:r>
      <w:r w:rsidR="0096730F" w:rsidRPr="004F1D23">
        <w:rPr>
          <w:rFonts w:ascii="Times" w:eastAsia="Times New Roman" w:hAnsi="Times" w:cs="Times New Roman"/>
        </w:rPr>
        <w:t>sed that Article 11(3)(e) is a “conflict rule”</w:t>
      </w:r>
      <w:r w:rsidRPr="004F1D23">
        <w:rPr>
          <w:rFonts w:ascii="Times" w:eastAsia="Times New Roman" w:hAnsi="Times" w:cs="Times New Roman"/>
        </w:rPr>
        <w:t xml:space="preserve"> and is </w:t>
      </w:r>
      <w:r w:rsidR="0096730F" w:rsidRPr="004F1D23">
        <w:rPr>
          <w:rFonts w:ascii="Times" w:eastAsia="Times New Roman" w:hAnsi="Times" w:cs="Times New Roman"/>
        </w:rPr>
        <w:t>“</w:t>
      </w:r>
      <w:r w:rsidRPr="004F1D23">
        <w:rPr>
          <w:rFonts w:ascii="Times" w:eastAsia="Times New Roman" w:hAnsi="Times" w:cs="Arial"/>
          <w:shd w:val="clear" w:color="auto" w:fill="FFFFFF"/>
        </w:rPr>
        <w:t>not intended to lay down the conditions creating the right to social security benefits</w:t>
      </w:r>
      <w:r w:rsidR="0096730F" w:rsidRPr="004F1D23">
        <w:rPr>
          <w:rFonts w:ascii="Times" w:eastAsia="Times New Roman" w:hAnsi="Times" w:cs="Arial"/>
          <w:shd w:val="clear" w:color="auto" w:fill="FFFFFF"/>
        </w:rPr>
        <w:t>”</w:t>
      </w:r>
      <w:r w:rsidR="00100253" w:rsidRPr="004F1D23">
        <w:rPr>
          <w:rFonts w:ascii="Times" w:eastAsia="Times New Roman" w:hAnsi="Times" w:cs="Arial"/>
          <w:shd w:val="clear" w:color="auto" w:fill="FFFFFF"/>
        </w:rPr>
        <w:t>,</w:t>
      </w:r>
      <w:r w:rsidR="002E375C" w:rsidRPr="004F1D23">
        <w:rPr>
          <w:rStyle w:val="FootnoteReference"/>
          <w:rFonts w:ascii="Times" w:eastAsia="Times New Roman" w:hAnsi="Times" w:cs="Arial"/>
          <w:shd w:val="clear" w:color="auto" w:fill="FFFFFF"/>
        </w:rPr>
        <w:footnoteReference w:id="43"/>
      </w:r>
      <w:r w:rsidR="00100253" w:rsidRPr="004F1D23">
        <w:rPr>
          <w:rFonts w:ascii="Times" w:eastAsia="Times New Roman" w:hAnsi="Times" w:cs="Arial"/>
          <w:shd w:val="clear" w:color="auto" w:fill="FFFFFF"/>
        </w:rPr>
        <w:t xml:space="preserve"> and pointed to the Regulation’s role in coordination, rather than harmonisation.</w:t>
      </w:r>
      <w:r w:rsidR="002E375C" w:rsidRPr="004F1D23">
        <w:rPr>
          <w:rStyle w:val="FootnoteReference"/>
          <w:rFonts w:ascii="Times" w:eastAsia="Times New Roman" w:hAnsi="Times" w:cs="Arial"/>
          <w:shd w:val="clear" w:color="auto" w:fill="FFFFFF"/>
        </w:rPr>
        <w:footnoteReference w:id="44"/>
      </w:r>
      <w:r w:rsidR="00100253" w:rsidRPr="004F1D23">
        <w:rPr>
          <w:rFonts w:ascii="Times" w:eastAsia="Times New Roman" w:hAnsi="Times" w:cs="Arial"/>
          <w:shd w:val="clear" w:color="auto" w:fill="FFFFFF"/>
        </w:rPr>
        <w:t xml:space="preserve"> It then quoted the </w:t>
      </w:r>
      <w:r w:rsidR="00100253" w:rsidRPr="004F1D23">
        <w:rPr>
          <w:rFonts w:ascii="Times" w:eastAsia="Times New Roman" w:hAnsi="Times" w:cs="Arial"/>
          <w:i/>
          <w:shd w:val="clear" w:color="auto" w:fill="FFFFFF"/>
        </w:rPr>
        <w:t xml:space="preserve">Brey </w:t>
      </w:r>
      <w:r w:rsidR="0096730F" w:rsidRPr="004F1D23">
        <w:rPr>
          <w:rFonts w:ascii="Times" w:eastAsia="Times New Roman" w:hAnsi="Times" w:cs="Arial"/>
          <w:shd w:val="clear" w:color="auto" w:fill="FFFFFF"/>
        </w:rPr>
        <w:t>paragraph 44 formulation, that</w:t>
      </w:r>
      <w:r w:rsidR="00F36C68" w:rsidRPr="004F1D23">
        <w:rPr>
          <w:rFonts w:ascii="Times" w:eastAsia="Times New Roman" w:hAnsi="Times" w:cs="Arial"/>
          <w:shd w:val="clear" w:color="auto" w:fill="FFFFFF"/>
        </w:rPr>
        <w:t xml:space="preserve"> there was “nothing to prevent” the application of a right to reside test to economically inactive EU migrants claiming social benefits</w:t>
      </w:r>
      <w:r w:rsidR="00100253" w:rsidRPr="004F1D23">
        <w:rPr>
          <w:rFonts w:ascii="Times" w:eastAsia="Times New Roman" w:hAnsi="Times" w:cs="Arial"/>
          <w:shd w:val="clear" w:color="auto" w:fill="FFFFFF"/>
        </w:rPr>
        <w:t>,</w:t>
      </w:r>
      <w:r w:rsidR="002E375C" w:rsidRPr="004F1D23">
        <w:rPr>
          <w:rStyle w:val="FootnoteReference"/>
          <w:rFonts w:ascii="Times" w:eastAsia="Times New Roman" w:hAnsi="Times" w:cs="Arial"/>
          <w:shd w:val="clear" w:color="auto" w:fill="FFFFFF"/>
        </w:rPr>
        <w:footnoteReference w:id="45"/>
      </w:r>
      <w:r w:rsidR="00100253" w:rsidRPr="004F1D23">
        <w:rPr>
          <w:rFonts w:ascii="Times" w:eastAsia="Times New Roman" w:hAnsi="Times" w:cs="Arial"/>
          <w:shd w:val="clear" w:color="auto" w:fill="FFFFFF"/>
        </w:rPr>
        <w:t xml:space="preserve"> in order to find that the right to reside test did not distort the conf</w:t>
      </w:r>
      <w:r w:rsidR="0096730F" w:rsidRPr="004F1D23">
        <w:rPr>
          <w:rFonts w:ascii="Times" w:eastAsia="Times New Roman" w:hAnsi="Times" w:cs="Arial"/>
          <w:shd w:val="clear" w:color="auto" w:fill="FFFFFF"/>
        </w:rPr>
        <w:t>lict rule, but was an “</w:t>
      </w:r>
      <w:r w:rsidR="00100253" w:rsidRPr="004F1D23">
        <w:rPr>
          <w:rFonts w:ascii="Times" w:eastAsia="Times New Roman" w:hAnsi="Times" w:cs="Arial"/>
          <w:shd w:val="clear" w:color="auto" w:fill="FFFFFF"/>
        </w:rPr>
        <w:t>integral part</w:t>
      </w:r>
      <w:r w:rsidR="0096730F" w:rsidRPr="004F1D23">
        <w:rPr>
          <w:rFonts w:ascii="Times" w:eastAsia="Times New Roman" w:hAnsi="Times" w:cs="Arial"/>
          <w:shd w:val="clear" w:color="auto" w:fill="FFFFFF"/>
        </w:rPr>
        <w:t>”</w:t>
      </w:r>
      <w:r w:rsidR="00100253" w:rsidRPr="004F1D23">
        <w:rPr>
          <w:rFonts w:ascii="Times" w:eastAsia="Times New Roman" w:hAnsi="Times" w:cs="Arial"/>
          <w:shd w:val="clear" w:color="auto" w:fill="FFFFFF"/>
        </w:rPr>
        <w:t xml:space="preserve"> of the eligibility conditions for the benefit. Someone failing the right to reside test was not left in a situation in which </w:t>
      </w:r>
      <w:r w:rsidR="002E375C" w:rsidRPr="004F1D23">
        <w:rPr>
          <w:rFonts w:ascii="Times" w:eastAsia="Times New Roman" w:hAnsi="Times" w:cs="Arial"/>
          <w:shd w:val="clear" w:color="auto" w:fill="FFFFFF"/>
        </w:rPr>
        <w:t>no State was competent</w:t>
      </w:r>
      <w:r w:rsidR="00100253" w:rsidRPr="004F1D23">
        <w:rPr>
          <w:rFonts w:ascii="Times" w:eastAsia="Times New Roman" w:hAnsi="Times" w:cs="Arial"/>
          <w:shd w:val="clear" w:color="auto" w:fill="FFFFFF"/>
        </w:rPr>
        <w:t>; they were in the same situation as anyone subject to UK law but who did not satisfy any of the other substantive conditions for the benefits at issue,</w:t>
      </w:r>
      <w:r w:rsidR="00F36C68" w:rsidRPr="004F1D23">
        <w:rPr>
          <w:rFonts w:ascii="Times" w:eastAsia="Times New Roman" w:hAnsi="Times" w:cs="Arial"/>
          <w:shd w:val="clear" w:color="auto" w:fill="FFFFFF"/>
        </w:rPr>
        <w:t xml:space="preserve"> so</w:t>
      </w:r>
      <w:r w:rsidR="00100253" w:rsidRPr="004F1D23">
        <w:rPr>
          <w:rFonts w:ascii="Times" w:eastAsia="Times New Roman" w:hAnsi="Times" w:cs="Arial"/>
          <w:shd w:val="clear" w:color="auto" w:fill="FFFFFF"/>
        </w:rPr>
        <w:t xml:space="preserve"> was not in fact entitled to any such benefit in any Member State.</w:t>
      </w:r>
      <w:r w:rsidR="002E375C" w:rsidRPr="004F1D23">
        <w:rPr>
          <w:rStyle w:val="FootnoteReference"/>
          <w:rFonts w:ascii="Times" w:eastAsia="Times New Roman" w:hAnsi="Times" w:cs="Arial"/>
          <w:shd w:val="clear" w:color="auto" w:fill="FFFFFF"/>
        </w:rPr>
        <w:footnoteReference w:id="46"/>
      </w:r>
      <w:r w:rsidR="00100253" w:rsidRPr="004F1D23">
        <w:rPr>
          <w:rFonts w:ascii="Times" w:eastAsia="Times New Roman" w:hAnsi="Times" w:cs="Arial"/>
          <w:shd w:val="clear" w:color="auto" w:fill="FFFFFF"/>
        </w:rPr>
        <w:t xml:space="preserve"> </w:t>
      </w:r>
    </w:p>
    <w:p w14:paraId="168532A2" w14:textId="197BF85B" w:rsidR="00DE11CA" w:rsidRPr="004F1D23" w:rsidRDefault="00100253" w:rsidP="00914FAF">
      <w:pPr>
        <w:jc w:val="both"/>
        <w:rPr>
          <w:rFonts w:ascii="Times" w:eastAsia="Times New Roman" w:hAnsi="Times" w:cs="Times New Roman"/>
        </w:rPr>
      </w:pPr>
      <w:r w:rsidRPr="004F1D23">
        <w:rPr>
          <w:rFonts w:ascii="Times" w:eastAsia="Times New Roman" w:hAnsi="Times" w:cs="Arial"/>
          <w:i/>
          <w:shd w:val="clear" w:color="auto" w:fill="FFFFFF"/>
        </w:rPr>
        <w:t xml:space="preserve"> </w:t>
      </w:r>
    </w:p>
    <w:p w14:paraId="7E3C0DC6" w14:textId="369207FF" w:rsidR="00193C3F" w:rsidRPr="004F1D23" w:rsidRDefault="00100253" w:rsidP="00914FAF">
      <w:pPr>
        <w:jc w:val="both"/>
        <w:rPr>
          <w:rFonts w:ascii="Times" w:eastAsia="Times New Roman" w:hAnsi="Times" w:cs="Times New Roman"/>
        </w:rPr>
      </w:pPr>
      <w:r w:rsidRPr="004F1D23">
        <w:rPr>
          <w:rFonts w:ascii="Times" w:eastAsia="Times New Roman" w:hAnsi="Times" w:cs="Times New Roman"/>
        </w:rPr>
        <w:t xml:space="preserve">Next, </w:t>
      </w:r>
      <w:r w:rsidR="0096730F" w:rsidRPr="004F1D23">
        <w:rPr>
          <w:rFonts w:ascii="Times" w:eastAsia="Times New Roman" w:hAnsi="Times" w:cs="Times New Roman"/>
        </w:rPr>
        <w:t xml:space="preserve">the Court accepted that the right to reside test was indirectly discriminatory, without responding to the allegation of direct discrimination. It did not examine whether the test was justified, however, instead shifting to ask whether </w:t>
      </w:r>
      <w:r w:rsidRPr="004F1D23">
        <w:rPr>
          <w:rFonts w:ascii="Times" w:eastAsia="Times New Roman" w:hAnsi="Times" w:cs="Times New Roman"/>
        </w:rPr>
        <w:t xml:space="preserve">the process of checking for lawful residence was </w:t>
      </w:r>
      <w:r w:rsidR="0096730F" w:rsidRPr="004F1D23">
        <w:rPr>
          <w:rFonts w:ascii="Times" w:eastAsia="Times New Roman" w:hAnsi="Times" w:cs="Times New Roman"/>
        </w:rPr>
        <w:t xml:space="preserve">justified – in particular, whether the checks were proportionate. </w:t>
      </w:r>
      <w:r w:rsidR="00122A43" w:rsidRPr="004F1D23">
        <w:rPr>
          <w:rFonts w:ascii="Times" w:eastAsia="Times New Roman" w:hAnsi="Times" w:cs="Times New Roman"/>
        </w:rPr>
        <w:t>The C</w:t>
      </w:r>
      <w:r w:rsidR="00C30E1D" w:rsidRPr="004F1D23">
        <w:rPr>
          <w:rFonts w:ascii="Times" w:eastAsia="Times New Roman" w:hAnsi="Times" w:cs="Times New Roman"/>
        </w:rPr>
        <w:t>ourt reported the submissi</w:t>
      </w:r>
      <w:r w:rsidR="0096730F" w:rsidRPr="004F1D23">
        <w:rPr>
          <w:rFonts w:ascii="Times" w:eastAsia="Times New Roman" w:hAnsi="Times" w:cs="Times New Roman"/>
        </w:rPr>
        <w:t>ons of the UK</w:t>
      </w:r>
      <w:r w:rsidR="00193C3F" w:rsidRPr="004F1D23">
        <w:rPr>
          <w:rFonts w:ascii="Times" w:eastAsia="Times New Roman" w:hAnsi="Times" w:cs="Times New Roman"/>
        </w:rPr>
        <w:t xml:space="preserve"> that claimants m</w:t>
      </w:r>
      <w:r w:rsidR="0096730F" w:rsidRPr="004F1D23">
        <w:rPr>
          <w:rFonts w:ascii="Times" w:eastAsia="Times New Roman" w:hAnsi="Times" w:cs="Times New Roman"/>
        </w:rPr>
        <w:t>ust provide “data”</w:t>
      </w:r>
      <w:r w:rsidR="00C30E1D" w:rsidRPr="004F1D23">
        <w:rPr>
          <w:rFonts w:ascii="Times" w:eastAsia="Times New Roman" w:hAnsi="Times" w:cs="Times New Roman"/>
        </w:rPr>
        <w:t xml:space="preserve"> which are then checked, and that </w:t>
      </w:r>
      <w:r w:rsidR="0096730F" w:rsidRPr="004F1D23">
        <w:rPr>
          <w:rFonts w:ascii="Times" w:eastAsia="Times New Roman" w:hAnsi="Times" w:cs="Times New Roman"/>
        </w:rPr>
        <w:t>“</w:t>
      </w:r>
      <w:r w:rsidR="00C30E1D" w:rsidRPr="004F1D23">
        <w:rPr>
          <w:rFonts w:ascii="Times" w:eastAsia="Times New Roman" w:hAnsi="Times" w:cs="Arial"/>
          <w:shd w:val="clear" w:color="auto" w:fill="FFFFFF"/>
        </w:rPr>
        <w:t>only in specific cases</w:t>
      </w:r>
      <w:r w:rsidR="0096730F" w:rsidRPr="004F1D23">
        <w:rPr>
          <w:rFonts w:ascii="Times" w:eastAsia="Times New Roman" w:hAnsi="Times" w:cs="Arial"/>
          <w:shd w:val="clear" w:color="auto" w:fill="FFFFFF"/>
        </w:rPr>
        <w:t>” were</w:t>
      </w:r>
      <w:r w:rsidR="00C30E1D" w:rsidRPr="004F1D23">
        <w:rPr>
          <w:rFonts w:ascii="Times" w:eastAsia="Times New Roman" w:hAnsi="Times" w:cs="Arial"/>
          <w:shd w:val="clear" w:color="auto" w:fill="FFFFFF"/>
        </w:rPr>
        <w:t xml:space="preserve"> claimants </w:t>
      </w:r>
      <w:r w:rsidR="0096730F" w:rsidRPr="004F1D23">
        <w:rPr>
          <w:rFonts w:ascii="Times" w:eastAsia="Times New Roman" w:hAnsi="Times" w:cs="Arial"/>
          <w:shd w:val="clear" w:color="auto" w:fill="FFFFFF"/>
        </w:rPr>
        <w:t>“</w:t>
      </w:r>
      <w:r w:rsidR="00C30E1D" w:rsidRPr="004F1D23">
        <w:rPr>
          <w:rFonts w:ascii="Times" w:eastAsia="Times New Roman" w:hAnsi="Times" w:cs="Arial"/>
          <w:shd w:val="clear" w:color="auto" w:fill="FFFFFF"/>
        </w:rPr>
        <w:t>required to prove that they in fact enjoy a right to reside lawful</w:t>
      </w:r>
      <w:r w:rsidR="0096730F" w:rsidRPr="004F1D23">
        <w:rPr>
          <w:rFonts w:ascii="Times" w:eastAsia="Times New Roman" w:hAnsi="Times" w:cs="Arial"/>
          <w:shd w:val="clear" w:color="auto" w:fill="FFFFFF"/>
        </w:rPr>
        <w:t>ly in United Kingdom territory”</w:t>
      </w:r>
      <w:r w:rsidR="00193C3F" w:rsidRPr="004F1D23">
        <w:rPr>
          <w:rFonts w:ascii="Times" w:eastAsia="Times New Roman" w:hAnsi="Times" w:cs="Arial"/>
          <w:shd w:val="clear" w:color="auto" w:fill="FFFFFF"/>
        </w:rPr>
        <w:t>,</w:t>
      </w:r>
      <w:r w:rsidR="0096730F" w:rsidRPr="004F1D23">
        <w:rPr>
          <w:rStyle w:val="FootnoteReference"/>
          <w:rFonts w:ascii="Times" w:eastAsia="Times New Roman" w:hAnsi="Times" w:cs="Arial"/>
          <w:shd w:val="clear" w:color="auto" w:fill="FFFFFF"/>
        </w:rPr>
        <w:footnoteReference w:id="47"/>
      </w:r>
      <w:r w:rsidR="00193C3F" w:rsidRPr="004F1D23">
        <w:rPr>
          <w:rFonts w:ascii="Times" w:eastAsia="Times New Roman" w:hAnsi="Times" w:cs="Arial"/>
          <w:shd w:val="clear" w:color="auto" w:fill="FFFFFF"/>
        </w:rPr>
        <w:t xml:space="preserve"> and found that verification was not systematic but carried o</w:t>
      </w:r>
      <w:r w:rsidR="0096730F" w:rsidRPr="004F1D23">
        <w:rPr>
          <w:rFonts w:ascii="Times" w:eastAsia="Times New Roman" w:hAnsi="Times" w:cs="Arial"/>
          <w:shd w:val="clear" w:color="auto" w:fill="FFFFFF"/>
        </w:rPr>
        <w:t>ut “only in the event of doubt.”</w:t>
      </w:r>
      <w:r w:rsidR="0096730F" w:rsidRPr="004F1D23">
        <w:rPr>
          <w:rStyle w:val="FootnoteReference"/>
          <w:rFonts w:ascii="Times" w:eastAsia="Times New Roman" w:hAnsi="Times" w:cs="Arial"/>
          <w:shd w:val="clear" w:color="auto" w:fill="FFFFFF"/>
        </w:rPr>
        <w:footnoteReference w:id="48"/>
      </w:r>
      <w:r w:rsidR="00193C3F" w:rsidRPr="004F1D23">
        <w:rPr>
          <w:rFonts w:ascii="Times" w:eastAsia="Times New Roman" w:hAnsi="Times" w:cs="Arial"/>
          <w:shd w:val="clear" w:color="auto" w:fill="FFFFFF"/>
        </w:rPr>
        <w:t xml:space="preserve"> The Court concluded tha</w:t>
      </w:r>
      <w:r w:rsidR="0096730F" w:rsidRPr="004F1D23">
        <w:rPr>
          <w:rFonts w:ascii="Times" w:eastAsia="Times New Roman" w:hAnsi="Times" w:cs="Arial"/>
          <w:shd w:val="clear" w:color="auto" w:fill="FFFFFF"/>
        </w:rPr>
        <w:t>t the Commission had “</w:t>
      </w:r>
      <w:r w:rsidR="00193C3F" w:rsidRPr="004F1D23">
        <w:rPr>
          <w:rFonts w:ascii="Times" w:eastAsia="Times New Roman" w:hAnsi="Times" w:cs="Arial"/>
          <w:shd w:val="clear" w:color="auto" w:fill="FFFFFF"/>
        </w:rPr>
        <w:t>not provided evidence or arguments showing that such checking does not satisfy the conditions of proportionality, that it is not appropriate for securing the attainment of the objective of protecting public finances or that it goes beyond what is nec</w:t>
      </w:r>
      <w:r w:rsidR="0096730F" w:rsidRPr="004F1D23">
        <w:rPr>
          <w:rFonts w:ascii="Times" w:eastAsia="Times New Roman" w:hAnsi="Times" w:cs="Arial"/>
          <w:shd w:val="clear" w:color="auto" w:fill="FFFFFF"/>
        </w:rPr>
        <w:t>essary to attain that objective”</w:t>
      </w:r>
      <w:r w:rsidR="00193C3F" w:rsidRPr="004F1D23">
        <w:rPr>
          <w:rFonts w:ascii="Times" w:eastAsia="Times New Roman" w:hAnsi="Times" w:cs="Arial"/>
          <w:shd w:val="clear" w:color="auto" w:fill="FFFFFF"/>
        </w:rPr>
        <w:t>,</w:t>
      </w:r>
      <w:r w:rsidR="0096730F" w:rsidRPr="004F1D23">
        <w:rPr>
          <w:rStyle w:val="FootnoteReference"/>
          <w:rFonts w:ascii="Times" w:eastAsia="Times New Roman" w:hAnsi="Times" w:cs="Arial"/>
          <w:shd w:val="clear" w:color="auto" w:fill="FFFFFF"/>
        </w:rPr>
        <w:footnoteReference w:id="49"/>
      </w:r>
      <w:r w:rsidR="00193C3F" w:rsidRPr="004F1D23">
        <w:rPr>
          <w:rFonts w:ascii="Times" w:eastAsia="Times New Roman" w:hAnsi="Times" w:cs="Arial"/>
          <w:shd w:val="clear" w:color="auto" w:fill="FFFFFF"/>
        </w:rPr>
        <w:t xml:space="preserve"> and so that there was no discrimination contrary to Article 4. </w:t>
      </w:r>
    </w:p>
    <w:p w14:paraId="5EA850C0" w14:textId="4DA2F333" w:rsidR="00193C3F" w:rsidRPr="004F1D23" w:rsidRDefault="00193C3F" w:rsidP="00914FAF">
      <w:pPr>
        <w:jc w:val="both"/>
        <w:rPr>
          <w:rFonts w:ascii="Times" w:eastAsia="Times New Roman" w:hAnsi="Times" w:cs="Times New Roman"/>
        </w:rPr>
      </w:pPr>
    </w:p>
    <w:p w14:paraId="0BE11958" w14:textId="77777777" w:rsidR="00C9706F" w:rsidRPr="004F1D23" w:rsidRDefault="00C9706F" w:rsidP="00914FAF">
      <w:pPr>
        <w:jc w:val="both"/>
        <w:rPr>
          <w:rFonts w:ascii="Times" w:hAnsi="Times"/>
        </w:rPr>
      </w:pPr>
    </w:p>
    <w:p w14:paraId="559603AF" w14:textId="0E72F986" w:rsidR="00C9706F" w:rsidRPr="004F1D23" w:rsidRDefault="00D92983" w:rsidP="00914FAF">
      <w:pPr>
        <w:jc w:val="both"/>
        <w:rPr>
          <w:rFonts w:ascii="Times" w:hAnsi="Times"/>
          <w:b/>
        </w:rPr>
      </w:pPr>
      <w:r w:rsidRPr="004F1D23">
        <w:rPr>
          <w:rFonts w:ascii="Times" w:hAnsi="Times"/>
          <w:b/>
        </w:rPr>
        <w:t xml:space="preserve">5 </w:t>
      </w:r>
      <w:r w:rsidR="00C9706F" w:rsidRPr="004F1D23">
        <w:rPr>
          <w:rFonts w:ascii="Times" w:hAnsi="Times"/>
          <w:b/>
        </w:rPr>
        <w:t>Comments</w:t>
      </w:r>
    </w:p>
    <w:p w14:paraId="77182BAF" w14:textId="77777777" w:rsidR="00C9706F" w:rsidRPr="004F1D23" w:rsidRDefault="00C9706F" w:rsidP="00914FAF">
      <w:pPr>
        <w:jc w:val="both"/>
        <w:rPr>
          <w:rFonts w:ascii="Times" w:hAnsi="Times"/>
        </w:rPr>
      </w:pPr>
    </w:p>
    <w:p w14:paraId="16700EE3" w14:textId="3DE7367A" w:rsidR="004C437C" w:rsidRPr="004F1D23" w:rsidRDefault="00386946" w:rsidP="00914FAF">
      <w:pPr>
        <w:jc w:val="both"/>
        <w:rPr>
          <w:rFonts w:ascii="Times" w:hAnsi="Times"/>
        </w:rPr>
      </w:pPr>
      <w:r w:rsidRPr="004F1D23">
        <w:rPr>
          <w:rFonts w:ascii="Times" w:hAnsi="Times"/>
        </w:rPr>
        <w:t xml:space="preserve">Both </w:t>
      </w:r>
      <w:r w:rsidR="00D340A6" w:rsidRPr="004F1D23">
        <w:rPr>
          <w:rFonts w:ascii="Times" w:hAnsi="Times"/>
        </w:rPr>
        <w:t xml:space="preserve">the Opinion and the judgment </w:t>
      </w:r>
      <w:r w:rsidRPr="004F1D23">
        <w:rPr>
          <w:rFonts w:ascii="Times" w:hAnsi="Times"/>
        </w:rPr>
        <w:t xml:space="preserve">contort the available legislation to try to make it fit the desired outcome, but the </w:t>
      </w:r>
      <w:r w:rsidR="00FD0F9F" w:rsidRPr="004F1D23">
        <w:rPr>
          <w:rFonts w:ascii="Times" w:hAnsi="Times"/>
        </w:rPr>
        <w:t xml:space="preserve">judgment </w:t>
      </w:r>
      <w:r w:rsidR="00A175C0" w:rsidRPr="004F1D23">
        <w:rPr>
          <w:rFonts w:ascii="Times" w:hAnsi="Times"/>
        </w:rPr>
        <w:t>is the more cavalier of the two</w:t>
      </w:r>
      <w:r w:rsidR="00FD0F9F" w:rsidRPr="004F1D23">
        <w:rPr>
          <w:rFonts w:ascii="Times" w:hAnsi="Times"/>
        </w:rPr>
        <w:t xml:space="preserve"> </w:t>
      </w:r>
      <w:r w:rsidRPr="004F1D23">
        <w:rPr>
          <w:rFonts w:ascii="Times" w:hAnsi="Times"/>
        </w:rPr>
        <w:t>in ignoring the key question of discriminati</w:t>
      </w:r>
      <w:r w:rsidR="00DB2799" w:rsidRPr="004F1D23">
        <w:rPr>
          <w:rFonts w:ascii="Times" w:hAnsi="Times"/>
        </w:rPr>
        <w:t xml:space="preserve">on at the heart of the case, </w:t>
      </w:r>
      <w:r w:rsidRPr="004F1D23">
        <w:rPr>
          <w:rFonts w:ascii="Times" w:hAnsi="Times"/>
        </w:rPr>
        <w:t>declining to examine the le</w:t>
      </w:r>
      <w:r w:rsidR="00DB2799" w:rsidRPr="004F1D23">
        <w:rPr>
          <w:rFonts w:ascii="Times" w:hAnsi="Times"/>
        </w:rPr>
        <w:t xml:space="preserve">gal provisions at issue, and </w:t>
      </w:r>
      <w:r w:rsidRPr="004F1D23">
        <w:rPr>
          <w:rFonts w:ascii="Times" w:hAnsi="Times"/>
        </w:rPr>
        <w:t xml:space="preserve">abandoning any attempt at methodical legal construction. </w:t>
      </w:r>
    </w:p>
    <w:p w14:paraId="4E99BF53" w14:textId="77777777" w:rsidR="00386946" w:rsidRPr="004F1D23" w:rsidRDefault="00386946" w:rsidP="00914FAF">
      <w:pPr>
        <w:jc w:val="both"/>
        <w:rPr>
          <w:rFonts w:ascii="Times" w:hAnsi="Times"/>
        </w:rPr>
      </w:pPr>
    </w:p>
    <w:p w14:paraId="1BECE4BE" w14:textId="645BFB64" w:rsidR="008C2CF3" w:rsidRPr="004F1D23" w:rsidRDefault="008C2CF3" w:rsidP="00914FAF">
      <w:pPr>
        <w:jc w:val="both"/>
        <w:rPr>
          <w:rFonts w:ascii="Times" w:hAnsi="Times"/>
        </w:rPr>
      </w:pPr>
      <w:r w:rsidRPr="004F1D23">
        <w:rPr>
          <w:rFonts w:ascii="Times" w:hAnsi="Times"/>
        </w:rPr>
        <w:t xml:space="preserve">This analysis </w:t>
      </w:r>
      <w:r w:rsidR="00D340A6" w:rsidRPr="004F1D23">
        <w:rPr>
          <w:rFonts w:ascii="Times" w:hAnsi="Times"/>
        </w:rPr>
        <w:t>addresses</w:t>
      </w:r>
      <w:r w:rsidR="00A175C0" w:rsidRPr="004F1D23">
        <w:rPr>
          <w:rFonts w:ascii="Times" w:hAnsi="Times"/>
        </w:rPr>
        <w:t xml:space="preserve"> </w:t>
      </w:r>
      <w:r w:rsidRPr="004F1D23">
        <w:rPr>
          <w:rFonts w:ascii="Times" w:hAnsi="Times"/>
        </w:rPr>
        <w:t>four</w:t>
      </w:r>
      <w:r w:rsidR="00386946" w:rsidRPr="004F1D23">
        <w:rPr>
          <w:rFonts w:ascii="Times" w:hAnsi="Times"/>
        </w:rPr>
        <w:t xml:space="preserve"> key </w:t>
      </w:r>
      <w:r w:rsidR="00A175C0" w:rsidRPr="004F1D23">
        <w:rPr>
          <w:rFonts w:ascii="Times" w:hAnsi="Times"/>
        </w:rPr>
        <w:t>issues</w:t>
      </w:r>
      <w:r w:rsidRPr="004F1D23">
        <w:rPr>
          <w:rFonts w:ascii="Times" w:hAnsi="Times"/>
        </w:rPr>
        <w:t>. First</w:t>
      </w:r>
      <w:r w:rsidR="00A175C0" w:rsidRPr="004F1D23">
        <w:rPr>
          <w:rFonts w:ascii="Times" w:hAnsi="Times"/>
        </w:rPr>
        <w:t>, the Advocate General</w:t>
      </w:r>
      <w:r w:rsidR="00733252" w:rsidRPr="004F1D23">
        <w:rPr>
          <w:rFonts w:ascii="Times" w:hAnsi="Times"/>
        </w:rPr>
        <w:t xml:space="preserve"> and the Court both seem to distil a fundamental principle of exclusion from paragraph 44 of </w:t>
      </w:r>
      <w:r w:rsidR="00733252" w:rsidRPr="004F1D23">
        <w:rPr>
          <w:rFonts w:ascii="Times" w:hAnsi="Times"/>
          <w:i/>
        </w:rPr>
        <w:t>Brey</w:t>
      </w:r>
      <w:r w:rsidR="00733252" w:rsidRPr="004F1D23">
        <w:rPr>
          <w:rFonts w:ascii="Times" w:hAnsi="Times"/>
        </w:rPr>
        <w:t>, such as to displace any other applicable prim</w:t>
      </w:r>
      <w:r w:rsidRPr="004F1D23">
        <w:rPr>
          <w:rFonts w:ascii="Times" w:hAnsi="Times"/>
        </w:rPr>
        <w:t xml:space="preserve">ary or secondary law. Second, both the Opinion and the judgment mangle the question of discrimination. The Advocate General argues that the protection from discrimination in Article 4 of Regulation 883/2004 only applies to those who have already met the (discriminatory) requirements of Directive 2004/38 – so suggesting that an </w:t>
      </w:r>
      <w:r w:rsidRPr="004F1D23">
        <w:rPr>
          <w:rFonts w:ascii="Times" w:hAnsi="Times"/>
          <w:i/>
        </w:rPr>
        <w:t>ex ante</w:t>
      </w:r>
      <w:r w:rsidRPr="004F1D23">
        <w:rPr>
          <w:rFonts w:ascii="Times" w:hAnsi="Times"/>
        </w:rPr>
        <w:t xml:space="preserve"> discriminatory gateway to coverage by the Regulation can avoid the equal treatment provision from being invoked. The Court in contrast</w:t>
      </w:r>
      <w:r w:rsidR="00A175C0" w:rsidRPr="004F1D23">
        <w:rPr>
          <w:rFonts w:ascii="Times" w:hAnsi="Times"/>
        </w:rPr>
        <w:t>, having established that the right to reside test was indirectly discriminatory (having ignored the Commission’s complaint of direct discrimination)</w:t>
      </w:r>
      <w:r w:rsidRPr="004F1D23">
        <w:rPr>
          <w:rFonts w:ascii="Times" w:hAnsi="Times"/>
        </w:rPr>
        <w:t xml:space="preserve"> </w:t>
      </w:r>
      <w:r w:rsidRPr="004F1D23">
        <w:rPr>
          <w:rFonts w:ascii="Times" w:hAnsi="Times"/>
          <w:i/>
        </w:rPr>
        <w:t>did not examine</w:t>
      </w:r>
      <w:r w:rsidRPr="004F1D23">
        <w:rPr>
          <w:rFonts w:ascii="Times" w:hAnsi="Times"/>
        </w:rPr>
        <w:t xml:space="preserve"> whether the </w:t>
      </w:r>
      <w:r w:rsidR="00A175C0" w:rsidRPr="004F1D23">
        <w:rPr>
          <w:rFonts w:ascii="Times" w:hAnsi="Times"/>
        </w:rPr>
        <w:t>existence of, and rules within, the test were justified</w:t>
      </w:r>
      <w:r w:rsidRPr="004F1D23">
        <w:rPr>
          <w:rFonts w:ascii="Times" w:hAnsi="Times"/>
        </w:rPr>
        <w:t xml:space="preserve">. It skipped instead to </w:t>
      </w:r>
      <w:r w:rsidR="00A175C0" w:rsidRPr="004F1D23">
        <w:rPr>
          <w:rFonts w:ascii="Times" w:hAnsi="Times"/>
        </w:rPr>
        <w:t>justifying the</w:t>
      </w:r>
      <w:r w:rsidR="00DB2799" w:rsidRPr="004F1D23">
        <w:rPr>
          <w:rFonts w:ascii="Times" w:hAnsi="Times"/>
        </w:rPr>
        <w:t xml:space="preserve"> “checks”</w:t>
      </w:r>
      <w:r w:rsidRPr="004F1D23">
        <w:rPr>
          <w:rFonts w:ascii="Times" w:hAnsi="Times"/>
        </w:rPr>
        <w:t xml:space="preserve"> for a right to reside, treating this as the same issue, which it is not. It did not attempt to consider Article 4 of Regulation 883/2004, other than </w:t>
      </w:r>
      <w:r w:rsidR="00A175C0" w:rsidRPr="004F1D23">
        <w:rPr>
          <w:rFonts w:ascii="Times" w:hAnsi="Times"/>
        </w:rPr>
        <w:t>to conclude</w:t>
      </w:r>
      <w:r w:rsidRPr="004F1D23">
        <w:rPr>
          <w:rFonts w:ascii="Times" w:hAnsi="Times"/>
        </w:rPr>
        <w:t xml:space="preserve"> that it was not infringed. Third, in examining those checks, both the </w:t>
      </w:r>
      <w:r w:rsidR="00A175C0" w:rsidRPr="004F1D23">
        <w:rPr>
          <w:rFonts w:ascii="Times" w:hAnsi="Times"/>
        </w:rPr>
        <w:t>Advocate General</w:t>
      </w:r>
      <w:r w:rsidRPr="004F1D23">
        <w:rPr>
          <w:rFonts w:ascii="Times" w:hAnsi="Times"/>
        </w:rPr>
        <w:t>’s finding that the UK does not presume unlawful residence, and the Court’s cognate finding that the UK’s verification processes are no</w:t>
      </w:r>
      <w:r w:rsidR="00A175C0" w:rsidRPr="004F1D23">
        <w:rPr>
          <w:rFonts w:ascii="Times" w:hAnsi="Times"/>
        </w:rPr>
        <w:t>t systematic, are unconvincing. H</w:t>
      </w:r>
      <w:r w:rsidRPr="004F1D23">
        <w:rPr>
          <w:rFonts w:ascii="Times" w:hAnsi="Times"/>
        </w:rPr>
        <w:t>ere, the Court reverses the burden of proof</w:t>
      </w:r>
      <w:r w:rsidR="00A175C0" w:rsidRPr="004F1D23">
        <w:rPr>
          <w:rFonts w:ascii="Times" w:hAnsi="Times"/>
        </w:rPr>
        <w:t xml:space="preserve"> </w:t>
      </w:r>
      <w:r w:rsidR="00DB2799" w:rsidRPr="004F1D23">
        <w:rPr>
          <w:rFonts w:ascii="Times" w:hAnsi="Times"/>
        </w:rPr>
        <w:t xml:space="preserve">so that </w:t>
      </w:r>
      <w:r w:rsidRPr="004F1D23">
        <w:rPr>
          <w:rFonts w:ascii="Times" w:hAnsi="Times"/>
        </w:rPr>
        <w:t>once a prima facie case of indirect discrimination has been shown, it is up to the Commission to produce evidence that it has not been justified. This is practically and legally problematic.</w:t>
      </w:r>
      <w:r w:rsidR="00196C29" w:rsidRPr="004F1D23">
        <w:rPr>
          <w:rFonts w:ascii="Times" w:hAnsi="Times"/>
        </w:rPr>
        <w:t xml:space="preserve"> Fourth, in failing to examine whether the right to reside test was justified, the </w:t>
      </w:r>
      <w:r w:rsidR="00733252" w:rsidRPr="004F1D23">
        <w:rPr>
          <w:rFonts w:ascii="Times" w:hAnsi="Times"/>
        </w:rPr>
        <w:t xml:space="preserve">Court </w:t>
      </w:r>
      <w:r w:rsidR="00DB2799" w:rsidRPr="004F1D23">
        <w:rPr>
          <w:rFonts w:ascii="Times" w:hAnsi="Times"/>
        </w:rPr>
        <w:t>(in contrast to the Advoc</w:t>
      </w:r>
      <w:r w:rsidR="00A175C0" w:rsidRPr="004F1D23">
        <w:rPr>
          <w:rFonts w:ascii="Times" w:hAnsi="Times"/>
        </w:rPr>
        <w:t>ate General</w:t>
      </w:r>
      <w:r w:rsidR="00733252" w:rsidRPr="004F1D23">
        <w:rPr>
          <w:rFonts w:ascii="Times" w:hAnsi="Times"/>
        </w:rPr>
        <w:t xml:space="preserve">) </w:t>
      </w:r>
      <w:r w:rsidR="00A175C0" w:rsidRPr="004F1D23">
        <w:rPr>
          <w:rFonts w:ascii="Times" w:hAnsi="Times"/>
        </w:rPr>
        <w:t xml:space="preserve">has </w:t>
      </w:r>
      <w:r w:rsidR="00733252" w:rsidRPr="004F1D23">
        <w:rPr>
          <w:rFonts w:ascii="Times" w:hAnsi="Times"/>
        </w:rPr>
        <w:t>condon</w:t>
      </w:r>
      <w:r w:rsidR="00A175C0" w:rsidRPr="004F1D23">
        <w:rPr>
          <w:rFonts w:ascii="Times" w:hAnsi="Times"/>
        </w:rPr>
        <w:t>ed</w:t>
      </w:r>
      <w:r w:rsidR="00196C29" w:rsidRPr="004F1D23">
        <w:rPr>
          <w:rFonts w:ascii="Times" w:hAnsi="Times"/>
        </w:rPr>
        <w:t xml:space="preserve"> </w:t>
      </w:r>
      <w:r w:rsidR="00733252" w:rsidRPr="004F1D23">
        <w:rPr>
          <w:rFonts w:ascii="Times" w:hAnsi="Times"/>
        </w:rPr>
        <w:t>the automat</w:t>
      </w:r>
      <w:r w:rsidR="00A175C0" w:rsidRPr="004F1D23">
        <w:rPr>
          <w:rFonts w:ascii="Times" w:hAnsi="Times"/>
        </w:rPr>
        <w:t>ic dismissal of proportionality-</w:t>
      </w:r>
      <w:r w:rsidR="00733252" w:rsidRPr="004F1D23">
        <w:rPr>
          <w:rFonts w:ascii="Times" w:hAnsi="Times"/>
        </w:rPr>
        <w:t xml:space="preserve">based claims, </w:t>
      </w:r>
      <w:r w:rsidR="00A175C0" w:rsidRPr="004F1D23">
        <w:rPr>
          <w:rFonts w:ascii="Times" w:hAnsi="Times"/>
        </w:rPr>
        <w:t>but done so without explanation</w:t>
      </w:r>
      <w:r w:rsidR="00733252" w:rsidRPr="004F1D23">
        <w:rPr>
          <w:rFonts w:ascii="Times" w:hAnsi="Times"/>
        </w:rPr>
        <w:t xml:space="preserve">.  </w:t>
      </w:r>
      <w:r w:rsidRPr="004F1D23">
        <w:rPr>
          <w:rFonts w:ascii="Times" w:hAnsi="Times"/>
        </w:rPr>
        <w:t xml:space="preserve">This </w:t>
      </w:r>
      <w:r w:rsidR="00196C29" w:rsidRPr="004F1D23">
        <w:rPr>
          <w:rFonts w:ascii="Times" w:hAnsi="Times"/>
        </w:rPr>
        <w:t>extinguishes</w:t>
      </w:r>
      <w:r w:rsidR="003064AB" w:rsidRPr="004F1D23">
        <w:rPr>
          <w:rFonts w:ascii="Times" w:hAnsi="Times"/>
        </w:rPr>
        <w:t xml:space="preserve"> citizenship-based claims for equal treatment, and yet it does so without reference to citizenship, the </w:t>
      </w:r>
      <w:r w:rsidR="00196C29" w:rsidRPr="004F1D23">
        <w:rPr>
          <w:rFonts w:ascii="Times" w:hAnsi="Times"/>
        </w:rPr>
        <w:t xml:space="preserve">relevant </w:t>
      </w:r>
      <w:r w:rsidR="003064AB" w:rsidRPr="004F1D23">
        <w:rPr>
          <w:rFonts w:ascii="Times" w:hAnsi="Times"/>
        </w:rPr>
        <w:t xml:space="preserve">provisions in primary law, </w:t>
      </w:r>
      <w:r w:rsidR="00196C29" w:rsidRPr="004F1D23">
        <w:rPr>
          <w:rFonts w:ascii="Times" w:hAnsi="Times"/>
        </w:rPr>
        <w:t xml:space="preserve">or </w:t>
      </w:r>
      <w:r w:rsidR="00A175C0" w:rsidRPr="004F1D23">
        <w:rPr>
          <w:rFonts w:ascii="Times" w:hAnsi="Times"/>
        </w:rPr>
        <w:t>any consideration of the rights and</w:t>
      </w:r>
      <w:r w:rsidR="003064AB" w:rsidRPr="004F1D23">
        <w:rPr>
          <w:rFonts w:ascii="Times" w:hAnsi="Times"/>
        </w:rPr>
        <w:t xml:space="preserve"> special situation of </w:t>
      </w:r>
      <w:r w:rsidR="003064AB" w:rsidRPr="004F1D23">
        <w:rPr>
          <w:rFonts w:ascii="Times" w:hAnsi="Times"/>
          <w:i/>
        </w:rPr>
        <w:t>child</w:t>
      </w:r>
      <w:r w:rsidR="00D92983" w:rsidRPr="004F1D23">
        <w:rPr>
          <w:rFonts w:ascii="Times" w:hAnsi="Times"/>
          <w:i/>
        </w:rPr>
        <w:t xml:space="preserve">ren, </w:t>
      </w:r>
      <w:r w:rsidR="00D92983" w:rsidRPr="004F1D23">
        <w:rPr>
          <w:rFonts w:ascii="Times" w:hAnsi="Times"/>
        </w:rPr>
        <w:t>the</w:t>
      </w:r>
      <w:r w:rsidR="00D92983" w:rsidRPr="004F1D23">
        <w:rPr>
          <w:rFonts w:ascii="Times" w:hAnsi="Times"/>
          <w:i/>
        </w:rPr>
        <w:t xml:space="preserve"> </w:t>
      </w:r>
      <w:r w:rsidR="00D92983" w:rsidRPr="004F1D23">
        <w:rPr>
          <w:rFonts w:ascii="Times" w:hAnsi="Times"/>
        </w:rPr>
        <w:t>c</w:t>
      </w:r>
      <w:r w:rsidR="003064AB" w:rsidRPr="004F1D23">
        <w:rPr>
          <w:rFonts w:ascii="Times" w:hAnsi="Times"/>
        </w:rPr>
        <w:t xml:space="preserve">itizens whose rights are at issue. </w:t>
      </w:r>
    </w:p>
    <w:p w14:paraId="383544D8" w14:textId="77777777" w:rsidR="00357C4E" w:rsidRPr="004F1D23" w:rsidRDefault="00357C4E" w:rsidP="00914FAF">
      <w:pPr>
        <w:jc w:val="both"/>
        <w:rPr>
          <w:rFonts w:ascii="Times" w:hAnsi="Times"/>
        </w:rPr>
      </w:pPr>
    </w:p>
    <w:p w14:paraId="310174EE" w14:textId="3A40E20E" w:rsidR="00D92983" w:rsidRPr="004F1D23" w:rsidRDefault="00D92983" w:rsidP="00914FAF">
      <w:pPr>
        <w:jc w:val="both"/>
        <w:rPr>
          <w:rFonts w:ascii="Times" w:hAnsi="Times"/>
        </w:rPr>
      </w:pPr>
      <w:r w:rsidRPr="004F1D23">
        <w:rPr>
          <w:rFonts w:ascii="Times" w:hAnsi="Times"/>
        </w:rPr>
        <w:t xml:space="preserve">5.1 </w:t>
      </w:r>
      <w:r w:rsidRPr="004F1D23">
        <w:rPr>
          <w:rFonts w:ascii="Times" w:hAnsi="Times"/>
          <w:i/>
        </w:rPr>
        <w:t>Distilling a fundamental principle of exclusion from paragraph 44 of Brey</w:t>
      </w:r>
      <w:r w:rsidR="007E0B7B" w:rsidRPr="004F1D23">
        <w:rPr>
          <w:rFonts w:ascii="Times" w:hAnsi="Times"/>
          <w:i/>
        </w:rPr>
        <w:t xml:space="preserve"> to govern the personal scope of Regulation 883/2004</w:t>
      </w:r>
    </w:p>
    <w:p w14:paraId="59CC2871" w14:textId="77777777" w:rsidR="00D92983" w:rsidRPr="004F1D23" w:rsidRDefault="00D92983" w:rsidP="00914FAF">
      <w:pPr>
        <w:jc w:val="both"/>
        <w:rPr>
          <w:rFonts w:ascii="Times" w:hAnsi="Times"/>
          <w:i/>
        </w:rPr>
      </w:pPr>
    </w:p>
    <w:p w14:paraId="76B0D340" w14:textId="36246743" w:rsidR="008478A7" w:rsidRPr="004F1D23" w:rsidRDefault="008478A7" w:rsidP="00914FAF">
      <w:pPr>
        <w:jc w:val="both"/>
        <w:rPr>
          <w:rFonts w:ascii="Times" w:hAnsi="Times"/>
        </w:rPr>
      </w:pPr>
      <w:r w:rsidRPr="004F1D23">
        <w:rPr>
          <w:rFonts w:ascii="Times" w:hAnsi="Times"/>
        </w:rPr>
        <w:t xml:space="preserve">The formulation upon which </w:t>
      </w:r>
      <w:r w:rsidRPr="004F1D23">
        <w:rPr>
          <w:rFonts w:ascii="Times" w:hAnsi="Times"/>
          <w:i/>
        </w:rPr>
        <w:t xml:space="preserve">Commission v UK </w:t>
      </w:r>
      <w:r w:rsidRPr="004F1D23">
        <w:rPr>
          <w:rFonts w:ascii="Times" w:hAnsi="Times"/>
        </w:rPr>
        <w:t xml:space="preserve">rests is that of </w:t>
      </w:r>
      <w:r w:rsidRPr="004F1D23">
        <w:rPr>
          <w:rFonts w:ascii="Times" w:hAnsi="Times"/>
          <w:i/>
        </w:rPr>
        <w:t>Brey</w:t>
      </w:r>
      <w:r w:rsidR="00DB2799" w:rsidRPr="004F1D23">
        <w:rPr>
          <w:rFonts w:ascii="Times" w:hAnsi="Times"/>
        </w:rPr>
        <w:t xml:space="preserve">, paragraph 44, which stated that there was nothing to prevent the use of right to reside tests in granting social benefits. </w:t>
      </w:r>
      <w:r w:rsidRPr="004F1D23">
        <w:rPr>
          <w:rFonts w:ascii="Times" w:hAnsi="Times"/>
        </w:rPr>
        <w:t xml:space="preserve">But this was not a standalone, catch-all principle in </w:t>
      </w:r>
      <w:r w:rsidRPr="004F1D23">
        <w:rPr>
          <w:rFonts w:ascii="Times" w:hAnsi="Times"/>
          <w:i/>
        </w:rPr>
        <w:t>Brey</w:t>
      </w:r>
      <w:r w:rsidRPr="004F1D23">
        <w:rPr>
          <w:rFonts w:ascii="Times" w:hAnsi="Times"/>
        </w:rPr>
        <w:t xml:space="preserve"> – the lawfulness of the right to reside was inextricably linked to the nature of the bene</w:t>
      </w:r>
      <w:r w:rsidR="004D7435" w:rsidRPr="004F1D23">
        <w:rPr>
          <w:rFonts w:ascii="Times" w:hAnsi="Times"/>
        </w:rPr>
        <w:t>fits. Those benefits had to be “</w:t>
      </w:r>
      <w:r w:rsidR="004D7435" w:rsidRPr="004F1D23">
        <w:rPr>
          <w:rFonts w:ascii="Times" w:eastAsia="Times New Roman" w:hAnsi="Times" w:cs="Arial"/>
        </w:rPr>
        <w:t>examined in the context”</w:t>
      </w:r>
      <w:r w:rsidR="004D7435" w:rsidRPr="004F1D23">
        <w:rPr>
          <w:rStyle w:val="FootnoteReference"/>
          <w:rFonts w:ascii="Times" w:eastAsia="Times New Roman" w:hAnsi="Times" w:cs="Arial"/>
        </w:rPr>
        <w:footnoteReference w:id="50"/>
      </w:r>
      <w:r w:rsidRPr="004F1D23">
        <w:rPr>
          <w:rFonts w:ascii="Times" w:eastAsia="Times New Roman" w:hAnsi="Times" w:cs="Arial"/>
        </w:rPr>
        <w:t xml:space="preserve"> of the purpose of the right to reside test; the right to reside test was a lawful means</w:t>
      </w:r>
      <w:r w:rsidR="004D7435" w:rsidRPr="004F1D23">
        <w:rPr>
          <w:rFonts w:ascii="Times" w:eastAsia="Times New Roman" w:hAnsi="Times" w:cs="Arial"/>
        </w:rPr>
        <w:t xml:space="preserve"> to avoid undue burdens on the “social assistance system”</w:t>
      </w:r>
      <w:r w:rsidRPr="004F1D23">
        <w:rPr>
          <w:rFonts w:ascii="Times" w:eastAsia="Times New Roman" w:hAnsi="Times" w:cs="Arial"/>
        </w:rPr>
        <w:t xml:space="preserve">. </w:t>
      </w:r>
    </w:p>
    <w:p w14:paraId="19F67266" w14:textId="77777777" w:rsidR="008478A7" w:rsidRPr="004F1D23" w:rsidRDefault="008478A7" w:rsidP="00914FAF">
      <w:pPr>
        <w:jc w:val="both"/>
        <w:rPr>
          <w:rFonts w:ascii="Times" w:eastAsia="Times New Roman" w:hAnsi="Times" w:cs="Arial"/>
        </w:rPr>
      </w:pPr>
    </w:p>
    <w:p w14:paraId="4B75849F" w14:textId="5309FAEA" w:rsidR="004D7435" w:rsidRPr="004F1D23" w:rsidRDefault="008478A7" w:rsidP="00914FAF">
      <w:pPr>
        <w:jc w:val="both"/>
        <w:rPr>
          <w:rFonts w:ascii="Times" w:eastAsia="Times New Roman" w:hAnsi="Times" w:cs="Arial"/>
        </w:rPr>
      </w:pPr>
      <w:r w:rsidRPr="004F1D23">
        <w:rPr>
          <w:rFonts w:ascii="Times" w:eastAsia="Times New Roman" w:hAnsi="Times" w:cs="Arial"/>
        </w:rPr>
        <w:t xml:space="preserve">Classification mattered, and was central to the applicability of paragraph 44. But in </w:t>
      </w:r>
      <w:r w:rsidRPr="004F1D23">
        <w:rPr>
          <w:rFonts w:ascii="Times" w:eastAsia="Times New Roman" w:hAnsi="Times" w:cs="Arial"/>
          <w:i/>
        </w:rPr>
        <w:t>Commission v UK</w:t>
      </w:r>
      <w:r w:rsidRPr="004F1D23">
        <w:rPr>
          <w:rFonts w:ascii="Times" w:eastAsia="Times New Roman" w:hAnsi="Times" w:cs="Arial"/>
        </w:rPr>
        <w:t xml:space="preserve"> the principle is extended to c</w:t>
      </w:r>
      <w:r w:rsidR="004D7435" w:rsidRPr="004F1D23">
        <w:rPr>
          <w:rFonts w:ascii="Times" w:eastAsia="Times New Roman" w:hAnsi="Times" w:cs="Arial"/>
        </w:rPr>
        <w:t xml:space="preserve">over benefits recognised to be </w:t>
      </w:r>
      <w:r w:rsidRPr="004F1D23">
        <w:rPr>
          <w:rFonts w:ascii="Times" w:eastAsia="Times New Roman" w:hAnsi="Times" w:cs="Arial"/>
        </w:rPr>
        <w:t>pure social security</w:t>
      </w:r>
      <w:r w:rsidR="007062E3" w:rsidRPr="004F1D23">
        <w:rPr>
          <w:rFonts w:ascii="Times" w:eastAsia="Times New Roman" w:hAnsi="Times" w:cs="Arial"/>
        </w:rPr>
        <w:t>. Here, it might have been helpful had the Court been explicit about whether it accepted the UK’s conten</w:t>
      </w:r>
      <w:r w:rsidR="004D7435" w:rsidRPr="004F1D23">
        <w:rPr>
          <w:rFonts w:ascii="Times" w:eastAsia="Times New Roman" w:hAnsi="Times" w:cs="Arial"/>
        </w:rPr>
        <w:t>tion that “</w:t>
      </w:r>
      <w:r w:rsidR="007062E3" w:rsidRPr="004F1D23">
        <w:rPr>
          <w:rFonts w:ascii="Times" w:eastAsia="Times New Roman" w:hAnsi="Times" w:cs="Arial"/>
        </w:rPr>
        <w:t>social benefits</w:t>
      </w:r>
      <w:r w:rsidR="004D7435" w:rsidRPr="004F1D23">
        <w:rPr>
          <w:rFonts w:ascii="Times" w:eastAsia="Times New Roman" w:hAnsi="Times" w:cs="Arial"/>
        </w:rPr>
        <w:t>”</w:t>
      </w:r>
      <w:r w:rsidR="007062E3" w:rsidRPr="004F1D23">
        <w:rPr>
          <w:rFonts w:ascii="Times" w:eastAsia="Times New Roman" w:hAnsi="Times" w:cs="Arial"/>
        </w:rPr>
        <w:t xml:space="preserve"> is a wide enough term to mean that the </w:t>
      </w:r>
      <w:r w:rsidR="007062E3" w:rsidRPr="004F1D23">
        <w:rPr>
          <w:rFonts w:ascii="Times" w:eastAsia="Times New Roman" w:hAnsi="Times" w:cs="Arial"/>
          <w:i/>
        </w:rPr>
        <w:t xml:space="preserve">Brey </w:t>
      </w:r>
      <w:r w:rsidR="007062E3" w:rsidRPr="004F1D23">
        <w:rPr>
          <w:rFonts w:ascii="Times" w:eastAsia="Times New Roman" w:hAnsi="Times" w:cs="Arial"/>
        </w:rPr>
        <w:t>principle applies to social security too</w:t>
      </w:r>
      <w:r w:rsidR="004D7435" w:rsidRPr="004F1D23">
        <w:rPr>
          <w:rFonts w:ascii="Times" w:eastAsia="Times New Roman" w:hAnsi="Times" w:cs="Arial"/>
        </w:rPr>
        <w:t xml:space="preserve">. The Advocate General argued that it was extended by omission – that there was </w:t>
      </w:r>
      <w:r w:rsidR="001C459F" w:rsidRPr="004F1D23">
        <w:rPr>
          <w:rFonts w:ascii="Times" w:eastAsia="Times New Roman" w:hAnsi="Times" w:cs="Arial"/>
        </w:rPr>
        <w:t>“</w:t>
      </w:r>
      <w:r w:rsidR="004D7435" w:rsidRPr="004F1D23">
        <w:rPr>
          <w:rFonts w:ascii="Times" w:eastAsia="Times New Roman" w:hAnsi="Times" w:cs="Times New Roman"/>
          <w:shd w:val="clear" w:color="auto" w:fill="FFFFFF"/>
        </w:rPr>
        <w:t>nothing in those judgments to indicate that such findings apply exclusively to the social assistance benefits… a</w:t>
      </w:r>
      <w:r w:rsidR="001C459F" w:rsidRPr="004F1D23">
        <w:rPr>
          <w:rFonts w:ascii="Times" w:eastAsia="Times New Roman" w:hAnsi="Times" w:cs="Times New Roman"/>
          <w:shd w:val="clear" w:color="auto" w:fill="FFFFFF"/>
        </w:rPr>
        <w:t>nd not to other social benefits”</w:t>
      </w:r>
      <w:r w:rsidR="004D7435" w:rsidRPr="004F1D23">
        <w:rPr>
          <w:rFonts w:ascii="Times" w:eastAsia="Times New Roman" w:hAnsi="Times" w:cs="Times New Roman"/>
          <w:shd w:val="clear" w:color="auto" w:fill="FFFFFF"/>
        </w:rPr>
        <w:t>.</w:t>
      </w:r>
      <w:r w:rsidR="001C459F" w:rsidRPr="004F1D23">
        <w:rPr>
          <w:rStyle w:val="FootnoteReference"/>
          <w:rFonts w:ascii="Times" w:eastAsia="Times New Roman" w:hAnsi="Times" w:cs="Times New Roman"/>
          <w:shd w:val="clear" w:color="auto" w:fill="FFFFFF"/>
        </w:rPr>
        <w:footnoteReference w:id="51"/>
      </w:r>
      <w:r w:rsidR="004D7435" w:rsidRPr="004F1D23">
        <w:rPr>
          <w:rFonts w:ascii="Times" w:eastAsia="Times New Roman" w:hAnsi="Times" w:cs="Times New Roman"/>
          <w:shd w:val="clear" w:color="auto" w:fill="FFFFFF"/>
        </w:rPr>
        <w:t xml:space="preserve"> It is odd to suggest that the Court should spell out the material ma</w:t>
      </w:r>
      <w:r w:rsidR="00926808" w:rsidRPr="004F1D23">
        <w:rPr>
          <w:rFonts w:ascii="Times" w:eastAsia="Times New Roman" w:hAnsi="Times" w:cs="Times New Roman"/>
          <w:shd w:val="clear" w:color="auto" w:fill="FFFFFF"/>
        </w:rPr>
        <w:t xml:space="preserve">tters on which it is </w:t>
      </w:r>
      <w:r w:rsidR="00926808" w:rsidRPr="004F1D23">
        <w:rPr>
          <w:rFonts w:ascii="Times" w:eastAsia="Times New Roman" w:hAnsi="Times" w:cs="Times New Roman"/>
          <w:i/>
          <w:shd w:val="clear" w:color="auto" w:fill="FFFFFF"/>
        </w:rPr>
        <w:t>not</w:t>
      </w:r>
      <w:r w:rsidR="00926808" w:rsidRPr="004F1D23">
        <w:rPr>
          <w:rFonts w:ascii="Times" w:eastAsia="Times New Roman" w:hAnsi="Times" w:cs="Times New Roman"/>
          <w:shd w:val="clear" w:color="auto" w:fill="FFFFFF"/>
        </w:rPr>
        <w:t xml:space="preserve"> ruling, and to read into its choice not to do so an </w:t>
      </w:r>
      <w:r w:rsidR="004D7435" w:rsidRPr="004F1D23">
        <w:rPr>
          <w:rFonts w:ascii="Times" w:eastAsia="Times New Roman" w:hAnsi="Times" w:cs="Times New Roman"/>
          <w:shd w:val="clear" w:color="auto" w:fill="FFFFFF"/>
        </w:rPr>
        <w:t xml:space="preserve">extension of a principle </w:t>
      </w:r>
      <w:r w:rsidR="00926808" w:rsidRPr="004F1D23">
        <w:rPr>
          <w:rFonts w:ascii="Times" w:eastAsia="Times New Roman" w:hAnsi="Times" w:cs="Times New Roman"/>
          <w:shd w:val="clear" w:color="auto" w:fill="FFFFFF"/>
        </w:rPr>
        <w:t xml:space="preserve">from one piece of legislation to another. </w:t>
      </w:r>
      <w:r w:rsidR="004D7435" w:rsidRPr="004F1D23">
        <w:rPr>
          <w:rFonts w:ascii="Times" w:eastAsia="Times New Roman" w:hAnsi="Times" w:cs="Times New Roman"/>
          <w:shd w:val="clear" w:color="auto" w:fill="FFFFFF"/>
        </w:rPr>
        <w:t xml:space="preserve">And when </w:t>
      </w:r>
      <w:r w:rsidR="00926808" w:rsidRPr="004F1D23">
        <w:rPr>
          <w:rFonts w:ascii="Times" w:eastAsia="Times New Roman" w:hAnsi="Times" w:cs="Times New Roman"/>
          <w:shd w:val="clear" w:color="auto" w:fill="FFFFFF"/>
        </w:rPr>
        <w:t>that reading conflicts with</w:t>
      </w:r>
      <w:r w:rsidR="004D7435" w:rsidRPr="004F1D23">
        <w:rPr>
          <w:rFonts w:ascii="Times" w:eastAsia="Times New Roman" w:hAnsi="Times" w:cs="Times New Roman"/>
          <w:shd w:val="clear" w:color="auto" w:fill="FFFFFF"/>
        </w:rPr>
        <w:t xml:space="preserve"> a host of legal provisions – Articles 2, 4 and 11(3)(e) of Regulation 883/2004 for starters, then reliance upon not only on a single paragraph in a judgment, but on something the Court did not say in that paragraph, suddenly seems a very shaky basis</w:t>
      </w:r>
      <w:r w:rsidR="00926808" w:rsidRPr="004F1D23">
        <w:rPr>
          <w:rFonts w:ascii="Times" w:eastAsia="Times New Roman" w:hAnsi="Times" w:cs="Times New Roman"/>
          <w:shd w:val="clear" w:color="auto" w:fill="FFFFFF"/>
        </w:rPr>
        <w:t xml:space="preserve"> for the findings that follow</w:t>
      </w:r>
      <w:r w:rsidR="004D7435" w:rsidRPr="004F1D23">
        <w:rPr>
          <w:rFonts w:ascii="Times" w:eastAsia="Times New Roman" w:hAnsi="Times" w:cs="Times New Roman"/>
          <w:shd w:val="clear" w:color="auto" w:fill="FFFFFF"/>
        </w:rPr>
        <w:t>.</w:t>
      </w:r>
    </w:p>
    <w:p w14:paraId="44CEFC3E" w14:textId="77777777" w:rsidR="00926808" w:rsidRPr="004F1D23" w:rsidRDefault="00926808" w:rsidP="00914FAF">
      <w:pPr>
        <w:jc w:val="both"/>
        <w:rPr>
          <w:rFonts w:ascii="Times" w:eastAsia="Times New Roman" w:hAnsi="Times" w:cs="Arial"/>
        </w:rPr>
      </w:pPr>
    </w:p>
    <w:p w14:paraId="4C9D2A6D" w14:textId="2DD4A810" w:rsidR="007062E3" w:rsidRPr="004F1D23" w:rsidRDefault="00926808" w:rsidP="00914FAF">
      <w:pPr>
        <w:jc w:val="both"/>
        <w:rPr>
          <w:rFonts w:ascii="Times" w:eastAsia="Times New Roman" w:hAnsi="Times" w:cs="Times New Roman"/>
        </w:rPr>
      </w:pPr>
      <w:r w:rsidRPr="004F1D23">
        <w:rPr>
          <w:rFonts w:ascii="Times" w:eastAsia="Times New Roman" w:hAnsi="Times" w:cs="Arial"/>
        </w:rPr>
        <w:t xml:space="preserve">The Court </w:t>
      </w:r>
      <w:r w:rsidR="00DB2799" w:rsidRPr="004F1D23">
        <w:rPr>
          <w:rFonts w:ascii="Times" w:eastAsia="Times New Roman" w:hAnsi="Times" w:cs="Arial"/>
        </w:rPr>
        <w:t>appears to accept the extension</w:t>
      </w:r>
      <w:r w:rsidRPr="004F1D23">
        <w:rPr>
          <w:rFonts w:ascii="Times" w:eastAsia="Times New Roman" w:hAnsi="Times" w:cs="Arial"/>
        </w:rPr>
        <w:t xml:space="preserve"> without </w:t>
      </w:r>
      <w:r w:rsidR="00F36C68" w:rsidRPr="004F1D23">
        <w:rPr>
          <w:rFonts w:ascii="Times" w:eastAsia="Times New Roman" w:hAnsi="Times" w:cs="Arial"/>
        </w:rPr>
        <w:t>stati</w:t>
      </w:r>
      <w:r w:rsidRPr="004F1D23">
        <w:rPr>
          <w:rFonts w:ascii="Times" w:eastAsia="Times New Roman" w:hAnsi="Times" w:cs="Arial"/>
        </w:rPr>
        <w:t xml:space="preserve">ng that it is doing so, or without giving any reason for reading such an extension into </w:t>
      </w:r>
      <w:r w:rsidRPr="004F1D23">
        <w:rPr>
          <w:rFonts w:ascii="Times" w:eastAsia="Times New Roman" w:hAnsi="Times" w:cs="Arial"/>
          <w:i/>
        </w:rPr>
        <w:t>Brey</w:t>
      </w:r>
      <w:r w:rsidRPr="004F1D23">
        <w:rPr>
          <w:rFonts w:ascii="Times" w:eastAsia="Times New Roman" w:hAnsi="Times" w:cs="Arial"/>
        </w:rPr>
        <w:t xml:space="preserve">. It reports, but does not analyse, </w:t>
      </w:r>
      <w:r w:rsidR="00EE667D" w:rsidRPr="004F1D23">
        <w:rPr>
          <w:rFonts w:ascii="Times" w:eastAsia="Times New Roman" w:hAnsi="Times" w:cs="Arial"/>
        </w:rPr>
        <w:t xml:space="preserve">the </w:t>
      </w:r>
      <w:r w:rsidR="007062E3" w:rsidRPr="004F1D23">
        <w:rPr>
          <w:rFonts w:ascii="Times" w:eastAsia="Times New Roman" w:hAnsi="Times" w:cs="Arial"/>
        </w:rPr>
        <w:t>UK</w:t>
      </w:r>
      <w:r w:rsidRPr="004F1D23">
        <w:rPr>
          <w:rFonts w:ascii="Times" w:eastAsia="Times New Roman" w:hAnsi="Times" w:cs="Arial"/>
        </w:rPr>
        <w:t>’s submission</w:t>
      </w:r>
      <w:r w:rsidR="001C459F" w:rsidRPr="004F1D23">
        <w:rPr>
          <w:rFonts w:ascii="Times" w:eastAsia="Times New Roman" w:hAnsi="Times" w:cs="Arial"/>
        </w:rPr>
        <w:t xml:space="preserve"> that the benefits in question “</w:t>
      </w:r>
      <w:r w:rsidR="007062E3" w:rsidRPr="004F1D23">
        <w:rPr>
          <w:rFonts w:ascii="Times" w:eastAsia="Times New Roman" w:hAnsi="Times" w:cs="Arial"/>
        </w:rPr>
        <w:t>display in any event some chara</w:t>
      </w:r>
      <w:r w:rsidR="001C459F" w:rsidRPr="004F1D23">
        <w:rPr>
          <w:rFonts w:ascii="Times" w:eastAsia="Times New Roman" w:hAnsi="Times" w:cs="Arial"/>
        </w:rPr>
        <w:t>cteristics of social assistance”</w:t>
      </w:r>
      <w:r w:rsidR="001C459F" w:rsidRPr="004F1D23">
        <w:rPr>
          <w:rStyle w:val="FootnoteReference"/>
          <w:rFonts w:ascii="Times" w:eastAsia="Times New Roman" w:hAnsi="Times" w:cs="Arial"/>
        </w:rPr>
        <w:footnoteReference w:id="52"/>
      </w:r>
      <w:r w:rsidR="007062E3" w:rsidRPr="004F1D23">
        <w:rPr>
          <w:rFonts w:ascii="Times" w:eastAsia="Times New Roman" w:hAnsi="Times" w:cs="Arial"/>
        </w:rPr>
        <w:t xml:space="preserve"> and that </w:t>
      </w:r>
      <w:r w:rsidR="001C459F" w:rsidRPr="004F1D23">
        <w:rPr>
          <w:rFonts w:ascii="Times" w:eastAsia="Times New Roman" w:hAnsi="Times" w:cs="Arial"/>
        </w:rPr>
        <w:t>“</w:t>
      </w:r>
      <w:r w:rsidR="007062E3" w:rsidRPr="004F1D23">
        <w:rPr>
          <w:rFonts w:ascii="Times" w:eastAsia="Times New Roman" w:hAnsi="Times" w:cs="Arial"/>
          <w:shd w:val="clear" w:color="auto" w:fill="FFFFFF"/>
        </w:rPr>
        <w:t xml:space="preserve">it is difficult to conceive that Member States are not required to pay special non-contributory cash benefits… but </w:t>
      </w:r>
      <w:r w:rsidR="00F36C68" w:rsidRPr="004F1D23">
        <w:rPr>
          <w:rFonts w:ascii="Times" w:eastAsia="Times New Roman" w:hAnsi="Times" w:cs="Arial"/>
          <w:shd w:val="clear" w:color="auto" w:fill="FFFFFF"/>
        </w:rPr>
        <w:t>…[are]</w:t>
      </w:r>
      <w:r w:rsidR="007062E3" w:rsidRPr="004F1D23">
        <w:rPr>
          <w:rFonts w:ascii="Times" w:eastAsia="Times New Roman" w:hAnsi="Times" w:cs="Arial"/>
          <w:shd w:val="clear" w:color="auto" w:fill="FFFFFF"/>
        </w:rPr>
        <w:t xml:space="preserve"> required to pay them benefits such a</w:t>
      </w:r>
      <w:r w:rsidR="001C459F" w:rsidRPr="004F1D23">
        <w:rPr>
          <w:rFonts w:ascii="Times" w:eastAsia="Times New Roman" w:hAnsi="Times" w:cs="Arial"/>
          <w:shd w:val="clear" w:color="auto" w:fill="FFFFFF"/>
        </w:rPr>
        <w:t>s the social benefits at issue.”</w:t>
      </w:r>
      <w:r w:rsidR="001C459F" w:rsidRPr="004F1D23">
        <w:rPr>
          <w:rStyle w:val="FootnoteReference"/>
          <w:rFonts w:ascii="Times" w:eastAsia="Times New Roman" w:hAnsi="Times" w:cs="Arial"/>
          <w:shd w:val="clear" w:color="auto" w:fill="FFFFFF"/>
        </w:rPr>
        <w:footnoteReference w:id="53"/>
      </w:r>
      <w:r w:rsidR="007062E3" w:rsidRPr="004F1D23">
        <w:rPr>
          <w:rFonts w:ascii="Times" w:eastAsia="Times New Roman" w:hAnsi="Times" w:cs="Arial"/>
          <w:shd w:val="clear" w:color="auto" w:fill="FFFFFF"/>
        </w:rPr>
        <w:t xml:space="preserve"> </w:t>
      </w:r>
      <w:r w:rsidR="00F36C68" w:rsidRPr="004F1D23">
        <w:rPr>
          <w:rFonts w:ascii="Times" w:eastAsia="Times New Roman" w:hAnsi="Times" w:cs="Arial"/>
          <w:shd w:val="clear" w:color="auto" w:fill="FFFFFF"/>
        </w:rPr>
        <w:t xml:space="preserve">These </w:t>
      </w:r>
      <w:r w:rsidR="007062E3" w:rsidRPr="004F1D23">
        <w:rPr>
          <w:rFonts w:ascii="Times" w:eastAsia="Times New Roman" w:hAnsi="Times" w:cs="Arial"/>
          <w:shd w:val="clear" w:color="auto" w:fill="FFFFFF"/>
        </w:rPr>
        <w:t>statements</w:t>
      </w:r>
      <w:r w:rsidR="00DB2799" w:rsidRPr="004F1D23">
        <w:rPr>
          <w:rFonts w:ascii="Times" w:eastAsia="Times New Roman" w:hAnsi="Times" w:cs="Arial"/>
          <w:shd w:val="clear" w:color="auto" w:fill="FFFFFF"/>
        </w:rPr>
        <w:t>, reported without comment</w:t>
      </w:r>
      <w:r w:rsidR="00F36C68" w:rsidRPr="004F1D23">
        <w:rPr>
          <w:rFonts w:ascii="Times" w:eastAsia="Times New Roman" w:hAnsi="Times" w:cs="Arial"/>
          <w:shd w:val="clear" w:color="auto" w:fill="FFFFFF"/>
        </w:rPr>
        <w:t>,</w:t>
      </w:r>
      <w:r w:rsidR="007062E3" w:rsidRPr="004F1D23">
        <w:rPr>
          <w:rFonts w:ascii="Times" w:eastAsia="Times New Roman" w:hAnsi="Times" w:cs="Arial"/>
          <w:shd w:val="clear" w:color="auto" w:fill="FFFFFF"/>
        </w:rPr>
        <w:t xml:space="preserve"> bolster the</w:t>
      </w:r>
      <w:r w:rsidR="001C459F" w:rsidRPr="004F1D23">
        <w:rPr>
          <w:rFonts w:ascii="Times" w:eastAsia="Times New Roman" w:hAnsi="Times" w:cs="Arial"/>
          <w:shd w:val="clear" w:color="auto" w:fill="FFFFFF"/>
        </w:rPr>
        <w:t xml:space="preserve"> approach that amalgamates all “social benefits”</w:t>
      </w:r>
      <w:r w:rsidR="007062E3" w:rsidRPr="004F1D23">
        <w:rPr>
          <w:rFonts w:ascii="Times" w:eastAsia="Times New Roman" w:hAnsi="Times" w:cs="Arial"/>
          <w:shd w:val="clear" w:color="auto" w:fill="FFFFFF"/>
        </w:rPr>
        <w:t xml:space="preserve"> and breaks down the distinction between </w:t>
      </w:r>
      <w:r w:rsidR="00DB2799" w:rsidRPr="004F1D23">
        <w:rPr>
          <w:rFonts w:ascii="Times" w:eastAsia="Times New Roman" w:hAnsi="Times" w:cs="Arial"/>
          <w:shd w:val="clear" w:color="auto" w:fill="FFFFFF"/>
        </w:rPr>
        <w:t xml:space="preserve">legislation adopted to deal with </w:t>
      </w:r>
      <w:r w:rsidR="007062E3" w:rsidRPr="004F1D23">
        <w:rPr>
          <w:rFonts w:ascii="Times" w:eastAsia="Times New Roman" w:hAnsi="Times" w:cs="Arial"/>
          <w:shd w:val="clear" w:color="auto" w:fill="FFFFFF"/>
        </w:rPr>
        <w:t xml:space="preserve">social assistance and </w:t>
      </w:r>
      <w:r w:rsidR="00DB2799" w:rsidRPr="004F1D23">
        <w:rPr>
          <w:rFonts w:ascii="Times" w:eastAsia="Times New Roman" w:hAnsi="Times" w:cs="Arial"/>
          <w:shd w:val="clear" w:color="auto" w:fill="FFFFFF"/>
        </w:rPr>
        <w:t>legislation adopted to deal with social security</w:t>
      </w:r>
      <w:r w:rsidR="007062E3" w:rsidRPr="004F1D23">
        <w:rPr>
          <w:rFonts w:ascii="Times" w:eastAsia="Times New Roman" w:hAnsi="Times" w:cs="Arial"/>
          <w:shd w:val="clear" w:color="auto" w:fill="FFFFFF"/>
        </w:rPr>
        <w:t xml:space="preserve">. </w:t>
      </w:r>
    </w:p>
    <w:p w14:paraId="01D29940" w14:textId="79C8762D" w:rsidR="008478A7" w:rsidRPr="004F1D23" w:rsidRDefault="007062E3" w:rsidP="00914FAF">
      <w:pPr>
        <w:jc w:val="both"/>
        <w:rPr>
          <w:rFonts w:ascii="Times" w:eastAsia="Times New Roman" w:hAnsi="Times" w:cs="Arial"/>
        </w:rPr>
      </w:pPr>
      <w:r w:rsidRPr="004F1D23">
        <w:rPr>
          <w:rFonts w:ascii="Times" w:eastAsia="Times New Roman" w:hAnsi="Times" w:cs="Arial"/>
        </w:rPr>
        <w:t xml:space="preserve">  </w:t>
      </w:r>
    </w:p>
    <w:p w14:paraId="3CE46596" w14:textId="7D3C7965" w:rsidR="00486EC4" w:rsidRPr="004F1D23" w:rsidRDefault="00053676" w:rsidP="00914FAF">
      <w:pPr>
        <w:jc w:val="both"/>
        <w:rPr>
          <w:rFonts w:ascii="Times" w:eastAsia="Times New Roman" w:hAnsi="Times" w:cs="Times New Roman"/>
          <w:shd w:val="clear" w:color="auto" w:fill="FFFFFF"/>
        </w:rPr>
      </w:pPr>
      <w:r w:rsidRPr="004F1D23">
        <w:rPr>
          <w:rFonts w:ascii="Times" w:hAnsi="Times"/>
        </w:rPr>
        <w:t xml:space="preserve">The </w:t>
      </w:r>
      <w:r w:rsidRPr="004F1D23">
        <w:rPr>
          <w:rFonts w:ascii="Times" w:hAnsi="Times"/>
          <w:i/>
        </w:rPr>
        <w:t xml:space="preserve">Brey </w:t>
      </w:r>
      <w:r w:rsidRPr="004F1D23">
        <w:rPr>
          <w:rFonts w:ascii="Times" w:hAnsi="Times"/>
        </w:rPr>
        <w:t>paragraph 44 formulation is elevated to a higher principle of exclusion</w:t>
      </w:r>
      <w:r w:rsidR="00626DC5" w:rsidRPr="004F1D23">
        <w:rPr>
          <w:rFonts w:ascii="Times" w:hAnsi="Times"/>
        </w:rPr>
        <w:t xml:space="preserve">, which displaces the wording of Regulation 883/2004. </w:t>
      </w:r>
      <w:r w:rsidR="00486EC4" w:rsidRPr="004F1D23">
        <w:rPr>
          <w:rFonts w:ascii="Times" w:hAnsi="Times"/>
        </w:rPr>
        <w:t>The Advocate General’s claim</w:t>
      </w:r>
      <w:r w:rsidR="00213686" w:rsidRPr="004F1D23">
        <w:rPr>
          <w:rStyle w:val="FootnoteReference"/>
          <w:rFonts w:ascii="Times" w:hAnsi="Times"/>
        </w:rPr>
        <w:footnoteReference w:id="54"/>
      </w:r>
      <w:r w:rsidR="00486EC4" w:rsidRPr="004F1D23">
        <w:rPr>
          <w:rFonts w:ascii="Times" w:hAnsi="Times"/>
        </w:rPr>
        <w:t xml:space="preserve"> that the Commission’s case had been “weakening over the course of the dispute” because the UK </w:t>
      </w:r>
      <w:r w:rsidR="00213686" w:rsidRPr="004F1D23">
        <w:rPr>
          <w:rFonts w:ascii="Times" w:hAnsi="Times"/>
        </w:rPr>
        <w:t>had</w:t>
      </w:r>
      <w:r w:rsidR="00486EC4" w:rsidRPr="004F1D23">
        <w:rPr>
          <w:rFonts w:ascii="Times" w:hAnsi="Times"/>
        </w:rPr>
        <w:t xml:space="preserve"> present</w:t>
      </w:r>
      <w:r w:rsidR="00213686" w:rsidRPr="004F1D23">
        <w:rPr>
          <w:rFonts w:ascii="Times" w:hAnsi="Times"/>
        </w:rPr>
        <w:t>ed</w:t>
      </w:r>
      <w:r w:rsidR="00486EC4" w:rsidRPr="004F1D23">
        <w:rPr>
          <w:rFonts w:ascii="Times" w:hAnsi="Times"/>
        </w:rPr>
        <w:t xml:space="preserve"> the right to reside test as a separate test to habitual residence, so n</w:t>
      </w:r>
      <w:r w:rsidR="00213686" w:rsidRPr="004F1D23">
        <w:rPr>
          <w:rFonts w:ascii="Times" w:hAnsi="Times"/>
        </w:rPr>
        <w:t xml:space="preserve">ot incorporating an extra condition into </w:t>
      </w:r>
      <w:r w:rsidR="00486EC4" w:rsidRPr="004F1D23">
        <w:rPr>
          <w:rFonts w:ascii="Times" w:hAnsi="Times"/>
        </w:rPr>
        <w:t>Regulation 883/2004, is unconvincing</w:t>
      </w:r>
      <w:r w:rsidR="00F36C68" w:rsidRPr="004F1D23">
        <w:rPr>
          <w:rFonts w:ascii="Times" w:hAnsi="Times"/>
        </w:rPr>
        <w:t>. Fir</w:t>
      </w:r>
      <w:r w:rsidR="00486EC4" w:rsidRPr="004F1D23">
        <w:rPr>
          <w:rFonts w:ascii="Times" w:hAnsi="Times"/>
        </w:rPr>
        <w:t>stly</w:t>
      </w:r>
      <w:r w:rsidR="00F36C68" w:rsidRPr="004F1D23">
        <w:rPr>
          <w:rFonts w:ascii="Times" w:hAnsi="Times"/>
        </w:rPr>
        <w:t>,</w:t>
      </w:r>
      <w:r w:rsidR="00486EC4" w:rsidRPr="004F1D23">
        <w:rPr>
          <w:rFonts w:ascii="Times" w:hAnsi="Times"/>
        </w:rPr>
        <w:t xml:space="preserve"> the UK does bind the tests together, and secondly, whether they amount to one or two tests is irrelevant, if the effect of introducing an extra condition is the same. The right to reside test is part and parcel of the habitual residence test, since the regulations provide that </w:t>
      </w:r>
      <w:r w:rsidR="00486EC4" w:rsidRPr="004F1D23">
        <w:rPr>
          <w:rFonts w:ascii="Times" w:eastAsia="Times New Roman" w:hAnsi="Times" w:cs="Times New Roman"/>
          <w:shd w:val="clear" w:color="auto" w:fill="FFFFFF"/>
        </w:rPr>
        <w:t>a claimant cannot be habitually resident unless she has the right to reside in the Common Travel Area.</w:t>
      </w:r>
      <w:r w:rsidR="00486EC4" w:rsidRPr="004F1D23">
        <w:rPr>
          <w:rStyle w:val="FootnoteReference"/>
          <w:rFonts w:ascii="Times" w:eastAsia="Times New Roman" w:hAnsi="Times" w:cs="Times New Roman"/>
          <w:shd w:val="clear" w:color="auto" w:fill="FFFFFF"/>
        </w:rPr>
        <w:footnoteReference w:id="55"/>
      </w:r>
      <w:r w:rsidR="00486EC4" w:rsidRPr="004F1D23">
        <w:rPr>
          <w:rFonts w:ascii="Times" w:eastAsia="Times New Roman" w:hAnsi="Times" w:cs="Times New Roman"/>
          <w:shd w:val="clear" w:color="auto" w:fill="FFFFFF"/>
        </w:rPr>
        <w:t xml:space="preserve"> The regulations applied to Child Benefit and Child Tax Credit do not </w:t>
      </w:r>
      <w:r w:rsidR="00213686" w:rsidRPr="004F1D23">
        <w:rPr>
          <w:rFonts w:ascii="Times" w:eastAsia="Times New Roman" w:hAnsi="Times" w:cs="Times New Roman"/>
          <w:shd w:val="clear" w:color="auto" w:fill="FFFFFF"/>
        </w:rPr>
        <w:t>use the term “habitually resident”</w:t>
      </w:r>
      <w:r w:rsidR="00486EC4" w:rsidRPr="004F1D23">
        <w:rPr>
          <w:rFonts w:ascii="Times" w:eastAsia="Times New Roman" w:hAnsi="Times" w:cs="Times New Roman"/>
          <w:shd w:val="clear" w:color="auto" w:fill="FFFFFF"/>
        </w:rPr>
        <w:t>, but claimants must be treated as being in the UK. And to be treated as being in the UK, you have to have a right to reside.</w:t>
      </w:r>
      <w:r w:rsidR="00486EC4" w:rsidRPr="004F1D23">
        <w:rPr>
          <w:rStyle w:val="FootnoteReference"/>
          <w:rFonts w:ascii="Times" w:eastAsia="Times New Roman" w:hAnsi="Times" w:cs="Times New Roman"/>
          <w:shd w:val="clear" w:color="auto" w:fill="FFFFFF"/>
        </w:rPr>
        <w:footnoteReference w:id="56"/>
      </w:r>
      <w:r w:rsidR="00486EC4" w:rsidRPr="004F1D23">
        <w:rPr>
          <w:rFonts w:ascii="Times" w:eastAsia="Times New Roman" w:hAnsi="Times" w:cs="Times New Roman"/>
          <w:shd w:val="clear" w:color="auto" w:fill="FFFFFF"/>
        </w:rPr>
        <w:t xml:space="preserve"> In any event, one test or two, the effect is the same, and the Advocate General implicitly accepts that the right to reside test </w:t>
      </w:r>
      <w:r w:rsidR="00486EC4" w:rsidRPr="004F1D23">
        <w:rPr>
          <w:rFonts w:ascii="Times" w:eastAsia="Times New Roman" w:hAnsi="Times" w:cs="Times New Roman"/>
          <w:i/>
          <w:shd w:val="clear" w:color="auto" w:fill="FFFFFF"/>
        </w:rPr>
        <w:t>does</w:t>
      </w:r>
      <w:r w:rsidR="00486EC4" w:rsidRPr="004F1D23">
        <w:rPr>
          <w:rFonts w:ascii="Times" w:eastAsia="Times New Roman" w:hAnsi="Times" w:cs="Times New Roman"/>
          <w:shd w:val="clear" w:color="auto" w:fill="FFFFFF"/>
        </w:rPr>
        <w:t xml:space="preserve"> create a condition governing access to Regulation 883/2004, when he suggests that it determines who is entitled to protection from discrimination under Article 4.</w:t>
      </w:r>
      <w:r w:rsidR="00486EC4" w:rsidRPr="004F1D23">
        <w:rPr>
          <w:rStyle w:val="FootnoteReference"/>
          <w:rFonts w:ascii="Times" w:eastAsia="Times New Roman" w:hAnsi="Times" w:cs="Times New Roman"/>
          <w:shd w:val="clear" w:color="auto" w:fill="FFFFFF"/>
        </w:rPr>
        <w:footnoteReference w:id="57"/>
      </w:r>
    </w:p>
    <w:p w14:paraId="211A0316" w14:textId="77777777" w:rsidR="00486EC4" w:rsidRPr="004F1D23" w:rsidRDefault="00486EC4" w:rsidP="00914FAF">
      <w:pPr>
        <w:jc w:val="both"/>
        <w:rPr>
          <w:rFonts w:ascii="Times" w:hAnsi="Times"/>
        </w:rPr>
      </w:pPr>
    </w:p>
    <w:p w14:paraId="47A1A30D" w14:textId="26AEC739" w:rsidR="00626DC5" w:rsidRPr="004F1D23" w:rsidRDefault="00626DC5" w:rsidP="00914FAF">
      <w:pPr>
        <w:jc w:val="both"/>
        <w:rPr>
          <w:rFonts w:ascii="Times" w:eastAsia="Times New Roman" w:hAnsi="Times" w:cs="Arial"/>
          <w:shd w:val="clear" w:color="auto" w:fill="FFFFFF"/>
        </w:rPr>
      </w:pPr>
      <w:r w:rsidRPr="004F1D23">
        <w:rPr>
          <w:rFonts w:ascii="Times" w:hAnsi="Times"/>
        </w:rPr>
        <w:t xml:space="preserve">The Commission argued that the right to reside test applied to social security benefits effectively obviated Article 11(3)(e), according to </w:t>
      </w:r>
      <w:r w:rsidR="00EF0309" w:rsidRPr="004F1D23">
        <w:rPr>
          <w:rFonts w:ascii="Times" w:hAnsi="Times"/>
        </w:rPr>
        <w:t xml:space="preserve">which </w:t>
      </w:r>
      <w:r w:rsidRPr="004F1D23">
        <w:rPr>
          <w:rFonts w:ascii="Times" w:hAnsi="Times"/>
        </w:rPr>
        <w:t>persons to whom other provision</w:t>
      </w:r>
      <w:r w:rsidR="001C459F" w:rsidRPr="004F1D23">
        <w:rPr>
          <w:rFonts w:ascii="Times" w:hAnsi="Times"/>
        </w:rPr>
        <w:t>s of that article do not apply “</w:t>
      </w:r>
      <w:r w:rsidRPr="004F1D23">
        <w:rPr>
          <w:rFonts w:ascii="Times" w:eastAsia="Times New Roman" w:hAnsi="Times" w:cs="Times New Roman"/>
        </w:rPr>
        <w:t>shall be subject to the legislation of the Member State of residen</w:t>
      </w:r>
      <w:r w:rsidR="001C459F" w:rsidRPr="004F1D23">
        <w:rPr>
          <w:rFonts w:ascii="Times" w:eastAsia="Times New Roman" w:hAnsi="Times" w:cs="Times New Roman"/>
        </w:rPr>
        <w:t>ce”</w:t>
      </w:r>
      <w:r w:rsidRPr="004F1D23">
        <w:rPr>
          <w:rFonts w:ascii="Times" w:eastAsia="Times New Roman" w:hAnsi="Times" w:cs="Times New Roman"/>
        </w:rPr>
        <w:t>.  The Court responded that as the regulation is a coordinating, not harmonising, instrument, it does not lay down conditions creating a right to social security benefits; the right to reside test should be treated as any other substantive eligibility condition, which is the prerogative of M</w:t>
      </w:r>
      <w:r w:rsidR="00213686" w:rsidRPr="004F1D23">
        <w:rPr>
          <w:rFonts w:ascii="Times" w:eastAsia="Times New Roman" w:hAnsi="Times" w:cs="Times New Roman"/>
        </w:rPr>
        <w:t>ember States. Thus 11(3)(e) is “not distorted”</w:t>
      </w:r>
      <w:r w:rsidR="00213686" w:rsidRPr="004F1D23">
        <w:rPr>
          <w:rStyle w:val="FootnoteReference"/>
          <w:rFonts w:ascii="Times" w:eastAsia="Times New Roman" w:hAnsi="Times" w:cs="Times New Roman"/>
        </w:rPr>
        <w:footnoteReference w:id="58"/>
      </w:r>
      <w:r w:rsidRPr="004F1D23">
        <w:rPr>
          <w:rFonts w:ascii="Times" w:eastAsia="Times New Roman" w:hAnsi="Times" w:cs="Times New Roman"/>
        </w:rPr>
        <w:t xml:space="preserve"> because it does not create eligibility. The right to resid</w:t>
      </w:r>
      <w:r w:rsidR="00213686" w:rsidRPr="004F1D23">
        <w:rPr>
          <w:rFonts w:ascii="Times" w:eastAsia="Times New Roman" w:hAnsi="Times" w:cs="Times New Roman"/>
        </w:rPr>
        <w:t>e test “</w:t>
      </w:r>
      <w:r w:rsidRPr="004F1D23">
        <w:rPr>
          <w:rFonts w:ascii="Times" w:eastAsia="Times New Roman" w:hAnsi="Times" w:cs="Arial"/>
          <w:shd w:val="clear" w:color="auto" w:fill="FFFFFF"/>
        </w:rPr>
        <w:t>forms an integral part of the conditions for grant o</w:t>
      </w:r>
      <w:r w:rsidR="00213686" w:rsidRPr="004F1D23">
        <w:rPr>
          <w:rFonts w:ascii="Times" w:eastAsia="Times New Roman" w:hAnsi="Times" w:cs="Arial"/>
          <w:shd w:val="clear" w:color="auto" w:fill="FFFFFF"/>
        </w:rPr>
        <w:t>f the social benefits at issue”,</w:t>
      </w:r>
      <w:r w:rsidR="00213686" w:rsidRPr="004F1D23">
        <w:rPr>
          <w:rStyle w:val="FootnoteReference"/>
          <w:rFonts w:ascii="Times" w:eastAsia="Times New Roman" w:hAnsi="Times" w:cs="Arial"/>
          <w:shd w:val="clear" w:color="auto" w:fill="FFFFFF"/>
        </w:rPr>
        <w:footnoteReference w:id="59"/>
      </w:r>
      <w:r w:rsidRPr="004F1D23">
        <w:rPr>
          <w:rFonts w:ascii="Times" w:eastAsia="Times New Roman" w:hAnsi="Times" w:cs="Arial"/>
          <w:shd w:val="clear" w:color="auto" w:fill="FFFFFF"/>
        </w:rPr>
        <w:t xml:space="preserve"> and anyone failing it </w:t>
      </w:r>
      <w:r w:rsidR="00213686" w:rsidRPr="004F1D23">
        <w:rPr>
          <w:rFonts w:ascii="Times" w:eastAsia="Times New Roman" w:hAnsi="Times" w:cs="Arial"/>
          <w:shd w:val="clear" w:color="auto" w:fill="FFFFFF"/>
        </w:rPr>
        <w:t>is in the same position as any “</w:t>
      </w:r>
      <w:r w:rsidRPr="004F1D23">
        <w:rPr>
          <w:rFonts w:ascii="Times" w:eastAsia="Times New Roman" w:hAnsi="Times" w:cs="Arial"/>
          <w:shd w:val="clear" w:color="auto" w:fill="FFFFFF"/>
        </w:rPr>
        <w:t>claimant who does not satisfy for any other reason one of the conditions that must be met in order to be e</w:t>
      </w:r>
      <w:r w:rsidR="00213686" w:rsidRPr="004F1D23">
        <w:rPr>
          <w:rFonts w:ascii="Times" w:eastAsia="Times New Roman" w:hAnsi="Times" w:cs="Arial"/>
          <w:shd w:val="clear" w:color="auto" w:fill="FFFFFF"/>
        </w:rPr>
        <w:t>ligible for a family benefit”</w:t>
      </w:r>
      <w:r w:rsidRPr="004F1D23">
        <w:rPr>
          <w:rFonts w:ascii="Times" w:eastAsia="Times New Roman" w:hAnsi="Times" w:cs="Arial"/>
          <w:shd w:val="clear" w:color="auto" w:fill="FFFFFF"/>
        </w:rPr>
        <w:t>.</w:t>
      </w:r>
      <w:r w:rsidR="00213686" w:rsidRPr="004F1D23">
        <w:rPr>
          <w:rStyle w:val="FootnoteReference"/>
          <w:rFonts w:ascii="Times" w:eastAsia="Times New Roman" w:hAnsi="Times" w:cs="Arial"/>
          <w:shd w:val="clear" w:color="auto" w:fill="FFFFFF"/>
        </w:rPr>
        <w:footnoteReference w:id="60"/>
      </w:r>
      <w:r w:rsidRPr="004F1D23">
        <w:rPr>
          <w:rFonts w:ascii="Times" w:eastAsia="Times New Roman" w:hAnsi="Times" w:cs="Arial"/>
          <w:shd w:val="clear" w:color="auto" w:fill="FFFFFF"/>
        </w:rPr>
        <w:t xml:space="preserve"> </w:t>
      </w:r>
    </w:p>
    <w:p w14:paraId="522FDB4D" w14:textId="77777777" w:rsidR="00626DC5" w:rsidRPr="004F1D23" w:rsidRDefault="00626DC5" w:rsidP="00914FAF">
      <w:pPr>
        <w:jc w:val="both"/>
        <w:rPr>
          <w:rFonts w:ascii="Times" w:eastAsia="Times New Roman" w:hAnsi="Times" w:cs="Arial"/>
          <w:shd w:val="clear" w:color="auto" w:fill="FFFFFF"/>
        </w:rPr>
      </w:pPr>
    </w:p>
    <w:p w14:paraId="1C0B5D3F" w14:textId="0428532F" w:rsidR="00F2671F" w:rsidRPr="004F1D23" w:rsidRDefault="00FC5662" w:rsidP="00914FAF">
      <w:pPr>
        <w:jc w:val="both"/>
        <w:rPr>
          <w:rFonts w:ascii="Times" w:eastAsia="Times New Roman" w:hAnsi="Times" w:cs="Arial"/>
        </w:rPr>
      </w:pPr>
      <w:r w:rsidRPr="004F1D23">
        <w:rPr>
          <w:rFonts w:ascii="Times" w:eastAsia="Times New Roman" w:hAnsi="Times" w:cs="Arial"/>
          <w:shd w:val="clear" w:color="auto" w:fill="FFFFFF"/>
        </w:rPr>
        <w:t xml:space="preserve">But this reasoning is peculiar; </w:t>
      </w:r>
      <w:r w:rsidR="00F36C68" w:rsidRPr="004F1D23">
        <w:rPr>
          <w:rFonts w:ascii="Times" w:eastAsia="Times New Roman" w:hAnsi="Times" w:cs="Arial"/>
          <w:shd w:val="clear" w:color="auto" w:fill="FFFFFF"/>
        </w:rPr>
        <w:t>calling</w:t>
      </w:r>
      <w:r w:rsidR="008138D2" w:rsidRPr="004F1D23">
        <w:rPr>
          <w:rFonts w:ascii="Times" w:eastAsia="Times New Roman" w:hAnsi="Times" w:cs="Arial"/>
          <w:shd w:val="clear" w:color="auto" w:fill="FFFFFF"/>
        </w:rPr>
        <w:t xml:space="preserve"> </w:t>
      </w:r>
      <w:r w:rsidR="00F36C68" w:rsidRPr="004F1D23">
        <w:rPr>
          <w:rFonts w:ascii="Times" w:eastAsia="Times New Roman" w:hAnsi="Times" w:cs="Arial"/>
          <w:shd w:val="clear" w:color="auto" w:fill="FFFFFF"/>
        </w:rPr>
        <w:t>a condition</w:t>
      </w:r>
      <w:r w:rsidR="008138D2" w:rsidRPr="004F1D23">
        <w:rPr>
          <w:rFonts w:ascii="Times" w:eastAsia="Times New Roman" w:hAnsi="Times" w:cs="Arial"/>
          <w:shd w:val="clear" w:color="auto" w:fill="FFFFFF"/>
        </w:rPr>
        <w:t xml:space="preserve"> “integral”</w:t>
      </w:r>
      <w:r w:rsidRPr="004F1D23">
        <w:rPr>
          <w:rFonts w:ascii="Times" w:eastAsia="Times New Roman" w:hAnsi="Times" w:cs="Arial"/>
          <w:shd w:val="clear" w:color="auto" w:fill="FFFFFF"/>
        </w:rPr>
        <w:t xml:space="preserve"> does not mean it </w:t>
      </w:r>
      <w:r w:rsidR="008138D2" w:rsidRPr="004F1D23">
        <w:rPr>
          <w:rFonts w:ascii="Times" w:eastAsia="Times New Roman" w:hAnsi="Times" w:cs="Arial"/>
          <w:shd w:val="clear" w:color="auto" w:fill="FFFFFF"/>
        </w:rPr>
        <w:t>cannot</w:t>
      </w:r>
      <w:r w:rsidRPr="004F1D23">
        <w:rPr>
          <w:rFonts w:ascii="Times" w:eastAsia="Times New Roman" w:hAnsi="Times" w:cs="Arial"/>
          <w:shd w:val="clear" w:color="auto" w:fill="FFFFFF"/>
        </w:rPr>
        <w:t xml:space="preserve"> </w:t>
      </w:r>
      <w:r w:rsidR="00F36C68" w:rsidRPr="004F1D23">
        <w:rPr>
          <w:rFonts w:ascii="Times" w:eastAsia="Times New Roman" w:hAnsi="Times" w:cs="Arial"/>
          <w:shd w:val="clear" w:color="auto" w:fill="FFFFFF"/>
        </w:rPr>
        <w:t>conflict with the Regulation; a</w:t>
      </w:r>
      <w:r w:rsidRPr="004F1D23">
        <w:rPr>
          <w:rFonts w:ascii="Times" w:eastAsia="Times New Roman" w:hAnsi="Times" w:cs="Arial"/>
          <w:shd w:val="clear" w:color="auto" w:fill="FFFFFF"/>
        </w:rPr>
        <w:t xml:space="preserve"> Member State might say the same thing about an actual residence condition, for instance, which would contravene the principle of exportation of Regulation 883/2004. </w:t>
      </w:r>
      <w:r w:rsidR="00F2671F" w:rsidRPr="004F1D23">
        <w:rPr>
          <w:rFonts w:ascii="Times" w:eastAsia="Times New Roman" w:hAnsi="Times" w:cs="Arial"/>
          <w:shd w:val="clear" w:color="auto" w:fill="FFFFFF"/>
        </w:rPr>
        <w:t xml:space="preserve">Or it might even say it about nationality. </w:t>
      </w:r>
      <w:r w:rsidRPr="004F1D23">
        <w:rPr>
          <w:rFonts w:ascii="Times" w:eastAsia="Times New Roman" w:hAnsi="Times" w:cs="Arial"/>
          <w:shd w:val="clear" w:color="auto" w:fill="FFFFFF"/>
        </w:rPr>
        <w:t xml:space="preserve">There are some sorts of conditions </w:t>
      </w:r>
      <w:r w:rsidR="00F2671F" w:rsidRPr="004F1D23">
        <w:rPr>
          <w:rFonts w:ascii="Times" w:eastAsia="Times New Roman" w:hAnsi="Times" w:cs="Arial"/>
          <w:shd w:val="clear" w:color="auto" w:fill="FFFFFF"/>
        </w:rPr>
        <w:t>that</w:t>
      </w:r>
      <w:r w:rsidR="008138D2" w:rsidRPr="004F1D23">
        <w:rPr>
          <w:rFonts w:ascii="Times" w:eastAsia="Times New Roman" w:hAnsi="Times" w:cs="Arial"/>
          <w:shd w:val="clear" w:color="auto" w:fill="FFFFFF"/>
        </w:rPr>
        <w:t xml:space="preserve"> are permissible</w:t>
      </w:r>
      <w:r w:rsidRPr="004F1D23">
        <w:rPr>
          <w:rFonts w:ascii="Times" w:eastAsia="Times New Roman" w:hAnsi="Times" w:cs="Arial"/>
          <w:shd w:val="clear" w:color="auto" w:fill="FFFFFF"/>
        </w:rPr>
        <w:t xml:space="preserve">, and there are some </w:t>
      </w:r>
      <w:r w:rsidR="00F2671F" w:rsidRPr="004F1D23">
        <w:rPr>
          <w:rFonts w:ascii="Times" w:eastAsia="Times New Roman" w:hAnsi="Times" w:cs="Arial"/>
          <w:shd w:val="clear" w:color="auto" w:fill="FFFFFF"/>
        </w:rPr>
        <w:t>that</w:t>
      </w:r>
      <w:r w:rsidRPr="004F1D23">
        <w:rPr>
          <w:rFonts w:ascii="Times" w:eastAsia="Times New Roman" w:hAnsi="Times" w:cs="Arial"/>
          <w:shd w:val="clear" w:color="auto" w:fill="FFFFFF"/>
        </w:rPr>
        <w:t xml:space="preserve"> are not. Describing the Regulation as not laying down conditions </w:t>
      </w:r>
      <w:r w:rsidR="00F2671F" w:rsidRPr="004F1D23">
        <w:rPr>
          <w:rFonts w:ascii="Times" w:eastAsia="Times New Roman" w:hAnsi="Times" w:cs="Arial"/>
          <w:shd w:val="clear" w:color="auto" w:fill="FFFFFF"/>
        </w:rPr>
        <w:t xml:space="preserve">is misleading – it </w:t>
      </w:r>
      <w:r w:rsidR="00F2671F" w:rsidRPr="004F1D23">
        <w:rPr>
          <w:rFonts w:ascii="Times" w:eastAsia="Times New Roman" w:hAnsi="Times" w:cs="Arial"/>
          <w:i/>
          <w:shd w:val="clear" w:color="auto" w:fill="FFFFFF"/>
        </w:rPr>
        <w:t>does</w:t>
      </w:r>
      <w:r w:rsidR="00F2671F" w:rsidRPr="004F1D23">
        <w:rPr>
          <w:rFonts w:ascii="Times" w:eastAsia="Times New Roman" w:hAnsi="Times" w:cs="Arial"/>
          <w:shd w:val="clear" w:color="auto" w:fill="FFFFFF"/>
        </w:rPr>
        <w:t xml:space="preserve"> give guidance on what conditions might be unlawful - </w:t>
      </w:r>
      <w:r w:rsidR="00F2671F" w:rsidRPr="004F1D23">
        <w:rPr>
          <w:rFonts w:ascii="Times" w:eastAsia="Times New Roman" w:hAnsi="Times" w:cs="Arial"/>
        </w:rPr>
        <w:t>stating that place of residence cannot be a deciding factor in many cases;</w:t>
      </w:r>
      <w:r w:rsidR="008138D2" w:rsidRPr="004F1D23">
        <w:rPr>
          <w:rStyle w:val="FootnoteReference"/>
          <w:rFonts w:ascii="Times" w:eastAsia="Times New Roman" w:hAnsi="Times" w:cs="Arial"/>
        </w:rPr>
        <w:footnoteReference w:id="61"/>
      </w:r>
      <w:r w:rsidR="00F2671F" w:rsidRPr="004F1D23">
        <w:rPr>
          <w:rFonts w:ascii="Times" w:eastAsia="Times New Roman" w:hAnsi="Times" w:cs="Arial"/>
        </w:rPr>
        <w:t xml:space="preserve"> stating that conditions as to insurance must be capable of being discharged by insurance in other Member States,</w:t>
      </w:r>
      <w:r w:rsidR="008138D2" w:rsidRPr="004F1D23">
        <w:rPr>
          <w:rStyle w:val="FootnoteReference"/>
          <w:rFonts w:ascii="Times" w:eastAsia="Times New Roman" w:hAnsi="Times" w:cs="Arial"/>
        </w:rPr>
        <w:footnoteReference w:id="62"/>
      </w:r>
      <w:r w:rsidR="00F2671F" w:rsidRPr="004F1D23">
        <w:rPr>
          <w:rFonts w:ascii="Times" w:eastAsia="Times New Roman" w:hAnsi="Times" w:cs="Arial"/>
        </w:rPr>
        <w:t xml:space="preserve"> and so on; and providing a principle of equal treatment for persons subject to the Regulation in Article 4. </w:t>
      </w:r>
    </w:p>
    <w:p w14:paraId="08DBE5E6" w14:textId="77777777" w:rsidR="00F2671F" w:rsidRPr="004F1D23" w:rsidRDefault="00F2671F" w:rsidP="00914FAF">
      <w:pPr>
        <w:jc w:val="both"/>
        <w:rPr>
          <w:rFonts w:ascii="Times" w:eastAsia="Times New Roman" w:hAnsi="Times" w:cs="Arial"/>
        </w:rPr>
      </w:pPr>
    </w:p>
    <w:p w14:paraId="375A67CE" w14:textId="434F7034" w:rsidR="00900809" w:rsidRPr="004F1D23" w:rsidRDefault="00F2671F" w:rsidP="00914FAF">
      <w:pPr>
        <w:jc w:val="both"/>
        <w:rPr>
          <w:rFonts w:ascii="Times" w:hAnsi="Times" w:cs="Times New Roman"/>
          <w:lang w:val="en-US"/>
        </w:rPr>
      </w:pPr>
      <w:r w:rsidRPr="004F1D23">
        <w:rPr>
          <w:rFonts w:ascii="Times" w:eastAsia="Times New Roman" w:hAnsi="Times" w:cs="Arial"/>
        </w:rPr>
        <w:t xml:space="preserve">While Article 11(3)(e) is about allocation of competence, it can only really mean anything </w:t>
      </w:r>
      <w:r w:rsidR="008138D2" w:rsidRPr="004F1D23">
        <w:rPr>
          <w:rFonts w:ascii="Times" w:eastAsia="Times New Roman" w:hAnsi="Times" w:cs="Arial"/>
        </w:rPr>
        <w:t>in light of</w:t>
      </w:r>
      <w:r w:rsidRPr="004F1D23">
        <w:rPr>
          <w:rFonts w:ascii="Times" w:eastAsia="Times New Roman" w:hAnsi="Times" w:cs="Arial"/>
        </w:rPr>
        <w:t xml:space="preserve"> the personal scope of Regulation 883/2004, which is del</w:t>
      </w:r>
      <w:r w:rsidR="007E0B7B" w:rsidRPr="004F1D23">
        <w:rPr>
          <w:rFonts w:ascii="Times" w:eastAsia="Times New Roman" w:hAnsi="Times" w:cs="Arial"/>
        </w:rPr>
        <w:t>iberat</w:t>
      </w:r>
      <w:r w:rsidRPr="004F1D23">
        <w:rPr>
          <w:rFonts w:ascii="Times" w:eastAsia="Times New Roman" w:hAnsi="Times" w:cs="Arial"/>
        </w:rPr>
        <w:t xml:space="preserve">ely broader than that of </w:t>
      </w:r>
      <w:r w:rsidR="00AA5A6B" w:rsidRPr="004F1D23">
        <w:rPr>
          <w:rFonts w:ascii="Times" w:eastAsia="Times New Roman" w:hAnsi="Times" w:cs="Arial"/>
        </w:rPr>
        <w:t xml:space="preserve">Article 7 in </w:t>
      </w:r>
      <w:r w:rsidRPr="004F1D23">
        <w:rPr>
          <w:rFonts w:ascii="Times" w:eastAsia="Times New Roman" w:hAnsi="Times" w:cs="Arial"/>
        </w:rPr>
        <w:t>Directive 2004/38.</w:t>
      </w:r>
      <w:r w:rsidR="00AA5A6B" w:rsidRPr="004F1D23">
        <w:rPr>
          <w:rFonts w:ascii="Times" w:eastAsia="Times New Roman" w:hAnsi="Times" w:cs="Arial"/>
        </w:rPr>
        <w:t xml:space="preserve"> </w:t>
      </w:r>
      <w:r w:rsidR="00AA5A6B" w:rsidRPr="004F1D23">
        <w:rPr>
          <w:rFonts w:ascii="Times" w:hAnsi="Times" w:cs="Times New Roman"/>
          <w:lang w:val="en-US"/>
        </w:rPr>
        <w:t xml:space="preserve">The ECJ </w:t>
      </w:r>
      <w:r w:rsidR="008138D2" w:rsidRPr="004F1D23">
        <w:rPr>
          <w:rFonts w:ascii="Times" w:hAnsi="Times" w:cs="Times New Roman"/>
          <w:lang w:val="en-US"/>
        </w:rPr>
        <w:t xml:space="preserve">had already </w:t>
      </w:r>
      <w:r w:rsidR="00AA5A6B" w:rsidRPr="004F1D23">
        <w:rPr>
          <w:rFonts w:ascii="Times" w:hAnsi="Times" w:cs="Times New Roman"/>
          <w:lang w:val="en-US"/>
        </w:rPr>
        <w:t xml:space="preserve">made clear </w:t>
      </w:r>
      <w:r w:rsidR="00EF0309" w:rsidRPr="004F1D23">
        <w:rPr>
          <w:rFonts w:ascii="Times" w:hAnsi="Times" w:cs="Times New Roman"/>
          <w:lang w:val="en-US"/>
        </w:rPr>
        <w:t xml:space="preserve">in </w:t>
      </w:r>
      <w:r w:rsidR="00EF0309" w:rsidRPr="004F1D23">
        <w:rPr>
          <w:rFonts w:ascii="Times" w:hAnsi="Times" w:cs="Times New Roman"/>
          <w:i/>
          <w:lang w:val="en-US"/>
        </w:rPr>
        <w:t>Dodl and Oberhollenzer</w:t>
      </w:r>
      <w:r w:rsidR="00EF0309" w:rsidRPr="004F1D23">
        <w:rPr>
          <w:rStyle w:val="FootnoteReference"/>
          <w:rFonts w:ascii="Times" w:hAnsi="Times" w:cs="Times New Roman"/>
          <w:lang w:val="en-US"/>
        </w:rPr>
        <w:footnoteReference w:id="63"/>
      </w:r>
      <w:r w:rsidR="00EF0309" w:rsidRPr="004F1D23">
        <w:rPr>
          <w:rFonts w:ascii="Times" w:hAnsi="Times" w:cs="Times New Roman"/>
          <w:lang w:val="en-US"/>
        </w:rPr>
        <w:t xml:space="preserve"> </w:t>
      </w:r>
      <w:r w:rsidR="00AA5A6B" w:rsidRPr="004F1D23">
        <w:rPr>
          <w:rFonts w:ascii="Times" w:hAnsi="Times" w:cs="Times New Roman"/>
          <w:lang w:val="en-US"/>
        </w:rPr>
        <w:t>that the Regulation’s predecessor, Regulation 1408/71, was not confined</w:t>
      </w:r>
      <w:r w:rsidR="00EF0309" w:rsidRPr="004F1D23">
        <w:rPr>
          <w:rFonts w:ascii="Times" w:hAnsi="Times" w:cs="Times New Roman"/>
          <w:lang w:val="en-US"/>
        </w:rPr>
        <w:t xml:space="preserve"> to</w:t>
      </w:r>
      <w:r w:rsidR="00AA5A6B" w:rsidRPr="004F1D23">
        <w:rPr>
          <w:rFonts w:ascii="Times" w:hAnsi="Times" w:cs="Times New Roman"/>
          <w:lang w:val="en-US"/>
        </w:rPr>
        <w:t xml:space="preserve"> people in employment</w:t>
      </w:r>
      <w:r w:rsidR="00EF0309" w:rsidRPr="004F1D23">
        <w:rPr>
          <w:rFonts w:ascii="Times" w:hAnsi="Times" w:cs="Times New Roman"/>
          <w:lang w:val="en-US"/>
        </w:rPr>
        <w:t>.</w:t>
      </w:r>
      <w:r w:rsidR="00AA5A6B" w:rsidRPr="004F1D23">
        <w:rPr>
          <w:rFonts w:ascii="Times" w:hAnsi="Times" w:cs="Times New Roman"/>
          <w:lang w:val="en-US"/>
        </w:rPr>
        <w:t xml:space="preserve"> Regulation 883/2004, far from narrowing the scope of Regulation 1408/71, was enacted to “replace and extend” that instrument.</w:t>
      </w:r>
      <w:r w:rsidR="008138D2" w:rsidRPr="004F1D23">
        <w:rPr>
          <w:rStyle w:val="FootnoteReference"/>
          <w:rFonts w:ascii="Times" w:hAnsi="Times" w:cs="Times New Roman"/>
          <w:lang w:val="en-US"/>
        </w:rPr>
        <w:footnoteReference w:id="64"/>
      </w:r>
      <w:r w:rsidR="00AA5A6B" w:rsidRPr="004F1D23">
        <w:rPr>
          <w:rFonts w:ascii="Times" w:hAnsi="Times" w:cs="Times New Roman"/>
          <w:lang w:val="en-US"/>
        </w:rPr>
        <w:t xml:space="preserve"> Recital </w:t>
      </w:r>
      <w:r w:rsidR="008138D2" w:rsidRPr="004F1D23">
        <w:rPr>
          <w:rFonts w:ascii="Times" w:hAnsi="Times" w:cs="Times New Roman"/>
          <w:lang w:val="en-US"/>
        </w:rPr>
        <w:t>(</w:t>
      </w:r>
      <w:r w:rsidR="00AA5A6B" w:rsidRPr="004F1D23">
        <w:rPr>
          <w:rFonts w:ascii="Times" w:hAnsi="Times" w:cs="Times New Roman"/>
          <w:lang w:val="en-US"/>
        </w:rPr>
        <w:t>42</w:t>
      </w:r>
      <w:r w:rsidR="008138D2" w:rsidRPr="004F1D23">
        <w:rPr>
          <w:rFonts w:ascii="Times" w:hAnsi="Times" w:cs="Times New Roman"/>
          <w:lang w:val="en-US"/>
        </w:rPr>
        <w:t>)</w:t>
      </w:r>
      <w:r w:rsidR="00AA5A6B" w:rsidRPr="004F1D23">
        <w:rPr>
          <w:rFonts w:ascii="Times" w:hAnsi="Times" w:cs="Times New Roman"/>
          <w:lang w:val="en-US"/>
        </w:rPr>
        <w:t xml:space="preserve"> </w:t>
      </w:r>
      <w:r w:rsidR="008138D2" w:rsidRPr="004F1D23">
        <w:rPr>
          <w:rFonts w:ascii="Times" w:hAnsi="Times" w:cs="Times New Roman"/>
          <w:lang w:val="en-US"/>
        </w:rPr>
        <w:t xml:space="preserve">of Regulation 883/2004 </w:t>
      </w:r>
      <w:r w:rsidR="00AA5A6B" w:rsidRPr="004F1D23">
        <w:rPr>
          <w:rFonts w:ascii="Times" w:hAnsi="Times" w:cs="Times New Roman"/>
          <w:lang w:val="en-US"/>
        </w:rPr>
        <w:t xml:space="preserve">refers explicitly to </w:t>
      </w:r>
      <w:r w:rsidR="008138D2" w:rsidRPr="004F1D23">
        <w:rPr>
          <w:rFonts w:ascii="Times" w:hAnsi="Times" w:cs="Times New Roman"/>
          <w:lang w:val="en-US"/>
        </w:rPr>
        <w:t>“</w:t>
      </w:r>
      <w:r w:rsidR="00FC3A94" w:rsidRPr="004F1D23">
        <w:rPr>
          <w:rFonts w:ascii="Times" w:eastAsia="Times New Roman" w:hAnsi="Times" w:cs="Times New Roman"/>
        </w:rPr>
        <w:t>the extension of this Regulation</w:t>
      </w:r>
      <w:r w:rsidR="008138D2" w:rsidRPr="004F1D23">
        <w:rPr>
          <w:rFonts w:ascii="Times" w:eastAsia="Times New Roman" w:hAnsi="Times" w:cs="Times New Roman"/>
        </w:rPr>
        <w:t xml:space="preserve"> to all European Union citizens”</w:t>
      </w:r>
      <w:r w:rsidR="00FC3A94" w:rsidRPr="004F1D23">
        <w:rPr>
          <w:rFonts w:ascii="Times" w:eastAsia="Times New Roman" w:hAnsi="Times" w:cs="Times New Roman"/>
        </w:rPr>
        <w:t xml:space="preserve"> and </w:t>
      </w:r>
      <w:r w:rsidR="008138D2" w:rsidRPr="004F1D23">
        <w:rPr>
          <w:rFonts w:ascii="Times" w:hAnsi="Times" w:cs="Times New Roman"/>
          <w:lang w:val="en-US"/>
        </w:rPr>
        <w:t>“</w:t>
      </w:r>
      <w:r w:rsidR="00AA5A6B" w:rsidRPr="004F1D23">
        <w:rPr>
          <w:rFonts w:ascii="Times" w:hAnsi="Times" w:cs="Times New Roman"/>
          <w:lang w:val="en-US"/>
        </w:rPr>
        <w:t>the new category of non-active persons, to whom th</w:t>
      </w:r>
      <w:r w:rsidR="008138D2" w:rsidRPr="004F1D23">
        <w:rPr>
          <w:rFonts w:ascii="Times" w:hAnsi="Times" w:cs="Times New Roman"/>
          <w:lang w:val="en-US"/>
        </w:rPr>
        <w:t>is Regulation has been extended”</w:t>
      </w:r>
      <w:r w:rsidR="00AA5A6B" w:rsidRPr="004F1D23">
        <w:rPr>
          <w:rFonts w:ascii="Times" w:hAnsi="Times" w:cs="Times New Roman"/>
          <w:lang w:val="en-US"/>
        </w:rPr>
        <w:t xml:space="preserve">. </w:t>
      </w:r>
      <w:r w:rsidR="00900809" w:rsidRPr="004F1D23">
        <w:rPr>
          <w:rFonts w:ascii="Times" w:hAnsi="Times" w:cs="Times New Roman"/>
          <w:lang w:val="en-US"/>
        </w:rPr>
        <w:t xml:space="preserve">Article 2 spells out the broad personal scope: </w:t>
      </w:r>
    </w:p>
    <w:p w14:paraId="02A3C971" w14:textId="77777777" w:rsidR="00900809" w:rsidRPr="004F1D23" w:rsidRDefault="00900809" w:rsidP="00914FAF">
      <w:pPr>
        <w:jc w:val="both"/>
        <w:rPr>
          <w:rFonts w:ascii="Times" w:hAnsi="Times" w:cs="Times New Roman"/>
          <w:lang w:val="en-US"/>
        </w:rPr>
      </w:pPr>
    </w:p>
    <w:p w14:paraId="677D40DE" w14:textId="29639667" w:rsidR="00900809" w:rsidRPr="004F1D23" w:rsidRDefault="008138D2" w:rsidP="00914FAF">
      <w:pPr>
        <w:jc w:val="both"/>
        <w:rPr>
          <w:rFonts w:ascii="Times" w:hAnsi="Times" w:cs="Times New Roman"/>
          <w:lang w:val="en-US"/>
        </w:rPr>
      </w:pPr>
      <w:r w:rsidRPr="004F1D23">
        <w:rPr>
          <w:rFonts w:ascii="Times" w:hAnsi="Times" w:cs="Times New Roman"/>
          <w:lang w:val="en-US"/>
        </w:rPr>
        <w:t>“</w:t>
      </w:r>
      <w:r w:rsidR="00900809" w:rsidRPr="004F1D23">
        <w:rPr>
          <w:rFonts w:ascii="Times" w:hAnsi="Times" w:cs="Times New Roman"/>
          <w:i/>
          <w:lang w:val="en-US"/>
        </w:rPr>
        <w:t>This Regulation shall apply to nationals of a Member State, stateless persons and refugees residing in a Member State who are or have been subject to the legislation of one or more Member States, as well as to the members of their families and to their survivors</w:t>
      </w:r>
      <w:r w:rsidRPr="004F1D23">
        <w:rPr>
          <w:rFonts w:ascii="Times" w:hAnsi="Times" w:cs="Times New Roman"/>
          <w:i/>
          <w:lang w:val="en-US"/>
        </w:rPr>
        <w:t>”</w:t>
      </w:r>
      <w:r w:rsidR="00900809" w:rsidRPr="004F1D23">
        <w:rPr>
          <w:rFonts w:ascii="Times" w:hAnsi="Times" w:cs="Times New Roman"/>
          <w:lang w:val="en-US"/>
        </w:rPr>
        <w:t xml:space="preserve">. </w:t>
      </w:r>
    </w:p>
    <w:p w14:paraId="50DCA5B0" w14:textId="77777777" w:rsidR="00900809" w:rsidRPr="004F1D23" w:rsidRDefault="00900809" w:rsidP="00914FAF">
      <w:pPr>
        <w:jc w:val="both"/>
        <w:rPr>
          <w:rFonts w:ascii="Times" w:hAnsi="Times" w:cs="Times New Roman"/>
          <w:lang w:val="en-US"/>
        </w:rPr>
      </w:pPr>
    </w:p>
    <w:p w14:paraId="3EC704E4" w14:textId="131A8412" w:rsidR="00900809" w:rsidRPr="004F1D23" w:rsidRDefault="00C52ABC" w:rsidP="00914FAF">
      <w:pPr>
        <w:jc w:val="both"/>
        <w:rPr>
          <w:rFonts w:ascii="Times" w:eastAsia="Times New Roman" w:hAnsi="Times" w:cs="Times New Roman"/>
        </w:rPr>
      </w:pPr>
      <w:r w:rsidRPr="004F1D23">
        <w:rPr>
          <w:rFonts w:ascii="Times" w:hAnsi="Times" w:cs="Times New Roman"/>
          <w:lang w:val="en-US"/>
        </w:rPr>
        <w:t xml:space="preserve">Economic activity is relevant </w:t>
      </w:r>
      <w:r w:rsidR="000656AA" w:rsidRPr="004F1D23">
        <w:rPr>
          <w:rFonts w:ascii="Times" w:hAnsi="Times" w:cs="Times New Roman"/>
          <w:lang w:val="en-US"/>
        </w:rPr>
        <w:t xml:space="preserve">for determining </w:t>
      </w:r>
      <w:r w:rsidRPr="004F1D23">
        <w:rPr>
          <w:rFonts w:ascii="Times" w:hAnsi="Times" w:cs="Times New Roman"/>
          <w:lang w:val="en-US"/>
        </w:rPr>
        <w:t>competence – and it is open to a Member State to dispute competence where a Union citizen has or should have entitlement in another State due to</w:t>
      </w:r>
      <w:r w:rsidR="008138D2" w:rsidRPr="004F1D23">
        <w:rPr>
          <w:rFonts w:ascii="Times" w:hAnsi="Times" w:cs="Times New Roman"/>
          <w:lang w:val="en-US"/>
        </w:rPr>
        <w:t xml:space="preserve"> </w:t>
      </w:r>
      <w:r w:rsidRPr="004F1D23">
        <w:rPr>
          <w:rFonts w:ascii="Times" w:hAnsi="Times" w:cs="Times New Roman"/>
          <w:lang w:val="en-US"/>
        </w:rPr>
        <w:t>recent economic links. But once competence has been established, the competent State is bound to treat that person equally</w:t>
      </w:r>
      <w:r w:rsidR="000656AA" w:rsidRPr="004F1D23">
        <w:rPr>
          <w:rFonts w:ascii="Times" w:hAnsi="Times" w:cs="Times New Roman"/>
          <w:lang w:val="en-US"/>
        </w:rPr>
        <w:t xml:space="preserve"> with </w:t>
      </w:r>
      <w:r w:rsidR="00EF0309" w:rsidRPr="004F1D23">
        <w:rPr>
          <w:rFonts w:ascii="Times" w:hAnsi="Times" w:cs="Times New Roman"/>
          <w:lang w:val="en-US"/>
        </w:rPr>
        <w:t xml:space="preserve">its </w:t>
      </w:r>
      <w:r w:rsidR="000656AA" w:rsidRPr="004F1D23">
        <w:rPr>
          <w:rFonts w:ascii="Times" w:hAnsi="Times" w:cs="Times New Roman"/>
          <w:lang w:val="en-US"/>
        </w:rPr>
        <w:t xml:space="preserve">own nationals in respect of </w:t>
      </w:r>
      <w:r w:rsidR="000656AA" w:rsidRPr="004F1D23">
        <w:rPr>
          <w:rFonts w:ascii="Times" w:hAnsi="Times" w:cs="Times New Roman"/>
          <w:i/>
          <w:lang w:val="en-US"/>
        </w:rPr>
        <w:t>social security</w:t>
      </w:r>
      <w:r w:rsidR="000656AA" w:rsidRPr="004F1D23">
        <w:rPr>
          <w:rFonts w:ascii="Times" w:hAnsi="Times" w:cs="Times New Roman"/>
          <w:lang w:val="en-US"/>
        </w:rPr>
        <w:t xml:space="preserve"> claims</w:t>
      </w:r>
      <w:r w:rsidRPr="004F1D23">
        <w:rPr>
          <w:rFonts w:ascii="Times" w:eastAsia="Times New Roman" w:hAnsi="Times" w:cs="Times New Roman"/>
        </w:rPr>
        <w:t xml:space="preserve">. </w:t>
      </w:r>
      <w:r w:rsidR="00900809" w:rsidRPr="004F1D23">
        <w:rPr>
          <w:rFonts w:ascii="Times" w:eastAsia="Times New Roman" w:hAnsi="Times" w:cs="Times New Roman"/>
        </w:rPr>
        <w:t xml:space="preserve">Member States are not given free rein to set discriminatory criteria in their eligibility conditions; those conditions must take account of the non-discrimination provision in Article 4. And where the UK is competent, it is liable for payment of family </w:t>
      </w:r>
      <w:r w:rsidR="000656AA" w:rsidRPr="004F1D23">
        <w:rPr>
          <w:rFonts w:ascii="Times" w:eastAsia="Times New Roman" w:hAnsi="Times" w:cs="Times New Roman"/>
        </w:rPr>
        <w:t>benefits to those EU nationals “</w:t>
      </w:r>
      <w:r w:rsidR="00900809" w:rsidRPr="004F1D23">
        <w:rPr>
          <w:rFonts w:ascii="Times" w:eastAsia="Times New Roman" w:hAnsi="Times" w:cs="Times New Roman"/>
        </w:rPr>
        <w:t>sat</w:t>
      </w:r>
      <w:r w:rsidR="000656AA" w:rsidRPr="004F1D23">
        <w:rPr>
          <w:rFonts w:ascii="Times" w:eastAsia="Times New Roman" w:hAnsi="Times" w:cs="Times New Roman"/>
        </w:rPr>
        <w:t>isfying the conditions required”</w:t>
      </w:r>
      <w:r w:rsidR="00900809" w:rsidRPr="004F1D23">
        <w:rPr>
          <w:rFonts w:ascii="Times" w:eastAsia="Times New Roman" w:hAnsi="Times" w:cs="Times New Roman"/>
        </w:rPr>
        <w:t xml:space="preserve"> of UK nationals.</w:t>
      </w:r>
      <w:r w:rsidR="000656AA" w:rsidRPr="004F1D23">
        <w:rPr>
          <w:rStyle w:val="FootnoteReference"/>
          <w:rFonts w:ascii="Times" w:eastAsia="Times New Roman" w:hAnsi="Times" w:cs="Times New Roman"/>
        </w:rPr>
        <w:footnoteReference w:id="65"/>
      </w:r>
      <w:r w:rsidR="00900809" w:rsidRPr="004F1D23">
        <w:rPr>
          <w:rFonts w:ascii="Times" w:eastAsia="Times New Roman" w:hAnsi="Times" w:cs="Times New Roman"/>
        </w:rPr>
        <w:t xml:space="preserve"> The implementing Regulation 987/200</w:t>
      </w:r>
      <w:r w:rsidR="00DC3334" w:rsidRPr="004F1D23">
        <w:rPr>
          <w:rFonts w:ascii="Times" w:eastAsia="Times New Roman" w:hAnsi="Times" w:cs="Times New Roman"/>
        </w:rPr>
        <w:t>9</w:t>
      </w:r>
      <w:r w:rsidR="000656AA" w:rsidRPr="004F1D23">
        <w:rPr>
          <w:rStyle w:val="FootnoteReference"/>
          <w:rFonts w:ascii="Times" w:eastAsia="Times New Roman" w:hAnsi="Times" w:cs="Times New Roman"/>
        </w:rPr>
        <w:footnoteReference w:id="66"/>
      </w:r>
      <w:r w:rsidR="00900809" w:rsidRPr="004F1D23">
        <w:rPr>
          <w:rFonts w:ascii="Times" w:eastAsia="Times New Roman" w:hAnsi="Times" w:cs="Times New Roman"/>
        </w:rPr>
        <w:t xml:space="preserve"> explicitly links competence with liability for payment of benefits, d</w:t>
      </w:r>
      <w:r w:rsidR="000656AA" w:rsidRPr="004F1D23">
        <w:rPr>
          <w:rFonts w:ascii="Times" w:eastAsia="Times New Roman" w:hAnsi="Times" w:cs="Times New Roman"/>
        </w:rPr>
        <w:t>efining the competent state as “</w:t>
      </w:r>
      <w:r w:rsidR="00900809" w:rsidRPr="004F1D23">
        <w:rPr>
          <w:rFonts w:ascii="Times" w:eastAsia="Times New Roman" w:hAnsi="Times" w:cs="Times New Roman"/>
        </w:rPr>
        <w:t>the one whose legislation applies or which is liable for t</w:t>
      </w:r>
      <w:r w:rsidR="000656AA" w:rsidRPr="004F1D23">
        <w:rPr>
          <w:rFonts w:ascii="Times" w:eastAsia="Times New Roman" w:hAnsi="Times" w:cs="Times New Roman"/>
        </w:rPr>
        <w:t>he payment of certain benefits.”</w:t>
      </w:r>
      <w:r w:rsidR="00DC3334" w:rsidRPr="004F1D23">
        <w:rPr>
          <w:rStyle w:val="FootnoteReference"/>
          <w:rFonts w:ascii="Times" w:hAnsi="Times"/>
        </w:rPr>
        <w:t xml:space="preserve"> </w:t>
      </w:r>
      <w:r w:rsidR="00DC3334" w:rsidRPr="004F1D23">
        <w:rPr>
          <w:rStyle w:val="FootnoteReference"/>
          <w:rFonts w:ascii="Times" w:hAnsi="Times"/>
        </w:rPr>
        <w:footnoteReference w:id="67"/>
      </w:r>
    </w:p>
    <w:p w14:paraId="3599E3D5" w14:textId="77777777" w:rsidR="00FC3A94" w:rsidRPr="004F1D23" w:rsidRDefault="00FC3A94" w:rsidP="00914FAF">
      <w:pPr>
        <w:jc w:val="both"/>
        <w:rPr>
          <w:rFonts w:ascii="Times" w:hAnsi="Times" w:cs="Times New Roman"/>
          <w:lang w:val="en-US"/>
        </w:rPr>
      </w:pPr>
    </w:p>
    <w:p w14:paraId="0B30DFFA" w14:textId="59523868" w:rsidR="00F2671F" w:rsidRPr="004F1D23" w:rsidRDefault="00AA5A6B" w:rsidP="00914FAF">
      <w:pPr>
        <w:jc w:val="both"/>
        <w:rPr>
          <w:rFonts w:ascii="Times" w:hAnsi="Times"/>
        </w:rPr>
      </w:pPr>
      <w:r w:rsidRPr="004F1D23">
        <w:rPr>
          <w:rFonts w:ascii="Times" w:hAnsi="Times" w:cs="Times New Roman"/>
          <w:lang w:val="en-US"/>
        </w:rPr>
        <w:t>The Court’s approval of the application of a right to</w:t>
      </w:r>
      <w:r w:rsidR="000B5701" w:rsidRPr="004F1D23">
        <w:rPr>
          <w:rFonts w:ascii="Times" w:hAnsi="Times" w:cs="Times New Roman"/>
          <w:lang w:val="en-US"/>
        </w:rPr>
        <w:t xml:space="preserve"> reside test </w:t>
      </w:r>
      <w:r w:rsidR="00DC3334" w:rsidRPr="004F1D23">
        <w:rPr>
          <w:rFonts w:ascii="Times" w:hAnsi="Times" w:cs="Times New Roman"/>
          <w:lang w:val="en-US"/>
        </w:rPr>
        <w:t>transplants the limitations of A</w:t>
      </w:r>
      <w:r w:rsidRPr="004F1D23">
        <w:rPr>
          <w:rFonts w:ascii="Times" w:hAnsi="Times" w:cs="Times New Roman"/>
          <w:lang w:val="en-US"/>
        </w:rPr>
        <w:t xml:space="preserve">rticles 7 </w:t>
      </w:r>
      <w:r w:rsidR="00DC3334" w:rsidRPr="004F1D23">
        <w:rPr>
          <w:rFonts w:ascii="Times" w:hAnsi="Times" w:cs="Times New Roman"/>
          <w:lang w:val="en-US"/>
        </w:rPr>
        <w:t xml:space="preserve">and 24(2) of Directive 2004/38 </w:t>
      </w:r>
      <w:r w:rsidRPr="004F1D23">
        <w:rPr>
          <w:rFonts w:ascii="Times" w:hAnsi="Times" w:cs="Times New Roman"/>
          <w:lang w:val="en-US"/>
        </w:rPr>
        <w:t xml:space="preserve">into Regulation 883/2004. </w:t>
      </w:r>
      <w:r w:rsidR="007E0B7B" w:rsidRPr="004F1D23">
        <w:rPr>
          <w:rFonts w:ascii="Times" w:hAnsi="Times" w:cs="Times New Roman"/>
          <w:lang w:val="en-US"/>
        </w:rPr>
        <w:t>The Advocate General acknowledged that this effectively merge</w:t>
      </w:r>
      <w:r w:rsidR="00DC3334" w:rsidRPr="004F1D23">
        <w:rPr>
          <w:rFonts w:ascii="Times" w:hAnsi="Times" w:cs="Times New Roman"/>
          <w:lang w:val="en-US"/>
        </w:rPr>
        <w:t>d</w:t>
      </w:r>
      <w:r w:rsidR="007E0B7B" w:rsidRPr="004F1D23">
        <w:rPr>
          <w:rFonts w:ascii="Times" w:hAnsi="Times" w:cs="Times New Roman"/>
          <w:lang w:val="en-US"/>
        </w:rPr>
        <w:t xml:space="preserve"> the two instruments and argued that the</w:t>
      </w:r>
      <w:r w:rsidR="00DC3334" w:rsidRPr="004F1D23">
        <w:rPr>
          <w:rFonts w:ascii="Times" w:hAnsi="Times"/>
        </w:rPr>
        <w:t xml:space="preserve"> law should not exist in “</w:t>
      </w:r>
      <w:r w:rsidR="007E0B7B" w:rsidRPr="004F1D23">
        <w:rPr>
          <w:rFonts w:ascii="Times" w:hAnsi="Times"/>
        </w:rPr>
        <w:t>separate com</w:t>
      </w:r>
      <w:r w:rsidR="00DC3334" w:rsidRPr="004F1D23">
        <w:rPr>
          <w:rFonts w:ascii="Times" w:hAnsi="Times"/>
        </w:rPr>
        <w:t>partments”</w:t>
      </w:r>
      <w:r w:rsidR="007E0B7B" w:rsidRPr="004F1D23">
        <w:rPr>
          <w:rFonts w:ascii="Times" w:hAnsi="Times"/>
        </w:rPr>
        <w:t>.</w:t>
      </w:r>
      <w:r w:rsidR="00DC3334" w:rsidRPr="004F1D23">
        <w:rPr>
          <w:rStyle w:val="FootnoteReference"/>
          <w:rFonts w:ascii="Times" w:hAnsi="Times"/>
        </w:rPr>
        <w:footnoteReference w:id="68"/>
      </w:r>
      <w:r w:rsidR="007E0B7B" w:rsidRPr="004F1D23">
        <w:rPr>
          <w:rFonts w:ascii="Times" w:hAnsi="Times"/>
        </w:rPr>
        <w:t xml:space="preserve"> But where separate </w:t>
      </w:r>
      <w:r w:rsidR="00A81C49" w:rsidRPr="004F1D23">
        <w:rPr>
          <w:rFonts w:ascii="Times" w:hAnsi="Times"/>
        </w:rPr>
        <w:t>in</w:t>
      </w:r>
      <w:r w:rsidR="007E0B7B" w:rsidRPr="004F1D23">
        <w:rPr>
          <w:rFonts w:ascii="Times" w:hAnsi="Times"/>
        </w:rPr>
        <w:t>s</w:t>
      </w:r>
      <w:r w:rsidR="00A81C49" w:rsidRPr="004F1D23">
        <w:rPr>
          <w:rFonts w:ascii="Times" w:hAnsi="Times"/>
        </w:rPr>
        <w:t>truments</w:t>
      </w:r>
      <w:r w:rsidR="007E0B7B" w:rsidRPr="004F1D23">
        <w:rPr>
          <w:rFonts w:ascii="Times" w:hAnsi="Times"/>
        </w:rPr>
        <w:t xml:space="preserve"> have different material and personal scopes, a generic </w:t>
      </w:r>
      <w:r w:rsidR="00A81C49" w:rsidRPr="004F1D23">
        <w:rPr>
          <w:rFonts w:ascii="Times" w:hAnsi="Times"/>
        </w:rPr>
        <w:t>call</w:t>
      </w:r>
      <w:r w:rsidR="007E0B7B" w:rsidRPr="004F1D23">
        <w:rPr>
          <w:rFonts w:ascii="Times" w:hAnsi="Times"/>
        </w:rPr>
        <w:t xml:space="preserve"> for holistic jurisprudence cannot justify embroidering an extra condition into one</w:t>
      </w:r>
      <w:r w:rsidR="00A81C49" w:rsidRPr="004F1D23">
        <w:rPr>
          <w:rFonts w:ascii="Times" w:hAnsi="Times"/>
        </w:rPr>
        <w:t xml:space="preserve"> of them</w:t>
      </w:r>
      <w:r w:rsidR="007E0B7B" w:rsidRPr="004F1D23">
        <w:rPr>
          <w:rFonts w:ascii="Times" w:hAnsi="Times"/>
        </w:rPr>
        <w:t xml:space="preserve">, especially where it has the effect of rendering provisions </w:t>
      </w:r>
      <w:r w:rsidR="00A81C49" w:rsidRPr="004F1D23">
        <w:rPr>
          <w:rFonts w:ascii="Times" w:hAnsi="Times"/>
        </w:rPr>
        <w:t xml:space="preserve">within it </w:t>
      </w:r>
      <w:r w:rsidR="007E0B7B" w:rsidRPr="004F1D23">
        <w:rPr>
          <w:rFonts w:ascii="Times" w:hAnsi="Times"/>
        </w:rPr>
        <w:t xml:space="preserve">obsolete. </w:t>
      </w:r>
      <w:r w:rsidRPr="004F1D23">
        <w:rPr>
          <w:rFonts w:ascii="Times" w:hAnsi="Times" w:cs="Times New Roman"/>
          <w:lang w:val="en-US"/>
        </w:rPr>
        <w:t xml:space="preserve">The </w:t>
      </w:r>
      <w:r w:rsidR="007E0B7B" w:rsidRPr="004F1D23">
        <w:rPr>
          <w:rFonts w:ascii="Times" w:hAnsi="Times" w:cs="Times New Roman"/>
          <w:lang w:val="en-US"/>
        </w:rPr>
        <w:t xml:space="preserve">Court’s </w:t>
      </w:r>
      <w:r w:rsidRPr="004F1D23">
        <w:rPr>
          <w:rFonts w:ascii="Times" w:hAnsi="Times" w:cs="Times New Roman"/>
          <w:lang w:val="en-US"/>
        </w:rPr>
        <w:t xml:space="preserve">finding that Article 11(3)(e) can continue to operate undistorted, because it is about competence, not eligibility, is </w:t>
      </w:r>
      <w:r w:rsidR="000B5701" w:rsidRPr="004F1D23">
        <w:rPr>
          <w:rFonts w:ascii="Times" w:hAnsi="Times" w:cs="Times New Roman"/>
          <w:lang w:val="en-US"/>
        </w:rPr>
        <w:t xml:space="preserve">too </w:t>
      </w:r>
      <w:r w:rsidRPr="004F1D23">
        <w:rPr>
          <w:rFonts w:ascii="Times" w:hAnsi="Times" w:cs="Times New Roman"/>
          <w:lang w:val="en-US"/>
        </w:rPr>
        <w:t xml:space="preserve">simplistic. </w:t>
      </w:r>
      <w:r w:rsidR="00A81C49" w:rsidRPr="004F1D23">
        <w:rPr>
          <w:rFonts w:ascii="Times" w:hAnsi="Times" w:cs="Times New Roman"/>
          <w:lang w:val="en-US"/>
        </w:rPr>
        <w:t xml:space="preserve">Claimants cannot apply for </w:t>
      </w:r>
      <w:r w:rsidR="00C52ABC" w:rsidRPr="004F1D23">
        <w:rPr>
          <w:rFonts w:ascii="Times" w:hAnsi="Times" w:cs="Times New Roman"/>
          <w:lang w:val="en-US"/>
        </w:rPr>
        <w:t>family ben</w:t>
      </w:r>
      <w:r w:rsidR="00A81C49" w:rsidRPr="004F1D23">
        <w:rPr>
          <w:rFonts w:ascii="Times" w:hAnsi="Times" w:cs="Times New Roman"/>
          <w:lang w:val="en-US"/>
        </w:rPr>
        <w:t>efits from non-competent States</w:t>
      </w:r>
      <w:r w:rsidR="00C52ABC" w:rsidRPr="004F1D23">
        <w:rPr>
          <w:rFonts w:ascii="Times" w:hAnsi="Times" w:cs="Times New Roman"/>
          <w:lang w:val="en-US"/>
        </w:rPr>
        <w:t xml:space="preserve">. </w:t>
      </w:r>
      <w:r w:rsidRPr="004F1D23">
        <w:rPr>
          <w:rFonts w:ascii="Times" w:hAnsi="Times" w:cs="Times New Roman"/>
          <w:lang w:val="en-US"/>
        </w:rPr>
        <w:t xml:space="preserve">If Member States are entitled to refuse social security to those EU nationals for whom Article 11(3)(e) has deemed those States competent, even when those claimants meet the conditions imposed upon own-State nationals, then there is very little point for Article 11(3)(e) to exist at all, other than to tell us whose rules of exclusion apply. </w:t>
      </w:r>
    </w:p>
    <w:p w14:paraId="2FABF5F8" w14:textId="77777777" w:rsidR="00F2671F" w:rsidRPr="004F1D23" w:rsidRDefault="00F2671F" w:rsidP="00914FAF">
      <w:pPr>
        <w:jc w:val="both"/>
        <w:rPr>
          <w:rFonts w:ascii="Times" w:eastAsia="Times New Roman" w:hAnsi="Times" w:cs="Arial"/>
        </w:rPr>
      </w:pPr>
    </w:p>
    <w:p w14:paraId="17A53112" w14:textId="2196610B" w:rsidR="007E0B7B" w:rsidRPr="004F1D23" w:rsidRDefault="00087A74" w:rsidP="00914FAF">
      <w:pPr>
        <w:jc w:val="both"/>
        <w:rPr>
          <w:rFonts w:ascii="Times" w:eastAsia="Times New Roman" w:hAnsi="Times" w:cs="Arial"/>
        </w:rPr>
      </w:pPr>
      <w:r w:rsidRPr="004F1D23">
        <w:rPr>
          <w:rFonts w:ascii="Times" w:eastAsia="Times New Roman" w:hAnsi="Times" w:cs="Arial"/>
        </w:rPr>
        <w:t>The right to reside condition is not analogous t</w:t>
      </w:r>
      <w:r w:rsidR="00A81C49" w:rsidRPr="004F1D23">
        <w:rPr>
          <w:rFonts w:ascii="Times" w:eastAsia="Times New Roman" w:hAnsi="Times" w:cs="Arial"/>
        </w:rPr>
        <w:t>o other eligibility conditions. As a result of this judgment,</w:t>
      </w:r>
      <w:r w:rsidRPr="004F1D23">
        <w:rPr>
          <w:rFonts w:ascii="Times" w:eastAsia="Times New Roman" w:hAnsi="Times" w:cs="Arial"/>
        </w:rPr>
        <w:t xml:space="preserve"> an EU national</w:t>
      </w:r>
      <w:r w:rsidR="00F2671F" w:rsidRPr="004F1D23">
        <w:rPr>
          <w:rFonts w:ascii="Times" w:eastAsia="Times New Roman" w:hAnsi="Times" w:cs="Arial"/>
        </w:rPr>
        <w:t xml:space="preserve"> parent making a child benefit claim is readily assimilated to </w:t>
      </w:r>
      <w:r w:rsidR="00A81C49" w:rsidRPr="004F1D23">
        <w:rPr>
          <w:rFonts w:ascii="Times" w:eastAsia="Times New Roman" w:hAnsi="Times" w:cs="Arial"/>
        </w:rPr>
        <w:t>a UK national</w:t>
      </w:r>
      <w:r w:rsidR="00F2671F" w:rsidRPr="004F1D23">
        <w:rPr>
          <w:rFonts w:ascii="Times" w:eastAsia="Times New Roman" w:hAnsi="Times" w:cs="Arial"/>
        </w:rPr>
        <w:t xml:space="preserve"> </w:t>
      </w:r>
      <w:r w:rsidR="00F2671F" w:rsidRPr="004F1D23">
        <w:rPr>
          <w:rFonts w:ascii="Times" w:eastAsia="Times New Roman" w:hAnsi="Times" w:cs="Arial"/>
          <w:i/>
        </w:rPr>
        <w:t>without a child</w:t>
      </w:r>
      <w:r w:rsidR="00F2671F" w:rsidRPr="004F1D23">
        <w:rPr>
          <w:rFonts w:ascii="Times" w:eastAsia="Times New Roman" w:hAnsi="Times" w:cs="Arial"/>
        </w:rPr>
        <w:t xml:space="preserve"> making a child benefit claim, and is readily distinguished from UK national parents</w:t>
      </w:r>
      <w:r w:rsidR="00A81C49" w:rsidRPr="004F1D23">
        <w:rPr>
          <w:rFonts w:ascii="Times" w:eastAsia="Times New Roman" w:hAnsi="Times" w:cs="Arial"/>
        </w:rPr>
        <w:t xml:space="preserve"> making a child benefit claim, </w:t>
      </w:r>
      <w:r w:rsidR="00F2671F" w:rsidRPr="004F1D23">
        <w:rPr>
          <w:rFonts w:ascii="Times" w:eastAsia="Times New Roman" w:hAnsi="Times" w:cs="Arial"/>
        </w:rPr>
        <w:t xml:space="preserve">whose </w:t>
      </w:r>
      <w:r w:rsidR="00F2671F" w:rsidRPr="004F1D23">
        <w:rPr>
          <w:rFonts w:ascii="Times" w:eastAsia="Times New Roman" w:hAnsi="Times" w:cs="Arial"/>
          <w:i/>
        </w:rPr>
        <w:t>only</w:t>
      </w:r>
      <w:r w:rsidR="00F2671F" w:rsidRPr="004F1D23">
        <w:rPr>
          <w:rFonts w:ascii="Times" w:eastAsia="Times New Roman" w:hAnsi="Times" w:cs="Arial"/>
        </w:rPr>
        <w:t xml:space="preserve"> difference is nationality</w:t>
      </w:r>
      <w:r w:rsidR="00A81C49" w:rsidRPr="004F1D23">
        <w:rPr>
          <w:rFonts w:ascii="Times" w:eastAsia="Times New Roman" w:hAnsi="Times" w:cs="Arial"/>
        </w:rPr>
        <w:t xml:space="preserve">. This is why </w:t>
      </w:r>
      <w:r w:rsidR="007E0B7B" w:rsidRPr="004F1D23">
        <w:rPr>
          <w:rFonts w:ascii="Times" w:eastAsia="Times New Roman" w:hAnsi="Times" w:cs="Arial"/>
        </w:rPr>
        <w:t>discrimination formed a significant part</w:t>
      </w:r>
      <w:r w:rsidRPr="004F1D23">
        <w:rPr>
          <w:rFonts w:ascii="Times" w:eastAsia="Times New Roman" w:hAnsi="Times" w:cs="Arial"/>
        </w:rPr>
        <w:t xml:space="preserve"> of the Commission’s submission, and the right to reside test merited rigorous scrutiny – which, as the next section shows, the Court was unwilling to provide. </w:t>
      </w:r>
      <w:r w:rsidR="007E0B7B" w:rsidRPr="004F1D23">
        <w:rPr>
          <w:rFonts w:ascii="Times" w:eastAsia="Times New Roman" w:hAnsi="Times" w:cs="Arial"/>
        </w:rPr>
        <w:t xml:space="preserve"> </w:t>
      </w:r>
    </w:p>
    <w:p w14:paraId="513EFFDF" w14:textId="77777777" w:rsidR="007E0B7B" w:rsidRPr="004F1D23" w:rsidRDefault="007E0B7B" w:rsidP="00914FAF">
      <w:pPr>
        <w:jc w:val="both"/>
        <w:rPr>
          <w:rFonts w:ascii="Times" w:eastAsia="Times New Roman" w:hAnsi="Times" w:cs="Arial"/>
        </w:rPr>
      </w:pPr>
    </w:p>
    <w:p w14:paraId="42BC6B67" w14:textId="628B5262" w:rsidR="00087A74" w:rsidRPr="004F1D23" w:rsidRDefault="00D92983" w:rsidP="00914FAF">
      <w:pPr>
        <w:jc w:val="both"/>
        <w:rPr>
          <w:rFonts w:ascii="Times" w:hAnsi="Times"/>
        </w:rPr>
      </w:pPr>
      <w:r w:rsidRPr="004F1D23">
        <w:rPr>
          <w:rFonts w:ascii="Times" w:hAnsi="Times"/>
        </w:rPr>
        <w:t xml:space="preserve">5.2 </w:t>
      </w:r>
      <w:r w:rsidR="00087A74" w:rsidRPr="004F1D23">
        <w:rPr>
          <w:rFonts w:ascii="Times" w:hAnsi="Times"/>
          <w:i/>
        </w:rPr>
        <w:t>Mangling and dodging the question of discrimination</w:t>
      </w:r>
    </w:p>
    <w:p w14:paraId="15E46461" w14:textId="77777777" w:rsidR="00087A74" w:rsidRPr="004F1D23" w:rsidRDefault="00087A74" w:rsidP="00914FAF">
      <w:pPr>
        <w:jc w:val="both"/>
        <w:rPr>
          <w:rFonts w:ascii="Times" w:hAnsi="Times"/>
        </w:rPr>
      </w:pPr>
    </w:p>
    <w:p w14:paraId="41D72822" w14:textId="424AC286" w:rsidR="00AD5AE4" w:rsidRPr="004F1D23" w:rsidRDefault="00903706" w:rsidP="00914FAF">
      <w:pPr>
        <w:jc w:val="both"/>
        <w:rPr>
          <w:rFonts w:ascii="Times" w:hAnsi="Times"/>
        </w:rPr>
      </w:pPr>
      <w:r w:rsidRPr="004F1D23">
        <w:rPr>
          <w:rFonts w:ascii="Times" w:hAnsi="Times"/>
        </w:rPr>
        <w:t xml:space="preserve">It is not just Article 11(3)(e) that ceases to have any effect if the right to reside is treated as a ‘gateway’ for accessing Regulation 883/2004; </w:t>
      </w:r>
      <w:r w:rsidR="00AD5AE4" w:rsidRPr="004F1D23">
        <w:rPr>
          <w:rFonts w:ascii="Times" w:hAnsi="Times"/>
        </w:rPr>
        <w:t>the equal treatment provision, Article 4</w:t>
      </w:r>
      <w:r w:rsidR="000B5701" w:rsidRPr="004F1D23">
        <w:rPr>
          <w:rFonts w:ascii="Times" w:hAnsi="Times"/>
        </w:rPr>
        <w:t>,</w:t>
      </w:r>
      <w:r w:rsidR="00AD5AE4" w:rsidRPr="004F1D23">
        <w:rPr>
          <w:rFonts w:ascii="Times" w:hAnsi="Times"/>
        </w:rPr>
        <w:t xml:space="preserve"> is out of reach </w:t>
      </w:r>
      <w:r w:rsidR="00A81C49" w:rsidRPr="004F1D23">
        <w:rPr>
          <w:rFonts w:ascii="Times" w:hAnsi="Times"/>
        </w:rPr>
        <w:t xml:space="preserve">according to both the </w:t>
      </w:r>
      <w:r w:rsidR="00AD5AE4" w:rsidRPr="004F1D23">
        <w:rPr>
          <w:rFonts w:ascii="Times" w:hAnsi="Times"/>
        </w:rPr>
        <w:t xml:space="preserve">Opinion and the judgment. </w:t>
      </w:r>
    </w:p>
    <w:p w14:paraId="4786411E" w14:textId="77777777" w:rsidR="00AD5AE4" w:rsidRPr="004F1D23" w:rsidRDefault="00AD5AE4" w:rsidP="00914FAF">
      <w:pPr>
        <w:jc w:val="both"/>
        <w:rPr>
          <w:rFonts w:ascii="Times" w:hAnsi="Times"/>
        </w:rPr>
      </w:pPr>
    </w:p>
    <w:p w14:paraId="6B594B64" w14:textId="3402AFC1" w:rsidR="00E5167D" w:rsidRPr="004F1D23" w:rsidRDefault="00AD5AE4" w:rsidP="00914FAF">
      <w:pPr>
        <w:jc w:val="both"/>
        <w:rPr>
          <w:rFonts w:ascii="Times" w:eastAsia="Times New Roman" w:hAnsi="Times" w:cs="Times New Roman"/>
        </w:rPr>
      </w:pPr>
      <w:r w:rsidRPr="004F1D23">
        <w:rPr>
          <w:rFonts w:ascii="Times" w:hAnsi="Times"/>
        </w:rPr>
        <w:t>T</w:t>
      </w:r>
      <w:r w:rsidR="00903706" w:rsidRPr="004F1D23">
        <w:rPr>
          <w:rFonts w:ascii="Times" w:hAnsi="Times"/>
        </w:rPr>
        <w:t xml:space="preserve">he Advocate General dealt with the prohibition of discrimination in Article 4 by finding that failing the right to reside test prevented Article 4 </w:t>
      </w:r>
      <w:r w:rsidR="00A81C49" w:rsidRPr="004F1D23">
        <w:rPr>
          <w:rFonts w:ascii="Times" w:hAnsi="Times"/>
        </w:rPr>
        <w:t>from being engaged, because it “</w:t>
      </w:r>
      <w:r w:rsidR="00903706" w:rsidRPr="004F1D23">
        <w:rPr>
          <w:rFonts w:ascii="Times" w:eastAsia="Times New Roman" w:hAnsi="Times" w:cs="Arial"/>
          <w:shd w:val="clear" w:color="auto" w:fill="FFFFFF"/>
        </w:rPr>
        <w:t>occurs at a stage before that of the pra</w:t>
      </w:r>
      <w:r w:rsidR="00A81C49" w:rsidRPr="004F1D23">
        <w:rPr>
          <w:rFonts w:ascii="Times" w:eastAsia="Times New Roman" w:hAnsi="Times" w:cs="Arial"/>
          <w:shd w:val="clear" w:color="auto" w:fill="FFFFFF"/>
        </w:rPr>
        <w:t>ctical application of Article 4”</w:t>
      </w:r>
      <w:r w:rsidR="00903706" w:rsidRPr="004F1D23">
        <w:rPr>
          <w:rFonts w:ascii="Times" w:eastAsia="Times New Roman" w:hAnsi="Times" w:cs="Arial"/>
          <w:shd w:val="clear" w:color="auto" w:fill="FFFFFF"/>
        </w:rPr>
        <w:t>.</w:t>
      </w:r>
      <w:r w:rsidR="00A81C49" w:rsidRPr="004F1D23">
        <w:rPr>
          <w:rStyle w:val="FootnoteReference"/>
          <w:rFonts w:ascii="Times" w:eastAsia="Times New Roman" w:hAnsi="Times" w:cs="Arial"/>
          <w:shd w:val="clear" w:color="auto" w:fill="FFFFFF"/>
        </w:rPr>
        <w:footnoteReference w:id="69"/>
      </w:r>
      <w:r w:rsidR="00903706" w:rsidRPr="004F1D23">
        <w:rPr>
          <w:rFonts w:ascii="Times" w:eastAsia="Times New Roman" w:hAnsi="Times" w:cs="Arial"/>
          <w:shd w:val="clear" w:color="auto" w:fill="FFFFFF"/>
        </w:rPr>
        <w:t xml:space="preserve"> So claimants might only gain protection from discrimination if they have already passed a discriminatory test. </w:t>
      </w:r>
      <w:r w:rsidR="00E5167D" w:rsidRPr="004F1D23">
        <w:rPr>
          <w:rFonts w:ascii="Times" w:eastAsia="Times New Roman" w:hAnsi="Times" w:cs="Arial"/>
          <w:shd w:val="clear" w:color="auto" w:fill="FFFFFF"/>
        </w:rPr>
        <w:t xml:space="preserve">The actual effects of Article 4, if it is engaged, </w:t>
      </w:r>
      <w:r w:rsidR="00A81C49" w:rsidRPr="004F1D23">
        <w:rPr>
          <w:rFonts w:ascii="Times" w:eastAsia="Times New Roman" w:hAnsi="Times" w:cs="Arial"/>
          <w:shd w:val="clear" w:color="auto" w:fill="FFFFFF"/>
        </w:rPr>
        <w:t>are not discussed</w:t>
      </w:r>
      <w:r w:rsidR="00E5167D" w:rsidRPr="004F1D23">
        <w:rPr>
          <w:rFonts w:ascii="Times" w:eastAsia="Times New Roman" w:hAnsi="Times" w:cs="Arial"/>
          <w:shd w:val="clear" w:color="auto" w:fill="FFFFFF"/>
        </w:rPr>
        <w:t xml:space="preserve">, but </w:t>
      </w:r>
      <w:r w:rsidR="00A81C49" w:rsidRPr="004F1D23">
        <w:rPr>
          <w:rFonts w:ascii="Times" w:eastAsia="Times New Roman" w:hAnsi="Times" w:cs="Arial"/>
          <w:shd w:val="clear" w:color="auto" w:fill="FFFFFF"/>
        </w:rPr>
        <w:t xml:space="preserve">the Advocate General instead invokes a </w:t>
      </w:r>
      <w:r w:rsidR="00E5167D" w:rsidRPr="004F1D23">
        <w:rPr>
          <w:rFonts w:ascii="Times" w:eastAsia="Times New Roman" w:hAnsi="Times" w:cs="Arial"/>
          <w:shd w:val="clear" w:color="auto" w:fill="FFFFFF"/>
        </w:rPr>
        <w:t>generic idea of discrimination as a natural and inevitable feature of the sy</w:t>
      </w:r>
      <w:r w:rsidR="00A81C49" w:rsidRPr="004F1D23">
        <w:rPr>
          <w:rFonts w:ascii="Times" w:eastAsia="Times New Roman" w:hAnsi="Times" w:cs="Arial"/>
          <w:shd w:val="clear" w:color="auto" w:fill="FFFFFF"/>
        </w:rPr>
        <w:t>stem of free movement; stating “</w:t>
      </w:r>
      <w:r w:rsidR="00E5167D" w:rsidRPr="004F1D23">
        <w:rPr>
          <w:rFonts w:ascii="Times" w:eastAsia="Times New Roman" w:hAnsi="Times" w:cs="Arial"/>
          <w:shd w:val="clear" w:color="auto" w:fill="FFFFFF"/>
        </w:rPr>
        <w:t>t</w:t>
      </w:r>
      <w:r w:rsidR="00E5167D" w:rsidRPr="004F1D23">
        <w:rPr>
          <w:rFonts w:ascii="Times" w:hAnsi="Times" w:cs="Times New Roman"/>
          <w:lang w:val="en-US"/>
        </w:rPr>
        <w:t xml:space="preserve">his difference in treatment… is inherent in the system and, </w:t>
      </w:r>
      <w:r w:rsidR="00A81C49" w:rsidRPr="004F1D23">
        <w:rPr>
          <w:rFonts w:ascii="Times" w:hAnsi="Times" w:cs="Times New Roman"/>
          <w:lang w:val="en-US"/>
        </w:rPr>
        <w:t>to a certain extent, inevitable”</w:t>
      </w:r>
      <w:r w:rsidR="00E5167D" w:rsidRPr="004F1D23">
        <w:rPr>
          <w:rFonts w:ascii="Times" w:hAnsi="Times" w:cs="Times New Roman"/>
          <w:lang w:val="en-US"/>
        </w:rPr>
        <w:t>,</w:t>
      </w:r>
      <w:r w:rsidR="00A81C49" w:rsidRPr="004F1D23">
        <w:rPr>
          <w:rStyle w:val="FootnoteReference"/>
          <w:rFonts w:ascii="Times" w:hAnsi="Times" w:cs="Times New Roman"/>
          <w:lang w:val="en-US"/>
        </w:rPr>
        <w:footnoteReference w:id="70"/>
      </w:r>
      <w:r w:rsidR="00A81C49" w:rsidRPr="004F1D23">
        <w:rPr>
          <w:rFonts w:ascii="Times" w:hAnsi="Times" w:cs="Times New Roman"/>
          <w:lang w:val="en-US"/>
        </w:rPr>
        <w:t xml:space="preserve"> and “</w:t>
      </w:r>
      <w:r w:rsidR="00E5167D" w:rsidRPr="004F1D23">
        <w:rPr>
          <w:rFonts w:ascii="Times" w:hAnsi="Times" w:cs="Times New Roman"/>
          <w:lang w:val="en-US"/>
        </w:rPr>
        <w:t xml:space="preserve">the difference in treatment between UK nationals and nationals of other Member States stems from </w:t>
      </w:r>
      <w:r w:rsidR="00A81C49" w:rsidRPr="004F1D23">
        <w:rPr>
          <w:rFonts w:ascii="Times" w:hAnsi="Times" w:cs="Times New Roman"/>
          <w:lang w:val="en-US"/>
        </w:rPr>
        <w:t>the very nature of the system”.</w:t>
      </w:r>
      <w:r w:rsidR="00A81C49" w:rsidRPr="004F1D23">
        <w:rPr>
          <w:rStyle w:val="FootnoteReference"/>
          <w:rFonts w:ascii="Times" w:hAnsi="Times" w:cs="Times New Roman"/>
          <w:lang w:val="en-US"/>
        </w:rPr>
        <w:footnoteReference w:id="71"/>
      </w:r>
      <w:r w:rsidRPr="004F1D23">
        <w:rPr>
          <w:rFonts w:ascii="Times" w:hAnsi="Times" w:cs="Times New Roman"/>
          <w:lang w:val="en-US"/>
        </w:rPr>
        <w:t xml:space="preserve"> As a matter of practicality, this may reflect how national welfare systems work – but it conflicts directl</w:t>
      </w:r>
      <w:r w:rsidR="00A81C49" w:rsidRPr="004F1D23">
        <w:rPr>
          <w:rFonts w:ascii="Times" w:hAnsi="Times" w:cs="Times New Roman"/>
          <w:lang w:val="en-US"/>
        </w:rPr>
        <w:t>y with legislation and case law. T</w:t>
      </w:r>
      <w:r w:rsidRPr="004F1D23">
        <w:rPr>
          <w:rFonts w:ascii="Times" w:hAnsi="Times" w:cs="Times New Roman"/>
          <w:lang w:val="en-US"/>
        </w:rPr>
        <w:t xml:space="preserve">hat </w:t>
      </w:r>
      <w:r w:rsidR="00A81C49" w:rsidRPr="004F1D23">
        <w:rPr>
          <w:rFonts w:ascii="Times" w:hAnsi="Times" w:cs="Times New Roman"/>
          <w:lang w:val="en-US"/>
        </w:rPr>
        <w:t xml:space="preserve">conflict needs to be discussed; </w:t>
      </w:r>
      <w:r w:rsidRPr="004F1D23">
        <w:rPr>
          <w:rFonts w:ascii="Times" w:hAnsi="Times" w:cs="Times New Roman"/>
          <w:lang w:val="en-US"/>
        </w:rPr>
        <w:t xml:space="preserve">legal principles and instruments </w:t>
      </w:r>
      <w:r w:rsidR="00A81C49" w:rsidRPr="004F1D23">
        <w:rPr>
          <w:rFonts w:ascii="Times" w:hAnsi="Times" w:cs="Times New Roman"/>
          <w:lang w:val="en-US"/>
        </w:rPr>
        <w:t>should not be simply e</w:t>
      </w:r>
      <w:r w:rsidRPr="004F1D23">
        <w:rPr>
          <w:rFonts w:ascii="Times" w:hAnsi="Times" w:cs="Times New Roman"/>
          <w:lang w:val="en-US"/>
        </w:rPr>
        <w:t xml:space="preserve">clipsed by </w:t>
      </w:r>
      <w:r w:rsidR="000B5701" w:rsidRPr="004F1D23">
        <w:rPr>
          <w:rFonts w:ascii="Times" w:hAnsi="Times" w:cs="Times New Roman"/>
          <w:lang w:val="en-US"/>
        </w:rPr>
        <w:t xml:space="preserve">“natural” </w:t>
      </w:r>
      <w:r w:rsidRPr="004F1D23">
        <w:rPr>
          <w:rFonts w:ascii="Times" w:hAnsi="Times" w:cs="Times New Roman"/>
          <w:lang w:val="en-US"/>
        </w:rPr>
        <w:t>discriminatory instincts. T</w:t>
      </w:r>
      <w:r w:rsidR="00E5167D" w:rsidRPr="004F1D23">
        <w:rPr>
          <w:rFonts w:ascii="Times" w:hAnsi="Times" w:cs="Times New Roman"/>
          <w:lang w:val="en-US"/>
        </w:rPr>
        <w:t>he</w:t>
      </w:r>
      <w:r w:rsidRPr="004F1D23">
        <w:rPr>
          <w:rFonts w:ascii="Times" w:hAnsi="Times" w:cs="Times New Roman"/>
          <w:lang w:val="en-US"/>
        </w:rPr>
        <w:t xml:space="preserve"> problem posed by </w:t>
      </w:r>
      <w:r w:rsidR="004D7435" w:rsidRPr="004F1D23">
        <w:rPr>
          <w:rFonts w:ascii="Times" w:hAnsi="Times" w:cs="Times New Roman"/>
          <w:lang w:val="en-US"/>
        </w:rPr>
        <w:t xml:space="preserve">extending </w:t>
      </w:r>
      <w:r w:rsidR="00A81C49" w:rsidRPr="004F1D23">
        <w:rPr>
          <w:rFonts w:ascii="Times" w:hAnsi="Times" w:cs="Times New Roman"/>
          <w:lang w:val="en-US"/>
        </w:rPr>
        <w:t xml:space="preserve">a </w:t>
      </w:r>
      <w:r w:rsidR="004D7435" w:rsidRPr="004F1D23">
        <w:rPr>
          <w:rFonts w:ascii="Times" w:hAnsi="Times" w:cs="Times New Roman"/>
          <w:lang w:val="en-US"/>
        </w:rPr>
        <w:t>discriminatory</w:t>
      </w:r>
      <w:r w:rsidRPr="004F1D23">
        <w:rPr>
          <w:rFonts w:ascii="Times" w:hAnsi="Times" w:cs="Times New Roman"/>
          <w:lang w:val="en-US"/>
        </w:rPr>
        <w:t xml:space="preserve"> right to reside </w:t>
      </w:r>
      <w:r w:rsidR="00A81C49" w:rsidRPr="004F1D23">
        <w:rPr>
          <w:rFonts w:ascii="Times" w:hAnsi="Times" w:cs="Times New Roman"/>
          <w:lang w:val="en-US"/>
        </w:rPr>
        <w:t>test</w:t>
      </w:r>
      <w:r w:rsidRPr="004F1D23">
        <w:rPr>
          <w:rFonts w:ascii="Times" w:hAnsi="Times" w:cs="Times New Roman"/>
          <w:lang w:val="en-US"/>
        </w:rPr>
        <w:t xml:space="preserve"> to social security is swept aside with the imprecise phrase that the </w:t>
      </w:r>
      <w:r w:rsidR="00A81C49" w:rsidRPr="004F1D23">
        <w:rPr>
          <w:rFonts w:ascii="Times" w:hAnsi="Times" w:cs="Times New Roman"/>
          <w:lang w:val="en-US"/>
        </w:rPr>
        <w:t>Court has “</w:t>
      </w:r>
      <w:r w:rsidR="00E5167D" w:rsidRPr="004F1D23">
        <w:rPr>
          <w:rFonts w:ascii="Times" w:hAnsi="Times" w:cs="Times New Roman"/>
          <w:lang w:val="en-US"/>
        </w:rPr>
        <w:t xml:space="preserve">traditionally </w:t>
      </w:r>
      <w:r w:rsidR="00E5167D" w:rsidRPr="004F1D23">
        <w:rPr>
          <w:rFonts w:ascii="Times" w:eastAsia="Times New Roman" w:hAnsi="Times" w:cs="Arial"/>
          <w:shd w:val="clear" w:color="auto" w:fill="FFFFFF"/>
        </w:rPr>
        <w:t>associated</w:t>
      </w:r>
      <w:r w:rsidR="00A81C49" w:rsidRPr="004F1D23">
        <w:rPr>
          <w:rFonts w:ascii="Times" w:eastAsia="Times New Roman" w:hAnsi="Times" w:cs="Arial"/>
          <w:shd w:val="clear" w:color="auto" w:fill="FFFFFF"/>
        </w:rPr>
        <w:t xml:space="preserve"> entitlement to social benefits”</w:t>
      </w:r>
      <w:r w:rsidR="00E5167D" w:rsidRPr="004F1D23">
        <w:rPr>
          <w:rFonts w:ascii="Times" w:eastAsia="Times New Roman" w:hAnsi="Times" w:cs="Arial"/>
          <w:shd w:val="clear" w:color="auto" w:fill="FFFFFF"/>
        </w:rPr>
        <w:t xml:space="preserve"> with a right to reside.</w:t>
      </w:r>
      <w:r w:rsidR="00455189" w:rsidRPr="004F1D23">
        <w:rPr>
          <w:rStyle w:val="FootnoteReference"/>
          <w:rFonts w:ascii="Times" w:eastAsia="Times New Roman" w:hAnsi="Times" w:cs="Arial"/>
          <w:shd w:val="clear" w:color="auto" w:fill="FFFFFF"/>
        </w:rPr>
        <w:footnoteReference w:id="72"/>
      </w:r>
      <w:r w:rsidR="00E5167D" w:rsidRPr="004F1D23">
        <w:rPr>
          <w:rFonts w:ascii="Times" w:eastAsia="Times New Roman" w:hAnsi="Times" w:cs="Arial"/>
          <w:shd w:val="clear" w:color="auto" w:fill="FFFFFF"/>
        </w:rPr>
        <w:t xml:space="preserve"> </w:t>
      </w:r>
    </w:p>
    <w:p w14:paraId="23D8F1ED" w14:textId="77777777" w:rsidR="00AD5AE4" w:rsidRPr="004F1D23" w:rsidRDefault="00AD5AE4" w:rsidP="00914FAF">
      <w:pPr>
        <w:jc w:val="both"/>
        <w:rPr>
          <w:rFonts w:ascii="Times" w:hAnsi="Times"/>
        </w:rPr>
      </w:pPr>
    </w:p>
    <w:p w14:paraId="6B083C9C" w14:textId="0591D28B" w:rsidR="00F01AFF" w:rsidRPr="004F1D23" w:rsidRDefault="00F01AFF" w:rsidP="00914FAF">
      <w:pPr>
        <w:jc w:val="both"/>
        <w:rPr>
          <w:rFonts w:ascii="Times" w:hAnsi="Times"/>
        </w:rPr>
      </w:pPr>
      <w:r w:rsidRPr="004F1D23">
        <w:rPr>
          <w:rFonts w:ascii="Times" w:hAnsi="Times"/>
        </w:rPr>
        <w:t xml:space="preserve">The Court’s approach to the </w:t>
      </w:r>
      <w:r w:rsidR="00A91336" w:rsidRPr="004F1D23">
        <w:rPr>
          <w:rFonts w:ascii="Times" w:hAnsi="Times"/>
        </w:rPr>
        <w:t xml:space="preserve">question of discrimination was </w:t>
      </w:r>
      <w:r w:rsidRPr="004F1D23">
        <w:rPr>
          <w:rFonts w:ascii="Times" w:hAnsi="Times"/>
        </w:rPr>
        <w:t xml:space="preserve">evasive.  It outlined that there was a basic case to answer </w:t>
      </w:r>
      <w:r w:rsidR="00E04D02" w:rsidRPr="004F1D23">
        <w:rPr>
          <w:rFonts w:ascii="Times" w:hAnsi="Times"/>
        </w:rPr>
        <w:t xml:space="preserve">– but did not address the Commission’s allegation of </w:t>
      </w:r>
      <w:r w:rsidR="00E04D02" w:rsidRPr="004F1D23">
        <w:rPr>
          <w:rFonts w:ascii="Times" w:hAnsi="Times"/>
          <w:i/>
        </w:rPr>
        <w:t>direct</w:t>
      </w:r>
      <w:r w:rsidR="00455189" w:rsidRPr="004F1D23">
        <w:rPr>
          <w:rFonts w:ascii="Times" w:hAnsi="Times"/>
        </w:rPr>
        <w:t xml:space="preserve"> discrimination. Instead it</w:t>
      </w:r>
      <w:r w:rsidR="00E04D02" w:rsidRPr="004F1D23">
        <w:rPr>
          <w:rFonts w:ascii="Times" w:hAnsi="Times"/>
        </w:rPr>
        <w:t xml:space="preserve"> treated the right to reside test as the sam</w:t>
      </w:r>
      <w:r w:rsidR="00455189" w:rsidRPr="004F1D23">
        <w:rPr>
          <w:rFonts w:ascii="Times" w:hAnsi="Times"/>
        </w:rPr>
        <w:t>e thing as a residence condition, which would be indirectly discriminatory</w:t>
      </w:r>
      <w:r w:rsidR="00E04D02" w:rsidRPr="004F1D23">
        <w:rPr>
          <w:rFonts w:ascii="Times" w:hAnsi="Times"/>
        </w:rPr>
        <w:t>:</w:t>
      </w:r>
    </w:p>
    <w:p w14:paraId="627899E9" w14:textId="77777777" w:rsidR="00E04D02" w:rsidRPr="004F1D23" w:rsidRDefault="00E04D02" w:rsidP="00914FAF">
      <w:pPr>
        <w:jc w:val="both"/>
        <w:rPr>
          <w:rFonts w:ascii="Times" w:hAnsi="Times"/>
        </w:rPr>
      </w:pPr>
    </w:p>
    <w:p w14:paraId="61F1465D" w14:textId="16866982" w:rsidR="00E04D02" w:rsidRPr="004F1D23" w:rsidRDefault="00455189" w:rsidP="00914FAF">
      <w:pPr>
        <w:jc w:val="both"/>
        <w:rPr>
          <w:rFonts w:ascii="Times" w:eastAsia="Times New Roman" w:hAnsi="Times" w:cs="Arial"/>
          <w:shd w:val="clear" w:color="auto" w:fill="FFFFFF"/>
        </w:rPr>
      </w:pPr>
      <w:r w:rsidRPr="004F1D23">
        <w:rPr>
          <w:rFonts w:ascii="Times" w:eastAsia="Times New Roman" w:hAnsi="Times" w:cs="Arial"/>
          <w:shd w:val="clear" w:color="auto" w:fill="FFFFFF"/>
        </w:rPr>
        <w:t xml:space="preserve">“[the] </w:t>
      </w:r>
      <w:r w:rsidR="00E04D02" w:rsidRPr="004F1D23">
        <w:rPr>
          <w:rFonts w:ascii="Times" w:eastAsia="Times New Roman" w:hAnsi="Times" w:cs="Arial"/>
          <w:shd w:val="clear" w:color="auto" w:fill="FFFFFF"/>
        </w:rPr>
        <w:t xml:space="preserve">legislation gives rise to unequal treatment between United Kingdom nationals and nationals of the other Member States as such </w:t>
      </w:r>
      <w:r w:rsidR="00E04D02" w:rsidRPr="004F1D23">
        <w:rPr>
          <w:rFonts w:ascii="Times" w:eastAsia="Times New Roman" w:hAnsi="Times" w:cs="Arial"/>
          <w:i/>
          <w:shd w:val="clear" w:color="auto" w:fill="FFFFFF"/>
        </w:rPr>
        <w:t>a residence condition</w:t>
      </w:r>
      <w:r w:rsidR="00E04D02" w:rsidRPr="004F1D23">
        <w:rPr>
          <w:rFonts w:ascii="Times" w:eastAsia="Times New Roman" w:hAnsi="Times" w:cs="Arial"/>
          <w:shd w:val="clear" w:color="auto" w:fill="FFFFFF"/>
        </w:rPr>
        <w:t xml:space="preserve"> is more easily satisfied by United Kingdom nationals, who more often than not are </w:t>
      </w:r>
      <w:r w:rsidR="00E04D02" w:rsidRPr="004F1D23">
        <w:rPr>
          <w:rFonts w:ascii="Times" w:eastAsia="Times New Roman" w:hAnsi="Times" w:cs="Arial"/>
          <w:i/>
          <w:shd w:val="clear" w:color="auto" w:fill="FFFFFF"/>
        </w:rPr>
        <w:t>habitually resident</w:t>
      </w:r>
      <w:r w:rsidR="00E04D02" w:rsidRPr="004F1D23">
        <w:rPr>
          <w:rFonts w:ascii="Times" w:eastAsia="Times New Roman" w:hAnsi="Times" w:cs="Arial"/>
          <w:shd w:val="clear" w:color="auto" w:fill="FFFFFF"/>
        </w:rPr>
        <w:t xml:space="preserve"> in the United Kingdom, than by nationals of other Member States, </w:t>
      </w:r>
      <w:r w:rsidR="00E04D02" w:rsidRPr="004F1D23">
        <w:rPr>
          <w:rFonts w:ascii="Times" w:eastAsia="Times New Roman" w:hAnsi="Times" w:cs="Arial"/>
          <w:i/>
          <w:shd w:val="clear" w:color="auto" w:fill="FFFFFF"/>
        </w:rPr>
        <w:t>whose residence</w:t>
      </w:r>
      <w:r w:rsidR="00E04D02" w:rsidRPr="004F1D23">
        <w:rPr>
          <w:rFonts w:ascii="Times" w:eastAsia="Times New Roman" w:hAnsi="Times" w:cs="Arial"/>
          <w:shd w:val="clear" w:color="auto" w:fill="FFFFFF"/>
        </w:rPr>
        <w:t>, by contrast, is generally in a Member State other than the United Kingdom.</w:t>
      </w:r>
      <w:r w:rsidRPr="004F1D23">
        <w:rPr>
          <w:rFonts w:ascii="Times" w:eastAsia="Times New Roman" w:hAnsi="Times" w:cs="Arial"/>
          <w:shd w:val="clear" w:color="auto" w:fill="FFFFFF"/>
        </w:rPr>
        <w:t>”</w:t>
      </w:r>
      <w:r w:rsidRPr="004F1D23">
        <w:rPr>
          <w:rStyle w:val="FootnoteReference"/>
          <w:rFonts w:ascii="Times" w:eastAsia="Times New Roman" w:hAnsi="Times" w:cs="Arial"/>
          <w:shd w:val="clear" w:color="auto" w:fill="FFFFFF"/>
        </w:rPr>
        <w:footnoteReference w:id="73"/>
      </w:r>
    </w:p>
    <w:p w14:paraId="2CC9D819" w14:textId="77777777" w:rsidR="00E04D02" w:rsidRPr="004F1D23" w:rsidRDefault="00E04D02" w:rsidP="00914FAF">
      <w:pPr>
        <w:jc w:val="both"/>
        <w:rPr>
          <w:rFonts w:ascii="Times" w:eastAsia="Times New Roman" w:hAnsi="Times" w:cs="Arial"/>
          <w:shd w:val="clear" w:color="auto" w:fill="FFFFFF"/>
        </w:rPr>
      </w:pPr>
    </w:p>
    <w:p w14:paraId="1AAA799C" w14:textId="4A930028" w:rsidR="00100D8C" w:rsidRPr="004F1D23" w:rsidRDefault="00E04D02" w:rsidP="00914FAF">
      <w:pPr>
        <w:jc w:val="both"/>
        <w:rPr>
          <w:rFonts w:ascii="Times" w:eastAsia="Times New Roman" w:hAnsi="Times" w:cs="Arial"/>
          <w:shd w:val="clear" w:color="auto" w:fill="FFFFFF"/>
        </w:rPr>
      </w:pPr>
      <w:r w:rsidRPr="004F1D23">
        <w:rPr>
          <w:rFonts w:ascii="Times" w:eastAsia="Times New Roman" w:hAnsi="Times" w:cs="Arial"/>
          <w:shd w:val="clear" w:color="auto" w:fill="FFFFFF"/>
        </w:rPr>
        <w:t xml:space="preserve">It then added that </w:t>
      </w:r>
      <w:r w:rsidR="00455189" w:rsidRPr="004F1D23">
        <w:rPr>
          <w:rFonts w:ascii="Times" w:eastAsia="Times New Roman" w:hAnsi="Times" w:cs="Arial"/>
          <w:shd w:val="clear" w:color="auto" w:fill="FFFFFF"/>
        </w:rPr>
        <w:t xml:space="preserve">“such indirect discrimination” must be objectively justified. </w:t>
      </w:r>
      <w:r w:rsidR="00455189" w:rsidRPr="004F1D23">
        <w:rPr>
          <w:rFonts w:ascii="Times" w:eastAsia="Times New Roman" w:hAnsi="Times" w:cs="Times New Roman"/>
        </w:rPr>
        <w:t xml:space="preserve"> </w:t>
      </w:r>
      <w:r w:rsidRPr="004F1D23">
        <w:rPr>
          <w:rFonts w:ascii="Times" w:eastAsia="Times New Roman" w:hAnsi="Times" w:cs="Arial"/>
          <w:shd w:val="clear" w:color="auto" w:fill="FFFFFF"/>
        </w:rPr>
        <w:t>This is careless reasoning. The right to reside test (as the UK was at pains to point out)</w:t>
      </w:r>
      <w:r w:rsidRPr="004F1D23">
        <w:rPr>
          <w:rStyle w:val="FootnoteReference"/>
          <w:rFonts w:ascii="Times" w:eastAsia="Times New Roman" w:hAnsi="Times" w:cs="Arial"/>
          <w:shd w:val="clear" w:color="auto" w:fill="FFFFFF"/>
        </w:rPr>
        <w:footnoteReference w:id="74"/>
      </w:r>
      <w:r w:rsidR="00455189" w:rsidRPr="004F1D23">
        <w:rPr>
          <w:rFonts w:ascii="Times" w:eastAsia="Times New Roman" w:hAnsi="Times" w:cs="Arial"/>
          <w:shd w:val="clear" w:color="auto" w:fill="FFFFFF"/>
        </w:rPr>
        <w:t xml:space="preserve"> is not </w:t>
      </w:r>
      <w:r w:rsidRPr="004F1D23">
        <w:rPr>
          <w:rFonts w:ascii="Times" w:eastAsia="Times New Roman" w:hAnsi="Times" w:cs="Arial"/>
          <w:shd w:val="clear" w:color="auto" w:fill="FFFFFF"/>
        </w:rPr>
        <w:t xml:space="preserve">a test for </w:t>
      </w:r>
      <w:r w:rsidR="00455189" w:rsidRPr="004F1D23">
        <w:rPr>
          <w:rFonts w:ascii="Times" w:eastAsia="Times New Roman" w:hAnsi="Times" w:cs="Arial"/>
          <w:shd w:val="clear" w:color="auto" w:fill="FFFFFF"/>
        </w:rPr>
        <w:t xml:space="preserve">actual or </w:t>
      </w:r>
      <w:r w:rsidR="00264BC9" w:rsidRPr="004F1D23">
        <w:rPr>
          <w:rFonts w:ascii="Times" w:eastAsia="Times New Roman" w:hAnsi="Times" w:cs="Arial"/>
          <w:shd w:val="clear" w:color="auto" w:fill="FFFFFF"/>
        </w:rPr>
        <w:t xml:space="preserve">usual </w:t>
      </w:r>
      <w:r w:rsidRPr="004F1D23">
        <w:rPr>
          <w:rFonts w:ascii="Times" w:eastAsia="Times New Roman" w:hAnsi="Times" w:cs="Arial"/>
          <w:shd w:val="clear" w:color="auto" w:fill="FFFFFF"/>
        </w:rPr>
        <w:t>residence –</w:t>
      </w:r>
      <w:r w:rsidR="00455189" w:rsidRPr="004F1D23">
        <w:rPr>
          <w:rFonts w:ascii="Times" w:eastAsia="Times New Roman" w:hAnsi="Times" w:cs="Arial"/>
          <w:shd w:val="clear" w:color="auto" w:fill="FFFFFF"/>
        </w:rPr>
        <w:t xml:space="preserve"> </w:t>
      </w:r>
      <w:r w:rsidRPr="004F1D23">
        <w:rPr>
          <w:rFonts w:ascii="Times" w:eastAsia="Times New Roman" w:hAnsi="Times" w:cs="Arial"/>
          <w:shd w:val="clear" w:color="auto" w:fill="FFFFFF"/>
        </w:rPr>
        <w:t xml:space="preserve">which could be characterised as indirect discrimination. It is a condition of meeting the criteria in Article 7 of Directive 2004/38 – typically a condition to be, or be </w:t>
      </w:r>
      <w:r w:rsidR="00455189" w:rsidRPr="004F1D23">
        <w:rPr>
          <w:rFonts w:ascii="Times" w:eastAsia="Times New Roman" w:hAnsi="Times" w:cs="Arial"/>
          <w:shd w:val="clear" w:color="auto" w:fill="FFFFFF"/>
        </w:rPr>
        <w:t xml:space="preserve">the family member of, a worker. And this specific condition </w:t>
      </w:r>
      <w:r w:rsidRPr="004F1D23">
        <w:rPr>
          <w:rFonts w:ascii="Times" w:eastAsia="Times New Roman" w:hAnsi="Times" w:cs="Arial"/>
          <w:shd w:val="clear" w:color="auto" w:fill="FFFFFF"/>
        </w:rPr>
        <w:t xml:space="preserve">is only imposed upon EU </w:t>
      </w:r>
      <w:r w:rsidR="00455189" w:rsidRPr="004F1D23">
        <w:rPr>
          <w:rFonts w:ascii="Times" w:eastAsia="Times New Roman" w:hAnsi="Times" w:cs="Arial"/>
          <w:shd w:val="clear" w:color="auto" w:fill="FFFFFF"/>
        </w:rPr>
        <w:t xml:space="preserve">nationals. UK nationals do not “more easily satisfy” the </w:t>
      </w:r>
      <w:r w:rsidR="00100D8C" w:rsidRPr="004F1D23">
        <w:rPr>
          <w:rFonts w:ascii="Times" w:eastAsia="Times New Roman" w:hAnsi="Times" w:cs="Arial"/>
          <w:shd w:val="clear" w:color="auto" w:fill="FFFFFF"/>
        </w:rPr>
        <w:t>test</w:t>
      </w:r>
      <w:r w:rsidR="00455189" w:rsidRPr="004F1D23">
        <w:rPr>
          <w:rFonts w:ascii="Times" w:eastAsia="Times New Roman" w:hAnsi="Times" w:cs="Arial"/>
          <w:shd w:val="clear" w:color="auto" w:fill="FFFFFF"/>
        </w:rPr>
        <w:t>; they do not “more often than not”</w:t>
      </w:r>
      <w:r w:rsidRPr="004F1D23">
        <w:rPr>
          <w:rFonts w:ascii="Times" w:eastAsia="Times New Roman" w:hAnsi="Times" w:cs="Arial"/>
          <w:shd w:val="clear" w:color="auto" w:fill="FFFFFF"/>
        </w:rPr>
        <w:t xml:space="preserve"> satisfy the </w:t>
      </w:r>
      <w:r w:rsidR="00100D8C" w:rsidRPr="004F1D23">
        <w:rPr>
          <w:rFonts w:ascii="Times" w:eastAsia="Times New Roman" w:hAnsi="Times" w:cs="Arial"/>
          <w:shd w:val="clear" w:color="auto" w:fill="FFFFFF"/>
        </w:rPr>
        <w:t>test</w:t>
      </w:r>
      <w:r w:rsidRPr="004F1D23">
        <w:rPr>
          <w:rFonts w:ascii="Times" w:eastAsia="Times New Roman" w:hAnsi="Times" w:cs="Arial"/>
          <w:shd w:val="clear" w:color="auto" w:fill="FFFFFF"/>
        </w:rPr>
        <w:t xml:space="preserve"> – they </w:t>
      </w:r>
      <w:r w:rsidRPr="004F1D23">
        <w:rPr>
          <w:rFonts w:ascii="Times" w:eastAsia="Times New Roman" w:hAnsi="Times" w:cs="Arial"/>
          <w:i/>
          <w:shd w:val="clear" w:color="auto" w:fill="FFFFFF"/>
        </w:rPr>
        <w:t>always</w:t>
      </w:r>
      <w:r w:rsidRPr="004F1D23">
        <w:rPr>
          <w:rFonts w:ascii="Times" w:eastAsia="Times New Roman" w:hAnsi="Times" w:cs="Arial"/>
          <w:shd w:val="clear" w:color="auto" w:fill="FFFFFF"/>
        </w:rPr>
        <w:t xml:space="preserve"> and </w:t>
      </w:r>
      <w:r w:rsidRPr="004F1D23">
        <w:rPr>
          <w:rFonts w:ascii="Times" w:eastAsia="Times New Roman" w:hAnsi="Times" w:cs="Arial"/>
          <w:i/>
          <w:shd w:val="clear" w:color="auto" w:fill="FFFFFF"/>
        </w:rPr>
        <w:t>automatically</w:t>
      </w:r>
      <w:r w:rsidRPr="004F1D23">
        <w:rPr>
          <w:rFonts w:ascii="Times" w:eastAsia="Times New Roman" w:hAnsi="Times" w:cs="Arial"/>
          <w:shd w:val="clear" w:color="auto" w:fill="FFFFFF"/>
        </w:rPr>
        <w:t xml:space="preserve"> satisfy the </w:t>
      </w:r>
      <w:r w:rsidR="00100D8C" w:rsidRPr="004F1D23">
        <w:rPr>
          <w:rFonts w:ascii="Times" w:eastAsia="Times New Roman" w:hAnsi="Times" w:cs="Arial"/>
          <w:shd w:val="clear" w:color="auto" w:fill="FFFFFF"/>
        </w:rPr>
        <w:t xml:space="preserve">test and so are excused from meeting the </w:t>
      </w:r>
      <w:r w:rsidR="00455189" w:rsidRPr="004F1D23">
        <w:rPr>
          <w:rFonts w:ascii="Times" w:eastAsia="Times New Roman" w:hAnsi="Times" w:cs="Arial"/>
          <w:shd w:val="clear" w:color="auto" w:fill="FFFFFF"/>
        </w:rPr>
        <w:t>condition</w:t>
      </w:r>
      <w:r w:rsidRPr="004F1D23">
        <w:rPr>
          <w:rFonts w:ascii="Times" w:eastAsia="Times New Roman" w:hAnsi="Times" w:cs="Arial"/>
          <w:shd w:val="clear" w:color="auto" w:fill="FFFFFF"/>
        </w:rPr>
        <w:t xml:space="preserve">. </w:t>
      </w:r>
    </w:p>
    <w:p w14:paraId="6881185D" w14:textId="77777777" w:rsidR="00100D8C" w:rsidRPr="004F1D23" w:rsidRDefault="00100D8C" w:rsidP="00914FAF">
      <w:pPr>
        <w:jc w:val="both"/>
        <w:rPr>
          <w:rFonts w:ascii="Times" w:eastAsia="Times New Roman" w:hAnsi="Times" w:cs="Arial"/>
          <w:shd w:val="clear" w:color="auto" w:fill="FFFFFF"/>
        </w:rPr>
      </w:pPr>
    </w:p>
    <w:p w14:paraId="229E3CE5" w14:textId="3C9A1E53" w:rsidR="00350361" w:rsidRPr="004F1D23" w:rsidRDefault="00E04D02" w:rsidP="00914FAF">
      <w:pPr>
        <w:jc w:val="both"/>
        <w:rPr>
          <w:rFonts w:ascii="Times" w:eastAsia="Times New Roman" w:hAnsi="Times" w:cs="Times New Roman"/>
        </w:rPr>
      </w:pPr>
      <w:r w:rsidRPr="004F1D23">
        <w:rPr>
          <w:rFonts w:ascii="Times" w:eastAsia="Times New Roman" w:hAnsi="Times" w:cs="Arial"/>
        </w:rPr>
        <w:t xml:space="preserve">Only EU nationals must provide evidence of a right to reside. Only EU nationals can be excluded from entitlement due to economic inactivity. The application of an extra condition to non-nationals was recognised as being directly discriminatory in </w:t>
      </w:r>
      <w:r w:rsidRPr="004F1D23">
        <w:rPr>
          <w:rFonts w:ascii="Times" w:eastAsia="Times New Roman" w:hAnsi="Times" w:cs="Arial"/>
          <w:i/>
        </w:rPr>
        <w:t>Grzelczyk</w:t>
      </w:r>
      <w:r w:rsidR="00FE2E8E" w:rsidRPr="004F1D23">
        <w:rPr>
          <w:rFonts w:ascii="Times" w:eastAsia="Times New Roman" w:hAnsi="Times" w:cs="Arial"/>
        </w:rPr>
        <w:t xml:space="preserve">. The subject of that case was access to a benefit, the minimex, for which there were certain eligibility criteria. However, an extra condition was imposed upon non-nationals </w:t>
      </w:r>
      <w:r w:rsidR="00100D8C" w:rsidRPr="004F1D23">
        <w:rPr>
          <w:rFonts w:ascii="Times" w:eastAsia="Times New Roman" w:hAnsi="Times" w:cs="Arial"/>
        </w:rPr>
        <w:t>who had to “</w:t>
      </w:r>
      <w:r w:rsidR="00FE2E8E" w:rsidRPr="004F1D23">
        <w:rPr>
          <w:rFonts w:ascii="Times" w:eastAsia="Times New Roman" w:hAnsi="Times" w:cs="Tahoma"/>
          <w:iCs/>
          <w:bdr w:val="none" w:sz="0" w:space="0" w:color="auto" w:frame="1"/>
          <w:shd w:val="clear" w:color="auto" w:fill="FFFFFF"/>
        </w:rPr>
        <w:t>satisfy the additional requirement of having actually resided in Belgium for at least five years immediately preceding the date o</w:t>
      </w:r>
      <w:r w:rsidR="00100D8C" w:rsidRPr="004F1D23">
        <w:rPr>
          <w:rFonts w:ascii="Times" w:eastAsia="Times New Roman" w:hAnsi="Times" w:cs="Tahoma"/>
          <w:iCs/>
          <w:bdr w:val="none" w:sz="0" w:space="0" w:color="auto" w:frame="1"/>
          <w:shd w:val="clear" w:color="auto" w:fill="FFFFFF"/>
        </w:rPr>
        <w:t>n which the minimex was granted”</w:t>
      </w:r>
      <w:r w:rsidR="00FE2E8E" w:rsidRPr="004F1D23">
        <w:rPr>
          <w:rFonts w:ascii="Times" w:eastAsia="Times New Roman" w:hAnsi="Times" w:cs="Tahoma"/>
          <w:iCs/>
          <w:bdr w:val="none" w:sz="0" w:space="0" w:color="auto" w:frame="1"/>
          <w:shd w:val="clear" w:color="auto" w:fill="FFFFFF"/>
        </w:rPr>
        <w:t>.</w:t>
      </w:r>
      <w:r w:rsidR="00100D8C" w:rsidRPr="004F1D23">
        <w:rPr>
          <w:rStyle w:val="FootnoteReference"/>
          <w:rFonts w:ascii="Times" w:eastAsia="Times New Roman" w:hAnsi="Times" w:cs="Tahoma"/>
          <w:iCs/>
          <w:bdr w:val="none" w:sz="0" w:space="0" w:color="auto" w:frame="1"/>
          <w:shd w:val="clear" w:color="auto" w:fill="FFFFFF"/>
        </w:rPr>
        <w:footnoteReference w:id="75"/>
      </w:r>
      <w:r w:rsidR="00FE2E8E" w:rsidRPr="004F1D23">
        <w:rPr>
          <w:rFonts w:ascii="Times" w:eastAsia="Times New Roman" w:hAnsi="Times" w:cs="Tahoma"/>
          <w:iCs/>
          <w:bdr w:val="none" w:sz="0" w:space="0" w:color="auto" w:frame="1"/>
          <w:shd w:val="clear" w:color="auto" w:fill="FFFFFF"/>
        </w:rPr>
        <w:t xml:space="preserve"> As the claimant satisfied the conditions that had to be met by Belgian nationals, the Court found that </w:t>
      </w:r>
      <w:r w:rsidR="00100D8C" w:rsidRPr="004F1D23">
        <w:rPr>
          <w:rFonts w:ascii="Times" w:eastAsia="Times New Roman" w:hAnsi="Times" w:cs="Tahoma"/>
          <w:iCs/>
          <w:bdr w:val="none" w:sz="0" w:space="0" w:color="auto" w:frame="1"/>
          <w:shd w:val="clear" w:color="auto" w:fill="FFFFFF"/>
        </w:rPr>
        <w:t>“</w:t>
      </w:r>
      <w:r w:rsidR="00FE2E8E" w:rsidRPr="004F1D23">
        <w:rPr>
          <w:rFonts w:ascii="Times" w:eastAsia="Times New Roman" w:hAnsi="Times" w:cs="Tahoma"/>
          <w:iCs/>
          <w:bdr w:val="none" w:sz="0" w:space="0" w:color="auto" w:frame="1"/>
          <w:shd w:val="clear" w:color="auto" w:fill="FFFFFF"/>
        </w:rPr>
        <w:t>the fact that Mr</w:t>
      </w:r>
      <w:r w:rsidR="00350361" w:rsidRPr="004F1D23">
        <w:rPr>
          <w:rFonts w:ascii="Times" w:eastAsia="Times New Roman" w:hAnsi="Times" w:cs="Tahoma"/>
          <w:iCs/>
          <w:bdr w:val="none" w:sz="0" w:space="0" w:color="auto" w:frame="1"/>
          <w:shd w:val="clear" w:color="auto" w:fill="FFFFFF"/>
        </w:rPr>
        <w:t xml:space="preserve"> Grzelczyk </w:t>
      </w:r>
      <w:r w:rsidR="00FE2E8E" w:rsidRPr="004F1D23">
        <w:rPr>
          <w:rFonts w:ascii="Times" w:eastAsia="Times New Roman" w:hAnsi="Times" w:cs="Tahoma"/>
          <w:iCs/>
          <w:bdr w:val="none" w:sz="0" w:space="0" w:color="auto" w:frame="1"/>
          <w:shd w:val="clear" w:color="auto" w:fill="FFFFFF"/>
        </w:rPr>
        <w:t> is not of Belgian nationality is the only b</w:t>
      </w:r>
      <w:r w:rsidR="00100D8C" w:rsidRPr="004F1D23">
        <w:rPr>
          <w:rFonts w:ascii="Times" w:eastAsia="Times New Roman" w:hAnsi="Times" w:cs="Tahoma"/>
          <w:iCs/>
          <w:bdr w:val="none" w:sz="0" w:space="0" w:color="auto" w:frame="1"/>
          <w:shd w:val="clear" w:color="auto" w:fill="FFFFFF"/>
        </w:rPr>
        <w:t xml:space="preserve">ar to its being granted to him… </w:t>
      </w:r>
      <w:r w:rsidR="00FE2E8E" w:rsidRPr="004F1D23">
        <w:rPr>
          <w:rFonts w:ascii="Times" w:eastAsia="Times New Roman" w:hAnsi="Times" w:cs="Tahoma"/>
          <w:iCs/>
          <w:bdr w:val="none" w:sz="0" w:space="0" w:color="auto" w:frame="1"/>
          <w:shd w:val="clear" w:color="auto" w:fill="FFFFFF"/>
        </w:rPr>
        <w:t>the case is one of discrimination solel</w:t>
      </w:r>
      <w:r w:rsidR="00100D8C" w:rsidRPr="004F1D23">
        <w:rPr>
          <w:rFonts w:ascii="Times" w:eastAsia="Times New Roman" w:hAnsi="Times" w:cs="Tahoma"/>
          <w:iCs/>
          <w:bdr w:val="none" w:sz="0" w:space="0" w:color="auto" w:frame="1"/>
          <w:shd w:val="clear" w:color="auto" w:fill="FFFFFF"/>
        </w:rPr>
        <w:t>y on the ground of nationality.”</w:t>
      </w:r>
      <w:r w:rsidR="00100D8C" w:rsidRPr="004F1D23">
        <w:rPr>
          <w:rStyle w:val="FootnoteReference"/>
          <w:rFonts w:ascii="Times" w:eastAsia="Times New Roman" w:hAnsi="Times" w:cs="Tahoma"/>
          <w:iCs/>
          <w:bdr w:val="none" w:sz="0" w:space="0" w:color="auto" w:frame="1"/>
          <w:shd w:val="clear" w:color="auto" w:fill="FFFFFF"/>
        </w:rPr>
        <w:footnoteReference w:id="76"/>
      </w:r>
      <w:r w:rsidR="00FE2E8E" w:rsidRPr="004F1D23">
        <w:rPr>
          <w:rFonts w:ascii="Times" w:eastAsia="Times New Roman" w:hAnsi="Times" w:cs="Tahoma"/>
          <w:iCs/>
          <w:bdr w:val="none" w:sz="0" w:space="0" w:color="auto" w:frame="1"/>
          <w:shd w:val="clear" w:color="auto" w:fill="FFFFFF"/>
        </w:rPr>
        <w:t xml:space="preserve"> </w:t>
      </w:r>
    </w:p>
    <w:p w14:paraId="3D27C197" w14:textId="77777777" w:rsidR="00350361" w:rsidRPr="004F1D23" w:rsidRDefault="00350361" w:rsidP="00914FAF">
      <w:pPr>
        <w:jc w:val="both"/>
        <w:rPr>
          <w:rFonts w:ascii="Times" w:eastAsia="Times New Roman" w:hAnsi="Times" w:cs="Tahoma"/>
          <w:iCs/>
          <w:bdr w:val="none" w:sz="0" w:space="0" w:color="auto" w:frame="1"/>
          <w:shd w:val="clear" w:color="auto" w:fill="FFFFFF"/>
        </w:rPr>
      </w:pPr>
    </w:p>
    <w:p w14:paraId="63D0DDA9" w14:textId="17C5EC43" w:rsidR="00A91336" w:rsidRPr="004F1D23" w:rsidRDefault="00350361" w:rsidP="00914FAF">
      <w:pPr>
        <w:jc w:val="both"/>
        <w:rPr>
          <w:rFonts w:ascii="Times" w:hAnsi="Times"/>
        </w:rPr>
      </w:pPr>
      <w:r w:rsidRPr="004F1D23">
        <w:rPr>
          <w:rFonts w:ascii="Times" w:eastAsia="Times New Roman" w:hAnsi="Times" w:cs="Tahoma"/>
          <w:iCs/>
          <w:bdr w:val="none" w:sz="0" w:space="0" w:color="auto" w:frame="1"/>
          <w:shd w:val="clear" w:color="auto" w:fill="FFFFFF"/>
        </w:rPr>
        <w:t>More</w:t>
      </w:r>
      <w:r w:rsidR="00C140F8" w:rsidRPr="004F1D23">
        <w:rPr>
          <w:rFonts w:ascii="Times" w:eastAsia="Times New Roman" w:hAnsi="Times" w:cs="Arial"/>
        </w:rPr>
        <w:t xml:space="preserve"> discussion </w:t>
      </w:r>
      <w:r w:rsidRPr="004F1D23">
        <w:rPr>
          <w:rFonts w:ascii="Times" w:eastAsia="Times New Roman" w:hAnsi="Times" w:cs="Arial"/>
        </w:rPr>
        <w:t>wa</w:t>
      </w:r>
      <w:r w:rsidR="00C140F8" w:rsidRPr="004F1D23">
        <w:rPr>
          <w:rFonts w:ascii="Times" w:eastAsia="Times New Roman" w:hAnsi="Times" w:cs="Arial"/>
        </w:rPr>
        <w:t>s needed</w:t>
      </w:r>
      <w:r w:rsidRPr="004F1D23">
        <w:rPr>
          <w:rFonts w:ascii="Times" w:eastAsia="Times New Roman" w:hAnsi="Times" w:cs="Arial"/>
        </w:rPr>
        <w:t xml:space="preserve"> in </w:t>
      </w:r>
      <w:r w:rsidRPr="004F1D23">
        <w:rPr>
          <w:rFonts w:ascii="Times" w:eastAsia="Times New Roman" w:hAnsi="Times" w:cs="Arial"/>
          <w:i/>
        </w:rPr>
        <w:t>Commission v UK</w:t>
      </w:r>
      <w:r w:rsidR="00C140F8" w:rsidRPr="004F1D23">
        <w:rPr>
          <w:rFonts w:ascii="Times" w:eastAsia="Times New Roman" w:hAnsi="Times" w:cs="Arial"/>
        </w:rPr>
        <w:t xml:space="preserve"> to examine the directly discriminatory nature of </w:t>
      </w:r>
      <w:r w:rsidR="00FE2E8E" w:rsidRPr="004F1D23">
        <w:rPr>
          <w:rFonts w:ascii="Times" w:eastAsia="Times New Roman" w:hAnsi="Times" w:cs="Arial"/>
        </w:rPr>
        <w:t xml:space="preserve">a right to reside </w:t>
      </w:r>
      <w:r w:rsidR="00C140F8" w:rsidRPr="004F1D23">
        <w:rPr>
          <w:rFonts w:ascii="Times" w:eastAsia="Times New Roman" w:hAnsi="Times" w:cs="Arial"/>
        </w:rPr>
        <w:t>test</w:t>
      </w:r>
      <w:r w:rsidR="00E61D19" w:rsidRPr="004F1D23">
        <w:rPr>
          <w:rFonts w:ascii="Times" w:eastAsia="Times New Roman" w:hAnsi="Times" w:cs="Arial"/>
        </w:rPr>
        <w:t xml:space="preserve">. The Court should </w:t>
      </w:r>
      <w:r w:rsidRPr="004F1D23">
        <w:rPr>
          <w:rFonts w:ascii="Times" w:eastAsia="Times New Roman" w:hAnsi="Times" w:cs="Arial"/>
        </w:rPr>
        <w:t>either</w:t>
      </w:r>
      <w:r w:rsidR="00FE2E8E" w:rsidRPr="004F1D23">
        <w:rPr>
          <w:rFonts w:ascii="Times" w:eastAsia="Times New Roman" w:hAnsi="Times" w:cs="Arial"/>
        </w:rPr>
        <w:t xml:space="preserve"> </w:t>
      </w:r>
      <w:r w:rsidR="00100D8C" w:rsidRPr="004F1D23">
        <w:rPr>
          <w:rFonts w:ascii="Times" w:eastAsia="Times New Roman" w:hAnsi="Times" w:cs="Arial"/>
        </w:rPr>
        <w:t>explain</w:t>
      </w:r>
      <w:r w:rsidR="00FE2E8E" w:rsidRPr="004F1D23">
        <w:rPr>
          <w:rFonts w:ascii="Times" w:eastAsia="Times New Roman" w:hAnsi="Times" w:cs="Arial"/>
        </w:rPr>
        <w:t xml:space="preserve"> why imposing an extra condition on</w:t>
      </w:r>
      <w:r w:rsidR="00100D8C" w:rsidRPr="004F1D23">
        <w:rPr>
          <w:rFonts w:ascii="Times" w:eastAsia="Times New Roman" w:hAnsi="Times" w:cs="Arial"/>
        </w:rPr>
        <w:t>ly on</w:t>
      </w:r>
      <w:r w:rsidR="00FE2E8E" w:rsidRPr="004F1D23">
        <w:rPr>
          <w:rFonts w:ascii="Times" w:eastAsia="Times New Roman" w:hAnsi="Times" w:cs="Arial"/>
        </w:rPr>
        <w:t xml:space="preserve"> non-nationals is not directly </w:t>
      </w:r>
      <w:r w:rsidRPr="004F1D23">
        <w:rPr>
          <w:rFonts w:ascii="Times" w:eastAsia="Times New Roman" w:hAnsi="Times" w:cs="Arial"/>
        </w:rPr>
        <w:t>discriminatory, or acknowledge</w:t>
      </w:r>
      <w:r w:rsidR="00100D8C" w:rsidRPr="004F1D23">
        <w:rPr>
          <w:rFonts w:ascii="Times" w:eastAsia="Times New Roman" w:hAnsi="Times" w:cs="Arial"/>
        </w:rPr>
        <w:t xml:space="preserve"> that</w:t>
      </w:r>
      <w:r w:rsidR="00FE2E8E" w:rsidRPr="004F1D23">
        <w:rPr>
          <w:rFonts w:ascii="Times" w:eastAsia="Times New Roman" w:hAnsi="Times" w:cs="Arial"/>
        </w:rPr>
        <w:t xml:space="preserve"> direct discrimination</w:t>
      </w:r>
      <w:r w:rsidR="00100D8C" w:rsidRPr="004F1D23">
        <w:rPr>
          <w:rFonts w:ascii="Times" w:eastAsia="Times New Roman" w:hAnsi="Times" w:cs="Arial"/>
        </w:rPr>
        <w:t xml:space="preserve"> is at play and highlight</w:t>
      </w:r>
      <w:r w:rsidR="00FE2E8E" w:rsidRPr="004F1D23">
        <w:rPr>
          <w:rFonts w:ascii="Times" w:eastAsia="Times New Roman" w:hAnsi="Times" w:cs="Arial"/>
        </w:rPr>
        <w:t xml:space="preserve"> any perceived </w:t>
      </w:r>
      <w:r w:rsidR="00C140F8" w:rsidRPr="004F1D23">
        <w:rPr>
          <w:rFonts w:ascii="Times" w:eastAsia="Times New Roman" w:hAnsi="Times" w:cs="Arial"/>
        </w:rPr>
        <w:t>shortcomings in EU law</w:t>
      </w:r>
      <w:r w:rsidR="00100D8C" w:rsidRPr="004F1D23">
        <w:rPr>
          <w:rFonts w:ascii="Times" w:eastAsia="Times New Roman" w:hAnsi="Times" w:cs="Arial"/>
        </w:rPr>
        <w:t>,</w:t>
      </w:r>
      <w:r w:rsidR="00C140F8" w:rsidRPr="004F1D23">
        <w:rPr>
          <w:rFonts w:ascii="Times" w:eastAsia="Times New Roman" w:hAnsi="Times" w:cs="Arial"/>
        </w:rPr>
        <w:t xml:space="preserve"> </w:t>
      </w:r>
      <w:r w:rsidR="00100D8C" w:rsidRPr="004F1D23">
        <w:rPr>
          <w:rFonts w:ascii="Times" w:eastAsia="Times New Roman" w:hAnsi="Times" w:cs="Arial"/>
        </w:rPr>
        <w:t xml:space="preserve">if it feels that </w:t>
      </w:r>
      <w:r w:rsidR="00E61D19" w:rsidRPr="004F1D23">
        <w:rPr>
          <w:rFonts w:ascii="Times" w:eastAsia="Times New Roman" w:hAnsi="Times" w:cs="Arial"/>
        </w:rPr>
        <w:t xml:space="preserve">differential treatment </w:t>
      </w:r>
      <w:r w:rsidR="00100D8C" w:rsidRPr="004F1D23">
        <w:rPr>
          <w:rFonts w:ascii="Times" w:eastAsia="Times New Roman" w:hAnsi="Times" w:cs="Arial"/>
        </w:rPr>
        <w:t>should be permitted</w:t>
      </w:r>
      <w:r w:rsidR="00E61D19" w:rsidRPr="004F1D23">
        <w:rPr>
          <w:rFonts w:ascii="Times" w:eastAsia="Times New Roman" w:hAnsi="Times" w:cs="Arial"/>
        </w:rPr>
        <w:t xml:space="preserve">. </w:t>
      </w:r>
      <w:r w:rsidR="00100D8C" w:rsidRPr="004F1D23">
        <w:rPr>
          <w:rFonts w:ascii="Times" w:eastAsia="Times New Roman" w:hAnsi="Times" w:cs="Arial"/>
        </w:rPr>
        <w:t>Inst</w:t>
      </w:r>
      <w:r w:rsidR="00A91336" w:rsidRPr="004F1D23">
        <w:rPr>
          <w:rFonts w:ascii="Times" w:eastAsia="Times New Roman" w:hAnsi="Times" w:cs="Arial"/>
        </w:rPr>
        <w:t xml:space="preserve">ead, it </w:t>
      </w:r>
      <w:r w:rsidR="00A91336" w:rsidRPr="004F1D23">
        <w:rPr>
          <w:rFonts w:ascii="Times" w:hAnsi="Times"/>
        </w:rPr>
        <w:t xml:space="preserve">skips the </w:t>
      </w:r>
      <w:r w:rsidR="00100D8C" w:rsidRPr="004F1D23">
        <w:rPr>
          <w:rFonts w:ascii="Times" w:hAnsi="Times"/>
        </w:rPr>
        <w:t>question entirely and</w:t>
      </w:r>
      <w:r w:rsidR="00A91336" w:rsidRPr="004F1D23">
        <w:rPr>
          <w:rFonts w:ascii="Times" w:hAnsi="Times"/>
        </w:rPr>
        <w:t xml:space="preserve"> assumes that the matter is one of indirect discrimination. </w:t>
      </w:r>
    </w:p>
    <w:p w14:paraId="19EDC03C" w14:textId="77777777" w:rsidR="00A91336" w:rsidRPr="004F1D23" w:rsidRDefault="00A91336" w:rsidP="00914FAF">
      <w:pPr>
        <w:jc w:val="both"/>
        <w:rPr>
          <w:rFonts w:ascii="Times" w:hAnsi="Times"/>
        </w:rPr>
      </w:pPr>
    </w:p>
    <w:p w14:paraId="5EECFAAC" w14:textId="1B3FC53A" w:rsidR="00E61D19" w:rsidRPr="004F1D23" w:rsidRDefault="00A91336" w:rsidP="00914FAF">
      <w:pPr>
        <w:jc w:val="both"/>
        <w:rPr>
          <w:rFonts w:ascii="Times" w:eastAsia="Times New Roman" w:hAnsi="Times" w:cs="Times New Roman"/>
        </w:rPr>
      </w:pPr>
      <w:r w:rsidRPr="004F1D23">
        <w:rPr>
          <w:rFonts w:ascii="Times" w:eastAsia="Times New Roman" w:hAnsi="Times" w:cs="Arial"/>
        </w:rPr>
        <w:t>At</w:t>
      </w:r>
      <w:r w:rsidR="00E61D19" w:rsidRPr="004F1D23">
        <w:rPr>
          <w:rFonts w:ascii="Times" w:eastAsia="Times New Roman" w:hAnsi="Times" w:cs="Arial"/>
        </w:rPr>
        <w:t xml:space="preserve"> the very least, if </w:t>
      </w:r>
      <w:r w:rsidR="00100D8C" w:rsidRPr="004F1D23">
        <w:rPr>
          <w:rFonts w:ascii="Times" w:eastAsia="Times New Roman" w:hAnsi="Times" w:cs="Arial"/>
        </w:rPr>
        <w:t xml:space="preserve">skipping direct discrimination was a result of accepting </w:t>
      </w:r>
      <w:r w:rsidR="00E61D19" w:rsidRPr="004F1D23">
        <w:rPr>
          <w:rFonts w:ascii="Times" w:eastAsia="Times New Roman" w:hAnsi="Times" w:cs="Arial"/>
        </w:rPr>
        <w:t>the</w:t>
      </w:r>
      <w:r w:rsidR="00100D8C" w:rsidRPr="004F1D23">
        <w:rPr>
          <w:rFonts w:ascii="Times" w:eastAsia="Times New Roman" w:hAnsi="Times" w:cs="Arial"/>
        </w:rPr>
        <w:t xml:space="preserve"> UK’s claim that the point was inadmissible</w:t>
      </w:r>
      <w:r w:rsidR="00E61D19" w:rsidRPr="004F1D23">
        <w:rPr>
          <w:rFonts w:ascii="Times" w:eastAsia="Times New Roman" w:hAnsi="Times" w:cs="Arial"/>
        </w:rPr>
        <w:t xml:space="preserve">, it should </w:t>
      </w:r>
      <w:r w:rsidR="00100D8C" w:rsidRPr="004F1D23">
        <w:rPr>
          <w:rFonts w:ascii="Times" w:eastAsia="Times New Roman" w:hAnsi="Times" w:cs="Arial"/>
        </w:rPr>
        <w:t>have said so. But the inadmissibility claim was tenuous; there is no rule of procedure to suggest that the Court can only confine itself to the specific wording in</w:t>
      </w:r>
      <w:r w:rsidR="00E61D19" w:rsidRPr="004F1D23">
        <w:rPr>
          <w:rFonts w:ascii="Times" w:eastAsia="Times New Roman" w:hAnsi="Times" w:cs="Arial"/>
        </w:rPr>
        <w:t xml:space="preserve"> questions raised in a </w:t>
      </w:r>
      <w:r w:rsidR="00100D8C" w:rsidRPr="004F1D23">
        <w:rPr>
          <w:rFonts w:ascii="Times" w:eastAsia="Times New Roman" w:hAnsi="Times" w:cs="Arial"/>
        </w:rPr>
        <w:t xml:space="preserve">pre-litigation reasoned opinion. </w:t>
      </w:r>
      <w:r w:rsidR="003E5FBC" w:rsidRPr="004F1D23">
        <w:rPr>
          <w:rFonts w:ascii="Times" w:eastAsia="Times New Roman" w:hAnsi="Times" w:cs="Arial"/>
        </w:rPr>
        <w:t>The Court’s rules of procedure preclude the raising of</w:t>
      </w:r>
      <w:r w:rsidR="00100D8C" w:rsidRPr="004F1D23">
        <w:rPr>
          <w:rFonts w:ascii="Times" w:eastAsia="Times New Roman" w:hAnsi="Times" w:cs="Arial"/>
        </w:rPr>
        <w:t xml:space="preserve"> new pleas in law “</w:t>
      </w:r>
      <w:r w:rsidR="003E5FBC" w:rsidRPr="004F1D23">
        <w:rPr>
          <w:rFonts w:ascii="Times" w:eastAsia="Times New Roman" w:hAnsi="Times" w:cs="Arial"/>
        </w:rPr>
        <w:t>d</w:t>
      </w:r>
      <w:r w:rsidR="00100D8C" w:rsidRPr="004F1D23">
        <w:rPr>
          <w:rFonts w:ascii="Times" w:eastAsia="Times New Roman" w:hAnsi="Times" w:cs="Arial"/>
        </w:rPr>
        <w:t>uring the course of proceedings”</w:t>
      </w:r>
      <w:r w:rsidR="003E5FBC" w:rsidRPr="004F1D23">
        <w:rPr>
          <w:rFonts w:ascii="Times" w:eastAsia="Times New Roman" w:hAnsi="Times" w:cs="Arial"/>
        </w:rPr>
        <w:t>,</w:t>
      </w:r>
      <w:r w:rsidR="003E5FBC" w:rsidRPr="004F1D23">
        <w:rPr>
          <w:rStyle w:val="FootnoteReference"/>
          <w:rFonts w:ascii="Times" w:eastAsia="Times New Roman" w:hAnsi="Times" w:cs="Arial"/>
        </w:rPr>
        <w:footnoteReference w:id="77"/>
      </w:r>
      <w:r w:rsidR="00491D15" w:rsidRPr="004F1D23">
        <w:rPr>
          <w:rFonts w:ascii="Times" w:eastAsia="Times New Roman" w:hAnsi="Times" w:cs="Arial"/>
        </w:rPr>
        <w:t xml:space="preserve"> but </w:t>
      </w:r>
      <w:r w:rsidRPr="004F1D23">
        <w:rPr>
          <w:rFonts w:ascii="Times" w:eastAsia="Times New Roman" w:hAnsi="Times" w:cs="Arial"/>
        </w:rPr>
        <w:t>pleas that</w:t>
      </w:r>
      <w:r w:rsidR="003E5FBC" w:rsidRPr="004F1D23">
        <w:rPr>
          <w:rFonts w:ascii="Times" w:eastAsia="Times New Roman" w:hAnsi="Times" w:cs="Arial"/>
        </w:rPr>
        <w:t xml:space="preserve"> have been entered into the application before the Court</w:t>
      </w:r>
      <w:r w:rsidR="00491D15" w:rsidRPr="004F1D23">
        <w:rPr>
          <w:rFonts w:ascii="Times" w:eastAsia="Times New Roman" w:hAnsi="Times" w:cs="Arial"/>
        </w:rPr>
        <w:t xml:space="preserve"> are not new pleas</w:t>
      </w:r>
      <w:r w:rsidR="003E5FBC" w:rsidRPr="004F1D23">
        <w:rPr>
          <w:rFonts w:ascii="Times" w:eastAsia="Times New Roman" w:hAnsi="Times" w:cs="Arial"/>
        </w:rPr>
        <w:t>.</w:t>
      </w:r>
      <w:r w:rsidR="003E5FBC" w:rsidRPr="004F1D23">
        <w:rPr>
          <w:rStyle w:val="FootnoteReference"/>
          <w:rFonts w:ascii="Times" w:eastAsia="Times New Roman" w:hAnsi="Times" w:cs="Arial"/>
        </w:rPr>
        <w:footnoteReference w:id="78"/>
      </w:r>
      <w:r w:rsidRPr="004F1D23">
        <w:rPr>
          <w:rFonts w:ascii="Times" w:eastAsia="Times New Roman" w:hAnsi="Times" w:cs="Arial"/>
        </w:rPr>
        <w:t xml:space="preserve"> </w:t>
      </w:r>
      <w:r w:rsidR="00100D8C" w:rsidRPr="004F1D23">
        <w:rPr>
          <w:rFonts w:ascii="Times" w:eastAsia="Times New Roman" w:hAnsi="Times" w:cs="Arial"/>
        </w:rPr>
        <w:t xml:space="preserve">And direct discrimination was raised in the application before the Court. Moreover, </w:t>
      </w:r>
      <w:r w:rsidR="000B5701" w:rsidRPr="004F1D23">
        <w:rPr>
          <w:rFonts w:ascii="Times" w:eastAsia="Times New Roman" w:hAnsi="Times" w:cs="Arial"/>
        </w:rPr>
        <w:t xml:space="preserve">if faced with </w:t>
      </w:r>
      <w:r w:rsidR="007C2BCA" w:rsidRPr="004F1D23">
        <w:rPr>
          <w:rFonts w:ascii="Times" w:eastAsia="Times New Roman" w:hAnsi="Times" w:cs="Arial"/>
          <w:shd w:val="clear" w:color="auto" w:fill="FFFFFF"/>
        </w:rPr>
        <w:t>a</w:t>
      </w:r>
      <w:r w:rsidRPr="004F1D23">
        <w:rPr>
          <w:rFonts w:ascii="Times" w:eastAsia="Times New Roman" w:hAnsi="Times" w:cs="Arial"/>
          <w:shd w:val="clear" w:color="auto" w:fill="FFFFFF"/>
        </w:rPr>
        <w:t xml:space="preserve"> pre</w:t>
      </w:r>
      <w:r w:rsidR="000B5701" w:rsidRPr="004F1D23">
        <w:rPr>
          <w:rFonts w:ascii="Times" w:eastAsia="Times New Roman" w:hAnsi="Times" w:cs="Arial"/>
          <w:shd w:val="clear" w:color="auto" w:fill="FFFFFF"/>
        </w:rPr>
        <w:t>liminary reference</w:t>
      </w:r>
      <w:r w:rsidRPr="004F1D23">
        <w:rPr>
          <w:rFonts w:ascii="Times" w:eastAsia="Times New Roman" w:hAnsi="Times" w:cs="Arial"/>
          <w:shd w:val="clear" w:color="auto" w:fill="FFFFFF"/>
        </w:rPr>
        <w:t xml:space="preserve"> </w:t>
      </w:r>
      <w:r w:rsidR="000B5701" w:rsidRPr="004F1D23">
        <w:rPr>
          <w:rFonts w:ascii="Times" w:eastAsia="Times New Roman" w:hAnsi="Times" w:cs="Arial"/>
          <w:shd w:val="clear" w:color="auto" w:fill="FFFFFF"/>
        </w:rPr>
        <w:t xml:space="preserve">in which </w:t>
      </w:r>
      <w:r w:rsidRPr="004F1D23">
        <w:rPr>
          <w:rFonts w:ascii="Times" w:eastAsia="Times New Roman" w:hAnsi="Times" w:cs="Arial"/>
          <w:shd w:val="clear" w:color="auto" w:fill="FFFFFF"/>
        </w:rPr>
        <w:t xml:space="preserve">one party made an argument about indirect discrimination, </w:t>
      </w:r>
      <w:r w:rsidR="000B5701" w:rsidRPr="004F1D23">
        <w:rPr>
          <w:rFonts w:ascii="Times" w:eastAsia="Times New Roman" w:hAnsi="Times" w:cs="Arial"/>
          <w:shd w:val="clear" w:color="auto" w:fill="FFFFFF"/>
        </w:rPr>
        <w:t xml:space="preserve">the Court were to </w:t>
      </w:r>
      <w:r w:rsidRPr="004F1D23">
        <w:rPr>
          <w:rFonts w:ascii="Times" w:eastAsia="Times New Roman" w:hAnsi="Times" w:cs="Arial"/>
          <w:shd w:val="clear" w:color="auto" w:fill="FFFFFF"/>
        </w:rPr>
        <w:t>identif</w:t>
      </w:r>
      <w:r w:rsidR="000B5701" w:rsidRPr="004F1D23">
        <w:rPr>
          <w:rFonts w:ascii="Times" w:eastAsia="Times New Roman" w:hAnsi="Times" w:cs="Arial"/>
          <w:shd w:val="clear" w:color="auto" w:fill="FFFFFF"/>
        </w:rPr>
        <w:t>y</w:t>
      </w:r>
      <w:r w:rsidRPr="004F1D23">
        <w:rPr>
          <w:rFonts w:ascii="Times" w:eastAsia="Times New Roman" w:hAnsi="Times" w:cs="Arial"/>
          <w:shd w:val="clear" w:color="auto" w:fill="FFFFFF"/>
        </w:rPr>
        <w:t xml:space="preserve"> direct discrimination, it would </w:t>
      </w:r>
      <w:r w:rsidR="000B5701" w:rsidRPr="004F1D23">
        <w:rPr>
          <w:rFonts w:ascii="Times" w:eastAsia="Times New Roman" w:hAnsi="Times" w:cs="Arial"/>
          <w:shd w:val="clear" w:color="auto" w:fill="FFFFFF"/>
        </w:rPr>
        <w:t>be</w:t>
      </w:r>
      <w:r w:rsidRPr="004F1D23">
        <w:rPr>
          <w:rFonts w:ascii="Times" w:eastAsia="Times New Roman" w:hAnsi="Times" w:cs="Arial"/>
          <w:shd w:val="clear" w:color="auto" w:fill="FFFFFF"/>
        </w:rPr>
        <w:t xml:space="preserve"> entitled to do so, as a re-interpretation of the question put, and using the same legal provisions. </w:t>
      </w:r>
      <w:r w:rsidR="000B5701" w:rsidRPr="004F1D23">
        <w:rPr>
          <w:rFonts w:ascii="Times" w:eastAsia="Times New Roman" w:hAnsi="Times" w:cs="Arial"/>
          <w:shd w:val="clear" w:color="auto" w:fill="FFFFFF"/>
        </w:rPr>
        <w:t>It</w:t>
      </w:r>
      <w:r w:rsidRPr="004F1D23">
        <w:rPr>
          <w:rFonts w:ascii="Times" w:eastAsia="Times New Roman" w:hAnsi="Times" w:cs="Arial"/>
          <w:shd w:val="clear" w:color="auto" w:fill="FFFFFF"/>
        </w:rPr>
        <w:t xml:space="preserve"> would seem odd for it not to have that l</w:t>
      </w:r>
      <w:r w:rsidR="007C2BCA" w:rsidRPr="004F1D23">
        <w:rPr>
          <w:rFonts w:ascii="Times" w:eastAsia="Times New Roman" w:hAnsi="Times" w:cs="Arial"/>
          <w:shd w:val="clear" w:color="auto" w:fill="FFFFFF"/>
        </w:rPr>
        <w:t xml:space="preserve">ee-way in an infringement case. </w:t>
      </w:r>
      <w:r w:rsidR="000B5701" w:rsidRPr="004F1D23">
        <w:rPr>
          <w:rFonts w:ascii="Times" w:eastAsia="Times New Roman" w:hAnsi="Times" w:cs="Arial"/>
          <w:shd w:val="clear" w:color="auto" w:fill="FFFFFF"/>
        </w:rPr>
        <w:t>As it happens,</w:t>
      </w:r>
      <w:r w:rsidR="007C2BCA" w:rsidRPr="004F1D23">
        <w:rPr>
          <w:rFonts w:ascii="Times" w:eastAsia="Times New Roman" w:hAnsi="Times" w:cs="Arial"/>
          <w:shd w:val="clear" w:color="auto" w:fill="FFFFFF"/>
        </w:rPr>
        <w:t xml:space="preserve"> that leeway is not required, as the </w:t>
      </w:r>
      <w:r w:rsidRPr="004F1D23">
        <w:rPr>
          <w:rFonts w:ascii="Times" w:eastAsia="Times New Roman" w:hAnsi="Times" w:cs="Arial"/>
          <w:shd w:val="clear" w:color="auto" w:fill="FFFFFF"/>
        </w:rPr>
        <w:t xml:space="preserve">matter </w:t>
      </w:r>
      <w:r w:rsidR="007C2BCA" w:rsidRPr="004F1D23">
        <w:rPr>
          <w:rFonts w:ascii="Times" w:eastAsia="Times New Roman" w:hAnsi="Times" w:cs="Arial"/>
          <w:shd w:val="clear" w:color="auto" w:fill="FFFFFF"/>
        </w:rPr>
        <w:t xml:space="preserve">was </w:t>
      </w:r>
      <w:r w:rsidRPr="004F1D23">
        <w:rPr>
          <w:rFonts w:ascii="Times" w:eastAsia="Times New Roman" w:hAnsi="Times" w:cs="Arial"/>
          <w:shd w:val="clear" w:color="auto" w:fill="FFFFFF"/>
        </w:rPr>
        <w:t>explicitly put before them.</w:t>
      </w:r>
      <w:r w:rsidRPr="004F1D23">
        <w:rPr>
          <w:rFonts w:ascii="Times" w:eastAsia="Times New Roman" w:hAnsi="Times" w:cs="Times New Roman"/>
        </w:rPr>
        <w:t xml:space="preserve"> </w:t>
      </w:r>
      <w:r w:rsidR="000B5701" w:rsidRPr="004F1D23">
        <w:rPr>
          <w:rFonts w:ascii="Times" w:eastAsia="Times New Roman" w:hAnsi="Times" w:cs="Times New Roman"/>
        </w:rPr>
        <w:t>But</w:t>
      </w:r>
      <w:r w:rsidRPr="004F1D23">
        <w:rPr>
          <w:rFonts w:ascii="Times" w:hAnsi="Times"/>
        </w:rPr>
        <w:t xml:space="preserve"> even the issue of admissibility was avoided</w:t>
      </w:r>
      <w:r w:rsidR="000B5701" w:rsidRPr="004F1D23">
        <w:rPr>
          <w:rFonts w:ascii="Times" w:hAnsi="Times"/>
        </w:rPr>
        <w:t xml:space="preserve"> by ignoring the question entirely</w:t>
      </w:r>
      <w:r w:rsidRPr="004F1D23">
        <w:rPr>
          <w:rFonts w:ascii="Times" w:hAnsi="Times"/>
        </w:rPr>
        <w:t xml:space="preserve">. </w:t>
      </w:r>
    </w:p>
    <w:p w14:paraId="7DFCB3D1" w14:textId="3F661958" w:rsidR="00087A74" w:rsidRPr="004F1D23" w:rsidRDefault="00087A74" w:rsidP="00914FAF">
      <w:pPr>
        <w:jc w:val="both"/>
        <w:rPr>
          <w:rFonts w:ascii="Times" w:hAnsi="Times"/>
        </w:rPr>
      </w:pPr>
    </w:p>
    <w:p w14:paraId="43141CE7" w14:textId="1AEEA334" w:rsidR="00A91336" w:rsidRPr="004F1D23" w:rsidRDefault="00A91336" w:rsidP="00914FAF">
      <w:pPr>
        <w:jc w:val="both"/>
        <w:rPr>
          <w:rFonts w:ascii="Times" w:eastAsia="Times New Roman" w:hAnsi="Times" w:cs="Arial"/>
          <w:shd w:val="clear" w:color="auto" w:fill="FFFFFF"/>
        </w:rPr>
      </w:pPr>
      <w:r w:rsidRPr="004F1D23">
        <w:rPr>
          <w:rFonts w:ascii="Times" w:hAnsi="Times"/>
        </w:rPr>
        <w:t xml:space="preserve">Having asserted that the issue is one of </w:t>
      </w:r>
      <w:r w:rsidR="007C2BCA" w:rsidRPr="004F1D23">
        <w:rPr>
          <w:rFonts w:ascii="Times" w:hAnsi="Times"/>
        </w:rPr>
        <w:t>in</w:t>
      </w:r>
      <w:r w:rsidRPr="004F1D23">
        <w:rPr>
          <w:rFonts w:ascii="Times" w:hAnsi="Times"/>
        </w:rPr>
        <w:t xml:space="preserve">direct discrimination, the Court turns to justification. And </w:t>
      </w:r>
      <w:r w:rsidR="001A1AD9" w:rsidRPr="004F1D23">
        <w:rPr>
          <w:rFonts w:ascii="Times" w:hAnsi="Times"/>
        </w:rPr>
        <w:t>here</w:t>
      </w:r>
      <w:r w:rsidRPr="004F1D23">
        <w:rPr>
          <w:rFonts w:ascii="Times" w:hAnsi="Times"/>
        </w:rPr>
        <w:t xml:space="preserve"> it performs </w:t>
      </w:r>
      <w:r w:rsidR="001A1AD9" w:rsidRPr="004F1D23">
        <w:rPr>
          <w:rFonts w:ascii="Times" w:hAnsi="Times"/>
        </w:rPr>
        <w:t xml:space="preserve">a </w:t>
      </w:r>
      <w:r w:rsidR="007D1552" w:rsidRPr="004F1D23">
        <w:rPr>
          <w:rFonts w:ascii="Times" w:hAnsi="Times"/>
        </w:rPr>
        <w:t>clumsy substitution</w:t>
      </w:r>
      <w:r w:rsidRPr="004F1D23">
        <w:rPr>
          <w:rFonts w:ascii="Times" w:hAnsi="Times"/>
        </w:rPr>
        <w:t>. It is clear, said the Court, that the need to pro</w:t>
      </w:r>
      <w:r w:rsidR="001A1AD9" w:rsidRPr="004F1D23">
        <w:rPr>
          <w:rFonts w:ascii="Times" w:hAnsi="Times"/>
        </w:rPr>
        <w:t>tect public finances justifies “</w:t>
      </w:r>
      <w:r w:rsidRPr="004F1D23">
        <w:rPr>
          <w:rFonts w:ascii="Times" w:eastAsia="Times New Roman" w:hAnsi="Times" w:cs="Arial"/>
          <w:shd w:val="clear" w:color="auto" w:fill="FFFFFF"/>
        </w:rPr>
        <w:t>the possibility of checking whether residence is law</w:t>
      </w:r>
      <w:r w:rsidR="001A1AD9" w:rsidRPr="004F1D23">
        <w:rPr>
          <w:rFonts w:ascii="Times" w:eastAsia="Times New Roman" w:hAnsi="Times" w:cs="Arial"/>
          <w:shd w:val="clear" w:color="auto" w:fill="FFFFFF"/>
        </w:rPr>
        <w:t>ful.”</w:t>
      </w:r>
      <w:r w:rsidRPr="004F1D23">
        <w:rPr>
          <w:rFonts w:ascii="Times" w:eastAsia="Times New Roman" w:hAnsi="Times" w:cs="Arial"/>
          <w:shd w:val="clear" w:color="auto" w:fill="FFFFFF"/>
        </w:rPr>
        <w:t xml:space="preserve"> Without missing a beat, the subject has suddenly switche</w:t>
      </w:r>
      <w:r w:rsidR="001A1AD9" w:rsidRPr="004F1D23">
        <w:rPr>
          <w:rFonts w:ascii="Times" w:eastAsia="Times New Roman" w:hAnsi="Times" w:cs="Arial"/>
          <w:shd w:val="clear" w:color="auto" w:fill="FFFFFF"/>
        </w:rPr>
        <w:t xml:space="preserve">d from the </w:t>
      </w:r>
      <w:r w:rsidR="007D1552" w:rsidRPr="004F1D23">
        <w:rPr>
          <w:rFonts w:ascii="Times" w:eastAsia="Times New Roman" w:hAnsi="Times" w:cs="Arial"/>
          <w:shd w:val="clear" w:color="auto" w:fill="FFFFFF"/>
        </w:rPr>
        <w:t>right to reside condition</w:t>
      </w:r>
      <w:r w:rsidR="001A1AD9" w:rsidRPr="004F1D23">
        <w:rPr>
          <w:rFonts w:ascii="Times" w:eastAsia="Times New Roman" w:hAnsi="Times" w:cs="Arial"/>
          <w:shd w:val="clear" w:color="auto" w:fill="FFFFFF"/>
        </w:rPr>
        <w:t xml:space="preserve"> itself, to the </w:t>
      </w:r>
      <w:r w:rsidRPr="004F1D23">
        <w:rPr>
          <w:rFonts w:ascii="Times" w:eastAsia="Times New Roman" w:hAnsi="Times" w:cs="Arial"/>
          <w:shd w:val="clear" w:color="auto" w:fill="FFFFFF"/>
        </w:rPr>
        <w:t>chec</w:t>
      </w:r>
      <w:r w:rsidR="001A1AD9" w:rsidRPr="004F1D23">
        <w:rPr>
          <w:rFonts w:ascii="Times" w:eastAsia="Times New Roman" w:hAnsi="Times" w:cs="Arial"/>
          <w:shd w:val="clear" w:color="auto" w:fill="FFFFFF"/>
        </w:rPr>
        <w:t xml:space="preserve">ks that follow from </w:t>
      </w:r>
      <w:r w:rsidR="007D1552" w:rsidRPr="004F1D23">
        <w:rPr>
          <w:rFonts w:ascii="Times" w:eastAsia="Times New Roman" w:hAnsi="Times" w:cs="Arial"/>
          <w:shd w:val="clear" w:color="auto" w:fill="FFFFFF"/>
        </w:rPr>
        <w:t>it</w:t>
      </w:r>
      <w:r w:rsidR="001A1AD9" w:rsidRPr="004F1D23">
        <w:rPr>
          <w:rFonts w:ascii="Times" w:eastAsia="Times New Roman" w:hAnsi="Times" w:cs="Arial"/>
          <w:shd w:val="clear" w:color="auto" w:fill="FFFFFF"/>
        </w:rPr>
        <w:t>.</w:t>
      </w:r>
    </w:p>
    <w:p w14:paraId="11B6F33A" w14:textId="77777777" w:rsidR="006864C4" w:rsidRPr="004F1D23" w:rsidRDefault="006864C4" w:rsidP="00914FAF">
      <w:pPr>
        <w:jc w:val="both"/>
        <w:rPr>
          <w:rFonts w:ascii="Times" w:eastAsia="Times New Roman" w:hAnsi="Times" w:cs="Arial"/>
          <w:shd w:val="clear" w:color="auto" w:fill="FFFFFF"/>
        </w:rPr>
      </w:pPr>
    </w:p>
    <w:p w14:paraId="329DA926" w14:textId="7CC4B834" w:rsidR="006864C4" w:rsidRPr="004F1D23" w:rsidRDefault="006864C4" w:rsidP="00914FAF">
      <w:pPr>
        <w:jc w:val="both"/>
        <w:rPr>
          <w:rFonts w:ascii="Times" w:eastAsia="Times New Roman" w:hAnsi="Times" w:cs="Times New Roman"/>
          <w:shd w:val="clear" w:color="auto" w:fill="FFFFFF"/>
        </w:rPr>
      </w:pPr>
      <w:r w:rsidRPr="004F1D23">
        <w:rPr>
          <w:rFonts w:ascii="Times" w:eastAsia="Times New Roman" w:hAnsi="Times" w:cs="Arial"/>
          <w:shd w:val="clear" w:color="auto" w:fill="FFFFFF"/>
        </w:rPr>
        <w:t xml:space="preserve">With judicial sleight of hand, the right to reside </w:t>
      </w:r>
      <w:r w:rsidR="007D1552" w:rsidRPr="004F1D23">
        <w:rPr>
          <w:rFonts w:ascii="Times" w:eastAsia="Times New Roman" w:hAnsi="Times" w:cs="Arial"/>
          <w:shd w:val="clear" w:color="auto" w:fill="FFFFFF"/>
        </w:rPr>
        <w:t>condition</w:t>
      </w:r>
      <w:r w:rsidRPr="004F1D23">
        <w:rPr>
          <w:rFonts w:ascii="Times" w:eastAsia="Times New Roman" w:hAnsi="Times" w:cs="Arial"/>
          <w:shd w:val="clear" w:color="auto" w:fill="FFFFFF"/>
        </w:rPr>
        <w:t xml:space="preserve"> itself is </w:t>
      </w:r>
      <w:r w:rsidR="001A1AD9" w:rsidRPr="004F1D23">
        <w:rPr>
          <w:rFonts w:ascii="Times" w:eastAsia="Times New Roman" w:hAnsi="Times" w:cs="Arial"/>
          <w:shd w:val="clear" w:color="auto" w:fill="FFFFFF"/>
        </w:rPr>
        <w:t xml:space="preserve">whisked off the table. It is </w:t>
      </w:r>
      <w:r w:rsidRPr="004F1D23">
        <w:rPr>
          <w:rFonts w:ascii="Times" w:eastAsia="Times New Roman" w:hAnsi="Times" w:cs="Arial"/>
          <w:shd w:val="clear" w:color="auto" w:fill="FFFFFF"/>
        </w:rPr>
        <w:t xml:space="preserve">assumed lawful, and the only thing </w:t>
      </w:r>
      <w:r w:rsidR="001A1AD9" w:rsidRPr="004F1D23">
        <w:rPr>
          <w:rFonts w:ascii="Times" w:eastAsia="Times New Roman" w:hAnsi="Times" w:cs="Arial"/>
          <w:shd w:val="clear" w:color="auto" w:fill="FFFFFF"/>
        </w:rPr>
        <w:t>that needs justification</w:t>
      </w:r>
      <w:r w:rsidRPr="004F1D23">
        <w:rPr>
          <w:rFonts w:ascii="Times" w:eastAsia="Times New Roman" w:hAnsi="Times" w:cs="Arial"/>
          <w:shd w:val="clear" w:color="auto" w:fill="FFFFFF"/>
        </w:rPr>
        <w:t xml:space="preserve"> is checks for compliance with </w:t>
      </w:r>
      <w:r w:rsidR="001A1AD9" w:rsidRPr="004F1D23">
        <w:rPr>
          <w:rFonts w:ascii="Times" w:eastAsia="Times New Roman" w:hAnsi="Times" w:cs="Arial"/>
          <w:shd w:val="clear" w:color="auto" w:fill="FFFFFF"/>
        </w:rPr>
        <w:t xml:space="preserve">the </w:t>
      </w:r>
      <w:r w:rsidR="007D1552" w:rsidRPr="004F1D23">
        <w:rPr>
          <w:rFonts w:ascii="Times" w:eastAsia="Times New Roman" w:hAnsi="Times" w:cs="Arial"/>
          <w:shd w:val="clear" w:color="auto" w:fill="FFFFFF"/>
        </w:rPr>
        <w:t>condition</w:t>
      </w:r>
      <w:r w:rsidR="001A1AD9" w:rsidRPr="004F1D23">
        <w:rPr>
          <w:rFonts w:ascii="Times" w:eastAsia="Times New Roman" w:hAnsi="Times" w:cs="Arial"/>
          <w:shd w:val="clear" w:color="auto" w:fill="FFFFFF"/>
        </w:rPr>
        <w:t xml:space="preserve">. As Cousins argues, </w:t>
      </w:r>
      <w:r w:rsidR="003E2D4B" w:rsidRPr="004F1D23">
        <w:rPr>
          <w:rFonts w:ascii="Times" w:eastAsia="Times New Roman" w:hAnsi="Times" w:cs="Arial"/>
          <w:shd w:val="clear" w:color="auto" w:fill="FFFFFF"/>
        </w:rPr>
        <w:t>the right to reside test, and its consequent checks, are different things.</w:t>
      </w:r>
      <w:bookmarkStart w:id="8" w:name="_Ref331422490"/>
      <w:r w:rsidR="0071732C" w:rsidRPr="004F1D23">
        <w:rPr>
          <w:rStyle w:val="FootnoteReference"/>
          <w:rFonts w:ascii="Times" w:eastAsia="Times New Roman" w:hAnsi="Times" w:cs="Times New Roman"/>
          <w:shd w:val="clear" w:color="auto" w:fill="FFFFFF"/>
        </w:rPr>
        <w:footnoteReference w:id="79"/>
      </w:r>
      <w:bookmarkEnd w:id="8"/>
      <w:r w:rsidRPr="004F1D23">
        <w:rPr>
          <w:rFonts w:ascii="Times" w:eastAsia="Times New Roman" w:hAnsi="Times" w:cs="Times New Roman"/>
          <w:shd w:val="clear" w:color="auto" w:fill="FFFFFF"/>
        </w:rPr>
        <w:t> </w:t>
      </w:r>
      <w:r w:rsidR="003E2D4B" w:rsidRPr="004F1D23">
        <w:rPr>
          <w:rFonts w:ascii="Times" w:eastAsia="Times New Roman" w:hAnsi="Times" w:cs="Times New Roman"/>
          <w:shd w:val="clear" w:color="auto" w:fill="FFFFFF"/>
        </w:rPr>
        <w:t xml:space="preserve">But </w:t>
      </w:r>
      <w:r w:rsidR="001A1AD9" w:rsidRPr="004F1D23">
        <w:rPr>
          <w:rFonts w:ascii="Times" w:eastAsia="Times New Roman" w:hAnsi="Times" w:cs="Times New Roman"/>
          <w:shd w:val="clear" w:color="auto" w:fill="FFFFFF"/>
        </w:rPr>
        <w:t>a</w:t>
      </w:r>
      <w:r w:rsidRPr="004F1D23">
        <w:rPr>
          <w:rFonts w:ascii="Times" w:eastAsia="Times New Roman" w:hAnsi="Times" w:cs="Times New Roman"/>
          <w:shd w:val="clear" w:color="auto" w:fill="FFFFFF"/>
        </w:rPr>
        <w:t xml:space="preserve"> discriminatory </w:t>
      </w:r>
      <w:r w:rsidR="007D1552" w:rsidRPr="004F1D23">
        <w:rPr>
          <w:rFonts w:ascii="Times" w:eastAsia="Times New Roman" w:hAnsi="Times" w:cs="Times New Roman"/>
          <w:shd w:val="clear" w:color="auto" w:fill="FFFFFF"/>
        </w:rPr>
        <w:t>condition</w:t>
      </w:r>
      <w:r w:rsidR="003E2D4B" w:rsidRPr="004F1D23">
        <w:rPr>
          <w:rFonts w:ascii="Times" w:eastAsia="Times New Roman" w:hAnsi="Times" w:cs="Times New Roman"/>
          <w:shd w:val="clear" w:color="auto" w:fill="FFFFFF"/>
        </w:rPr>
        <w:t xml:space="preserve"> has been </w:t>
      </w:r>
      <w:r w:rsidRPr="004F1D23">
        <w:rPr>
          <w:rFonts w:ascii="Times" w:eastAsia="Times New Roman" w:hAnsi="Times" w:cs="Times New Roman"/>
          <w:shd w:val="clear" w:color="auto" w:fill="FFFFFF"/>
        </w:rPr>
        <w:t xml:space="preserve">coupled with a justification for </w:t>
      </w:r>
      <w:r w:rsidRPr="004F1D23">
        <w:rPr>
          <w:rFonts w:ascii="Times" w:eastAsia="Times New Roman" w:hAnsi="Times" w:cs="Times New Roman"/>
          <w:i/>
          <w:shd w:val="clear" w:color="auto" w:fill="FFFFFF"/>
        </w:rPr>
        <w:t>checks</w:t>
      </w:r>
      <w:r w:rsidRPr="004F1D23">
        <w:rPr>
          <w:rFonts w:ascii="Times" w:eastAsia="Times New Roman" w:hAnsi="Times" w:cs="Times New Roman"/>
          <w:shd w:val="clear" w:color="auto" w:fill="FFFFFF"/>
        </w:rPr>
        <w:t xml:space="preserve"> for compliance</w:t>
      </w:r>
      <w:r w:rsidR="001A1AD9" w:rsidRPr="004F1D23">
        <w:rPr>
          <w:rFonts w:ascii="Times" w:eastAsia="Times New Roman" w:hAnsi="Times" w:cs="Times New Roman"/>
          <w:shd w:val="clear" w:color="auto" w:fill="FFFFFF"/>
        </w:rPr>
        <w:t xml:space="preserve"> </w:t>
      </w:r>
      <w:r w:rsidRPr="004F1D23">
        <w:rPr>
          <w:rFonts w:ascii="Times" w:eastAsia="Times New Roman" w:hAnsi="Times" w:cs="Times New Roman"/>
          <w:shd w:val="clear" w:color="auto" w:fill="FFFFFF"/>
        </w:rPr>
        <w:t xml:space="preserve">– not justification for the </w:t>
      </w:r>
      <w:r w:rsidR="0098092F" w:rsidRPr="004F1D23">
        <w:rPr>
          <w:rFonts w:ascii="Times" w:eastAsia="Times New Roman" w:hAnsi="Times" w:cs="Times New Roman"/>
          <w:shd w:val="clear" w:color="auto" w:fill="FFFFFF"/>
        </w:rPr>
        <w:t>discriminatory</w:t>
      </w:r>
      <w:r w:rsidR="007D1552" w:rsidRPr="004F1D23">
        <w:rPr>
          <w:rFonts w:ascii="Times" w:eastAsia="Times New Roman" w:hAnsi="Times" w:cs="Times New Roman"/>
          <w:shd w:val="clear" w:color="auto" w:fill="FFFFFF"/>
        </w:rPr>
        <w:t xml:space="preserve"> condition</w:t>
      </w:r>
      <w:r w:rsidRPr="004F1D23">
        <w:rPr>
          <w:rFonts w:ascii="Times" w:eastAsia="Times New Roman" w:hAnsi="Times" w:cs="Times New Roman"/>
          <w:shd w:val="clear" w:color="auto" w:fill="FFFFFF"/>
        </w:rPr>
        <w:t xml:space="preserve"> itself. </w:t>
      </w:r>
    </w:p>
    <w:p w14:paraId="3D9EA7FF" w14:textId="77777777" w:rsidR="006864C4" w:rsidRPr="004F1D23" w:rsidRDefault="006864C4" w:rsidP="00914FAF">
      <w:pPr>
        <w:jc w:val="both"/>
        <w:rPr>
          <w:rFonts w:ascii="Times" w:eastAsia="Times New Roman" w:hAnsi="Times" w:cs="Times New Roman"/>
          <w:shd w:val="clear" w:color="auto" w:fill="FFFFFF"/>
        </w:rPr>
      </w:pPr>
    </w:p>
    <w:p w14:paraId="2EB6D42C" w14:textId="6D898E13" w:rsidR="006864C4" w:rsidRPr="004F1D23" w:rsidRDefault="006864C4" w:rsidP="00914FAF">
      <w:pPr>
        <w:jc w:val="both"/>
        <w:rPr>
          <w:rFonts w:ascii="Times" w:eastAsia="Times New Roman" w:hAnsi="Times" w:cs="Times New Roman"/>
          <w:shd w:val="clear" w:color="auto" w:fill="FFFFFF"/>
        </w:rPr>
      </w:pPr>
      <w:r w:rsidRPr="004F1D23">
        <w:rPr>
          <w:rFonts w:ascii="Times" w:eastAsia="Times New Roman" w:hAnsi="Times" w:cs="Times New Roman"/>
          <w:shd w:val="clear" w:color="auto" w:fill="FFFFFF"/>
        </w:rPr>
        <w:t>A brief thought experiment might highlight the absurdity of this. Let us say that all EU national men automatically had a right to reside, but EU national women had to comply with the conditions set in Articl</w:t>
      </w:r>
      <w:r w:rsidR="0098092F" w:rsidRPr="004F1D23">
        <w:rPr>
          <w:rFonts w:ascii="Times" w:eastAsia="Times New Roman" w:hAnsi="Times" w:cs="Times New Roman"/>
          <w:shd w:val="clear" w:color="auto" w:fill="FFFFFF"/>
        </w:rPr>
        <w:t>e 7 of Directive 2004/38. First</w:t>
      </w:r>
      <w:r w:rsidRPr="004F1D23">
        <w:rPr>
          <w:rFonts w:ascii="Times" w:eastAsia="Times New Roman" w:hAnsi="Times" w:cs="Times New Roman"/>
          <w:shd w:val="clear" w:color="auto" w:fill="FFFFFF"/>
        </w:rPr>
        <w:t>, it would make no sense to describe this as ‘indirectly’ disc</w:t>
      </w:r>
      <w:r w:rsidR="001A1AD9" w:rsidRPr="004F1D23">
        <w:rPr>
          <w:rFonts w:ascii="Times" w:eastAsia="Times New Roman" w:hAnsi="Times" w:cs="Times New Roman"/>
          <w:shd w:val="clear" w:color="auto" w:fill="FFFFFF"/>
        </w:rPr>
        <w:t>riminating on the ground of sex</w:t>
      </w:r>
      <w:r w:rsidRPr="004F1D23">
        <w:rPr>
          <w:rFonts w:ascii="Times" w:eastAsia="Times New Roman" w:hAnsi="Times" w:cs="Times New Roman"/>
          <w:shd w:val="clear" w:color="auto" w:fill="FFFFFF"/>
        </w:rPr>
        <w:t xml:space="preserve">. </w:t>
      </w:r>
      <w:r w:rsidR="009B390A" w:rsidRPr="004F1D23">
        <w:rPr>
          <w:rFonts w:ascii="Times" w:eastAsia="Times New Roman" w:hAnsi="Times" w:cs="Times New Roman"/>
          <w:shd w:val="clear" w:color="auto" w:fill="FFFFFF"/>
        </w:rPr>
        <w:t>It may be argued that n</w:t>
      </w:r>
      <w:r w:rsidRPr="004F1D23">
        <w:rPr>
          <w:rFonts w:ascii="Times" w:eastAsia="Times New Roman" w:hAnsi="Times" w:cs="Times New Roman"/>
          <w:shd w:val="clear" w:color="auto" w:fill="FFFFFF"/>
        </w:rPr>
        <w:t xml:space="preserve">ationality </w:t>
      </w:r>
      <w:r w:rsidR="009B390A" w:rsidRPr="004F1D23">
        <w:rPr>
          <w:rFonts w:ascii="Times" w:eastAsia="Times New Roman" w:hAnsi="Times" w:cs="Times New Roman"/>
          <w:shd w:val="clear" w:color="auto" w:fill="FFFFFF"/>
        </w:rPr>
        <w:t>should</w:t>
      </w:r>
      <w:r w:rsidRPr="004F1D23">
        <w:rPr>
          <w:rFonts w:ascii="Times" w:eastAsia="Times New Roman" w:hAnsi="Times" w:cs="Times New Roman"/>
          <w:shd w:val="clear" w:color="auto" w:fill="FFFFFF"/>
        </w:rPr>
        <w:t xml:space="preserve"> permit differences of treatment, but </w:t>
      </w:r>
      <w:r w:rsidR="009B390A" w:rsidRPr="004F1D23">
        <w:rPr>
          <w:rFonts w:ascii="Times" w:eastAsia="Times New Roman" w:hAnsi="Times" w:cs="Times New Roman"/>
          <w:shd w:val="clear" w:color="auto" w:fill="FFFFFF"/>
        </w:rPr>
        <w:t>that does</w:t>
      </w:r>
      <w:r w:rsidRPr="004F1D23">
        <w:rPr>
          <w:rFonts w:ascii="Times" w:eastAsia="Times New Roman" w:hAnsi="Times" w:cs="Times New Roman"/>
          <w:shd w:val="clear" w:color="auto" w:fill="FFFFFF"/>
        </w:rPr>
        <w:t xml:space="preserve"> not alter the </w:t>
      </w:r>
      <w:r w:rsidRPr="004F1D23">
        <w:rPr>
          <w:rFonts w:ascii="Times" w:eastAsia="Times New Roman" w:hAnsi="Times" w:cs="Times New Roman"/>
          <w:i/>
          <w:shd w:val="clear" w:color="auto" w:fill="FFFFFF"/>
        </w:rPr>
        <w:t>direct</w:t>
      </w:r>
      <w:r w:rsidRPr="004F1D23">
        <w:rPr>
          <w:rFonts w:ascii="Times" w:eastAsia="Times New Roman" w:hAnsi="Times" w:cs="Times New Roman"/>
          <w:shd w:val="clear" w:color="auto" w:fill="FFFFFF"/>
        </w:rPr>
        <w:t xml:space="preserve"> nature of the discrimination</w:t>
      </w:r>
      <w:r w:rsidR="0098092F" w:rsidRPr="004F1D23">
        <w:rPr>
          <w:rFonts w:ascii="Times" w:eastAsia="Times New Roman" w:hAnsi="Times" w:cs="Times New Roman"/>
          <w:shd w:val="clear" w:color="auto" w:fill="FFFFFF"/>
        </w:rPr>
        <w:t xml:space="preserve"> at issue. Next, let us imagine</w:t>
      </w:r>
      <w:r w:rsidRPr="004F1D23">
        <w:rPr>
          <w:rFonts w:ascii="Times" w:eastAsia="Times New Roman" w:hAnsi="Times" w:cs="Times New Roman"/>
          <w:shd w:val="clear" w:color="auto" w:fill="FFFFFF"/>
        </w:rPr>
        <w:t xml:space="preserve"> that this </w:t>
      </w:r>
      <w:r w:rsidR="009B390A" w:rsidRPr="004F1D23">
        <w:rPr>
          <w:rFonts w:ascii="Times" w:eastAsia="Times New Roman" w:hAnsi="Times" w:cs="Times New Roman"/>
          <w:shd w:val="clear" w:color="auto" w:fill="FFFFFF"/>
        </w:rPr>
        <w:t>has nevertheless</w:t>
      </w:r>
      <w:r w:rsidRPr="004F1D23">
        <w:rPr>
          <w:rFonts w:ascii="Times" w:eastAsia="Times New Roman" w:hAnsi="Times" w:cs="Times New Roman"/>
          <w:shd w:val="clear" w:color="auto" w:fill="FFFFFF"/>
        </w:rPr>
        <w:t xml:space="preserve"> been characterised as indirect discrimination, </w:t>
      </w:r>
      <w:r w:rsidR="009B390A" w:rsidRPr="004F1D23">
        <w:rPr>
          <w:rFonts w:ascii="Times" w:eastAsia="Times New Roman" w:hAnsi="Times" w:cs="Times New Roman"/>
          <w:shd w:val="clear" w:color="auto" w:fill="FFFFFF"/>
        </w:rPr>
        <w:t xml:space="preserve">and that </w:t>
      </w:r>
      <w:r w:rsidRPr="004F1D23">
        <w:rPr>
          <w:rFonts w:ascii="Times" w:eastAsia="Times New Roman" w:hAnsi="Times" w:cs="Times New Roman"/>
          <w:shd w:val="clear" w:color="auto" w:fill="FFFFFF"/>
        </w:rPr>
        <w:t xml:space="preserve">the </w:t>
      </w:r>
      <w:r w:rsidR="0098092F" w:rsidRPr="004F1D23">
        <w:rPr>
          <w:rFonts w:ascii="Times" w:eastAsia="Times New Roman" w:hAnsi="Times" w:cs="Times New Roman"/>
          <w:shd w:val="clear" w:color="auto" w:fill="FFFFFF"/>
        </w:rPr>
        <w:t>offending state wa</w:t>
      </w:r>
      <w:r w:rsidR="009B390A" w:rsidRPr="004F1D23">
        <w:rPr>
          <w:rFonts w:ascii="Times" w:eastAsia="Times New Roman" w:hAnsi="Times" w:cs="Times New Roman"/>
          <w:shd w:val="clear" w:color="auto" w:fill="FFFFFF"/>
        </w:rPr>
        <w:t xml:space="preserve">s not asked to justify the rule </w:t>
      </w:r>
      <w:r w:rsidR="0098092F" w:rsidRPr="004F1D23">
        <w:rPr>
          <w:rFonts w:ascii="Times" w:eastAsia="Times New Roman" w:hAnsi="Times" w:cs="Times New Roman"/>
          <w:shd w:val="clear" w:color="auto" w:fill="FFFFFF"/>
        </w:rPr>
        <w:t>excluding</w:t>
      </w:r>
      <w:r w:rsidRPr="004F1D23">
        <w:rPr>
          <w:rFonts w:ascii="Times" w:eastAsia="Times New Roman" w:hAnsi="Times" w:cs="Times New Roman"/>
          <w:shd w:val="clear" w:color="auto" w:fill="FFFFFF"/>
        </w:rPr>
        <w:t xml:space="preserve"> women, but was </w:t>
      </w:r>
      <w:r w:rsidR="0098092F" w:rsidRPr="004F1D23">
        <w:rPr>
          <w:rFonts w:ascii="Times" w:eastAsia="Times New Roman" w:hAnsi="Times" w:cs="Times New Roman"/>
          <w:shd w:val="clear" w:color="auto" w:fill="FFFFFF"/>
        </w:rPr>
        <w:t>just asked to justify the proce</w:t>
      </w:r>
      <w:r w:rsidR="009B390A" w:rsidRPr="004F1D23">
        <w:rPr>
          <w:rFonts w:ascii="Times" w:eastAsia="Times New Roman" w:hAnsi="Times" w:cs="Times New Roman"/>
          <w:shd w:val="clear" w:color="auto" w:fill="FFFFFF"/>
        </w:rPr>
        <w:t xml:space="preserve">dures by which the authorities </w:t>
      </w:r>
      <w:r w:rsidR="009B390A" w:rsidRPr="004F1D23">
        <w:rPr>
          <w:rFonts w:ascii="Times" w:eastAsia="Times New Roman" w:hAnsi="Times" w:cs="Times New Roman"/>
          <w:i/>
          <w:shd w:val="clear" w:color="auto" w:fill="FFFFFF"/>
        </w:rPr>
        <w:t>checked</w:t>
      </w:r>
      <w:r w:rsidR="0098092F" w:rsidRPr="004F1D23">
        <w:rPr>
          <w:rFonts w:ascii="Times" w:eastAsia="Times New Roman" w:hAnsi="Times" w:cs="Times New Roman"/>
          <w:shd w:val="clear" w:color="auto" w:fill="FFFFFF"/>
        </w:rPr>
        <w:t xml:space="preserve"> </w:t>
      </w:r>
      <w:r w:rsidR="007D1552" w:rsidRPr="004F1D23">
        <w:rPr>
          <w:rFonts w:ascii="Times" w:eastAsia="Times New Roman" w:hAnsi="Times" w:cs="Times New Roman"/>
          <w:shd w:val="clear" w:color="auto" w:fill="FFFFFF"/>
        </w:rPr>
        <w:t xml:space="preserve">whether </w:t>
      </w:r>
      <w:r w:rsidR="009B390A" w:rsidRPr="004F1D23">
        <w:rPr>
          <w:rFonts w:ascii="Times" w:eastAsia="Times New Roman" w:hAnsi="Times" w:cs="Times New Roman"/>
          <w:shd w:val="clear" w:color="auto" w:fill="FFFFFF"/>
        </w:rPr>
        <w:t>claimants were women. Under this approach, the Court</w:t>
      </w:r>
      <w:r w:rsidR="0098092F" w:rsidRPr="004F1D23">
        <w:rPr>
          <w:rFonts w:ascii="Times" w:eastAsia="Times New Roman" w:hAnsi="Times" w:cs="Times New Roman"/>
          <w:shd w:val="clear" w:color="auto" w:fill="FFFFFF"/>
        </w:rPr>
        <w:t xml:space="preserve"> might find that requiring a birth certificate from everyone was excessive, but asking them to fill in a form declaring their sex was not. </w:t>
      </w:r>
    </w:p>
    <w:p w14:paraId="34CB6A70" w14:textId="77777777" w:rsidR="0098092F" w:rsidRPr="004F1D23" w:rsidRDefault="0098092F" w:rsidP="00914FAF">
      <w:pPr>
        <w:jc w:val="both"/>
        <w:rPr>
          <w:rFonts w:ascii="Times" w:eastAsia="Times New Roman" w:hAnsi="Times" w:cs="Times New Roman"/>
          <w:shd w:val="clear" w:color="auto" w:fill="FFFFFF"/>
        </w:rPr>
      </w:pPr>
    </w:p>
    <w:p w14:paraId="42FE5063" w14:textId="0276FC9C" w:rsidR="0098092F" w:rsidRPr="004F1D23" w:rsidRDefault="0098092F" w:rsidP="00914FAF">
      <w:pPr>
        <w:jc w:val="both"/>
        <w:rPr>
          <w:rFonts w:ascii="Times" w:eastAsia="Times New Roman" w:hAnsi="Times" w:cs="Times New Roman"/>
          <w:shd w:val="clear" w:color="auto" w:fill="FFFFFF"/>
        </w:rPr>
      </w:pPr>
      <w:r w:rsidRPr="004F1D23">
        <w:rPr>
          <w:rFonts w:ascii="Times" w:eastAsia="Times New Roman" w:hAnsi="Times" w:cs="Times New Roman"/>
          <w:shd w:val="clear" w:color="auto" w:fill="FFFFFF"/>
        </w:rPr>
        <w:t xml:space="preserve">It is the </w:t>
      </w:r>
      <w:r w:rsidR="007D1552" w:rsidRPr="004F1D23">
        <w:rPr>
          <w:rFonts w:ascii="Times" w:eastAsia="Times New Roman" w:hAnsi="Times" w:cs="Times New Roman"/>
          <w:shd w:val="clear" w:color="auto" w:fill="FFFFFF"/>
        </w:rPr>
        <w:t>condition</w:t>
      </w:r>
      <w:r w:rsidRPr="004F1D23">
        <w:rPr>
          <w:rFonts w:ascii="Times" w:eastAsia="Times New Roman" w:hAnsi="Times" w:cs="Times New Roman"/>
          <w:shd w:val="clear" w:color="auto" w:fill="FFFFFF"/>
        </w:rPr>
        <w:t xml:space="preserve">, not the checks, that </w:t>
      </w:r>
      <w:r w:rsidR="009B390A" w:rsidRPr="004F1D23">
        <w:rPr>
          <w:rFonts w:ascii="Times" w:eastAsia="Times New Roman" w:hAnsi="Times" w:cs="Times New Roman"/>
          <w:shd w:val="clear" w:color="auto" w:fill="FFFFFF"/>
        </w:rPr>
        <w:t xml:space="preserve">is the main problem, and it is the </w:t>
      </w:r>
      <w:r w:rsidR="007D1552" w:rsidRPr="004F1D23">
        <w:rPr>
          <w:rFonts w:ascii="Times" w:eastAsia="Times New Roman" w:hAnsi="Times" w:cs="Times New Roman"/>
          <w:shd w:val="clear" w:color="auto" w:fill="FFFFFF"/>
        </w:rPr>
        <w:t>condition</w:t>
      </w:r>
      <w:r w:rsidR="009B390A" w:rsidRPr="004F1D23">
        <w:rPr>
          <w:rFonts w:ascii="Times" w:eastAsia="Times New Roman" w:hAnsi="Times" w:cs="Times New Roman"/>
          <w:shd w:val="clear" w:color="auto" w:fill="FFFFFF"/>
        </w:rPr>
        <w:t xml:space="preserve"> that </w:t>
      </w:r>
      <w:r w:rsidRPr="004F1D23">
        <w:rPr>
          <w:rFonts w:ascii="Times" w:eastAsia="Times New Roman" w:hAnsi="Times" w:cs="Times New Roman"/>
          <w:shd w:val="clear" w:color="auto" w:fill="FFFFFF"/>
        </w:rPr>
        <w:t xml:space="preserve">must be justified once </w:t>
      </w:r>
      <w:r w:rsidR="009B390A" w:rsidRPr="004F1D23">
        <w:rPr>
          <w:rFonts w:ascii="Times" w:eastAsia="Times New Roman" w:hAnsi="Times" w:cs="Times New Roman"/>
          <w:shd w:val="clear" w:color="auto" w:fill="FFFFFF"/>
        </w:rPr>
        <w:t>it</w:t>
      </w:r>
      <w:r w:rsidRPr="004F1D23">
        <w:rPr>
          <w:rFonts w:ascii="Times" w:eastAsia="Times New Roman" w:hAnsi="Times" w:cs="Times New Roman"/>
          <w:shd w:val="clear" w:color="auto" w:fill="FFFFFF"/>
        </w:rPr>
        <w:t xml:space="preserve"> has been shown to</w:t>
      </w:r>
      <w:r w:rsidR="009B390A" w:rsidRPr="004F1D23">
        <w:rPr>
          <w:rFonts w:ascii="Times" w:eastAsia="Times New Roman" w:hAnsi="Times" w:cs="Times New Roman"/>
          <w:shd w:val="clear" w:color="auto" w:fill="FFFFFF"/>
        </w:rPr>
        <w:t xml:space="preserve"> be discriminatory</w:t>
      </w:r>
      <w:r w:rsidRPr="004F1D23">
        <w:rPr>
          <w:rFonts w:ascii="Times" w:eastAsia="Times New Roman" w:hAnsi="Times" w:cs="Times New Roman"/>
          <w:shd w:val="clear" w:color="auto" w:fill="FFFFFF"/>
        </w:rPr>
        <w:t>. The checks are a separate, though important issue – and even here, both the Advocate Gene</w:t>
      </w:r>
      <w:r w:rsidR="009B390A" w:rsidRPr="004F1D23">
        <w:rPr>
          <w:rFonts w:ascii="Times" w:eastAsia="Times New Roman" w:hAnsi="Times" w:cs="Times New Roman"/>
          <w:shd w:val="clear" w:color="auto" w:fill="FFFFFF"/>
        </w:rPr>
        <w:t xml:space="preserve">ral and the Court avoid analysing the duties created by Article 14(2) of Directive 2004/38, </w:t>
      </w:r>
      <w:r w:rsidRPr="004F1D23">
        <w:rPr>
          <w:rFonts w:ascii="Times" w:eastAsia="Times New Roman" w:hAnsi="Times" w:cs="Times New Roman"/>
          <w:shd w:val="clear" w:color="auto" w:fill="FFFFFF"/>
        </w:rPr>
        <w:t xml:space="preserve">preferring to report the UK’s submissions, and reverse the burden of proof, so that it the Commission </w:t>
      </w:r>
      <w:r w:rsidR="009B390A" w:rsidRPr="004F1D23">
        <w:rPr>
          <w:rFonts w:ascii="Times" w:eastAsia="Times New Roman" w:hAnsi="Times" w:cs="Times New Roman"/>
          <w:shd w:val="clear" w:color="auto" w:fill="FFFFFF"/>
        </w:rPr>
        <w:t>must not only show discrimination, but also</w:t>
      </w:r>
      <w:r w:rsidRPr="004F1D23">
        <w:rPr>
          <w:rFonts w:ascii="Times" w:eastAsia="Times New Roman" w:hAnsi="Times" w:cs="Times New Roman"/>
          <w:shd w:val="clear" w:color="auto" w:fill="FFFFFF"/>
        </w:rPr>
        <w:t xml:space="preserve"> prove that it is not justified.  </w:t>
      </w:r>
    </w:p>
    <w:p w14:paraId="3DC817A0" w14:textId="77777777" w:rsidR="0098092F" w:rsidRPr="004F1D23" w:rsidRDefault="0098092F" w:rsidP="00914FAF">
      <w:pPr>
        <w:jc w:val="both"/>
        <w:rPr>
          <w:rFonts w:ascii="Times" w:eastAsia="Times New Roman" w:hAnsi="Times" w:cs="Times New Roman"/>
          <w:shd w:val="clear" w:color="auto" w:fill="FFFFFF"/>
        </w:rPr>
      </w:pPr>
    </w:p>
    <w:p w14:paraId="224D7DAF" w14:textId="274A3958" w:rsidR="0098092F" w:rsidRPr="004F1D23" w:rsidRDefault="0098092F" w:rsidP="00914FAF">
      <w:pPr>
        <w:jc w:val="both"/>
        <w:rPr>
          <w:rFonts w:ascii="Times" w:hAnsi="Times"/>
          <w:i/>
        </w:rPr>
      </w:pPr>
      <w:r w:rsidRPr="004F1D23">
        <w:rPr>
          <w:rFonts w:ascii="Times" w:hAnsi="Times"/>
        </w:rPr>
        <w:t xml:space="preserve">5.3 </w:t>
      </w:r>
      <w:r w:rsidRPr="004F1D23">
        <w:rPr>
          <w:rFonts w:ascii="Times" w:hAnsi="Times"/>
          <w:i/>
        </w:rPr>
        <w:t xml:space="preserve">Systematic verification and indirect discrimination: evading definition and reversing the burden of proof </w:t>
      </w:r>
    </w:p>
    <w:p w14:paraId="403F2526" w14:textId="77777777" w:rsidR="0098092F" w:rsidRPr="004F1D23" w:rsidRDefault="0098092F" w:rsidP="00914FAF">
      <w:pPr>
        <w:jc w:val="both"/>
        <w:rPr>
          <w:rFonts w:ascii="Times" w:eastAsia="Times New Roman" w:hAnsi="Times" w:cs="Times New Roman"/>
          <w:i/>
          <w:shd w:val="clear" w:color="auto" w:fill="FFFFFF"/>
        </w:rPr>
      </w:pPr>
    </w:p>
    <w:p w14:paraId="34299A2E" w14:textId="71F1C305" w:rsidR="0071732C" w:rsidRPr="004F1D23" w:rsidRDefault="0071732C" w:rsidP="00914FAF">
      <w:pPr>
        <w:jc w:val="both"/>
        <w:rPr>
          <w:rFonts w:ascii="Times" w:eastAsia="Times New Roman" w:hAnsi="Times" w:cs="Arial"/>
          <w:shd w:val="clear" w:color="auto" w:fill="FFFFFF"/>
        </w:rPr>
      </w:pPr>
      <w:r w:rsidRPr="004F1D23">
        <w:rPr>
          <w:rFonts w:ascii="Times" w:hAnsi="Times"/>
        </w:rPr>
        <w:t xml:space="preserve">The Advocate General made clear that </w:t>
      </w:r>
      <w:r w:rsidR="007509F0" w:rsidRPr="004F1D23">
        <w:rPr>
          <w:rFonts w:ascii="Times" w:hAnsi="Times"/>
        </w:rPr>
        <w:t xml:space="preserve">European citizenship precludes a </w:t>
      </w:r>
      <w:r w:rsidRPr="004F1D23">
        <w:rPr>
          <w:rFonts w:ascii="Times" w:hAnsi="Times"/>
        </w:rPr>
        <w:t>pr</w:t>
      </w:r>
      <w:r w:rsidR="007509F0" w:rsidRPr="004F1D23">
        <w:rPr>
          <w:rFonts w:ascii="Times" w:hAnsi="Times"/>
        </w:rPr>
        <w:t>esumption of unlawful residence.</w:t>
      </w:r>
      <w:r w:rsidR="009B390A" w:rsidRPr="004F1D23">
        <w:rPr>
          <w:rStyle w:val="FootnoteReference"/>
          <w:rFonts w:ascii="Times" w:eastAsia="Times New Roman" w:hAnsi="Times" w:cs="Arial"/>
          <w:shd w:val="clear" w:color="auto" w:fill="FFFFFF"/>
        </w:rPr>
        <w:footnoteReference w:id="80"/>
      </w:r>
      <w:r w:rsidR="007509F0" w:rsidRPr="004F1D23">
        <w:rPr>
          <w:rFonts w:ascii="Times" w:hAnsi="Times"/>
        </w:rPr>
        <w:t xml:space="preserve"> He</w:t>
      </w:r>
      <w:r w:rsidR="00F344D6" w:rsidRPr="004F1D23">
        <w:rPr>
          <w:rFonts w:ascii="Times" w:hAnsi="Times"/>
        </w:rPr>
        <w:t xml:space="preserve"> </w:t>
      </w:r>
      <w:r w:rsidRPr="004F1D23">
        <w:rPr>
          <w:rFonts w:ascii="Times" w:hAnsi="Times"/>
        </w:rPr>
        <w:t xml:space="preserve">also pointed to the Article 14(2) Directive 2004/38 requirement that checks on lawful residence should not be systematic. He went on to find that it cannot be inferred that the UK </w:t>
      </w:r>
      <w:r w:rsidR="00F344D6" w:rsidRPr="004F1D23">
        <w:rPr>
          <w:rFonts w:ascii="Times" w:hAnsi="Times"/>
        </w:rPr>
        <w:t>makes a presumption of unlawful residence which “</w:t>
      </w:r>
      <w:r w:rsidRPr="004F1D23">
        <w:rPr>
          <w:rFonts w:ascii="Times" w:eastAsia="Times New Roman" w:hAnsi="Times" w:cs="Arial"/>
          <w:shd w:val="clear" w:color="auto" w:fill="FFFFFF"/>
        </w:rPr>
        <w:t>would be contrary to Article </w:t>
      </w:r>
      <w:r w:rsidR="00F344D6" w:rsidRPr="004F1D23">
        <w:rPr>
          <w:rFonts w:ascii="Times" w:eastAsia="Times New Roman" w:hAnsi="Times" w:cs="Arial"/>
          <w:shd w:val="clear" w:color="auto" w:fill="FFFFFF"/>
        </w:rPr>
        <w:t>20(2) TFEU and Article 21 TFEU.”</w:t>
      </w:r>
      <w:r w:rsidR="00F344D6" w:rsidRPr="004F1D23">
        <w:rPr>
          <w:rStyle w:val="FootnoteReference"/>
          <w:rFonts w:ascii="Times" w:eastAsia="Times New Roman" w:hAnsi="Times" w:cs="Arial"/>
          <w:shd w:val="clear" w:color="auto" w:fill="FFFFFF"/>
        </w:rPr>
        <w:footnoteReference w:id="81"/>
      </w:r>
      <w:r w:rsidRPr="004F1D23">
        <w:rPr>
          <w:rFonts w:ascii="Times" w:eastAsia="Times New Roman" w:hAnsi="Times" w:cs="Arial"/>
          <w:shd w:val="clear" w:color="auto" w:fill="FFFFFF"/>
        </w:rPr>
        <w:t xml:space="preserve"> </w:t>
      </w:r>
    </w:p>
    <w:p w14:paraId="6E9E7C86" w14:textId="45200866" w:rsidR="0071732C" w:rsidRPr="004F1D23" w:rsidRDefault="0071732C" w:rsidP="00914FAF">
      <w:pPr>
        <w:jc w:val="both"/>
        <w:rPr>
          <w:rFonts w:ascii="Times" w:eastAsia="Times New Roman" w:hAnsi="Times" w:cs="Times New Roman"/>
        </w:rPr>
      </w:pPr>
    </w:p>
    <w:p w14:paraId="1AF31513" w14:textId="1A1122DB" w:rsidR="00A82422" w:rsidRPr="004F1D23" w:rsidRDefault="0071732C" w:rsidP="00914FAF">
      <w:pPr>
        <w:jc w:val="both"/>
        <w:rPr>
          <w:rFonts w:ascii="Times" w:eastAsia="Times New Roman" w:hAnsi="Times" w:cs="Arial"/>
          <w:shd w:val="clear" w:color="auto" w:fill="FFFFFF"/>
        </w:rPr>
      </w:pPr>
      <w:r w:rsidRPr="004F1D23">
        <w:rPr>
          <w:rFonts w:ascii="Times" w:hAnsi="Times"/>
        </w:rPr>
        <w:t>The Court in contrast made no mention of citizenship, or presumptions as to lawfulness of residence, but did mention Article 14(2)</w:t>
      </w:r>
      <w:r w:rsidR="00A82422" w:rsidRPr="004F1D23">
        <w:rPr>
          <w:rFonts w:ascii="Times" w:hAnsi="Times"/>
        </w:rPr>
        <w:t>, and found in the space of two paragraphs, in which it appeared to rely on the UK’s submissions, that Article 1</w:t>
      </w:r>
      <w:r w:rsidR="00F344D6" w:rsidRPr="004F1D23">
        <w:rPr>
          <w:rFonts w:ascii="Times" w:hAnsi="Times"/>
        </w:rPr>
        <w:t>4(2) was not infringed. It was “</w:t>
      </w:r>
      <w:r w:rsidR="00A82422" w:rsidRPr="004F1D23">
        <w:rPr>
          <w:rFonts w:ascii="Times" w:eastAsia="Times New Roman" w:hAnsi="Times" w:cs="Arial"/>
          <w:shd w:val="clear" w:color="auto" w:fill="FFFFFF"/>
        </w:rPr>
        <w:t>apparent from the observat</w:t>
      </w:r>
      <w:r w:rsidR="00F344D6" w:rsidRPr="004F1D23">
        <w:rPr>
          <w:rFonts w:ascii="Times" w:eastAsia="Times New Roman" w:hAnsi="Times" w:cs="Arial"/>
          <w:shd w:val="clear" w:color="auto" w:fill="FFFFFF"/>
        </w:rPr>
        <w:t>ions made by the United Kingdom”</w:t>
      </w:r>
      <w:r w:rsidR="00A82422" w:rsidRPr="004F1D23">
        <w:rPr>
          <w:rFonts w:ascii="Times" w:eastAsia="Times New Roman" w:hAnsi="Times" w:cs="Arial"/>
          <w:shd w:val="clear" w:color="auto" w:fill="FFFFFF"/>
        </w:rPr>
        <w:t xml:space="preserve"> that claimants are required to provide </w:t>
      </w:r>
      <w:r w:rsidR="00F344D6" w:rsidRPr="004F1D23">
        <w:rPr>
          <w:rFonts w:ascii="Times" w:eastAsia="Times New Roman" w:hAnsi="Times" w:cs="Arial"/>
          <w:shd w:val="clear" w:color="auto" w:fill="FFFFFF"/>
        </w:rPr>
        <w:t>a “set of data”</w:t>
      </w:r>
      <w:r w:rsidR="00A82422" w:rsidRPr="004F1D23">
        <w:rPr>
          <w:rFonts w:ascii="Times" w:eastAsia="Times New Roman" w:hAnsi="Times" w:cs="Arial"/>
          <w:shd w:val="clear" w:color="auto" w:fill="FFFFFF"/>
        </w:rPr>
        <w:t>, which</w:t>
      </w:r>
      <w:r w:rsidR="00F344D6" w:rsidRPr="004F1D23">
        <w:rPr>
          <w:rFonts w:ascii="Times" w:eastAsia="Times New Roman" w:hAnsi="Times" w:cs="Arial"/>
          <w:shd w:val="clear" w:color="auto" w:fill="FFFFFF"/>
        </w:rPr>
        <w:t xml:space="preserve"> are subsequently checked, and “</w:t>
      </w:r>
      <w:r w:rsidR="00A82422" w:rsidRPr="004F1D23">
        <w:rPr>
          <w:rFonts w:ascii="Times" w:eastAsia="Times New Roman" w:hAnsi="Times" w:cs="Arial"/>
          <w:shd w:val="clear" w:color="auto" w:fill="FFFFFF"/>
        </w:rPr>
        <w:t>[i]t is only in specific cases that claimants are required to prove that they in fact e</w:t>
      </w:r>
      <w:r w:rsidR="00F344D6" w:rsidRPr="004F1D23">
        <w:rPr>
          <w:rFonts w:ascii="Times" w:eastAsia="Times New Roman" w:hAnsi="Times" w:cs="Arial"/>
          <w:shd w:val="clear" w:color="auto" w:fill="FFFFFF"/>
        </w:rPr>
        <w:t>njoy a right to reside lawfully”.</w:t>
      </w:r>
      <w:r w:rsidR="00F344D6" w:rsidRPr="004F1D23">
        <w:rPr>
          <w:rStyle w:val="FootnoteReference"/>
          <w:rFonts w:ascii="Times" w:eastAsia="Times New Roman" w:hAnsi="Times" w:cs="Arial"/>
          <w:shd w:val="clear" w:color="auto" w:fill="FFFFFF"/>
        </w:rPr>
        <w:footnoteReference w:id="82"/>
      </w:r>
      <w:r w:rsidR="00F344D6" w:rsidRPr="004F1D23">
        <w:rPr>
          <w:rFonts w:ascii="Times" w:eastAsia="Times New Roman" w:hAnsi="Times" w:cs="Arial"/>
          <w:shd w:val="clear" w:color="auto" w:fill="FFFFFF"/>
        </w:rPr>
        <w:t xml:space="preserve"> The Court said it was </w:t>
      </w:r>
      <w:r w:rsidR="007D1552" w:rsidRPr="004F1D23">
        <w:rPr>
          <w:rFonts w:ascii="Times" w:eastAsia="Times New Roman" w:hAnsi="Times" w:cs="Arial"/>
          <w:shd w:val="clear" w:color="auto" w:fill="FFFFFF"/>
        </w:rPr>
        <w:t>evident that “</w:t>
      </w:r>
      <w:r w:rsidR="00A82422" w:rsidRPr="004F1D23">
        <w:rPr>
          <w:rFonts w:ascii="Times" w:eastAsia="Times New Roman" w:hAnsi="Times" w:cs="Arial"/>
          <w:shd w:val="clear" w:color="auto" w:fill="FFFFFF"/>
        </w:rPr>
        <w:t>the checking of compliance with the conditions laid down by Directive 2004/38 for existence of a right of residence is</w:t>
      </w:r>
      <w:r w:rsidR="00F344D6" w:rsidRPr="004F1D23">
        <w:rPr>
          <w:rFonts w:ascii="Times" w:eastAsia="Times New Roman" w:hAnsi="Times" w:cs="Arial"/>
          <w:shd w:val="clear" w:color="auto" w:fill="FFFFFF"/>
        </w:rPr>
        <w:t xml:space="preserve"> not carried out systematically”</w:t>
      </w:r>
      <w:r w:rsidR="00A82422" w:rsidRPr="004F1D23">
        <w:rPr>
          <w:rFonts w:ascii="Times" w:eastAsia="Times New Roman" w:hAnsi="Times" w:cs="Arial"/>
          <w:shd w:val="clear" w:color="auto" w:fill="FFFFFF"/>
        </w:rPr>
        <w:t>.</w:t>
      </w:r>
      <w:r w:rsidR="00F344D6" w:rsidRPr="004F1D23">
        <w:rPr>
          <w:rStyle w:val="FootnoteReference"/>
          <w:rFonts w:ascii="Times" w:eastAsia="Times New Roman" w:hAnsi="Times" w:cs="Arial"/>
          <w:shd w:val="clear" w:color="auto" w:fill="FFFFFF"/>
        </w:rPr>
        <w:footnoteReference w:id="83"/>
      </w:r>
      <w:r w:rsidR="00A82422" w:rsidRPr="004F1D23">
        <w:rPr>
          <w:rFonts w:ascii="Times" w:eastAsia="Times New Roman" w:hAnsi="Times" w:cs="Arial"/>
          <w:shd w:val="clear" w:color="auto" w:fill="FFFFFF"/>
        </w:rPr>
        <w:t xml:space="preserve"> </w:t>
      </w:r>
    </w:p>
    <w:p w14:paraId="0C3B6D81" w14:textId="77777777" w:rsidR="00A82422" w:rsidRPr="004F1D23" w:rsidRDefault="00A82422" w:rsidP="00914FAF">
      <w:pPr>
        <w:jc w:val="both"/>
        <w:rPr>
          <w:rFonts w:ascii="Times" w:eastAsia="Times New Roman" w:hAnsi="Times" w:cs="Arial"/>
          <w:shd w:val="clear" w:color="auto" w:fill="FFFFFF"/>
        </w:rPr>
      </w:pPr>
    </w:p>
    <w:p w14:paraId="3CE0D11A" w14:textId="687B524E" w:rsidR="003E5FA2" w:rsidRPr="004F1D23" w:rsidRDefault="00A82422" w:rsidP="00914FAF">
      <w:pPr>
        <w:jc w:val="both"/>
        <w:rPr>
          <w:rFonts w:ascii="Times" w:eastAsia="Times New Roman" w:hAnsi="Times" w:cs="Arial"/>
          <w:shd w:val="clear" w:color="auto" w:fill="FFFFFF"/>
        </w:rPr>
      </w:pPr>
      <w:r w:rsidRPr="004F1D23">
        <w:rPr>
          <w:rFonts w:ascii="Times" w:eastAsia="Times New Roman" w:hAnsi="Times" w:cs="Arial"/>
          <w:shd w:val="clear" w:color="auto" w:fill="FFFFFF"/>
        </w:rPr>
        <w:t>More explanation</w:t>
      </w:r>
      <w:r w:rsidR="00D4492A" w:rsidRPr="004F1D23">
        <w:rPr>
          <w:rFonts w:ascii="Times" w:eastAsia="Times New Roman" w:hAnsi="Times" w:cs="Arial"/>
          <w:shd w:val="clear" w:color="auto" w:fill="FFFFFF"/>
        </w:rPr>
        <w:t xml:space="preserve"> was sorely needed</w:t>
      </w:r>
      <w:r w:rsidR="00F55D6A" w:rsidRPr="004F1D23">
        <w:rPr>
          <w:rFonts w:ascii="Times" w:eastAsia="Times New Roman" w:hAnsi="Times" w:cs="Arial"/>
          <w:shd w:val="clear" w:color="auto" w:fill="FFFFFF"/>
        </w:rPr>
        <w:t>,</w:t>
      </w:r>
      <w:r w:rsidRPr="004F1D23">
        <w:rPr>
          <w:rFonts w:ascii="Times" w:eastAsia="Times New Roman" w:hAnsi="Times" w:cs="Arial"/>
          <w:shd w:val="clear" w:color="auto" w:fill="FFFFFF"/>
        </w:rPr>
        <w:t xml:space="preserve"> </w:t>
      </w:r>
      <w:r w:rsidR="007D1552" w:rsidRPr="004F1D23">
        <w:rPr>
          <w:rFonts w:ascii="Times" w:eastAsia="Times New Roman" w:hAnsi="Times" w:cs="Arial"/>
          <w:shd w:val="clear" w:color="auto" w:fill="FFFFFF"/>
        </w:rPr>
        <w:t>to look at the component</w:t>
      </w:r>
      <w:r w:rsidR="00D4492A" w:rsidRPr="004F1D23">
        <w:rPr>
          <w:rFonts w:ascii="Times" w:eastAsia="Times New Roman" w:hAnsi="Times" w:cs="Arial"/>
          <w:shd w:val="clear" w:color="auto" w:fill="FFFFFF"/>
        </w:rPr>
        <w:t xml:space="preserve">s of </w:t>
      </w:r>
      <w:r w:rsidR="007D1552" w:rsidRPr="004F1D23">
        <w:rPr>
          <w:rFonts w:ascii="Times" w:eastAsia="Times New Roman" w:hAnsi="Times" w:cs="Arial"/>
          <w:shd w:val="clear" w:color="auto" w:fill="FFFFFF"/>
        </w:rPr>
        <w:t xml:space="preserve">the </w:t>
      </w:r>
      <w:r w:rsidR="00D4492A" w:rsidRPr="004F1D23">
        <w:rPr>
          <w:rFonts w:ascii="Times" w:eastAsia="Times New Roman" w:hAnsi="Times" w:cs="Arial"/>
          <w:shd w:val="clear" w:color="auto" w:fill="FFFFFF"/>
        </w:rPr>
        <w:t xml:space="preserve">justification, and also to identify </w:t>
      </w:r>
      <w:r w:rsidRPr="004F1D23">
        <w:rPr>
          <w:rFonts w:ascii="Times" w:eastAsia="Times New Roman" w:hAnsi="Times" w:cs="Arial"/>
          <w:shd w:val="clear" w:color="auto" w:fill="FFFFFF"/>
        </w:rPr>
        <w:t xml:space="preserve">a </w:t>
      </w:r>
      <w:r w:rsidR="00E14E5C" w:rsidRPr="004F1D23">
        <w:rPr>
          <w:rFonts w:ascii="Times" w:eastAsia="Times New Roman" w:hAnsi="Times" w:cs="Arial"/>
          <w:shd w:val="clear" w:color="auto" w:fill="FFFFFF"/>
        </w:rPr>
        <w:t>distinction between permitted checks and prohibited</w:t>
      </w:r>
      <w:r w:rsidR="00F55D6A" w:rsidRPr="004F1D23">
        <w:rPr>
          <w:rFonts w:ascii="Times" w:eastAsia="Times New Roman" w:hAnsi="Times" w:cs="Arial"/>
          <w:shd w:val="clear" w:color="auto" w:fill="FFFFFF"/>
        </w:rPr>
        <w:t xml:space="preserve"> systematic verification</w:t>
      </w:r>
      <w:r w:rsidRPr="004F1D23">
        <w:rPr>
          <w:rFonts w:ascii="Times" w:eastAsia="Times New Roman" w:hAnsi="Times" w:cs="Arial"/>
          <w:shd w:val="clear" w:color="auto" w:fill="FFFFFF"/>
        </w:rPr>
        <w:t xml:space="preserve">. </w:t>
      </w:r>
      <w:r w:rsidR="00D4492A" w:rsidRPr="004F1D23">
        <w:rPr>
          <w:rFonts w:ascii="Times" w:eastAsia="Times New Roman" w:hAnsi="Times" w:cs="Arial"/>
          <w:shd w:val="clear" w:color="auto" w:fill="FFFFFF"/>
        </w:rPr>
        <w:t>The checks were framed as indirect discrimination, so t</w:t>
      </w:r>
      <w:r w:rsidR="00C77A63" w:rsidRPr="004F1D23">
        <w:rPr>
          <w:rFonts w:ascii="Times" w:eastAsia="Times New Roman" w:hAnsi="Times" w:cs="Times New Roman"/>
          <w:shd w:val="clear" w:color="auto" w:fill="FFFFFF"/>
        </w:rPr>
        <w:t xml:space="preserve">he Member State must show </w:t>
      </w:r>
      <w:r w:rsidR="00D4492A" w:rsidRPr="004F1D23">
        <w:rPr>
          <w:rFonts w:ascii="Times" w:eastAsia="Times New Roman" w:hAnsi="Times" w:cs="Times New Roman"/>
          <w:shd w:val="clear" w:color="auto" w:fill="FFFFFF"/>
        </w:rPr>
        <w:t>that it is pursuing</w:t>
      </w:r>
      <w:r w:rsidR="00C77A63" w:rsidRPr="004F1D23">
        <w:rPr>
          <w:rFonts w:ascii="Times" w:eastAsia="Times New Roman" w:hAnsi="Times" w:cs="Times New Roman"/>
          <w:shd w:val="clear" w:color="auto" w:fill="FFFFFF"/>
        </w:rPr>
        <w:t xml:space="preserve"> a legitimate aim, that the means are proportionate and appropriate, and do not go beyond what is necessary. The UK was not required to do any of these. The question of legitimate aim was waved through</w:t>
      </w:r>
      <w:r w:rsidR="00D4492A" w:rsidRPr="004F1D23">
        <w:rPr>
          <w:rFonts w:ascii="Times" w:eastAsia="Times New Roman" w:hAnsi="Times" w:cs="Times New Roman"/>
          <w:shd w:val="clear" w:color="auto" w:fill="FFFFFF"/>
        </w:rPr>
        <w:t xml:space="preserve"> as a declaration of “</w:t>
      </w:r>
      <w:r w:rsidR="003E5FA2" w:rsidRPr="004F1D23">
        <w:rPr>
          <w:rFonts w:ascii="Times" w:eastAsia="Times New Roman" w:hAnsi="Times" w:cs="Arial"/>
          <w:shd w:val="clear" w:color="auto" w:fill="FFFFFF"/>
        </w:rPr>
        <w:t>the need to protect the finances of the host Member State</w:t>
      </w:r>
      <w:r w:rsidR="00D4492A" w:rsidRPr="004F1D23">
        <w:rPr>
          <w:rFonts w:ascii="Times" w:eastAsia="Times New Roman" w:hAnsi="Times" w:cs="Arial"/>
          <w:shd w:val="clear" w:color="auto" w:fill="FFFFFF"/>
        </w:rPr>
        <w:t xml:space="preserve">.” </w:t>
      </w:r>
      <w:r w:rsidR="003E5FA2" w:rsidRPr="004F1D23">
        <w:rPr>
          <w:rFonts w:ascii="Times" w:eastAsia="Times New Roman" w:hAnsi="Times" w:cs="Arial"/>
          <w:shd w:val="clear" w:color="auto" w:fill="FFFFFF"/>
        </w:rPr>
        <w:t xml:space="preserve">But, while politically potent, the mere mention of public finances on its own should not close down all argument. Some actual </w:t>
      </w:r>
      <w:r w:rsidR="00D4492A" w:rsidRPr="004F1D23">
        <w:rPr>
          <w:rFonts w:ascii="Times" w:eastAsia="Times New Roman" w:hAnsi="Times" w:cs="Arial"/>
          <w:shd w:val="clear" w:color="auto" w:fill="FFFFFF"/>
        </w:rPr>
        <w:t xml:space="preserve">(not abstract) </w:t>
      </w:r>
      <w:r w:rsidR="003E5FA2" w:rsidRPr="004F1D23">
        <w:rPr>
          <w:rFonts w:ascii="Times" w:eastAsia="Times New Roman" w:hAnsi="Times" w:cs="Arial"/>
          <w:shd w:val="clear" w:color="auto" w:fill="FFFFFF"/>
        </w:rPr>
        <w:t>threat to public finances ou</w:t>
      </w:r>
      <w:r w:rsidR="001857F9" w:rsidRPr="004F1D23">
        <w:rPr>
          <w:rFonts w:ascii="Times" w:eastAsia="Times New Roman" w:hAnsi="Times" w:cs="Arial"/>
          <w:shd w:val="clear" w:color="auto" w:fill="FFFFFF"/>
        </w:rPr>
        <w:t>ght to be shown, in light of the</w:t>
      </w:r>
      <w:r w:rsidR="003E5FA2" w:rsidRPr="004F1D23">
        <w:rPr>
          <w:rFonts w:ascii="Times" w:eastAsia="Times New Roman" w:hAnsi="Times" w:cs="Arial"/>
          <w:shd w:val="clear" w:color="auto" w:fill="FFFFFF"/>
        </w:rPr>
        <w:t xml:space="preserve"> evidence that </w:t>
      </w:r>
      <w:r w:rsidR="001857F9" w:rsidRPr="004F1D23">
        <w:rPr>
          <w:rFonts w:ascii="Times" w:eastAsia="Times New Roman" w:hAnsi="Times" w:cs="Arial"/>
          <w:shd w:val="clear" w:color="auto" w:fill="FFFFFF"/>
        </w:rPr>
        <w:t>fears</w:t>
      </w:r>
      <w:r w:rsidR="003E5FA2" w:rsidRPr="004F1D23">
        <w:rPr>
          <w:rFonts w:ascii="Times" w:eastAsia="Times New Roman" w:hAnsi="Times" w:cs="Arial"/>
          <w:shd w:val="clear" w:color="auto" w:fill="FFFFFF"/>
        </w:rPr>
        <w:t xml:space="preserve"> of EU national benefit tourists are misplaced.</w:t>
      </w:r>
      <w:r w:rsidR="003E5FA2" w:rsidRPr="004F1D23">
        <w:rPr>
          <w:rStyle w:val="FootnoteReference"/>
          <w:rFonts w:ascii="Times" w:eastAsia="Times New Roman" w:hAnsi="Times" w:cs="Arial"/>
          <w:shd w:val="clear" w:color="auto" w:fill="FFFFFF"/>
        </w:rPr>
        <w:footnoteReference w:id="84"/>
      </w:r>
      <w:r w:rsidR="003E5FA2" w:rsidRPr="004F1D23">
        <w:rPr>
          <w:rFonts w:ascii="Times" w:eastAsia="Times New Roman" w:hAnsi="Times" w:cs="Arial"/>
          <w:shd w:val="clear" w:color="auto" w:fill="FFFFFF"/>
        </w:rPr>
        <w:t xml:space="preserve">  </w:t>
      </w:r>
    </w:p>
    <w:p w14:paraId="1C57C9AB" w14:textId="279DCA75" w:rsidR="00C77A63" w:rsidRPr="004F1D23" w:rsidRDefault="00C77A63" w:rsidP="00914FAF">
      <w:pPr>
        <w:jc w:val="both"/>
        <w:rPr>
          <w:rFonts w:ascii="Times" w:eastAsia="Times New Roman" w:hAnsi="Times" w:cs="Arial"/>
          <w:shd w:val="clear" w:color="auto" w:fill="FFFFFF"/>
        </w:rPr>
      </w:pPr>
    </w:p>
    <w:p w14:paraId="709610EE" w14:textId="49E28A65" w:rsidR="00A82422" w:rsidRPr="004F1D23" w:rsidRDefault="009F4A8F" w:rsidP="00914FAF">
      <w:pPr>
        <w:jc w:val="both"/>
        <w:rPr>
          <w:rFonts w:ascii="Times" w:eastAsia="Times New Roman" w:hAnsi="Times" w:cs="Times New Roman"/>
        </w:rPr>
      </w:pPr>
      <w:r w:rsidRPr="004F1D23">
        <w:rPr>
          <w:rFonts w:ascii="Times" w:eastAsia="Times New Roman" w:hAnsi="Times" w:cs="Arial"/>
          <w:shd w:val="clear" w:color="auto" w:fill="FFFFFF"/>
        </w:rPr>
        <w:t xml:space="preserve">As for the proportionality and necessity of the test, and possible conflict with Article 14(2) through “systematic” verification, </w:t>
      </w:r>
      <w:r w:rsidR="005F0EB8" w:rsidRPr="004F1D23">
        <w:rPr>
          <w:rFonts w:ascii="Times" w:eastAsia="Times New Roman" w:hAnsi="Times" w:cs="Arial"/>
          <w:shd w:val="clear" w:color="auto" w:fill="FFFFFF"/>
        </w:rPr>
        <w:t>t</w:t>
      </w:r>
      <w:r w:rsidR="00A82422" w:rsidRPr="004F1D23">
        <w:rPr>
          <w:rFonts w:ascii="Times" w:eastAsia="Times New Roman" w:hAnsi="Times" w:cs="Arial"/>
          <w:shd w:val="clear" w:color="auto" w:fill="FFFFFF"/>
        </w:rPr>
        <w:t xml:space="preserve">he entire claims system in the UK </w:t>
      </w:r>
      <w:r w:rsidRPr="004F1D23">
        <w:rPr>
          <w:rFonts w:ascii="Times" w:eastAsia="Times New Roman" w:hAnsi="Times" w:cs="Arial"/>
          <w:shd w:val="clear" w:color="auto" w:fill="FFFFFF"/>
        </w:rPr>
        <w:t>rests on the</w:t>
      </w:r>
      <w:r w:rsidR="00A82422" w:rsidRPr="004F1D23">
        <w:rPr>
          <w:rFonts w:ascii="Times" w:eastAsia="Times New Roman" w:hAnsi="Times" w:cs="Arial"/>
          <w:shd w:val="clear" w:color="auto" w:fill="FFFFFF"/>
        </w:rPr>
        <w:t xml:space="preserve"> presumption that EU nationals must prove that they are not unlawfully resident. There is no starting presumption of lawful residence, or starting position of citizenship-based eligibility that </w:t>
      </w:r>
      <w:r w:rsidRPr="004F1D23">
        <w:rPr>
          <w:rFonts w:ascii="Times" w:eastAsia="Times New Roman" w:hAnsi="Times" w:cs="Arial"/>
          <w:shd w:val="clear" w:color="auto" w:fill="FFFFFF"/>
        </w:rPr>
        <w:t>is then limited and in some cases checked</w:t>
      </w:r>
      <w:r w:rsidR="00A82422" w:rsidRPr="004F1D23">
        <w:rPr>
          <w:rFonts w:ascii="Times" w:eastAsia="Times New Roman" w:hAnsi="Times" w:cs="Arial"/>
          <w:shd w:val="clear" w:color="auto" w:fill="FFFFFF"/>
        </w:rPr>
        <w:t xml:space="preserve">. The right to reside test takes the conditions of secondary law and makes them </w:t>
      </w:r>
      <w:r w:rsidR="00A82422" w:rsidRPr="004F1D23">
        <w:rPr>
          <w:rFonts w:ascii="Times" w:eastAsia="Times New Roman" w:hAnsi="Times" w:cs="Arial"/>
          <w:i/>
          <w:shd w:val="clear" w:color="auto" w:fill="FFFFFF"/>
        </w:rPr>
        <w:t>a priori</w:t>
      </w:r>
      <w:r w:rsidR="00A82422" w:rsidRPr="004F1D23">
        <w:rPr>
          <w:rFonts w:ascii="Times" w:eastAsia="Times New Roman" w:hAnsi="Times" w:cs="Arial"/>
          <w:shd w:val="clear" w:color="auto" w:fill="FFFFFF"/>
        </w:rPr>
        <w:t xml:space="preserve"> condition</w:t>
      </w:r>
      <w:r w:rsidRPr="004F1D23">
        <w:rPr>
          <w:rFonts w:ascii="Times" w:eastAsia="Times New Roman" w:hAnsi="Times" w:cs="Arial"/>
          <w:shd w:val="clear" w:color="auto" w:fill="FFFFFF"/>
        </w:rPr>
        <w:t>s of the very existence of the right to move and reside. Th</w:t>
      </w:r>
      <w:r w:rsidR="00A82422" w:rsidRPr="004F1D23">
        <w:rPr>
          <w:rFonts w:ascii="Times" w:eastAsia="Times New Roman" w:hAnsi="Times" w:cs="Arial"/>
          <w:shd w:val="clear" w:color="auto" w:fill="FFFFFF"/>
        </w:rPr>
        <w:t>e conditions come first and must be demonst</w:t>
      </w:r>
      <w:r w:rsidRPr="004F1D23">
        <w:rPr>
          <w:rFonts w:ascii="Times" w:eastAsia="Times New Roman" w:hAnsi="Times" w:cs="Arial"/>
          <w:shd w:val="clear" w:color="auto" w:fill="FFFFFF"/>
        </w:rPr>
        <w:t>rably met in each and every claim</w:t>
      </w:r>
      <w:r w:rsidR="00A82422" w:rsidRPr="004F1D23">
        <w:rPr>
          <w:rFonts w:ascii="Times" w:eastAsia="Times New Roman" w:hAnsi="Times" w:cs="Arial"/>
          <w:shd w:val="clear" w:color="auto" w:fill="FFFFFF"/>
        </w:rPr>
        <w:t xml:space="preserve">. </w:t>
      </w:r>
      <w:r w:rsidR="00E14E5C" w:rsidRPr="004F1D23">
        <w:rPr>
          <w:rFonts w:ascii="Times" w:eastAsia="Times New Roman" w:hAnsi="Times" w:cs="Arial"/>
          <w:shd w:val="clear" w:color="auto" w:fill="FFFFFF"/>
        </w:rPr>
        <w:t xml:space="preserve">As the EU Rights Project has found, this can lead to considerable delay even for claimants who </w:t>
      </w:r>
      <w:r w:rsidR="00E14E5C" w:rsidRPr="004F1D23">
        <w:rPr>
          <w:rFonts w:ascii="Times" w:eastAsia="Times New Roman" w:hAnsi="Times" w:cs="Arial"/>
          <w:i/>
          <w:shd w:val="clear" w:color="auto" w:fill="FFFFFF"/>
        </w:rPr>
        <w:t>do</w:t>
      </w:r>
      <w:r w:rsidR="00E14E5C" w:rsidRPr="004F1D23">
        <w:rPr>
          <w:rFonts w:ascii="Times" w:eastAsia="Times New Roman" w:hAnsi="Times" w:cs="Arial"/>
          <w:shd w:val="clear" w:color="auto" w:fill="FFFFFF"/>
        </w:rPr>
        <w:t xml:space="preserve"> have a right to reside, and to wrong, first-instance refusals, because of poorly conducted verification by decision makers who do not understand EU law, request unnecessary extra documentation, lose claimants’ documents, and make wrong assumptions about eligibility.</w:t>
      </w:r>
      <w:r w:rsidR="00E14E5C" w:rsidRPr="004F1D23">
        <w:rPr>
          <w:rStyle w:val="FootnoteReference"/>
          <w:rFonts w:ascii="Times" w:eastAsia="Times New Roman" w:hAnsi="Times" w:cs="Arial"/>
          <w:shd w:val="clear" w:color="auto" w:fill="FFFFFF"/>
        </w:rPr>
        <w:footnoteReference w:id="85"/>
      </w:r>
      <w:r w:rsidR="00E14E5C" w:rsidRPr="004F1D23">
        <w:rPr>
          <w:rFonts w:ascii="Times" w:eastAsia="Times New Roman" w:hAnsi="Times" w:cs="Arial"/>
          <w:shd w:val="clear" w:color="auto" w:fill="FFFFFF"/>
        </w:rPr>
        <w:t xml:space="preserve">  </w:t>
      </w:r>
    </w:p>
    <w:p w14:paraId="116D4F55" w14:textId="1005827D" w:rsidR="00A82422" w:rsidRPr="004F1D23" w:rsidRDefault="00A82422" w:rsidP="00914FAF">
      <w:pPr>
        <w:jc w:val="both"/>
        <w:rPr>
          <w:rFonts w:ascii="Times" w:eastAsia="Times New Roman" w:hAnsi="Times" w:cs="Times New Roman"/>
        </w:rPr>
      </w:pPr>
    </w:p>
    <w:p w14:paraId="292E30EA" w14:textId="5E953A1B" w:rsidR="00E14E5C" w:rsidRPr="004F1D23" w:rsidRDefault="001857F9" w:rsidP="00914FAF">
      <w:pPr>
        <w:widowControl w:val="0"/>
        <w:autoSpaceDE w:val="0"/>
        <w:autoSpaceDN w:val="0"/>
        <w:adjustRightInd w:val="0"/>
        <w:jc w:val="both"/>
        <w:rPr>
          <w:rFonts w:ascii="Times" w:eastAsia="Times New Roman" w:hAnsi="Times" w:cs="Times New Roman"/>
          <w:shd w:val="clear" w:color="auto" w:fill="FFFFFF"/>
        </w:rPr>
      </w:pPr>
      <w:r w:rsidRPr="004F1D23">
        <w:rPr>
          <w:rFonts w:ascii="Times" w:eastAsia="Times New Roman" w:hAnsi="Times" w:cs="Times New Roman"/>
        </w:rPr>
        <w:t>Even</w:t>
      </w:r>
      <w:r w:rsidR="00E14E5C" w:rsidRPr="004F1D23">
        <w:rPr>
          <w:rFonts w:ascii="Times" w:eastAsia="Times New Roman" w:hAnsi="Times" w:cs="Times New Roman"/>
        </w:rPr>
        <w:t xml:space="preserve"> on the Court’s thin summary of the facts</w:t>
      </w:r>
      <w:r w:rsidRPr="004F1D23">
        <w:rPr>
          <w:rFonts w:ascii="Times" w:eastAsia="Times New Roman" w:hAnsi="Times" w:cs="Times New Roman"/>
        </w:rPr>
        <w:t>, as Cousins argues, “</w:t>
      </w:r>
      <w:r w:rsidR="00E14E5C" w:rsidRPr="004F1D23">
        <w:rPr>
          <w:rFonts w:ascii="Times" w:eastAsia="Times New Roman" w:hAnsi="Times" w:cs="Times New Roman"/>
          <w:shd w:val="clear" w:color="auto" w:fill="FFFFFF"/>
        </w:rPr>
        <w:t>it is clear that there </w:t>
      </w:r>
      <w:r w:rsidR="00E14E5C" w:rsidRPr="004F1D23">
        <w:rPr>
          <w:rFonts w:ascii="Times" w:eastAsia="Times New Roman" w:hAnsi="Times" w:cs="Times New Roman"/>
          <w:i/>
          <w:iCs/>
          <w:shd w:val="clear" w:color="auto" w:fill="FFFFFF"/>
        </w:rPr>
        <w:t>is</w:t>
      </w:r>
      <w:r w:rsidR="00E14E5C" w:rsidRPr="004F1D23">
        <w:rPr>
          <w:rFonts w:ascii="Times" w:eastAsia="Times New Roman" w:hAnsi="Times" w:cs="Times New Roman"/>
          <w:shd w:val="clear" w:color="auto" w:fill="FFFFFF"/>
        </w:rPr>
        <w:t> systematic verification of the right to reside in </w:t>
      </w:r>
      <w:r w:rsidR="00E14E5C" w:rsidRPr="004F1D23">
        <w:rPr>
          <w:rFonts w:ascii="Times" w:eastAsia="Times New Roman" w:hAnsi="Times" w:cs="Times New Roman"/>
          <w:i/>
          <w:iCs/>
          <w:shd w:val="clear" w:color="auto" w:fill="FFFFFF"/>
        </w:rPr>
        <w:t>every</w:t>
      </w:r>
      <w:r w:rsidR="00E14E5C" w:rsidRPr="004F1D23">
        <w:rPr>
          <w:rFonts w:ascii="Times" w:eastAsia="Times New Roman" w:hAnsi="Times" w:cs="Times New Roman"/>
          <w:shd w:val="clear" w:color="auto" w:fill="FFFFFF"/>
        </w:rPr>
        <w:t> case—it is only the </w:t>
      </w:r>
      <w:r w:rsidR="00E14E5C" w:rsidRPr="004F1D23">
        <w:rPr>
          <w:rFonts w:ascii="Times" w:eastAsia="Times New Roman" w:hAnsi="Times" w:cs="Times New Roman"/>
          <w:i/>
          <w:iCs/>
          <w:shd w:val="clear" w:color="auto" w:fill="FFFFFF"/>
        </w:rPr>
        <w:t>degree</w:t>
      </w:r>
      <w:r w:rsidRPr="004F1D23">
        <w:rPr>
          <w:rFonts w:ascii="Times" w:eastAsia="Times New Roman" w:hAnsi="Times" w:cs="Times New Roman"/>
          <w:shd w:val="clear" w:color="auto" w:fill="FFFFFF"/>
        </w:rPr>
        <w:t> of verification which varies.”</w:t>
      </w:r>
      <w:r w:rsidRPr="004F1D23">
        <w:rPr>
          <w:rStyle w:val="FootnoteReference"/>
          <w:rFonts w:ascii="Times" w:eastAsia="Times New Roman" w:hAnsi="Times" w:cs="Times New Roman"/>
          <w:shd w:val="clear" w:color="auto" w:fill="FFFFFF"/>
        </w:rPr>
        <w:footnoteReference w:id="86"/>
      </w:r>
      <w:r w:rsidR="00E14E5C" w:rsidRPr="004F1D23">
        <w:rPr>
          <w:rFonts w:ascii="Times" w:eastAsia="Times New Roman" w:hAnsi="Times" w:cs="Times New Roman"/>
          <w:shd w:val="clear" w:color="auto" w:fill="FFFFFF"/>
        </w:rPr>
        <w:t xml:space="preserve"> And there is an abundance of other evidence </w:t>
      </w:r>
      <w:r w:rsidR="00E80515" w:rsidRPr="004F1D23">
        <w:rPr>
          <w:rFonts w:ascii="Times" w:eastAsia="Times New Roman" w:hAnsi="Times" w:cs="Times New Roman"/>
          <w:shd w:val="clear" w:color="auto" w:fill="FFFFFF"/>
        </w:rPr>
        <w:t xml:space="preserve">to point to systematic checking. The decision maker guidance on establishing whether a claimant </w:t>
      </w:r>
      <w:r w:rsidR="00E80515" w:rsidRPr="004F1D23">
        <w:rPr>
          <w:rFonts w:ascii="Times" w:eastAsia="Times New Roman" w:hAnsi="Times" w:cs="Times New Roman"/>
          <w:bCs/>
          <w:shd w:val="clear" w:color="auto" w:fill="FFFFFF"/>
        </w:rPr>
        <w:t>really</w:t>
      </w:r>
      <w:r w:rsidR="00E80515" w:rsidRPr="004F1D23">
        <w:rPr>
          <w:rFonts w:ascii="Times" w:eastAsia="Times New Roman" w:hAnsi="Times" w:cs="Times New Roman"/>
          <w:shd w:val="clear" w:color="auto" w:fill="FFFFFF"/>
        </w:rPr>
        <w:t xml:space="preserve"> is or was a worker (using the UK’s flawed and high threshold) requires proof that earnings have been at or above the Minimum Earnings Threshold for a continuous period of at least three months.</w:t>
      </w:r>
      <w:r w:rsidRPr="004F1D23">
        <w:rPr>
          <w:rStyle w:val="FootnoteReference"/>
          <w:rFonts w:ascii="Times" w:eastAsia="Times New Roman" w:hAnsi="Times" w:cs="Times New Roman"/>
          <w:shd w:val="clear" w:color="auto" w:fill="FFFFFF"/>
        </w:rPr>
        <w:footnoteReference w:id="87"/>
      </w:r>
      <w:r w:rsidR="00E80515" w:rsidRPr="004F1D23">
        <w:rPr>
          <w:rFonts w:ascii="Times" w:eastAsia="Times New Roman" w:hAnsi="Times" w:cs="Times New Roman"/>
          <w:shd w:val="clear" w:color="auto" w:fill="FFFFFF"/>
        </w:rPr>
        <w:t xml:space="preserve"> Those with variable earnings are expected to provide considerable </w:t>
      </w:r>
      <w:r w:rsidRPr="004F1D23">
        <w:rPr>
          <w:rFonts w:ascii="Times" w:eastAsia="Times New Roman" w:hAnsi="Times" w:cs="Times New Roman"/>
          <w:shd w:val="clear" w:color="auto" w:fill="FFFFFF"/>
        </w:rPr>
        <w:t>evidence if they wish to prove</w:t>
      </w:r>
      <w:r w:rsidR="00E80515" w:rsidRPr="004F1D23">
        <w:rPr>
          <w:rFonts w:ascii="Times" w:eastAsia="Times New Roman" w:hAnsi="Times" w:cs="Times New Roman"/>
          <w:shd w:val="clear" w:color="auto" w:fill="FFFFFF"/>
        </w:rPr>
        <w:t xml:space="preserve"> their right to reside.</w:t>
      </w:r>
      <w:r w:rsidR="00E80515" w:rsidRPr="004F1D23">
        <w:rPr>
          <w:rStyle w:val="FootnoteReference"/>
          <w:rFonts w:ascii="Times" w:eastAsia="Times New Roman" w:hAnsi="Times" w:cs="Times New Roman"/>
          <w:shd w:val="clear" w:color="auto" w:fill="FFFFFF"/>
        </w:rPr>
        <w:footnoteReference w:id="88"/>
      </w:r>
      <w:r w:rsidR="00E80515" w:rsidRPr="004F1D23">
        <w:rPr>
          <w:rFonts w:ascii="Times" w:eastAsia="Times New Roman" w:hAnsi="Times" w:cs="Times New Roman"/>
          <w:shd w:val="clear" w:color="auto" w:fill="FFFFFF"/>
        </w:rPr>
        <w:t xml:space="preserve"> On top of the routine checks, HMRC</w:t>
      </w:r>
      <w:r w:rsidR="005F0EB8" w:rsidRPr="004F1D23">
        <w:rPr>
          <w:rStyle w:val="FootnoteReference"/>
          <w:rFonts w:ascii="Times" w:eastAsia="Times New Roman" w:hAnsi="Times" w:cs="Times New Roman"/>
          <w:shd w:val="clear" w:color="auto" w:fill="FFFFFF"/>
        </w:rPr>
        <w:footnoteReference w:id="89"/>
      </w:r>
      <w:r w:rsidR="008626BA" w:rsidRPr="004F1D23">
        <w:rPr>
          <w:rFonts w:ascii="Times" w:eastAsia="Times New Roman" w:hAnsi="Times" w:cs="Times New Roman"/>
          <w:shd w:val="clear" w:color="auto" w:fill="FFFFFF"/>
        </w:rPr>
        <w:t xml:space="preserve"> issue more intensive “compliance”</w:t>
      </w:r>
      <w:r w:rsidR="00E80515" w:rsidRPr="004F1D23">
        <w:rPr>
          <w:rFonts w:ascii="Times" w:eastAsia="Times New Roman" w:hAnsi="Times" w:cs="Times New Roman"/>
          <w:shd w:val="clear" w:color="auto" w:fill="FFFFFF"/>
        </w:rPr>
        <w:t xml:space="preserve"> checks, which</w:t>
      </w:r>
      <w:r w:rsidR="007D1552" w:rsidRPr="004F1D23">
        <w:rPr>
          <w:rFonts w:ascii="Times" w:eastAsia="Times New Roman" w:hAnsi="Times" w:cs="Times New Roman"/>
          <w:shd w:val="clear" w:color="auto" w:fill="FFFFFF"/>
        </w:rPr>
        <w:t xml:space="preserve"> </w:t>
      </w:r>
      <w:r w:rsidR="008626BA" w:rsidRPr="004F1D23">
        <w:rPr>
          <w:rFonts w:ascii="Times" w:eastAsia="Times New Roman" w:hAnsi="Times" w:cs="Times New Roman"/>
          <w:shd w:val="clear" w:color="auto" w:fill="FFFFFF"/>
        </w:rPr>
        <w:t>should “never” be started unless</w:t>
      </w:r>
      <w:r w:rsidR="00E80515" w:rsidRPr="004F1D23">
        <w:rPr>
          <w:rFonts w:ascii="Times" w:eastAsia="Times New Roman" w:hAnsi="Times" w:cs="Times New Roman"/>
          <w:shd w:val="clear" w:color="auto" w:fill="FFFFFF"/>
        </w:rPr>
        <w:t xml:space="preserve"> there is a ground to suspect that the award is wrong</w:t>
      </w:r>
      <w:r w:rsidR="008626BA" w:rsidRPr="004F1D23">
        <w:rPr>
          <w:rFonts w:ascii="Times" w:eastAsia="Times New Roman" w:hAnsi="Times" w:cs="Times New Roman"/>
          <w:shd w:val="clear" w:color="auto" w:fill="FFFFFF"/>
        </w:rPr>
        <w:t>, or as part of a random enquiry programme</w:t>
      </w:r>
      <w:r w:rsidR="00E80515" w:rsidRPr="004F1D23">
        <w:rPr>
          <w:rFonts w:ascii="Times" w:eastAsia="Times New Roman" w:hAnsi="Times" w:cs="Times New Roman"/>
          <w:shd w:val="clear" w:color="auto" w:fill="FFFFFF"/>
        </w:rPr>
        <w:t>.</w:t>
      </w:r>
      <w:r w:rsidR="007D1552" w:rsidRPr="004F1D23">
        <w:rPr>
          <w:rStyle w:val="FootnoteReference"/>
          <w:rFonts w:ascii="Times" w:eastAsia="Times New Roman" w:hAnsi="Times" w:cs="Times New Roman"/>
          <w:shd w:val="clear" w:color="auto" w:fill="FFFFFF"/>
        </w:rPr>
        <w:footnoteReference w:id="90"/>
      </w:r>
      <w:r w:rsidR="00E80515" w:rsidRPr="004F1D23">
        <w:rPr>
          <w:rFonts w:ascii="Times" w:eastAsia="Times New Roman" w:hAnsi="Times" w:cs="Times New Roman"/>
          <w:shd w:val="clear" w:color="auto" w:fill="FFFFFF"/>
        </w:rPr>
        <w:t xml:space="preserve"> But t</w:t>
      </w:r>
      <w:r w:rsidR="00E14E5C" w:rsidRPr="004F1D23">
        <w:rPr>
          <w:rFonts w:ascii="Times" w:eastAsia="Times New Roman" w:hAnsi="Times" w:cs="Times New Roman"/>
        </w:rPr>
        <w:t>he UK government announced in 2014 that restrictions to bene</w:t>
      </w:r>
      <w:r w:rsidR="005712C2" w:rsidRPr="004F1D23">
        <w:rPr>
          <w:rFonts w:ascii="Times" w:eastAsia="Times New Roman" w:hAnsi="Times" w:cs="Times New Roman"/>
        </w:rPr>
        <w:t>fits for EU nationals would be “</w:t>
      </w:r>
      <w:r w:rsidR="00E14E5C" w:rsidRPr="004F1D23">
        <w:rPr>
          <w:rFonts w:ascii="Times" w:eastAsia="Times New Roman" w:hAnsi="Times" w:cs="Times New Roman"/>
        </w:rPr>
        <w:t xml:space="preserve">augmented by additional HMRC compliance checks to improve detection of when EEA migrants cease to be entitled to these benefits. </w:t>
      </w:r>
      <w:r w:rsidR="00E14E5C" w:rsidRPr="004F1D23">
        <w:rPr>
          <w:rFonts w:ascii="Times" w:eastAsia="Times New Roman" w:hAnsi="Times" w:cs="Times New Roman"/>
          <w:i/>
        </w:rPr>
        <w:t>The checks will apply to all EEA migrant claims</w:t>
      </w:r>
      <w:r w:rsidR="005712C2" w:rsidRPr="004F1D23">
        <w:rPr>
          <w:rFonts w:ascii="Times" w:eastAsia="Times New Roman" w:hAnsi="Times" w:cs="Times New Roman"/>
        </w:rPr>
        <w:t>”</w:t>
      </w:r>
      <w:r w:rsidR="00E14E5C" w:rsidRPr="004F1D23">
        <w:rPr>
          <w:rFonts w:ascii="Times" w:eastAsia="Times New Roman" w:hAnsi="Times" w:cs="Times New Roman"/>
        </w:rPr>
        <w:t>.</w:t>
      </w:r>
      <w:r w:rsidR="005712C2" w:rsidRPr="004F1D23">
        <w:rPr>
          <w:rStyle w:val="FootnoteReference"/>
          <w:rFonts w:ascii="Times" w:eastAsia="Times New Roman" w:hAnsi="Times" w:cs="Times New Roman"/>
        </w:rPr>
        <w:footnoteReference w:id="91"/>
      </w:r>
      <w:r w:rsidR="00E14E5C" w:rsidRPr="004F1D23">
        <w:rPr>
          <w:rFonts w:ascii="Times" w:eastAsia="Times New Roman" w:hAnsi="Times" w:cs="Times New Roman"/>
        </w:rPr>
        <w:t xml:space="preserve"> The Budget made clear that th</w:t>
      </w:r>
      <w:r w:rsidR="005712C2" w:rsidRPr="004F1D23">
        <w:rPr>
          <w:rFonts w:ascii="Times" w:eastAsia="Times New Roman" w:hAnsi="Times" w:cs="Times New Roman"/>
        </w:rPr>
        <w:t xml:space="preserve">ese checks would be applied to “new </w:t>
      </w:r>
      <w:r w:rsidR="007E3E8E" w:rsidRPr="004F1D23">
        <w:rPr>
          <w:rFonts w:ascii="Times" w:eastAsia="Times New Roman" w:hAnsi="Times" w:cs="Times New Roman"/>
        </w:rPr>
        <w:t xml:space="preserve">claims </w:t>
      </w:r>
      <w:r w:rsidR="005712C2" w:rsidRPr="004F1D23">
        <w:rPr>
          <w:rFonts w:ascii="Times" w:eastAsia="Times New Roman" w:hAnsi="Times" w:cs="Times New Roman"/>
        </w:rPr>
        <w:t>and existing awards”</w:t>
      </w:r>
      <w:r w:rsidR="00E14E5C" w:rsidRPr="004F1D23">
        <w:rPr>
          <w:rFonts w:ascii="Times" w:eastAsia="Times New Roman" w:hAnsi="Times" w:cs="Times New Roman"/>
        </w:rPr>
        <w:t>.</w:t>
      </w:r>
      <w:r w:rsidR="005712C2" w:rsidRPr="004F1D23">
        <w:rPr>
          <w:rStyle w:val="FootnoteReference"/>
          <w:rFonts w:ascii="Times" w:eastAsia="Times New Roman" w:hAnsi="Times" w:cs="Times New Roman"/>
        </w:rPr>
        <w:footnoteReference w:id="92"/>
      </w:r>
      <w:r w:rsidR="00E14E5C" w:rsidRPr="004F1D23">
        <w:rPr>
          <w:rFonts w:ascii="Times" w:eastAsia="Times New Roman" w:hAnsi="Times" w:cs="Times New Roman"/>
        </w:rPr>
        <w:t xml:space="preserve"> In responding to a Freedom of Information request, the government confirmed</w:t>
      </w:r>
      <w:r w:rsidR="005712C2" w:rsidRPr="004F1D23">
        <w:rPr>
          <w:rFonts w:ascii="Times" w:eastAsia="Times New Roman" w:hAnsi="Times" w:cs="Times New Roman"/>
        </w:rPr>
        <w:t xml:space="preserve"> that it had been carrying out “increased compliance checks”, issuing letters “targeted at EU/EEA Nationals”</w:t>
      </w:r>
      <w:r w:rsidR="005712C2" w:rsidRPr="004F1D23">
        <w:rPr>
          <w:rStyle w:val="FootnoteReference"/>
          <w:rFonts w:ascii="Times" w:eastAsia="Times New Roman" w:hAnsi="Times" w:cs="Times New Roman"/>
        </w:rPr>
        <w:footnoteReference w:id="93"/>
      </w:r>
      <w:r w:rsidR="00E14E5C" w:rsidRPr="004F1D23">
        <w:rPr>
          <w:rFonts w:ascii="Times" w:eastAsia="Times New Roman" w:hAnsi="Times" w:cs="Times New Roman"/>
        </w:rPr>
        <w:t xml:space="preserve"> requesting further information and/or evidence to check that claimants met entitlement conditions for Child benefit and Child Tax Credit.</w:t>
      </w:r>
      <w:r w:rsidR="00E80515" w:rsidRPr="004F1D23">
        <w:rPr>
          <w:rFonts w:ascii="Times" w:eastAsia="Times New Roman" w:hAnsi="Times" w:cs="Times New Roman"/>
        </w:rPr>
        <w:t xml:space="preserve"> In </w:t>
      </w:r>
      <w:r w:rsidR="00E80515" w:rsidRPr="004F1D23">
        <w:rPr>
          <w:rFonts w:ascii="Times" w:eastAsia="Times New Roman" w:hAnsi="Times" w:cs="Times New Roman"/>
          <w:i/>
        </w:rPr>
        <w:t>all</w:t>
      </w:r>
      <w:r w:rsidR="00E80515" w:rsidRPr="004F1D23">
        <w:rPr>
          <w:rFonts w:ascii="Times" w:eastAsia="Times New Roman" w:hAnsi="Times" w:cs="Times New Roman"/>
        </w:rPr>
        <w:t xml:space="preserve"> cases of cross-border benefit claims, </w:t>
      </w:r>
      <w:r w:rsidR="00E14E5C" w:rsidRPr="004F1D23">
        <w:rPr>
          <w:rFonts w:ascii="Times" w:eastAsia="Times New Roman" w:hAnsi="Times" w:cs="Times New Roman"/>
        </w:rPr>
        <w:t>claimants</w:t>
      </w:r>
      <w:r w:rsidR="006A2184" w:rsidRPr="004F1D23">
        <w:rPr>
          <w:rFonts w:ascii="Times" w:eastAsia="Times New Roman" w:hAnsi="Times" w:cs="Times New Roman"/>
        </w:rPr>
        <w:t xml:space="preserve"> face routine requirements for “documentary evidence” of entitlement, and a “</w:t>
      </w:r>
      <w:r w:rsidR="00E14E5C" w:rsidRPr="004F1D23">
        <w:rPr>
          <w:rFonts w:ascii="Times" w:eastAsia="Times New Roman" w:hAnsi="Times" w:cs="Times New Roman"/>
        </w:rPr>
        <w:t>wide range</w:t>
      </w:r>
      <w:r w:rsidR="006A2184" w:rsidRPr="004F1D23">
        <w:rPr>
          <w:rFonts w:ascii="Times" w:eastAsia="Times New Roman" w:hAnsi="Times" w:cs="Times New Roman"/>
        </w:rPr>
        <w:t xml:space="preserve"> of checks and an annual review”</w:t>
      </w:r>
      <w:r w:rsidR="00E14E5C" w:rsidRPr="004F1D23">
        <w:rPr>
          <w:rFonts w:ascii="Times" w:eastAsia="Times New Roman" w:hAnsi="Times" w:cs="Times New Roman"/>
        </w:rPr>
        <w:t>.</w:t>
      </w:r>
      <w:r w:rsidR="00E80515" w:rsidRPr="004F1D23">
        <w:rPr>
          <w:rStyle w:val="FootnoteReference"/>
          <w:rFonts w:ascii="Times" w:eastAsia="Times New Roman" w:hAnsi="Times" w:cs="Times New Roman"/>
        </w:rPr>
        <w:footnoteReference w:id="94"/>
      </w:r>
      <w:r w:rsidR="00E14E5C" w:rsidRPr="004F1D23">
        <w:rPr>
          <w:rFonts w:ascii="Times" w:eastAsia="Times New Roman" w:hAnsi="Times" w:cs="Times New Roman"/>
        </w:rPr>
        <w:t xml:space="preserve"> </w:t>
      </w:r>
    </w:p>
    <w:p w14:paraId="55CD19F2" w14:textId="54765E46" w:rsidR="00E14E5C" w:rsidRPr="004F1D23" w:rsidRDefault="00E14E5C" w:rsidP="00914FAF">
      <w:pPr>
        <w:jc w:val="both"/>
        <w:rPr>
          <w:rFonts w:ascii="Times" w:eastAsia="Times New Roman" w:hAnsi="Times" w:cs="Times New Roman"/>
          <w:shd w:val="clear" w:color="auto" w:fill="FFFFFF"/>
        </w:rPr>
      </w:pPr>
    </w:p>
    <w:p w14:paraId="04333898" w14:textId="0E30D6AC" w:rsidR="00A82422" w:rsidRPr="004F1D23" w:rsidRDefault="005F0EB8" w:rsidP="00914FAF">
      <w:pPr>
        <w:jc w:val="both"/>
        <w:rPr>
          <w:rFonts w:ascii="Times" w:eastAsia="Times New Roman" w:hAnsi="Times" w:cs="Times New Roman"/>
          <w:shd w:val="clear" w:color="auto" w:fill="FFFFFF"/>
        </w:rPr>
      </w:pPr>
      <w:r w:rsidRPr="004F1D23">
        <w:rPr>
          <w:rFonts w:ascii="Times" w:eastAsia="Times New Roman" w:hAnsi="Times" w:cs="Times New Roman"/>
          <w:shd w:val="clear" w:color="auto" w:fill="FFFFFF"/>
        </w:rPr>
        <w:t>The</w:t>
      </w:r>
      <w:r w:rsidR="00E14E5C" w:rsidRPr="004F1D23">
        <w:rPr>
          <w:rFonts w:ascii="Times" w:eastAsia="Times New Roman" w:hAnsi="Times" w:cs="Times New Roman"/>
          <w:shd w:val="clear" w:color="auto" w:fill="FFFFFF"/>
        </w:rPr>
        <w:t xml:space="preserve"> Court did not need to seek out </w:t>
      </w:r>
      <w:r w:rsidR="008626BA" w:rsidRPr="004F1D23">
        <w:rPr>
          <w:rFonts w:ascii="Times" w:eastAsia="Times New Roman" w:hAnsi="Times" w:cs="Times New Roman"/>
          <w:shd w:val="clear" w:color="auto" w:fill="FFFFFF"/>
        </w:rPr>
        <w:t xml:space="preserve">this </w:t>
      </w:r>
      <w:r w:rsidR="00E14E5C" w:rsidRPr="004F1D23">
        <w:rPr>
          <w:rFonts w:ascii="Times" w:eastAsia="Times New Roman" w:hAnsi="Times" w:cs="Times New Roman"/>
          <w:shd w:val="clear" w:color="auto" w:fill="FFFFFF"/>
        </w:rPr>
        <w:t xml:space="preserve">evidence – </w:t>
      </w:r>
      <w:r w:rsidR="00B36EFC" w:rsidRPr="004F1D23">
        <w:rPr>
          <w:rFonts w:ascii="Times" w:eastAsia="Times New Roman" w:hAnsi="Times" w:cs="Times New Roman"/>
          <w:shd w:val="clear" w:color="auto" w:fill="FFFFFF"/>
        </w:rPr>
        <w:t xml:space="preserve">it could simply have looked at </w:t>
      </w:r>
      <w:r w:rsidRPr="004F1D23">
        <w:rPr>
          <w:rFonts w:ascii="Times" w:eastAsia="Times New Roman" w:hAnsi="Times" w:cs="Times New Roman"/>
          <w:shd w:val="clear" w:color="auto" w:fill="FFFFFF"/>
        </w:rPr>
        <w:t>the evidence</w:t>
      </w:r>
      <w:r w:rsidR="00E80515" w:rsidRPr="004F1D23">
        <w:rPr>
          <w:rFonts w:ascii="Times" w:eastAsia="Times New Roman" w:hAnsi="Times" w:cs="Times New Roman"/>
          <w:shd w:val="clear" w:color="auto" w:fill="FFFFFF"/>
        </w:rPr>
        <w:t xml:space="preserve"> </w:t>
      </w:r>
      <w:r w:rsidR="00E14E5C" w:rsidRPr="004F1D23">
        <w:rPr>
          <w:rFonts w:ascii="Times" w:eastAsia="Times New Roman" w:hAnsi="Times" w:cs="Times New Roman"/>
          <w:shd w:val="clear" w:color="auto" w:fill="FFFFFF"/>
        </w:rPr>
        <w:t xml:space="preserve">put before it. The failure </w:t>
      </w:r>
      <w:r w:rsidR="006A2184" w:rsidRPr="004F1D23">
        <w:rPr>
          <w:rFonts w:ascii="Times" w:eastAsia="Times New Roman" w:hAnsi="Times" w:cs="Times New Roman"/>
          <w:shd w:val="clear" w:color="auto" w:fill="FFFFFF"/>
        </w:rPr>
        <w:t>to analyse the nature of the “data”</w:t>
      </w:r>
      <w:r w:rsidR="00E14E5C" w:rsidRPr="004F1D23">
        <w:rPr>
          <w:rFonts w:ascii="Times" w:eastAsia="Times New Roman" w:hAnsi="Times" w:cs="Times New Roman"/>
          <w:shd w:val="clear" w:color="auto" w:fill="FFFFFF"/>
        </w:rPr>
        <w:t xml:space="preserve"> required of claimants</w:t>
      </w:r>
      <w:r w:rsidR="00E80515" w:rsidRPr="004F1D23">
        <w:rPr>
          <w:rFonts w:ascii="Times" w:eastAsia="Times New Roman" w:hAnsi="Times" w:cs="Times New Roman"/>
          <w:shd w:val="clear" w:color="auto" w:fill="FFFFFF"/>
        </w:rPr>
        <w:t>, to discuss the extra evidence claimants are routinely a</w:t>
      </w:r>
      <w:r w:rsidR="006A2184" w:rsidRPr="004F1D23">
        <w:rPr>
          <w:rFonts w:ascii="Times" w:eastAsia="Times New Roman" w:hAnsi="Times" w:cs="Times New Roman"/>
          <w:shd w:val="clear" w:color="auto" w:fill="FFFFFF"/>
        </w:rPr>
        <w:t>sked to supply, to address how “doubt”</w:t>
      </w:r>
      <w:r w:rsidR="00E80515" w:rsidRPr="004F1D23">
        <w:rPr>
          <w:rFonts w:ascii="Times" w:eastAsia="Times New Roman" w:hAnsi="Times" w:cs="Times New Roman"/>
          <w:shd w:val="clear" w:color="auto" w:fill="FFFFFF"/>
        </w:rPr>
        <w:t xml:space="preserve"> is established, and to discuss the frequency of follow-up checks, strips Article 14(2) of a</w:t>
      </w:r>
      <w:r w:rsidR="00C77A63" w:rsidRPr="004F1D23">
        <w:rPr>
          <w:rFonts w:ascii="Times" w:eastAsia="Times New Roman" w:hAnsi="Times" w:cs="Times New Roman"/>
          <w:shd w:val="clear" w:color="auto" w:fill="FFFFFF"/>
        </w:rPr>
        <w:t>ny meaning</w:t>
      </w:r>
      <w:r w:rsidR="006A2184" w:rsidRPr="004F1D23">
        <w:rPr>
          <w:rFonts w:ascii="Times" w:eastAsia="Times New Roman" w:hAnsi="Times" w:cs="Times New Roman"/>
          <w:shd w:val="clear" w:color="auto" w:fill="FFFFFF"/>
        </w:rPr>
        <w:t>. The r</w:t>
      </w:r>
      <w:r w:rsidR="008626BA" w:rsidRPr="004F1D23">
        <w:rPr>
          <w:rFonts w:ascii="Times" w:eastAsia="Times New Roman" w:hAnsi="Times" w:cs="Times New Roman"/>
          <w:shd w:val="clear" w:color="auto" w:fill="FFFFFF"/>
        </w:rPr>
        <w:t>epeated use of the word “only” (</w:t>
      </w:r>
      <w:r w:rsidR="006A2184" w:rsidRPr="004F1D23">
        <w:rPr>
          <w:rFonts w:ascii="Times" w:eastAsia="Times New Roman" w:hAnsi="Times" w:cs="Times New Roman"/>
          <w:shd w:val="clear" w:color="auto" w:fill="FFFFFF"/>
        </w:rPr>
        <w:t>“</w:t>
      </w:r>
      <w:r w:rsidR="00C77A63" w:rsidRPr="004F1D23">
        <w:rPr>
          <w:rFonts w:ascii="Times" w:eastAsia="Times New Roman" w:hAnsi="Times" w:cs="Times New Roman"/>
          <w:shd w:val="clear" w:color="auto" w:fill="FFFFFF"/>
        </w:rPr>
        <w:t xml:space="preserve">it is </w:t>
      </w:r>
      <w:r w:rsidR="00C77A63" w:rsidRPr="004F1D23">
        <w:rPr>
          <w:rFonts w:ascii="Times" w:eastAsia="Times New Roman" w:hAnsi="Times" w:cs="Times New Roman"/>
          <w:i/>
          <w:shd w:val="clear" w:color="auto" w:fill="FFFFFF"/>
        </w:rPr>
        <w:t>only</w:t>
      </w:r>
      <w:r w:rsidR="00C77A63" w:rsidRPr="004F1D23">
        <w:rPr>
          <w:rFonts w:ascii="Times" w:eastAsia="Times New Roman" w:hAnsi="Times" w:cs="Times New Roman"/>
          <w:shd w:val="clear" w:color="auto" w:fill="FFFFFF"/>
        </w:rPr>
        <w:t xml:space="preserve"> in specific cases that </w:t>
      </w:r>
      <w:r w:rsidR="006A2184" w:rsidRPr="004F1D23">
        <w:rPr>
          <w:rFonts w:ascii="Times" w:eastAsia="Times New Roman" w:hAnsi="Times" w:cs="Times New Roman"/>
          <w:shd w:val="clear" w:color="auto" w:fill="FFFFFF"/>
        </w:rPr>
        <w:t>claimants are required to prove” their right to reside;</w:t>
      </w:r>
      <w:r w:rsidR="006A2184" w:rsidRPr="004F1D23">
        <w:rPr>
          <w:rStyle w:val="FootnoteReference"/>
          <w:rFonts w:ascii="Times" w:eastAsia="Times New Roman" w:hAnsi="Times" w:cs="Times New Roman"/>
          <w:shd w:val="clear" w:color="auto" w:fill="FFFFFF"/>
        </w:rPr>
        <w:footnoteReference w:id="95"/>
      </w:r>
      <w:r w:rsidR="006A2184" w:rsidRPr="004F1D23">
        <w:rPr>
          <w:rFonts w:ascii="Times" w:eastAsia="Times New Roman" w:hAnsi="Times" w:cs="Times New Roman"/>
          <w:shd w:val="clear" w:color="auto" w:fill="FFFFFF"/>
        </w:rPr>
        <w:t xml:space="preserve"> “</w:t>
      </w:r>
      <w:r w:rsidR="00C77A63" w:rsidRPr="004F1D23">
        <w:rPr>
          <w:rFonts w:ascii="Times" w:eastAsia="Times New Roman" w:hAnsi="Times" w:cs="Times New Roman"/>
          <w:shd w:val="clear" w:color="auto" w:fill="FFFFFF"/>
        </w:rPr>
        <w:t xml:space="preserve">it is </w:t>
      </w:r>
      <w:r w:rsidR="00C77A63" w:rsidRPr="004F1D23">
        <w:rPr>
          <w:rFonts w:ascii="Times" w:eastAsia="Times New Roman" w:hAnsi="Times" w:cs="Times New Roman"/>
          <w:i/>
          <w:shd w:val="clear" w:color="auto" w:fill="FFFFFF"/>
        </w:rPr>
        <w:t>onl</w:t>
      </w:r>
      <w:r w:rsidR="006A2184" w:rsidRPr="004F1D23">
        <w:rPr>
          <w:rFonts w:ascii="Times" w:eastAsia="Times New Roman" w:hAnsi="Times" w:cs="Times New Roman"/>
          <w:i/>
          <w:shd w:val="clear" w:color="auto" w:fill="FFFFFF"/>
        </w:rPr>
        <w:t>y</w:t>
      </w:r>
      <w:r w:rsidR="006A2184" w:rsidRPr="004F1D23">
        <w:rPr>
          <w:rFonts w:ascii="Times" w:eastAsia="Times New Roman" w:hAnsi="Times" w:cs="Times New Roman"/>
          <w:shd w:val="clear" w:color="auto" w:fill="FFFFFF"/>
        </w:rPr>
        <w:t xml:space="preserve"> in the event of doubt”</w:t>
      </w:r>
      <w:r w:rsidR="00C77A63" w:rsidRPr="004F1D23">
        <w:rPr>
          <w:rFonts w:ascii="Times" w:eastAsia="Times New Roman" w:hAnsi="Times" w:cs="Times New Roman"/>
          <w:shd w:val="clear" w:color="auto" w:fill="FFFFFF"/>
        </w:rPr>
        <w:t xml:space="preserve"> t</w:t>
      </w:r>
      <w:r w:rsidR="006A2184" w:rsidRPr="004F1D23">
        <w:rPr>
          <w:rFonts w:ascii="Times" w:eastAsia="Times New Roman" w:hAnsi="Times" w:cs="Times New Roman"/>
          <w:shd w:val="clear" w:color="auto" w:fill="FFFFFF"/>
        </w:rPr>
        <w:t>hat verification is carried out</w:t>
      </w:r>
      <w:r w:rsidR="00C77A63" w:rsidRPr="004F1D23">
        <w:rPr>
          <w:rFonts w:ascii="Times" w:eastAsia="Times New Roman" w:hAnsi="Times" w:cs="Times New Roman"/>
          <w:shd w:val="clear" w:color="auto" w:fill="FFFFFF"/>
        </w:rPr>
        <w:t>,</w:t>
      </w:r>
      <w:r w:rsidR="008626BA" w:rsidRPr="004F1D23">
        <w:rPr>
          <w:rFonts w:ascii="Times" w:eastAsia="Times New Roman" w:hAnsi="Times" w:cs="Times New Roman"/>
          <w:shd w:val="clear" w:color="auto" w:fill="FFFFFF"/>
        </w:rPr>
        <w:t>)</w:t>
      </w:r>
      <w:r w:rsidR="006A2184" w:rsidRPr="004F1D23">
        <w:rPr>
          <w:rStyle w:val="FootnoteReference"/>
          <w:rFonts w:ascii="Times" w:eastAsia="Times New Roman" w:hAnsi="Times" w:cs="Times New Roman"/>
          <w:shd w:val="clear" w:color="auto" w:fill="FFFFFF"/>
        </w:rPr>
        <w:footnoteReference w:id="96"/>
      </w:r>
      <w:r w:rsidR="00C77A63" w:rsidRPr="004F1D23">
        <w:rPr>
          <w:rFonts w:ascii="Times" w:eastAsia="Times New Roman" w:hAnsi="Times" w:cs="Times New Roman"/>
          <w:shd w:val="clear" w:color="auto" w:fill="FFFFFF"/>
        </w:rPr>
        <w:t xml:space="preserve"> without statistic</w:t>
      </w:r>
      <w:r w:rsidRPr="004F1D23">
        <w:rPr>
          <w:rFonts w:ascii="Times" w:eastAsia="Times New Roman" w:hAnsi="Times" w:cs="Times New Roman"/>
          <w:shd w:val="clear" w:color="auto" w:fill="FFFFFF"/>
        </w:rPr>
        <w:t>s</w:t>
      </w:r>
      <w:r w:rsidR="00C77A63" w:rsidRPr="004F1D23">
        <w:rPr>
          <w:rFonts w:ascii="Times" w:eastAsia="Times New Roman" w:hAnsi="Times" w:cs="Times New Roman"/>
          <w:shd w:val="clear" w:color="auto" w:fill="FFFFFF"/>
        </w:rPr>
        <w:t xml:space="preserve">, tells us nothing about frequency, or numbers, so cannot tell us about proportionality. </w:t>
      </w:r>
    </w:p>
    <w:p w14:paraId="2EC0F31F" w14:textId="77777777" w:rsidR="00E14E5C" w:rsidRPr="004F1D23" w:rsidRDefault="00E14E5C" w:rsidP="00914FAF">
      <w:pPr>
        <w:jc w:val="both"/>
        <w:rPr>
          <w:rFonts w:ascii="Times" w:eastAsia="Times New Roman" w:hAnsi="Times" w:cs="Times New Roman"/>
          <w:shd w:val="clear" w:color="auto" w:fill="FFFFFF"/>
        </w:rPr>
      </w:pPr>
    </w:p>
    <w:p w14:paraId="0CB54161" w14:textId="21CE2184" w:rsidR="00555324" w:rsidRPr="004F1D23" w:rsidRDefault="00D4492A" w:rsidP="004F1D23">
      <w:pPr>
        <w:jc w:val="both"/>
        <w:rPr>
          <w:rFonts w:ascii="Times" w:eastAsia="Times New Roman" w:hAnsi="Times" w:cs="Times New Roman"/>
        </w:rPr>
      </w:pPr>
      <w:r w:rsidRPr="004F1D23">
        <w:rPr>
          <w:rFonts w:ascii="Times" w:eastAsia="Times New Roman" w:hAnsi="Times" w:cs="Times New Roman"/>
          <w:shd w:val="clear" w:color="auto" w:fill="FFFFFF"/>
        </w:rPr>
        <w:t>Typically, where a potential infringement has been made out, it is up to the infringer to demonstrate that their actions are justified</w:t>
      </w:r>
      <w:r w:rsidR="001B1375" w:rsidRPr="004F1D23">
        <w:rPr>
          <w:rFonts w:ascii="Times" w:eastAsia="Times New Roman" w:hAnsi="Times" w:cs="Times New Roman"/>
          <w:shd w:val="clear" w:color="auto" w:fill="FFFFFF"/>
        </w:rPr>
        <w:t>.</w:t>
      </w:r>
      <w:r w:rsidRPr="004F1D23">
        <w:rPr>
          <w:rFonts w:ascii="Times" w:eastAsia="Times New Roman" w:hAnsi="Times" w:cs="Times New Roman"/>
          <w:shd w:val="clear" w:color="auto" w:fill="FFFFFF"/>
        </w:rPr>
        <w:t xml:space="preserve"> </w:t>
      </w:r>
      <w:r w:rsidR="00555324" w:rsidRPr="004F1D23">
        <w:rPr>
          <w:rFonts w:ascii="Times" w:eastAsia="Times New Roman" w:hAnsi="Times" w:cs="Times New Roman"/>
          <w:shd w:val="clear" w:color="auto" w:fill="FFFFFF"/>
        </w:rPr>
        <w:t xml:space="preserve">In </w:t>
      </w:r>
      <w:r w:rsidR="00555324" w:rsidRPr="004F1D23">
        <w:rPr>
          <w:rFonts w:ascii="Times" w:eastAsia="Times New Roman" w:hAnsi="Times" w:cs="Times New Roman"/>
          <w:i/>
          <w:shd w:val="clear" w:color="auto" w:fill="FFFFFF"/>
        </w:rPr>
        <w:t xml:space="preserve">Commission v Belgium </w:t>
      </w:r>
      <w:r w:rsidR="00555324" w:rsidRPr="004F1D23">
        <w:rPr>
          <w:rFonts w:ascii="Times" w:eastAsia="Times New Roman" w:hAnsi="Times" w:cs="Times New Roman"/>
          <w:shd w:val="clear" w:color="auto" w:fill="FFFFFF"/>
        </w:rPr>
        <w:t>the Court stated that “</w:t>
      </w:r>
      <w:r w:rsidR="00555324" w:rsidRPr="004F1D23">
        <w:rPr>
          <w:rFonts w:ascii="Times" w:eastAsia="Times New Roman" w:hAnsi="Times" w:cs="Arial"/>
          <w:shd w:val="clear" w:color="auto" w:fill="FFFFFF"/>
        </w:rPr>
        <w:t>the reasons which may be invoked by a Member State by way of justification must be accompanied by appropriate evidence or by an analysis of the appropriateness and proportionality of the restrictive measure adopted by that State, and precise evidence enabling its arguments to be substantiated,</w:t>
      </w:r>
      <w:r w:rsidR="00555324" w:rsidRPr="004F1D23">
        <w:rPr>
          <w:rFonts w:ascii="Times" w:eastAsia="Times New Roman" w:hAnsi="Times" w:cs="Times New Roman"/>
        </w:rPr>
        <w:t>”</w:t>
      </w:r>
      <w:r w:rsidR="00555324" w:rsidRPr="004F1D23">
        <w:rPr>
          <w:rStyle w:val="FootnoteReference"/>
          <w:rFonts w:ascii="Times" w:eastAsia="Times New Roman" w:hAnsi="Times" w:cs="Times New Roman"/>
        </w:rPr>
        <w:footnoteReference w:id="97"/>
      </w:r>
      <w:r w:rsidR="00555324" w:rsidRPr="004F1D23">
        <w:rPr>
          <w:rFonts w:ascii="Times" w:eastAsia="Times New Roman" w:hAnsi="Times" w:cs="Times New Roman"/>
        </w:rPr>
        <w:t xml:space="preserve"> a requirement </w:t>
      </w:r>
      <w:r w:rsidR="00EC44DC" w:rsidRPr="004F1D23">
        <w:rPr>
          <w:rFonts w:ascii="Times" w:eastAsia="Times New Roman" w:hAnsi="Times" w:cs="Times New Roman"/>
        </w:rPr>
        <w:t>drawing upon a wealth of cases,</w:t>
      </w:r>
      <w:r w:rsidR="00EC44DC" w:rsidRPr="004F1D23">
        <w:rPr>
          <w:rStyle w:val="FootnoteReference"/>
          <w:rFonts w:ascii="Times" w:eastAsia="Times New Roman" w:hAnsi="Times" w:cs="Times New Roman"/>
        </w:rPr>
        <w:footnoteReference w:id="98"/>
      </w:r>
      <w:r w:rsidR="00EC44DC" w:rsidRPr="004F1D23">
        <w:rPr>
          <w:rFonts w:ascii="Times" w:eastAsia="Times New Roman" w:hAnsi="Times" w:cs="Times New Roman"/>
        </w:rPr>
        <w:t xml:space="preserve"> and </w:t>
      </w:r>
      <w:r w:rsidR="00555324" w:rsidRPr="004F1D23">
        <w:rPr>
          <w:rFonts w:ascii="Times" w:eastAsia="Times New Roman" w:hAnsi="Times" w:cs="Times New Roman"/>
        </w:rPr>
        <w:t xml:space="preserve">repeated in </w:t>
      </w:r>
      <w:r w:rsidR="00555324" w:rsidRPr="004F1D23">
        <w:rPr>
          <w:rFonts w:ascii="Times" w:eastAsia="Times New Roman" w:hAnsi="Times" w:cs="Times New Roman"/>
          <w:i/>
        </w:rPr>
        <w:t>Commission v Luxembourg.</w:t>
      </w:r>
      <w:r w:rsidR="00555324" w:rsidRPr="004F1D23">
        <w:rPr>
          <w:rStyle w:val="FootnoteReference"/>
          <w:rFonts w:ascii="Times" w:eastAsia="Times New Roman" w:hAnsi="Times" w:cs="Times New Roman"/>
        </w:rPr>
        <w:footnoteReference w:id="99"/>
      </w:r>
      <w:r w:rsidR="00015E73" w:rsidRPr="004F1D23">
        <w:rPr>
          <w:rFonts w:ascii="Times" w:eastAsia="Times New Roman" w:hAnsi="Times" w:cs="Times New Roman"/>
        </w:rPr>
        <w:t xml:space="preserve"> Barnard </w:t>
      </w:r>
      <w:r w:rsidR="00EC44DC" w:rsidRPr="004F1D23">
        <w:rPr>
          <w:rFonts w:ascii="Times" w:eastAsia="Times New Roman" w:hAnsi="Times" w:cs="Times New Roman"/>
        </w:rPr>
        <w:t xml:space="preserve">charted a “remarkable shift” from “considerable deference” to Member States’ justifications in the 1980s, through to a </w:t>
      </w:r>
      <w:r w:rsidR="00015E73" w:rsidRPr="004F1D23">
        <w:rPr>
          <w:rFonts w:ascii="Times" w:eastAsia="Times New Roman" w:hAnsi="Times" w:cs="Times New Roman"/>
        </w:rPr>
        <w:t>more substantial review of their claims by 2004.</w:t>
      </w:r>
      <w:r w:rsidR="00015E73" w:rsidRPr="004F1D23">
        <w:rPr>
          <w:rStyle w:val="FootnoteReference"/>
          <w:rFonts w:ascii="Times" w:eastAsia="Times New Roman" w:hAnsi="Times" w:cs="Times New Roman"/>
        </w:rPr>
        <w:footnoteReference w:id="100"/>
      </w:r>
      <w:r w:rsidR="00015E73" w:rsidRPr="004F1D23">
        <w:rPr>
          <w:rFonts w:ascii="Times" w:eastAsia="Times New Roman" w:hAnsi="Times" w:cs="Times New Roman"/>
        </w:rPr>
        <w:t xml:space="preserve"> This review </w:t>
      </w:r>
      <w:r w:rsidR="004F1D23">
        <w:rPr>
          <w:rFonts w:ascii="Times" w:eastAsia="Times New Roman" w:hAnsi="Times" w:cs="Times New Roman"/>
        </w:rPr>
        <w:t>has been</w:t>
      </w:r>
      <w:r w:rsidR="00015E73" w:rsidRPr="004F1D23">
        <w:rPr>
          <w:rFonts w:ascii="Times" w:eastAsia="Times New Roman" w:hAnsi="Times" w:cs="Times New Roman"/>
        </w:rPr>
        <w:t xml:space="preserve"> quite demanding – in </w:t>
      </w:r>
      <w:r w:rsidR="00015E73" w:rsidRPr="004F1D23">
        <w:rPr>
          <w:rFonts w:ascii="Times" w:eastAsia="Times New Roman" w:hAnsi="Times" w:cs="Times New Roman"/>
          <w:i/>
        </w:rPr>
        <w:t>Commission v Austria</w:t>
      </w:r>
      <w:r w:rsidR="00015E73" w:rsidRPr="004F1D23">
        <w:rPr>
          <w:rFonts w:ascii="Times" w:eastAsia="Times New Roman" w:hAnsi="Times" w:cs="Times New Roman"/>
        </w:rPr>
        <w:t>,</w:t>
      </w:r>
      <w:r w:rsidR="0080408B" w:rsidRPr="004F1D23">
        <w:rPr>
          <w:rStyle w:val="FootnoteReference"/>
          <w:rFonts w:ascii="Times" w:eastAsia="Times New Roman" w:hAnsi="Times" w:cs="Times New Roman"/>
        </w:rPr>
        <w:footnoteReference w:id="101"/>
      </w:r>
      <w:r w:rsidR="00015E73" w:rsidRPr="004F1D23">
        <w:rPr>
          <w:rFonts w:ascii="Times" w:eastAsia="Times New Roman" w:hAnsi="Times" w:cs="Times New Roman"/>
        </w:rPr>
        <w:t xml:space="preserve"> Austr</w:t>
      </w:r>
      <w:r w:rsidR="0080408B" w:rsidRPr="004F1D23">
        <w:rPr>
          <w:rFonts w:ascii="Times" w:eastAsia="Times New Roman" w:hAnsi="Times" w:cs="Times New Roman"/>
        </w:rPr>
        <w:t>ia claimed that restricting</w:t>
      </w:r>
      <w:r w:rsidR="00015E73" w:rsidRPr="004F1D23">
        <w:rPr>
          <w:rFonts w:ascii="Times" w:eastAsia="Times New Roman" w:hAnsi="Times" w:cs="Times New Roman"/>
        </w:rPr>
        <w:t xml:space="preserve"> </w:t>
      </w:r>
      <w:r w:rsidR="0080408B" w:rsidRPr="004F1D23">
        <w:rPr>
          <w:rFonts w:ascii="Times" w:eastAsia="Times New Roman" w:hAnsi="Times" w:cs="Times New Roman"/>
        </w:rPr>
        <w:t>access to university courses to those fulfilling the criteria to register for equivalent courses in their home states</w:t>
      </w:r>
      <w:r w:rsidR="004F1D23" w:rsidRPr="004F1D23">
        <w:rPr>
          <w:rFonts w:ascii="Times" w:eastAsia="Times New Roman" w:hAnsi="Times" w:cs="Times New Roman"/>
        </w:rPr>
        <w:t xml:space="preserve"> was</w:t>
      </w:r>
      <w:r w:rsidR="00015E73" w:rsidRPr="004F1D23">
        <w:rPr>
          <w:rFonts w:ascii="Times" w:eastAsia="Times New Roman" w:hAnsi="Times" w:cs="Times New Roman"/>
        </w:rPr>
        <w:t xml:space="preserve"> </w:t>
      </w:r>
      <w:r w:rsidR="004F1D23" w:rsidRPr="004F1D23">
        <w:rPr>
          <w:rFonts w:ascii="Times" w:eastAsia="Times New Roman" w:hAnsi="Times" w:cs="Times New Roman"/>
        </w:rPr>
        <w:t>n</w:t>
      </w:r>
      <w:r w:rsidR="00015E73" w:rsidRPr="004F1D23">
        <w:rPr>
          <w:rFonts w:ascii="Times" w:eastAsia="Times New Roman" w:hAnsi="Times" w:cs="Times New Roman"/>
        </w:rPr>
        <w:t xml:space="preserve">ecessary to preserve the financial equilibrium of the Austrian higher education system, submitting that </w:t>
      </w:r>
      <w:r w:rsidR="0080408B" w:rsidRPr="004F1D23">
        <w:rPr>
          <w:rFonts w:ascii="Times" w:eastAsia="Times New Roman" w:hAnsi="Times" w:cs="Times New Roman"/>
        </w:rPr>
        <w:t>the number of students registering for medical courses could be five times greater than the number of places. The Court was dismissive, because “no estimates relating to other courses have been submitted.”</w:t>
      </w:r>
      <w:r w:rsidR="0080408B" w:rsidRPr="004F1D23">
        <w:rPr>
          <w:rStyle w:val="FootnoteReference"/>
          <w:rFonts w:ascii="Times" w:eastAsia="Times New Roman" w:hAnsi="Times" w:cs="Times New Roman"/>
        </w:rPr>
        <w:footnoteReference w:id="102"/>
      </w:r>
      <w:r w:rsidR="0080408B" w:rsidRPr="004F1D23">
        <w:rPr>
          <w:rFonts w:ascii="Times" w:eastAsia="Times New Roman" w:hAnsi="Times" w:cs="Times New Roman"/>
        </w:rPr>
        <w:t xml:space="preserve"> The Court has elsewhere criticised the use of “generalizations” when attempting to justify discrimination.</w:t>
      </w:r>
      <w:r w:rsidR="0080408B" w:rsidRPr="004F1D23">
        <w:rPr>
          <w:rStyle w:val="FootnoteReference"/>
          <w:rFonts w:ascii="Times" w:eastAsia="Times New Roman" w:hAnsi="Times" w:cs="Times New Roman"/>
        </w:rPr>
        <w:footnoteReference w:id="103"/>
      </w:r>
      <w:r w:rsidR="0080408B" w:rsidRPr="004F1D23">
        <w:rPr>
          <w:rFonts w:ascii="Times" w:eastAsia="Times New Roman" w:hAnsi="Times" w:cs="Times New Roman"/>
        </w:rPr>
        <w:t xml:space="preserve"> </w:t>
      </w:r>
      <w:r w:rsidR="00015E73" w:rsidRPr="004F1D23">
        <w:rPr>
          <w:rFonts w:ascii="Times" w:eastAsia="Times New Roman" w:hAnsi="Times" w:cs="Times New Roman"/>
        </w:rPr>
        <w:t>Reynolds has</w:t>
      </w:r>
      <w:r w:rsidR="00EC44DC" w:rsidRPr="004F1D23">
        <w:rPr>
          <w:rFonts w:ascii="Times" w:eastAsia="Times New Roman" w:hAnsi="Times" w:cs="Times New Roman"/>
        </w:rPr>
        <w:t xml:space="preserve"> noted how this evidentiary burden placed upon Member States has posed problems when faced with perceived conflicts between free movement and fundamental rights,</w:t>
      </w:r>
      <w:r w:rsidR="00015E73" w:rsidRPr="004F1D23">
        <w:rPr>
          <w:rStyle w:val="FootnoteReference"/>
          <w:rFonts w:ascii="Times" w:eastAsia="Times New Roman" w:hAnsi="Times" w:cs="Times New Roman"/>
        </w:rPr>
        <w:footnoteReference w:id="104"/>
      </w:r>
      <w:r w:rsidR="00EC44DC" w:rsidRPr="004F1D23">
        <w:rPr>
          <w:rFonts w:ascii="Times" w:eastAsia="Times New Roman" w:hAnsi="Times" w:cs="Times New Roman"/>
        </w:rPr>
        <w:t xml:space="preserve"> exacerbating the extent to which the latter are on the ‘back foot’</w:t>
      </w:r>
      <w:r w:rsidR="00015E73" w:rsidRPr="004F1D23">
        <w:rPr>
          <w:rFonts w:ascii="Times" w:eastAsia="Times New Roman" w:hAnsi="Times" w:cs="Times New Roman"/>
        </w:rPr>
        <w:t>. Nic Shuib</w:t>
      </w:r>
      <w:r w:rsidR="004F1D23">
        <w:rPr>
          <w:rFonts w:ascii="Times" w:eastAsia="Times New Roman" w:hAnsi="Times" w:cs="Times New Roman"/>
        </w:rPr>
        <w:t>h</w:t>
      </w:r>
      <w:r w:rsidR="00015E73" w:rsidRPr="004F1D23">
        <w:rPr>
          <w:rFonts w:ascii="Times" w:eastAsia="Times New Roman" w:hAnsi="Times" w:cs="Times New Roman"/>
        </w:rPr>
        <w:t>ne and Maci warn of the danger of creating an insuperable hurdle making it difficult to distinguish between “rightly protecting things and illicit protectionism”</w:t>
      </w:r>
      <w:r w:rsidR="00EC44DC" w:rsidRPr="004F1D23">
        <w:rPr>
          <w:rFonts w:ascii="Times" w:eastAsia="Times New Roman" w:hAnsi="Times" w:cs="Times New Roman"/>
        </w:rPr>
        <w:t>.</w:t>
      </w:r>
      <w:r w:rsidR="00015E73" w:rsidRPr="004F1D23">
        <w:rPr>
          <w:rStyle w:val="FootnoteReference"/>
          <w:rFonts w:ascii="Times" w:eastAsia="Times New Roman" w:hAnsi="Times" w:cs="Times New Roman"/>
        </w:rPr>
        <w:footnoteReference w:id="105"/>
      </w:r>
      <w:r w:rsidR="00EC44DC" w:rsidRPr="004F1D23">
        <w:rPr>
          <w:rFonts w:ascii="Times" w:eastAsia="Times New Roman" w:hAnsi="Times" w:cs="Times New Roman"/>
        </w:rPr>
        <w:t xml:space="preserve"> </w:t>
      </w:r>
    </w:p>
    <w:p w14:paraId="4A72C572" w14:textId="77777777" w:rsidR="00555324" w:rsidRPr="004F1D23" w:rsidRDefault="00555324" w:rsidP="00555324">
      <w:pPr>
        <w:rPr>
          <w:rFonts w:ascii="Times" w:eastAsia="Times New Roman" w:hAnsi="Times" w:cs="Times New Roman"/>
        </w:rPr>
      </w:pPr>
    </w:p>
    <w:p w14:paraId="4E2D98C7" w14:textId="1A0D1E1C" w:rsidR="0071732C" w:rsidRPr="004F1D23" w:rsidRDefault="004F1D23" w:rsidP="004F1D23">
      <w:pPr>
        <w:jc w:val="both"/>
        <w:rPr>
          <w:rFonts w:ascii="Times" w:eastAsia="Times New Roman" w:hAnsi="Times" w:cs="Times New Roman"/>
        </w:rPr>
      </w:pPr>
      <w:r w:rsidRPr="004F1D23">
        <w:rPr>
          <w:rFonts w:ascii="Times" w:eastAsia="Times New Roman" w:hAnsi="Times" w:cs="Times New Roman"/>
        </w:rPr>
        <w:t xml:space="preserve">But here we have a rather complete reversal in which no evidence is demanded of the UK; instead the Commission must adduce the evidence to prove a negative – the absence of justification. </w:t>
      </w:r>
      <w:r w:rsidR="001B1375" w:rsidRPr="004F1D23">
        <w:rPr>
          <w:rFonts w:ascii="Times" w:eastAsia="Times New Roman" w:hAnsi="Times" w:cs="Times New Roman"/>
        </w:rPr>
        <w:t>The</w:t>
      </w:r>
      <w:r w:rsidR="00C77A63" w:rsidRPr="004F1D23">
        <w:rPr>
          <w:rFonts w:ascii="Times" w:eastAsia="Times New Roman" w:hAnsi="Times" w:cs="Times New Roman"/>
        </w:rPr>
        <w:t xml:space="preserve"> UK </w:t>
      </w:r>
      <w:r w:rsidR="001B1375" w:rsidRPr="004F1D23">
        <w:rPr>
          <w:rFonts w:ascii="Times" w:eastAsia="Times New Roman" w:hAnsi="Times" w:cs="Times New Roman"/>
        </w:rPr>
        <w:t xml:space="preserve">could have </w:t>
      </w:r>
      <w:r w:rsidR="00C77A63" w:rsidRPr="004F1D23">
        <w:rPr>
          <w:rFonts w:ascii="Times" w:eastAsia="Times New Roman" w:hAnsi="Times" w:cs="Times New Roman"/>
        </w:rPr>
        <w:t>provide</w:t>
      </w:r>
      <w:r w:rsidR="001B1375" w:rsidRPr="004F1D23">
        <w:rPr>
          <w:rFonts w:ascii="Times" w:eastAsia="Times New Roman" w:hAnsi="Times" w:cs="Times New Roman"/>
        </w:rPr>
        <w:t xml:space="preserve">d the </w:t>
      </w:r>
      <w:r w:rsidR="00C77A63" w:rsidRPr="004F1D23">
        <w:rPr>
          <w:rFonts w:ascii="Times" w:eastAsia="Times New Roman" w:hAnsi="Times" w:cs="Times New Roman"/>
        </w:rPr>
        <w:t>statistics</w:t>
      </w:r>
      <w:r w:rsidR="001B1375" w:rsidRPr="004F1D23">
        <w:rPr>
          <w:rFonts w:ascii="Times" w:eastAsia="Times New Roman" w:hAnsi="Times" w:cs="Times New Roman"/>
        </w:rPr>
        <w:t xml:space="preserve"> on frequency</w:t>
      </w:r>
      <w:r w:rsidRPr="004F1D23">
        <w:rPr>
          <w:rFonts w:ascii="Times" w:eastAsia="Times New Roman" w:hAnsi="Times" w:cs="Times New Roman"/>
        </w:rPr>
        <w:t xml:space="preserve"> of follow-up checks</w:t>
      </w:r>
      <w:r w:rsidR="00C77A63" w:rsidRPr="004F1D23">
        <w:rPr>
          <w:rFonts w:ascii="Times" w:eastAsia="Times New Roman" w:hAnsi="Times" w:cs="Times New Roman"/>
        </w:rPr>
        <w:t xml:space="preserve">. Instead, the Court decided that it was the Commission’s responsibility to show that </w:t>
      </w:r>
      <w:r w:rsidR="001B1375" w:rsidRPr="004F1D23">
        <w:rPr>
          <w:rFonts w:ascii="Times" w:eastAsia="Times New Roman" w:hAnsi="Times" w:cs="Times New Roman"/>
        </w:rPr>
        <w:t>the checks were disproportionate, were not appropriate, or went beyond what was necessary.</w:t>
      </w:r>
      <w:r w:rsidR="00C77A63" w:rsidRPr="004F1D23">
        <w:rPr>
          <w:rFonts w:ascii="Times" w:eastAsia="Times New Roman" w:hAnsi="Times" w:cs="Arial"/>
        </w:rPr>
        <w:t xml:space="preserve"> </w:t>
      </w:r>
      <w:r w:rsidR="005F0EB8" w:rsidRPr="004F1D23">
        <w:rPr>
          <w:rFonts w:ascii="Times" w:eastAsia="Times New Roman" w:hAnsi="Times" w:cs="Arial"/>
        </w:rPr>
        <w:t>This is a problematic r</w:t>
      </w:r>
      <w:r w:rsidR="001B1375" w:rsidRPr="004F1D23">
        <w:rPr>
          <w:rFonts w:ascii="Times" w:eastAsia="Times New Roman" w:hAnsi="Times" w:cs="Arial"/>
        </w:rPr>
        <w:t>eversal of the burden of proof, and requires the Commission to provide information that is in possession of the UK</w:t>
      </w:r>
      <w:r w:rsidR="005F0EB8" w:rsidRPr="004F1D23">
        <w:rPr>
          <w:rFonts w:ascii="Times" w:eastAsia="Times New Roman" w:hAnsi="Times" w:cs="Arial"/>
        </w:rPr>
        <w:t xml:space="preserve">. </w:t>
      </w:r>
      <w:r w:rsidR="001B1375" w:rsidRPr="004F1D23">
        <w:rPr>
          <w:rFonts w:ascii="Times" w:hAnsi="Times"/>
        </w:rPr>
        <w:t xml:space="preserve">Having considered the justification of the checks, the next section analyses the issue of </w:t>
      </w:r>
      <w:r w:rsidR="005F0EB8" w:rsidRPr="004F1D23">
        <w:rPr>
          <w:rFonts w:ascii="Times" w:hAnsi="Times"/>
        </w:rPr>
        <w:t>justification th</w:t>
      </w:r>
      <w:r w:rsidR="001B1375" w:rsidRPr="004F1D23">
        <w:rPr>
          <w:rFonts w:ascii="Times" w:hAnsi="Times"/>
        </w:rPr>
        <w:t>at the Court missed out – that of</w:t>
      </w:r>
      <w:r w:rsidR="005F0EB8" w:rsidRPr="004F1D23">
        <w:rPr>
          <w:rFonts w:ascii="Times" w:hAnsi="Times"/>
        </w:rPr>
        <w:t xml:space="preserve"> t</w:t>
      </w:r>
      <w:r w:rsidR="001B1375" w:rsidRPr="004F1D23">
        <w:rPr>
          <w:rFonts w:ascii="Times" w:hAnsi="Times"/>
        </w:rPr>
        <w:t xml:space="preserve">he right to reside </w:t>
      </w:r>
      <w:r w:rsidR="008626BA" w:rsidRPr="004F1D23">
        <w:rPr>
          <w:rFonts w:ascii="Times" w:hAnsi="Times"/>
        </w:rPr>
        <w:t>condition</w:t>
      </w:r>
      <w:r w:rsidR="001B1375" w:rsidRPr="004F1D23">
        <w:rPr>
          <w:rFonts w:ascii="Times" w:hAnsi="Times"/>
        </w:rPr>
        <w:t xml:space="preserve">, </w:t>
      </w:r>
      <w:r w:rsidR="005F0EB8" w:rsidRPr="004F1D23">
        <w:rPr>
          <w:rFonts w:ascii="Times" w:hAnsi="Times"/>
        </w:rPr>
        <w:t>in particular t</w:t>
      </w:r>
      <w:r w:rsidR="008626BA" w:rsidRPr="004F1D23">
        <w:rPr>
          <w:rFonts w:ascii="Times" w:hAnsi="Times"/>
        </w:rPr>
        <w:t>he question of proportionality</w:t>
      </w:r>
      <w:r w:rsidR="005F0EB8" w:rsidRPr="004F1D23">
        <w:rPr>
          <w:rFonts w:ascii="Times" w:hAnsi="Times"/>
        </w:rPr>
        <w:t xml:space="preserve">. </w:t>
      </w:r>
    </w:p>
    <w:p w14:paraId="7BF90003" w14:textId="77777777" w:rsidR="00A91336" w:rsidRPr="004F1D23" w:rsidRDefault="00A91336" w:rsidP="00914FAF">
      <w:pPr>
        <w:jc w:val="both"/>
        <w:rPr>
          <w:rFonts w:ascii="Times" w:hAnsi="Times"/>
        </w:rPr>
      </w:pPr>
    </w:p>
    <w:p w14:paraId="08385384" w14:textId="7DF6DDC0" w:rsidR="00D92983" w:rsidRPr="004F1D23" w:rsidRDefault="0098092F" w:rsidP="00914FAF">
      <w:pPr>
        <w:jc w:val="both"/>
        <w:rPr>
          <w:rFonts w:ascii="Times" w:eastAsia="Times New Roman" w:hAnsi="Times" w:cs="Times New Roman"/>
        </w:rPr>
      </w:pPr>
      <w:r w:rsidRPr="004F1D23">
        <w:rPr>
          <w:rFonts w:ascii="Times" w:hAnsi="Times"/>
        </w:rPr>
        <w:t>5.4</w:t>
      </w:r>
      <w:r w:rsidR="00087A74" w:rsidRPr="004F1D23">
        <w:rPr>
          <w:rFonts w:ascii="Times" w:hAnsi="Times"/>
        </w:rPr>
        <w:t xml:space="preserve"> </w:t>
      </w:r>
      <w:r w:rsidR="00D814AE" w:rsidRPr="004F1D23">
        <w:rPr>
          <w:rFonts w:ascii="Times" w:hAnsi="Times"/>
          <w:i/>
        </w:rPr>
        <w:t>The question the Court did not ask – is the right to reside test justified?</w:t>
      </w:r>
      <w:r w:rsidR="00D814AE" w:rsidRPr="004F1D23">
        <w:rPr>
          <w:rFonts w:ascii="Times" w:hAnsi="Times"/>
        </w:rPr>
        <w:t xml:space="preserve"> </w:t>
      </w:r>
    </w:p>
    <w:p w14:paraId="343953D5" w14:textId="77777777" w:rsidR="00D92983" w:rsidRPr="004F1D23" w:rsidRDefault="00D92983" w:rsidP="00914FAF">
      <w:pPr>
        <w:jc w:val="both"/>
        <w:rPr>
          <w:rFonts w:ascii="Times" w:hAnsi="Times"/>
        </w:rPr>
      </w:pPr>
    </w:p>
    <w:p w14:paraId="6F91636C" w14:textId="323CA209" w:rsidR="00D814AE" w:rsidRPr="004F1D23" w:rsidRDefault="005F0EB8" w:rsidP="00914FAF">
      <w:pPr>
        <w:jc w:val="both"/>
        <w:rPr>
          <w:rFonts w:ascii="Times" w:hAnsi="Times"/>
        </w:rPr>
      </w:pPr>
      <w:r w:rsidRPr="004F1D23">
        <w:rPr>
          <w:rFonts w:ascii="Times" w:hAnsi="Times"/>
        </w:rPr>
        <w:t>We will begin from the Court’s premise that the right to reside test is indirectly discriminatory</w:t>
      </w:r>
      <w:r w:rsidR="001B1375" w:rsidRPr="004F1D23">
        <w:rPr>
          <w:rFonts w:ascii="Times" w:hAnsi="Times"/>
        </w:rPr>
        <w:t xml:space="preserve">. Although </w:t>
      </w:r>
      <w:r w:rsidR="00FA55FB" w:rsidRPr="004F1D23">
        <w:rPr>
          <w:rFonts w:ascii="Times" w:hAnsi="Times"/>
        </w:rPr>
        <w:t>flawed</w:t>
      </w:r>
      <w:r w:rsidR="00D814AE" w:rsidRPr="004F1D23">
        <w:rPr>
          <w:rFonts w:ascii="Times" w:hAnsi="Times"/>
        </w:rPr>
        <w:t xml:space="preserve">, </w:t>
      </w:r>
      <w:r w:rsidR="001B1375" w:rsidRPr="004F1D23">
        <w:rPr>
          <w:rFonts w:ascii="Times" w:hAnsi="Times"/>
        </w:rPr>
        <w:t>it is an</w:t>
      </w:r>
      <w:r w:rsidR="00D814AE" w:rsidRPr="004F1D23">
        <w:rPr>
          <w:rFonts w:ascii="Times" w:hAnsi="Times"/>
        </w:rPr>
        <w:t xml:space="preserve"> increasingly </w:t>
      </w:r>
      <w:r w:rsidR="001B1375" w:rsidRPr="004F1D23">
        <w:rPr>
          <w:rFonts w:ascii="Times" w:hAnsi="Times"/>
        </w:rPr>
        <w:t>accepted</w:t>
      </w:r>
      <w:r w:rsidR="00D814AE" w:rsidRPr="004F1D23">
        <w:rPr>
          <w:rFonts w:ascii="Times" w:hAnsi="Times"/>
        </w:rPr>
        <w:t xml:space="preserve"> legal fiction. From this, it follows </w:t>
      </w:r>
      <w:r w:rsidR="001B1375" w:rsidRPr="004F1D23">
        <w:rPr>
          <w:rFonts w:ascii="Times" w:hAnsi="Times"/>
        </w:rPr>
        <w:t>that the test must be justified</w:t>
      </w:r>
      <w:r w:rsidR="00D814AE" w:rsidRPr="004F1D23">
        <w:rPr>
          <w:rFonts w:ascii="Times" w:hAnsi="Times"/>
        </w:rPr>
        <w:t xml:space="preserve"> by a legitimate aim</w:t>
      </w:r>
      <w:r w:rsidR="00FA55FB" w:rsidRPr="004F1D23">
        <w:rPr>
          <w:rFonts w:ascii="Times" w:hAnsi="Times"/>
        </w:rPr>
        <w:t>,</w:t>
      </w:r>
      <w:r w:rsidR="00D814AE" w:rsidRPr="004F1D23">
        <w:rPr>
          <w:rFonts w:ascii="Times" w:hAnsi="Times"/>
        </w:rPr>
        <w:t xml:space="preserve"> and be appropriate</w:t>
      </w:r>
      <w:r w:rsidR="00EC6F5B" w:rsidRPr="004F1D23">
        <w:rPr>
          <w:rFonts w:ascii="Times" w:hAnsi="Times"/>
        </w:rPr>
        <w:t>, necessary</w:t>
      </w:r>
      <w:r w:rsidR="00D814AE" w:rsidRPr="004F1D23">
        <w:rPr>
          <w:rFonts w:ascii="Times" w:hAnsi="Times"/>
        </w:rPr>
        <w:t xml:space="preserve"> and proportionate. If we accept the idea of public finances posing a legitimate aim in principle (though it still must be shown to be a legitimate aim in fact), the big question looming is proportionality. </w:t>
      </w:r>
    </w:p>
    <w:p w14:paraId="12910F3C" w14:textId="77777777" w:rsidR="00D814AE" w:rsidRPr="004F1D23" w:rsidRDefault="00D814AE" w:rsidP="00914FAF">
      <w:pPr>
        <w:jc w:val="both"/>
        <w:rPr>
          <w:rFonts w:ascii="Times" w:hAnsi="Times"/>
        </w:rPr>
      </w:pPr>
    </w:p>
    <w:p w14:paraId="7170143A" w14:textId="33AC35DD" w:rsidR="00D814AE" w:rsidRPr="004F1D23" w:rsidRDefault="00D814AE" w:rsidP="00914FAF">
      <w:pPr>
        <w:jc w:val="both"/>
        <w:rPr>
          <w:rFonts w:ascii="Times" w:eastAsia="Times New Roman" w:hAnsi="Times" w:cs="Times New Roman"/>
        </w:rPr>
      </w:pPr>
      <w:r w:rsidRPr="004F1D23">
        <w:rPr>
          <w:rFonts w:ascii="Times" w:hAnsi="Times"/>
        </w:rPr>
        <w:t>The Commission argued that t</w:t>
      </w:r>
      <w:r w:rsidR="001B1375" w:rsidRPr="004F1D23">
        <w:rPr>
          <w:rFonts w:ascii="Times" w:hAnsi="Times"/>
        </w:rPr>
        <w:t xml:space="preserve">he </w:t>
      </w:r>
      <w:r w:rsidR="00FA55FB" w:rsidRPr="004F1D23">
        <w:rPr>
          <w:rFonts w:ascii="Times" w:hAnsi="Times"/>
        </w:rPr>
        <w:t>right to reside condition</w:t>
      </w:r>
      <w:r w:rsidR="001B1375" w:rsidRPr="004F1D23">
        <w:rPr>
          <w:rFonts w:ascii="Times" w:hAnsi="Times"/>
        </w:rPr>
        <w:t xml:space="preserve"> </w:t>
      </w:r>
      <w:r w:rsidR="00FA55FB" w:rsidRPr="004F1D23">
        <w:rPr>
          <w:rFonts w:ascii="Times" w:hAnsi="Times"/>
        </w:rPr>
        <w:t>i</w:t>
      </w:r>
      <w:r w:rsidR="001B1375" w:rsidRPr="004F1D23">
        <w:rPr>
          <w:rFonts w:ascii="Times" w:hAnsi="Times"/>
        </w:rPr>
        <w:t>s disproportionate, because it “</w:t>
      </w:r>
      <w:r w:rsidRPr="004F1D23">
        <w:rPr>
          <w:rFonts w:ascii="Times" w:eastAsia="Times New Roman" w:hAnsi="Times" w:cs="Arial"/>
          <w:shd w:val="clear" w:color="auto" w:fill="FFFFFF"/>
        </w:rPr>
        <w:t>is an automatic mechanism that systematically and ineluctably bars claimants who do not satisfy it from being paid benefits, regardless of their personal situation and of the extent to which they have paid tax and social security cont</w:t>
      </w:r>
      <w:r w:rsidR="001B1375" w:rsidRPr="004F1D23">
        <w:rPr>
          <w:rFonts w:ascii="Times" w:eastAsia="Times New Roman" w:hAnsi="Times" w:cs="Arial"/>
          <w:shd w:val="clear" w:color="auto" w:fill="FFFFFF"/>
        </w:rPr>
        <w:t>ributions in the United Kingdom”</w:t>
      </w:r>
      <w:r w:rsidRPr="004F1D23">
        <w:rPr>
          <w:rFonts w:ascii="Times" w:eastAsia="Times New Roman" w:hAnsi="Times" w:cs="Arial"/>
          <w:shd w:val="clear" w:color="auto" w:fill="FFFFFF"/>
        </w:rPr>
        <w:t>.</w:t>
      </w:r>
      <w:r w:rsidR="001B1375" w:rsidRPr="004F1D23">
        <w:rPr>
          <w:rStyle w:val="FootnoteReference"/>
          <w:rFonts w:ascii="Times" w:eastAsia="Times New Roman" w:hAnsi="Times" w:cs="Arial"/>
          <w:shd w:val="clear" w:color="auto" w:fill="FFFFFF"/>
        </w:rPr>
        <w:footnoteReference w:id="106"/>
      </w:r>
      <w:r w:rsidRPr="004F1D23">
        <w:rPr>
          <w:rFonts w:ascii="Times" w:eastAsia="Times New Roman" w:hAnsi="Times" w:cs="Arial"/>
          <w:shd w:val="clear" w:color="auto" w:fill="FFFFFF"/>
        </w:rPr>
        <w:t xml:space="preserve"> Because the Court only examined whether the </w:t>
      </w:r>
      <w:r w:rsidRPr="004F1D23">
        <w:rPr>
          <w:rFonts w:ascii="Times" w:eastAsia="Times New Roman" w:hAnsi="Times" w:cs="Arial"/>
          <w:i/>
          <w:shd w:val="clear" w:color="auto" w:fill="FFFFFF"/>
        </w:rPr>
        <w:t>checks</w:t>
      </w:r>
      <w:r w:rsidRPr="004F1D23">
        <w:rPr>
          <w:rFonts w:ascii="Times" w:eastAsia="Times New Roman" w:hAnsi="Times" w:cs="Arial"/>
          <w:shd w:val="clear" w:color="auto" w:fill="FFFFFF"/>
        </w:rPr>
        <w:t xml:space="preserve"> were justified, it did not consider whether the </w:t>
      </w:r>
      <w:r w:rsidR="00FA55FB" w:rsidRPr="004F1D23">
        <w:rPr>
          <w:rFonts w:ascii="Times" w:eastAsia="Times New Roman" w:hAnsi="Times" w:cs="Arial"/>
          <w:shd w:val="clear" w:color="auto" w:fill="FFFFFF"/>
        </w:rPr>
        <w:t>condition</w:t>
      </w:r>
      <w:r w:rsidRPr="004F1D23">
        <w:rPr>
          <w:rFonts w:ascii="Times" w:eastAsia="Times New Roman" w:hAnsi="Times" w:cs="Arial"/>
          <w:shd w:val="clear" w:color="auto" w:fill="FFFFFF"/>
        </w:rPr>
        <w:t xml:space="preserve"> was proportionate, and so gave no response to the Commission’s complaint. </w:t>
      </w:r>
    </w:p>
    <w:p w14:paraId="3D70EC36" w14:textId="0F1E79DB" w:rsidR="00087A74" w:rsidRPr="004F1D23" w:rsidRDefault="00087A74" w:rsidP="00914FAF">
      <w:pPr>
        <w:jc w:val="both"/>
        <w:rPr>
          <w:rFonts w:ascii="Times" w:hAnsi="Times"/>
        </w:rPr>
      </w:pPr>
    </w:p>
    <w:p w14:paraId="1F16AD2C" w14:textId="2B4D536C" w:rsidR="00022819" w:rsidRPr="004F1D23" w:rsidRDefault="00D814AE" w:rsidP="00914FAF">
      <w:pPr>
        <w:jc w:val="both"/>
        <w:rPr>
          <w:rFonts w:ascii="Times" w:eastAsia="Times New Roman" w:hAnsi="Times" w:cs="Arial"/>
          <w:shd w:val="clear" w:color="auto" w:fill="FFFFFF"/>
        </w:rPr>
      </w:pPr>
      <w:r w:rsidRPr="004F1D23">
        <w:rPr>
          <w:rFonts w:ascii="Times" w:hAnsi="Times"/>
        </w:rPr>
        <w:t>Those who fail the right to reside test are excluded automatically from Child Benefit and Child tax Credit. Here, it is worth noting that while para</w:t>
      </w:r>
      <w:r w:rsidR="00581A0E" w:rsidRPr="004F1D23">
        <w:rPr>
          <w:rFonts w:ascii="Times" w:hAnsi="Times"/>
        </w:rPr>
        <w:t>graph</w:t>
      </w:r>
      <w:r w:rsidRPr="004F1D23">
        <w:rPr>
          <w:rFonts w:ascii="Times" w:hAnsi="Times"/>
        </w:rPr>
        <w:t xml:space="preserve"> 44 of </w:t>
      </w:r>
      <w:r w:rsidRPr="004F1D23">
        <w:rPr>
          <w:rFonts w:ascii="Times" w:hAnsi="Times"/>
          <w:i/>
        </w:rPr>
        <w:t>Brey</w:t>
      </w:r>
      <w:r w:rsidRPr="004F1D23">
        <w:rPr>
          <w:rFonts w:ascii="Times" w:hAnsi="Times"/>
        </w:rPr>
        <w:t xml:space="preserve"> assumes a higher-</w:t>
      </w:r>
      <w:r w:rsidR="00581A0E" w:rsidRPr="004F1D23">
        <w:rPr>
          <w:rFonts w:ascii="Times" w:hAnsi="Times"/>
        </w:rPr>
        <w:t xml:space="preserve">law status in the judgment, </w:t>
      </w:r>
      <w:r w:rsidRPr="004F1D23">
        <w:rPr>
          <w:rFonts w:ascii="Times" w:hAnsi="Times"/>
        </w:rPr>
        <w:t>para</w:t>
      </w:r>
      <w:r w:rsidR="00581A0E" w:rsidRPr="004F1D23">
        <w:rPr>
          <w:rFonts w:ascii="Times" w:hAnsi="Times"/>
        </w:rPr>
        <w:t>graph</w:t>
      </w:r>
      <w:r w:rsidRPr="004F1D23">
        <w:rPr>
          <w:rFonts w:ascii="Times" w:hAnsi="Times"/>
        </w:rPr>
        <w:t xml:space="preserve"> </w:t>
      </w:r>
      <w:r w:rsidR="00FA55FB" w:rsidRPr="004F1D23">
        <w:rPr>
          <w:rFonts w:ascii="Times" w:hAnsi="Times"/>
        </w:rPr>
        <w:t>45 is notable by its absence. This</w:t>
      </w:r>
      <w:r w:rsidR="00581A0E" w:rsidRPr="004F1D23">
        <w:rPr>
          <w:rFonts w:ascii="Times" w:hAnsi="Times"/>
        </w:rPr>
        <w:t xml:space="preserve"> </w:t>
      </w:r>
      <w:r w:rsidRPr="004F1D23">
        <w:rPr>
          <w:rFonts w:ascii="Times" w:hAnsi="Times"/>
        </w:rPr>
        <w:t xml:space="preserve">added that </w:t>
      </w:r>
      <w:r w:rsidR="00FA55FB" w:rsidRPr="004F1D23">
        <w:rPr>
          <w:rFonts w:ascii="Times" w:hAnsi="Times"/>
        </w:rPr>
        <w:t xml:space="preserve">while </w:t>
      </w:r>
      <w:r w:rsidRPr="004F1D23">
        <w:rPr>
          <w:rFonts w:ascii="Times" w:hAnsi="Times"/>
        </w:rPr>
        <w:t>right to reside tests were</w:t>
      </w:r>
      <w:r w:rsidR="00FA55FB" w:rsidRPr="004F1D23">
        <w:rPr>
          <w:rFonts w:ascii="Times" w:hAnsi="Times"/>
        </w:rPr>
        <w:t xml:space="preserve"> in principle</w:t>
      </w:r>
      <w:r w:rsidRPr="004F1D23">
        <w:rPr>
          <w:rFonts w:ascii="Times" w:hAnsi="Times"/>
        </w:rPr>
        <w:t xml:space="preserve"> permissible</w:t>
      </w:r>
      <w:r w:rsidR="00FA55FB" w:rsidRPr="004F1D23">
        <w:rPr>
          <w:rFonts w:ascii="Times" w:hAnsi="Times"/>
        </w:rPr>
        <w:t>,</w:t>
      </w:r>
      <w:r w:rsidRPr="004F1D23">
        <w:rPr>
          <w:rFonts w:ascii="Times" w:hAnsi="Times"/>
        </w:rPr>
        <w:t xml:space="preserve"> </w:t>
      </w:r>
      <w:r w:rsidR="00FA55FB" w:rsidRPr="004F1D23">
        <w:rPr>
          <w:rFonts w:ascii="Times" w:eastAsia="Times New Roman" w:hAnsi="Times" w:cs="Arial"/>
        </w:rPr>
        <w:t xml:space="preserve">it was important that such requirements were </w:t>
      </w:r>
      <w:r w:rsidR="00FA55FB" w:rsidRPr="004F1D23">
        <w:rPr>
          <w:rFonts w:ascii="Times" w:hAnsi="Times" w:cs="Arial"/>
        </w:rPr>
        <w:t>“</w:t>
      </w:r>
      <w:r w:rsidR="00022819" w:rsidRPr="004F1D23">
        <w:rPr>
          <w:rFonts w:ascii="Times" w:hAnsi="Times" w:cs="Arial"/>
        </w:rPr>
        <w:t>th</w:t>
      </w:r>
      <w:r w:rsidR="00581A0E" w:rsidRPr="004F1D23">
        <w:rPr>
          <w:rFonts w:ascii="Times" w:hAnsi="Times" w:cs="Arial"/>
        </w:rPr>
        <w:t>emselves consistent with EU law”</w:t>
      </w:r>
      <w:r w:rsidR="00022819" w:rsidRPr="004F1D23">
        <w:rPr>
          <w:rFonts w:ascii="Times" w:hAnsi="Times" w:cs="Arial"/>
        </w:rPr>
        <w:t xml:space="preserve">. The Court in </w:t>
      </w:r>
      <w:r w:rsidR="00022819" w:rsidRPr="004F1D23">
        <w:rPr>
          <w:rFonts w:ascii="Times" w:hAnsi="Times" w:cs="Arial"/>
          <w:i/>
        </w:rPr>
        <w:t>Brey</w:t>
      </w:r>
      <w:r w:rsidR="00022819" w:rsidRPr="004F1D23">
        <w:rPr>
          <w:rFonts w:ascii="Times" w:hAnsi="Times" w:cs="Arial"/>
        </w:rPr>
        <w:t xml:space="preserve"> </w:t>
      </w:r>
      <w:r w:rsidR="00581A0E" w:rsidRPr="004F1D23">
        <w:rPr>
          <w:rFonts w:ascii="Times" w:hAnsi="Times" w:cs="Arial"/>
        </w:rPr>
        <w:t xml:space="preserve">found </w:t>
      </w:r>
      <w:r w:rsidR="00022819" w:rsidRPr="004F1D23">
        <w:rPr>
          <w:rFonts w:ascii="Times" w:hAnsi="Times" w:cs="Arial"/>
        </w:rPr>
        <w:t>that in order to be consistent with EU law such tests should not result</w:t>
      </w:r>
      <w:r w:rsidR="00FA55FB" w:rsidRPr="004F1D23">
        <w:rPr>
          <w:rFonts w:ascii="Times" w:hAnsi="Times" w:cs="Arial"/>
        </w:rPr>
        <w:t xml:space="preserve"> in</w:t>
      </w:r>
      <w:r w:rsidR="00022819" w:rsidRPr="004F1D23">
        <w:rPr>
          <w:rFonts w:ascii="Times" w:hAnsi="Times" w:cs="Arial"/>
        </w:rPr>
        <w:t xml:space="preserve"> the </w:t>
      </w:r>
      <w:r w:rsidR="00022819" w:rsidRPr="004F1D23">
        <w:rPr>
          <w:rFonts w:ascii="Times" w:eastAsia="Times New Roman" w:hAnsi="Times" w:cs="Times New Roman"/>
        </w:rPr>
        <w:t>automatic barring of economically inactive persons from entitlement to benefits without assessment of their individual circumstances. Drawing upon Recital (16) of Directive 2004/38, the Court had found that the authorities dealing with a benefit applic</w:t>
      </w:r>
      <w:r w:rsidR="00581A0E" w:rsidRPr="004F1D23">
        <w:rPr>
          <w:rFonts w:ascii="Times" w:eastAsia="Times New Roman" w:hAnsi="Times" w:cs="Times New Roman"/>
        </w:rPr>
        <w:t>ation should take into account “</w:t>
      </w:r>
      <w:r w:rsidR="00022819" w:rsidRPr="004F1D23">
        <w:rPr>
          <w:rFonts w:ascii="Times" w:eastAsia="Times New Roman" w:hAnsi="Times" w:cs="Arial"/>
          <w:shd w:val="clear" w:color="auto" w:fill="FFFFFF"/>
        </w:rPr>
        <w:t>the amount and the regularity of the income [a claimant] receives; the fact that those factors have led those authorities to issue him with a certificate of residence; and the period during which the benefit applied for</w:t>
      </w:r>
      <w:r w:rsidR="00581A0E" w:rsidRPr="004F1D23">
        <w:rPr>
          <w:rFonts w:ascii="Times" w:eastAsia="Times New Roman" w:hAnsi="Times" w:cs="Arial"/>
          <w:shd w:val="clear" w:color="auto" w:fill="FFFFFF"/>
        </w:rPr>
        <w:t xml:space="preserve"> is likely to be granted to him”</w:t>
      </w:r>
      <w:r w:rsidR="00022819" w:rsidRPr="004F1D23">
        <w:rPr>
          <w:rFonts w:ascii="Times" w:eastAsia="Times New Roman" w:hAnsi="Times" w:cs="Arial"/>
          <w:shd w:val="clear" w:color="auto" w:fill="FFFFFF"/>
        </w:rPr>
        <w:t>.</w:t>
      </w:r>
      <w:r w:rsidR="00581A0E" w:rsidRPr="004F1D23">
        <w:rPr>
          <w:rStyle w:val="FootnoteReference"/>
          <w:rFonts w:ascii="Times" w:eastAsia="Times New Roman" w:hAnsi="Times" w:cs="Arial"/>
          <w:shd w:val="clear" w:color="auto" w:fill="FFFFFF"/>
        </w:rPr>
        <w:footnoteReference w:id="107"/>
      </w:r>
      <w:r w:rsidR="00022819" w:rsidRPr="004F1D23">
        <w:rPr>
          <w:rFonts w:ascii="Times" w:eastAsia="Times New Roman" w:hAnsi="Times" w:cs="Arial"/>
          <w:shd w:val="clear" w:color="auto" w:fill="FFFFFF"/>
        </w:rPr>
        <w:t xml:space="preserve"> It may also be</w:t>
      </w:r>
      <w:r w:rsidR="00581A0E" w:rsidRPr="004F1D23">
        <w:rPr>
          <w:rFonts w:ascii="Times" w:eastAsia="Times New Roman" w:hAnsi="Times" w:cs="Arial"/>
          <w:shd w:val="clear" w:color="auto" w:fill="FFFFFF"/>
        </w:rPr>
        <w:t xml:space="preserve"> relevant, the Court added, to “</w:t>
      </w:r>
      <w:r w:rsidR="00022819" w:rsidRPr="004F1D23">
        <w:rPr>
          <w:rFonts w:ascii="Times" w:eastAsia="Times New Roman" w:hAnsi="Times" w:cs="Arial"/>
          <w:shd w:val="clear" w:color="auto" w:fill="FFFFFF"/>
        </w:rPr>
        <w:t>determine the proportion of th</w:t>
      </w:r>
      <w:r w:rsidR="00581A0E" w:rsidRPr="004F1D23">
        <w:rPr>
          <w:rFonts w:ascii="Times" w:eastAsia="Times New Roman" w:hAnsi="Times" w:cs="Arial"/>
          <w:shd w:val="clear" w:color="auto" w:fill="FFFFFF"/>
        </w:rPr>
        <w:t>e beneficiaries of that benefit”</w:t>
      </w:r>
      <w:r w:rsidR="00022819" w:rsidRPr="004F1D23">
        <w:rPr>
          <w:rFonts w:ascii="Times" w:eastAsia="Times New Roman" w:hAnsi="Times" w:cs="Arial"/>
          <w:shd w:val="clear" w:color="auto" w:fill="FFFFFF"/>
        </w:rPr>
        <w:t xml:space="preserve"> in a similar situation to the claimant.  </w:t>
      </w:r>
    </w:p>
    <w:p w14:paraId="25B8EFC2" w14:textId="77777777" w:rsidR="00467F08" w:rsidRPr="004F1D23" w:rsidRDefault="00467F08" w:rsidP="00914FAF">
      <w:pPr>
        <w:jc w:val="both"/>
        <w:rPr>
          <w:rFonts w:ascii="Times" w:eastAsia="Times New Roman" w:hAnsi="Times" w:cs="Arial"/>
          <w:shd w:val="clear" w:color="auto" w:fill="FFFFFF"/>
        </w:rPr>
      </w:pPr>
    </w:p>
    <w:p w14:paraId="23B1034F" w14:textId="5C3D6DAB" w:rsidR="005861F6" w:rsidRPr="004F1D23" w:rsidRDefault="00467F08" w:rsidP="00914FAF">
      <w:pPr>
        <w:jc w:val="both"/>
        <w:rPr>
          <w:rFonts w:ascii="Times" w:eastAsia="Times New Roman" w:hAnsi="Times" w:cs="Arial"/>
          <w:shd w:val="clear" w:color="auto" w:fill="FFFFFF"/>
        </w:rPr>
      </w:pPr>
      <w:r w:rsidRPr="004F1D23">
        <w:rPr>
          <w:rFonts w:ascii="Times" w:eastAsia="Times New Roman" w:hAnsi="Times" w:cs="Arial"/>
          <w:shd w:val="clear" w:color="auto" w:fill="FFFFFF"/>
        </w:rPr>
        <w:t xml:space="preserve">This non-automatic exclusion approach touches upon the essence of Union citizenship, and the idea that citizenship provides a last-resort safety net, and an entitlement to have one’s claim and personal circumstances assessed, so that those who fall through the gaps in Directive 2004/38 are able to call, to some degree, upon their primary law rights to move and reside, and to equal treatment. </w:t>
      </w:r>
      <w:r w:rsidR="005861F6" w:rsidRPr="004F1D23">
        <w:rPr>
          <w:rFonts w:ascii="Times" w:eastAsia="Times New Roman" w:hAnsi="Times" w:cs="Arial"/>
          <w:shd w:val="clear" w:color="auto" w:fill="FFFFFF"/>
        </w:rPr>
        <w:t xml:space="preserve">The Court recently reminded us in </w:t>
      </w:r>
      <w:r w:rsidR="005861F6" w:rsidRPr="004F1D23">
        <w:rPr>
          <w:rFonts w:ascii="Times" w:eastAsia="Times New Roman" w:hAnsi="Times" w:cs="Arial"/>
          <w:i/>
          <w:shd w:val="clear" w:color="auto" w:fill="FFFFFF"/>
        </w:rPr>
        <w:t>St Prix</w:t>
      </w:r>
      <w:r w:rsidR="00581A0E" w:rsidRPr="004F1D23">
        <w:rPr>
          <w:rStyle w:val="FootnoteReference"/>
          <w:rFonts w:ascii="Times" w:eastAsia="Times New Roman" w:hAnsi="Times" w:cs="Arial"/>
          <w:shd w:val="clear" w:color="auto" w:fill="FFFFFF"/>
        </w:rPr>
        <w:footnoteReference w:id="108"/>
      </w:r>
      <w:r w:rsidR="005861F6" w:rsidRPr="004F1D23">
        <w:rPr>
          <w:rFonts w:ascii="Times" w:eastAsia="Times New Roman" w:hAnsi="Times" w:cs="Arial"/>
          <w:shd w:val="clear" w:color="auto" w:fill="FFFFFF"/>
        </w:rPr>
        <w:t xml:space="preserve"> that these rights do stem from primary law, and that Directive 2004/38 provisions are not exhaustive. But the right to reside test treats them as though they were exhaustive, and constitut</w:t>
      </w:r>
      <w:r w:rsidR="00581A0E" w:rsidRPr="004F1D23">
        <w:rPr>
          <w:rFonts w:ascii="Times" w:eastAsia="Times New Roman" w:hAnsi="Times" w:cs="Arial"/>
          <w:shd w:val="clear" w:color="auto" w:fill="FFFFFF"/>
        </w:rPr>
        <w:t xml:space="preserve">ive of the primary law rights, and </w:t>
      </w:r>
      <w:r w:rsidR="005861F6" w:rsidRPr="004F1D23">
        <w:rPr>
          <w:rFonts w:ascii="Times" w:eastAsia="Times New Roman" w:hAnsi="Times" w:cs="Arial"/>
          <w:shd w:val="clear" w:color="auto" w:fill="FFFFFF"/>
        </w:rPr>
        <w:t xml:space="preserve">does not permit any claim that relies upon EU citizenship. </w:t>
      </w:r>
    </w:p>
    <w:p w14:paraId="0E26F96C" w14:textId="77777777" w:rsidR="005861F6" w:rsidRPr="004F1D23" w:rsidRDefault="005861F6" w:rsidP="00914FAF">
      <w:pPr>
        <w:jc w:val="both"/>
        <w:rPr>
          <w:rFonts w:ascii="Times" w:eastAsia="Times New Roman" w:hAnsi="Times" w:cs="Arial"/>
          <w:shd w:val="clear" w:color="auto" w:fill="FFFFFF"/>
        </w:rPr>
      </w:pPr>
    </w:p>
    <w:p w14:paraId="4EA178AD" w14:textId="77777777" w:rsidR="003E7006" w:rsidRPr="004F1D23" w:rsidRDefault="003E7006" w:rsidP="00914FAF">
      <w:pPr>
        <w:jc w:val="both"/>
        <w:rPr>
          <w:rFonts w:ascii="Times" w:hAnsi="Times" w:cs="Times New Roman"/>
        </w:rPr>
      </w:pPr>
      <w:r w:rsidRPr="004F1D23">
        <w:rPr>
          <w:rFonts w:ascii="Times" w:hAnsi="Times" w:cs="Arial"/>
        </w:rPr>
        <w:t xml:space="preserve">It is not just proportionality that is a victim in automatic benefit exclusions – it is EU citizenship itself. The “real link” case law showed that, thanks to the fundamental status of EU citizenship, and the Article 18 TFEU-based right to equal treatment, nearly-blanket rules </w:t>
      </w:r>
      <w:r w:rsidRPr="004F1D23">
        <w:rPr>
          <w:rFonts w:ascii="Times" w:hAnsi="Times" w:cs="Times New Roman"/>
        </w:rPr>
        <w:t xml:space="preserve">had to have </w:t>
      </w:r>
      <w:r w:rsidRPr="004F1D23">
        <w:rPr>
          <w:rFonts w:ascii="Times" w:hAnsi="Times" w:cs="Times New Roman"/>
          <w:i/>
        </w:rPr>
        <w:t>some</w:t>
      </w:r>
      <w:r w:rsidRPr="004F1D23">
        <w:rPr>
          <w:rFonts w:ascii="Times" w:hAnsi="Times" w:cs="Times New Roman"/>
        </w:rPr>
        <w:t xml:space="preserve"> proportionality-based exceptions. </w:t>
      </w:r>
      <w:r w:rsidR="005861F6" w:rsidRPr="004F1D23">
        <w:rPr>
          <w:rFonts w:ascii="Times" w:eastAsia="Times New Roman" w:hAnsi="Times" w:cs="Arial"/>
          <w:shd w:val="clear" w:color="auto" w:fill="FFFFFF"/>
        </w:rPr>
        <w:t xml:space="preserve">The Court had already departed from the </w:t>
      </w:r>
      <w:r w:rsidR="005861F6" w:rsidRPr="004F1D23">
        <w:rPr>
          <w:rFonts w:ascii="Times" w:eastAsia="Times New Roman" w:hAnsi="Times" w:cs="Arial"/>
          <w:i/>
          <w:shd w:val="clear" w:color="auto" w:fill="FFFFFF"/>
        </w:rPr>
        <w:t xml:space="preserve">Brey </w:t>
      </w:r>
      <w:r w:rsidR="005861F6" w:rsidRPr="004F1D23">
        <w:rPr>
          <w:rFonts w:ascii="Times" w:eastAsia="Times New Roman" w:hAnsi="Times" w:cs="Arial"/>
          <w:shd w:val="clear" w:color="auto" w:fill="FFFFFF"/>
        </w:rPr>
        <w:t>proportionality requirement</w:t>
      </w:r>
      <w:r w:rsidRPr="004F1D23">
        <w:rPr>
          <w:rFonts w:ascii="Times" w:eastAsia="Times New Roman" w:hAnsi="Times" w:cs="Arial"/>
          <w:shd w:val="clear" w:color="auto" w:fill="FFFFFF"/>
        </w:rPr>
        <w:t>, and so rolled back EU citizenship,</w:t>
      </w:r>
      <w:r w:rsidR="005861F6" w:rsidRPr="004F1D23">
        <w:rPr>
          <w:rFonts w:ascii="Times" w:eastAsia="Times New Roman" w:hAnsi="Times" w:cs="Arial"/>
          <w:shd w:val="clear" w:color="auto" w:fill="FFFFFF"/>
        </w:rPr>
        <w:t xml:space="preserve"> in </w:t>
      </w:r>
      <w:r w:rsidR="00924172" w:rsidRPr="004F1D23">
        <w:rPr>
          <w:rFonts w:ascii="Times" w:eastAsia="Times New Roman" w:hAnsi="Times" w:cs="Arial"/>
          <w:shd w:val="clear" w:color="auto" w:fill="FFFFFF"/>
        </w:rPr>
        <w:t xml:space="preserve">what Thym describes as a </w:t>
      </w:r>
      <w:r w:rsidR="00581A0E" w:rsidRPr="004F1D23">
        <w:rPr>
          <w:rFonts w:ascii="Times" w:eastAsia="Times New Roman" w:hAnsi="Times" w:cs="Arial"/>
          <w:shd w:val="clear" w:color="auto" w:fill="FFFFFF"/>
        </w:rPr>
        <w:t>“</w:t>
      </w:r>
      <w:r w:rsidR="00581A0E" w:rsidRPr="004F1D23">
        <w:rPr>
          <w:rFonts w:ascii="Times" w:hAnsi="Times" w:cs="Times New Roman"/>
          <w:lang w:val="en-US"/>
        </w:rPr>
        <w:t>noteworthy shift of emphasis”</w:t>
      </w:r>
      <w:r w:rsidR="00924172" w:rsidRPr="004F1D23">
        <w:rPr>
          <w:rFonts w:ascii="Times" w:hAnsi="Times" w:cs="Times New Roman"/>
          <w:lang w:val="en-US"/>
        </w:rPr>
        <w:t>,</w:t>
      </w:r>
      <w:r w:rsidR="00581A0E" w:rsidRPr="004F1D23">
        <w:rPr>
          <w:rStyle w:val="FootnoteReference"/>
          <w:rFonts w:ascii="Times" w:hAnsi="Times" w:cs="Times New Roman"/>
          <w:lang w:val="en-US"/>
        </w:rPr>
        <w:footnoteReference w:id="109"/>
      </w:r>
      <w:r w:rsidR="00924172" w:rsidRPr="004F1D23">
        <w:rPr>
          <w:rFonts w:ascii="Times" w:hAnsi="Times" w:cs="Times New Roman"/>
          <w:lang w:val="en-US"/>
        </w:rPr>
        <w:t xml:space="preserve"> and </w:t>
      </w:r>
      <w:r w:rsidR="00924172" w:rsidRPr="004F1D23">
        <w:rPr>
          <w:rFonts w:ascii="Times" w:eastAsia="Times New Roman" w:hAnsi="Times" w:cs="Arial"/>
          <w:shd w:val="clear" w:color="auto" w:fill="FFFFFF"/>
        </w:rPr>
        <w:t xml:space="preserve">Giubboni </w:t>
      </w:r>
      <w:r w:rsidR="00581A0E" w:rsidRPr="004F1D23">
        <w:rPr>
          <w:rFonts w:ascii="Times" w:eastAsia="Times New Roman" w:hAnsi="Times" w:cs="Arial"/>
          <w:shd w:val="clear" w:color="auto" w:fill="FFFFFF"/>
        </w:rPr>
        <w:t>calls a “</w:t>
      </w:r>
      <w:r w:rsidR="00924172" w:rsidRPr="004F1D23">
        <w:rPr>
          <w:rFonts w:ascii="Times" w:eastAsia="Times New Roman" w:hAnsi="Times" w:cs="Arial"/>
          <w:shd w:val="clear" w:color="auto" w:fill="FFFFFF"/>
        </w:rPr>
        <w:t>spectacular retreat</w:t>
      </w:r>
      <w:r w:rsidR="00581A0E" w:rsidRPr="004F1D23">
        <w:rPr>
          <w:rFonts w:ascii="Times" w:eastAsia="Times New Roman" w:hAnsi="Times" w:cs="Arial"/>
          <w:shd w:val="clear" w:color="auto" w:fill="FFFFFF"/>
        </w:rPr>
        <w:t xml:space="preserve"> from… transnational solidarity”</w:t>
      </w:r>
      <w:r w:rsidR="00924172" w:rsidRPr="004F1D23">
        <w:rPr>
          <w:rFonts w:ascii="Times" w:eastAsia="Times New Roman" w:hAnsi="Times" w:cs="Arial"/>
          <w:shd w:val="clear" w:color="auto" w:fill="FFFFFF"/>
        </w:rPr>
        <w:t>,</w:t>
      </w:r>
      <w:r w:rsidR="00924172" w:rsidRPr="004F1D23">
        <w:rPr>
          <w:rStyle w:val="FootnoteReference"/>
          <w:rFonts w:ascii="Times" w:eastAsia="Times New Roman" w:hAnsi="Times" w:cs="Arial"/>
          <w:shd w:val="clear" w:color="auto" w:fill="FFFFFF"/>
        </w:rPr>
        <w:footnoteReference w:id="110"/>
      </w:r>
      <w:r w:rsidR="00924172" w:rsidRPr="004F1D23">
        <w:rPr>
          <w:rFonts w:ascii="Times" w:eastAsia="Times New Roman" w:hAnsi="Times" w:cs="Arial"/>
          <w:shd w:val="clear" w:color="auto" w:fill="FFFFFF"/>
        </w:rPr>
        <w:t xml:space="preserve"> </w:t>
      </w:r>
      <w:r w:rsidR="001C51A0" w:rsidRPr="004F1D23">
        <w:rPr>
          <w:rFonts w:ascii="Times" w:eastAsia="Times New Roman" w:hAnsi="Times" w:cs="Arial"/>
          <w:shd w:val="clear" w:color="auto" w:fill="FFFFFF"/>
        </w:rPr>
        <w:t xml:space="preserve">evident </w:t>
      </w:r>
      <w:r w:rsidR="00924172" w:rsidRPr="004F1D23">
        <w:rPr>
          <w:rFonts w:ascii="Times" w:eastAsia="Times New Roman" w:hAnsi="Times" w:cs="Arial"/>
          <w:shd w:val="clear" w:color="auto" w:fill="FFFFFF"/>
        </w:rPr>
        <w:t xml:space="preserve">in </w:t>
      </w:r>
      <w:r w:rsidR="005861F6" w:rsidRPr="004F1D23">
        <w:rPr>
          <w:rFonts w:ascii="Times" w:eastAsia="Times New Roman" w:hAnsi="Times" w:cs="Arial"/>
          <w:i/>
          <w:shd w:val="clear" w:color="auto" w:fill="FFFFFF"/>
        </w:rPr>
        <w:t>Dano</w:t>
      </w:r>
      <w:r w:rsidR="00924172" w:rsidRPr="004F1D23">
        <w:rPr>
          <w:rFonts w:ascii="Times" w:eastAsia="Times New Roman" w:hAnsi="Times" w:cs="Arial"/>
          <w:i/>
          <w:shd w:val="clear" w:color="auto" w:fill="FFFFFF"/>
        </w:rPr>
        <w:t>,</w:t>
      </w:r>
      <w:r w:rsidR="005861F6" w:rsidRPr="004F1D23">
        <w:rPr>
          <w:rFonts w:ascii="Times" w:eastAsia="Times New Roman" w:hAnsi="Times" w:cs="Arial"/>
          <w:i/>
          <w:shd w:val="clear" w:color="auto" w:fill="FFFFFF"/>
        </w:rPr>
        <w:t xml:space="preserve"> Alimanovic</w:t>
      </w:r>
      <w:r w:rsidR="005861F6" w:rsidRPr="004F1D23">
        <w:rPr>
          <w:rFonts w:ascii="Times" w:eastAsia="Times New Roman" w:hAnsi="Times" w:cs="Arial"/>
          <w:shd w:val="clear" w:color="auto" w:fill="FFFFFF"/>
        </w:rPr>
        <w:t xml:space="preserve"> and </w:t>
      </w:r>
      <w:r w:rsidR="005861F6" w:rsidRPr="004F1D23">
        <w:rPr>
          <w:rFonts w:ascii="Times" w:eastAsia="Times New Roman" w:hAnsi="Times" w:cs="Arial"/>
          <w:i/>
          <w:shd w:val="clear" w:color="auto" w:fill="FFFFFF"/>
        </w:rPr>
        <w:t>Garcia Nieto</w:t>
      </w:r>
      <w:r w:rsidR="005861F6" w:rsidRPr="004F1D23">
        <w:rPr>
          <w:rFonts w:ascii="Times" w:eastAsia="Times New Roman" w:hAnsi="Times" w:cs="Arial"/>
          <w:shd w:val="clear" w:color="auto" w:fill="FFFFFF"/>
        </w:rPr>
        <w:t xml:space="preserve">. </w:t>
      </w:r>
      <w:r w:rsidRPr="004F1D23">
        <w:rPr>
          <w:rFonts w:ascii="Times" w:eastAsia="Times New Roman" w:hAnsi="Times" w:cs="Arial"/>
          <w:shd w:val="clear" w:color="auto" w:fill="FFFFFF"/>
        </w:rPr>
        <w:t xml:space="preserve">Each of those cases dealt with particular categories of claimant (those deemed to be benefit tourists, or certain categories of jobseeker), and benefits characterised as social assistance. </w:t>
      </w:r>
      <w:r w:rsidRPr="004F1D23">
        <w:rPr>
          <w:rFonts w:ascii="Times" w:hAnsi="Times" w:cs="Times New Roman"/>
        </w:rPr>
        <w:t xml:space="preserve">In </w:t>
      </w:r>
      <w:r w:rsidRPr="004F1D23">
        <w:rPr>
          <w:rFonts w:ascii="Times" w:hAnsi="Times" w:cs="Times New Roman"/>
          <w:i/>
        </w:rPr>
        <w:t>Alimanovic</w:t>
      </w:r>
      <w:r w:rsidRPr="004F1D23">
        <w:rPr>
          <w:rFonts w:ascii="Times" w:hAnsi="Times" w:cs="Times New Roman"/>
        </w:rPr>
        <w:t>, the Court suggested that the provisions on worker status retention in Directive 2004/38 themselves provided a sufficiently “gradual system” itself taking into account “various factors characterising the individual situation”</w:t>
      </w:r>
      <w:r w:rsidRPr="004F1D23">
        <w:rPr>
          <w:rStyle w:val="FootnoteReference"/>
          <w:rFonts w:ascii="Times" w:hAnsi="Times" w:cs="Times New Roman"/>
        </w:rPr>
        <w:footnoteReference w:id="111"/>
      </w:r>
      <w:r w:rsidRPr="004F1D23">
        <w:rPr>
          <w:rFonts w:ascii="Times" w:hAnsi="Times" w:cs="Times New Roman"/>
        </w:rPr>
        <w:t xml:space="preserve"> such that no more proportionality would be required for those falling through the gaps. To permit an individual assessment for such people would threaten the “significant level of legal certainty” offered to claimants who had been told “without any ambiguity” what their entitlements are.</w:t>
      </w:r>
      <w:r w:rsidRPr="004F1D23">
        <w:rPr>
          <w:rStyle w:val="FootnoteReference"/>
          <w:rFonts w:ascii="Times" w:hAnsi="Times" w:cs="Times New Roman"/>
        </w:rPr>
        <w:footnoteReference w:id="112"/>
      </w:r>
      <w:r w:rsidRPr="004F1D23">
        <w:rPr>
          <w:rFonts w:ascii="Times" w:hAnsi="Times" w:cs="Times New Roman"/>
        </w:rPr>
        <w:t xml:space="preserve"> </w:t>
      </w:r>
    </w:p>
    <w:p w14:paraId="3450D3FD" w14:textId="77777777" w:rsidR="003E7006" w:rsidRPr="004F1D23" w:rsidRDefault="003E7006" w:rsidP="00914FAF">
      <w:pPr>
        <w:jc w:val="both"/>
        <w:rPr>
          <w:rFonts w:ascii="Times" w:hAnsi="Times" w:cs="Times New Roman"/>
        </w:rPr>
      </w:pPr>
    </w:p>
    <w:p w14:paraId="1BEE8604" w14:textId="0148B058" w:rsidR="003E7006" w:rsidRPr="004F1D23" w:rsidRDefault="003E7006" w:rsidP="00914FAF">
      <w:pPr>
        <w:jc w:val="both"/>
        <w:rPr>
          <w:rFonts w:ascii="Times" w:eastAsia="Times New Roman" w:hAnsi="Times" w:cs="Arial"/>
          <w:shd w:val="clear" w:color="auto" w:fill="FFFFFF"/>
        </w:rPr>
      </w:pPr>
      <w:r w:rsidRPr="004F1D23">
        <w:rPr>
          <w:rFonts w:ascii="Times" w:hAnsi="Times" w:cs="Times New Roman"/>
        </w:rPr>
        <w:t xml:space="preserve">This </w:t>
      </w:r>
      <w:r w:rsidR="00FA55FB" w:rsidRPr="004F1D23">
        <w:rPr>
          <w:rFonts w:ascii="Times" w:hAnsi="Times" w:cs="Times New Roman"/>
        </w:rPr>
        <w:t>made it impossible to derive</w:t>
      </w:r>
      <w:r w:rsidRPr="004F1D23">
        <w:rPr>
          <w:rFonts w:ascii="Times" w:hAnsi="Times" w:cs="Times New Roman"/>
        </w:rPr>
        <w:t xml:space="preserve"> any right from primary law, ignored the position previously taken that Article 7(3) of Directive 2004/38 is not an exhaustive list, exaggerated the sliding scale nature of the retention rules, and failed to explain the shift in priority between the two competing tensions of fairness and</w:t>
      </w:r>
      <w:r w:rsidR="00FA55FB" w:rsidRPr="004F1D23">
        <w:rPr>
          <w:rFonts w:ascii="Times" w:hAnsi="Times" w:cs="Times New Roman"/>
        </w:rPr>
        <w:t xml:space="preserve"> administrative simplicity. But</w:t>
      </w:r>
      <w:r w:rsidRPr="004F1D23">
        <w:rPr>
          <w:rFonts w:ascii="Times" w:hAnsi="Times" w:cs="Times New Roman"/>
        </w:rPr>
        <w:t xml:space="preserve"> it was at least confined by the phrase that no individual assessment was necessary “</w:t>
      </w:r>
      <w:r w:rsidRPr="004F1D23">
        <w:rPr>
          <w:rFonts w:ascii="Times" w:eastAsia="Times New Roman" w:hAnsi="Times" w:cs="Arial"/>
          <w:shd w:val="clear" w:color="auto" w:fill="FFFFFF"/>
        </w:rPr>
        <w:t>in circumstances such as those at issue in the main proceedings”,</w:t>
      </w:r>
      <w:r w:rsidRPr="004F1D23">
        <w:rPr>
          <w:rStyle w:val="FootnoteReference"/>
          <w:rFonts w:ascii="Times" w:eastAsia="Times New Roman" w:hAnsi="Times" w:cs="Arial"/>
          <w:shd w:val="clear" w:color="auto" w:fill="FFFFFF"/>
        </w:rPr>
        <w:footnoteReference w:id="113"/>
      </w:r>
      <w:r w:rsidRPr="004F1D23">
        <w:rPr>
          <w:rFonts w:ascii="Times" w:eastAsia="Times New Roman" w:hAnsi="Times" w:cs="Arial"/>
          <w:shd w:val="clear" w:color="auto" w:fill="FFFFFF"/>
        </w:rPr>
        <w:t xml:space="preserve"> which may refer to the claimant’s status as a long-term jobseeker, and the claim for a benefit for the long-term unemployed. </w:t>
      </w:r>
      <w:r w:rsidR="00914FAF" w:rsidRPr="004F1D23">
        <w:rPr>
          <w:rFonts w:ascii="Times" w:eastAsia="Times New Roman" w:hAnsi="Times" w:cs="Arial"/>
          <w:shd w:val="clear" w:color="auto" w:fill="FFFFFF"/>
        </w:rPr>
        <w:t>This was, as Iliopoulou puts it, a “pragmatic and understandable” compromise,</w:t>
      </w:r>
      <w:r w:rsidR="00914FAF" w:rsidRPr="004F1D23">
        <w:rPr>
          <w:rStyle w:val="FootnoteReference"/>
          <w:rFonts w:ascii="Times" w:eastAsia="Times New Roman" w:hAnsi="Times" w:cs="Arial"/>
          <w:shd w:val="clear" w:color="auto" w:fill="FFFFFF"/>
        </w:rPr>
        <w:footnoteReference w:id="114"/>
      </w:r>
      <w:r w:rsidR="00914FAF" w:rsidRPr="004F1D23">
        <w:rPr>
          <w:rFonts w:ascii="Times" w:eastAsia="Times New Roman" w:hAnsi="Times" w:cs="Arial"/>
          <w:shd w:val="clear" w:color="auto" w:fill="FFFFFF"/>
        </w:rPr>
        <w:t xml:space="preserve"> but </w:t>
      </w:r>
      <w:r w:rsidR="005F6648" w:rsidRPr="004F1D23">
        <w:rPr>
          <w:rFonts w:ascii="Times" w:eastAsia="Times New Roman" w:hAnsi="Times" w:cs="Arial"/>
          <w:shd w:val="clear" w:color="auto" w:fill="FFFFFF"/>
        </w:rPr>
        <w:t xml:space="preserve">it was </w:t>
      </w:r>
      <w:r w:rsidR="00914FAF" w:rsidRPr="004F1D23">
        <w:rPr>
          <w:rFonts w:ascii="Times" w:eastAsia="Times New Roman" w:hAnsi="Times" w:cs="Arial"/>
          <w:shd w:val="clear" w:color="auto" w:fill="FFFFFF"/>
        </w:rPr>
        <w:t>not an elegant one - t</w:t>
      </w:r>
      <w:r w:rsidR="00FA55FB" w:rsidRPr="004F1D23">
        <w:rPr>
          <w:rFonts w:ascii="Times" w:eastAsia="Times New Roman" w:hAnsi="Times" w:cs="Arial"/>
          <w:shd w:val="clear" w:color="auto" w:fill="FFFFFF"/>
        </w:rPr>
        <w:t>he</w:t>
      </w:r>
      <w:r w:rsidRPr="004F1D23">
        <w:rPr>
          <w:rFonts w:ascii="Times" w:eastAsia="Times New Roman" w:hAnsi="Times" w:cs="Arial"/>
          <w:shd w:val="clear" w:color="auto" w:fill="FFFFFF"/>
        </w:rPr>
        <w:t xml:space="preserve"> paradox </w:t>
      </w:r>
      <w:r w:rsidR="00FA55FB" w:rsidRPr="004F1D23">
        <w:rPr>
          <w:rFonts w:ascii="Times" w:eastAsia="Times New Roman" w:hAnsi="Times" w:cs="Arial"/>
          <w:shd w:val="clear" w:color="auto" w:fill="FFFFFF"/>
        </w:rPr>
        <w:t xml:space="preserve">remained unaddressed as to </w:t>
      </w:r>
      <w:r w:rsidR="00914FAF" w:rsidRPr="004F1D23">
        <w:rPr>
          <w:rFonts w:ascii="Times" w:eastAsia="Times New Roman" w:hAnsi="Times" w:cs="Arial"/>
          <w:shd w:val="clear" w:color="auto" w:fill="FFFFFF"/>
        </w:rPr>
        <w:t xml:space="preserve">which </w:t>
      </w:r>
      <w:r w:rsidRPr="004F1D23">
        <w:rPr>
          <w:rFonts w:ascii="Times" w:eastAsia="Times New Roman" w:hAnsi="Times" w:cs="Arial"/>
          <w:shd w:val="clear" w:color="auto" w:fill="FFFFFF"/>
        </w:rPr>
        <w:t xml:space="preserve">circumstances </w:t>
      </w:r>
      <w:r w:rsidR="00914FAF" w:rsidRPr="004F1D23">
        <w:rPr>
          <w:rFonts w:ascii="Times" w:eastAsia="Times New Roman" w:hAnsi="Times" w:cs="Arial"/>
          <w:shd w:val="clear" w:color="auto" w:fill="FFFFFF"/>
        </w:rPr>
        <w:t>“</w:t>
      </w:r>
      <w:r w:rsidRPr="004F1D23">
        <w:rPr>
          <w:rFonts w:ascii="Times" w:eastAsia="Times New Roman" w:hAnsi="Times" w:cs="Arial"/>
          <w:shd w:val="clear" w:color="auto" w:fill="FFFFFF"/>
        </w:rPr>
        <w:t xml:space="preserve">such as those at issue” </w:t>
      </w:r>
      <w:r w:rsidRPr="004F1D23">
        <w:rPr>
          <w:rFonts w:ascii="Times" w:eastAsia="Times New Roman" w:hAnsi="Times" w:cs="Arial"/>
          <w:i/>
          <w:shd w:val="clear" w:color="auto" w:fill="FFFFFF"/>
        </w:rPr>
        <w:t>must</w:t>
      </w:r>
      <w:r w:rsidRPr="004F1D23">
        <w:rPr>
          <w:rFonts w:ascii="Times" w:eastAsia="Times New Roman" w:hAnsi="Times" w:cs="Arial"/>
          <w:shd w:val="clear" w:color="auto" w:fill="FFFFFF"/>
        </w:rPr>
        <w:t xml:space="preserve"> be taken into account, in order to find that </w:t>
      </w:r>
      <w:r w:rsidRPr="004F1D23">
        <w:rPr>
          <w:rFonts w:ascii="Times" w:eastAsia="Times New Roman" w:hAnsi="Times" w:cs="Arial"/>
          <w:i/>
          <w:shd w:val="clear" w:color="auto" w:fill="FFFFFF"/>
        </w:rPr>
        <w:t>no other</w:t>
      </w:r>
      <w:r w:rsidRPr="004F1D23">
        <w:rPr>
          <w:rFonts w:ascii="Times" w:eastAsia="Times New Roman" w:hAnsi="Times" w:cs="Arial"/>
          <w:shd w:val="clear" w:color="auto" w:fill="FFFFFF"/>
        </w:rPr>
        <w:t xml:space="preserve"> circumstances need be taken into account. </w:t>
      </w:r>
    </w:p>
    <w:p w14:paraId="28980AF7" w14:textId="77777777" w:rsidR="003E7006" w:rsidRPr="004F1D23" w:rsidRDefault="003E7006" w:rsidP="00914FAF">
      <w:pPr>
        <w:jc w:val="both"/>
        <w:rPr>
          <w:rFonts w:ascii="Times" w:eastAsia="Times New Roman" w:hAnsi="Times" w:cs="Arial"/>
          <w:shd w:val="clear" w:color="auto" w:fill="FFFFFF"/>
        </w:rPr>
      </w:pPr>
    </w:p>
    <w:p w14:paraId="46B840B9" w14:textId="6B39976F" w:rsidR="003E7006" w:rsidRPr="004F1D23" w:rsidRDefault="005861F6" w:rsidP="00914FAF">
      <w:pPr>
        <w:jc w:val="both"/>
        <w:rPr>
          <w:rFonts w:ascii="Times" w:hAnsi="Times" w:cs="Times New Roman"/>
        </w:rPr>
      </w:pPr>
      <w:r w:rsidRPr="004F1D23">
        <w:rPr>
          <w:rFonts w:ascii="Times" w:eastAsia="Times New Roman" w:hAnsi="Times" w:cs="Arial"/>
          <w:shd w:val="clear" w:color="auto" w:fill="FFFFFF"/>
        </w:rPr>
        <w:t xml:space="preserve">But in </w:t>
      </w:r>
      <w:r w:rsidRPr="004F1D23">
        <w:rPr>
          <w:rFonts w:ascii="Times" w:eastAsia="Times New Roman" w:hAnsi="Times" w:cs="Arial"/>
          <w:i/>
          <w:shd w:val="clear" w:color="auto" w:fill="FFFFFF"/>
        </w:rPr>
        <w:t xml:space="preserve">Commission v UK </w:t>
      </w:r>
      <w:r w:rsidRPr="004F1D23">
        <w:rPr>
          <w:rFonts w:ascii="Times" w:eastAsia="Times New Roman" w:hAnsi="Times" w:cs="Arial"/>
          <w:shd w:val="clear" w:color="auto" w:fill="FFFFFF"/>
        </w:rPr>
        <w:t>the automatic exclusion from benefits appears to extend to anyone who fails a right to reside test – regardless of</w:t>
      </w:r>
      <w:r w:rsidR="001C51A0" w:rsidRPr="004F1D23">
        <w:rPr>
          <w:rFonts w:ascii="Times" w:eastAsia="Times New Roman" w:hAnsi="Times" w:cs="Arial"/>
          <w:shd w:val="clear" w:color="auto" w:fill="FFFFFF"/>
        </w:rPr>
        <w:t xml:space="preserve"> their residence/work history or degree of integration,</w:t>
      </w:r>
      <w:r w:rsidRPr="004F1D23">
        <w:rPr>
          <w:rFonts w:ascii="Times" w:eastAsia="Times New Roman" w:hAnsi="Times" w:cs="Arial"/>
          <w:shd w:val="clear" w:color="auto" w:fill="FFFFFF"/>
        </w:rPr>
        <w:t xml:space="preserve"> </w:t>
      </w:r>
      <w:r w:rsidR="001C51A0" w:rsidRPr="004F1D23">
        <w:rPr>
          <w:rFonts w:ascii="Times" w:eastAsia="Times New Roman" w:hAnsi="Times" w:cs="Arial"/>
          <w:shd w:val="clear" w:color="auto" w:fill="FFFFFF"/>
        </w:rPr>
        <w:t>even in the context of</w:t>
      </w:r>
      <w:r w:rsidRPr="004F1D23">
        <w:rPr>
          <w:rFonts w:ascii="Times" w:eastAsia="Times New Roman" w:hAnsi="Times" w:cs="Arial"/>
          <w:shd w:val="clear" w:color="auto" w:fill="FFFFFF"/>
        </w:rPr>
        <w:t xml:space="preserve"> social security. </w:t>
      </w:r>
      <w:r w:rsidR="0097448E" w:rsidRPr="004F1D23">
        <w:rPr>
          <w:rFonts w:ascii="Times" w:eastAsia="Times New Roman" w:hAnsi="Times" w:cs="Arial"/>
          <w:shd w:val="clear" w:color="auto" w:fill="FFFFFF"/>
        </w:rPr>
        <w:t xml:space="preserve">The basis for this is unclear; </w:t>
      </w:r>
      <w:r w:rsidR="001C51A0" w:rsidRPr="004F1D23">
        <w:rPr>
          <w:rFonts w:ascii="Times" w:eastAsia="Times New Roman" w:hAnsi="Times" w:cs="Times New Roman"/>
        </w:rPr>
        <w:t xml:space="preserve">paragraph 44 of </w:t>
      </w:r>
      <w:r w:rsidR="001C51A0" w:rsidRPr="004F1D23">
        <w:rPr>
          <w:rFonts w:ascii="Times" w:eastAsia="Times New Roman" w:hAnsi="Times" w:cs="Times New Roman"/>
          <w:i/>
        </w:rPr>
        <w:t>Brey</w:t>
      </w:r>
      <w:r w:rsidR="0097448E" w:rsidRPr="004F1D23">
        <w:rPr>
          <w:rFonts w:ascii="Times" w:eastAsia="Times New Roman" w:hAnsi="Times" w:cs="Times New Roman"/>
        </w:rPr>
        <w:t xml:space="preserve">, which is used as </w:t>
      </w:r>
      <w:r w:rsidR="0097448E" w:rsidRPr="004F1D23">
        <w:rPr>
          <w:rFonts w:ascii="Times" w:hAnsi="Times" w:cs="Times New Roman"/>
        </w:rPr>
        <w:t>t</w:t>
      </w:r>
      <w:r w:rsidR="0097448E" w:rsidRPr="004F1D23">
        <w:rPr>
          <w:rFonts w:ascii="Times" w:eastAsia="Times New Roman" w:hAnsi="Times" w:cs="Times New Roman"/>
        </w:rPr>
        <w:t>he source for finding that right to reside tests are lawful, included</w:t>
      </w:r>
      <w:r w:rsidR="001C51A0" w:rsidRPr="004F1D23">
        <w:rPr>
          <w:rFonts w:ascii="Times" w:eastAsia="Times New Roman" w:hAnsi="Times" w:cs="Times New Roman"/>
        </w:rPr>
        <w:t xml:space="preserve"> citations of </w:t>
      </w:r>
      <w:r w:rsidR="00A85065" w:rsidRPr="004F1D23">
        <w:rPr>
          <w:rFonts w:ascii="Times" w:hAnsi="Times" w:cs="Times New Roman"/>
          <w:i/>
        </w:rPr>
        <w:t>Martinez Sala, Grzelczyk, Trojani, Bidar</w:t>
      </w:r>
      <w:r w:rsidR="001C51A0" w:rsidRPr="004F1D23">
        <w:rPr>
          <w:rStyle w:val="FootnoteReference"/>
          <w:rFonts w:ascii="Times" w:hAnsi="Times" w:cs="Times New Roman"/>
        </w:rPr>
        <w:footnoteReference w:id="115"/>
      </w:r>
      <w:r w:rsidR="00A85065" w:rsidRPr="004F1D23">
        <w:rPr>
          <w:rFonts w:ascii="Times" w:hAnsi="Times" w:cs="Times New Roman"/>
        </w:rPr>
        <w:t xml:space="preserve"> and </w:t>
      </w:r>
      <w:r w:rsidR="00A85065" w:rsidRPr="004F1D23">
        <w:rPr>
          <w:rFonts w:ascii="Times" w:eastAsia="Times New Roman" w:hAnsi="Times" w:cs="Arial"/>
          <w:i/>
          <w:iCs/>
          <w:shd w:val="clear" w:color="auto" w:fill="FFFFFF"/>
        </w:rPr>
        <w:t>Förster,</w:t>
      </w:r>
      <w:r w:rsidR="001C51A0" w:rsidRPr="004F1D23">
        <w:rPr>
          <w:rStyle w:val="FootnoteReference"/>
          <w:rFonts w:ascii="Times" w:eastAsia="Times New Roman" w:hAnsi="Times" w:cs="Arial"/>
          <w:iCs/>
          <w:shd w:val="clear" w:color="auto" w:fill="FFFFFF"/>
        </w:rPr>
        <w:footnoteReference w:id="116"/>
      </w:r>
      <w:r w:rsidR="00A85065" w:rsidRPr="004F1D23">
        <w:rPr>
          <w:rFonts w:ascii="Times" w:eastAsia="Times New Roman" w:hAnsi="Times" w:cs="Arial"/>
          <w:shd w:val="clear" w:color="auto" w:fill="FFFFFF"/>
        </w:rPr>
        <w:t xml:space="preserve"> all of which precluded the use of blanket rules, and all of which required some assessment of circumstances </w:t>
      </w:r>
      <w:r w:rsidR="009042F5" w:rsidRPr="004F1D23">
        <w:rPr>
          <w:rFonts w:ascii="Times" w:eastAsia="Times New Roman" w:hAnsi="Times" w:cs="Arial"/>
          <w:shd w:val="clear" w:color="auto" w:fill="FFFFFF"/>
        </w:rPr>
        <w:t>of the case, and developed the “real link”</w:t>
      </w:r>
      <w:r w:rsidR="00A85065" w:rsidRPr="004F1D23">
        <w:rPr>
          <w:rFonts w:ascii="Times" w:eastAsia="Times New Roman" w:hAnsi="Times" w:cs="Arial"/>
          <w:shd w:val="clear" w:color="auto" w:fill="FFFFFF"/>
        </w:rPr>
        <w:t xml:space="preserve"> approach to assessing citizenship-based claims to equal treatment.</w:t>
      </w:r>
      <w:r w:rsidR="001C51A0" w:rsidRPr="004F1D23">
        <w:rPr>
          <w:rStyle w:val="FootnoteReference"/>
          <w:rFonts w:ascii="Times" w:eastAsia="Times New Roman" w:hAnsi="Times" w:cs="Arial"/>
          <w:shd w:val="clear" w:color="auto" w:fill="FFFFFF"/>
        </w:rPr>
        <w:footnoteReference w:id="117"/>
      </w:r>
      <w:r w:rsidR="00A85065" w:rsidRPr="004F1D23">
        <w:rPr>
          <w:rFonts w:ascii="Times" w:eastAsia="Times New Roman" w:hAnsi="Times" w:cs="Arial"/>
          <w:shd w:val="clear" w:color="auto" w:fill="FFFFFF"/>
        </w:rPr>
        <w:t xml:space="preserve"> </w:t>
      </w:r>
      <w:r w:rsidR="00A85065" w:rsidRPr="004F1D23">
        <w:rPr>
          <w:rFonts w:ascii="Times" w:hAnsi="Times" w:cs="Times New Roman"/>
        </w:rPr>
        <w:t xml:space="preserve">The reliance upon the </w:t>
      </w:r>
      <w:r w:rsidR="00FA55FB" w:rsidRPr="004F1D23">
        <w:rPr>
          <w:rFonts w:ascii="Times" w:hAnsi="Times" w:cs="Times New Roman"/>
        </w:rPr>
        <w:t xml:space="preserve">paragraph 44 </w:t>
      </w:r>
      <w:r w:rsidR="00A85065" w:rsidRPr="004F1D23">
        <w:rPr>
          <w:rFonts w:ascii="Times" w:hAnsi="Times" w:cs="Times New Roman"/>
        </w:rPr>
        <w:t xml:space="preserve">formulation, and more specifically, the reliance upon something the Court did not say within it, in order to override primary and secondary law, becomes even </w:t>
      </w:r>
      <w:r w:rsidR="00FA55FB" w:rsidRPr="004F1D23">
        <w:rPr>
          <w:rFonts w:ascii="Times" w:hAnsi="Times" w:cs="Times New Roman"/>
        </w:rPr>
        <w:t>less persuasive</w:t>
      </w:r>
      <w:r w:rsidR="00A85065" w:rsidRPr="004F1D23">
        <w:rPr>
          <w:rFonts w:ascii="Times" w:hAnsi="Times" w:cs="Times New Roman"/>
        </w:rPr>
        <w:t xml:space="preserve">, when we consider that the Court </w:t>
      </w:r>
      <w:r w:rsidR="00FA55FB" w:rsidRPr="004F1D23">
        <w:rPr>
          <w:rFonts w:ascii="Times" w:hAnsi="Times" w:cs="Times New Roman"/>
        </w:rPr>
        <w:t>is using it to depart</w:t>
      </w:r>
      <w:r w:rsidR="00A85065" w:rsidRPr="004F1D23">
        <w:rPr>
          <w:rFonts w:ascii="Times" w:hAnsi="Times" w:cs="Times New Roman"/>
        </w:rPr>
        <w:t xml:space="preserve"> from </w:t>
      </w:r>
      <w:r w:rsidR="00A85065" w:rsidRPr="004F1D23">
        <w:rPr>
          <w:rFonts w:ascii="Times" w:hAnsi="Times" w:cs="Times New Roman"/>
          <w:i/>
        </w:rPr>
        <w:t>Brey</w:t>
      </w:r>
      <w:r w:rsidR="00A85065" w:rsidRPr="004F1D23">
        <w:rPr>
          <w:rFonts w:ascii="Times" w:hAnsi="Times" w:cs="Times New Roman"/>
        </w:rPr>
        <w:t xml:space="preserve"> itself, and </w:t>
      </w:r>
      <w:r w:rsidR="00FA55FB" w:rsidRPr="004F1D23">
        <w:rPr>
          <w:rFonts w:ascii="Times" w:hAnsi="Times" w:cs="Times New Roman"/>
        </w:rPr>
        <w:t>to depart</w:t>
      </w:r>
      <w:r w:rsidR="00A85065" w:rsidRPr="004F1D23">
        <w:rPr>
          <w:rFonts w:ascii="Times" w:hAnsi="Times" w:cs="Times New Roman"/>
        </w:rPr>
        <w:t xml:space="preserve"> from all of the authorities u</w:t>
      </w:r>
      <w:r w:rsidR="0097448E" w:rsidRPr="004F1D23">
        <w:rPr>
          <w:rFonts w:ascii="Times" w:hAnsi="Times" w:cs="Times New Roman"/>
        </w:rPr>
        <w:t xml:space="preserve">pon which </w:t>
      </w:r>
      <w:r w:rsidR="00FA55FB" w:rsidRPr="004F1D23">
        <w:rPr>
          <w:rFonts w:ascii="Times" w:hAnsi="Times" w:cs="Times New Roman"/>
        </w:rPr>
        <w:t xml:space="preserve">that formulation </w:t>
      </w:r>
      <w:r w:rsidR="0097448E" w:rsidRPr="004F1D23">
        <w:rPr>
          <w:rFonts w:ascii="Times" w:hAnsi="Times" w:cs="Times New Roman"/>
        </w:rPr>
        <w:t xml:space="preserve">relies. </w:t>
      </w:r>
    </w:p>
    <w:p w14:paraId="12DA7FA8" w14:textId="77777777" w:rsidR="00122A43" w:rsidRPr="004F1D23" w:rsidRDefault="00122A43" w:rsidP="00914FAF">
      <w:pPr>
        <w:jc w:val="both"/>
        <w:rPr>
          <w:rFonts w:ascii="Times" w:eastAsia="Times New Roman" w:hAnsi="Times" w:cs="Arial"/>
          <w:shd w:val="clear" w:color="auto" w:fill="FFFFFF"/>
        </w:rPr>
      </w:pPr>
    </w:p>
    <w:p w14:paraId="058F2248" w14:textId="4394051E" w:rsidR="00100624" w:rsidRPr="004F1D23" w:rsidRDefault="0097448E" w:rsidP="006B38CB">
      <w:pPr>
        <w:jc w:val="both"/>
        <w:rPr>
          <w:rFonts w:ascii="Times" w:eastAsia="Times New Roman" w:hAnsi="Times" w:cs="Times New Roman"/>
        </w:rPr>
      </w:pPr>
      <w:r w:rsidRPr="004F1D23">
        <w:rPr>
          <w:rFonts w:ascii="Times" w:eastAsia="Times New Roman" w:hAnsi="Times" w:cs="Times New Roman"/>
        </w:rPr>
        <w:t xml:space="preserve">The Court </w:t>
      </w:r>
      <w:r w:rsidR="00293919" w:rsidRPr="004F1D23">
        <w:rPr>
          <w:rFonts w:ascii="Times" w:eastAsia="Times New Roman" w:hAnsi="Times" w:cs="Arial"/>
        </w:rPr>
        <w:t xml:space="preserve">appeared to consider </w:t>
      </w:r>
      <w:r w:rsidRPr="004F1D23">
        <w:rPr>
          <w:rFonts w:ascii="Times" w:eastAsia="Times New Roman" w:hAnsi="Times" w:cs="Arial"/>
        </w:rPr>
        <w:t xml:space="preserve">the </w:t>
      </w:r>
      <w:r w:rsidR="00293919" w:rsidRPr="004F1D23">
        <w:rPr>
          <w:rFonts w:ascii="Times" w:eastAsia="Times New Roman" w:hAnsi="Times" w:cs="Arial"/>
        </w:rPr>
        <w:t>automati</w:t>
      </w:r>
      <w:r w:rsidRPr="004F1D23">
        <w:rPr>
          <w:rFonts w:ascii="Times" w:eastAsia="Times New Roman" w:hAnsi="Times" w:cs="Arial"/>
        </w:rPr>
        <w:t>c exclusion created by the right to reside test inherently lawful, stating that the test was a “</w:t>
      </w:r>
      <w:r w:rsidR="0073357E" w:rsidRPr="004F1D23">
        <w:rPr>
          <w:rFonts w:ascii="Times" w:hAnsi="Times" w:cs="Times New Roman"/>
        </w:rPr>
        <w:t xml:space="preserve">substantive condition </w:t>
      </w:r>
      <w:r w:rsidR="00293919" w:rsidRPr="004F1D23">
        <w:rPr>
          <w:rFonts w:ascii="Times" w:hAnsi="Times" w:cs="Times New Roman"/>
        </w:rPr>
        <w:t>which economically inactive persons must meet in order to be eligible fo</w:t>
      </w:r>
      <w:r w:rsidRPr="004F1D23">
        <w:rPr>
          <w:rFonts w:ascii="Times" w:hAnsi="Times" w:cs="Times New Roman"/>
        </w:rPr>
        <w:t>r the social benefits at issue”.</w:t>
      </w:r>
      <w:r w:rsidRPr="004F1D23">
        <w:rPr>
          <w:rStyle w:val="FootnoteReference"/>
          <w:rFonts w:ascii="Times" w:hAnsi="Times" w:cs="Times New Roman"/>
        </w:rPr>
        <w:footnoteReference w:id="118"/>
      </w:r>
      <w:r w:rsidR="00293919" w:rsidRPr="004F1D23">
        <w:rPr>
          <w:rFonts w:ascii="Times" w:hAnsi="Times" w:cs="Times New Roman"/>
        </w:rPr>
        <w:t xml:space="preserve"> </w:t>
      </w:r>
      <w:r w:rsidR="0073357E" w:rsidRPr="004F1D23">
        <w:rPr>
          <w:rFonts w:ascii="Times" w:hAnsi="Times" w:cs="Times New Roman"/>
        </w:rPr>
        <w:t xml:space="preserve">It is not clear whether the </w:t>
      </w:r>
      <w:r w:rsidR="00122A43" w:rsidRPr="004F1D23">
        <w:rPr>
          <w:rFonts w:ascii="Times" w:eastAsia="Times New Roman" w:hAnsi="Times" w:cs="Times New Roman"/>
        </w:rPr>
        <w:t xml:space="preserve">Court </w:t>
      </w:r>
      <w:r w:rsidR="0073357E" w:rsidRPr="004F1D23">
        <w:rPr>
          <w:rFonts w:ascii="Times" w:eastAsia="Times New Roman" w:hAnsi="Times" w:cs="Times New Roman"/>
        </w:rPr>
        <w:t>accepted the UK’s allegation that the Commission’s objection to automatic exclusions</w:t>
      </w:r>
      <w:r w:rsidR="0030281E" w:rsidRPr="004F1D23">
        <w:rPr>
          <w:rFonts w:ascii="Times" w:eastAsia="Times New Roman" w:hAnsi="Times" w:cs="Times New Roman"/>
        </w:rPr>
        <w:t xml:space="preserve"> was a new, inadmissible</w:t>
      </w:r>
      <w:r w:rsidR="00122A43" w:rsidRPr="004F1D23">
        <w:rPr>
          <w:rFonts w:ascii="Times" w:eastAsia="Times New Roman" w:hAnsi="Times" w:cs="Times New Roman"/>
        </w:rPr>
        <w:t xml:space="preserve"> complaint</w:t>
      </w:r>
      <w:r w:rsidR="0073357E" w:rsidRPr="004F1D23">
        <w:rPr>
          <w:rFonts w:ascii="Times" w:eastAsia="Times New Roman" w:hAnsi="Times" w:cs="Times New Roman"/>
        </w:rPr>
        <w:t xml:space="preserve">, because it did not </w:t>
      </w:r>
      <w:r w:rsidR="0073357E" w:rsidRPr="006B38CB">
        <w:rPr>
          <w:rFonts w:ascii="Times" w:eastAsia="Times New Roman" w:hAnsi="Times" w:cs="Times New Roman"/>
        </w:rPr>
        <w:t>respond to it.</w:t>
      </w:r>
      <w:r w:rsidRPr="006B38CB">
        <w:rPr>
          <w:rFonts w:ascii="Times" w:eastAsia="Times New Roman" w:hAnsi="Times" w:cs="Times New Roman"/>
        </w:rPr>
        <w:t xml:space="preserve"> </w:t>
      </w:r>
      <w:r w:rsidR="0073357E" w:rsidRPr="006B38CB">
        <w:rPr>
          <w:rFonts w:ascii="Times" w:eastAsia="Times New Roman" w:hAnsi="Times" w:cs="Times New Roman"/>
        </w:rPr>
        <w:t>But the</w:t>
      </w:r>
      <w:r w:rsidRPr="006B38CB">
        <w:rPr>
          <w:rFonts w:ascii="Times" w:eastAsia="Times New Roman" w:hAnsi="Times" w:cs="Times New Roman"/>
        </w:rPr>
        <w:t xml:space="preserve"> issue of automatic exclusion </w:t>
      </w:r>
      <w:r w:rsidR="0030281E" w:rsidRPr="006B38CB">
        <w:rPr>
          <w:rFonts w:ascii="Times" w:eastAsia="Times New Roman" w:hAnsi="Times" w:cs="Times New Roman"/>
        </w:rPr>
        <w:t xml:space="preserve">is </w:t>
      </w:r>
      <w:r w:rsidR="0073357E" w:rsidRPr="006B38CB">
        <w:rPr>
          <w:rFonts w:ascii="Times" w:eastAsia="Times New Roman" w:hAnsi="Times" w:cs="Arial"/>
          <w:shd w:val="clear" w:color="auto" w:fill="FFFFFF"/>
        </w:rPr>
        <w:t xml:space="preserve">not a plea in itself; it </w:t>
      </w:r>
      <w:r w:rsidR="00491D15" w:rsidRPr="006B38CB">
        <w:rPr>
          <w:rFonts w:ascii="Times" w:eastAsia="Times New Roman" w:hAnsi="Times" w:cs="Arial"/>
          <w:shd w:val="clear" w:color="auto" w:fill="FFFFFF"/>
        </w:rPr>
        <w:t>is part of the</w:t>
      </w:r>
      <w:r w:rsidRPr="006B38CB">
        <w:rPr>
          <w:rFonts w:ascii="Times" w:eastAsia="Times New Roman" w:hAnsi="Times" w:cs="Arial"/>
          <w:shd w:val="clear" w:color="auto" w:fill="FFFFFF"/>
        </w:rPr>
        <w:t xml:space="preserve"> justification</w:t>
      </w:r>
      <w:r w:rsidR="00491D15" w:rsidRPr="006B38CB">
        <w:rPr>
          <w:rFonts w:ascii="Times" w:eastAsia="Times New Roman" w:hAnsi="Times" w:cs="Arial"/>
          <w:shd w:val="clear" w:color="auto" w:fill="FFFFFF"/>
        </w:rPr>
        <w:t xml:space="preserve"> investigation </w:t>
      </w:r>
      <w:r w:rsidRPr="006B38CB">
        <w:rPr>
          <w:rFonts w:ascii="Times" w:eastAsia="Times New Roman" w:hAnsi="Times" w:cs="Arial"/>
          <w:shd w:val="clear" w:color="auto" w:fill="FFFFFF"/>
        </w:rPr>
        <w:t xml:space="preserve">that </w:t>
      </w:r>
      <w:r w:rsidR="00491D15" w:rsidRPr="006B38CB">
        <w:rPr>
          <w:rFonts w:ascii="Times" w:eastAsia="Times New Roman" w:hAnsi="Times" w:cs="Arial"/>
          <w:shd w:val="clear" w:color="auto" w:fill="FFFFFF"/>
        </w:rPr>
        <w:t>the Court is empowered, and indeed obliged, to undertake, once a prima facie case of discrimination has been established. Otherwise the Commission would always have to anticipate all possible justifications - and adduce sufficient evidence to challenge their proportionality - as part of an application. The burden of proof would be not only reversed but also placed upon the Commission before proceedings even begin.</w:t>
      </w:r>
      <w:r w:rsidRPr="006B38CB">
        <w:rPr>
          <w:rFonts w:ascii="Times" w:eastAsia="Times New Roman" w:hAnsi="Times" w:cs="Times New Roman"/>
        </w:rPr>
        <w:t xml:space="preserve"> </w:t>
      </w:r>
      <w:r w:rsidR="006B38CB" w:rsidRPr="006B38CB">
        <w:rPr>
          <w:rFonts w:ascii="Times" w:eastAsia="Times New Roman" w:hAnsi="Times" w:cs="Times New Roman"/>
        </w:rPr>
        <w:t xml:space="preserve">Here, it is worth remembering the Court’s statement that “there is no rule of procedure which requires the Member State concerned to put forward, during the pre-litigation procedure, all the arguments </w:t>
      </w:r>
      <w:r w:rsidR="006B38CB" w:rsidRPr="006B38CB">
        <w:rPr>
          <w:rFonts w:ascii="Times" w:eastAsia="Times New Roman" w:hAnsi="Times" w:cs="Times New Roman"/>
        </w:rPr>
        <w:t>in its defence,</w:t>
      </w:r>
      <w:r w:rsidR="006B38CB" w:rsidRPr="006B38CB">
        <w:rPr>
          <w:rFonts w:ascii="Times" w:eastAsia="Times New Roman" w:hAnsi="Times" w:cs="Times New Roman"/>
        </w:rPr>
        <w:t>”</w:t>
      </w:r>
      <w:r w:rsidR="006B38CB" w:rsidRPr="006B38CB">
        <w:rPr>
          <w:rStyle w:val="FootnoteReference"/>
          <w:rFonts w:ascii="Times" w:eastAsia="Times New Roman" w:hAnsi="Times" w:cs="Times New Roman"/>
        </w:rPr>
        <w:footnoteReference w:id="119"/>
      </w:r>
      <w:r w:rsidR="006B38CB" w:rsidRPr="006B38CB">
        <w:rPr>
          <w:rFonts w:ascii="Times" w:eastAsia="Times New Roman" w:hAnsi="Times" w:cs="Times New Roman"/>
        </w:rPr>
        <w:t xml:space="preserve"> since that would be contrary to the “</w:t>
      </w:r>
      <w:r w:rsidR="006B38CB" w:rsidRPr="006B38CB">
        <w:rPr>
          <w:rFonts w:ascii="Times" w:eastAsia="Times New Roman" w:hAnsi="Times" w:cs="Times New Roman"/>
          <w:i/>
          <w:iCs/>
          <w:bdr w:val="none" w:sz="0" w:space="0" w:color="auto" w:frame="1"/>
          <w:shd w:val="clear" w:color="auto" w:fill="FFFFFF"/>
        </w:rPr>
        <w:t>general principle of respect for the rights of the defence</w:t>
      </w:r>
      <w:r w:rsidR="006B38CB" w:rsidRPr="006B38CB">
        <w:rPr>
          <w:rFonts w:ascii="Times" w:eastAsia="Times New Roman" w:hAnsi="Times" w:cs="Times New Roman"/>
          <w:iCs/>
          <w:bdr w:val="none" w:sz="0" w:space="0" w:color="auto" w:frame="1"/>
          <w:shd w:val="clear" w:color="auto" w:fill="FFFFFF"/>
        </w:rPr>
        <w:t>”. L</w:t>
      </w:r>
      <w:r w:rsidR="006B38CB" w:rsidRPr="006B38CB">
        <w:rPr>
          <w:rFonts w:ascii="Times" w:eastAsia="Times New Roman" w:hAnsi="Times" w:cs="Times New Roman"/>
        </w:rPr>
        <w:t xml:space="preserve">ogically, there can therefore be no requirement for the Commission to anticipate, and refute, arguments that a Member State has not yet been obliged to raise, (ie to defend against the defence) at the outset of proceedings. </w:t>
      </w:r>
      <w:r w:rsidR="005479F1" w:rsidRPr="006B38CB">
        <w:rPr>
          <w:rFonts w:ascii="Times" w:eastAsia="Times New Roman" w:hAnsi="Times" w:cs="Times New Roman"/>
        </w:rPr>
        <w:t>A Member State’s</w:t>
      </w:r>
      <w:r w:rsidR="00293919" w:rsidRPr="006B38CB">
        <w:rPr>
          <w:rFonts w:ascii="Times" w:eastAsia="Times New Roman" w:hAnsi="Times" w:cs="Times New Roman"/>
        </w:rPr>
        <w:t xml:space="preserve"> attempt to silence the </w:t>
      </w:r>
      <w:r w:rsidR="0073357E" w:rsidRPr="006B38CB">
        <w:rPr>
          <w:rFonts w:ascii="Times" w:eastAsia="Times New Roman" w:hAnsi="Times" w:cs="Times New Roman"/>
        </w:rPr>
        <w:t>investigation of</w:t>
      </w:r>
      <w:r w:rsidR="005479F1" w:rsidRPr="006B38CB">
        <w:rPr>
          <w:rFonts w:ascii="Times" w:eastAsia="Times New Roman" w:hAnsi="Times" w:cs="Times New Roman"/>
        </w:rPr>
        <w:t xml:space="preserve"> the Court,</w:t>
      </w:r>
      <w:r w:rsidR="00293919" w:rsidRPr="006B38CB">
        <w:rPr>
          <w:rFonts w:ascii="Times" w:eastAsia="Times New Roman" w:hAnsi="Times" w:cs="Times New Roman"/>
        </w:rPr>
        <w:t xml:space="preserve"> by claiming that responses to justification claims are ‘new compl</w:t>
      </w:r>
      <w:r w:rsidR="005479F1" w:rsidRPr="006B38CB">
        <w:rPr>
          <w:rFonts w:ascii="Times" w:eastAsia="Times New Roman" w:hAnsi="Times" w:cs="Times New Roman"/>
        </w:rPr>
        <w:t xml:space="preserve">aints’ is an obstruction to access to justice, and would give the go-ahead to weak, </w:t>
      </w:r>
      <w:r w:rsidR="005479F1" w:rsidRPr="004F1D23">
        <w:rPr>
          <w:rFonts w:ascii="Times" w:eastAsia="Times New Roman" w:hAnsi="Times" w:cs="Times New Roman"/>
        </w:rPr>
        <w:t xml:space="preserve">unsubstantiated justification claims. </w:t>
      </w:r>
      <w:r w:rsidRPr="004F1D23">
        <w:rPr>
          <w:rFonts w:ascii="Times" w:eastAsia="Times New Roman" w:hAnsi="Times" w:cs="Times New Roman"/>
        </w:rPr>
        <w:t xml:space="preserve">However, the </w:t>
      </w:r>
      <w:r w:rsidR="005479F1" w:rsidRPr="004F1D23">
        <w:rPr>
          <w:rFonts w:ascii="Times" w:eastAsia="Times New Roman" w:hAnsi="Times" w:cs="Times New Roman"/>
        </w:rPr>
        <w:t>two inadmissibility claims made by the UK (automatic exclusions, and direct discrimination) were given covert, and so unchalleng</w:t>
      </w:r>
      <w:r w:rsidR="00BF2C10" w:rsidRPr="004F1D23">
        <w:rPr>
          <w:rFonts w:ascii="Times" w:eastAsia="Times New Roman" w:hAnsi="Times" w:cs="Times New Roman"/>
        </w:rPr>
        <w:t>e</w:t>
      </w:r>
      <w:r w:rsidR="005479F1" w:rsidRPr="004F1D23">
        <w:rPr>
          <w:rFonts w:ascii="Times" w:eastAsia="Times New Roman" w:hAnsi="Times" w:cs="Times New Roman"/>
        </w:rPr>
        <w:t xml:space="preserve">able, effect, by ignoring the relevant points made by the Commission.  </w:t>
      </w:r>
    </w:p>
    <w:p w14:paraId="5502472E" w14:textId="77777777" w:rsidR="00100624" w:rsidRPr="004F1D23" w:rsidRDefault="00100624" w:rsidP="00914FAF">
      <w:pPr>
        <w:shd w:val="clear" w:color="auto" w:fill="FFFFFF"/>
        <w:jc w:val="both"/>
        <w:rPr>
          <w:rFonts w:ascii="Times" w:eastAsia="Times New Roman" w:hAnsi="Times" w:cs="Times New Roman"/>
        </w:rPr>
      </w:pPr>
    </w:p>
    <w:p w14:paraId="745663D5" w14:textId="2EBF64E2" w:rsidR="005479F1" w:rsidRPr="004F1D23" w:rsidRDefault="005479F1" w:rsidP="00914FAF">
      <w:pPr>
        <w:shd w:val="clear" w:color="auto" w:fill="FFFFFF"/>
        <w:jc w:val="both"/>
        <w:rPr>
          <w:rFonts w:ascii="Times" w:eastAsia="Times New Roman" w:hAnsi="Times" w:cs="Times New Roman"/>
        </w:rPr>
      </w:pPr>
      <w:r w:rsidRPr="004F1D23">
        <w:rPr>
          <w:rFonts w:ascii="Times" w:eastAsia="Times New Roman" w:hAnsi="Times" w:cs="Times New Roman"/>
        </w:rPr>
        <w:t xml:space="preserve">In </w:t>
      </w:r>
      <w:r w:rsidR="0097448E" w:rsidRPr="004F1D23">
        <w:rPr>
          <w:rFonts w:ascii="Times" w:eastAsia="Times New Roman" w:hAnsi="Times" w:cs="Times New Roman"/>
        </w:rPr>
        <w:t>permitting automatic exclusions from benefit eligibility</w:t>
      </w:r>
      <w:r w:rsidRPr="004F1D23">
        <w:rPr>
          <w:rFonts w:ascii="Times" w:eastAsia="Times New Roman" w:hAnsi="Times" w:cs="Times New Roman"/>
        </w:rPr>
        <w:t xml:space="preserve">, </w:t>
      </w:r>
      <w:r w:rsidR="0097448E" w:rsidRPr="004F1D23">
        <w:rPr>
          <w:rFonts w:ascii="Times" w:eastAsia="Times New Roman" w:hAnsi="Times" w:cs="Times New Roman"/>
        </w:rPr>
        <w:t>the Court permits Member States</w:t>
      </w:r>
      <w:r w:rsidRPr="004F1D23">
        <w:rPr>
          <w:rFonts w:ascii="Times" w:eastAsia="Times New Roman" w:hAnsi="Times" w:cs="Times New Roman"/>
        </w:rPr>
        <w:t xml:space="preserve"> to treat all</w:t>
      </w:r>
      <w:r w:rsidR="00B4385C" w:rsidRPr="004F1D23">
        <w:rPr>
          <w:rFonts w:ascii="Times" w:hAnsi="Times" w:cs="Times New Roman"/>
        </w:rPr>
        <w:t xml:space="preserve"> </w:t>
      </w:r>
      <w:r w:rsidRPr="004F1D23">
        <w:rPr>
          <w:rFonts w:ascii="Times" w:hAnsi="Times" w:cs="Times New Roman"/>
        </w:rPr>
        <w:t>migrants</w:t>
      </w:r>
      <w:r w:rsidR="00E56350" w:rsidRPr="004F1D23">
        <w:rPr>
          <w:rFonts w:ascii="Times" w:hAnsi="Times" w:cs="Times New Roman"/>
        </w:rPr>
        <w:t xml:space="preserve"> who are deemed to be economically inactive</w:t>
      </w:r>
      <w:r w:rsidRPr="004F1D23">
        <w:rPr>
          <w:rFonts w:ascii="Times" w:hAnsi="Times" w:cs="Times New Roman"/>
        </w:rPr>
        <w:t xml:space="preserve"> as equally worthless and irrelevant. </w:t>
      </w:r>
      <w:r w:rsidR="00100624" w:rsidRPr="004F1D23">
        <w:rPr>
          <w:rFonts w:ascii="Times" w:hAnsi="Times" w:cs="Times New Roman"/>
        </w:rPr>
        <w:t xml:space="preserve">It extinguishes whatever embers of citizenship might have been left flickering by the confinement of </w:t>
      </w:r>
      <w:r w:rsidR="00100624" w:rsidRPr="004F1D23">
        <w:rPr>
          <w:rFonts w:ascii="Times" w:hAnsi="Times" w:cs="Times New Roman"/>
          <w:i/>
        </w:rPr>
        <w:t>Alimanovic</w:t>
      </w:r>
      <w:r w:rsidR="00100624" w:rsidRPr="004F1D23">
        <w:rPr>
          <w:rFonts w:ascii="Times" w:hAnsi="Times" w:cs="Times New Roman"/>
        </w:rPr>
        <w:t xml:space="preserve"> to </w:t>
      </w:r>
      <w:r w:rsidR="00E56350" w:rsidRPr="004F1D23">
        <w:rPr>
          <w:rFonts w:ascii="Times" w:hAnsi="Times" w:cs="Times New Roman"/>
        </w:rPr>
        <w:t>jobseekers.</w:t>
      </w:r>
      <w:r w:rsidR="00100624" w:rsidRPr="004F1D23">
        <w:rPr>
          <w:rFonts w:ascii="Times" w:hAnsi="Times" w:cs="Times New Roman"/>
        </w:rPr>
        <w:t xml:space="preserve"> </w:t>
      </w:r>
      <w:r w:rsidR="00E56350" w:rsidRPr="004F1D23">
        <w:rPr>
          <w:rFonts w:ascii="Times" w:hAnsi="Times" w:cs="Times New Roman"/>
        </w:rPr>
        <w:t>But the label of “economic inactivity”</w:t>
      </w:r>
      <w:r w:rsidRPr="004F1D23">
        <w:rPr>
          <w:rFonts w:ascii="Times" w:hAnsi="Times" w:cs="Times New Roman"/>
        </w:rPr>
        <w:t xml:space="preserve"> masks a wide variety of migrant lives and experiences</w:t>
      </w:r>
      <w:bookmarkStart w:id="9" w:name="_Ref331428543"/>
      <w:r w:rsidR="00100624" w:rsidRPr="004F1D23">
        <w:rPr>
          <w:rStyle w:val="FootnoteReference"/>
          <w:rFonts w:ascii="Times" w:hAnsi="Times" w:cs="Times New Roman"/>
        </w:rPr>
        <w:footnoteReference w:id="120"/>
      </w:r>
      <w:bookmarkEnd w:id="9"/>
      <w:r w:rsidRPr="004F1D23">
        <w:rPr>
          <w:rFonts w:ascii="Times" w:hAnsi="Times" w:cs="Times New Roman"/>
        </w:rPr>
        <w:t xml:space="preserve"> – including many people who actually in work; the UK’s minimum earnings threshold – equivalent to 22 hours per week on the minimum wage</w:t>
      </w:r>
      <w:r w:rsidR="00E56350" w:rsidRPr="004F1D23">
        <w:rPr>
          <w:rStyle w:val="FootnoteReference"/>
          <w:rFonts w:ascii="Times" w:hAnsi="Times" w:cs="Times New Roman"/>
        </w:rPr>
        <w:footnoteReference w:id="121"/>
      </w:r>
      <w:r w:rsidRPr="004F1D23">
        <w:rPr>
          <w:rFonts w:ascii="Times" w:hAnsi="Times" w:cs="Times New Roman"/>
        </w:rPr>
        <w:t xml:space="preserve"> - has no sliding scale for lone parents or persons with reduced work capacity due to disa</w:t>
      </w:r>
      <w:r w:rsidR="00E56350" w:rsidRPr="004F1D23">
        <w:rPr>
          <w:rFonts w:ascii="Times" w:hAnsi="Times" w:cs="Times New Roman"/>
        </w:rPr>
        <w:t xml:space="preserve">bility or caring obligations. </w:t>
      </w:r>
      <w:r w:rsidR="004F432B" w:rsidRPr="004F1D23">
        <w:rPr>
          <w:rFonts w:ascii="Times" w:hAnsi="Times" w:cs="Times New Roman"/>
        </w:rPr>
        <w:t>Other Member States employ hours and earnings thresholds too,</w:t>
      </w:r>
      <w:r w:rsidR="00100624" w:rsidRPr="004F1D23">
        <w:rPr>
          <w:rStyle w:val="FootnoteReference"/>
          <w:rFonts w:ascii="Times" w:hAnsi="Times" w:cs="Times New Roman"/>
        </w:rPr>
        <w:footnoteReference w:id="122"/>
      </w:r>
      <w:r w:rsidR="004F432B" w:rsidRPr="004F1D23">
        <w:rPr>
          <w:rFonts w:ascii="Times" w:hAnsi="Times" w:cs="Times New Roman"/>
        </w:rPr>
        <w:t xml:space="preserve"> which work to exclude people on variable hours, who cannot demonstrate continuous work above the threshold. Other EU nationals may be in and out of work, so again fall foul of continuity requirements; others may have been in work for several years, but not been recognised as permanent residents - again, inability to evidence continuously high enough earnings over a full five year period can exclude many people who have been resident for far longer than that.</w:t>
      </w:r>
      <w:r w:rsidR="00100624" w:rsidRPr="004F1D23">
        <w:rPr>
          <w:rStyle w:val="FootnoteReference"/>
          <w:rFonts w:ascii="Times" w:hAnsi="Times" w:cs="Times New Roman"/>
        </w:rPr>
        <w:footnoteReference w:id="123"/>
      </w:r>
      <w:r w:rsidR="004F432B" w:rsidRPr="004F1D23">
        <w:rPr>
          <w:rFonts w:ascii="Times" w:hAnsi="Times" w:cs="Times New Roman"/>
        </w:rPr>
        <w:t xml:space="preserve"> They may have a high degree</w:t>
      </w:r>
      <w:r w:rsidR="00B4385C" w:rsidRPr="004F1D23">
        <w:rPr>
          <w:rFonts w:ascii="Times" w:hAnsi="Times" w:cs="Times New Roman"/>
        </w:rPr>
        <w:t xml:space="preserve"> of integration into society, </w:t>
      </w:r>
      <w:r w:rsidR="004F432B" w:rsidRPr="004F1D23">
        <w:rPr>
          <w:rFonts w:ascii="Times" w:hAnsi="Times" w:cs="Times New Roman"/>
        </w:rPr>
        <w:t>have a strong family</w:t>
      </w:r>
      <w:r w:rsidR="00B4385C" w:rsidRPr="004F1D23">
        <w:rPr>
          <w:rFonts w:ascii="Times" w:hAnsi="Times" w:cs="Times New Roman"/>
        </w:rPr>
        <w:t xml:space="preserve"> employment history, and </w:t>
      </w:r>
      <w:r w:rsidR="004F432B" w:rsidRPr="004F1D23">
        <w:rPr>
          <w:rFonts w:ascii="Times" w:hAnsi="Times" w:cs="Times New Roman"/>
        </w:rPr>
        <w:t xml:space="preserve">have compelling </w:t>
      </w:r>
      <w:r w:rsidR="00B4385C" w:rsidRPr="004F1D23">
        <w:rPr>
          <w:rFonts w:ascii="Times" w:hAnsi="Times" w:cs="Times New Roman"/>
        </w:rPr>
        <w:t xml:space="preserve">circumstances </w:t>
      </w:r>
      <w:r w:rsidR="004F432B" w:rsidRPr="004F1D23">
        <w:rPr>
          <w:rFonts w:ascii="Times" w:hAnsi="Times" w:cs="Times New Roman"/>
        </w:rPr>
        <w:t xml:space="preserve">that led to a loss of worker status. But they will all be treated as though they did not.  </w:t>
      </w:r>
      <w:r w:rsidR="00B4385C" w:rsidRPr="004F1D23">
        <w:rPr>
          <w:rFonts w:ascii="Times" w:hAnsi="Times" w:cs="Times New Roman"/>
        </w:rPr>
        <w:t xml:space="preserve"> </w:t>
      </w:r>
    </w:p>
    <w:p w14:paraId="2021CCCF" w14:textId="77777777" w:rsidR="005479F1" w:rsidRPr="004F1D23" w:rsidRDefault="005479F1" w:rsidP="00914FAF">
      <w:pPr>
        <w:jc w:val="both"/>
        <w:rPr>
          <w:rFonts w:ascii="Times" w:hAnsi="Times" w:cs="Times New Roman"/>
        </w:rPr>
      </w:pPr>
    </w:p>
    <w:p w14:paraId="7741E3E2" w14:textId="77777777" w:rsidR="0073357E" w:rsidRPr="004F1D23" w:rsidRDefault="00100624" w:rsidP="00914FAF">
      <w:pPr>
        <w:jc w:val="both"/>
        <w:rPr>
          <w:rFonts w:ascii="Times" w:hAnsi="Times" w:cs="Times New Roman"/>
        </w:rPr>
      </w:pPr>
      <w:r w:rsidRPr="004F1D23">
        <w:rPr>
          <w:rFonts w:ascii="Times" w:hAnsi="Times" w:cs="Times New Roman"/>
        </w:rPr>
        <w:t xml:space="preserve">The citizens who get completely lost in this citizenship sacrifice, are those whose welfare is at the heart of </w:t>
      </w:r>
      <w:r w:rsidR="0073357E" w:rsidRPr="004F1D23">
        <w:rPr>
          <w:rFonts w:ascii="Times" w:hAnsi="Times" w:cs="Times New Roman"/>
        </w:rPr>
        <w:t>this case</w:t>
      </w:r>
      <w:r w:rsidRPr="004F1D23">
        <w:rPr>
          <w:rFonts w:ascii="Times" w:hAnsi="Times" w:cs="Times New Roman"/>
        </w:rPr>
        <w:t xml:space="preserve"> – ch</w:t>
      </w:r>
      <w:r w:rsidR="0073357E" w:rsidRPr="004F1D23">
        <w:rPr>
          <w:rFonts w:ascii="Times" w:hAnsi="Times" w:cs="Times New Roman"/>
        </w:rPr>
        <w:t>ildren. Regulation 883/2004 protects family benefit eligibility in a wide set of circumstances, possibly in recognition of the vulnerability of children, and the need to avoid punishing them for the choices or misfortunes of their parents. Recital (34) of the Regulation notes the need cover the “very broad scope” of family benefits which afford “</w:t>
      </w:r>
      <w:r w:rsidR="0073357E" w:rsidRPr="004F1D23">
        <w:rPr>
          <w:rFonts w:ascii="Times" w:hAnsi="Times"/>
        </w:rPr>
        <w:t>protection in situations which could be described as classic as well as in others which are specific in nature”.</w:t>
      </w:r>
    </w:p>
    <w:p w14:paraId="35D051C8" w14:textId="77777777" w:rsidR="0073357E" w:rsidRPr="004F1D23" w:rsidRDefault="0073357E" w:rsidP="00914FAF">
      <w:pPr>
        <w:jc w:val="both"/>
        <w:rPr>
          <w:rFonts w:ascii="Times" w:hAnsi="Times" w:cs="Times New Roman"/>
        </w:rPr>
      </w:pPr>
    </w:p>
    <w:p w14:paraId="67921B4F" w14:textId="08B035B2" w:rsidR="002E241F" w:rsidRPr="004F1D23" w:rsidRDefault="0073357E" w:rsidP="00914FAF">
      <w:pPr>
        <w:jc w:val="both"/>
        <w:rPr>
          <w:rFonts w:ascii="Times" w:hAnsi="Times" w:cs="Times New Roman"/>
        </w:rPr>
      </w:pPr>
      <w:r w:rsidRPr="004F1D23">
        <w:rPr>
          <w:rFonts w:ascii="Times" w:hAnsi="Times" w:cs="Times New Roman"/>
        </w:rPr>
        <w:t>Children are typically “</w:t>
      </w:r>
      <w:r w:rsidR="00100624" w:rsidRPr="004F1D23">
        <w:rPr>
          <w:rFonts w:ascii="Times" w:hAnsi="Times" w:cs="Times New Roman"/>
        </w:rPr>
        <w:t>economically inactive</w:t>
      </w:r>
      <w:r w:rsidRPr="004F1D23">
        <w:rPr>
          <w:rFonts w:ascii="Times" w:hAnsi="Times" w:cs="Times New Roman"/>
        </w:rPr>
        <w:t>”</w:t>
      </w:r>
      <w:r w:rsidR="00100624" w:rsidRPr="004F1D23">
        <w:rPr>
          <w:rFonts w:ascii="Times" w:hAnsi="Times" w:cs="Times New Roman"/>
        </w:rPr>
        <w:t>, and have no control over their parasitic status as family members – they cannot determine their parents’ migratory cho</w:t>
      </w:r>
      <w:r w:rsidR="00CC4A8F" w:rsidRPr="004F1D23">
        <w:rPr>
          <w:rFonts w:ascii="Times" w:hAnsi="Times" w:cs="Times New Roman"/>
        </w:rPr>
        <w:t xml:space="preserve">ices or employment statuses. </w:t>
      </w:r>
      <w:r w:rsidR="00CB6E40" w:rsidRPr="004F1D23">
        <w:rPr>
          <w:rFonts w:ascii="Times" w:hAnsi="Times" w:cs="Times New Roman"/>
        </w:rPr>
        <w:t xml:space="preserve">The children may have been born in the host State and have no significant links with their State of nationality. </w:t>
      </w:r>
      <w:r w:rsidR="002E241F" w:rsidRPr="004F1D23">
        <w:rPr>
          <w:rFonts w:ascii="Times" w:hAnsi="Times" w:cs="Times New Roman"/>
        </w:rPr>
        <w:t>They are the archetype of citizenship-by-praxis</w:t>
      </w:r>
      <w:r w:rsidR="00FC598E" w:rsidRPr="004F1D23">
        <w:rPr>
          <w:rFonts w:ascii="Times" w:hAnsi="Times" w:cs="Times New Roman"/>
        </w:rPr>
        <w:t xml:space="preserve">; as Advocate General Wathelet said of the children in </w:t>
      </w:r>
      <w:r w:rsidR="00FC598E" w:rsidRPr="004F1D23">
        <w:rPr>
          <w:rFonts w:ascii="Times" w:hAnsi="Times" w:cs="Times New Roman"/>
          <w:i/>
        </w:rPr>
        <w:t>NA</w:t>
      </w:r>
      <w:r w:rsidR="00FC598E" w:rsidRPr="004F1D23">
        <w:rPr>
          <w:rFonts w:ascii="Times" w:hAnsi="Times" w:cs="Times New Roman"/>
        </w:rPr>
        <w:t>, they may be said to have “</w:t>
      </w:r>
      <w:r w:rsidR="00FC598E" w:rsidRPr="004F1D23">
        <w:rPr>
          <w:rFonts w:ascii="Times" w:hAnsi="Times" w:cs="Times New Roman"/>
          <w:i/>
        </w:rPr>
        <w:t>constructed</w:t>
      </w:r>
      <w:r w:rsidR="00FC598E" w:rsidRPr="004F1D23">
        <w:rPr>
          <w:rFonts w:ascii="Times" w:hAnsi="Times" w:cs="Times New Roman"/>
        </w:rPr>
        <w:t xml:space="preserve"> their citizenship”</w:t>
      </w:r>
      <w:r w:rsidR="002E241F" w:rsidRPr="004F1D23">
        <w:rPr>
          <w:rFonts w:ascii="Times" w:hAnsi="Times" w:cs="Times New Roman"/>
        </w:rPr>
        <w:t xml:space="preserve"> </w:t>
      </w:r>
      <w:r w:rsidR="00FC598E" w:rsidRPr="004F1D23">
        <w:rPr>
          <w:rFonts w:ascii="Times" w:hAnsi="Times" w:cs="Times New Roman"/>
        </w:rPr>
        <w:t>in the State of residence.</w:t>
      </w:r>
      <w:r w:rsidR="00FC598E" w:rsidRPr="004F1D23">
        <w:rPr>
          <w:rStyle w:val="FootnoteReference"/>
          <w:rFonts w:ascii="Times" w:hAnsi="Times" w:cs="Times New Roman"/>
        </w:rPr>
        <w:footnoteReference w:id="124"/>
      </w:r>
      <w:r w:rsidR="00FC598E" w:rsidRPr="004F1D23">
        <w:rPr>
          <w:rFonts w:ascii="Times" w:hAnsi="Times" w:cs="Times New Roman"/>
        </w:rPr>
        <w:t xml:space="preserve"> But the Court</w:t>
      </w:r>
      <w:r w:rsidR="002D2649" w:rsidRPr="004F1D23">
        <w:rPr>
          <w:rFonts w:ascii="Times" w:hAnsi="Times" w:cs="Times New Roman"/>
        </w:rPr>
        <w:t xml:space="preserve"> in </w:t>
      </w:r>
      <w:r w:rsidR="002D2649" w:rsidRPr="004F1D23">
        <w:rPr>
          <w:rFonts w:ascii="Times" w:hAnsi="Times" w:cs="Times New Roman"/>
          <w:i/>
        </w:rPr>
        <w:t>NA</w:t>
      </w:r>
      <w:r w:rsidR="00FC598E" w:rsidRPr="004F1D23">
        <w:rPr>
          <w:rStyle w:val="FootnoteReference"/>
          <w:rFonts w:ascii="Times" w:hAnsi="Times" w:cs="Times New Roman"/>
        </w:rPr>
        <w:footnoteReference w:id="125"/>
      </w:r>
      <w:r w:rsidR="00FC598E" w:rsidRPr="004F1D23">
        <w:rPr>
          <w:rFonts w:ascii="Times" w:hAnsi="Times" w:cs="Times New Roman"/>
        </w:rPr>
        <w:t xml:space="preserve"> declined to consider the rights attaching to the children’s citizenship, prioritising their parasitic status under Article Regula</w:t>
      </w:r>
      <w:r w:rsidRPr="004F1D23">
        <w:rPr>
          <w:rFonts w:ascii="Times" w:hAnsi="Times" w:cs="Times New Roman"/>
        </w:rPr>
        <w:t xml:space="preserve">tion 1612/68, regardless of </w:t>
      </w:r>
      <w:r w:rsidR="00FC598E" w:rsidRPr="004F1D23">
        <w:rPr>
          <w:rFonts w:ascii="Times" w:hAnsi="Times" w:cs="Times New Roman"/>
        </w:rPr>
        <w:t>domestic violence.</w:t>
      </w:r>
      <w:r w:rsidR="00FC598E" w:rsidRPr="004F1D23">
        <w:rPr>
          <w:rStyle w:val="FootnoteReference"/>
          <w:rFonts w:ascii="Times" w:hAnsi="Times" w:cs="Times New Roman"/>
        </w:rPr>
        <w:footnoteReference w:id="126"/>
      </w:r>
      <w:r w:rsidR="00FC598E" w:rsidRPr="004F1D23">
        <w:rPr>
          <w:rFonts w:ascii="Times" w:hAnsi="Times" w:cs="Times New Roman"/>
        </w:rPr>
        <w:t xml:space="preserve"> </w:t>
      </w:r>
    </w:p>
    <w:p w14:paraId="6B2E8A40" w14:textId="77777777" w:rsidR="002E241F" w:rsidRPr="004F1D23" w:rsidRDefault="002E241F" w:rsidP="00914FAF">
      <w:pPr>
        <w:jc w:val="both"/>
        <w:rPr>
          <w:rFonts w:ascii="Times" w:hAnsi="Times" w:cs="Times New Roman"/>
        </w:rPr>
      </w:pPr>
    </w:p>
    <w:p w14:paraId="21F982B8" w14:textId="78694FE5" w:rsidR="008C2CF3" w:rsidRPr="004F1D23" w:rsidRDefault="0073357E" w:rsidP="00914FAF">
      <w:pPr>
        <w:jc w:val="both"/>
        <w:rPr>
          <w:rFonts w:ascii="Times" w:hAnsi="Times" w:cs="Times New Roman"/>
        </w:rPr>
      </w:pPr>
      <w:r w:rsidRPr="004F1D23">
        <w:rPr>
          <w:rFonts w:ascii="Times" w:hAnsi="Times" w:cs="Times New Roman"/>
          <w:i/>
        </w:rPr>
        <w:t>Commission v UK</w:t>
      </w:r>
      <w:r w:rsidR="00CC4A8F" w:rsidRPr="004F1D23">
        <w:rPr>
          <w:rFonts w:ascii="Times" w:hAnsi="Times" w:cs="Times New Roman"/>
        </w:rPr>
        <w:t xml:space="preserve"> </w:t>
      </w:r>
      <w:r w:rsidRPr="004F1D23">
        <w:rPr>
          <w:rFonts w:ascii="Times" w:hAnsi="Times" w:cs="Times New Roman"/>
        </w:rPr>
        <w:t xml:space="preserve">also </w:t>
      </w:r>
      <w:r w:rsidR="00CC4A8F" w:rsidRPr="004F1D23">
        <w:rPr>
          <w:rFonts w:ascii="Times" w:hAnsi="Times" w:cs="Times New Roman"/>
        </w:rPr>
        <w:t xml:space="preserve">erases children’s rights from </w:t>
      </w:r>
      <w:r w:rsidR="002D2649" w:rsidRPr="004F1D23">
        <w:rPr>
          <w:rFonts w:ascii="Times" w:hAnsi="Times" w:cs="Times New Roman"/>
        </w:rPr>
        <w:t>view</w:t>
      </w:r>
      <w:r w:rsidR="00CC4A8F" w:rsidRPr="004F1D23">
        <w:rPr>
          <w:rFonts w:ascii="Times" w:hAnsi="Times" w:cs="Times New Roman"/>
        </w:rPr>
        <w:t>. They are left without prot</w:t>
      </w:r>
      <w:r w:rsidR="002D2649" w:rsidRPr="004F1D23">
        <w:rPr>
          <w:rFonts w:ascii="Times" w:hAnsi="Times" w:cs="Times New Roman"/>
        </w:rPr>
        <w:t>ection from the competent State</w:t>
      </w:r>
      <w:r w:rsidRPr="004F1D23">
        <w:rPr>
          <w:rFonts w:ascii="Times" w:hAnsi="Times" w:cs="Times New Roman"/>
        </w:rPr>
        <w:t xml:space="preserve"> because of</w:t>
      </w:r>
      <w:r w:rsidR="002D2649" w:rsidRPr="004F1D23">
        <w:rPr>
          <w:rFonts w:ascii="Times" w:hAnsi="Times" w:cs="Times New Roman"/>
        </w:rPr>
        <w:t xml:space="preserve"> their parents’ EU nationality, </w:t>
      </w:r>
      <w:r w:rsidR="00CC4A8F" w:rsidRPr="004F1D23">
        <w:rPr>
          <w:rFonts w:ascii="Times" w:hAnsi="Times" w:cs="Times New Roman"/>
        </w:rPr>
        <w:t>even though they cannot get protec</w:t>
      </w:r>
      <w:r w:rsidR="002D2649" w:rsidRPr="004F1D23">
        <w:rPr>
          <w:rFonts w:ascii="Times" w:hAnsi="Times" w:cs="Times New Roman"/>
        </w:rPr>
        <w:t>tion from a non-competent State</w:t>
      </w:r>
      <w:r w:rsidR="00CC4A8F" w:rsidRPr="004F1D23">
        <w:rPr>
          <w:rFonts w:ascii="Times" w:hAnsi="Times" w:cs="Times New Roman"/>
        </w:rPr>
        <w:t xml:space="preserve">. It is deeply problematic to frame these benefits as awards to the ‘economically inactive’ parents; </w:t>
      </w:r>
      <w:r w:rsidR="002D2649" w:rsidRPr="004F1D23">
        <w:rPr>
          <w:rFonts w:ascii="Times" w:hAnsi="Times" w:cs="Times New Roman"/>
        </w:rPr>
        <w:t xml:space="preserve">the Court in </w:t>
      </w:r>
      <w:r w:rsidR="002D2649" w:rsidRPr="004F1D23">
        <w:rPr>
          <w:rFonts w:ascii="Times" w:hAnsi="Times" w:cs="Times New Roman"/>
          <w:i/>
        </w:rPr>
        <w:t>Ibrahim</w:t>
      </w:r>
      <w:r w:rsidR="002D2649" w:rsidRPr="004F1D23">
        <w:rPr>
          <w:rStyle w:val="FootnoteReference"/>
          <w:rFonts w:ascii="Times" w:hAnsi="Times" w:cs="Times New Roman"/>
        </w:rPr>
        <w:footnoteReference w:id="127"/>
      </w:r>
      <w:r w:rsidR="002D2649" w:rsidRPr="004F1D23">
        <w:rPr>
          <w:rFonts w:ascii="Times" w:hAnsi="Times" w:cs="Times New Roman"/>
          <w:i/>
        </w:rPr>
        <w:t xml:space="preserve"> </w:t>
      </w:r>
      <w:r w:rsidR="002D2649" w:rsidRPr="004F1D23">
        <w:rPr>
          <w:rFonts w:ascii="Times" w:hAnsi="Times" w:cs="Times New Roman"/>
        </w:rPr>
        <w:t xml:space="preserve">and </w:t>
      </w:r>
      <w:r w:rsidR="002D2649" w:rsidRPr="004F1D23">
        <w:rPr>
          <w:rFonts w:ascii="Times" w:hAnsi="Times" w:cs="Times New Roman"/>
          <w:i/>
        </w:rPr>
        <w:t>Teixeira</w:t>
      </w:r>
      <w:r w:rsidR="002D2649" w:rsidRPr="004F1D23">
        <w:rPr>
          <w:rStyle w:val="FootnoteReference"/>
          <w:rFonts w:ascii="Times" w:hAnsi="Times" w:cs="Times New Roman"/>
        </w:rPr>
        <w:footnoteReference w:id="128"/>
      </w:r>
      <w:r w:rsidR="002D2649" w:rsidRPr="004F1D23">
        <w:rPr>
          <w:rFonts w:ascii="Times" w:hAnsi="Times" w:cs="Times New Roman"/>
        </w:rPr>
        <w:t xml:space="preserve"> recognised that </w:t>
      </w:r>
      <w:r w:rsidR="006B6280" w:rsidRPr="004F1D23">
        <w:rPr>
          <w:rFonts w:ascii="Times" w:hAnsi="Times" w:cs="Times New Roman"/>
        </w:rPr>
        <w:t xml:space="preserve">whether or not the carer is the recipient, </w:t>
      </w:r>
      <w:r w:rsidR="002D2649" w:rsidRPr="004F1D23">
        <w:rPr>
          <w:rFonts w:ascii="Times" w:hAnsi="Times" w:cs="Times New Roman"/>
        </w:rPr>
        <w:t xml:space="preserve">benefits awarded to </w:t>
      </w:r>
      <w:r w:rsidR="006B6280" w:rsidRPr="004F1D23">
        <w:rPr>
          <w:rFonts w:ascii="Times" w:hAnsi="Times" w:cs="Times New Roman"/>
        </w:rPr>
        <w:t>a</w:t>
      </w:r>
      <w:r w:rsidR="002D2649" w:rsidRPr="004F1D23">
        <w:rPr>
          <w:rFonts w:ascii="Times" w:hAnsi="Times" w:cs="Times New Roman"/>
        </w:rPr>
        <w:t xml:space="preserve"> family </w:t>
      </w:r>
      <w:r w:rsidR="006B6280" w:rsidRPr="004F1D23">
        <w:rPr>
          <w:rFonts w:ascii="Times" w:hAnsi="Times" w:cs="Times New Roman"/>
        </w:rPr>
        <w:t>support</w:t>
      </w:r>
      <w:r w:rsidR="002D2649" w:rsidRPr="004F1D23">
        <w:rPr>
          <w:rFonts w:ascii="Times" w:hAnsi="Times" w:cs="Times New Roman"/>
        </w:rPr>
        <w:t xml:space="preserve"> the </w:t>
      </w:r>
      <w:r w:rsidR="002D2649" w:rsidRPr="004F1D23">
        <w:rPr>
          <w:rFonts w:ascii="Times" w:hAnsi="Times" w:cs="Times New Roman"/>
          <w:i/>
        </w:rPr>
        <w:t>child</w:t>
      </w:r>
      <w:r w:rsidR="006B6280" w:rsidRPr="004F1D23">
        <w:rPr>
          <w:rFonts w:ascii="Times" w:hAnsi="Times" w:cs="Times New Roman"/>
          <w:i/>
        </w:rPr>
        <w:t>ren</w:t>
      </w:r>
      <w:r w:rsidR="002D2649" w:rsidRPr="004F1D23">
        <w:rPr>
          <w:rFonts w:ascii="Times" w:hAnsi="Times" w:cs="Times New Roman"/>
          <w:i/>
        </w:rPr>
        <w:t>’s</w:t>
      </w:r>
      <w:r w:rsidR="002D2649" w:rsidRPr="004F1D23">
        <w:rPr>
          <w:rFonts w:ascii="Times" w:hAnsi="Times" w:cs="Times New Roman"/>
        </w:rPr>
        <w:t xml:space="preserve"> enjoyment of </w:t>
      </w:r>
      <w:r w:rsidR="006B6280" w:rsidRPr="004F1D23">
        <w:rPr>
          <w:rFonts w:ascii="Times" w:hAnsi="Times" w:cs="Times New Roman"/>
        </w:rPr>
        <w:t>t</w:t>
      </w:r>
      <w:r w:rsidR="002D2649" w:rsidRPr="004F1D23">
        <w:rPr>
          <w:rFonts w:ascii="Times" w:hAnsi="Times" w:cs="Times New Roman"/>
        </w:rPr>
        <w:t>he</w:t>
      </w:r>
      <w:r w:rsidR="006B6280" w:rsidRPr="004F1D23">
        <w:rPr>
          <w:rFonts w:ascii="Times" w:hAnsi="Times" w:cs="Times New Roman"/>
        </w:rPr>
        <w:t>i</w:t>
      </w:r>
      <w:r w:rsidR="002D2649" w:rsidRPr="004F1D23">
        <w:rPr>
          <w:rFonts w:ascii="Times" w:hAnsi="Times" w:cs="Times New Roman"/>
        </w:rPr>
        <w:t>r right</w:t>
      </w:r>
      <w:r w:rsidR="006B6280" w:rsidRPr="004F1D23">
        <w:rPr>
          <w:rFonts w:ascii="Times" w:hAnsi="Times" w:cs="Times New Roman"/>
        </w:rPr>
        <w:t>s to reside</w:t>
      </w:r>
      <w:r w:rsidR="002D2649" w:rsidRPr="004F1D23">
        <w:rPr>
          <w:rFonts w:ascii="Times" w:hAnsi="Times" w:cs="Times New Roman"/>
        </w:rPr>
        <w:t>. To find otherwise would deprive children of any welfare entitlement since they are unlikely to be the technical recipient of benefit payments.</w:t>
      </w:r>
      <w:r w:rsidR="002D2649" w:rsidRPr="004F1D23">
        <w:rPr>
          <w:rStyle w:val="FootnoteReference"/>
          <w:rFonts w:ascii="Times" w:hAnsi="Times" w:cs="Times New Roman"/>
        </w:rPr>
        <w:footnoteReference w:id="129"/>
      </w:r>
      <w:r w:rsidR="002D2649" w:rsidRPr="004F1D23">
        <w:rPr>
          <w:rFonts w:ascii="Times" w:hAnsi="Times" w:cs="Times New Roman"/>
        </w:rPr>
        <w:t xml:space="preserve"> </w:t>
      </w:r>
      <w:r w:rsidR="006B6280" w:rsidRPr="004F1D23">
        <w:rPr>
          <w:rFonts w:ascii="Times" w:hAnsi="Times" w:cs="Times New Roman"/>
        </w:rPr>
        <w:t xml:space="preserve">That reasoning applies </w:t>
      </w:r>
      <w:r w:rsidR="006B6280" w:rsidRPr="004F1D23">
        <w:rPr>
          <w:rFonts w:ascii="Times" w:hAnsi="Times" w:cs="Times New Roman"/>
          <w:i/>
        </w:rPr>
        <w:t xml:space="preserve">a fortiori </w:t>
      </w:r>
      <w:r w:rsidR="006B6280" w:rsidRPr="004F1D23">
        <w:rPr>
          <w:rFonts w:ascii="Times" w:hAnsi="Times" w:cs="Times New Roman"/>
        </w:rPr>
        <w:t xml:space="preserve">in the case of </w:t>
      </w:r>
      <w:r w:rsidR="00B4385C" w:rsidRPr="004F1D23">
        <w:rPr>
          <w:rFonts w:ascii="Times" w:hAnsi="Times" w:cs="Times New Roman"/>
        </w:rPr>
        <w:t>Child Benefit and Child Tax Credit</w:t>
      </w:r>
      <w:r w:rsidR="006B6280" w:rsidRPr="004F1D23">
        <w:rPr>
          <w:rFonts w:ascii="Times" w:hAnsi="Times" w:cs="Times New Roman"/>
        </w:rPr>
        <w:t>, which</w:t>
      </w:r>
      <w:r w:rsidR="00B4385C" w:rsidRPr="004F1D23">
        <w:rPr>
          <w:rFonts w:ascii="Times" w:hAnsi="Times" w:cs="Times New Roman"/>
        </w:rPr>
        <w:t xml:space="preserve"> are specifically designed to address costs of protecting child welfare. </w:t>
      </w:r>
      <w:r w:rsidR="00CC4A8F" w:rsidRPr="004F1D23">
        <w:rPr>
          <w:rFonts w:ascii="Times" w:hAnsi="Times" w:cs="Times New Roman"/>
        </w:rPr>
        <w:t>The UN Committee on the Rights of the Child has recently investigated the impacts of general r</w:t>
      </w:r>
      <w:r w:rsidR="006B6280" w:rsidRPr="004F1D23">
        <w:rPr>
          <w:rFonts w:ascii="Times" w:hAnsi="Times" w:cs="Times New Roman"/>
        </w:rPr>
        <w:t xml:space="preserve">eductions to child tax credits </w:t>
      </w:r>
      <w:r w:rsidR="00CC4A8F" w:rsidRPr="004F1D23">
        <w:rPr>
          <w:rFonts w:ascii="Times" w:hAnsi="Times" w:cs="Times New Roman"/>
        </w:rPr>
        <w:t>upon chi</w:t>
      </w:r>
      <w:r w:rsidR="006B6280" w:rsidRPr="004F1D23">
        <w:rPr>
          <w:rFonts w:ascii="Times" w:hAnsi="Times" w:cs="Times New Roman"/>
        </w:rPr>
        <w:t>ldren in the UK, and stated that it was “seriously concerned”</w:t>
      </w:r>
      <w:r w:rsidR="00B4385C" w:rsidRPr="004F1D23">
        <w:rPr>
          <w:rFonts w:ascii="Times" w:hAnsi="Times" w:cs="Times New Roman"/>
        </w:rPr>
        <w:t xml:space="preserve"> about the</w:t>
      </w:r>
      <w:r w:rsidR="00CC4A8F" w:rsidRPr="004F1D23">
        <w:rPr>
          <w:rFonts w:ascii="Times" w:hAnsi="Times" w:cs="Times New Roman"/>
        </w:rPr>
        <w:t xml:space="preserve"> cuts that were imposed </w:t>
      </w:r>
      <w:r w:rsidR="006B6280" w:rsidRPr="004F1D23">
        <w:rPr>
          <w:rFonts w:ascii="Times" w:hAnsi="Times" w:cs="Times New Roman"/>
        </w:rPr>
        <w:t>“</w:t>
      </w:r>
      <w:r w:rsidR="00B4385C" w:rsidRPr="004F1D23">
        <w:rPr>
          <w:rFonts w:ascii="Times" w:hAnsi="Times" w:cs="Times New Roman"/>
        </w:rPr>
        <w:t>regardless</w:t>
      </w:r>
      <w:r w:rsidR="006B6280" w:rsidRPr="004F1D23">
        <w:rPr>
          <w:rFonts w:ascii="Times" w:hAnsi="Times" w:cs="Times New Roman"/>
        </w:rPr>
        <w:t xml:space="preserve"> of the needs of the households”</w:t>
      </w:r>
      <w:r w:rsidR="00B4385C" w:rsidRPr="004F1D23">
        <w:rPr>
          <w:rFonts w:ascii="Times" w:hAnsi="Times" w:cs="Times New Roman"/>
        </w:rPr>
        <w:t xml:space="preserve"> concerned</w:t>
      </w:r>
      <w:r w:rsidR="00CC4A8F" w:rsidRPr="004F1D23">
        <w:rPr>
          <w:rFonts w:ascii="Times" w:hAnsi="Times" w:cs="Times New Roman"/>
        </w:rPr>
        <w:t xml:space="preserve"> and jeopardising child welfare</w:t>
      </w:r>
      <w:r w:rsidR="00B4385C" w:rsidRPr="004F1D23">
        <w:rPr>
          <w:rFonts w:ascii="Times" w:hAnsi="Times" w:cs="Times New Roman"/>
        </w:rPr>
        <w:t>.</w:t>
      </w:r>
      <w:r w:rsidR="006B6280" w:rsidRPr="004F1D23">
        <w:rPr>
          <w:rStyle w:val="FootnoteReference"/>
          <w:rFonts w:ascii="Times" w:hAnsi="Times" w:cs="Times New Roman"/>
        </w:rPr>
        <w:footnoteReference w:id="130"/>
      </w:r>
      <w:r w:rsidR="00CC4A8F" w:rsidRPr="004F1D23">
        <w:rPr>
          <w:rFonts w:ascii="Times" w:hAnsi="Times" w:cs="Times New Roman"/>
        </w:rPr>
        <w:t xml:space="preserve"> The Court is here condoning </w:t>
      </w:r>
      <w:r w:rsidR="002B0C70" w:rsidRPr="004F1D23">
        <w:rPr>
          <w:rFonts w:ascii="Times" w:hAnsi="Times" w:cs="Times New Roman"/>
        </w:rPr>
        <w:t>not just a cut, but</w:t>
      </w:r>
      <w:r w:rsidR="00CC4A8F" w:rsidRPr="004F1D23">
        <w:rPr>
          <w:rFonts w:ascii="Times" w:hAnsi="Times" w:cs="Times New Roman"/>
        </w:rPr>
        <w:t xml:space="preserve"> wholesale exclusion from child tax credits, regardless of the needs of the households con</w:t>
      </w:r>
      <w:r w:rsidR="007D53EE" w:rsidRPr="004F1D23">
        <w:rPr>
          <w:rFonts w:ascii="Times" w:hAnsi="Times" w:cs="Times New Roman"/>
        </w:rPr>
        <w:t xml:space="preserve">cerned, </w:t>
      </w:r>
      <w:r w:rsidRPr="004F1D23">
        <w:rPr>
          <w:rFonts w:ascii="Times" w:hAnsi="Times" w:cs="Times New Roman"/>
        </w:rPr>
        <w:t>increasing</w:t>
      </w:r>
      <w:r w:rsidR="007D53EE" w:rsidRPr="004F1D23">
        <w:rPr>
          <w:rFonts w:ascii="Times" w:hAnsi="Times" w:cs="Times New Roman"/>
        </w:rPr>
        <w:t xml:space="preserve"> the risk of child poverty for EU national chi</w:t>
      </w:r>
      <w:r w:rsidRPr="004F1D23">
        <w:rPr>
          <w:rFonts w:ascii="Times" w:hAnsi="Times" w:cs="Times New Roman"/>
        </w:rPr>
        <w:t>ldren, and the risk that Member States will violate</w:t>
      </w:r>
      <w:r w:rsidR="007D53EE" w:rsidRPr="004F1D23">
        <w:rPr>
          <w:rFonts w:ascii="Times" w:hAnsi="Times" w:cs="Times New Roman"/>
        </w:rPr>
        <w:t xml:space="preserve"> the UN</w:t>
      </w:r>
      <w:r w:rsidR="003E2D4B" w:rsidRPr="004F1D23">
        <w:rPr>
          <w:rFonts w:ascii="Times" w:hAnsi="Times" w:cs="Times New Roman"/>
        </w:rPr>
        <w:t xml:space="preserve"> </w:t>
      </w:r>
      <w:r w:rsidR="007D53EE" w:rsidRPr="004F1D23">
        <w:rPr>
          <w:rFonts w:ascii="Times" w:hAnsi="Times" w:cs="Times New Roman"/>
        </w:rPr>
        <w:t>C</w:t>
      </w:r>
      <w:r w:rsidR="003E2D4B" w:rsidRPr="004F1D23">
        <w:rPr>
          <w:rFonts w:ascii="Times" w:hAnsi="Times" w:cs="Times New Roman"/>
        </w:rPr>
        <w:t xml:space="preserve">onvention on the </w:t>
      </w:r>
      <w:r w:rsidR="007D53EE" w:rsidRPr="004F1D23">
        <w:rPr>
          <w:rFonts w:ascii="Times" w:hAnsi="Times" w:cs="Times New Roman"/>
        </w:rPr>
        <w:t>R</w:t>
      </w:r>
      <w:r w:rsidR="003E2D4B" w:rsidRPr="004F1D23">
        <w:rPr>
          <w:rFonts w:ascii="Times" w:hAnsi="Times" w:cs="Times New Roman"/>
        </w:rPr>
        <w:t xml:space="preserve">ights of the </w:t>
      </w:r>
      <w:r w:rsidR="007D53EE" w:rsidRPr="004F1D23">
        <w:rPr>
          <w:rFonts w:ascii="Times" w:hAnsi="Times" w:cs="Times New Roman"/>
        </w:rPr>
        <w:t>C</w:t>
      </w:r>
      <w:r w:rsidR="003E2D4B" w:rsidRPr="004F1D23">
        <w:rPr>
          <w:rFonts w:ascii="Times" w:hAnsi="Times" w:cs="Times New Roman"/>
        </w:rPr>
        <w:t>hild</w:t>
      </w:r>
      <w:r w:rsidR="00CC4A8F" w:rsidRPr="004F1D23">
        <w:rPr>
          <w:rFonts w:ascii="Times" w:hAnsi="Times" w:cs="Times New Roman"/>
        </w:rPr>
        <w:t>.</w:t>
      </w:r>
      <w:bookmarkStart w:id="11" w:name="_Ref331691175"/>
      <w:r w:rsidR="003E2D4B" w:rsidRPr="004F1D23">
        <w:rPr>
          <w:rStyle w:val="FootnoteReference"/>
          <w:rFonts w:ascii="Times" w:hAnsi="Times" w:cs="Times New Roman"/>
        </w:rPr>
        <w:footnoteReference w:id="131"/>
      </w:r>
      <w:bookmarkEnd w:id="11"/>
      <w:r w:rsidR="007D53EE" w:rsidRPr="004F1D23">
        <w:rPr>
          <w:rFonts w:ascii="Times" w:hAnsi="Times" w:cs="Times New Roman"/>
        </w:rPr>
        <w:t xml:space="preserve"> While the EU is not a party to the UNCRC, the</w:t>
      </w:r>
      <w:r w:rsidR="002B0C70" w:rsidRPr="004F1D23">
        <w:rPr>
          <w:rFonts w:ascii="Times" w:hAnsi="Times" w:cs="Times New Roman"/>
        </w:rPr>
        <w:t xml:space="preserve"> Commission has announced that “</w:t>
      </w:r>
      <w:r w:rsidR="007D53EE" w:rsidRPr="004F1D23">
        <w:rPr>
          <w:rFonts w:ascii="Times" w:eastAsia="Times New Roman" w:hAnsi="Times" w:cs="Times New Roman"/>
        </w:rPr>
        <w:t>standards and principles of the UNCRC must continue to guide EU policies and actions that have an im</w:t>
      </w:r>
      <w:r w:rsidR="002B0C70" w:rsidRPr="004F1D23">
        <w:rPr>
          <w:rFonts w:ascii="Times" w:eastAsia="Times New Roman" w:hAnsi="Times" w:cs="Times New Roman"/>
        </w:rPr>
        <w:t>pact on the rights of the child”</w:t>
      </w:r>
      <w:r w:rsidR="007D53EE" w:rsidRPr="004F1D23">
        <w:rPr>
          <w:rFonts w:ascii="Times" w:eastAsia="Times New Roman" w:hAnsi="Times" w:cs="Times New Roman"/>
        </w:rPr>
        <w:t>,</w:t>
      </w:r>
      <w:r w:rsidR="00CB6E40" w:rsidRPr="004F1D23">
        <w:rPr>
          <w:rStyle w:val="FootnoteReference"/>
          <w:rFonts w:ascii="Times" w:eastAsia="Times New Roman" w:hAnsi="Times" w:cs="Times New Roman"/>
        </w:rPr>
        <w:footnoteReference w:id="132"/>
      </w:r>
      <w:r w:rsidR="007D53EE" w:rsidRPr="004F1D23">
        <w:rPr>
          <w:rFonts w:ascii="Times" w:eastAsia="Times New Roman" w:hAnsi="Times" w:cs="Times New Roman"/>
        </w:rPr>
        <w:t xml:space="preserve"> which arguably includes actions of the ECJ. </w:t>
      </w:r>
    </w:p>
    <w:p w14:paraId="53B4B350" w14:textId="77777777" w:rsidR="008C2CF3" w:rsidRPr="004F1D23" w:rsidRDefault="008C2CF3" w:rsidP="00914FAF">
      <w:pPr>
        <w:jc w:val="both"/>
        <w:rPr>
          <w:rFonts w:ascii="Times" w:eastAsia="Times New Roman" w:hAnsi="Times" w:cs="Times New Roman"/>
        </w:rPr>
      </w:pPr>
    </w:p>
    <w:p w14:paraId="732263CC" w14:textId="7B2AF76E" w:rsidR="00CB6E40" w:rsidRPr="004F1D23" w:rsidRDefault="008C2CF3" w:rsidP="00914FAF">
      <w:pPr>
        <w:jc w:val="both"/>
        <w:rPr>
          <w:rFonts w:ascii="Times" w:eastAsia="Times New Roman" w:hAnsi="Times" w:cs="Times New Roman"/>
        </w:rPr>
      </w:pPr>
      <w:r w:rsidRPr="004F1D23">
        <w:rPr>
          <w:rFonts w:ascii="Times" w:eastAsia="Times New Roman" w:hAnsi="Times" w:cs="Times New Roman"/>
        </w:rPr>
        <w:t>The</w:t>
      </w:r>
      <w:r w:rsidR="007D53EE" w:rsidRPr="004F1D23">
        <w:rPr>
          <w:rFonts w:ascii="Times" w:eastAsia="Times New Roman" w:hAnsi="Times" w:cs="Times New Roman"/>
        </w:rPr>
        <w:t xml:space="preserve"> T</w:t>
      </w:r>
      <w:r w:rsidR="002B0C70" w:rsidRPr="004F1D23">
        <w:rPr>
          <w:rFonts w:ascii="Times" w:eastAsia="Times New Roman" w:hAnsi="Times" w:cs="Times New Roman"/>
        </w:rPr>
        <w:t>reaty of Lisbon introduced the “</w:t>
      </w:r>
      <w:r w:rsidR="007D53EE" w:rsidRPr="004F1D23">
        <w:rPr>
          <w:rFonts w:ascii="Times" w:eastAsia="Times New Roman" w:hAnsi="Times" w:cs="Times New Roman"/>
        </w:rPr>
        <w:t>protec</w:t>
      </w:r>
      <w:r w:rsidR="002B0C70" w:rsidRPr="004F1D23">
        <w:rPr>
          <w:rFonts w:ascii="Times" w:eastAsia="Times New Roman" w:hAnsi="Times" w:cs="Times New Roman"/>
        </w:rPr>
        <w:t>tion of the rights of the child”</w:t>
      </w:r>
      <w:r w:rsidR="007D53EE" w:rsidRPr="004F1D23">
        <w:rPr>
          <w:rFonts w:ascii="Times" w:eastAsia="Times New Roman" w:hAnsi="Times" w:cs="Times New Roman"/>
        </w:rPr>
        <w:t xml:space="preserve"> as a Union objective in Article 3 TEU</w:t>
      </w:r>
      <w:r w:rsidR="00CB6E40" w:rsidRPr="004F1D23">
        <w:rPr>
          <w:rFonts w:ascii="Times" w:eastAsia="Times New Roman" w:hAnsi="Times" w:cs="Times New Roman"/>
        </w:rPr>
        <w:t>. The Charter of Fun</w:t>
      </w:r>
      <w:r w:rsidR="002B0C70" w:rsidRPr="004F1D23">
        <w:rPr>
          <w:rFonts w:ascii="Times" w:eastAsia="Times New Roman" w:hAnsi="Times" w:cs="Times New Roman"/>
        </w:rPr>
        <w:t xml:space="preserve">damental Rights of the European Union </w:t>
      </w:r>
      <w:r w:rsidR="00CB6E40" w:rsidRPr="004F1D23">
        <w:rPr>
          <w:rFonts w:ascii="Times" w:eastAsia="Times New Roman" w:hAnsi="Times" w:cs="Times New Roman"/>
        </w:rPr>
        <w:t xml:space="preserve">also states that </w:t>
      </w:r>
      <w:r w:rsidR="002B0C70" w:rsidRPr="004F1D23">
        <w:rPr>
          <w:rFonts w:ascii="Times" w:eastAsia="Times New Roman" w:hAnsi="Times" w:cs="Times New Roman"/>
        </w:rPr>
        <w:t>“</w:t>
      </w:r>
      <w:r w:rsidR="00CB6E40" w:rsidRPr="004F1D23">
        <w:rPr>
          <w:rFonts w:ascii="Times" w:eastAsia="Times New Roman" w:hAnsi="Times" w:cs="Times New Roman"/>
          <w:shd w:val="clear" w:color="auto" w:fill="FFFFFF"/>
        </w:rPr>
        <w:t>[c]hildren shall have the right to such protection and care as is</w:t>
      </w:r>
      <w:r w:rsidR="002B0C70" w:rsidRPr="004F1D23">
        <w:rPr>
          <w:rFonts w:ascii="Times" w:eastAsia="Times New Roman" w:hAnsi="Times" w:cs="Times New Roman"/>
          <w:shd w:val="clear" w:color="auto" w:fill="FFFFFF"/>
        </w:rPr>
        <w:t xml:space="preserve"> necessary for their well-being”</w:t>
      </w:r>
      <w:r w:rsidR="00CB6E40" w:rsidRPr="004F1D23">
        <w:rPr>
          <w:rFonts w:ascii="Times" w:eastAsia="Times New Roman" w:hAnsi="Times" w:cs="Times New Roman"/>
          <w:shd w:val="clear" w:color="auto" w:fill="FFFFFF"/>
        </w:rPr>
        <w:t>,</w:t>
      </w:r>
      <w:r w:rsidR="00CB6E40" w:rsidRPr="004F1D23">
        <w:rPr>
          <w:rStyle w:val="FootnoteReference"/>
          <w:rFonts w:ascii="Times" w:eastAsia="Times New Roman" w:hAnsi="Times" w:cs="Times New Roman"/>
          <w:shd w:val="clear" w:color="auto" w:fill="FFFFFF"/>
        </w:rPr>
        <w:footnoteReference w:id="133"/>
      </w:r>
      <w:r w:rsidR="002B0C70" w:rsidRPr="004F1D23">
        <w:rPr>
          <w:rFonts w:ascii="Times" w:eastAsia="Times New Roman" w:hAnsi="Times" w:cs="Times New Roman"/>
          <w:shd w:val="clear" w:color="auto" w:fill="FFFFFF"/>
        </w:rPr>
        <w:t xml:space="preserve"> and adds that “</w:t>
      </w:r>
      <w:r w:rsidR="00CB6E40" w:rsidRPr="004F1D23">
        <w:rPr>
          <w:rFonts w:ascii="Times" w:eastAsia="Times New Roman" w:hAnsi="Times" w:cs="Times New Roman"/>
          <w:shd w:val="clear" w:color="auto" w:fill="FFFFFF"/>
        </w:rPr>
        <w:t>[i]n all actions relating to children, whether taken by public authorities or private institutions, the child's best interests must be a primary consideration.</w:t>
      </w:r>
      <w:r w:rsidR="002B0C70" w:rsidRPr="004F1D23">
        <w:rPr>
          <w:rFonts w:ascii="Times" w:eastAsia="Times New Roman" w:hAnsi="Times" w:cs="Times New Roman"/>
          <w:shd w:val="clear" w:color="auto" w:fill="FFFFFF"/>
        </w:rPr>
        <w:t>”</w:t>
      </w:r>
      <w:r w:rsidR="00CB6E40" w:rsidRPr="004F1D23">
        <w:rPr>
          <w:rStyle w:val="FootnoteReference"/>
          <w:rFonts w:ascii="Times" w:eastAsia="Times New Roman" w:hAnsi="Times" w:cs="Times New Roman"/>
          <w:shd w:val="clear" w:color="auto" w:fill="FFFFFF"/>
        </w:rPr>
        <w:footnoteReference w:id="134"/>
      </w:r>
      <w:r w:rsidR="00CB6E40" w:rsidRPr="004F1D23">
        <w:rPr>
          <w:rFonts w:ascii="Times" w:eastAsia="Times New Roman" w:hAnsi="Times" w:cs="Times New Roman"/>
          <w:shd w:val="clear" w:color="auto" w:fill="FFFFFF"/>
        </w:rPr>
        <w:t xml:space="preserve"> </w:t>
      </w:r>
      <w:r w:rsidR="00645F08" w:rsidRPr="004F1D23">
        <w:rPr>
          <w:rFonts w:ascii="Times" w:eastAsia="Times New Roman" w:hAnsi="Times" w:cs="Times New Roman"/>
        </w:rPr>
        <w:t>A European Parliament report argue</w:t>
      </w:r>
      <w:r w:rsidR="002B0C70" w:rsidRPr="004F1D23">
        <w:rPr>
          <w:rFonts w:ascii="Times" w:eastAsia="Times New Roman" w:hAnsi="Times" w:cs="Times New Roman"/>
        </w:rPr>
        <w:t>s that the rights of the child “</w:t>
      </w:r>
      <w:r w:rsidR="00645F08" w:rsidRPr="004F1D23">
        <w:rPr>
          <w:rFonts w:ascii="Times" w:eastAsia="Times New Roman" w:hAnsi="Times" w:cs="Times New Roman"/>
        </w:rPr>
        <w:t>now constitute an integral part of fundamental rights which the EU and Member States are bound to respect by virtue of European and international law.</w:t>
      </w:r>
      <w:r w:rsidR="002B0C70" w:rsidRPr="004F1D23">
        <w:rPr>
          <w:rFonts w:ascii="Times" w:eastAsia="Times New Roman" w:hAnsi="Times" w:cs="Times New Roman"/>
        </w:rPr>
        <w:t>”</w:t>
      </w:r>
      <w:r w:rsidR="00645F08" w:rsidRPr="004F1D23">
        <w:rPr>
          <w:rStyle w:val="FootnoteReference"/>
          <w:rFonts w:ascii="Times" w:eastAsia="Times New Roman" w:hAnsi="Times" w:cs="Times New Roman"/>
        </w:rPr>
        <w:footnoteReference w:id="135"/>
      </w:r>
      <w:r w:rsidRPr="004F1D23">
        <w:rPr>
          <w:rFonts w:ascii="Times" w:eastAsia="Times New Roman" w:hAnsi="Times" w:cs="Times New Roman"/>
        </w:rPr>
        <w:t xml:space="preserve"> </w:t>
      </w:r>
      <w:r w:rsidR="00CB6E40" w:rsidRPr="004F1D23">
        <w:rPr>
          <w:rFonts w:ascii="Times" w:eastAsia="Times New Roman" w:hAnsi="Times" w:cs="Times New Roman"/>
          <w:shd w:val="clear" w:color="auto" w:fill="FFFFFF"/>
        </w:rPr>
        <w:t xml:space="preserve">It is difficult to see why the ECJ, when dealing with matters fully within the scope of EU law, </w:t>
      </w:r>
      <w:r w:rsidR="00645F08" w:rsidRPr="004F1D23">
        <w:rPr>
          <w:rFonts w:ascii="Times" w:eastAsia="Times New Roman" w:hAnsi="Times" w:cs="Times New Roman"/>
          <w:shd w:val="clear" w:color="auto" w:fill="FFFFFF"/>
        </w:rPr>
        <w:t xml:space="preserve">and impacting directly upon, and potentially unlawfully damaging, child welfare, </w:t>
      </w:r>
      <w:r w:rsidR="00CB6E40" w:rsidRPr="004F1D23">
        <w:rPr>
          <w:rFonts w:ascii="Times" w:eastAsia="Times New Roman" w:hAnsi="Times" w:cs="Times New Roman"/>
          <w:shd w:val="clear" w:color="auto" w:fill="FFFFFF"/>
        </w:rPr>
        <w:t xml:space="preserve">should be excused the obligation of even </w:t>
      </w:r>
      <w:r w:rsidR="00CB6E40" w:rsidRPr="004F1D23">
        <w:rPr>
          <w:rFonts w:ascii="Times" w:eastAsia="Times New Roman" w:hAnsi="Times" w:cs="Times New Roman"/>
          <w:i/>
          <w:shd w:val="clear" w:color="auto" w:fill="FFFFFF"/>
        </w:rPr>
        <w:t>mentioning</w:t>
      </w:r>
      <w:r w:rsidR="00CB6E40" w:rsidRPr="004F1D23">
        <w:rPr>
          <w:rFonts w:ascii="Times" w:eastAsia="Times New Roman" w:hAnsi="Times" w:cs="Times New Roman"/>
          <w:shd w:val="clear" w:color="auto" w:fill="FFFFFF"/>
        </w:rPr>
        <w:t xml:space="preserve"> </w:t>
      </w:r>
      <w:r w:rsidR="0073357E" w:rsidRPr="004F1D23">
        <w:rPr>
          <w:rFonts w:ascii="Times" w:eastAsia="Times New Roman" w:hAnsi="Times" w:cs="Times New Roman"/>
          <w:shd w:val="clear" w:color="auto" w:fill="FFFFFF"/>
        </w:rPr>
        <w:t xml:space="preserve">the </w:t>
      </w:r>
      <w:r w:rsidR="00CB6E40" w:rsidRPr="004F1D23">
        <w:rPr>
          <w:rFonts w:ascii="Times" w:eastAsia="Times New Roman" w:hAnsi="Times" w:cs="Times New Roman"/>
          <w:shd w:val="clear" w:color="auto" w:fill="FFFFFF"/>
        </w:rPr>
        <w:t xml:space="preserve">children’s best interests, never mind making them a primary consideration.  </w:t>
      </w:r>
    </w:p>
    <w:p w14:paraId="7AC582C3" w14:textId="1710B818" w:rsidR="00CB6E40" w:rsidRPr="004F1D23" w:rsidRDefault="00CB6E40" w:rsidP="00914FAF">
      <w:pPr>
        <w:jc w:val="both"/>
        <w:rPr>
          <w:rFonts w:ascii="Times" w:eastAsia="Times New Roman" w:hAnsi="Times" w:cs="Times New Roman"/>
          <w:shd w:val="clear" w:color="auto" w:fill="FFFFFF"/>
        </w:rPr>
      </w:pPr>
      <w:r w:rsidRPr="004F1D23">
        <w:rPr>
          <w:rFonts w:ascii="Times" w:eastAsia="Times New Roman" w:hAnsi="Times" w:cs="Times New Roman"/>
          <w:shd w:val="clear" w:color="auto" w:fill="FFFFFF"/>
        </w:rPr>
        <w:t> </w:t>
      </w:r>
    </w:p>
    <w:p w14:paraId="4AB6FA46" w14:textId="1BD20DD0" w:rsidR="00645F08" w:rsidRPr="004F1D23" w:rsidRDefault="00645F08" w:rsidP="00914FAF">
      <w:pPr>
        <w:jc w:val="both"/>
        <w:rPr>
          <w:rFonts w:ascii="Times" w:eastAsia="Times New Roman" w:hAnsi="Times" w:cs="Times New Roman"/>
          <w:b/>
          <w:shd w:val="clear" w:color="auto" w:fill="FFFFFF"/>
        </w:rPr>
      </w:pPr>
      <w:r w:rsidRPr="004F1D23">
        <w:rPr>
          <w:rFonts w:ascii="Times" w:eastAsia="Times New Roman" w:hAnsi="Times" w:cs="Times New Roman"/>
          <w:b/>
          <w:shd w:val="clear" w:color="auto" w:fill="FFFFFF"/>
        </w:rPr>
        <w:t>6 Conclusion</w:t>
      </w:r>
    </w:p>
    <w:p w14:paraId="6468A693" w14:textId="77777777" w:rsidR="00645F08" w:rsidRPr="004F1D23" w:rsidRDefault="00645F08" w:rsidP="00914FAF">
      <w:pPr>
        <w:jc w:val="both"/>
        <w:rPr>
          <w:rFonts w:ascii="Times" w:eastAsia="Times New Roman" w:hAnsi="Times" w:cs="Times New Roman"/>
          <w:shd w:val="clear" w:color="auto" w:fill="FFFFFF"/>
        </w:rPr>
      </w:pPr>
    </w:p>
    <w:p w14:paraId="1DCB3038" w14:textId="2688EA6C" w:rsidR="00645F08" w:rsidRPr="004F1D23" w:rsidRDefault="00DE51F7" w:rsidP="00914FAF">
      <w:pPr>
        <w:jc w:val="both"/>
        <w:rPr>
          <w:rFonts w:ascii="Times" w:eastAsia="Times New Roman" w:hAnsi="Times" w:cs="Times New Roman"/>
        </w:rPr>
      </w:pPr>
      <w:r w:rsidRPr="004F1D23">
        <w:rPr>
          <w:rFonts w:ascii="Times" w:eastAsia="Times New Roman" w:hAnsi="Times" w:cs="Times New Roman"/>
        </w:rPr>
        <w:t xml:space="preserve">The ruling </w:t>
      </w:r>
      <w:r w:rsidR="0071393F" w:rsidRPr="004F1D23">
        <w:rPr>
          <w:rFonts w:ascii="Times" w:eastAsia="Times New Roman" w:hAnsi="Times" w:cs="Times New Roman"/>
        </w:rPr>
        <w:t xml:space="preserve">is </w:t>
      </w:r>
      <w:r w:rsidRPr="004F1D23">
        <w:rPr>
          <w:rFonts w:ascii="Times" w:eastAsia="Times New Roman" w:hAnsi="Times" w:cs="Times New Roman"/>
        </w:rPr>
        <w:t xml:space="preserve">not much of a surprise, since it continues a now well-established project of EU citizenship-deconstruction. But the existing legal framework does not fit the finding – and where it could not be bent, it has been ignored. </w:t>
      </w:r>
      <w:r w:rsidR="00257363" w:rsidRPr="004F1D23">
        <w:rPr>
          <w:rFonts w:ascii="Times" w:eastAsia="Times New Roman" w:hAnsi="Times" w:cs="Times New Roman"/>
        </w:rPr>
        <w:t>The liberties taken with legislation, silence on key questions, disregard of contested provisions, and reversal of the burden of proof</w:t>
      </w:r>
      <w:r w:rsidR="001546A8" w:rsidRPr="004F1D23">
        <w:rPr>
          <w:rFonts w:ascii="Times" w:eastAsia="Times New Roman" w:hAnsi="Times" w:cs="Times New Roman"/>
        </w:rPr>
        <w:t>,</w:t>
      </w:r>
      <w:r w:rsidR="00257363" w:rsidRPr="004F1D23">
        <w:rPr>
          <w:rFonts w:ascii="Times" w:eastAsia="Times New Roman" w:hAnsi="Times" w:cs="Times New Roman"/>
        </w:rPr>
        <w:t xml:space="preserve"> all paint a picture of a new teleological principle </w:t>
      </w:r>
      <w:r w:rsidR="0073357E" w:rsidRPr="004F1D23">
        <w:rPr>
          <w:rFonts w:ascii="Times" w:eastAsia="Times New Roman" w:hAnsi="Times" w:cs="Times New Roman"/>
        </w:rPr>
        <w:t>–</w:t>
      </w:r>
      <w:r w:rsidR="00257363" w:rsidRPr="004F1D23">
        <w:rPr>
          <w:rFonts w:ascii="Times" w:eastAsia="Times New Roman" w:hAnsi="Times" w:cs="Times New Roman"/>
        </w:rPr>
        <w:t xml:space="preserve"> </w:t>
      </w:r>
      <w:r w:rsidR="0073357E" w:rsidRPr="004F1D23">
        <w:rPr>
          <w:rFonts w:ascii="Times" w:eastAsia="Times New Roman" w:hAnsi="Times" w:cs="Times New Roman"/>
        </w:rPr>
        <w:t>the need</w:t>
      </w:r>
      <w:r w:rsidR="00257363" w:rsidRPr="004F1D23">
        <w:rPr>
          <w:rFonts w:ascii="Times" w:eastAsia="Times New Roman" w:hAnsi="Times" w:cs="Times New Roman"/>
        </w:rPr>
        <w:t xml:space="preserve"> to accommodate the UK’s desires to discriminate, in order to avoid offending </w:t>
      </w:r>
      <w:r w:rsidR="0073357E" w:rsidRPr="004F1D23">
        <w:rPr>
          <w:rFonts w:ascii="Times" w:eastAsia="Times New Roman" w:hAnsi="Times" w:cs="Times New Roman"/>
        </w:rPr>
        <w:t xml:space="preserve">national </w:t>
      </w:r>
      <w:r w:rsidR="00257363" w:rsidRPr="004F1D23">
        <w:rPr>
          <w:rFonts w:ascii="Times" w:eastAsia="Times New Roman" w:hAnsi="Times" w:cs="Times New Roman"/>
        </w:rPr>
        <w:t>welfare sensitivities, and placate the population sufficiently to tempt it to vote to stay in the Union. The sacrifice was in vain</w:t>
      </w:r>
      <w:r w:rsidR="0073357E" w:rsidRPr="004F1D23">
        <w:rPr>
          <w:rFonts w:ascii="Times" w:eastAsia="Times New Roman" w:hAnsi="Times" w:cs="Times New Roman"/>
        </w:rPr>
        <w:t>. T</w:t>
      </w:r>
      <w:r w:rsidR="00D50533" w:rsidRPr="004F1D23">
        <w:rPr>
          <w:rFonts w:ascii="Times" w:eastAsia="Times New Roman" w:hAnsi="Times" w:cs="Times New Roman"/>
        </w:rPr>
        <w:t>hose campaigning to leave were unlikely to be impressed, and responded with ire that the ECJ h</w:t>
      </w:r>
      <w:r w:rsidR="00CF62F8" w:rsidRPr="004F1D23">
        <w:rPr>
          <w:rFonts w:ascii="Times" w:eastAsia="Times New Roman" w:hAnsi="Times" w:cs="Times New Roman"/>
        </w:rPr>
        <w:t>ad the jurisdiction to rule on “our social security”</w:t>
      </w:r>
      <w:r w:rsidR="00D50533" w:rsidRPr="004F1D23">
        <w:rPr>
          <w:rFonts w:ascii="Times" w:eastAsia="Times New Roman" w:hAnsi="Times" w:cs="Times New Roman"/>
        </w:rPr>
        <w:t xml:space="preserve"> system at all,</w:t>
      </w:r>
      <w:r w:rsidR="001546A8" w:rsidRPr="004F1D23">
        <w:rPr>
          <w:rStyle w:val="FootnoteReference"/>
          <w:rFonts w:ascii="Times" w:eastAsia="Times New Roman" w:hAnsi="Times" w:cs="Times New Roman"/>
          <w:bCs/>
        </w:rPr>
        <w:t xml:space="preserve"> </w:t>
      </w:r>
      <w:r w:rsidR="001546A8" w:rsidRPr="004F1D23">
        <w:rPr>
          <w:rStyle w:val="FootnoteReference"/>
          <w:rFonts w:ascii="Times" w:eastAsia="Times New Roman" w:hAnsi="Times" w:cs="Times New Roman"/>
          <w:bCs/>
        </w:rPr>
        <w:footnoteReference w:id="136"/>
      </w:r>
      <w:r w:rsidR="001546A8" w:rsidRPr="004F1D23">
        <w:rPr>
          <w:rFonts w:ascii="Times" w:eastAsia="Times New Roman" w:hAnsi="Times" w:cs="Times New Roman"/>
          <w:bCs/>
        </w:rPr>
        <w:t xml:space="preserve"> </w:t>
      </w:r>
      <w:r w:rsidR="00D50533" w:rsidRPr="004F1D23">
        <w:rPr>
          <w:rFonts w:ascii="Times" w:eastAsia="Times New Roman" w:hAnsi="Times" w:cs="Times New Roman"/>
        </w:rPr>
        <w:t xml:space="preserve">and </w:t>
      </w:r>
      <w:r w:rsidR="00257363" w:rsidRPr="004F1D23">
        <w:rPr>
          <w:rFonts w:ascii="Times" w:eastAsia="Times New Roman" w:hAnsi="Times" w:cs="Times New Roman"/>
        </w:rPr>
        <w:t>the UK voted to leave the European U</w:t>
      </w:r>
      <w:r w:rsidR="00D50533" w:rsidRPr="004F1D23">
        <w:rPr>
          <w:rFonts w:ascii="Times" w:eastAsia="Times New Roman" w:hAnsi="Times" w:cs="Times New Roman"/>
        </w:rPr>
        <w:t>nion anyway. So we have</w:t>
      </w:r>
      <w:r w:rsidR="00257363" w:rsidRPr="004F1D23">
        <w:rPr>
          <w:rFonts w:ascii="Times" w:eastAsia="Times New Roman" w:hAnsi="Times" w:cs="Times New Roman"/>
        </w:rPr>
        <w:t xml:space="preserve"> blazed </w:t>
      </w:r>
      <w:r w:rsidR="0071393F" w:rsidRPr="004F1D23">
        <w:rPr>
          <w:rFonts w:ascii="Times" w:eastAsia="Times New Roman" w:hAnsi="Times" w:cs="Times New Roman"/>
        </w:rPr>
        <w:t xml:space="preserve">a </w:t>
      </w:r>
      <w:r w:rsidR="00257363" w:rsidRPr="004F1D23">
        <w:rPr>
          <w:rFonts w:ascii="Times" w:eastAsia="Times New Roman" w:hAnsi="Times" w:cs="Times New Roman"/>
        </w:rPr>
        <w:t>trail of destruction in our wake</w:t>
      </w:r>
      <w:r w:rsidR="00D50533" w:rsidRPr="004F1D23">
        <w:rPr>
          <w:rFonts w:ascii="Times" w:eastAsia="Times New Roman" w:hAnsi="Times" w:cs="Times New Roman"/>
        </w:rPr>
        <w:t xml:space="preserve"> – leaving the other countries to survey the wreckage of what was once EU citizenship. </w:t>
      </w:r>
    </w:p>
    <w:p w14:paraId="4B12CB22" w14:textId="77777777" w:rsidR="00645F08" w:rsidRPr="004F1D23" w:rsidRDefault="00645F08" w:rsidP="00914FAF">
      <w:pPr>
        <w:jc w:val="both"/>
        <w:rPr>
          <w:rFonts w:ascii="Times" w:eastAsia="Times New Roman" w:hAnsi="Times" w:cs="Times New Roman"/>
        </w:rPr>
      </w:pPr>
    </w:p>
    <w:p w14:paraId="668E783E" w14:textId="2C7EAD37" w:rsidR="00871413" w:rsidRPr="004F1D23" w:rsidRDefault="00F331AE" w:rsidP="00914FAF">
      <w:pPr>
        <w:jc w:val="both"/>
        <w:rPr>
          <w:rFonts w:ascii="Times" w:eastAsia="Times New Roman" w:hAnsi="Times" w:cs="Times New Roman"/>
        </w:rPr>
      </w:pPr>
      <w:r w:rsidRPr="004F1D23">
        <w:rPr>
          <w:rFonts w:ascii="Times" w:eastAsia="Times New Roman" w:hAnsi="Times" w:cs="Times New Roman"/>
        </w:rPr>
        <w:t xml:space="preserve">Paragraph 44 in </w:t>
      </w:r>
      <w:r w:rsidRPr="004F1D23">
        <w:rPr>
          <w:rFonts w:ascii="Times" w:eastAsia="Times New Roman" w:hAnsi="Times" w:cs="Times New Roman"/>
          <w:i/>
        </w:rPr>
        <w:t xml:space="preserve">Brey </w:t>
      </w:r>
      <w:r w:rsidRPr="004F1D23">
        <w:rPr>
          <w:rFonts w:ascii="Times" w:eastAsia="Times New Roman" w:hAnsi="Times" w:cs="Times New Roman"/>
        </w:rPr>
        <w:t xml:space="preserve">has been made to do a lot of legwork. The Court has seized upon one sentence, or more specifically, has seized upon an omission in that sentence, </w:t>
      </w:r>
      <w:r w:rsidR="00A163C5" w:rsidRPr="004F1D23">
        <w:rPr>
          <w:rFonts w:ascii="Times" w:eastAsia="Times New Roman" w:hAnsi="Times" w:cs="Times New Roman"/>
        </w:rPr>
        <w:t xml:space="preserve">pitted it against the authorities on which it is based, </w:t>
      </w:r>
      <w:r w:rsidR="00952E05" w:rsidRPr="004F1D23">
        <w:rPr>
          <w:rFonts w:ascii="Times" w:eastAsia="Times New Roman" w:hAnsi="Times" w:cs="Times New Roman"/>
        </w:rPr>
        <w:t>departed</w:t>
      </w:r>
      <w:r w:rsidR="00A163C5" w:rsidRPr="004F1D23">
        <w:rPr>
          <w:rFonts w:ascii="Times" w:eastAsia="Times New Roman" w:hAnsi="Times" w:cs="Times New Roman"/>
        </w:rPr>
        <w:t xml:space="preserve"> from the judgment itself, and clung to it to override any conflicting legal principle in primary or secondary law. The Court avoids exposing too starkly the weakness of this approach by avoiding discussing the conflicting legal provisions, or explaining how they are being weighed up and displaced. Regulation 883/2004 gets a battering; its material and personal scope </w:t>
      </w:r>
      <w:r w:rsidR="00952E05" w:rsidRPr="004F1D23">
        <w:rPr>
          <w:rFonts w:ascii="Times" w:eastAsia="Times New Roman" w:hAnsi="Times" w:cs="Times New Roman"/>
        </w:rPr>
        <w:t>are</w:t>
      </w:r>
      <w:r w:rsidR="00A163C5" w:rsidRPr="004F1D23">
        <w:rPr>
          <w:rFonts w:ascii="Times" w:eastAsia="Times New Roman" w:hAnsi="Times" w:cs="Times New Roman"/>
        </w:rPr>
        <w:t xml:space="preserve"> effectively curbed, with e</w:t>
      </w:r>
      <w:r w:rsidR="00567262" w:rsidRPr="004F1D23">
        <w:rPr>
          <w:rFonts w:ascii="Times" w:eastAsia="Times New Roman" w:hAnsi="Times" w:cs="Times New Roman"/>
        </w:rPr>
        <w:t xml:space="preserve">xtra conditions stitched </w:t>
      </w:r>
      <w:r w:rsidR="00952E05" w:rsidRPr="004F1D23">
        <w:rPr>
          <w:rFonts w:ascii="Times" w:eastAsia="Times New Roman" w:hAnsi="Times" w:cs="Times New Roman"/>
        </w:rPr>
        <w:t>in,</w:t>
      </w:r>
      <w:r w:rsidR="00A163C5" w:rsidRPr="004F1D23">
        <w:rPr>
          <w:rFonts w:ascii="Times" w:eastAsia="Times New Roman" w:hAnsi="Times" w:cs="Times New Roman"/>
        </w:rPr>
        <w:t xml:space="preserve"> lifted from Directive 2004/38. Not only has that Directive been recently transformed from an instrument</w:t>
      </w:r>
      <w:r w:rsidR="0071393F" w:rsidRPr="004F1D23">
        <w:rPr>
          <w:rFonts w:ascii="Times" w:eastAsia="Times New Roman" w:hAnsi="Times" w:cs="Times New Roman"/>
        </w:rPr>
        <w:t xml:space="preserve"> </w:t>
      </w:r>
      <w:r w:rsidR="00A163C5" w:rsidRPr="004F1D23">
        <w:rPr>
          <w:rFonts w:ascii="Times" w:eastAsia="Times New Roman" w:hAnsi="Times" w:cs="Times New Roman"/>
        </w:rPr>
        <w:t>facilitat</w:t>
      </w:r>
      <w:r w:rsidR="0071393F" w:rsidRPr="004F1D23">
        <w:rPr>
          <w:rFonts w:ascii="Times" w:eastAsia="Times New Roman" w:hAnsi="Times" w:cs="Times New Roman"/>
        </w:rPr>
        <w:t>ing</w:t>
      </w:r>
      <w:r w:rsidR="00952E05" w:rsidRPr="004F1D23">
        <w:rPr>
          <w:rFonts w:ascii="Times" w:eastAsia="Times New Roman" w:hAnsi="Times" w:cs="Times New Roman"/>
        </w:rPr>
        <w:t xml:space="preserve"> free movement</w:t>
      </w:r>
      <w:r w:rsidR="00A163C5" w:rsidRPr="004F1D23">
        <w:rPr>
          <w:rFonts w:ascii="Times" w:eastAsia="Times New Roman" w:hAnsi="Times" w:cs="Times New Roman"/>
        </w:rPr>
        <w:t xml:space="preserve"> to an instrument prevent</w:t>
      </w:r>
      <w:r w:rsidR="0071393F" w:rsidRPr="004F1D23">
        <w:rPr>
          <w:rFonts w:ascii="Times" w:eastAsia="Times New Roman" w:hAnsi="Times" w:cs="Times New Roman"/>
        </w:rPr>
        <w:t>ing</w:t>
      </w:r>
      <w:r w:rsidR="00A163C5" w:rsidRPr="004F1D23">
        <w:rPr>
          <w:rFonts w:ascii="Times" w:eastAsia="Times New Roman" w:hAnsi="Times" w:cs="Times New Roman"/>
        </w:rPr>
        <w:t xml:space="preserve"> benefit tourism</w:t>
      </w:r>
      <w:r w:rsidR="00952E05" w:rsidRPr="004F1D23">
        <w:rPr>
          <w:rFonts w:ascii="Times" w:eastAsia="Times New Roman" w:hAnsi="Times" w:cs="Times New Roman"/>
        </w:rPr>
        <w:t>,</w:t>
      </w:r>
      <w:r w:rsidR="00952E05" w:rsidRPr="004F1D23">
        <w:rPr>
          <w:rStyle w:val="FootnoteReference"/>
          <w:rFonts w:ascii="Times" w:eastAsia="Times New Roman" w:hAnsi="Times" w:cs="Times New Roman"/>
        </w:rPr>
        <w:footnoteReference w:id="137"/>
      </w:r>
      <w:r w:rsidR="00A163C5" w:rsidRPr="004F1D23">
        <w:rPr>
          <w:rFonts w:ascii="Times" w:eastAsia="Times New Roman" w:hAnsi="Times" w:cs="Times New Roman"/>
        </w:rPr>
        <w:t xml:space="preserve"> it has now been transformed into a higher constitutional principle of exclusion, transplanted into other secondary laws, even where those laws have at least equal status and explicitly different scopes and objectives.  Art</w:t>
      </w:r>
      <w:r w:rsidR="001546A8" w:rsidRPr="004F1D23">
        <w:rPr>
          <w:rFonts w:ascii="Times" w:eastAsia="Times New Roman" w:hAnsi="Times" w:cs="Times New Roman"/>
        </w:rPr>
        <w:t>icle 11(3)(e)</w:t>
      </w:r>
      <w:r w:rsidR="00952E05" w:rsidRPr="004F1D23">
        <w:rPr>
          <w:rFonts w:ascii="Times" w:eastAsia="Times New Roman" w:hAnsi="Times" w:cs="Times New Roman"/>
        </w:rPr>
        <w:t xml:space="preserve"> of Regulation 883/2004</w:t>
      </w:r>
      <w:r w:rsidR="001546A8" w:rsidRPr="004F1D23">
        <w:rPr>
          <w:rFonts w:ascii="Times" w:eastAsia="Times New Roman" w:hAnsi="Times" w:cs="Times New Roman"/>
        </w:rPr>
        <w:t xml:space="preserve"> is made redundant</w:t>
      </w:r>
      <w:r w:rsidR="00A163C5" w:rsidRPr="004F1D23">
        <w:rPr>
          <w:rFonts w:ascii="Times" w:eastAsia="Times New Roman" w:hAnsi="Times" w:cs="Times New Roman"/>
        </w:rPr>
        <w:t xml:space="preserve"> as </w:t>
      </w:r>
      <w:r w:rsidR="00952E05" w:rsidRPr="004F1D23">
        <w:rPr>
          <w:rFonts w:ascii="Times" w:eastAsia="Times New Roman" w:hAnsi="Times" w:cs="Times New Roman"/>
        </w:rPr>
        <w:t>“</w:t>
      </w:r>
      <w:r w:rsidR="00A163C5" w:rsidRPr="004F1D23">
        <w:rPr>
          <w:rFonts w:ascii="Times" w:eastAsia="Times New Roman" w:hAnsi="Times" w:cs="Times New Roman"/>
        </w:rPr>
        <w:t>competence</w:t>
      </w:r>
      <w:r w:rsidR="00952E05" w:rsidRPr="004F1D23">
        <w:rPr>
          <w:rFonts w:ascii="Times" w:eastAsia="Times New Roman" w:hAnsi="Times" w:cs="Times New Roman"/>
        </w:rPr>
        <w:t>”</w:t>
      </w:r>
      <w:r w:rsidR="00A163C5" w:rsidRPr="004F1D23">
        <w:rPr>
          <w:rFonts w:ascii="Times" w:eastAsia="Times New Roman" w:hAnsi="Times" w:cs="Times New Roman"/>
        </w:rPr>
        <w:t xml:space="preserve"> is redefined as </w:t>
      </w:r>
      <w:r w:rsidR="00871413" w:rsidRPr="004F1D23">
        <w:rPr>
          <w:rFonts w:ascii="Times" w:eastAsia="Times New Roman" w:hAnsi="Times" w:cs="Times New Roman"/>
        </w:rPr>
        <w:t>a prerogative to discriminate. The description of the right to reside as like any other substantive condition for eligibility for a benefit is misleading; it is not like any other condition that a UK national must meet. It conflicts</w:t>
      </w:r>
      <w:r w:rsidR="001546A8" w:rsidRPr="004F1D23">
        <w:rPr>
          <w:rFonts w:ascii="Times" w:eastAsia="Times New Roman" w:hAnsi="Times" w:cs="Times New Roman"/>
        </w:rPr>
        <w:t xml:space="preserve"> directly with Article 4 of R</w:t>
      </w:r>
      <w:r w:rsidR="00871413" w:rsidRPr="004F1D23">
        <w:rPr>
          <w:rFonts w:ascii="Times" w:eastAsia="Times New Roman" w:hAnsi="Times" w:cs="Times New Roman"/>
        </w:rPr>
        <w:t>egulation 883/2004. But this provision get</w:t>
      </w:r>
      <w:r w:rsidR="001546A8" w:rsidRPr="004F1D23">
        <w:rPr>
          <w:rFonts w:ascii="Times" w:eastAsia="Times New Roman" w:hAnsi="Times" w:cs="Times New Roman"/>
        </w:rPr>
        <w:t>s no attention in the judgment</w:t>
      </w:r>
      <w:r w:rsidR="00871413" w:rsidRPr="004F1D23">
        <w:rPr>
          <w:rFonts w:ascii="Times" w:eastAsia="Times New Roman" w:hAnsi="Times" w:cs="Times New Roman"/>
        </w:rPr>
        <w:t xml:space="preserve"> between noting that the Commission raise it, and than stating that it is not infringed. But we n</w:t>
      </w:r>
      <w:r w:rsidR="001546A8" w:rsidRPr="004F1D23">
        <w:rPr>
          <w:rFonts w:ascii="Times" w:eastAsia="Times New Roman" w:hAnsi="Times" w:cs="Times New Roman"/>
        </w:rPr>
        <w:t xml:space="preserve">eed to know what it means, </w:t>
      </w:r>
      <w:r w:rsidR="00871413" w:rsidRPr="004F1D23">
        <w:rPr>
          <w:rFonts w:ascii="Times" w:eastAsia="Times New Roman" w:hAnsi="Times" w:cs="Times New Roman"/>
        </w:rPr>
        <w:t xml:space="preserve">if it does not mean what it says. </w:t>
      </w:r>
    </w:p>
    <w:p w14:paraId="356D7543" w14:textId="77777777" w:rsidR="00871413" w:rsidRPr="004F1D23" w:rsidRDefault="00871413" w:rsidP="00914FAF">
      <w:pPr>
        <w:jc w:val="both"/>
        <w:rPr>
          <w:rFonts w:ascii="Times" w:eastAsia="Times New Roman" w:hAnsi="Times" w:cs="Times New Roman"/>
        </w:rPr>
      </w:pPr>
    </w:p>
    <w:p w14:paraId="2946F5B0" w14:textId="1A3807EE" w:rsidR="00871413" w:rsidRPr="004F1D23" w:rsidRDefault="001546A8" w:rsidP="00914FAF">
      <w:pPr>
        <w:jc w:val="both"/>
        <w:rPr>
          <w:rFonts w:ascii="Times" w:eastAsia="Times New Roman" w:hAnsi="Times" w:cs="Times New Roman"/>
        </w:rPr>
      </w:pPr>
      <w:r w:rsidRPr="004F1D23">
        <w:rPr>
          <w:rFonts w:ascii="Times" w:eastAsia="Times New Roman" w:hAnsi="Times" w:cs="Times New Roman"/>
        </w:rPr>
        <w:t xml:space="preserve">The Court has </w:t>
      </w:r>
      <w:r w:rsidR="00871413" w:rsidRPr="004F1D23">
        <w:rPr>
          <w:rFonts w:ascii="Times" w:eastAsia="Times New Roman" w:hAnsi="Times" w:cs="Times New Roman"/>
        </w:rPr>
        <w:t>passed up on the chance to explain why it considers the right to reside test to be indirect</w:t>
      </w:r>
      <w:r w:rsidR="0071393F" w:rsidRPr="004F1D23">
        <w:rPr>
          <w:rFonts w:ascii="Times" w:eastAsia="Times New Roman" w:hAnsi="Times" w:cs="Times New Roman"/>
        </w:rPr>
        <w:t xml:space="preserve"> discrimination</w:t>
      </w:r>
      <w:r w:rsidR="00871413" w:rsidRPr="004F1D23">
        <w:rPr>
          <w:rFonts w:ascii="Times" w:eastAsia="Times New Roman" w:hAnsi="Times" w:cs="Times New Roman"/>
        </w:rPr>
        <w:t xml:space="preserve">, </w:t>
      </w:r>
      <w:r w:rsidR="0071393F" w:rsidRPr="004F1D23">
        <w:rPr>
          <w:rFonts w:ascii="Times" w:eastAsia="Times New Roman" w:hAnsi="Times" w:cs="Times New Roman"/>
        </w:rPr>
        <w:t>rather than</w:t>
      </w:r>
      <w:r w:rsidR="00871413" w:rsidRPr="004F1D23">
        <w:rPr>
          <w:rFonts w:ascii="Times" w:eastAsia="Times New Roman" w:hAnsi="Times" w:cs="Times New Roman"/>
        </w:rPr>
        <w:t xml:space="preserve"> discrimination on the ‘sole’ ground of nationality, as was the extra condition in </w:t>
      </w:r>
      <w:r w:rsidR="00871413" w:rsidRPr="004F1D23">
        <w:rPr>
          <w:rFonts w:ascii="Times" w:eastAsia="Times New Roman" w:hAnsi="Times" w:cs="Times New Roman"/>
          <w:i/>
        </w:rPr>
        <w:t>Grzelczyk</w:t>
      </w:r>
      <w:r w:rsidR="00871413" w:rsidRPr="004F1D23">
        <w:rPr>
          <w:rFonts w:ascii="Times" w:eastAsia="Times New Roman" w:hAnsi="Times" w:cs="Times New Roman"/>
        </w:rPr>
        <w:t xml:space="preserve">. The ‘indirect discrimination’ line may be a necessary </w:t>
      </w:r>
      <w:r w:rsidR="00DE51F7" w:rsidRPr="004F1D23">
        <w:rPr>
          <w:rFonts w:ascii="Times" w:eastAsia="Times New Roman" w:hAnsi="Times" w:cs="Times New Roman"/>
        </w:rPr>
        <w:t>legal fiction, but some legal reasoning to explain the distinction would be helpful. Or else</w:t>
      </w:r>
      <w:r w:rsidR="00871413" w:rsidRPr="004F1D23">
        <w:rPr>
          <w:rFonts w:ascii="Times" w:eastAsia="Times New Roman" w:hAnsi="Times" w:cs="Times New Roman"/>
        </w:rPr>
        <w:t xml:space="preserve"> the Court might have – more ambitiously – faced up to the problem that t</w:t>
      </w:r>
      <w:r w:rsidR="00DE51F7" w:rsidRPr="004F1D23">
        <w:rPr>
          <w:rFonts w:ascii="Times" w:eastAsia="Times New Roman" w:hAnsi="Times" w:cs="Times New Roman"/>
        </w:rPr>
        <w:t>he EU framework is unrealistic, since it theoretically prohibits</w:t>
      </w:r>
      <w:r w:rsidR="00871413" w:rsidRPr="004F1D23">
        <w:rPr>
          <w:rFonts w:ascii="Times" w:eastAsia="Times New Roman" w:hAnsi="Times" w:cs="Times New Roman"/>
        </w:rPr>
        <w:t xml:space="preserve"> direct discrimination, while we all know it is tolerated, in the form of right to reside tests. </w:t>
      </w:r>
      <w:r w:rsidR="00B8138E" w:rsidRPr="004F1D23">
        <w:rPr>
          <w:rFonts w:ascii="Times" w:eastAsia="Times New Roman" w:hAnsi="Times" w:cs="Times New Roman"/>
        </w:rPr>
        <w:t xml:space="preserve">On recognising </w:t>
      </w:r>
      <w:r w:rsidR="00567262" w:rsidRPr="004F1D23">
        <w:rPr>
          <w:rFonts w:ascii="Times" w:eastAsia="Times New Roman" w:hAnsi="Times" w:cs="Times New Roman"/>
        </w:rPr>
        <w:t xml:space="preserve">that the right to reside test is (indirectly) discriminatory, the Court neglected to examine whether </w:t>
      </w:r>
      <w:r w:rsidR="00952E05" w:rsidRPr="004F1D23">
        <w:rPr>
          <w:rFonts w:ascii="Times" w:eastAsia="Times New Roman" w:hAnsi="Times" w:cs="Times New Roman"/>
        </w:rPr>
        <w:t xml:space="preserve">that condition </w:t>
      </w:r>
      <w:r w:rsidR="00567262" w:rsidRPr="004F1D23">
        <w:rPr>
          <w:rFonts w:ascii="Times" w:eastAsia="Times New Roman" w:hAnsi="Times" w:cs="Times New Roman"/>
        </w:rPr>
        <w:t>is justified, instead looking at whether the checks, to see whether claimants pass the test, are justified. This is a</w:t>
      </w:r>
      <w:r w:rsidR="00DE51F7" w:rsidRPr="004F1D23">
        <w:rPr>
          <w:rFonts w:ascii="Times" w:eastAsia="Times New Roman" w:hAnsi="Times" w:cs="Times New Roman"/>
        </w:rPr>
        <w:t xml:space="preserve"> perplexing </w:t>
      </w:r>
      <w:r w:rsidR="00567262" w:rsidRPr="004F1D23">
        <w:rPr>
          <w:rFonts w:ascii="Times" w:eastAsia="Times New Roman" w:hAnsi="Times" w:cs="Times New Roman"/>
        </w:rPr>
        <w:t xml:space="preserve">judicial non-sequitur, with the effect of assuming that the test itself, and the discrimination that it embodies, is lawful. </w:t>
      </w:r>
      <w:r w:rsidR="00DE51F7" w:rsidRPr="004F1D23">
        <w:rPr>
          <w:rFonts w:ascii="Times" w:eastAsia="Times New Roman" w:hAnsi="Times" w:cs="Times New Roman"/>
        </w:rPr>
        <w:t>In stating</w:t>
      </w:r>
      <w:r w:rsidR="00567262" w:rsidRPr="004F1D23">
        <w:rPr>
          <w:rFonts w:ascii="Times" w:eastAsia="Times New Roman" w:hAnsi="Times" w:cs="Times New Roman"/>
        </w:rPr>
        <w:t xml:space="preserve"> that it is up to the Com</w:t>
      </w:r>
      <w:r w:rsidR="00DE51F7" w:rsidRPr="004F1D23">
        <w:rPr>
          <w:rFonts w:ascii="Times" w:eastAsia="Times New Roman" w:hAnsi="Times" w:cs="Times New Roman"/>
        </w:rPr>
        <w:t xml:space="preserve">mission to adduce the evidence </w:t>
      </w:r>
      <w:r w:rsidR="00567262" w:rsidRPr="004F1D23">
        <w:rPr>
          <w:rFonts w:ascii="Times" w:eastAsia="Times New Roman" w:hAnsi="Times" w:cs="Times New Roman"/>
        </w:rPr>
        <w:t>to show that the checks are disproportionate and tha</w:t>
      </w:r>
      <w:r w:rsidR="00DE51F7" w:rsidRPr="004F1D23">
        <w:rPr>
          <w:rFonts w:ascii="Times" w:eastAsia="Times New Roman" w:hAnsi="Times" w:cs="Times New Roman"/>
        </w:rPr>
        <w:t>t verification is systematic, t</w:t>
      </w:r>
      <w:r w:rsidR="00B8138E" w:rsidRPr="004F1D23">
        <w:rPr>
          <w:rFonts w:ascii="Times" w:eastAsia="Times New Roman" w:hAnsi="Times" w:cs="Times New Roman"/>
        </w:rPr>
        <w:t xml:space="preserve">he burden of proof is reversed. </w:t>
      </w:r>
      <w:r w:rsidR="00567262" w:rsidRPr="004F1D23">
        <w:rPr>
          <w:rFonts w:ascii="Times" w:eastAsia="Times New Roman" w:hAnsi="Times" w:cs="Times New Roman"/>
        </w:rPr>
        <w:t xml:space="preserve">The UK was excused from demonstrating </w:t>
      </w:r>
      <w:r w:rsidR="00B8138E" w:rsidRPr="004F1D23">
        <w:rPr>
          <w:rFonts w:ascii="Times" w:eastAsia="Times New Roman" w:hAnsi="Times" w:cs="Times New Roman"/>
        </w:rPr>
        <w:t>a legitimate aim with means that are appropriate, necessary and proportionate</w:t>
      </w:r>
      <w:r w:rsidR="00567262" w:rsidRPr="004F1D23">
        <w:rPr>
          <w:rFonts w:ascii="Times" w:eastAsia="Times New Roman" w:hAnsi="Times" w:cs="Times New Roman"/>
        </w:rPr>
        <w:t>, beyond brandishi</w:t>
      </w:r>
      <w:r w:rsidR="00B8138E" w:rsidRPr="004F1D23">
        <w:rPr>
          <w:rFonts w:ascii="Times" w:eastAsia="Times New Roman" w:hAnsi="Times" w:cs="Times New Roman"/>
        </w:rPr>
        <w:t xml:space="preserve">ng a public finances trump card, while we are assured without explanation that systematic checking is not the same thing as systematic verification. </w:t>
      </w:r>
      <w:r w:rsidR="00567262" w:rsidRPr="004F1D23">
        <w:rPr>
          <w:rFonts w:ascii="Times" w:eastAsia="Times New Roman" w:hAnsi="Times" w:cs="Times New Roman"/>
        </w:rPr>
        <w:t xml:space="preserve"> </w:t>
      </w:r>
    </w:p>
    <w:p w14:paraId="76080C7C" w14:textId="77777777" w:rsidR="00567262" w:rsidRPr="004F1D23" w:rsidRDefault="00567262" w:rsidP="00914FAF">
      <w:pPr>
        <w:jc w:val="both"/>
        <w:rPr>
          <w:rFonts w:ascii="Times" w:eastAsia="Times New Roman" w:hAnsi="Times" w:cs="Times New Roman"/>
        </w:rPr>
      </w:pPr>
    </w:p>
    <w:p w14:paraId="1A0F11A6" w14:textId="15B02A6B" w:rsidR="00871413" w:rsidRPr="004F1D23" w:rsidRDefault="00B8138E" w:rsidP="00914FAF">
      <w:pPr>
        <w:jc w:val="both"/>
        <w:rPr>
          <w:rFonts w:ascii="Times" w:eastAsia="Times New Roman" w:hAnsi="Times" w:cs="Times New Roman"/>
          <w:i/>
        </w:rPr>
      </w:pPr>
      <w:r w:rsidRPr="004F1D23">
        <w:rPr>
          <w:rFonts w:ascii="Times" w:eastAsia="Times New Roman" w:hAnsi="Times" w:cs="Times New Roman"/>
        </w:rPr>
        <w:t>The</w:t>
      </w:r>
      <w:r w:rsidR="00E82CE9" w:rsidRPr="004F1D23">
        <w:rPr>
          <w:rFonts w:ascii="Times" w:eastAsia="Times New Roman" w:hAnsi="Times" w:cs="Times New Roman"/>
        </w:rPr>
        <w:t xml:space="preserve"> Court </w:t>
      </w:r>
      <w:r w:rsidRPr="004F1D23">
        <w:rPr>
          <w:rFonts w:ascii="Times" w:eastAsia="Times New Roman" w:hAnsi="Times" w:cs="Times New Roman"/>
        </w:rPr>
        <w:t xml:space="preserve">has </w:t>
      </w:r>
      <w:r w:rsidR="00E82CE9" w:rsidRPr="004F1D23">
        <w:rPr>
          <w:rFonts w:ascii="Times" w:eastAsia="Times New Roman" w:hAnsi="Times" w:cs="Times New Roman"/>
        </w:rPr>
        <w:t xml:space="preserve">condoned the automatic exclusions that result from the </w:t>
      </w:r>
      <w:r w:rsidRPr="004F1D23">
        <w:rPr>
          <w:rFonts w:ascii="Times" w:eastAsia="Times New Roman" w:hAnsi="Times" w:cs="Times New Roman"/>
        </w:rPr>
        <w:t xml:space="preserve">right to reside </w:t>
      </w:r>
      <w:r w:rsidR="00E82CE9" w:rsidRPr="004F1D23">
        <w:rPr>
          <w:rFonts w:ascii="Times" w:eastAsia="Times New Roman" w:hAnsi="Times" w:cs="Times New Roman"/>
        </w:rPr>
        <w:t xml:space="preserve">test, so destroying any possibility of a claim based on proportionality, or asserting a </w:t>
      </w:r>
      <w:r w:rsidR="00E82CE9" w:rsidRPr="004F1D23">
        <w:rPr>
          <w:rFonts w:ascii="Times" w:eastAsia="Times New Roman" w:hAnsi="Times" w:cs="Times New Roman"/>
          <w:i/>
        </w:rPr>
        <w:t>Brey</w:t>
      </w:r>
      <w:r w:rsidR="00E82CE9" w:rsidRPr="004F1D23">
        <w:rPr>
          <w:rFonts w:ascii="Times" w:eastAsia="Times New Roman" w:hAnsi="Times" w:cs="Times New Roman"/>
        </w:rPr>
        <w:t xml:space="preserve">-based right to a case-by-case assessment of personal circumstances. The Court chooses to </w:t>
      </w:r>
      <w:r w:rsidRPr="004F1D23">
        <w:rPr>
          <w:rFonts w:ascii="Times" w:eastAsia="Times New Roman" w:hAnsi="Times" w:cs="Times New Roman"/>
        </w:rPr>
        <w:t xml:space="preserve">not </w:t>
      </w:r>
      <w:r w:rsidR="00E82CE9" w:rsidRPr="004F1D23">
        <w:rPr>
          <w:rFonts w:ascii="Times" w:eastAsia="Times New Roman" w:hAnsi="Times" w:cs="Times New Roman"/>
        </w:rPr>
        <w:t xml:space="preserve">tell us why it cleaves so closely to one fragment of </w:t>
      </w:r>
      <w:r w:rsidR="00E82CE9" w:rsidRPr="004F1D23">
        <w:rPr>
          <w:rFonts w:ascii="Times" w:eastAsia="Times New Roman" w:hAnsi="Times" w:cs="Times New Roman"/>
          <w:i/>
        </w:rPr>
        <w:t>Brey</w:t>
      </w:r>
      <w:r w:rsidR="00E82CE9" w:rsidRPr="004F1D23">
        <w:rPr>
          <w:rFonts w:ascii="Times" w:eastAsia="Times New Roman" w:hAnsi="Times" w:cs="Times New Roman"/>
        </w:rPr>
        <w:t>, while dispensing with the rest of it. This destroys any residual hopes that citizens might have equal treatment rights stemming from EU citizenship and Article 18 TFEU. EU citizenship is extinguished, but furtively</w:t>
      </w:r>
      <w:r w:rsidR="00A15AB1" w:rsidRPr="004F1D23">
        <w:rPr>
          <w:rFonts w:ascii="Times" w:eastAsia="Times New Roman" w:hAnsi="Times" w:cs="Times New Roman"/>
        </w:rPr>
        <w:t>, since</w:t>
      </w:r>
      <w:r w:rsidR="00E82CE9" w:rsidRPr="004F1D23">
        <w:rPr>
          <w:rFonts w:ascii="Times" w:eastAsia="Times New Roman" w:hAnsi="Times" w:cs="Times New Roman"/>
        </w:rPr>
        <w:t xml:space="preserve"> </w:t>
      </w:r>
      <w:r w:rsidR="00A15AB1" w:rsidRPr="004F1D23">
        <w:rPr>
          <w:rFonts w:ascii="Times" w:eastAsia="Times New Roman" w:hAnsi="Times" w:cs="Times New Roman"/>
        </w:rPr>
        <w:t>“</w:t>
      </w:r>
      <w:r w:rsidR="00E82CE9" w:rsidRPr="004F1D23">
        <w:rPr>
          <w:rFonts w:ascii="Times" w:eastAsia="Times New Roman" w:hAnsi="Times" w:cs="Times New Roman"/>
        </w:rPr>
        <w:t>citizenship</w:t>
      </w:r>
      <w:r w:rsidR="00A15AB1" w:rsidRPr="004F1D23">
        <w:rPr>
          <w:rFonts w:ascii="Times" w:eastAsia="Times New Roman" w:hAnsi="Times" w:cs="Times New Roman"/>
        </w:rPr>
        <w:t>”</w:t>
      </w:r>
      <w:r w:rsidR="00E82CE9" w:rsidRPr="004F1D23">
        <w:rPr>
          <w:rFonts w:ascii="Times" w:eastAsia="Times New Roman" w:hAnsi="Times" w:cs="Times New Roman"/>
        </w:rPr>
        <w:t xml:space="preserve"> is not mentio</w:t>
      </w:r>
      <w:r w:rsidR="00A15AB1" w:rsidRPr="004F1D23">
        <w:rPr>
          <w:rFonts w:ascii="Times" w:eastAsia="Times New Roman" w:hAnsi="Times" w:cs="Times New Roman"/>
        </w:rPr>
        <w:t>ned once in the whole judgment, and</w:t>
      </w:r>
      <w:r w:rsidR="00E82CE9" w:rsidRPr="004F1D23">
        <w:rPr>
          <w:rFonts w:ascii="Times" w:eastAsia="Times New Roman" w:hAnsi="Times" w:cs="Times New Roman"/>
        </w:rPr>
        <w:t xml:space="preserve"> nor is Article 18 TFEU. The failure to engage with primary law, while dismissing and eviscerating it, is striking.  </w:t>
      </w:r>
    </w:p>
    <w:p w14:paraId="50F5FF77" w14:textId="77777777" w:rsidR="00871413" w:rsidRPr="004F1D23" w:rsidRDefault="00871413" w:rsidP="00914FAF">
      <w:pPr>
        <w:jc w:val="both"/>
        <w:rPr>
          <w:rFonts w:ascii="Times" w:eastAsia="Times New Roman" w:hAnsi="Times" w:cs="Times New Roman"/>
        </w:rPr>
      </w:pPr>
    </w:p>
    <w:p w14:paraId="324EA658" w14:textId="5E5BBD06" w:rsidR="00D50533" w:rsidRPr="004F1D23" w:rsidRDefault="00A15AB1" w:rsidP="00914FAF">
      <w:pPr>
        <w:jc w:val="both"/>
        <w:rPr>
          <w:rFonts w:ascii="Times" w:eastAsia="Times New Roman" w:hAnsi="Times" w:cs="Times New Roman"/>
        </w:rPr>
      </w:pPr>
      <w:r w:rsidRPr="004F1D23">
        <w:rPr>
          <w:rFonts w:ascii="Times" w:eastAsia="Times New Roman" w:hAnsi="Times" w:cs="Times New Roman"/>
        </w:rPr>
        <w:t>The ruling has a</w:t>
      </w:r>
      <w:r w:rsidR="00D52203" w:rsidRPr="004F1D23">
        <w:rPr>
          <w:rFonts w:ascii="Times" w:eastAsia="Times New Roman" w:hAnsi="Times" w:cs="Times New Roman"/>
        </w:rPr>
        <w:t xml:space="preserve"> particularly pronounced effect upon </w:t>
      </w:r>
      <w:r w:rsidRPr="004F1D23">
        <w:rPr>
          <w:rFonts w:ascii="Times" w:eastAsia="Times New Roman" w:hAnsi="Times" w:cs="Times New Roman"/>
        </w:rPr>
        <w:t xml:space="preserve">the rights of </w:t>
      </w:r>
      <w:r w:rsidR="00D52203" w:rsidRPr="004F1D23">
        <w:rPr>
          <w:rFonts w:ascii="Times" w:eastAsia="Times New Roman" w:hAnsi="Times" w:cs="Times New Roman"/>
        </w:rPr>
        <w:t>children - those citizens whose welfare is at the heart of the instant case</w:t>
      </w:r>
      <w:r w:rsidR="00B8138E" w:rsidRPr="004F1D23">
        <w:rPr>
          <w:rFonts w:ascii="Times" w:eastAsia="Times New Roman" w:hAnsi="Times" w:cs="Times New Roman"/>
        </w:rPr>
        <w:t>, and yet whose status</w:t>
      </w:r>
      <w:r w:rsidR="00D52203" w:rsidRPr="004F1D23">
        <w:rPr>
          <w:rFonts w:ascii="Times" w:eastAsia="Times New Roman" w:hAnsi="Times" w:cs="Times New Roman"/>
        </w:rPr>
        <w:t xml:space="preserve"> and best interests do not get a single mention. </w:t>
      </w:r>
      <w:r w:rsidR="00182F9F" w:rsidRPr="004F1D23">
        <w:rPr>
          <w:rFonts w:ascii="Times" w:eastAsia="Times New Roman" w:hAnsi="Times" w:cs="Times New Roman"/>
        </w:rPr>
        <w:t>This suggests that the Court do</w:t>
      </w:r>
      <w:r w:rsidR="00B8138E" w:rsidRPr="004F1D23">
        <w:rPr>
          <w:rFonts w:ascii="Times" w:eastAsia="Times New Roman" w:hAnsi="Times" w:cs="Times New Roman"/>
        </w:rPr>
        <w:t>es</w:t>
      </w:r>
      <w:r w:rsidR="00182F9F" w:rsidRPr="004F1D23">
        <w:rPr>
          <w:rFonts w:ascii="Times" w:eastAsia="Times New Roman" w:hAnsi="Times" w:cs="Times New Roman"/>
        </w:rPr>
        <w:t xml:space="preserve"> not take the TEU and Charter commitments on children’s rights seriously. The </w:t>
      </w:r>
      <w:r w:rsidR="00952E05" w:rsidRPr="004F1D23">
        <w:rPr>
          <w:rFonts w:ascii="Times" w:eastAsia="Times New Roman" w:hAnsi="Times" w:cs="Times New Roman"/>
        </w:rPr>
        <w:t>UN has drawn the lines to connect</w:t>
      </w:r>
      <w:r w:rsidR="00182F9F" w:rsidRPr="004F1D23">
        <w:rPr>
          <w:rFonts w:ascii="Times" w:eastAsia="Times New Roman" w:hAnsi="Times" w:cs="Times New Roman"/>
        </w:rPr>
        <w:t xml:space="preserve"> the benefits at issue </w:t>
      </w:r>
      <w:r w:rsidR="00952E05" w:rsidRPr="004F1D23">
        <w:rPr>
          <w:rFonts w:ascii="Times" w:eastAsia="Times New Roman" w:hAnsi="Times" w:cs="Times New Roman"/>
        </w:rPr>
        <w:t>with</w:t>
      </w:r>
      <w:r w:rsidR="00182F9F" w:rsidRPr="004F1D23">
        <w:rPr>
          <w:rFonts w:ascii="Times" w:eastAsia="Times New Roman" w:hAnsi="Times" w:cs="Times New Roman"/>
        </w:rPr>
        <w:t xml:space="preserve"> child welfare, </w:t>
      </w:r>
      <w:r w:rsidR="00952E05" w:rsidRPr="004F1D23">
        <w:rPr>
          <w:rFonts w:ascii="Times" w:eastAsia="Times New Roman" w:hAnsi="Times" w:cs="Times New Roman"/>
        </w:rPr>
        <w:t>to show</w:t>
      </w:r>
      <w:r w:rsidR="00182F9F" w:rsidRPr="004F1D23">
        <w:rPr>
          <w:rFonts w:ascii="Times" w:eastAsia="Times New Roman" w:hAnsi="Times" w:cs="Times New Roman"/>
        </w:rPr>
        <w:t xml:space="preserve"> </w:t>
      </w:r>
      <w:r w:rsidR="00952E05" w:rsidRPr="004F1D23">
        <w:rPr>
          <w:rFonts w:ascii="Times" w:eastAsia="Times New Roman" w:hAnsi="Times" w:cs="Times New Roman"/>
        </w:rPr>
        <w:t xml:space="preserve">that </w:t>
      </w:r>
      <w:r w:rsidR="00182F9F" w:rsidRPr="004F1D23">
        <w:rPr>
          <w:rFonts w:ascii="Times" w:eastAsia="Times New Roman" w:hAnsi="Times" w:cs="Times New Roman"/>
        </w:rPr>
        <w:t xml:space="preserve">reductions in those benefits place the UK on the brink of breaching its international </w:t>
      </w:r>
      <w:r w:rsidR="002E60F7" w:rsidRPr="004F1D23">
        <w:rPr>
          <w:rFonts w:ascii="Times" w:eastAsia="Times New Roman" w:hAnsi="Times" w:cs="Times New Roman"/>
        </w:rPr>
        <w:t>children’s</w:t>
      </w:r>
      <w:r w:rsidR="00182F9F" w:rsidRPr="004F1D23">
        <w:rPr>
          <w:rFonts w:ascii="Times" w:eastAsia="Times New Roman" w:hAnsi="Times" w:cs="Times New Roman"/>
        </w:rPr>
        <w:t xml:space="preserve"> rights obligations</w:t>
      </w:r>
      <w:r w:rsidR="00952E05" w:rsidRPr="004F1D23">
        <w:rPr>
          <w:rFonts w:ascii="Times" w:eastAsia="Times New Roman" w:hAnsi="Times" w:cs="Times New Roman"/>
        </w:rPr>
        <w:t>. B</w:t>
      </w:r>
      <w:r w:rsidR="002E60F7" w:rsidRPr="004F1D23">
        <w:rPr>
          <w:rFonts w:ascii="Times" w:eastAsia="Times New Roman" w:hAnsi="Times" w:cs="Times New Roman"/>
        </w:rPr>
        <w:t xml:space="preserve">ut the Court has issued a judgment that endorses wholesale automatic exclusions from those benefits, placing EU national children at considerable risk of destitution. </w:t>
      </w:r>
    </w:p>
    <w:p w14:paraId="2140E6A0" w14:textId="77777777" w:rsidR="00F331AE" w:rsidRPr="004F1D23" w:rsidRDefault="00F331AE" w:rsidP="00914FAF">
      <w:pPr>
        <w:jc w:val="both"/>
        <w:rPr>
          <w:rFonts w:ascii="Times" w:eastAsia="Times New Roman" w:hAnsi="Times" w:cs="Times New Roman"/>
        </w:rPr>
      </w:pPr>
    </w:p>
    <w:p w14:paraId="45098F02" w14:textId="006F72D7" w:rsidR="00491D15" w:rsidRPr="004F1D23" w:rsidRDefault="002E60F7" w:rsidP="00914FAF">
      <w:pPr>
        <w:jc w:val="both"/>
        <w:rPr>
          <w:rFonts w:ascii="Times" w:eastAsia="Times New Roman" w:hAnsi="Times" w:cs="Times New Roman"/>
        </w:rPr>
      </w:pPr>
      <w:r w:rsidRPr="004F1D23">
        <w:rPr>
          <w:rFonts w:ascii="Times" w:eastAsia="Times New Roman" w:hAnsi="Times" w:cs="Times New Roman"/>
        </w:rPr>
        <w:t xml:space="preserve">We should not expect the </w:t>
      </w:r>
      <w:r w:rsidR="00A15AB1" w:rsidRPr="004F1D23">
        <w:rPr>
          <w:rFonts w:ascii="Times" w:eastAsia="Times New Roman" w:hAnsi="Times" w:cs="Times New Roman"/>
        </w:rPr>
        <w:t>Court to operate as though</w:t>
      </w:r>
      <w:r w:rsidRPr="004F1D23">
        <w:rPr>
          <w:rFonts w:ascii="Times" w:eastAsia="Times New Roman" w:hAnsi="Times" w:cs="Times New Roman"/>
        </w:rPr>
        <w:t xml:space="preserve"> in a bubble</w:t>
      </w:r>
      <w:r w:rsidR="00A15AB1" w:rsidRPr="004F1D23">
        <w:rPr>
          <w:rFonts w:ascii="Times" w:eastAsia="Times New Roman" w:hAnsi="Times" w:cs="Times New Roman"/>
        </w:rPr>
        <w:t>,</w:t>
      </w:r>
      <w:r w:rsidRPr="004F1D23">
        <w:rPr>
          <w:rFonts w:ascii="Times" w:eastAsia="Times New Roman" w:hAnsi="Times" w:cs="Times New Roman"/>
        </w:rPr>
        <w:t xml:space="preserve"> hermetically sealed off from the biggest challenge faced by the EU in decades; the melodrama of the UK referendum could hardly be ignored in a case dealing with something so sensitive as UK welfare law. But we are entitled to expect it to try – or at the very least, appear to try – to interpret and appl</w:t>
      </w:r>
      <w:r w:rsidR="00A15AB1" w:rsidRPr="004F1D23">
        <w:rPr>
          <w:rFonts w:ascii="Times" w:eastAsia="Times New Roman" w:hAnsi="Times" w:cs="Times New Roman"/>
        </w:rPr>
        <w:t xml:space="preserve">y legal provisions </w:t>
      </w:r>
      <w:r w:rsidR="00EC6F5B" w:rsidRPr="004F1D23">
        <w:rPr>
          <w:rFonts w:ascii="Times" w:eastAsia="Times New Roman" w:hAnsi="Times" w:cs="Times New Roman"/>
        </w:rPr>
        <w:t xml:space="preserve">with a semblance of legal method. In divining from a fragment of </w:t>
      </w:r>
      <w:r w:rsidR="00EC6F5B" w:rsidRPr="004F1D23">
        <w:rPr>
          <w:rFonts w:ascii="Times" w:eastAsia="Times New Roman" w:hAnsi="Times" w:cs="Times New Roman"/>
          <w:i/>
        </w:rPr>
        <w:t>Brey</w:t>
      </w:r>
      <w:r w:rsidR="00EC6F5B" w:rsidRPr="004F1D23">
        <w:rPr>
          <w:rFonts w:ascii="Times" w:eastAsia="Times New Roman" w:hAnsi="Times" w:cs="Times New Roman"/>
        </w:rPr>
        <w:t xml:space="preserve"> a fundamental principle of exclusion, it has curbed, rewritten, and even rendered obsolete, provisions of Regulation 883/2004. In </w:t>
      </w:r>
      <w:r w:rsidR="00024275" w:rsidRPr="004F1D23">
        <w:rPr>
          <w:rFonts w:ascii="Times" w:eastAsia="Times New Roman" w:hAnsi="Times" w:cs="Times New Roman"/>
        </w:rPr>
        <w:t xml:space="preserve">failing to examine the directly discriminatory nature of the test, skipping over Article 4 of Regulation 883/2004, ignoring </w:t>
      </w:r>
      <w:r w:rsidR="00024275" w:rsidRPr="004F1D23">
        <w:rPr>
          <w:rFonts w:ascii="Times" w:eastAsia="Times New Roman" w:hAnsi="Times" w:cs="Times New Roman"/>
          <w:i/>
        </w:rPr>
        <w:t>Grzelczyk</w:t>
      </w:r>
      <w:r w:rsidR="00024275" w:rsidRPr="004F1D23">
        <w:rPr>
          <w:rFonts w:ascii="Times" w:eastAsia="Times New Roman" w:hAnsi="Times" w:cs="Times New Roman"/>
        </w:rPr>
        <w:t xml:space="preserve"> and </w:t>
      </w:r>
      <w:r w:rsidR="00EC6F5B" w:rsidRPr="004F1D23">
        <w:rPr>
          <w:rFonts w:ascii="Times" w:eastAsia="Times New Roman" w:hAnsi="Times" w:cs="Times New Roman"/>
        </w:rPr>
        <w:t>condoning automatic exclusions</w:t>
      </w:r>
      <w:r w:rsidR="00024275" w:rsidRPr="004F1D23">
        <w:rPr>
          <w:rFonts w:ascii="Times" w:eastAsia="Times New Roman" w:hAnsi="Times" w:cs="Times New Roman"/>
        </w:rPr>
        <w:t xml:space="preserve">, contrary to </w:t>
      </w:r>
      <w:r w:rsidR="00024275" w:rsidRPr="004F1D23">
        <w:rPr>
          <w:rFonts w:ascii="Times" w:eastAsia="Times New Roman" w:hAnsi="Times" w:cs="Times New Roman"/>
          <w:i/>
        </w:rPr>
        <w:t xml:space="preserve">Brey </w:t>
      </w:r>
      <w:r w:rsidR="00024275" w:rsidRPr="004F1D23">
        <w:rPr>
          <w:rFonts w:ascii="Times" w:eastAsia="Times New Roman" w:hAnsi="Times" w:cs="Times New Roman"/>
        </w:rPr>
        <w:t xml:space="preserve">and contrary to the authorities relied upon in </w:t>
      </w:r>
      <w:r w:rsidR="00024275" w:rsidRPr="004F1D23">
        <w:rPr>
          <w:rFonts w:ascii="Times" w:eastAsia="Times New Roman" w:hAnsi="Times" w:cs="Times New Roman"/>
          <w:i/>
        </w:rPr>
        <w:t>Brey</w:t>
      </w:r>
      <w:r w:rsidR="00024275" w:rsidRPr="004F1D23">
        <w:rPr>
          <w:rFonts w:ascii="Times" w:eastAsia="Times New Roman" w:hAnsi="Times" w:cs="Times New Roman"/>
        </w:rPr>
        <w:t>, it has released</w:t>
      </w:r>
      <w:r w:rsidR="00EC6F5B" w:rsidRPr="004F1D23">
        <w:rPr>
          <w:rFonts w:ascii="Times" w:eastAsia="Times New Roman" w:hAnsi="Times" w:cs="Times New Roman"/>
        </w:rPr>
        <w:t xml:space="preserve"> Member States from an obligation to apply limitations to social s</w:t>
      </w:r>
      <w:r w:rsidR="00024275" w:rsidRPr="004F1D23">
        <w:rPr>
          <w:rFonts w:ascii="Times" w:eastAsia="Times New Roman" w:hAnsi="Times" w:cs="Times New Roman"/>
        </w:rPr>
        <w:t xml:space="preserve">ecurity in a </w:t>
      </w:r>
      <w:r w:rsidR="00B8138E" w:rsidRPr="004F1D23">
        <w:rPr>
          <w:rFonts w:ascii="Times" w:eastAsia="Times New Roman" w:hAnsi="Times" w:cs="Times New Roman"/>
        </w:rPr>
        <w:t>proportionate way and given them</w:t>
      </w:r>
      <w:r w:rsidR="00024275" w:rsidRPr="004F1D23">
        <w:rPr>
          <w:rFonts w:ascii="Times" w:eastAsia="Times New Roman" w:hAnsi="Times" w:cs="Times New Roman"/>
        </w:rPr>
        <w:t xml:space="preserve"> a licence to discriminate on the ground of nationality. In neglecting Article 18 TFEU, and apparently forgetting about the existence of EU citizenship, it has extinguished the last few embers of EU citizenship, and </w:t>
      </w:r>
      <w:r w:rsidR="0071393F" w:rsidRPr="004F1D23">
        <w:rPr>
          <w:rFonts w:ascii="Times" w:eastAsia="Times New Roman" w:hAnsi="Times" w:cs="Times New Roman"/>
        </w:rPr>
        <w:t xml:space="preserve">denied </w:t>
      </w:r>
      <w:r w:rsidR="00024275" w:rsidRPr="004F1D23">
        <w:rPr>
          <w:rFonts w:ascii="Times" w:eastAsia="Times New Roman" w:hAnsi="Times" w:cs="Times New Roman"/>
        </w:rPr>
        <w:t xml:space="preserve">EU national children any personal claim to have their welfare considered or best interests protected. </w:t>
      </w:r>
    </w:p>
    <w:p w14:paraId="542EFD8A" w14:textId="77777777" w:rsidR="00491D15" w:rsidRPr="004F1D23" w:rsidRDefault="00491D15" w:rsidP="00914FAF">
      <w:pPr>
        <w:jc w:val="both"/>
        <w:rPr>
          <w:rFonts w:ascii="Times" w:eastAsia="Times New Roman" w:hAnsi="Times" w:cs="Times New Roman"/>
        </w:rPr>
      </w:pPr>
    </w:p>
    <w:p w14:paraId="0A07814A" w14:textId="164F5098" w:rsidR="00EC6F5B" w:rsidRPr="004F1D23" w:rsidRDefault="00491D15" w:rsidP="00914FAF">
      <w:pPr>
        <w:jc w:val="both"/>
        <w:rPr>
          <w:rFonts w:ascii="Times" w:eastAsia="Times New Roman" w:hAnsi="Times" w:cs="Times New Roman"/>
        </w:rPr>
      </w:pPr>
      <w:r w:rsidRPr="004F1D23">
        <w:rPr>
          <w:rFonts w:ascii="Times" w:eastAsia="Times New Roman" w:hAnsi="Times" w:cs="Times New Roman"/>
        </w:rPr>
        <w:t>Now that the UK referendum is over, we might hold out hope that the Court will feel less politically</w:t>
      </w:r>
      <w:r w:rsidR="00603B8B" w:rsidRPr="004F1D23">
        <w:rPr>
          <w:rFonts w:ascii="Times" w:eastAsia="Times New Roman" w:hAnsi="Times" w:cs="Times New Roman"/>
        </w:rPr>
        <w:t xml:space="preserve"> hamstrung</w:t>
      </w:r>
      <w:r w:rsidR="00B8138E" w:rsidRPr="004F1D23">
        <w:rPr>
          <w:rFonts w:ascii="Times" w:eastAsia="Times New Roman" w:hAnsi="Times" w:cs="Times New Roman"/>
        </w:rPr>
        <w:t>, so</w:t>
      </w:r>
      <w:r w:rsidRPr="004F1D23">
        <w:rPr>
          <w:rFonts w:ascii="Times" w:eastAsia="Times New Roman" w:hAnsi="Times" w:cs="Times New Roman"/>
        </w:rPr>
        <w:t xml:space="preserve"> reclaim its integrity. But the tide of xenoscepti</w:t>
      </w:r>
      <w:r w:rsidR="0071393F" w:rsidRPr="004F1D23">
        <w:rPr>
          <w:rFonts w:ascii="Times" w:eastAsia="Times New Roman" w:hAnsi="Times" w:cs="Times New Roman"/>
        </w:rPr>
        <w:t>cis</w:t>
      </w:r>
      <w:r w:rsidRPr="004F1D23">
        <w:rPr>
          <w:rFonts w:ascii="Times" w:eastAsia="Times New Roman" w:hAnsi="Times" w:cs="Times New Roman"/>
        </w:rPr>
        <w:t xml:space="preserve">m </w:t>
      </w:r>
      <w:r w:rsidR="00603B8B" w:rsidRPr="004F1D23">
        <w:rPr>
          <w:rFonts w:ascii="Times" w:eastAsia="Times New Roman" w:hAnsi="Times" w:cs="Times New Roman"/>
        </w:rPr>
        <w:t>has not been confined to the UK,</w:t>
      </w:r>
      <w:r w:rsidR="00603B8B" w:rsidRPr="004F1D23">
        <w:rPr>
          <w:rStyle w:val="FootnoteReference"/>
          <w:rFonts w:ascii="Times" w:eastAsia="Times New Roman" w:hAnsi="Times" w:cs="Times New Roman"/>
        </w:rPr>
        <w:footnoteReference w:id="138"/>
      </w:r>
      <w:r w:rsidR="00603B8B" w:rsidRPr="004F1D23">
        <w:rPr>
          <w:rFonts w:ascii="Times" w:eastAsia="Times New Roman" w:hAnsi="Times" w:cs="Times New Roman"/>
        </w:rPr>
        <w:t xml:space="preserve"> and</w:t>
      </w:r>
      <w:r w:rsidRPr="004F1D23">
        <w:rPr>
          <w:rFonts w:ascii="Times" w:eastAsia="Times New Roman" w:hAnsi="Times" w:cs="Times New Roman"/>
        </w:rPr>
        <w:t xml:space="preserve"> the very basis of free movement – and indeed of the Union </w:t>
      </w:r>
      <w:r w:rsidR="00603B8B" w:rsidRPr="004F1D23">
        <w:rPr>
          <w:rFonts w:ascii="Times" w:eastAsia="Times New Roman" w:hAnsi="Times" w:cs="Times New Roman"/>
        </w:rPr>
        <w:t xml:space="preserve">- </w:t>
      </w:r>
      <w:r w:rsidRPr="004F1D23">
        <w:rPr>
          <w:rFonts w:ascii="Times" w:eastAsia="Times New Roman" w:hAnsi="Times" w:cs="Times New Roman"/>
        </w:rPr>
        <w:t>is widely qu</w:t>
      </w:r>
      <w:r w:rsidR="00603B8B" w:rsidRPr="004F1D23">
        <w:rPr>
          <w:rFonts w:ascii="Times" w:eastAsia="Times New Roman" w:hAnsi="Times" w:cs="Times New Roman"/>
        </w:rPr>
        <w:t>estioned,</w:t>
      </w:r>
      <w:r w:rsidR="00A15AB1" w:rsidRPr="004F1D23">
        <w:rPr>
          <w:rStyle w:val="FootnoteReference"/>
          <w:rFonts w:ascii="Times" w:eastAsia="Times New Roman" w:hAnsi="Times" w:cs="Times New Roman"/>
        </w:rPr>
        <w:footnoteReference w:id="139"/>
      </w:r>
      <w:r w:rsidR="00603B8B" w:rsidRPr="004F1D23">
        <w:rPr>
          <w:rFonts w:ascii="Times" w:eastAsia="Times New Roman" w:hAnsi="Times" w:cs="Times New Roman"/>
        </w:rPr>
        <w:t xml:space="preserve"> so </w:t>
      </w:r>
      <w:r w:rsidRPr="004F1D23">
        <w:rPr>
          <w:rFonts w:ascii="Times" w:eastAsia="Times New Roman" w:hAnsi="Times" w:cs="Times New Roman"/>
        </w:rPr>
        <w:t xml:space="preserve">there may </w:t>
      </w:r>
      <w:r w:rsidR="0071393F" w:rsidRPr="004F1D23">
        <w:rPr>
          <w:rFonts w:ascii="Times" w:eastAsia="Times New Roman" w:hAnsi="Times" w:cs="Times New Roman"/>
        </w:rPr>
        <w:t xml:space="preserve">be </w:t>
      </w:r>
      <w:r w:rsidRPr="004F1D23">
        <w:rPr>
          <w:rFonts w:ascii="Times" w:eastAsia="Times New Roman" w:hAnsi="Times" w:cs="Times New Roman"/>
        </w:rPr>
        <w:t>little cause for optimism</w:t>
      </w:r>
      <w:r w:rsidR="00603B8B" w:rsidRPr="004F1D23">
        <w:rPr>
          <w:rFonts w:ascii="Times" w:eastAsia="Times New Roman" w:hAnsi="Times" w:cs="Times New Roman"/>
        </w:rPr>
        <w:t xml:space="preserve"> </w:t>
      </w:r>
      <w:r w:rsidR="00B8138E" w:rsidRPr="004F1D23">
        <w:rPr>
          <w:rFonts w:ascii="Times" w:eastAsia="Times New Roman" w:hAnsi="Times" w:cs="Times New Roman"/>
        </w:rPr>
        <w:t>regarding</w:t>
      </w:r>
      <w:r w:rsidR="00603B8B" w:rsidRPr="004F1D23">
        <w:rPr>
          <w:rFonts w:ascii="Times" w:eastAsia="Times New Roman" w:hAnsi="Times" w:cs="Times New Roman"/>
        </w:rPr>
        <w:t xml:space="preserve"> future case law</w:t>
      </w:r>
      <w:r w:rsidRPr="004F1D23">
        <w:rPr>
          <w:rFonts w:ascii="Times" w:eastAsia="Times New Roman" w:hAnsi="Times" w:cs="Times New Roman"/>
        </w:rPr>
        <w:t xml:space="preserve">. </w:t>
      </w:r>
      <w:r w:rsidR="00B8138E" w:rsidRPr="004F1D23">
        <w:rPr>
          <w:rFonts w:ascii="Times" w:eastAsia="Times New Roman" w:hAnsi="Times" w:cs="Times New Roman"/>
        </w:rPr>
        <w:t>Here,</w:t>
      </w:r>
      <w:r w:rsidR="00603B8B" w:rsidRPr="004F1D23">
        <w:rPr>
          <w:rFonts w:ascii="Times" w:eastAsia="Times New Roman" w:hAnsi="Times" w:cs="Times New Roman"/>
        </w:rPr>
        <w:t xml:space="preserve"> t</w:t>
      </w:r>
      <w:r w:rsidR="00B8138E" w:rsidRPr="004F1D23">
        <w:rPr>
          <w:rFonts w:ascii="Times" w:eastAsia="Times New Roman" w:hAnsi="Times" w:cs="Times New Roman"/>
        </w:rPr>
        <w:t>he Court could have employed</w:t>
      </w:r>
      <w:r w:rsidR="00024275" w:rsidRPr="004F1D23">
        <w:rPr>
          <w:rFonts w:ascii="Times" w:eastAsia="Times New Roman" w:hAnsi="Times" w:cs="Times New Roman"/>
        </w:rPr>
        <w:t xml:space="preserve"> </w:t>
      </w:r>
      <w:r w:rsidR="00631251" w:rsidRPr="004F1D23">
        <w:rPr>
          <w:rFonts w:ascii="Times" w:eastAsia="Times New Roman" w:hAnsi="Times" w:cs="Times New Roman"/>
        </w:rPr>
        <w:t>detailed</w:t>
      </w:r>
      <w:r w:rsidR="00024275" w:rsidRPr="004F1D23">
        <w:rPr>
          <w:rFonts w:ascii="Times" w:eastAsia="Times New Roman" w:hAnsi="Times" w:cs="Times New Roman"/>
        </w:rPr>
        <w:t xml:space="preserve"> reasoning, and </w:t>
      </w:r>
      <w:r w:rsidR="003E2D4B" w:rsidRPr="004F1D23">
        <w:rPr>
          <w:rFonts w:ascii="Times" w:eastAsia="Times New Roman" w:hAnsi="Times" w:cs="Times New Roman"/>
        </w:rPr>
        <w:t xml:space="preserve">given </w:t>
      </w:r>
      <w:r w:rsidR="00024275" w:rsidRPr="004F1D23">
        <w:rPr>
          <w:rFonts w:ascii="Times" w:eastAsia="Times New Roman" w:hAnsi="Times" w:cs="Times New Roman"/>
        </w:rPr>
        <w:t xml:space="preserve">some role </w:t>
      </w:r>
      <w:r w:rsidR="003E2D4B" w:rsidRPr="004F1D23">
        <w:rPr>
          <w:rFonts w:ascii="Times" w:eastAsia="Times New Roman" w:hAnsi="Times" w:cs="Times New Roman"/>
        </w:rPr>
        <w:t>to</w:t>
      </w:r>
      <w:r w:rsidR="00024275" w:rsidRPr="004F1D23">
        <w:rPr>
          <w:rFonts w:ascii="Times" w:eastAsia="Times New Roman" w:hAnsi="Times" w:cs="Times New Roman"/>
        </w:rPr>
        <w:t xml:space="preserve"> proportionality and Article 18 TFEU, </w:t>
      </w:r>
      <w:r w:rsidR="00B8138E" w:rsidRPr="004F1D23">
        <w:rPr>
          <w:rFonts w:ascii="Times" w:eastAsia="Times New Roman" w:hAnsi="Times" w:cs="Times New Roman"/>
        </w:rPr>
        <w:t>to reach</w:t>
      </w:r>
      <w:r w:rsidR="00024275" w:rsidRPr="004F1D23">
        <w:rPr>
          <w:rFonts w:ascii="Times" w:eastAsia="Times New Roman" w:hAnsi="Times" w:cs="Times New Roman"/>
        </w:rPr>
        <w:t xml:space="preserve"> a more </w:t>
      </w:r>
      <w:r w:rsidR="00631251" w:rsidRPr="004F1D23">
        <w:rPr>
          <w:rFonts w:ascii="Times" w:eastAsia="Times New Roman" w:hAnsi="Times" w:cs="Times New Roman"/>
        </w:rPr>
        <w:t xml:space="preserve">nuanced, </w:t>
      </w:r>
      <w:r w:rsidR="00024275" w:rsidRPr="004F1D23">
        <w:rPr>
          <w:rFonts w:ascii="Times" w:eastAsia="Times New Roman" w:hAnsi="Times" w:cs="Times New Roman"/>
        </w:rPr>
        <w:t xml:space="preserve">carefully confined </w:t>
      </w:r>
      <w:r w:rsidR="00631251" w:rsidRPr="004F1D23">
        <w:rPr>
          <w:rFonts w:ascii="Times" w:eastAsia="Times New Roman" w:hAnsi="Times" w:cs="Times New Roman"/>
        </w:rPr>
        <w:t xml:space="preserve">decision, that meted out some degree of ‘victory’ to the UK without tearing down the walls for everyone else. However, a truly ethically robust analysis would have had to flag up the conflict between what the law says about social security, and what the </w:t>
      </w:r>
      <w:r w:rsidR="001206F2" w:rsidRPr="004F1D23">
        <w:rPr>
          <w:rFonts w:ascii="Times" w:eastAsia="Times New Roman" w:hAnsi="Times" w:cs="Times New Roman"/>
        </w:rPr>
        <w:t xml:space="preserve">noisier </w:t>
      </w:r>
      <w:r w:rsidR="00631251" w:rsidRPr="004F1D23">
        <w:rPr>
          <w:rFonts w:ascii="Times" w:eastAsia="Times New Roman" w:hAnsi="Times" w:cs="Times New Roman"/>
        </w:rPr>
        <w:t xml:space="preserve">Member States </w:t>
      </w:r>
      <w:r w:rsidR="001206F2" w:rsidRPr="004F1D23">
        <w:rPr>
          <w:rFonts w:ascii="Times" w:eastAsia="Times New Roman" w:hAnsi="Times" w:cs="Times New Roman"/>
        </w:rPr>
        <w:t xml:space="preserve">presently </w:t>
      </w:r>
      <w:r w:rsidR="00631251" w:rsidRPr="004F1D23">
        <w:rPr>
          <w:rFonts w:ascii="Times" w:eastAsia="Times New Roman" w:hAnsi="Times" w:cs="Times New Roman"/>
        </w:rPr>
        <w:t>want it to say, admitting that such conflict could only be overcome through sophistry, and ques</w:t>
      </w:r>
      <w:r w:rsidR="00603B8B" w:rsidRPr="004F1D23">
        <w:rPr>
          <w:rFonts w:ascii="Times" w:eastAsia="Times New Roman" w:hAnsi="Times" w:cs="Times New Roman"/>
        </w:rPr>
        <w:t>tioning whether it is desirable</w:t>
      </w:r>
      <w:r w:rsidR="00631251" w:rsidRPr="004F1D23">
        <w:rPr>
          <w:rFonts w:ascii="Times" w:eastAsia="Times New Roman" w:hAnsi="Times" w:cs="Times New Roman"/>
        </w:rPr>
        <w:t xml:space="preserve"> to distort the law in order to acco</w:t>
      </w:r>
      <w:r w:rsidR="00603B8B" w:rsidRPr="004F1D23">
        <w:rPr>
          <w:rFonts w:ascii="Times" w:eastAsia="Times New Roman" w:hAnsi="Times" w:cs="Times New Roman"/>
        </w:rPr>
        <w:t>mmodate discriminatory urges in the name of</w:t>
      </w:r>
      <w:r w:rsidR="00631251" w:rsidRPr="004F1D23">
        <w:rPr>
          <w:rFonts w:ascii="Times" w:eastAsia="Times New Roman" w:hAnsi="Times" w:cs="Times New Roman"/>
        </w:rPr>
        <w:t xml:space="preserve"> political expediency. In either case, close analysis would have been necessary. Making complex, contentious decisions</w:t>
      </w:r>
      <w:r w:rsidR="00603B8B" w:rsidRPr="004F1D23">
        <w:rPr>
          <w:rFonts w:ascii="Times" w:eastAsia="Times New Roman" w:hAnsi="Times" w:cs="Times New Roman"/>
        </w:rPr>
        <w:t xml:space="preserve"> about the relative weight of</w:t>
      </w:r>
      <w:r w:rsidR="00631251" w:rsidRPr="004F1D23">
        <w:rPr>
          <w:rFonts w:ascii="Times" w:eastAsia="Times New Roman" w:hAnsi="Times" w:cs="Times New Roman"/>
        </w:rPr>
        <w:t xml:space="preserve"> competing legal </w:t>
      </w:r>
      <w:r w:rsidR="00B27B79" w:rsidRPr="004F1D23">
        <w:rPr>
          <w:rFonts w:ascii="Times" w:eastAsia="Times New Roman" w:hAnsi="Times" w:cs="Times New Roman"/>
        </w:rPr>
        <w:t>principle</w:t>
      </w:r>
      <w:r w:rsidR="00631251" w:rsidRPr="004F1D23">
        <w:rPr>
          <w:rFonts w:ascii="Times" w:eastAsia="Times New Roman" w:hAnsi="Times" w:cs="Times New Roman"/>
        </w:rPr>
        <w:t xml:space="preserve">s demands attention to detail. Unfortunately, this judgment is frugal on detail and </w:t>
      </w:r>
      <w:r w:rsidR="00742D06" w:rsidRPr="004F1D23">
        <w:rPr>
          <w:rFonts w:ascii="Times" w:eastAsia="Times New Roman" w:hAnsi="Times" w:cs="Times New Roman"/>
        </w:rPr>
        <w:t>sparing on analysis; the consequence is a sweeping ruling that will have ramifications throughout the EU, denuding citizenship of equal treatment rights, imperilling the welfar</w:t>
      </w:r>
      <w:r w:rsidR="00A15AB1" w:rsidRPr="004F1D23">
        <w:rPr>
          <w:rFonts w:ascii="Times" w:eastAsia="Times New Roman" w:hAnsi="Times" w:cs="Times New Roman"/>
        </w:rPr>
        <w:t>e of children, and corroding the Court’s</w:t>
      </w:r>
      <w:r w:rsidR="00742D06" w:rsidRPr="004F1D23">
        <w:rPr>
          <w:rFonts w:ascii="Times" w:eastAsia="Times New Roman" w:hAnsi="Times" w:cs="Times New Roman"/>
        </w:rPr>
        <w:t xml:space="preserve"> own credibility and authority.   </w:t>
      </w:r>
      <w:r w:rsidR="00631251" w:rsidRPr="004F1D23">
        <w:rPr>
          <w:rFonts w:ascii="Times" w:eastAsia="Times New Roman" w:hAnsi="Times" w:cs="Times New Roman"/>
        </w:rPr>
        <w:t xml:space="preserve"> </w:t>
      </w:r>
    </w:p>
    <w:p w14:paraId="26A24627" w14:textId="77777777" w:rsidR="00EC6F5B" w:rsidRPr="004F1D23" w:rsidRDefault="00EC6F5B" w:rsidP="00914FAF">
      <w:pPr>
        <w:jc w:val="both"/>
        <w:rPr>
          <w:rFonts w:ascii="Times" w:eastAsia="Times New Roman" w:hAnsi="Times" w:cs="Times New Roman"/>
        </w:rPr>
      </w:pPr>
    </w:p>
    <w:p w14:paraId="73C2C295" w14:textId="0CD31ED7" w:rsidR="00645F08" w:rsidRPr="004F1D23" w:rsidRDefault="002E60F7" w:rsidP="00914FAF">
      <w:pPr>
        <w:jc w:val="both"/>
        <w:rPr>
          <w:rFonts w:ascii="Times" w:eastAsia="Times New Roman" w:hAnsi="Times" w:cs="Times New Roman"/>
        </w:rPr>
      </w:pPr>
      <w:r w:rsidRPr="004F1D23">
        <w:rPr>
          <w:rFonts w:ascii="Times" w:eastAsia="Times New Roman" w:hAnsi="Times" w:cs="Times New Roman"/>
        </w:rPr>
        <w:t xml:space="preserve"> </w:t>
      </w:r>
    </w:p>
    <w:p w14:paraId="7BB3B23E" w14:textId="77777777" w:rsidR="00CC4A8F" w:rsidRPr="004F1D23" w:rsidRDefault="00CC4A8F" w:rsidP="00914FAF">
      <w:pPr>
        <w:jc w:val="both"/>
        <w:rPr>
          <w:rFonts w:ascii="Times" w:hAnsi="Times" w:cs="Times New Roman"/>
        </w:rPr>
      </w:pPr>
    </w:p>
    <w:p w14:paraId="3022A358" w14:textId="1EBB6837" w:rsidR="00087A74" w:rsidRPr="004F1D23" w:rsidRDefault="00087A74" w:rsidP="00914FAF">
      <w:pPr>
        <w:jc w:val="both"/>
        <w:rPr>
          <w:rFonts w:ascii="Times" w:hAnsi="Times"/>
        </w:rPr>
      </w:pPr>
    </w:p>
    <w:p w14:paraId="6935DC94" w14:textId="77777777" w:rsidR="00D814AE" w:rsidRPr="004F1D23" w:rsidRDefault="00D814AE" w:rsidP="00914FAF">
      <w:pPr>
        <w:jc w:val="both"/>
        <w:rPr>
          <w:rFonts w:ascii="Times" w:hAnsi="Times"/>
        </w:rPr>
      </w:pPr>
    </w:p>
    <w:p w14:paraId="525C0AE8" w14:textId="77777777" w:rsidR="00D814AE" w:rsidRPr="004F1D23" w:rsidRDefault="00D814AE" w:rsidP="00914FAF">
      <w:pPr>
        <w:jc w:val="both"/>
        <w:rPr>
          <w:rFonts w:ascii="Times" w:hAnsi="Times"/>
        </w:rPr>
      </w:pPr>
    </w:p>
    <w:p w14:paraId="2E9173D7" w14:textId="77777777" w:rsidR="00D92983" w:rsidRPr="004F1D23" w:rsidRDefault="00D92983" w:rsidP="00914FAF">
      <w:pPr>
        <w:jc w:val="both"/>
        <w:rPr>
          <w:rFonts w:ascii="Times" w:hAnsi="Times"/>
        </w:rPr>
      </w:pPr>
    </w:p>
    <w:p w14:paraId="4D3E2574" w14:textId="3D024D31" w:rsidR="00386946" w:rsidRPr="004F1D23" w:rsidRDefault="00386946" w:rsidP="00914FAF">
      <w:pPr>
        <w:jc w:val="both"/>
        <w:rPr>
          <w:rFonts w:ascii="Times" w:hAnsi="Times"/>
          <w:i/>
        </w:rPr>
      </w:pPr>
    </w:p>
    <w:p w14:paraId="15FD347C" w14:textId="77777777" w:rsidR="00386946" w:rsidRPr="004F1D23" w:rsidRDefault="00386946" w:rsidP="00914FAF">
      <w:pPr>
        <w:jc w:val="both"/>
        <w:rPr>
          <w:rFonts w:ascii="Times" w:hAnsi="Times"/>
        </w:rPr>
      </w:pPr>
    </w:p>
    <w:p w14:paraId="1BB2E795" w14:textId="77777777" w:rsidR="00386946" w:rsidRPr="004F1D23" w:rsidRDefault="00386946" w:rsidP="00914FAF">
      <w:pPr>
        <w:jc w:val="both"/>
        <w:rPr>
          <w:rFonts w:ascii="Times" w:hAnsi="Times"/>
        </w:rPr>
      </w:pPr>
    </w:p>
    <w:p w14:paraId="2D2F3A29" w14:textId="77777777" w:rsidR="008B61CC" w:rsidRPr="004F1D23" w:rsidRDefault="008B61CC" w:rsidP="00914FAF">
      <w:pPr>
        <w:jc w:val="both"/>
        <w:rPr>
          <w:rFonts w:ascii="Times" w:hAnsi="Times"/>
        </w:rPr>
      </w:pPr>
    </w:p>
    <w:p w14:paraId="0AD46875" w14:textId="77777777" w:rsidR="008B61CC" w:rsidRPr="004F1D23" w:rsidRDefault="008B61CC" w:rsidP="00914FAF">
      <w:pPr>
        <w:jc w:val="both"/>
        <w:rPr>
          <w:rFonts w:ascii="Times" w:hAnsi="Times"/>
        </w:rPr>
      </w:pPr>
    </w:p>
    <w:p w14:paraId="2EAD772C" w14:textId="77777777" w:rsidR="00201732" w:rsidRPr="004F1D23" w:rsidRDefault="00201732" w:rsidP="00914FAF">
      <w:pPr>
        <w:jc w:val="both"/>
        <w:rPr>
          <w:rFonts w:ascii="Times" w:hAnsi="Times"/>
        </w:rPr>
      </w:pPr>
    </w:p>
    <w:p w14:paraId="11E4FB99" w14:textId="77777777" w:rsidR="00B419E2" w:rsidRPr="004F1D23" w:rsidRDefault="00B419E2" w:rsidP="00914FAF">
      <w:pPr>
        <w:jc w:val="both"/>
        <w:rPr>
          <w:rFonts w:ascii="Times" w:hAnsi="Times"/>
        </w:rPr>
      </w:pPr>
    </w:p>
    <w:p w14:paraId="1D7E8616" w14:textId="5FCE2FE4" w:rsidR="0021529E" w:rsidRPr="004F1D23" w:rsidRDefault="0021529E" w:rsidP="00914FAF">
      <w:pPr>
        <w:jc w:val="both"/>
        <w:rPr>
          <w:rFonts w:ascii="Times" w:hAnsi="Times"/>
        </w:rPr>
      </w:pPr>
    </w:p>
    <w:sectPr w:rsidR="0021529E" w:rsidRPr="004F1D23" w:rsidSect="00526FE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3A853" w14:textId="77777777" w:rsidR="004F1D23" w:rsidRDefault="004F1D23" w:rsidP="00A53443">
      <w:r>
        <w:separator/>
      </w:r>
    </w:p>
  </w:endnote>
  <w:endnote w:type="continuationSeparator" w:id="0">
    <w:p w14:paraId="522F9B90" w14:textId="77777777" w:rsidR="004F1D23" w:rsidRDefault="004F1D23" w:rsidP="00A5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0∞¸ø◊G·">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22A8" w14:textId="77777777" w:rsidR="004F1D23" w:rsidRDefault="004F1D23" w:rsidP="00D26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DD109" w14:textId="77777777" w:rsidR="004F1D23" w:rsidRDefault="004F1D23" w:rsidP="00D26A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7630A" w14:textId="77777777" w:rsidR="004F1D23" w:rsidRDefault="004F1D23" w:rsidP="00D26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E7D">
      <w:rPr>
        <w:rStyle w:val="PageNumber"/>
        <w:noProof/>
      </w:rPr>
      <w:t>1</w:t>
    </w:r>
    <w:r>
      <w:rPr>
        <w:rStyle w:val="PageNumber"/>
      </w:rPr>
      <w:fldChar w:fldCharType="end"/>
    </w:r>
  </w:p>
  <w:p w14:paraId="3F917F24" w14:textId="77777777" w:rsidR="004F1D23" w:rsidRDefault="004F1D23" w:rsidP="00D26A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BE41" w14:textId="77777777" w:rsidR="004F1D23" w:rsidRDefault="004F1D23" w:rsidP="00A53443">
      <w:r>
        <w:separator/>
      </w:r>
    </w:p>
  </w:footnote>
  <w:footnote w:type="continuationSeparator" w:id="0">
    <w:p w14:paraId="334CFF9A" w14:textId="77777777" w:rsidR="004F1D23" w:rsidRDefault="004F1D23" w:rsidP="00A53443">
      <w:r>
        <w:continuationSeparator/>
      </w:r>
    </w:p>
  </w:footnote>
  <w:footnote w:id="1">
    <w:p w14:paraId="41759CA7" w14:textId="254F0CF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Judgment 14</w:t>
      </w:r>
      <w:r w:rsidRPr="006B38CB">
        <w:rPr>
          <w:rFonts w:ascii="Times" w:hAnsi="Times"/>
          <w:sz w:val="20"/>
          <w:szCs w:val="20"/>
          <w:vertAlign w:val="superscript"/>
        </w:rPr>
        <w:t>th</w:t>
      </w:r>
      <w:r w:rsidRPr="006B38CB">
        <w:rPr>
          <w:rFonts w:ascii="Times" w:hAnsi="Times"/>
          <w:sz w:val="20"/>
          <w:szCs w:val="20"/>
        </w:rPr>
        <w:t xml:space="preserve"> June 2016; the UK referendum on EU membership was held on the 23</w:t>
      </w:r>
      <w:r w:rsidRPr="006B38CB">
        <w:rPr>
          <w:rFonts w:ascii="Times" w:hAnsi="Times"/>
          <w:sz w:val="20"/>
          <w:szCs w:val="20"/>
          <w:vertAlign w:val="superscript"/>
        </w:rPr>
        <w:t>rd</w:t>
      </w:r>
      <w:r w:rsidRPr="006B38CB">
        <w:rPr>
          <w:rFonts w:ascii="Times" w:hAnsi="Times"/>
          <w:sz w:val="20"/>
          <w:szCs w:val="20"/>
        </w:rPr>
        <w:t xml:space="preserve"> of June 2016.</w:t>
      </w:r>
    </w:p>
  </w:footnote>
  <w:footnote w:id="2">
    <w:p w14:paraId="609C5B31" w14:textId="6D2AF5B8" w:rsidR="004F1D23" w:rsidRPr="006B38CB" w:rsidRDefault="004F1D23" w:rsidP="000D379F">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C-85/96, </w:t>
      </w:r>
      <w:r w:rsidRPr="006B38CB">
        <w:rPr>
          <w:rFonts w:ascii="Times" w:eastAsia="Times New Roman" w:hAnsi="Times" w:cs="Times New Roman"/>
          <w:bCs/>
          <w:i/>
          <w:sz w:val="20"/>
          <w:szCs w:val="20"/>
          <w:shd w:val="clear" w:color="auto" w:fill="FFFFFF"/>
        </w:rPr>
        <w:t>María Martínez Sala v Freistaat Bayern</w:t>
      </w:r>
      <w:r w:rsidRPr="006B38CB">
        <w:rPr>
          <w:rFonts w:ascii="Times" w:eastAsia="Times New Roman" w:hAnsi="Times" w:cs="Times New Roman"/>
          <w:bCs/>
          <w:sz w:val="20"/>
          <w:szCs w:val="20"/>
          <w:shd w:val="clear" w:color="auto" w:fill="FFFFFF"/>
        </w:rPr>
        <w:t>,</w:t>
      </w:r>
      <w:r w:rsidRPr="006B38CB">
        <w:rPr>
          <w:rFonts w:ascii="Times" w:hAnsi="Times"/>
          <w:i/>
          <w:sz w:val="20"/>
          <w:szCs w:val="20"/>
        </w:rPr>
        <w:t xml:space="preserve"> </w:t>
      </w:r>
      <w:r w:rsidRPr="006B38CB">
        <w:rPr>
          <w:rFonts w:ascii="Times" w:eastAsia="Times New Roman" w:hAnsi="Times" w:cs="Times New Roman"/>
          <w:bCs/>
          <w:sz w:val="20"/>
          <w:szCs w:val="20"/>
          <w:shd w:val="clear" w:color="auto" w:fill="FFFFFF"/>
        </w:rPr>
        <w:t>EU:C:1998:217</w:t>
      </w:r>
      <w:r w:rsidRPr="006B38CB">
        <w:rPr>
          <w:rFonts w:ascii="Times" w:hAnsi="Times"/>
          <w:i/>
          <w:sz w:val="20"/>
          <w:szCs w:val="20"/>
        </w:rPr>
        <w:t xml:space="preserve">; </w:t>
      </w:r>
      <w:r w:rsidRPr="006B38CB">
        <w:rPr>
          <w:rFonts w:ascii="Times" w:hAnsi="Times"/>
          <w:sz w:val="20"/>
          <w:szCs w:val="20"/>
        </w:rPr>
        <w:t xml:space="preserve">Case C-456/02, </w:t>
      </w:r>
      <w:r w:rsidRPr="006B38CB">
        <w:rPr>
          <w:rFonts w:ascii="Times" w:eastAsia="Times New Roman" w:hAnsi="Times" w:cs="Times New Roman"/>
          <w:bCs/>
          <w:i/>
          <w:sz w:val="20"/>
          <w:szCs w:val="20"/>
          <w:shd w:val="clear" w:color="auto" w:fill="FFFFFF"/>
        </w:rPr>
        <w:t xml:space="preserve">Michel Trojani v Centre public d'aide sociale de Bruxelles, </w:t>
      </w:r>
      <w:r w:rsidRPr="006B38CB">
        <w:rPr>
          <w:rFonts w:ascii="Times" w:eastAsia="Times New Roman" w:hAnsi="Times" w:cs="Times New Roman"/>
          <w:bCs/>
          <w:sz w:val="20"/>
          <w:szCs w:val="20"/>
          <w:shd w:val="clear" w:color="auto" w:fill="FFFFFF"/>
        </w:rPr>
        <w:t>EU:C:2004:488</w:t>
      </w:r>
      <w:r w:rsidRPr="006B38CB">
        <w:rPr>
          <w:rFonts w:ascii="Times" w:hAnsi="Times"/>
          <w:i/>
          <w:sz w:val="20"/>
          <w:szCs w:val="20"/>
        </w:rPr>
        <w:t xml:space="preserve">; </w:t>
      </w:r>
      <w:r w:rsidRPr="006B38CB">
        <w:rPr>
          <w:rFonts w:ascii="Times" w:hAnsi="Times"/>
          <w:sz w:val="20"/>
          <w:szCs w:val="20"/>
        </w:rPr>
        <w:t xml:space="preserve">Case C-413/99, </w:t>
      </w:r>
      <w:r w:rsidRPr="006B38CB">
        <w:rPr>
          <w:rFonts w:ascii="Times" w:eastAsia="Times New Roman" w:hAnsi="Times" w:cs="Times New Roman"/>
          <w:bCs/>
          <w:i/>
          <w:sz w:val="20"/>
          <w:szCs w:val="20"/>
          <w:shd w:val="clear" w:color="auto" w:fill="FFFFFF"/>
        </w:rPr>
        <w:t>Baumbast and R v Secretary of State for the Home Department</w:t>
      </w:r>
      <w:r w:rsidRPr="006B38CB">
        <w:rPr>
          <w:rFonts w:ascii="Times" w:eastAsia="Times New Roman" w:hAnsi="Times" w:cs="Times New Roman"/>
          <w:bCs/>
          <w:sz w:val="20"/>
          <w:szCs w:val="20"/>
          <w:shd w:val="clear" w:color="auto" w:fill="FFFFFF"/>
        </w:rPr>
        <w:t>,</w:t>
      </w:r>
      <w:r w:rsidRPr="006B38CB">
        <w:rPr>
          <w:rFonts w:ascii="Times" w:hAnsi="Times"/>
          <w:i/>
          <w:sz w:val="20"/>
          <w:szCs w:val="20"/>
        </w:rPr>
        <w:t xml:space="preserve"> </w:t>
      </w:r>
      <w:r w:rsidRPr="006B38CB">
        <w:rPr>
          <w:rFonts w:ascii="Times" w:eastAsia="Times New Roman" w:hAnsi="Times" w:cs="Times New Roman"/>
          <w:bCs/>
          <w:sz w:val="20"/>
          <w:szCs w:val="20"/>
          <w:shd w:val="clear" w:color="auto" w:fill="FFFFFF"/>
        </w:rPr>
        <w:t>EU:C:2002:493</w:t>
      </w:r>
      <w:r w:rsidRPr="006B38CB">
        <w:rPr>
          <w:rFonts w:ascii="Times" w:hAnsi="Times"/>
          <w:i/>
          <w:sz w:val="20"/>
          <w:szCs w:val="20"/>
        </w:rPr>
        <w:t xml:space="preserve">; </w:t>
      </w:r>
      <w:r w:rsidRPr="006B38CB">
        <w:rPr>
          <w:rFonts w:ascii="Times" w:hAnsi="Times"/>
          <w:sz w:val="20"/>
          <w:szCs w:val="20"/>
        </w:rPr>
        <w:t xml:space="preserve">Case C-34/09, </w:t>
      </w:r>
      <w:r w:rsidRPr="006B38CB">
        <w:rPr>
          <w:rFonts w:ascii="Times" w:eastAsia="Times New Roman" w:hAnsi="Times" w:cs="Times New Roman"/>
          <w:bCs/>
          <w:i/>
          <w:sz w:val="20"/>
          <w:szCs w:val="20"/>
          <w:shd w:val="clear" w:color="auto" w:fill="FFFFFF"/>
        </w:rPr>
        <w:t>Gerardo Ruiz Zambrano v Office national de l’emploi (ONEm)</w:t>
      </w:r>
      <w:r w:rsidRPr="006B38CB">
        <w:rPr>
          <w:rFonts w:ascii="Times" w:eastAsia="Times New Roman" w:hAnsi="Times" w:cs="Times New Roman"/>
          <w:bCs/>
          <w:sz w:val="20"/>
          <w:szCs w:val="20"/>
          <w:shd w:val="clear" w:color="auto" w:fill="FFFFFF"/>
        </w:rPr>
        <w:t>,</w:t>
      </w:r>
      <w:r w:rsidRPr="006B38CB">
        <w:rPr>
          <w:rFonts w:ascii="Times" w:eastAsia="Times New Roman" w:hAnsi="Times" w:cs="Times New Roman"/>
          <w:sz w:val="20"/>
          <w:szCs w:val="20"/>
        </w:rPr>
        <w:t xml:space="preserve"> </w:t>
      </w:r>
      <w:r w:rsidRPr="006B38CB">
        <w:rPr>
          <w:rFonts w:ascii="Times" w:eastAsia="Times New Roman" w:hAnsi="Times" w:cs="Times New Roman"/>
          <w:bCs/>
          <w:sz w:val="20"/>
          <w:szCs w:val="20"/>
          <w:shd w:val="clear" w:color="auto" w:fill="FFFFFF"/>
        </w:rPr>
        <w:t>EU:C:2011:124</w:t>
      </w:r>
      <w:r w:rsidRPr="006B38CB">
        <w:rPr>
          <w:rFonts w:ascii="Times" w:hAnsi="Times"/>
          <w:i/>
          <w:sz w:val="20"/>
          <w:szCs w:val="20"/>
        </w:rPr>
        <w:t xml:space="preserve">; </w:t>
      </w:r>
      <w:r w:rsidRPr="006B38CB">
        <w:rPr>
          <w:rFonts w:ascii="Times" w:hAnsi="Times"/>
          <w:sz w:val="20"/>
          <w:szCs w:val="20"/>
        </w:rPr>
        <w:t xml:space="preserve">on developments in EU citizenship, see Nic Shuibhne, </w:t>
      </w:r>
      <w:r w:rsidRPr="006B38CB">
        <w:rPr>
          <w:rFonts w:ascii="Times" w:eastAsia="Times New Roman" w:hAnsi="Times" w:cs="Arial"/>
          <w:sz w:val="20"/>
          <w:szCs w:val="20"/>
          <w:shd w:val="clear" w:color="auto" w:fill="FFFFFF"/>
        </w:rPr>
        <w:t>“The Resilience of EU Market Citizenship”, 47 CML Rev, (2010), 1597; Kochenov, “</w:t>
      </w:r>
      <w:r w:rsidRPr="006B38CB">
        <w:rPr>
          <w:rFonts w:ascii="Times" w:eastAsia="Times New Roman" w:hAnsi="Times" w:cs="Times New Roman"/>
          <w:sz w:val="20"/>
          <w:szCs w:val="20"/>
        </w:rPr>
        <w:t>The Essence of European Citizenship Emerging from the Last Ten Years of Academic Debate: Beyond the Cherry Blossoms and the Moon?</w:t>
      </w:r>
      <w:r w:rsidRPr="006B38CB">
        <w:rPr>
          <w:rFonts w:ascii="Times" w:eastAsia="Times New Roman" w:hAnsi="Times" w:cs="Times New Roman"/>
          <w:bCs/>
          <w:sz w:val="20"/>
          <w:szCs w:val="20"/>
        </w:rPr>
        <w:t xml:space="preserve">”, 62 </w:t>
      </w:r>
      <w:r w:rsidRPr="006B38CB">
        <w:rPr>
          <w:rFonts w:ascii="Times" w:eastAsia="Times New Roman" w:hAnsi="Times" w:cs="Times New Roman"/>
          <w:i/>
          <w:sz w:val="20"/>
          <w:szCs w:val="20"/>
          <w:shd w:val="clear" w:color="auto" w:fill="FFFFFF"/>
        </w:rPr>
        <w:t>International &amp; comparative law quarterly,</w:t>
      </w:r>
      <w:r w:rsidRPr="006B38CB">
        <w:rPr>
          <w:rFonts w:ascii="Times" w:eastAsia="Times New Roman" w:hAnsi="Times" w:cs="Times New Roman"/>
          <w:sz w:val="20"/>
          <w:szCs w:val="20"/>
          <w:shd w:val="clear" w:color="auto" w:fill="FFFFFF"/>
        </w:rPr>
        <w:t xml:space="preserve"> (2013), 97.</w:t>
      </w:r>
    </w:p>
  </w:footnote>
  <w:footnote w:id="3">
    <w:p w14:paraId="0380023E" w14:textId="335E7E5F" w:rsidR="004F1D23" w:rsidRPr="006B38CB" w:rsidRDefault="004F1D23" w:rsidP="000D379F">
      <w:pPr>
        <w:widowControl w:val="0"/>
        <w:autoSpaceDE w:val="0"/>
        <w:autoSpaceDN w:val="0"/>
        <w:adjustRightInd w:val="0"/>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 xml:space="preserve">Hailbronner, “Union citizenship and access to social benefits”, 42 CML Rev. (2005), 1245; Tomuschat, annotation of </w:t>
      </w:r>
      <w:r w:rsidRPr="006B38CB">
        <w:rPr>
          <w:rFonts w:ascii="Times" w:hAnsi="Times" w:cs="Times New Roman"/>
          <w:i/>
          <w:sz w:val="20"/>
          <w:szCs w:val="20"/>
          <w:lang w:val="en-US"/>
        </w:rPr>
        <w:t>Martínez Sala</w:t>
      </w:r>
      <w:r w:rsidRPr="006B38CB">
        <w:rPr>
          <w:rFonts w:ascii="Times" w:hAnsi="Times" w:cs="Times New Roman"/>
          <w:sz w:val="20"/>
          <w:szCs w:val="20"/>
          <w:lang w:val="en-US"/>
        </w:rPr>
        <w:t>, 37 CML Rev. (2000), 449; Somek, “Solidarity decomposed: Being and time in European citizenship”, 32 EL Rev. (2007), 787.</w:t>
      </w:r>
    </w:p>
  </w:footnote>
  <w:footnote w:id="4">
    <w:p w14:paraId="1B643B80" w14:textId="77777777" w:rsidR="004F1D23" w:rsidRPr="006B38CB" w:rsidRDefault="004F1D23" w:rsidP="004E060D">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C-184/99, </w:t>
      </w:r>
      <w:r w:rsidRPr="006B38CB">
        <w:rPr>
          <w:rFonts w:ascii="Times" w:eastAsia="Times New Roman" w:hAnsi="Times" w:cs="Lucida Grande"/>
          <w:bCs/>
          <w:i/>
          <w:sz w:val="20"/>
          <w:szCs w:val="20"/>
          <w:bdr w:val="none" w:sz="0" w:space="0" w:color="auto" w:frame="1"/>
          <w:shd w:val="clear" w:color="auto" w:fill="FFFFFF"/>
        </w:rPr>
        <w:t>Rudy Grzelczyk v Centre public d'aide sociale d'Ottignies-Louvain-la-Neuve</w:t>
      </w:r>
      <w:r w:rsidRPr="006B38CB">
        <w:rPr>
          <w:rFonts w:ascii="Times" w:hAnsi="Times"/>
          <w:sz w:val="20"/>
          <w:szCs w:val="20"/>
        </w:rPr>
        <w:t>, E</w:t>
      </w:r>
      <w:r w:rsidRPr="006B38CB">
        <w:rPr>
          <w:rFonts w:ascii="Times" w:eastAsia="Times New Roman" w:hAnsi="Times" w:cs="Lucida Grande"/>
          <w:sz w:val="20"/>
          <w:szCs w:val="20"/>
          <w:shd w:val="clear" w:color="auto" w:fill="FFFFFF"/>
        </w:rPr>
        <w:t>U:C:2001:458.</w:t>
      </w:r>
    </w:p>
  </w:footnote>
  <w:footnote w:id="5">
    <w:p w14:paraId="33E80E70" w14:textId="365DFEFA" w:rsidR="004F1D23" w:rsidRPr="006B38CB" w:rsidRDefault="004F1D23" w:rsidP="000D379F">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shd w:val="clear" w:color="auto" w:fill="FFFFFF"/>
        </w:rPr>
        <w:t xml:space="preserve">Though the construction has not always been coherent, and has created a ‘patchwork’ of statuses – </w:t>
      </w:r>
      <w:r w:rsidRPr="006B38CB">
        <w:rPr>
          <w:rFonts w:ascii="Times" w:eastAsia="Times New Roman" w:hAnsi="Times" w:cs="Times New Roman"/>
          <w:sz w:val="20"/>
          <w:szCs w:val="20"/>
        </w:rPr>
        <w:t>O’Brien, “I trade, therefore I am: Legal personhood in the European Union”, 50 CML Rev. (2013), 1643.</w:t>
      </w:r>
    </w:p>
  </w:footnote>
  <w:footnote w:id="6">
    <w:p w14:paraId="0C7C3F04" w14:textId="76BF66B2" w:rsidR="004F1D23" w:rsidRPr="006B38CB" w:rsidRDefault="004F1D23" w:rsidP="004E060D">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w:t>
      </w:r>
      <w:r w:rsidRPr="006B38CB">
        <w:rPr>
          <w:rFonts w:ascii="Times" w:eastAsia="Times New Roman" w:hAnsi="Times" w:cs="Arial"/>
          <w:bCs/>
          <w:sz w:val="20"/>
          <w:szCs w:val="20"/>
          <w:shd w:val="clear" w:color="auto" w:fill="FFFFFF"/>
        </w:rPr>
        <w:t>C</w:t>
      </w:r>
      <w:r w:rsidRPr="006B38CB">
        <w:rPr>
          <w:rFonts w:ascii="Times" w:eastAsia="Times New Roman" w:hAnsi="Times" w:cs="Arial"/>
          <w:bCs/>
          <w:sz w:val="20"/>
          <w:szCs w:val="20"/>
          <w:shd w:val="clear" w:color="auto" w:fill="FFFFFF"/>
        </w:rPr>
        <w:noBreakHyphen/>
        <w:t xml:space="preserve">165/14, </w:t>
      </w:r>
      <w:r w:rsidRPr="006B38CB">
        <w:rPr>
          <w:rFonts w:ascii="Times" w:hAnsi="Times" w:cs="Arial"/>
          <w:bCs/>
          <w:i/>
          <w:sz w:val="20"/>
          <w:szCs w:val="20"/>
        </w:rPr>
        <w:t>Alfredo Rendón Marín v Administración del Estado</w:t>
      </w:r>
      <w:r w:rsidRPr="006B38CB">
        <w:rPr>
          <w:rFonts w:ascii="Times" w:hAnsi="Times" w:cs="Arial"/>
          <w:bCs/>
          <w:sz w:val="20"/>
          <w:szCs w:val="20"/>
        </w:rPr>
        <w:t>, Opinion of AG Szpunar delivered on the 4</w:t>
      </w:r>
      <w:r w:rsidRPr="006B38CB">
        <w:rPr>
          <w:rFonts w:ascii="Times" w:hAnsi="Times" w:cs="Arial"/>
          <w:bCs/>
          <w:sz w:val="20"/>
          <w:szCs w:val="20"/>
          <w:vertAlign w:val="superscript"/>
        </w:rPr>
        <w:t>th</w:t>
      </w:r>
      <w:r w:rsidRPr="006B38CB">
        <w:rPr>
          <w:rFonts w:ascii="Times" w:hAnsi="Times" w:cs="Arial"/>
          <w:bCs/>
          <w:sz w:val="20"/>
          <w:szCs w:val="20"/>
        </w:rPr>
        <w:t xml:space="preserve"> Feburary 2016, </w:t>
      </w:r>
      <w:r w:rsidRPr="006B38CB">
        <w:rPr>
          <w:rFonts w:ascii="Times" w:eastAsia="Times New Roman" w:hAnsi="Times" w:cs="Lucida Grande"/>
          <w:sz w:val="20"/>
          <w:szCs w:val="20"/>
          <w:shd w:val="clear" w:color="auto" w:fill="FFFFFF"/>
        </w:rPr>
        <w:t>EU:C:2016:75, at para 110.</w:t>
      </w:r>
    </w:p>
  </w:footnote>
  <w:footnote w:id="7">
    <w:p w14:paraId="703F7B2C" w14:textId="3E54CA16" w:rsidR="004F1D23" w:rsidRPr="006B38CB" w:rsidRDefault="004F1D23" w:rsidP="00B447F4">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Nic Shuibhne, </w:t>
      </w:r>
      <w:r w:rsidRPr="006B38CB">
        <w:rPr>
          <w:rFonts w:ascii="Times" w:eastAsia="Times New Roman" w:hAnsi="Times" w:cs="Arial"/>
          <w:sz w:val="20"/>
          <w:szCs w:val="20"/>
          <w:shd w:val="clear" w:color="auto" w:fill="FFFFFF"/>
        </w:rPr>
        <w:t>“Limits rising, duties ascending: The changing legal shape of Union citizenship”, 52 CML Rev, (2015), 889; Giubboni “</w:t>
      </w:r>
      <w:r w:rsidRPr="006B38CB">
        <w:rPr>
          <w:rFonts w:ascii="Times" w:eastAsia="Times New Roman" w:hAnsi="Times" w:cs="Times New Roman"/>
          <w:sz w:val="20"/>
          <w:szCs w:val="20"/>
        </w:rPr>
        <w:t>Free Movement of Persons and European Solidarity Revisited” 7(3) Perspectives on Federalism (2015) E1; Thym, “The elusive limits of solidarity: Residence rights of and social benefits for economically inactive Union citizens”, 52 CML Rev. (2015), 17–50.</w:t>
      </w:r>
    </w:p>
  </w:footnote>
  <w:footnote w:id="8">
    <w:p w14:paraId="63914A9B" w14:textId="7D46954B" w:rsidR="004F1D23" w:rsidRPr="006B38CB" w:rsidRDefault="004F1D23" w:rsidP="0011334F">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C-140/12, </w:t>
      </w:r>
      <w:r w:rsidRPr="006B38CB">
        <w:rPr>
          <w:rStyle w:val="Strong"/>
          <w:rFonts w:ascii="Times" w:eastAsia="Times New Roman" w:hAnsi="Times" w:cs="Lucida Grande"/>
          <w:b w:val="0"/>
          <w:i/>
          <w:sz w:val="20"/>
          <w:szCs w:val="20"/>
          <w:bdr w:val="none" w:sz="0" w:space="0" w:color="auto" w:frame="1"/>
          <w:shd w:val="clear" w:color="auto" w:fill="FFFFFF"/>
        </w:rPr>
        <w:t>Pensionsversicherungsanstalt v Peter Brey</w:t>
      </w:r>
      <w:r w:rsidRPr="006B38CB">
        <w:rPr>
          <w:rStyle w:val="Strong"/>
          <w:rFonts w:ascii="Times" w:eastAsia="Times New Roman" w:hAnsi="Times" w:cs="Lucida Grande"/>
          <w:b w:val="0"/>
          <w:sz w:val="20"/>
          <w:szCs w:val="20"/>
          <w:bdr w:val="none" w:sz="0" w:space="0" w:color="auto" w:frame="1"/>
          <w:shd w:val="clear" w:color="auto" w:fill="FFFFFF"/>
        </w:rPr>
        <w:t>,</w:t>
      </w:r>
      <w:r w:rsidRPr="006B38CB">
        <w:rPr>
          <w:rFonts w:ascii="Times" w:eastAsia="Times New Roman" w:hAnsi="Times" w:cs="Lucida Grande"/>
          <w:sz w:val="20"/>
          <w:szCs w:val="20"/>
          <w:shd w:val="clear" w:color="auto" w:fill="FFFFFF"/>
        </w:rPr>
        <w:t xml:space="preserve"> EU:C:2013:565.</w:t>
      </w:r>
    </w:p>
  </w:footnote>
  <w:footnote w:id="9">
    <w:p w14:paraId="57E7F8B2" w14:textId="16BD7538" w:rsidR="004F1D23" w:rsidRPr="006B38CB" w:rsidRDefault="004F1D23" w:rsidP="0011334F">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C-333/13, </w:t>
      </w:r>
      <w:r w:rsidRPr="006B38CB">
        <w:rPr>
          <w:rFonts w:ascii="Times" w:eastAsia="Times New Roman" w:hAnsi="Times" w:cs="Lucida Grande"/>
          <w:bCs/>
          <w:i/>
          <w:sz w:val="20"/>
          <w:szCs w:val="20"/>
          <w:bdr w:val="none" w:sz="0" w:space="0" w:color="auto" w:frame="1"/>
          <w:shd w:val="clear" w:color="auto" w:fill="FFFFFF"/>
        </w:rPr>
        <w:t>Elisabeta Dano and Florin Dano v Jobcenter Leipzig</w:t>
      </w:r>
      <w:r w:rsidRPr="006B38CB">
        <w:rPr>
          <w:rFonts w:ascii="Times" w:eastAsia="Times New Roman" w:hAnsi="Times" w:cs="Lucida Grande"/>
          <w:bCs/>
          <w:sz w:val="20"/>
          <w:szCs w:val="20"/>
          <w:bdr w:val="none" w:sz="0" w:space="0" w:color="auto" w:frame="1"/>
          <w:shd w:val="clear" w:color="auto" w:fill="FFFFFF"/>
        </w:rPr>
        <w:t>,</w:t>
      </w:r>
      <w:r w:rsidRPr="006B38CB">
        <w:rPr>
          <w:rFonts w:ascii="Times" w:eastAsia="Times New Roman" w:hAnsi="Times" w:cs="Lucida Grande"/>
          <w:bCs/>
          <w:i/>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EU:C:2014:2358.</w:t>
      </w:r>
    </w:p>
  </w:footnote>
  <w:footnote w:id="10">
    <w:p w14:paraId="793C9D14" w14:textId="1A0C478F" w:rsidR="004F1D23" w:rsidRPr="006B38CB" w:rsidRDefault="004F1D23" w:rsidP="0011334F">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C-67/14, </w:t>
      </w:r>
      <w:r w:rsidRPr="006B38CB">
        <w:rPr>
          <w:rFonts w:ascii="Times" w:eastAsia="Times New Roman" w:hAnsi="Times" w:cs="Lucida Grande"/>
          <w:bCs/>
          <w:i/>
          <w:sz w:val="20"/>
          <w:szCs w:val="20"/>
          <w:bdr w:val="none" w:sz="0" w:space="0" w:color="auto" w:frame="1"/>
          <w:shd w:val="clear" w:color="auto" w:fill="FFFFFF"/>
        </w:rPr>
        <w:t>Jobcenter Berlin Neukölln v Nazifa Alimanovic and Others</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EU:C:2015:597.</w:t>
      </w:r>
    </w:p>
  </w:footnote>
  <w:footnote w:id="11">
    <w:p w14:paraId="2562EEFF" w14:textId="09AEECC2"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Case C-299/14,</w:t>
      </w:r>
      <w:r w:rsidRPr="006B38CB">
        <w:rPr>
          <w:rFonts w:ascii="Times" w:eastAsia="Times New Roman" w:hAnsi="Times" w:cs="Lucida Grande"/>
          <w:bCs/>
          <w:i/>
          <w:sz w:val="20"/>
          <w:szCs w:val="20"/>
          <w:bdr w:val="none" w:sz="0" w:space="0" w:color="auto" w:frame="1"/>
          <w:shd w:val="clear" w:color="auto" w:fill="FFFFFF"/>
        </w:rPr>
        <w:t>Vestische Arbeit Jobcenter Kreis Recklinghausen v Jovanna García-Nieto and Others</w:t>
      </w:r>
      <w:r w:rsidRPr="006B38CB">
        <w:rPr>
          <w:rFonts w:ascii="Times" w:eastAsia="Times New Roman" w:hAnsi="Times" w:cs="Lucida Grande"/>
          <w:bCs/>
          <w:sz w:val="20"/>
          <w:szCs w:val="20"/>
          <w:bdr w:val="none" w:sz="0" w:space="0" w:color="auto" w:frame="1"/>
          <w:shd w:val="clear" w:color="auto" w:fill="FFFFFF"/>
        </w:rPr>
        <w:t>,</w:t>
      </w:r>
      <w:r w:rsidRPr="006B38CB">
        <w:rPr>
          <w:rFonts w:ascii="Times" w:hAnsi="Times"/>
          <w:sz w:val="20"/>
          <w:szCs w:val="20"/>
        </w:rPr>
        <w:t xml:space="preserve"> </w:t>
      </w:r>
      <w:r w:rsidRPr="006B38CB">
        <w:rPr>
          <w:rFonts w:ascii="Times" w:eastAsia="Times New Roman" w:hAnsi="Times" w:cs="Lucida Grande"/>
          <w:sz w:val="20"/>
          <w:szCs w:val="20"/>
          <w:shd w:val="clear" w:color="auto" w:fill="FFFFFF"/>
        </w:rPr>
        <w:t>EU:C:2016:114.</w:t>
      </w:r>
    </w:p>
  </w:footnote>
  <w:footnote w:id="12">
    <w:p w14:paraId="747A3532" w14:textId="22086E0B" w:rsidR="004F1D23" w:rsidRPr="006B38CB" w:rsidRDefault="004F1D23" w:rsidP="0011334F">
      <w:pPr>
        <w:widowControl w:val="0"/>
        <w:autoSpaceDE w:val="0"/>
        <w:autoSpaceDN w:val="0"/>
        <w:adjustRightInd w:val="0"/>
        <w:rPr>
          <w:rFonts w:ascii="Times" w:hAnsi="Times" w:cs="Times New Roman"/>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Section 23 of the Child Benefit (General) Regulations 2006 (as amended by the Child Benefit (General) and the Tax Credits (Residence) (Amendment) Regulations 2014), and Section 3 of the Tax</w:t>
      </w:r>
    </w:p>
    <w:p w14:paraId="0F57B062" w14:textId="77777777" w:rsidR="004F1D23" w:rsidRPr="006B38CB" w:rsidRDefault="004F1D23" w:rsidP="0011334F">
      <w:pPr>
        <w:widowControl w:val="0"/>
        <w:autoSpaceDE w:val="0"/>
        <w:autoSpaceDN w:val="0"/>
        <w:adjustRightInd w:val="0"/>
        <w:rPr>
          <w:rFonts w:ascii="Times" w:hAnsi="Times" w:cs="Times New Roman"/>
          <w:sz w:val="20"/>
          <w:szCs w:val="20"/>
          <w:lang w:val="en-US"/>
        </w:rPr>
      </w:pPr>
      <w:r w:rsidRPr="006B38CB">
        <w:rPr>
          <w:rFonts w:ascii="Times" w:hAnsi="Times" w:cs="Times New Roman"/>
          <w:sz w:val="20"/>
          <w:szCs w:val="20"/>
          <w:lang w:val="en-US"/>
        </w:rPr>
        <w:t>Credits (Residence) Regulations 2003 (as amended by the Child Benefit (General) and the Tax</w:t>
      </w:r>
    </w:p>
    <w:p w14:paraId="321664C3" w14:textId="77777777" w:rsidR="004F1D23" w:rsidRPr="006B38CB" w:rsidRDefault="004F1D23" w:rsidP="0011334F">
      <w:pPr>
        <w:pStyle w:val="FootnoteText"/>
        <w:rPr>
          <w:rFonts w:ascii="Times" w:hAnsi="Times"/>
          <w:sz w:val="20"/>
          <w:szCs w:val="20"/>
          <w:lang w:val="en-US"/>
        </w:rPr>
      </w:pPr>
      <w:r w:rsidRPr="006B38CB">
        <w:rPr>
          <w:rFonts w:ascii="Times" w:hAnsi="Times" w:cs="Times New Roman"/>
          <w:sz w:val="20"/>
          <w:szCs w:val="20"/>
          <w:lang w:val="en-US"/>
        </w:rPr>
        <w:t>Credits (Residence) (Amendment) Regulations 2014).</w:t>
      </w:r>
    </w:p>
  </w:footnote>
  <w:footnote w:id="13">
    <w:p w14:paraId="0548DDDC" w14:textId="77777777" w:rsidR="004F1D23" w:rsidRPr="006B38CB" w:rsidRDefault="004F1D23" w:rsidP="007B0D8C">
      <w:pPr>
        <w:widowControl w:val="0"/>
        <w:autoSpaceDE w:val="0"/>
        <w:autoSpaceDN w:val="0"/>
        <w:adjustRightInd w:val="0"/>
        <w:rPr>
          <w:rFonts w:ascii="Times" w:hAnsi="Times" w:cs="Times New Roman"/>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Directive 2004/38/EC of the European Parliament and of the Council of 29 April 2004 on</w:t>
      </w:r>
    </w:p>
    <w:p w14:paraId="5773E93B" w14:textId="77777777" w:rsidR="004F1D23" w:rsidRPr="006B38CB" w:rsidRDefault="004F1D23" w:rsidP="007B0D8C">
      <w:pPr>
        <w:widowControl w:val="0"/>
        <w:autoSpaceDE w:val="0"/>
        <w:autoSpaceDN w:val="0"/>
        <w:adjustRightInd w:val="0"/>
        <w:rPr>
          <w:rFonts w:ascii="Times" w:hAnsi="Times" w:cs="Times New Roman"/>
          <w:sz w:val="20"/>
          <w:szCs w:val="20"/>
          <w:lang w:val="en-US"/>
        </w:rPr>
      </w:pPr>
      <w:r w:rsidRPr="006B38CB">
        <w:rPr>
          <w:rFonts w:ascii="Times" w:hAnsi="Times" w:cs="Times New Roman"/>
          <w:sz w:val="20"/>
          <w:szCs w:val="20"/>
          <w:lang w:val="en-US"/>
        </w:rPr>
        <w:t>the right of citizens of the Union and their family members to move and reside freely within the</w:t>
      </w:r>
    </w:p>
    <w:p w14:paraId="14C77200" w14:textId="77777777" w:rsidR="004F1D23" w:rsidRPr="006B38CB" w:rsidRDefault="004F1D23" w:rsidP="007B0D8C">
      <w:pPr>
        <w:pStyle w:val="FootnoteText"/>
        <w:rPr>
          <w:rFonts w:ascii="Times" w:hAnsi="Times"/>
          <w:sz w:val="20"/>
          <w:szCs w:val="20"/>
          <w:lang w:val="en-US"/>
        </w:rPr>
      </w:pPr>
      <w:r w:rsidRPr="006B38CB">
        <w:rPr>
          <w:rFonts w:ascii="Times" w:hAnsi="Times" w:cs="Times New Roman"/>
          <w:sz w:val="20"/>
          <w:szCs w:val="20"/>
          <w:lang w:val="en-US"/>
        </w:rPr>
        <w:t>territory of the Member States, O.J. 2004, L 158/77.</w:t>
      </w:r>
    </w:p>
  </w:footnote>
  <w:footnote w:id="14">
    <w:p w14:paraId="5F77614F" w14:textId="19A482C5"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Such that it gave substance to the previously ‘toothless’ citizenship provisions – Jacqueson, ‘Union Citizenship and the Court of Justice: Something new Under the Sun? Towards Social Citizenship’, 27, </w:t>
      </w:r>
      <w:r w:rsidRPr="006B38CB">
        <w:rPr>
          <w:rStyle w:val="documentbody1"/>
          <w:rFonts w:ascii="Times" w:hAnsi="Times"/>
          <w:sz w:val="20"/>
          <w:szCs w:val="20"/>
        </w:rPr>
        <w:t xml:space="preserve">EL Rev, </w:t>
      </w:r>
      <w:r w:rsidRPr="006B38CB">
        <w:rPr>
          <w:rFonts w:ascii="Times" w:hAnsi="Times"/>
          <w:sz w:val="20"/>
          <w:szCs w:val="20"/>
        </w:rPr>
        <w:t xml:space="preserve">(2002), </w:t>
      </w:r>
      <w:r w:rsidRPr="006B38CB">
        <w:rPr>
          <w:rStyle w:val="documentbody1"/>
          <w:rFonts w:ascii="Times" w:hAnsi="Times"/>
          <w:sz w:val="20"/>
          <w:szCs w:val="20"/>
        </w:rPr>
        <w:t>260,</w:t>
      </w:r>
      <w:r w:rsidRPr="006B38CB">
        <w:rPr>
          <w:rFonts w:ascii="Times" w:hAnsi="Times"/>
          <w:sz w:val="20"/>
          <w:szCs w:val="20"/>
        </w:rPr>
        <w:t xml:space="preserve"> at 263.</w:t>
      </w:r>
    </w:p>
  </w:footnote>
  <w:footnote w:id="15">
    <w:p w14:paraId="01DD0824" w14:textId="451D565E"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Since the UK has in any case voted to leave the EU. BBC News ‘EU referendum: the results in maps and charts” 24 June 2016 at &lt;http://www.bbc.co.uk/news/uk-politics-36616028&gt; accessed 29 July 2016. </w:t>
      </w:r>
    </w:p>
  </w:footnote>
  <w:footnote w:id="16">
    <w:p w14:paraId="178E0AE6" w14:textId="2A05A28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Judgment, 21.</w:t>
      </w:r>
    </w:p>
  </w:footnote>
  <w:footnote w:id="17">
    <w:p w14:paraId="45A4527A" w14:textId="77777777" w:rsidR="004F1D23" w:rsidRPr="006B38CB" w:rsidRDefault="004F1D23" w:rsidP="009018E0">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Judgment, 61. </w:t>
      </w:r>
    </w:p>
  </w:footnote>
  <w:footnote w:id="18">
    <w:p w14:paraId="12536B57" w14:textId="6C08C4D8" w:rsidR="004F1D23" w:rsidRPr="006B38CB" w:rsidRDefault="004F1D23" w:rsidP="009018E0">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Regulation (EC) 883/2004 of 29 April 2004 on the coordination of social security systems, O.J. 2004, L 166/1.</w:t>
      </w:r>
    </w:p>
  </w:footnote>
  <w:footnote w:id="19">
    <w:p w14:paraId="7AAA3E30" w14:textId="2774959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Immigration (European Economic Area) Regulations 2006 SI 1003.</w:t>
      </w:r>
    </w:p>
  </w:footnote>
  <w:footnote w:id="20">
    <w:p w14:paraId="6C0EE661" w14:textId="0E98FE35" w:rsidR="004F1D23" w:rsidRPr="006B38CB" w:rsidRDefault="004F1D23" w:rsidP="00F356E3">
      <w:pPr>
        <w:rPr>
          <w:rFonts w:ascii="Times" w:hAnsi="Times"/>
          <w:i/>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i/>
          <w:sz w:val="20"/>
          <w:szCs w:val="20"/>
        </w:rPr>
        <w:t>UK Upper Tribunal, VP v. Secretary for Work and Pensions (JSA)</w:t>
      </w:r>
      <w:r w:rsidRPr="006B38CB">
        <w:rPr>
          <w:rFonts w:ascii="Times" w:eastAsia="Times New Roman" w:hAnsi="Times" w:cs="Times New Roman"/>
          <w:sz w:val="20"/>
          <w:szCs w:val="20"/>
        </w:rPr>
        <w:t>, [2014] UKUT 32 (AAC).</w:t>
      </w:r>
    </w:p>
  </w:footnote>
  <w:footnote w:id="21">
    <w:p w14:paraId="132C65C0" w14:textId="419F58CC" w:rsidR="004F1D23" w:rsidRPr="006B38CB" w:rsidRDefault="004F1D23" w:rsidP="00F356E3">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For example, EU national jobseekers were excluded from Housing Benefit by the </w:t>
      </w:r>
      <w:r w:rsidRPr="006B38CB">
        <w:rPr>
          <w:rFonts w:ascii="Times" w:eastAsia="Times New Roman" w:hAnsi="Times" w:cs="Times New Roman"/>
          <w:sz w:val="20"/>
          <w:szCs w:val="20"/>
        </w:rPr>
        <w:t xml:space="preserve">Housing Benefit (Habitual Residence) Amendment Regulations 2014. For more detail on UK welfare changes impacting on EU jobseekers see O’Brien, “The pillory, the precipice and the slippery slope: The profound effects of the UK’s legal reform programme targeting EU migrants”, 37 </w:t>
      </w:r>
      <w:r w:rsidRPr="006B38CB">
        <w:rPr>
          <w:rFonts w:ascii="Times" w:eastAsia="Times New Roman" w:hAnsi="Times" w:cs="Times New Roman"/>
          <w:i/>
          <w:sz w:val="20"/>
          <w:szCs w:val="20"/>
        </w:rPr>
        <w:t>Journal of Social Welfare and Family Law</w:t>
      </w:r>
      <w:r w:rsidRPr="006B38CB">
        <w:rPr>
          <w:rFonts w:ascii="Times" w:eastAsia="Times New Roman" w:hAnsi="Times" w:cs="Times New Roman"/>
          <w:sz w:val="20"/>
          <w:szCs w:val="20"/>
        </w:rPr>
        <w:t xml:space="preserve"> (2015), at 111–136.</w:t>
      </w:r>
    </w:p>
  </w:footnote>
  <w:footnote w:id="22">
    <w:p w14:paraId="3AAB26F7" w14:textId="1933AF05" w:rsidR="004F1D23" w:rsidRPr="006B38CB" w:rsidRDefault="004F1D23" w:rsidP="00820E92">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Jobseekers were prevented from establishing habitual residence in their first three months of residence by the </w:t>
      </w:r>
      <w:r w:rsidRPr="006B38CB">
        <w:rPr>
          <w:rFonts w:ascii="Times" w:eastAsia="Times New Roman" w:hAnsi="Times" w:cs="Times New Roman"/>
          <w:sz w:val="20"/>
          <w:szCs w:val="20"/>
        </w:rPr>
        <w:t>(Jobseeker’s Allowance: Habitual Residence) Amendment Regulations 2013 SI No. 3196; the total period an EU national can claim a right of residence for if they come to the UK as a jobseeker is six months; they will only be entitled to claim JSA for the second half (91 days in total) of that period: The Immigration (European Economic Area) (Amendment) (No. 3) Regulations 2014.</w:t>
      </w:r>
    </w:p>
  </w:footnote>
  <w:footnote w:id="23">
    <w:p w14:paraId="06788CFB" w14:textId="3A66C737" w:rsidR="004F1D23" w:rsidRPr="006B38CB" w:rsidRDefault="004F1D23" w:rsidP="009018E0">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And they must be working ‘enough’ and for a long enough period to be classified as a worker: O’Brien ‘Civis capitalist sum: Class as the new guiding principle of EU free movement rights”, CML Rev, forthcoming (2016). </w:t>
      </w:r>
    </w:p>
  </w:footnote>
  <w:footnote w:id="24">
    <w:p w14:paraId="163860CD" w14:textId="13F551AA" w:rsidR="004F1D23" w:rsidRPr="006B38CB" w:rsidRDefault="004F1D23" w:rsidP="009018E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w:t>
      </w:r>
      <w:r w:rsidRPr="006B38CB">
        <w:rPr>
          <w:rFonts w:ascii="Times" w:eastAsia="Times New Roman" w:hAnsi="Times" w:cs="Lucida Grande"/>
          <w:bCs/>
          <w:sz w:val="20"/>
          <w:szCs w:val="20"/>
          <w:bdr w:val="none" w:sz="0" w:space="0" w:color="auto" w:frame="1"/>
          <w:shd w:val="clear" w:color="auto" w:fill="FFFFFF"/>
        </w:rPr>
        <w:t>Cruz Villalón</w:t>
      </w:r>
      <w:r w:rsidRPr="006B38CB">
        <w:rPr>
          <w:rFonts w:ascii="Times" w:eastAsia="Times New Roman" w:hAnsi="Times" w:cs="Lucida Grande"/>
          <w:bCs/>
          <w:sz w:val="20"/>
          <w:szCs w:val="20"/>
          <w:u w:val="single"/>
          <w:bdr w:val="none" w:sz="0" w:space="0" w:color="auto" w:frame="1"/>
          <w:shd w:val="clear" w:color="auto" w:fill="FFFFFF"/>
        </w:rPr>
        <w:t xml:space="preserve"> </w:t>
      </w:r>
      <w:r w:rsidRPr="006B38CB">
        <w:rPr>
          <w:rFonts w:ascii="Times" w:hAnsi="Times"/>
          <w:sz w:val="20"/>
          <w:szCs w:val="20"/>
          <w:lang w:val="en-US"/>
        </w:rPr>
        <w:t xml:space="preserve">delivered on 6 October 2015 </w:t>
      </w:r>
      <w:r w:rsidRPr="006B38CB">
        <w:rPr>
          <w:rFonts w:ascii="Times" w:eastAsia="Times New Roman" w:hAnsi="Times" w:cs="Times New Roman"/>
          <w:sz w:val="20"/>
          <w:szCs w:val="20"/>
          <w:shd w:val="clear" w:color="auto" w:fill="FFFFFF"/>
        </w:rPr>
        <w:t>EU:C:2015:666</w:t>
      </w:r>
    </w:p>
  </w:footnote>
  <w:footnote w:id="25">
    <w:p w14:paraId="797B8F96" w14:textId="3069DDC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41.</w:t>
      </w:r>
    </w:p>
  </w:footnote>
  <w:footnote w:id="26">
    <w:p w14:paraId="7EADEA54" w14:textId="5B30EC0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AG </w:t>
      </w:r>
      <w:r w:rsidRPr="006B38CB">
        <w:rPr>
          <w:rFonts w:ascii="Times" w:eastAsia="Times New Roman" w:hAnsi="Times" w:cs="Lucida Grande"/>
          <w:bCs/>
          <w:sz w:val="20"/>
          <w:szCs w:val="20"/>
          <w:bdr w:val="none" w:sz="0" w:space="0" w:color="auto" w:frame="1"/>
          <w:shd w:val="clear" w:color="auto" w:fill="FFFFFF"/>
        </w:rPr>
        <w:t>Cruz Villalón</w:t>
      </w:r>
      <w:r w:rsidRPr="006B38CB">
        <w:rPr>
          <w:rFonts w:ascii="Times" w:hAnsi="Times"/>
          <w:sz w:val="20"/>
          <w:szCs w:val="20"/>
          <w:lang w:val="en-US"/>
        </w:rPr>
        <w:t>, 54.</w:t>
      </w:r>
    </w:p>
  </w:footnote>
  <w:footnote w:id="27">
    <w:p w14:paraId="1135A940" w14:textId="73DFA4F7" w:rsidR="004F1D23" w:rsidRPr="006B38CB" w:rsidRDefault="004F1D23" w:rsidP="009018E0">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53. </w:t>
      </w:r>
    </w:p>
  </w:footnote>
  <w:footnote w:id="28">
    <w:p w14:paraId="7F05F262" w14:textId="58EA1B0E"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57.</w:t>
      </w:r>
    </w:p>
  </w:footnote>
  <w:footnote w:id="29">
    <w:p w14:paraId="50355FCE" w14:textId="7939FC9F"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72.</w:t>
      </w:r>
    </w:p>
  </w:footnote>
  <w:footnote w:id="30">
    <w:p w14:paraId="68D78312" w14:textId="409D54C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74.</w:t>
      </w:r>
    </w:p>
  </w:footnote>
  <w:footnote w:id="31">
    <w:p w14:paraId="78B5A200" w14:textId="7BE631A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w:t>
      </w:r>
    </w:p>
  </w:footnote>
  <w:footnote w:id="32">
    <w:p w14:paraId="005E719D" w14:textId="6E30735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75.</w:t>
      </w:r>
    </w:p>
  </w:footnote>
  <w:footnote w:id="33">
    <w:p w14:paraId="3867300D" w14:textId="34424A7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77.</w:t>
      </w:r>
    </w:p>
  </w:footnote>
  <w:footnote w:id="34">
    <w:p w14:paraId="475972F2" w14:textId="78597BA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84. </w:t>
      </w:r>
    </w:p>
  </w:footnote>
  <w:footnote w:id="35">
    <w:p w14:paraId="6F2D2870" w14:textId="70266B36"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87. </w:t>
      </w:r>
    </w:p>
  </w:footnote>
  <w:footnote w:id="36">
    <w:p w14:paraId="71A4978B" w14:textId="3C56810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93. </w:t>
      </w:r>
    </w:p>
  </w:footnote>
  <w:footnote w:id="37">
    <w:p w14:paraId="774F3332" w14:textId="7E32AA23"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94.</w:t>
      </w:r>
    </w:p>
  </w:footnote>
  <w:footnote w:id="38">
    <w:p w14:paraId="486D180F" w14:textId="3E1AA033"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w:t>
      </w:r>
    </w:p>
  </w:footnote>
  <w:footnote w:id="39">
    <w:p w14:paraId="571B0216" w14:textId="1C911D98"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paras 97-98. </w:t>
      </w:r>
    </w:p>
  </w:footnote>
  <w:footnote w:id="40">
    <w:p w14:paraId="15A5A87D" w14:textId="733033E5"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Consolidated version of the Rules of Procedure of the Court of Justice of 25 September 2012” at &lt;</w:t>
      </w:r>
      <w:r w:rsidRPr="006B38CB">
        <w:rPr>
          <w:rFonts w:ascii="Times" w:hAnsi="Times"/>
          <w:sz w:val="20"/>
          <w:szCs w:val="20"/>
        </w:rPr>
        <w:t xml:space="preserve"> </w:t>
      </w:r>
      <w:r w:rsidRPr="006B38CB">
        <w:rPr>
          <w:rFonts w:ascii="Times" w:eastAsia="Times New Roman" w:hAnsi="Times" w:cs="Times New Roman"/>
          <w:sz w:val="20"/>
          <w:szCs w:val="20"/>
        </w:rPr>
        <w:t>http://curia.europa.eu/jcms/upload/docs/application/pdf/2012-10/rp_en.pdf&gt; accessed 29 July 2016</w:t>
      </w:r>
    </w:p>
  </w:footnote>
  <w:footnote w:id="41">
    <w:p w14:paraId="54879E72" w14:textId="372C5147"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Judgment, para 60. </w:t>
      </w:r>
    </w:p>
  </w:footnote>
  <w:footnote w:id="42">
    <w:p w14:paraId="3B1A509C" w14:textId="4A7D586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Arial"/>
          <w:sz w:val="20"/>
          <w:szCs w:val="20"/>
          <w:shd w:val="clear" w:color="auto" w:fill="FFFFFF"/>
        </w:rPr>
        <w:t>C</w:t>
      </w:r>
      <w:r w:rsidRPr="006B38CB">
        <w:rPr>
          <w:rFonts w:ascii="Times" w:eastAsia="Times New Roman" w:hAnsi="Times" w:cs="Arial"/>
          <w:sz w:val="20"/>
          <w:szCs w:val="20"/>
          <w:shd w:val="clear" w:color="auto" w:fill="FFFFFF"/>
        </w:rPr>
        <w:noBreakHyphen/>
        <w:t>245/94 and C</w:t>
      </w:r>
      <w:r w:rsidRPr="006B38CB">
        <w:rPr>
          <w:rFonts w:ascii="Times" w:eastAsia="Times New Roman" w:hAnsi="Times" w:cs="Arial"/>
          <w:sz w:val="20"/>
          <w:szCs w:val="20"/>
          <w:shd w:val="clear" w:color="auto" w:fill="FFFFFF"/>
        </w:rPr>
        <w:noBreakHyphen/>
        <w:t>312/94, EU:C:1996:379, para 27.</w:t>
      </w:r>
    </w:p>
  </w:footnote>
  <w:footnote w:id="43">
    <w:p w14:paraId="3E5B6854" w14:textId="3F980F2C"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65.</w:t>
      </w:r>
    </w:p>
  </w:footnote>
  <w:footnote w:id="44">
    <w:p w14:paraId="2E8835D6" w14:textId="40EC6218"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67.</w:t>
      </w:r>
    </w:p>
  </w:footnote>
  <w:footnote w:id="45">
    <w:p w14:paraId="71568EF6" w14:textId="696DE118"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68.</w:t>
      </w:r>
    </w:p>
  </w:footnote>
  <w:footnote w:id="46">
    <w:p w14:paraId="7959DF12" w14:textId="376133AE"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71. </w:t>
      </w:r>
    </w:p>
  </w:footnote>
  <w:footnote w:id="47">
    <w:p w14:paraId="69DF8863" w14:textId="401E674E"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83.</w:t>
      </w:r>
    </w:p>
  </w:footnote>
  <w:footnote w:id="48">
    <w:p w14:paraId="7EBCF0BC" w14:textId="0E040F9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84.</w:t>
      </w:r>
    </w:p>
  </w:footnote>
  <w:footnote w:id="49">
    <w:p w14:paraId="1B499269" w14:textId="7F3487A6"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para 85. </w:t>
      </w:r>
    </w:p>
  </w:footnote>
  <w:footnote w:id="50">
    <w:p w14:paraId="73459702" w14:textId="3282C15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i/>
          <w:sz w:val="20"/>
          <w:szCs w:val="20"/>
          <w:lang w:val="en-US"/>
        </w:rPr>
        <w:t>Brey</w:t>
      </w:r>
      <w:r w:rsidRPr="006B38CB">
        <w:rPr>
          <w:rFonts w:ascii="Times" w:hAnsi="Times"/>
          <w:sz w:val="20"/>
          <w:szCs w:val="20"/>
          <w:lang w:val="en-US"/>
        </w:rPr>
        <w:t>, Cit</w:t>
      </w:r>
      <w:r w:rsidRPr="006B38CB">
        <w:rPr>
          <w:rFonts w:ascii="Times" w:hAnsi="Times"/>
          <w:i/>
          <w:sz w:val="20"/>
          <w:szCs w:val="20"/>
          <w:lang w:val="en-US"/>
        </w:rPr>
        <w:t>. supra</w:t>
      </w:r>
      <w:r w:rsidRPr="006B38CB">
        <w:rPr>
          <w:rFonts w:ascii="Times" w:hAnsi="Times"/>
          <w:sz w:val="20"/>
          <w:szCs w:val="20"/>
          <w:lang w:val="en-US"/>
        </w:rPr>
        <w:t xml:space="preserve"> n</w:t>
      </w:r>
      <w:r w:rsidRPr="006B38CB">
        <w:rPr>
          <w:rFonts w:ascii="Times" w:hAnsi="Times"/>
          <w:sz w:val="20"/>
          <w:szCs w:val="20"/>
          <w:lang w:val="en-US"/>
        </w:rPr>
        <w:fldChar w:fldCharType="begin"/>
      </w:r>
      <w:r w:rsidRPr="006B38CB">
        <w:rPr>
          <w:rFonts w:ascii="Times" w:hAnsi="Times"/>
          <w:sz w:val="20"/>
          <w:szCs w:val="20"/>
          <w:lang w:val="en-US"/>
        </w:rPr>
        <w:instrText xml:space="preserve"> NOTEREF _Ref331344117 \h </w:instrText>
      </w:r>
      <w:r w:rsidRPr="006B38CB">
        <w:rPr>
          <w:rFonts w:ascii="Times" w:hAnsi="Times"/>
          <w:sz w:val="20"/>
          <w:szCs w:val="20"/>
          <w:lang w:val="en-US"/>
        </w:rPr>
      </w:r>
      <w:r w:rsidRPr="006B38CB">
        <w:rPr>
          <w:rFonts w:ascii="Times" w:hAnsi="Times"/>
          <w:sz w:val="20"/>
          <w:szCs w:val="20"/>
          <w:lang w:val="en-US"/>
        </w:rPr>
        <w:fldChar w:fldCharType="separate"/>
      </w:r>
      <w:r w:rsidR="0067479A">
        <w:rPr>
          <w:rFonts w:ascii="Times" w:hAnsi="Times"/>
          <w:sz w:val="20"/>
          <w:szCs w:val="20"/>
          <w:lang w:val="en-US"/>
        </w:rPr>
        <w:t>8</w:t>
      </w:r>
      <w:r w:rsidRPr="006B38CB">
        <w:rPr>
          <w:rFonts w:ascii="Times" w:hAnsi="Times"/>
          <w:sz w:val="20"/>
          <w:szCs w:val="20"/>
          <w:lang w:val="en-US"/>
        </w:rPr>
        <w:fldChar w:fldCharType="end"/>
      </w:r>
      <w:r w:rsidRPr="006B38CB">
        <w:rPr>
          <w:rFonts w:ascii="Times" w:hAnsi="Times"/>
          <w:sz w:val="20"/>
          <w:szCs w:val="20"/>
          <w:lang w:val="en-US"/>
        </w:rPr>
        <w:t xml:space="preserve">, para 30. </w:t>
      </w:r>
    </w:p>
  </w:footnote>
  <w:footnote w:id="51">
    <w:p w14:paraId="40EBCAA2" w14:textId="0BF2C5BB"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AG </w:t>
      </w:r>
      <w:r w:rsidRPr="006B38CB">
        <w:rPr>
          <w:rFonts w:ascii="Times" w:eastAsia="Times New Roman" w:hAnsi="Times" w:cs="Lucida Grande"/>
          <w:bCs/>
          <w:sz w:val="20"/>
          <w:szCs w:val="20"/>
          <w:bdr w:val="none" w:sz="0" w:space="0" w:color="auto" w:frame="1"/>
          <w:shd w:val="clear" w:color="auto" w:fill="FFFFFF"/>
        </w:rPr>
        <w:t xml:space="preserve">Cruz Villalón, para 74. </w:t>
      </w:r>
    </w:p>
  </w:footnote>
  <w:footnote w:id="52">
    <w:p w14:paraId="4507D5FE" w14:textId="5C79300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51.</w:t>
      </w:r>
    </w:p>
  </w:footnote>
  <w:footnote w:id="53">
    <w:p w14:paraId="72B7800B" w14:textId="1947738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50. </w:t>
      </w:r>
    </w:p>
  </w:footnote>
  <w:footnote w:id="54">
    <w:p w14:paraId="39A908FC" w14:textId="56913312" w:rsidR="004F1D23" w:rsidRPr="006B38CB" w:rsidRDefault="004F1D23" w:rsidP="00213686">
      <w:pPr>
        <w:pStyle w:val="Heading3"/>
        <w:shd w:val="clear" w:color="auto" w:fill="FFFFFF"/>
        <w:spacing w:before="0"/>
        <w:rPr>
          <w:rFonts w:ascii="Times" w:eastAsia="Times New Roman" w:hAnsi="Times" w:cs="Arial"/>
          <w:b w:val="0"/>
          <w:bCs w:val="0"/>
          <w:color w:val="auto"/>
          <w:sz w:val="20"/>
          <w:szCs w:val="20"/>
        </w:rPr>
      </w:pPr>
      <w:r w:rsidRPr="006B38CB">
        <w:rPr>
          <w:rStyle w:val="FootnoteReference"/>
          <w:rFonts w:ascii="Times" w:hAnsi="Times"/>
          <w:b w:val="0"/>
          <w:color w:val="auto"/>
          <w:sz w:val="20"/>
          <w:szCs w:val="20"/>
        </w:rPr>
        <w:footnoteRef/>
      </w:r>
      <w:r w:rsidRPr="006B38CB">
        <w:rPr>
          <w:rFonts w:ascii="Times" w:hAnsi="Times"/>
          <w:b w:val="0"/>
          <w:color w:val="auto"/>
          <w:sz w:val="20"/>
          <w:szCs w:val="20"/>
        </w:rPr>
        <w:t xml:space="preserve"> </w:t>
      </w:r>
      <w:r w:rsidRPr="006B38CB">
        <w:rPr>
          <w:rFonts w:ascii="Times" w:hAnsi="Times"/>
          <w:b w:val="0"/>
          <w:color w:val="auto"/>
          <w:sz w:val="20"/>
          <w:szCs w:val="20"/>
          <w:lang w:val="en-US"/>
        </w:rPr>
        <w:t xml:space="preserve">Also analysed in O’Brien “An insubstantial pageant fading: </w:t>
      </w:r>
      <w:r w:rsidRPr="006B38CB">
        <w:rPr>
          <w:rFonts w:ascii="Times" w:eastAsia="Times New Roman" w:hAnsi="Times" w:cs="Arial"/>
          <w:b w:val="0"/>
          <w:bCs w:val="0"/>
          <w:color w:val="auto"/>
          <w:sz w:val="20"/>
          <w:szCs w:val="20"/>
        </w:rPr>
        <w:t>a vision of EU citizenship under the AG’s Opinion in C-308/14 Commission v UK” EU Law Analysis, 7 October 2016, at &lt;http://eulawanalysis.blogspot.co.uk/2015/10/an-insubstantial-pageant-fading-vision.html&gt; accessed 29 July 2016.</w:t>
      </w:r>
    </w:p>
  </w:footnote>
  <w:footnote w:id="55">
    <w:p w14:paraId="3016CBF4" w14:textId="5ABACECE" w:rsidR="004F1D23" w:rsidRPr="006B38CB" w:rsidRDefault="004F1D23" w:rsidP="00213686">
      <w:pPr>
        <w:rPr>
          <w:rFonts w:ascii="Times" w:eastAsia="Times New Roman" w:hAnsi="Times" w:cs="Times New Roman"/>
          <w:sz w:val="20"/>
          <w:szCs w:val="20"/>
          <w:shd w:val="clear" w:color="auto" w:fill="FFFFFF"/>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shd w:val="clear" w:color="auto" w:fill="FFFFFF"/>
        </w:rPr>
        <w:t xml:space="preserve">Income Support (General) Regulations 1987, reg 21AA; Jobseeker Allowance Regulations 1996, reg 85A; Employment and Support Allowance Regulations 2008, reg 70(2); State Pension Credit Regulations, reg 2; see Department of Work and Pensions </w:t>
      </w:r>
      <w:r w:rsidRPr="006B38CB">
        <w:rPr>
          <w:rFonts w:ascii="Times" w:eastAsia="Times New Roman" w:hAnsi="Times" w:cs="Times New Roman"/>
          <w:i/>
          <w:sz w:val="20"/>
          <w:szCs w:val="20"/>
          <w:shd w:val="clear" w:color="auto" w:fill="FFFFFF"/>
        </w:rPr>
        <w:t xml:space="preserve">Decision Maker Guidance </w:t>
      </w:r>
      <w:r w:rsidRPr="006B38CB">
        <w:rPr>
          <w:rFonts w:ascii="Times" w:eastAsia="Times New Roman" w:hAnsi="Times" w:cs="Times New Roman"/>
          <w:sz w:val="20"/>
          <w:szCs w:val="20"/>
          <w:shd w:val="clear" w:color="auto" w:fill="FFFFFF"/>
        </w:rPr>
        <w:t>“</w:t>
      </w:r>
      <w:r w:rsidRPr="006B38CB">
        <w:rPr>
          <w:rFonts w:ascii="Times" w:eastAsia="Times New Roman" w:hAnsi="Times" w:cs="Times New Roman"/>
          <w:sz w:val="20"/>
          <w:szCs w:val="20"/>
        </w:rPr>
        <w:t>Part 3 - Habitual residence &amp; right to reside - IS/JSA/SPC/ESA” Vol 2 Amendment 29 October 2014, at &lt;</w:t>
      </w:r>
      <w:r w:rsidRPr="006B38CB">
        <w:rPr>
          <w:rFonts w:ascii="Times" w:hAnsi="Times"/>
          <w:sz w:val="20"/>
          <w:szCs w:val="20"/>
        </w:rPr>
        <w:t xml:space="preserve"> </w:t>
      </w:r>
      <w:r w:rsidRPr="006B38CB">
        <w:rPr>
          <w:rFonts w:ascii="Times" w:eastAsia="Times New Roman" w:hAnsi="Times" w:cs="Times New Roman"/>
          <w:sz w:val="20"/>
          <w:szCs w:val="20"/>
        </w:rPr>
        <w:t xml:space="preserve">https://www.gov.uk/government/uploads/system/uploads/attachment_data/file/538387/dmgch0703.pdf&gt; accessed 29 July 2016, para </w:t>
      </w:r>
      <w:r w:rsidRPr="006B38CB">
        <w:rPr>
          <w:rFonts w:ascii="Times" w:eastAsia="Times New Roman" w:hAnsi="Times" w:cs="Times New Roman"/>
          <w:sz w:val="20"/>
          <w:szCs w:val="20"/>
          <w:shd w:val="clear" w:color="auto" w:fill="FFFFFF"/>
        </w:rPr>
        <w:t>072771.</w:t>
      </w:r>
    </w:p>
  </w:footnote>
  <w:footnote w:id="56">
    <w:p w14:paraId="01AAA47F" w14:textId="0DF8C66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shd w:val="clear" w:color="auto" w:fill="FFFFFF"/>
        </w:rPr>
        <w:t>Child Benefit Regulations 2006, Reg 23(4)(a); Tax Credits (Residence) Regulations 2003, Reg. 3(5);</w:t>
      </w:r>
      <w:r w:rsidRPr="006B38CB">
        <w:rPr>
          <w:rStyle w:val="apple-converted-space"/>
          <w:rFonts w:ascii="Times" w:eastAsia="Times New Roman" w:hAnsi="Times" w:cs="Times New Roman"/>
          <w:sz w:val="20"/>
          <w:szCs w:val="20"/>
          <w:shd w:val="clear" w:color="auto" w:fill="FFFFFF"/>
        </w:rPr>
        <w:t xml:space="preserve"> HMRC </w:t>
      </w:r>
      <w:r w:rsidRPr="006B38CB">
        <w:rPr>
          <w:rStyle w:val="apple-converted-space"/>
          <w:rFonts w:ascii="Times" w:eastAsia="Times New Roman" w:hAnsi="Times" w:cs="Times New Roman"/>
          <w:i/>
          <w:sz w:val="20"/>
          <w:szCs w:val="20"/>
          <w:shd w:val="clear" w:color="auto" w:fill="FFFFFF"/>
        </w:rPr>
        <w:t>Internal Manual: Child Benefit Technical Manual</w:t>
      </w:r>
      <w:r w:rsidRPr="006B38CB">
        <w:rPr>
          <w:rStyle w:val="apple-converted-space"/>
          <w:rFonts w:ascii="Times" w:eastAsia="Times New Roman" w:hAnsi="Times" w:cs="Times New Roman"/>
          <w:sz w:val="20"/>
          <w:szCs w:val="20"/>
          <w:shd w:val="clear" w:color="auto" w:fill="FFFFFF"/>
        </w:rPr>
        <w:t xml:space="preserve"> CBTM 10010 </w:t>
      </w:r>
      <w:r w:rsidRPr="006B38CB">
        <w:rPr>
          <w:rFonts w:ascii="Times" w:eastAsia="Times New Roman" w:hAnsi="Times" w:cs="Times New Roman"/>
          <w:sz w:val="20"/>
          <w:szCs w:val="20"/>
          <w:shd w:val="clear" w:color="auto" w:fill="FFFFFF"/>
        </w:rPr>
        <w:t>“Residence and immigration: residence – introduction”, at &lt;https://www.gov.uk/hmrc-internal-manuals/child-benefit-technical-manual/cbtm10010&gt; accessed 29 July 2016.</w:t>
      </w:r>
    </w:p>
  </w:footnote>
  <w:footnote w:id="57">
    <w:p w14:paraId="22F7AA0C" w14:textId="781A4DA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AG </w:t>
      </w:r>
      <w:r w:rsidRPr="006B38CB">
        <w:rPr>
          <w:rFonts w:ascii="Times" w:eastAsia="Times New Roman" w:hAnsi="Times" w:cs="Lucida Grande"/>
          <w:bCs/>
          <w:sz w:val="20"/>
          <w:szCs w:val="20"/>
          <w:bdr w:val="none" w:sz="0" w:space="0" w:color="auto" w:frame="1"/>
          <w:shd w:val="clear" w:color="auto" w:fill="FFFFFF"/>
        </w:rPr>
        <w:t xml:space="preserve">Cruz Villalón, para 77. </w:t>
      </w:r>
    </w:p>
  </w:footnote>
  <w:footnote w:id="58">
    <w:p w14:paraId="63DA01B0" w14:textId="51D5ACA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69.</w:t>
      </w:r>
    </w:p>
  </w:footnote>
  <w:footnote w:id="59">
    <w:p w14:paraId="6E85D872" w14:textId="7E42770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w:t>
      </w:r>
    </w:p>
  </w:footnote>
  <w:footnote w:id="60">
    <w:p w14:paraId="5D74CE49" w14:textId="06A4435B"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71. </w:t>
      </w:r>
    </w:p>
  </w:footnote>
  <w:footnote w:id="61">
    <w:p w14:paraId="7F820950" w14:textId="6AE80341"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Article 7, Regulation 883/2004.</w:t>
      </w:r>
    </w:p>
  </w:footnote>
  <w:footnote w:id="62">
    <w:p w14:paraId="6F19F1D3" w14:textId="4F50D42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Article 6, Regulation 883/2004. </w:t>
      </w:r>
    </w:p>
  </w:footnote>
  <w:footnote w:id="63">
    <w:p w14:paraId="76882F61" w14:textId="77777777" w:rsidR="004F1D23" w:rsidRPr="006B38CB" w:rsidRDefault="004F1D23" w:rsidP="00EF0309">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Case C-543/03 </w:t>
      </w:r>
      <w:r w:rsidRPr="006B38CB">
        <w:rPr>
          <w:rFonts w:ascii="Times" w:eastAsia="Times New Roman" w:hAnsi="Times" w:cs="Lucida Grande"/>
          <w:bCs/>
          <w:i/>
          <w:sz w:val="20"/>
          <w:szCs w:val="20"/>
          <w:bdr w:val="none" w:sz="0" w:space="0" w:color="auto" w:frame="1"/>
          <w:shd w:val="clear" w:color="auto" w:fill="FFFFFF"/>
        </w:rPr>
        <w:t>Christine Dodl and Petra Oberhollenzer v Tiroler Gebietskrankenkasse</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EU:C:2005:364, at para 30.</w:t>
      </w:r>
    </w:p>
  </w:footnote>
  <w:footnote w:id="64">
    <w:p w14:paraId="05BEEBFA" w14:textId="358003C6" w:rsidR="004F1D23" w:rsidRPr="006B38CB" w:rsidRDefault="004F1D23">
      <w:pPr>
        <w:pStyle w:val="FootnoteText"/>
        <w:rPr>
          <w:rFonts w:ascii="Times" w:hAnsi="Times"/>
          <w:i/>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European Parliament “Social security cover in other EU Member States”, Factsheets on the European Union, 2016, at &lt;</w:t>
      </w:r>
      <w:r w:rsidRPr="006B38CB">
        <w:rPr>
          <w:rFonts w:ascii="Times" w:hAnsi="Times"/>
          <w:sz w:val="20"/>
          <w:szCs w:val="20"/>
        </w:rPr>
        <w:t xml:space="preserve"> </w:t>
      </w:r>
      <w:r w:rsidRPr="006B38CB">
        <w:rPr>
          <w:rFonts w:ascii="Times" w:hAnsi="Times"/>
          <w:sz w:val="20"/>
          <w:szCs w:val="20"/>
          <w:lang w:val="en-US"/>
        </w:rPr>
        <w:t xml:space="preserve">http://www.europarl.europa.eu/ftu/pdf/en/FTU_5.10.4.pdf&gt; accessed 29 July 2016. </w:t>
      </w:r>
    </w:p>
  </w:footnote>
  <w:footnote w:id="65">
    <w:p w14:paraId="16CA1E8E" w14:textId="58E919F6"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Article 1(c), Regulation 883/2004. </w:t>
      </w:r>
    </w:p>
  </w:footnote>
  <w:footnote w:id="66">
    <w:p w14:paraId="3C884435" w14:textId="7154DE4F" w:rsidR="004F1D23" w:rsidRPr="006B38CB" w:rsidRDefault="004F1D23" w:rsidP="000656AA">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Regulation (EC) </w:t>
      </w:r>
      <w:r w:rsidRPr="006B38CB">
        <w:rPr>
          <w:rFonts w:ascii="Times" w:eastAsia="Times New Roman" w:hAnsi="Times" w:cs="Times New Roman"/>
          <w:sz w:val="20"/>
          <w:szCs w:val="20"/>
        </w:rPr>
        <w:t>No 987/2009 of the European Parliament and of the Council of 16  September 2009 laying down the procedure for implementing Regulation (EC) No  883/2004 on the coordination of social security systems, O.J., 2009 L284/1.</w:t>
      </w:r>
    </w:p>
  </w:footnote>
  <w:footnote w:id="67">
    <w:p w14:paraId="166D27AA" w14:textId="77777777" w:rsidR="004F1D23" w:rsidRPr="006B38CB" w:rsidRDefault="004F1D23" w:rsidP="00DC3334">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Recital (10). </w:t>
      </w:r>
    </w:p>
  </w:footnote>
  <w:footnote w:id="68">
    <w:p w14:paraId="303F78B6" w14:textId="349628D5"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AG </w:t>
      </w:r>
      <w:r w:rsidRPr="006B38CB">
        <w:rPr>
          <w:rFonts w:ascii="Times" w:eastAsia="Times New Roman" w:hAnsi="Times" w:cs="Lucida Grande"/>
          <w:bCs/>
          <w:sz w:val="20"/>
          <w:szCs w:val="20"/>
          <w:bdr w:val="none" w:sz="0" w:space="0" w:color="auto" w:frame="1"/>
          <w:shd w:val="clear" w:color="auto" w:fill="FFFFFF"/>
        </w:rPr>
        <w:t>Cruz Villalón</w:t>
      </w:r>
      <w:r w:rsidRPr="006B38CB">
        <w:rPr>
          <w:rFonts w:ascii="Times" w:hAnsi="Times"/>
          <w:sz w:val="20"/>
          <w:szCs w:val="20"/>
          <w:lang w:val="en-US"/>
        </w:rPr>
        <w:t xml:space="preserve"> at para 73.</w:t>
      </w:r>
    </w:p>
  </w:footnote>
  <w:footnote w:id="69">
    <w:p w14:paraId="1B609A3A" w14:textId="5020C9AA"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77. </w:t>
      </w:r>
    </w:p>
  </w:footnote>
  <w:footnote w:id="70">
    <w:p w14:paraId="33AC4BC9" w14:textId="1D703413"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75. </w:t>
      </w:r>
    </w:p>
  </w:footnote>
  <w:footnote w:id="71">
    <w:p w14:paraId="09FE6DBE" w14:textId="03C4AD22"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76.</w:t>
      </w:r>
    </w:p>
  </w:footnote>
  <w:footnote w:id="72">
    <w:p w14:paraId="20E0BE46" w14:textId="426EFE06"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74.</w:t>
      </w:r>
    </w:p>
  </w:footnote>
  <w:footnote w:id="73">
    <w:p w14:paraId="3D8A70B3" w14:textId="3B95BB75"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Judgment, para 78, emphases added. </w:t>
      </w:r>
    </w:p>
  </w:footnote>
  <w:footnote w:id="74">
    <w:p w14:paraId="7E444CAD" w14:textId="401A2861" w:rsidR="004F1D23" w:rsidRPr="006B38CB" w:rsidRDefault="004F1D23" w:rsidP="0065774F">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Arial"/>
          <w:sz w:val="20"/>
          <w:szCs w:val="20"/>
          <w:shd w:val="clear" w:color="auto" w:fill="FFFFFF"/>
        </w:rPr>
        <w:t xml:space="preserve">the United Kingdom has maintained that the lawful residence test which it applies in circumstances such as those at issue in this case is independent of the test of habitual residence.” Opinion of AG </w:t>
      </w:r>
      <w:r w:rsidRPr="006B38CB">
        <w:rPr>
          <w:rFonts w:ascii="Times" w:eastAsia="Times New Roman" w:hAnsi="Times" w:cs="Lucida Grande"/>
          <w:bCs/>
          <w:sz w:val="20"/>
          <w:szCs w:val="20"/>
          <w:bdr w:val="none" w:sz="0" w:space="0" w:color="auto" w:frame="1"/>
          <w:shd w:val="clear" w:color="auto" w:fill="FFFFFF"/>
        </w:rPr>
        <w:t xml:space="preserve">Cruz Villalón, para 41. </w:t>
      </w:r>
    </w:p>
  </w:footnote>
  <w:footnote w:id="75">
    <w:p w14:paraId="3668129E" w14:textId="650CDE5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i/>
          <w:sz w:val="20"/>
          <w:szCs w:val="20"/>
          <w:lang w:val="en-US"/>
        </w:rPr>
        <w:t>Grzelczyk</w:t>
      </w:r>
      <w:r w:rsidRPr="006B38CB">
        <w:rPr>
          <w:rFonts w:ascii="Times" w:hAnsi="Times"/>
          <w:sz w:val="20"/>
          <w:szCs w:val="20"/>
          <w:lang w:val="en-US"/>
        </w:rPr>
        <w:t xml:space="preserve">, supra, note </w:t>
      </w:r>
      <w:r w:rsidRPr="006B38CB">
        <w:rPr>
          <w:rFonts w:ascii="Times" w:hAnsi="Times"/>
          <w:sz w:val="20"/>
          <w:szCs w:val="20"/>
          <w:lang w:val="en-US"/>
        </w:rPr>
        <w:fldChar w:fldCharType="begin"/>
      </w:r>
      <w:r w:rsidRPr="006B38CB">
        <w:rPr>
          <w:rFonts w:ascii="Times" w:hAnsi="Times"/>
          <w:sz w:val="20"/>
          <w:szCs w:val="20"/>
          <w:lang w:val="en-US"/>
        </w:rPr>
        <w:instrText xml:space="preserve"> NOTEREF _Ref331419186 \h </w:instrText>
      </w:r>
      <w:r w:rsidRPr="006B38CB">
        <w:rPr>
          <w:rFonts w:ascii="Times" w:hAnsi="Times"/>
          <w:sz w:val="20"/>
          <w:szCs w:val="20"/>
          <w:lang w:val="en-US"/>
        </w:rPr>
      </w:r>
      <w:r w:rsidRPr="006B38CB">
        <w:rPr>
          <w:rFonts w:ascii="Times" w:hAnsi="Times"/>
          <w:sz w:val="20"/>
          <w:szCs w:val="20"/>
          <w:lang w:val="en-US"/>
        </w:rPr>
        <w:fldChar w:fldCharType="separate"/>
      </w:r>
      <w:r w:rsidR="0067479A">
        <w:rPr>
          <w:rFonts w:ascii="Times" w:hAnsi="Times"/>
          <w:sz w:val="20"/>
          <w:szCs w:val="20"/>
          <w:lang w:val="en-US"/>
        </w:rPr>
        <w:t>4</w:t>
      </w:r>
      <w:r w:rsidRPr="006B38CB">
        <w:rPr>
          <w:rFonts w:ascii="Times" w:hAnsi="Times"/>
          <w:sz w:val="20"/>
          <w:szCs w:val="20"/>
          <w:lang w:val="en-US"/>
        </w:rPr>
        <w:fldChar w:fldCharType="end"/>
      </w:r>
      <w:r w:rsidRPr="006B38CB">
        <w:rPr>
          <w:rFonts w:ascii="Times" w:hAnsi="Times"/>
          <w:sz w:val="20"/>
          <w:szCs w:val="20"/>
          <w:lang w:val="en-US"/>
        </w:rPr>
        <w:t>, para 28.</w:t>
      </w:r>
    </w:p>
  </w:footnote>
  <w:footnote w:id="76">
    <w:p w14:paraId="7F8A280C" w14:textId="699E61D2"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29.</w:t>
      </w:r>
    </w:p>
  </w:footnote>
  <w:footnote w:id="77">
    <w:p w14:paraId="702FC783" w14:textId="3FA29914" w:rsidR="004F1D23" w:rsidRPr="006B38CB" w:rsidRDefault="004F1D23" w:rsidP="007C2BCA">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Court of Justice of the European Union,</w:t>
      </w:r>
      <w:r w:rsidRPr="006B38CB">
        <w:rPr>
          <w:rFonts w:ascii="Times" w:eastAsia="Times New Roman" w:hAnsi="Times" w:cs="Times New Roman"/>
          <w:sz w:val="20"/>
          <w:szCs w:val="20"/>
        </w:rPr>
        <w:t xml:space="preserve"> Op Cit </w:t>
      </w:r>
      <w:r w:rsidRPr="006B38CB">
        <w:rPr>
          <w:rFonts w:ascii="Times" w:eastAsia="Times New Roman" w:hAnsi="Times" w:cs="Times New Roman"/>
          <w:i/>
          <w:sz w:val="20"/>
          <w:szCs w:val="20"/>
        </w:rPr>
        <w:t xml:space="preserve">supra </w:t>
      </w:r>
      <w:r w:rsidRPr="006B38CB">
        <w:rPr>
          <w:rFonts w:ascii="Times" w:eastAsia="Times New Roman" w:hAnsi="Times" w:cs="Times New Roman"/>
          <w:sz w:val="20"/>
          <w:szCs w:val="20"/>
        </w:rPr>
        <w:t xml:space="preserve">note </w:t>
      </w:r>
      <w:r w:rsidRPr="006B38CB">
        <w:rPr>
          <w:rFonts w:ascii="Times" w:eastAsia="Times New Roman" w:hAnsi="Times" w:cs="Times New Roman"/>
          <w:sz w:val="20"/>
          <w:szCs w:val="20"/>
        </w:rPr>
        <w:fldChar w:fldCharType="begin"/>
      </w:r>
      <w:r w:rsidRPr="006B38CB">
        <w:rPr>
          <w:rFonts w:ascii="Times" w:eastAsia="Times New Roman" w:hAnsi="Times" w:cs="Times New Roman"/>
          <w:sz w:val="20"/>
          <w:szCs w:val="20"/>
        </w:rPr>
        <w:instrText xml:space="preserve"> NOTEREF _Ref331752127 \h </w:instrText>
      </w:r>
      <w:r w:rsidRPr="006B38CB">
        <w:rPr>
          <w:rFonts w:ascii="Times" w:eastAsia="Times New Roman" w:hAnsi="Times" w:cs="Times New Roman"/>
          <w:sz w:val="20"/>
          <w:szCs w:val="20"/>
        </w:rPr>
      </w:r>
      <w:r w:rsidRPr="006B38CB">
        <w:rPr>
          <w:rFonts w:ascii="Times" w:eastAsia="Times New Roman" w:hAnsi="Times" w:cs="Times New Roman"/>
          <w:sz w:val="20"/>
          <w:szCs w:val="20"/>
        </w:rPr>
        <w:fldChar w:fldCharType="separate"/>
      </w:r>
      <w:r w:rsidR="0067479A">
        <w:rPr>
          <w:rFonts w:ascii="Times" w:eastAsia="Times New Roman" w:hAnsi="Times" w:cs="Times New Roman"/>
          <w:sz w:val="20"/>
          <w:szCs w:val="20"/>
        </w:rPr>
        <w:t>40</w:t>
      </w:r>
      <w:r w:rsidRPr="006B38CB">
        <w:rPr>
          <w:rFonts w:ascii="Times" w:eastAsia="Times New Roman" w:hAnsi="Times" w:cs="Times New Roman"/>
          <w:sz w:val="20"/>
          <w:szCs w:val="20"/>
        </w:rPr>
        <w:fldChar w:fldCharType="end"/>
      </w:r>
      <w:r w:rsidRPr="006B38CB">
        <w:rPr>
          <w:rFonts w:ascii="Times" w:eastAsia="Times New Roman" w:hAnsi="Times" w:cs="Times New Roman"/>
          <w:sz w:val="20"/>
          <w:szCs w:val="20"/>
        </w:rPr>
        <w:t>.</w:t>
      </w:r>
    </w:p>
  </w:footnote>
  <w:footnote w:id="78">
    <w:p w14:paraId="1F9447EB" w14:textId="3481BE9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It is clear from the judgment, para 40, that the complaint was entered into the application. </w:t>
      </w:r>
    </w:p>
  </w:footnote>
  <w:footnote w:id="79">
    <w:p w14:paraId="32F4DAD0" w14:textId="1F587E59" w:rsidR="004F1D23" w:rsidRPr="006B38CB" w:rsidRDefault="004F1D23" w:rsidP="00F62342">
      <w:pPr>
        <w:pStyle w:val="Heading2"/>
        <w:shd w:val="clear" w:color="auto" w:fill="FFFFFF"/>
        <w:spacing w:before="0" w:beforeAutospacing="0" w:after="0" w:afterAutospacing="0"/>
        <w:rPr>
          <w:rFonts w:eastAsia="Times New Roman" w:cs="Times New Roman"/>
          <w:b w:val="0"/>
          <w:sz w:val="20"/>
          <w:szCs w:val="20"/>
        </w:rPr>
      </w:pPr>
      <w:r w:rsidRPr="006B38CB">
        <w:rPr>
          <w:rStyle w:val="FootnoteReference"/>
          <w:b w:val="0"/>
          <w:sz w:val="20"/>
          <w:szCs w:val="20"/>
        </w:rPr>
        <w:footnoteRef/>
      </w:r>
      <w:r w:rsidRPr="006B38CB">
        <w:rPr>
          <w:b w:val="0"/>
          <w:sz w:val="20"/>
          <w:szCs w:val="20"/>
        </w:rPr>
        <w:t xml:space="preserve"> Cousins, “</w:t>
      </w:r>
      <w:r w:rsidRPr="006B38CB">
        <w:rPr>
          <w:rFonts w:eastAsia="Times New Roman" w:cs="Times New Roman"/>
          <w:b w:val="0"/>
          <w:sz w:val="20"/>
          <w:szCs w:val="20"/>
        </w:rPr>
        <w:t xml:space="preserve"> ‘The baseless fabric of this vision’: EU citizenship, the right to reside and EU law”, 23(2), Journal of Social Security Law, (2016), 89-105, at 103.  </w:t>
      </w:r>
    </w:p>
    <w:p w14:paraId="5F7C53AC" w14:textId="0F56F5A8" w:rsidR="004F1D23" w:rsidRPr="006B38CB" w:rsidRDefault="004F1D23">
      <w:pPr>
        <w:pStyle w:val="FootnoteText"/>
        <w:rPr>
          <w:rFonts w:ascii="Times" w:hAnsi="Times"/>
          <w:sz w:val="20"/>
          <w:szCs w:val="20"/>
          <w:lang w:val="en-US"/>
        </w:rPr>
      </w:pPr>
    </w:p>
  </w:footnote>
  <w:footnote w:id="80">
    <w:p w14:paraId="6AE65913" w14:textId="47D04DB1"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Opinion of AG </w:t>
      </w:r>
      <w:r w:rsidRPr="006B38CB">
        <w:rPr>
          <w:rFonts w:ascii="Times" w:eastAsia="Times New Roman" w:hAnsi="Times" w:cs="Lucida Grande"/>
          <w:bCs/>
          <w:sz w:val="20"/>
          <w:szCs w:val="20"/>
          <w:bdr w:val="none" w:sz="0" w:space="0" w:color="auto" w:frame="1"/>
          <w:shd w:val="clear" w:color="auto" w:fill="FFFFFF"/>
        </w:rPr>
        <w:t>Cruz Villalón, para 94.</w:t>
      </w:r>
    </w:p>
  </w:footnote>
  <w:footnote w:id="81">
    <w:p w14:paraId="7CD5A123" w14:textId="720AF2A7"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w:t>
      </w:r>
    </w:p>
  </w:footnote>
  <w:footnote w:id="82">
    <w:p w14:paraId="3DAD8D30" w14:textId="456163F1"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83.</w:t>
      </w:r>
    </w:p>
  </w:footnote>
  <w:footnote w:id="83">
    <w:p w14:paraId="2BF60F06" w14:textId="78BF814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84.</w:t>
      </w:r>
    </w:p>
  </w:footnote>
  <w:footnote w:id="84">
    <w:p w14:paraId="4FB15AA1" w14:textId="5E1165A2" w:rsidR="004F1D23" w:rsidRPr="006B38CB" w:rsidRDefault="004F1D23" w:rsidP="007D1552">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 xml:space="preserve">Dustmann &amp; Frattini, “The Fiscal Effects of Immigration to the UK”, 124 </w:t>
      </w:r>
      <w:r w:rsidRPr="006B38CB">
        <w:rPr>
          <w:rFonts w:ascii="Times" w:eastAsia="Times New Roman" w:hAnsi="Times" w:cs="Times New Roman"/>
          <w:i/>
          <w:sz w:val="20"/>
          <w:szCs w:val="20"/>
        </w:rPr>
        <w:t>Economic Journal</w:t>
      </w:r>
      <w:r w:rsidRPr="006B38CB">
        <w:rPr>
          <w:rFonts w:ascii="Times" w:eastAsia="Times New Roman" w:hAnsi="Times" w:cs="Times New Roman"/>
          <w:sz w:val="20"/>
          <w:szCs w:val="20"/>
        </w:rPr>
        <w:t>, (2014), F593-643; Wadsworth, Dhingra, Ottaviano &amp; Van Reenen, “Brexit and the Impact of Immigration on the UK”, LSE Centre for Economic Performance, CEP Brexit Analysis NO. 5, &lt;http://cep.lse.ac.uk/pubs/download/brexit05.pdf&gt; accessed 29 July 2016; European Commission, “A fact finding analysis on the impact on the Member States’ social security systems of the entitlements of non-active intra-EU migrants to special non-contributory cash benefits and healthcare granted on the basis of residence”, (2013) Final report, October 2013, at &lt;http://ec.europa.eu/social/BlobServlet?docId=10972&gt; accessed 29 July 2016.</w:t>
      </w:r>
    </w:p>
  </w:footnote>
  <w:footnote w:id="85">
    <w:p w14:paraId="6AB589DC" w14:textId="3F67DC3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A legal action research project: EU Rights Project at &lt;http://eurightsproject.co.uk&gt; accessed 29 July 2016; see also O’Brien, (2015), </w:t>
      </w:r>
      <w:r w:rsidRPr="006B38CB">
        <w:rPr>
          <w:rFonts w:ascii="Times" w:hAnsi="Times"/>
          <w:i/>
          <w:sz w:val="20"/>
          <w:szCs w:val="20"/>
        </w:rPr>
        <w:t xml:space="preserve">supra, </w:t>
      </w:r>
      <w:r w:rsidRPr="006B38CB">
        <w:rPr>
          <w:rFonts w:ascii="Times" w:hAnsi="Times"/>
          <w:sz w:val="20"/>
          <w:szCs w:val="20"/>
        </w:rPr>
        <w:t xml:space="preserve">note </w:t>
      </w:r>
      <w:r w:rsidRPr="006B38CB">
        <w:rPr>
          <w:rFonts w:ascii="Times" w:hAnsi="Times"/>
          <w:sz w:val="20"/>
          <w:szCs w:val="20"/>
        </w:rPr>
        <w:fldChar w:fldCharType="begin"/>
      </w:r>
      <w:r w:rsidRPr="006B38CB">
        <w:rPr>
          <w:rFonts w:ascii="Times" w:hAnsi="Times"/>
          <w:sz w:val="20"/>
          <w:szCs w:val="20"/>
        </w:rPr>
        <w:instrText xml:space="preserve"> NOTEREF _Ref331421720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21</w:t>
      </w:r>
      <w:r w:rsidRPr="006B38CB">
        <w:rPr>
          <w:rFonts w:ascii="Times" w:hAnsi="Times"/>
          <w:sz w:val="20"/>
          <w:szCs w:val="20"/>
        </w:rPr>
        <w:fldChar w:fldCharType="end"/>
      </w:r>
      <w:r w:rsidRPr="006B38CB">
        <w:rPr>
          <w:rFonts w:ascii="Times" w:hAnsi="Times"/>
          <w:sz w:val="20"/>
          <w:szCs w:val="20"/>
        </w:rPr>
        <w:t>.</w:t>
      </w:r>
    </w:p>
  </w:footnote>
  <w:footnote w:id="86">
    <w:p w14:paraId="6ECBAA99" w14:textId="1DB79E3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Cousins, Op cit </w:t>
      </w:r>
      <w:r w:rsidRPr="006B38CB">
        <w:rPr>
          <w:rFonts w:ascii="Times" w:hAnsi="Times"/>
          <w:i/>
          <w:sz w:val="20"/>
          <w:szCs w:val="20"/>
          <w:lang w:val="en-US"/>
        </w:rPr>
        <w:t>supra</w:t>
      </w:r>
      <w:r w:rsidRPr="006B38CB">
        <w:rPr>
          <w:rFonts w:ascii="Times" w:hAnsi="Times"/>
          <w:sz w:val="20"/>
          <w:szCs w:val="20"/>
          <w:lang w:val="en-US"/>
        </w:rPr>
        <w:t xml:space="preserve"> note </w:t>
      </w:r>
      <w:r w:rsidRPr="006B38CB">
        <w:rPr>
          <w:rFonts w:ascii="Times" w:hAnsi="Times"/>
          <w:sz w:val="20"/>
          <w:szCs w:val="20"/>
          <w:lang w:val="en-US"/>
        </w:rPr>
        <w:fldChar w:fldCharType="begin"/>
      </w:r>
      <w:r w:rsidRPr="006B38CB">
        <w:rPr>
          <w:rFonts w:ascii="Times" w:hAnsi="Times"/>
          <w:sz w:val="20"/>
          <w:szCs w:val="20"/>
          <w:lang w:val="en-US"/>
        </w:rPr>
        <w:instrText xml:space="preserve"> NOTEREF _Ref331422490 \h </w:instrText>
      </w:r>
      <w:r w:rsidRPr="006B38CB">
        <w:rPr>
          <w:rFonts w:ascii="Times" w:hAnsi="Times"/>
          <w:sz w:val="20"/>
          <w:szCs w:val="20"/>
          <w:lang w:val="en-US"/>
        </w:rPr>
      </w:r>
      <w:r w:rsidRPr="006B38CB">
        <w:rPr>
          <w:rFonts w:ascii="Times" w:hAnsi="Times"/>
          <w:sz w:val="20"/>
          <w:szCs w:val="20"/>
          <w:lang w:val="en-US"/>
        </w:rPr>
        <w:fldChar w:fldCharType="separate"/>
      </w:r>
      <w:r w:rsidR="0067479A">
        <w:rPr>
          <w:rFonts w:ascii="Times" w:hAnsi="Times"/>
          <w:sz w:val="20"/>
          <w:szCs w:val="20"/>
          <w:lang w:val="en-US"/>
        </w:rPr>
        <w:t>79</w:t>
      </w:r>
      <w:r w:rsidRPr="006B38CB">
        <w:rPr>
          <w:rFonts w:ascii="Times" w:hAnsi="Times"/>
          <w:sz w:val="20"/>
          <w:szCs w:val="20"/>
          <w:lang w:val="en-US"/>
        </w:rPr>
        <w:fldChar w:fldCharType="end"/>
      </w:r>
      <w:r w:rsidRPr="006B38CB">
        <w:rPr>
          <w:rFonts w:ascii="Times" w:hAnsi="Times"/>
          <w:sz w:val="20"/>
          <w:szCs w:val="20"/>
          <w:lang w:val="en-US"/>
        </w:rPr>
        <w:t>, 104.</w:t>
      </w:r>
    </w:p>
  </w:footnote>
  <w:footnote w:id="87">
    <w:p w14:paraId="1E97E180" w14:textId="4AD793CD" w:rsidR="004F1D23" w:rsidRPr="006B38CB" w:rsidRDefault="004F1D23" w:rsidP="005712C2">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UK Government </w:t>
      </w:r>
      <w:r w:rsidRPr="006B38CB">
        <w:rPr>
          <w:rFonts w:ascii="Times" w:hAnsi="Times"/>
          <w:i/>
          <w:sz w:val="20"/>
          <w:szCs w:val="20"/>
          <w:lang w:val="en-US"/>
        </w:rPr>
        <w:t>Decision Maker Guidance</w:t>
      </w:r>
      <w:r w:rsidRPr="006B38CB">
        <w:rPr>
          <w:rFonts w:ascii="Times" w:hAnsi="Times"/>
          <w:sz w:val="20"/>
          <w:szCs w:val="20"/>
          <w:lang w:val="en-US"/>
        </w:rPr>
        <w:t xml:space="preserve"> “Child Benefit and Child Tax Credit – Right to Reside: Establishing whether and EEA National Is/Was a Worker or a Self-employed Person Under EU Law”,  </w:t>
      </w:r>
      <w:r w:rsidRPr="006B38CB">
        <w:rPr>
          <w:rFonts w:ascii="Times" w:eastAsia="Times New Roman" w:hAnsi="Times" w:cs="Times New Roman"/>
          <w:sz w:val="20"/>
          <w:szCs w:val="20"/>
        </w:rPr>
        <w:t xml:space="preserve">at &lt;https://www.gov.uk/government/uploads/system/uploads/attachment_data/file/288788/Met_guidance_for_gds.pdf&gt; accessed 29 July 2016. </w:t>
      </w:r>
    </w:p>
  </w:footnote>
  <w:footnote w:id="88">
    <w:p w14:paraId="5482B53F" w14:textId="4B4E0D6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On the creation of a presumption of marginality, see O’Brien, (2016), Op Cit, </w:t>
      </w:r>
      <w:r w:rsidRPr="006B38CB">
        <w:rPr>
          <w:rFonts w:ascii="Times" w:hAnsi="Times"/>
          <w:i/>
          <w:sz w:val="20"/>
          <w:szCs w:val="20"/>
        </w:rPr>
        <w:t>supra</w:t>
      </w:r>
      <w:r w:rsidRPr="006B38CB">
        <w:rPr>
          <w:rFonts w:ascii="Times" w:hAnsi="Times"/>
          <w:sz w:val="20"/>
          <w:szCs w:val="20"/>
        </w:rPr>
        <w:t xml:space="preserve">, note </w:t>
      </w:r>
      <w:r w:rsidRPr="006B38CB">
        <w:rPr>
          <w:rFonts w:ascii="Times" w:hAnsi="Times"/>
          <w:sz w:val="20"/>
          <w:szCs w:val="20"/>
        </w:rPr>
        <w:fldChar w:fldCharType="begin"/>
      </w:r>
      <w:r w:rsidRPr="006B38CB">
        <w:rPr>
          <w:rFonts w:ascii="Times" w:hAnsi="Times"/>
          <w:sz w:val="20"/>
          <w:szCs w:val="20"/>
        </w:rPr>
        <w:instrText xml:space="preserve"> NOTEREF _Ref331422908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23</w:t>
      </w:r>
      <w:r w:rsidRPr="006B38CB">
        <w:rPr>
          <w:rFonts w:ascii="Times" w:hAnsi="Times"/>
          <w:sz w:val="20"/>
          <w:szCs w:val="20"/>
        </w:rPr>
        <w:fldChar w:fldCharType="end"/>
      </w:r>
      <w:r w:rsidRPr="006B38CB">
        <w:rPr>
          <w:rFonts w:ascii="Times" w:hAnsi="Times"/>
          <w:sz w:val="20"/>
          <w:szCs w:val="20"/>
        </w:rPr>
        <w:t>.</w:t>
      </w:r>
    </w:p>
  </w:footnote>
  <w:footnote w:id="89">
    <w:p w14:paraId="54085E30" w14:textId="2C15AF58"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Child benefit and Child Tax Credit are benefits administered by HMRC.</w:t>
      </w:r>
    </w:p>
  </w:footnote>
  <w:footnote w:id="90">
    <w:p w14:paraId="35E0D3DE" w14:textId="27F2B1C2" w:rsidR="004F1D23" w:rsidRPr="006B38CB" w:rsidRDefault="004F1D23" w:rsidP="008626BA">
      <w:pPr>
        <w:widowControl w:val="0"/>
        <w:autoSpaceDE w:val="0"/>
        <w:autoSpaceDN w:val="0"/>
        <w:adjustRightInd w:val="0"/>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HMRC, “How to do a compliance check: starting a compliance check: case selection”, (2014), CH206200 in HMRC Compliance Handbook. At &lt;http://www.hmrc.gov.uk/Manuals/chmanual/CH206200.htm&gt; accessed 2 August 2016. See also The Tax Credit Act 2002 s.16 (2)(a)–3(b).</w:t>
      </w:r>
    </w:p>
  </w:footnote>
  <w:footnote w:id="91">
    <w:p w14:paraId="49D6FC76" w14:textId="58DF0DF1"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HM Government, “Budget 2014: Policy costings”, (March 2014), at &lt; https://www.gov.uk/government/uploads/system/uploads/attachment_data/file/295067/PU1638_policy_costings_bud_2014_with_correction_slip.pdf&gt; accessed 29 July 2016, at page 49. </w:t>
      </w:r>
    </w:p>
  </w:footnote>
  <w:footnote w:id="92">
    <w:p w14:paraId="375377CB" w14:textId="23236166" w:rsidR="004F1D23" w:rsidRPr="006B38CB" w:rsidRDefault="004F1D23" w:rsidP="00581A0E">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HM Treasury, Budget 2014, “</w:t>
      </w:r>
      <w:r w:rsidRPr="006B38CB">
        <w:rPr>
          <w:rFonts w:ascii="Times" w:eastAsia="Times New Roman" w:hAnsi="Times" w:cs="Times New Roman"/>
          <w:sz w:val="20"/>
          <w:szCs w:val="20"/>
        </w:rPr>
        <w:t>Copy of the Budget Report – March 2014 as laid before the House of Commons by the Chancellor of the Exchequer when opening the Budget”, HC 1104, at &lt;</w:t>
      </w:r>
      <w:r w:rsidRPr="006B38CB">
        <w:rPr>
          <w:rFonts w:ascii="Times" w:hAnsi="Times"/>
          <w:sz w:val="20"/>
          <w:szCs w:val="20"/>
        </w:rPr>
        <w:t xml:space="preserve"> </w:t>
      </w:r>
      <w:r w:rsidRPr="006B38CB">
        <w:rPr>
          <w:rFonts w:ascii="Times" w:eastAsia="Times New Roman" w:hAnsi="Times" w:cs="Times New Roman"/>
          <w:sz w:val="20"/>
          <w:szCs w:val="20"/>
        </w:rPr>
        <w:t>https://www.gov.uk/government/uploads/system/uploads/attachment_data/file/293759/37630_Budget_2014_Web_Accessible.pdf&gt; accessed 29 July 2016, para 1.197.</w:t>
      </w:r>
    </w:p>
  </w:footnote>
  <w:footnote w:id="93">
    <w:p w14:paraId="3D73EFC5" w14:textId="0FF1AC75" w:rsidR="004F1D23" w:rsidRPr="006B38CB" w:rsidRDefault="004F1D23" w:rsidP="006A2184">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What Do They Know, HMRC, FOI </w:t>
      </w:r>
      <w:r w:rsidRPr="006B38CB">
        <w:rPr>
          <w:rFonts w:ascii="Times" w:eastAsia="Times New Roman" w:hAnsi="Times" w:cs="Times New Roman"/>
          <w:sz w:val="20"/>
          <w:szCs w:val="20"/>
        </w:rPr>
        <w:t>3252/15, 7 January 2015, at &lt;</w:t>
      </w:r>
      <w:r w:rsidRPr="006B38CB">
        <w:rPr>
          <w:rFonts w:ascii="Times" w:hAnsi="Times"/>
          <w:sz w:val="20"/>
          <w:szCs w:val="20"/>
        </w:rPr>
        <w:t xml:space="preserve"> </w:t>
      </w:r>
      <w:r w:rsidRPr="006B38CB">
        <w:rPr>
          <w:rFonts w:ascii="Times" w:eastAsia="Times New Roman" w:hAnsi="Times" w:cs="Times New Roman"/>
          <w:sz w:val="20"/>
          <w:szCs w:val="20"/>
        </w:rPr>
        <w:t xml:space="preserve">https://www.whatdotheyknow.com/request/303796/response/752016/attach/2/reply.pdf&gt; accessed 29 July 2016. </w:t>
      </w:r>
      <w:r w:rsidRPr="006B38CB">
        <w:rPr>
          <w:rFonts w:ascii="Times" w:hAnsi="Times"/>
          <w:sz w:val="20"/>
          <w:szCs w:val="20"/>
          <w:lang w:val="en-US"/>
        </w:rPr>
        <w:t xml:space="preserve"> </w:t>
      </w:r>
    </w:p>
  </w:footnote>
  <w:footnote w:id="94">
    <w:p w14:paraId="69684305" w14:textId="72311008" w:rsidR="004F1D23" w:rsidRPr="006B38CB" w:rsidRDefault="004F1D23" w:rsidP="006A2184">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 xml:space="preserve">House of Commons Library, “Child Benefit and Child Tax Credit for children resident in other EEA countries”, 18 July 2014, SN06561, at &lt;http://researchbriefings.files.parliament.uk/documents/SN06561/SN06561.pdf&gt; accessed 29 July 2016, pages 6-7. </w:t>
      </w:r>
    </w:p>
  </w:footnote>
  <w:footnote w:id="95">
    <w:p w14:paraId="365173F3" w14:textId="4580D8F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83.</w:t>
      </w:r>
    </w:p>
  </w:footnote>
  <w:footnote w:id="96">
    <w:p w14:paraId="530C92B0" w14:textId="08FF1AFC"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84, emphases added.</w:t>
      </w:r>
    </w:p>
  </w:footnote>
  <w:footnote w:id="97">
    <w:p w14:paraId="45DFA8E6" w14:textId="289F3F9C" w:rsidR="004F1D23" w:rsidRPr="006B38CB" w:rsidRDefault="004F1D23" w:rsidP="00555324">
      <w:pPr>
        <w:rPr>
          <w:rFonts w:ascii="Times" w:hAnsi="Times"/>
          <w:i/>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Lucida Grande"/>
          <w:sz w:val="20"/>
          <w:szCs w:val="20"/>
          <w:shd w:val="clear" w:color="auto" w:fill="FFFFFF"/>
        </w:rPr>
        <w:t xml:space="preserve">Case C-254/05 </w:t>
      </w:r>
      <w:r w:rsidRPr="006B38CB">
        <w:rPr>
          <w:rFonts w:ascii="Times" w:eastAsia="Times New Roman" w:hAnsi="Times" w:cs="Lucida Grande"/>
          <w:i/>
          <w:sz w:val="20"/>
          <w:szCs w:val="20"/>
          <w:shd w:val="clear" w:color="auto" w:fill="FFFFFF"/>
        </w:rPr>
        <w:t xml:space="preserve">Commission v Belgium, </w:t>
      </w:r>
      <w:r w:rsidRPr="006B38CB">
        <w:rPr>
          <w:rFonts w:ascii="Times" w:eastAsia="Times New Roman" w:hAnsi="Times" w:cs="Lucida Grande"/>
          <w:sz w:val="20"/>
          <w:szCs w:val="20"/>
          <w:shd w:val="clear" w:color="auto" w:fill="FFFFFF"/>
        </w:rPr>
        <w:t>EU:C:2007:319, para 36.</w:t>
      </w:r>
    </w:p>
  </w:footnote>
  <w:footnote w:id="98">
    <w:p w14:paraId="0B8AB3ED" w14:textId="260D7FBC"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Arial"/>
          <w:sz w:val="20"/>
          <w:szCs w:val="20"/>
          <w:shd w:val="clear" w:color="auto" w:fill="FFFFFF"/>
        </w:rPr>
        <w:t>Case C</w:t>
      </w:r>
      <w:r w:rsidRPr="006B38CB">
        <w:rPr>
          <w:rFonts w:ascii="Times" w:eastAsia="Times New Roman" w:hAnsi="Times" w:cs="Arial"/>
          <w:sz w:val="20"/>
          <w:szCs w:val="20"/>
          <w:shd w:val="clear" w:color="auto" w:fill="FFFFFF"/>
        </w:rPr>
        <w:noBreakHyphen/>
        <w:t>42/02 </w:t>
      </w:r>
      <w:r w:rsidRPr="006B38CB">
        <w:rPr>
          <w:rFonts w:ascii="Times" w:eastAsia="Times New Roman" w:hAnsi="Times" w:cs="Arial"/>
          <w:i/>
          <w:iCs/>
          <w:sz w:val="20"/>
          <w:szCs w:val="20"/>
          <w:shd w:val="clear" w:color="auto" w:fill="FFFFFF"/>
        </w:rPr>
        <w:t>Lindman</w:t>
      </w:r>
      <w:r w:rsidRPr="006B38CB">
        <w:rPr>
          <w:rFonts w:ascii="Times" w:eastAsia="Times New Roman" w:hAnsi="Times" w:cs="Arial"/>
          <w:sz w:val="20"/>
          <w:szCs w:val="20"/>
          <w:shd w:val="clear" w:color="auto" w:fill="FFFFFF"/>
        </w:rPr>
        <w:t xml:space="preserve"> </w:t>
      </w:r>
      <w:r w:rsidRPr="006B38CB">
        <w:rPr>
          <w:rFonts w:ascii="Times" w:eastAsia="Times New Roman" w:hAnsi="Times" w:cs="Lucida Grande"/>
          <w:sz w:val="20"/>
          <w:szCs w:val="20"/>
          <w:shd w:val="clear" w:color="auto" w:fill="FFFFFF"/>
        </w:rPr>
        <w:t>EU:C:2003:613</w:t>
      </w:r>
      <w:r w:rsidRPr="006B38CB">
        <w:rPr>
          <w:rFonts w:ascii="Times" w:eastAsia="Times New Roman" w:hAnsi="Times" w:cs="Arial"/>
          <w:sz w:val="20"/>
          <w:szCs w:val="20"/>
          <w:shd w:val="clear" w:color="auto" w:fill="FFFFFF"/>
        </w:rPr>
        <w:t>, para 25; Case C</w:t>
      </w:r>
      <w:r w:rsidRPr="006B38CB">
        <w:rPr>
          <w:rFonts w:ascii="Times" w:eastAsia="Times New Roman" w:hAnsi="Times" w:cs="Arial"/>
          <w:sz w:val="20"/>
          <w:szCs w:val="20"/>
          <w:shd w:val="clear" w:color="auto" w:fill="FFFFFF"/>
        </w:rPr>
        <w:noBreakHyphen/>
        <w:t>8/02</w:t>
      </w:r>
      <w:r w:rsidRPr="006B38CB">
        <w:rPr>
          <w:rFonts w:ascii="Times" w:eastAsia="Times New Roman" w:hAnsi="Times" w:cs="Arial"/>
          <w:i/>
          <w:iCs/>
          <w:sz w:val="20"/>
          <w:szCs w:val="20"/>
          <w:shd w:val="clear" w:color="auto" w:fill="FFFFFF"/>
        </w:rPr>
        <w:t> Leichtle</w:t>
      </w:r>
      <w:r w:rsidRPr="006B38CB">
        <w:rPr>
          <w:rFonts w:ascii="Times" w:eastAsia="Times New Roman" w:hAnsi="Times" w:cs="Arial"/>
          <w:sz w:val="20"/>
          <w:szCs w:val="20"/>
          <w:shd w:val="clear" w:color="auto" w:fill="FFFFFF"/>
        </w:rPr>
        <w:t> </w:t>
      </w:r>
      <w:r w:rsidRPr="006B38CB">
        <w:rPr>
          <w:rFonts w:ascii="Times" w:eastAsia="Times New Roman" w:hAnsi="Times" w:cs="Lucida Grande"/>
          <w:sz w:val="20"/>
          <w:szCs w:val="20"/>
          <w:shd w:val="clear" w:color="auto" w:fill="FFFFFF"/>
        </w:rPr>
        <w:t>EU:C:2004:161</w:t>
      </w:r>
      <w:r w:rsidRPr="006B38CB">
        <w:rPr>
          <w:rFonts w:ascii="Times" w:eastAsia="Times New Roman" w:hAnsi="Times" w:cs="Arial"/>
          <w:sz w:val="20"/>
          <w:szCs w:val="20"/>
          <w:shd w:val="clear" w:color="auto" w:fill="FFFFFF"/>
        </w:rPr>
        <w:t>, para 45; Case C</w:t>
      </w:r>
      <w:r w:rsidRPr="006B38CB">
        <w:rPr>
          <w:rFonts w:ascii="Times" w:eastAsia="Times New Roman" w:hAnsi="Times" w:cs="Arial"/>
          <w:sz w:val="20"/>
          <w:szCs w:val="20"/>
          <w:shd w:val="clear" w:color="auto" w:fill="FFFFFF"/>
        </w:rPr>
        <w:noBreakHyphen/>
        <w:t>147/03 </w:t>
      </w:r>
      <w:r w:rsidRPr="006B38CB">
        <w:rPr>
          <w:rFonts w:ascii="Times" w:eastAsia="Times New Roman" w:hAnsi="Times" w:cs="Arial"/>
          <w:i/>
          <w:iCs/>
          <w:sz w:val="20"/>
          <w:szCs w:val="20"/>
          <w:shd w:val="clear" w:color="auto" w:fill="FFFFFF"/>
        </w:rPr>
        <w:t>Commission</w:t>
      </w:r>
      <w:r w:rsidRPr="006B38CB">
        <w:rPr>
          <w:rFonts w:ascii="Times" w:eastAsia="Times New Roman" w:hAnsi="Times" w:cs="Arial"/>
          <w:sz w:val="20"/>
          <w:szCs w:val="20"/>
          <w:shd w:val="clear" w:color="auto" w:fill="FFFFFF"/>
        </w:rPr>
        <w:t> v </w:t>
      </w:r>
      <w:r w:rsidRPr="006B38CB">
        <w:rPr>
          <w:rFonts w:ascii="Times" w:eastAsia="Times New Roman" w:hAnsi="Times" w:cs="Arial"/>
          <w:i/>
          <w:iCs/>
          <w:sz w:val="20"/>
          <w:szCs w:val="20"/>
          <w:shd w:val="clear" w:color="auto" w:fill="FFFFFF"/>
        </w:rPr>
        <w:t>Austria</w:t>
      </w:r>
      <w:r w:rsidRPr="006B38CB">
        <w:rPr>
          <w:rFonts w:ascii="Times" w:eastAsia="Times New Roman" w:hAnsi="Times" w:cs="Arial"/>
          <w:sz w:val="20"/>
          <w:szCs w:val="20"/>
          <w:shd w:val="clear" w:color="auto" w:fill="FFFFFF"/>
        </w:rPr>
        <w:t> </w:t>
      </w:r>
      <w:r w:rsidRPr="006B38CB">
        <w:rPr>
          <w:rFonts w:ascii="Times" w:eastAsia="Times New Roman" w:hAnsi="Times" w:cs="Lucida Grande"/>
          <w:sz w:val="20"/>
          <w:szCs w:val="20"/>
          <w:shd w:val="clear" w:color="auto" w:fill="FFFFFF"/>
        </w:rPr>
        <w:t>EU:C:2005:427</w:t>
      </w:r>
      <w:r w:rsidRPr="006B38CB">
        <w:rPr>
          <w:rFonts w:ascii="Times" w:eastAsia="Times New Roman" w:hAnsi="Times" w:cs="Arial"/>
          <w:sz w:val="20"/>
          <w:szCs w:val="20"/>
          <w:shd w:val="clear" w:color="auto" w:fill="FFFFFF"/>
        </w:rPr>
        <w:t xml:space="preserve">, para 63; Case </w:t>
      </w:r>
      <w:r w:rsidRPr="006B38CB">
        <w:rPr>
          <w:rFonts w:ascii="Times" w:eastAsia="Times New Roman" w:hAnsi="Times" w:cs="Arial"/>
          <w:sz w:val="20"/>
          <w:szCs w:val="20"/>
          <w:shd w:val="clear" w:color="auto" w:fill="FFFFFF"/>
        </w:rPr>
        <w:noBreakHyphen/>
        <w:t>137/04, </w:t>
      </w:r>
      <w:r w:rsidRPr="006B38CB">
        <w:rPr>
          <w:rFonts w:ascii="Times" w:eastAsia="Times New Roman" w:hAnsi="Times" w:cs="Arial"/>
          <w:i/>
          <w:iCs/>
          <w:sz w:val="20"/>
          <w:szCs w:val="20"/>
          <w:shd w:val="clear" w:color="auto" w:fill="FFFFFF"/>
        </w:rPr>
        <w:t>Rockler,</w:t>
      </w:r>
      <w:r w:rsidRPr="006B38CB">
        <w:rPr>
          <w:rFonts w:ascii="Times" w:eastAsia="Times New Roman" w:hAnsi="Times" w:cs="Arial"/>
          <w:sz w:val="20"/>
          <w:szCs w:val="20"/>
          <w:shd w:val="clear" w:color="auto" w:fill="FFFFFF"/>
        </w:rPr>
        <w:t> </w:t>
      </w:r>
      <w:r w:rsidRPr="006B38CB">
        <w:rPr>
          <w:rFonts w:ascii="Times" w:eastAsia="Times New Roman" w:hAnsi="Times" w:cs="Lucida Grande"/>
          <w:sz w:val="20"/>
          <w:szCs w:val="20"/>
          <w:shd w:val="clear" w:color="auto" w:fill="FFFFFF"/>
        </w:rPr>
        <w:t>EU:C:2006:106</w:t>
      </w:r>
      <w:r w:rsidRPr="006B38CB">
        <w:rPr>
          <w:rFonts w:ascii="Times" w:eastAsia="Times New Roman" w:hAnsi="Times" w:cs="Arial"/>
          <w:sz w:val="20"/>
          <w:szCs w:val="20"/>
          <w:shd w:val="clear" w:color="auto" w:fill="FFFFFF"/>
        </w:rPr>
        <w:t>, para 25; and Case C</w:t>
      </w:r>
      <w:r w:rsidRPr="006B38CB">
        <w:rPr>
          <w:rFonts w:ascii="Times" w:eastAsia="Times New Roman" w:hAnsi="Times" w:cs="Arial"/>
          <w:sz w:val="20"/>
          <w:szCs w:val="20"/>
          <w:shd w:val="clear" w:color="auto" w:fill="FFFFFF"/>
        </w:rPr>
        <w:noBreakHyphen/>
        <w:t>185/04 </w:t>
      </w:r>
      <w:r w:rsidRPr="006B38CB">
        <w:rPr>
          <w:rFonts w:ascii="Times" w:eastAsia="Times New Roman" w:hAnsi="Times" w:cs="Arial"/>
          <w:i/>
          <w:iCs/>
          <w:sz w:val="20"/>
          <w:szCs w:val="20"/>
          <w:shd w:val="clear" w:color="auto" w:fill="FFFFFF"/>
        </w:rPr>
        <w:t>Öberg</w:t>
      </w:r>
      <w:r w:rsidRPr="006B38CB">
        <w:rPr>
          <w:rFonts w:ascii="Times" w:eastAsia="Times New Roman" w:hAnsi="Times" w:cs="Arial"/>
          <w:sz w:val="20"/>
          <w:szCs w:val="20"/>
          <w:shd w:val="clear" w:color="auto" w:fill="FFFFFF"/>
        </w:rPr>
        <w:t> </w:t>
      </w:r>
      <w:r w:rsidRPr="006B38CB">
        <w:rPr>
          <w:rFonts w:ascii="Times" w:eastAsia="Times New Roman" w:hAnsi="Times" w:cs="Lucida Grande"/>
          <w:sz w:val="20"/>
          <w:szCs w:val="20"/>
          <w:shd w:val="clear" w:color="auto" w:fill="FFFFFF"/>
        </w:rPr>
        <w:t>EU:C:2006:107</w:t>
      </w:r>
      <w:r w:rsidRPr="006B38CB">
        <w:rPr>
          <w:rFonts w:ascii="Times" w:eastAsia="Times New Roman" w:hAnsi="Times" w:cs="Arial"/>
          <w:sz w:val="20"/>
          <w:szCs w:val="20"/>
          <w:shd w:val="clear" w:color="auto" w:fill="FFFFFF"/>
        </w:rPr>
        <w:t>, para 22.</w:t>
      </w:r>
    </w:p>
  </w:footnote>
  <w:footnote w:id="99">
    <w:p w14:paraId="1CE85F51" w14:textId="411C11E3"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Lucida Grande"/>
          <w:bCs/>
          <w:sz w:val="20"/>
          <w:szCs w:val="20"/>
          <w:bdr w:val="none" w:sz="0" w:space="0" w:color="auto" w:frame="1"/>
          <w:shd w:val="clear" w:color="auto" w:fill="FFFFFF"/>
        </w:rPr>
        <w:t xml:space="preserve">Case C-319/06, </w:t>
      </w:r>
      <w:r w:rsidRPr="006B38CB">
        <w:rPr>
          <w:rFonts w:ascii="Times" w:eastAsia="Times New Roman" w:hAnsi="Times" w:cs="Lucida Grande"/>
          <w:bCs/>
          <w:i/>
          <w:sz w:val="20"/>
          <w:szCs w:val="20"/>
          <w:bdr w:val="none" w:sz="0" w:space="0" w:color="auto" w:frame="1"/>
          <w:shd w:val="clear" w:color="auto" w:fill="FFFFFF"/>
        </w:rPr>
        <w:t>Commission v Luxembourg</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EU:C:2008:350, para 51.</w:t>
      </w:r>
    </w:p>
  </w:footnote>
  <w:footnote w:id="100">
    <w:p w14:paraId="3D4C271C" w14:textId="6CF34BCF"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Barnard, “Derogations, justifications, and the four freedoms: Is State interest really protected?” in Barnard and Odudu (eds.), </w:t>
      </w:r>
      <w:r w:rsidRPr="006B38CB">
        <w:rPr>
          <w:rFonts w:ascii="Times" w:hAnsi="Times"/>
          <w:i/>
          <w:sz w:val="20"/>
          <w:szCs w:val="20"/>
        </w:rPr>
        <w:t>The Outer Limits of European Union Law</w:t>
      </w:r>
      <w:r w:rsidRPr="006B38CB">
        <w:rPr>
          <w:rFonts w:ascii="Times" w:hAnsi="Times"/>
          <w:sz w:val="20"/>
          <w:szCs w:val="20"/>
        </w:rPr>
        <w:t xml:space="preserve"> (Hart Publishing, 2009), p.295.</w:t>
      </w:r>
    </w:p>
  </w:footnote>
  <w:footnote w:id="101">
    <w:p w14:paraId="0B94592D" w14:textId="1A5F84D3"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Arial"/>
          <w:sz w:val="20"/>
          <w:szCs w:val="20"/>
          <w:shd w:val="clear" w:color="auto" w:fill="FFFFFF"/>
        </w:rPr>
        <w:t>Case C</w:t>
      </w:r>
      <w:r w:rsidRPr="006B38CB">
        <w:rPr>
          <w:rFonts w:ascii="Times" w:eastAsia="Times New Roman" w:hAnsi="Times" w:cs="Arial"/>
          <w:sz w:val="20"/>
          <w:szCs w:val="20"/>
          <w:shd w:val="clear" w:color="auto" w:fill="FFFFFF"/>
        </w:rPr>
        <w:noBreakHyphen/>
        <w:t>147/03, </w:t>
      </w:r>
      <w:r w:rsidRPr="006B38CB">
        <w:rPr>
          <w:rFonts w:ascii="Times" w:eastAsia="Times New Roman" w:hAnsi="Times" w:cs="Arial"/>
          <w:i/>
          <w:iCs/>
          <w:sz w:val="20"/>
          <w:szCs w:val="20"/>
          <w:shd w:val="clear" w:color="auto" w:fill="FFFFFF"/>
        </w:rPr>
        <w:t>Commission</w:t>
      </w:r>
      <w:r w:rsidRPr="006B38CB">
        <w:rPr>
          <w:rFonts w:ascii="Times" w:eastAsia="Times New Roman" w:hAnsi="Times" w:cs="Arial"/>
          <w:sz w:val="20"/>
          <w:szCs w:val="20"/>
          <w:shd w:val="clear" w:color="auto" w:fill="FFFFFF"/>
        </w:rPr>
        <w:t> v </w:t>
      </w:r>
      <w:r w:rsidRPr="006B38CB">
        <w:rPr>
          <w:rFonts w:ascii="Times" w:eastAsia="Times New Roman" w:hAnsi="Times" w:cs="Arial"/>
          <w:i/>
          <w:iCs/>
          <w:sz w:val="20"/>
          <w:szCs w:val="20"/>
          <w:shd w:val="clear" w:color="auto" w:fill="FFFFFF"/>
        </w:rPr>
        <w:t>Austria</w:t>
      </w:r>
      <w:r w:rsidRPr="006B38CB">
        <w:rPr>
          <w:rFonts w:ascii="Times" w:eastAsia="Times New Roman" w:hAnsi="Times" w:cs="Arial"/>
          <w:iCs/>
          <w:sz w:val="20"/>
          <w:szCs w:val="20"/>
          <w:shd w:val="clear" w:color="auto" w:fill="FFFFFF"/>
        </w:rPr>
        <w:t>,</w:t>
      </w:r>
      <w:r w:rsidRPr="006B38CB">
        <w:rPr>
          <w:rFonts w:ascii="Times" w:eastAsia="Times New Roman" w:hAnsi="Times" w:cs="Arial"/>
          <w:sz w:val="20"/>
          <w:szCs w:val="20"/>
          <w:shd w:val="clear" w:color="auto" w:fill="FFFFFF"/>
        </w:rPr>
        <w:t> </w:t>
      </w:r>
      <w:r w:rsidRPr="006B38CB">
        <w:rPr>
          <w:rFonts w:ascii="Times" w:eastAsia="Times New Roman" w:hAnsi="Times" w:cs="Lucida Grande"/>
          <w:sz w:val="20"/>
          <w:szCs w:val="20"/>
          <w:shd w:val="clear" w:color="auto" w:fill="FFFFFF"/>
        </w:rPr>
        <w:t>EU:C:2005:427.</w:t>
      </w:r>
    </w:p>
  </w:footnote>
  <w:footnote w:id="102">
    <w:p w14:paraId="23814DC5" w14:textId="339CFBB5"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65. </w:t>
      </w:r>
    </w:p>
  </w:footnote>
  <w:footnote w:id="103">
    <w:p w14:paraId="4768DE69" w14:textId="12AEC594" w:rsidR="004F1D23" w:rsidRPr="006B38CB" w:rsidRDefault="004F1D23" w:rsidP="0080408B">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Case 171/88, </w:t>
      </w:r>
      <w:r w:rsidRPr="006B38CB">
        <w:rPr>
          <w:rFonts w:ascii="Times" w:hAnsi="Times"/>
          <w:i/>
          <w:sz w:val="20"/>
          <w:szCs w:val="20"/>
          <w:lang w:val="en-US"/>
        </w:rPr>
        <w:t>I</w:t>
      </w:r>
      <w:r w:rsidRPr="006B38CB">
        <w:rPr>
          <w:rFonts w:ascii="Times" w:eastAsia="Times New Roman" w:hAnsi="Times" w:cs="Lucida Grande"/>
          <w:bCs/>
          <w:i/>
          <w:sz w:val="20"/>
          <w:szCs w:val="20"/>
          <w:bdr w:val="none" w:sz="0" w:space="0" w:color="auto" w:frame="1"/>
          <w:shd w:val="clear" w:color="auto" w:fill="FFFFFF"/>
        </w:rPr>
        <w:t>ngrid Rinner-Kühn v FWW Spezial-Gebäudereinigung GmbH &amp; Co. KG,</w:t>
      </w:r>
      <w:r w:rsidRPr="006B38CB">
        <w:rPr>
          <w:rFonts w:ascii="Times" w:eastAsia="Times New Roman" w:hAnsi="Times" w:cs="Lucida Grande"/>
          <w:b/>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EU:C:1989:328</w:t>
      </w:r>
      <w:r w:rsidRPr="006B38CB">
        <w:rPr>
          <w:rFonts w:ascii="Times" w:eastAsia="Times New Roman" w:hAnsi="Times" w:cs="Times New Roman"/>
          <w:sz w:val="20"/>
          <w:szCs w:val="20"/>
        </w:rPr>
        <w:t>, para 14.</w:t>
      </w:r>
    </w:p>
  </w:footnote>
  <w:footnote w:id="104">
    <w:p w14:paraId="48F83EDF" w14:textId="249230F4"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Reynolds, “Explaining the constitutional drivers behind a perceived judicial preference for free movement rights”, 53(3) CML Rev, (2016), 643-678.</w:t>
      </w:r>
    </w:p>
  </w:footnote>
  <w:footnote w:id="105">
    <w:p w14:paraId="020995FF" w14:textId="0A563AF6"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Nic Shuibne and Maci “Proving public interest: The growing impact of evidence in free movement case law”, 50 CML Rev, (2013), 965-1005, 1004. </w:t>
      </w:r>
    </w:p>
  </w:footnote>
  <w:footnote w:id="106">
    <w:p w14:paraId="0BEF554A" w14:textId="1040F2BC"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Judgment, para 47. </w:t>
      </w:r>
    </w:p>
  </w:footnote>
  <w:footnote w:id="107">
    <w:p w14:paraId="60345B5E" w14:textId="123661FD"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i/>
          <w:sz w:val="20"/>
          <w:szCs w:val="20"/>
          <w:lang w:val="en-US"/>
        </w:rPr>
        <w:t>Brey</w:t>
      </w:r>
      <w:r w:rsidRPr="006B38CB">
        <w:rPr>
          <w:rFonts w:ascii="Times" w:hAnsi="Times"/>
          <w:sz w:val="20"/>
          <w:szCs w:val="20"/>
          <w:lang w:val="en-US"/>
        </w:rPr>
        <w:t xml:space="preserve">, cit. </w:t>
      </w:r>
      <w:r w:rsidRPr="006B38CB">
        <w:rPr>
          <w:rFonts w:ascii="Times" w:hAnsi="Times"/>
          <w:i/>
          <w:sz w:val="20"/>
          <w:szCs w:val="20"/>
          <w:lang w:val="en-US"/>
        </w:rPr>
        <w:t>supra</w:t>
      </w:r>
      <w:r w:rsidRPr="006B38CB">
        <w:rPr>
          <w:rFonts w:ascii="Times" w:hAnsi="Times"/>
          <w:sz w:val="20"/>
          <w:szCs w:val="20"/>
          <w:lang w:val="en-US"/>
        </w:rPr>
        <w:t xml:space="preserve"> note </w:t>
      </w:r>
      <w:r w:rsidRPr="006B38CB">
        <w:rPr>
          <w:rFonts w:ascii="Times" w:hAnsi="Times"/>
          <w:sz w:val="20"/>
          <w:szCs w:val="20"/>
          <w:lang w:val="en-US"/>
        </w:rPr>
        <w:fldChar w:fldCharType="begin"/>
      </w:r>
      <w:r w:rsidRPr="006B38CB">
        <w:rPr>
          <w:rFonts w:ascii="Times" w:hAnsi="Times"/>
          <w:sz w:val="20"/>
          <w:szCs w:val="20"/>
          <w:lang w:val="en-US"/>
        </w:rPr>
        <w:instrText xml:space="preserve"> NOTEREF _Ref331344117 \h </w:instrText>
      </w:r>
      <w:r w:rsidRPr="006B38CB">
        <w:rPr>
          <w:rFonts w:ascii="Times" w:hAnsi="Times"/>
          <w:sz w:val="20"/>
          <w:szCs w:val="20"/>
          <w:lang w:val="en-US"/>
        </w:rPr>
      </w:r>
      <w:r w:rsidRPr="006B38CB">
        <w:rPr>
          <w:rFonts w:ascii="Times" w:hAnsi="Times"/>
          <w:sz w:val="20"/>
          <w:szCs w:val="20"/>
          <w:lang w:val="en-US"/>
        </w:rPr>
        <w:fldChar w:fldCharType="separate"/>
      </w:r>
      <w:r w:rsidR="0067479A">
        <w:rPr>
          <w:rFonts w:ascii="Times" w:hAnsi="Times"/>
          <w:sz w:val="20"/>
          <w:szCs w:val="20"/>
          <w:lang w:val="en-US"/>
        </w:rPr>
        <w:t>8</w:t>
      </w:r>
      <w:r w:rsidRPr="006B38CB">
        <w:rPr>
          <w:rFonts w:ascii="Times" w:hAnsi="Times"/>
          <w:sz w:val="20"/>
          <w:szCs w:val="20"/>
          <w:lang w:val="en-US"/>
        </w:rPr>
        <w:fldChar w:fldCharType="end"/>
      </w:r>
      <w:r w:rsidRPr="006B38CB">
        <w:rPr>
          <w:rFonts w:ascii="Times" w:hAnsi="Times"/>
          <w:sz w:val="20"/>
          <w:szCs w:val="20"/>
          <w:lang w:val="en-US"/>
        </w:rPr>
        <w:t>, para 78.</w:t>
      </w:r>
    </w:p>
  </w:footnote>
  <w:footnote w:id="108">
    <w:p w14:paraId="2398B4FA" w14:textId="7CAAE456" w:rsidR="004F1D23" w:rsidRPr="006B38CB" w:rsidRDefault="004F1D23" w:rsidP="00581A0E">
      <w:pPr>
        <w:widowControl w:val="0"/>
        <w:autoSpaceDE w:val="0"/>
        <w:autoSpaceDN w:val="0"/>
        <w:adjustRightInd w:val="0"/>
        <w:rPr>
          <w:rFonts w:ascii="Times" w:hAnsi="Times" w:cs="Times New Roman"/>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 xml:space="preserve">Case C-507/12, </w:t>
      </w:r>
      <w:r w:rsidRPr="006B38CB">
        <w:rPr>
          <w:rFonts w:ascii="Times" w:hAnsi="Times" w:cs="Times New Roman"/>
          <w:i/>
          <w:sz w:val="20"/>
          <w:szCs w:val="20"/>
          <w:lang w:val="en-US"/>
        </w:rPr>
        <w:t>Jessy Saint Prix v. Secretary of State for Work and Pensions</w:t>
      </w:r>
      <w:r w:rsidRPr="006B38CB">
        <w:rPr>
          <w:rFonts w:ascii="Times" w:hAnsi="Times" w:cs="Times New Roman"/>
          <w:sz w:val="20"/>
          <w:szCs w:val="20"/>
          <w:lang w:val="en-US"/>
        </w:rPr>
        <w:t>, EU:C:2014:2007</w:t>
      </w:r>
    </w:p>
  </w:footnote>
  <w:footnote w:id="109">
    <w:p w14:paraId="4672B48C" w14:textId="5029ACFD" w:rsidR="004F1D23" w:rsidRPr="006B38CB" w:rsidRDefault="004F1D23" w:rsidP="00581A0E">
      <w:pPr>
        <w:widowControl w:val="0"/>
        <w:autoSpaceDE w:val="0"/>
        <w:autoSpaceDN w:val="0"/>
        <w:adjustRightInd w:val="0"/>
        <w:rPr>
          <w:rFonts w:ascii="Times" w:hAnsi="Times" w:cs="Times New Roman"/>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Thym, “The elusive limits of solidarity: Residence rights of and social benefits for economically inactive Union citizens”, 52 CML Rev. (2015), 17–50, 25.</w:t>
      </w:r>
    </w:p>
  </w:footnote>
  <w:footnote w:id="110">
    <w:p w14:paraId="418C4E7B" w14:textId="3227D23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Giubboni, (2015), Op. cit. </w:t>
      </w:r>
      <w:r w:rsidRPr="006B38CB">
        <w:rPr>
          <w:rFonts w:ascii="Times" w:hAnsi="Times"/>
          <w:i/>
          <w:sz w:val="20"/>
          <w:szCs w:val="20"/>
        </w:rPr>
        <w:t>supra</w:t>
      </w:r>
      <w:r w:rsidRPr="006B38CB">
        <w:rPr>
          <w:rFonts w:ascii="Times" w:hAnsi="Times"/>
          <w:sz w:val="20"/>
          <w:szCs w:val="20"/>
        </w:rPr>
        <w:t xml:space="preserve"> note </w:t>
      </w:r>
      <w:r w:rsidRPr="006B38CB">
        <w:rPr>
          <w:rFonts w:ascii="Times" w:hAnsi="Times"/>
          <w:sz w:val="20"/>
          <w:szCs w:val="20"/>
        </w:rPr>
        <w:fldChar w:fldCharType="begin"/>
      </w:r>
      <w:r w:rsidRPr="006B38CB">
        <w:rPr>
          <w:rFonts w:ascii="Times" w:hAnsi="Times"/>
          <w:sz w:val="20"/>
          <w:szCs w:val="20"/>
        </w:rPr>
        <w:instrText xml:space="preserve"> NOTEREF _Ref331425102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7</w:t>
      </w:r>
      <w:r w:rsidRPr="006B38CB">
        <w:rPr>
          <w:rFonts w:ascii="Times" w:hAnsi="Times"/>
          <w:sz w:val="20"/>
          <w:szCs w:val="20"/>
        </w:rPr>
        <w:fldChar w:fldCharType="end"/>
      </w:r>
      <w:r w:rsidRPr="006B38CB">
        <w:rPr>
          <w:rFonts w:ascii="Times" w:hAnsi="Times"/>
          <w:sz w:val="20"/>
          <w:szCs w:val="20"/>
        </w:rPr>
        <w:t>, E-12.</w:t>
      </w:r>
    </w:p>
  </w:footnote>
  <w:footnote w:id="111">
    <w:p w14:paraId="2B525BF8" w14:textId="04090A0E"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i/>
          <w:sz w:val="20"/>
          <w:szCs w:val="20"/>
          <w:lang w:val="en-US"/>
        </w:rPr>
        <w:t>Alimanovic</w:t>
      </w:r>
      <w:r w:rsidRPr="006B38CB">
        <w:rPr>
          <w:rFonts w:ascii="Times" w:hAnsi="Times"/>
          <w:sz w:val="20"/>
          <w:szCs w:val="20"/>
          <w:lang w:val="en-US"/>
        </w:rPr>
        <w:t xml:space="preserve">, cit. </w:t>
      </w:r>
      <w:r w:rsidRPr="006B38CB">
        <w:rPr>
          <w:rFonts w:ascii="Times" w:hAnsi="Times"/>
          <w:i/>
          <w:sz w:val="20"/>
          <w:szCs w:val="20"/>
          <w:lang w:val="en-US"/>
        </w:rPr>
        <w:t>supra</w:t>
      </w:r>
      <w:r w:rsidRPr="006B38CB">
        <w:rPr>
          <w:rFonts w:ascii="Times" w:hAnsi="Times"/>
          <w:sz w:val="20"/>
          <w:szCs w:val="20"/>
          <w:lang w:val="en-US"/>
        </w:rPr>
        <w:t xml:space="preserve"> note  </w:t>
      </w:r>
      <w:r w:rsidRPr="006B38CB">
        <w:rPr>
          <w:rFonts w:ascii="Times" w:hAnsi="Times"/>
          <w:sz w:val="20"/>
          <w:szCs w:val="20"/>
          <w:lang w:val="en-US"/>
        </w:rPr>
        <w:fldChar w:fldCharType="begin"/>
      </w:r>
      <w:r w:rsidRPr="006B38CB">
        <w:rPr>
          <w:rFonts w:ascii="Times" w:hAnsi="Times"/>
          <w:sz w:val="20"/>
          <w:szCs w:val="20"/>
          <w:lang w:val="en-US"/>
        </w:rPr>
        <w:instrText xml:space="preserve"> NOTEREF _Ref331426607 \h </w:instrText>
      </w:r>
      <w:r w:rsidRPr="006B38CB">
        <w:rPr>
          <w:rFonts w:ascii="Times" w:hAnsi="Times"/>
          <w:sz w:val="20"/>
          <w:szCs w:val="20"/>
          <w:lang w:val="en-US"/>
        </w:rPr>
      </w:r>
      <w:r w:rsidRPr="006B38CB">
        <w:rPr>
          <w:rFonts w:ascii="Times" w:hAnsi="Times"/>
          <w:sz w:val="20"/>
          <w:szCs w:val="20"/>
          <w:lang w:val="en-US"/>
        </w:rPr>
        <w:fldChar w:fldCharType="separate"/>
      </w:r>
      <w:r w:rsidR="0067479A">
        <w:rPr>
          <w:rFonts w:ascii="Times" w:hAnsi="Times"/>
          <w:sz w:val="20"/>
          <w:szCs w:val="20"/>
          <w:lang w:val="en-US"/>
        </w:rPr>
        <w:t>10</w:t>
      </w:r>
      <w:r w:rsidRPr="006B38CB">
        <w:rPr>
          <w:rFonts w:ascii="Times" w:hAnsi="Times"/>
          <w:sz w:val="20"/>
          <w:szCs w:val="20"/>
          <w:lang w:val="en-US"/>
        </w:rPr>
        <w:fldChar w:fldCharType="end"/>
      </w:r>
      <w:r w:rsidRPr="006B38CB">
        <w:rPr>
          <w:rFonts w:ascii="Times" w:hAnsi="Times"/>
          <w:sz w:val="20"/>
          <w:szCs w:val="20"/>
          <w:lang w:val="en-US"/>
        </w:rPr>
        <w:t>, para 60.</w:t>
      </w:r>
    </w:p>
  </w:footnote>
  <w:footnote w:id="112">
    <w:p w14:paraId="05E70422" w14:textId="77E2B0B1"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Ibid., para 61. </w:t>
      </w:r>
    </w:p>
  </w:footnote>
  <w:footnote w:id="113">
    <w:p w14:paraId="2BFFC5A5" w14:textId="1A4898B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Ibid., para 59.</w:t>
      </w:r>
    </w:p>
  </w:footnote>
  <w:footnote w:id="114">
    <w:p w14:paraId="3A858320" w14:textId="00FA0FB3" w:rsidR="004F1D23" w:rsidRPr="006B38CB" w:rsidRDefault="004F1D23" w:rsidP="00914FAF">
      <w:pPr>
        <w:widowControl w:val="0"/>
        <w:autoSpaceDE w:val="0"/>
        <w:autoSpaceDN w:val="0"/>
        <w:adjustRightInd w:val="0"/>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Iliopoulou, “Deconstructing the former edifice of Union citizenship? The Alimanovic judgment”, 53(4) CML Rev, (2016), 1007-1035, 1035.</w:t>
      </w:r>
    </w:p>
  </w:footnote>
  <w:footnote w:id="115">
    <w:p w14:paraId="54FBFF68" w14:textId="3EF1CFCD" w:rsidR="004F1D23" w:rsidRPr="006B38CB" w:rsidRDefault="004F1D23" w:rsidP="001C51A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Case C-209/03, </w:t>
      </w:r>
      <w:r w:rsidRPr="006B38CB">
        <w:rPr>
          <w:rFonts w:ascii="Times" w:eastAsia="Times New Roman" w:hAnsi="Times" w:cs="Lucida Grande"/>
          <w:bCs/>
          <w:i/>
          <w:sz w:val="20"/>
          <w:szCs w:val="20"/>
          <w:bdr w:val="none" w:sz="0" w:space="0" w:color="auto" w:frame="1"/>
          <w:shd w:val="clear" w:color="auto" w:fill="FFFFFF"/>
        </w:rPr>
        <w:t>The Queen, on the application of Dany Bidar v London Borough of Ealing and Secretary of State for Education and Skills</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EU:C:2005:169.</w:t>
      </w:r>
    </w:p>
  </w:footnote>
  <w:footnote w:id="116">
    <w:p w14:paraId="2A9A94FB" w14:textId="009B301A" w:rsidR="004F1D23" w:rsidRPr="006B38CB" w:rsidRDefault="004F1D23" w:rsidP="001C51A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Case C-158/07 </w:t>
      </w:r>
      <w:r w:rsidRPr="006B38CB">
        <w:rPr>
          <w:rFonts w:ascii="Times" w:eastAsia="Times New Roman" w:hAnsi="Times" w:cs="Lucida Grande"/>
          <w:bCs/>
          <w:i/>
          <w:sz w:val="20"/>
          <w:szCs w:val="20"/>
          <w:bdr w:val="none" w:sz="0" w:space="0" w:color="auto" w:frame="1"/>
          <w:shd w:val="clear" w:color="auto" w:fill="FFFFFF"/>
        </w:rPr>
        <w:t>Jacqueline Förster v Hoofddirectie van de Informatie Beheer Groep</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EU:C:2008:630.</w:t>
      </w:r>
    </w:p>
  </w:footnote>
  <w:footnote w:id="117">
    <w:p w14:paraId="6339A5F4" w14:textId="2866D163" w:rsidR="004F1D23" w:rsidRPr="006B38CB" w:rsidRDefault="004F1D23" w:rsidP="0097448E">
      <w:pPr>
        <w:pStyle w:val="Heading2"/>
        <w:shd w:val="clear" w:color="auto" w:fill="FFFFFF"/>
        <w:spacing w:before="0" w:beforeAutospacing="0" w:after="0" w:afterAutospacing="0"/>
        <w:rPr>
          <w:rFonts w:eastAsia="Times New Roman" w:cs="Times New Roman"/>
          <w:b w:val="0"/>
          <w:sz w:val="20"/>
          <w:szCs w:val="20"/>
        </w:rPr>
      </w:pPr>
      <w:r w:rsidRPr="006B38CB">
        <w:rPr>
          <w:rStyle w:val="FootnoteReference"/>
          <w:b w:val="0"/>
          <w:sz w:val="20"/>
          <w:szCs w:val="20"/>
        </w:rPr>
        <w:footnoteRef/>
      </w:r>
      <w:r w:rsidRPr="006B38CB">
        <w:rPr>
          <w:b w:val="0"/>
          <w:sz w:val="20"/>
          <w:szCs w:val="20"/>
        </w:rPr>
        <w:t xml:space="preserve"> </w:t>
      </w:r>
      <w:r w:rsidRPr="006B38CB">
        <w:rPr>
          <w:rFonts w:eastAsia="Times New Roman" w:cs="Times New Roman"/>
          <w:b w:val="0"/>
          <w:sz w:val="20"/>
          <w:szCs w:val="20"/>
        </w:rPr>
        <w:t>O’Brien, “Real links, abstract rights and false alarms: The relationship between the ECJ’s ‘real link’ case law and national solidarity”, 33 EL Rev. (2008), at 643; Neuvonen, “In search of (even) more substance for the "real link" test: comment on Prinz and Seeberger” 39(1) EL Rev (2014) 125-136; De Mars, “Economically inactive EU migrants and the United Kingdom's National Health Service: unreasonable burdens without</w:t>
      </w:r>
      <w:r w:rsidRPr="006B38CB">
        <w:rPr>
          <w:rStyle w:val="apple-converted-space"/>
          <w:rFonts w:eastAsia="Times New Roman" w:cs="Times New Roman"/>
          <w:b w:val="0"/>
          <w:sz w:val="20"/>
          <w:szCs w:val="20"/>
        </w:rPr>
        <w:t> real links</w:t>
      </w:r>
      <w:r w:rsidRPr="006B38CB">
        <w:rPr>
          <w:rFonts w:eastAsia="Times New Roman" w:cs="Times New Roman"/>
          <w:b w:val="0"/>
          <w:sz w:val="20"/>
          <w:szCs w:val="20"/>
        </w:rPr>
        <w:t>?”, 39(6) EL Rev. (2014), 770-789.</w:t>
      </w:r>
    </w:p>
  </w:footnote>
  <w:footnote w:id="118">
    <w:p w14:paraId="1EF4B3B0" w14:textId="77663E09"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Judgment, para 72.</w:t>
      </w:r>
    </w:p>
  </w:footnote>
  <w:footnote w:id="119">
    <w:p w14:paraId="1783E514" w14:textId="6F46A8B8" w:rsidR="006B38CB" w:rsidRPr="006B38CB" w:rsidRDefault="006B38CB" w:rsidP="006B38CB">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Case C-414/97, </w:t>
      </w:r>
      <w:r w:rsidRPr="006B38CB">
        <w:rPr>
          <w:rFonts w:ascii="Times" w:hAnsi="Times"/>
          <w:i/>
          <w:sz w:val="20"/>
          <w:szCs w:val="20"/>
          <w:lang w:val="en-US"/>
        </w:rPr>
        <w:t>Commission v Spain</w:t>
      </w:r>
      <w:r w:rsidRPr="006B38CB">
        <w:rPr>
          <w:rFonts w:ascii="Times" w:hAnsi="Times"/>
          <w:sz w:val="20"/>
          <w:szCs w:val="20"/>
          <w:lang w:val="en-US"/>
        </w:rPr>
        <w:t xml:space="preserve">, </w:t>
      </w:r>
      <w:r w:rsidRPr="006B38CB">
        <w:rPr>
          <w:rFonts w:ascii="Times" w:eastAsia="Times New Roman" w:hAnsi="Times" w:cs="Lucida Grande"/>
          <w:sz w:val="20"/>
          <w:szCs w:val="20"/>
          <w:shd w:val="clear" w:color="auto" w:fill="FFFFFF"/>
        </w:rPr>
        <w:t>EU:C:1999:417, 19.</w:t>
      </w:r>
    </w:p>
  </w:footnote>
  <w:footnote w:id="120">
    <w:p w14:paraId="1ECEE826" w14:textId="427E29E5" w:rsidR="004F1D23" w:rsidRPr="006B38CB" w:rsidRDefault="004F1D23" w:rsidP="00E5635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O’Brien, Spaventa and De Coninck, “The concept of worker under Article 45 TFEU and certain non-standard forms of employment”, FreSsco Comparative Report 2015, av</w:t>
      </w:r>
      <w:bookmarkStart w:id="10" w:name="_GoBack"/>
      <w:bookmarkEnd w:id="10"/>
      <w:r w:rsidRPr="006B38CB">
        <w:rPr>
          <w:rFonts w:ascii="Times" w:eastAsia="Times New Roman" w:hAnsi="Times" w:cs="Times New Roman"/>
          <w:sz w:val="20"/>
          <w:szCs w:val="20"/>
        </w:rPr>
        <w:t>ailable at &lt; www.ec.europa.eu/social/BlobServlet?docId=15476&amp;langId=en&gt; accessed 29 July 2016.</w:t>
      </w:r>
    </w:p>
  </w:footnote>
  <w:footnote w:id="121">
    <w:p w14:paraId="38A01535" w14:textId="55C9BF38" w:rsidR="004F1D23" w:rsidRPr="006B38CB" w:rsidRDefault="004F1D23" w:rsidP="00E5635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The Minimum Earnings Threshold is covered in Department of Work and Pensions (“DWP”) Decision Maker Guidance, “Habitual residence &amp; right to reside – IS/JSA/SPC/ESA” (June 2015), at 073031 and 073092; available at: &lt;</w:t>
      </w:r>
      <w:r w:rsidRPr="006B38CB">
        <w:rPr>
          <w:rFonts w:ascii="Times" w:hAnsi="Times"/>
          <w:sz w:val="20"/>
          <w:szCs w:val="20"/>
        </w:rPr>
        <w:t xml:space="preserve"> </w:t>
      </w:r>
      <w:r w:rsidRPr="006B38CB">
        <w:rPr>
          <w:rFonts w:ascii="Times" w:eastAsia="Times New Roman" w:hAnsi="Times" w:cs="Times New Roman"/>
          <w:sz w:val="20"/>
          <w:szCs w:val="20"/>
        </w:rPr>
        <w:t>www.gov.uk/government/uploads/system/uploads/attachment_data/file/497585/dmgch07</w:t>
      </w:r>
    </w:p>
    <w:p w14:paraId="75B95008" w14:textId="7F8E0F29" w:rsidR="004F1D23" w:rsidRPr="006B38CB" w:rsidRDefault="004F1D23" w:rsidP="00E56350">
      <w:pPr>
        <w:rPr>
          <w:rFonts w:ascii="Times" w:eastAsia="Times New Roman" w:hAnsi="Times" w:cs="Times New Roman"/>
          <w:sz w:val="20"/>
          <w:szCs w:val="20"/>
        </w:rPr>
      </w:pPr>
      <w:r w:rsidRPr="006B38CB">
        <w:rPr>
          <w:rFonts w:ascii="Times" w:eastAsia="Times New Roman" w:hAnsi="Times" w:cs="Times New Roman"/>
          <w:sz w:val="20"/>
          <w:szCs w:val="20"/>
        </w:rPr>
        <w:t>03.pdf&gt; accessed 29 July 2016.</w:t>
      </w:r>
    </w:p>
  </w:footnote>
  <w:footnote w:id="122">
    <w:p w14:paraId="31C55EBE" w14:textId="53DC07E7"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O’Brien, Spaventa and De Coninck (2015) Op. cit. </w:t>
      </w:r>
      <w:r w:rsidRPr="006B38CB">
        <w:rPr>
          <w:rFonts w:ascii="Times" w:hAnsi="Times"/>
          <w:i/>
          <w:sz w:val="20"/>
          <w:szCs w:val="20"/>
        </w:rPr>
        <w:t>supra</w:t>
      </w:r>
      <w:r w:rsidRPr="006B38CB">
        <w:rPr>
          <w:rFonts w:ascii="Times" w:hAnsi="Times"/>
          <w:sz w:val="20"/>
          <w:szCs w:val="20"/>
        </w:rPr>
        <w:t xml:space="preserve"> note </w:t>
      </w:r>
      <w:r w:rsidRPr="006B38CB">
        <w:rPr>
          <w:rFonts w:ascii="Times" w:hAnsi="Times"/>
          <w:sz w:val="20"/>
          <w:szCs w:val="20"/>
        </w:rPr>
        <w:fldChar w:fldCharType="begin"/>
      </w:r>
      <w:r w:rsidRPr="006B38CB">
        <w:rPr>
          <w:rFonts w:ascii="Times" w:hAnsi="Times"/>
          <w:sz w:val="20"/>
          <w:szCs w:val="20"/>
        </w:rPr>
        <w:instrText xml:space="preserve"> NOTEREF _Ref331428543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120</w:t>
      </w:r>
      <w:r w:rsidRPr="006B38CB">
        <w:rPr>
          <w:rFonts w:ascii="Times" w:hAnsi="Times"/>
          <w:sz w:val="20"/>
          <w:szCs w:val="20"/>
        </w:rPr>
        <w:fldChar w:fldCharType="end"/>
      </w:r>
      <w:r w:rsidRPr="006B38CB">
        <w:rPr>
          <w:rFonts w:ascii="Times" w:hAnsi="Times"/>
          <w:sz w:val="20"/>
          <w:szCs w:val="20"/>
        </w:rPr>
        <w:t>.</w:t>
      </w:r>
    </w:p>
  </w:footnote>
  <w:footnote w:id="123">
    <w:p w14:paraId="315CB9FC" w14:textId="3793EF70"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O’Brien (2015) Op. cit. </w:t>
      </w:r>
      <w:r w:rsidRPr="006B38CB">
        <w:rPr>
          <w:rFonts w:ascii="Times" w:hAnsi="Times"/>
          <w:i/>
          <w:sz w:val="20"/>
          <w:szCs w:val="20"/>
        </w:rPr>
        <w:t xml:space="preserve">supra </w:t>
      </w:r>
      <w:r w:rsidRPr="006B38CB">
        <w:rPr>
          <w:rFonts w:ascii="Times" w:hAnsi="Times"/>
          <w:sz w:val="20"/>
          <w:szCs w:val="20"/>
        </w:rPr>
        <w:t xml:space="preserve">note </w:t>
      </w:r>
      <w:r w:rsidRPr="006B38CB">
        <w:rPr>
          <w:rFonts w:ascii="Times" w:hAnsi="Times"/>
          <w:sz w:val="20"/>
          <w:szCs w:val="20"/>
        </w:rPr>
        <w:fldChar w:fldCharType="begin"/>
      </w:r>
      <w:r w:rsidRPr="006B38CB">
        <w:rPr>
          <w:rFonts w:ascii="Times" w:hAnsi="Times"/>
          <w:sz w:val="20"/>
          <w:szCs w:val="20"/>
        </w:rPr>
        <w:instrText xml:space="preserve"> NOTEREF _Ref331421720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21</w:t>
      </w:r>
      <w:r w:rsidRPr="006B38CB">
        <w:rPr>
          <w:rFonts w:ascii="Times" w:hAnsi="Times"/>
          <w:sz w:val="20"/>
          <w:szCs w:val="20"/>
        </w:rPr>
        <w:fldChar w:fldCharType="end"/>
      </w:r>
      <w:r w:rsidRPr="006B38CB">
        <w:rPr>
          <w:rFonts w:ascii="Times" w:hAnsi="Times"/>
          <w:sz w:val="20"/>
          <w:szCs w:val="20"/>
        </w:rPr>
        <w:t>.</w:t>
      </w:r>
    </w:p>
  </w:footnote>
  <w:footnote w:id="124">
    <w:p w14:paraId="35B09441" w14:textId="415571EE" w:rsidR="004F1D23" w:rsidRPr="006B38CB" w:rsidRDefault="004F1D23" w:rsidP="00FC598E">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C-115/15 </w:t>
      </w:r>
      <w:r w:rsidRPr="006B38CB">
        <w:rPr>
          <w:rFonts w:ascii="Times" w:eastAsia="Times New Roman" w:hAnsi="Times" w:cs="Lucida Grande"/>
          <w:bCs/>
          <w:i/>
          <w:sz w:val="20"/>
          <w:szCs w:val="20"/>
          <w:bdr w:val="none" w:sz="0" w:space="0" w:color="auto" w:frame="1"/>
          <w:shd w:val="clear" w:color="auto" w:fill="FFFFFF"/>
        </w:rPr>
        <w:t>Secretary of State for the Home Department v NA</w:t>
      </w:r>
      <w:r w:rsidRPr="006B38CB">
        <w:rPr>
          <w:rFonts w:ascii="Times" w:eastAsia="Times New Roman" w:hAnsi="Times" w:cs="Lucida Grande"/>
          <w:bCs/>
          <w:sz w:val="20"/>
          <w:szCs w:val="20"/>
          <w:bdr w:val="none" w:sz="0" w:space="0" w:color="auto" w:frame="1"/>
          <w:shd w:val="clear" w:color="auto" w:fill="FFFFFF"/>
        </w:rPr>
        <w:t xml:space="preserve">, Opinion of AG Wathelet delivered on 14 April 2016, </w:t>
      </w:r>
      <w:r w:rsidRPr="006B38CB">
        <w:rPr>
          <w:rFonts w:ascii="Times" w:eastAsia="Times New Roman" w:hAnsi="Times" w:cs="Lucida Grande"/>
          <w:sz w:val="20"/>
          <w:szCs w:val="20"/>
          <w:shd w:val="clear" w:color="auto" w:fill="FFFFFF"/>
        </w:rPr>
        <w:t xml:space="preserve">EU:C:2016:259, at para 115, emphasis in original. </w:t>
      </w:r>
    </w:p>
  </w:footnote>
  <w:footnote w:id="125">
    <w:p w14:paraId="48CBD09A" w14:textId="12284596" w:rsidR="004F1D23" w:rsidRPr="006B38CB" w:rsidRDefault="004F1D23" w:rsidP="00E5635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Case C-115/15 </w:t>
      </w:r>
      <w:r w:rsidRPr="006B38CB">
        <w:rPr>
          <w:rFonts w:ascii="Times" w:eastAsia="Times New Roman" w:hAnsi="Times" w:cs="Lucida Grande"/>
          <w:bCs/>
          <w:i/>
          <w:sz w:val="20"/>
          <w:szCs w:val="20"/>
          <w:bdr w:val="none" w:sz="0" w:space="0" w:color="auto" w:frame="1"/>
          <w:shd w:val="clear" w:color="auto" w:fill="FFFFFF"/>
        </w:rPr>
        <w:t xml:space="preserve">Secretary of State for the Home Department v NA </w:t>
      </w:r>
      <w:r w:rsidRPr="006B38CB">
        <w:rPr>
          <w:rFonts w:ascii="Times" w:eastAsia="Times New Roman" w:hAnsi="Times" w:cs="Lucida Grande"/>
          <w:sz w:val="20"/>
          <w:szCs w:val="20"/>
          <w:shd w:val="clear" w:color="auto" w:fill="FFFFFF"/>
        </w:rPr>
        <w:t>EU:C:2016:487</w:t>
      </w:r>
    </w:p>
  </w:footnote>
  <w:footnote w:id="126">
    <w:p w14:paraId="0FE59E94" w14:textId="5A959009" w:rsidR="004F1D23" w:rsidRPr="006B38CB" w:rsidRDefault="004F1D23" w:rsidP="002D2649">
      <w:pPr>
        <w:pStyle w:val="Heading3"/>
        <w:shd w:val="clear" w:color="auto" w:fill="FFFFFF"/>
        <w:spacing w:before="0"/>
        <w:rPr>
          <w:rFonts w:ascii="Times" w:eastAsia="Times New Roman" w:hAnsi="Times" w:cs="Arial"/>
          <w:b w:val="0"/>
          <w:bCs w:val="0"/>
          <w:color w:val="auto"/>
          <w:sz w:val="20"/>
          <w:szCs w:val="20"/>
        </w:rPr>
      </w:pPr>
      <w:r w:rsidRPr="006B38CB">
        <w:rPr>
          <w:rStyle w:val="FootnoteReference"/>
          <w:rFonts w:ascii="Times" w:hAnsi="Times"/>
          <w:b w:val="0"/>
          <w:color w:val="auto"/>
          <w:sz w:val="20"/>
          <w:szCs w:val="20"/>
        </w:rPr>
        <w:footnoteRef/>
      </w:r>
      <w:r w:rsidRPr="006B38CB">
        <w:rPr>
          <w:rFonts w:ascii="Times" w:hAnsi="Times"/>
          <w:b w:val="0"/>
          <w:color w:val="auto"/>
          <w:sz w:val="20"/>
          <w:szCs w:val="20"/>
        </w:rPr>
        <w:t xml:space="preserve"> </w:t>
      </w:r>
      <w:r w:rsidRPr="006B38CB">
        <w:rPr>
          <w:rFonts w:ascii="Times" w:hAnsi="Times"/>
          <w:b w:val="0"/>
          <w:color w:val="auto"/>
          <w:sz w:val="20"/>
          <w:szCs w:val="20"/>
          <w:lang w:val="en-US"/>
        </w:rPr>
        <w:t>For a damning analysis, see Peers, “</w:t>
      </w:r>
      <w:r w:rsidRPr="006B38CB">
        <w:rPr>
          <w:rFonts w:ascii="Times" w:eastAsia="Times New Roman" w:hAnsi="Times" w:cs="Arial"/>
          <w:b w:val="0"/>
          <w:bCs w:val="0"/>
          <w:color w:val="auto"/>
          <w:sz w:val="20"/>
          <w:szCs w:val="20"/>
        </w:rPr>
        <w:t>Domestic violence and free movement of EU citizens: a shameful CJEU ruling” EU Law Analysis, 25 July 2016, at &lt;</w:t>
      </w:r>
      <w:r w:rsidRPr="006B38CB">
        <w:rPr>
          <w:rFonts w:ascii="Times" w:hAnsi="Times"/>
          <w:b w:val="0"/>
          <w:color w:val="auto"/>
          <w:sz w:val="20"/>
          <w:szCs w:val="20"/>
        </w:rPr>
        <w:t xml:space="preserve"> </w:t>
      </w:r>
      <w:r w:rsidRPr="006B38CB">
        <w:rPr>
          <w:rFonts w:ascii="Times" w:eastAsia="Times New Roman" w:hAnsi="Times" w:cs="Arial"/>
          <w:b w:val="0"/>
          <w:bCs w:val="0"/>
          <w:color w:val="auto"/>
          <w:sz w:val="20"/>
          <w:szCs w:val="20"/>
        </w:rPr>
        <w:t xml:space="preserve">http://eulawanalysis.blogspot.co.uk/2016/07/domestic-violence-and-free-movement-of.html&gt; accessed 29 July 2016. </w:t>
      </w:r>
    </w:p>
    <w:p w14:paraId="7FA0E321" w14:textId="37D2FBA9" w:rsidR="004F1D23" w:rsidRPr="006B38CB" w:rsidRDefault="004F1D23">
      <w:pPr>
        <w:pStyle w:val="FootnoteText"/>
        <w:rPr>
          <w:rFonts w:ascii="Times" w:hAnsi="Times"/>
          <w:sz w:val="20"/>
          <w:szCs w:val="20"/>
          <w:lang w:val="en-US"/>
        </w:rPr>
      </w:pPr>
    </w:p>
  </w:footnote>
  <w:footnote w:id="127">
    <w:p w14:paraId="765CD57C" w14:textId="5B9B95B2" w:rsidR="004F1D23" w:rsidRPr="006B38CB" w:rsidRDefault="004F1D23" w:rsidP="006B628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 xml:space="preserve">Case C-310/08 </w:t>
      </w:r>
      <w:r w:rsidRPr="006B38CB">
        <w:rPr>
          <w:rFonts w:ascii="Times" w:eastAsia="Times New Roman" w:hAnsi="Times" w:cs="Lucida Grande"/>
          <w:bCs/>
          <w:i/>
          <w:sz w:val="20"/>
          <w:szCs w:val="20"/>
          <w:bdr w:val="none" w:sz="0" w:space="0" w:color="auto" w:frame="1"/>
          <w:shd w:val="clear" w:color="auto" w:fill="FFFFFF"/>
        </w:rPr>
        <w:t>London Borough of Harrow v Nimco Hassan Ibrahim and Secretary of State for the Home Department</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EU:C:2009:641</w:t>
      </w:r>
    </w:p>
  </w:footnote>
  <w:footnote w:id="128">
    <w:p w14:paraId="4640C67D" w14:textId="16655E54" w:rsidR="004F1D23" w:rsidRPr="006B38CB" w:rsidRDefault="004F1D23" w:rsidP="006B6280">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 xml:space="preserve">Case C-480/08 </w:t>
      </w:r>
      <w:r w:rsidRPr="006B38CB">
        <w:rPr>
          <w:rFonts w:ascii="Times" w:eastAsia="Times New Roman" w:hAnsi="Times" w:cs="Lucida Grande"/>
          <w:bCs/>
          <w:i/>
          <w:sz w:val="20"/>
          <w:szCs w:val="20"/>
          <w:bdr w:val="none" w:sz="0" w:space="0" w:color="auto" w:frame="1"/>
          <w:shd w:val="clear" w:color="auto" w:fill="FFFFFF"/>
        </w:rPr>
        <w:t>Maria Teixeira v London Borough of Lambeth and Secretary of State for the Home Department</w:t>
      </w:r>
      <w:r w:rsidRPr="006B38CB">
        <w:rPr>
          <w:rFonts w:ascii="Times" w:eastAsia="Times New Roman" w:hAnsi="Times" w:cs="Lucida Grande"/>
          <w:bCs/>
          <w:sz w:val="20"/>
          <w:szCs w:val="20"/>
          <w:bdr w:val="none" w:sz="0" w:space="0" w:color="auto" w:frame="1"/>
          <w:shd w:val="clear" w:color="auto" w:fill="FFFFFF"/>
        </w:rPr>
        <w:t xml:space="preserve"> </w:t>
      </w:r>
      <w:r w:rsidRPr="006B38CB">
        <w:rPr>
          <w:rFonts w:ascii="Times" w:eastAsia="Times New Roman" w:hAnsi="Times" w:cs="Lucida Grande"/>
          <w:sz w:val="20"/>
          <w:szCs w:val="20"/>
          <w:shd w:val="clear" w:color="auto" w:fill="FFFFFF"/>
        </w:rPr>
        <w:t>EU:C:2009:642</w:t>
      </w:r>
    </w:p>
  </w:footnote>
  <w:footnote w:id="129">
    <w:p w14:paraId="48ECD47F" w14:textId="6F99B1CF" w:rsidR="004F1D23" w:rsidRPr="006B38CB" w:rsidRDefault="004F1D23" w:rsidP="003E2D4B">
      <w:pPr>
        <w:widowControl w:val="0"/>
        <w:autoSpaceDE w:val="0"/>
        <w:autoSpaceDN w:val="0"/>
        <w:adjustRightInd w:val="0"/>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sz w:val="20"/>
          <w:szCs w:val="20"/>
          <w:lang w:val="en-US"/>
        </w:rPr>
        <w:t xml:space="preserve">On this see O’Brien “Hand-to-mouth citizenship: </w:t>
      </w:r>
      <w:r w:rsidRPr="006B38CB">
        <w:rPr>
          <w:rFonts w:ascii="Times" w:hAnsi="Times" w:cs="0∞¸ø◊G·"/>
          <w:sz w:val="20"/>
          <w:szCs w:val="20"/>
          <w:lang w:val="en-US"/>
        </w:rPr>
        <w:t xml:space="preserve">decision time for the UK Supreme Court on the substance of </w:t>
      </w:r>
      <w:r w:rsidRPr="006B38CB">
        <w:rPr>
          <w:rFonts w:ascii="Times" w:hAnsi="Times" w:cs="0∞¸ø◊G·"/>
          <w:i/>
          <w:sz w:val="20"/>
          <w:szCs w:val="20"/>
          <w:lang w:val="en-US"/>
        </w:rPr>
        <w:t xml:space="preserve">Zambrano </w:t>
      </w:r>
      <w:r w:rsidRPr="006B38CB">
        <w:rPr>
          <w:rFonts w:ascii="Times" w:hAnsi="Times" w:cs="0∞¸ø◊G·"/>
          <w:sz w:val="20"/>
          <w:szCs w:val="20"/>
          <w:lang w:val="en-US"/>
        </w:rPr>
        <w:t xml:space="preserve">rights, EU citizenship and equal treatment”, 38(2), Journal of Social Welfare and Family Law, (2016), 228-245. </w:t>
      </w:r>
    </w:p>
  </w:footnote>
  <w:footnote w:id="130">
    <w:p w14:paraId="35B1DDDC" w14:textId="343E96CC"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United Nations Committee on the Rights of the Child, “Concluding observations on the fifth periodic report of the United Kingdom of Great Britain and Northern Ireland</w:t>
      </w:r>
      <w:r w:rsidRPr="006B38CB">
        <w:rPr>
          <w:rFonts w:ascii="Times" w:hAnsi="Times"/>
          <w:sz w:val="20"/>
          <w:szCs w:val="20"/>
          <w:vertAlign w:val="superscript"/>
        </w:rPr>
        <w:t>”,</w:t>
      </w:r>
      <w:r w:rsidRPr="006B38CB">
        <w:rPr>
          <w:rStyle w:val="FootnoteReference"/>
          <w:rFonts w:ascii="Times" w:hAnsi="Times"/>
          <w:sz w:val="20"/>
          <w:szCs w:val="20"/>
        </w:rPr>
        <w:t xml:space="preserve"> </w:t>
      </w:r>
      <w:r w:rsidRPr="006B38CB">
        <w:rPr>
          <w:rFonts w:ascii="Times" w:hAnsi="Times"/>
          <w:sz w:val="20"/>
          <w:szCs w:val="20"/>
        </w:rPr>
        <w:t xml:space="preserve"> 3 June 2016, CRC/C/GBR/CO/5, at &lt; http://tbinternet.ohchr.org/Treaties/CRC/Shared%20Documents/GBR/CRC_C_GBR_CO_5_24195_E.docx&gt; accessed 29 July 2016, at para 61. </w:t>
      </w:r>
    </w:p>
  </w:footnote>
  <w:footnote w:id="131">
    <w:p w14:paraId="3EEACB49" w14:textId="3129FE84" w:rsidR="004F1D23" w:rsidRPr="006B38CB" w:rsidRDefault="004F1D23" w:rsidP="003E2D4B">
      <w:pPr>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Adopted and opened for signature, ratification and accession by General Assembly resolution 44/25 of 20 November 1989 entry into force 2 September 1990, in accordance with article 49, at &lt;</w:t>
      </w:r>
      <w:r w:rsidRPr="006B38CB">
        <w:rPr>
          <w:rFonts w:ascii="Times" w:hAnsi="Times"/>
          <w:sz w:val="20"/>
          <w:szCs w:val="20"/>
        </w:rPr>
        <w:t>http://www.ohchr.org/en/professionalinterest/pages/crc.aspx&gt; accessed 1 August 2016.</w:t>
      </w:r>
    </w:p>
  </w:footnote>
  <w:footnote w:id="132">
    <w:p w14:paraId="02F6CEDB" w14:textId="7DE7549A" w:rsidR="004F1D23" w:rsidRPr="006B38CB" w:rsidRDefault="004F1D23" w:rsidP="003E2D4B">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eastAsia="Times New Roman" w:hAnsi="Times" w:cs="Times New Roman"/>
          <w:sz w:val="20"/>
          <w:szCs w:val="20"/>
        </w:rPr>
        <w:t xml:space="preserve">European Commission, “Communication from the Commission to European Parliament, the Council, the European Economic and Social Committee and the Committee of the Regions: An EU Agenda for the Rights of the Child”, (2011), COM(2011) 0060, final. </w:t>
      </w:r>
    </w:p>
  </w:footnote>
  <w:footnote w:id="133">
    <w:p w14:paraId="364ED768" w14:textId="756F7CBF" w:rsidR="004F1D23" w:rsidRPr="006B38CB" w:rsidRDefault="004F1D23" w:rsidP="002B0C70">
      <w:pPr>
        <w:widowControl w:val="0"/>
        <w:autoSpaceDE w:val="0"/>
        <w:autoSpaceDN w:val="0"/>
        <w:adjustRightInd w:val="0"/>
        <w:rPr>
          <w:rFonts w:ascii="Times" w:hAnsi="Times" w:cs="Times New Roman"/>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w:t>
      </w:r>
      <w:r w:rsidRPr="006B38CB">
        <w:rPr>
          <w:rFonts w:ascii="Times" w:hAnsi="Times" w:cs="Times New Roman"/>
          <w:sz w:val="20"/>
          <w:szCs w:val="20"/>
          <w:lang w:val="en-US"/>
        </w:rPr>
        <w:t xml:space="preserve">Charter of Fundamental Rights of the European Union, O.J. 2012,C 326/391; </w:t>
      </w:r>
      <w:r w:rsidRPr="006B38CB">
        <w:rPr>
          <w:rFonts w:ascii="Times" w:hAnsi="Times"/>
          <w:sz w:val="20"/>
          <w:szCs w:val="20"/>
          <w:lang w:val="en-US"/>
        </w:rPr>
        <w:t>Article 24(1).</w:t>
      </w:r>
    </w:p>
  </w:footnote>
  <w:footnote w:id="134">
    <w:p w14:paraId="79177C6F" w14:textId="00A5E348" w:rsidR="004F1D23" w:rsidRPr="006B38CB" w:rsidRDefault="004F1D23">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Ibid., Article 24(2), taken from the UNCRC, Cit </w:t>
      </w:r>
      <w:r w:rsidRPr="006B38CB">
        <w:rPr>
          <w:rFonts w:ascii="Times" w:hAnsi="Times"/>
          <w:i/>
          <w:sz w:val="20"/>
          <w:szCs w:val="20"/>
        </w:rPr>
        <w:t>supra</w:t>
      </w:r>
      <w:r w:rsidRPr="006B38CB">
        <w:rPr>
          <w:rFonts w:ascii="Times" w:hAnsi="Times"/>
          <w:sz w:val="20"/>
          <w:szCs w:val="20"/>
        </w:rPr>
        <w:t xml:space="preserve"> note </w:t>
      </w:r>
      <w:r w:rsidRPr="006B38CB">
        <w:rPr>
          <w:rFonts w:ascii="Times" w:hAnsi="Times"/>
          <w:sz w:val="20"/>
          <w:szCs w:val="20"/>
        </w:rPr>
        <w:fldChar w:fldCharType="begin"/>
      </w:r>
      <w:r w:rsidRPr="006B38CB">
        <w:rPr>
          <w:rFonts w:ascii="Times" w:hAnsi="Times"/>
          <w:sz w:val="20"/>
          <w:szCs w:val="20"/>
        </w:rPr>
        <w:instrText xml:space="preserve"> NOTEREF _Ref331691175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131</w:t>
      </w:r>
      <w:r w:rsidRPr="006B38CB">
        <w:rPr>
          <w:rFonts w:ascii="Times" w:hAnsi="Times"/>
          <w:sz w:val="20"/>
          <w:szCs w:val="20"/>
        </w:rPr>
        <w:fldChar w:fldCharType="end"/>
      </w:r>
      <w:r w:rsidRPr="006B38CB">
        <w:rPr>
          <w:rFonts w:ascii="Times" w:hAnsi="Times"/>
          <w:sz w:val="20"/>
          <w:szCs w:val="20"/>
        </w:rPr>
        <w:t>, Article 3.</w:t>
      </w:r>
    </w:p>
  </w:footnote>
  <w:footnote w:id="135">
    <w:p w14:paraId="6F331BF2" w14:textId="77777777" w:rsidR="004F1D23" w:rsidRPr="006B38CB" w:rsidRDefault="004F1D23" w:rsidP="002B0C70">
      <w:pPr>
        <w:pStyle w:val="FootnoteText"/>
        <w:rPr>
          <w:rFonts w:ascii="Times" w:hAnsi="Times"/>
          <w:sz w:val="20"/>
          <w:szCs w:val="20"/>
        </w:rPr>
      </w:pPr>
      <w:r w:rsidRPr="006B38CB">
        <w:rPr>
          <w:rStyle w:val="FootnoteReference"/>
          <w:rFonts w:ascii="Times" w:hAnsi="Times"/>
          <w:sz w:val="20"/>
          <w:szCs w:val="20"/>
        </w:rPr>
        <w:footnoteRef/>
      </w:r>
      <w:r w:rsidRPr="006B38CB">
        <w:rPr>
          <w:rFonts w:ascii="Times" w:hAnsi="Times"/>
          <w:sz w:val="20"/>
          <w:szCs w:val="20"/>
        </w:rPr>
        <w:t xml:space="preserve"> European Parliament, DG Internal Policies, “EU Framework of Law for</w:t>
      </w:r>
    </w:p>
    <w:p w14:paraId="6A59245C" w14:textId="34C37CCA" w:rsidR="004F1D23" w:rsidRPr="006B38CB" w:rsidRDefault="004F1D23" w:rsidP="002B0C70">
      <w:pPr>
        <w:pStyle w:val="FootnoteText"/>
        <w:rPr>
          <w:rFonts w:ascii="Times" w:hAnsi="Times"/>
          <w:sz w:val="20"/>
          <w:szCs w:val="20"/>
          <w:lang w:val="en-US"/>
        </w:rPr>
      </w:pPr>
      <w:r w:rsidRPr="006B38CB">
        <w:rPr>
          <w:rFonts w:ascii="Times" w:hAnsi="Times"/>
          <w:sz w:val="20"/>
          <w:szCs w:val="20"/>
        </w:rPr>
        <w:t xml:space="preserve">Children’s Rights”, April 2012, PE462.445, at &lt;http://www.europarl.europa.eu/RegData/etudes/note/join/2012/462445/IPOL-LIBE_NT(2012)462445_EN.pdf&gt; accessed 29 July 2016, page 7.  </w:t>
      </w:r>
    </w:p>
  </w:footnote>
  <w:footnote w:id="136">
    <w:p w14:paraId="576AFEF6" w14:textId="77777777" w:rsidR="004F1D23" w:rsidRPr="006B38CB" w:rsidRDefault="004F1D23" w:rsidP="00952E05">
      <w:pPr>
        <w:pStyle w:val="Heading2"/>
        <w:shd w:val="clear" w:color="auto" w:fill="FFFFFF"/>
        <w:spacing w:before="0" w:beforeAutospacing="0" w:after="0" w:afterAutospacing="0"/>
        <w:rPr>
          <w:rFonts w:eastAsia="Times New Roman" w:cs="Times New Roman"/>
          <w:b w:val="0"/>
          <w:bCs w:val="0"/>
          <w:sz w:val="20"/>
          <w:szCs w:val="20"/>
        </w:rPr>
      </w:pPr>
      <w:r w:rsidRPr="006B38CB">
        <w:rPr>
          <w:rStyle w:val="FootnoteReference"/>
          <w:b w:val="0"/>
          <w:sz w:val="20"/>
          <w:szCs w:val="20"/>
        </w:rPr>
        <w:footnoteRef/>
      </w:r>
      <w:r w:rsidRPr="006B38CB">
        <w:rPr>
          <w:b w:val="0"/>
          <w:sz w:val="20"/>
          <w:szCs w:val="20"/>
        </w:rPr>
        <w:t xml:space="preserve"> Vote Leave, “</w:t>
      </w:r>
      <w:r w:rsidRPr="006B38CB">
        <w:rPr>
          <w:rFonts w:eastAsia="Times New Roman" w:cs="Times New Roman"/>
          <w:b w:val="0"/>
          <w:bCs w:val="0"/>
          <w:sz w:val="20"/>
          <w:szCs w:val="20"/>
        </w:rPr>
        <w:t>European Court still in charge of our social security and borders”, at &lt;</w:t>
      </w:r>
      <w:r w:rsidRPr="006B38CB">
        <w:rPr>
          <w:b w:val="0"/>
          <w:sz w:val="20"/>
          <w:szCs w:val="20"/>
        </w:rPr>
        <w:t xml:space="preserve">http://www.voteleavetakecontrol.org/european_court_still_in_charge_of_our_social_security_and_borders&gt; </w:t>
      </w:r>
      <w:r w:rsidRPr="006B38CB">
        <w:rPr>
          <w:b w:val="0"/>
          <w:bCs w:val="0"/>
          <w:sz w:val="20"/>
          <w:szCs w:val="20"/>
        </w:rPr>
        <w:t xml:space="preserve">accessed 29 July 2016. </w:t>
      </w:r>
    </w:p>
  </w:footnote>
  <w:footnote w:id="137">
    <w:p w14:paraId="5E99A26F" w14:textId="33B97FFC" w:rsidR="004F1D23" w:rsidRPr="006B38CB" w:rsidRDefault="004F1D23" w:rsidP="00952E05">
      <w:pPr>
        <w:pStyle w:val="FootnoteText"/>
        <w:rPr>
          <w:rFonts w:ascii="Times" w:hAnsi="Times"/>
          <w:sz w:val="20"/>
          <w:szCs w:val="20"/>
          <w:lang w:val="en-US"/>
        </w:rPr>
      </w:pPr>
      <w:r w:rsidRPr="006B38CB">
        <w:rPr>
          <w:rStyle w:val="FootnoteReference"/>
          <w:rFonts w:ascii="Times" w:hAnsi="Times"/>
          <w:sz w:val="20"/>
          <w:szCs w:val="20"/>
        </w:rPr>
        <w:footnoteRef/>
      </w:r>
      <w:r w:rsidRPr="006B38CB">
        <w:rPr>
          <w:rFonts w:ascii="Times" w:hAnsi="Times"/>
          <w:sz w:val="20"/>
          <w:szCs w:val="20"/>
        </w:rPr>
        <w:t xml:space="preserve"> Nic Shuibhne, Op cit, </w:t>
      </w:r>
      <w:r w:rsidRPr="006B38CB">
        <w:rPr>
          <w:rFonts w:ascii="Times" w:hAnsi="Times"/>
          <w:i/>
          <w:sz w:val="20"/>
          <w:szCs w:val="20"/>
        </w:rPr>
        <w:t>supra</w:t>
      </w:r>
      <w:r w:rsidRPr="006B38CB">
        <w:rPr>
          <w:rFonts w:ascii="Times" w:hAnsi="Times"/>
          <w:sz w:val="20"/>
          <w:szCs w:val="20"/>
        </w:rPr>
        <w:t xml:space="preserve"> note </w:t>
      </w:r>
      <w:r w:rsidRPr="006B38CB">
        <w:rPr>
          <w:rFonts w:ascii="Times" w:hAnsi="Times"/>
          <w:sz w:val="20"/>
          <w:szCs w:val="20"/>
        </w:rPr>
        <w:fldChar w:fldCharType="begin"/>
      </w:r>
      <w:r w:rsidRPr="006B38CB">
        <w:rPr>
          <w:rFonts w:ascii="Times" w:hAnsi="Times"/>
          <w:sz w:val="20"/>
          <w:szCs w:val="20"/>
        </w:rPr>
        <w:instrText xml:space="preserve"> NOTEREF _Ref331425102 \h </w:instrText>
      </w:r>
      <w:r w:rsidRPr="006B38CB">
        <w:rPr>
          <w:rFonts w:ascii="Times" w:hAnsi="Times"/>
          <w:sz w:val="20"/>
          <w:szCs w:val="20"/>
        </w:rPr>
      </w:r>
      <w:r w:rsidRPr="006B38CB">
        <w:rPr>
          <w:rFonts w:ascii="Times" w:hAnsi="Times"/>
          <w:sz w:val="20"/>
          <w:szCs w:val="20"/>
        </w:rPr>
        <w:fldChar w:fldCharType="separate"/>
      </w:r>
      <w:r w:rsidR="0067479A">
        <w:rPr>
          <w:rFonts w:ascii="Times" w:hAnsi="Times"/>
          <w:sz w:val="20"/>
          <w:szCs w:val="20"/>
        </w:rPr>
        <w:t>7</w:t>
      </w:r>
      <w:r w:rsidRPr="006B38CB">
        <w:rPr>
          <w:rFonts w:ascii="Times" w:hAnsi="Times"/>
          <w:sz w:val="20"/>
          <w:szCs w:val="20"/>
        </w:rPr>
        <w:fldChar w:fldCharType="end"/>
      </w:r>
      <w:r w:rsidRPr="006B38CB">
        <w:rPr>
          <w:rFonts w:ascii="Times" w:hAnsi="Times"/>
          <w:sz w:val="20"/>
          <w:szCs w:val="20"/>
        </w:rPr>
        <w:t>.</w:t>
      </w:r>
    </w:p>
  </w:footnote>
  <w:footnote w:id="138">
    <w:p w14:paraId="1B5A1B30" w14:textId="3457C0E9" w:rsidR="004F1D23" w:rsidRPr="006B38CB" w:rsidRDefault="004F1D23" w:rsidP="00A15AB1">
      <w:pPr>
        <w:rPr>
          <w:rFonts w:ascii="Times" w:eastAsia="Times New Roman" w:hAnsi="Times" w:cs="Times New Roman"/>
          <w:sz w:val="20"/>
          <w:szCs w:val="20"/>
        </w:rPr>
      </w:pPr>
      <w:r w:rsidRPr="006B38CB">
        <w:rPr>
          <w:rStyle w:val="FootnoteReference"/>
          <w:rFonts w:ascii="Times" w:hAnsi="Times"/>
          <w:sz w:val="20"/>
          <w:szCs w:val="20"/>
        </w:rPr>
        <w:footnoteRef/>
      </w:r>
      <w:r w:rsidRPr="006B38CB">
        <w:rPr>
          <w:rFonts w:ascii="Times" w:hAnsi="Times"/>
          <w:sz w:val="20"/>
          <w:szCs w:val="20"/>
        </w:rPr>
        <w:t xml:space="preserve"> See the joint letter from </w:t>
      </w:r>
      <w:r w:rsidRPr="006B38CB">
        <w:rPr>
          <w:rFonts w:ascii="Times" w:eastAsia="Times New Roman" w:hAnsi="Times" w:cs="Times New Roman"/>
          <w:sz w:val="20"/>
          <w:szCs w:val="20"/>
        </w:rPr>
        <w:t>Johanna Mikl-Leitner (Minister of the Interior, Austria), Hans Peter Friedrich (Minister of the Interior, Germany), Fred Teeven (Minister for Immigration, Netherlands) and Theresa May (Home Secretary, UK) to the EU Council Presidency and to Commissioners Viviane Reding, Cecilia Malmström and László Andor, April 2013, at &lt;</w:t>
      </w:r>
      <w:r w:rsidRPr="006B38CB">
        <w:rPr>
          <w:rFonts w:ascii="Times" w:hAnsi="Times"/>
          <w:sz w:val="20"/>
          <w:szCs w:val="20"/>
        </w:rPr>
        <w:t xml:space="preserve"> </w:t>
      </w:r>
      <w:r w:rsidRPr="006B38CB">
        <w:rPr>
          <w:rFonts w:ascii="Times" w:eastAsia="Times New Roman" w:hAnsi="Times" w:cs="Times New Roman"/>
          <w:sz w:val="20"/>
          <w:szCs w:val="20"/>
        </w:rPr>
        <w:t xml:space="preserve">http://docs.dpaq.de/3604-130415_letter_to_presidency_final_1_2.pdf&gt; accessed 29 July 2016. </w:t>
      </w:r>
    </w:p>
  </w:footnote>
  <w:footnote w:id="139">
    <w:p w14:paraId="1132A69F" w14:textId="7DF9C17E" w:rsidR="004F1D23" w:rsidRPr="006B38CB" w:rsidRDefault="004F1D23" w:rsidP="00F4578F">
      <w:pPr>
        <w:pStyle w:val="Heading1"/>
        <w:shd w:val="clear" w:color="auto" w:fill="FFFFFF"/>
        <w:spacing w:before="0"/>
        <w:textAlignment w:val="baseline"/>
        <w:rPr>
          <w:rFonts w:ascii="Times" w:eastAsia="Times New Roman" w:hAnsi="Times" w:cs="Times New Roman"/>
          <w:b w:val="0"/>
          <w:color w:val="auto"/>
          <w:sz w:val="20"/>
          <w:szCs w:val="20"/>
        </w:rPr>
      </w:pPr>
      <w:r w:rsidRPr="006B38CB">
        <w:rPr>
          <w:rStyle w:val="FootnoteReference"/>
          <w:rFonts w:ascii="Times" w:hAnsi="Times"/>
          <w:b w:val="0"/>
          <w:color w:val="auto"/>
          <w:sz w:val="20"/>
          <w:szCs w:val="20"/>
        </w:rPr>
        <w:footnoteRef/>
      </w:r>
      <w:r w:rsidRPr="006B38CB">
        <w:rPr>
          <w:rFonts w:ascii="Times" w:hAnsi="Times"/>
          <w:b w:val="0"/>
          <w:color w:val="auto"/>
          <w:sz w:val="20"/>
          <w:szCs w:val="20"/>
        </w:rPr>
        <w:t xml:space="preserve"> BBC News, “</w:t>
      </w:r>
      <w:r w:rsidRPr="006B38CB">
        <w:rPr>
          <w:rFonts w:ascii="Times" w:eastAsia="Times New Roman" w:hAnsi="Times" w:cs="Times New Roman"/>
          <w:b w:val="0"/>
          <w:color w:val="auto"/>
          <w:sz w:val="20"/>
          <w:szCs w:val="20"/>
        </w:rPr>
        <w:t>EU referendum: Brexit sparks calls for other EU votes</w:t>
      </w:r>
      <w:r w:rsidRPr="006B38CB">
        <w:rPr>
          <w:rFonts w:ascii="Times" w:eastAsia="Times New Roman" w:hAnsi="Times" w:cs="Times New Roman" w:hint="eastAsia"/>
          <w:b w:val="0"/>
          <w:color w:val="auto"/>
          <w:sz w:val="20"/>
          <w:szCs w:val="20"/>
        </w:rPr>
        <w:t>”</w:t>
      </w:r>
      <w:r w:rsidRPr="006B38CB">
        <w:rPr>
          <w:rFonts w:ascii="Times" w:eastAsia="Times New Roman" w:hAnsi="Times" w:cs="Times New Roman"/>
          <w:b w:val="0"/>
          <w:color w:val="auto"/>
          <w:sz w:val="20"/>
          <w:szCs w:val="20"/>
        </w:rPr>
        <w:t>, 24 June 2016, at &lt;</w:t>
      </w:r>
      <w:r w:rsidRPr="006B38CB">
        <w:rPr>
          <w:rFonts w:ascii="Times" w:hAnsi="Times"/>
          <w:b w:val="0"/>
          <w:color w:val="auto"/>
          <w:sz w:val="20"/>
          <w:szCs w:val="20"/>
        </w:rPr>
        <w:t xml:space="preserve"> </w:t>
      </w:r>
      <w:r w:rsidRPr="006B38CB">
        <w:rPr>
          <w:rFonts w:ascii="Times" w:eastAsia="Times New Roman" w:hAnsi="Times" w:cs="Times New Roman"/>
          <w:b w:val="0"/>
          <w:color w:val="auto"/>
          <w:sz w:val="20"/>
          <w:szCs w:val="20"/>
        </w:rPr>
        <w:t>http://www.bbc.co.uk/news/world-europe-36615879&gt; accessed 29 July 2016.</w:t>
      </w:r>
    </w:p>
    <w:p w14:paraId="5E3D3365" w14:textId="13EA1A97" w:rsidR="004F1D23" w:rsidRPr="006B38CB" w:rsidRDefault="004F1D23">
      <w:pPr>
        <w:pStyle w:val="FootnoteText"/>
        <w:rPr>
          <w:rFonts w:ascii="Times" w:hAnsi="Times"/>
          <w:sz w:val="20"/>
          <w:szCs w:val="20"/>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7F6D"/>
    <w:multiLevelType w:val="multilevel"/>
    <w:tmpl w:val="8CBA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3E"/>
    <w:rsid w:val="0000384E"/>
    <w:rsid w:val="00015E73"/>
    <w:rsid w:val="00022819"/>
    <w:rsid w:val="00024275"/>
    <w:rsid w:val="00053676"/>
    <w:rsid w:val="00056F3A"/>
    <w:rsid w:val="000656AA"/>
    <w:rsid w:val="000669BB"/>
    <w:rsid w:val="0007543E"/>
    <w:rsid w:val="00087A74"/>
    <w:rsid w:val="000A099C"/>
    <w:rsid w:val="000B5701"/>
    <w:rsid w:val="000D379F"/>
    <w:rsid w:val="00100253"/>
    <w:rsid w:val="00100624"/>
    <w:rsid w:val="00100D8C"/>
    <w:rsid w:val="0011334F"/>
    <w:rsid w:val="001206F2"/>
    <w:rsid w:val="00122A43"/>
    <w:rsid w:val="001546A8"/>
    <w:rsid w:val="00172F11"/>
    <w:rsid w:val="00182F9F"/>
    <w:rsid w:val="001857F9"/>
    <w:rsid w:val="00193C3F"/>
    <w:rsid w:val="00196C29"/>
    <w:rsid w:val="001A18D8"/>
    <w:rsid w:val="001A1AD9"/>
    <w:rsid w:val="001B1375"/>
    <w:rsid w:val="001C459F"/>
    <w:rsid w:val="001C51A0"/>
    <w:rsid w:val="001C7615"/>
    <w:rsid w:val="00201732"/>
    <w:rsid w:val="00213686"/>
    <w:rsid w:val="0021529E"/>
    <w:rsid w:val="00222176"/>
    <w:rsid w:val="00235C1A"/>
    <w:rsid w:val="00257363"/>
    <w:rsid w:val="00264BC9"/>
    <w:rsid w:val="00293919"/>
    <w:rsid w:val="002A7B21"/>
    <w:rsid w:val="002B0C70"/>
    <w:rsid w:val="002C0753"/>
    <w:rsid w:val="002D2649"/>
    <w:rsid w:val="002D2AEA"/>
    <w:rsid w:val="002E241F"/>
    <w:rsid w:val="002E375C"/>
    <w:rsid w:val="002E60F7"/>
    <w:rsid w:val="0030281E"/>
    <w:rsid w:val="003064AB"/>
    <w:rsid w:val="00307555"/>
    <w:rsid w:val="00350361"/>
    <w:rsid w:val="00357C4E"/>
    <w:rsid w:val="00374417"/>
    <w:rsid w:val="00386946"/>
    <w:rsid w:val="003A1485"/>
    <w:rsid w:val="003E0C16"/>
    <w:rsid w:val="003E2D4B"/>
    <w:rsid w:val="003E5FA2"/>
    <w:rsid w:val="003E5FBC"/>
    <w:rsid w:val="003E7006"/>
    <w:rsid w:val="003F2864"/>
    <w:rsid w:val="004450D0"/>
    <w:rsid w:val="00455189"/>
    <w:rsid w:val="00467F08"/>
    <w:rsid w:val="004847B0"/>
    <w:rsid w:val="00486EC4"/>
    <w:rsid w:val="00491D15"/>
    <w:rsid w:val="004B0F7F"/>
    <w:rsid w:val="004C437C"/>
    <w:rsid w:val="004C5E7D"/>
    <w:rsid w:val="004D7435"/>
    <w:rsid w:val="004E060D"/>
    <w:rsid w:val="004F1D23"/>
    <w:rsid w:val="004F432B"/>
    <w:rsid w:val="00515DEC"/>
    <w:rsid w:val="00522606"/>
    <w:rsid w:val="00526FE9"/>
    <w:rsid w:val="005479F1"/>
    <w:rsid w:val="00555324"/>
    <w:rsid w:val="00567262"/>
    <w:rsid w:val="005712C2"/>
    <w:rsid w:val="00581A0E"/>
    <w:rsid w:val="005861F6"/>
    <w:rsid w:val="005A68C0"/>
    <w:rsid w:val="005D137B"/>
    <w:rsid w:val="005F0EB8"/>
    <w:rsid w:val="005F1628"/>
    <w:rsid w:val="005F6648"/>
    <w:rsid w:val="00603B8B"/>
    <w:rsid w:val="00626DC5"/>
    <w:rsid w:val="00631251"/>
    <w:rsid w:val="00644B0D"/>
    <w:rsid w:val="00645F08"/>
    <w:rsid w:val="0065774F"/>
    <w:rsid w:val="0067479A"/>
    <w:rsid w:val="006817B7"/>
    <w:rsid w:val="006864C4"/>
    <w:rsid w:val="006A2184"/>
    <w:rsid w:val="006B38CB"/>
    <w:rsid w:val="006B6280"/>
    <w:rsid w:val="006E31A9"/>
    <w:rsid w:val="006F3DFE"/>
    <w:rsid w:val="00702D30"/>
    <w:rsid w:val="00702EC3"/>
    <w:rsid w:val="007062E3"/>
    <w:rsid w:val="00707DB7"/>
    <w:rsid w:val="00711D4C"/>
    <w:rsid w:val="0071393F"/>
    <w:rsid w:val="0071732C"/>
    <w:rsid w:val="00717813"/>
    <w:rsid w:val="00733252"/>
    <w:rsid w:val="0073357E"/>
    <w:rsid w:val="00742D06"/>
    <w:rsid w:val="007509F0"/>
    <w:rsid w:val="007817BA"/>
    <w:rsid w:val="007910F5"/>
    <w:rsid w:val="007A7A06"/>
    <w:rsid w:val="007B0D8C"/>
    <w:rsid w:val="007C0A36"/>
    <w:rsid w:val="007C2BCA"/>
    <w:rsid w:val="007D1552"/>
    <w:rsid w:val="007D53EE"/>
    <w:rsid w:val="007E0B7B"/>
    <w:rsid w:val="007E3E8E"/>
    <w:rsid w:val="007F56D6"/>
    <w:rsid w:val="0080408B"/>
    <w:rsid w:val="008138D2"/>
    <w:rsid w:val="00820E92"/>
    <w:rsid w:val="00846F02"/>
    <w:rsid w:val="008478A7"/>
    <w:rsid w:val="008626BA"/>
    <w:rsid w:val="008656CC"/>
    <w:rsid w:val="00871413"/>
    <w:rsid w:val="008B61CC"/>
    <w:rsid w:val="008C2CF3"/>
    <w:rsid w:val="008D1905"/>
    <w:rsid w:val="008E0CB2"/>
    <w:rsid w:val="008F2438"/>
    <w:rsid w:val="00900809"/>
    <w:rsid w:val="009018E0"/>
    <w:rsid w:val="00903706"/>
    <w:rsid w:val="009042F5"/>
    <w:rsid w:val="00914FAF"/>
    <w:rsid w:val="00924172"/>
    <w:rsid w:val="00926808"/>
    <w:rsid w:val="00937064"/>
    <w:rsid w:val="0094773E"/>
    <w:rsid w:val="00952E05"/>
    <w:rsid w:val="009548F2"/>
    <w:rsid w:val="0096730F"/>
    <w:rsid w:val="0097448E"/>
    <w:rsid w:val="0098092F"/>
    <w:rsid w:val="009B23D4"/>
    <w:rsid w:val="009B390A"/>
    <w:rsid w:val="009F4A8F"/>
    <w:rsid w:val="00A15AB1"/>
    <w:rsid w:val="00A163C5"/>
    <w:rsid w:val="00A175C0"/>
    <w:rsid w:val="00A43065"/>
    <w:rsid w:val="00A53443"/>
    <w:rsid w:val="00A80DD5"/>
    <w:rsid w:val="00A81C49"/>
    <w:rsid w:val="00A82422"/>
    <w:rsid w:val="00A85065"/>
    <w:rsid w:val="00A91336"/>
    <w:rsid w:val="00A963C3"/>
    <w:rsid w:val="00AA5A6B"/>
    <w:rsid w:val="00AA7395"/>
    <w:rsid w:val="00AC4CCD"/>
    <w:rsid w:val="00AD5AE4"/>
    <w:rsid w:val="00B004DA"/>
    <w:rsid w:val="00B27B79"/>
    <w:rsid w:val="00B34D4B"/>
    <w:rsid w:val="00B36EFC"/>
    <w:rsid w:val="00B419E2"/>
    <w:rsid w:val="00B4385C"/>
    <w:rsid w:val="00B447F4"/>
    <w:rsid w:val="00B5174F"/>
    <w:rsid w:val="00B566D9"/>
    <w:rsid w:val="00B8138E"/>
    <w:rsid w:val="00B941DA"/>
    <w:rsid w:val="00BB7316"/>
    <w:rsid w:val="00BF08C1"/>
    <w:rsid w:val="00BF2C10"/>
    <w:rsid w:val="00C140F8"/>
    <w:rsid w:val="00C30E1D"/>
    <w:rsid w:val="00C42F9E"/>
    <w:rsid w:val="00C50A66"/>
    <w:rsid w:val="00C52ABC"/>
    <w:rsid w:val="00C670FB"/>
    <w:rsid w:val="00C77A63"/>
    <w:rsid w:val="00C82A4D"/>
    <w:rsid w:val="00C9706F"/>
    <w:rsid w:val="00CB6E40"/>
    <w:rsid w:val="00CC4A8F"/>
    <w:rsid w:val="00CF62F8"/>
    <w:rsid w:val="00D2120D"/>
    <w:rsid w:val="00D26A01"/>
    <w:rsid w:val="00D340A6"/>
    <w:rsid w:val="00D4492A"/>
    <w:rsid w:val="00D50533"/>
    <w:rsid w:val="00D52203"/>
    <w:rsid w:val="00D814AE"/>
    <w:rsid w:val="00D92983"/>
    <w:rsid w:val="00DB2799"/>
    <w:rsid w:val="00DC3334"/>
    <w:rsid w:val="00DE11CA"/>
    <w:rsid w:val="00DE51F7"/>
    <w:rsid w:val="00E01D74"/>
    <w:rsid w:val="00E04D02"/>
    <w:rsid w:val="00E14E5C"/>
    <w:rsid w:val="00E5167D"/>
    <w:rsid w:val="00E56350"/>
    <w:rsid w:val="00E61D19"/>
    <w:rsid w:val="00E80515"/>
    <w:rsid w:val="00E82CE9"/>
    <w:rsid w:val="00E90BBB"/>
    <w:rsid w:val="00EB0BB2"/>
    <w:rsid w:val="00EC44DC"/>
    <w:rsid w:val="00EC6F5B"/>
    <w:rsid w:val="00EE667D"/>
    <w:rsid w:val="00EF0309"/>
    <w:rsid w:val="00F01AFF"/>
    <w:rsid w:val="00F2671F"/>
    <w:rsid w:val="00F331AE"/>
    <w:rsid w:val="00F344D6"/>
    <w:rsid w:val="00F356E3"/>
    <w:rsid w:val="00F36C68"/>
    <w:rsid w:val="00F4578F"/>
    <w:rsid w:val="00F55D6A"/>
    <w:rsid w:val="00F61D95"/>
    <w:rsid w:val="00F62342"/>
    <w:rsid w:val="00F77CDE"/>
    <w:rsid w:val="00FA1A7D"/>
    <w:rsid w:val="00FA55FB"/>
    <w:rsid w:val="00FB1FF8"/>
    <w:rsid w:val="00FC35AA"/>
    <w:rsid w:val="00FC3A94"/>
    <w:rsid w:val="00FC5662"/>
    <w:rsid w:val="00FC598E"/>
    <w:rsid w:val="00FD0F9F"/>
    <w:rsid w:val="00FE1ED2"/>
    <w:rsid w:val="00FE2E8E"/>
    <w:rsid w:val="00FE4C1A"/>
    <w:rsid w:val="00FF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BA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457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6F3DFE"/>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136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443"/>
  </w:style>
  <w:style w:type="character" w:customStyle="1" w:styleId="FootnoteTextChar">
    <w:name w:val="Footnote Text Char"/>
    <w:basedOn w:val="DefaultParagraphFont"/>
    <w:link w:val="FootnoteText"/>
    <w:uiPriority w:val="99"/>
    <w:rsid w:val="00A53443"/>
    <w:rPr>
      <w:lang w:val="en-GB"/>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Footnote Reference in text"/>
    <w:basedOn w:val="DefaultParagraphFont"/>
    <w:link w:val="4GCharCharChar"/>
    <w:uiPriority w:val="99"/>
    <w:unhideWhenUsed/>
    <w:qFormat/>
    <w:rsid w:val="00A53443"/>
    <w:rPr>
      <w:vertAlign w:val="superscript"/>
    </w:rPr>
  </w:style>
  <w:style w:type="paragraph" w:customStyle="1" w:styleId="c01pointaltn">
    <w:name w:val="c01pointaltn"/>
    <w:basedOn w:val="Normal"/>
    <w:rsid w:val="0000384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F1628"/>
    <w:rPr>
      <w:color w:val="0000FF"/>
      <w:u w:val="single"/>
    </w:rPr>
  </w:style>
  <w:style w:type="character" w:customStyle="1" w:styleId="apple-converted-space">
    <w:name w:val="apple-converted-space"/>
    <w:basedOn w:val="DefaultParagraphFont"/>
    <w:rsid w:val="00846F02"/>
  </w:style>
  <w:style w:type="character" w:styleId="Emphasis">
    <w:name w:val="Emphasis"/>
    <w:basedOn w:val="DefaultParagraphFont"/>
    <w:uiPriority w:val="20"/>
    <w:qFormat/>
    <w:rsid w:val="00FE2E8E"/>
    <w:rPr>
      <w:i/>
      <w:iCs/>
    </w:rPr>
  </w:style>
  <w:style w:type="character" w:customStyle="1" w:styleId="highlight">
    <w:name w:val="highlight"/>
    <w:basedOn w:val="DefaultParagraphFont"/>
    <w:rsid w:val="00FE2E8E"/>
  </w:style>
  <w:style w:type="paragraph" w:customStyle="1" w:styleId="c01pointnumerotealtn">
    <w:name w:val="c01pointnumerotealtn"/>
    <w:basedOn w:val="Normal"/>
    <w:rsid w:val="0071732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50533"/>
    <w:rPr>
      <w:b/>
      <w:bCs/>
    </w:rPr>
  </w:style>
  <w:style w:type="character" w:customStyle="1" w:styleId="Heading2Char">
    <w:name w:val="Heading 2 Char"/>
    <w:basedOn w:val="DefaultParagraphFont"/>
    <w:link w:val="Heading2"/>
    <w:uiPriority w:val="9"/>
    <w:rsid w:val="006F3DFE"/>
    <w:rPr>
      <w:rFonts w:ascii="Times" w:hAnsi="Times"/>
      <w:b/>
      <w:bCs/>
      <w:sz w:val="36"/>
      <w:szCs w:val="36"/>
      <w:lang w:val="en-GB"/>
    </w:rPr>
  </w:style>
  <w:style w:type="character" w:customStyle="1" w:styleId="journal">
    <w:name w:val="journal"/>
    <w:basedOn w:val="DefaultParagraphFont"/>
    <w:rsid w:val="006F3DFE"/>
  </w:style>
  <w:style w:type="character" w:customStyle="1" w:styleId="volume">
    <w:name w:val="volume"/>
    <w:basedOn w:val="DefaultParagraphFont"/>
    <w:rsid w:val="006F3DFE"/>
  </w:style>
  <w:style w:type="character" w:customStyle="1" w:styleId="journalnumber">
    <w:name w:val="journalnumber"/>
    <w:basedOn w:val="DefaultParagraphFont"/>
    <w:rsid w:val="006F3DFE"/>
  </w:style>
  <w:style w:type="character" w:customStyle="1" w:styleId="pages">
    <w:name w:val="pages"/>
    <w:basedOn w:val="DefaultParagraphFont"/>
    <w:rsid w:val="006F3DFE"/>
  </w:style>
  <w:style w:type="paragraph" w:customStyle="1" w:styleId="c37centregras">
    <w:name w:val="c37centregras"/>
    <w:basedOn w:val="Normal"/>
    <w:rsid w:val="004E060D"/>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D26A01"/>
    <w:pPr>
      <w:tabs>
        <w:tab w:val="center" w:pos="4320"/>
        <w:tab w:val="right" w:pos="8640"/>
      </w:tabs>
    </w:pPr>
  </w:style>
  <w:style w:type="character" w:customStyle="1" w:styleId="FooterChar">
    <w:name w:val="Footer Char"/>
    <w:basedOn w:val="DefaultParagraphFont"/>
    <w:link w:val="Footer"/>
    <w:uiPriority w:val="99"/>
    <w:rsid w:val="00D26A01"/>
    <w:rPr>
      <w:lang w:val="en-GB"/>
    </w:rPr>
  </w:style>
  <w:style w:type="character" w:styleId="PageNumber">
    <w:name w:val="page number"/>
    <w:basedOn w:val="DefaultParagraphFont"/>
    <w:uiPriority w:val="99"/>
    <w:semiHidden/>
    <w:unhideWhenUsed/>
    <w:rsid w:val="00D26A01"/>
  </w:style>
  <w:style w:type="character" w:styleId="FollowedHyperlink">
    <w:name w:val="FollowedHyperlink"/>
    <w:basedOn w:val="DefaultParagraphFont"/>
    <w:uiPriority w:val="99"/>
    <w:semiHidden/>
    <w:unhideWhenUsed/>
    <w:rsid w:val="00213686"/>
    <w:rPr>
      <w:color w:val="800080" w:themeColor="followedHyperlink"/>
      <w:u w:val="single"/>
    </w:rPr>
  </w:style>
  <w:style w:type="character" w:customStyle="1" w:styleId="Heading3Char">
    <w:name w:val="Heading 3 Char"/>
    <w:basedOn w:val="DefaultParagraphFont"/>
    <w:link w:val="Heading3"/>
    <w:uiPriority w:val="9"/>
    <w:rsid w:val="00213686"/>
    <w:rPr>
      <w:rFonts w:asciiTheme="majorHAnsi" w:eastAsiaTheme="majorEastAsia" w:hAnsiTheme="majorHAnsi" w:cstheme="majorBidi"/>
      <w:b/>
      <w:bCs/>
      <w:color w:val="4F81BD" w:themeColor="accent1"/>
      <w:lang w:val="en-GB"/>
    </w:rPr>
  </w:style>
  <w:style w:type="character" w:customStyle="1" w:styleId="documentbody1">
    <w:name w:val="documentbody1"/>
    <w:basedOn w:val="DefaultParagraphFont"/>
    <w:rsid w:val="00DC3334"/>
    <w:rPr>
      <w:rFonts w:ascii="Verdana" w:hAnsi="Verdana" w:hint="default"/>
      <w:sz w:val="19"/>
      <w:szCs w:val="19"/>
    </w:rPr>
  </w:style>
  <w:style w:type="character" w:customStyle="1" w:styleId="searchterm">
    <w:name w:val="searchterm"/>
    <w:basedOn w:val="DefaultParagraphFont"/>
    <w:rsid w:val="001C51A0"/>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B6280"/>
    <w:pPr>
      <w:spacing w:after="160" w:line="240" w:lineRule="exact"/>
      <w:jc w:val="both"/>
    </w:pPr>
    <w:rPr>
      <w:vertAlign w:val="superscript"/>
      <w:lang w:val="en-US"/>
    </w:rPr>
  </w:style>
  <w:style w:type="character" w:customStyle="1" w:styleId="Heading1Char">
    <w:name w:val="Heading 1 Char"/>
    <w:basedOn w:val="DefaultParagraphFont"/>
    <w:link w:val="Heading1"/>
    <w:uiPriority w:val="9"/>
    <w:rsid w:val="00F4578F"/>
    <w:rPr>
      <w:rFonts w:asciiTheme="majorHAnsi" w:eastAsiaTheme="majorEastAsia" w:hAnsiTheme="majorHAnsi" w:cstheme="majorBidi"/>
      <w:b/>
      <w:bCs/>
      <w:color w:val="345A8A" w:themeColor="accent1" w:themeShade="B5"/>
      <w:sz w:val="32"/>
      <w:szCs w:val="32"/>
      <w:lang w:val="en-GB"/>
    </w:rPr>
  </w:style>
  <w:style w:type="paragraph" w:styleId="BalloonText">
    <w:name w:val="Balloon Text"/>
    <w:basedOn w:val="Normal"/>
    <w:link w:val="BalloonTextChar"/>
    <w:uiPriority w:val="99"/>
    <w:semiHidden/>
    <w:unhideWhenUsed/>
    <w:rsid w:val="004847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7B0"/>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FB1FF8"/>
    <w:rPr>
      <w:sz w:val="18"/>
      <w:szCs w:val="18"/>
    </w:rPr>
  </w:style>
  <w:style w:type="paragraph" w:styleId="CommentText">
    <w:name w:val="annotation text"/>
    <w:basedOn w:val="Normal"/>
    <w:link w:val="CommentTextChar"/>
    <w:uiPriority w:val="99"/>
    <w:semiHidden/>
    <w:unhideWhenUsed/>
    <w:rsid w:val="00FB1FF8"/>
  </w:style>
  <w:style w:type="character" w:customStyle="1" w:styleId="CommentTextChar">
    <w:name w:val="Comment Text Char"/>
    <w:basedOn w:val="DefaultParagraphFont"/>
    <w:link w:val="CommentText"/>
    <w:uiPriority w:val="99"/>
    <w:semiHidden/>
    <w:rsid w:val="00FB1FF8"/>
    <w:rPr>
      <w:lang w:val="en-GB"/>
    </w:rPr>
  </w:style>
  <w:style w:type="paragraph" w:styleId="CommentSubject">
    <w:name w:val="annotation subject"/>
    <w:basedOn w:val="CommentText"/>
    <w:next w:val="CommentText"/>
    <w:link w:val="CommentSubjectChar"/>
    <w:uiPriority w:val="99"/>
    <w:semiHidden/>
    <w:unhideWhenUsed/>
    <w:rsid w:val="00FB1FF8"/>
    <w:rPr>
      <w:b/>
      <w:bCs/>
      <w:sz w:val="20"/>
      <w:szCs w:val="20"/>
    </w:rPr>
  </w:style>
  <w:style w:type="character" w:customStyle="1" w:styleId="CommentSubjectChar">
    <w:name w:val="Comment Subject Char"/>
    <w:basedOn w:val="CommentTextChar"/>
    <w:link w:val="CommentSubject"/>
    <w:uiPriority w:val="99"/>
    <w:semiHidden/>
    <w:rsid w:val="00FB1FF8"/>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457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6F3DFE"/>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136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443"/>
  </w:style>
  <w:style w:type="character" w:customStyle="1" w:styleId="FootnoteTextChar">
    <w:name w:val="Footnote Text Char"/>
    <w:basedOn w:val="DefaultParagraphFont"/>
    <w:link w:val="FootnoteText"/>
    <w:uiPriority w:val="99"/>
    <w:rsid w:val="00A53443"/>
    <w:rPr>
      <w:lang w:val="en-GB"/>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Footnote Reference in text"/>
    <w:basedOn w:val="DefaultParagraphFont"/>
    <w:link w:val="4GCharCharChar"/>
    <w:uiPriority w:val="99"/>
    <w:unhideWhenUsed/>
    <w:qFormat/>
    <w:rsid w:val="00A53443"/>
    <w:rPr>
      <w:vertAlign w:val="superscript"/>
    </w:rPr>
  </w:style>
  <w:style w:type="paragraph" w:customStyle="1" w:styleId="c01pointaltn">
    <w:name w:val="c01pointaltn"/>
    <w:basedOn w:val="Normal"/>
    <w:rsid w:val="0000384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F1628"/>
    <w:rPr>
      <w:color w:val="0000FF"/>
      <w:u w:val="single"/>
    </w:rPr>
  </w:style>
  <w:style w:type="character" w:customStyle="1" w:styleId="apple-converted-space">
    <w:name w:val="apple-converted-space"/>
    <w:basedOn w:val="DefaultParagraphFont"/>
    <w:rsid w:val="00846F02"/>
  </w:style>
  <w:style w:type="character" w:styleId="Emphasis">
    <w:name w:val="Emphasis"/>
    <w:basedOn w:val="DefaultParagraphFont"/>
    <w:uiPriority w:val="20"/>
    <w:qFormat/>
    <w:rsid w:val="00FE2E8E"/>
    <w:rPr>
      <w:i/>
      <w:iCs/>
    </w:rPr>
  </w:style>
  <w:style w:type="character" w:customStyle="1" w:styleId="highlight">
    <w:name w:val="highlight"/>
    <w:basedOn w:val="DefaultParagraphFont"/>
    <w:rsid w:val="00FE2E8E"/>
  </w:style>
  <w:style w:type="paragraph" w:customStyle="1" w:styleId="c01pointnumerotealtn">
    <w:name w:val="c01pointnumerotealtn"/>
    <w:basedOn w:val="Normal"/>
    <w:rsid w:val="0071732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50533"/>
    <w:rPr>
      <w:b/>
      <w:bCs/>
    </w:rPr>
  </w:style>
  <w:style w:type="character" w:customStyle="1" w:styleId="Heading2Char">
    <w:name w:val="Heading 2 Char"/>
    <w:basedOn w:val="DefaultParagraphFont"/>
    <w:link w:val="Heading2"/>
    <w:uiPriority w:val="9"/>
    <w:rsid w:val="006F3DFE"/>
    <w:rPr>
      <w:rFonts w:ascii="Times" w:hAnsi="Times"/>
      <w:b/>
      <w:bCs/>
      <w:sz w:val="36"/>
      <w:szCs w:val="36"/>
      <w:lang w:val="en-GB"/>
    </w:rPr>
  </w:style>
  <w:style w:type="character" w:customStyle="1" w:styleId="journal">
    <w:name w:val="journal"/>
    <w:basedOn w:val="DefaultParagraphFont"/>
    <w:rsid w:val="006F3DFE"/>
  </w:style>
  <w:style w:type="character" w:customStyle="1" w:styleId="volume">
    <w:name w:val="volume"/>
    <w:basedOn w:val="DefaultParagraphFont"/>
    <w:rsid w:val="006F3DFE"/>
  </w:style>
  <w:style w:type="character" w:customStyle="1" w:styleId="journalnumber">
    <w:name w:val="journalnumber"/>
    <w:basedOn w:val="DefaultParagraphFont"/>
    <w:rsid w:val="006F3DFE"/>
  </w:style>
  <w:style w:type="character" w:customStyle="1" w:styleId="pages">
    <w:name w:val="pages"/>
    <w:basedOn w:val="DefaultParagraphFont"/>
    <w:rsid w:val="006F3DFE"/>
  </w:style>
  <w:style w:type="paragraph" w:customStyle="1" w:styleId="c37centregras">
    <w:name w:val="c37centregras"/>
    <w:basedOn w:val="Normal"/>
    <w:rsid w:val="004E060D"/>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D26A01"/>
    <w:pPr>
      <w:tabs>
        <w:tab w:val="center" w:pos="4320"/>
        <w:tab w:val="right" w:pos="8640"/>
      </w:tabs>
    </w:pPr>
  </w:style>
  <w:style w:type="character" w:customStyle="1" w:styleId="FooterChar">
    <w:name w:val="Footer Char"/>
    <w:basedOn w:val="DefaultParagraphFont"/>
    <w:link w:val="Footer"/>
    <w:uiPriority w:val="99"/>
    <w:rsid w:val="00D26A01"/>
    <w:rPr>
      <w:lang w:val="en-GB"/>
    </w:rPr>
  </w:style>
  <w:style w:type="character" w:styleId="PageNumber">
    <w:name w:val="page number"/>
    <w:basedOn w:val="DefaultParagraphFont"/>
    <w:uiPriority w:val="99"/>
    <w:semiHidden/>
    <w:unhideWhenUsed/>
    <w:rsid w:val="00D26A01"/>
  </w:style>
  <w:style w:type="character" w:styleId="FollowedHyperlink">
    <w:name w:val="FollowedHyperlink"/>
    <w:basedOn w:val="DefaultParagraphFont"/>
    <w:uiPriority w:val="99"/>
    <w:semiHidden/>
    <w:unhideWhenUsed/>
    <w:rsid w:val="00213686"/>
    <w:rPr>
      <w:color w:val="800080" w:themeColor="followedHyperlink"/>
      <w:u w:val="single"/>
    </w:rPr>
  </w:style>
  <w:style w:type="character" w:customStyle="1" w:styleId="Heading3Char">
    <w:name w:val="Heading 3 Char"/>
    <w:basedOn w:val="DefaultParagraphFont"/>
    <w:link w:val="Heading3"/>
    <w:uiPriority w:val="9"/>
    <w:rsid w:val="00213686"/>
    <w:rPr>
      <w:rFonts w:asciiTheme="majorHAnsi" w:eastAsiaTheme="majorEastAsia" w:hAnsiTheme="majorHAnsi" w:cstheme="majorBidi"/>
      <w:b/>
      <w:bCs/>
      <w:color w:val="4F81BD" w:themeColor="accent1"/>
      <w:lang w:val="en-GB"/>
    </w:rPr>
  </w:style>
  <w:style w:type="character" w:customStyle="1" w:styleId="documentbody1">
    <w:name w:val="documentbody1"/>
    <w:basedOn w:val="DefaultParagraphFont"/>
    <w:rsid w:val="00DC3334"/>
    <w:rPr>
      <w:rFonts w:ascii="Verdana" w:hAnsi="Verdana" w:hint="default"/>
      <w:sz w:val="19"/>
      <w:szCs w:val="19"/>
    </w:rPr>
  </w:style>
  <w:style w:type="character" w:customStyle="1" w:styleId="searchterm">
    <w:name w:val="searchterm"/>
    <w:basedOn w:val="DefaultParagraphFont"/>
    <w:rsid w:val="001C51A0"/>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B6280"/>
    <w:pPr>
      <w:spacing w:after="160" w:line="240" w:lineRule="exact"/>
      <w:jc w:val="both"/>
    </w:pPr>
    <w:rPr>
      <w:vertAlign w:val="superscript"/>
      <w:lang w:val="en-US"/>
    </w:rPr>
  </w:style>
  <w:style w:type="character" w:customStyle="1" w:styleId="Heading1Char">
    <w:name w:val="Heading 1 Char"/>
    <w:basedOn w:val="DefaultParagraphFont"/>
    <w:link w:val="Heading1"/>
    <w:uiPriority w:val="9"/>
    <w:rsid w:val="00F4578F"/>
    <w:rPr>
      <w:rFonts w:asciiTheme="majorHAnsi" w:eastAsiaTheme="majorEastAsia" w:hAnsiTheme="majorHAnsi" w:cstheme="majorBidi"/>
      <w:b/>
      <w:bCs/>
      <w:color w:val="345A8A" w:themeColor="accent1" w:themeShade="B5"/>
      <w:sz w:val="32"/>
      <w:szCs w:val="32"/>
      <w:lang w:val="en-GB"/>
    </w:rPr>
  </w:style>
  <w:style w:type="paragraph" w:styleId="BalloonText">
    <w:name w:val="Balloon Text"/>
    <w:basedOn w:val="Normal"/>
    <w:link w:val="BalloonTextChar"/>
    <w:uiPriority w:val="99"/>
    <w:semiHidden/>
    <w:unhideWhenUsed/>
    <w:rsid w:val="004847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7B0"/>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FB1FF8"/>
    <w:rPr>
      <w:sz w:val="18"/>
      <w:szCs w:val="18"/>
    </w:rPr>
  </w:style>
  <w:style w:type="paragraph" w:styleId="CommentText">
    <w:name w:val="annotation text"/>
    <w:basedOn w:val="Normal"/>
    <w:link w:val="CommentTextChar"/>
    <w:uiPriority w:val="99"/>
    <w:semiHidden/>
    <w:unhideWhenUsed/>
    <w:rsid w:val="00FB1FF8"/>
  </w:style>
  <w:style w:type="character" w:customStyle="1" w:styleId="CommentTextChar">
    <w:name w:val="Comment Text Char"/>
    <w:basedOn w:val="DefaultParagraphFont"/>
    <w:link w:val="CommentText"/>
    <w:uiPriority w:val="99"/>
    <w:semiHidden/>
    <w:rsid w:val="00FB1FF8"/>
    <w:rPr>
      <w:lang w:val="en-GB"/>
    </w:rPr>
  </w:style>
  <w:style w:type="paragraph" w:styleId="CommentSubject">
    <w:name w:val="annotation subject"/>
    <w:basedOn w:val="CommentText"/>
    <w:next w:val="CommentText"/>
    <w:link w:val="CommentSubjectChar"/>
    <w:uiPriority w:val="99"/>
    <w:semiHidden/>
    <w:unhideWhenUsed/>
    <w:rsid w:val="00FB1FF8"/>
    <w:rPr>
      <w:b/>
      <w:bCs/>
      <w:sz w:val="20"/>
      <w:szCs w:val="20"/>
    </w:rPr>
  </w:style>
  <w:style w:type="character" w:customStyle="1" w:styleId="CommentSubjectChar">
    <w:name w:val="Comment Subject Char"/>
    <w:basedOn w:val="CommentTextChar"/>
    <w:link w:val="CommentSubject"/>
    <w:uiPriority w:val="99"/>
    <w:semiHidden/>
    <w:rsid w:val="00FB1FF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51">
      <w:bodyDiv w:val="1"/>
      <w:marLeft w:val="0"/>
      <w:marRight w:val="0"/>
      <w:marTop w:val="0"/>
      <w:marBottom w:val="0"/>
      <w:divBdr>
        <w:top w:val="none" w:sz="0" w:space="0" w:color="auto"/>
        <w:left w:val="none" w:sz="0" w:space="0" w:color="auto"/>
        <w:bottom w:val="none" w:sz="0" w:space="0" w:color="auto"/>
        <w:right w:val="none" w:sz="0" w:space="0" w:color="auto"/>
      </w:divBdr>
    </w:div>
    <w:div w:id="19819414">
      <w:bodyDiv w:val="1"/>
      <w:marLeft w:val="0"/>
      <w:marRight w:val="0"/>
      <w:marTop w:val="0"/>
      <w:marBottom w:val="0"/>
      <w:divBdr>
        <w:top w:val="none" w:sz="0" w:space="0" w:color="auto"/>
        <w:left w:val="none" w:sz="0" w:space="0" w:color="auto"/>
        <w:bottom w:val="none" w:sz="0" w:space="0" w:color="auto"/>
        <w:right w:val="none" w:sz="0" w:space="0" w:color="auto"/>
      </w:divBdr>
    </w:div>
    <w:div w:id="46609242">
      <w:bodyDiv w:val="1"/>
      <w:marLeft w:val="0"/>
      <w:marRight w:val="0"/>
      <w:marTop w:val="0"/>
      <w:marBottom w:val="0"/>
      <w:divBdr>
        <w:top w:val="none" w:sz="0" w:space="0" w:color="auto"/>
        <w:left w:val="none" w:sz="0" w:space="0" w:color="auto"/>
        <w:bottom w:val="none" w:sz="0" w:space="0" w:color="auto"/>
        <w:right w:val="none" w:sz="0" w:space="0" w:color="auto"/>
      </w:divBdr>
    </w:div>
    <w:div w:id="69427810">
      <w:bodyDiv w:val="1"/>
      <w:marLeft w:val="0"/>
      <w:marRight w:val="0"/>
      <w:marTop w:val="0"/>
      <w:marBottom w:val="0"/>
      <w:divBdr>
        <w:top w:val="none" w:sz="0" w:space="0" w:color="auto"/>
        <w:left w:val="none" w:sz="0" w:space="0" w:color="auto"/>
        <w:bottom w:val="none" w:sz="0" w:space="0" w:color="auto"/>
        <w:right w:val="none" w:sz="0" w:space="0" w:color="auto"/>
      </w:divBdr>
    </w:div>
    <w:div w:id="99842876">
      <w:bodyDiv w:val="1"/>
      <w:marLeft w:val="0"/>
      <w:marRight w:val="0"/>
      <w:marTop w:val="0"/>
      <w:marBottom w:val="0"/>
      <w:divBdr>
        <w:top w:val="none" w:sz="0" w:space="0" w:color="auto"/>
        <w:left w:val="none" w:sz="0" w:space="0" w:color="auto"/>
        <w:bottom w:val="none" w:sz="0" w:space="0" w:color="auto"/>
        <w:right w:val="none" w:sz="0" w:space="0" w:color="auto"/>
      </w:divBdr>
    </w:div>
    <w:div w:id="121387389">
      <w:bodyDiv w:val="1"/>
      <w:marLeft w:val="0"/>
      <w:marRight w:val="0"/>
      <w:marTop w:val="0"/>
      <w:marBottom w:val="0"/>
      <w:divBdr>
        <w:top w:val="none" w:sz="0" w:space="0" w:color="auto"/>
        <w:left w:val="none" w:sz="0" w:space="0" w:color="auto"/>
        <w:bottom w:val="none" w:sz="0" w:space="0" w:color="auto"/>
        <w:right w:val="none" w:sz="0" w:space="0" w:color="auto"/>
      </w:divBdr>
    </w:div>
    <w:div w:id="145830123">
      <w:bodyDiv w:val="1"/>
      <w:marLeft w:val="0"/>
      <w:marRight w:val="0"/>
      <w:marTop w:val="0"/>
      <w:marBottom w:val="0"/>
      <w:divBdr>
        <w:top w:val="none" w:sz="0" w:space="0" w:color="auto"/>
        <w:left w:val="none" w:sz="0" w:space="0" w:color="auto"/>
        <w:bottom w:val="none" w:sz="0" w:space="0" w:color="auto"/>
        <w:right w:val="none" w:sz="0" w:space="0" w:color="auto"/>
      </w:divBdr>
    </w:div>
    <w:div w:id="184251674">
      <w:bodyDiv w:val="1"/>
      <w:marLeft w:val="0"/>
      <w:marRight w:val="0"/>
      <w:marTop w:val="0"/>
      <w:marBottom w:val="0"/>
      <w:divBdr>
        <w:top w:val="none" w:sz="0" w:space="0" w:color="auto"/>
        <w:left w:val="none" w:sz="0" w:space="0" w:color="auto"/>
        <w:bottom w:val="none" w:sz="0" w:space="0" w:color="auto"/>
        <w:right w:val="none" w:sz="0" w:space="0" w:color="auto"/>
      </w:divBdr>
    </w:div>
    <w:div w:id="198863353">
      <w:bodyDiv w:val="1"/>
      <w:marLeft w:val="0"/>
      <w:marRight w:val="0"/>
      <w:marTop w:val="0"/>
      <w:marBottom w:val="0"/>
      <w:divBdr>
        <w:top w:val="none" w:sz="0" w:space="0" w:color="auto"/>
        <w:left w:val="none" w:sz="0" w:space="0" w:color="auto"/>
        <w:bottom w:val="none" w:sz="0" w:space="0" w:color="auto"/>
        <w:right w:val="none" w:sz="0" w:space="0" w:color="auto"/>
      </w:divBdr>
    </w:div>
    <w:div w:id="233786548">
      <w:bodyDiv w:val="1"/>
      <w:marLeft w:val="0"/>
      <w:marRight w:val="0"/>
      <w:marTop w:val="0"/>
      <w:marBottom w:val="0"/>
      <w:divBdr>
        <w:top w:val="none" w:sz="0" w:space="0" w:color="auto"/>
        <w:left w:val="none" w:sz="0" w:space="0" w:color="auto"/>
        <w:bottom w:val="none" w:sz="0" w:space="0" w:color="auto"/>
        <w:right w:val="none" w:sz="0" w:space="0" w:color="auto"/>
      </w:divBdr>
    </w:div>
    <w:div w:id="240141073">
      <w:bodyDiv w:val="1"/>
      <w:marLeft w:val="0"/>
      <w:marRight w:val="0"/>
      <w:marTop w:val="0"/>
      <w:marBottom w:val="0"/>
      <w:divBdr>
        <w:top w:val="none" w:sz="0" w:space="0" w:color="auto"/>
        <w:left w:val="none" w:sz="0" w:space="0" w:color="auto"/>
        <w:bottom w:val="none" w:sz="0" w:space="0" w:color="auto"/>
        <w:right w:val="none" w:sz="0" w:space="0" w:color="auto"/>
      </w:divBdr>
    </w:div>
    <w:div w:id="245849295">
      <w:bodyDiv w:val="1"/>
      <w:marLeft w:val="0"/>
      <w:marRight w:val="0"/>
      <w:marTop w:val="0"/>
      <w:marBottom w:val="0"/>
      <w:divBdr>
        <w:top w:val="none" w:sz="0" w:space="0" w:color="auto"/>
        <w:left w:val="none" w:sz="0" w:space="0" w:color="auto"/>
        <w:bottom w:val="none" w:sz="0" w:space="0" w:color="auto"/>
        <w:right w:val="none" w:sz="0" w:space="0" w:color="auto"/>
      </w:divBdr>
    </w:div>
    <w:div w:id="253125712">
      <w:bodyDiv w:val="1"/>
      <w:marLeft w:val="0"/>
      <w:marRight w:val="0"/>
      <w:marTop w:val="0"/>
      <w:marBottom w:val="0"/>
      <w:divBdr>
        <w:top w:val="none" w:sz="0" w:space="0" w:color="auto"/>
        <w:left w:val="none" w:sz="0" w:space="0" w:color="auto"/>
        <w:bottom w:val="none" w:sz="0" w:space="0" w:color="auto"/>
        <w:right w:val="none" w:sz="0" w:space="0" w:color="auto"/>
      </w:divBdr>
    </w:div>
    <w:div w:id="262344720">
      <w:bodyDiv w:val="1"/>
      <w:marLeft w:val="0"/>
      <w:marRight w:val="0"/>
      <w:marTop w:val="0"/>
      <w:marBottom w:val="0"/>
      <w:divBdr>
        <w:top w:val="none" w:sz="0" w:space="0" w:color="auto"/>
        <w:left w:val="none" w:sz="0" w:space="0" w:color="auto"/>
        <w:bottom w:val="none" w:sz="0" w:space="0" w:color="auto"/>
        <w:right w:val="none" w:sz="0" w:space="0" w:color="auto"/>
      </w:divBdr>
    </w:div>
    <w:div w:id="271321885">
      <w:bodyDiv w:val="1"/>
      <w:marLeft w:val="0"/>
      <w:marRight w:val="0"/>
      <w:marTop w:val="0"/>
      <w:marBottom w:val="0"/>
      <w:divBdr>
        <w:top w:val="none" w:sz="0" w:space="0" w:color="auto"/>
        <w:left w:val="none" w:sz="0" w:space="0" w:color="auto"/>
        <w:bottom w:val="none" w:sz="0" w:space="0" w:color="auto"/>
        <w:right w:val="none" w:sz="0" w:space="0" w:color="auto"/>
      </w:divBdr>
    </w:div>
    <w:div w:id="272202693">
      <w:bodyDiv w:val="1"/>
      <w:marLeft w:val="0"/>
      <w:marRight w:val="0"/>
      <w:marTop w:val="0"/>
      <w:marBottom w:val="0"/>
      <w:divBdr>
        <w:top w:val="none" w:sz="0" w:space="0" w:color="auto"/>
        <w:left w:val="none" w:sz="0" w:space="0" w:color="auto"/>
        <w:bottom w:val="none" w:sz="0" w:space="0" w:color="auto"/>
        <w:right w:val="none" w:sz="0" w:space="0" w:color="auto"/>
      </w:divBdr>
    </w:div>
    <w:div w:id="279803143">
      <w:bodyDiv w:val="1"/>
      <w:marLeft w:val="0"/>
      <w:marRight w:val="0"/>
      <w:marTop w:val="0"/>
      <w:marBottom w:val="0"/>
      <w:divBdr>
        <w:top w:val="none" w:sz="0" w:space="0" w:color="auto"/>
        <w:left w:val="none" w:sz="0" w:space="0" w:color="auto"/>
        <w:bottom w:val="none" w:sz="0" w:space="0" w:color="auto"/>
        <w:right w:val="none" w:sz="0" w:space="0" w:color="auto"/>
      </w:divBdr>
    </w:div>
    <w:div w:id="280652006">
      <w:bodyDiv w:val="1"/>
      <w:marLeft w:val="0"/>
      <w:marRight w:val="0"/>
      <w:marTop w:val="0"/>
      <w:marBottom w:val="0"/>
      <w:divBdr>
        <w:top w:val="none" w:sz="0" w:space="0" w:color="auto"/>
        <w:left w:val="none" w:sz="0" w:space="0" w:color="auto"/>
        <w:bottom w:val="none" w:sz="0" w:space="0" w:color="auto"/>
        <w:right w:val="none" w:sz="0" w:space="0" w:color="auto"/>
      </w:divBdr>
    </w:div>
    <w:div w:id="291208755">
      <w:bodyDiv w:val="1"/>
      <w:marLeft w:val="0"/>
      <w:marRight w:val="0"/>
      <w:marTop w:val="0"/>
      <w:marBottom w:val="0"/>
      <w:divBdr>
        <w:top w:val="none" w:sz="0" w:space="0" w:color="auto"/>
        <w:left w:val="none" w:sz="0" w:space="0" w:color="auto"/>
        <w:bottom w:val="none" w:sz="0" w:space="0" w:color="auto"/>
        <w:right w:val="none" w:sz="0" w:space="0" w:color="auto"/>
      </w:divBdr>
    </w:div>
    <w:div w:id="309215174">
      <w:bodyDiv w:val="1"/>
      <w:marLeft w:val="0"/>
      <w:marRight w:val="0"/>
      <w:marTop w:val="0"/>
      <w:marBottom w:val="0"/>
      <w:divBdr>
        <w:top w:val="none" w:sz="0" w:space="0" w:color="auto"/>
        <w:left w:val="none" w:sz="0" w:space="0" w:color="auto"/>
        <w:bottom w:val="none" w:sz="0" w:space="0" w:color="auto"/>
        <w:right w:val="none" w:sz="0" w:space="0" w:color="auto"/>
      </w:divBdr>
    </w:div>
    <w:div w:id="325204940">
      <w:bodyDiv w:val="1"/>
      <w:marLeft w:val="0"/>
      <w:marRight w:val="0"/>
      <w:marTop w:val="0"/>
      <w:marBottom w:val="0"/>
      <w:divBdr>
        <w:top w:val="none" w:sz="0" w:space="0" w:color="auto"/>
        <w:left w:val="none" w:sz="0" w:space="0" w:color="auto"/>
        <w:bottom w:val="none" w:sz="0" w:space="0" w:color="auto"/>
        <w:right w:val="none" w:sz="0" w:space="0" w:color="auto"/>
      </w:divBdr>
    </w:div>
    <w:div w:id="350497502">
      <w:bodyDiv w:val="1"/>
      <w:marLeft w:val="0"/>
      <w:marRight w:val="0"/>
      <w:marTop w:val="0"/>
      <w:marBottom w:val="0"/>
      <w:divBdr>
        <w:top w:val="none" w:sz="0" w:space="0" w:color="auto"/>
        <w:left w:val="none" w:sz="0" w:space="0" w:color="auto"/>
        <w:bottom w:val="none" w:sz="0" w:space="0" w:color="auto"/>
        <w:right w:val="none" w:sz="0" w:space="0" w:color="auto"/>
      </w:divBdr>
    </w:div>
    <w:div w:id="351226219">
      <w:bodyDiv w:val="1"/>
      <w:marLeft w:val="0"/>
      <w:marRight w:val="0"/>
      <w:marTop w:val="0"/>
      <w:marBottom w:val="0"/>
      <w:divBdr>
        <w:top w:val="none" w:sz="0" w:space="0" w:color="auto"/>
        <w:left w:val="none" w:sz="0" w:space="0" w:color="auto"/>
        <w:bottom w:val="none" w:sz="0" w:space="0" w:color="auto"/>
        <w:right w:val="none" w:sz="0" w:space="0" w:color="auto"/>
      </w:divBdr>
    </w:div>
    <w:div w:id="385759979">
      <w:bodyDiv w:val="1"/>
      <w:marLeft w:val="0"/>
      <w:marRight w:val="0"/>
      <w:marTop w:val="0"/>
      <w:marBottom w:val="0"/>
      <w:divBdr>
        <w:top w:val="none" w:sz="0" w:space="0" w:color="auto"/>
        <w:left w:val="none" w:sz="0" w:space="0" w:color="auto"/>
        <w:bottom w:val="none" w:sz="0" w:space="0" w:color="auto"/>
        <w:right w:val="none" w:sz="0" w:space="0" w:color="auto"/>
      </w:divBdr>
    </w:div>
    <w:div w:id="411976677">
      <w:bodyDiv w:val="1"/>
      <w:marLeft w:val="0"/>
      <w:marRight w:val="0"/>
      <w:marTop w:val="0"/>
      <w:marBottom w:val="0"/>
      <w:divBdr>
        <w:top w:val="none" w:sz="0" w:space="0" w:color="auto"/>
        <w:left w:val="none" w:sz="0" w:space="0" w:color="auto"/>
        <w:bottom w:val="none" w:sz="0" w:space="0" w:color="auto"/>
        <w:right w:val="none" w:sz="0" w:space="0" w:color="auto"/>
      </w:divBdr>
    </w:div>
    <w:div w:id="421027515">
      <w:bodyDiv w:val="1"/>
      <w:marLeft w:val="0"/>
      <w:marRight w:val="0"/>
      <w:marTop w:val="0"/>
      <w:marBottom w:val="0"/>
      <w:divBdr>
        <w:top w:val="none" w:sz="0" w:space="0" w:color="auto"/>
        <w:left w:val="none" w:sz="0" w:space="0" w:color="auto"/>
        <w:bottom w:val="none" w:sz="0" w:space="0" w:color="auto"/>
        <w:right w:val="none" w:sz="0" w:space="0" w:color="auto"/>
      </w:divBdr>
    </w:div>
    <w:div w:id="429932517">
      <w:bodyDiv w:val="1"/>
      <w:marLeft w:val="0"/>
      <w:marRight w:val="0"/>
      <w:marTop w:val="0"/>
      <w:marBottom w:val="0"/>
      <w:divBdr>
        <w:top w:val="none" w:sz="0" w:space="0" w:color="auto"/>
        <w:left w:val="none" w:sz="0" w:space="0" w:color="auto"/>
        <w:bottom w:val="none" w:sz="0" w:space="0" w:color="auto"/>
        <w:right w:val="none" w:sz="0" w:space="0" w:color="auto"/>
      </w:divBdr>
    </w:div>
    <w:div w:id="437725648">
      <w:bodyDiv w:val="1"/>
      <w:marLeft w:val="0"/>
      <w:marRight w:val="0"/>
      <w:marTop w:val="0"/>
      <w:marBottom w:val="0"/>
      <w:divBdr>
        <w:top w:val="none" w:sz="0" w:space="0" w:color="auto"/>
        <w:left w:val="none" w:sz="0" w:space="0" w:color="auto"/>
        <w:bottom w:val="none" w:sz="0" w:space="0" w:color="auto"/>
        <w:right w:val="none" w:sz="0" w:space="0" w:color="auto"/>
      </w:divBdr>
    </w:div>
    <w:div w:id="440926712">
      <w:bodyDiv w:val="1"/>
      <w:marLeft w:val="0"/>
      <w:marRight w:val="0"/>
      <w:marTop w:val="0"/>
      <w:marBottom w:val="0"/>
      <w:divBdr>
        <w:top w:val="none" w:sz="0" w:space="0" w:color="auto"/>
        <w:left w:val="none" w:sz="0" w:space="0" w:color="auto"/>
        <w:bottom w:val="none" w:sz="0" w:space="0" w:color="auto"/>
        <w:right w:val="none" w:sz="0" w:space="0" w:color="auto"/>
      </w:divBdr>
    </w:div>
    <w:div w:id="452598548">
      <w:bodyDiv w:val="1"/>
      <w:marLeft w:val="0"/>
      <w:marRight w:val="0"/>
      <w:marTop w:val="0"/>
      <w:marBottom w:val="0"/>
      <w:divBdr>
        <w:top w:val="none" w:sz="0" w:space="0" w:color="auto"/>
        <w:left w:val="none" w:sz="0" w:space="0" w:color="auto"/>
        <w:bottom w:val="none" w:sz="0" w:space="0" w:color="auto"/>
        <w:right w:val="none" w:sz="0" w:space="0" w:color="auto"/>
      </w:divBdr>
    </w:div>
    <w:div w:id="454257802">
      <w:bodyDiv w:val="1"/>
      <w:marLeft w:val="0"/>
      <w:marRight w:val="0"/>
      <w:marTop w:val="0"/>
      <w:marBottom w:val="0"/>
      <w:divBdr>
        <w:top w:val="none" w:sz="0" w:space="0" w:color="auto"/>
        <w:left w:val="none" w:sz="0" w:space="0" w:color="auto"/>
        <w:bottom w:val="none" w:sz="0" w:space="0" w:color="auto"/>
        <w:right w:val="none" w:sz="0" w:space="0" w:color="auto"/>
      </w:divBdr>
    </w:div>
    <w:div w:id="464859788">
      <w:bodyDiv w:val="1"/>
      <w:marLeft w:val="0"/>
      <w:marRight w:val="0"/>
      <w:marTop w:val="0"/>
      <w:marBottom w:val="0"/>
      <w:divBdr>
        <w:top w:val="none" w:sz="0" w:space="0" w:color="auto"/>
        <w:left w:val="none" w:sz="0" w:space="0" w:color="auto"/>
        <w:bottom w:val="none" w:sz="0" w:space="0" w:color="auto"/>
        <w:right w:val="none" w:sz="0" w:space="0" w:color="auto"/>
      </w:divBdr>
    </w:div>
    <w:div w:id="480464232">
      <w:bodyDiv w:val="1"/>
      <w:marLeft w:val="0"/>
      <w:marRight w:val="0"/>
      <w:marTop w:val="0"/>
      <w:marBottom w:val="0"/>
      <w:divBdr>
        <w:top w:val="none" w:sz="0" w:space="0" w:color="auto"/>
        <w:left w:val="none" w:sz="0" w:space="0" w:color="auto"/>
        <w:bottom w:val="none" w:sz="0" w:space="0" w:color="auto"/>
        <w:right w:val="none" w:sz="0" w:space="0" w:color="auto"/>
      </w:divBdr>
    </w:div>
    <w:div w:id="510800731">
      <w:bodyDiv w:val="1"/>
      <w:marLeft w:val="0"/>
      <w:marRight w:val="0"/>
      <w:marTop w:val="0"/>
      <w:marBottom w:val="0"/>
      <w:divBdr>
        <w:top w:val="none" w:sz="0" w:space="0" w:color="auto"/>
        <w:left w:val="none" w:sz="0" w:space="0" w:color="auto"/>
        <w:bottom w:val="none" w:sz="0" w:space="0" w:color="auto"/>
        <w:right w:val="none" w:sz="0" w:space="0" w:color="auto"/>
      </w:divBdr>
    </w:div>
    <w:div w:id="510804241">
      <w:bodyDiv w:val="1"/>
      <w:marLeft w:val="0"/>
      <w:marRight w:val="0"/>
      <w:marTop w:val="0"/>
      <w:marBottom w:val="0"/>
      <w:divBdr>
        <w:top w:val="none" w:sz="0" w:space="0" w:color="auto"/>
        <w:left w:val="none" w:sz="0" w:space="0" w:color="auto"/>
        <w:bottom w:val="none" w:sz="0" w:space="0" w:color="auto"/>
        <w:right w:val="none" w:sz="0" w:space="0" w:color="auto"/>
      </w:divBdr>
    </w:div>
    <w:div w:id="514076672">
      <w:bodyDiv w:val="1"/>
      <w:marLeft w:val="0"/>
      <w:marRight w:val="0"/>
      <w:marTop w:val="0"/>
      <w:marBottom w:val="0"/>
      <w:divBdr>
        <w:top w:val="none" w:sz="0" w:space="0" w:color="auto"/>
        <w:left w:val="none" w:sz="0" w:space="0" w:color="auto"/>
        <w:bottom w:val="none" w:sz="0" w:space="0" w:color="auto"/>
        <w:right w:val="none" w:sz="0" w:space="0" w:color="auto"/>
      </w:divBdr>
    </w:div>
    <w:div w:id="541676699">
      <w:bodyDiv w:val="1"/>
      <w:marLeft w:val="0"/>
      <w:marRight w:val="0"/>
      <w:marTop w:val="0"/>
      <w:marBottom w:val="0"/>
      <w:divBdr>
        <w:top w:val="none" w:sz="0" w:space="0" w:color="auto"/>
        <w:left w:val="none" w:sz="0" w:space="0" w:color="auto"/>
        <w:bottom w:val="none" w:sz="0" w:space="0" w:color="auto"/>
        <w:right w:val="none" w:sz="0" w:space="0" w:color="auto"/>
      </w:divBdr>
    </w:div>
    <w:div w:id="543249492">
      <w:bodyDiv w:val="1"/>
      <w:marLeft w:val="0"/>
      <w:marRight w:val="0"/>
      <w:marTop w:val="0"/>
      <w:marBottom w:val="0"/>
      <w:divBdr>
        <w:top w:val="none" w:sz="0" w:space="0" w:color="auto"/>
        <w:left w:val="none" w:sz="0" w:space="0" w:color="auto"/>
        <w:bottom w:val="none" w:sz="0" w:space="0" w:color="auto"/>
        <w:right w:val="none" w:sz="0" w:space="0" w:color="auto"/>
      </w:divBdr>
    </w:div>
    <w:div w:id="551426563">
      <w:bodyDiv w:val="1"/>
      <w:marLeft w:val="0"/>
      <w:marRight w:val="0"/>
      <w:marTop w:val="0"/>
      <w:marBottom w:val="0"/>
      <w:divBdr>
        <w:top w:val="none" w:sz="0" w:space="0" w:color="auto"/>
        <w:left w:val="none" w:sz="0" w:space="0" w:color="auto"/>
        <w:bottom w:val="none" w:sz="0" w:space="0" w:color="auto"/>
        <w:right w:val="none" w:sz="0" w:space="0" w:color="auto"/>
      </w:divBdr>
    </w:div>
    <w:div w:id="552618835">
      <w:bodyDiv w:val="1"/>
      <w:marLeft w:val="0"/>
      <w:marRight w:val="0"/>
      <w:marTop w:val="0"/>
      <w:marBottom w:val="0"/>
      <w:divBdr>
        <w:top w:val="none" w:sz="0" w:space="0" w:color="auto"/>
        <w:left w:val="none" w:sz="0" w:space="0" w:color="auto"/>
        <w:bottom w:val="none" w:sz="0" w:space="0" w:color="auto"/>
        <w:right w:val="none" w:sz="0" w:space="0" w:color="auto"/>
      </w:divBdr>
    </w:div>
    <w:div w:id="554701087">
      <w:bodyDiv w:val="1"/>
      <w:marLeft w:val="0"/>
      <w:marRight w:val="0"/>
      <w:marTop w:val="0"/>
      <w:marBottom w:val="0"/>
      <w:divBdr>
        <w:top w:val="none" w:sz="0" w:space="0" w:color="auto"/>
        <w:left w:val="none" w:sz="0" w:space="0" w:color="auto"/>
        <w:bottom w:val="none" w:sz="0" w:space="0" w:color="auto"/>
        <w:right w:val="none" w:sz="0" w:space="0" w:color="auto"/>
      </w:divBdr>
    </w:div>
    <w:div w:id="555046269">
      <w:bodyDiv w:val="1"/>
      <w:marLeft w:val="0"/>
      <w:marRight w:val="0"/>
      <w:marTop w:val="0"/>
      <w:marBottom w:val="0"/>
      <w:divBdr>
        <w:top w:val="none" w:sz="0" w:space="0" w:color="auto"/>
        <w:left w:val="none" w:sz="0" w:space="0" w:color="auto"/>
        <w:bottom w:val="none" w:sz="0" w:space="0" w:color="auto"/>
        <w:right w:val="none" w:sz="0" w:space="0" w:color="auto"/>
      </w:divBdr>
    </w:div>
    <w:div w:id="576479517">
      <w:bodyDiv w:val="1"/>
      <w:marLeft w:val="0"/>
      <w:marRight w:val="0"/>
      <w:marTop w:val="0"/>
      <w:marBottom w:val="0"/>
      <w:divBdr>
        <w:top w:val="none" w:sz="0" w:space="0" w:color="auto"/>
        <w:left w:val="none" w:sz="0" w:space="0" w:color="auto"/>
        <w:bottom w:val="none" w:sz="0" w:space="0" w:color="auto"/>
        <w:right w:val="none" w:sz="0" w:space="0" w:color="auto"/>
      </w:divBdr>
    </w:div>
    <w:div w:id="583301711">
      <w:bodyDiv w:val="1"/>
      <w:marLeft w:val="0"/>
      <w:marRight w:val="0"/>
      <w:marTop w:val="0"/>
      <w:marBottom w:val="0"/>
      <w:divBdr>
        <w:top w:val="none" w:sz="0" w:space="0" w:color="auto"/>
        <w:left w:val="none" w:sz="0" w:space="0" w:color="auto"/>
        <w:bottom w:val="none" w:sz="0" w:space="0" w:color="auto"/>
        <w:right w:val="none" w:sz="0" w:space="0" w:color="auto"/>
      </w:divBdr>
    </w:div>
    <w:div w:id="597181789">
      <w:bodyDiv w:val="1"/>
      <w:marLeft w:val="0"/>
      <w:marRight w:val="0"/>
      <w:marTop w:val="0"/>
      <w:marBottom w:val="0"/>
      <w:divBdr>
        <w:top w:val="none" w:sz="0" w:space="0" w:color="auto"/>
        <w:left w:val="none" w:sz="0" w:space="0" w:color="auto"/>
        <w:bottom w:val="none" w:sz="0" w:space="0" w:color="auto"/>
        <w:right w:val="none" w:sz="0" w:space="0" w:color="auto"/>
      </w:divBdr>
    </w:div>
    <w:div w:id="600257621">
      <w:bodyDiv w:val="1"/>
      <w:marLeft w:val="0"/>
      <w:marRight w:val="0"/>
      <w:marTop w:val="0"/>
      <w:marBottom w:val="0"/>
      <w:divBdr>
        <w:top w:val="none" w:sz="0" w:space="0" w:color="auto"/>
        <w:left w:val="none" w:sz="0" w:space="0" w:color="auto"/>
        <w:bottom w:val="none" w:sz="0" w:space="0" w:color="auto"/>
        <w:right w:val="none" w:sz="0" w:space="0" w:color="auto"/>
      </w:divBdr>
    </w:div>
    <w:div w:id="608664250">
      <w:bodyDiv w:val="1"/>
      <w:marLeft w:val="0"/>
      <w:marRight w:val="0"/>
      <w:marTop w:val="0"/>
      <w:marBottom w:val="0"/>
      <w:divBdr>
        <w:top w:val="none" w:sz="0" w:space="0" w:color="auto"/>
        <w:left w:val="none" w:sz="0" w:space="0" w:color="auto"/>
        <w:bottom w:val="none" w:sz="0" w:space="0" w:color="auto"/>
        <w:right w:val="none" w:sz="0" w:space="0" w:color="auto"/>
      </w:divBdr>
    </w:div>
    <w:div w:id="611088586">
      <w:bodyDiv w:val="1"/>
      <w:marLeft w:val="0"/>
      <w:marRight w:val="0"/>
      <w:marTop w:val="0"/>
      <w:marBottom w:val="0"/>
      <w:divBdr>
        <w:top w:val="none" w:sz="0" w:space="0" w:color="auto"/>
        <w:left w:val="none" w:sz="0" w:space="0" w:color="auto"/>
        <w:bottom w:val="none" w:sz="0" w:space="0" w:color="auto"/>
        <w:right w:val="none" w:sz="0" w:space="0" w:color="auto"/>
      </w:divBdr>
    </w:div>
    <w:div w:id="623730404">
      <w:bodyDiv w:val="1"/>
      <w:marLeft w:val="0"/>
      <w:marRight w:val="0"/>
      <w:marTop w:val="0"/>
      <w:marBottom w:val="0"/>
      <w:divBdr>
        <w:top w:val="none" w:sz="0" w:space="0" w:color="auto"/>
        <w:left w:val="none" w:sz="0" w:space="0" w:color="auto"/>
        <w:bottom w:val="none" w:sz="0" w:space="0" w:color="auto"/>
        <w:right w:val="none" w:sz="0" w:space="0" w:color="auto"/>
      </w:divBdr>
    </w:div>
    <w:div w:id="626930783">
      <w:bodyDiv w:val="1"/>
      <w:marLeft w:val="0"/>
      <w:marRight w:val="0"/>
      <w:marTop w:val="0"/>
      <w:marBottom w:val="0"/>
      <w:divBdr>
        <w:top w:val="none" w:sz="0" w:space="0" w:color="auto"/>
        <w:left w:val="none" w:sz="0" w:space="0" w:color="auto"/>
        <w:bottom w:val="none" w:sz="0" w:space="0" w:color="auto"/>
        <w:right w:val="none" w:sz="0" w:space="0" w:color="auto"/>
      </w:divBdr>
    </w:div>
    <w:div w:id="639968736">
      <w:bodyDiv w:val="1"/>
      <w:marLeft w:val="0"/>
      <w:marRight w:val="0"/>
      <w:marTop w:val="0"/>
      <w:marBottom w:val="0"/>
      <w:divBdr>
        <w:top w:val="none" w:sz="0" w:space="0" w:color="auto"/>
        <w:left w:val="none" w:sz="0" w:space="0" w:color="auto"/>
        <w:bottom w:val="none" w:sz="0" w:space="0" w:color="auto"/>
        <w:right w:val="none" w:sz="0" w:space="0" w:color="auto"/>
      </w:divBdr>
    </w:div>
    <w:div w:id="655768260">
      <w:bodyDiv w:val="1"/>
      <w:marLeft w:val="0"/>
      <w:marRight w:val="0"/>
      <w:marTop w:val="0"/>
      <w:marBottom w:val="0"/>
      <w:divBdr>
        <w:top w:val="none" w:sz="0" w:space="0" w:color="auto"/>
        <w:left w:val="none" w:sz="0" w:space="0" w:color="auto"/>
        <w:bottom w:val="none" w:sz="0" w:space="0" w:color="auto"/>
        <w:right w:val="none" w:sz="0" w:space="0" w:color="auto"/>
      </w:divBdr>
    </w:div>
    <w:div w:id="657264701">
      <w:bodyDiv w:val="1"/>
      <w:marLeft w:val="0"/>
      <w:marRight w:val="0"/>
      <w:marTop w:val="0"/>
      <w:marBottom w:val="0"/>
      <w:divBdr>
        <w:top w:val="none" w:sz="0" w:space="0" w:color="auto"/>
        <w:left w:val="none" w:sz="0" w:space="0" w:color="auto"/>
        <w:bottom w:val="none" w:sz="0" w:space="0" w:color="auto"/>
        <w:right w:val="none" w:sz="0" w:space="0" w:color="auto"/>
      </w:divBdr>
    </w:div>
    <w:div w:id="662005475">
      <w:bodyDiv w:val="1"/>
      <w:marLeft w:val="0"/>
      <w:marRight w:val="0"/>
      <w:marTop w:val="0"/>
      <w:marBottom w:val="0"/>
      <w:divBdr>
        <w:top w:val="none" w:sz="0" w:space="0" w:color="auto"/>
        <w:left w:val="none" w:sz="0" w:space="0" w:color="auto"/>
        <w:bottom w:val="none" w:sz="0" w:space="0" w:color="auto"/>
        <w:right w:val="none" w:sz="0" w:space="0" w:color="auto"/>
      </w:divBdr>
    </w:div>
    <w:div w:id="685445449">
      <w:bodyDiv w:val="1"/>
      <w:marLeft w:val="0"/>
      <w:marRight w:val="0"/>
      <w:marTop w:val="0"/>
      <w:marBottom w:val="0"/>
      <w:divBdr>
        <w:top w:val="none" w:sz="0" w:space="0" w:color="auto"/>
        <w:left w:val="none" w:sz="0" w:space="0" w:color="auto"/>
        <w:bottom w:val="none" w:sz="0" w:space="0" w:color="auto"/>
        <w:right w:val="none" w:sz="0" w:space="0" w:color="auto"/>
      </w:divBdr>
    </w:div>
    <w:div w:id="696588746">
      <w:bodyDiv w:val="1"/>
      <w:marLeft w:val="0"/>
      <w:marRight w:val="0"/>
      <w:marTop w:val="0"/>
      <w:marBottom w:val="0"/>
      <w:divBdr>
        <w:top w:val="none" w:sz="0" w:space="0" w:color="auto"/>
        <w:left w:val="none" w:sz="0" w:space="0" w:color="auto"/>
        <w:bottom w:val="none" w:sz="0" w:space="0" w:color="auto"/>
        <w:right w:val="none" w:sz="0" w:space="0" w:color="auto"/>
      </w:divBdr>
    </w:div>
    <w:div w:id="701782508">
      <w:bodyDiv w:val="1"/>
      <w:marLeft w:val="0"/>
      <w:marRight w:val="0"/>
      <w:marTop w:val="0"/>
      <w:marBottom w:val="0"/>
      <w:divBdr>
        <w:top w:val="none" w:sz="0" w:space="0" w:color="auto"/>
        <w:left w:val="none" w:sz="0" w:space="0" w:color="auto"/>
        <w:bottom w:val="none" w:sz="0" w:space="0" w:color="auto"/>
        <w:right w:val="none" w:sz="0" w:space="0" w:color="auto"/>
      </w:divBdr>
    </w:div>
    <w:div w:id="709888823">
      <w:bodyDiv w:val="1"/>
      <w:marLeft w:val="0"/>
      <w:marRight w:val="0"/>
      <w:marTop w:val="0"/>
      <w:marBottom w:val="0"/>
      <w:divBdr>
        <w:top w:val="none" w:sz="0" w:space="0" w:color="auto"/>
        <w:left w:val="none" w:sz="0" w:space="0" w:color="auto"/>
        <w:bottom w:val="none" w:sz="0" w:space="0" w:color="auto"/>
        <w:right w:val="none" w:sz="0" w:space="0" w:color="auto"/>
      </w:divBdr>
    </w:div>
    <w:div w:id="710688357">
      <w:bodyDiv w:val="1"/>
      <w:marLeft w:val="0"/>
      <w:marRight w:val="0"/>
      <w:marTop w:val="0"/>
      <w:marBottom w:val="0"/>
      <w:divBdr>
        <w:top w:val="none" w:sz="0" w:space="0" w:color="auto"/>
        <w:left w:val="none" w:sz="0" w:space="0" w:color="auto"/>
        <w:bottom w:val="none" w:sz="0" w:space="0" w:color="auto"/>
        <w:right w:val="none" w:sz="0" w:space="0" w:color="auto"/>
      </w:divBdr>
    </w:div>
    <w:div w:id="710767897">
      <w:bodyDiv w:val="1"/>
      <w:marLeft w:val="0"/>
      <w:marRight w:val="0"/>
      <w:marTop w:val="0"/>
      <w:marBottom w:val="0"/>
      <w:divBdr>
        <w:top w:val="none" w:sz="0" w:space="0" w:color="auto"/>
        <w:left w:val="none" w:sz="0" w:space="0" w:color="auto"/>
        <w:bottom w:val="none" w:sz="0" w:space="0" w:color="auto"/>
        <w:right w:val="none" w:sz="0" w:space="0" w:color="auto"/>
      </w:divBdr>
    </w:div>
    <w:div w:id="715280063">
      <w:bodyDiv w:val="1"/>
      <w:marLeft w:val="0"/>
      <w:marRight w:val="0"/>
      <w:marTop w:val="0"/>
      <w:marBottom w:val="0"/>
      <w:divBdr>
        <w:top w:val="none" w:sz="0" w:space="0" w:color="auto"/>
        <w:left w:val="none" w:sz="0" w:space="0" w:color="auto"/>
        <w:bottom w:val="none" w:sz="0" w:space="0" w:color="auto"/>
        <w:right w:val="none" w:sz="0" w:space="0" w:color="auto"/>
      </w:divBdr>
    </w:div>
    <w:div w:id="732003110">
      <w:bodyDiv w:val="1"/>
      <w:marLeft w:val="0"/>
      <w:marRight w:val="0"/>
      <w:marTop w:val="0"/>
      <w:marBottom w:val="0"/>
      <w:divBdr>
        <w:top w:val="none" w:sz="0" w:space="0" w:color="auto"/>
        <w:left w:val="none" w:sz="0" w:space="0" w:color="auto"/>
        <w:bottom w:val="none" w:sz="0" w:space="0" w:color="auto"/>
        <w:right w:val="none" w:sz="0" w:space="0" w:color="auto"/>
      </w:divBdr>
    </w:div>
    <w:div w:id="739864527">
      <w:bodyDiv w:val="1"/>
      <w:marLeft w:val="0"/>
      <w:marRight w:val="0"/>
      <w:marTop w:val="0"/>
      <w:marBottom w:val="0"/>
      <w:divBdr>
        <w:top w:val="none" w:sz="0" w:space="0" w:color="auto"/>
        <w:left w:val="none" w:sz="0" w:space="0" w:color="auto"/>
        <w:bottom w:val="none" w:sz="0" w:space="0" w:color="auto"/>
        <w:right w:val="none" w:sz="0" w:space="0" w:color="auto"/>
      </w:divBdr>
    </w:div>
    <w:div w:id="744105257">
      <w:bodyDiv w:val="1"/>
      <w:marLeft w:val="0"/>
      <w:marRight w:val="0"/>
      <w:marTop w:val="0"/>
      <w:marBottom w:val="0"/>
      <w:divBdr>
        <w:top w:val="none" w:sz="0" w:space="0" w:color="auto"/>
        <w:left w:val="none" w:sz="0" w:space="0" w:color="auto"/>
        <w:bottom w:val="none" w:sz="0" w:space="0" w:color="auto"/>
        <w:right w:val="none" w:sz="0" w:space="0" w:color="auto"/>
      </w:divBdr>
    </w:div>
    <w:div w:id="744838739">
      <w:bodyDiv w:val="1"/>
      <w:marLeft w:val="0"/>
      <w:marRight w:val="0"/>
      <w:marTop w:val="0"/>
      <w:marBottom w:val="0"/>
      <w:divBdr>
        <w:top w:val="none" w:sz="0" w:space="0" w:color="auto"/>
        <w:left w:val="none" w:sz="0" w:space="0" w:color="auto"/>
        <w:bottom w:val="none" w:sz="0" w:space="0" w:color="auto"/>
        <w:right w:val="none" w:sz="0" w:space="0" w:color="auto"/>
      </w:divBdr>
    </w:div>
    <w:div w:id="750203388">
      <w:bodyDiv w:val="1"/>
      <w:marLeft w:val="0"/>
      <w:marRight w:val="0"/>
      <w:marTop w:val="0"/>
      <w:marBottom w:val="0"/>
      <w:divBdr>
        <w:top w:val="none" w:sz="0" w:space="0" w:color="auto"/>
        <w:left w:val="none" w:sz="0" w:space="0" w:color="auto"/>
        <w:bottom w:val="none" w:sz="0" w:space="0" w:color="auto"/>
        <w:right w:val="none" w:sz="0" w:space="0" w:color="auto"/>
      </w:divBdr>
    </w:div>
    <w:div w:id="773983787">
      <w:bodyDiv w:val="1"/>
      <w:marLeft w:val="0"/>
      <w:marRight w:val="0"/>
      <w:marTop w:val="0"/>
      <w:marBottom w:val="0"/>
      <w:divBdr>
        <w:top w:val="none" w:sz="0" w:space="0" w:color="auto"/>
        <w:left w:val="none" w:sz="0" w:space="0" w:color="auto"/>
        <w:bottom w:val="none" w:sz="0" w:space="0" w:color="auto"/>
        <w:right w:val="none" w:sz="0" w:space="0" w:color="auto"/>
      </w:divBdr>
    </w:div>
    <w:div w:id="778060515">
      <w:bodyDiv w:val="1"/>
      <w:marLeft w:val="0"/>
      <w:marRight w:val="0"/>
      <w:marTop w:val="0"/>
      <w:marBottom w:val="0"/>
      <w:divBdr>
        <w:top w:val="none" w:sz="0" w:space="0" w:color="auto"/>
        <w:left w:val="none" w:sz="0" w:space="0" w:color="auto"/>
        <w:bottom w:val="none" w:sz="0" w:space="0" w:color="auto"/>
        <w:right w:val="none" w:sz="0" w:space="0" w:color="auto"/>
      </w:divBdr>
    </w:div>
    <w:div w:id="779374783">
      <w:bodyDiv w:val="1"/>
      <w:marLeft w:val="0"/>
      <w:marRight w:val="0"/>
      <w:marTop w:val="0"/>
      <w:marBottom w:val="0"/>
      <w:divBdr>
        <w:top w:val="none" w:sz="0" w:space="0" w:color="auto"/>
        <w:left w:val="none" w:sz="0" w:space="0" w:color="auto"/>
        <w:bottom w:val="none" w:sz="0" w:space="0" w:color="auto"/>
        <w:right w:val="none" w:sz="0" w:space="0" w:color="auto"/>
      </w:divBdr>
    </w:div>
    <w:div w:id="779838746">
      <w:bodyDiv w:val="1"/>
      <w:marLeft w:val="0"/>
      <w:marRight w:val="0"/>
      <w:marTop w:val="0"/>
      <w:marBottom w:val="0"/>
      <w:divBdr>
        <w:top w:val="none" w:sz="0" w:space="0" w:color="auto"/>
        <w:left w:val="none" w:sz="0" w:space="0" w:color="auto"/>
        <w:bottom w:val="none" w:sz="0" w:space="0" w:color="auto"/>
        <w:right w:val="none" w:sz="0" w:space="0" w:color="auto"/>
      </w:divBdr>
    </w:div>
    <w:div w:id="781070744">
      <w:bodyDiv w:val="1"/>
      <w:marLeft w:val="0"/>
      <w:marRight w:val="0"/>
      <w:marTop w:val="0"/>
      <w:marBottom w:val="0"/>
      <w:divBdr>
        <w:top w:val="none" w:sz="0" w:space="0" w:color="auto"/>
        <w:left w:val="none" w:sz="0" w:space="0" w:color="auto"/>
        <w:bottom w:val="none" w:sz="0" w:space="0" w:color="auto"/>
        <w:right w:val="none" w:sz="0" w:space="0" w:color="auto"/>
      </w:divBdr>
    </w:div>
    <w:div w:id="782841452">
      <w:bodyDiv w:val="1"/>
      <w:marLeft w:val="0"/>
      <w:marRight w:val="0"/>
      <w:marTop w:val="0"/>
      <w:marBottom w:val="0"/>
      <w:divBdr>
        <w:top w:val="none" w:sz="0" w:space="0" w:color="auto"/>
        <w:left w:val="none" w:sz="0" w:space="0" w:color="auto"/>
        <w:bottom w:val="none" w:sz="0" w:space="0" w:color="auto"/>
        <w:right w:val="none" w:sz="0" w:space="0" w:color="auto"/>
      </w:divBdr>
    </w:div>
    <w:div w:id="791168287">
      <w:bodyDiv w:val="1"/>
      <w:marLeft w:val="0"/>
      <w:marRight w:val="0"/>
      <w:marTop w:val="0"/>
      <w:marBottom w:val="0"/>
      <w:divBdr>
        <w:top w:val="none" w:sz="0" w:space="0" w:color="auto"/>
        <w:left w:val="none" w:sz="0" w:space="0" w:color="auto"/>
        <w:bottom w:val="none" w:sz="0" w:space="0" w:color="auto"/>
        <w:right w:val="none" w:sz="0" w:space="0" w:color="auto"/>
      </w:divBdr>
    </w:div>
    <w:div w:id="806707242">
      <w:bodyDiv w:val="1"/>
      <w:marLeft w:val="0"/>
      <w:marRight w:val="0"/>
      <w:marTop w:val="0"/>
      <w:marBottom w:val="0"/>
      <w:divBdr>
        <w:top w:val="none" w:sz="0" w:space="0" w:color="auto"/>
        <w:left w:val="none" w:sz="0" w:space="0" w:color="auto"/>
        <w:bottom w:val="none" w:sz="0" w:space="0" w:color="auto"/>
        <w:right w:val="none" w:sz="0" w:space="0" w:color="auto"/>
      </w:divBdr>
    </w:div>
    <w:div w:id="810446443">
      <w:bodyDiv w:val="1"/>
      <w:marLeft w:val="0"/>
      <w:marRight w:val="0"/>
      <w:marTop w:val="0"/>
      <w:marBottom w:val="0"/>
      <w:divBdr>
        <w:top w:val="none" w:sz="0" w:space="0" w:color="auto"/>
        <w:left w:val="none" w:sz="0" w:space="0" w:color="auto"/>
        <w:bottom w:val="none" w:sz="0" w:space="0" w:color="auto"/>
        <w:right w:val="none" w:sz="0" w:space="0" w:color="auto"/>
      </w:divBdr>
    </w:div>
    <w:div w:id="813643092">
      <w:bodyDiv w:val="1"/>
      <w:marLeft w:val="0"/>
      <w:marRight w:val="0"/>
      <w:marTop w:val="0"/>
      <w:marBottom w:val="0"/>
      <w:divBdr>
        <w:top w:val="none" w:sz="0" w:space="0" w:color="auto"/>
        <w:left w:val="none" w:sz="0" w:space="0" w:color="auto"/>
        <w:bottom w:val="none" w:sz="0" w:space="0" w:color="auto"/>
        <w:right w:val="none" w:sz="0" w:space="0" w:color="auto"/>
      </w:divBdr>
    </w:div>
    <w:div w:id="819539464">
      <w:bodyDiv w:val="1"/>
      <w:marLeft w:val="0"/>
      <w:marRight w:val="0"/>
      <w:marTop w:val="0"/>
      <w:marBottom w:val="0"/>
      <w:divBdr>
        <w:top w:val="none" w:sz="0" w:space="0" w:color="auto"/>
        <w:left w:val="none" w:sz="0" w:space="0" w:color="auto"/>
        <w:bottom w:val="none" w:sz="0" w:space="0" w:color="auto"/>
        <w:right w:val="none" w:sz="0" w:space="0" w:color="auto"/>
      </w:divBdr>
    </w:div>
    <w:div w:id="836961876">
      <w:bodyDiv w:val="1"/>
      <w:marLeft w:val="0"/>
      <w:marRight w:val="0"/>
      <w:marTop w:val="0"/>
      <w:marBottom w:val="0"/>
      <w:divBdr>
        <w:top w:val="none" w:sz="0" w:space="0" w:color="auto"/>
        <w:left w:val="none" w:sz="0" w:space="0" w:color="auto"/>
        <w:bottom w:val="none" w:sz="0" w:space="0" w:color="auto"/>
        <w:right w:val="none" w:sz="0" w:space="0" w:color="auto"/>
      </w:divBdr>
    </w:div>
    <w:div w:id="842596443">
      <w:bodyDiv w:val="1"/>
      <w:marLeft w:val="0"/>
      <w:marRight w:val="0"/>
      <w:marTop w:val="0"/>
      <w:marBottom w:val="0"/>
      <w:divBdr>
        <w:top w:val="none" w:sz="0" w:space="0" w:color="auto"/>
        <w:left w:val="none" w:sz="0" w:space="0" w:color="auto"/>
        <w:bottom w:val="none" w:sz="0" w:space="0" w:color="auto"/>
        <w:right w:val="none" w:sz="0" w:space="0" w:color="auto"/>
      </w:divBdr>
    </w:div>
    <w:div w:id="864371576">
      <w:bodyDiv w:val="1"/>
      <w:marLeft w:val="0"/>
      <w:marRight w:val="0"/>
      <w:marTop w:val="0"/>
      <w:marBottom w:val="0"/>
      <w:divBdr>
        <w:top w:val="none" w:sz="0" w:space="0" w:color="auto"/>
        <w:left w:val="none" w:sz="0" w:space="0" w:color="auto"/>
        <w:bottom w:val="none" w:sz="0" w:space="0" w:color="auto"/>
        <w:right w:val="none" w:sz="0" w:space="0" w:color="auto"/>
      </w:divBdr>
    </w:div>
    <w:div w:id="875196074">
      <w:bodyDiv w:val="1"/>
      <w:marLeft w:val="0"/>
      <w:marRight w:val="0"/>
      <w:marTop w:val="0"/>
      <w:marBottom w:val="0"/>
      <w:divBdr>
        <w:top w:val="none" w:sz="0" w:space="0" w:color="auto"/>
        <w:left w:val="none" w:sz="0" w:space="0" w:color="auto"/>
        <w:bottom w:val="none" w:sz="0" w:space="0" w:color="auto"/>
        <w:right w:val="none" w:sz="0" w:space="0" w:color="auto"/>
      </w:divBdr>
    </w:div>
    <w:div w:id="876158840">
      <w:bodyDiv w:val="1"/>
      <w:marLeft w:val="0"/>
      <w:marRight w:val="0"/>
      <w:marTop w:val="0"/>
      <w:marBottom w:val="0"/>
      <w:divBdr>
        <w:top w:val="none" w:sz="0" w:space="0" w:color="auto"/>
        <w:left w:val="none" w:sz="0" w:space="0" w:color="auto"/>
        <w:bottom w:val="none" w:sz="0" w:space="0" w:color="auto"/>
        <w:right w:val="none" w:sz="0" w:space="0" w:color="auto"/>
      </w:divBdr>
    </w:div>
    <w:div w:id="880092963">
      <w:bodyDiv w:val="1"/>
      <w:marLeft w:val="0"/>
      <w:marRight w:val="0"/>
      <w:marTop w:val="0"/>
      <w:marBottom w:val="0"/>
      <w:divBdr>
        <w:top w:val="none" w:sz="0" w:space="0" w:color="auto"/>
        <w:left w:val="none" w:sz="0" w:space="0" w:color="auto"/>
        <w:bottom w:val="none" w:sz="0" w:space="0" w:color="auto"/>
        <w:right w:val="none" w:sz="0" w:space="0" w:color="auto"/>
      </w:divBdr>
    </w:div>
    <w:div w:id="917710455">
      <w:bodyDiv w:val="1"/>
      <w:marLeft w:val="0"/>
      <w:marRight w:val="0"/>
      <w:marTop w:val="0"/>
      <w:marBottom w:val="0"/>
      <w:divBdr>
        <w:top w:val="none" w:sz="0" w:space="0" w:color="auto"/>
        <w:left w:val="none" w:sz="0" w:space="0" w:color="auto"/>
        <w:bottom w:val="none" w:sz="0" w:space="0" w:color="auto"/>
        <w:right w:val="none" w:sz="0" w:space="0" w:color="auto"/>
      </w:divBdr>
    </w:div>
    <w:div w:id="920025057">
      <w:bodyDiv w:val="1"/>
      <w:marLeft w:val="0"/>
      <w:marRight w:val="0"/>
      <w:marTop w:val="0"/>
      <w:marBottom w:val="0"/>
      <w:divBdr>
        <w:top w:val="none" w:sz="0" w:space="0" w:color="auto"/>
        <w:left w:val="none" w:sz="0" w:space="0" w:color="auto"/>
        <w:bottom w:val="none" w:sz="0" w:space="0" w:color="auto"/>
        <w:right w:val="none" w:sz="0" w:space="0" w:color="auto"/>
      </w:divBdr>
    </w:div>
    <w:div w:id="941298135">
      <w:bodyDiv w:val="1"/>
      <w:marLeft w:val="0"/>
      <w:marRight w:val="0"/>
      <w:marTop w:val="0"/>
      <w:marBottom w:val="0"/>
      <w:divBdr>
        <w:top w:val="none" w:sz="0" w:space="0" w:color="auto"/>
        <w:left w:val="none" w:sz="0" w:space="0" w:color="auto"/>
        <w:bottom w:val="none" w:sz="0" w:space="0" w:color="auto"/>
        <w:right w:val="none" w:sz="0" w:space="0" w:color="auto"/>
      </w:divBdr>
    </w:div>
    <w:div w:id="955605236">
      <w:bodyDiv w:val="1"/>
      <w:marLeft w:val="0"/>
      <w:marRight w:val="0"/>
      <w:marTop w:val="0"/>
      <w:marBottom w:val="0"/>
      <w:divBdr>
        <w:top w:val="none" w:sz="0" w:space="0" w:color="auto"/>
        <w:left w:val="none" w:sz="0" w:space="0" w:color="auto"/>
        <w:bottom w:val="none" w:sz="0" w:space="0" w:color="auto"/>
        <w:right w:val="none" w:sz="0" w:space="0" w:color="auto"/>
      </w:divBdr>
    </w:div>
    <w:div w:id="963921906">
      <w:bodyDiv w:val="1"/>
      <w:marLeft w:val="0"/>
      <w:marRight w:val="0"/>
      <w:marTop w:val="0"/>
      <w:marBottom w:val="0"/>
      <w:divBdr>
        <w:top w:val="none" w:sz="0" w:space="0" w:color="auto"/>
        <w:left w:val="none" w:sz="0" w:space="0" w:color="auto"/>
        <w:bottom w:val="none" w:sz="0" w:space="0" w:color="auto"/>
        <w:right w:val="none" w:sz="0" w:space="0" w:color="auto"/>
      </w:divBdr>
    </w:div>
    <w:div w:id="967661499">
      <w:bodyDiv w:val="1"/>
      <w:marLeft w:val="0"/>
      <w:marRight w:val="0"/>
      <w:marTop w:val="0"/>
      <w:marBottom w:val="0"/>
      <w:divBdr>
        <w:top w:val="none" w:sz="0" w:space="0" w:color="auto"/>
        <w:left w:val="none" w:sz="0" w:space="0" w:color="auto"/>
        <w:bottom w:val="none" w:sz="0" w:space="0" w:color="auto"/>
        <w:right w:val="none" w:sz="0" w:space="0" w:color="auto"/>
      </w:divBdr>
    </w:div>
    <w:div w:id="991251981">
      <w:bodyDiv w:val="1"/>
      <w:marLeft w:val="0"/>
      <w:marRight w:val="0"/>
      <w:marTop w:val="0"/>
      <w:marBottom w:val="0"/>
      <w:divBdr>
        <w:top w:val="none" w:sz="0" w:space="0" w:color="auto"/>
        <w:left w:val="none" w:sz="0" w:space="0" w:color="auto"/>
        <w:bottom w:val="none" w:sz="0" w:space="0" w:color="auto"/>
        <w:right w:val="none" w:sz="0" w:space="0" w:color="auto"/>
      </w:divBdr>
    </w:div>
    <w:div w:id="1016082220">
      <w:bodyDiv w:val="1"/>
      <w:marLeft w:val="0"/>
      <w:marRight w:val="0"/>
      <w:marTop w:val="0"/>
      <w:marBottom w:val="0"/>
      <w:divBdr>
        <w:top w:val="none" w:sz="0" w:space="0" w:color="auto"/>
        <w:left w:val="none" w:sz="0" w:space="0" w:color="auto"/>
        <w:bottom w:val="none" w:sz="0" w:space="0" w:color="auto"/>
        <w:right w:val="none" w:sz="0" w:space="0" w:color="auto"/>
      </w:divBdr>
    </w:div>
    <w:div w:id="1033768912">
      <w:bodyDiv w:val="1"/>
      <w:marLeft w:val="0"/>
      <w:marRight w:val="0"/>
      <w:marTop w:val="0"/>
      <w:marBottom w:val="0"/>
      <w:divBdr>
        <w:top w:val="none" w:sz="0" w:space="0" w:color="auto"/>
        <w:left w:val="none" w:sz="0" w:space="0" w:color="auto"/>
        <w:bottom w:val="none" w:sz="0" w:space="0" w:color="auto"/>
        <w:right w:val="none" w:sz="0" w:space="0" w:color="auto"/>
      </w:divBdr>
    </w:div>
    <w:div w:id="1039090642">
      <w:bodyDiv w:val="1"/>
      <w:marLeft w:val="0"/>
      <w:marRight w:val="0"/>
      <w:marTop w:val="0"/>
      <w:marBottom w:val="0"/>
      <w:divBdr>
        <w:top w:val="none" w:sz="0" w:space="0" w:color="auto"/>
        <w:left w:val="none" w:sz="0" w:space="0" w:color="auto"/>
        <w:bottom w:val="none" w:sz="0" w:space="0" w:color="auto"/>
        <w:right w:val="none" w:sz="0" w:space="0" w:color="auto"/>
      </w:divBdr>
    </w:div>
    <w:div w:id="1057168567">
      <w:bodyDiv w:val="1"/>
      <w:marLeft w:val="0"/>
      <w:marRight w:val="0"/>
      <w:marTop w:val="0"/>
      <w:marBottom w:val="0"/>
      <w:divBdr>
        <w:top w:val="none" w:sz="0" w:space="0" w:color="auto"/>
        <w:left w:val="none" w:sz="0" w:space="0" w:color="auto"/>
        <w:bottom w:val="none" w:sz="0" w:space="0" w:color="auto"/>
        <w:right w:val="none" w:sz="0" w:space="0" w:color="auto"/>
      </w:divBdr>
    </w:div>
    <w:div w:id="1063138950">
      <w:bodyDiv w:val="1"/>
      <w:marLeft w:val="0"/>
      <w:marRight w:val="0"/>
      <w:marTop w:val="0"/>
      <w:marBottom w:val="0"/>
      <w:divBdr>
        <w:top w:val="none" w:sz="0" w:space="0" w:color="auto"/>
        <w:left w:val="none" w:sz="0" w:space="0" w:color="auto"/>
        <w:bottom w:val="none" w:sz="0" w:space="0" w:color="auto"/>
        <w:right w:val="none" w:sz="0" w:space="0" w:color="auto"/>
      </w:divBdr>
    </w:div>
    <w:div w:id="1082987887">
      <w:bodyDiv w:val="1"/>
      <w:marLeft w:val="0"/>
      <w:marRight w:val="0"/>
      <w:marTop w:val="0"/>
      <w:marBottom w:val="0"/>
      <w:divBdr>
        <w:top w:val="none" w:sz="0" w:space="0" w:color="auto"/>
        <w:left w:val="none" w:sz="0" w:space="0" w:color="auto"/>
        <w:bottom w:val="none" w:sz="0" w:space="0" w:color="auto"/>
        <w:right w:val="none" w:sz="0" w:space="0" w:color="auto"/>
      </w:divBdr>
    </w:div>
    <w:div w:id="1086613820">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089545341">
      <w:bodyDiv w:val="1"/>
      <w:marLeft w:val="0"/>
      <w:marRight w:val="0"/>
      <w:marTop w:val="0"/>
      <w:marBottom w:val="0"/>
      <w:divBdr>
        <w:top w:val="none" w:sz="0" w:space="0" w:color="auto"/>
        <w:left w:val="none" w:sz="0" w:space="0" w:color="auto"/>
        <w:bottom w:val="none" w:sz="0" w:space="0" w:color="auto"/>
        <w:right w:val="none" w:sz="0" w:space="0" w:color="auto"/>
      </w:divBdr>
    </w:div>
    <w:div w:id="1100491795">
      <w:bodyDiv w:val="1"/>
      <w:marLeft w:val="0"/>
      <w:marRight w:val="0"/>
      <w:marTop w:val="0"/>
      <w:marBottom w:val="0"/>
      <w:divBdr>
        <w:top w:val="none" w:sz="0" w:space="0" w:color="auto"/>
        <w:left w:val="none" w:sz="0" w:space="0" w:color="auto"/>
        <w:bottom w:val="none" w:sz="0" w:space="0" w:color="auto"/>
        <w:right w:val="none" w:sz="0" w:space="0" w:color="auto"/>
      </w:divBdr>
      <w:divsChild>
        <w:div w:id="921909265">
          <w:marLeft w:val="0"/>
          <w:marRight w:val="0"/>
          <w:marTop w:val="0"/>
          <w:marBottom w:val="0"/>
          <w:divBdr>
            <w:top w:val="none" w:sz="0" w:space="0" w:color="auto"/>
            <w:left w:val="none" w:sz="0" w:space="0" w:color="auto"/>
            <w:bottom w:val="none" w:sz="0" w:space="0" w:color="auto"/>
            <w:right w:val="none" w:sz="0" w:space="0" w:color="auto"/>
          </w:divBdr>
        </w:div>
        <w:div w:id="226691636">
          <w:marLeft w:val="0"/>
          <w:marRight w:val="0"/>
          <w:marTop w:val="0"/>
          <w:marBottom w:val="0"/>
          <w:divBdr>
            <w:top w:val="none" w:sz="0" w:space="0" w:color="auto"/>
            <w:left w:val="none" w:sz="0" w:space="0" w:color="auto"/>
            <w:bottom w:val="none" w:sz="0" w:space="0" w:color="auto"/>
            <w:right w:val="none" w:sz="0" w:space="0" w:color="auto"/>
          </w:divBdr>
        </w:div>
      </w:divsChild>
    </w:div>
    <w:div w:id="1105536678">
      <w:bodyDiv w:val="1"/>
      <w:marLeft w:val="0"/>
      <w:marRight w:val="0"/>
      <w:marTop w:val="0"/>
      <w:marBottom w:val="0"/>
      <w:divBdr>
        <w:top w:val="none" w:sz="0" w:space="0" w:color="auto"/>
        <w:left w:val="none" w:sz="0" w:space="0" w:color="auto"/>
        <w:bottom w:val="none" w:sz="0" w:space="0" w:color="auto"/>
        <w:right w:val="none" w:sz="0" w:space="0" w:color="auto"/>
      </w:divBdr>
    </w:div>
    <w:div w:id="1131940720">
      <w:bodyDiv w:val="1"/>
      <w:marLeft w:val="0"/>
      <w:marRight w:val="0"/>
      <w:marTop w:val="0"/>
      <w:marBottom w:val="0"/>
      <w:divBdr>
        <w:top w:val="none" w:sz="0" w:space="0" w:color="auto"/>
        <w:left w:val="none" w:sz="0" w:space="0" w:color="auto"/>
        <w:bottom w:val="none" w:sz="0" w:space="0" w:color="auto"/>
        <w:right w:val="none" w:sz="0" w:space="0" w:color="auto"/>
      </w:divBdr>
    </w:div>
    <w:div w:id="1141850238">
      <w:bodyDiv w:val="1"/>
      <w:marLeft w:val="0"/>
      <w:marRight w:val="0"/>
      <w:marTop w:val="0"/>
      <w:marBottom w:val="0"/>
      <w:divBdr>
        <w:top w:val="none" w:sz="0" w:space="0" w:color="auto"/>
        <w:left w:val="none" w:sz="0" w:space="0" w:color="auto"/>
        <w:bottom w:val="none" w:sz="0" w:space="0" w:color="auto"/>
        <w:right w:val="none" w:sz="0" w:space="0" w:color="auto"/>
      </w:divBdr>
    </w:div>
    <w:div w:id="1180241476">
      <w:bodyDiv w:val="1"/>
      <w:marLeft w:val="0"/>
      <w:marRight w:val="0"/>
      <w:marTop w:val="0"/>
      <w:marBottom w:val="0"/>
      <w:divBdr>
        <w:top w:val="none" w:sz="0" w:space="0" w:color="auto"/>
        <w:left w:val="none" w:sz="0" w:space="0" w:color="auto"/>
        <w:bottom w:val="none" w:sz="0" w:space="0" w:color="auto"/>
        <w:right w:val="none" w:sz="0" w:space="0" w:color="auto"/>
      </w:divBdr>
    </w:div>
    <w:div w:id="1180852600">
      <w:bodyDiv w:val="1"/>
      <w:marLeft w:val="0"/>
      <w:marRight w:val="0"/>
      <w:marTop w:val="0"/>
      <w:marBottom w:val="0"/>
      <w:divBdr>
        <w:top w:val="none" w:sz="0" w:space="0" w:color="auto"/>
        <w:left w:val="none" w:sz="0" w:space="0" w:color="auto"/>
        <w:bottom w:val="none" w:sz="0" w:space="0" w:color="auto"/>
        <w:right w:val="none" w:sz="0" w:space="0" w:color="auto"/>
      </w:divBdr>
    </w:div>
    <w:div w:id="1187209496">
      <w:bodyDiv w:val="1"/>
      <w:marLeft w:val="0"/>
      <w:marRight w:val="0"/>
      <w:marTop w:val="0"/>
      <w:marBottom w:val="0"/>
      <w:divBdr>
        <w:top w:val="none" w:sz="0" w:space="0" w:color="auto"/>
        <w:left w:val="none" w:sz="0" w:space="0" w:color="auto"/>
        <w:bottom w:val="none" w:sz="0" w:space="0" w:color="auto"/>
        <w:right w:val="none" w:sz="0" w:space="0" w:color="auto"/>
      </w:divBdr>
    </w:div>
    <w:div w:id="1210993600">
      <w:bodyDiv w:val="1"/>
      <w:marLeft w:val="0"/>
      <w:marRight w:val="0"/>
      <w:marTop w:val="0"/>
      <w:marBottom w:val="0"/>
      <w:divBdr>
        <w:top w:val="none" w:sz="0" w:space="0" w:color="auto"/>
        <w:left w:val="none" w:sz="0" w:space="0" w:color="auto"/>
        <w:bottom w:val="none" w:sz="0" w:space="0" w:color="auto"/>
        <w:right w:val="none" w:sz="0" w:space="0" w:color="auto"/>
      </w:divBdr>
    </w:div>
    <w:div w:id="1216355363">
      <w:bodyDiv w:val="1"/>
      <w:marLeft w:val="0"/>
      <w:marRight w:val="0"/>
      <w:marTop w:val="0"/>
      <w:marBottom w:val="0"/>
      <w:divBdr>
        <w:top w:val="none" w:sz="0" w:space="0" w:color="auto"/>
        <w:left w:val="none" w:sz="0" w:space="0" w:color="auto"/>
        <w:bottom w:val="none" w:sz="0" w:space="0" w:color="auto"/>
        <w:right w:val="none" w:sz="0" w:space="0" w:color="auto"/>
      </w:divBdr>
    </w:div>
    <w:div w:id="1219710334">
      <w:bodyDiv w:val="1"/>
      <w:marLeft w:val="0"/>
      <w:marRight w:val="0"/>
      <w:marTop w:val="0"/>
      <w:marBottom w:val="0"/>
      <w:divBdr>
        <w:top w:val="none" w:sz="0" w:space="0" w:color="auto"/>
        <w:left w:val="none" w:sz="0" w:space="0" w:color="auto"/>
        <w:bottom w:val="none" w:sz="0" w:space="0" w:color="auto"/>
        <w:right w:val="none" w:sz="0" w:space="0" w:color="auto"/>
      </w:divBdr>
    </w:div>
    <w:div w:id="1228152370">
      <w:bodyDiv w:val="1"/>
      <w:marLeft w:val="0"/>
      <w:marRight w:val="0"/>
      <w:marTop w:val="0"/>
      <w:marBottom w:val="0"/>
      <w:divBdr>
        <w:top w:val="none" w:sz="0" w:space="0" w:color="auto"/>
        <w:left w:val="none" w:sz="0" w:space="0" w:color="auto"/>
        <w:bottom w:val="none" w:sz="0" w:space="0" w:color="auto"/>
        <w:right w:val="none" w:sz="0" w:space="0" w:color="auto"/>
      </w:divBdr>
    </w:div>
    <w:div w:id="1235705020">
      <w:bodyDiv w:val="1"/>
      <w:marLeft w:val="0"/>
      <w:marRight w:val="0"/>
      <w:marTop w:val="0"/>
      <w:marBottom w:val="0"/>
      <w:divBdr>
        <w:top w:val="none" w:sz="0" w:space="0" w:color="auto"/>
        <w:left w:val="none" w:sz="0" w:space="0" w:color="auto"/>
        <w:bottom w:val="none" w:sz="0" w:space="0" w:color="auto"/>
        <w:right w:val="none" w:sz="0" w:space="0" w:color="auto"/>
      </w:divBdr>
    </w:div>
    <w:div w:id="1259798967">
      <w:bodyDiv w:val="1"/>
      <w:marLeft w:val="0"/>
      <w:marRight w:val="0"/>
      <w:marTop w:val="0"/>
      <w:marBottom w:val="0"/>
      <w:divBdr>
        <w:top w:val="none" w:sz="0" w:space="0" w:color="auto"/>
        <w:left w:val="none" w:sz="0" w:space="0" w:color="auto"/>
        <w:bottom w:val="none" w:sz="0" w:space="0" w:color="auto"/>
        <w:right w:val="none" w:sz="0" w:space="0" w:color="auto"/>
      </w:divBdr>
    </w:div>
    <w:div w:id="1276210012">
      <w:bodyDiv w:val="1"/>
      <w:marLeft w:val="0"/>
      <w:marRight w:val="0"/>
      <w:marTop w:val="0"/>
      <w:marBottom w:val="0"/>
      <w:divBdr>
        <w:top w:val="none" w:sz="0" w:space="0" w:color="auto"/>
        <w:left w:val="none" w:sz="0" w:space="0" w:color="auto"/>
        <w:bottom w:val="none" w:sz="0" w:space="0" w:color="auto"/>
        <w:right w:val="none" w:sz="0" w:space="0" w:color="auto"/>
      </w:divBdr>
    </w:div>
    <w:div w:id="1333723274">
      <w:bodyDiv w:val="1"/>
      <w:marLeft w:val="0"/>
      <w:marRight w:val="0"/>
      <w:marTop w:val="0"/>
      <w:marBottom w:val="0"/>
      <w:divBdr>
        <w:top w:val="none" w:sz="0" w:space="0" w:color="auto"/>
        <w:left w:val="none" w:sz="0" w:space="0" w:color="auto"/>
        <w:bottom w:val="none" w:sz="0" w:space="0" w:color="auto"/>
        <w:right w:val="none" w:sz="0" w:space="0" w:color="auto"/>
      </w:divBdr>
    </w:div>
    <w:div w:id="1350789739">
      <w:bodyDiv w:val="1"/>
      <w:marLeft w:val="0"/>
      <w:marRight w:val="0"/>
      <w:marTop w:val="0"/>
      <w:marBottom w:val="0"/>
      <w:divBdr>
        <w:top w:val="none" w:sz="0" w:space="0" w:color="auto"/>
        <w:left w:val="none" w:sz="0" w:space="0" w:color="auto"/>
        <w:bottom w:val="none" w:sz="0" w:space="0" w:color="auto"/>
        <w:right w:val="none" w:sz="0" w:space="0" w:color="auto"/>
      </w:divBdr>
    </w:div>
    <w:div w:id="1354957538">
      <w:bodyDiv w:val="1"/>
      <w:marLeft w:val="0"/>
      <w:marRight w:val="0"/>
      <w:marTop w:val="0"/>
      <w:marBottom w:val="0"/>
      <w:divBdr>
        <w:top w:val="none" w:sz="0" w:space="0" w:color="auto"/>
        <w:left w:val="none" w:sz="0" w:space="0" w:color="auto"/>
        <w:bottom w:val="none" w:sz="0" w:space="0" w:color="auto"/>
        <w:right w:val="none" w:sz="0" w:space="0" w:color="auto"/>
      </w:divBdr>
    </w:div>
    <w:div w:id="1358265178">
      <w:bodyDiv w:val="1"/>
      <w:marLeft w:val="0"/>
      <w:marRight w:val="0"/>
      <w:marTop w:val="0"/>
      <w:marBottom w:val="0"/>
      <w:divBdr>
        <w:top w:val="none" w:sz="0" w:space="0" w:color="auto"/>
        <w:left w:val="none" w:sz="0" w:space="0" w:color="auto"/>
        <w:bottom w:val="none" w:sz="0" w:space="0" w:color="auto"/>
        <w:right w:val="none" w:sz="0" w:space="0" w:color="auto"/>
      </w:divBdr>
    </w:div>
    <w:div w:id="1370297927">
      <w:bodyDiv w:val="1"/>
      <w:marLeft w:val="0"/>
      <w:marRight w:val="0"/>
      <w:marTop w:val="0"/>
      <w:marBottom w:val="0"/>
      <w:divBdr>
        <w:top w:val="none" w:sz="0" w:space="0" w:color="auto"/>
        <w:left w:val="none" w:sz="0" w:space="0" w:color="auto"/>
        <w:bottom w:val="none" w:sz="0" w:space="0" w:color="auto"/>
        <w:right w:val="none" w:sz="0" w:space="0" w:color="auto"/>
      </w:divBdr>
    </w:div>
    <w:div w:id="1378509627">
      <w:bodyDiv w:val="1"/>
      <w:marLeft w:val="0"/>
      <w:marRight w:val="0"/>
      <w:marTop w:val="0"/>
      <w:marBottom w:val="0"/>
      <w:divBdr>
        <w:top w:val="none" w:sz="0" w:space="0" w:color="auto"/>
        <w:left w:val="none" w:sz="0" w:space="0" w:color="auto"/>
        <w:bottom w:val="none" w:sz="0" w:space="0" w:color="auto"/>
        <w:right w:val="none" w:sz="0" w:space="0" w:color="auto"/>
      </w:divBdr>
    </w:div>
    <w:div w:id="1380322065">
      <w:bodyDiv w:val="1"/>
      <w:marLeft w:val="0"/>
      <w:marRight w:val="0"/>
      <w:marTop w:val="0"/>
      <w:marBottom w:val="0"/>
      <w:divBdr>
        <w:top w:val="none" w:sz="0" w:space="0" w:color="auto"/>
        <w:left w:val="none" w:sz="0" w:space="0" w:color="auto"/>
        <w:bottom w:val="none" w:sz="0" w:space="0" w:color="auto"/>
        <w:right w:val="none" w:sz="0" w:space="0" w:color="auto"/>
      </w:divBdr>
    </w:div>
    <w:div w:id="1386221796">
      <w:bodyDiv w:val="1"/>
      <w:marLeft w:val="0"/>
      <w:marRight w:val="0"/>
      <w:marTop w:val="0"/>
      <w:marBottom w:val="0"/>
      <w:divBdr>
        <w:top w:val="none" w:sz="0" w:space="0" w:color="auto"/>
        <w:left w:val="none" w:sz="0" w:space="0" w:color="auto"/>
        <w:bottom w:val="none" w:sz="0" w:space="0" w:color="auto"/>
        <w:right w:val="none" w:sz="0" w:space="0" w:color="auto"/>
      </w:divBdr>
    </w:div>
    <w:div w:id="1389458364">
      <w:bodyDiv w:val="1"/>
      <w:marLeft w:val="0"/>
      <w:marRight w:val="0"/>
      <w:marTop w:val="0"/>
      <w:marBottom w:val="0"/>
      <w:divBdr>
        <w:top w:val="none" w:sz="0" w:space="0" w:color="auto"/>
        <w:left w:val="none" w:sz="0" w:space="0" w:color="auto"/>
        <w:bottom w:val="none" w:sz="0" w:space="0" w:color="auto"/>
        <w:right w:val="none" w:sz="0" w:space="0" w:color="auto"/>
      </w:divBdr>
    </w:div>
    <w:div w:id="1394698074">
      <w:bodyDiv w:val="1"/>
      <w:marLeft w:val="0"/>
      <w:marRight w:val="0"/>
      <w:marTop w:val="0"/>
      <w:marBottom w:val="0"/>
      <w:divBdr>
        <w:top w:val="none" w:sz="0" w:space="0" w:color="auto"/>
        <w:left w:val="none" w:sz="0" w:space="0" w:color="auto"/>
        <w:bottom w:val="none" w:sz="0" w:space="0" w:color="auto"/>
        <w:right w:val="none" w:sz="0" w:space="0" w:color="auto"/>
      </w:divBdr>
    </w:div>
    <w:div w:id="1394815042">
      <w:bodyDiv w:val="1"/>
      <w:marLeft w:val="0"/>
      <w:marRight w:val="0"/>
      <w:marTop w:val="0"/>
      <w:marBottom w:val="0"/>
      <w:divBdr>
        <w:top w:val="none" w:sz="0" w:space="0" w:color="auto"/>
        <w:left w:val="none" w:sz="0" w:space="0" w:color="auto"/>
        <w:bottom w:val="none" w:sz="0" w:space="0" w:color="auto"/>
        <w:right w:val="none" w:sz="0" w:space="0" w:color="auto"/>
      </w:divBdr>
    </w:div>
    <w:div w:id="1423646955">
      <w:bodyDiv w:val="1"/>
      <w:marLeft w:val="0"/>
      <w:marRight w:val="0"/>
      <w:marTop w:val="0"/>
      <w:marBottom w:val="0"/>
      <w:divBdr>
        <w:top w:val="none" w:sz="0" w:space="0" w:color="auto"/>
        <w:left w:val="none" w:sz="0" w:space="0" w:color="auto"/>
        <w:bottom w:val="none" w:sz="0" w:space="0" w:color="auto"/>
        <w:right w:val="none" w:sz="0" w:space="0" w:color="auto"/>
      </w:divBdr>
    </w:div>
    <w:div w:id="1441143481">
      <w:bodyDiv w:val="1"/>
      <w:marLeft w:val="0"/>
      <w:marRight w:val="0"/>
      <w:marTop w:val="0"/>
      <w:marBottom w:val="0"/>
      <w:divBdr>
        <w:top w:val="none" w:sz="0" w:space="0" w:color="auto"/>
        <w:left w:val="none" w:sz="0" w:space="0" w:color="auto"/>
        <w:bottom w:val="none" w:sz="0" w:space="0" w:color="auto"/>
        <w:right w:val="none" w:sz="0" w:space="0" w:color="auto"/>
      </w:divBdr>
    </w:div>
    <w:div w:id="1481192533">
      <w:bodyDiv w:val="1"/>
      <w:marLeft w:val="0"/>
      <w:marRight w:val="0"/>
      <w:marTop w:val="0"/>
      <w:marBottom w:val="0"/>
      <w:divBdr>
        <w:top w:val="none" w:sz="0" w:space="0" w:color="auto"/>
        <w:left w:val="none" w:sz="0" w:space="0" w:color="auto"/>
        <w:bottom w:val="none" w:sz="0" w:space="0" w:color="auto"/>
        <w:right w:val="none" w:sz="0" w:space="0" w:color="auto"/>
      </w:divBdr>
    </w:div>
    <w:div w:id="1511529724">
      <w:bodyDiv w:val="1"/>
      <w:marLeft w:val="0"/>
      <w:marRight w:val="0"/>
      <w:marTop w:val="0"/>
      <w:marBottom w:val="0"/>
      <w:divBdr>
        <w:top w:val="none" w:sz="0" w:space="0" w:color="auto"/>
        <w:left w:val="none" w:sz="0" w:space="0" w:color="auto"/>
        <w:bottom w:val="none" w:sz="0" w:space="0" w:color="auto"/>
        <w:right w:val="none" w:sz="0" w:space="0" w:color="auto"/>
      </w:divBdr>
    </w:div>
    <w:div w:id="1519925909">
      <w:bodyDiv w:val="1"/>
      <w:marLeft w:val="0"/>
      <w:marRight w:val="0"/>
      <w:marTop w:val="0"/>
      <w:marBottom w:val="0"/>
      <w:divBdr>
        <w:top w:val="none" w:sz="0" w:space="0" w:color="auto"/>
        <w:left w:val="none" w:sz="0" w:space="0" w:color="auto"/>
        <w:bottom w:val="none" w:sz="0" w:space="0" w:color="auto"/>
        <w:right w:val="none" w:sz="0" w:space="0" w:color="auto"/>
      </w:divBdr>
    </w:div>
    <w:div w:id="1591700302">
      <w:bodyDiv w:val="1"/>
      <w:marLeft w:val="0"/>
      <w:marRight w:val="0"/>
      <w:marTop w:val="0"/>
      <w:marBottom w:val="0"/>
      <w:divBdr>
        <w:top w:val="none" w:sz="0" w:space="0" w:color="auto"/>
        <w:left w:val="none" w:sz="0" w:space="0" w:color="auto"/>
        <w:bottom w:val="none" w:sz="0" w:space="0" w:color="auto"/>
        <w:right w:val="none" w:sz="0" w:space="0" w:color="auto"/>
      </w:divBdr>
    </w:div>
    <w:div w:id="1599169189">
      <w:bodyDiv w:val="1"/>
      <w:marLeft w:val="0"/>
      <w:marRight w:val="0"/>
      <w:marTop w:val="0"/>
      <w:marBottom w:val="0"/>
      <w:divBdr>
        <w:top w:val="none" w:sz="0" w:space="0" w:color="auto"/>
        <w:left w:val="none" w:sz="0" w:space="0" w:color="auto"/>
        <w:bottom w:val="none" w:sz="0" w:space="0" w:color="auto"/>
        <w:right w:val="none" w:sz="0" w:space="0" w:color="auto"/>
      </w:divBdr>
    </w:div>
    <w:div w:id="1608654879">
      <w:bodyDiv w:val="1"/>
      <w:marLeft w:val="0"/>
      <w:marRight w:val="0"/>
      <w:marTop w:val="0"/>
      <w:marBottom w:val="0"/>
      <w:divBdr>
        <w:top w:val="none" w:sz="0" w:space="0" w:color="auto"/>
        <w:left w:val="none" w:sz="0" w:space="0" w:color="auto"/>
        <w:bottom w:val="none" w:sz="0" w:space="0" w:color="auto"/>
        <w:right w:val="none" w:sz="0" w:space="0" w:color="auto"/>
      </w:divBdr>
    </w:div>
    <w:div w:id="1611157198">
      <w:bodyDiv w:val="1"/>
      <w:marLeft w:val="0"/>
      <w:marRight w:val="0"/>
      <w:marTop w:val="0"/>
      <w:marBottom w:val="0"/>
      <w:divBdr>
        <w:top w:val="none" w:sz="0" w:space="0" w:color="auto"/>
        <w:left w:val="none" w:sz="0" w:space="0" w:color="auto"/>
        <w:bottom w:val="none" w:sz="0" w:space="0" w:color="auto"/>
        <w:right w:val="none" w:sz="0" w:space="0" w:color="auto"/>
      </w:divBdr>
    </w:div>
    <w:div w:id="1646154663">
      <w:bodyDiv w:val="1"/>
      <w:marLeft w:val="0"/>
      <w:marRight w:val="0"/>
      <w:marTop w:val="0"/>
      <w:marBottom w:val="0"/>
      <w:divBdr>
        <w:top w:val="none" w:sz="0" w:space="0" w:color="auto"/>
        <w:left w:val="none" w:sz="0" w:space="0" w:color="auto"/>
        <w:bottom w:val="none" w:sz="0" w:space="0" w:color="auto"/>
        <w:right w:val="none" w:sz="0" w:space="0" w:color="auto"/>
      </w:divBdr>
    </w:div>
    <w:div w:id="1678582669">
      <w:bodyDiv w:val="1"/>
      <w:marLeft w:val="0"/>
      <w:marRight w:val="0"/>
      <w:marTop w:val="0"/>
      <w:marBottom w:val="0"/>
      <w:divBdr>
        <w:top w:val="none" w:sz="0" w:space="0" w:color="auto"/>
        <w:left w:val="none" w:sz="0" w:space="0" w:color="auto"/>
        <w:bottom w:val="none" w:sz="0" w:space="0" w:color="auto"/>
        <w:right w:val="none" w:sz="0" w:space="0" w:color="auto"/>
      </w:divBdr>
    </w:div>
    <w:div w:id="1687055984">
      <w:bodyDiv w:val="1"/>
      <w:marLeft w:val="0"/>
      <w:marRight w:val="0"/>
      <w:marTop w:val="0"/>
      <w:marBottom w:val="0"/>
      <w:divBdr>
        <w:top w:val="none" w:sz="0" w:space="0" w:color="auto"/>
        <w:left w:val="none" w:sz="0" w:space="0" w:color="auto"/>
        <w:bottom w:val="none" w:sz="0" w:space="0" w:color="auto"/>
        <w:right w:val="none" w:sz="0" w:space="0" w:color="auto"/>
      </w:divBdr>
    </w:div>
    <w:div w:id="1692143143">
      <w:bodyDiv w:val="1"/>
      <w:marLeft w:val="0"/>
      <w:marRight w:val="0"/>
      <w:marTop w:val="0"/>
      <w:marBottom w:val="0"/>
      <w:divBdr>
        <w:top w:val="none" w:sz="0" w:space="0" w:color="auto"/>
        <w:left w:val="none" w:sz="0" w:space="0" w:color="auto"/>
        <w:bottom w:val="none" w:sz="0" w:space="0" w:color="auto"/>
        <w:right w:val="none" w:sz="0" w:space="0" w:color="auto"/>
      </w:divBdr>
    </w:div>
    <w:div w:id="1696543368">
      <w:bodyDiv w:val="1"/>
      <w:marLeft w:val="0"/>
      <w:marRight w:val="0"/>
      <w:marTop w:val="0"/>
      <w:marBottom w:val="0"/>
      <w:divBdr>
        <w:top w:val="none" w:sz="0" w:space="0" w:color="auto"/>
        <w:left w:val="none" w:sz="0" w:space="0" w:color="auto"/>
        <w:bottom w:val="none" w:sz="0" w:space="0" w:color="auto"/>
        <w:right w:val="none" w:sz="0" w:space="0" w:color="auto"/>
      </w:divBdr>
    </w:div>
    <w:div w:id="1724401644">
      <w:bodyDiv w:val="1"/>
      <w:marLeft w:val="0"/>
      <w:marRight w:val="0"/>
      <w:marTop w:val="0"/>
      <w:marBottom w:val="0"/>
      <w:divBdr>
        <w:top w:val="none" w:sz="0" w:space="0" w:color="auto"/>
        <w:left w:val="none" w:sz="0" w:space="0" w:color="auto"/>
        <w:bottom w:val="none" w:sz="0" w:space="0" w:color="auto"/>
        <w:right w:val="none" w:sz="0" w:space="0" w:color="auto"/>
      </w:divBdr>
    </w:div>
    <w:div w:id="1728794320">
      <w:bodyDiv w:val="1"/>
      <w:marLeft w:val="0"/>
      <w:marRight w:val="0"/>
      <w:marTop w:val="0"/>
      <w:marBottom w:val="0"/>
      <w:divBdr>
        <w:top w:val="none" w:sz="0" w:space="0" w:color="auto"/>
        <w:left w:val="none" w:sz="0" w:space="0" w:color="auto"/>
        <w:bottom w:val="none" w:sz="0" w:space="0" w:color="auto"/>
        <w:right w:val="none" w:sz="0" w:space="0" w:color="auto"/>
      </w:divBdr>
    </w:div>
    <w:div w:id="1744793206">
      <w:bodyDiv w:val="1"/>
      <w:marLeft w:val="0"/>
      <w:marRight w:val="0"/>
      <w:marTop w:val="0"/>
      <w:marBottom w:val="0"/>
      <w:divBdr>
        <w:top w:val="none" w:sz="0" w:space="0" w:color="auto"/>
        <w:left w:val="none" w:sz="0" w:space="0" w:color="auto"/>
        <w:bottom w:val="none" w:sz="0" w:space="0" w:color="auto"/>
        <w:right w:val="none" w:sz="0" w:space="0" w:color="auto"/>
      </w:divBdr>
    </w:div>
    <w:div w:id="1749838643">
      <w:bodyDiv w:val="1"/>
      <w:marLeft w:val="0"/>
      <w:marRight w:val="0"/>
      <w:marTop w:val="0"/>
      <w:marBottom w:val="0"/>
      <w:divBdr>
        <w:top w:val="none" w:sz="0" w:space="0" w:color="auto"/>
        <w:left w:val="none" w:sz="0" w:space="0" w:color="auto"/>
        <w:bottom w:val="none" w:sz="0" w:space="0" w:color="auto"/>
        <w:right w:val="none" w:sz="0" w:space="0" w:color="auto"/>
      </w:divBdr>
    </w:div>
    <w:div w:id="1760104520">
      <w:bodyDiv w:val="1"/>
      <w:marLeft w:val="0"/>
      <w:marRight w:val="0"/>
      <w:marTop w:val="0"/>
      <w:marBottom w:val="0"/>
      <w:divBdr>
        <w:top w:val="none" w:sz="0" w:space="0" w:color="auto"/>
        <w:left w:val="none" w:sz="0" w:space="0" w:color="auto"/>
        <w:bottom w:val="none" w:sz="0" w:space="0" w:color="auto"/>
        <w:right w:val="none" w:sz="0" w:space="0" w:color="auto"/>
      </w:divBdr>
    </w:div>
    <w:div w:id="1761439547">
      <w:bodyDiv w:val="1"/>
      <w:marLeft w:val="0"/>
      <w:marRight w:val="0"/>
      <w:marTop w:val="0"/>
      <w:marBottom w:val="0"/>
      <w:divBdr>
        <w:top w:val="none" w:sz="0" w:space="0" w:color="auto"/>
        <w:left w:val="none" w:sz="0" w:space="0" w:color="auto"/>
        <w:bottom w:val="none" w:sz="0" w:space="0" w:color="auto"/>
        <w:right w:val="none" w:sz="0" w:space="0" w:color="auto"/>
      </w:divBdr>
    </w:div>
    <w:div w:id="1763407657">
      <w:bodyDiv w:val="1"/>
      <w:marLeft w:val="0"/>
      <w:marRight w:val="0"/>
      <w:marTop w:val="0"/>
      <w:marBottom w:val="0"/>
      <w:divBdr>
        <w:top w:val="none" w:sz="0" w:space="0" w:color="auto"/>
        <w:left w:val="none" w:sz="0" w:space="0" w:color="auto"/>
        <w:bottom w:val="none" w:sz="0" w:space="0" w:color="auto"/>
        <w:right w:val="none" w:sz="0" w:space="0" w:color="auto"/>
      </w:divBdr>
    </w:div>
    <w:div w:id="1777870941">
      <w:bodyDiv w:val="1"/>
      <w:marLeft w:val="0"/>
      <w:marRight w:val="0"/>
      <w:marTop w:val="0"/>
      <w:marBottom w:val="0"/>
      <w:divBdr>
        <w:top w:val="none" w:sz="0" w:space="0" w:color="auto"/>
        <w:left w:val="none" w:sz="0" w:space="0" w:color="auto"/>
        <w:bottom w:val="none" w:sz="0" w:space="0" w:color="auto"/>
        <w:right w:val="none" w:sz="0" w:space="0" w:color="auto"/>
      </w:divBdr>
    </w:div>
    <w:div w:id="1785034323">
      <w:bodyDiv w:val="1"/>
      <w:marLeft w:val="0"/>
      <w:marRight w:val="0"/>
      <w:marTop w:val="0"/>
      <w:marBottom w:val="0"/>
      <w:divBdr>
        <w:top w:val="none" w:sz="0" w:space="0" w:color="auto"/>
        <w:left w:val="none" w:sz="0" w:space="0" w:color="auto"/>
        <w:bottom w:val="none" w:sz="0" w:space="0" w:color="auto"/>
        <w:right w:val="none" w:sz="0" w:space="0" w:color="auto"/>
      </w:divBdr>
    </w:div>
    <w:div w:id="1796554742">
      <w:bodyDiv w:val="1"/>
      <w:marLeft w:val="0"/>
      <w:marRight w:val="0"/>
      <w:marTop w:val="0"/>
      <w:marBottom w:val="0"/>
      <w:divBdr>
        <w:top w:val="none" w:sz="0" w:space="0" w:color="auto"/>
        <w:left w:val="none" w:sz="0" w:space="0" w:color="auto"/>
        <w:bottom w:val="none" w:sz="0" w:space="0" w:color="auto"/>
        <w:right w:val="none" w:sz="0" w:space="0" w:color="auto"/>
      </w:divBdr>
    </w:div>
    <w:div w:id="1811753470">
      <w:bodyDiv w:val="1"/>
      <w:marLeft w:val="0"/>
      <w:marRight w:val="0"/>
      <w:marTop w:val="0"/>
      <w:marBottom w:val="0"/>
      <w:divBdr>
        <w:top w:val="none" w:sz="0" w:space="0" w:color="auto"/>
        <w:left w:val="none" w:sz="0" w:space="0" w:color="auto"/>
        <w:bottom w:val="none" w:sz="0" w:space="0" w:color="auto"/>
        <w:right w:val="none" w:sz="0" w:space="0" w:color="auto"/>
      </w:divBdr>
    </w:div>
    <w:div w:id="1816676648">
      <w:bodyDiv w:val="1"/>
      <w:marLeft w:val="0"/>
      <w:marRight w:val="0"/>
      <w:marTop w:val="0"/>
      <w:marBottom w:val="0"/>
      <w:divBdr>
        <w:top w:val="none" w:sz="0" w:space="0" w:color="auto"/>
        <w:left w:val="none" w:sz="0" w:space="0" w:color="auto"/>
        <w:bottom w:val="none" w:sz="0" w:space="0" w:color="auto"/>
        <w:right w:val="none" w:sz="0" w:space="0" w:color="auto"/>
      </w:divBdr>
    </w:div>
    <w:div w:id="1849521784">
      <w:bodyDiv w:val="1"/>
      <w:marLeft w:val="0"/>
      <w:marRight w:val="0"/>
      <w:marTop w:val="0"/>
      <w:marBottom w:val="0"/>
      <w:divBdr>
        <w:top w:val="none" w:sz="0" w:space="0" w:color="auto"/>
        <w:left w:val="none" w:sz="0" w:space="0" w:color="auto"/>
        <w:bottom w:val="none" w:sz="0" w:space="0" w:color="auto"/>
        <w:right w:val="none" w:sz="0" w:space="0" w:color="auto"/>
      </w:divBdr>
    </w:div>
    <w:div w:id="1851947719">
      <w:bodyDiv w:val="1"/>
      <w:marLeft w:val="0"/>
      <w:marRight w:val="0"/>
      <w:marTop w:val="0"/>
      <w:marBottom w:val="0"/>
      <w:divBdr>
        <w:top w:val="none" w:sz="0" w:space="0" w:color="auto"/>
        <w:left w:val="none" w:sz="0" w:space="0" w:color="auto"/>
        <w:bottom w:val="none" w:sz="0" w:space="0" w:color="auto"/>
        <w:right w:val="none" w:sz="0" w:space="0" w:color="auto"/>
      </w:divBdr>
    </w:div>
    <w:div w:id="1869760186">
      <w:bodyDiv w:val="1"/>
      <w:marLeft w:val="0"/>
      <w:marRight w:val="0"/>
      <w:marTop w:val="0"/>
      <w:marBottom w:val="0"/>
      <w:divBdr>
        <w:top w:val="none" w:sz="0" w:space="0" w:color="auto"/>
        <w:left w:val="none" w:sz="0" w:space="0" w:color="auto"/>
        <w:bottom w:val="none" w:sz="0" w:space="0" w:color="auto"/>
        <w:right w:val="none" w:sz="0" w:space="0" w:color="auto"/>
      </w:divBdr>
    </w:div>
    <w:div w:id="1897818526">
      <w:bodyDiv w:val="1"/>
      <w:marLeft w:val="0"/>
      <w:marRight w:val="0"/>
      <w:marTop w:val="0"/>
      <w:marBottom w:val="0"/>
      <w:divBdr>
        <w:top w:val="none" w:sz="0" w:space="0" w:color="auto"/>
        <w:left w:val="none" w:sz="0" w:space="0" w:color="auto"/>
        <w:bottom w:val="none" w:sz="0" w:space="0" w:color="auto"/>
        <w:right w:val="none" w:sz="0" w:space="0" w:color="auto"/>
      </w:divBdr>
    </w:div>
    <w:div w:id="1899169561">
      <w:bodyDiv w:val="1"/>
      <w:marLeft w:val="0"/>
      <w:marRight w:val="0"/>
      <w:marTop w:val="0"/>
      <w:marBottom w:val="0"/>
      <w:divBdr>
        <w:top w:val="none" w:sz="0" w:space="0" w:color="auto"/>
        <w:left w:val="none" w:sz="0" w:space="0" w:color="auto"/>
        <w:bottom w:val="none" w:sz="0" w:space="0" w:color="auto"/>
        <w:right w:val="none" w:sz="0" w:space="0" w:color="auto"/>
      </w:divBdr>
    </w:div>
    <w:div w:id="1911233841">
      <w:bodyDiv w:val="1"/>
      <w:marLeft w:val="0"/>
      <w:marRight w:val="0"/>
      <w:marTop w:val="0"/>
      <w:marBottom w:val="0"/>
      <w:divBdr>
        <w:top w:val="none" w:sz="0" w:space="0" w:color="auto"/>
        <w:left w:val="none" w:sz="0" w:space="0" w:color="auto"/>
        <w:bottom w:val="none" w:sz="0" w:space="0" w:color="auto"/>
        <w:right w:val="none" w:sz="0" w:space="0" w:color="auto"/>
      </w:divBdr>
    </w:div>
    <w:div w:id="1966352662">
      <w:bodyDiv w:val="1"/>
      <w:marLeft w:val="0"/>
      <w:marRight w:val="0"/>
      <w:marTop w:val="0"/>
      <w:marBottom w:val="0"/>
      <w:divBdr>
        <w:top w:val="none" w:sz="0" w:space="0" w:color="auto"/>
        <w:left w:val="none" w:sz="0" w:space="0" w:color="auto"/>
        <w:bottom w:val="none" w:sz="0" w:space="0" w:color="auto"/>
        <w:right w:val="none" w:sz="0" w:space="0" w:color="auto"/>
      </w:divBdr>
    </w:div>
    <w:div w:id="2111927675">
      <w:bodyDiv w:val="1"/>
      <w:marLeft w:val="0"/>
      <w:marRight w:val="0"/>
      <w:marTop w:val="0"/>
      <w:marBottom w:val="0"/>
      <w:divBdr>
        <w:top w:val="none" w:sz="0" w:space="0" w:color="auto"/>
        <w:left w:val="none" w:sz="0" w:space="0" w:color="auto"/>
        <w:bottom w:val="none" w:sz="0" w:space="0" w:color="auto"/>
        <w:right w:val="none" w:sz="0" w:space="0" w:color="auto"/>
      </w:divBdr>
    </w:div>
    <w:div w:id="2130318201">
      <w:bodyDiv w:val="1"/>
      <w:marLeft w:val="0"/>
      <w:marRight w:val="0"/>
      <w:marTop w:val="0"/>
      <w:marBottom w:val="0"/>
      <w:divBdr>
        <w:top w:val="none" w:sz="0" w:space="0" w:color="auto"/>
        <w:left w:val="none" w:sz="0" w:space="0" w:color="auto"/>
        <w:bottom w:val="none" w:sz="0" w:space="0" w:color="auto"/>
        <w:right w:val="none" w:sz="0" w:space="0" w:color="auto"/>
      </w:divBdr>
    </w:div>
    <w:div w:id="2132281293">
      <w:bodyDiv w:val="1"/>
      <w:marLeft w:val="0"/>
      <w:marRight w:val="0"/>
      <w:marTop w:val="0"/>
      <w:marBottom w:val="0"/>
      <w:divBdr>
        <w:top w:val="none" w:sz="0" w:space="0" w:color="auto"/>
        <w:left w:val="none" w:sz="0" w:space="0" w:color="auto"/>
        <w:bottom w:val="none" w:sz="0" w:space="0" w:color="auto"/>
        <w:right w:val="none" w:sz="0" w:space="0" w:color="auto"/>
      </w:divBdr>
    </w:div>
    <w:div w:id="2133092504">
      <w:bodyDiv w:val="1"/>
      <w:marLeft w:val="0"/>
      <w:marRight w:val="0"/>
      <w:marTop w:val="0"/>
      <w:marBottom w:val="0"/>
      <w:divBdr>
        <w:top w:val="none" w:sz="0" w:space="0" w:color="auto"/>
        <w:left w:val="none" w:sz="0" w:space="0" w:color="auto"/>
        <w:bottom w:val="none" w:sz="0" w:space="0" w:color="auto"/>
        <w:right w:val="none" w:sz="0" w:space="0" w:color="auto"/>
      </w:divBdr>
    </w:div>
    <w:div w:id="2141414882">
      <w:bodyDiv w:val="1"/>
      <w:marLeft w:val="0"/>
      <w:marRight w:val="0"/>
      <w:marTop w:val="0"/>
      <w:marBottom w:val="0"/>
      <w:divBdr>
        <w:top w:val="none" w:sz="0" w:space="0" w:color="auto"/>
        <w:left w:val="none" w:sz="0" w:space="0" w:color="auto"/>
        <w:bottom w:val="none" w:sz="0" w:space="0" w:color="auto"/>
        <w:right w:val="none" w:sz="0" w:space="0" w:color="auto"/>
      </w:divBdr>
    </w:div>
    <w:div w:id="2147165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9790</Words>
  <Characters>55808</Characters>
  <Application>Microsoft Macintosh Word</Application>
  <DocSecurity>0</DocSecurity>
  <Lines>465</Lines>
  <Paragraphs>130</Paragraphs>
  <ScaleCrop>false</ScaleCrop>
  <Company>York Law School</Company>
  <LinksUpToDate>false</LinksUpToDate>
  <CharactersWithSpaces>65468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Charlotte O'Brien</cp:lastModifiedBy>
  <cp:revision>2</cp:revision>
  <dcterms:created xsi:type="dcterms:W3CDTF">2016-08-11T13:35:00Z</dcterms:created>
  <dcterms:modified xsi:type="dcterms:W3CDTF">2016-08-11T13:35:00Z</dcterms:modified>
</cp:coreProperties>
</file>