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3E1" w:rsidRPr="000E23E1" w:rsidRDefault="000E23E1" w:rsidP="000E23E1">
      <w:pPr>
        <w:pStyle w:val="Heading1"/>
        <w:spacing w:line="480" w:lineRule="auto"/>
        <w:rPr>
          <w:rFonts w:ascii="Times New Roman" w:hAnsi="Times New Roman" w:cs="Times New Roman"/>
        </w:rPr>
      </w:pPr>
      <w:r w:rsidRPr="000E23E1">
        <w:rPr>
          <w:rFonts w:ascii="Times New Roman" w:hAnsi="Times New Roman" w:cs="Times New Roman"/>
        </w:rPr>
        <w:t>Supporting Material</w:t>
      </w:r>
    </w:p>
    <w:p w:rsidR="000E23E1" w:rsidRPr="000E23E1" w:rsidRDefault="000E23E1" w:rsidP="000E23E1">
      <w:pPr>
        <w:spacing w:line="480" w:lineRule="auto"/>
        <w:rPr>
          <w:rFonts w:ascii="Times New Roman" w:hAnsi="Times New Roman" w:cs="Times New Roman"/>
        </w:rPr>
      </w:pPr>
    </w:p>
    <w:p w:rsidR="000E23E1" w:rsidRPr="000E23E1" w:rsidRDefault="000E23E1" w:rsidP="000E23E1">
      <w:pPr>
        <w:pStyle w:val="Heading2"/>
        <w:numPr>
          <w:ilvl w:val="0"/>
          <w:numId w:val="1"/>
        </w:numPr>
        <w:spacing w:line="480" w:lineRule="auto"/>
        <w:rPr>
          <w:rFonts w:ascii="Times New Roman" w:hAnsi="Times New Roman" w:cs="Times New Roman"/>
          <w:lang w:val="en-US"/>
        </w:rPr>
      </w:pPr>
      <w:r w:rsidRPr="000E23E1">
        <w:rPr>
          <w:rFonts w:ascii="Times New Roman" w:hAnsi="Times New Roman" w:cs="Times New Roman"/>
          <w:lang w:val="en-US"/>
        </w:rPr>
        <w:t>Structural characterization of the fibrin network</w:t>
      </w:r>
    </w:p>
    <w:p w:rsidR="000E23E1" w:rsidRPr="000E23E1" w:rsidRDefault="000E23E1" w:rsidP="000E23E1">
      <w:pPr>
        <w:pStyle w:val="Heading3"/>
        <w:spacing w:line="480" w:lineRule="auto"/>
        <w:rPr>
          <w:rFonts w:ascii="Times New Roman" w:hAnsi="Times New Roman" w:cs="Times New Roman"/>
          <w:lang w:val="en-US"/>
        </w:rPr>
      </w:pPr>
      <w:r w:rsidRPr="000E23E1">
        <w:rPr>
          <w:rFonts w:ascii="Times New Roman" w:hAnsi="Times New Roman" w:cs="Times New Roman"/>
          <w:lang w:val="en-US"/>
        </w:rPr>
        <w:t>Fiber Extraction Algorithm</w:t>
      </w:r>
    </w:p>
    <w:p w:rsidR="000E23E1" w:rsidRPr="000E23E1" w:rsidRDefault="000E23E1" w:rsidP="000E23E1">
      <w:pPr>
        <w:spacing w:line="480" w:lineRule="auto"/>
        <w:jc w:val="both"/>
        <w:rPr>
          <w:rFonts w:ascii="Times New Roman" w:hAnsi="Times New Roman" w:cs="Times New Roman"/>
          <w:lang w:val="en-US"/>
        </w:rPr>
      </w:pPr>
      <w:r w:rsidRPr="000E23E1">
        <w:rPr>
          <w:rFonts w:ascii="Times New Roman" w:hAnsi="Times New Roman" w:cs="Times New Roman"/>
          <w:lang w:val="en-US"/>
        </w:rPr>
        <w:t xml:space="preserve">Image stacks of the fibrin network were loaded in MATLAB (The MathWorks, Natick, MA) and processed using custom-made image analysis algorithms. Pre-processing of the image stacks was performed in accordance with the approach described by D’Amore et al. </w:t>
      </w:r>
      <w:r w:rsidRPr="000E23E1">
        <w:rPr>
          <w:rFonts w:ascii="Times New Roman" w:hAnsi="Times New Roman" w:cs="Times New Roman"/>
          <w:lang w:val="en-US"/>
        </w:rPr>
        <w:fldChar w:fldCharType="begin" w:fldLock="1"/>
      </w:r>
      <w:r w:rsidRPr="000E23E1">
        <w:rPr>
          <w:rFonts w:ascii="Times New Roman" w:hAnsi="Times New Roman" w:cs="Times New Roman"/>
          <w:lang w:val="en-US"/>
        </w:rPr>
        <w:instrText>ADDIN CSL_CITATION { "citationItems" : [ { "id" : "ITEM-1", "itemData" : { "DOI" : "10.1016/j.biomaterials.2010.03.052", "ISSN" : "1878-5905", "PMID" : "20398930", "abstract" : "Understanding how engineered tissue scaffold architecture affects cell morphology, metabolism, phenotypic expression, as well as predicting material mechanical behavior has recently received increased attention. In the present study, an image-based analysis approach that provides an automated tool to characterize engineered tissue fiber network topology is presented. Micro-architectural features that fully defined fiber network topology were detected and quantified, which include fiber orientation, connectivity, intersection spatial density, and diameter. Algorithm performance was tested using scanning electron microscopy (SEM) images of electrospun poly(ester urethane)urea (ES-PEUU) scaffolds. SEM images of rabbit mesenchymal stem cell (MSC) seeded collagen gel scaffolds and decellularized rat carotid arteries were also analyzed to further evaluate the ability of the algorithm to capture fiber network morphology regardless of scaffold type and the evaluated size scale. The image analysis procedure was validated qualitatively and quantitatively, comparing fiber network topology manually detected by human operators (n = 5) with that automatically detected by the algorithm. Correlation values between manual detected and algorithm detected results for the fiber angle distribution and for the fiber connectivity distribution were 0.86 and 0.93 respectively. Algorithm detected fiber intersections and fiber diameter values were comparable (within the mean +/- standard deviation) with those detected by human operators. This automated approach identifies and quantifies fiber network morphology as demonstrated for three relevant scaffold types and provides a means to: (1) guarantee objectivity, (2) significantly reduce analysis time, and (3) potentiate broader analysis of scaffold architecture effects on cell behavior and tissue development both in vitro and in vivo.", "author" : [ { "dropping-particle" : "", "family" : "D'Amore", "given" : "Antonio", "non-dropping-particle" : "", "parse-names" : false, "suffix" : "" }, { "dropping-particle" : "", "family" : "Stella", "given" : "John a", "non-dropping-particle" : "", "parse-names" : false, "suffix" : "" }, { "dropping-particle" : "", "family" : "Wagner", "given" : "William R", "non-dropping-particle" : "", "parse-names" : false, "suffix" : "" }, { "dropping-particle" : "", "family" : "Sacks", "given" : "Michael S", "non-dropping-particle" : "", "parse-names" : false, "suffix" : "" } ], "container-title" : "Biomaterials", "id" : "ITEM-1", "issue" : "20", "issued" : { "date-parts" : [ [ "2010", "7" ] ] }, "page" : "5345-54", "publisher" : "Elsevier Ltd", "title" : "Characterization of the complete fiber network topology of planar fibrous tissues and scaffolds.", "type" : "article-journal", "volume" : "31" }, "uris" : [ "http://www.mendeley.com/documents/?uuid=e25a6bd4-0d3c-444e-a87c-7b41ad65d933" ] } ], "mendeley" : { "formattedCitation" : "[63]", "plainTextFormattedCitation" : "[63]", "previouslyFormattedCitation" : "[63]" }, "properties" : { "noteIndex" : 0 }, "schema" : "https://github.com/citation-style-language/schema/raw/master/csl-citation.json" }</w:instrText>
      </w:r>
      <w:r w:rsidRPr="000E23E1">
        <w:rPr>
          <w:rFonts w:ascii="Times New Roman" w:hAnsi="Times New Roman" w:cs="Times New Roman"/>
          <w:lang w:val="en-US"/>
        </w:rPr>
        <w:fldChar w:fldCharType="separate"/>
      </w:r>
      <w:r w:rsidRPr="000E23E1">
        <w:rPr>
          <w:rFonts w:ascii="Times New Roman" w:hAnsi="Times New Roman" w:cs="Times New Roman"/>
          <w:noProof/>
          <w:lang w:val="en-US"/>
        </w:rPr>
        <w:t>[63]</w:t>
      </w:r>
      <w:r w:rsidRPr="000E23E1">
        <w:rPr>
          <w:rFonts w:ascii="Times New Roman" w:hAnsi="Times New Roman" w:cs="Times New Roman"/>
          <w:lang w:val="en-US"/>
        </w:rPr>
        <w:fldChar w:fldCharType="end"/>
      </w:r>
      <w:r w:rsidRPr="000E23E1">
        <w:rPr>
          <w:rFonts w:ascii="Times New Roman" w:hAnsi="Times New Roman" w:cs="Times New Roman"/>
          <w:lang w:val="en-US"/>
        </w:rPr>
        <w:t xml:space="preserve">. Image contrast was enhanced via a histogram equalization algorithm (histeq function in MATLAB) and noise on the images was reduced by a 3 by 3 median filtering operation (medfilt2 function in MATLAB). Images were subsequently smoothed with a Gaussian filter (with a standard deviation of 1 pixel) and binarized by keeping a percentage of the maximal pixel intensities. These percentages were carefully chosen to obtain a good qualitative match between the original and binarized fiber network for the various hydrogel formulations, which was always the lowest possible value for the best representation without having a disrupted extracted fiber network. Fiber areas in the binarized images were then thinned and smoothed, and isolated pixels were removed using the bwmorph MATLAB function (with ‘thin’, ‘majority’, and ‘clean’ option, respectively). Fibers were refined via an image erosion operation on the binarized images (imerode function in MATLAB, using a disk element with size 1/12 of a representative fiber diameter, RFD). Estimations for RFD were obtained from Wufsus et al. </w:t>
      </w:r>
      <w:r w:rsidRPr="000E23E1">
        <w:rPr>
          <w:rFonts w:ascii="Times New Roman" w:hAnsi="Times New Roman" w:cs="Times New Roman"/>
          <w:lang w:val="en-US"/>
        </w:rPr>
        <w:fldChar w:fldCharType="begin" w:fldLock="1"/>
      </w:r>
      <w:r w:rsidRPr="000E23E1">
        <w:rPr>
          <w:rFonts w:ascii="Times New Roman" w:hAnsi="Times New Roman" w:cs="Times New Roman"/>
          <w:lang w:val="en-US"/>
        </w:rPr>
        <w:instrText>ADDIN CSL_CITATION { "citationItems" : [ { "id" : "ITEM-1", "itemData" : { "DOI" : "10.1016/j.bpj.2013.02.055", "ISSN" : "1542-0086", "PMID" : "23601328", "abstract" : "Interstitial fluid flow within blood clots is a biophysical mechanism that regulates clot growth and dissolution. Assuming that a clot can be modeled as a porous medium, the physical property that dictates interstitial fluid flow is the hydraulic permeability. The objective of this study was to bound the possible values of the hydraulic permeability in clots formed in vivo and present relationships that can be used to estimate clot permeability as a function of composition. A series of clots with known densities of fibrin and platelets, the two major components of a clot, were formed under static conditions. The permeability was calculated by measuring the interstitial fluid velocity through the clots at a constant pressure gradient. Fibrin gels formed with a fiber volume fraction of 0.02-0.54 had permeabilities of 1.2 \u00d7 10(-1)-1.5 \u00d7 10(-4)\u03bcm(2). Platelet-rich clots with a platelet volume fraction of 0.01-0.61 and a fibrin volume fraction of 0.03 had permeabilities over a range of 1.1 \u00d7 10(-2)-1.5 \u00d7 10(-5)\u03bcm(2). The permeability of fibrin gels and of clots with platelet volume fraction of &lt;0.2 were modeled as an array of disordered cylinders with uniform diameters. Clots with a platelet volume fraction of &gt;0.2 were modeled as a Brinkman medium of coarse solids (platelets) embedded in a mesh of fine fibers (fibrin). Our data suggest that the permeability of clots formed in vivo can vary by up to five orders of magnitude, with pore sizes that range from 4 to 350 nm. These findings have important implications for the transport of coagulation zymogens/enzymes in the interstitial spaces during clot formation, as well as the design of fibrinolytic drug delivery strategies.", "author" : [ { "dropping-particle" : "", "family" : "Wufsus", "given" : "A R", "non-dropping-particle" : "", "parse-names" : false, "suffix" : "" }, { "dropping-particle" : "", "family" : "Macera", "given" : "N E", "non-dropping-particle" : "", "parse-names" : false, "suffix" : "" }, { "dropping-particle" : "", "family" : "Neeves", "given" : "K B", "non-dropping-particle" : "", "parse-names" : false, "suffix" : "" } ], "container-title" : "Biophysical journal", "id" : "ITEM-1", "issue" : "8", "issued" : { "date-parts" : [ [ "2013", "4", "16" ] ] }, "page" : "1812-23", "publisher" : "Biophysical Society", "title" : "The hydraulic permeability of blood clots as a function of fibrin and platelet density.", "type" : "article-journal", "volume" : "104" }, "uris" : [ "http://www.mendeley.com/documents/?uuid=40730b92-5731-4fc1-aa08-399217c171f2" ] } ], "mendeley" : { "formattedCitation" : "[26]", "plainTextFormattedCitation" : "[26]", "previouslyFormattedCitation" : "[26]" }, "properties" : { "noteIndex" : 0 }, "schema" : "https://github.com/citation-style-language/schema/raw/master/csl-citation.json" }</w:instrText>
      </w:r>
      <w:r w:rsidRPr="000E23E1">
        <w:rPr>
          <w:rFonts w:ascii="Times New Roman" w:hAnsi="Times New Roman" w:cs="Times New Roman"/>
          <w:lang w:val="en-US"/>
        </w:rPr>
        <w:fldChar w:fldCharType="separate"/>
      </w:r>
      <w:r w:rsidRPr="000E23E1">
        <w:rPr>
          <w:rFonts w:ascii="Times New Roman" w:hAnsi="Times New Roman" w:cs="Times New Roman"/>
          <w:noProof/>
          <w:lang w:val="en-US"/>
        </w:rPr>
        <w:t>[26]</w:t>
      </w:r>
      <w:r w:rsidRPr="000E23E1">
        <w:rPr>
          <w:rFonts w:ascii="Times New Roman" w:hAnsi="Times New Roman" w:cs="Times New Roman"/>
          <w:lang w:val="en-US"/>
        </w:rPr>
        <w:fldChar w:fldCharType="end"/>
      </w:r>
      <w:r w:rsidRPr="000E23E1">
        <w:rPr>
          <w:rFonts w:ascii="Times New Roman" w:hAnsi="Times New Roman" w:cs="Times New Roman"/>
          <w:lang w:val="en-US"/>
        </w:rPr>
        <w:t>, describing an average fiber radius of ~60 nm, which equals a size of 0.6 pixel. Pixel areas smaller than 100xRFD were removed via the bwareaopen function in MATLAB. Binarized fiber areas were dilated (via the imdilate MATLAB function with disk element size of RFD/6) and eroded again (imerode function with a disk size element of RFD/12).</w:t>
      </w:r>
    </w:p>
    <w:p w:rsidR="000E23E1" w:rsidRPr="000E23E1" w:rsidRDefault="000E23E1" w:rsidP="000E23E1">
      <w:pPr>
        <w:spacing w:line="480" w:lineRule="auto"/>
        <w:jc w:val="both"/>
        <w:rPr>
          <w:rFonts w:ascii="Times New Roman" w:hAnsi="Times New Roman" w:cs="Times New Roman"/>
          <w:lang w:val="en-US"/>
        </w:rPr>
      </w:pPr>
      <w:r w:rsidRPr="000E23E1">
        <w:rPr>
          <w:rFonts w:ascii="Times New Roman" w:hAnsi="Times New Roman" w:cs="Times New Roman"/>
          <w:lang w:val="en-US"/>
        </w:rPr>
        <w:t xml:space="preserve">The distance from a pixel contained in the fiber area to the nearest background pixel was calculated via a Euclidian distance transform on the binarized image stack. The 2D images contained in the image stack have an isotropic pixel aspect ratio and could be transformed via the bwdist MATLAB </w:t>
      </w:r>
      <w:r w:rsidRPr="000E23E1">
        <w:rPr>
          <w:rFonts w:ascii="Times New Roman" w:hAnsi="Times New Roman" w:cs="Times New Roman"/>
          <w:lang w:val="en-US"/>
        </w:rPr>
        <w:lastRenderedPageBreak/>
        <w:t xml:space="preserve">function. Along the z axis, an anisotropic voxel aspect ratio was present and therefore required the use of a line-scan algorithm to calculate the Euclidian distance transform </w:t>
      </w:r>
      <w:r w:rsidRPr="000E23E1">
        <w:rPr>
          <w:rFonts w:ascii="Times New Roman" w:hAnsi="Times New Roman" w:cs="Times New Roman"/>
          <w:lang w:val="en-US"/>
        </w:rPr>
        <w:fldChar w:fldCharType="begin" w:fldLock="1"/>
      </w:r>
      <w:r w:rsidRPr="000E23E1">
        <w:rPr>
          <w:rFonts w:ascii="Times New Roman" w:hAnsi="Times New Roman" w:cs="Times New Roman"/>
          <w:lang w:val="en-US"/>
        </w:rPr>
        <w:instrText>ADDIN CSL_CITATION { "citationItems" : [ { "id" : "ITEM-1", "itemData" : { "ISBN" : "0 521 78252", "abstract" : "This volume provides a thorough and up-to-date treatment of electromagnetic scattering by small particles. First, the general formalism of scattering, absorption, and emission of light and other electromagnetic radiation by arbitrarily shaped and arbitrarily oriented particles is introduced, and the relation of radiative transfer theory to single-scattering solutions of Maxwell\u2019s equations is discussed. Then exact theoretical methods and computer codes for calculating scattering, absorption, and emission properties of arbitrarily shaped particles are described in detail. Further chapters demonstrate how the scattering and absorption characteristics of small particles depend on particle size, refractive index, shape, and orientation. The work illustrates how the high efficiency and accuracy of existing theoretical and experimental techniques and the availability of fast scientific workstations result in advanced physically based applications of electromagnetic scattering to noninvasive particle characterization and remote sensing. This book will be valuable for science professionals, engineers, and graduate students in a wide range of disciplines including optics, electromagnetics, remote sensing, climate research, and biomedicine.", "author" : [ { "dropping-particle" : "", "family" : "Mischenko", "given" : "Mi", "non-dropping-particle" : "", "parse-names" : false, "suffix" : "" }, { "dropping-particle" : "", "family" : "Travis", "given" : "Ld", "non-dropping-particle" : "", "parse-names" : false, "suffix" : "" }, { "dropping-particle" : "", "family" : "Lacis", "given" : "Aa", "non-dropping-particle" : "", "parse-names" : false, "suffix" : "" } ], "container-title" : "NASA Goddard Institute for Space Studies, New York Institute for Space Studies, New York pace Studies, New York New York", "id" : "ITEM-1", "issued" : { "date-parts" : [ [ "2002" ] ] }, "page" : "1-128", "title" : "Scattering, absorption, and emission of light by small particles", "type" : "article-journal" }, "uris" : [ "http://www.mendeley.com/documents/?uuid=3fd6a3ec-a279-4e04-9d6e-39f7e5ad00cb" ] } ], "mendeley" : { "formattedCitation" : "[68]", "plainTextFormattedCitation" : "[68]", "previouslyFormattedCitation" : "[68]" }, "properties" : { "noteIndex" : 0 }, "schema" : "https://github.com/citation-style-language/schema/raw/master/csl-citation.json" }</w:instrText>
      </w:r>
      <w:r w:rsidRPr="000E23E1">
        <w:rPr>
          <w:rFonts w:ascii="Times New Roman" w:hAnsi="Times New Roman" w:cs="Times New Roman"/>
          <w:lang w:val="en-US"/>
        </w:rPr>
        <w:fldChar w:fldCharType="separate"/>
      </w:r>
      <w:r w:rsidRPr="000E23E1">
        <w:rPr>
          <w:rFonts w:ascii="Times New Roman" w:hAnsi="Times New Roman" w:cs="Times New Roman"/>
          <w:noProof/>
          <w:lang w:val="en-US"/>
        </w:rPr>
        <w:t>[68]</w:t>
      </w:r>
      <w:r w:rsidRPr="000E23E1">
        <w:rPr>
          <w:rFonts w:ascii="Times New Roman" w:hAnsi="Times New Roman" w:cs="Times New Roman"/>
          <w:lang w:val="en-US"/>
        </w:rPr>
        <w:fldChar w:fldCharType="end"/>
      </w:r>
      <w:r w:rsidRPr="000E23E1">
        <w:rPr>
          <w:rFonts w:ascii="Times New Roman" w:hAnsi="Times New Roman" w:cs="Times New Roman"/>
          <w:lang w:val="en-US"/>
        </w:rPr>
        <w:t xml:space="preserve">. The distance transform was smoothed with a Gaussian filter with standard deviation of 0.2 pixels. </w:t>
      </w:r>
    </w:p>
    <w:p w:rsidR="000E23E1" w:rsidRPr="000E23E1" w:rsidRDefault="000E23E1" w:rsidP="000E23E1">
      <w:pPr>
        <w:spacing w:line="480" w:lineRule="auto"/>
        <w:rPr>
          <w:rFonts w:ascii="Times New Roman" w:hAnsi="Times New Roman" w:cs="Times New Roman"/>
          <w:lang w:val="en-US"/>
        </w:rPr>
      </w:pPr>
      <w:r w:rsidRPr="000E23E1">
        <w:rPr>
          <w:rFonts w:ascii="Times New Roman" w:hAnsi="Times New Roman" w:cs="Times New Roman"/>
          <w:lang w:val="en-US"/>
        </w:rPr>
        <w:t xml:space="preserve">Network topology was extracted with the fiber extraction (FIRE) algorithm described by Stein et al </w:t>
      </w:r>
      <w:r w:rsidRPr="000E23E1">
        <w:rPr>
          <w:rFonts w:ascii="Times New Roman" w:hAnsi="Times New Roman" w:cs="Times New Roman"/>
          <w:lang w:val="en-US"/>
        </w:rPr>
        <w:fldChar w:fldCharType="begin" w:fldLock="1"/>
      </w:r>
      <w:r w:rsidRPr="000E23E1">
        <w:rPr>
          <w:rFonts w:ascii="Times New Roman" w:hAnsi="Times New Roman" w:cs="Times New Roman"/>
          <w:lang w:val="en-US"/>
        </w:rPr>
        <w:instrText>ADDIN CSL_CITATION { "citationItems" : [ { "id" : "ITEM-1", "itemData" : { "DOI" : "10.1111/j.1365-2818.2008.02141.x", "ISSN" : "1365-2818", "PMID" : "19094023", "abstract" : "The geometric structure of a biopolymer network impacts its mechanical and biological properties. In this paper, we develop an algorithm for extracting the network architecture of three-dimensional (3d) fluorescently labeled collagen gels, building on the initial work of Wu et al., (2003). Using artificially generated images, the network extraction algorithm is then validated for its ability to reconstruct the correct bulk properties of the network, including fiber length, persistence length, cross-link density, and shear modulus.", "author" : [ { "dropping-particle" : "", "family" : "Stein", "given" : "Andrew M", "non-dropping-particle" : "", "parse-names" : false, "suffix" : "" }, { "dropping-particle" : "", "family" : "Vader", "given" : "David A", "non-dropping-particle" : "", "parse-names" : false, "suffix" : "" }, { "dropping-particle" : "", "family" : "Jawerth", "given" : "Louise M", "non-dropping-particle" : "", "parse-names" : false, "suffix" : "" }, { "dropping-particle" : "", "family" : "Weitz", "given" : "David A", "non-dropping-particle" : "", "parse-names" : false, "suffix" : "" }, { "dropping-particle" : "", "family" : "Sander", "given" : "Leonard M", "non-dropping-particle" : "", "parse-names" : false, "suffix" : "" } ], "container-title" : "Journal of microscopy", "id" : "ITEM-1", "issue" : "3", "issued" : { "date-parts" : [ [ "2008", "12" ] ] }, "note" : "From Duplicate 2 ( \n\n\n\n\n\n\n\n\n\nAn algorithm for extracting the network geometry of three-dimensional collagen gels.\n\n\n\n\n\n\n\n\n\n- Stein, Andrew M; Vader, David a; Jawerth, Louise M; Weitz, David a; Sander, Leonard M )\n\n\n\n", "page" : "463-75", "title" : "An algorithm for extracting the network geometry of three-dimensional collagen gels.", "type" : "article-journal", "volume" : "232" }, "uris" : [ "http://www.mendeley.com/documents/?uuid=1f8efbdc-13e6-4027-bc90-bead90a368e3" ] } ], "mendeley" : { "formattedCitation" : "[49]", "plainTextFormattedCitation" : "[49]", "previouslyFormattedCitation" : "[49]" }, "properties" : { "noteIndex" : 0 }, "schema" : "https://github.com/citation-style-language/schema/raw/master/csl-citation.json" }</w:instrText>
      </w:r>
      <w:r w:rsidRPr="000E23E1">
        <w:rPr>
          <w:rFonts w:ascii="Times New Roman" w:hAnsi="Times New Roman" w:cs="Times New Roman"/>
          <w:lang w:val="en-US"/>
        </w:rPr>
        <w:fldChar w:fldCharType="separate"/>
      </w:r>
      <w:r w:rsidRPr="000E23E1">
        <w:rPr>
          <w:rFonts w:ascii="Times New Roman" w:hAnsi="Times New Roman" w:cs="Times New Roman"/>
          <w:noProof/>
          <w:lang w:val="en-US"/>
        </w:rPr>
        <w:t>[49]</w:t>
      </w:r>
      <w:r w:rsidRPr="000E23E1">
        <w:rPr>
          <w:rFonts w:ascii="Times New Roman" w:hAnsi="Times New Roman" w:cs="Times New Roman"/>
          <w:lang w:val="en-US"/>
        </w:rPr>
        <w:fldChar w:fldCharType="end"/>
      </w:r>
      <w:r w:rsidRPr="000E23E1">
        <w:rPr>
          <w:rFonts w:ascii="Times New Roman" w:hAnsi="Times New Roman" w:cs="Times New Roman"/>
          <w:lang w:val="en-US"/>
        </w:rPr>
        <w:t>. In brief, nucleation points were identified at local maxima of the distance transform (points were traced in a surrounding box with size of 11 by 11 pixels) that also exceeded a threshold value of 1.5 pixels. Next, local maximum points (LMPs) were searched on the surface of the surrounding box and were identified as local maxima when larger than a threshold value of 0.2. Extensions of nucleation points to these LMPs were defined as new fiber branches and were extended until they reached an end position. End positions of a fiber were reached at other nucleation points or if no new LMPs could be identified. New LMPs were obtained if a minimal distance of 2 pixels lay between 2 LMPs and if changes in fiber direction resulting from fiber extension were not larger than 70°. Identified fibers were removed when they were shorter than 15 pixels and had a minimal difference in angle of 10° with another fiber going through the same nucleation point. Fibers that had a similar orientation at the end were linked together to form a single fiber. Fiber ends that were separated by 25 pixels and had a minimum angle of 130° between them were connected to make a single fiber. The total fiber length in each composition was quantified from the extracted network by summation of all individual fiber segment lengths.</w:t>
      </w:r>
    </w:p>
    <w:p w:rsidR="000E23E1" w:rsidRPr="000E23E1" w:rsidRDefault="000E23E1" w:rsidP="000E23E1">
      <w:pPr>
        <w:pStyle w:val="Heading3"/>
        <w:spacing w:line="480" w:lineRule="auto"/>
        <w:rPr>
          <w:rFonts w:ascii="Times New Roman" w:hAnsi="Times New Roman" w:cs="Times New Roman"/>
          <w:lang w:val="en-US"/>
        </w:rPr>
      </w:pPr>
      <w:r w:rsidRPr="000E23E1">
        <w:rPr>
          <w:rFonts w:ascii="Times New Roman" w:hAnsi="Times New Roman" w:cs="Times New Roman"/>
        </w:rPr>
        <w:lastRenderedPageBreak/>
        <w:t>Turbidimetry</w:t>
      </w:r>
    </w:p>
    <w:p w:rsidR="000E23E1" w:rsidRPr="000E23E1" w:rsidRDefault="000E23E1" w:rsidP="000E23E1">
      <w:pPr>
        <w:spacing w:line="480" w:lineRule="auto"/>
        <w:rPr>
          <w:rFonts w:ascii="Times New Roman" w:hAnsi="Times New Roman" w:cs="Times New Roman"/>
          <w:lang w:val="en-US"/>
        </w:rPr>
      </w:pPr>
      <w:r w:rsidRPr="000E23E1">
        <w:rPr>
          <w:rFonts w:ascii="Times New Roman" w:hAnsi="Times New Roman" w:cs="Times New Roman"/>
          <w:noProof/>
          <w:lang w:val="en-US"/>
        </w:rPr>
        <w:drawing>
          <wp:inline distT="0" distB="0" distL="0" distR="0" wp14:anchorId="2E8B55B2" wp14:editId="326360B0">
            <wp:extent cx="3537585" cy="4104005"/>
            <wp:effectExtent l="0" t="0" r="5715" b="0"/>
            <wp:docPr id="16" name="Picture 16" descr="C:\Users\u0084133\Desktop\GRAPHS POOL\FINAL IMAGES\raw_turbidity_P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0084133\Desktop\GRAPHS POOL\FINAL IMAGES\raw_turbidity_PP.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7585" cy="4104005"/>
                    </a:xfrm>
                    <a:prstGeom prst="rect">
                      <a:avLst/>
                    </a:prstGeom>
                    <a:noFill/>
                    <a:ln>
                      <a:noFill/>
                    </a:ln>
                  </pic:spPr>
                </pic:pic>
              </a:graphicData>
            </a:graphic>
          </wp:inline>
        </w:drawing>
      </w:r>
    </w:p>
    <w:p w:rsidR="000E23E1" w:rsidRPr="000E23E1" w:rsidRDefault="000E23E1" w:rsidP="000E23E1">
      <w:pPr>
        <w:spacing w:line="480" w:lineRule="auto"/>
        <w:jc w:val="both"/>
        <w:rPr>
          <w:rFonts w:ascii="Times New Roman" w:hAnsi="Times New Roman" w:cs="Times New Roman"/>
          <w:i/>
          <w:sz w:val="18"/>
          <w:szCs w:val="18"/>
          <w:lang w:val="en-US"/>
        </w:rPr>
      </w:pPr>
      <w:r w:rsidRPr="000E23E1">
        <w:rPr>
          <w:rFonts w:ascii="Times New Roman" w:hAnsi="Times New Roman" w:cs="Times New Roman"/>
          <w:i/>
          <w:sz w:val="18"/>
          <w:szCs w:val="18"/>
          <w:lang w:val="en-US"/>
        </w:rPr>
        <w:t xml:space="preserve">Fig. S1: (a) Data obtained from turbidity measurements for 20LL and 20HH compositions. Note the different spectral range used as a consequence of the high optical density of the 20LL hydrogel. (b)Turbidimetry analysis as explained earlier for the deduction of fiber structural parameters. Both samples show a linear response of </w:t>
      </w:r>
      <w:r w:rsidRPr="000E23E1">
        <w:rPr>
          <w:rFonts w:ascii="Times New Roman" w:hAnsi="Times New Roman" w:cs="Times New Roman"/>
          <w:i/>
          <w:sz w:val="18"/>
          <w:szCs w:val="18"/>
          <w:lang w:val="el-GR"/>
        </w:rPr>
        <w:t>τλ</w:t>
      </w:r>
      <w:r w:rsidRPr="000E23E1">
        <w:rPr>
          <w:rFonts w:ascii="Times New Roman" w:hAnsi="Times New Roman" w:cs="Times New Roman"/>
          <w:i/>
          <w:sz w:val="18"/>
          <w:szCs w:val="18"/>
          <w:vertAlign w:val="superscript"/>
          <w:lang w:val="en-US"/>
        </w:rPr>
        <w:t>5</w:t>
      </w:r>
      <w:r w:rsidRPr="000E23E1">
        <w:rPr>
          <w:rFonts w:ascii="Times New Roman" w:hAnsi="Times New Roman" w:cs="Times New Roman"/>
          <w:i/>
          <w:sz w:val="18"/>
          <w:szCs w:val="18"/>
          <w:lang w:val="en-US"/>
        </w:rPr>
        <w:t xml:space="preserve"> versus </w:t>
      </w:r>
      <w:r w:rsidRPr="000E23E1">
        <w:rPr>
          <w:rFonts w:ascii="Times New Roman" w:hAnsi="Times New Roman" w:cs="Times New Roman"/>
          <w:i/>
          <w:sz w:val="18"/>
          <w:szCs w:val="18"/>
          <w:lang w:val="el-GR"/>
        </w:rPr>
        <w:t>λ</w:t>
      </w:r>
      <w:r w:rsidRPr="000E23E1">
        <w:rPr>
          <w:rFonts w:ascii="Times New Roman" w:hAnsi="Times New Roman" w:cs="Times New Roman"/>
          <w:i/>
          <w:sz w:val="18"/>
          <w:szCs w:val="18"/>
          <w:vertAlign w:val="superscript"/>
          <w:lang w:val="en-US"/>
        </w:rPr>
        <w:t>2</w:t>
      </w:r>
      <w:r w:rsidRPr="000E23E1">
        <w:rPr>
          <w:rFonts w:ascii="Times New Roman" w:hAnsi="Times New Roman" w:cs="Times New Roman"/>
          <w:i/>
          <w:sz w:val="18"/>
          <w:szCs w:val="18"/>
          <w:lang w:val="en-US"/>
        </w:rPr>
        <w:t>.</w:t>
      </w:r>
    </w:p>
    <w:p w:rsidR="000E23E1" w:rsidRPr="000E23E1" w:rsidRDefault="000E23E1" w:rsidP="000E23E1">
      <w:pPr>
        <w:spacing w:line="480" w:lineRule="auto"/>
        <w:ind w:left="360"/>
        <w:rPr>
          <w:rFonts w:ascii="Times New Roman" w:hAnsi="Times New Roman" w:cs="Times New Roman"/>
          <w:i/>
          <w:sz w:val="18"/>
          <w:szCs w:val="18"/>
          <w:lang w:val="en-US"/>
        </w:rPr>
      </w:pPr>
    </w:p>
    <w:p w:rsidR="000E23E1" w:rsidRPr="000E23E1" w:rsidRDefault="000E23E1" w:rsidP="000E23E1">
      <w:pPr>
        <w:pStyle w:val="Heading2"/>
        <w:numPr>
          <w:ilvl w:val="0"/>
          <w:numId w:val="1"/>
        </w:numPr>
        <w:spacing w:line="480" w:lineRule="auto"/>
        <w:rPr>
          <w:rFonts w:ascii="Times New Roman" w:hAnsi="Times New Roman" w:cs="Times New Roman"/>
          <w:lang w:val="en-US"/>
        </w:rPr>
      </w:pPr>
      <w:r w:rsidRPr="000E23E1">
        <w:rPr>
          <w:rFonts w:ascii="Times New Roman" w:hAnsi="Times New Roman" w:cs="Times New Roman"/>
          <w:lang w:val="en-US"/>
        </w:rPr>
        <w:lastRenderedPageBreak/>
        <w:t>Diffusivity of dextran molecules</w:t>
      </w:r>
    </w:p>
    <w:p w:rsidR="000E23E1" w:rsidRPr="000E23E1" w:rsidRDefault="000E23E1" w:rsidP="000E23E1">
      <w:pPr>
        <w:spacing w:line="480" w:lineRule="auto"/>
        <w:rPr>
          <w:rFonts w:ascii="Times New Roman" w:hAnsi="Times New Roman" w:cs="Times New Roman"/>
          <w:i/>
          <w:sz w:val="18"/>
          <w:szCs w:val="18"/>
          <w:lang w:val="en-US"/>
        </w:rPr>
      </w:pPr>
      <w:r w:rsidRPr="000E23E1">
        <w:rPr>
          <w:rFonts w:ascii="Times New Roman" w:hAnsi="Times New Roman" w:cs="Times New Roman"/>
          <w:i/>
          <w:noProof/>
          <w:sz w:val="18"/>
          <w:szCs w:val="18"/>
          <w:lang w:val="en-US"/>
        </w:rPr>
        <w:drawing>
          <wp:inline distT="0" distB="0" distL="0" distR="0" wp14:anchorId="2980FD4E" wp14:editId="54826A1C">
            <wp:extent cx="3403600" cy="3919855"/>
            <wp:effectExtent l="0" t="0" r="6350" b="4445"/>
            <wp:docPr id="1" name="Picture 1" descr="C:\Users\u0084133\Desktop\GRAPHS Revision\DvsPhi_p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084133\Desktop\GRAPHS Revision\DvsPhi_pp.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3600" cy="3919855"/>
                    </a:xfrm>
                    <a:prstGeom prst="rect">
                      <a:avLst/>
                    </a:prstGeom>
                    <a:noFill/>
                    <a:ln>
                      <a:noFill/>
                    </a:ln>
                  </pic:spPr>
                </pic:pic>
              </a:graphicData>
            </a:graphic>
          </wp:inline>
        </w:drawing>
      </w:r>
    </w:p>
    <w:p w:rsidR="000E23E1" w:rsidRPr="000E23E1" w:rsidRDefault="000E23E1" w:rsidP="000E23E1">
      <w:pPr>
        <w:spacing w:line="480" w:lineRule="auto"/>
        <w:jc w:val="both"/>
        <w:rPr>
          <w:rFonts w:ascii="Times New Roman" w:hAnsi="Times New Roman" w:cs="Times New Roman"/>
          <w:i/>
          <w:sz w:val="18"/>
          <w:szCs w:val="18"/>
          <w:lang w:val="en-US"/>
        </w:rPr>
      </w:pPr>
      <w:r w:rsidRPr="000E23E1">
        <w:rPr>
          <w:rFonts w:ascii="Times New Roman" w:hAnsi="Times New Roman" w:cs="Times New Roman"/>
          <w:i/>
          <w:sz w:val="18"/>
          <w:szCs w:val="18"/>
          <w:lang w:val="en-US"/>
        </w:rPr>
        <w:t>Fig. S2: Diffusivity of 10 (a) and 40 kDa dextran (b) with respect to the fiber volume fraction for all hydrogel compositions.</w:t>
      </w:r>
    </w:p>
    <w:p w:rsidR="000E23E1" w:rsidRPr="000E23E1" w:rsidRDefault="000E23E1" w:rsidP="000E23E1">
      <w:pPr>
        <w:spacing w:line="480" w:lineRule="auto"/>
        <w:ind w:left="360"/>
        <w:rPr>
          <w:rFonts w:ascii="Times New Roman" w:hAnsi="Times New Roman" w:cs="Times New Roman"/>
          <w:i/>
          <w:sz w:val="18"/>
          <w:szCs w:val="18"/>
          <w:lang w:val="en-US"/>
        </w:rPr>
      </w:pPr>
    </w:p>
    <w:p w:rsidR="000E23E1" w:rsidRPr="000E23E1" w:rsidRDefault="000E23E1" w:rsidP="000E23E1">
      <w:pPr>
        <w:spacing w:line="480" w:lineRule="auto"/>
        <w:rPr>
          <w:rFonts w:ascii="Times New Roman" w:hAnsi="Times New Roman" w:cs="Times New Roman"/>
          <w:i/>
          <w:sz w:val="18"/>
          <w:szCs w:val="18"/>
          <w:lang w:val="en-US"/>
        </w:rPr>
      </w:pPr>
      <w:r w:rsidRPr="000E23E1">
        <w:rPr>
          <w:rFonts w:ascii="Times New Roman" w:hAnsi="Times New Roman" w:cs="Times New Roman"/>
          <w:i/>
          <w:noProof/>
          <w:sz w:val="18"/>
          <w:szCs w:val="18"/>
          <w:lang w:val="en-US"/>
        </w:rPr>
        <w:drawing>
          <wp:inline distT="0" distB="0" distL="0" distR="0" wp14:anchorId="2A2D86AB" wp14:editId="2F942770">
            <wp:extent cx="5760720" cy="3313233"/>
            <wp:effectExtent l="0" t="0" r="0" b="1905"/>
            <wp:docPr id="4" name="Picture 4" descr="C:\Users\u0084133\Desktop\GRAPHS Revision\DvsR_p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084133\Desktop\GRAPHS Revision\DvsR_pp.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313233"/>
                    </a:xfrm>
                    <a:prstGeom prst="rect">
                      <a:avLst/>
                    </a:prstGeom>
                    <a:noFill/>
                    <a:ln>
                      <a:noFill/>
                    </a:ln>
                  </pic:spPr>
                </pic:pic>
              </a:graphicData>
            </a:graphic>
          </wp:inline>
        </w:drawing>
      </w:r>
    </w:p>
    <w:p w:rsidR="000E23E1" w:rsidRPr="000E23E1" w:rsidRDefault="000E23E1" w:rsidP="000E23E1">
      <w:pPr>
        <w:spacing w:line="480" w:lineRule="auto"/>
        <w:jc w:val="both"/>
        <w:rPr>
          <w:rFonts w:ascii="Times New Roman" w:hAnsi="Times New Roman" w:cs="Times New Roman"/>
          <w:i/>
          <w:sz w:val="18"/>
          <w:szCs w:val="18"/>
          <w:lang w:val="en-US"/>
        </w:rPr>
      </w:pPr>
      <w:r w:rsidRPr="000E23E1">
        <w:rPr>
          <w:rFonts w:ascii="Times New Roman" w:hAnsi="Times New Roman" w:cs="Times New Roman"/>
          <w:i/>
          <w:sz w:val="18"/>
          <w:szCs w:val="18"/>
          <w:lang w:val="en-US"/>
        </w:rPr>
        <w:lastRenderedPageBreak/>
        <w:t xml:space="preserve">Fig. S3: Diffusivity of 10 (a and b) and 40 kDa dextran (c and d) with respect to the fiber radius for all hydrogel compositions (a and c) and all except the outliers 20LH and 20HH (b and d). Data in (d) are divided in a high-thrombin (empty circles) and a low thrombin concentration (solid circles). </w:t>
      </w:r>
    </w:p>
    <w:p w:rsidR="000E23E1" w:rsidRPr="000E23E1" w:rsidRDefault="000E23E1" w:rsidP="000E23E1">
      <w:pPr>
        <w:spacing w:line="480" w:lineRule="auto"/>
        <w:ind w:left="360"/>
        <w:rPr>
          <w:rFonts w:ascii="Times New Roman" w:hAnsi="Times New Roman" w:cs="Times New Roman"/>
          <w:i/>
          <w:sz w:val="18"/>
          <w:szCs w:val="18"/>
          <w:lang w:val="en-US"/>
        </w:rPr>
      </w:pPr>
    </w:p>
    <w:p w:rsidR="000E23E1" w:rsidRPr="000E23E1" w:rsidRDefault="000E23E1" w:rsidP="000E23E1">
      <w:pPr>
        <w:spacing w:line="480" w:lineRule="auto"/>
        <w:rPr>
          <w:rFonts w:ascii="Times New Roman" w:hAnsi="Times New Roman" w:cs="Times New Roman"/>
          <w:sz w:val="18"/>
          <w:szCs w:val="18"/>
          <w:lang w:val="en-US"/>
        </w:rPr>
      </w:pPr>
      <w:r w:rsidRPr="000E23E1">
        <w:rPr>
          <w:rFonts w:ascii="Times New Roman" w:hAnsi="Times New Roman" w:cs="Times New Roman"/>
          <w:noProof/>
          <w:sz w:val="18"/>
          <w:szCs w:val="18"/>
          <w:lang w:val="en-US"/>
        </w:rPr>
        <w:drawing>
          <wp:inline distT="0" distB="0" distL="0" distR="0" wp14:anchorId="61B9BAF1" wp14:editId="2D45A5CA">
            <wp:extent cx="4927600" cy="4157345"/>
            <wp:effectExtent l="0" t="0" r="6350" b="0"/>
            <wp:docPr id="5" name="Picture 5" descr="C:\Users\u0084133\Desktop\GRAPHS Revision\RawFRAP_p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0084133\Desktop\GRAPHS Revision\RawFRAP_pp.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7600" cy="4157345"/>
                    </a:xfrm>
                    <a:prstGeom prst="rect">
                      <a:avLst/>
                    </a:prstGeom>
                    <a:noFill/>
                    <a:ln>
                      <a:noFill/>
                    </a:ln>
                  </pic:spPr>
                </pic:pic>
              </a:graphicData>
            </a:graphic>
          </wp:inline>
        </w:drawing>
      </w:r>
    </w:p>
    <w:p w:rsidR="000E23E1" w:rsidRPr="000E23E1" w:rsidRDefault="000E23E1" w:rsidP="000E23E1">
      <w:pPr>
        <w:spacing w:line="480" w:lineRule="auto"/>
        <w:jc w:val="both"/>
        <w:rPr>
          <w:rFonts w:ascii="Times New Roman" w:hAnsi="Times New Roman" w:cs="Times New Roman"/>
          <w:i/>
          <w:sz w:val="18"/>
          <w:szCs w:val="18"/>
          <w:lang w:val="en-US"/>
        </w:rPr>
      </w:pPr>
      <w:r w:rsidRPr="000E23E1">
        <w:rPr>
          <w:rFonts w:ascii="Times New Roman" w:hAnsi="Times New Roman" w:cs="Times New Roman"/>
          <w:i/>
          <w:sz w:val="18"/>
          <w:szCs w:val="18"/>
          <w:lang w:val="en-US"/>
        </w:rPr>
        <w:t xml:space="preserve">Fig. S4: Hankel transform and single exponential fit to the experimental data for the diffusion of 10 kDa (a and c) and 40 kDa dextran (b and d) in 5LL (a and b) and 20HH (c and d) hydrogels as obtained from the FRAP analysis program </w:t>
      </w:r>
      <w:r w:rsidRPr="000E23E1">
        <w:rPr>
          <w:rFonts w:ascii="Times New Roman" w:hAnsi="Times New Roman" w:cs="Times New Roman"/>
          <w:i/>
          <w:sz w:val="18"/>
          <w:szCs w:val="18"/>
          <w:lang w:val="en-US"/>
        </w:rPr>
        <w:fldChar w:fldCharType="begin" w:fldLock="1"/>
      </w:r>
      <w:r w:rsidRPr="000E23E1">
        <w:rPr>
          <w:rFonts w:ascii="Times New Roman" w:hAnsi="Times New Roman" w:cs="Times New Roman"/>
          <w:i/>
          <w:sz w:val="18"/>
          <w:szCs w:val="18"/>
          <w:lang w:val="en-US"/>
        </w:rPr>
        <w:instrText>ADDIN CSL_CITATION { "citationItems" : [ { "id" : "ITEM-1", "itemData" : { "DOI" : "10.1529/biophysj.108.134874", "ISSN" : "1542-0086", "PMID" : "18567628", "abstract" : "Fluorescence recovery after photobleaching has been an established technique of quantifying the mobility of molecular species in cells and cell membranes for more than 30 years. However, under nonideal experimental conditions, the current methods of analysis still suffer from occasional problems; for example, when the signal/noise ratio is low, when there are temporal fluctuations in the illumination, or when there is bleaching during the recovery process. We here present a method of analysis that overcomes these problems, yielding accurate results even under nonideal experimental conditions. The method is based on circular averaging of each image, followed by spatial frequency analysis of the averaged radial data, and requires no prior knowledge of the shape of the bleached area. The method was validated using both simulated and experimental fluorescence recovery after photobleaching data, illustrating that the diffusion coefficient of a single diffusing component can be determined to within approximately 1%, even for small signal levels (100 photon counts), and that at typical signal levels (5000 photon counts) a system with two diffusion coefficients can be analyzed with &lt;10% error.", "author" : [ { "dropping-particle" : "", "family" : "J\u00f6nsson", "given" : "Peter", "non-dropping-particle" : "", "parse-names" : false, "suffix" : "" }, { "dropping-particle" : "", "family" : "Jonsson", "given" : "Magnus P", "non-dropping-particle" : "", "parse-names" : false, "suffix" : "" }, { "dropping-particle" : "", "family" : "Tegenfeldt", "given" : "Jonas O", "non-dropping-particle" : "", "parse-names" : false, "suffix" : "" }, { "dropping-particle" : "", "family" : "H\u00f6\u00f6k", "given" : "Fredrik", "non-dropping-particle" : "", "parse-names" : false, "suffix" : "" } ], "container-title" : "Biophysical journal", "id" : "ITEM-1", "issue" : "11", "issued" : { "date-parts" : [ [ "2008", "12" ] ] }, "page" : "5334-48", "title" : "A method improving the accuracy of fluorescence recovery after photobleaching analysis.", "type" : "article-journal", "volume" : "95" }, "uris" : [ "http://www.mendeley.com/documents/?uuid=6d860239-b277-404e-b9c6-4297c04647ca" ] } ], "mendeley" : { "formattedCitation" : "[51]", "plainTextFormattedCitation" : "[51]", "previouslyFormattedCitation" : "[51]" }, "properties" : { "noteIndex" : 0 }, "schema" : "https://github.com/citation-style-language/schema/raw/master/csl-citation.json" }</w:instrText>
      </w:r>
      <w:r w:rsidRPr="000E23E1">
        <w:rPr>
          <w:rFonts w:ascii="Times New Roman" w:hAnsi="Times New Roman" w:cs="Times New Roman"/>
          <w:i/>
          <w:sz w:val="18"/>
          <w:szCs w:val="18"/>
          <w:lang w:val="en-US"/>
        </w:rPr>
        <w:fldChar w:fldCharType="separate"/>
      </w:r>
      <w:r w:rsidRPr="000E23E1">
        <w:rPr>
          <w:rFonts w:ascii="Times New Roman" w:hAnsi="Times New Roman" w:cs="Times New Roman"/>
          <w:noProof/>
          <w:sz w:val="18"/>
          <w:szCs w:val="18"/>
          <w:lang w:val="en-US"/>
        </w:rPr>
        <w:t>[51]</w:t>
      </w:r>
      <w:r w:rsidRPr="000E23E1">
        <w:rPr>
          <w:rFonts w:ascii="Times New Roman" w:hAnsi="Times New Roman" w:cs="Times New Roman"/>
          <w:i/>
          <w:sz w:val="18"/>
          <w:szCs w:val="18"/>
          <w:lang w:val="en-US"/>
        </w:rPr>
        <w:fldChar w:fldCharType="end"/>
      </w:r>
      <w:r w:rsidRPr="000E23E1">
        <w:rPr>
          <w:rFonts w:ascii="Times New Roman" w:hAnsi="Times New Roman" w:cs="Times New Roman"/>
          <w:i/>
          <w:sz w:val="18"/>
          <w:szCs w:val="18"/>
          <w:lang w:val="en-US"/>
        </w:rPr>
        <w:t>.</w:t>
      </w:r>
    </w:p>
    <w:p w:rsidR="000E23E1" w:rsidRPr="000E23E1" w:rsidRDefault="000E23E1" w:rsidP="000E23E1">
      <w:pPr>
        <w:pStyle w:val="Heading3"/>
        <w:rPr>
          <w:rFonts w:ascii="Times New Roman" w:hAnsi="Times New Roman" w:cs="Times New Roman"/>
          <w:lang w:val="en-US"/>
        </w:rPr>
      </w:pPr>
      <w:r w:rsidRPr="000E23E1">
        <w:rPr>
          <w:rFonts w:ascii="Times New Roman" w:hAnsi="Times New Roman" w:cs="Times New Roman"/>
          <w:lang w:val="en-US"/>
        </w:rPr>
        <w:t>Estimation of the predicted relative diffusivities for impermeable fibers</w:t>
      </w:r>
    </w:p>
    <w:p w:rsidR="000E23E1" w:rsidRPr="000E23E1" w:rsidRDefault="000E23E1" w:rsidP="000E23E1">
      <w:pPr>
        <w:rPr>
          <w:rFonts w:ascii="Times New Roman" w:hAnsi="Times New Roman" w:cs="Times New Roman"/>
          <w:lang w:val="en-US"/>
        </w:rPr>
      </w:pPr>
    </w:p>
    <w:p w:rsidR="000E23E1" w:rsidRPr="000E23E1" w:rsidRDefault="000E23E1" w:rsidP="000E23E1">
      <w:pPr>
        <w:rPr>
          <w:rFonts w:ascii="Times New Roman" w:hAnsi="Times New Roman" w:cs="Times New Roman"/>
          <w:lang w:val="en-US"/>
        </w:rPr>
      </w:pPr>
      <w:r w:rsidRPr="000E23E1">
        <w:rPr>
          <w:rFonts w:ascii="Times New Roman" w:hAnsi="Times New Roman" w:cs="Times New Roman"/>
          <w:lang w:val="en-US"/>
        </w:rPr>
        <w:t>Fibrin fibers exhibit intrafibrous porosity which is dependent on the polymerization conditions. For the purpose of assessing whether the Ogston model would be applicable for fibrin fibers which are hypothetically entirely impermeable, the following approximations were made. First, the internal fiber density was hypothe</w:t>
      </w:r>
      <w:bookmarkStart w:id="0" w:name="_GoBack"/>
      <w:bookmarkEnd w:id="0"/>
      <w:r w:rsidRPr="000E23E1">
        <w:rPr>
          <w:rFonts w:ascii="Times New Roman" w:hAnsi="Times New Roman" w:cs="Times New Roman"/>
          <w:lang w:val="en-US"/>
        </w:rPr>
        <w:t>sized to be equal to fibrinogen density (</w:t>
      </w:r>
      <w:r w:rsidRPr="000E23E1">
        <w:rPr>
          <w:rFonts w:ascii="Times New Roman" w:hAnsi="Times New Roman" w:cs="Times New Roman"/>
          <w:lang w:val="el-GR"/>
        </w:rPr>
        <w:t>ρ</w:t>
      </w:r>
      <w:r w:rsidRPr="000E23E1">
        <w:rPr>
          <w:rFonts w:ascii="Times New Roman" w:hAnsi="Times New Roman" w:cs="Times New Roman"/>
          <w:vertAlign w:val="subscript"/>
          <w:lang w:val="en-US"/>
        </w:rPr>
        <w:t>fib</w:t>
      </w:r>
      <w:r w:rsidRPr="000E23E1">
        <w:rPr>
          <w:rFonts w:ascii="Times New Roman" w:hAnsi="Times New Roman" w:cs="Times New Roman"/>
          <w:lang w:val="en-US"/>
        </w:rPr>
        <w:t xml:space="preserve"> = 1395 mg/mL) for all compositions, and new values for the fiber volume fraction were calculated again using equation (5). Second, the network conformations were assumed to remain unchanged and new fiber radii were then approximated by the following relationship:</w:t>
      </w:r>
    </w:p>
    <w:p w:rsidR="000E23E1" w:rsidRPr="000E23E1" w:rsidRDefault="000E23E1" w:rsidP="000E23E1">
      <w:pPr>
        <w:rPr>
          <w:rFonts w:ascii="Times New Roman" w:eastAsiaTheme="minorEastAsia" w:hAnsi="Times New Roman" w:cs="Times New Roman"/>
          <w:lang w:val="en-US"/>
        </w:rPr>
      </w:pPr>
      <m:oMathPara>
        <m:oMath>
          <m:sSub>
            <m:sSubPr>
              <m:ctrlPr>
                <w:rPr>
                  <w:rFonts w:ascii="Cambria Math" w:hAnsi="Cambria Math" w:cs="Times New Roman"/>
                  <w:i/>
                  <w:lang w:val="el-GR"/>
                </w:rPr>
              </m:ctrlPr>
            </m:sSubPr>
            <m:e>
              <m:r>
                <w:rPr>
                  <w:rFonts w:ascii="Cambria Math" w:hAnsi="Cambria Math" w:cs="Times New Roman"/>
                  <w:lang w:val="el-GR"/>
                </w:rPr>
                <m:t>ρ</m:t>
              </m:r>
            </m:e>
            <m:sub>
              <m:r>
                <w:rPr>
                  <w:rFonts w:ascii="Cambria Math" w:hAnsi="Cambria Math" w:cs="Times New Roman"/>
                  <w:lang w:val="en-US"/>
                </w:rPr>
                <m:t>f</m:t>
              </m:r>
            </m:sub>
          </m:sSub>
          <m:sSub>
            <m:sSubPr>
              <m:ctrlPr>
                <w:rPr>
                  <w:rFonts w:ascii="Cambria Math" w:hAnsi="Cambria Math" w:cs="Times New Roman"/>
                  <w:i/>
                  <w:lang w:val="el-GR"/>
                </w:rPr>
              </m:ctrlPr>
            </m:sSubPr>
            <m:e>
              <m:r>
                <w:rPr>
                  <w:rFonts w:ascii="Cambria Math" w:hAnsi="Cambria Math" w:cs="Times New Roman"/>
                  <w:lang w:val="el-GR"/>
                </w:rPr>
                <m:t>V</m:t>
              </m:r>
            </m:e>
            <m:sub>
              <m:r>
                <w:rPr>
                  <w:rFonts w:ascii="Cambria Math" w:hAnsi="Cambria Math" w:cs="Times New Roman"/>
                  <w:lang w:val="el-GR"/>
                </w:rPr>
                <m:t>f</m:t>
              </m:r>
            </m:sub>
          </m:sSub>
          <m:r>
            <w:rPr>
              <w:rFonts w:ascii="Cambria Math" w:hAnsi="Cambria Math" w:cs="Times New Roman"/>
              <w:lang w:val="el-GR"/>
            </w:rPr>
            <m:t>=</m:t>
          </m:r>
          <m:sSub>
            <m:sSubPr>
              <m:ctrlPr>
                <w:rPr>
                  <w:rFonts w:ascii="Cambria Math" w:hAnsi="Cambria Math" w:cs="Times New Roman"/>
                  <w:i/>
                  <w:lang w:val="el-GR"/>
                </w:rPr>
              </m:ctrlPr>
            </m:sSubPr>
            <m:e>
              <m:r>
                <w:rPr>
                  <w:rFonts w:ascii="Cambria Math" w:hAnsi="Cambria Math" w:cs="Times New Roman"/>
                  <w:lang w:val="el-GR"/>
                </w:rPr>
                <m:t>ρ</m:t>
              </m:r>
            </m:e>
            <m:sub>
              <m:r>
                <w:rPr>
                  <w:rFonts w:ascii="Cambria Math" w:hAnsi="Cambria Math" w:cs="Times New Roman"/>
                  <w:lang w:val="en-US"/>
                </w:rPr>
                <m:t>imp</m:t>
              </m:r>
            </m:sub>
          </m:sSub>
          <m:sSub>
            <m:sSubPr>
              <m:ctrlPr>
                <w:rPr>
                  <w:rFonts w:ascii="Cambria Math" w:hAnsi="Cambria Math" w:cs="Times New Roman"/>
                  <w:i/>
                  <w:lang w:val="el-GR"/>
                </w:rPr>
              </m:ctrlPr>
            </m:sSubPr>
            <m:e>
              <m:r>
                <w:rPr>
                  <w:rFonts w:ascii="Cambria Math" w:hAnsi="Cambria Math" w:cs="Times New Roman"/>
                  <w:lang w:val="el-GR"/>
                </w:rPr>
                <m:t>V</m:t>
              </m:r>
            </m:e>
            <m:sub>
              <m:r>
                <w:rPr>
                  <w:rFonts w:ascii="Cambria Math" w:hAnsi="Cambria Math" w:cs="Times New Roman"/>
                  <w:lang w:val="el-GR"/>
                </w:rPr>
                <m:t>imp</m:t>
              </m:r>
            </m:sub>
          </m:sSub>
        </m:oMath>
      </m:oMathPara>
    </w:p>
    <w:p w:rsidR="000E23E1" w:rsidRPr="000E23E1" w:rsidRDefault="000E23E1" w:rsidP="000E23E1">
      <w:pPr>
        <w:rPr>
          <w:rFonts w:ascii="Times New Roman" w:eastAsiaTheme="minorEastAsia" w:hAnsi="Times New Roman" w:cs="Times New Roman"/>
          <w:i/>
          <w:lang w:val="en-US"/>
        </w:rPr>
      </w:pPr>
      <m:oMathPara>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l-GR"/>
                </w:rPr>
                <m:t>ρ</m:t>
              </m:r>
            </m:e>
            <m:sub>
              <m:r>
                <w:rPr>
                  <w:rFonts w:ascii="Cambria Math" w:eastAsiaTheme="minorEastAsia" w:hAnsi="Cambria Math" w:cs="Times New Roman"/>
                  <w:lang w:val="en-US"/>
                </w:rPr>
                <m:t>f</m:t>
              </m:r>
            </m:sub>
          </m:sSub>
          <m:r>
            <w:rPr>
              <w:rFonts w:ascii="Cambria Math" w:eastAsiaTheme="minorEastAsia" w:hAnsi="Cambria Math" w:cs="Times New Roman"/>
              <w:lang w:val="el-GR"/>
            </w:rPr>
            <m:t>π</m:t>
          </m:r>
          <m:sSubSup>
            <m:sSubSupPr>
              <m:ctrlPr>
                <w:rPr>
                  <w:rFonts w:ascii="Cambria Math" w:eastAsiaTheme="minorEastAsia" w:hAnsi="Cambria Math" w:cs="Times New Roman"/>
                  <w:i/>
                  <w:lang w:val="en-US"/>
                </w:rPr>
              </m:ctrlPr>
            </m:sSubSupPr>
            <m:e>
              <m:r>
                <w:rPr>
                  <w:rFonts w:ascii="Cambria Math" w:eastAsiaTheme="minorEastAsia" w:hAnsi="Cambria Math" w:cs="Times New Roman"/>
                  <w:lang w:val="en-US"/>
                </w:rPr>
                <m:t>r</m:t>
              </m:r>
            </m:e>
            <m:sub>
              <m:r>
                <w:rPr>
                  <w:rFonts w:ascii="Cambria Math" w:eastAsiaTheme="minorEastAsia" w:hAnsi="Cambria Math" w:cs="Times New Roman"/>
                  <w:lang w:val="en-US"/>
                </w:rPr>
                <m:t>f</m:t>
              </m:r>
            </m:sub>
            <m:sup>
              <m:r>
                <w:rPr>
                  <w:rFonts w:ascii="Cambria Math" w:eastAsiaTheme="minorEastAsia" w:hAnsi="Cambria Math" w:cs="Times New Roman"/>
                  <w:lang w:val="en-US"/>
                </w:rPr>
                <m:t>2</m:t>
              </m:r>
            </m:sup>
          </m:sSubSup>
          <m:r>
            <w:rPr>
              <w:rFonts w:ascii="Cambria Math" w:eastAsiaTheme="minorEastAsia" w:hAnsi="Cambria Math" w:cs="Times New Roman"/>
              <w:lang w:val="en-US"/>
            </w:rPr>
            <m:t>h=</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l-GR"/>
                </w:rPr>
                <m:t>ρ</m:t>
              </m:r>
            </m:e>
            <m:sub>
              <m:r>
                <w:rPr>
                  <w:rFonts w:ascii="Cambria Math" w:eastAsiaTheme="minorEastAsia" w:hAnsi="Cambria Math" w:cs="Times New Roman"/>
                  <w:lang w:val="en-US"/>
                </w:rPr>
                <m:t>imp</m:t>
              </m:r>
            </m:sub>
          </m:sSub>
          <m:r>
            <w:rPr>
              <w:rFonts w:ascii="Cambria Math" w:eastAsiaTheme="minorEastAsia" w:hAnsi="Cambria Math" w:cs="Times New Roman"/>
              <w:lang w:val="el-GR"/>
            </w:rPr>
            <m:t>π</m:t>
          </m:r>
          <m:sSubSup>
            <m:sSubSupPr>
              <m:ctrlPr>
                <w:rPr>
                  <w:rFonts w:ascii="Cambria Math" w:eastAsiaTheme="minorEastAsia" w:hAnsi="Cambria Math" w:cs="Times New Roman"/>
                  <w:i/>
                  <w:lang w:val="en-US"/>
                </w:rPr>
              </m:ctrlPr>
            </m:sSubSupPr>
            <m:e>
              <m:r>
                <w:rPr>
                  <w:rFonts w:ascii="Cambria Math" w:eastAsiaTheme="minorEastAsia" w:hAnsi="Cambria Math" w:cs="Times New Roman"/>
                  <w:lang w:val="en-US"/>
                </w:rPr>
                <m:t>r</m:t>
              </m:r>
            </m:e>
            <m:sub>
              <m:r>
                <w:rPr>
                  <w:rFonts w:ascii="Cambria Math" w:eastAsiaTheme="minorEastAsia" w:hAnsi="Cambria Math" w:cs="Times New Roman"/>
                  <w:lang w:val="en-US"/>
                </w:rPr>
                <m:t>imp</m:t>
              </m:r>
            </m:sub>
            <m:sup>
              <m:r>
                <w:rPr>
                  <w:rFonts w:ascii="Cambria Math" w:eastAsiaTheme="minorEastAsia" w:hAnsi="Cambria Math" w:cs="Times New Roman"/>
                  <w:lang w:val="en-US"/>
                </w:rPr>
                <m:t>2</m:t>
              </m:r>
            </m:sup>
          </m:sSubSup>
          <m:r>
            <w:rPr>
              <w:rFonts w:ascii="Cambria Math" w:eastAsiaTheme="minorEastAsia" w:hAnsi="Cambria Math" w:cs="Times New Roman"/>
              <w:lang w:val="en-US"/>
            </w:rPr>
            <m:t>h</m:t>
          </m:r>
        </m:oMath>
      </m:oMathPara>
    </w:p>
    <w:p w:rsidR="000E23E1" w:rsidRPr="000E23E1" w:rsidRDefault="000E23E1" w:rsidP="000E23E1">
      <w:pPr>
        <w:rPr>
          <w:rFonts w:ascii="Times New Roman" w:eastAsiaTheme="minorEastAsia" w:hAnsi="Times New Roman" w:cs="Times New Roman"/>
          <w:i/>
          <w:lang w:val="en-US"/>
        </w:rPr>
      </w:pPr>
      <m:oMathPara>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imp</m:t>
              </m:r>
            </m:sub>
          </m:sSub>
          <m:r>
            <w:rPr>
              <w:rFonts w:ascii="Cambria Math" w:eastAsiaTheme="minorEastAsia" w:hAnsi="Cambria Math" w:cs="Times New Roman"/>
              <w:lang w:val="en-US"/>
            </w:rPr>
            <m:t>=</m:t>
          </m:r>
          <m:rad>
            <m:radPr>
              <m:degHide m:val="1"/>
              <m:ctrlPr>
                <w:rPr>
                  <w:rFonts w:ascii="Cambria Math" w:eastAsiaTheme="minorEastAsia" w:hAnsi="Cambria Math" w:cs="Times New Roman"/>
                  <w:i/>
                  <w:lang w:val="en-US"/>
                </w:rPr>
              </m:ctrlPr>
            </m:radPr>
            <m:deg/>
            <m:e>
              <m:f>
                <m:fPr>
                  <m:ctrlPr>
                    <w:rPr>
                      <w:rFonts w:ascii="Cambria Math" w:eastAsiaTheme="minorEastAsia" w:hAnsi="Cambria Math" w:cs="Times New Roman"/>
                      <w:i/>
                      <w:lang w:val="en-US"/>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l-GR"/>
                        </w:rPr>
                        <m:t>ρ</m:t>
                      </m:r>
                    </m:e>
                    <m:sub>
                      <m:r>
                        <w:rPr>
                          <w:rFonts w:ascii="Cambria Math" w:eastAsiaTheme="minorEastAsia" w:hAnsi="Cambria Math" w:cs="Times New Roman"/>
                          <w:lang w:val="en-US"/>
                        </w:rPr>
                        <m:t>f</m:t>
                      </m:r>
                    </m:sub>
                  </m:sSub>
                  <m:sSubSup>
                    <m:sSubSupPr>
                      <m:ctrlPr>
                        <w:rPr>
                          <w:rFonts w:ascii="Cambria Math" w:eastAsiaTheme="minorEastAsia" w:hAnsi="Cambria Math" w:cs="Times New Roman"/>
                          <w:i/>
                          <w:lang w:val="en-US"/>
                        </w:rPr>
                      </m:ctrlPr>
                    </m:sSubSupPr>
                    <m:e>
                      <m:r>
                        <w:rPr>
                          <w:rFonts w:ascii="Cambria Math" w:eastAsiaTheme="minorEastAsia" w:hAnsi="Cambria Math" w:cs="Times New Roman"/>
                          <w:lang w:val="en-US"/>
                        </w:rPr>
                        <m:t>r</m:t>
                      </m:r>
                    </m:e>
                    <m:sub>
                      <m:r>
                        <w:rPr>
                          <w:rFonts w:ascii="Cambria Math" w:eastAsiaTheme="minorEastAsia" w:hAnsi="Cambria Math" w:cs="Times New Roman"/>
                          <w:lang w:val="en-US"/>
                        </w:rPr>
                        <m:t>f</m:t>
                      </m:r>
                    </m:sub>
                    <m:sup>
                      <m:r>
                        <w:rPr>
                          <w:rFonts w:ascii="Cambria Math" w:eastAsiaTheme="minorEastAsia" w:hAnsi="Cambria Math" w:cs="Times New Roman"/>
                          <w:lang w:val="en-US"/>
                        </w:rPr>
                        <m:t>2</m:t>
                      </m:r>
                    </m:sup>
                  </m:sSubSup>
                </m:num>
                <m:den>
                  <m:r>
                    <w:rPr>
                      <w:rFonts w:ascii="Cambria Math" w:eastAsiaTheme="minorEastAsia" w:hAnsi="Cambria Math" w:cs="Times New Roman"/>
                      <w:lang w:val="en-US"/>
                    </w:rPr>
                    <m:t>1395</m:t>
                  </m:r>
                </m:den>
              </m:f>
            </m:e>
          </m:rad>
        </m:oMath>
      </m:oMathPara>
    </w:p>
    <w:p w:rsidR="000E23E1" w:rsidRPr="000E23E1" w:rsidRDefault="000E23E1" w:rsidP="000E23E1">
      <w:pPr>
        <w:rPr>
          <w:rFonts w:ascii="Times New Roman" w:hAnsi="Times New Roman" w:cs="Times New Roman"/>
          <w:lang w:val="en-US"/>
        </w:rPr>
      </w:pPr>
      <w:r w:rsidRPr="000E23E1">
        <w:rPr>
          <w:rFonts w:ascii="Times New Roman" w:hAnsi="Times New Roman" w:cs="Times New Roman"/>
          <w:lang w:val="en-US"/>
        </w:rPr>
        <w:t xml:space="preserve">With </w:t>
      </w:r>
      <w:r w:rsidRPr="000E23E1">
        <w:rPr>
          <w:rFonts w:ascii="Times New Roman" w:hAnsi="Times New Roman" w:cs="Times New Roman"/>
          <w:lang w:val="el-GR"/>
        </w:rPr>
        <w:t>ρ</w:t>
      </w:r>
      <w:r w:rsidRPr="000E23E1">
        <w:rPr>
          <w:rFonts w:ascii="Times New Roman" w:hAnsi="Times New Roman" w:cs="Times New Roman"/>
          <w:vertAlign w:val="subscript"/>
          <w:lang w:val="en-US"/>
        </w:rPr>
        <w:t>imp</w:t>
      </w:r>
      <w:r w:rsidRPr="000E23E1">
        <w:rPr>
          <w:rFonts w:ascii="Times New Roman" w:hAnsi="Times New Roman" w:cs="Times New Roman"/>
          <w:lang w:val="en-US"/>
        </w:rPr>
        <w:t>, V</w:t>
      </w:r>
      <w:r w:rsidRPr="000E23E1">
        <w:rPr>
          <w:rFonts w:ascii="Times New Roman" w:hAnsi="Times New Roman" w:cs="Times New Roman"/>
          <w:vertAlign w:val="subscript"/>
          <w:lang w:val="en-US"/>
        </w:rPr>
        <w:t>imp</w:t>
      </w:r>
      <w:r w:rsidRPr="000E23E1">
        <w:rPr>
          <w:rFonts w:ascii="Times New Roman" w:hAnsi="Times New Roman" w:cs="Times New Roman"/>
          <w:lang w:val="en-US"/>
        </w:rPr>
        <w:t xml:space="preserve"> and r</w:t>
      </w:r>
      <w:r w:rsidRPr="000E23E1">
        <w:rPr>
          <w:rFonts w:ascii="Times New Roman" w:hAnsi="Times New Roman" w:cs="Times New Roman"/>
          <w:vertAlign w:val="subscript"/>
          <w:lang w:val="en-US"/>
        </w:rPr>
        <w:t>imp</w:t>
      </w:r>
      <w:r w:rsidRPr="000E23E1">
        <w:rPr>
          <w:rFonts w:ascii="Times New Roman" w:hAnsi="Times New Roman" w:cs="Times New Roman"/>
          <w:lang w:val="en-US"/>
        </w:rPr>
        <w:t xml:space="preserve"> the hypothetical fiber internal density, fiber volume and fiber radius of the impermeable fiber, respectively.</w:t>
      </w:r>
    </w:p>
    <w:p w:rsidR="000E23E1" w:rsidRPr="000E23E1" w:rsidRDefault="000E23E1" w:rsidP="000E23E1">
      <w:pPr>
        <w:rPr>
          <w:rFonts w:ascii="Times New Roman" w:hAnsi="Times New Roman" w:cs="Times New Roman"/>
          <w:lang w:val="en-US"/>
        </w:rPr>
      </w:pPr>
    </w:p>
    <w:p w:rsidR="000E23E1" w:rsidRPr="000E23E1" w:rsidRDefault="000E23E1" w:rsidP="000E23E1">
      <w:pPr>
        <w:rPr>
          <w:rFonts w:ascii="Times New Roman" w:hAnsi="Times New Roman" w:cs="Times New Roman"/>
          <w:lang w:val="en-US"/>
        </w:rPr>
      </w:pPr>
      <w:r w:rsidRPr="000E23E1">
        <w:rPr>
          <w:rFonts w:ascii="Times New Roman" w:hAnsi="Times New Roman" w:cs="Times New Roman"/>
          <w:noProof/>
          <w:lang w:val="en-US"/>
        </w:rPr>
        <w:drawing>
          <wp:inline distT="0" distB="0" distL="0" distR="0" wp14:anchorId="63F601FC" wp14:editId="6FB704F3">
            <wp:extent cx="3437255" cy="3911600"/>
            <wp:effectExtent l="0" t="0" r="0" b="0"/>
            <wp:docPr id="6" name="Picture 6" descr="C:\Users\u0084133\Desktop\GRAPHS Revision\impermeable_p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084133\Desktop\GRAPHS Revision\impermeable_pp.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7255" cy="3911600"/>
                    </a:xfrm>
                    <a:prstGeom prst="rect">
                      <a:avLst/>
                    </a:prstGeom>
                    <a:noFill/>
                    <a:ln>
                      <a:noFill/>
                    </a:ln>
                  </pic:spPr>
                </pic:pic>
              </a:graphicData>
            </a:graphic>
          </wp:inline>
        </w:drawing>
      </w:r>
    </w:p>
    <w:p w:rsidR="000E23E1" w:rsidRPr="000E23E1" w:rsidRDefault="000E23E1" w:rsidP="000E23E1">
      <w:pPr>
        <w:rPr>
          <w:rFonts w:ascii="Times New Roman" w:hAnsi="Times New Roman" w:cs="Times New Roman"/>
          <w:i/>
          <w:sz w:val="18"/>
          <w:szCs w:val="18"/>
          <w:lang w:val="en-US"/>
        </w:rPr>
      </w:pPr>
      <w:r w:rsidRPr="000E23E1">
        <w:rPr>
          <w:rFonts w:ascii="Times New Roman" w:hAnsi="Times New Roman" w:cs="Times New Roman"/>
          <w:i/>
          <w:sz w:val="18"/>
          <w:szCs w:val="18"/>
          <w:lang w:val="en-US"/>
        </w:rPr>
        <w:t>Fig. S5: Comparison of experimental relative diffusivity of dextran solutes in fibrin hydrogels with the predicted values from the Ogston model adapted for impermeable fibers. The dashed line has a slope equal to 1 (equal experimental and predicted values).</w:t>
      </w:r>
    </w:p>
    <w:p w:rsidR="000E23E1" w:rsidRPr="000E23E1" w:rsidRDefault="000E23E1" w:rsidP="000E23E1">
      <w:pPr>
        <w:spacing w:line="480" w:lineRule="auto"/>
        <w:ind w:left="360"/>
        <w:rPr>
          <w:rFonts w:ascii="Times New Roman" w:hAnsi="Times New Roman" w:cs="Times New Roman"/>
          <w:i/>
          <w:sz w:val="18"/>
          <w:szCs w:val="18"/>
          <w:lang w:val="en-US"/>
        </w:rPr>
      </w:pPr>
    </w:p>
    <w:p w:rsidR="000E23E1" w:rsidRPr="000E23E1" w:rsidRDefault="000E23E1" w:rsidP="000E23E1">
      <w:pPr>
        <w:pStyle w:val="Heading2"/>
        <w:numPr>
          <w:ilvl w:val="0"/>
          <w:numId w:val="1"/>
        </w:numPr>
        <w:spacing w:line="480" w:lineRule="auto"/>
        <w:rPr>
          <w:rFonts w:ascii="Times New Roman" w:hAnsi="Times New Roman" w:cs="Times New Roman"/>
          <w:lang w:val="en-US"/>
        </w:rPr>
      </w:pPr>
      <w:r w:rsidRPr="000E23E1">
        <w:rPr>
          <w:rFonts w:ascii="Times New Roman" w:hAnsi="Times New Roman" w:cs="Times New Roman"/>
          <w:lang w:val="en-US"/>
        </w:rPr>
        <w:t>Shear rheology</w:t>
      </w:r>
    </w:p>
    <w:p w:rsidR="000E23E1" w:rsidRPr="000E23E1" w:rsidRDefault="000E23E1" w:rsidP="000E23E1">
      <w:pPr>
        <w:spacing w:line="480" w:lineRule="auto"/>
        <w:jc w:val="both"/>
        <w:rPr>
          <w:rFonts w:ascii="Times New Roman" w:hAnsi="Times New Roman" w:cs="Times New Roman"/>
          <w:lang w:val="en-US"/>
        </w:rPr>
      </w:pPr>
      <w:r w:rsidRPr="000E23E1">
        <w:rPr>
          <w:rFonts w:ascii="Times New Roman" w:hAnsi="Times New Roman" w:cs="Times New Roman"/>
          <w:lang w:val="en-US"/>
        </w:rPr>
        <w:t>The following calculations were performed using Matlab. Ġ was computed using a Savitzky–Golay filter (27-point window, cubic-spline approximation) on the raw G'-t curve and the maximum Ġ value was determined. The part of the Ġ curve lying to the right of the maximum was approximated by a two-term exponential decay function in order to determine t</w:t>
      </w:r>
      <w:r w:rsidRPr="000E23E1">
        <w:rPr>
          <w:rFonts w:ascii="Times New Roman" w:hAnsi="Times New Roman" w:cs="Times New Roman"/>
          <w:vertAlign w:val="subscript"/>
          <w:lang w:val="en-US"/>
        </w:rPr>
        <w:t>s</w:t>
      </w:r>
      <w:r w:rsidRPr="000E23E1">
        <w:rPr>
          <w:rFonts w:ascii="Times New Roman" w:hAnsi="Times New Roman" w:cs="Times New Roman"/>
          <w:lang w:val="en-US"/>
        </w:rPr>
        <w:t xml:space="preserve"> (Fig. S6). Due to the very small changes in obtained values over time this approximation was needed to find the actual time point with high precision.</w:t>
      </w:r>
    </w:p>
    <w:p w:rsidR="000E23E1" w:rsidRPr="000E23E1" w:rsidRDefault="000E23E1" w:rsidP="000E23E1">
      <w:pPr>
        <w:spacing w:line="480" w:lineRule="auto"/>
        <w:rPr>
          <w:rFonts w:ascii="Times New Roman" w:hAnsi="Times New Roman" w:cs="Times New Roman"/>
          <w:lang w:val="en-US"/>
        </w:rPr>
      </w:pPr>
      <w:r w:rsidRPr="000E23E1">
        <w:rPr>
          <w:rFonts w:ascii="Times New Roman" w:hAnsi="Times New Roman" w:cs="Times New Roman"/>
          <w:noProof/>
          <w:lang w:val="en-US"/>
        </w:rPr>
        <w:lastRenderedPageBreak/>
        <w:drawing>
          <wp:inline distT="0" distB="0" distL="0" distR="0" wp14:anchorId="5B45C767" wp14:editId="1EFF8E44">
            <wp:extent cx="5760720" cy="3383356"/>
            <wp:effectExtent l="0" t="0" r="0" b="7620"/>
            <wp:docPr id="20" name="Picture 20" descr="C:\Users\u0084133\Desktop\GRAPHS POOL\FINAL IMAGES\SG_P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0084133\Desktop\GRAPHS POOL\FINAL IMAGES\SG_PP.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383356"/>
                    </a:xfrm>
                    <a:prstGeom prst="rect">
                      <a:avLst/>
                    </a:prstGeom>
                    <a:noFill/>
                    <a:ln>
                      <a:noFill/>
                    </a:ln>
                  </pic:spPr>
                </pic:pic>
              </a:graphicData>
            </a:graphic>
          </wp:inline>
        </w:drawing>
      </w:r>
    </w:p>
    <w:p w:rsidR="000E23E1" w:rsidRPr="000E23E1" w:rsidRDefault="000E23E1" w:rsidP="000E23E1">
      <w:pPr>
        <w:spacing w:line="480" w:lineRule="auto"/>
        <w:jc w:val="both"/>
        <w:rPr>
          <w:rFonts w:ascii="Times New Roman" w:hAnsi="Times New Roman" w:cs="Times New Roman"/>
          <w:i/>
          <w:sz w:val="18"/>
          <w:szCs w:val="18"/>
          <w:lang w:val="en-US"/>
        </w:rPr>
      </w:pPr>
      <w:r w:rsidRPr="000E23E1">
        <w:rPr>
          <w:rFonts w:ascii="Times New Roman" w:hAnsi="Times New Roman" w:cs="Times New Roman"/>
          <w:i/>
          <w:sz w:val="18"/>
          <w:szCs w:val="18"/>
          <w:lang w:val="en-US"/>
        </w:rPr>
        <w:t xml:space="preserve">Fig. S6: Black lines indicate Ġ obtained by applying a Savitzky-Golay filter on averaged experimental G' results (data in Fig. 8a); red lines are a two-term exponential fit to the Ġ data. </w:t>
      </w:r>
    </w:p>
    <w:p w:rsidR="000E23E1" w:rsidRPr="000E23E1" w:rsidRDefault="000E23E1" w:rsidP="000E23E1">
      <w:pPr>
        <w:spacing w:line="480" w:lineRule="auto"/>
        <w:jc w:val="both"/>
        <w:rPr>
          <w:rFonts w:ascii="Times New Roman" w:hAnsi="Times New Roman" w:cs="Times New Roman"/>
          <w:i/>
          <w:sz w:val="18"/>
          <w:szCs w:val="18"/>
          <w:lang w:val="en-US"/>
        </w:rPr>
      </w:pPr>
    </w:p>
    <w:p w:rsidR="000E23E1" w:rsidRPr="000E23E1" w:rsidRDefault="000E23E1" w:rsidP="000E23E1">
      <w:pPr>
        <w:spacing w:line="480" w:lineRule="auto"/>
        <w:rPr>
          <w:rFonts w:ascii="Times New Roman" w:hAnsi="Times New Roman" w:cs="Times New Roman"/>
          <w:i/>
          <w:sz w:val="18"/>
          <w:szCs w:val="18"/>
          <w:lang w:val="en-US"/>
        </w:rPr>
      </w:pPr>
      <w:r w:rsidRPr="000E23E1">
        <w:rPr>
          <w:rFonts w:ascii="Times New Roman" w:hAnsi="Times New Roman" w:cs="Times New Roman"/>
          <w:i/>
          <w:noProof/>
          <w:sz w:val="18"/>
          <w:szCs w:val="18"/>
          <w:lang w:val="en-US"/>
        </w:rPr>
        <w:drawing>
          <wp:inline distT="0" distB="0" distL="0" distR="0" wp14:anchorId="4D0183FE" wp14:editId="4E319771">
            <wp:extent cx="3446145" cy="3919855"/>
            <wp:effectExtent l="0" t="0" r="1905" b="4445"/>
            <wp:docPr id="7" name="Picture 7" descr="C:\Users\u0084133\Desktop\GRAPHS Revision\DvsG_p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084133\Desktop\GRAPHS Revision\DvsG_pp.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6145" cy="3919855"/>
                    </a:xfrm>
                    <a:prstGeom prst="rect">
                      <a:avLst/>
                    </a:prstGeom>
                    <a:noFill/>
                    <a:ln>
                      <a:noFill/>
                    </a:ln>
                  </pic:spPr>
                </pic:pic>
              </a:graphicData>
            </a:graphic>
          </wp:inline>
        </w:drawing>
      </w:r>
    </w:p>
    <w:p w:rsidR="000E23E1" w:rsidRPr="000E23E1" w:rsidRDefault="000E23E1" w:rsidP="000E23E1">
      <w:pPr>
        <w:spacing w:line="480" w:lineRule="auto"/>
        <w:rPr>
          <w:rFonts w:ascii="Times New Roman" w:hAnsi="Times New Roman" w:cs="Times New Roman"/>
          <w:i/>
          <w:sz w:val="18"/>
          <w:szCs w:val="18"/>
          <w:lang w:val="en-US"/>
        </w:rPr>
      </w:pPr>
      <w:r w:rsidRPr="000E23E1">
        <w:rPr>
          <w:rFonts w:ascii="Times New Roman" w:hAnsi="Times New Roman" w:cs="Times New Roman"/>
          <w:i/>
          <w:sz w:val="18"/>
          <w:szCs w:val="18"/>
          <w:lang w:val="en-US"/>
        </w:rPr>
        <w:lastRenderedPageBreak/>
        <w:t xml:space="preserve">Fig. S7: (a) Storage shear modulus versus relative diffusivity and (b) loss modulus at high frequency (100 rad/s) versus diffusivity, for 10 kDa (solid circles) and 40 kDa (empty circles) dextran solutes. </w:t>
      </w:r>
    </w:p>
    <w:p w:rsidR="000E23E1" w:rsidRPr="000E23E1" w:rsidRDefault="000E23E1" w:rsidP="000E23E1">
      <w:pPr>
        <w:spacing w:line="480" w:lineRule="auto"/>
        <w:ind w:left="360"/>
        <w:rPr>
          <w:rFonts w:ascii="Times New Roman" w:hAnsi="Times New Roman" w:cs="Times New Roman"/>
          <w:i/>
          <w:sz w:val="18"/>
          <w:szCs w:val="18"/>
          <w:lang w:val="en-US"/>
        </w:rPr>
      </w:pPr>
    </w:p>
    <w:p w:rsidR="00DF4C1A" w:rsidRPr="000E23E1" w:rsidRDefault="00DF4C1A">
      <w:pPr>
        <w:rPr>
          <w:rFonts w:ascii="Times New Roman" w:hAnsi="Times New Roman" w:cs="Times New Roman"/>
          <w:lang w:val="en-US"/>
        </w:rPr>
      </w:pPr>
    </w:p>
    <w:sectPr w:rsidR="00DF4C1A" w:rsidRPr="000E23E1">
      <w:footerReference w:type="default" r:id="rId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733035"/>
      <w:docPartObj>
        <w:docPartGallery w:val="Page Numbers (Bottom of Page)"/>
        <w:docPartUnique/>
      </w:docPartObj>
    </w:sdtPr>
    <w:sdtEndPr>
      <w:rPr>
        <w:noProof/>
      </w:rPr>
    </w:sdtEndPr>
    <w:sdtContent>
      <w:p w:rsidR="008F1B08" w:rsidRDefault="000E23E1">
        <w:pPr>
          <w:pStyle w:val="Footer"/>
        </w:pPr>
        <w:r>
          <w:fldChar w:fldCharType="begin"/>
        </w:r>
        <w:r>
          <w:instrText xml:space="preserve"> PAGE   \* MERGE</w:instrText>
        </w:r>
        <w:r>
          <w:instrText xml:space="preserve">FORMAT </w:instrText>
        </w:r>
        <w:r>
          <w:fldChar w:fldCharType="separate"/>
        </w:r>
        <w:r>
          <w:rPr>
            <w:noProof/>
          </w:rPr>
          <w:t>6</w:t>
        </w:r>
        <w:r>
          <w:rPr>
            <w:noProof/>
          </w:rPr>
          <w:fldChar w:fldCharType="end"/>
        </w:r>
      </w:p>
    </w:sdtContent>
  </w:sdt>
  <w:p w:rsidR="008F1B08" w:rsidRDefault="000E23E1">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45EC4"/>
    <w:multiLevelType w:val="hybridMultilevel"/>
    <w:tmpl w:val="4F3C408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3E1"/>
    <w:rsid w:val="000E23E1"/>
    <w:rsid w:val="00DF4C1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3E1"/>
  </w:style>
  <w:style w:type="paragraph" w:styleId="Heading1">
    <w:name w:val="heading 1"/>
    <w:basedOn w:val="Normal"/>
    <w:next w:val="Normal"/>
    <w:link w:val="Heading1Char"/>
    <w:uiPriority w:val="9"/>
    <w:qFormat/>
    <w:rsid w:val="000E23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23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23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23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E23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E23E1"/>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0E23E1"/>
    <w:pPr>
      <w:tabs>
        <w:tab w:val="center" w:pos="4703"/>
        <w:tab w:val="right" w:pos="9406"/>
      </w:tabs>
      <w:spacing w:after="0" w:line="240" w:lineRule="auto"/>
    </w:pPr>
  </w:style>
  <w:style w:type="character" w:customStyle="1" w:styleId="FooterChar">
    <w:name w:val="Footer Char"/>
    <w:basedOn w:val="DefaultParagraphFont"/>
    <w:link w:val="Footer"/>
    <w:uiPriority w:val="99"/>
    <w:rsid w:val="000E23E1"/>
  </w:style>
  <w:style w:type="paragraph" w:styleId="BalloonText">
    <w:name w:val="Balloon Text"/>
    <w:basedOn w:val="Normal"/>
    <w:link w:val="BalloonTextChar"/>
    <w:uiPriority w:val="99"/>
    <w:semiHidden/>
    <w:unhideWhenUsed/>
    <w:rsid w:val="000E2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3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3E1"/>
  </w:style>
  <w:style w:type="paragraph" w:styleId="Heading1">
    <w:name w:val="heading 1"/>
    <w:basedOn w:val="Normal"/>
    <w:next w:val="Normal"/>
    <w:link w:val="Heading1Char"/>
    <w:uiPriority w:val="9"/>
    <w:qFormat/>
    <w:rsid w:val="000E23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23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23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23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E23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E23E1"/>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0E23E1"/>
    <w:pPr>
      <w:tabs>
        <w:tab w:val="center" w:pos="4703"/>
        <w:tab w:val="right" w:pos="9406"/>
      </w:tabs>
      <w:spacing w:after="0" w:line="240" w:lineRule="auto"/>
    </w:pPr>
  </w:style>
  <w:style w:type="character" w:customStyle="1" w:styleId="FooterChar">
    <w:name w:val="Footer Char"/>
    <w:basedOn w:val="DefaultParagraphFont"/>
    <w:link w:val="Footer"/>
    <w:uiPriority w:val="99"/>
    <w:rsid w:val="000E23E1"/>
  </w:style>
  <w:style w:type="paragraph" w:styleId="BalloonText">
    <w:name w:val="Balloon Text"/>
    <w:basedOn w:val="Normal"/>
    <w:link w:val="BalloonTextChar"/>
    <w:uiPriority w:val="99"/>
    <w:semiHidden/>
    <w:unhideWhenUsed/>
    <w:rsid w:val="000E2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3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3101</Words>
  <Characters>17677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K.U.Leuven</Company>
  <LinksUpToDate>false</LinksUpToDate>
  <CharactersWithSpaces>20737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Alexandros Leonidakis</dc:creator>
  <cp:lastModifiedBy>Alexandros Leonidakis</cp:lastModifiedBy>
  <cp:revision>1</cp:revision>
  <dcterms:created xsi:type="dcterms:W3CDTF">2016-09-01T17:15:00Z</dcterms:created>
  <dcterms:modified xsi:type="dcterms:W3CDTF">2016-09-01T17:16:00Z</dcterms:modified>
</cp:coreProperties>
</file>