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829" w:rsidRPr="009B2451" w:rsidRDefault="00F70829" w:rsidP="009B2451">
      <w:pPr>
        <w:spacing w:line="360" w:lineRule="auto"/>
        <w:jc w:val="center"/>
        <w:rPr>
          <w:b/>
          <w:u w:val="single"/>
          <w:lang w:val="en-GB"/>
        </w:rPr>
      </w:pPr>
      <w:r w:rsidRPr="009B2451">
        <w:rPr>
          <w:b/>
          <w:u w:val="single"/>
          <w:lang w:val="en-GB"/>
        </w:rPr>
        <w:t>The View from the Street:</w:t>
      </w:r>
    </w:p>
    <w:p w:rsidR="00F70829" w:rsidRPr="009B2451" w:rsidRDefault="00F70829" w:rsidP="009B2451">
      <w:pPr>
        <w:spacing w:line="360" w:lineRule="auto"/>
        <w:jc w:val="center"/>
        <w:rPr>
          <w:b/>
          <w:u w:val="single"/>
          <w:lang w:val="en-GB"/>
        </w:rPr>
      </w:pPr>
      <w:r w:rsidRPr="009B2451">
        <w:rPr>
          <w:b/>
          <w:u w:val="single"/>
          <w:lang w:val="en-GB"/>
        </w:rPr>
        <w:t>The Landscape of Polite Shopping in Georgian York</w:t>
      </w:r>
    </w:p>
    <w:p w:rsidR="001722DE" w:rsidRPr="009B2451" w:rsidRDefault="001722DE" w:rsidP="009B2451">
      <w:pPr>
        <w:spacing w:line="360" w:lineRule="auto"/>
        <w:jc w:val="center"/>
        <w:rPr>
          <w:b/>
          <w:u w:val="single"/>
          <w:lang w:val="en-GB"/>
        </w:rPr>
      </w:pPr>
    </w:p>
    <w:p w:rsidR="001722DE" w:rsidRPr="009B2451" w:rsidRDefault="00EF71CA" w:rsidP="009B2451">
      <w:pPr>
        <w:spacing w:line="360" w:lineRule="auto"/>
        <w:rPr>
          <w:lang w:val="en-GB"/>
        </w:rPr>
      </w:pPr>
      <w:r w:rsidRPr="009B2451">
        <w:rPr>
          <w:lang w:val="en-GB"/>
        </w:rPr>
        <w:t xml:space="preserve">Dr </w:t>
      </w:r>
      <w:r w:rsidR="001722DE" w:rsidRPr="009B2451">
        <w:rPr>
          <w:lang w:val="en-GB"/>
        </w:rPr>
        <w:t xml:space="preserve">Matthew Jenkins </w:t>
      </w:r>
    </w:p>
    <w:p w:rsidR="001722DE" w:rsidRPr="009B2451" w:rsidRDefault="001722DE" w:rsidP="009B2451">
      <w:pPr>
        <w:spacing w:line="360" w:lineRule="auto"/>
        <w:rPr>
          <w:lang w:val="en-GB"/>
        </w:rPr>
      </w:pPr>
    </w:p>
    <w:p w:rsidR="001722DE" w:rsidRPr="009B2451" w:rsidRDefault="001722DE" w:rsidP="009B2451">
      <w:pPr>
        <w:spacing w:line="360" w:lineRule="auto"/>
        <w:rPr>
          <w:lang w:val="en-GB"/>
        </w:rPr>
      </w:pPr>
      <w:r w:rsidRPr="009B2451">
        <w:rPr>
          <w:lang w:val="en-GB"/>
        </w:rPr>
        <w:t xml:space="preserve">Institutional affiliation: </w:t>
      </w:r>
      <w:r w:rsidR="000D6B8E" w:rsidRPr="009B2451">
        <w:rPr>
          <w:lang w:val="en-GB"/>
        </w:rPr>
        <w:t>Associate Lecturer</w:t>
      </w:r>
      <w:r w:rsidR="00A905A5" w:rsidRPr="009B2451">
        <w:rPr>
          <w:lang w:val="en-GB"/>
        </w:rPr>
        <w:t>, Department of Archaeology, University of York</w:t>
      </w:r>
    </w:p>
    <w:p w:rsidR="001722DE" w:rsidRPr="009B2451" w:rsidRDefault="001722DE" w:rsidP="009B2451">
      <w:pPr>
        <w:spacing w:line="360" w:lineRule="auto"/>
        <w:rPr>
          <w:lang w:val="en-GB"/>
        </w:rPr>
      </w:pPr>
    </w:p>
    <w:p w:rsidR="001722DE" w:rsidRPr="009B2451" w:rsidRDefault="001722DE" w:rsidP="009B2451">
      <w:pPr>
        <w:spacing w:line="360" w:lineRule="auto"/>
        <w:rPr>
          <w:lang w:val="en-GB"/>
        </w:rPr>
      </w:pPr>
      <w:r w:rsidRPr="009B2451">
        <w:rPr>
          <w:lang w:val="en-GB"/>
        </w:rPr>
        <w:t>Abbreviated title: View from the Street</w:t>
      </w:r>
    </w:p>
    <w:p w:rsidR="001722DE" w:rsidRPr="009B2451" w:rsidRDefault="001722DE" w:rsidP="009B2451">
      <w:pPr>
        <w:spacing w:line="360" w:lineRule="auto"/>
        <w:rPr>
          <w:lang w:val="en-GB"/>
        </w:rPr>
      </w:pPr>
    </w:p>
    <w:p w:rsidR="001722DE" w:rsidRPr="009B2451" w:rsidRDefault="001722DE" w:rsidP="009B2451">
      <w:pPr>
        <w:spacing w:line="360" w:lineRule="auto"/>
        <w:rPr>
          <w:lang w:val="en-GB"/>
        </w:rPr>
      </w:pPr>
      <w:r w:rsidRPr="009B2451">
        <w:rPr>
          <w:lang w:val="en-GB"/>
        </w:rPr>
        <w:t xml:space="preserve">Word Count: </w:t>
      </w:r>
      <w:r w:rsidR="008053AE">
        <w:rPr>
          <w:lang w:val="en-GB"/>
        </w:rPr>
        <w:t>7, 90</w:t>
      </w:r>
      <w:r w:rsidR="000A18D4">
        <w:rPr>
          <w:lang w:val="en-GB"/>
        </w:rPr>
        <w:t>6</w:t>
      </w:r>
    </w:p>
    <w:p w:rsidR="001D00BA" w:rsidRPr="009B2451" w:rsidRDefault="001D00BA" w:rsidP="009B2451">
      <w:pPr>
        <w:spacing w:line="360" w:lineRule="auto"/>
        <w:rPr>
          <w:lang w:val="en-GB"/>
        </w:rPr>
      </w:pPr>
    </w:p>
    <w:p w:rsidR="00F70829" w:rsidRPr="009B2451" w:rsidRDefault="001D00BA" w:rsidP="009B2451">
      <w:pPr>
        <w:spacing w:line="360" w:lineRule="auto"/>
        <w:rPr>
          <w:lang w:val="en-GB"/>
        </w:rPr>
      </w:pPr>
      <w:r w:rsidRPr="009B2451">
        <w:rPr>
          <w:lang w:val="en-GB"/>
        </w:rPr>
        <w:t xml:space="preserve">Address: Matthew Jenkins, </w:t>
      </w:r>
      <w:r w:rsidR="00C87286">
        <w:rPr>
          <w:lang w:val="en-GB"/>
        </w:rPr>
        <w:t>Department of Archaeology, King’s Manor, York Y01 7EP</w:t>
      </w:r>
    </w:p>
    <w:p w:rsidR="001722DE" w:rsidRPr="009B2451" w:rsidRDefault="000D6B8E" w:rsidP="009B2451">
      <w:pPr>
        <w:spacing w:line="360" w:lineRule="auto"/>
        <w:rPr>
          <w:lang w:val="en-GB"/>
        </w:rPr>
      </w:pPr>
      <w:r w:rsidRPr="009B2451">
        <w:rPr>
          <w:lang w:val="en-GB"/>
        </w:rPr>
        <w:t>E-mail: matthew.jenkins</w:t>
      </w:r>
      <w:r w:rsidR="00F70829" w:rsidRPr="009B2451">
        <w:rPr>
          <w:lang w:val="en-GB"/>
        </w:rPr>
        <w:t>@york.ac.uk</w:t>
      </w:r>
    </w:p>
    <w:p w:rsidR="001722DE" w:rsidRPr="009B2451" w:rsidRDefault="001722DE" w:rsidP="009B2451">
      <w:pPr>
        <w:spacing w:line="360" w:lineRule="auto"/>
        <w:jc w:val="center"/>
        <w:rPr>
          <w:b/>
          <w:u w:val="single"/>
          <w:lang w:val="en-GB"/>
        </w:rPr>
      </w:pPr>
    </w:p>
    <w:p w:rsidR="001722DE" w:rsidRPr="009B2451" w:rsidRDefault="001722DE" w:rsidP="009B2451">
      <w:pPr>
        <w:spacing w:line="360" w:lineRule="auto"/>
        <w:jc w:val="center"/>
        <w:rPr>
          <w:b/>
          <w:u w:val="single"/>
          <w:lang w:val="en-GB"/>
        </w:rPr>
      </w:pPr>
    </w:p>
    <w:p w:rsidR="001722DE" w:rsidRPr="009B2451" w:rsidRDefault="001722DE" w:rsidP="009B2451">
      <w:pPr>
        <w:spacing w:line="360" w:lineRule="auto"/>
        <w:jc w:val="center"/>
        <w:rPr>
          <w:b/>
          <w:u w:val="single"/>
          <w:lang w:val="en-GB"/>
        </w:rPr>
      </w:pPr>
    </w:p>
    <w:p w:rsidR="001722DE" w:rsidRPr="009B2451" w:rsidRDefault="001722DE" w:rsidP="009B2451">
      <w:pPr>
        <w:spacing w:line="360" w:lineRule="auto"/>
        <w:jc w:val="center"/>
        <w:rPr>
          <w:b/>
          <w:u w:val="single"/>
          <w:lang w:val="en-GB"/>
        </w:rPr>
      </w:pPr>
    </w:p>
    <w:p w:rsidR="001722DE" w:rsidRPr="009B2451" w:rsidRDefault="001722DE" w:rsidP="009B2451">
      <w:pPr>
        <w:spacing w:line="360" w:lineRule="auto"/>
        <w:jc w:val="center"/>
        <w:rPr>
          <w:b/>
          <w:u w:val="single"/>
          <w:lang w:val="en-GB"/>
        </w:rPr>
      </w:pPr>
    </w:p>
    <w:p w:rsidR="001722DE" w:rsidRPr="009B2451" w:rsidRDefault="001722DE" w:rsidP="009B2451">
      <w:pPr>
        <w:spacing w:line="360" w:lineRule="auto"/>
        <w:jc w:val="center"/>
        <w:rPr>
          <w:b/>
          <w:u w:val="single"/>
          <w:lang w:val="en-GB"/>
        </w:rPr>
      </w:pPr>
    </w:p>
    <w:p w:rsidR="001722DE" w:rsidRPr="009B2451" w:rsidRDefault="001722DE" w:rsidP="009B2451">
      <w:pPr>
        <w:spacing w:line="360" w:lineRule="auto"/>
        <w:jc w:val="center"/>
        <w:rPr>
          <w:b/>
          <w:u w:val="single"/>
          <w:lang w:val="en-GB"/>
        </w:rPr>
      </w:pPr>
    </w:p>
    <w:p w:rsidR="001722DE" w:rsidRPr="009B2451" w:rsidRDefault="001722DE" w:rsidP="009B2451">
      <w:pPr>
        <w:spacing w:line="360" w:lineRule="auto"/>
        <w:jc w:val="center"/>
        <w:rPr>
          <w:b/>
          <w:u w:val="single"/>
          <w:lang w:val="en-GB"/>
        </w:rPr>
      </w:pPr>
    </w:p>
    <w:p w:rsidR="001722DE" w:rsidRPr="009B2451" w:rsidRDefault="001722DE" w:rsidP="009B2451">
      <w:pPr>
        <w:spacing w:line="360" w:lineRule="auto"/>
        <w:jc w:val="center"/>
        <w:rPr>
          <w:b/>
          <w:u w:val="single"/>
          <w:lang w:val="en-GB"/>
        </w:rPr>
      </w:pPr>
    </w:p>
    <w:p w:rsidR="001722DE" w:rsidRPr="009B2451" w:rsidRDefault="001722DE" w:rsidP="009B2451">
      <w:pPr>
        <w:spacing w:line="360" w:lineRule="auto"/>
        <w:jc w:val="center"/>
        <w:rPr>
          <w:b/>
          <w:u w:val="single"/>
          <w:lang w:val="en-GB"/>
        </w:rPr>
      </w:pPr>
    </w:p>
    <w:p w:rsidR="001722DE" w:rsidRPr="009B2451" w:rsidRDefault="001722DE" w:rsidP="009B2451">
      <w:pPr>
        <w:spacing w:line="360" w:lineRule="auto"/>
        <w:jc w:val="center"/>
        <w:rPr>
          <w:b/>
          <w:u w:val="single"/>
          <w:lang w:val="en-GB"/>
        </w:rPr>
      </w:pPr>
    </w:p>
    <w:p w:rsidR="001722DE" w:rsidRPr="009B2451" w:rsidRDefault="001722DE" w:rsidP="009B2451">
      <w:pPr>
        <w:spacing w:line="360" w:lineRule="auto"/>
        <w:jc w:val="center"/>
        <w:rPr>
          <w:b/>
          <w:u w:val="single"/>
          <w:lang w:val="en-GB"/>
        </w:rPr>
      </w:pPr>
    </w:p>
    <w:p w:rsidR="001722DE" w:rsidRPr="009B2451" w:rsidRDefault="001722DE" w:rsidP="009B2451">
      <w:pPr>
        <w:spacing w:line="360" w:lineRule="auto"/>
        <w:jc w:val="center"/>
        <w:rPr>
          <w:b/>
          <w:u w:val="single"/>
          <w:lang w:val="en-GB"/>
        </w:rPr>
      </w:pPr>
    </w:p>
    <w:p w:rsidR="001722DE" w:rsidRPr="009B2451" w:rsidRDefault="001722DE" w:rsidP="009B2451">
      <w:pPr>
        <w:spacing w:line="360" w:lineRule="auto"/>
        <w:jc w:val="center"/>
        <w:rPr>
          <w:b/>
          <w:u w:val="single"/>
          <w:lang w:val="en-GB"/>
        </w:rPr>
      </w:pPr>
    </w:p>
    <w:p w:rsidR="001722DE" w:rsidRPr="009B2451" w:rsidRDefault="001722DE" w:rsidP="009B2451">
      <w:pPr>
        <w:spacing w:line="360" w:lineRule="auto"/>
        <w:jc w:val="center"/>
        <w:rPr>
          <w:b/>
          <w:u w:val="single"/>
          <w:lang w:val="en-GB"/>
        </w:rPr>
      </w:pPr>
    </w:p>
    <w:p w:rsidR="001722DE" w:rsidRPr="009B2451" w:rsidRDefault="001722DE" w:rsidP="009B2451">
      <w:pPr>
        <w:spacing w:line="360" w:lineRule="auto"/>
        <w:jc w:val="center"/>
        <w:rPr>
          <w:b/>
          <w:u w:val="single"/>
          <w:lang w:val="en-GB"/>
        </w:rPr>
      </w:pPr>
    </w:p>
    <w:p w:rsidR="001722DE" w:rsidRPr="009B2451" w:rsidRDefault="001722DE" w:rsidP="009B2451">
      <w:pPr>
        <w:spacing w:line="360" w:lineRule="auto"/>
        <w:jc w:val="center"/>
        <w:rPr>
          <w:b/>
          <w:u w:val="single"/>
          <w:lang w:val="en-GB"/>
        </w:rPr>
      </w:pPr>
    </w:p>
    <w:p w:rsidR="00EF71CA" w:rsidRPr="009B2451" w:rsidRDefault="00EF71CA" w:rsidP="009B2451">
      <w:pPr>
        <w:spacing w:line="360" w:lineRule="auto"/>
        <w:rPr>
          <w:b/>
          <w:u w:val="single"/>
          <w:lang w:val="en-GB"/>
        </w:rPr>
      </w:pPr>
    </w:p>
    <w:p w:rsidR="00EF71CA" w:rsidRPr="009B2451" w:rsidRDefault="00EF71CA" w:rsidP="009B2451">
      <w:pPr>
        <w:spacing w:line="360" w:lineRule="auto"/>
        <w:rPr>
          <w:b/>
          <w:u w:val="single"/>
          <w:lang w:val="en-GB"/>
        </w:rPr>
      </w:pPr>
    </w:p>
    <w:p w:rsidR="00EF71CA" w:rsidRPr="009B2451" w:rsidRDefault="00EF71CA" w:rsidP="009B2451">
      <w:pPr>
        <w:spacing w:line="360" w:lineRule="auto"/>
        <w:rPr>
          <w:b/>
          <w:u w:val="single"/>
          <w:lang w:val="en-GB"/>
        </w:rPr>
      </w:pPr>
    </w:p>
    <w:p w:rsidR="00EF71CA" w:rsidRPr="009B2451" w:rsidRDefault="00EF71CA" w:rsidP="009B2451">
      <w:pPr>
        <w:spacing w:line="360" w:lineRule="auto"/>
        <w:rPr>
          <w:b/>
          <w:u w:val="single"/>
          <w:lang w:val="en-GB"/>
        </w:rPr>
      </w:pPr>
    </w:p>
    <w:p w:rsidR="001722DE" w:rsidRPr="009B2451" w:rsidRDefault="001722DE" w:rsidP="009B2451">
      <w:pPr>
        <w:spacing w:line="360" w:lineRule="auto"/>
        <w:rPr>
          <w:b/>
          <w:u w:val="single"/>
          <w:lang w:val="en-GB"/>
        </w:rPr>
      </w:pPr>
    </w:p>
    <w:p w:rsidR="00FA18BD" w:rsidRPr="009B2451" w:rsidRDefault="003476C2" w:rsidP="009B2451">
      <w:pPr>
        <w:spacing w:line="360" w:lineRule="auto"/>
        <w:jc w:val="center"/>
        <w:rPr>
          <w:b/>
          <w:u w:val="single"/>
          <w:lang w:val="en-GB"/>
        </w:rPr>
      </w:pPr>
      <w:r w:rsidRPr="009B2451">
        <w:rPr>
          <w:b/>
          <w:u w:val="single"/>
          <w:lang w:val="en-GB"/>
        </w:rPr>
        <w:t xml:space="preserve">The </w:t>
      </w:r>
      <w:r w:rsidR="00FA18BD" w:rsidRPr="009B2451">
        <w:rPr>
          <w:b/>
          <w:u w:val="single"/>
          <w:lang w:val="en-GB"/>
        </w:rPr>
        <w:t>View from the Street:</w:t>
      </w:r>
    </w:p>
    <w:p w:rsidR="00FA18BD" w:rsidRPr="009B2451" w:rsidRDefault="000A2C75" w:rsidP="009B2451">
      <w:pPr>
        <w:spacing w:line="360" w:lineRule="auto"/>
        <w:jc w:val="center"/>
        <w:rPr>
          <w:b/>
          <w:u w:val="single"/>
          <w:lang w:val="en-GB"/>
        </w:rPr>
      </w:pPr>
      <w:r w:rsidRPr="009B2451">
        <w:rPr>
          <w:b/>
          <w:u w:val="single"/>
          <w:lang w:val="en-GB"/>
        </w:rPr>
        <w:t>The Landscape of Polite Shopping</w:t>
      </w:r>
      <w:r w:rsidR="00FA18BD" w:rsidRPr="009B2451">
        <w:rPr>
          <w:b/>
          <w:u w:val="single"/>
          <w:lang w:val="en-GB"/>
        </w:rPr>
        <w:t xml:space="preserve"> in </w:t>
      </w:r>
      <w:r w:rsidRPr="009B2451">
        <w:rPr>
          <w:b/>
          <w:u w:val="single"/>
          <w:lang w:val="en-GB"/>
        </w:rPr>
        <w:t>Georgian</w:t>
      </w:r>
      <w:r w:rsidR="00FA18BD" w:rsidRPr="009B2451">
        <w:rPr>
          <w:b/>
          <w:u w:val="single"/>
          <w:lang w:val="en-GB"/>
        </w:rPr>
        <w:t xml:space="preserve"> York</w:t>
      </w:r>
    </w:p>
    <w:p w:rsidR="00086C13" w:rsidRPr="009B2451" w:rsidRDefault="00086C13" w:rsidP="009B2451">
      <w:pPr>
        <w:spacing w:line="360" w:lineRule="auto"/>
        <w:jc w:val="center"/>
        <w:rPr>
          <w:lang w:val="en-GB"/>
        </w:rPr>
      </w:pPr>
    </w:p>
    <w:p w:rsidR="00086C13" w:rsidRPr="009B2451" w:rsidRDefault="00086C13" w:rsidP="009B2451">
      <w:pPr>
        <w:spacing w:line="360" w:lineRule="auto"/>
        <w:rPr>
          <w:lang w:val="en-GB"/>
        </w:rPr>
      </w:pPr>
      <w:r w:rsidRPr="009B2451">
        <w:rPr>
          <w:lang w:val="en-GB"/>
        </w:rPr>
        <w:t>Abstract</w:t>
      </w:r>
    </w:p>
    <w:p w:rsidR="00086C13" w:rsidRPr="009B2451" w:rsidRDefault="00086C13" w:rsidP="009B2451">
      <w:pPr>
        <w:spacing w:line="360" w:lineRule="auto"/>
        <w:rPr>
          <w:i/>
        </w:rPr>
      </w:pPr>
      <w:r w:rsidRPr="009B2451">
        <w:rPr>
          <w:i/>
        </w:rPr>
        <w:t>Shopping during the eigh</w:t>
      </w:r>
      <w:r w:rsidR="00624262" w:rsidRPr="009B2451">
        <w:rPr>
          <w:i/>
        </w:rPr>
        <w:t xml:space="preserve">teenth century is increasingly </w:t>
      </w:r>
      <w:r w:rsidRPr="009B2451">
        <w:rPr>
          <w:i/>
        </w:rPr>
        <w:t xml:space="preserve">viewed by scholars as an important leisure activity, and an integral part of wider schemes of urban improvement. However the </w:t>
      </w:r>
      <w:r w:rsidR="00EB7604" w:rsidRPr="009B2451">
        <w:rPr>
          <w:i/>
        </w:rPr>
        <w:t>physical evidence</w:t>
      </w:r>
      <w:r w:rsidRPr="009B2451">
        <w:rPr>
          <w:i/>
        </w:rPr>
        <w:t xml:space="preserve"> in the form of standing buildings</w:t>
      </w:r>
      <w:r w:rsidR="00EB7604" w:rsidRPr="009B2451">
        <w:rPr>
          <w:i/>
        </w:rPr>
        <w:t xml:space="preserve"> is rarely considered</w:t>
      </w:r>
      <w:r w:rsidRPr="009B2451">
        <w:rPr>
          <w:i/>
        </w:rPr>
        <w:t>. This paper will demonstrate how a detailed examination and reconstruction of the urban landscape of York can illuminate</w:t>
      </w:r>
      <w:r w:rsidR="00914C11" w:rsidRPr="009B2451">
        <w:rPr>
          <w:i/>
        </w:rPr>
        <w:t xml:space="preserve"> how these practices were</w:t>
      </w:r>
      <w:r w:rsidRPr="009B2451">
        <w:rPr>
          <w:i/>
        </w:rPr>
        <w:t xml:space="preserve"> performe</w:t>
      </w:r>
      <w:r w:rsidR="00BE0E94">
        <w:rPr>
          <w:i/>
        </w:rPr>
        <w:t>d. The use of</w:t>
      </w:r>
      <w:r w:rsidR="008D125B" w:rsidRPr="009B2451">
        <w:rPr>
          <w:i/>
        </w:rPr>
        <w:t xml:space="preserve"> building</w:t>
      </w:r>
      <w:r w:rsidRPr="009B2451">
        <w:rPr>
          <w:i/>
        </w:rPr>
        <w:t xml:space="preserve"> biographies also allows owners to be identified and linked with specific shop types and surviving fabric. This </w:t>
      </w:r>
      <w:r w:rsidR="009B2451">
        <w:rPr>
          <w:i/>
        </w:rPr>
        <w:t>enables exploration of</w:t>
      </w:r>
      <w:r w:rsidRPr="009B2451">
        <w:rPr>
          <w:i/>
        </w:rPr>
        <w:t xml:space="preserve"> how the physical environment influenced</w:t>
      </w:r>
      <w:r w:rsidR="00914C11" w:rsidRPr="009B2451">
        <w:rPr>
          <w:i/>
        </w:rPr>
        <w:t xml:space="preserve"> perceptions of the streetscape</w:t>
      </w:r>
      <w:r w:rsidRPr="009B2451">
        <w:rPr>
          <w:i/>
        </w:rPr>
        <w:t xml:space="preserve"> and </w:t>
      </w:r>
      <w:r w:rsidR="00914C11" w:rsidRPr="009B2451">
        <w:rPr>
          <w:i/>
        </w:rPr>
        <w:t>the experience</w:t>
      </w:r>
      <w:r w:rsidRPr="009B2451">
        <w:rPr>
          <w:i/>
        </w:rPr>
        <w:t xml:space="preserve"> of </w:t>
      </w:r>
      <w:r w:rsidR="00914C11" w:rsidRPr="009B2451">
        <w:rPr>
          <w:i/>
        </w:rPr>
        <w:t xml:space="preserve">interior </w:t>
      </w:r>
      <w:r w:rsidRPr="009B2451">
        <w:rPr>
          <w:i/>
        </w:rPr>
        <w:t xml:space="preserve">retail space. </w:t>
      </w:r>
    </w:p>
    <w:p w:rsidR="00086C13" w:rsidRPr="009B2451" w:rsidRDefault="00086C13" w:rsidP="009B2451">
      <w:pPr>
        <w:spacing w:line="360" w:lineRule="auto"/>
        <w:rPr>
          <w:lang w:val="en-GB"/>
        </w:rPr>
      </w:pPr>
    </w:p>
    <w:p w:rsidR="00594CE9" w:rsidRPr="009B2451" w:rsidRDefault="00594CE9" w:rsidP="009B2451">
      <w:pPr>
        <w:spacing w:line="360" w:lineRule="auto"/>
        <w:rPr>
          <w:rFonts w:cs="Times New Roman"/>
        </w:rPr>
      </w:pPr>
    </w:p>
    <w:p w:rsidR="00AC378B" w:rsidRPr="009B2451" w:rsidRDefault="00594CE9" w:rsidP="009B2451">
      <w:pPr>
        <w:spacing w:line="360" w:lineRule="auto"/>
        <w:rPr>
          <w:rFonts w:cs="Times New Roman"/>
        </w:rPr>
      </w:pPr>
      <w:r w:rsidRPr="009B2451">
        <w:rPr>
          <w:rFonts w:cs="Times New Roman"/>
        </w:rPr>
        <w:t xml:space="preserve">This </w:t>
      </w:r>
      <w:r w:rsidR="00A905A5" w:rsidRPr="009B2451">
        <w:rPr>
          <w:rFonts w:cs="Times New Roman"/>
        </w:rPr>
        <w:t>paper</w:t>
      </w:r>
      <w:r w:rsidRPr="009B2451">
        <w:rPr>
          <w:rFonts w:cs="Times New Roman"/>
        </w:rPr>
        <w:t xml:space="preserve"> begins with a</w:t>
      </w:r>
      <w:r w:rsidR="00074131" w:rsidRPr="009B2451">
        <w:rPr>
          <w:rFonts w:cs="Times New Roman"/>
        </w:rPr>
        <w:t>n</w:t>
      </w:r>
      <w:r w:rsidRPr="009B2451">
        <w:rPr>
          <w:rFonts w:cs="Times New Roman"/>
        </w:rPr>
        <w:t xml:space="preserve"> image. </w:t>
      </w:r>
      <w:r w:rsidRPr="009B2451">
        <w:rPr>
          <w:lang w:val="en-GB"/>
        </w:rPr>
        <w:t xml:space="preserve">Thomas White’s illustration </w:t>
      </w:r>
      <w:r w:rsidR="00200346" w:rsidRPr="009B2451">
        <w:rPr>
          <w:lang w:val="en-GB"/>
        </w:rPr>
        <w:t xml:space="preserve">of Pavement in York </w:t>
      </w:r>
      <w:r w:rsidRPr="009B2451">
        <w:rPr>
          <w:lang w:val="en-GB"/>
        </w:rPr>
        <w:t>from 1802</w:t>
      </w:r>
      <w:r w:rsidR="001C5622">
        <w:rPr>
          <w:lang w:val="en-GB"/>
        </w:rPr>
        <w:t xml:space="preserve"> (Figure</w:t>
      </w:r>
      <w:r w:rsidR="00CE5673" w:rsidRPr="009B2451">
        <w:rPr>
          <w:lang w:val="en-GB"/>
        </w:rPr>
        <w:t xml:space="preserve"> 1) shows lines of houses built in the local classical vernacular.</w:t>
      </w:r>
      <w:r w:rsidR="00EF71CA" w:rsidRPr="009B2451">
        <w:rPr>
          <w:rStyle w:val="FootnoteReference"/>
          <w:lang w:val="en-GB"/>
        </w:rPr>
        <w:footnoteReference w:id="-1"/>
      </w:r>
      <w:r w:rsidR="00CE5673" w:rsidRPr="009B2451">
        <w:rPr>
          <w:lang w:val="en-GB"/>
        </w:rPr>
        <w:t xml:space="preserve"> </w:t>
      </w:r>
      <w:r w:rsidRPr="009B2451">
        <w:rPr>
          <w:lang w:val="en-GB"/>
        </w:rPr>
        <w:t xml:space="preserve">They are smart, though architecturally undistinguished. However, just out of sight, on the plots where two new roads would </w:t>
      </w:r>
      <w:r w:rsidR="00747D7E" w:rsidRPr="009B2451">
        <w:rPr>
          <w:lang w:val="en-GB"/>
        </w:rPr>
        <w:t xml:space="preserve">come to </w:t>
      </w:r>
      <w:r w:rsidRPr="009B2451">
        <w:rPr>
          <w:lang w:val="en-GB"/>
        </w:rPr>
        <w:t>be created</w:t>
      </w:r>
      <w:r w:rsidR="000A18D4">
        <w:rPr>
          <w:lang w:val="en-GB"/>
        </w:rPr>
        <w:t>,</w:t>
      </w:r>
      <w:r w:rsidRPr="009B2451">
        <w:rPr>
          <w:lang w:val="en-GB"/>
        </w:rPr>
        <w:t xml:space="preserve"> </w:t>
      </w:r>
      <w:r w:rsidR="000A18D4">
        <w:rPr>
          <w:lang w:val="en-GB"/>
        </w:rPr>
        <w:t>were rows of medieval tenements</w:t>
      </w:r>
      <w:r w:rsidRPr="009B2451">
        <w:rPr>
          <w:lang w:val="en-GB"/>
        </w:rPr>
        <w:t xml:space="preserve">. These timber-framed houses </w:t>
      </w:r>
      <w:r w:rsidR="00074131" w:rsidRPr="009B2451">
        <w:rPr>
          <w:lang w:val="en-GB"/>
        </w:rPr>
        <w:t>survive in early photographs and illustratio</w:t>
      </w:r>
      <w:r w:rsidR="00CB5EF3" w:rsidRPr="009B2451">
        <w:rPr>
          <w:lang w:val="en-GB"/>
        </w:rPr>
        <w:t xml:space="preserve">ns but are </w:t>
      </w:r>
      <w:r w:rsidR="000A18D4">
        <w:rPr>
          <w:lang w:val="en-GB"/>
        </w:rPr>
        <w:t>absent</w:t>
      </w:r>
      <w:r w:rsidR="00CB5EF3" w:rsidRPr="009B2451">
        <w:rPr>
          <w:lang w:val="en-GB"/>
        </w:rPr>
        <w:t xml:space="preserve"> from White’s</w:t>
      </w:r>
      <w:r w:rsidR="00074131" w:rsidRPr="009B2451">
        <w:rPr>
          <w:lang w:val="en-GB"/>
        </w:rPr>
        <w:t xml:space="preserve"> picture. These missing buildings </w:t>
      </w:r>
      <w:r w:rsidR="00747D7E" w:rsidRPr="009B2451">
        <w:rPr>
          <w:lang w:val="en-GB"/>
        </w:rPr>
        <w:t>have a bearing on</w:t>
      </w:r>
      <w:r w:rsidR="00833310" w:rsidRPr="009B2451">
        <w:rPr>
          <w:lang w:val="en-GB"/>
        </w:rPr>
        <w:t xml:space="preserve"> the wider study of eighteenth-</w:t>
      </w:r>
      <w:r w:rsidR="00074131" w:rsidRPr="009B2451">
        <w:rPr>
          <w:lang w:val="en-GB"/>
        </w:rPr>
        <w:t>century urban environments, for although</w:t>
      </w:r>
      <w:r w:rsidR="00884E4A" w:rsidRPr="009B2451">
        <w:rPr>
          <w:lang w:val="en-GB"/>
        </w:rPr>
        <w:t xml:space="preserve"> the presence of earlier fabric has been noted, it is</w:t>
      </w:r>
      <w:r w:rsidR="00074131" w:rsidRPr="009B2451">
        <w:rPr>
          <w:lang w:val="en-GB"/>
        </w:rPr>
        <w:t xml:space="preserve"> often relegated to the sideli</w:t>
      </w:r>
      <w:r w:rsidR="00884E4A" w:rsidRPr="009B2451">
        <w:rPr>
          <w:lang w:val="en-GB"/>
        </w:rPr>
        <w:t xml:space="preserve">nes. This is </w:t>
      </w:r>
      <w:r w:rsidR="00875844" w:rsidRPr="009B2451">
        <w:rPr>
          <w:lang w:val="en-GB"/>
        </w:rPr>
        <w:t>problematic</w:t>
      </w:r>
      <w:r w:rsidR="00884E4A" w:rsidRPr="009B2451">
        <w:rPr>
          <w:lang w:val="en-GB"/>
        </w:rPr>
        <w:t xml:space="preserve"> as timber-framed structures</w:t>
      </w:r>
      <w:r w:rsidR="00074131" w:rsidRPr="009B2451">
        <w:rPr>
          <w:lang w:val="en-GB"/>
        </w:rPr>
        <w:t xml:space="preserve"> were a dominant feature in a number of provi</w:t>
      </w:r>
      <w:r w:rsidR="00884E4A" w:rsidRPr="009B2451">
        <w:rPr>
          <w:lang w:val="en-GB"/>
        </w:rPr>
        <w:t xml:space="preserve">ncial capitals, such as </w:t>
      </w:r>
      <w:r w:rsidR="00EF71CA" w:rsidRPr="009B2451">
        <w:rPr>
          <w:lang w:val="en-GB"/>
        </w:rPr>
        <w:t xml:space="preserve">York, </w:t>
      </w:r>
      <w:r w:rsidR="00074131" w:rsidRPr="009B2451">
        <w:rPr>
          <w:lang w:val="en-GB"/>
        </w:rPr>
        <w:t>Norwich</w:t>
      </w:r>
      <w:r w:rsidR="00884E4A" w:rsidRPr="009B2451">
        <w:rPr>
          <w:lang w:val="en-GB"/>
        </w:rPr>
        <w:t xml:space="preserve"> and </w:t>
      </w:r>
      <w:r w:rsidR="00EF71CA" w:rsidRPr="009B2451">
        <w:rPr>
          <w:lang w:val="en-GB"/>
        </w:rPr>
        <w:t>Chester</w:t>
      </w:r>
      <w:r w:rsidR="00074131" w:rsidRPr="009B2451">
        <w:rPr>
          <w:lang w:val="en-GB"/>
        </w:rPr>
        <w:t xml:space="preserve">, </w:t>
      </w:r>
      <w:r w:rsidR="00884E4A" w:rsidRPr="009B2451">
        <w:rPr>
          <w:lang w:val="en-GB"/>
        </w:rPr>
        <w:t>and an integral part of the make-up of the streetscape</w:t>
      </w:r>
      <w:r w:rsidR="00747D7E" w:rsidRPr="009B2451">
        <w:rPr>
          <w:lang w:val="en-GB"/>
        </w:rPr>
        <w:t xml:space="preserve"> in </w:t>
      </w:r>
      <w:r w:rsidR="00833310" w:rsidRPr="009B2451">
        <w:rPr>
          <w:lang w:val="en-GB"/>
        </w:rPr>
        <w:t>many smaller eighteenth-</w:t>
      </w:r>
      <w:r w:rsidR="00747D7E" w:rsidRPr="009B2451">
        <w:rPr>
          <w:lang w:val="en-GB"/>
        </w:rPr>
        <w:t>century towns</w:t>
      </w:r>
      <w:r w:rsidR="00074131" w:rsidRPr="009B2451">
        <w:rPr>
          <w:lang w:val="en-GB"/>
        </w:rPr>
        <w:t xml:space="preserve">. </w:t>
      </w:r>
    </w:p>
    <w:p w:rsidR="00AC378B" w:rsidRPr="009B2451" w:rsidRDefault="003531AB" w:rsidP="009B2451">
      <w:pPr>
        <w:spacing w:line="360" w:lineRule="auto"/>
        <w:ind w:firstLine="737"/>
      </w:pPr>
      <w:r w:rsidRPr="009B2451">
        <w:t>Analyse</w:t>
      </w:r>
      <w:r w:rsidR="00AC378B" w:rsidRPr="009B2451">
        <w:t>s of eig</w:t>
      </w:r>
      <w:r w:rsidRPr="009B2451">
        <w:t>hteenth-century streetscapes have</w:t>
      </w:r>
      <w:r w:rsidR="00AC378B" w:rsidRPr="009B2451">
        <w:t xml:space="preserve"> been heavily influenced by the ideas of Peter Borsay and his conception of the ‘urban renaissance’</w:t>
      </w:r>
      <w:r w:rsidR="00CE5673" w:rsidRPr="009B2451">
        <w:t>.</w:t>
      </w:r>
      <w:r w:rsidR="00EF71CA" w:rsidRPr="009B2451">
        <w:rPr>
          <w:rStyle w:val="FootnoteReference"/>
        </w:rPr>
        <w:footnoteReference w:id="0"/>
      </w:r>
      <w:r w:rsidR="000821A2" w:rsidRPr="009B2451">
        <w:t xml:space="preserve"> </w:t>
      </w:r>
      <w:r w:rsidR="00AC378B" w:rsidRPr="009B2451">
        <w:t>Borsay maintained that during the long eighteenth century there was a transformation in English urban centres. This had many facets but one of the key features was the renewal of the physical urban environment and how this became a sign of a city’s wealth and status. The new forms of Georgian architecture</w:t>
      </w:r>
      <w:r w:rsidR="000905DC" w:rsidRPr="009B2451">
        <w:t>, in particular the neo-Palladian style,</w:t>
      </w:r>
      <w:r w:rsidR="00AC378B" w:rsidRPr="009B2451">
        <w:t xml:space="preserve"> were key to this transformation and he places great emphasis on the exterior appearance of the buildings, viewing balance and symmetry as being key qualities</w:t>
      </w:r>
      <w:r w:rsidR="00CE5673" w:rsidRPr="009B2451">
        <w:t>.</w:t>
      </w:r>
      <w:r w:rsidR="00EF71CA" w:rsidRPr="009B2451">
        <w:rPr>
          <w:rStyle w:val="FootnoteReference"/>
        </w:rPr>
        <w:footnoteReference w:id="1"/>
      </w:r>
      <w:r w:rsidR="00AC378B" w:rsidRPr="009B2451">
        <w:t xml:space="preserve"> </w:t>
      </w:r>
    </w:p>
    <w:p w:rsidR="000905DC" w:rsidRPr="009B2451" w:rsidRDefault="00AC378B" w:rsidP="009B2451">
      <w:pPr>
        <w:spacing w:line="360" w:lineRule="auto"/>
        <w:ind w:firstLine="737"/>
      </w:pPr>
      <w:r w:rsidRPr="009B2451">
        <w:t>Stimulating rece</w:t>
      </w:r>
      <w:r w:rsidR="009A215E" w:rsidRPr="009B2451">
        <w:t>nt work</w:t>
      </w:r>
      <w:r w:rsidR="00342E55" w:rsidRPr="009B2451">
        <w:t>,</w:t>
      </w:r>
      <w:r w:rsidR="009A215E" w:rsidRPr="009B2451">
        <w:t xml:space="preserve"> particularly by Jon Stobart</w:t>
      </w:r>
      <w:r w:rsidR="00307CDF" w:rsidRPr="009B2451">
        <w:t xml:space="preserve"> and Sarah Tarlow</w:t>
      </w:r>
      <w:r w:rsidR="00342E55" w:rsidRPr="009B2451">
        <w:t>,</w:t>
      </w:r>
      <w:r w:rsidR="009A215E" w:rsidRPr="009B2451">
        <w:t xml:space="preserve"> </w:t>
      </w:r>
      <w:r w:rsidRPr="009B2451">
        <w:t>has started to emphasise the complexity of urban space and that urban renewal was often not perfectly achieved</w:t>
      </w:r>
      <w:r w:rsidR="00307CDF" w:rsidRPr="009B2451">
        <w:rPr>
          <w:rStyle w:val="FootnoteReference"/>
        </w:rPr>
        <w:footnoteReference w:id="2"/>
      </w:r>
      <w:r w:rsidRPr="009B2451">
        <w:t xml:space="preserve">. </w:t>
      </w:r>
      <w:r w:rsidR="002674B0" w:rsidRPr="009B2451">
        <w:t>A number of historians have chart</w:t>
      </w:r>
      <w:r w:rsidR="002B6EB0" w:rsidRPr="009B2451">
        <w:t>ed</w:t>
      </w:r>
      <w:r w:rsidR="002674B0" w:rsidRPr="009B2451">
        <w:t xml:space="preserve"> changing </w:t>
      </w:r>
      <w:r w:rsidR="00B357D7" w:rsidRPr="009B2451">
        <w:t xml:space="preserve">contemporary </w:t>
      </w:r>
      <w:r w:rsidR="002674B0" w:rsidRPr="009B2451">
        <w:t>a</w:t>
      </w:r>
      <w:r w:rsidR="00F42856" w:rsidRPr="009B2451">
        <w:t>t</w:t>
      </w:r>
      <w:r w:rsidR="002674B0" w:rsidRPr="009B2451">
        <w:t xml:space="preserve">titudes </w:t>
      </w:r>
      <w:r w:rsidR="00F72790" w:rsidRPr="009B2451">
        <w:t>to older medieval fabric, particularly the influence of the picturesque</w:t>
      </w:r>
      <w:r w:rsidR="00F72790" w:rsidRPr="009B2451">
        <w:rPr>
          <w:rStyle w:val="FootnoteReference"/>
        </w:rPr>
        <w:footnoteReference w:id="3"/>
      </w:r>
      <w:r w:rsidR="00F72790" w:rsidRPr="009B2451">
        <w:t>. This is linked with the growth of antiquarianism and the conscious use of heritage employed in constructing the image of a town in the eighteenth century</w:t>
      </w:r>
      <w:r w:rsidR="00F72790" w:rsidRPr="009B2451">
        <w:rPr>
          <w:rStyle w:val="FootnoteReference"/>
        </w:rPr>
        <w:footnoteReference w:id="4"/>
      </w:r>
      <w:r w:rsidR="00F72790" w:rsidRPr="009B2451">
        <w:t xml:space="preserve">. </w:t>
      </w:r>
      <w:r w:rsidR="00B357D7" w:rsidRPr="009B2451">
        <w:t xml:space="preserve">Miles Ogborn has </w:t>
      </w:r>
      <w:r w:rsidR="009B2451">
        <w:t xml:space="preserve">also </w:t>
      </w:r>
      <w:r w:rsidR="00F72790" w:rsidRPr="009B2451">
        <w:t>analysed</w:t>
      </w:r>
      <w:r w:rsidR="00B357D7" w:rsidRPr="009B2451">
        <w:t xml:space="preserve"> the tensions between public and private in the creation of polite spaces in London and how cleanliness (or rather the lack of it) threatened the order of the space</w:t>
      </w:r>
      <w:r w:rsidR="00B357D7" w:rsidRPr="009B2451">
        <w:rPr>
          <w:rStyle w:val="FootnoteReference"/>
        </w:rPr>
        <w:footnoteReference w:id="5"/>
      </w:r>
      <w:r w:rsidR="00B357D7" w:rsidRPr="009B2451">
        <w:t>.</w:t>
      </w:r>
      <w:r w:rsidR="0033414D" w:rsidRPr="009B2451">
        <w:t xml:space="preserve"> </w:t>
      </w:r>
      <w:r w:rsidR="002B6EB0" w:rsidRPr="009B2451">
        <w:t>However, c</w:t>
      </w:r>
      <w:r w:rsidR="006A1219" w:rsidRPr="009B2451">
        <w:t xml:space="preserve">onsiderable weight is still </w:t>
      </w:r>
      <w:r w:rsidR="002674B0" w:rsidRPr="009B2451">
        <w:t xml:space="preserve">placed on the link between the degree of politeness a </w:t>
      </w:r>
      <w:r w:rsidR="002B6EB0" w:rsidRPr="009B2451">
        <w:t>town achieved and the degree of physical improvement, particularly in the form of the built environment</w:t>
      </w:r>
      <w:r w:rsidR="002B6EB0" w:rsidRPr="009B2451">
        <w:rPr>
          <w:rStyle w:val="FootnoteReference"/>
        </w:rPr>
        <w:footnoteReference w:id="6"/>
      </w:r>
      <w:r w:rsidR="002B6EB0" w:rsidRPr="009B2451">
        <w:t>. Possession of a house with an unfashionable exterior is seen as having a negative impact on a person’s status and social standing</w:t>
      </w:r>
      <w:r w:rsidR="002B6EB0" w:rsidRPr="009B2451">
        <w:rPr>
          <w:rStyle w:val="FootnoteReference"/>
        </w:rPr>
        <w:footnoteReference w:id="7"/>
      </w:r>
      <w:r w:rsidR="002B6EB0" w:rsidRPr="009B2451">
        <w:t>.</w:t>
      </w:r>
      <w:r w:rsidR="00B357D7" w:rsidRPr="009B2451">
        <w:t xml:space="preserve"> </w:t>
      </w:r>
      <w:r w:rsidR="00F42856" w:rsidRPr="009B2451">
        <w:t>While variation is acknowledged, stress is still placed on the increasing uniformity of streetscapes, creating coherent polite spaces</w:t>
      </w:r>
      <w:r w:rsidR="00F42856" w:rsidRPr="009B2451">
        <w:rPr>
          <w:rStyle w:val="FootnoteReference"/>
        </w:rPr>
        <w:footnoteReference w:id="8"/>
      </w:r>
      <w:r w:rsidR="00F42856" w:rsidRPr="009B2451">
        <w:t>.</w:t>
      </w:r>
      <w:r w:rsidR="00B357D7" w:rsidRPr="009B2451">
        <w:t xml:space="preserve"> There was a ‘smoothing’ and ‘straightening’ of the architectural landscape</w:t>
      </w:r>
      <w:r w:rsidR="00B357D7" w:rsidRPr="009B2451">
        <w:rPr>
          <w:rStyle w:val="FootnoteReference"/>
        </w:rPr>
        <w:footnoteReference w:id="9"/>
      </w:r>
      <w:r w:rsidR="00B357D7" w:rsidRPr="009B2451">
        <w:t xml:space="preserve">. </w:t>
      </w:r>
      <w:r w:rsidRPr="009B2451">
        <w:t xml:space="preserve">The urban street, it is argued, became the embodiment </w:t>
      </w:r>
      <w:r w:rsidR="000821A2" w:rsidRPr="009B2451">
        <w:t>of a wider ideal of urban space</w:t>
      </w:r>
      <w:r w:rsidR="00307CDF" w:rsidRPr="009B2451">
        <w:rPr>
          <w:rStyle w:val="FootnoteReference"/>
        </w:rPr>
        <w:footnoteReference w:id="10"/>
      </w:r>
      <w:r w:rsidR="000821A2" w:rsidRPr="009B2451">
        <w:t xml:space="preserve"> </w:t>
      </w:r>
      <w:r w:rsidRPr="009B2451">
        <w:t xml:space="preserve">and that progression through the streets conveyed meanings of </w:t>
      </w:r>
      <w:r w:rsidR="009A215E" w:rsidRPr="009B2451">
        <w:t>‘</w:t>
      </w:r>
      <w:r w:rsidRPr="009B2451">
        <w:t>order, regulation and respectability</w:t>
      </w:r>
      <w:r w:rsidR="000821A2" w:rsidRPr="009B2451">
        <w:t>’</w:t>
      </w:r>
      <w:r w:rsidR="00CE5673" w:rsidRPr="009B2451">
        <w:t>.</w:t>
      </w:r>
      <w:r w:rsidR="00307CDF" w:rsidRPr="009B2451">
        <w:rPr>
          <w:rStyle w:val="FootnoteReference"/>
        </w:rPr>
        <w:footnoteReference w:id="11"/>
      </w:r>
      <w:r w:rsidR="00B357D7" w:rsidRPr="009B2451">
        <w:t xml:space="preserve"> </w:t>
      </w:r>
      <w:r w:rsidR="002B6EB0" w:rsidRPr="009B2451">
        <w:t xml:space="preserve">The current </w:t>
      </w:r>
      <w:r w:rsidR="00B357D7" w:rsidRPr="009B2451">
        <w:t xml:space="preserve">scholarly </w:t>
      </w:r>
      <w:r w:rsidR="002B6EB0" w:rsidRPr="009B2451">
        <w:t xml:space="preserve">model emphasises steady improvement of the built environment, which is tied to ideas </w:t>
      </w:r>
      <w:r w:rsidR="00F42856" w:rsidRPr="009B2451">
        <w:t xml:space="preserve">of </w:t>
      </w:r>
      <w:r w:rsidR="002B6EB0" w:rsidRPr="009B2451">
        <w:t xml:space="preserve">status and </w:t>
      </w:r>
      <w:r w:rsidR="00F72790" w:rsidRPr="009B2451">
        <w:t>uniform faç</w:t>
      </w:r>
      <w:r w:rsidR="000A18D4">
        <w:t xml:space="preserve">ades. This paper </w:t>
      </w:r>
      <w:r w:rsidR="002B6EB0" w:rsidRPr="009B2451">
        <w:t>argue</w:t>
      </w:r>
      <w:r w:rsidR="000A18D4">
        <w:t>s</w:t>
      </w:r>
      <w:r w:rsidR="002B6EB0" w:rsidRPr="009B2451">
        <w:t xml:space="preserve"> that the urban environment was mo</w:t>
      </w:r>
      <w:r w:rsidR="00B524F0">
        <w:t>re consistently diverse that has</w:t>
      </w:r>
      <w:r w:rsidR="002B6EB0" w:rsidRPr="009B2451">
        <w:t xml:space="preserve"> been previously </w:t>
      </w:r>
      <w:r w:rsidR="000A18D4">
        <w:t>acknowledged</w:t>
      </w:r>
      <w:r w:rsidR="002B6EB0" w:rsidRPr="009B2451">
        <w:t xml:space="preserve"> and that this diversity </w:t>
      </w:r>
      <w:r w:rsidR="000A18D4">
        <w:t>prevailed even in</w:t>
      </w:r>
      <w:r w:rsidR="002B6EB0" w:rsidRPr="009B2451">
        <w:t xml:space="preserve"> areas of polite consumption. The link between politeness and physical improvement is therefore more nuanced than in the current model. This has implications for the meanings associated with such streetscapes, </w:t>
      </w:r>
      <w:r w:rsidR="00F42856" w:rsidRPr="009B2451">
        <w:t>as</w:t>
      </w:r>
      <w:r w:rsidR="002B6EB0" w:rsidRPr="009B2451">
        <w:t xml:space="preserve"> the regularity and order of the architecture </w:t>
      </w:r>
      <w:r w:rsidR="00F42856" w:rsidRPr="009B2451">
        <w:t xml:space="preserve">and streetscape was </w:t>
      </w:r>
      <w:r w:rsidR="002B6EB0" w:rsidRPr="009B2451">
        <w:t>regularly disrupted.</w:t>
      </w:r>
    </w:p>
    <w:p w:rsidR="003F7CE8" w:rsidRPr="009B2451" w:rsidRDefault="000A18D4" w:rsidP="009B2451">
      <w:pPr>
        <w:spacing w:line="360" w:lineRule="auto"/>
        <w:ind w:firstLine="737"/>
        <w:rPr>
          <w:rFonts w:cs="Times New Roman"/>
          <w:u w:color="548DD4" w:themeColor="text2" w:themeTint="99"/>
        </w:rPr>
      </w:pPr>
      <w:r>
        <w:t>The same</w:t>
      </w:r>
      <w:r w:rsidR="000905DC" w:rsidRPr="009B2451">
        <w:t xml:space="preserve"> ideas carry over into the world of consumption </w:t>
      </w:r>
      <w:r w:rsidR="00F8603E" w:rsidRPr="009B2451">
        <w:t>and polite shopping.</w:t>
      </w:r>
      <w:r w:rsidR="000905DC" w:rsidRPr="009B2451">
        <w:t xml:space="preserve"> </w:t>
      </w:r>
      <w:r w:rsidR="00747D7E" w:rsidRPr="009B2451">
        <w:rPr>
          <w:lang w:val="en-GB"/>
        </w:rPr>
        <w:t>S</w:t>
      </w:r>
      <w:r w:rsidR="00F8603E" w:rsidRPr="009B2451">
        <w:rPr>
          <w:lang w:val="en-GB"/>
        </w:rPr>
        <w:t xml:space="preserve">cholars have emphasised the need of shopkeepers to maintain a fashionable and polite façade to their business. </w:t>
      </w:r>
      <w:r w:rsidR="00F8603E" w:rsidRPr="009B2451">
        <w:rPr>
          <w:rFonts w:cs="Times New Roman"/>
          <w:u w:color="548DD4" w:themeColor="text2" w:themeTint="99"/>
        </w:rPr>
        <w:t xml:space="preserve">Walsh highlights shop design and </w:t>
      </w:r>
      <w:r w:rsidR="00F8603E" w:rsidRPr="009B2451">
        <w:rPr>
          <w:rFonts w:cs="Times New Roman"/>
        </w:rPr>
        <w:t xml:space="preserve">the display of goods as crucial elements of shopkeepers’ retail tactics and marketing and </w:t>
      </w:r>
      <w:r>
        <w:rPr>
          <w:rFonts w:cs="Times New Roman"/>
        </w:rPr>
        <w:t xml:space="preserve">states </w:t>
      </w:r>
      <w:r w:rsidR="00F8603E" w:rsidRPr="009B2451">
        <w:rPr>
          <w:rFonts w:cs="Times New Roman"/>
        </w:rPr>
        <w:t xml:space="preserve">that the pleasure of looking </w:t>
      </w:r>
      <w:r w:rsidR="00747D7E" w:rsidRPr="009B2451">
        <w:rPr>
          <w:rFonts w:cs="Times New Roman"/>
        </w:rPr>
        <w:t xml:space="preserve">was </w:t>
      </w:r>
      <w:r w:rsidR="00F8603E" w:rsidRPr="009B2451">
        <w:rPr>
          <w:rFonts w:cs="Times New Roman"/>
        </w:rPr>
        <w:t>a central part of eighteenth century shopping</w:t>
      </w:r>
      <w:r w:rsidR="00CE5673" w:rsidRPr="009B2451">
        <w:rPr>
          <w:rFonts w:cs="Times New Roman"/>
        </w:rPr>
        <w:t>.</w:t>
      </w:r>
      <w:r w:rsidR="00CC2CCA" w:rsidRPr="009B2451">
        <w:rPr>
          <w:rStyle w:val="FootnoteReference"/>
          <w:rFonts w:cs="Times New Roman"/>
        </w:rPr>
        <w:footnoteReference w:id="12"/>
      </w:r>
      <w:r w:rsidR="00F8603E" w:rsidRPr="009B2451">
        <w:rPr>
          <w:rFonts w:cs="Times New Roman"/>
        </w:rPr>
        <w:t xml:space="preserve"> </w:t>
      </w:r>
      <w:r w:rsidR="00F8603E" w:rsidRPr="009B2451">
        <w:rPr>
          <w:lang w:val="en-GB"/>
        </w:rPr>
        <w:t>The</w:t>
      </w:r>
      <w:r w:rsidR="00F8603E" w:rsidRPr="009B2451">
        <w:rPr>
          <w:rFonts w:cs="Times New Roman"/>
          <w:u w:color="548DD4" w:themeColor="text2" w:themeTint="99"/>
        </w:rPr>
        <w:t xml:space="preserve"> level of fashionability in the interior decoration, as well as the sheer size of shops, increased throughout the </w:t>
      </w:r>
      <w:r w:rsidR="00187ABE" w:rsidRPr="009B2451">
        <w:rPr>
          <w:rFonts w:cs="Times New Roman"/>
          <w:u w:color="548DD4" w:themeColor="text2" w:themeTint="99"/>
        </w:rPr>
        <w:t>period</w:t>
      </w:r>
      <w:r w:rsidR="00CE5673" w:rsidRPr="009B2451">
        <w:rPr>
          <w:rFonts w:cs="Times New Roman"/>
          <w:u w:color="548DD4" w:themeColor="text2" w:themeTint="99"/>
        </w:rPr>
        <w:t>.</w:t>
      </w:r>
      <w:r w:rsidR="00CC2CCA" w:rsidRPr="009B2451">
        <w:rPr>
          <w:rStyle w:val="FootnoteReference"/>
          <w:rFonts w:cs="Times New Roman"/>
          <w:u w:color="548DD4" w:themeColor="text2" w:themeTint="99"/>
        </w:rPr>
        <w:footnoteReference w:id="13"/>
      </w:r>
      <w:r w:rsidR="00F8603E" w:rsidRPr="009B2451">
        <w:rPr>
          <w:rFonts w:cs="Times New Roman"/>
          <w:u w:color="548DD4" w:themeColor="text2" w:themeTint="99"/>
        </w:rPr>
        <w:t xml:space="preserve"> Decoration in provincial shops must have been more limited, though in tourist resorts the level of decoration may well </w:t>
      </w:r>
      <w:r w:rsidR="009B2451">
        <w:rPr>
          <w:rFonts w:cs="Times New Roman"/>
          <w:u w:color="548DD4" w:themeColor="text2" w:themeTint="99"/>
        </w:rPr>
        <w:t xml:space="preserve">have matched London standards. </w:t>
      </w:r>
      <w:r w:rsidR="00F8603E" w:rsidRPr="009B2451">
        <w:rPr>
          <w:rFonts w:cs="Times New Roman"/>
          <w:u w:color="548DD4" w:themeColor="text2" w:themeTint="99"/>
        </w:rPr>
        <w:t>The shop front gave shopkeepers not just the opportunity to display the goods on sale but also to declare their own good taste, trustworthiness and the weight of finances behind them</w:t>
      </w:r>
      <w:r w:rsidR="00CE5673" w:rsidRPr="009B2451">
        <w:rPr>
          <w:rFonts w:cs="Times New Roman"/>
          <w:u w:color="548DD4" w:themeColor="text2" w:themeTint="99"/>
        </w:rPr>
        <w:t>.</w:t>
      </w:r>
      <w:r w:rsidR="00CC2CCA" w:rsidRPr="009B2451">
        <w:rPr>
          <w:rStyle w:val="FootnoteReference"/>
          <w:rFonts w:cs="Times New Roman"/>
          <w:u w:color="548DD4" w:themeColor="text2" w:themeTint="99"/>
        </w:rPr>
        <w:footnoteReference w:id="14"/>
      </w:r>
      <w:r w:rsidR="00F8603E" w:rsidRPr="009B2451">
        <w:rPr>
          <w:rFonts w:cs="Times New Roman"/>
          <w:u w:color="548DD4" w:themeColor="text2" w:themeTint="99"/>
        </w:rPr>
        <w:t xml:space="preserve"> The latest architectural fashions and the shop window </w:t>
      </w:r>
      <w:r w:rsidR="00187ABE" w:rsidRPr="009B2451">
        <w:rPr>
          <w:rFonts w:cs="Times New Roman"/>
          <w:u w:color="548DD4" w:themeColor="text2" w:themeTint="99"/>
        </w:rPr>
        <w:t>could be used as</w:t>
      </w:r>
      <w:r w:rsidR="00F8603E" w:rsidRPr="009B2451">
        <w:rPr>
          <w:rFonts w:cs="Times New Roman"/>
          <w:u w:color="548DD4" w:themeColor="text2" w:themeTint="99"/>
        </w:rPr>
        <w:t xml:space="preserve"> important method</w:t>
      </w:r>
      <w:r w:rsidR="00187ABE" w:rsidRPr="009B2451">
        <w:rPr>
          <w:rFonts w:cs="Times New Roman"/>
          <w:u w:color="548DD4" w:themeColor="text2" w:themeTint="99"/>
        </w:rPr>
        <w:t>s</w:t>
      </w:r>
      <w:r w:rsidR="00F8603E" w:rsidRPr="009B2451">
        <w:rPr>
          <w:rFonts w:cs="Times New Roman"/>
          <w:u w:color="548DD4" w:themeColor="text2" w:themeTint="99"/>
        </w:rPr>
        <w:t xml:space="preserve"> of luring customers into the shop. A ‘neatly painted exterior’</w:t>
      </w:r>
      <w:r w:rsidR="00CC2CCA" w:rsidRPr="009B2451">
        <w:rPr>
          <w:rStyle w:val="FootnoteReference"/>
          <w:rFonts w:cs="Times New Roman"/>
          <w:u w:color="548DD4" w:themeColor="text2" w:themeTint="99"/>
        </w:rPr>
        <w:footnoteReference w:id="15"/>
      </w:r>
      <w:r w:rsidR="00F8603E" w:rsidRPr="009B2451">
        <w:rPr>
          <w:rFonts w:cs="Times New Roman"/>
          <w:u w:color="548DD4" w:themeColor="text2" w:themeTint="99"/>
        </w:rPr>
        <w:t xml:space="preserve"> was both a symbol and an advertisement.</w:t>
      </w:r>
      <w:r w:rsidR="00F72790" w:rsidRPr="009B2451">
        <w:rPr>
          <w:rFonts w:cs="Times New Roman"/>
          <w:u w:color="548DD4" w:themeColor="text2" w:themeTint="99"/>
        </w:rPr>
        <w:t xml:space="preserve"> </w:t>
      </w:r>
      <w:r w:rsidR="00AD62D1" w:rsidRPr="009B2451">
        <w:rPr>
          <w:rFonts w:cs="Times New Roman"/>
          <w:u w:color="548DD4" w:themeColor="text2" w:themeTint="99"/>
        </w:rPr>
        <w:t xml:space="preserve">The current models of improvement and consumption </w:t>
      </w:r>
      <w:r w:rsidR="00F72790" w:rsidRPr="009B2451">
        <w:rPr>
          <w:rFonts w:cs="Times New Roman"/>
          <w:u w:color="548DD4" w:themeColor="text2" w:themeTint="99"/>
        </w:rPr>
        <w:t>are</w:t>
      </w:r>
      <w:r w:rsidR="00AD62D1" w:rsidRPr="009B2451">
        <w:rPr>
          <w:rFonts w:cs="Times New Roman"/>
          <w:u w:color="548DD4" w:themeColor="text2" w:themeTint="99"/>
        </w:rPr>
        <w:t xml:space="preserve"> </w:t>
      </w:r>
      <w:r w:rsidR="00F72790" w:rsidRPr="009B2451">
        <w:rPr>
          <w:rFonts w:cs="Times New Roman"/>
          <w:u w:color="548DD4" w:themeColor="text2" w:themeTint="99"/>
        </w:rPr>
        <w:t xml:space="preserve">therefore </w:t>
      </w:r>
      <w:r w:rsidR="00AD62D1" w:rsidRPr="009B2451">
        <w:rPr>
          <w:rFonts w:cs="Times New Roman"/>
          <w:u w:color="548DD4" w:themeColor="text2" w:themeTint="99"/>
        </w:rPr>
        <w:t xml:space="preserve">broadly in agreement </w:t>
      </w:r>
      <w:r w:rsidR="00F72790" w:rsidRPr="009B2451">
        <w:rPr>
          <w:rFonts w:cs="Times New Roman"/>
          <w:u w:color="548DD4" w:themeColor="text2" w:themeTint="99"/>
        </w:rPr>
        <w:t>concerning</w:t>
      </w:r>
      <w:r w:rsidR="00AD62D1" w:rsidRPr="009B2451">
        <w:rPr>
          <w:rFonts w:cs="Times New Roman"/>
          <w:u w:color="548DD4" w:themeColor="text2" w:themeTint="99"/>
        </w:rPr>
        <w:t xml:space="preserve"> the importance of classical, uniform facades an</w:t>
      </w:r>
      <w:r w:rsidR="00F72790" w:rsidRPr="009B2451">
        <w:rPr>
          <w:rFonts w:cs="Times New Roman"/>
          <w:u w:color="548DD4" w:themeColor="text2" w:themeTint="99"/>
        </w:rPr>
        <w:t>d their link with greater levels</w:t>
      </w:r>
      <w:r w:rsidR="00AD62D1" w:rsidRPr="009B2451">
        <w:rPr>
          <w:rFonts w:cs="Times New Roman"/>
          <w:u w:color="548DD4" w:themeColor="text2" w:themeTint="99"/>
        </w:rPr>
        <w:t xml:space="preserve"> of politeness and improvement.</w:t>
      </w:r>
    </w:p>
    <w:p w:rsidR="00EB7604" w:rsidRPr="009B2451" w:rsidRDefault="00307CDF" w:rsidP="009B2451">
      <w:pPr>
        <w:spacing w:line="360" w:lineRule="auto"/>
        <w:ind w:firstLine="737"/>
        <w:rPr>
          <w:rFonts w:cs="Times New Roman"/>
          <w:u w:color="548DD4" w:themeColor="text2" w:themeTint="99"/>
        </w:rPr>
      </w:pPr>
      <w:r w:rsidRPr="009B2451">
        <w:rPr>
          <w:rFonts w:cs="Times New Roman"/>
          <w:u w:color="548DD4" w:themeColor="text2" w:themeTint="99"/>
        </w:rPr>
        <w:t xml:space="preserve">These aspirations for improvement are undeniably important when considering the eighteenth-century street, but </w:t>
      </w:r>
      <w:r w:rsidR="00CC2CCA" w:rsidRPr="009B2451">
        <w:rPr>
          <w:rFonts w:cs="Times New Roman"/>
          <w:u w:color="548DD4" w:themeColor="text2" w:themeTint="99"/>
        </w:rPr>
        <w:t>they are not the whole story</w:t>
      </w:r>
      <w:r w:rsidRPr="009B2451">
        <w:rPr>
          <w:rFonts w:cs="Times New Roman"/>
          <w:u w:color="548DD4" w:themeColor="text2" w:themeTint="99"/>
        </w:rPr>
        <w:t xml:space="preserve">. </w:t>
      </w:r>
      <w:r w:rsidR="00F72790" w:rsidRPr="009B2451">
        <w:rPr>
          <w:bCs/>
          <w:szCs w:val="32"/>
        </w:rPr>
        <w:t>The physical evidence that still exists in the form of standing buildings and streets has not been consistently incorporated into current models</w:t>
      </w:r>
      <w:r w:rsidR="00EB7604" w:rsidRPr="009B2451">
        <w:rPr>
          <w:bCs/>
          <w:szCs w:val="32"/>
        </w:rPr>
        <w:t xml:space="preserve">. This evidence </w:t>
      </w:r>
      <w:r w:rsidR="00EB7604" w:rsidRPr="009B2451">
        <w:rPr>
          <w:szCs w:val="22"/>
        </w:rPr>
        <w:t>has the power to challenge, nuance and reinterpret large-scale social and cultural changes including urban improvement and consumption practices.</w:t>
      </w:r>
      <w:r w:rsidR="00EB7604" w:rsidRPr="009B2451">
        <w:rPr>
          <w:rFonts w:cs="Times New Roman"/>
          <w:u w:color="548DD4" w:themeColor="text2" w:themeTint="99"/>
        </w:rPr>
        <w:t xml:space="preserve"> The value of this evidence is brought into focus when </w:t>
      </w:r>
      <w:r w:rsidR="00AC378B" w:rsidRPr="009B2451">
        <w:t xml:space="preserve">towns such as York start to be looked at on a street-by-street level as they don’t just contain tensions in the form of conflicting architecture but often fall far short of the </w:t>
      </w:r>
      <w:r w:rsidR="00F72790" w:rsidRPr="009B2451">
        <w:t xml:space="preserve">current </w:t>
      </w:r>
      <w:r w:rsidR="000A18D4">
        <w:t xml:space="preserve">academic </w:t>
      </w:r>
      <w:r w:rsidR="00F72790" w:rsidRPr="009B2451">
        <w:t>models</w:t>
      </w:r>
      <w:r w:rsidR="00AC378B" w:rsidRPr="009B2451">
        <w:t xml:space="preserve"> of urban renewal. York was a focus </w:t>
      </w:r>
      <w:r w:rsidR="00222C5A" w:rsidRPr="009B2451">
        <w:t>for polite society in the North</w:t>
      </w:r>
      <w:r w:rsidR="00CC2CCA" w:rsidRPr="009B2451">
        <w:rPr>
          <w:rStyle w:val="FootnoteReference"/>
        </w:rPr>
        <w:footnoteReference w:id="16"/>
      </w:r>
      <w:r w:rsidR="00747D7E" w:rsidRPr="009B2451">
        <w:t xml:space="preserve"> </w:t>
      </w:r>
      <w:r w:rsidR="00592457" w:rsidRPr="009B2451">
        <w:t>and</w:t>
      </w:r>
      <w:r w:rsidR="00AC378B" w:rsidRPr="009B2451">
        <w:t xml:space="preserve"> </w:t>
      </w:r>
      <w:r w:rsidR="00592457" w:rsidRPr="009B2451">
        <w:rPr>
          <w:rFonts w:cs="Times New Roman"/>
        </w:rPr>
        <w:t>was part of a small group of elite provincial capitals</w:t>
      </w:r>
      <w:r w:rsidR="00CC2CCA" w:rsidRPr="009B2451">
        <w:rPr>
          <w:rStyle w:val="FootnoteReference"/>
          <w:rFonts w:cs="Times New Roman"/>
        </w:rPr>
        <w:footnoteReference w:id="17"/>
      </w:r>
      <w:r w:rsidR="00592457" w:rsidRPr="009B2451">
        <w:rPr>
          <w:rFonts w:cs="Times New Roman"/>
        </w:rPr>
        <w:t xml:space="preserve">, </w:t>
      </w:r>
      <w:r w:rsidR="00AC378B" w:rsidRPr="009B2451">
        <w:t xml:space="preserve">yet </w:t>
      </w:r>
      <w:r w:rsidR="00592457" w:rsidRPr="009B2451">
        <w:t>even here</w:t>
      </w:r>
      <w:r w:rsidR="00AC378B" w:rsidRPr="009B2451">
        <w:t xml:space="preserve"> the streets were far from uniform and there were numerous examp</w:t>
      </w:r>
      <w:r w:rsidR="008E1C54" w:rsidRPr="009B2451">
        <w:t>les of earlier medieval fabric</w:t>
      </w:r>
      <w:r w:rsidR="00EB7604" w:rsidRPr="009B2451">
        <w:t xml:space="preserve">. </w:t>
      </w:r>
    </w:p>
    <w:p w:rsidR="0065489E" w:rsidRPr="009B2451" w:rsidRDefault="000A18D4" w:rsidP="009B2451">
      <w:pPr>
        <w:spacing w:line="360" w:lineRule="auto"/>
        <w:ind w:firstLine="737"/>
        <w:rPr>
          <w:rFonts w:cs="Times New Roman"/>
          <w:u w:color="548DD4" w:themeColor="text2" w:themeTint="99"/>
        </w:rPr>
      </w:pPr>
      <w:r>
        <w:t>The prevalence of earlier buildings</w:t>
      </w:r>
      <w:r w:rsidR="00D172B7" w:rsidRPr="009B2451">
        <w:t xml:space="preserve"> </w:t>
      </w:r>
      <w:r>
        <w:t xml:space="preserve">in York </w:t>
      </w:r>
      <w:r w:rsidR="00D172B7" w:rsidRPr="009B2451">
        <w:t xml:space="preserve">can be illustrated by </w:t>
      </w:r>
      <w:r w:rsidR="00B9346A" w:rsidRPr="009B2451">
        <w:t>investigating</w:t>
      </w:r>
      <w:r w:rsidR="00D172B7" w:rsidRPr="009B2451">
        <w:t xml:space="preserve"> the </w:t>
      </w:r>
      <w:r w:rsidR="003F1B14" w:rsidRPr="009B2451">
        <w:t xml:space="preserve">neighbouring </w:t>
      </w:r>
      <w:r w:rsidR="00D172B7" w:rsidRPr="009B2451">
        <w:t>streets of High</w:t>
      </w:r>
      <w:r>
        <w:t xml:space="preserve"> Ousegate and Pavement. These w</w:t>
      </w:r>
      <w:r w:rsidR="00D172B7" w:rsidRPr="009B2451">
        <w:t xml:space="preserve">ere among the most fashionable </w:t>
      </w:r>
      <w:r w:rsidR="00F420B7" w:rsidRPr="009B2451">
        <w:t xml:space="preserve">shopping </w:t>
      </w:r>
      <w:r w:rsidR="00D172B7" w:rsidRPr="009B2451">
        <w:t>streets in York, with high concentrations of shops selling goods aimed at the gentry</w:t>
      </w:r>
      <w:r w:rsidR="00AA203A" w:rsidRPr="009B2451">
        <w:t xml:space="preserve"> and lesser gentry</w:t>
      </w:r>
      <w:r w:rsidR="00D172B7" w:rsidRPr="009B2451">
        <w:t>, in particular, linen and woolen drapers, mercers and booksellers</w:t>
      </w:r>
      <w:r w:rsidR="00CE5673" w:rsidRPr="009B2451">
        <w:t>.</w:t>
      </w:r>
      <w:r w:rsidR="00CC2CCA" w:rsidRPr="009B2451">
        <w:rPr>
          <w:rStyle w:val="FootnoteReference"/>
        </w:rPr>
        <w:footnoteReference w:id="18"/>
      </w:r>
      <w:r w:rsidR="00D172B7" w:rsidRPr="009B2451">
        <w:t xml:space="preserve"> </w:t>
      </w:r>
      <w:r w:rsidR="00564A9F" w:rsidRPr="009B2451">
        <w:t xml:space="preserve">The streetscapes were also very mixed, with examples of earlier surviving houses breaking up the uniform appearance of the streets. </w:t>
      </w:r>
      <w:r w:rsidR="0065489E" w:rsidRPr="009B2451">
        <w:t>High Ousegate</w:t>
      </w:r>
      <w:r w:rsidR="00891855">
        <w:t xml:space="preserve"> was first recorded in</w:t>
      </w:r>
      <w:r w:rsidR="00707FFD" w:rsidRPr="009B2451">
        <w:t xml:space="preserve"> 1120-1133</w:t>
      </w:r>
      <w:r w:rsidR="00222C5A" w:rsidRPr="009B2451">
        <w:t xml:space="preserve"> and Pavement in 1329</w:t>
      </w:r>
      <w:r w:rsidR="00CC2CCA" w:rsidRPr="009B2451">
        <w:rPr>
          <w:rStyle w:val="FootnoteReference"/>
        </w:rPr>
        <w:footnoteReference w:id="19"/>
      </w:r>
      <w:r w:rsidR="00707FFD" w:rsidRPr="009B2451">
        <w:t xml:space="preserve"> </w:t>
      </w:r>
      <w:r w:rsidR="0065489E" w:rsidRPr="009B2451">
        <w:t xml:space="preserve">and they are aligned with the main entry point to the city from the south.  </w:t>
      </w:r>
    </w:p>
    <w:p w:rsidR="00570994" w:rsidRPr="009B2451" w:rsidRDefault="00682C5F" w:rsidP="009B2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37"/>
        <w:rPr>
          <w:rFonts w:cs="Times New Roman"/>
        </w:rPr>
      </w:pPr>
      <w:r w:rsidRPr="009B2451">
        <w:rPr>
          <w:rFonts w:cs="Times New Roman"/>
        </w:rPr>
        <w:t xml:space="preserve">The methodology </w:t>
      </w:r>
      <w:r w:rsidR="001E13D7" w:rsidRPr="009B2451">
        <w:rPr>
          <w:rFonts w:cs="Times New Roman"/>
        </w:rPr>
        <w:t>utilis</w:t>
      </w:r>
      <w:r w:rsidR="00747D7E" w:rsidRPr="009B2451">
        <w:rPr>
          <w:rFonts w:cs="Times New Roman"/>
        </w:rPr>
        <w:t>ed in this study</w:t>
      </w:r>
      <w:r w:rsidRPr="009B2451">
        <w:rPr>
          <w:rFonts w:cs="Times New Roman"/>
        </w:rPr>
        <w:t xml:space="preserve"> inv</w:t>
      </w:r>
      <w:r w:rsidR="00747D7E" w:rsidRPr="009B2451">
        <w:rPr>
          <w:rFonts w:cs="Times New Roman"/>
        </w:rPr>
        <w:t xml:space="preserve">olves the use of buildings </w:t>
      </w:r>
      <w:r w:rsidR="002E5254" w:rsidRPr="009B2451">
        <w:rPr>
          <w:rFonts w:cs="Times New Roman"/>
        </w:rPr>
        <w:t xml:space="preserve">and landscape </w:t>
      </w:r>
      <w:r w:rsidR="00747D7E" w:rsidRPr="009B2451">
        <w:rPr>
          <w:rFonts w:cs="Times New Roman"/>
        </w:rPr>
        <w:t>biog</w:t>
      </w:r>
      <w:r w:rsidRPr="009B2451">
        <w:rPr>
          <w:rFonts w:cs="Times New Roman"/>
        </w:rPr>
        <w:t xml:space="preserve">raphies. </w:t>
      </w:r>
      <w:r w:rsidR="00EB7604" w:rsidRPr="009B2451">
        <w:rPr>
          <w:bCs/>
          <w:szCs w:val="32"/>
        </w:rPr>
        <w:t xml:space="preserve">This combines </w:t>
      </w:r>
      <w:r w:rsidR="00EB7604" w:rsidRPr="009B2451">
        <w:rPr>
          <w:szCs w:val="22"/>
        </w:rPr>
        <w:t>detailed architectural survey of individual properties</w:t>
      </w:r>
      <w:r w:rsidR="00EB7604" w:rsidRPr="009B2451">
        <w:rPr>
          <w:rStyle w:val="FootnoteReference"/>
          <w:szCs w:val="22"/>
        </w:rPr>
        <w:footnoteReference w:id="20"/>
      </w:r>
      <w:r w:rsidR="00EB7604" w:rsidRPr="009B2451">
        <w:rPr>
          <w:szCs w:val="22"/>
        </w:rPr>
        <w:t xml:space="preserve"> with the examination of a wide range of documentary sources, including rate books, trade directories, newspapers, and wills </w:t>
      </w:r>
      <w:r w:rsidR="00EB7604" w:rsidRPr="009B2451">
        <w:t>to create a ‘biographical’ approach to houses and their inhabitants</w:t>
      </w:r>
      <w:r w:rsidR="00EB7604" w:rsidRPr="009B2451">
        <w:rPr>
          <w:szCs w:val="22"/>
        </w:rPr>
        <w:t>.</w:t>
      </w:r>
      <w:r w:rsidR="00EB7604" w:rsidRPr="009B2451">
        <w:rPr>
          <w:rFonts w:cs="Times New Roman"/>
        </w:rPr>
        <w:t xml:space="preserve"> </w:t>
      </w:r>
      <w:r w:rsidR="002404CF" w:rsidRPr="009B2451">
        <w:rPr>
          <w:rFonts w:cs="Times New Roman"/>
        </w:rPr>
        <w:t xml:space="preserve">This highlights the </w:t>
      </w:r>
      <w:r w:rsidR="008C799C" w:rsidRPr="009B2451">
        <w:rPr>
          <w:rFonts w:cs="Times New Roman"/>
        </w:rPr>
        <w:t>relationship between individuals and the places they lived</w:t>
      </w:r>
      <w:r w:rsidR="0078082B" w:rsidRPr="009B2451">
        <w:rPr>
          <w:rFonts w:cs="Times New Roman"/>
        </w:rPr>
        <w:t xml:space="preserve"> in</w:t>
      </w:r>
      <w:r w:rsidR="0078082B" w:rsidRPr="009B2451">
        <w:rPr>
          <w:rStyle w:val="FootnoteReference"/>
          <w:rFonts w:cs="Times New Roman"/>
        </w:rPr>
        <w:footnoteReference w:id="21"/>
      </w:r>
      <w:r w:rsidR="0078082B" w:rsidRPr="009B2451">
        <w:rPr>
          <w:rFonts w:cs="Times New Roman"/>
        </w:rPr>
        <w:t xml:space="preserve"> and the role of material culture in helping to create and transform social relations</w:t>
      </w:r>
      <w:r w:rsidR="0078082B" w:rsidRPr="009B2451">
        <w:rPr>
          <w:rStyle w:val="FootnoteReference"/>
          <w:rFonts w:cs="Times New Roman"/>
        </w:rPr>
        <w:footnoteReference w:id="22"/>
      </w:r>
      <w:r w:rsidR="008C799C" w:rsidRPr="009B2451">
        <w:rPr>
          <w:rFonts w:cs="Times New Roman"/>
        </w:rPr>
        <w:t xml:space="preserve">. It allows the researcher to link buildings with particular individuals, facilitating the study of how both house and owner influenced each other. This </w:t>
      </w:r>
      <w:r w:rsidR="0078082B" w:rsidRPr="009B2451">
        <w:rPr>
          <w:rFonts w:cs="Times New Roman"/>
        </w:rPr>
        <w:t xml:space="preserve">also </w:t>
      </w:r>
      <w:r w:rsidR="008C799C" w:rsidRPr="009B2451">
        <w:rPr>
          <w:rFonts w:cs="Times New Roman"/>
        </w:rPr>
        <w:t xml:space="preserve">applies to biographies of streets as a whole and how they were used and experienced. </w:t>
      </w:r>
      <w:r w:rsidR="00222C5A" w:rsidRPr="009B2451">
        <w:rPr>
          <w:rFonts w:cs="Times New Roman"/>
        </w:rPr>
        <w:t xml:space="preserve">Gavin Lucas </w:t>
      </w:r>
      <w:r w:rsidRPr="009B2451">
        <w:rPr>
          <w:rFonts w:cs="Times New Roman"/>
        </w:rPr>
        <w:t xml:space="preserve">has highlighted </w:t>
      </w:r>
      <w:r w:rsidR="002404CF" w:rsidRPr="009B2451">
        <w:rPr>
          <w:rFonts w:cs="Times New Roman"/>
        </w:rPr>
        <w:t>a number of</w:t>
      </w:r>
      <w:r w:rsidRPr="009B2451">
        <w:rPr>
          <w:rFonts w:cs="Times New Roman"/>
        </w:rPr>
        <w:t xml:space="preserve"> strands within archaeological biographies</w:t>
      </w:r>
      <w:r w:rsidR="00CE5673" w:rsidRPr="009B2451">
        <w:rPr>
          <w:rFonts w:cs="Times New Roman"/>
        </w:rPr>
        <w:t>.</w:t>
      </w:r>
      <w:r w:rsidR="000B7AB5" w:rsidRPr="009B2451">
        <w:rPr>
          <w:rStyle w:val="FootnoteReference"/>
          <w:rFonts w:cs="Times New Roman"/>
        </w:rPr>
        <w:footnoteReference w:id="23"/>
      </w:r>
      <w:r w:rsidRPr="009B2451">
        <w:rPr>
          <w:rFonts w:cs="Times New Roman"/>
        </w:rPr>
        <w:t xml:space="preserve"> </w:t>
      </w:r>
      <w:r w:rsidR="008C799C" w:rsidRPr="009B2451">
        <w:rPr>
          <w:rFonts w:cs="Times New Roman"/>
        </w:rPr>
        <w:t xml:space="preserve">The most important in the current context </w:t>
      </w:r>
      <w:r w:rsidR="001E13D7" w:rsidRPr="009B2451">
        <w:rPr>
          <w:rFonts w:cs="Times New Roman"/>
        </w:rPr>
        <w:t>concentrates on the life histories</w:t>
      </w:r>
      <w:r w:rsidRPr="009B2451">
        <w:rPr>
          <w:rFonts w:cs="Times New Roman"/>
        </w:rPr>
        <w:t xml:space="preserve"> of material culture rather than people and emphasises the temporal aspect, how meanings change </w:t>
      </w:r>
      <w:r w:rsidR="00222C5A" w:rsidRPr="009B2451">
        <w:rPr>
          <w:rFonts w:cs="Times New Roman"/>
        </w:rPr>
        <w:t>and are renegotiated over time</w:t>
      </w:r>
      <w:r w:rsidR="00A905A5" w:rsidRPr="009B2451">
        <w:rPr>
          <w:rFonts w:cs="Times New Roman"/>
        </w:rPr>
        <w:t>.</w:t>
      </w:r>
      <w:r w:rsidR="000B7AB5" w:rsidRPr="009B2451">
        <w:rPr>
          <w:rStyle w:val="FootnoteReference"/>
          <w:rFonts w:cs="Times New Roman"/>
        </w:rPr>
        <w:footnoteReference w:id="24"/>
      </w:r>
      <w:r w:rsidR="001E13D7" w:rsidRPr="009B2451">
        <w:rPr>
          <w:rFonts w:cs="Times New Roman"/>
        </w:rPr>
        <w:t xml:space="preserve"> </w:t>
      </w:r>
      <w:r w:rsidR="002404CF" w:rsidRPr="009B2451">
        <w:rPr>
          <w:rFonts w:cs="Times New Roman"/>
        </w:rPr>
        <w:t xml:space="preserve">In the case of the present study, this </w:t>
      </w:r>
      <w:r w:rsidR="008C799C" w:rsidRPr="009B2451">
        <w:rPr>
          <w:rFonts w:cs="Times New Roman"/>
        </w:rPr>
        <w:t xml:space="preserve">highlights the importance and prevalence of medieval </w:t>
      </w:r>
      <w:r w:rsidR="0078082B" w:rsidRPr="009B2451">
        <w:rPr>
          <w:rFonts w:cs="Times New Roman"/>
        </w:rPr>
        <w:t>vernacular buildings</w:t>
      </w:r>
      <w:r w:rsidR="008C799C" w:rsidRPr="009B2451">
        <w:rPr>
          <w:rFonts w:cs="Times New Roman"/>
        </w:rPr>
        <w:t xml:space="preserve"> in the Georgian city and the complex reactions to it in the eighteenth century. </w:t>
      </w:r>
      <w:r w:rsidR="002404CF" w:rsidRPr="009B2451">
        <w:rPr>
          <w:rFonts w:cs="Times New Roman"/>
        </w:rPr>
        <w:t xml:space="preserve">The biographical approach is also closely aligned with current thinking in historical archaeology more generally, with Dan Hicks arguing that the strength of the discipline lies in exploring </w:t>
      </w:r>
      <w:r w:rsidR="008C799C" w:rsidRPr="009B2451">
        <w:rPr>
          <w:rFonts w:cs="Times New Roman"/>
        </w:rPr>
        <w:t xml:space="preserve">the </w:t>
      </w:r>
      <w:r w:rsidR="002404CF" w:rsidRPr="009B2451">
        <w:rPr>
          <w:rFonts w:cs="Times New Roman"/>
        </w:rPr>
        <w:t>messiness and diversity behind grand social narratives such as improvement and georgianisation</w:t>
      </w:r>
      <w:r w:rsidR="002404CF" w:rsidRPr="009B2451">
        <w:rPr>
          <w:rStyle w:val="FootnoteReference"/>
          <w:rFonts w:cs="Times New Roman"/>
        </w:rPr>
        <w:footnoteReference w:id="25"/>
      </w:r>
      <w:r w:rsidR="002404CF" w:rsidRPr="009B2451">
        <w:rPr>
          <w:rFonts w:cs="Times New Roman"/>
        </w:rPr>
        <w:t>. The close-grained, small-scale ‘street stories’ produced here have the potential to illuminate and complicate the large-scale social and cultural changes associated with the emergence of modernity.</w:t>
      </w:r>
    </w:p>
    <w:p w:rsidR="001837D0" w:rsidRPr="009B2451" w:rsidRDefault="0065489E" w:rsidP="009B2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37"/>
        <w:rPr>
          <w:lang w:val="en-GB"/>
        </w:rPr>
      </w:pPr>
      <w:r w:rsidRPr="009B2451">
        <w:rPr>
          <w:rFonts w:cs="Times New Roman"/>
        </w:rPr>
        <w:t xml:space="preserve">The extent of surviving </w:t>
      </w:r>
      <w:r w:rsidR="00EB7604" w:rsidRPr="009B2451">
        <w:rPr>
          <w:rFonts w:cs="Times New Roman"/>
        </w:rPr>
        <w:t xml:space="preserve">physical </w:t>
      </w:r>
      <w:r w:rsidRPr="009B2451">
        <w:rPr>
          <w:rFonts w:cs="Times New Roman"/>
        </w:rPr>
        <w:t>fabric is very varied between the two streets, yet the evidence is augmented by numerous documentary records. These include extensive photographs</w:t>
      </w:r>
      <w:r w:rsidR="001837D0" w:rsidRPr="009B2451">
        <w:rPr>
          <w:rFonts w:cs="Times New Roman"/>
        </w:rPr>
        <w:t>,</w:t>
      </w:r>
      <w:r w:rsidRPr="009B2451">
        <w:rPr>
          <w:rFonts w:cs="Times New Roman"/>
        </w:rPr>
        <w:t xml:space="preserve"> illustrations</w:t>
      </w:r>
      <w:r w:rsidR="001837D0" w:rsidRPr="009B2451">
        <w:rPr>
          <w:rFonts w:cs="Times New Roman"/>
        </w:rPr>
        <w:t xml:space="preserve"> from the early nineteenth century</w:t>
      </w:r>
      <w:r w:rsidRPr="009B2451">
        <w:rPr>
          <w:rFonts w:cs="Times New Roman"/>
        </w:rPr>
        <w:t xml:space="preserve">, </w:t>
      </w:r>
      <w:r w:rsidR="001837D0" w:rsidRPr="009B2451">
        <w:rPr>
          <w:lang w:val="en-GB"/>
        </w:rPr>
        <w:t>the 1852 l</w:t>
      </w:r>
      <w:r w:rsidR="00D85835" w:rsidRPr="009B2451">
        <w:rPr>
          <w:lang w:val="en-GB"/>
        </w:rPr>
        <w:t>arge-scale Ordnance survey map</w:t>
      </w:r>
      <w:r w:rsidRPr="009B2451">
        <w:rPr>
          <w:rFonts w:cs="Times New Roman"/>
        </w:rPr>
        <w:t xml:space="preserve">, </w:t>
      </w:r>
      <w:r w:rsidR="001837D0" w:rsidRPr="009B2451">
        <w:rPr>
          <w:rFonts w:cs="Times New Roman"/>
        </w:rPr>
        <w:t xml:space="preserve">contemporary </w:t>
      </w:r>
      <w:r w:rsidRPr="009B2451">
        <w:rPr>
          <w:rFonts w:cs="Times New Roman"/>
        </w:rPr>
        <w:t>newspaper advertisements and in particular the maps made by the antiquarian Dr William White</w:t>
      </w:r>
      <w:r w:rsidR="00A905A5" w:rsidRPr="009B2451">
        <w:rPr>
          <w:rFonts w:cs="Times New Roman"/>
        </w:rPr>
        <w:t>.</w:t>
      </w:r>
      <w:r w:rsidR="007A7A1D" w:rsidRPr="009B2451">
        <w:rPr>
          <w:rStyle w:val="FootnoteReference"/>
          <w:rFonts w:cs="Times New Roman"/>
        </w:rPr>
        <w:footnoteReference w:id="26"/>
      </w:r>
      <w:r w:rsidRPr="009B2451">
        <w:rPr>
          <w:rFonts w:cs="Times New Roman"/>
        </w:rPr>
        <w:t xml:space="preserve"> </w:t>
      </w:r>
      <w:r w:rsidRPr="009B2451">
        <w:rPr>
          <w:lang w:val="en-GB"/>
        </w:rPr>
        <w:t xml:space="preserve">These were produced </w:t>
      </w:r>
      <w:r w:rsidR="001837D0" w:rsidRPr="009B2451">
        <w:rPr>
          <w:lang w:val="en-GB"/>
        </w:rPr>
        <w:t>c.</w:t>
      </w:r>
      <w:r w:rsidR="00FF7DBE" w:rsidRPr="009B2451">
        <w:rPr>
          <w:lang w:val="en-GB"/>
        </w:rPr>
        <w:t xml:space="preserve">1782 and detail 12 </w:t>
      </w:r>
      <w:r w:rsidRPr="009B2451">
        <w:rPr>
          <w:lang w:val="en-GB"/>
        </w:rPr>
        <w:t>streets in York</w:t>
      </w:r>
      <w:r w:rsidR="00222C5A" w:rsidRPr="009B2451">
        <w:rPr>
          <w:lang w:val="en-GB"/>
        </w:rPr>
        <w:t xml:space="preserve"> as they appeared at the time</w:t>
      </w:r>
      <w:r w:rsidR="00A905A5" w:rsidRPr="009B2451">
        <w:rPr>
          <w:lang w:val="en-GB"/>
        </w:rPr>
        <w:t>.</w:t>
      </w:r>
      <w:r w:rsidR="007A7A1D" w:rsidRPr="009B2451">
        <w:rPr>
          <w:rStyle w:val="FootnoteReference"/>
          <w:lang w:val="en-GB"/>
        </w:rPr>
        <w:footnoteReference w:id="27"/>
      </w:r>
      <w:r w:rsidRPr="009B2451">
        <w:rPr>
          <w:lang w:val="en-GB"/>
        </w:rPr>
        <w:t xml:space="preserve"> They delineate plot boundaries and note the names and occupations of the occupants. </w:t>
      </w:r>
      <w:r w:rsidR="001837D0" w:rsidRPr="009B2451">
        <w:rPr>
          <w:lang w:val="en-GB"/>
        </w:rPr>
        <w:t xml:space="preserve">These sources can be used to cross-reference each </w:t>
      </w:r>
      <w:r w:rsidR="009A215E" w:rsidRPr="009B2451">
        <w:rPr>
          <w:lang w:val="en-GB"/>
        </w:rPr>
        <w:t>other and check their accuracy</w:t>
      </w:r>
      <w:r w:rsidR="001837D0" w:rsidRPr="009B2451">
        <w:rPr>
          <w:lang w:val="en-GB"/>
        </w:rPr>
        <w:t xml:space="preserve">. </w:t>
      </w:r>
    </w:p>
    <w:p w:rsidR="00816689" w:rsidRPr="009B2451" w:rsidRDefault="001837D0" w:rsidP="009B2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37"/>
        <w:rPr>
          <w:lang w:val="en-GB"/>
        </w:rPr>
      </w:pPr>
      <w:r w:rsidRPr="009B2451">
        <w:rPr>
          <w:lang w:val="en-GB"/>
        </w:rPr>
        <w:t>The combination of these sources is particularly useful when it comes to examining Pavement. Here much of the fabric that was present in the eighteenth century has not survived, and t</w:t>
      </w:r>
      <w:r w:rsidR="00816689" w:rsidRPr="009B2451">
        <w:rPr>
          <w:lang w:val="en-GB"/>
        </w:rPr>
        <w:t>he southern end of the street is now essentially a busy crossroads. The east side was punctured between 1835 and 1840 with the creation of Parliament Street, which was built to establish</w:t>
      </w:r>
      <w:r w:rsidR="00222C5A" w:rsidRPr="009B2451">
        <w:rPr>
          <w:lang w:val="en-GB"/>
        </w:rPr>
        <w:t xml:space="preserve"> a new market place</w:t>
      </w:r>
      <w:r w:rsidR="00A905A5" w:rsidRPr="009B2451">
        <w:rPr>
          <w:lang w:val="en-GB"/>
        </w:rPr>
        <w:t>.</w:t>
      </w:r>
      <w:r w:rsidR="007A7A1D" w:rsidRPr="009B2451">
        <w:rPr>
          <w:rStyle w:val="FootnoteReference"/>
          <w:lang w:val="en-GB"/>
        </w:rPr>
        <w:footnoteReference w:id="28"/>
      </w:r>
      <w:r w:rsidR="00816689" w:rsidRPr="009B2451">
        <w:rPr>
          <w:lang w:val="en-GB"/>
        </w:rPr>
        <w:t xml:space="preserve"> On the west side </w:t>
      </w:r>
      <w:r w:rsidR="00891855">
        <w:rPr>
          <w:lang w:val="en-GB"/>
        </w:rPr>
        <w:t xml:space="preserve">there </w:t>
      </w:r>
      <w:r w:rsidR="00816689" w:rsidRPr="009B2451">
        <w:rPr>
          <w:lang w:val="en-GB"/>
        </w:rPr>
        <w:t>now stands Piccad</w:t>
      </w:r>
      <w:r w:rsidR="00222C5A" w:rsidRPr="009B2451">
        <w:rPr>
          <w:lang w:val="en-GB"/>
        </w:rPr>
        <w:t>illy, which was created in 1912</w:t>
      </w:r>
      <w:r w:rsidR="00A905A5" w:rsidRPr="009B2451">
        <w:rPr>
          <w:lang w:val="en-GB"/>
        </w:rPr>
        <w:t>.</w:t>
      </w:r>
      <w:r w:rsidR="007A7A1D" w:rsidRPr="009B2451">
        <w:rPr>
          <w:rStyle w:val="FootnoteReference"/>
          <w:lang w:val="en-GB"/>
        </w:rPr>
        <w:footnoteReference w:id="29"/>
      </w:r>
      <w:r w:rsidR="00816689" w:rsidRPr="009B2451">
        <w:t xml:space="preserve"> </w:t>
      </w:r>
      <w:r w:rsidR="00816689" w:rsidRPr="009B2451">
        <w:rPr>
          <w:lang w:val="en-GB"/>
        </w:rPr>
        <w:t xml:space="preserve"> The establishment of both of these streets saw the demolition of large groups of houses, which was exacerbated in the </w:t>
      </w:r>
      <w:r w:rsidRPr="009B2451">
        <w:rPr>
          <w:lang w:val="en-GB"/>
        </w:rPr>
        <w:t>twentieth</w:t>
      </w:r>
      <w:r w:rsidR="00816689" w:rsidRPr="009B2451">
        <w:rPr>
          <w:lang w:val="en-GB"/>
        </w:rPr>
        <w:t xml:space="preserve"> century by modern shop development. </w:t>
      </w:r>
    </w:p>
    <w:p w:rsidR="00AD7691" w:rsidRPr="009B2451" w:rsidRDefault="00EB7604" w:rsidP="009B2451">
      <w:pPr>
        <w:spacing w:line="360" w:lineRule="auto"/>
        <w:ind w:firstLine="737"/>
        <w:rPr>
          <w:lang w:val="en-GB"/>
        </w:rPr>
      </w:pPr>
      <w:r w:rsidRPr="009B2451">
        <w:rPr>
          <w:lang w:val="en-GB"/>
        </w:rPr>
        <w:t>D</w:t>
      </w:r>
      <w:r w:rsidR="00816689" w:rsidRPr="009B2451">
        <w:rPr>
          <w:lang w:val="en-GB"/>
        </w:rPr>
        <w:t xml:space="preserve">espite these extensive changes this does not mean that the eighteenth-century streetscape is lost </w:t>
      </w:r>
      <w:r w:rsidR="001B19E0" w:rsidRPr="009B2451">
        <w:rPr>
          <w:lang w:val="en-GB"/>
        </w:rPr>
        <w:t>forever</w:t>
      </w:r>
      <w:r w:rsidR="00816689" w:rsidRPr="009B2451">
        <w:rPr>
          <w:lang w:val="en-GB"/>
        </w:rPr>
        <w:t xml:space="preserve"> and it is possible to reconstruct its appearance.</w:t>
      </w:r>
      <w:r w:rsidR="001837D0" w:rsidRPr="009B2451">
        <w:rPr>
          <w:lang w:val="en-GB"/>
        </w:rPr>
        <w:t xml:space="preserve"> </w:t>
      </w:r>
      <w:r w:rsidR="00FF7DBE" w:rsidRPr="009B2451">
        <w:rPr>
          <w:lang w:val="en-GB"/>
        </w:rPr>
        <w:t>This brings us back to the earlie</w:t>
      </w:r>
      <w:r w:rsidR="00DE73D0" w:rsidRPr="009B2451">
        <w:rPr>
          <w:lang w:val="en-GB"/>
        </w:rPr>
        <w:t>r illustration from 1802</w:t>
      </w:r>
      <w:r w:rsidR="004C6E3D" w:rsidRPr="009B2451">
        <w:rPr>
          <w:rStyle w:val="FootnoteReference"/>
          <w:lang w:val="en-GB"/>
        </w:rPr>
        <w:footnoteReference w:id="30"/>
      </w:r>
      <w:r w:rsidR="001C5622">
        <w:rPr>
          <w:lang w:val="en-GB"/>
        </w:rPr>
        <w:t xml:space="preserve"> (Figure</w:t>
      </w:r>
      <w:r w:rsidR="00DE73D0" w:rsidRPr="009B2451">
        <w:rPr>
          <w:lang w:val="en-GB"/>
        </w:rPr>
        <w:t xml:space="preserve"> 1</w:t>
      </w:r>
      <w:r w:rsidR="00FF7DBE" w:rsidRPr="009B2451">
        <w:rPr>
          <w:lang w:val="en-GB"/>
        </w:rPr>
        <w:t xml:space="preserve">). </w:t>
      </w:r>
      <w:r w:rsidR="000A18D4">
        <w:rPr>
          <w:lang w:val="en-GB"/>
        </w:rPr>
        <w:t>White’s drawing depicts</w:t>
      </w:r>
      <w:r w:rsidRPr="009B2451">
        <w:rPr>
          <w:lang w:val="en-GB"/>
        </w:rPr>
        <w:t xml:space="preserve"> a smart Georgian streetscape that is corroborated by numerous early photographs. However, this is only part of </w:t>
      </w:r>
      <w:r w:rsidR="00980020" w:rsidRPr="009B2451">
        <w:rPr>
          <w:lang w:val="en-GB"/>
        </w:rPr>
        <w:t>the story,</w:t>
      </w:r>
      <w:r w:rsidRPr="009B2451">
        <w:rPr>
          <w:lang w:val="en-GB"/>
        </w:rPr>
        <w:t xml:space="preserve"> for </w:t>
      </w:r>
      <w:r w:rsidR="00980020" w:rsidRPr="009B2451">
        <w:rPr>
          <w:lang w:val="en-GB"/>
        </w:rPr>
        <w:t xml:space="preserve">where the new roads would could to be built, </w:t>
      </w:r>
      <w:r w:rsidR="001E13D7" w:rsidRPr="009B2451">
        <w:rPr>
          <w:lang w:val="en-GB"/>
        </w:rPr>
        <w:t xml:space="preserve">just out of </w:t>
      </w:r>
      <w:r w:rsidR="00980020" w:rsidRPr="009B2451">
        <w:rPr>
          <w:lang w:val="en-GB"/>
        </w:rPr>
        <w:t>frame of the picture</w:t>
      </w:r>
      <w:r w:rsidR="001E13D7" w:rsidRPr="009B2451">
        <w:rPr>
          <w:lang w:val="en-GB"/>
        </w:rPr>
        <w:t xml:space="preserve"> stood rows</w:t>
      </w:r>
      <w:r w:rsidRPr="009B2451">
        <w:rPr>
          <w:lang w:val="en-GB"/>
        </w:rPr>
        <w:t xml:space="preserve"> of timber-framed properties</w:t>
      </w:r>
      <w:r w:rsidR="005E2F43" w:rsidRPr="009B2451">
        <w:rPr>
          <w:lang w:val="en-GB"/>
        </w:rPr>
        <w:t xml:space="preserve"> opposite each other</w:t>
      </w:r>
      <w:r w:rsidRPr="009B2451">
        <w:rPr>
          <w:lang w:val="en-GB"/>
        </w:rPr>
        <w:t xml:space="preserve">. </w:t>
      </w:r>
      <w:r w:rsidR="00997B5A" w:rsidRPr="009B2451">
        <w:rPr>
          <w:lang w:val="en-GB"/>
        </w:rPr>
        <w:t xml:space="preserve">The reconstruction of </w:t>
      </w:r>
      <w:r w:rsidR="00FF7DBE" w:rsidRPr="009B2451">
        <w:rPr>
          <w:lang w:val="en-GB"/>
        </w:rPr>
        <w:t xml:space="preserve">the area in front of </w:t>
      </w:r>
      <w:r w:rsidR="00997B5A" w:rsidRPr="009B2451">
        <w:rPr>
          <w:lang w:val="en-GB"/>
        </w:rPr>
        <w:t>Piccadilly is the least problematic as it occurred in the early twentieth century and is documented by numerous photographs</w:t>
      </w:r>
      <w:r w:rsidR="001C5622">
        <w:rPr>
          <w:lang w:val="en-GB"/>
        </w:rPr>
        <w:t xml:space="preserve"> (Figure</w:t>
      </w:r>
      <w:r w:rsidR="00A905A5" w:rsidRPr="009B2451">
        <w:rPr>
          <w:lang w:val="en-GB"/>
        </w:rPr>
        <w:t xml:space="preserve"> 2).</w:t>
      </w:r>
      <w:r w:rsidR="004C6E3D" w:rsidRPr="009B2451">
        <w:rPr>
          <w:rStyle w:val="FootnoteReference"/>
          <w:lang w:val="en-GB"/>
        </w:rPr>
        <w:footnoteReference w:id="31"/>
      </w:r>
      <w:r w:rsidR="00A905A5" w:rsidRPr="009B2451">
        <w:rPr>
          <w:lang w:val="en-GB"/>
        </w:rPr>
        <w:t xml:space="preserve"> </w:t>
      </w:r>
      <w:r w:rsidR="00997B5A" w:rsidRPr="009B2451">
        <w:rPr>
          <w:lang w:val="en-GB"/>
        </w:rPr>
        <w:t xml:space="preserve">This shows that the bulk of the demolished houses consisted of two large timber-framed ranges. The </w:t>
      </w:r>
      <w:r w:rsidR="004C6E3D" w:rsidRPr="009B2451">
        <w:rPr>
          <w:lang w:val="en-GB"/>
        </w:rPr>
        <w:t>property to the north</w:t>
      </w:r>
      <w:r w:rsidR="00AD7691" w:rsidRPr="009B2451">
        <w:rPr>
          <w:lang w:val="en-GB"/>
        </w:rPr>
        <w:t xml:space="preserve"> </w:t>
      </w:r>
      <w:r w:rsidR="004C6E3D" w:rsidRPr="009B2451">
        <w:rPr>
          <w:lang w:val="en-GB"/>
        </w:rPr>
        <w:t>is a jettied medieval row house</w:t>
      </w:r>
      <w:r w:rsidRPr="009B2451">
        <w:rPr>
          <w:lang w:val="en-GB"/>
        </w:rPr>
        <w:t xml:space="preserve">, with the </w:t>
      </w:r>
      <w:r w:rsidR="00997B5A" w:rsidRPr="009B2451">
        <w:rPr>
          <w:lang w:val="en-GB"/>
        </w:rPr>
        <w:t xml:space="preserve">first floor altered in the eighteenth century to incorporate sash </w:t>
      </w:r>
      <w:r w:rsidRPr="009B2451">
        <w:rPr>
          <w:lang w:val="en-GB"/>
        </w:rPr>
        <w:t>windows and a dentilled cornice</w:t>
      </w:r>
      <w:r w:rsidR="00997B5A" w:rsidRPr="009B2451">
        <w:rPr>
          <w:lang w:val="en-GB"/>
        </w:rPr>
        <w:t xml:space="preserve">. </w:t>
      </w:r>
      <w:r w:rsidRPr="009B2451">
        <w:rPr>
          <w:lang w:val="en-GB"/>
        </w:rPr>
        <w:t>T</w:t>
      </w:r>
      <w:r w:rsidR="00997B5A" w:rsidRPr="009B2451">
        <w:rPr>
          <w:lang w:val="en-GB"/>
        </w:rPr>
        <w:t xml:space="preserve">he fenestration on the second floor is less extensive, including only four Yorkshire sash windows, which may represent the original medieval openings. The row bears a striking similarity to other </w:t>
      </w:r>
      <w:r w:rsidR="00997B5A" w:rsidRPr="009B2451">
        <w:rPr>
          <w:rFonts w:cs="Times New Roman"/>
        </w:rPr>
        <w:t>examples that can be found in York, such as at No 99-101 Micklega</w:t>
      </w:r>
      <w:r w:rsidR="00222C5A" w:rsidRPr="009B2451">
        <w:rPr>
          <w:rFonts w:cs="Times New Roman"/>
        </w:rPr>
        <w:t>te and Lady Row on Goodramgate</w:t>
      </w:r>
      <w:r w:rsidR="00A905A5" w:rsidRPr="009B2451">
        <w:rPr>
          <w:rFonts w:cs="Times New Roman"/>
        </w:rPr>
        <w:t>.</w:t>
      </w:r>
      <w:r w:rsidR="004C6E3D" w:rsidRPr="009B2451">
        <w:rPr>
          <w:rStyle w:val="FootnoteReference"/>
          <w:rFonts w:cs="Times New Roman"/>
        </w:rPr>
        <w:footnoteReference w:id="32"/>
      </w:r>
      <w:r w:rsidR="00997B5A" w:rsidRPr="009B2451">
        <w:rPr>
          <w:rFonts w:cs="Times New Roman"/>
        </w:rPr>
        <w:t xml:space="preserve"> These row houses were typically built during the medieval period t</w:t>
      </w:r>
      <w:r w:rsidR="00222C5A" w:rsidRPr="009B2451">
        <w:rPr>
          <w:rFonts w:cs="Times New Roman"/>
        </w:rPr>
        <w:t>o provide housing for the poor</w:t>
      </w:r>
      <w:r w:rsidR="00A905A5" w:rsidRPr="009B2451">
        <w:rPr>
          <w:rFonts w:cs="Times New Roman"/>
        </w:rPr>
        <w:t>.</w:t>
      </w:r>
      <w:r w:rsidR="004C6E3D" w:rsidRPr="009B2451">
        <w:rPr>
          <w:rStyle w:val="FootnoteReference"/>
          <w:rFonts w:cs="Times New Roman"/>
        </w:rPr>
        <w:footnoteReference w:id="33"/>
      </w:r>
      <w:r w:rsidR="00997B5A" w:rsidRPr="009B2451">
        <w:rPr>
          <w:rFonts w:cs="Times New Roman"/>
        </w:rPr>
        <w:t xml:space="preserve"> They were often originally one-room deep and then extended and alter</w:t>
      </w:r>
      <w:r w:rsidR="00AD7691" w:rsidRPr="009B2451">
        <w:rPr>
          <w:rFonts w:cs="Times New Roman"/>
        </w:rPr>
        <w:t>ed during subsequent centuries.</w:t>
      </w:r>
    </w:p>
    <w:p w:rsidR="001642C3" w:rsidRPr="009B2451" w:rsidRDefault="00AD7691" w:rsidP="009B2451">
      <w:pPr>
        <w:spacing w:line="360" w:lineRule="auto"/>
        <w:ind w:firstLine="737"/>
      </w:pPr>
      <w:r w:rsidRPr="009B2451">
        <w:rPr>
          <w:rFonts w:cs="Times New Roman"/>
        </w:rPr>
        <w:t xml:space="preserve">The houses that made way for Parliament Street are more difficult to reconstruct, however the illustrative evidence </w:t>
      </w:r>
      <w:r w:rsidR="00567A4A" w:rsidRPr="009B2451">
        <w:rPr>
          <w:rFonts w:cs="Times New Roman"/>
        </w:rPr>
        <w:t>is</w:t>
      </w:r>
      <w:r w:rsidRPr="009B2451">
        <w:rPr>
          <w:rFonts w:cs="Times New Roman"/>
        </w:rPr>
        <w:t xml:space="preserve"> particularly </w:t>
      </w:r>
      <w:r w:rsidR="00222C5A" w:rsidRPr="009B2451">
        <w:rPr>
          <w:rFonts w:cs="Times New Roman"/>
        </w:rPr>
        <w:t>helpful here. One illustration</w:t>
      </w:r>
      <w:r w:rsidRPr="009B2451">
        <w:rPr>
          <w:rFonts w:cs="Times New Roman"/>
        </w:rPr>
        <w:t xml:space="preserve"> shows a medieval structure that stood directly opposite the </w:t>
      </w:r>
      <w:r w:rsidR="005E2F43" w:rsidRPr="009B2451">
        <w:rPr>
          <w:rFonts w:cs="Times New Roman"/>
        </w:rPr>
        <w:t>ones in front of Pic</w:t>
      </w:r>
      <w:r w:rsidR="000A2C75" w:rsidRPr="009B2451">
        <w:rPr>
          <w:rFonts w:cs="Times New Roman"/>
        </w:rPr>
        <w:t>ca</w:t>
      </w:r>
      <w:r w:rsidR="005E2F43" w:rsidRPr="009B2451">
        <w:rPr>
          <w:rFonts w:cs="Times New Roman"/>
        </w:rPr>
        <w:t>di</w:t>
      </w:r>
      <w:r w:rsidR="000A2C75" w:rsidRPr="009B2451">
        <w:rPr>
          <w:rFonts w:cs="Times New Roman"/>
        </w:rPr>
        <w:t>l</w:t>
      </w:r>
      <w:r w:rsidR="005E2F43" w:rsidRPr="009B2451">
        <w:rPr>
          <w:rFonts w:cs="Times New Roman"/>
        </w:rPr>
        <w:t>ly</w:t>
      </w:r>
      <w:r w:rsidR="00A905A5" w:rsidRPr="009B2451">
        <w:rPr>
          <w:rFonts w:cs="Times New Roman"/>
        </w:rPr>
        <w:t>.</w:t>
      </w:r>
      <w:r w:rsidR="00047A64" w:rsidRPr="009B2451">
        <w:rPr>
          <w:rStyle w:val="FootnoteReference"/>
          <w:rFonts w:cs="Times New Roman"/>
        </w:rPr>
        <w:footnoteReference w:id="34"/>
      </w:r>
      <w:r w:rsidRPr="009B2451">
        <w:rPr>
          <w:rFonts w:cs="Times New Roman"/>
        </w:rPr>
        <w:t xml:space="preserve"> It also appears to be a row house and is jettied and timber framed. </w:t>
      </w:r>
      <w:r w:rsidRPr="009B2451">
        <w:rPr>
          <w:lang w:val="en-GB"/>
        </w:rPr>
        <w:t xml:space="preserve">This retention of earlier </w:t>
      </w:r>
      <w:r w:rsidR="00EB7604" w:rsidRPr="009B2451">
        <w:rPr>
          <w:lang w:val="en-GB"/>
        </w:rPr>
        <w:t>timber-framed houses</w:t>
      </w:r>
      <w:r w:rsidRPr="009B2451">
        <w:rPr>
          <w:lang w:val="en-GB"/>
        </w:rPr>
        <w:t xml:space="preserve"> is further confirmed by the surviving buildings evidence, with a substantial timber-framed property still surviving on Pavement. This is Herbert House and dates to the early seventeenth century, taking its name from the family of Christopher Her</w:t>
      </w:r>
      <w:r w:rsidR="00222C5A" w:rsidRPr="009B2451">
        <w:rPr>
          <w:lang w:val="en-GB"/>
        </w:rPr>
        <w:t>bert who was Lord Mayor in 1573</w:t>
      </w:r>
      <w:r w:rsidR="00A905A5" w:rsidRPr="009B2451">
        <w:rPr>
          <w:lang w:val="en-GB"/>
        </w:rPr>
        <w:t>.</w:t>
      </w:r>
      <w:r w:rsidR="00047A64" w:rsidRPr="009B2451">
        <w:rPr>
          <w:rStyle w:val="FootnoteReference"/>
          <w:lang w:val="en-GB"/>
        </w:rPr>
        <w:footnoteReference w:id="35"/>
      </w:r>
      <w:r w:rsidR="00564A9F" w:rsidRPr="009B2451">
        <w:t xml:space="preserve"> It is three storeys high </w:t>
      </w:r>
      <w:r w:rsidRPr="009B2451">
        <w:t xml:space="preserve">and has two gables fronting the street, </w:t>
      </w:r>
      <w:r w:rsidR="003F2256" w:rsidRPr="009B2451">
        <w:t>with ban</w:t>
      </w:r>
      <w:r w:rsidR="00567A4A" w:rsidRPr="009B2451">
        <w:t>d</w:t>
      </w:r>
      <w:r w:rsidR="003F2256" w:rsidRPr="009B2451">
        <w:t>s of floral decoration of Jacobean design</w:t>
      </w:r>
      <w:r w:rsidRPr="009B2451">
        <w:t>.</w:t>
      </w:r>
      <w:r w:rsidR="003F2256" w:rsidRPr="009B2451">
        <w:t xml:space="preserve"> </w:t>
      </w:r>
      <w:r w:rsidR="001642C3" w:rsidRPr="009B2451">
        <w:rPr>
          <w:szCs w:val="23"/>
        </w:rPr>
        <w:t xml:space="preserve"> </w:t>
      </w:r>
    </w:p>
    <w:p w:rsidR="002F31E8" w:rsidRPr="009B2451" w:rsidRDefault="00980020" w:rsidP="009B2451">
      <w:pPr>
        <w:spacing w:line="360" w:lineRule="auto"/>
        <w:ind w:firstLine="737"/>
        <w:rPr>
          <w:szCs w:val="23"/>
        </w:rPr>
      </w:pPr>
      <w:r w:rsidRPr="009B2451">
        <w:rPr>
          <w:szCs w:val="23"/>
        </w:rPr>
        <w:t>The stree</w:t>
      </w:r>
      <w:r w:rsidR="0019105C" w:rsidRPr="009B2451">
        <w:rPr>
          <w:szCs w:val="23"/>
        </w:rPr>
        <w:t xml:space="preserve">tscape </w:t>
      </w:r>
      <w:r w:rsidRPr="009B2451">
        <w:rPr>
          <w:szCs w:val="23"/>
        </w:rPr>
        <w:t xml:space="preserve">of </w:t>
      </w:r>
      <w:r w:rsidR="0019105C" w:rsidRPr="009B2451">
        <w:rPr>
          <w:szCs w:val="23"/>
        </w:rPr>
        <w:t xml:space="preserve">Pavement was therefore decidedly mixed, with jettied medieval buildings standing cheek-by-jowl with newly built Georgian buildings, the uneven and frequently wonky timber-framing contrasting markedly with the flush facades of the new buildings built in the classical vernacular. This lack of uniformity is brought into sharper focus when one considers the character of the street, as Pavement was one of the main shopping streets in York during the eighteenth century and one that specifically catered to clothing. </w:t>
      </w:r>
      <w:r w:rsidR="001642C3" w:rsidRPr="009B2451">
        <w:rPr>
          <w:szCs w:val="23"/>
        </w:rPr>
        <w:t>As a shopping street Pavement was highly fashionable. In the 1780s, according to White’s maps, it had 8 shops in the clothing trade (6 drapers, 1 breeches-maker, 1 mercer), as well as 1 upholsterer, 2 hatters, and 2 saddlers. This high concentration is also mirrored in the trade directories</w:t>
      </w:r>
      <w:r w:rsidR="00A905A5" w:rsidRPr="009B2451">
        <w:rPr>
          <w:szCs w:val="23"/>
        </w:rPr>
        <w:t>.</w:t>
      </w:r>
      <w:r w:rsidR="00A84DAE" w:rsidRPr="009B2451">
        <w:rPr>
          <w:rStyle w:val="FootnoteReference"/>
          <w:szCs w:val="23"/>
        </w:rPr>
        <w:footnoteReference w:id="36"/>
      </w:r>
      <w:r w:rsidR="001642C3" w:rsidRPr="009B2451">
        <w:rPr>
          <w:szCs w:val="23"/>
        </w:rPr>
        <w:t xml:space="preserve"> </w:t>
      </w:r>
      <w:r w:rsidR="0019105C" w:rsidRPr="009B2451">
        <w:rPr>
          <w:szCs w:val="23"/>
        </w:rPr>
        <w:t>One of the main streets in York for fashionable consumption</w:t>
      </w:r>
      <w:r w:rsidR="002F31E8" w:rsidRPr="009B2451">
        <w:rPr>
          <w:szCs w:val="23"/>
        </w:rPr>
        <w:t xml:space="preserve"> therefore</w:t>
      </w:r>
      <w:r w:rsidR="0019105C" w:rsidRPr="009B2451">
        <w:rPr>
          <w:szCs w:val="23"/>
        </w:rPr>
        <w:t xml:space="preserve"> did not conform to the </w:t>
      </w:r>
      <w:r w:rsidR="00891855">
        <w:rPr>
          <w:szCs w:val="23"/>
        </w:rPr>
        <w:t>model</w:t>
      </w:r>
      <w:r w:rsidR="0019105C" w:rsidRPr="009B2451">
        <w:rPr>
          <w:szCs w:val="23"/>
        </w:rPr>
        <w:t xml:space="preserve"> of urban renaissance that has been put forward by scholars. </w:t>
      </w:r>
    </w:p>
    <w:p w:rsidR="001642C3" w:rsidRPr="009B2451" w:rsidRDefault="001642C3" w:rsidP="009B2451">
      <w:pPr>
        <w:spacing w:line="360" w:lineRule="auto"/>
        <w:ind w:firstLine="737"/>
        <w:rPr>
          <w:szCs w:val="23"/>
        </w:rPr>
      </w:pPr>
      <w:r w:rsidRPr="009B2451">
        <w:rPr>
          <w:szCs w:val="23"/>
        </w:rPr>
        <w:t xml:space="preserve">The preoccupation with fashion among the gentry in the town is further highlighted by the presence of a column in the </w:t>
      </w:r>
      <w:r w:rsidRPr="009B2451">
        <w:rPr>
          <w:i/>
          <w:iCs/>
          <w:szCs w:val="23"/>
        </w:rPr>
        <w:t xml:space="preserve">York Chronicle </w:t>
      </w:r>
      <w:r w:rsidRPr="009B2451">
        <w:rPr>
          <w:szCs w:val="23"/>
        </w:rPr>
        <w:t xml:space="preserve">in the 1770s called ‘Dress of the Month’. Here the outfits of the ladies are described in minute detail, much greater detail than was used in advertisements, with descriptions of </w:t>
      </w:r>
      <w:r w:rsidR="00EB7604" w:rsidRPr="009B2451">
        <w:rPr>
          <w:szCs w:val="23"/>
        </w:rPr>
        <w:t xml:space="preserve">both </w:t>
      </w:r>
      <w:r w:rsidRPr="009B2451">
        <w:rPr>
          <w:szCs w:val="23"/>
        </w:rPr>
        <w:t xml:space="preserve">full dress and ‘undress’. An excerpt from 11 November 1774 reads: </w:t>
      </w:r>
    </w:p>
    <w:p w:rsidR="001642C3" w:rsidRPr="009B2451" w:rsidRDefault="001642C3" w:rsidP="009B2451">
      <w:pPr>
        <w:spacing w:line="360" w:lineRule="auto"/>
        <w:rPr>
          <w:szCs w:val="23"/>
        </w:rPr>
      </w:pPr>
      <w:r w:rsidRPr="009B2451">
        <w:rPr>
          <w:szCs w:val="23"/>
        </w:rPr>
        <w:t>‘Silks, with small brocaded sprigs, small hoops, gauze or blond trimmings, with no flounces to the coats, only trimm’d to match the sides, ornamented with coloured tossels, and bows of ribbon – work’d shoes, with small rose buckles’.</w:t>
      </w:r>
      <w:r w:rsidR="00A84DAE" w:rsidRPr="009B2451">
        <w:rPr>
          <w:rStyle w:val="FootnoteReference"/>
          <w:szCs w:val="23"/>
        </w:rPr>
        <w:footnoteReference w:id="37"/>
      </w:r>
      <w:r w:rsidRPr="009B2451">
        <w:rPr>
          <w:szCs w:val="23"/>
        </w:rPr>
        <w:t xml:space="preserve"> </w:t>
      </w:r>
    </w:p>
    <w:p w:rsidR="001642C3" w:rsidRPr="009B2451" w:rsidRDefault="001642C3" w:rsidP="009B2451">
      <w:pPr>
        <w:spacing w:line="360" w:lineRule="auto"/>
        <w:rPr>
          <w:szCs w:val="23"/>
        </w:rPr>
      </w:pPr>
      <w:r w:rsidRPr="009B2451">
        <w:rPr>
          <w:szCs w:val="23"/>
        </w:rPr>
        <w:t>The precise details of the column would provide female readers with enough information to request specific s</w:t>
      </w:r>
      <w:r w:rsidR="00980020" w:rsidRPr="009B2451">
        <w:rPr>
          <w:szCs w:val="23"/>
        </w:rPr>
        <w:t>tyles and accessories from shop</w:t>
      </w:r>
      <w:r w:rsidRPr="009B2451">
        <w:rPr>
          <w:szCs w:val="23"/>
        </w:rPr>
        <w:t>keepers such as linen-drapers and hatters and to keep up to date with the latest fashions. Also the column does not appear to have been a simple advertising vehicle as some months the column reported ‘The Ladies have made little variation in their dress from June last’</w:t>
      </w:r>
      <w:r w:rsidR="00A905A5" w:rsidRPr="009B2451">
        <w:rPr>
          <w:szCs w:val="23"/>
        </w:rPr>
        <w:t>.</w:t>
      </w:r>
      <w:r w:rsidR="00A84DAE" w:rsidRPr="009B2451">
        <w:rPr>
          <w:rStyle w:val="FootnoteReference"/>
          <w:szCs w:val="23"/>
        </w:rPr>
        <w:footnoteReference w:id="38"/>
      </w:r>
      <w:r w:rsidRPr="009B2451">
        <w:rPr>
          <w:szCs w:val="23"/>
        </w:rPr>
        <w:t xml:space="preserve"> </w:t>
      </w:r>
      <w:r w:rsidR="005E2F43" w:rsidRPr="009B2451">
        <w:rPr>
          <w:szCs w:val="23"/>
        </w:rPr>
        <w:t>T</w:t>
      </w:r>
      <w:r w:rsidRPr="009B2451">
        <w:rPr>
          <w:szCs w:val="23"/>
        </w:rPr>
        <w:t xml:space="preserve">he styles did change frequently, enough to emphasise both the concern among the readers for precise details of the latest fashions and also the ability of local traders to accommodate this rapid turnover in styles. </w:t>
      </w:r>
    </w:p>
    <w:p w:rsidR="001642C3" w:rsidRPr="009B2451" w:rsidRDefault="001642C3" w:rsidP="009B2451">
      <w:pPr>
        <w:pStyle w:val="Default"/>
        <w:spacing w:line="360" w:lineRule="auto"/>
        <w:ind w:firstLine="737"/>
        <w:rPr>
          <w:rFonts w:asciiTheme="minorHAnsi" w:hAnsiTheme="minorHAnsi"/>
          <w:szCs w:val="23"/>
        </w:rPr>
      </w:pPr>
      <w:r w:rsidRPr="009B2451">
        <w:rPr>
          <w:rFonts w:asciiTheme="minorHAnsi" w:hAnsiTheme="minorHAnsi"/>
          <w:szCs w:val="23"/>
        </w:rPr>
        <w:t>The lack of uniformity in this fashionable street is exacerbated by the evidence for shop façades</w:t>
      </w:r>
      <w:r w:rsidR="005E2F43" w:rsidRPr="009B2451">
        <w:rPr>
          <w:rFonts w:asciiTheme="minorHAnsi" w:hAnsiTheme="minorHAnsi"/>
          <w:szCs w:val="23"/>
        </w:rPr>
        <w:t>, which is depicted in numerous illustrations</w:t>
      </w:r>
      <w:r w:rsidRPr="009B2451">
        <w:rPr>
          <w:rFonts w:asciiTheme="minorHAnsi" w:hAnsiTheme="minorHAnsi"/>
          <w:szCs w:val="23"/>
        </w:rPr>
        <w:t>. For example, in an illustration of a now demolished property on Pavement dating to 1727, there was a stallboard</w:t>
      </w:r>
      <w:r w:rsidR="000A18D4">
        <w:rPr>
          <w:rFonts w:asciiTheme="minorHAnsi" w:hAnsiTheme="minorHAnsi"/>
          <w:szCs w:val="23"/>
        </w:rPr>
        <w:t xml:space="preserve"> in front of the premises. W</w:t>
      </w:r>
      <w:r w:rsidRPr="009B2451">
        <w:rPr>
          <w:rFonts w:asciiTheme="minorHAnsi" w:hAnsiTheme="minorHAnsi"/>
          <w:szCs w:val="23"/>
        </w:rPr>
        <w:t>hile this has gone by the second half of the eighteenth century, an illu</w:t>
      </w:r>
      <w:r w:rsidR="00E67F03" w:rsidRPr="009B2451">
        <w:rPr>
          <w:rFonts w:asciiTheme="minorHAnsi" w:hAnsiTheme="minorHAnsi"/>
          <w:szCs w:val="23"/>
        </w:rPr>
        <w:t>stration dating from 1780-1810</w:t>
      </w:r>
      <w:r w:rsidR="00A34EB5" w:rsidRPr="009B2451">
        <w:rPr>
          <w:rStyle w:val="FootnoteReference"/>
          <w:rFonts w:asciiTheme="minorHAnsi" w:hAnsiTheme="minorHAnsi"/>
          <w:szCs w:val="23"/>
        </w:rPr>
        <w:footnoteReference w:id="39"/>
      </w:r>
      <w:r w:rsidR="00A34EB5" w:rsidRPr="009B2451">
        <w:rPr>
          <w:rFonts w:asciiTheme="minorHAnsi" w:hAnsiTheme="minorHAnsi"/>
          <w:szCs w:val="23"/>
        </w:rPr>
        <w:t xml:space="preserve"> </w:t>
      </w:r>
      <w:r w:rsidRPr="009B2451">
        <w:rPr>
          <w:rFonts w:asciiTheme="minorHAnsi" w:hAnsiTheme="minorHAnsi"/>
          <w:szCs w:val="23"/>
        </w:rPr>
        <w:t>shows the house with a wooden trellis table in front of it, seemingly selling items from the shop behind. This is far from the traditional model of polite consumption put forward by scholars, which emphasise the need for a fashionable and modern exterior. Furthermore, this shop was not a poor example in an otherwise fine street. It was occupied by a wealthy grocer, John Allanson, who was Lord Mayor twice, in 1758, and 1775</w:t>
      </w:r>
      <w:r w:rsidR="00A905A5" w:rsidRPr="009B2451">
        <w:rPr>
          <w:rFonts w:asciiTheme="minorHAnsi" w:hAnsiTheme="minorHAnsi"/>
          <w:szCs w:val="23"/>
        </w:rPr>
        <w:t>.</w:t>
      </w:r>
      <w:r w:rsidR="00A84DAE" w:rsidRPr="009B2451">
        <w:rPr>
          <w:rStyle w:val="FootnoteReference"/>
          <w:rFonts w:asciiTheme="minorHAnsi" w:hAnsiTheme="minorHAnsi"/>
          <w:szCs w:val="23"/>
        </w:rPr>
        <w:footnoteReference w:id="40"/>
      </w:r>
      <w:r w:rsidRPr="009B2451">
        <w:rPr>
          <w:rFonts w:asciiTheme="minorHAnsi" w:hAnsiTheme="minorHAnsi"/>
          <w:szCs w:val="23"/>
        </w:rPr>
        <w:t xml:space="preserve"> </w:t>
      </w:r>
    </w:p>
    <w:p w:rsidR="003F2256" w:rsidRPr="009B2451" w:rsidRDefault="001642C3" w:rsidP="009B2451">
      <w:pPr>
        <w:spacing w:line="360" w:lineRule="auto"/>
        <w:ind w:firstLine="737"/>
        <w:rPr>
          <w:rFonts w:cs="Times New Roman"/>
        </w:rPr>
      </w:pPr>
      <w:r w:rsidRPr="009B2451">
        <w:rPr>
          <w:szCs w:val="23"/>
        </w:rPr>
        <w:t>Anothe</w:t>
      </w:r>
      <w:r w:rsidR="002E5C59">
        <w:rPr>
          <w:szCs w:val="23"/>
        </w:rPr>
        <w:t xml:space="preserve">r illustration shows the ground </w:t>
      </w:r>
      <w:r w:rsidRPr="009B2451">
        <w:rPr>
          <w:szCs w:val="23"/>
        </w:rPr>
        <w:t xml:space="preserve">floor of Herbert House, with the central tenement comprising </w:t>
      </w:r>
      <w:r w:rsidR="00A84DAE" w:rsidRPr="009B2451">
        <w:rPr>
          <w:szCs w:val="23"/>
        </w:rPr>
        <w:t>an unglazed, open-fronted shop</w:t>
      </w:r>
      <w:r w:rsidR="00A905A5" w:rsidRPr="009B2451">
        <w:rPr>
          <w:szCs w:val="23"/>
        </w:rPr>
        <w:t>.</w:t>
      </w:r>
      <w:r w:rsidR="00A84DAE" w:rsidRPr="009B2451">
        <w:rPr>
          <w:rStyle w:val="FootnoteReference"/>
          <w:szCs w:val="23"/>
        </w:rPr>
        <w:footnoteReference w:id="41"/>
      </w:r>
      <w:r w:rsidRPr="009B2451">
        <w:rPr>
          <w:szCs w:val="23"/>
        </w:rPr>
        <w:t xml:space="preserve"> This was common practice in the medieval period, however it not only exemplified a different form of architecture in comparison to the glazed Georgian shop fronts but encouraged different forms of retail practice</w:t>
      </w:r>
      <w:r w:rsidR="00A905A5" w:rsidRPr="009B2451">
        <w:rPr>
          <w:szCs w:val="23"/>
        </w:rPr>
        <w:t>.</w:t>
      </w:r>
      <w:r w:rsidR="00A84DAE" w:rsidRPr="009B2451">
        <w:rPr>
          <w:rStyle w:val="FootnoteReference"/>
          <w:szCs w:val="23"/>
        </w:rPr>
        <w:footnoteReference w:id="42"/>
      </w:r>
      <w:r w:rsidR="00A905A5" w:rsidRPr="009B2451">
        <w:rPr>
          <w:szCs w:val="23"/>
        </w:rPr>
        <w:t xml:space="preserve"> </w:t>
      </w:r>
      <w:r w:rsidRPr="009B2451">
        <w:rPr>
          <w:szCs w:val="23"/>
        </w:rPr>
        <w:t xml:space="preserve">Here, the customer did not enter the shop but conducted their business on the street. This was far from the relaxed browsing experience that epitomised the conception of eighteenth-century shopping as a leisure activity. Furthermore, this illustration dates to 1827, showing this earlier, medieval experience of shopping could continue well into the nineteenth century, even in a fashionable town such as York. This complex dynamic of how the old and new architecture were being utilised can be further examined by looking at who inhabited the medieval properties on Pavement during the eighteenth century. </w:t>
      </w:r>
    </w:p>
    <w:p w:rsidR="0065489E" w:rsidRPr="009B2451" w:rsidRDefault="00803F7E" w:rsidP="009B2451">
      <w:pPr>
        <w:spacing w:line="360" w:lineRule="auto"/>
        <w:ind w:firstLine="737"/>
        <w:rPr>
          <w:lang w:val="en-GB"/>
        </w:rPr>
      </w:pPr>
      <w:r w:rsidRPr="009B2451">
        <w:t xml:space="preserve">During the eighteenth century, </w:t>
      </w:r>
      <w:r w:rsidRPr="009B2451">
        <w:rPr>
          <w:lang w:val="en-GB"/>
        </w:rPr>
        <w:t>t</w:t>
      </w:r>
      <w:r w:rsidR="003F2256" w:rsidRPr="009B2451">
        <w:rPr>
          <w:lang w:val="en-GB"/>
        </w:rPr>
        <w:t>he row houses on the western side of the street were occupied by a cutler, a hatter and a baker, while those on the eastern side were occupied by another hatter, a barber and a grocer</w:t>
      </w:r>
      <w:r w:rsidR="001C5622">
        <w:rPr>
          <w:lang w:val="en-GB"/>
        </w:rPr>
        <w:t xml:space="preserve"> (Figure</w:t>
      </w:r>
      <w:r w:rsidR="00A905A5" w:rsidRPr="009B2451">
        <w:rPr>
          <w:lang w:val="en-GB"/>
        </w:rPr>
        <w:t xml:space="preserve"> 3).</w:t>
      </w:r>
      <w:r w:rsidR="007F02C6" w:rsidRPr="009B2451">
        <w:rPr>
          <w:rStyle w:val="FootnoteReference"/>
          <w:lang w:val="en-GB"/>
        </w:rPr>
        <w:footnoteReference w:id="43"/>
      </w:r>
      <w:r w:rsidR="00A905A5" w:rsidRPr="009B2451">
        <w:rPr>
          <w:lang w:val="en-GB"/>
        </w:rPr>
        <w:t xml:space="preserve"> </w:t>
      </w:r>
      <w:r w:rsidR="003F2256" w:rsidRPr="009B2451">
        <w:rPr>
          <w:lang w:val="en-GB"/>
        </w:rPr>
        <w:t xml:space="preserve">Therefore at least two of these shops were catering for the </w:t>
      </w:r>
      <w:r w:rsidR="009C4AE4" w:rsidRPr="009B2451">
        <w:rPr>
          <w:lang w:val="en-GB"/>
        </w:rPr>
        <w:t>high-</w:t>
      </w:r>
      <w:r w:rsidR="00AA203A" w:rsidRPr="009B2451">
        <w:rPr>
          <w:lang w:val="en-GB"/>
        </w:rPr>
        <w:t>status</w:t>
      </w:r>
      <w:r w:rsidR="003F2256" w:rsidRPr="009B2451">
        <w:rPr>
          <w:lang w:val="en-GB"/>
        </w:rPr>
        <w:t xml:space="preserve"> market. This is further seen further along the street at Herbert House. In the eighteenth century, one of the ground-floor shops was occupied by Thomas Willans, who was a cutler and maker of surgical instrument</w:t>
      </w:r>
      <w:r w:rsidR="007F02C6" w:rsidRPr="009B2451">
        <w:rPr>
          <w:lang w:val="en-GB"/>
        </w:rPr>
        <w:t>s</w:t>
      </w:r>
      <w:r w:rsidR="00A905A5" w:rsidRPr="009B2451">
        <w:rPr>
          <w:lang w:val="en-GB"/>
        </w:rPr>
        <w:t>.</w:t>
      </w:r>
      <w:r w:rsidR="007F02C6" w:rsidRPr="009B2451">
        <w:rPr>
          <w:rStyle w:val="FootnoteReference"/>
          <w:lang w:val="en-GB"/>
        </w:rPr>
        <w:footnoteReference w:id="44"/>
      </w:r>
      <w:r w:rsidR="003F2256" w:rsidRPr="009B2451">
        <w:rPr>
          <w:lang w:val="en-GB"/>
        </w:rPr>
        <w:t xml:space="preserve"> His will records bequests of over £2,000 independent of the residue of the estate</w:t>
      </w:r>
      <w:r w:rsidR="00222C5A" w:rsidRPr="009B2451">
        <w:rPr>
          <w:lang w:val="en-GB"/>
        </w:rPr>
        <w:t>, so he was far from destitute</w:t>
      </w:r>
      <w:r w:rsidR="00A905A5" w:rsidRPr="009B2451">
        <w:rPr>
          <w:lang w:val="en-GB"/>
        </w:rPr>
        <w:t>.</w:t>
      </w:r>
      <w:r w:rsidR="007F02C6" w:rsidRPr="009B2451">
        <w:rPr>
          <w:rStyle w:val="FootnoteReference"/>
          <w:lang w:val="en-GB"/>
        </w:rPr>
        <w:footnoteReference w:id="45"/>
      </w:r>
      <w:r w:rsidR="003F2256" w:rsidRPr="009B2451">
        <w:rPr>
          <w:lang w:val="en-GB"/>
        </w:rPr>
        <w:t xml:space="preserve"> This can also be seen in another surviving medieval property at the bottom of Coppergate</w:t>
      </w:r>
      <w:r w:rsidR="00AA203A" w:rsidRPr="009B2451">
        <w:rPr>
          <w:lang w:val="en-GB"/>
        </w:rPr>
        <w:t xml:space="preserve"> as it leads into Pavement</w:t>
      </w:r>
      <w:r w:rsidR="003F2256" w:rsidRPr="009B2451">
        <w:rPr>
          <w:lang w:val="en-GB"/>
        </w:rPr>
        <w:t>. No 28 was occupied by John Bulmer, who was a linen-draper and haberdasher</w:t>
      </w:r>
      <w:r w:rsidR="00A905A5" w:rsidRPr="009B2451">
        <w:rPr>
          <w:lang w:val="en-GB"/>
        </w:rPr>
        <w:t>.</w:t>
      </w:r>
      <w:r w:rsidR="007F02C6" w:rsidRPr="009B2451">
        <w:rPr>
          <w:rStyle w:val="FootnoteReference"/>
          <w:lang w:val="en-GB"/>
        </w:rPr>
        <w:footnoteReference w:id="46"/>
      </w:r>
      <w:r w:rsidR="003F2256" w:rsidRPr="009B2451">
        <w:rPr>
          <w:lang w:val="en-GB"/>
        </w:rPr>
        <w:t xml:space="preserve"> Furthermore he marrie</w:t>
      </w:r>
      <w:r w:rsidR="005E2F43" w:rsidRPr="009B2451">
        <w:rPr>
          <w:lang w:val="en-GB"/>
        </w:rPr>
        <w:t>d the daughter of John Allanson. Allanson</w:t>
      </w:r>
      <w:r w:rsidR="003F2256" w:rsidRPr="009B2451">
        <w:rPr>
          <w:lang w:val="en-GB"/>
        </w:rPr>
        <w:t xml:space="preserve"> </w:t>
      </w:r>
      <w:r w:rsidR="005E2F43" w:rsidRPr="009B2451">
        <w:rPr>
          <w:lang w:val="en-GB"/>
        </w:rPr>
        <w:t>was the wealthy grocer</w:t>
      </w:r>
      <w:r w:rsidR="001642C3" w:rsidRPr="009B2451">
        <w:rPr>
          <w:lang w:val="en-GB"/>
        </w:rPr>
        <w:t xml:space="preserve"> we</w:t>
      </w:r>
      <w:r w:rsidR="00753A40" w:rsidRPr="009B2451">
        <w:rPr>
          <w:lang w:val="en-GB"/>
        </w:rPr>
        <w:t xml:space="preserve"> encountered earlier and who </w:t>
      </w:r>
      <w:r w:rsidR="001642C3" w:rsidRPr="009B2451">
        <w:rPr>
          <w:lang w:val="en-GB"/>
        </w:rPr>
        <w:t xml:space="preserve">twice </w:t>
      </w:r>
      <w:r w:rsidR="00753A40" w:rsidRPr="009B2451">
        <w:rPr>
          <w:lang w:val="en-GB"/>
        </w:rPr>
        <w:t xml:space="preserve">served as </w:t>
      </w:r>
      <w:r w:rsidR="001642C3" w:rsidRPr="009B2451">
        <w:rPr>
          <w:lang w:val="en-GB"/>
        </w:rPr>
        <w:t>Lord Mayor</w:t>
      </w:r>
      <w:r w:rsidR="00A905A5" w:rsidRPr="009B2451">
        <w:rPr>
          <w:lang w:val="en-GB"/>
        </w:rPr>
        <w:t>.</w:t>
      </w:r>
      <w:r w:rsidR="007F02C6" w:rsidRPr="009B2451">
        <w:rPr>
          <w:rStyle w:val="FootnoteReference"/>
          <w:lang w:val="en-GB"/>
        </w:rPr>
        <w:footnoteReference w:id="47"/>
      </w:r>
      <w:r w:rsidR="003F2256" w:rsidRPr="009B2451">
        <w:rPr>
          <w:lang w:val="en-GB"/>
        </w:rPr>
        <w:t xml:space="preserve"> Therefore the owners of the shops that operated out of medieval premises may not have been among the wealthiest merchants in the city, but they were far from poor. Many of the </w:t>
      </w:r>
      <w:r w:rsidR="00AA203A" w:rsidRPr="009B2451">
        <w:rPr>
          <w:lang w:val="en-GB"/>
        </w:rPr>
        <w:t xml:space="preserve">shops were </w:t>
      </w:r>
      <w:r w:rsidR="007F02C6" w:rsidRPr="009B2451">
        <w:rPr>
          <w:lang w:val="en-GB"/>
        </w:rPr>
        <w:t>geared towards the high-</w:t>
      </w:r>
      <w:r w:rsidR="00AA203A" w:rsidRPr="009B2451">
        <w:rPr>
          <w:lang w:val="en-GB"/>
        </w:rPr>
        <w:t>status</w:t>
      </w:r>
      <w:r w:rsidR="003F2256" w:rsidRPr="009B2451">
        <w:rPr>
          <w:lang w:val="en-GB"/>
        </w:rPr>
        <w:t xml:space="preserve"> </w:t>
      </w:r>
      <w:r w:rsidR="007F02C6" w:rsidRPr="009B2451">
        <w:rPr>
          <w:lang w:val="en-GB"/>
        </w:rPr>
        <w:t xml:space="preserve">market </w:t>
      </w:r>
      <w:r w:rsidR="003F2256" w:rsidRPr="009B2451">
        <w:rPr>
          <w:lang w:val="en-GB"/>
        </w:rPr>
        <w:t xml:space="preserve">and their surroundings </w:t>
      </w:r>
      <w:r w:rsidR="001B19E0" w:rsidRPr="009B2451">
        <w:rPr>
          <w:lang w:val="en-GB"/>
        </w:rPr>
        <w:t>do</w:t>
      </w:r>
      <w:r w:rsidR="003F2256" w:rsidRPr="009B2451">
        <w:rPr>
          <w:lang w:val="en-GB"/>
        </w:rPr>
        <w:t xml:space="preserve"> not seem to have affected their capa</w:t>
      </w:r>
      <w:r w:rsidR="00AA203A" w:rsidRPr="009B2451">
        <w:rPr>
          <w:lang w:val="en-GB"/>
        </w:rPr>
        <w:t xml:space="preserve">city to operate their business. </w:t>
      </w:r>
    </w:p>
    <w:p w:rsidR="00307E9D" w:rsidRPr="009B2451" w:rsidRDefault="00D50A86" w:rsidP="009B2451">
      <w:pPr>
        <w:spacing w:line="360" w:lineRule="auto"/>
        <w:ind w:firstLine="737"/>
      </w:pPr>
      <w:r w:rsidRPr="009B2451">
        <w:t xml:space="preserve">Drawing on modern theorists such as Giddens and De Certeau, </w:t>
      </w:r>
      <w:r w:rsidR="00C625DC" w:rsidRPr="009B2451">
        <w:t xml:space="preserve">Stobart </w:t>
      </w:r>
      <w:r w:rsidRPr="009B2451">
        <w:rPr>
          <w:i/>
        </w:rPr>
        <w:t>et al</w:t>
      </w:r>
      <w:r w:rsidRPr="009B2451">
        <w:t xml:space="preserve"> have argued persuasively </w:t>
      </w:r>
      <w:r w:rsidR="00AC378B" w:rsidRPr="009B2451">
        <w:t xml:space="preserve">that </w:t>
      </w:r>
      <w:r w:rsidRPr="009B2451">
        <w:t>the urban</w:t>
      </w:r>
      <w:r w:rsidR="00AC378B" w:rsidRPr="009B2451">
        <w:t xml:space="preserve"> </w:t>
      </w:r>
      <w:r w:rsidRPr="009B2451">
        <w:t xml:space="preserve">environment </w:t>
      </w:r>
      <w:r w:rsidR="00AC378B" w:rsidRPr="009B2451">
        <w:t xml:space="preserve">helps to structure social experience </w:t>
      </w:r>
      <w:r w:rsidRPr="009B2451">
        <w:t>as well as reflect it.</w:t>
      </w:r>
      <w:r w:rsidR="00980020" w:rsidRPr="009B2451">
        <w:rPr>
          <w:rStyle w:val="FootnoteReference"/>
        </w:rPr>
        <w:footnoteReference w:id="48"/>
      </w:r>
      <w:r w:rsidRPr="009B2451">
        <w:t xml:space="preserve"> </w:t>
      </w:r>
      <w:r w:rsidR="007F02C6" w:rsidRPr="009B2451">
        <w:t>This is a</w:t>
      </w:r>
      <w:r w:rsidRPr="009B2451">
        <w:t xml:space="preserve"> perspective that is very much in line with </w:t>
      </w:r>
      <w:r w:rsidR="002F31E8" w:rsidRPr="009B2451">
        <w:t>theoretical frameworks for the study</w:t>
      </w:r>
      <w:r w:rsidRPr="009B2451">
        <w:t xml:space="preserve"> of both landscapes and buildings</w:t>
      </w:r>
      <w:r w:rsidR="00A905A5" w:rsidRPr="009B2451">
        <w:t>.</w:t>
      </w:r>
      <w:r w:rsidR="007F02C6" w:rsidRPr="009B2451">
        <w:rPr>
          <w:rStyle w:val="FootnoteReference"/>
        </w:rPr>
        <w:footnoteReference w:id="49"/>
      </w:r>
      <w:r w:rsidR="00AC378B" w:rsidRPr="009B2451">
        <w:t xml:space="preserve"> </w:t>
      </w:r>
      <w:r w:rsidRPr="009B2451">
        <w:t>If we accept this argument</w:t>
      </w:r>
      <w:r w:rsidR="005E2F43" w:rsidRPr="009B2451">
        <w:t>,</w:t>
      </w:r>
      <w:r w:rsidR="00AC378B" w:rsidRPr="009B2451">
        <w:t xml:space="preserve"> then the everyday experience of these streets would be characterized by individuality as much as uniformity and the order and symmetry of </w:t>
      </w:r>
      <w:r w:rsidR="00BE4650" w:rsidRPr="009B2451">
        <w:t>classical</w:t>
      </w:r>
      <w:r w:rsidR="00AC378B" w:rsidRPr="009B2451">
        <w:t xml:space="preserve"> architecture would be broken at regular intervals by </w:t>
      </w:r>
      <w:r w:rsidR="00C319C7" w:rsidRPr="009B2451">
        <w:t>earlier</w:t>
      </w:r>
      <w:r w:rsidR="00AC378B" w:rsidRPr="009B2451">
        <w:t xml:space="preserve"> houses. </w:t>
      </w:r>
      <w:r w:rsidR="00C319C7" w:rsidRPr="009B2451">
        <w:t xml:space="preserve">These timber-framed properties range from high-status dwellings to small row tenements for the poor. This creates a range both in terms of size and the quality of the timber-framing, further disrupting any uniformity. </w:t>
      </w:r>
      <w:r w:rsidR="00307632" w:rsidRPr="009B2451">
        <w:t>W</w:t>
      </w:r>
      <w:r w:rsidR="00AC378B" w:rsidRPr="009B2451">
        <w:t xml:space="preserve">e </w:t>
      </w:r>
      <w:r w:rsidR="00307632" w:rsidRPr="009B2451">
        <w:t>therefore</w:t>
      </w:r>
      <w:r w:rsidR="00AC378B" w:rsidRPr="009B2451">
        <w:t xml:space="preserve"> have to think of how the old and new were inextricably bound together in the day-to-day urban experience of the eighteenth century. </w:t>
      </w:r>
    </w:p>
    <w:p w:rsidR="0033414D" w:rsidRPr="009B2451" w:rsidRDefault="0033414D" w:rsidP="009B2451">
      <w:pPr>
        <w:spacing w:line="360" w:lineRule="auto"/>
        <w:ind w:firstLine="737"/>
      </w:pPr>
      <w:r w:rsidRPr="009B2451">
        <w:t>This a</w:t>
      </w:r>
      <w:r w:rsidR="005C57EA" w:rsidRPr="009B2451">
        <w:t xml:space="preserve">rticle is </w:t>
      </w:r>
      <w:r w:rsidRPr="009B2451">
        <w:t>focused on just two streets</w:t>
      </w:r>
      <w:r w:rsidR="005C57EA" w:rsidRPr="009B2451">
        <w:t xml:space="preserve"> in York</w:t>
      </w:r>
      <w:r w:rsidRPr="009B2451">
        <w:t xml:space="preserve">. Yet these are not isolated examples and the persistent mix of old and new architecture </w:t>
      </w:r>
      <w:r w:rsidR="000B4F1F" w:rsidRPr="009B2451">
        <w:t>extends to the majority of polite spaces in the city, both commercial and domestic. This includes</w:t>
      </w:r>
      <w:r w:rsidR="005C57EA" w:rsidRPr="009B2451">
        <w:t xml:space="preserve"> the major elite residential districts, including Micklegate, described by Borsay as </w:t>
      </w:r>
      <w:r w:rsidR="000B4F1F" w:rsidRPr="009B2451">
        <w:t xml:space="preserve">one of a number of </w:t>
      </w:r>
      <w:r w:rsidR="005C57EA" w:rsidRPr="009B2451">
        <w:t>‘arch</w:t>
      </w:r>
      <w:r w:rsidR="000B4F1F" w:rsidRPr="009B2451">
        <w:t>etypal Georgian streets’</w:t>
      </w:r>
      <w:r w:rsidR="000B4F1F" w:rsidRPr="009B2451">
        <w:rPr>
          <w:rStyle w:val="FootnoteReference"/>
        </w:rPr>
        <w:footnoteReference w:id="50"/>
      </w:r>
      <w:r w:rsidR="000B4F1F" w:rsidRPr="009B2451">
        <w:t>, but in the eighteenth century was of a very varied character, with considerably more timber-framed frontages than survive today</w:t>
      </w:r>
      <w:r w:rsidRPr="009B2451">
        <w:t>.</w:t>
      </w:r>
      <w:r w:rsidRPr="009B2451">
        <w:rPr>
          <w:rStyle w:val="FootnoteReference"/>
        </w:rPr>
        <w:footnoteReference w:id="51"/>
      </w:r>
      <w:r w:rsidRPr="009B2451">
        <w:t xml:space="preserve"> </w:t>
      </w:r>
      <w:r w:rsidR="000B4F1F" w:rsidRPr="009B2451">
        <w:t>Stonegate is</w:t>
      </w:r>
      <w:r w:rsidRPr="009B2451">
        <w:t xml:space="preserve"> a street that was almost entirely unimproved and still boasts </w:t>
      </w:r>
      <w:r w:rsidR="000B4F1F" w:rsidRPr="009B2451">
        <w:t xml:space="preserve">some of </w:t>
      </w:r>
      <w:r w:rsidRPr="009B2451">
        <w:t>high</w:t>
      </w:r>
      <w:r w:rsidR="000B4F1F" w:rsidRPr="009B2451">
        <w:t>est</w:t>
      </w:r>
      <w:r w:rsidRPr="009B2451">
        <w:t xml:space="preserve"> survival of medieval buildings</w:t>
      </w:r>
      <w:r w:rsidR="000B4F1F" w:rsidRPr="009B2451">
        <w:t xml:space="preserve"> in the country</w:t>
      </w:r>
      <w:r w:rsidRPr="009B2451">
        <w:t xml:space="preserve">, </w:t>
      </w:r>
      <w:r w:rsidR="000B4F1F" w:rsidRPr="009B2451">
        <w:t xml:space="preserve">but in the Georgian period </w:t>
      </w:r>
      <w:r w:rsidR="00CF0121" w:rsidRPr="009B2451">
        <w:t xml:space="preserve">it </w:t>
      </w:r>
      <w:r w:rsidR="000B4F1F" w:rsidRPr="009B2451">
        <w:t xml:space="preserve">was not ignored and marginalised in favour </w:t>
      </w:r>
      <w:r w:rsidR="00CF0121" w:rsidRPr="009B2451">
        <w:t>of streets with high proportions of neo-classical architecture. L</w:t>
      </w:r>
      <w:r w:rsidR="000B4F1F" w:rsidRPr="009B2451">
        <w:t xml:space="preserve">ike Pavement, </w:t>
      </w:r>
      <w:r w:rsidR="00CF0121" w:rsidRPr="009B2451">
        <w:t xml:space="preserve">Stonegate </w:t>
      </w:r>
      <w:r w:rsidRPr="009B2451">
        <w:t xml:space="preserve">was </w:t>
      </w:r>
      <w:r w:rsidR="000B4F1F" w:rsidRPr="009B2451">
        <w:t xml:space="preserve">also </w:t>
      </w:r>
      <w:r w:rsidRPr="009B2451">
        <w:t xml:space="preserve">used for shops aimed at the genteel population of the city. </w:t>
      </w:r>
    </w:p>
    <w:p w:rsidR="00307E9D" w:rsidRPr="00FC1C21" w:rsidRDefault="0033414D" w:rsidP="00FC1C21">
      <w:pPr>
        <w:spacing w:line="360" w:lineRule="auto"/>
        <w:ind w:firstLine="737"/>
        <w:rPr>
          <w:szCs w:val="23"/>
        </w:rPr>
      </w:pPr>
      <w:r w:rsidRPr="009B2451">
        <w:t xml:space="preserve">When the eighteenth-century historian Francis Drake claimed that York was the second city to London in terms of politeness and elegance, he could do so </w:t>
      </w:r>
      <w:r w:rsidR="005C57EA" w:rsidRPr="009B2451">
        <w:t xml:space="preserve">with </w:t>
      </w:r>
      <w:r w:rsidR="000B238E">
        <w:t xml:space="preserve">at least </w:t>
      </w:r>
      <w:r w:rsidR="005C57EA" w:rsidRPr="009B2451">
        <w:t>some credibility</w:t>
      </w:r>
      <w:r w:rsidR="009D68EC" w:rsidRPr="009B2451">
        <w:rPr>
          <w:rStyle w:val="FootnoteReference"/>
        </w:rPr>
        <w:footnoteReference w:id="52"/>
      </w:r>
      <w:r w:rsidR="005C57EA" w:rsidRPr="009B2451">
        <w:t xml:space="preserve">. However, in analysing the physical evidence, </w:t>
      </w:r>
      <w:r w:rsidRPr="009B2451">
        <w:rPr>
          <w:szCs w:val="23"/>
        </w:rPr>
        <w:t>York’s streetscapes frequently fall far short of the standards of politeness, with older timber-framed buildings cheek-by-jowl w</w:t>
      </w:r>
      <w:r w:rsidR="005C57EA" w:rsidRPr="009B2451">
        <w:rPr>
          <w:szCs w:val="23"/>
        </w:rPr>
        <w:t>ith new classical architecture.</w:t>
      </w:r>
      <w:r w:rsidR="00FC1C21">
        <w:rPr>
          <w:szCs w:val="23"/>
        </w:rPr>
        <w:t xml:space="preserve"> </w:t>
      </w:r>
      <w:r w:rsidR="005C57EA" w:rsidRPr="009B2451">
        <w:rPr>
          <w:szCs w:val="23"/>
        </w:rPr>
        <w:t xml:space="preserve">This is at odds with the current model of improvement outlined in the beginning of the article, which while recognising complexity and diversity, </w:t>
      </w:r>
      <w:r w:rsidR="001D5DDE" w:rsidRPr="009B2451">
        <w:rPr>
          <w:szCs w:val="23"/>
        </w:rPr>
        <w:t>s</w:t>
      </w:r>
      <w:r w:rsidR="005C57EA" w:rsidRPr="009B2451">
        <w:rPr>
          <w:szCs w:val="23"/>
        </w:rPr>
        <w:t xml:space="preserve">till places </w:t>
      </w:r>
      <w:r w:rsidR="00CF0121" w:rsidRPr="009B2451">
        <w:rPr>
          <w:szCs w:val="23"/>
        </w:rPr>
        <w:t>considerable weight on the ever-</w:t>
      </w:r>
      <w:r w:rsidR="005C57EA" w:rsidRPr="009B2451">
        <w:rPr>
          <w:szCs w:val="23"/>
        </w:rPr>
        <w:t>increasing regularity and uniformity of the streetscape, particularly in areas for polite consumption and polite living.</w:t>
      </w:r>
    </w:p>
    <w:p w:rsidR="00697F4A" w:rsidRPr="009B2451" w:rsidRDefault="00AC378B" w:rsidP="00A4397E">
      <w:pPr>
        <w:spacing w:line="360" w:lineRule="auto"/>
        <w:ind w:firstLine="737"/>
      </w:pPr>
      <w:r w:rsidRPr="009B2451">
        <w:t xml:space="preserve">Also York is far from unique and can be seen as one of a </w:t>
      </w:r>
      <w:r w:rsidR="002F31E8" w:rsidRPr="009B2451">
        <w:t>group</w:t>
      </w:r>
      <w:r w:rsidRPr="009B2451">
        <w:t xml:space="preserve"> of </w:t>
      </w:r>
      <w:r w:rsidR="002F31E8" w:rsidRPr="009B2451">
        <w:t xml:space="preserve">fashionable </w:t>
      </w:r>
      <w:r w:rsidRPr="009B2451">
        <w:t xml:space="preserve">provincial </w:t>
      </w:r>
      <w:r w:rsidR="00CF0121" w:rsidRPr="009B2451">
        <w:t>towns</w:t>
      </w:r>
      <w:r w:rsidRPr="009B2451">
        <w:t xml:space="preserve"> such as Chester and Norwich</w:t>
      </w:r>
      <w:r w:rsidR="00307632" w:rsidRPr="009B2451">
        <w:t xml:space="preserve">. </w:t>
      </w:r>
      <w:r w:rsidR="003F2256" w:rsidRPr="009B2451">
        <w:t>Substantial quantities of medieval fabric survived in these towns into the eighteenth century</w:t>
      </w:r>
      <w:r w:rsidR="00CC203C" w:rsidRPr="009B2451">
        <w:t xml:space="preserve">, </w:t>
      </w:r>
      <w:r w:rsidR="001D5DDE" w:rsidRPr="009B2451">
        <w:t>evidence for which</w:t>
      </w:r>
      <w:r w:rsidR="00CF0121" w:rsidRPr="009B2451">
        <w:t xml:space="preserve"> has been analysed </w:t>
      </w:r>
      <w:r w:rsidR="009B2451">
        <w:t xml:space="preserve">by </w:t>
      </w:r>
      <w:r w:rsidR="00CF0121" w:rsidRPr="009B2451">
        <w:t>architectural historians and archaeologists</w:t>
      </w:r>
      <w:r w:rsidR="00E64157" w:rsidRPr="009B2451">
        <w:rPr>
          <w:rStyle w:val="FootnoteReference"/>
        </w:rPr>
        <w:footnoteReference w:id="53"/>
      </w:r>
      <w:r w:rsidR="00CF0121" w:rsidRPr="009B2451">
        <w:t>.</w:t>
      </w:r>
      <w:r w:rsidR="003F2256" w:rsidRPr="009B2451">
        <w:t xml:space="preserve"> </w:t>
      </w:r>
      <w:r w:rsidR="00CF0121" w:rsidRPr="009B2451">
        <w:t>However,</w:t>
      </w:r>
      <w:r w:rsidR="00307E9D" w:rsidRPr="009B2451">
        <w:t xml:space="preserve"> </w:t>
      </w:r>
      <w:r w:rsidR="001D5DDE" w:rsidRPr="009B2451">
        <w:t>work</w:t>
      </w:r>
      <w:r w:rsidR="00CF0121" w:rsidRPr="009B2451">
        <w:t xml:space="preserve"> that explore this architecture in detail </w:t>
      </w:r>
      <w:r w:rsidR="00307E9D" w:rsidRPr="009B2451">
        <w:t xml:space="preserve">rarely </w:t>
      </w:r>
      <w:r w:rsidR="00CF0121" w:rsidRPr="009B2451">
        <w:t>consistently engage</w:t>
      </w:r>
      <w:r w:rsidR="00CC203C" w:rsidRPr="009B2451">
        <w:t>s</w:t>
      </w:r>
      <w:r w:rsidR="00CF0121" w:rsidRPr="009B2451">
        <w:t xml:space="preserve"> with how the architectural evidence informs wider debates of improve</w:t>
      </w:r>
      <w:r w:rsidR="00503248" w:rsidRPr="009B2451">
        <w:t>ment during the Georgian period</w:t>
      </w:r>
      <w:r w:rsidR="00CF0121" w:rsidRPr="009B2451">
        <w:t xml:space="preserve">, as they frequently have other research priorities, are focused on a different period or were written before Borsay </w:t>
      </w:r>
      <w:r w:rsidR="00CC203C" w:rsidRPr="009B2451">
        <w:t xml:space="preserve">brought the subject to prominence through the publication </w:t>
      </w:r>
      <w:r w:rsidR="00CC203C" w:rsidRPr="009B2451">
        <w:rPr>
          <w:i/>
        </w:rPr>
        <w:t>The Urban Renaissance</w:t>
      </w:r>
      <w:r w:rsidR="00CF0121" w:rsidRPr="009B2451">
        <w:t>.</w:t>
      </w:r>
      <w:r w:rsidR="00CC203C" w:rsidRPr="009B2451">
        <w:t xml:space="preserve"> </w:t>
      </w:r>
      <w:r w:rsidR="00307E9D" w:rsidRPr="009B2451">
        <w:t xml:space="preserve">Likewise, although </w:t>
      </w:r>
      <w:r w:rsidR="00CF0121" w:rsidRPr="009B2451">
        <w:t>these texts have been referenced by historians</w:t>
      </w:r>
      <w:r w:rsidR="00307E9D" w:rsidRPr="009B2451">
        <w:t>, they have not been the subject of detailed analysis and incorporated into models of urban change.</w:t>
      </w:r>
      <w:r w:rsidR="00CC203C" w:rsidRPr="009B2451">
        <w:t xml:space="preserve"> </w:t>
      </w:r>
      <w:r w:rsidR="009D68EC" w:rsidRPr="009B2451">
        <w:t xml:space="preserve">This article argues that ideal conceptions of urban space </w:t>
      </w:r>
      <w:r w:rsidR="00CC203C" w:rsidRPr="009B2451">
        <w:t xml:space="preserve">discussed by eighteenth-century contemporaries </w:t>
      </w:r>
      <w:r w:rsidR="009D68EC" w:rsidRPr="009B2451">
        <w:t>were undeniably important</w:t>
      </w:r>
      <w:r w:rsidR="00CC203C" w:rsidRPr="009B2451">
        <w:rPr>
          <w:rStyle w:val="FootnoteReference"/>
        </w:rPr>
        <w:footnoteReference w:id="54"/>
      </w:r>
      <w:r w:rsidR="009D68EC" w:rsidRPr="009B2451">
        <w:t>, as were attempts by citizens to make this a reality</w:t>
      </w:r>
      <w:r w:rsidR="009D68EC" w:rsidRPr="009B2451">
        <w:rPr>
          <w:rStyle w:val="FootnoteReference"/>
        </w:rPr>
        <w:footnoteReference w:id="55"/>
      </w:r>
      <w:r w:rsidR="009D68EC" w:rsidRPr="009B2451">
        <w:t xml:space="preserve">. </w:t>
      </w:r>
      <w:r w:rsidR="00CC203C" w:rsidRPr="009B2451">
        <w:t>However,</w:t>
      </w:r>
      <w:r w:rsidR="009D68EC" w:rsidRPr="009B2451">
        <w:t xml:space="preserve"> </w:t>
      </w:r>
      <w:r w:rsidR="00CC203C" w:rsidRPr="009B2451">
        <w:t>also of importance</w:t>
      </w:r>
      <w:r w:rsidR="009D68EC" w:rsidRPr="009B2451">
        <w:t xml:space="preserve"> was the physical reality of the streets and </w:t>
      </w:r>
      <w:r w:rsidR="00CC203C" w:rsidRPr="009B2451">
        <w:t xml:space="preserve">how </w:t>
      </w:r>
      <w:r w:rsidR="009D68EC" w:rsidRPr="009B2451">
        <w:t>the urban experience was e</w:t>
      </w:r>
      <w:r w:rsidR="00FC1C21">
        <w:t>ncountered</w:t>
      </w:r>
      <w:r w:rsidR="009D68EC" w:rsidRPr="009B2451">
        <w:t xml:space="preserve"> </w:t>
      </w:r>
      <w:r w:rsidR="00CC203C" w:rsidRPr="009B2451">
        <w:t xml:space="preserve">on an </w:t>
      </w:r>
      <w:r w:rsidR="009D68EC" w:rsidRPr="009B2451">
        <w:t>everyday</w:t>
      </w:r>
      <w:r w:rsidR="00CC203C" w:rsidRPr="009B2451">
        <w:t xml:space="preserve"> level</w:t>
      </w:r>
      <w:r w:rsidR="009D68EC" w:rsidRPr="009B2451">
        <w:t xml:space="preserve">, even in polite neighbourhoods and streets. </w:t>
      </w:r>
      <w:r w:rsidR="00CC203C" w:rsidRPr="009B2451">
        <w:t>L</w:t>
      </w:r>
      <w:r w:rsidR="009D68EC" w:rsidRPr="009B2451">
        <w:t>arge bodies</w:t>
      </w:r>
      <w:r w:rsidR="00307632" w:rsidRPr="009B2451">
        <w:t xml:space="preserve"> of timber-framed buildings </w:t>
      </w:r>
      <w:r w:rsidR="00CC203C" w:rsidRPr="009B2451">
        <w:t xml:space="preserve">existed </w:t>
      </w:r>
      <w:r w:rsidR="009D68EC" w:rsidRPr="009B2451">
        <w:t xml:space="preserve">not just in York but in a number of towns </w:t>
      </w:r>
      <w:r w:rsidR="002E5C59">
        <w:t>that</w:t>
      </w:r>
      <w:r w:rsidR="009D68EC" w:rsidRPr="009B2451">
        <w:t xml:space="preserve"> were</w:t>
      </w:r>
      <w:r w:rsidR="00CC203C" w:rsidRPr="009B2451">
        <w:t xml:space="preserve"> a focus for polite society. This evidence</w:t>
      </w:r>
      <w:r w:rsidR="009D68EC" w:rsidRPr="009B2451">
        <w:t xml:space="preserve"> </w:t>
      </w:r>
      <w:r w:rsidR="00CC203C" w:rsidRPr="009B2451">
        <w:t>provides weight to the argument that a greater understanding is needed of how this diverse architecture can be incorporated into models of urban improvement and consumption.</w:t>
      </w:r>
      <w:r w:rsidR="009D68EC" w:rsidRPr="009B2451">
        <w:t xml:space="preserve"> </w:t>
      </w:r>
    </w:p>
    <w:p w:rsidR="00697F4A" w:rsidRPr="009B2451" w:rsidRDefault="00697F4A" w:rsidP="009B2451">
      <w:pPr>
        <w:spacing w:line="360" w:lineRule="auto"/>
        <w:ind w:firstLine="737"/>
      </w:pPr>
      <w:r w:rsidRPr="009B2451">
        <w:rPr>
          <w:lang w:val="en-GB"/>
        </w:rPr>
        <w:t xml:space="preserve">The mixed character of the street is also born out in High Ousegate, although in a somewhat different manner. </w:t>
      </w:r>
      <w:r w:rsidR="007701C0" w:rsidRPr="009B2451">
        <w:rPr>
          <w:lang w:val="en-GB"/>
        </w:rPr>
        <w:t xml:space="preserve">This street was largely newly built in the </w:t>
      </w:r>
      <w:r w:rsidR="00C52293" w:rsidRPr="009B2451">
        <w:rPr>
          <w:lang w:val="en-GB"/>
        </w:rPr>
        <w:t>eighteenth-</w:t>
      </w:r>
      <w:r w:rsidR="00A4397E">
        <w:rPr>
          <w:lang w:val="en-GB"/>
        </w:rPr>
        <w:t>century</w:t>
      </w:r>
      <w:r w:rsidR="00D64232" w:rsidRPr="009B2451">
        <w:rPr>
          <w:lang w:val="en-GB"/>
        </w:rPr>
        <w:t xml:space="preserve"> due to </w:t>
      </w:r>
      <w:r w:rsidR="00D64232" w:rsidRPr="009B2451">
        <w:t>a</w:t>
      </w:r>
      <w:r w:rsidR="007D04A9" w:rsidRPr="009B2451">
        <w:t xml:space="preserve"> fire </w:t>
      </w:r>
      <w:r w:rsidR="00D64232" w:rsidRPr="009B2451">
        <w:t>that</w:t>
      </w:r>
      <w:r w:rsidR="007D04A9" w:rsidRPr="009B2451">
        <w:t xml:space="preserve"> destroyed thirty houses</w:t>
      </w:r>
      <w:r w:rsidR="00D64232" w:rsidRPr="009B2451">
        <w:t xml:space="preserve"> in 1694 </w:t>
      </w:r>
      <w:r w:rsidR="007D04A9" w:rsidRPr="009B2451">
        <w:t>and today there is no surviving fabric ea</w:t>
      </w:r>
      <w:r w:rsidR="001311BC" w:rsidRPr="009B2451">
        <w:t>rlier than 1700</w:t>
      </w:r>
      <w:r w:rsidR="00A905A5" w:rsidRPr="009B2451">
        <w:t>.</w:t>
      </w:r>
      <w:r w:rsidR="00E64157" w:rsidRPr="009B2451">
        <w:rPr>
          <w:rStyle w:val="FootnoteReference"/>
        </w:rPr>
        <w:footnoteReference w:id="56"/>
      </w:r>
      <w:r w:rsidR="007D04A9" w:rsidRPr="009B2451">
        <w:t xml:space="preserve"> </w:t>
      </w:r>
      <w:r w:rsidR="007D04A9" w:rsidRPr="009B2451">
        <w:rPr>
          <w:lang w:val="en-GB"/>
        </w:rPr>
        <w:t xml:space="preserve">To some degree, therefore, High Ousegate conforms to the </w:t>
      </w:r>
      <w:r w:rsidR="007701C0" w:rsidRPr="009B2451">
        <w:rPr>
          <w:lang w:val="en-GB"/>
        </w:rPr>
        <w:t>current model</w:t>
      </w:r>
      <w:r w:rsidR="007D04A9" w:rsidRPr="009B2451">
        <w:rPr>
          <w:lang w:val="en-GB"/>
        </w:rPr>
        <w:t xml:space="preserve"> of urban improvement. It consists largely of new Georgian houses some of which have fine architectural details. This created rows of houses with flush fronts built in the classical vernacular, which created a unified setting for polite consumption. </w:t>
      </w:r>
      <w:r w:rsidR="00E64157" w:rsidRPr="009B2451">
        <w:rPr>
          <w:lang w:val="en-GB"/>
        </w:rPr>
        <w:t>To some degree this</w:t>
      </w:r>
      <w:r w:rsidR="007D04A9" w:rsidRPr="009B2451">
        <w:rPr>
          <w:lang w:val="en-GB"/>
        </w:rPr>
        <w:t xml:space="preserve"> produced an ordered and harmonious streetscape, </w:t>
      </w:r>
      <w:r w:rsidR="007D04A9" w:rsidRPr="009B2451">
        <w:rPr>
          <w:u w:color="548DD4" w:themeColor="text2" w:themeTint="99"/>
        </w:rPr>
        <w:t>which helped to convey meanings of modernity</w:t>
      </w:r>
      <w:r w:rsidR="00A905A5" w:rsidRPr="009B2451">
        <w:rPr>
          <w:u w:color="548DD4" w:themeColor="text2" w:themeTint="99"/>
        </w:rPr>
        <w:t>.</w:t>
      </w:r>
      <w:r w:rsidR="00980020" w:rsidRPr="009B2451">
        <w:t xml:space="preserve"> </w:t>
      </w:r>
      <w:r w:rsidR="001E3552" w:rsidRPr="009B2451">
        <w:t>Adrian Green has argued that it was the interiors of eighteenth-century houses were personal taste was most prominently on display, and the external facades emphasised plainness and conformity</w:t>
      </w:r>
      <w:r w:rsidR="001E3552" w:rsidRPr="009B2451">
        <w:rPr>
          <w:rStyle w:val="FootnoteReference"/>
        </w:rPr>
        <w:footnoteReference w:id="57"/>
      </w:r>
      <w:r w:rsidR="001E3552" w:rsidRPr="009B2451">
        <w:t xml:space="preserve">. </w:t>
      </w:r>
      <w:r w:rsidR="000222F6" w:rsidRPr="009B2451">
        <w:t xml:space="preserve">However, this uniformity </w:t>
      </w:r>
      <w:r w:rsidR="001E3552" w:rsidRPr="009B2451">
        <w:t>can be</w:t>
      </w:r>
      <w:r w:rsidR="000222F6" w:rsidRPr="009B2451">
        <w:t xml:space="preserve"> deceptive and </w:t>
      </w:r>
      <w:r w:rsidR="00C52293" w:rsidRPr="009B2451">
        <w:t>a closer examination creates a more complex image of how the urban space was encountered. Detailed analysis of a number of the buildings on the street helps to illuminate this complexity.</w:t>
      </w:r>
    </w:p>
    <w:p w:rsidR="0008647E" w:rsidRPr="009B2451" w:rsidRDefault="00C52293" w:rsidP="009B2451">
      <w:pPr>
        <w:spacing w:line="360" w:lineRule="auto"/>
        <w:ind w:firstLine="737"/>
      </w:pPr>
      <w:r w:rsidRPr="009B2451">
        <w:rPr>
          <w:lang w:val="en-GB"/>
        </w:rPr>
        <w:t>Turning first to</w:t>
      </w:r>
      <w:r w:rsidR="0008647E" w:rsidRPr="009B2451">
        <w:rPr>
          <w:lang w:val="en-GB"/>
        </w:rPr>
        <w:t xml:space="preserve"> Nos 19 and 20</w:t>
      </w:r>
      <w:r w:rsidR="00E67F03" w:rsidRPr="009B2451">
        <w:rPr>
          <w:lang w:val="en-GB"/>
        </w:rPr>
        <w:t xml:space="preserve"> (Fig</w:t>
      </w:r>
      <w:r w:rsidR="001C5622">
        <w:rPr>
          <w:lang w:val="en-GB"/>
        </w:rPr>
        <w:t>ure</w:t>
      </w:r>
      <w:r w:rsidR="00E67F03" w:rsidRPr="009B2451">
        <w:rPr>
          <w:lang w:val="en-GB"/>
        </w:rPr>
        <w:t xml:space="preserve"> 4)</w:t>
      </w:r>
      <w:r w:rsidR="0008647E" w:rsidRPr="009B2451">
        <w:rPr>
          <w:lang w:val="en-GB"/>
        </w:rPr>
        <w:t>. In contrast to the numerous fine properties on High Ousegate, these are small three-stor</w:t>
      </w:r>
      <w:r w:rsidR="001B19E0" w:rsidRPr="009B2451">
        <w:rPr>
          <w:lang w:val="en-GB"/>
        </w:rPr>
        <w:t>ie</w:t>
      </w:r>
      <w:r w:rsidR="0008647E" w:rsidRPr="009B2451">
        <w:rPr>
          <w:lang w:val="en-GB"/>
        </w:rPr>
        <w:t xml:space="preserve">d houses with few decorative embellishments. However both of these shops were specifically catering towards the gentry market. </w:t>
      </w:r>
      <w:r w:rsidR="001311BC" w:rsidRPr="009B2451">
        <w:t>Dr White’s map</w:t>
      </w:r>
      <w:r w:rsidR="00E64157" w:rsidRPr="009B2451">
        <w:rPr>
          <w:rStyle w:val="FootnoteReference"/>
        </w:rPr>
        <w:footnoteReference w:id="58"/>
      </w:r>
      <w:r w:rsidR="009F3626" w:rsidRPr="009B2451">
        <w:rPr>
          <w:lang w:val="en-GB"/>
        </w:rPr>
        <w:t xml:space="preserve"> shows that in the</w:t>
      </w:r>
      <w:r w:rsidR="009F3626" w:rsidRPr="009B2451">
        <w:t xml:space="preserve"> 1780s, No 19 was owned by Mr Yates, a linen draper and No 20 by Mr Spence a bookseller. </w:t>
      </w:r>
      <w:r w:rsidR="00F8795D" w:rsidRPr="009B2451">
        <w:t xml:space="preserve">However, these were not simply smaller outlets struggling to compete with the bigger, more up-market shops. </w:t>
      </w:r>
      <w:r w:rsidR="009F3626" w:rsidRPr="009B2451">
        <w:t xml:space="preserve">In Robert Spence’s will </w:t>
      </w:r>
      <w:r w:rsidR="009F3626" w:rsidRPr="009B2451">
        <w:rPr>
          <w:lang w:val="en-GB"/>
        </w:rPr>
        <w:t xml:space="preserve">he is labelled as a ‘gentleman’, with the value of the </w:t>
      </w:r>
      <w:r w:rsidR="001311BC" w:rsidRPr="009B2451">
        <w:rPr>
          <w:lang w:val="en-GB"/>
        </w:rPr>
        <w:t>estate estimated to be £10,000</w:t>
      </w:r>
      <w:r w:rsidR="00A905A5" w:rsidRPr="009B2451">
        <w:rPr>
          <w:lang w:val="en-GB"/>
        </w:rPr>
        <w:t>.</w:t>
      </w:r>
      <w:r w:rsidR="008D0ECA" w:rsidRPr="009B2451">
        <w:rPr>
          <w:rStyle w:val="FootnoteReference"/>
          <w:lang w:val="en-GB"/>
        </w:rPr>
        <w:footnoteReference w:id="59"/>
      </w:r>
      <w:r w:rsidR="009F3626" w:rsidRPr="009B2451">
        <w:rPr>
          <w:lang w:val="en-GB"/>
        </w:rPr>
        <w:t xml:space="preserve"> This is a significant amount and certainly puts him among the wealthiest merchants in York. In the study conducted</w:t>
      </w:r>
      <w:r w:rsidR="001311BC" w:rsidRPr="009B2451">
        <w:rPr>
          <w:lang w:val="en-GB"/>
        </w:rPr>
        <w:t xml:space="preserve"> by Mui and Mui</w:t>
      </w:r>
      <w:r w:rsidR="009F3626" w:rsidRPr="009B2451">
        <w:rPr>
          <w:lang w:val="en-GB"/>
        </w:rPr>
        <w:t xml:space="preserve">, only two shopkeepers in York had an </w:t>
      </w:r>
      <w:r w:rsidR="00540775" w:rsidRPr="009B2451">
        <w:rPr>
          <w:lang w:val="en-GB"/>
        </w:rPr>
        <w:t xml:space="preserve">annual </w:t>
      </w:r>
      <w:r w:rsidR="009F3626" w:rsidRPr="009B2451">
        <w:rPr>
          <w:lang w:val="en-GB"/>
        </w:rPr>
        <w:t>expenditure of £300 and Robert Spence was one of then</w:t>
      </w:r>
      <w:r w:rsidR="00A905A5" w:rsidRPr="009B2451">
        <w:rPr>
          <w:lang w:val="en-GB"/>
        </w:rPr>
        <w:t>.</w:t>
      </w:r>
      <w:r w:rsidR="008D0ECA" w:rsidRPr="009B2451">
        <w:rPr>
          <w:rStyle w:val="FootnoteReference"/>
          <w:lang w:val="en-GB"/>
        </w:rPr>
        <w:footnoteReference w:id="60"/>
      </w:r>
      <w:r w:rsidR="009F3626" w:rsidRPr="009B2451">
        <w:rPr>
          <w:lang w:val="en-GB"/>
        </w:rPr>
        <w:t xml:space="preserve"> </w:t>
      </w:r>
      <w:r w:rsidR="00F02FBE" w:rsidRPr="009B2451">
        <w:rPr>
          <w:lang w:val="en-GB"/>
        </w:rPr>
        <w:t>Therefore while</w:t>
      </w:r>
      <w:r w:rsidR="0008647E" w:rsidRPr="009B2451">
        <w:rPr>
          <w:lang w:val="en-GB"/>
        </w:rPr>
        <w:t xml:space="preserve"> exterior appearance was undeniably important</w:t>
      </w:r>
      <w:r w:rsidR="00F02FBE" w:rsidRPr="009B2451">
        <w:rPr>
          <w:lang w:val="en-GB"/>
        </w:rPr>
        <w:t xml:space="preserve"> fo</w:t>
      </w:r>
      <w:r w:rsidR="001311BC" w:rsidRPr="009B2451">
        <w:rPr>
          <w:lang w:val="en-GB"/>
        </w:rPr>
        <w:t>r eighteenth-century retailers</w:t>
      </w:r>
      <w:r w:rsidR="00A111A3" w:rsidRPr="009B2451">
        <w:rPr>
          <w:rStyle w:val="FootnoteReference"/>
          <w:lang w:val="en-GB"/>
        </w:rPr>
        <w:footnoteReference w:id="61"/>
      </w:r>
      <w:r w:rsidR="00F02FBE" w:rsidRPr="009B2451">
        <w:rPr>
          <w:lang w:val="en-GB"/>
        </w:rPr>
        <w:t xml:space="preserve">, </w:t>
      </w:r>
      <w:r w:rsidR="0008647E" w:rsidRPr="009B2451">
        <w:rPr>
          <w:lang w:val="en-GB"/>
        </w:rPr>
        <w:t>i</w:t>
      </w:r>
      <w:r w:rsidR="000D0FDC">
        <w:rPr>
          <w:lang w:val="en-GB"/>
        </w:rPr>
        <w:t xml:space="preserve">t was not always necessary and </w:t>
      </w:r>
      <w:r w:rsidR="0008647E" w:rsidRPr="009B2451">
        <w:rPr>
          <w:lang w:val="en-GB"/>
        </w:rPr>
        <w:t>polite shopping streets could have a very varied character. The lack of ostentation certainly does not seem to have hurt Robert Spence’s business given his high d</w:t>
      </w:r>
      <w:r w:rsidR="00F8795D" w:rsidRPr="009B2451">
        <w:rPr>
          <w:lang w:val="en-GB"/>
        </w:rPr>
        <w:t>egree of wealth.</w:t>
      </w:r>
    </w:p>
    <w:p w:rsidR="005E2F43" w:rsidRPr="009B2451" w:rsidRDefault="00F36F44" w:rsidP="009B2451">
      <w:pPr>
        <w:spacing w:line="360" w:lineRule="auto"/>
        <w:ind w:firstLine="737"/>
        <w:rPr>
          <w:lang w:val="en-GB"/>
        </w:rPr>
      </w:pPr>
      <w:r w:rsidRPr="009B2451">
        <w:rPr>
          <w:lang w:val="en-GB"/>
        </w:rPr>
        <w:t xml:space="preserve">This is also illustrated by Nos 11 and 12. The property is of three storeys and nine bays wide, (four per house and one in the centre). There are giant fluted Ionic columns at each end and also flanking the central bay, where they are doubled with pilasters. The exterior elevation is very fine and comparable with some of the mansion houses in York. </w:t>
      </w:r>
      <w:r w:rsidR="00176E02" w:rsidRPr="009B2451">
        <w:rPr>
          <w:lang w:val="en-GB"/>
        </w:rPr>
        <w:t xml:space="preserve">Davies </w:t>
      </w:r>
      <w:r w:rsidR="00CA12F6" w:rsidRPr="009B2451">
        <w:rPr>
          <w:lang w:val="en-GB"/>
        </w:rPr>
        <w:t>in 1880 commented</w:t>
      </w:r>
      <w:r w:rsidR="00176E02" w:rsidRPr="009B2451">
        <w:rPr>
          <w:lang w:val="en-GB"/>
        </w:rPr>
        <w:t xml:space="preserve"> that it ‘presents one of the finest examples of modern street architecture that our city can boast’</w:t>
      </w:r>
      <w:r w:rsidR="00A905A5" w:rsidRPr="009B2451">
        <w:rPr>
          <w:lang w:val="en-GB"/>
        </w:rPr>
        <w:t>.</w:t>
      </w:r>
      <w:r w:rsidR="00A111A3" w:rsidRPr="009B2451">
        <w:rPr>
          <w:rStyle w:val="FootnoteReference"/>
          <w:lang w:val="en-GB"/>
        </w:rPr>
        <w:footnoteReference w:id="62"/>
      </w:r>
      <w:r w:rsidR="00176E02" w:rsidRPr="009B2451">
        <w:rPr>
          <w:lang w:val="en-GB"/>
        </w:rPr>
        <w:t xml:space="preserve"> The house’s inclusion in John Cossins map of 1727 is also significant. Cossins’s map included along the right- and left-hand margins 16 illustrations of </w:t>
      </w:r>
      <w:r w:rsidR="00AA39D3" w:rsidRPr="009B2451">
        <w:rPr>
          <w:lang w:val="en-GB"/>
        </w:rPr>
        <w:t xml:space="preserve">public buildings and </w:t>
      </w:r>
      <w:r w:rsidR="00176E02" w:rsidRPr="009B2451">
        <w:rPr>
          <w:lang w:val="en-GB"/>
        </w:rPr>
        <w:t xml:space="preserve">the private residences of York’s leading citizens. These were some of the grandest houses present at the time and symbolised the neo-Palladian style that was becoming increasingly influential </w:t>
      </w:r>
      <w:r w:rsidR="001311BC" w:rsidRPr="009B2451">
        <w:rPr>
          <w:lang w:val="en-GB"/>
        </w:rPr>
        <w:t>in the city</w:t>
      </w:r>
      <w:r w:rsidR="00A905A5" w:rsidRPr="009B2451">
        <w:rPr>
          <w:lang w:val="en-GB"/>
        </w:rPr>
        <w:t>.</w:t>
      </w:r>
      <w:r w:rsidR="00A111A3" w:rsidRPr="009B2451">
        <w:rPr>
          <w:rStyle w:val="FootnoteReference"/>
          <w:lang w:val="en-GB"/>
        </w:rPr>
        <w:footnoteReference w:id="63"/>
      </w:r>
    </w:p>
    <w:p w:rsidR="007A0428" w:rsidRPr="009B2451" w:rsidRDefault="00F36F44" w:rsidP="009B2451">
      <w:pPr>
        <w:spacing w:line="360" w:lineRule="auto"/>
        <w:ind w:firstLine="737"/>
      </w:pPr>
      <w:r w:rsidRPr="009B2451">
        <w:rPr>
          <w:lang w:val="en-GB"/>
        </w:rPr>
        <w:t xml:space="preserve">Yet </w:t>
      </w:r>
      <w:r w:rsidR="00697F4A" w:rsidRPr="009B2451">
        <w:rPr>
          <w:lang w:val="en-GB"/>
        </w:rPr>
        <w:t xml:space="preserve">an intriguing further dimension </w:t>
      </w:r>
      <w:r w:rsidR="00F8795D" w:rsidRPr="009B2451">
        <w:rPr>
          <w:lang w:val="en-GB"/>
        </w:rPr>
        <w:t xml:space="preserve">is provided </w:t>
      </w:r>
      <w:r w:rsidR="00697F4A" w:rsidRPr="009B2451">
        <w:rPr>
          <w:lang w:val="en-GB"/>
        </w:rPr>
        <w:t xml:space="preserve">by a detail in Cossins’s map. This shows a lean-to projection against No 12 and a corresponding wall scar on No 11. </w:t>
      </w:r>
      <w:r w:rsidR="005E2F43" w:rsidRPr="009B2451">
        <w:rPr>
          <w:lang w:val="en-GB"/>
        </w:rPr>
        <w:t>As we have already discussed in the case of Pavement, p</w:t>
      </w:r>
      <w:r w:rsidR="00F14556" w:rsidRPr="009B2451">
        <w:rPr>
          <w:lang w:val="en-GB"/>
        </w:rPr>
        <w:t xml:space="preserve">rojections such as these were common in the late medieval period and persisted into the seventeenth century. </w:t>
      </w:r>
      <w:r w:rsidR="004B09B9" w:rsidRPr="009B2451">
        <w:rPr>
          <w:lang w:val="en-GB"/>
        </w:rPr>
        <w:t>In the early eighteenth century glazed fronts became increasingly common as new buildings were constructed in the neo-classical style and older timber-framed buil</w:t>
      </w:r>
      <w:r w:rsidR="001311BC" w:rsidRPr="009B2451">
        <w:rPr>
          <w:lang w:val="en-GB"/>
        </w:rPr>
        <w:t>dings were adapted and replaced</w:t>
      </w:r>
      <w:r w:rsidR="00A905A5" w:rsidRPr="009B2451">
        <w:rPr>
          <w:lang w:val="en-GB"/>
        </w:rPr>
        <w:t>.</w:t>
      </w:r>
      <w:r w:rsidR="009A40F9" w:rsidRPr="009B2451">
        <w:rPr>
          <w:rStyle w:val="FootnoteReference"/>
          <w:lang w:val="en-GB"/>
        </w:rPr>
        <w:footnoteReference w:id="64"/>
      </w:r>
      <w:r w:rsidR="004B09B9" w:rsidRPr="009B2451">
        <w:rPr>
          <w:lang w:val="en-GB"/>
        </w:rPr>
        <w:t xml:space="preserve"> </w:t>
      </w:r>
      <w:r w:rsidR="004B09B9" w:rsidRPr="009B2451">
        <w:rPr>
          <w:u w:color="548DD4" w:themeColor="text2" w:themeTint="99"/>
        </w:rPr>
        <w:t>The individual and collective appearance of the street became increasingly important, which was achieved through use of classical architecture.</w:t>
      </w:r>
      <w:r w:rsidR="004B09B9" w:rsidRPr="009B2451">
        <w:t xml:space="preserve"> </w:t>
      </w:r>
      <w:r w:rsidR="007A0428" w:rsidRPr="009B2451">
        <w:rPr>
          <w:szCs w:val="23"/>
        </w:rPr>
        <w:t>This knowledge was disseminated through printed manuals that highlighted the use of proportion and symmetry, a flush façade and classical ornamentation. The emphasis was placed on the façade as a way of unifying the street and jettying was seen as an anathema to the sought-after conformity</w:t>
      </w:r>
      <w:r w:rsidR="00A905A5" w:rsidRPr="009B2451">
        <w:rPr>
          <w:szCs w:val="23"/>
        </w:rPr>
        <w:t>.</w:t>
      </w:r>
      <w:r w:rsidR="006D745D" w:rsidRPr="009B2451">
        <w:rPr>
          <w:rStyle w:val="FootnoteReference"/>
          <w:szCs w:val="23"/>
        </w:rPr>
        <w:footnoteReference w:id="65"/>
      </w:r>
      <w:r w:rsidR="007A0428" w:rsidRPr="009B2451">
        <w:rPr>
          <w:szCs w:val="23"/>
        </w:rPr>
        <w:t xml:space="preserve"> </w:t>
      </w:r>
    </w:p>
    <w:p w:rsidR="00F529EF" w:rsidRPr="009B2451" w:rsidRDefault="00980020" w:rsidP="009B2451">
      <w:pPr>
        <w:spacing w:line="360" w:lineRule="auto"/>
        <w:ind w:firstLine="737"/>
      </w:pPr>
      <w:r w:rsidRPr="009B2451">
        <w:t xml:space="preserve">Important work by Jon </w:t>
      </w:r>
      <w:r w:rsidR="004B09B9" w:rsidRPr="009B2451">
        <w:t xml:space="preserve">Stobart </w:t>
      </w:r>
      <w:r w:rsidR="00F14556" w:rsidRPr="009B2451">
        <w:t xml:space="preserve">and </w:t>
      </w:r>
      <w:r w:rsidRPr="009B2451">
        <w:t>Claire Walsh have highlighted</w:t>
      </w:r>
      <w:r w:rsidR="004B09B9" w:rsidRPr="009B2451">
        <w:t xml:space="preserve"> that this transformation was far from c</w:t>
      </w:r>
      <w:r w:rsidR="005C7B3C" w:rsidRPr="009B2451">
        <w:t xml:space="preserve">omplete and that open frontages, stallboards and external tables </w:t>
      </w:r>
      <w:r w:rsidR="004B09B9" w:rsidRPr="009B2451">
        <w:t>persisted in provincial towns</w:t>
      </w:r>
      <w:r w:rsidR="001311BC" w:rsidRPr="009B2451">
        <w:t xml:space="preserve"> through the eighteenth century</w:t>
      </w:r>
      <w:r w:rsidR="00A905A5" w:rsidRPr="009B2451">
        <w:t>.</w:t>
      </w:r>
      <w:r w:rsidR="009A40F9" w:rsidRPr="009B2451">
        <w:rPr>
          <w:rStyle w:val="FootnoteReference"/>
        </w:rPr>
        <w:footnoteReference w:id="66"/>
      </w:r>
      <w:r w:rsidR="00085477" w:rsidRPr="009B2451">
        <w:t xml:space="preserve"> H</w:t>
      </w:r>
      <w:r w:rsidR="004B09B9" w:rsidRPr="009B2451">
        <w:t xml:space="preserve">owever, while the level of success was varied and continues to be debated, </w:t>
      </w:r>
      <w:r w:rsidR="008A47C3" w:rsidRPr="009B2451">
        <w:t>emphasis</w:t>
      </w:r>
      <w:r w:rsidR="004B09B9" w:rsidRPr="009B2451">
        <w:t xml:space="preserve"> </w:t>
      </w:r>
      <w:r w:rsidRPr="009B2451">
        <w:t xml:space="preserve">is still placed </w:t>
      </w:r>
      <w:r w:rsidR="00085477" w:rsidRPr="009B2451">
        <w:t>on the ambition of shopkeepers to transform their premises</w:t>
      </w:r>
      <w:r w:rsidR="00A905A5" w:rsidRPr="009B2451">
        <w:t>.</w:t>
      </w:r>
      <w:r w:rsidR="009A40F9" w:rsidRPr="009B2451">
        <w:rPr>
          <w:rStyle w:val="FootnoteReference"/>
        </w:rPr>
        <w:footnoteReference w:id="67"/>
      </w:r>
      <w:r w:rsidR="00F14556" w:rsidRPr="009B2451">
        <w:t xml:space="preserve"> </w:t>
      </w:r>
      <w:r w:rsidR="004B09B9" w:rsidRPr="009B2451">
        <w:t xml:space="preserve">The rhetoric of politeness aimed to exclude certain performers and activities from the street and was also used as a yardstick with which to judge the fashionability and </w:t>
      </w:r>
      <w:r w:rsidR="001311BC" w:rsidRPr="009B2451">
        <w:t>politeness of a town</w:t>
      </w:r>
      <w:r w:rsidR="00A905A5" w:rsidRPr="009B2451">
        <w:t>.</w:t>
      </w:r>
      <w:r w:rsidR="008D7224" w:rsidRPr="009B2451">
        <w:rPr>
          <w:rStyle w:val="FootnoteReference"/>
        </w:rPr>
        <w:footnoteReference w:id="68"/>
      </w:r>
      <w:r w:rsidR="00F529EF" w:rsidRPr="009B2451">
        <w:t xml:space="preserve"> </w:t>
      </w:r>
    </w:p>
    <w:p w:rsidR="004B09B9" w:rsidRPr="00A4397E" w:rsidRDefault="00A4397E" w:rsidP="00A4397E">
      <w:pPr>
        <w:spacing w:line="360" w:lineRule="auto"/>
        <w:ind w:firstLine="737"/>
        <w:rPr>
          <w:lang w:val="en-GB"/>
        </w:rPr>
      </w:pPr>
      <w:r>
        <w:rPr>
          <w:lang w:val="en-GB"/>
        </w:rPr>
        <w:t>W</w:t>
      </w:r>
      <w:r w:rsidR="00F529EF" w:rsidRPr="009B2451">
        <w:rPr>
          <w:lang w:val="en-GB"/>
        </w:rPr>
        <w:t>hile this desire to improve is important, so to is the physical reality of the street and the day-to-day experience.</w:t>
      </w:r>
      <w:r>
        <w:rPr>
          <w:lang w:val="en-GB"/>
        </w:rPr>
        <w:t xml:space="preserve"> </w:t>
      </w:r>
      <w:r>
        <w:t>The</w:t>
      </w:r>
      <w:r w:rsidR="007A0428" w:rsidRPr="009B2451">
        <w:rPr>
          <w:szCs w:val="23"/>
        </w:rPr>
        <w:t xml:space="preserve"> ideal</w:t>
      </w:r>
      <w:r>
        <w:rPr>
          <w:szCs w:val="23"/>
        </w:rPr>
        <w:t>s and ambitions</w:t>
      </w:r>
      <w:r w:rsidR="007A0428" w:rsidRPr="009B2451">
        <w:rPr>
          <w:szCs w:val="23"/>
        </w:rPr>
        <w:t xml:space="preserve"> of </w:t>
      </w:r>
      <w:r>
        <w:rPr>
          <w:szCs w:val="23"/>
        </w:rPr>
        <w:t xml:space="preserve">contemporaries in regard to </w:t>
      </w:r>
      <w:r w:rsidR="007A0428" w:rsidRPr="009B2451">
        <w:rPr>
          <w:szCs w:val="23"/>
        </w:rPr>
        <w:t xml:space="preserve">urban improvement </w:t>
      </w:r>
      <w:r>
        <w:rPr>
          <w:szCs w:val="23"/>
        </w:rPr>
        <w:t>were</w:t>
      </w:r>
      <w:r w:rsidR="00980020" w:rsidRPr="009B2451">
        <w:rPr>
          <w:szCs w:val="23"/>
        </w:rPr>
        <w:t xml:space="preserve"> </w:t>
      </w:r>
      <w:r w:rsidR="007A0428" w:rsidRPr="009B2451">
        <w:rPr>
          <w:szCs w:val="23"/>
        </w:rPr>
        <w:t xml:space="preserve">rarely </w:t>
      </w:r>
      <w:r w:rsidR="00980020" w:rsidRPr="009B2451">
        <w:rPr>
          <w:szCs w:val="23"/>
        </w:rPr>
        <w:t>realised</w:t>
      </w:r>
      <w:r w:rsidR="007A0428" w:rsidRPr="009B2451">
        <w:rPr>
          <w:szCs w:val="23"/>
        </w:rPr>
        <w:t xml:space="preserve"> </w:t>
      </w:r>
      <w:r w:rsidR="005C7B3C" w:rsidRPr="009B2451">
        <w:rPr>
          <w:szCs w:val="23"/>
        </w:rPr>
        <w:t>before the nineteenth century</w:t>
      </w:r>
      <w:r>
        <w:rPr>
          <w:szCs w:val="23"/>
        </w:rPr>
        <w:t>, particularly in provincial capitals that were medieval foundations.</w:t>
      </w:r>
      <w:r w:rsidR="005C7B3C" w:rsidRPr="009B2451">
        <w:rPr>
          <w:szCs w:val="23"/>
        </w:rPr>
        <w:t xml:space="preserve"> </w:t>
      </w:r>
      <w:r>
        <w:t>E</w:t>
      </w:r>
      <w:r w:rsidR="004B09B9" w:rsidRPr="009B2451">
        <w:t xml:space="preserve">ven in </w:t>
      </w:r>
      <w:r w:rsidR="00980020" w:rsidRPr="009B2451">
        <w:t>a fashionable city such as York</w:t>
      </w:r>
      <w:r w:rsidR="004B09B9" w:rsidRPr="009B2451">
        <w:t xml:space="preserve"> this ideal did not exist </w:t>
      </w:r>
      <w:r w:rsidR="00980020" w:rsidRPr="009B2451">
        <w:t>and instead the streets were</w:t>
      </w:r>
      <w:r w:rsidR="004B09B9" w:rsidRPr="009B2451">
        <w:t xml:space="preserve"> a complex mixture of old and new, wealthy and poor, high and low status. </w:t>
      </w:r>
      <w:r w:rsidR="005E2F43" w:rsidRPr="009B2451">
        <w:t xml:space="preserve">This is particularly true in regards to the smart street of High Ousegate. Here the wooden stallboards were deliberately reintroduced after the fire and </w:t>
      </w:r>
      <w:r w:rsidR="00980020" w:rsidRPr="009B2451">
        <w:t xml:space="preserve">were </w:t>
      </w:r>
      <w:r w:rsidR="005E2F43" w:rsidRPr="009B2451">
        <w:t xml:space="preserve">not simply a hangover from earlier periods. These would have stood out in even starker contrast to the fine classical architecture on High Ousegate. </w:t>
      </w:r>
      <w:r w:rsidR="004B09B9" w:rsidRPr="009B2451">
        <w:t xml:space="preserve">So while the ideal </w:t>
      </w:r>
      <w:r w:rsidR="005E2F43" w:rsidRPr="009B2451">
        <w:t xml:space="preserve">of urban improvement </w:t>
      </w:r>
      <w:r w:rsidR="004B09B9" w:rsidRPr="009B2451">
        <w:t>would have come into focus at different times, so too would the everyday reality and this would have produced a more ambiguo</w:t>
      </w:r>
      <w:r w:rsidR="008A47C3" w:rsidRPr="009B2451">
        <w:t>us element to social relations.</w:t>
      </w:r>
    </w:p>
    <w:p w:rsidR="007A0428" w:rsidRPr="009B2451" w:rsidRDefault="007A0428" w:rsidP="009B2451">
      <w:pPr>
        <w:spacing w:line="360" w:lineRule="auto"/>
        <w:ind w:firstLine="737"/>
        <w:rPr>
          <w:lang w:val="en-GB"/>
        </w:rPr>
      </w:pPr>
      <w:r w:rsidRPr="009B2451">
        <w:rPr>
          <w:szCs w:val="23"/>
        </w:rPr>
        <w:t>These stallboards and trellis tables were symbolic of an earlier time, with the style dating back not just to the early modern period but the late medieval as well. They caused disruption not just in terms of architecture but the meanings they conveyed. The new houses transmitted ideas of fashionable improvement but the</w:t>
      </w:r>
      <w:r w:rsidR="005E2F43" w:rsidRPr="009B2451">
        <w:rPr>
          <w:szCs w:val="23"/>
        </w:rPr>
        <w:t xml:space="preserve"> stallboards contradicted this</w:t>
      </w:r>
      <w:r w:rsidRPr="009B2451">
        <w:rPr>
          <w:szCs w:val="23"/>
        </w:rPr>
        <w:t>. The Georgian shop front was designed to catch the eye of passers by and lure them into the shop</w:t>
      </w:r>
      <w:r w:rsidR="00A905A5" w:rsidRPr="009B2451">
        <w:rPr>
          <w:szCs w:val="23"/>
        </w:rPr>
        <w:t>.</w:t>
      </w:r>
      <w:r w:rsidR="006D745D" w:rsidRPr="009B2451">
        <w:rPr>
          <w:rStyle w:val="FootnoteReference"/>
          <w:szCs w:val="23"/>
        </w:rPr>
        <w:footnoteReference w:id="69"/>
      </w:r>
      <w:r w:rsidRPr="009B2451">
        <w:rPr>
          <w:szCs w:val="23"/>
        </w:rPr>
        <w:t xml:space="preserve"> It was part of a larger world of polite culture that included the races, assembly rooms, walks and promenades</w:t>
      </w:r>
      <w:r w:rsidR="00A905A5" w:rsidRPr="009B2451">
        <w:rPr>
          <w:szCs w:val="23"/>
        </w:rPr>
        <w:t>.</w:t>
      </w:r>
      <w:r w:rsidR="006D745D" w:rsidRPr="009B2451">
        <w:rPr>
          <w:rStyle w:val="FootnoteReference"/>
          <w:szCs w:val="23"/>
        </w:rPr>
        <w:footnoteReference w:id="70"/>
      </w:r>
      <w:r w:rsidRPr="009B2451">
        <w:rPr>
          <w:szCs w:val="23"/>
        </w:rPr>
        <w:t xml:space="preserve"> Participating in shopping was participating in polite society. However, these wooden lean-tos would have conveyed none of these signals. </w:t>
      </w:r>
    </w:p>
    <w:p w:rsidR="007701C0" w:rsidRPr="009B2451" w:rsidRDefault="004B09B9" w:rsidP="009B2451">
      <w:pPr>
        <w:spacing w:line="360" w:lineRule="auto"/>
        <w:ind w:firstLine="737"/>
      </w:pPr>
      <w:r w:rsidRPr="009B2451">
        <w:rPr>
          <w:lang w:val="en-GB"/>
        </w:rPr>
        <w:t>Therefore, while the rhetoric of politeness may have emphasised the need for symmetry and order in the city streets, this evidence from York leads us to question how much this mattered in practice. Cossins’s drawings of these façades were designed to highlight the new and fashionable architecture of the city – why then include details of obviously older and apparently outmoded architecture? Could old and new in fact sit comfortably together in a vernacular style? If so, then the rise of politeness and the meanings that it convey</w:t>
      </w:r>
      <w:r w:rsidR="002B49EA" w:rsidRPr="009B2451">
        <w:rPr>
          <w:lang w:val="en-GB"/>
        </w:rPr>
        <w:t>s become much more problematic</w:t>
      </w:r>
      <w:r w:rsidRPr="009B2451">
        <w:rPr>
          <w:lang w:val="en-GB"/>
        </w:rPr>
        <w:t>. Instead, we have an eclectic landscape that could be used reflexively and knowledgably by the inhabitants to emphasise different style</w:t>
      </w:r>
      <w:r w:rsidR="00980020" w:rsidRPr="009B2451">
        <w:rPr>
          <w:lang w:val="en-GB"/>
        </w:rPr>
        <w:t>s</w:t>
      </w:r>
      <w:r w:rsidRPr="009B2451">
        <w:rPr>
          <w:lang w:val="en-GB"/>
        </w:rPr>
        <w:t xml:space="preserve"> and meanings at different times and in different contexts.</w:t>
      </w:r>
      <w:r w:rsidR="006E04FB" w:rsidRPr="009B2451">
        <w:rPr>
          <w:lang w:val="en-GB"/>
        </w:rPr>
        <w:t xml:space="preserve"> </w:t>
      </w:r>
      <w:r w:rsidR="00F14556" w:rsidRPr="009B2451">
        <w:t xml:space="preserve">So in the study of streets and in particular the case for York, the development of the urban environment </w:t>
      </w:r>
      <w:r w:rsidR="006E04FB" w:rsidRPr="009B2451">
        <w:t xml:space="preserve">should not be seen </w:t>
      </w:r>
      <w:r w:rsidR="00F14556" w:rsidRPr="009B2451">
        <w:t xml:space="preserve">as one of the </w:t>
      </w:r>
      <w:r w:rsidR="008941FB" w:rsidRPr="009B2451">
        <w:t xml:space="preserve">inevitable rise of improvement. </w:t>
      </w:r>
      <w:r w:rsidR="00F14556" w:rsidRPr="009B2451">
        <w:t xml:space="preserve">Pavement and High Ousegate where among the most fashionable streets in York, with </w:t>
      </w:r>
      <w:r w:rsidR="006E04FB" w:rsidRPr="009B2451">
        <w:t xml:space="preserve">numerous high-status shops. </w:t>
      </w:r>
      <w:r w:rsidR="00F14556" w:rsidRPr="009B2451">
        <w:t xml:space="preserve">Yet even here there is not only evidence of very mixed facades that persist well into the nineteenth century but also mixed attitudes to the older fabric that is seemingly regarded with distaste. </w:t>
      </w:r>
    </w:p>
    <w:p w:rsidR="00CF34BF" w:rsidRDefault="001B19E0" w:rsidP="009B2451">
      <w:pPr>
        <w:spacing w:line="360" w:lineRule="auto"/>
        <w:ind w:firstLine="737"/>
        <w:rPr>
          <w:lang w:val="en-GB"/>
        </w:rPr>
      </w:pPr>
      <w:r w:rsidRPr="009B2451">
        <w:rPr>
          <w:lang w:val="en-GB"/>
        </w:rPr>
        <w:t>This can be seen</w:t>
      </w:r>
      <w:r w:rsidR="00462CB9" w:rsidRPr="009B2451">
        <w:rPr>
          <w:lang w:val="en-GB"/>
        </w:rPr>
        <w:t xml:space="preserve"> elsewhere along High Ousegate, for not all the buildings were of a new Georgian build. Further down the street stood a substantial timber-framed building</w:t>
      </w:r>
      <w:r w:rsidR="00E67F03" w:rsidRPr="009B2451">
        <w:rPr>
          <w:lang w:val="en-GB"/>
        </w:rPr>
        <w:t xml:space="preserve"> (Fig</w:t>
      </w:r>
      <w:r w:rsidR="001C5622">
        <w:rPr>
          <w:lang w:val="en-GB"/>
        </w:rPr>
        <w:t>ure</w:t>
      </w:r>
      <w:r w:rsidR="00E67F03" w:rsidRPr="009B2451">
        <w:rPr>
          <w:lang w:val="en-GB"/>
        </w:rPr>
        <w:t xml:space="preserve"> 5)</w:t>
      </w:r>
      <w:r w:rsidR="00462CB9" w:rsidRPr="009B2451">
        <w:rPr>
          <w:lang w:val="en-GB"/>
        </w:rPr>
        <w:t xml:space="preserve">. This has since been demolished, but early photographs show a </w:t>
      </w:r>
      <w:r w:rsidR="00E0013E" w:rsidRPr="009B2451">
        <w:rPr>
          <w:lang w:val="en-GB"/>
        </w:rPr>
        <w:t>timber-framed frontage of four bays</w:t>
      </w:r>
      <w:r w:rsidR="00462CB9" w:rsidRPr="009B2451">
        <w:rPr>
          <w:lang w:val="en-GB"/>
        </w:rPr>
        <w:t>. The property’s medieval character is at odds with the apparent polite landscape of eighteenth-century shopping. It might therefore be assumed that the reason for this was one of wealth and that the owner could not afford a newer, more fashionable house. However, the documentary record co</w:t>
      </w:r>
      <w:r w:rsidR="001311BC" w:rsidRPr="009B2451">
        <w:rPr>
          <w:lang w:val="en-GB"/>
        </w:rPr>
        <w:t>ntradicts this. Dr White’s map</w:t>
      </w:r>
      <w:r w:rsidR="00462CB9" w:rsidRPr="009B2451">
        <w:rPr>
          <w:lang w:val="en-GB"/>
        </w:rPr>
        <w:t xml:space="preserve"> shows that the property was owned by Henry Raper, who was a tea and china man, a trade that was geared towards </w:t>
      </w:r>
      <w:r w:rsidR="00C01F63" w:rsidRPr="009B2451">
        <w:rPr>
          <w:lang w:val="en-GB"/>
        </w:rPr>
        <w:t>high-</w:t>
      </w:r>
      <w:r w:rsidR="002746FA" w:rsidRPr="009B2451">
        <w:rPr>
          <w:lang w:val="en-GB"/>
        </w:rPr>
        <w:t>status</w:t>
      </w:r>
      <w:r w:rsidR="00462CB9" w:rsidRPr="009B2451">
        <w:rPr>
          <w:lang w:val="en-GB"/>
        </w:rPr>
        <w:t xml:space="preserve"> consumption</w:t>
      </w:r>
      <w:r w:rsidR="00A905A5" w:rsidRPr="009B2451">
        <w:rPr>
          <w:lang w:val="en-GB"/>
        </w:rPr>
        <w:t>.</w:t>
      </w:r>
      <w:r w:rsidR="00EC3831" w:rsidRPr="009B2451">
        <w:rPr>
          <w:rStyle w:val="FootnoteReference"/>
          <w:lang w:val="en-GB"/>
        </w:rPr>
        <w:footnoteReference w:id="71"/>
      </w:r>
      <w:r w:rsidR="00462CB9" w:rsidRPr="009B2451">
        <w:rPr>
          <w:lang w:val="en-GB"/>
        </w:rPr>
        <w:t xml:space="preserve"> His will shows that he was wealthy with over £10,500 bequeathed to beneficiaries independen</w:t>
      </w:r>
      <w:r w:rsidR="001311BC" w:rsidRPr="009B2451">
        <w:rPr>
          <w:lang w:val="en-GB"/>
        </w:rPr>
        <w:t>t of the residue of the estate</w:t>
      </w:r>
      <w:r w:rsidR="00A905A5" w:rsidRPr="009B2451">
        <w:rPr>
          <w:lang w:val="en-GB"/>
        </w:rPr>
        <w:t>.</w:t>
      </w:r>
      <w:r w:rsidR="00EC3831" w:rsidRPr="009B2451">
        <w:rPr>
          <w:rStyle w:val="FootnoteReference"/>
          <w:lang w:val="en-GB"/>
        </w:rPr>
        <w:footnoteReference w:id="72"/>
      </w:r>
      <w:r w:rsidR="00462CB9" w:rsidRPr="009B2451">
        <w:rPr>
          <w:lang w:val="en-GB"/>
        </w:rPr>
        <w:t xml:space="preserve"> He was also a senior alderman of the Corporation who twice served </w:t>
      </w:r>
      <w:r w:rsidR="001311BC" w:rsidRPr="009B2451">
        <w:rPr>
          <w:lang w:val="en-GB"/>
        </w:rPr>
        <w:t>as Lord Mayor in 1765 and 1782</w:t>
      </w:r>
      <w:r w:rsidR="00A905A5" w:rsidRPr="009B2451">
        <w:rPr>
          <w:lang w:val="en-GB"/>
        </w:rPr>
        <w:t>.</w:t>
      </w:r>
      <w:r w:rsidR="00EC3831" w:rsidRPr="009B2451">
        <w:rPr>
          <w:rStyle w:val="FootnoteReference"/>
          <w:lang w:val="en-GB"/>
        </w:rPr>
        <w:footnoteReference w:id="73"/>
      </w:r>
      <w:r w:rsidR="00462CB9" w:rsidRPr="009B2451">
        <w:rPr>
          <w:lang w:val="en-GB"/>
        </w:rPr>
        <w:t xml:space="preserve"> </w:t>
      </w:r>
      <w:r w:rsidR="001D5DDE" w:rsidRPr="009B2451">
        <w:rPr>
          <w:lang w:val="en-GB"/>
        </w:rPr>
        <w:t xml:space="preserve">What then were the reasons for the use of this medieval property? </w:t>
      </w:r>
      <w:r w:rsidR="00937BE9" w:rsidRPr="009B2451">
        <w:rPr>
          <w:lang w:val="en-GB"/>
        </w:rPr>
        <w:t>Rosemary Sweet has demonstrated how the antiquity of a town and ‘the emblems of former greatness’</w:t>
      </w:r>
      <w:r w:rsidR="00937BE9" w:rsidRPr="009B2451">
        <w:rPr>
          <w:rStyle w:val="FootnoteReference"/>
          <w:lang w:val="en-GB"/>
        </w:rPr>
        <w:footnoteReference w:id="74"/>
      </w:r>
      <w:r w:rsidR="00937BE9" w:rsidRPr="009B2451">
        <w:rPr>
          <w:lang w:val="en-GB"/>
        </w:rPr>
        <w:t xml:space="preserve"> were integral components of how corporations presented themselves in the Georgian period. York was certainly no exception and Sweet argues that particularly in the closing years of the eighteenth century, the history of the city became part of a marketing push to bring in visitors in the face of the attractions of rival urban centres</w:t>
      </w:r>
      <w:r w:rsidR="00937BE9" w:rsidRPr="009B2451">
        <w:rPr>
          <w:rStyle w:val="FootnoteReference"/>
          <w:lang w:val="en-GB"/>
        </w:rPr>
        <w:footnoteReference w:id="75"/>
      </w:r>
      <w:r w:rsidR="00937BE9" w:rsidRPr="009B2451">
        <w:rPr>
          <w:lang w:val="en-GB"/>
        </w:rPr>
        <w:t xml:space="preserve">. Borsay also notes the </w:t>
      </w:r>
      <w:r w:rsidR="007C346B" w:rsidRPr="009B2451">
        <w:rPr>
          <w:lang w:val="en-GB"/>
        </w:rPr>
        <w:t xml:space="preserve">continuing </w:t>
      </w:r>
      <w:r w:rsidR="000D6B8E" w:rsidRPr="009B2451">
        <w:rPr>
          <w:lang w:val="en-GB"/>
        </w:rPr>
        <w:t xml:space="preserve">presence of medieval civic </w:t>
      </w:r>
      <w:r w:rsidR="00937BE9" w:rsidRPr="009B2451">
        <w:rPr>
          <w:lang w:val="en-GB"/>
        </w:rPr>
        <w:t>and ecclesiastical buildings and that this was not always a burden</w:t>
      </w:r>
      <w:r w:rsidR="000D6B8E" w:rsidRPr="009B2451">
        <w:rPr>
          <w:lang w:val="en-GB"/>
        </w:rPr>
        <w:t>, with the legacy of the past helping towns to retain some measure of success and prosperity in the face of rising competition</w:t>
      </w:r>
      <w:r w:rsidR="00937BE9" w:rsidRPr="009B2451">
        <w:rPr>
          <w:rStyle w:val="FootnoteReference"/>
          <w:lang w:val="en-GB"/>
        </w:rPr>
        <w:footnoteReference w:id="76"/>
      </w:r>
      <w:r w:rsidR="007C346B" w:rsidRPr="009B2451">
        <w:rPr>
          <w:lang w:val="en-GB"/>
        </w:rPr>
        <w:t xml:space="preserve">. </w:t>
      </w:r>
    </w:p>
    <w:p w:rsidR="00063198" w:rsidRPr="009B2451" w:rsidRDefault="007C346B" w:rsidP="009B2451">
      <w:pPr>
        <w:spacing w:line="360" w:lineRule="auto"/>
        <w:ind w:firstLine="737"/>
        <w:rPr>
          <w:lang w:val="en-GB"/>
        </w:rPr>
      </w:pPr>
      <w:r w:rsidRPr="009B2451">
        <w:rPr>
          <w:lang w:val="en-GB"/>
        </w:rPr>
        <w:t>However, this use</w:t>
      </w:r>
      <w:r w:rsidR="003203B5" w:rsidRPr="009B2451">
        <w:rPr>
          <w:lang w:val="en-GB"/>
        </w:rPr>
        <w:t xml:space="preserve"> </w:t>
      </w:r>
      <w:r w:rsidR="000A18D4">
        <w:rPr>
          <w:lang w:val="en-GB"/>
        </w:rPr>
        <w:t xml:space="preserve">of </w:t>
      </w:r>
      <w:r w:rsidR="003203B5" w:rsidRPr="009B2451">
        <w:rPr>
          <w:lang w:val="en-GB"/>
        </w:rPr>
        <w:t xml:space="preserve">antiquity </w:t>
      </w:r>
      <w:r w:rsidRPr="009B2451">
        <w:rPr>
          <w:lang w:val="en-GB"/>
        </w:rPr>
        <w:t xml:space="preserve">is discussed primarily in the context of </w:t>
      </w:r>
      <w:r w:rsidR="003203B5" w:rsidRPr="009B2451">
        <w:rPr>
          <w:lang w:val="en-GB"/>
        </w:rPr>
        <w:t>how the</w:t>
      </w:r>
      <w:r w:rsidRPr="009B2451">
        <w:rPr>
          <w:lang w:val="en-GB"/>
        </w:rPr>
        <w:t xml:space="preserve"> city </w:t>
      </w:r>
      <w:r w:rsidR="003203B5" w:rsidRPr="009B2451">
        <w:rPr>
          <w:lang w:val="en-GB"/>
        </w:rPr>
        <w:t xml:space="preserve">was presented </w:t>
      </w:r>
      <w:r w:rsidRPr="009B2451">
        <w:rPr>
          <w:lang w:val="en-GB"/>
        </w:rPr>
        <w:t>as a whole and its employment by the corporation</w:t>
      </w:r>
      <w:r w:rsidR="00937BE9" w:rsidRPr="009B2451">
        <w:rPr>
          <w:lang w:val="en-GB"/>
        </w:rPr>
        <w:t>.</w:t>
      </w:r>
      <w:r w:rsidRPr="009B2451">
        <w:rPr>
          <w:lang w:val="en-GB"/>
        </w:rPr>
        <w:t xml:space="preserve"> </w:t>
      </w:r>
      <w:r w:rsidR="00CF34BF">
        <w:rPr>
          <w:lang w:val="en-GB"/>
        </w:rPr>
        <w:t xml:space="preserve">Moreover, the antiquity discussed is Gothic and occasionally Roman architecture, rather than vernacular and lower-status timber-frames. </w:t>
      </w:r>
      <w:r w:rsidR="000D6B8E" w:rsidRPr="009B2451">
        <w:rPr>
          <w:lang w:val="en-GB"/>
        </w:rPr>
        <w:t>In the case of Raper’s house on High Ousegate</w:t>
      </w:r>
      <w:r w:rsidR="003203B5" w:rsidRPr="009B2451">
        <w:rPr>
          <w:lang w:val="en-GB"/>
        </w:rPr>
        <w:t>, it can be</w:t>
      </w:r>
      <w:r w:rsidR="00937BE9" w:rsidRPr="009B2451">
        <w:rPr>
          <w:lang w:val="en-GB"/>
        </w:rPr>
        <w:t xml:space="preserve"> </w:t>
      </w:r>
      <w:r w:rsidR="003203B5" w:rsidRPr="009B2451">
        <w:rPr>
          <w:lang w:val="en-GB"/>
        </w:rPr>
        <w:t xml:space="preserve">argued, the city’s medieval character is being employed by an individual as part of the construction of his own identity and status. </w:t>
      </w:r>
      <w:r w:rsidR="00E31436" w:rsidRPr="009B2451">
        <w:rPr>
          <w:lang w:val="en-GB"/>
        </w:rPr>
        <w:t xml:space="preserve">Chris King </w:t>
      </w:r>
      <w:r w:rsidR="000D6B8E" w:rsidRPr="009B2451">
        <w:rPr>
          <w:lang w:val="en-GB"/>
        </w:rPr>
        <w:t>has</w:t>
      </w:r>
      <w:r w:rsidR="00E31436" w:rsidRPr="009B2451">
        <w:rPr>
          <w:lang w:val="en-GB"/>
        </w:rPr>
        <w:t xml:space="preserve"> </w:t>
      </w:r>
      <w:r w:rsidR="000D6B8E" w:rsidRPr="009B2451">
        <w:rPr>
          <w:lang w:val="en-GB"/>
        </w:rPr>
        <w:t>analysed the continuing presence of medieval interiors in the early modern period</w:t>
      </w:r>
      <w:r w:rsidR="000D6B8E" w:rsidRPr="009B2451">
        <w:rPr>
          <w:rStyle w:val="FootnoteReference"/>
          <w:lang w:val="en-GB"/>
        </w:rPr>
        <w:footnoteReference w:id="77"/>
      </w:r>
      <w:r w:rsidR="000D6B8E" w:rsidRPr="009B2451">
        <w:rPr>
          <w:lang w:val="en-GB"/>
        </w:rPr>
        <w:t>. He</w:t>
      </w:r>
      <w:r w:rsidR="003D22ED" w:rsidRPr="009B2451">
        <w:rPr>
          <w:lang w:val="en-GB"/>
        </w:rPr>
        <w:t xml:space="preserve"> </w:t>
      </w:r>
      <w:r w:rsidR="00CF34BF">
        <w:rPr>
          <w:lang w:val="en-GB"/>
        </w:rPr>
        <w:t>notes</w:t>
      </w:r>
      <w:r w:rsidR="000D6B8E" w:rsidRPr="009B2451">
        <w:rPr>
          <w:lang w:val="en-GB"/>
        </w:rPr>
        <w:t xml:space="preserve"> how in one of the most important merchant houses in Norwich, the Stranger’s Hall, improvements were made to chambers and parlours, yet the o</w:t>
      </w:r>
      <w:r w:rsidR="007E7EC7" w:rsidRPr="009B2451">
        <w:rPr>
          <w:lang w:val="en-GB"/>
        </w:rPr>
        <w:t>pen hall remained unaltered – an unusual</w:t>
      </w:r>
      <w:r w:rsidR="000D6B8E" w:rsidRPr="009B2451">
        <w:rPr>
          <w:lang w:val="en-GB"/>
        </w:rPr>
        <w:t xml:space="preserve"> occurrence in the elite houses of Norwich at this time. The hall, he argues, became a symbol of family power and longevity, while entertaining and family life moved to other rooms</w:t>
      </w:r>
      <w:r w:rsidR="000D6B8E" w:rsidRPr="009B2451">
        <w:rPr>
          <w:rStyle w:val="FootnoteReference"/>
          <w:lang w:val="en-GB"/>
        </w:rPr>
        <w:footnoteReference w:id="78"/>
      </w:r>
      <w:r w:rsidR="000D6B8E" w:rsidRPr="009B2451">
        <w:rPr>
          <w:lang w:val="en-GB"/>
        </w:rPr>
        <w:t>. Likewise, i</w:t>
      </w:r>
      <w:r w:rsidR="003203B5" w:rsidRPr="009B2451">
        <w:rPr>
          <w:lang w:val="en-GB"/>
        </w:rPr>
        <w:t xml:space="preserve">n the case of Raper, </w:t>
      </w:r>
      <w:r w:rsidR="00462CB9" w:rsidRPr="009B2451">
        <w:rPr>
          <w:lang w:val="en-GB"/>
        </w:rPr>
        <w:t>the retention and use of this property appears to be one of deliberate choice</w:t>
      </w:r>
      <w:r w:rsidR="00427C7F" w:rsidRPr="009B2451">
        <w:rPr>
          <w:lang w:val="en-GB"/>
        </w:rPr>
        <w:t>,</w:t>
      </w:r>
      <w:r w:rsidR="00462CB9" w:rsidRPr="009B2451">
        <w:rPr>
          <w:lang w:val="en-GB"/>
        </w:rPr>
        <w:t xml:space="preserve"> in which he is emphasising his links with the history of the city rather than its fashionable new renaissance. The house is being used as a symbol of legitimacy that operates independent</w:t>
      </w:r>
      <w:r w:rsidR="002746FA" w:rsidRPr="009B2451">
        <w:rPr>
          <w:lang w:val="en-GB"/>
        </w:rPr>
        <w:t>ly of the newer polite fashions.</w:t>
      </w:r>
      <w:r w:rsidR="003203B5" w:rsidRPr="009B2451">
        <w:rPr>
          <w:lang w:val="en-GB"/>
        </w:rPr>
        <w:t xml:space="preserve"> Nor is Raper the only city official </w:t>
      </w:r>
      <w:r w:rsidR="007E7EC7" w:rsidRPr="009B2451">
        <w:rPr>
          <w:lang w:val="en-GB"/>
        </w:rPr>
        <w:t xml:space="preserve">in York </w:t>
      </w:r>
      <w:r w:rsidR="003203B5" w:rsidRPr="009B2451">
        <w:rPr>
          <w:lang w:val="en-GB"/>
        </w:rPr>
        <w:t xml:space="preserve">to employ these techniques. </w:t>
      </w:r>
      <w:r w:rsidR="007E7EC7" w:rsidRPr="009B2451">
        <w:rPr>
          <w:lang w:val="en-GB"/>
        </w:rPr>
        <w:t>Alderman John Wakefield lived on the important street of Micklegate and lived directly opposite the house of Alderman Richard Thompson, which was one of the finest examples of classical architecture in York</w:t>
      </w:r>
      <w:r w:rsidR="007E7EC7" w:rsidRPr="009B2451">
        <w:rPr>
          <w:rStyle w:val="FootnoteReference"/>
          <w:lang w:val="en-GB"/>
        </w:rPr>
        <w:footnoteReference w:id="79"/>
      </w:r>
      <w:r w:rsidR="007E7EC7" w:rsidRPr="009B2451">
        <w:rPr>
          <w:lang w:val="en-GB"/>
        </w:rPr>
        <w:t xml:space="preserve">. Wakefield, in contrast, who served as Lord Mayor in 1766, chose not to live in a new classical house but a medieval timber-framed building that still retained its earlier jettying. This choice continued internally as well. Here, the smaller rooms did include eighteenth-century fixtures and fittings, however the largest room on the first floor and the focal point for entertaining featured early seventeenth-century panelling and a carved frieze. This was in stark contrast to Georgian decorative style and taste. It can be argued, therefore, that these wealthy members of the city corporation were deliberately going against the fashionable grain in order to leverage </w:t>
      </w:r>
      <w:r w:rsidR="00E845D5" w:rsidRPr="009B2451">
        <w:rPr>
          <w:lang w:val="en-GB"/>
        </w:rPr>
        <w:t>ideas associated with the</w:t>
      </w:r>
      <w:r w:rsidR="007E7EC7" w:rsidRPr="009B2451">
        <w:rPr>
          <w:lang w:val="en-GB"/>
        </w:rPr>
        <w:t xml:space="preserve"> older built architecture of the city. Adrian Green, in his study of polite and vernacular architecture, makes a similar point, arguing that vernacular architecture could be used to support the </w:t>
      </w:r>
      <w:r w:rsidR="00E845D5" w:rsidRPr="009B2451">
        <w:rPr>
          <w:lang w:val="en-GB"/>
        </w:rPr>
        <w:t>position</w:t>
      </w:r>
      <w:r w:rsidR="007E7EC7" w:rsidRPr="009B2451">
        <w:rPr>
          <w:lang w:val="en-GB"/>
        </w:rPr>
        <w:t xml:space="preserve"> of </w:t>
      </w:r>
      <w:r w:rsidR="00E845D5" w:rsidRPr="009B2451">
        <w:rPr>
          <w:lang w:val="en-GB"/>
        </w:rPr>
        <w:t xml:space="preserve">local </w:t>
      </w:r>
      <w:r w:rsidR="007E7EC7" w:rsidRPr="009B2451">
        <w:rPr>
          <w:lang w:val="en-GB"/>
        </w:rPr>
        <w:t xml:space="preserve">urban elites and </w:t>
      </w:r>
      <w:r w:rsidR="00E845D5" w:rsidRPr="009B2451">
        <w:rPr>
          <w:lang w:val="en-GB"/>
        </w:rPr>
        <w:t xml:space="preserve">to </w:t>
      </w:r>
      <w:r w:rsidR="007E7EC7" w:rsidRPr="009B2451">
        <w:rPr>
          <w:lang w:val="en-GB"/>
        </w:rPr>
        <w:t>legitimise inequality</w:t>
      </w:r>
      <w:r w:rsidR="00E845D5" w:rsidRPr="009B2451">
        <w:rPr>
          <w:rStyle w:val="FootnoteReference"/>
          <w:lang w:val="en-GB"/>
        </w:rPr>
        <w:footnoteReference w:id="80"/>
      </w:r>
      <w:r w:rsidR="007E7EC7" w:rsidRPr="009B2451">
        <w:rPr>
          <w:lang w:val="en-GB"/>
        </w:rPr>
        <w:t>.</w:t>
      </w:r>
    </w:p>
    <w:p w:rsidR="00AA71AA" w:rsidRPr="009B2451" w:rsidRDefault="007E7EC7" w:rsidP="009B2451">
      <w:pPr>
        <w:spacing w:line="360" w:lineRule="auto"/>
        <w:ind w:firstLine="737"/>
        <w:rPr>
          <w:lang w:val="en-GB"/>
        </w:rPr>
      </w:pPr>
      <w:r w:rsidRPr="009B2451">
        <w:rPr>
          <w:lang w:val="en-GB"/>
        </w:rPr>
        <w:t>T</w:t>
      </w:r>
      <w:r w:rsidR="00DA43F4" w:rsidRPr="009B2451">
        <w:rPr>
          <w:lang w:val="en-GB"/>
        </w:rPr>
        <w:t>he interior of these shops is also important</w:t>
      </w:r>
      <w:r w:rsidR="00E0013E" w:rsidRPr="009B2451">
        <w:rPr>
          <w:lang w:val="en-GB"/>
        </w:rPr>
        <w:t>.</w:t>
      </w:r>
      <w:r w:rsidR="00DA43F4" w:rsidRPr="009B2451">
        <w:rPr>
          <w:lang w:val="en-GB"/>
        </w:rPr>
        <w:t xml:space="preserve"> </w:t>
      </w:r>
      <w:r w:rsidR="00197216" w:rsidRPr="009B2451">
        <w:rPr>
          <w:lang w:val="en-GB"/>
        </w:rPr>
        <w:t>Patrick</w:t>
      </w:r>
      <w:r w:rsidR="00281395" w:rsidRPr="009B2451">
        <w:rPr>
          <w:lang w:val="en-GB"/>
        </w:rPr>
        <w:t xml:space="preserve"> Wallis </w:t>
      </w:r>
      <w:r w:rsidR="00AA71AA" w:rsidRPr="009B2451">
        <w:rPr>
          <w:lang w:val="en-GB"/>
        </w:rPr>
        <w:t>has argued that when considering consumption in the eighteenth century much greater attention needs to be paid to the different types of shops that existed</w:t>
      </w:r>
      <w:r w:rsidR="00A905A5" w:rsidRPr="009B2451">
        <w:rPr>
          <w:lang w:val="en-GB"/>
        </w:rPr>
        <w:t>.</w:t>
      </w:r>
      <w:r w:rsidR="00EC3831" w:rsidRPr="009B2451">
        <w:rPr>
          <w:rStyle w:val="FootnoteReference"/>
          <w:lang w:val="en-GB"/>
        </w:rPr>
        <w:footnoteReference w:id="81"/>
      </w:r>
      <w:r w:rsidR="00C01F63" w:rsidRPr="009B2451">
        <w:rPr>
          <w:lang w:val="en-GB"/>
        </w:rPr>
        <w:t xml:space="preserve"> In particular, </w:t>
      </w:r>
      <w:r w:rsidR="00AA71AA" w:rsidRPr="009B2451">
        <w:rPr>
          <w:lang w:val="en-GB"/>
        </w:rPr>
        <w:t xml:space="preserve">he highlights the need to examine the social and technical characteristics of the goods on sale and the implications of these for how people experienced shopping. This is an excellent point, but it should also be combined with an awareness of the physical realities of the specific shop. </w:t>
      </w:r>
      <w:r w:rsidR="003772D5" w:rsidRPr="009B2451">
        <w:rPr>
          <w:lang w:val="en-GB"/>
        </w:rPr>
        <w:t>A number of excellent studies by Claire Walsh have investigated the physical characteristics of shop interiors, particularly how they would be influenced by the specific goods being sold</w:t>
      </w:r>
      <w:r w:rsidR="00A905A5" w:rsidRPr="009B2451">
        <w:rPr>
          <w:lang w:val="en-GB"/>
        </w:rPr>
        <w:t>.</w:t>
      </w:r>
      <w:r w:rsidR="00EC3831" w:rsidRPr="009B2451">
        <w:rPr>
          <w:rStyle w:val="FootnoteReference"/>
          <w:lang w:val="en-GB"/>
        </w:rPr>
        <w:footnoteReference w:id="82"/>
      </w:r>
      <w:r w:rsidR="003772D5" w:rsidRPr="009B2451">
        <w:rPr>
          <w:lang w:val="en-GB"/>
        </w:rPr>
        <w:t xml:space="preserve"> However archaeology also has insights to add to the study from the evidence of material remains. </w:t>
      </w:r>
      <w:r w:rsidR="00AA71AA" w:rsidRPr="009B2451">
        <w:rPr>
          <w:lang w:val="en-GB"/>
        </w:rPr>
        <w:t>Research conducted on shop</w:t>
      </w:r>
      <w:r w:rsidR="004C1DE4" w:rsidRPr="009B2451">
        <w:rPr>
          <w:lang w:val="en-GB"/>
        </w:rPr>
        <w:t>s in general indicates that interiors</w:t>
      </w:r>
      <w:r w:rsidR="00AA71AA" w:rsidRPr="009B2451">
        <w:rPr>
          <w:lang w:val="en-GB"/>
        </w:rPr>
        <w:t xml:space="preserve"> could have been divided into a front shop with counters and a back room with a more domestic feel to pamper and establish a connection with prestigious customers who would be give</w:t>
      </w:r>
      <w:r w:rsidR="00281395" w:rsidRPr="009B2451">
        <w:rPr>
          <w:lang w:val="en-GB"/>
        </w:rPr>
        <w:t>n the benefit of longer credit</w:t>
      </w:r>
      <w:r w:rsidR="00A905A5" w:rsidRPr="009B2451">
        <w:rPr>
          <w:lang w:val="en-GB"/>
        </w:rPr>
        <w:t>.</w:t>
      </w:r>
      <w:r w:rsidR="00EC3831" w:rsidRPr="009B2451">
        <w:rPr>
          <w:rStyle w:val="FootnoteReference"/>
          <w:lang w:val="en-GB"/>
        </w:rPr>
        <w:footnoteReference w:id="83"/>
      </w:r>
      <w:r w:rsidR="00AA71AA" w:rsidRPr="009B2451">
        <w:rPr>
          <w:lang w:val="en-GB"/>
        </w:rPr>
        <w:t xml:space="preserve">  Some of</w:t>
      </w:r>
      <w:r w:rsidR="007C2DC7">
        <w:rPr>
          <w:lang w:val="en-GB"/>
        </w:rPr>
        <w:t xml:space="preserve"> the larger shops, such as Wedg</w:t>
      </w:r>
      <w:r w:rsidR="00AA71AA" w:rsidRPr="009B2451">
        <w:rPr>
          <w:lang w:val="en-GB"/>
        </w:rPr>
        <w:t>wood’s extensive establishment in London, differentiated specific areas for fast and slow selling, which also helped to segregate the customers into different social classes.</w:t>
      </w:r>
    </w:p>
    <w:p w:rsidR="00AA71AA" w:rsidRPr="009B2451" w:rsidRDefault="00AA71AA" w:rsidP="009B2451">
      <w:pPr>
        <w:spacing w:line="360" w:lineRule="auto"/>
        <w:ind w:firstLine="737"/>
        <w:rPr>
          <w:lang w:val="en-GB"/>
        </w:rPr>
      </w:pPr>
      <w:r w:rsidRPr="009B2451">
        <w:rPr>
          <w:lang w:val="en-GB"/>
        </w:rPr>
        <w:t xml:space="preserve"> </w:t>
      </w:r>
      <w:r w:rsidR="00281395" w:rsidRPr="009B2451">
        <w:rPr>
          <w:lang w:val="en-GB"/>
        </w:rPr>
        <w:t xml:space="preserve">Walsh </w:t>
      </w:r>
      <w:r w:rsidRPr="009B2451">
        <w:rPr>
          <w:lang w:val="en-GB"/>
        </w:rPr>
        <w:t>has created a re</w:t>
      </w:r>
      <w:r w:rsidRPr="009B2451">
        <w:rPr>
          <w:rFonts w:cs="Times New Roman"/>
          <w:u w:color="548DD4" w:themeColor="text2" w:themeTint="99"/>
        </w:rPr>
        <w:t>construction of Martha Braithwaite’s goldsmith’s shop in London from an inventory taken in 1746</w:t>
      </w:r>
      <w:r w:rsidR="00A905A5" w:rsidRPr="009B2451">
        <w:rPr>
          <w:rFonts w:cs="Times New Roman"/>
          <w:u w:color="548DD4" w:themeColor="text2" w:themeTint="99"/>
        </w:rPr>
        <w:t>.</w:t>
      </w:r>
      <w:r w:rsidR="00EC3831" w:rsidRPr="009B2451">
        <w:rPr>
          <w:rStyle w:val="FootnoteReference"/>
          <w:rFonts w:cs="Times New Roman"/>
          <w:u w:color="548DD4" w:themeColor="text2" w:themeTint="99"/>
        </w:rPr>
        <w:footnoteReference w:id="84"/>
      </w:r>
      <w:r w:rsidRPr="009B2451">
        <w:rPr>
          <w:rFonts w:cs="Times New Roman"/>
          <w:u w:color="548DD4" w:themeColor="text2" w:themeTint="99"/>
        </w:rPr>
        <w:t xml:space="preserve"> </w:t>
      </w:r>
      <w:r w:rsidRPr="009B2451">
        <w:rPr>
          <w:rFonts w:cs="Times New Roman"/>
        </w:rPr>
        <w:t xml:space="preserve">Walsh does not see this as an isolated example and that </w:t>
      </w:r>
      <w:r w:rsidRPr="009B2451">
        <w:rPr>
          <w:rFonts w:cs="Times New Roman"/>
          <w:u w:color="548DD4" w:themeColor="text2" w:themeTint="99"/>
        </w:rPr>
        <w:t>the fore shop is typical of the size and shape of shops of the period.</w:t>
      </w:r>
      <w:r w:rsidRPr="009B2451">
        <w:rPr>
          <w:rFonts w:cs="Times New Roman"/>
        </w:rPr>
        <w:t xml:space="preserve"> The width of the shop is listed as 7ft (with a depth of 1</w:t>
      </w:r>
      <w:r w:rsidR="00A5002E" w:rsidRPr="009B2451">
        <w:rPr>
          <w:rFonts w:cs="Times New Roman"/>
        </w:rPr>
        <w:t>5ft), which is extremely narrow.</w:t>
      </w:r>
      <w:r w:rsidRPr="009B2451">
        <w:rPr>
          <w:rFonts w:cs="Times New Roman"/>
        </w:rPr>
        <w:t xml:space="preserve"> </w:t>
      </w:r>
      <w:r w:rsidR="00A5002E" w:rsidRPr="009B2451">
        <w:rPr>
          <w:rFonts w:cs="Times New Roman"/>
        </w:rPr>
        <w:t>This is especially true given the observations made by Peter Guillery in</w:t>
      </w:r>
      <w:r w:rsidR="00A5002E" w:rsidRPr="009B2451">
        <w:rPr>
          <w:lang w:val="en-GB"/>
        </w:rPr>
        <w:t xml:space="preserve"> his study of small houses in London, who defines a </w:t>
      </w:r>
      <w:r w:rsidR="00A5002E" w:rsidRPr="009B2451">
        <w:rPr>
          <w:rFonts w:cs="Times New Roman"/>
        </w:rPr>
        <w:t xml:space="preserve">small house as one with </w:t>
      </w:r>
      <w:r w:rsidR="00A5002E" w:rsidRPr="009B2451">
        <w:rPr>
          <w:lang w:val="en-GB"/>
        </w:rPr>
        <w:t>a frontage of less than 20ft</w:t>
      </w:r>
      <w:r w:rsidR="00A905A5" w:rsidRPr="009B2451">
        <w:rPr>
          <w:lang w:val="en-GB"/>
        </w:rPr>
        <w:t>.</w:t>
      </w:r>
      <w:r w:rsidR="00EC3831" w:rsidRPr="009B2451">
        <w:rPr>
          <w:rStyle w:val="FootnoteReference"/>
          <w:lang w:val="en-GB"/>
        </w:rPr>
        <w:footnoteReference w:id="85"/>
      </w:r>
      <w:r w:rsidR="00A5002E" w:rsidRPr="009B2451">
        <w:rPr>
          <w:rFonts w:cs="Times New Roman"/>
        </w:rPr>
        <w:t xml:space="preserve"> In Walsh’s inventory</w:t>
      </w:r>
      <w:r w:rsidRPr="009B2451">
        <w:rPr>
          <w:rFonts w:cs="Times New Roman"/>
        </w:rPr>
        <w:t xml:space="preserve"> are listed two presses for plate (one on either wall) and a counter running the full length of the shop. No </w:t>
      </w:r>
      <w:r w:rsidR="004C1DE4" w:rsidRPr="009B2451">
        <w:rPr>
          <w:rFonts w:cs="Times New Roman"/>
        </w:rPr>
        <w:t>widths</w:t>
      </w:r>
      <w:r w:rsidRPr="009B2451">
        <w:rPr>
          <w:rFonts w:cs="Times New Roman"/>
        </w:rPr>
        <w:t xml:space="preserve"> are given for these fixtures, but </w:t>
      </w:r>
      <w:r w:rsidR="007C2DC7">
        <w:rPr>
          <w:rFonts w:cs="Times New Roman"/>
        </w:rPr>
        <w:t xml:space="preserve">a </w:t>
      </w:r>
      <w:r w:rsidRPr="009B2451">
        <w:rPr>
          <w:rFonts w:cs="Times New Roman"/>
        </w:rPr>
        <w:t>conservative estimate would be 1ft each for the two presses, and 2ft for the counter, with 1ft of space beh</w:t>
      </w:r>
      <w:r w:rsidR="00A5002E" w:rsidRPr="009B2451">
        <w:rPr>
          <w:rFonts w:cs="Times New Roman"/>
        </w:rPr>
        <w:t>ind it for staff to stand. This</w:t>
      </w:r>
      <w:r w:rsidR="00832A1B">
        <w:rPr>
          <w:rFonts w:cs="Times New Roman"/>
        </w:rPr>
        <w:t xml:space="preserve"> would add up to 5</w:t>
      </w:r>
      <w:r w:rsidRPr="009B2451">
        <w:rPr>
          <w:rFonts w:cs="Times New Roman"/>
        </w:rPr>
        <w:t xml:space="preserve">ft, leaving only </w:t>
      </w:r>
      <w:r w:rsidR="00832A1B">
        <w:rPr>
          <w:rFonts w:cs="Times New Roman"/>
        </w:rPr>
        <w:t>2ft</w:t>
      </w:r>
      <w:r w:rsidRPr="009B2451">
        <w:rPr>
          <w:rFonts w:cs="Times New Roman"/>
        </w:rPr>
        <w:t xml:space="preserve"> for customers to browse</w:t>
      </w:r>
      <w:r w:rsidRPr="009B2451">
        <w:rPr>
          <w:rFonts w:cs="Times New Roman"/>
          <w:u w:color="548DD4" w:themeColor="text2" w:themeTint="99"/>
        </w:rPr>
        <w:t>.</w:t>
      </w:r>
    </w:p>
    <w:p w:rsidR="00AA71AA" w:rsidRPr="009B2451" w:rsidRDefault="00AA71AA" w:rsidP="009B2451">
      <w:pPr>
        <w:spacing w:line="360" w:lineRule="auto"/>
        <w:ind w:firstLine="737"/>
        <w:rPr>
          <w:rFonts w:cs="Times New Roman"/>
        </w:rPr>
      </w:pPr>
      <w:r w:rsidRPr="009B2451">
        <w:rPr>
          <w:rFonts w:cs="Times New Roman"/>
          <w:u w:color="548DD4" w:themeColor="text2" w:themeTint="99"/>
        </w:rPr>
        <w:t>This is very restricted and has implications for how polite shopping is conceived in the eighteenth century.</w:t>
      </w:r>
      <w:r w:rsidR="00832A1B">
        <w:rPr>
          <w:rFonts w:cs="Times New Roman"/>
          <w:u w:color="548DD4" w:themeColor="text2" w:themeTint="99"/>
        </w:rPr>
        <w:t xml:space="preserve"> </w:t>
      </w:r>
      <w:r w:rsidRPr="009B2451">
        <w:rPr>
          <w:rFonts w:cs="Times New Roman"/>
        </w:rPr>
        <w:t>Scholars view shopping as increasingly being practiced as a lei</w:t>
      </w:r>
      <w:r w:rsidR="00281395" w:rsidRPr="009B2451">
        <w:rPr>
          <w:rFonts w:cs="Times New Roman"/>
        </w:rPr>
        <w:t>sure pursuit during the period</w:t>
      </w:r>
      <w:r w:rsidRPr="009B2451">
        <w:rPr>
          <w:rFonts w:cs="Times New Roman"/>
        </w:rPr>
        <w:t xml:space="preserve"> and that browsing was a key component of this</w:t>
      </w:r>
      <w:r w:rsidR="00A905A5" w:rsidRPr="009B2451">
        <w:rPr>
          <w:rFonts w:cs="Times New Roman"/>
        </w:rPr>
        <w:t>.</w:t>
      </w:r>
      <w:r w:rsidR="00EC3831" w:rsidRPr="009B2451">
        <w:rPr>
          <w:rStyle w:val="FootnoteReference"/>
          <w:rFonts w:cs="Times New Roman"/>
        </w:rPr>
        <w:footnoteReference w:id="86"/>
      </w:r>
      <w:r w:rsidRPr="009B2451">
        <w:rPr>
          <w:rFonts w:cs="Times New Roman"/>
        </w:rPr>
        <w:t xml:space="preserve"> Browsing allowed customers to assess the caliber of goods and also an opportunity for them to increase their consumer knowledge through interaction with</w:t>
      </w:r>
      <w:r w:rsidR="00945369" w:rsidRPr="009B2451">
        <w:rPr>
          <w:rFonts w:cs="Times New Roman"/>
        </w:rPr>
        <w:t xml:space="preserve"> the shopkeeper. In considering</w:t>
      </w:r>
      <w:r w:rsidRPr="009B2451">
        <w:rPr>
          <w:rFonts w:cs="Times New Roman"/>
        </w:rPr>
        <w:t xml:space="preserve"> the internal appearance of shops, trade</w:t>
      </w:r>
      <w:r w:rsidR="001B19E0" w:rsidRPr="009B2451">
        <w:rPr>
          <w:rFonts w:cs="Times New Roman"/>
        </w:rPr>
        <w:t xml:space="preserve"> </w:t>
      </w:r>
      <w:r w:rsidRPr="009B2451">
        <w:rPr>
          <w:rFonts w:cs="Times New Roman"/>
        </w:rPr>
        <w:t>cards are often used as cru</w:t>
      </w:r>
      <w:r w:rsidR="00281395" w:rsidRPr="009B2451">
        <w:rPr>
          <w:rFonts w:cs="Times New Roman"/>
        </w:rPr>
        <w:t>cial pieces of evidence. Walsh</w:t>
      </w:r>
      <w:r w:rsidR="001B19E0" w:rsidRPr="009B2451">
        <w:rPr>
          <w:rFonts w:cs="Times New Roman"/>
        </w:rPr>
        <w:t xml:space="preserve"> note</w:t>
      </w:r>
      <w:r w:rsidR="00832A1B">
        <w:rPr>
          <w:rFonts w:cs="Times New Roman"/>
        </w:rPr>
        <w:t>s</w:t>
      </w:r>
      <w:r w:rsidRPr="009B2451">
        <w:rPr>
          <w:rFonts w:cs="Times New Roman"/>
        </w:rPr>
        <w:t xml:space="preserve"> that this evidence needs to be treated with caution</w:t>
      </w:r>
      <w:r w:rsidR="00B548D5" w:rsidRPr="009B2451">
        <w:rPr>
          <w:rStyle w:val="FootnoteReference"/>
          <w:rFonts w:cs="Times New Roman"/>
        </w:rPr>
        <w:footnoteReference w:id="87"/>
      </w:r>
      <w:r w:rsidRPr="009B2451">
        <w:rPr>
          <w:rFonts w:cs="Times New Roman"/>
        </w:rPr>
        <w:t xml:space="preserve"> but that in general it confirms the written sources in regard the level of decoration that many shops achieved or aspired to. However</w:t>
      </w:r>
      <w:r w:rsidR="00832A1B">
        <w:rPr>
          <w:rFonts w:cs="Times New Roman"/>
        </w:rPr>
        <w:t>,</w:t>
      </w:r>
      <w:r w:rsidRPr="009B2451">
        <w:rPr>
          <w:rFonts w:cs="Times New Roman"/>
        </w:rPr>
        <w:t xml:space="preserve"> there is one crucial difference between these sources that is not commented on and that is in regards to space. The trade</w:t>
      </w:r>
      <w:r w:rsidR="001B19E0" w:rsidRPr="009B2451">
        <w:rPr>
          <w:rFonts w:cs="Times New Roman"/>
        </w:rPr>
        <w:t xml:space="preserve"> </w:t>
      </w:r>
      <w:r w:rsidRPr="009B2451">
        <w:rPr>
          <w:rFonts w:cs="Times New Roman"/>
        </w:rPr>
        <w:t xml:space="preserve">cards show opulent interiors that are also extremely spacious, leaving ample room for customers to browse, goods to be displayed and seating for more prestigious customers. Yet this contrasts markedly with the inventory evidence that Walsh quotes, where the available browsing space is only 2ft wide. </w:t>
      </w:r>
    </w:p>
    <w:p w:rsidR="00E31BEB" w:rsidRPr="009B2451" w:rsidRDefault="00E31BEB" w:rsidP="009B2451">
      <w:pPr>
        <w:spacing w:line="360" w:lineRule="auto"/>
        <w:ind w:firstLine="737"/>
        <w:rPr>
          <w:rFonts w:cs="Times New Roman"/>
        </w:rPr>
      </w:pPr>
      <w:r w:rsidRPr="009B2451">
        <w:rPr>
          <w:lang w:val="en-GB"/>
        </w:rPr>
        <w:t>Turning now to the evidence from York. No 19 High Ousegate (Fig</w:t>
      </w:r>
      <w:r w:rsidR="001C5622">
        <w:rPr>
          <w:lang w:val="en-GB"/>
        </w:rPr>
        <w:t>ure</w:t>
      </w:r>
      <w:r w:rsidRPr="009B2451">
        <w:rPr>
          <w:lang w:val="en-GB"/>
        </w:rPr>
        <w:t xml:space="preserve"> 4) was owned by a linen-draper, a trade that was typically geared towards the gentry market, and here the </w:t>
      </w:r>
      <w:r w:rsidR="00AA71AA" w:rsidRPr="009B2451">
        <w:rPr>
          <w:rFonts w:cs="Times New Roman"/>
        </w:rPr>
        <w:t>physical evidence</w:t>
      </w:r>
      <w:r w:rsidRPr="009B2451">
        <w:rPr>
          <w:rFonts w:cs="Times New Roman"/>
        </w:rPr>
        <w:t xml:space="preserve"> also highlights the restrictions in space</w:t>
      </w:r>
      <w:r w:rsidR="00AA71AA" w:rsidRPr="009B2451">
        <w:rPr>
          <w:rFonts w:cs="Times New Roman"/>
        </w:rPr>
        <w:t>. While No 19 is slightly larger</w:t>
      </w:r>
      <w:r w:rsidRPr="009B2451">
        <w:rPr>
          <w:rFonts w:cs="Times New Roman"/>
        </w:rPr>
        <w:t xml:space="preserve"> than Walsh’s example</w:t>
      </w:r>
      <w:r w:rsidR="00AA71AA" w:rsidRPr="009B2451">
        <w:rPr>
          <w:rFonts w:cs="Times New Roman"/>
        </w:rPr>
        <w:t>, the available room is extremely limited. The frontage is 17ft wide</w:t>
      </w:r>
      <w:r w:rsidR="00832A1B">
        <w:rPr>
          <w:rFonts w:cs="Times New Roman"/>
        </w:rPr>
        <w:t xml:space="preserve"> (defined as a small house using Guillery’s criteria)</w:t>
      </w:r>
      <w:r w:rsidR="00AA71AA" w:rsidRPr="009B2451">
        <w:rPr>
          <w:rFonts w:cs="Times New Roman"/>
        </w:rPr>
        <w:t xml:space="preserve">, and using the inventory evidence from Walsh for interior fixtures, this would only allow about 12ft for browsing. This is, however, a generous estimate and the </w:t>
      </w:r>
      <w:r w:rsidR="00982B74" w:rsidRPr="009B2451">
        <w:rPr>
          <w:rFonts w:cs="Times New Roman"/>
        </w:rPr>
        <w:t xml:space="preserve">written descriptions, </w:t>
      </w:r>
      <w:r w:rsidR="00AA71AA" w:rsidRPr="009B2451">
        <w:rPr>
          <w:rFonts w:cs="Times New Roman"/>
        </w:rPr>
        <w:t>illustrations and trade cards of linen drapers show that these trades needed greater room for display, with deeper cabinets to hold the cloth behind the counter as well as having e</w:t>
      </w:r>
      <w:r w:rsidR="00281395" w:rsidRPr="009B2451">
        <w:rPr>
          <w:rFonts w:cs="Times New Roman"/>
        </w:rPr>
        <w:t>xamples draped around the shop</w:t>
      </w:r>
      <w:r w:rsidR="00A905A5" w:rsidRPr="009B2451">
        <w:rPr>
          <w:rFonts w:cs="Times New Roman"/>
        </w:rPr>
        <w:t>.</w:t>
      </w:r>
      <w:r w:rsidR="00B548D5" w:rsidRPr="009B2451">
        <w:rPr>
          <w:rStyle w:val="FootnoteReference"/>
          <w:rFonts w:cs="Times New Roman"/>
        </w:rPr>
        <w:footnoteReference w:id="88"/>
      </w:r>
      <w:r w:rsidR="00AA71AA" w:rsidRPr="009B2451">
        <w:rPr>
          <w:rFonts w:cs="Times New Roman"/>
        </w:rPr>
        <w:t xml:space="preserve"> Also the shop was extremely shallow, being one room deep and was only extended in the nineteenth century. This lack of space both for display and browsing might have meant that the first-floor front room was used to entertain the more select clients. Yet this has obviously implications for privacy, allowing customers deeper access into the dom</w:t>
      </w:r>
      <w:r w:rsidR="00982B74" w:rsidRPr="009B2451">
        <w:rPr>
          <w:rFonts w:cs="Times New Roman"/>
        </w:rPr>
        <w:t>estic space of the house. At Nos</w:t>
      </w:r>
      <w:r w:rsidR="00AA71AA" w:rsidRPr="009B2451">
        <w:rPr>
          <w:rFonts w:cs="Times New Roman"/>
        </w:rPr>
        <w:t xml:space="preserve"> 20 and 21 the situation is even more confined with frontages of 14.5ft and 13ft respectively, allowing potential browsing space to be around 9.5ft and 8ft.</w:t>
      </w:r>
      <w:r w:rsidR="002E7214" w:rsidRPr="009B2451">
        <w:rPr>
          <w:rFonts w:cs="Times New Roman"/>
        </w:rPr>
        <w:t xml:space="preserve"> </w:t>
      </w:r>
      <w:r w:rsidRPr="009B2451">
        <w:rPr>
          <w:rFonts w:cs="Times New Roman"/>
        </w:rPr>
        <w:t>Nor is the size of these shops unusual, but are typical of a major centre for elite shopping such as York</w:t>
      </w:r>
      <w:r w:rsidRPr="009B2451">
        <w:rPr>
          <w:rStyle w:val="FootnoteReference"/>
          <w:rFonts w:cs="Times New Roman"/>
        </w:rPr>
        <w:footnoteReference w:id="89"/>
      </w:r>
      <w:r w:rsidRPr="009B2451">
        <w:rPr>
          <w:rFonts w:cs="Times New Roman"/>
        </w:rPr>
        <w:t>.</w:t>
      </w:r>
    </w:p>
    <w:p w:rsidR="00AA71AA" w:rsidRPr="009B2451" w:rsidRDefault="00E31BEB" w:rsidP="009B2451">
      <w:pPr>
        <w:spacing w:line="360" w:lineRule="auto"/>
        <w:ind w:firstLine="737"/>
        <w:rPr>
          <w:szCs w:val="23"/>
        </w:rPr>
      </w:pPr>
      <w:r w:rsidRPr="009B2451">
        <w:rPr>
          <w:szCs w:val="23"/>
        </w:rPr>
        <w:t>Hann and Stobart have emphasised the role of the shopkeeper as a source of information and knowledge and as the mediator between the customer and the goods on sale.</w:t>
      </w:r>
      <w:r w:rsidRPr="009B2451">
        <w:rPr>
          <w:rStyle w:val="FootnoteReference"/>
          <w:szCs w:val="23"/>
        </w:rPr>
        <w:footnoteReference w:id="90"/>
      </w:r>
      <w:r w:rsidRPr="009B2451">
        <w:rPr>
          <w:szCs w:val="23"/>
        </w:rPr>
        <w:t xml:space="preserve"> Items could be laid out on the counter, enabling the customers to handle and inspect them</w:t>
      </w:r>
      <w:r w:rsidRPr="009B2451">
        <w:rPr>
          <w:rStyle w:val="FootnoteReference"/>
          <w:szCs w:val="23"/>
        </w:rPr>
        <w:footnoteReference w:id="91"/>
      </w:r>
      <w:r w:rsidRPr="009B2451">
        <w:rPr>
          <w:szCs w:val="23"/>
        </w:rPr>
        <w:t xml:space="preserve">. The shopkeeper would be relied on to know the tastes of his clients so that he could introduce them to goods that they never knew they wanted before. </w:t>
      </w:r>
      <w:r w:rsidR="00A57943" w:rsidRPr="009B2451">
        <w:rPr>
          <w:szCs w:val="23"/>
        </w:rPr>
        <w:t xml:space="preserve">Claire </w:t>
      </w:r>
      <w:r w:rsidRPr="009B2451">
        <w:rPr>
          <w:szCs w:val="23"/>
        </w:rPr>
        <w:t>Walsh has also highlighted the importance of this interaction, and the element of performance by both parties in the bargaining process</w:t>
      </w:r>
      <w:r w:rsidRPr="009B2451">
        <w:rPr>
          <w:rStyle w:val="FootnoteReference"/>
          <w:szCs w:val="23"/>
        </w:rPr>
        <w:footnoteReference w:id="92"/>
      </w:r>
      <w:r w:rsidRPr="009B2451">
        <w:rPr>
          <w:szCs w:val="23"/>
        </w:rPr>
        <w:t xml:space="preserve">. </w:t>
      </w:r>
      <w:r w:rsidRPr="009B2451">
        <w:rPr>
          <w:rFonts w:cs="Times New Roman"/>
        </w:rPr>
        <w:t>This was undoubtedly the major form of browsing in the Georgian period, yet it was not exclusive.</w:t>
      </w:r>
      <w:r w:rsidRPr="009B2451">
        <w:rPr>
          <w:szCs w:val="23"/>
        </w:rPr>
        <w:t xml:space="preserve"> Walsh has discussed how a variety of internal fixtures and fittings were used in the interior of shops in order to showcase the goods in the best light. The inventory evidence has revealed the presence of different types of furnishings to accommodate different types of goods. In draper’s shops there were shelves and presses, as well as cloth draped around the shop, in china shops there were racks and goldsmith’</w:t>
      </w:r>
      <w:r w:rsidR="00A57943" w:rsidRPr="009B2451">
        <w:rPr>
          <w:szCs w:val="23"/>
        </w:rPr>
        <w:t>s had</w:t>
      </w:r>
      <w:r w:rsidRPr="009B2451">
        <w:rPr>
          <w:szCs w:val="23"/>
        </w:rPr>
        <w:t xml:space="preserve"> glass cases to exhibit the goods. The interior of the shop was therefore utilised for display to some degree, displays which encouraged the customers to move around the shop and admire or interact with the goods.</w:t>
      </w:r>
      <w:r w:rsidR="00A57943" w:rsidRPr="009B2451">
        <w:rPr>
          <w:szCs w:val="23"/>
        </w:rPr>
        <w:t xml:space="preserve"> The </w:t>
      </w:r>
      <w:r w:rsidR="00A57943" w:rsidRPr="009B2451">
        <w:rPr>
          <w:rFonts w:cs="Times New Roman"/>
        </w:rPr>
        <w:t xml:space="preserve">presence of chairs </w:t>
      </w:r>
      <w:r w:rsidR="00C90EC2">
        <w:rPr>
          <w:rFonts w:cs="Times New Roman"/>
        </w:rPr>
        <w:t>are</w:t>
      </w:r>
      <w:r w:rsidR="00A57943" w:rsidRPr="009B2451">
        <w:rPr>
          <w:rFonts w:cs="Times New Roman"/>
        </w:rPr>
        <w:t xml:space="preserve"> also listed in many inventories, allowing customers to sit at their ease. </w:t>
      </w:r>
      <w:r w:rsidRPr="009B2451">
        <w:rPr>
          <w:szCs w:val="23"/>
        </w:rPr>
        <w:t>Ian Mitchell has highlighted the role of shops as spaces where customers were encouraged to linger and gossip with friends, as well as inspect goods</w:t>
      </w:r>
      <w:r w:rsidR="00A57943" w:rsidRPr="009B2451">
        <w:rPr>
          <w:rStyle w:val="FootnoteReference"/>
          <w:szCs w:val="23"/>
        </w:rPr>
        <w:footnoteReference w:id="93"/>
      </w:r>
      <w:r w:rsidRPr="009B2451">
        <w:rPr>
          <w:szCs w:val="23"/>
        </w:rPr>
        <w:t>.</w:t>
      </w:r>
    </w:p>
    <w:p w:rsidR="00AA71AA" w:rsidRPr="009B2451" w:rsidRDefault="00A57943" w:rsidP="009B2451">
      <w:pPr>
        <w:spacing w:line="360" w:lineRule="auto"/>
        <w:ind w:firstLine="737"/>
        <w:rPr>
          <w:szCs w:val="23"/>
        </w:rPr>
      </w:pPr>
      <w:r w:rsidRPr="009B2451">
        <w:rPr>
          <w:szCs w:val="23"/>
        </w:rPr>
        <w:t>The restricted space of the shop therefore has important implications for this interaction</w:t>
      </w:r>
      <w:r w:rsidRPr="009B2451">
        <w:rPr>
          <w:rFonts w:cs="Times New Roman"/>
        </w:rPr>
        <w:t>. It</w:t>
      </w:r>
      <w:r w:rsidR="00AA71AA" w:rsidRPr="009B2451">
        <w:rPr>
          <w:rFonts w:cs="Times New Roman"/>
        </w:rPr>
        <w:t xml:space="preserve"> would not only have curtailed a relaxed shopping experience but also left very little elbow room. Customers would have had to literally push past each other to move around the shop. This would have been exacerbated at some points in the eighteenth century by the clothing that was in fashion, with the hoop skirts of the early and mid period being considerably bulkier</w:t>
      </w:r>
      <w:r w:rsidR="00281395" w:rsidRPr="009B2451">
        <w:rPr>
          <w:rFonts w:cs="Times New Roman"/>
        </w:rPr>
        <w:t xml:space="preserve"> than the later empire dresses</w:t>
      </w:r>
      <w:r w:rsidR="00A905A5" w:rsidRPr="009B2451">
        <w:rPr>
          <w:rFonts w:cs="Times New Roman"/>
        </w:rPr>
        <w:t>.</w:t>
      </w:r>
      <w:r w:rsidR="00B548D5" w:rsidRPr="009B2451">
        <w:rPr>
          <w:rStyle w:val="FootnoteReference"/>
          <w:rFonts w:cs="Times New Roman"/>
        </w:rPr>
        <w:footnoteReference w:id="94"/>
      </w:r>
      <w:r w:rsidR="00AA71AA" w:rsidRPr="009B2451">
        <w:rPr>
          <w:rFonts w:cs="Times New Roman"/>
        </w:rPr>
        <w:t xml:space="preserve"> This is not to imply that ladies would have worn full dress while shopping, but there is evidence that fashionable attire was worn. In the novel </w:t>
      </w:r>
      <w:r w:rsidR="00AA71AA" w:rsidRPr="009B2451">
        <w:rPr>
          <w:rFonts w:cs="Times New Roman"/>
          <w:i/>
        </w:rPr>
        <w:t>Evelina</w:t>
      </w:r>
      <w:r w:rsidR="00421A0F" w:rsidRPr="009B2451">
        <w:rPr>
          <w:rFonts w:cs="Times New Roman"/>
        </w:rPr>
        <w:t>, published in 1778, Frances</w:t>
      </w:r>
      <w:r w:rsidR="00AA71AA" w:rsidRPr="009B2451">
        <w:rPr>
          <w:rFonts w:cs="Times New Roman"/>
        </w:rPr>
        <w:t xml:space="preserve"> Burney has her protagonist comment:</w:t>
      </w:r>
    </w:p>
    <w:p w:rsidR="00AA71AA" w:rsidRPr="009B2451" w:rsidRDefault="00AA71AA" w:rsidP="009B2451">
      <w:pPr>
        <w:spacing w:line="360" w:lineRule="auto"/>
        <w:ind w:left="720" w:firstLine="17"/>
        <w:rPr>
          <w:rFonts w:cs="Times New Roman"/>
        </w:rPr>
      </w:pPr>
      <w:r w:rsidRPr="009B2451">
        <w:rPr>
          <w:rFonts w:cs="Times New Roman"/>
        </w:rPr>
        <w:t xml:space="preserve">‘At the milliners, the ladies we met were so much dressed, that I </w:t>
      </w:r>
      <w:r w:rsidR="008466EA" w:rsidRPr="009B2451">
        <w:rPr>
          <w:rFonts w:cs="Times New Roman"/>
        </w:rPr>
        <w:t xml:space="preserve">should </w:t>
      </w:r>
      <w:r w:rsidRPr="009B2451">
        <w:rPr>
          <w:rFonts w:cs="Times New Roman"/>
        </w:rPr>
        <w:t xml:space="preserve">rather </w:t>
      </w:r>
      <w:r w:rsidR="008466EA" w:rsidRPr="009B2451">
        <w:rPr>
          <w:rFonts w:cs="Times New Roman"/>
        </w:rPr>
        <w:t xml:space="preserve">have </w:t>
      </w:r>
      <w:r w:rsidRPr="009B2451">
        <w:rPr>
          <w:rFonts w:cs="Times New Roman"/>
        </w:rPr>
        <w:t>imagined they were</w:t>
      </w:r>
      <w:r w:rsidR="00281395" w:rsidRPr="009B2451">
        <w:rPr>
          <w:rFonts w:cs="Times New Roman"/>
        </w:rPr>
        <w:t xml:space="preserve"> making visits than purchases</w:t>
      </w:r>
      <w:r w:rsidR="00820695" w:rsidRPr="009B2451">
        <w:rPr>
          <w:rFonts w:cs="Times New Roman"/>
        </w:rPr>
        <w:t>.</w:t>
      </w:r>
      <w:r w:rsidR="00281395" w:rsidRPr="009B2451">
        <w:rPr>
          <w:rFonts w:cs="Times New Roman"/>
        </w:rPr>
        <w:t>’</w:t>
      </w:r>
      <w:r w:rsidR="00B548D5" w:rsidRPr="009B2451">
        <w:rPr>
          <w:rStyle w:val="FootnoteReference"/>
          <w:rFonts w:cs="Times New Roman"/>
        </w:rPr>
        <w:footnoteReference w:id="95"/>
      </w:r>
    </w:p>
    <w:p w:rsidR="008F527F" w:rsidRPr="009B2451" w:rsidRDefault="00AA71AA" w:rsidP="009B2451">
      <w:pPr>
        <w:spacing w:line="360" w:lineRule="auto"/>
        <w:rPr>
          <w:rFonts w:cs="Times New Roman"/>
        </w:rPr>
      </w:pPr>
      <w:r w:rsidRPr="009B2451">
        <w:rPr>
          <w:rFonts w:cs="Times New Roman"/>
        </w:rPr>
        <w:t xml:space="preserve">This would also have had implications for social interaction. The shop is often seen as a secluded haven that is away from the street and any potential for interaction with </w:t>
      </w:r>
      <w:r w:rsidR="00281395" w:rsidRPr="009B2451">
        <w:rPr>
          <w:rFonts w:cs="Times New Roman"/>
        </w:rPr>
        <w:t>those of a lower social status</w:t>
      </w:r>
      <w:r w:rsidR="00A905A5" w:rsidRPr="009B2451">
        <w:rPr>
          <w:rFonts w:cs="Times New Roman"/>
        </w:rPr>
        <w:t>.</w:t>
      </w:r>
      <w:r w:rsidR="00B548D5" w:rsidRPr="009B2451">
        <w:rPr>
          <w:rStyle w:val="FootnoteReference"/>
          <w:rFonts w:cs="Times New Roman"/>
        </w:rPr>
        <w:footnoteReference w:id="96"/>
      </w:r>
      <w:r w:rsidRPr="009B2451">
        <w:rPr>
          <w:rFonts w:cs="Times New Roman"/>
        </w:rPr>
        <w:t xml:space="preserve"> However, if the confines of the smaller shop was so restricted then the danger of jostling and awkward social encounters was very real. This demonstrates how diverse the shopping experience was in the eighteenth century and that not all shops catering to the </w:t>
      </w:r>
      <w:r w:rsidR="00982B74" w:rsidRPr="009B2451">
        <w:rPr>
          <w:rFonts w:cs="Times New Roman"/>
        </w:rPr>
        <w:t xml:space="preserve">lesser </w:t>
      </w:r>
      <w:r w:rsidRPr="009B2451">
        <w:rPr>
          <w:rFonts w:cs="Times New Roman"/>
        </w:rPr>
        <w:t>gentry</w:t>
      </w:r>
      <w:r w:rsidR="00982B74" w:rsidRPr="009B2451">
        <w:rPr>
          <w:rFonts w:cs="Times New Roman"/>
        </w:rPr>
        <w:t xml:space="preserve"> and gentry</w:t>
      </w:r>
      <w:r w:rsidRPr="009B2451">
        <w:rPr>
          <w:rFonts w:cs="Times New Roman"/>
        </w:rPr>
        <w:t xml:space="preserve">, even in a fashionable town such as York, were experienced in the same way. </w:t>
      </w:r>
      <w:r w:rsidR="00E31BEB" w:rsidRPr="009B2451">
        <w:rPr>
          <w:rFonts w:cs="Times New Roman"/>
        </w:rPr>
        <w:t>It also highlights the importance of the back room as a venue for entertaining more prestigious customers, where some of the restrictions</w:t>
      </w:r>
      <w:r w:rsidR="00A57943" w:rsidRPr="009B2451">
        <w:rPr>
          <w:rFonts w:cs="Times New Roman"/>
        </w:rPr>
        <w:t xml:space="preserve"> of space in the fo</w:t>
      </w:r>
      <w:r w:rsidR="00E31BEB" w:rsidRPr="009B2451">
        <w:rPr>
          <w:rFonts w:cs="Times New Roman"/>
        </w:rPr>
        <w:t xml:space="preserve">re shop would be </w:t>
      </w:r>
      <w:r w:rsidR="00A57943" w:rsidRPr="009B2451">
        <w:rPr>
          <w:rFonts w:cs="Times New Roman"/>
        </w:rPr>
        <w:t>ameliorated</w:t>
      </w:r>
      <w:r w:rsidR="00E31BEB" w:rsidRPr="009B2451">
        <w:rPr>
          <w:rFonts w:cs="Times New Roman"/>
        </w:rPr>
        <w:t xml:space="preserve">. </w:t>
      </w:r>
      <w:r w:rsidR="00A57943" w:rsidRPr="009B2451">
        <w:rPr>
          <w:rFonts w:cs="Times New Roman"/>
        </w:rPr>
        <w:t>W</w:t>
      </w:r>
      <w:r w:rsidRPr="009B2451">
        <w:rPr>
          <w:rFonts w:cs="Times New Roman"/>
        </w:rPr>
        <w:t xml:space="preserve">hen </w:t>
      </w:r>
      <w:r w:rsidR="00A57943" w:rsidRPr="009B2451">
        <w:rPr>
          <w:rFonts w:cs="Times New Roman"/>
        </w:rPr>
        <w:t>discussing</w:t>
      </w:r>
      <w:r w:rsidRPr="009B2451">
        <w:rPr>
          <w:rFonts w:cs="Times New Roman"/>
        </w:rPr>
        <w:t xml:space="preserve"> social practices such as shopping there is a real need to not just rely on the documentary evidence but to place these practices in actual physical space</w:t>
      </w:r>
      <w:r w:rsidR="004C1DE4" w:rsidRPr="009B2451">
        <w:rPr>
          <w:rFonts w:cs="Times New Roman"/>
        </w:rPr>
        <w:t>s. This helps to show how they c</w:t>
      </w:r>
      <w:r w:rsidRPr="009B2451">
        <w:rPr>
          <w:rFonts w:cs="Times New Roman"/>
        </w:rPr>
        <w:t>ould have actually been performed on an everyday level and the potential and limitations of the space.</w:t>
      </w:r>
    </w:p>
    <w:p w:rsidR="008F527F" w:rsidRPr="009B2451" w:rsidRDefault="002E7214" w:rsidP="009B2451">
      <w:pPr>
        <w:pStyle w:val="Default"/>
        <w:spacing w:line="360" w:lineRule="auto"/>
        <w:ind w:firstLine="737"/>
        <w:rPr>
          <w:rFonts w:asciiTheme="minorHAnsi" w:hAnsiTheme="minorHAnsi"/>
          <w:szCs w:val="23"/>
        </w:rPr>
      </w:pPr>
      <w:r w:rsidRPr="009B2451">
        <w:rPr>
          <w:rFonts w:asciiTheme="minorHAnsi" w:hAnsiTheme="minorHAnsi"/>
          <w:szCs w:val="23"/>
        </w:rPr>
        <w:t>T</w:t>
      </w:r>
      <w:r w:rsidR="008F527F" w:rsidRPr="009B2451">
        <w:rPr>
          <w:rFonts w:asciiTheme="minorHAnsi" w:hAnsiTheme="minorHAnsi"/>
          <w:szCs w:val="23"/>
        </w:rPr>
        <w:t>he interior of Henry Raper’s shop is also of interest and this is illuminated by the evidence of a tradesman’s billhead</w:t>
      </w:r>
      <w:r w:rsidR="00A905A5" w:rsidRPr="009B2451">
        <w:rPr>
          <w:rFonts w:asciiTheme="minorHAnsi" w:hAnsiTheme="minorHAnsi"/>
          <w:szCs w:val="23"/>
        </w:rPr>
        <w:t>.</w:t>
      </w:r>
      <w:r w:rsidR="009132DC" w:rsidRPr="009B2451">
        <w:rPr>
          <w:rStyle w:val="FootnoteReference"/>
          <w:rFonts w:asciiTheme="minorHAnsi" w:hAnsiTheme="minorHAnsi"/>
          <w:szCs w:val="23"/>
        </w:rPr>
        <w:footnoteReference w:id="97"/>
      </w:r>
      <w:r w:rsidR="008F527F" w:rsidRPr="009B2451">
        <w:rPr>
          <w:rFonts w:asciiTheme="minorHAnsi" w:hAnsiTheme="minorHAnsi"/>
          <w:szCs w:val="23"/>
        </w:rPr>
        <w:t xml:space="preserve"> The building has a wide frontage and in all probability was formed by the amalgamation of two burgage plots. </w:t>
      </w:r>
      <w:r w:rsidR="00C90EC2">
        <w:rPr>
          <w:rFonts w:asciiTheme="minorHAnsi" w:hAnsiTheme="minorHAnsi"/>
          <w:szCs w:val="23"/>
        </w:rPr>
        <w:t>T</w:t>
      </w:r>
      <w:r w:rsidR="008F527F" w:rsidRPr="009B2451">
        <w:rPr>
          <w:rFonts w:asciiTheme="minorHAnsi" w:hAnsiTheme="minorHAnsi"/>
          <w:szCs w:val="23"/>
        </w:rPr>
        <w:t>here would</w:t>
      </w:r>
      <w:r w:rsidR="00C90EC2">
        <w:rPr>
          <w:rFonts w:asciiTheme="minorHAnsi" w:hAnsiTheme="minorHAnsi"/>
          <w:szCs w:val="23"/>
        </w:rPr>
        <w:t xml:space="preserve"> therefore</w:t>
      </w:r>
      <w:r w:rsidR="008F527F" w:rsidRPr="009B2451">
        <w:rPr>
          <w:rFonts w:asciiTheme="minorHAnsi" w:hAnsiTheme="minorHAnsi"/>
          <w:szCs w:val="23"/>
        </w:rPr>
        <w:t xml:space="preserve"> be a large area available to serve as the shop floor. However, the billhead for the shop lists over 120 separate items. This is a huge quantity and raises questions of how the items would be displayed and how customers would navigate the shop. </w:t>
      </w:r>
    </w:p>
    <w:p w:rsidR="008F527F" w:rsidRPr="009B2451" w:rsidRDefault="008F527F" w:rsidP="009B2451">
      <w:pPr>
        <w:spacing w:line="360" w:lineRule="auto"/>
        <w:ind w:firstLine="737"/>
        <w:rPr>
          <w:szCs w:val="23"/>
        </w:rPr>
      </w:pPr>
      <w:r w:rsidRPr="009B2451">
        <w:rPr>
          <w:szCs w:val="23"/>
        </w:rPr>
        <w:t>The arrangement of stock is problematic, given the eclectic nature of the goods on sale. One of the measures by which a shopkeeper was judged was according to their ability to create an attractive and orderly display of goods</w:t>
      </w:r>
      <w:r w:rsidR="00A905A5" w:rsidRPr="009B2451">
        <w:rPr>
          <w:szCs w:val="23"/>
        </w:rPr>
        <w:t>.</w:t>
      </w:r>
      <w:r w:rsidR="009132DC" w:rsidRPr="009B2451">
        <w:rPr>
          <w:rStyle w:val="FootnoteReference"/>
          <w:szCs w:val="23"/>
        </w:rPr>
        <w:footnoteReference w:id="98"/>
      </w:r>
      <w:r w:rsidRPr="009B2451">
        <w:rPr>
          <w:szCs w:val="23"/>
        </w:rPr>
        <w:t xml:space="preserve"> Yet how this was achieved in Raper’s shop is not known. One possible explanation is the division of space according to the social status of customers. This is known from a number of shops in London, particularly Wedgwood’s where customers purchasing the ‘worser seconds’ could serve themselves</w:t>
      </w:r>
      <w:r w:rsidR="00A905A5" w:rsidRPr="009B2451">
        <w:rPr>
          <w:szCs w:val="23"/>
        </w:rPr>
        <w:t>.</w:t>
      </w:r>
      <w:r w:rsidR="009132DC" w:rsidRPr="009B2451">
        <w:rPr>
          <w:rStyle w:val="FootnoteReference"/>
          <w:szCs w:val="23"/>
        </w:rPr>
        <w:footnoteReference w:id="99"/>
      </w:r>
      <w:r w:rsidRPr="009B2451">
        <w:rPr>
          <w:szCs w:val="23"/>
        </w:rPr>
        <w:t xml:space="preserve"> </w:t>
      </w:r>
      <w:r w:rsidR="00427C7F" w:rsidRPr="009B2451">
        <w:rPr>
          <w:szCs w:val="23"/>
        </w:rPr>
        <w:t>T</w:t>
      </w:r>
      <w:r w:rsidRPr="009B2451">
        <w:rPr>
          <w:szCs w:val="23"/>
        </w:rPr>
        <w:t xml:space="preserve">here are a few items that would appeal to a broad range of customers, such as coal-pans and dust-pans as well as possibly some cheap china, </w:t>
      </w:r>
      <w:r w:rsidR="00427C7F" w:rsidRPr="009B2451">
        <w:rPr>
          <w:szCs w:val="23"/>
        </w:rPr>
        <w:t xml:space="preserve">however </w:t>
      </w:r>
      <w:r w:rsidRPr="009B2451">
        <w:rPr>
          <w:szCs w:val="23"/>
        </w:rPr>
        <w:t xml:space="preserve">most of the goods seem designed to appeal to the gentry market. </w:t>
      </w:r>
    </w:p>
    <w:p w:rsidR="008F527F" w:rsidRPr="009B2451" w:rsidRDefault="008F527F" w:rsidP="009B2451">
      <w:pPr>
        <w:spacing w:line="360" w:lineRule="auto"/>
        <w:ind w:firstLine="737"/>
        <w:rPr>
          <w:szCs w:val="23"/>
        </w:rPr>
      </w:pPr>
      <w:r w:rsidRPr="009B2451">
        <w:rPr>
          <w:szCs w:val="23"/>
        </w:rPr>
        <w:t>Another possible explanation is division according t</w:t>
      </w:r>
      <w:r w:rsidR="009132DC" w:rsidRPr="009B2451">
        <w:rPr>
          <w:szCs w:val="23"/>
        </w:rPr>
        <w:t xml:space="preserve">o gender lines. Amanda Vickery </w:t>
      </w:r>
      <w:r w:rsidRPr="009B2451">
        <w:rPr>
          <w:szCs w:val="23"/>
        </w:rPr>
        <w:t>has highlighted how different goods were seen as appealing to a particular gender and that retailers targeted this</w:t>
      </w:r>
      <w:r w:rsidR="00A905A5" w:rsidRPr="009B2451">
        <w:rPr>
          <w:szCs w:val="23"/>
        </w:rPr>
        <w:t>.</w:t>
      </w:r>
      <w:r w:rsidR="009132DC" w:rsidRPr="009B2451">
        <w:rPr>
          <w:rStyle w:val="FootnoteReference"/>
          <w:szCs w:val="23"/>
        </w:rPr>
        <w:footnoteReference w:id="100"/>
      </w:r>
      <w:r w:rsidRPr="009B2451">
        <w:rPr>
          <w:szCs w:val="23"/>
        </w:rPr>
        <w:t xml:space="preserve"> The range of goods available at Raper’s shop incorporates goods designed to appeal to both men and women. There were ‘Gun-Flints’, ‘Fowling-Bags and Shot-Pouches’, ‘Billiard-Balls’ and ‘Velvet Caps for Gentlemen’ for the men. For the women there were the main goods of the shop, namely tea and china, as well as ‘Pincushion Boxes’, ‘All Sorts of Bird-Cages, and Balance Birds’ and ‘Tea-Table Bells’</w:t>
      </w:r>
      <w:r w:rsidR="00A905A5" w:rsidRPr="009B2451">
        <w:rPr>
          <w:szCs w:val="23"/>
        </w:rPr>
        <w:t>.</w:t>
      </w:r>
      <w:r w:rsidR="009132DC" w:rsidRPr="009B2451">
        <w:rPr>
          <w:rStyle w:val="FootnoteReference"/>
          <w:szCs w:val="23"/>
        </w:rPr>
        <w:footnoteReference w:id="101"/>
      </w:r>
      <w:r w:rsidR="00427C7F" w:rsidRPr="009B2451">
        <w:rPr>
          <w:szCs w:val="23"/>
        </w:rPr>
        <w:t xml:space="preserve"> </w:t>
      </w:r>
      <w:r w:rsidRPr="009B2451">
        <w:rPr>
          <w:szCs w:val="23"/>
        </w:rPr>
        <w:t>The structure of the building, incorporating two</w:t>
      </w:r>
      <w:r w:rsidR="002E7214" w:rsidRPr="009B2451">
        <w:rPr>
          <w:szCs w:val="23"/>
        </w:rPr>
        <w:t xml:space="preserve"> wings</w:t>
      </w:r>
      <w:r w:rsidRPr="009B2451">
        <w:rPr>
          <w:szCs w:val="23"/>
        </w:rPr>
        <w:t xml:space="preserve">, </w:t>
      </w:r>
      <w:r w:rsidR="002E7214" w:rsidRPr="009B2451">
        <w:rPr>
          <w:szCs w:val="23"/>
        </w:rPr>
        <w:t xml:space="preserve">supports the idea that the goods were in some way divided as </w:t>
      </w:r>
      <w:r w:rsidRPr="009B2451">
        <w:rPr>
          <w:szCs w:val="23"/>
        </w:rPr>
        <w:t xml:space="preserve">the shop front could have been easily split into two distinct shops. </w:t>
      </w:r>
      <w:r w:rsidR="002E7214" w:rsidRPr="009B2451">
        <w:rPr>
          <w:szCs w:val="23"/>
        </w:rPr>
        <w:t xml:space="preserve">This could either be a device for segregating those of different social status or providing a space </w:t>
      </w:r>
      <w:r w:rsidRPr="009B2451">
        <w:rPr>
          <w:szCs w:val="23"/>
        </w:rPr>
        <w:t xml:space="preserve">that men and women could visit it together, safe in the knowledge that there would be something to appeal to everybody. </w:t>
      </w:r>
    </w:p>
    <w:p w:rsidR="008F527F" w:rsidRPr="009B2451" w:rsidRDefault="008F527F" w:rsidP="009B2451">
      <w:pPr>
        <w:spacing w:line="360" w:lineRule="auto"/>
        <w:ind w:firstLine="737"/>
        <w:rPr>
          <w:szCs w:val="23"/>
        </w:rPr>
      </w:pPr>
      <w:r w:rsidRPr="009B2451">
        <w:rPr>
          <w:szCs w:val="23"/>
        </w:rPr>
        <w:t>However, this does not address how the shop was actually laid out. Research into inventories has demonstrated the types of fixtures and furniture that shopkeepers employed. Nests of drawers could store smaller items, rails were used to hang cloth, and shelves to display larger items</w:t>
      </w:r>
      <w:r w:rsidR="00A905A5" w:rsidRPr="009B2451">
        <w:rPr>
          <w:szCs w:val="23"/>
        </w:rPr>
        <w:t>.</w:t>
      </w:r>
      <w:r w:rsidR="009132DC" w:rsidRPr="009B2451">
        <w:rPr>
          <w:rStyle w:val="FootnoteReference"/>
          <w:szCs w:val="23"/>
        </w:rPr>
        <w:footnoteReference w:id="102"/>
      </w:r>
      <w:r w:rsidRPr="009B2451">
        <w:rPr>
          <w:szCs w:val="23"/>
        </w:rPr>
        <w:t xml:space="preserve"> The staples of Raper’s shop would be easily accommodated into the consumer narratives that have been put forward. These included tea, coffee and chocolate, as well as ‘a variety of china; useful and ornamental’</w:t>
      </w:r>
      <w:r w:rsidR="00A905A5" w:rsidRPr="009B2451">
        <w:rPr>
          <w:rStyle w:val="FootnoteReference"/>
          <w:szCs w:val="23"/>
        </w:rPr>
        <w:footnoteReference w:id="103"/>
      </w:r>
      <w:r w:rsidRPr="009B2451">
        <w:rPr>
          <w:szCs w:val="23"/>
        </w:rPr>
        <w:t>. Yet these are only four out of the 120 items and many of these were small, creating difficulties for our understanding of how the shop was experienced. The sheer number of these items would make indepe</w:t>
      </w:r>
      <w:r w:rsidR="00427C7F" w:rsidRPr="009B2451">
        <w:rPr>
          <w:szCs w:val="23"/>
        </w:rPr>
        <w:t>ndent browsing problematic and priortises</w:t>
      </w:r>
      <w:r w:rsidR="009132DC" w:rsidRPr="009B2451">
        <w:rPr>
          <w:szCs w:val="23"/>
        </w:rPr>
        <w:t xml:space="preserve"> the necessity of the shopkeeper</w:t>
      </w:r>
      <w:r w:rsidRPr="009B2451">
        <w:rPr>
          <w:szCs w:val="23"/>
        </w:rPr>
        <w:t xml:space="preserve"> </w:t>
      </w:r>
      <w:r w:rsidR="009132DC" w:rsidRPr="009B2451">
        <w:rPr>
          <w:szCs w:val="23"/>
        </w:rPr>
        <w:t>to lay</w:t>
      </w:r>
      <w:r w:rsidRPr="009B2451">
        <w:rPr>
          <w:szCs w:val="23"/>
        </w:rPr>
        <w:t xml:space="preserve"> out items on the counter for the customer to inspect. </w:t>
      </w:r>
    </w:p>
    <w:p w:rsidR="001C1679" w:rsidRPr="009B2451" w:rsidRDefault="001C1679" w:rsidP="009B2451">
      <w:pPr>
        <w:spacing w:line="360" w:lineRule="auto"/>
        <w:ind w:firstLine="737"/>
        <w:rPr>
          <w:lang w:val="en-GB"/>
        </w:rPr>
      </w:pPr>
    </w:p>
    <w:p w:rsidR="001C1679" w:rsidRPr="009B2451" w:rsidRDefault="00046E91" w:rsidP="009B2451">
      <w:pPr>
        <w:spacing w:line="360" w:lineRule="auto"/>
        <w:rPr>
          <w:b/>
          <w:lang w:val="en-GB"/>
        </w:rPr>
      </w:pPr>
      <w:r w:rsidRPr="009B2451">
        <w:rPr>
          <w:b/>
          <w:lang w:val="en-GB"/>
        </w:rPr>
        <w:t>Conclusion</w:t>
      </w:r>
    </w:p>
    <w:p w:rsidR="004928CB" w:rsidRPr="009B2451" w:rsidRDefault="00503248" w:rsidP="009B2451">
      <w:pPr>
        <w:spacing w:line="360" w:lineRule="auto"/>
      </w:pPr>
      <w:r w:rsidRPr="009B2451">
        <w:t xml:space="preserve">The aim of this paper has been to demonstrate how the detailed consideration of standing buildings evidence can illuminate our understanding of the urban environment during the eighteenth century. </w:t>
      </w:r>
    </w:p>
    <w:p w:rsidR="007C2DC7" w:rsidRDefault="004928CB" w:rsidP="009B2451">
      <w:pPr>
        <w:spacing w:line="360" w:lineRule="auto"/>
      </w:pPr>
      <w:r w:rsidRPr="009B2451">
        <w:t xml:space="preserve">The current scholarly model places an emphasis </w:t>
      </w:r>
      <w:r w:rsidR="0091478C" w:rsidRPr="009B2451">
        <w:t>on the increasing uniformity of the street façade dur</w:t>
      </w:r>
      <w:r w:rsidR="002A5167" w:rsidRPr="009B2451">
        <w:t xml:space="preserve">ing the </w:t>
      </w:r>
      <w:r w:rsidR="00416DF5" w:rsidRPr="009B2451">
        <w:t xml:space="preserve">Georgian period, together with </w:t>
      </w:r>
      <w:r w:rsidR="002A5167" w:rsidRPr="009B2451">
        <w:t>accompanying meanings of order and regulation</w:t>
      </w:r>
      <w:r w:rsidRPr="009B2451">
        <w:t>.</w:t>
      </w:r>
      <w:r w:rsidR="002A5167" w:rsidRPr="009B2451">
        <w:t xml:space="preserve"> </w:t>
      </w:r>
      <w:r w:rsidRPr="009B2451">
        <w:rPr>
          <w:rFonts w:cs="Times New Roman"/>
        </w:rPr>
        <w:t>This study</w:t>
      </w:r>
      <w:r w:rsidR="00503248" w:rsidRPr="009B2451">
        <w:rPr>
          <w:rFonts w:cs="Times New Roman"/>
        </w:rPr>
        <w:t xml:space="preserve"> has shown that the actual composition of the street </w:t>
      </w:r>
      <w:r w:rsidR="002A5167" w:rsidRPr="009B2451">
        <w:rPr>
          <w:rFonts w:cs="Times New Roman"/>
        </w:rPr>
        <w:t>could be</w:t>
      </w:r>
      <w:r w:rsidR="00503248" w:rsidRPr="009B2451">
        <w:rPr>
          <w:rFonts w:cs="Times New Roman"/>
        </w:rPr>
        <w:t xml:space="preserve"> extremely varied, including both polite architecture and surviving fabric from the medi</w:t>
      </w:r>
      <w:r w:rsidR="006F2D3E" w:rsidRPr="009B2451">
        <w:rPr>
          <w:rFonts w:cs="Times New Roman"/>
        </w:rPr>
        <w:t xml:space="preserve">eval and early modern periods. </w:t>
      </w:r>
      <w:r w:rsidR="002A5167" w:rsidRPr="009B2451">
        <w:rPr>
          <w:rFonts w:cs="Times New Roman"/>
        </w:rPr>
        <w:t>There was therefore a complex interaction of individuals and the physical environment</w:t>
      </w:r>
      <w:r w:rsidR="00416DF5" w:rsidRPr="009B2451">
        <w:rPr>
          <w:rFonts w:cs="Times New Roman"/>
        </w:rPr>
        <w:t>,</w:t>
      </w:r>
      <w:r w:rsidR="002A5167" w:rsidRPr="009B2451">
        <w:rPr>
          <w:rFonts w:cs="Times New Roman"/>
        </w:rPr>
        <w:t xml:space="preserve"> of how old and new architectural fabric was encountered and the messages it conveyed. </w:t>
      </w:r>
      <w:r w:rsidR="00416DF5" w:rsidRPr="009B2451">
        <w:rPr>
          <w:rFonts w:cs="Times New Roman"/>
        </w:rPr>
        <w:t>Scholars have highlighted the fashionable architecture and decoration of h</w:t>
      </w:r>
      <w:r w:rsidR="002A5167" w:rsidRPr="009B2451">
        <w:rPr>
          <w:rFonts w:cs="Times New Roman"/>
        </w:rPr>
        <w:t>igh</w:t>
      </w:r>
      <w:r w:rsidR="00503248" w:rsidRPr="009B2451">
        <w:t>-status shopping areas</w:t>
      </w:r>
      <w:r w:rsidR="00416DF5" w:rsidRPr="009B2451">
        <w:t>,</w:t>
      </w:r>
      <w:r w:rsidR="00503248" w:rsidRPr="009B2451">
        <w:t xml:space="preserve"> </w:t>
      </w:r>
      <w:r w:rsidR="00416DF5" w:rsidRPr="009B2451">
        <w:t>which helped to draw-in and entice customers. However,</w:t>
      </w:r>
      <w:r w:rsidR="002A5167" w:rsidRPr="009B2451">
        <w:t xml:space="preserve"> </w:t>
      </w:r>
      <w:r w:rsidR="00416DF5" w:rsidRPr="009B2451">
        <w:t xml:space="preserve">in York the high-status shops also displayed considerable variation, a variation that cannot simply be </w:t>
      </w:r>
      <w:r w:rsidR="0009182C">
        <w:t>ascribed</w:t>
      </w:r>
      <w:r w:rsidR="00416DF5" w:rsidRPr="009B2451">
        <w:t xml:space="preserve"> to degrees of wealth</w:t>
      </w:r>
      <w:r w:rsidR="00503248" w:rsidRPr="009B2451">
        <w:t>.</w:t>
      </w:r>
      <w:r w:rsidR="00416DF5" w:rsidRPr="009B2451">
        <w:t xml:space="preserve"> </w:t>
      </w:r>
      <w:r w:rsidR="002A5167" w:rsidRPr="009B2451">
        <w:t xml:space="preserve">There is evidence of </w:t>
      </w:r>
      <w:r w:rsidR="0009182C">
        <w:t xml:space="preserve">the </w:t>
      </w:r>
      <w:r w:rsidR="002A5167" w:rsidRPr="009B2451">
        <w:t xml:space="preserve">conscious use of medieval buildings to </w:t>
      </w:r>
      <w:r w:rsidR="00416DF5" w:rsidRPr="009B2451">
        <w:t>project a specific identity, often associated with prominent members of the city’s corporation</w:t>
      </w:r>
      <w:r w:rsidR="002A5167" w:rsidRPr="009B2451">
        <w:t>.</w:t>
      </w:r>
      <w:r w:rsidR="00416DF5" w:rsidRPr="009B2451">
        <w:t xml:space="preserve"> </w:t>
      </w:r>
    </w:p>
    <w:p w:rsidR="00A874E2" w:rsidRPr="009B2451" w:rsidRDefault="00503248" w:rsidP="007C2DC7">
      <w:pPr>
        <w:spacing w:line="360" w:lineRule="auto"/>
        <w:ind w:firstLine="737"/>
      </w:pPr>
      <w:r w:rsidRPr="009B2451">
        <w:t>The material remains also have the potential to inform the physical features of interior shopping space and ho</w:t>
      </w:r>
      <w:r w:rsidR="00416DF5" w:rsidRPr="009B2451">
        <w:t xml:space="preserve">w it was experienced. </w:t>
      </w:r>
      <w:r w:rsidR="00016398" w:rsidRPr="009B2451">
        <w:t xml:space="preserve">The physical evidence has rarely been incorporated into studies of shopping and the redistricted space in many shops has not been previously discussed. This has important implications for consumer interaction in the shop interior. </w:t>
      </w:r>
      <w:r w:rsidR="00416DF5" w:rsidRPr="009B2451">
        <w:t>While the counter was the focus for eighteenth-century browsing, the</w:t>
      </w:r>
      <w:r w:rsidR="00016398" w:rsidRPr="009B2451">
        <w:t>re is evidence that</w:t>
      </w:r>
      <w:r w:rsidR="00416DF5" w:rsidRPr="009B2451">
        <w:t xml:space="preserve"> rest of the shop</w:t>
      </w:r>
      <w:r w:rsidR="00016398" w:rsidRPr="009B2451">
        <w:t xml:space="preserve"> was also used for display and for sitting and gossiping with friends. The limited space would have affected the performance of these activities and opened up the possibility of social confrontation.</w:t>
      </w:r>
    </w:p>
    <w:p w:rsidR="00A874E2" w:rsidRPr="009B2451" w:rsidRDefault="00503248" w:rsidP="009B2451">
      <w:pPr>
        <w:spacing w:line="360" w:lineRule="auto"/>
        <w:ind w:firstLine="737"/>
      </w:pPr>
      <w:r w:rsidRPr="009B2451">
        <w:t>The material considered here</w:t>
      </w:r>
      <w:r w:rsidR="00AB4729" w:rsidRPr="009B2451">
        <w:t xml:space="preserve"> only relates to York, </w:t>
      </w:r>
      <w:r w:rsidR="00016398" w:rsidRPr="009B2451">
        <w:t>although</w:t>
      </w:r>
      <w:r w:rsidR="00AB4729" w:rsidRPr="009B2451">
        <w:t>, as</w:t>
      </w:r>
      <w:r w:rsidRPr="009B2451">
        <w:t xml:space="preserve"> has </w:t>
      </w:r>
      <w:r w:rsidR="00AB4729" w:rsidRPr="009B2451">
        <w:t>previous</w:t>
      </w:r>
      <w:r w:rsidR="000A18D4">
        <w:t>ly</w:t>
      </w:r>
      <w:r w:rsidR="00AB4729" w:rsidRPr="009B2451">
        <w:t xml:space="preserve"> been discussed</w:t>
      </w:r>
      <w:r w:rsidR="00016398" w:rsidRPr="009B2451">
        <w:t xml:space="preserve">, is representative of a number of other provincial capitals </w:t>
      </w:r>
      <w:r w:rsidR="0009182C">
        <w:t>that</w:t>
      </w:r>
      <w:r w:rsidR="00016398" w:rsidRPr="009B2451">
        <w:t xml:space="preserve"> were focal points for polite society and also had substantial survivals of medieval architecture. </w:t>
      </w:r>
      <w:r w:rsidR="00A874E2" w:rsidRPr="009B2451">
        <w:t xml:space="preserve">There has been recognition by historians of politeness and improvement of the need to </w:t>
      </w:r>
      <w:r w:rsidR="0009182C">
        <w:t>identify</w:t>
      </w:r>
      <w:r w:rsidR="00016398" w:rsidRPr="009B2451">
        <w:t xml:space="preserve"> </w:t>
      </w:r>
      <w:r w:rsidR="00DF25FB" w:rsidRPr="009B2451">
        <w:t xml:space="preserve">different </w:t>
      </w:r>
      <w:r w:rsidR="00016398" w:rsidRPr="009B2451">
        <w:t>categories of eighteenth-</w:t>
      </w:r>
      <w:r w:rsidR="00A874E2" w:rsidRPr="009B2451">
        <w:t>century tow</w:t>
      </w:r>
      <w:r w:rsidR="00DF25FB" w:rsidRPr="009B2451">
        <w:t xml:space="preserve">ns, and </w:t>
      </w:r>
      <w:r w:rsidR="0009182C">
        <w:t>in particular to make</w:t>
      </w:r>
      <w:r w:rsidR="00DF25FB" w:rsidRPr="009B2451">
        <w:t xml:space="preserve"> distinctions between</w:t>
      </w:r>
      <w:r w:rsidR="00A874E2" w:rsidRPr="009B2451">
        <w:t xml:space="preserve"> </w:t>
      </w:r>
      <w:r w:rsidR="00DF25FB" w:rsidRPr="009B2451">
        <w:t xml:space="preserve">burgeoning </w:t>
      </w:r>
      <w:r w:rsidR="00A874E2" w:rsidRPr="009B2451">
        <w:t xml:space="preserve">manufacturing towns </w:t>
      </w:r>
      <w:r w:rsidR="00DF25FB" w:rsidRPr="009B2451">
        <w:t>and older prominent foundations</w:t>
      </w:r>
      <w:r w:rsidR="00DF25FB" w:rsidRPr="009B2451">
        <w:rPr>
          <w:rStyle w:val="FootnoteReference"/>
        </w:rPr>
        <w:footnoteReference w:id="104"/>
      </w:r>
      <w:r w:rsidR="00DF25FB" w:rsidRPr="009B2451">
        <w:t xml:space="preserve">. This is coupled with </w:t>
      </w:r>
      <w:r w:rsidR="0009182C">
        <w:t>discussion</w:t>
      </w:r>
      <w:r w:rsidR="00DF25FB" w:rsidRPr="009B2451">
        <w:t xml:space="preserve"> that there was not necessarily a consensus of what politeness entailed</w:t>
      </w:r>
      <w:r w:rsidR="00DF25FB" w:rsidRPr="009B2451">
        <w:rPr>
          <w:rStyle w:val="FootnoteReference"/>
        </w:rPr>
        <w:footnoteReference w:id="105"/>
      </w:r>
      <w:r w:rsidR="00DF25FB" w:rsidRPr="009B2451">
        <w:t>. This paper argues that a</w:t>
      </w:r>
      <w:r w:rsidR="00A874E2" w:rsidRPr="009B2451">
        <w:t xml:space="preserve"> similar distinction needs to be made </w:t>
      </w:r>
      <w:r w:rsidR="00DF25FB" w:rsidRPr="009B2451">
        <w:t>to</w:t>
      </w:r>
      <w:r w:rsidR="00A874E2" w:rsidRPr="009B2451">
        <w:t xml:space="preserve"> different categories </w:t>
      </w:r>
      <w:r w:rsidR="00DF25FB" w:rsidRPr="009B2451">
        <w:t xml:space="preserve">of eighteenth-century towns </w:t>
      </w:r>
      <w:r w:rsidR="00A874E2" w:rsidRPr="009B2451">
        <w:t>in regard to the interaction between the physical env</w:t>
      </w:r>
      <w:r w:rsidR="00DF25FB" w:rsidRPr="009B2451">
        <w:t>ironment and imp</w:t>
      </w:r>
      <w:r w:rsidR="0009182C">
        <w:t xml:space="preserve">rovement and </w:t>
      </w:r>
      <w:r w:rsidR="00DF25FB" w:rsidRPr="009B2451">
        <w:t>polite</w:t>
      </w:r>
      <w:r w:rsidR="00A874E2" w:rsidRPr="009B2451">
        <w:t>ness.</w:t>
      </w:r>
      <w:r w:rsidR="00DF25FB" w:rsidRPr="009B2451">
        <w:t xml:space="preserve"> While contemporary attitudes and attempts to improve the townscape are important, so are the </w:t>
      </w:r>
      <w:r w:rsidR="00A874E2" w:rsidRPr="009B2451">
        <w:t>physical realities</w:t>
      </w:r>
      <w:r w:rsidR="00DF25FB" w:rsidRPr="009B2451">
        <w:t xml:space="preserve"> that existed at the time and how </w:t>
      </w:r>
      <w:r w:rsidR="0009182C">
        <w:t xml:space="preserve">this </w:t>
      </w:r>
      <w:r w:rsidR="00DF25FB" w:rsidRPr="009B2451">
        <w:t>helped to structure social behaviour</w:t>
      </w:r>
      <w:r w:rsidR="00A874E2" w:rsidRPr="009B2451">
        <w:t>.</w:t>
      </w:r>
      <w:r w:rsidR="00DF25FB" w:rsidRPr="009B2451">
        <w:t xml:space="preserve"> </w:t>
      </w:r>
      <w:r w:rsidR="00A874E2" w:rsidRPr="009B2451">
        <w:t xml:space="preserve">The evidence from Girouard </w:t>
      </w:r>
      <w:r w:rsidR="00DF25FB" w:rsidRPr="009B2451">
        <w:t>points to large-scale impro</w:t>
      </w:r>
      <w:r w:rsidR="00A874E2" w:rsidRPr="009B2451">
        <w:t xml:space="preserve">vement frequently </w:t>
      </w:r>
      <w:r w:rsidR="00DF25FB" w:rsidRPr="009B2451">
        <w:t xml:space="preserve">occurring </w:t>
      </w:r>
      <w:r w:rsidR="008053AE">
        <w:t xml:space="preserve">only at the very end of the eighteenth century and </w:t>
      </w:r>
      <w:r w:rsidR="00DF25FB" w:rsidRPr="009B2451">
        <w:t>the beginning of the nineteenth</w:t>
      </w:r>
      <w:r w:rsidR="008053AE">
        <w:t xml:space="preserve"> </w:t>
      </w:r>
      <w:r w:rsidR="008053AE">
        <w:rPr>
          <w:rStyle w:val="FootnoteReference"/>
        </w:rPr>
        <w:footnoteReference w:id="106"/>
      </w:r>
      <w:r w:rsidR="00A874E2" w:rsidRPr="009B2451">
        <w:t>. Even in newly constructed areas there was still considerable potential for diversity.</w:t>
      </w:r>
      <w:r w:rsidR="00DF25FB" w:rsidRPr="009B2451">
        <w:t xml:space="preserve"> This has briefly been discussed here but can fruitfully be explored in further studies. </w:t>
      </w:r>
    </w:p>
    <w:p w:rsidR="00307632" w:rsidRPr="009B2451" w:rsidRDefault="00A874E2" w:rsidP="009B2451">
      <w:pPr>
        <w:spacing w:line="360" w:lineRule="auto"/>
      </w:pPr>
      <w:r w:rsidRPr="009B2451">
        <w:t>Even in London, Mayfair</w:t>
      </w:r>
      <w:r w:rsidR="00DF25FB" w:rsidRPr="009B2451">
        <w:t xml:space="preserve">, </w:t>
      </w:r>
      <w:r w:rsidR="0009182C">
        <w:t xml:space="preserve">for example, </w:t>
      </w:r>
      <w:r w:rsidR="00DF25FB" w:rsidRPr="009B2451">
        <w:t>often viewed as the apogee of impro</w:t>
      </w:r>
      <w:r w:rsidR="0009182C">
        <w:t>vement, there was considerable variety in facades, in terms of size and decorative detail</w:t>
      </w:r>
      <w:r w:rsidR="0009182C">
        <w:rPr>
          <w:rStyle w:val="FootnoteReference"/>
        </w:rPr>
        <w:footnoteReference w:id="107"/>
      </w:r>
      <w:r w:rsidR="0009182C">
        <w:t xml:space="preserve">. The outward appearance of a building might provide some clues as to the inhabitants but these did not always perfectly align and these was a complex interaction of individual status, wealth, age, decorative details and precise location. </w:t>
      </w:r>
      <w:r w:rsidR="00DF25FB" w:rsidRPr="009B2451">
        <w:t>A</w:t>
      </w:r>
      <w:r w:rsidR="00503248" w:rsidRPr="009B2451">
        <w:t xml:space="preserve"> detailed, street-eye view of a town can </w:t>
      </w:r>
      <w:r w:rsidR="0009182C">
        <w:t xml:space="preserve">therefore </w:t>
      </w:r>
      <w:r w:rsidR="00503248" w:rsidRPr="009B2451">
        <w:t xml:space="preserve">inform and problematise our understanding of the wider social process occurring </w:t>
      </w:r>
      <w:r w:rsidR="0009182C">
        <w:t>during the Georgian period</w:t>
      </w:r>
      <w:r w:rsidR="00503248" w:rsidRPr="009B2451">
        <w:t xml:space="preserve">, </w:t>
      </w:r>
      <w:r w:rsidR="0009182C">
        <w:t>particularly</w:t>
      </w:r>
      <w:r w:rsidR="00503248" w:rsidRPr="009B2451">
        <w:t xml:space="preserve"> improvement and shopping as a form of elite leisure. </w:t>
      </w:r>
    </w:p>
    <w:p w:rsidR="00503248" w:rsidRPr="009B2451" w:rsidRDefault="00407344" w:rsidP="009B2451">
      <w:pPr>
        <w:spacing w:line="360" w:lineRule="auto"/>
      </w:pPr>
      <w:r w:rsidRPr="009B2451">
        <w:t xml:space="preserve"> </w:t>
      </w:r>
    </w:p>
    <w:p w:rsidR="00B34142" w:rsidRPr="009B2451" w:rsidRDefault="00B34142" w:rsidP="009B2451">
      <w:pPr>
        <w:spacing w:line="360" w:lineRule="auto"/>
        <w:rPr>
          <w:b/>
          <w:lang w:val="en-GB"/>
        </w:rPr>
      </w:pPr>
      <w:r w:rsidRPr="009B2451">
        <w:rPr>
          <w:b/>
          <w:lang w:val="en-GB"/>
        </w:rPr>
        <w:t>Acknowledgements</w:t>
      </w:r>
    </w:p>
    <w:p w:rsidR="00B34142" w:rsidRPr="009B2451" w:rsidRDefault="00B34142" w:rsidP="009B2451">
      <w:pPr>
        <w:spacing w:line="360" w:lineRule="auto"/>
        <w:rPr>
          <w:lang w:val="en-GB"/>
        </w:rPr>
      </w:pPr>
      <w:r w:rsidRPr="009B2451">
        <w:rPr>
          <w:lang w:val="en-GB"/>
        </w:rPr>
        <w:t>This arti</w:t>
      </w:r>
      <w:r w:rsidR="00A905A5" w:rsidRPr="009B2451">
        <w:rPr>
          <w:lang w:val="en-GB"/>
        </w:rPr>
        <w:t>cle formed</w:t>
      </w:r>
      <w:r w:rsidR="002E7214" w:rsidRPr="009B2451">
        <w:rPr>
          <w:lang w:val="en-GB"/>
        </w:rPr>
        <w:t xml:space="preserve"> part of my PhD thesis</w:t>
      </w:r>
      <w:r w:rsidRPr="009B2451">
        <w:rPr>
          <w:lang w:val="en-GB"/>
        </w:rPr>
        <w:t xml:space="preserve"> ‘</w:t>
      </w:r>
      <w:r w:rsidR="002E7214" w:rsidRPr="009B2451">
        <w:rPr>
          <w:lang w:val="en-GB"/>
        </w:rPr>
        <w:t>The View From the Street</w:t>
      </w:r>
      <w:r w:rsidRPr="009B2451">
        <w:rPr>
          <w:lang w:val="en-GB"/>
        </w:rPr>
        <w:t xml:space="preserve">: Housing and Shopping in York during the </w:t>
      </w:r>
      <w:r w:rsidR="002E7214" w:rsidRPr="009B2451">
        <w:rPr>
          <w:lang w:val="en-GB"/>
        </w:rPr>
        <w:t xml:space="preserve">Long </w:t>
      </w:r>
      <w:r w:rsidRPr="009B2451">
        <w:rPr>
          <w:lang w:val="en-GB"/>
        </w:rPr>
        <w:t xml:space="preserve">Eighteenth Century’, which </w:t>
      </w:r>
      <w:r w:rsidR="002E7214" w:rsidRPr="009B2451">
        <w:rPr>
          <w:lang w:val="en-GB"/>
        </w:rPr>
        <w:t>was completed</w:t>
      </w:r>
      <w:r w:rsidRPr="009B2451">
        <w:rPr>
          <w:lang w:val="en-GB"/>
        </w:rPr>
        <w:t xml:space="preserve"> at the Department of Archaeology, University of York. I would like to thank my supervisor, Dr Kate Giles, for her advice and her warm support and encouragement. </w:t>
      </w:r>
      <w:r w:rsidR="00DB5DB7" w:rsidRPr="009B2451">
        <w:rPr>
          <w:lang w:val="en-GB"/>
        </w:rPr>
        <w:t xml:space="preserve">I am grateful to the very helpful comments </w:t>
      </w:r>
      <w:r w:rsidR="007C2DC7">
        <w:rPr>
          <w:lang w:val="en-GB"/>
        </w:rPr>
        <w:t>of</w:t>
      </w:r>
      <w:r w:rsidR="00DB5DB7" w:rsidRPr="009B2451">
        <w:rPr>
          <w:lang w:val="en-GB"/>
        </w:rPr>
        <w:t xml:space="preserve"> the two anonymous referees, as well as those of the editor Professor Rosemary Sweet. </w:t>
      </w:r>
      <w:r w:rsidRPr="009B2451">
        <w:rPr>
          <w:lang w:val="en-GB"/>
        </w:rPr>
        <w:t xml:space="preserve">I would also like to thank </w:t>
      </w:r>
      <w:r w:rsidR="007D530B" w:rsidRPr="009B2451">
        <w:rPr>
          <w:lang w:val="en-GB"/>
        </w:rPr>
        <w:t xml:space="preserve">the staff of the York Art Gallery and the </w:t>
      </w:r>
      <w:r w:rsidR="009069A8" w:rsidRPr="009B2451">
        <w:rPr>
          <w:lang w:val="en-GB"/>
        </w:rPr>
        <w:t>City of York</w:t>
      </w:r>
      <w:r w:rsidR="007D530B" w:rsidRPr="009B2451">
        <w:rPr>
          <w:lang w:val="en-GB"/>
        </w:rPr>
        <w:t xml:space="preserve"> Archives for their assistance and the</w:t>
      </w:r>
      <w:r w:rsidRPr="009B2451">
        <w:rPr>
          <w:lang w:val="en-GB"/>
        </w:rPr>
        <w:t xml:space="preserve"> owners and occupiers on Pavement and High Ousegate who generously allowed me access to their properties.</w:t>
      </w:r>
    </w:p>
    <w:p w:rsidR="00AC378B" w:rsidRPr="009B2451" w:rsidRDefault="00AC378B" w:rsidP="009B2451">
      <w:pPr>
        <w:spacing w:line="360" w:lineRule="auto"/>
        <w:rPr>
          <w:lang w:val="en-GB"/>
        </w:rPr>
      </w:pPr>
    </w:p>
    <w:sectPr w:rsidR="00AC378B" w:rsidRPr="009B2451" w:rsidSect="001F5BA0">
      <w:headerReference w:type="even" r:id="rId7"/>
      <w:headerReference w:type="default" r:id="rId8"/>
      <w:pgSz w:w="11900" w:h="16840"/>
      <w:pgMar w:top="1134"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Lucida Grande">
    <w:panose1 w:val="020B070602020209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EF71CA" w:rsidRPr="00EF71CA" w:rsidRDefault="00EF71CA" w:rsidP="009B2451">
      <w:pPr>
        <w:pStyle w:val="FootnoteText"/>
        <w:spacing w:line="360" w:lineRule="auto"/>
        <w:rPr>
          <w:rFonts w:ascii="Times New Roman" w:hAnsi="Times New Roman"/>
        </w:rPr>
      </w:pPr>
      <w:r w:rsidRPr="00EF71CA">
        <w:rPr>
          <w:rStyle w:val="FootnoteReference"/>
          <w:rFonts w:ascii="Times New Roman" w:hAnsi="Times New Roman"/>
        </w:rPr>
        <w:footnoteRef/>
      </w:r>
      <w:r w:rsidRPr="00EF71CA">
        <w:rPr>
          <w:rFonts w:ascii="Times New Roman" w:hAnsi="Times New Roman"/>
        </w:rPr>
        <w:t xml:space="preserve"> York Art Gallery (YAG), YORAG R230, St Crux’s Church and Pavement, 1802, by Thomas White.</w:t>
      </w:r>
    </w:p>
  </w:footnote>
  <w:footnote w:id="0">
    <w:p w:rsidR="00EF71CA" w:rsidRPr="00EF71CA" w:rsidRDefault="00EF71CA" w:rsidP="009B2451">
      <w:pPr>
        <w:widowControl w:val="0"/>
        <w:tabs>
          <w:tab w:val="left" w:pos="993"/>
          <w:tab w:val="left" w:pos="1985"/>
          <w:tab w:val="left" w:pos="2410"/>
          <w:tab w:val="left" w:pos="2977"/>
          <w:tab w:val="left" w:pos="3261"/>
          <w:tab w:val="left" w:pos="3544"/>
          <w:tab w:val="left" w:pos="3686"/>
          <w:tab w:val="left" w:pos="4253"/>
          <w:tab w:val="left" w:pos="4536"/>
          <w:tab w:val="left" w:pos="4962"/>
          <w:tab w:val="left" w:pos="5245"/>
          <w:tab w:val="left" w:pos="5812"/>
          <w:tab w:val="left" w:pos="6946"/>
          <w:tab w:val="left" w:pos="7230"/>
          <w:tab w:val="left" w:pos="7655"/>
        </w:tabs>
        <w:autoSpaceDE w:val="0"/>
        <w:autoSpaceDN w:val="0"/>
        <w:adjustRightInd w:val="0"/>
        <w:spacing w:line="360" w:lineRule="auto"/>
        <w:rPr>
          <w:rFonts w:ascii="Times New Roman" w:hAnsi="Times New Roman" w:cs="Times New Roman"/>
          <w:color w:val="000000"/>
        </w:rPr>
      </w:pPr>
      <w:r w:rsidRPr="00EF71CA">
        <w:rPr>
          <w:rStyle w:val="FootnoteReference"/>
          <w:rFonts w:ascii="Times New Roman" w:hAnsi="Times New Roman"/>
        </w:rPr>
        <w:footnoteRef/>
      </w:r>
      <w:r w:rsidRPr="00EF71CA">
        <w:rPr>
          <w:rFonts w:ascii="Times New Roman" w:hAnsi="Times New Roman"/>
        </w:rPr>
        <w:t xml:space="preserve"> P. </w:t>
      </w:r>
      <w:r w:rsidRPr="00EF71CA">
        <w:rPr>
          <w:rFonts w:ascii="Times New Roman" w:hAnsi="Times New Roman" w:cs="Times New Roman"/>
          <w:color w:val="000000"/>
        </w:rPr>
        <w:t xml:space="preserve">Borsay, </w:t>
      </w:r>
      <w:r w:rsidRPr="00EF71CA">
        <w:rPr>
          <w:rFonts w:ascii="Times New Roman" w:hAnsi="Times New Roman" w:cs="Times New Roman"/>
          <w:i/>
          <w:iCs/>
          <w:color w:val="000000"/>
        </w:rPr>
        <w:t>The English Urban Renaissance: Culture and Society in the Provincial Town, 1660-1770</w:t>
      </w:r>
      <w:r w:rsidRPr="00EF71CA">
        <w:rPr>
          <w:rFonts w:ascii="Times New Roman" w:hAnsi="Times New Roman" w:cs="Times New Roman"/>
          <w:color w:val="000000"/>
        </w:rPr>
        <w:t xml:space="preserve"> (Oxford 1989)</w:t>
      </w:r>
      <w:r>
        <w:rPr>
          <w:rFonts w:ascii="Times New Roman" w:hAnsi="Times New Roman" w:cs="Times New Roman"/>
          <w:color w:val="000000"/>
        </w:rPr>
        <w:t>.</w:t>
      </w:r>
    </w:p>
    <w:p w:rsidR="00EF71CA" w:rsidRDefault="00EF71CA" w:rsidP="009B2451">
      <w:pPr>
        <w:pStyle w:val="FootnoteText"/>
        <w:spacing w:line="360" w:lineRule="auto"/>
      </w:pPr>
    </w:p>
  </w:footnote>
  <w:footnote w:id="1">
    <w:p w:rsidR="00EF71CA" w:rsidRDefault="00EF71CA" w:rsidP="009B2451">
      <w:pPr>
        <w:pStyle w:val="FootnoteText"/>
        <w:spacing w:line="360" w:lineRule="auto"/>
      </w:pPr>
      <w:r>
        <w:rPr>
          <w:rStyle w:val="FootnoteReference"/>
        </w:rPr>
        <w:footnoteRef/>
      </w:r>
      <w:r>
        <w:t xml:space="preserve"> Borsay, </w:t>
      </w:r>
      <w:r>
        <w:rPr>
          <w:rFonts w:ascii="Times New Roman" w:hAnsi="Times New Roman" w:cs="Times New Roman"/>
          <w:i/>
          <w:iCs/>
          <w:color w:val="000000"/>
        </w:rPr>
        <w:t>The English Urban Renaissance, 52.</w:t>
      </w:r>
    </w:p>
  </w:footnote>
  <w:footnote w:id="2">
    <w:p w:rsidR="00307CDF" w:rsidRPr="00307CDF" w:rsidRDefault="00307CDF" w:rsidP="009B2451">
      <w:pPr>
        <w:widowControl w:val="0"/>
        <w:tabs>
          <w:tab w:val="left" w:pos="2694"/>
          <w:tab w:val="left" w:pos="2835"/>
          <w:tab w:val="left" w:pos="3543"/>
          <w:tab w:val="left" w:pos="4252"/>
          <w:tab w:val="left" w:pos="4961"/>
          <w:tab w:val="left" w:pos="5669"/>
          <w:tab w:val="left" w:pos="6378"/>
          <w:tab w:val="left" w:pos="7087"/>
          <w:tab w:val="left" w:pos="7795"/>
          <w:tab w:val="left" w:pos="8504"/>
          <w:tab w:val="left" w:pos="9213"/>
        </w:tabs>
        <w:autoSpaceDE w:val="0"/>
        <w:autoSpaceDN w:val="0"/>
        <w:adjustRightInd w:val="0"/>
        <w:spacing w:line="360" w:lineRule="auto"/>
        <w:rPr>
          <w:rFonts w:ascii="Times New Roman" w:hAnsi="Times New Roman" w:cs="Times New Roman"/>
        </w:rPr>
      </w:pPr>
      <w:r>
        <w:rPr>
          <w:rStyle w:val="FootnoteReference"/>
        </w:rPr>
        <w:footnoteRef/>
      </w:r>
      <w:r>
        <w:t xml:space="preserve"> J. </w:t>
      </w:r>
      <w:r w:rsidRPr="004C02AF">
        <w:rPr>
          <w:rFonts w:ascii="Times New Roman" w:hAnsi="Times New Roman" w:cs="Times New Roman"/>
          <w:color w:val="000000"/>
        </w:rPr>
        <w:t xml:space="preserve">Stobart, </w:t>
      </w:r>
      <w:r>
        <w:rPr>
          <w:rFonts w:ascii="Times New Roman" w:hAnsi="Times New Roman" w:cs="Times New Roman"/>
          <w:color w:val="000000"/>
        </w:rPr>
        <w:t xml:space="preserve">A. Hann, </w:t>
      </w:r>
      <w:r w:rsidRPr="004C02AF">
        <w:rPr>
          <w:rFonts w:ascii="Times New Roman" w:hAnsi="Times New Roman" w:cs="Times New Roman"/>
          <w:color w:val="000000"/>
        </w:rPr>
        <w:t xml:space="preserve">and </w:t>
      </w:r>
      <w:r>
        <w:rPr>
          <w:rFonts w:ascii="Times New Roman" w:hAnsi="Times New Roman" w:cs="Times New Roman"/>
          <w:color w:val="000000"/>
        </w:rPr>
        <w:t>V. Morgan</w:t>
      </w:r>
      <w:r w:rsidRPr="004C02AF">
        <w:rPr>
          <w:rFonts w:ascii="Times New Roman" w:hAnsi="Times New Roman" w:cs="Times New Roman"/>
          <w:color w:val="000000"/>
        </w:rPr>
        <w:t xml:space="preserve">, </w:t>
      </w:r>
      <w:r w:rsidRPr="004C02AF">
        <w:rPr>
          <w:rFonts w:ascii="Times New Roman" w:hAnsi="Times New Roman" w:cs="Times New Roman"/>
          <w:i/>
          <w:color w:val="000000"/>
        </w:rPr>
        <w:t>Spaces of Consumption: Leisure and Shopping in the English Town, c.1680-1830</w:t>
      </w:r>
      <w:r>
        <w:rPr>
          <w:rFonts w:ascii="Times New Roman" w:hAnsi="Times New Roman" w:cs="Times New Roman"/>
          <w:color w:val="000000"/>
        </w:rPr>
        <w:t xml:space="preserve"> (London </w:t>
      </w:r>
      <w:r w:rsidRPr="004C02AF">
        <w:rPr>
          <w:rFonts w:ascii="Times New Roman" w:hAnsi="Times New Roman" w:cs="Times New Roman"/>
          <w:color w:val="000000"/>
        </w:rPr>
        <w:t>2007</w:t>
      </w:r>
      <w:r>
        <w:rPr>
          <w:rFonts w:ascii="Times New Roman" w:hAnsi="Times New Roman" w:cs="Times New Roman"/>
          <w:color w:val="000000"/>
        </w:rPr>
        <w:t>); J. Stobart</w:t>
      </w:r>
      <w:r w:rsidRPr="004C02AF">
        <w:rPr>
          <w:rFonts w:ascii="Times New Roman" w:hAnsi="Times New Roman" w:cs="Times New Roman"/>
          <w:color w:val="000000"/>
        </w:rPr>
        <w:t xml:space="preserve">, ‘Shopping streets as social space: leisure, consumerism and improvement in an eighteenth century county town’, </w:t>
      </w:r>
      <w:r w:rsidRPr="004C02AF">
        <w:rPr>
          <w:rFonts w:ascii="Times New Roman" w:hAnsi="Times New Roman" w:cs="Times New Roman"/>
          <w:i/>
          <w:iCs/>
          <w:color w:val="000000"/>
        </w:rPr>
        <w:t>Urban Hist</w:t>
      </w:r>
      <w:r>
        <w:rPr>
          <w:rFonts w:ascii="Times New Roman" w:hAnsi="Times New Roman" w:cs="Times New Roman"/>
          <w:i/>
          <w:iCs/>
          <w:color w:val="000000"/>
        </w:rPr>
        <w:t>ory</w:t>
      </w:r>
      <w:r w:rsidRPr="004C02AF">
        <w:rPr>
          <w:rFonts w:ascii="Times New Roman" w:hAnsi="Times New Roman" w:cs="Times New Roman"/>
          <w:color w:val="000000"/>
        </w:rPr>
        <w:t xml:space="preserve"> 25</w:t>
      </w:r>
      <w:r>
        <w:rPr>
          <w:rFonts w:ascii="Times New Roman" w:hAnsi="Times New Roman" w:cs="Times New Roman"/>
          <w:color w:val="000000"/>
        </w:rPr>
        <w:t xml:space="preserve"> (</w:t>
      </w:r>
      <w:r w:rsidRPr="004C02AF">
        <w:rPr>
          <w:rFonts w:ascii="Times New Roman" w:hAnsi="Times New Roman" w:cs="Times New Roman"/>
          <w:color w:val="000000"/>
        </w:rPr>
        <w:t>1998</w:t>
      </w:r>
      <w:r>
        <w:rPr>
          <w:rFonts w:ascii="Times New Roman" w:hAnsi="Times New Roman" w:cs="Times New Roman"/>
          <w:color w:val="000000"/>
        </w:rPr>
        <w:t>)</w:t>
      </w:r>
      <w:r w:rsidR="00EC3831">
        <w:rPr>
          <w:rFonts w:ascii="Times New Roman" w:hAnsi="Times New Roman" w:cs="Times New Roman"/>
          <w:color w:val="000000"/>
        </w:rPr>
        <w:t>,</w:t>
      </w:r>
      <w:r>
        <w:rPr>
          <w:rFonts w:ascii="Times New Roman" w:hAnsi="Times New Roman" w:cs="Times New Roman"/>
          <w:color w:val="000000"/>
        </w:rPr>
        <w:t xml:space="preserve"> 3-21; S. </w:t>
      </w:r>
      <w:r>
        <w:rPr>
          <w:sz w:val="23"/>
          <w:szCs w:val="23"/>
        </w:rPr>
        <w:t xml:space="preserve">Tarlow </w:t>
      </w:r>
      <w:r>
        <w:rPr>
          <w:i/>
          <w:iCs/>
          <w:sz w:val="23"/>
          <w:szCs w:val="23"/>
        </w:rPr>
        <w:t>The Archaeology of Improvement in Britain, 1750-1850</w:t>
      </w:r>
      <w:r w:rsidR="00F72790">
        <w:rPr>
          <w:sz w:val="23"/>
          <w:szCs w:val="23"/>
        </w:rPr>
        <w:t xml:space="preserve"> (Cambridge 2007)</w:t>
      </w:r>
      <w:r w:rsidRPr="004C02AF">
        <w:rPr>
          <w:rFonts w:ascii="Times New Roman" w:hAnsi="Times New Roman" w:cs="Times New Roman"/>
        </w:rPr>
        <w:t xml:space="preserve">. </w:t>
      </w:r>
    </w:p>
  </w:footnote>
  <w:footnote w:id="3">
    <w:p w:rsidR="00F72790" w:rsidRPr="00F72790" w:rsidRDefault="00F72790" w:rsidP="009B2451">
      <w:pPr>
        <w:pStyle w:val="FootnoteText"/>
        <w:spacing w:line="360" w:lineRule="auto"/>
      </w:pPr>
      <w:r>
        <w:rPr>
          <w:rStyle w:val="FootnoteReference"/>
        </w:rPr>
        <w:footnoteRef/>
      </w:r>
      <w:r>
        <w:t xml:space="preserve"> M. </w:t>
      </w:r>
      <w:r>
        <w:rPr>
          <w:rFonts w:cs="Times New Roman"/>
          <w:color w:val="000000"/>
        </w:rPr>
        <w:t>Hallett,</w:t>
      </w:r>
      <w:r w:rsidR="00440622">
        <w:rPr>
          <w:rFonts w:cs="Times New Roman"/>
          <w:color w:val="000000"/>
        </w:rPr>
        <w:t xml:space="preserve"> ‘Pictorial i</w:t>
      </w:r>
      <w:r w:rsidRPr="00F72790">
        <w:rPr>
          <w:rFonts w:cs="Times New Roman"/>
          <w:color w:val="000000"/>
        </w:rPr>
        <w:t>mpro</w:t>
      </w:r>
      <w:r w:rsidR="00440622">
        <w:rPr>
          <w:rFonts w:cs="Times New Roman"/>
          <w:color w:val="000000"/>
        </w:rPr>
        <w:t>vement: York in Eighteenth-Century graphic a</w:t>
      </w:r>
      <w:r w:rsidRPr="00F72790">
        <w:rPr>
          <w:rFonts w:cs="Times New Roman"/>
          <w:color w:val="000000"/>
        </w:rPr>
        <w:t xml:space="preserve">rt’ </w:t>
      </w:r>
      <w:r w:rsidRPr="004C02AF">
        <w:rPr>
          <w:rFonts w:ascii="Times New Roman" w:hAnsi="Times New Roman" w:cs="Times New Roman"/>
        </w:rPr>
        <w:t xml:space="preserve">in </w:t>
      </w:r>
      <w:r>
        <w:rPr>
          <w:rFonts w:ascii="Times New Roman" w:hAnsi="Times New Roman" w:cs="Times New Roman"/>
        </w:rPr>
        <w:t xml:space="preserve">M. </w:t>
      </w:r>
      <w:r>
        <w:rPr>
          <w:rFonts w:ascii="Times New Roman" w:hAnsi="Times New Roman" w:cs="Times New Roman"/>
          <w:color w:val="000000"/>
        </w:rPr>
        <w:t xml:space="preserve">Hallett </w:t>
      </w:r>
      <w:r w:rsidRPr="004C02AF">
        <w:rPr>
          <w:rFonts w:ascii="Times New Roman" w:hAnsi="Times New Roman" w:cs="Times New Roman"/>
          <w:color w:val="000000"/>
        </w:rPr>
        <w:t xml:space="preserve">and </w:t>
      </w:r>
      <w:r>
        <w:rPr>
          <w:rFonts w:ascii="Times New Roman" w:hAnsi="Times New Roman" w:cs="Times New Roman"/>
          <w:color w:val="000000"/>
        </w:rPr>
        <w:t xml:space="preserve">J. </w:t>
      </w:r>
      <w:r w:rsidR="002E5C59">
        <w:rPr>
          <w:rFonts w:ascii="Times New Roman" w:hAnsi="Times New Roman" w:cs="Times New Roman"/>
          <w:color w:val="000000"/>
        </w:rPr>
        <w:t>Rendall</w:t>
      </w:r>
      <w:r>
        <w:rPr>
          <w:rFonts w:ascii="Times New Roman" w:hAnsi="Times New Roman" w:cs="Times New Roman"/>
          <w:color w:val="000000"/>
        </w:rPr>
        <w:t xml:space="preserve"> (eds.),</w:t>
      </w:r>
      <w:r w:rsidRPr="004C02AF">
        <w:rPr>
          <w:rFonts w:ascii="Times New Roman" w:hAnsi="Times New Roman" w:cs="Times New Roman"/>
          <w:color w:val="000000"/>
        </w:rPr>
        <w:t xml:space="preserve"> </w:t>
      </w:r>
      <w:r w:rsidRPr="004C02AF">
        <w:rPr>
          <w:rFonts w:ascii="Times New Roman" w:hAnsi="Times New Roman" w:cs="Times New Roman"/>
          <w:i/>
          <w:iCs/>
          <w:color w:val="000000"/>
        </w:rPr>
        <w:t>Eighteenth-Century York: Culture, Space and Society</w:t>
      </w:r>
      <w:r w:rsidRPr="004C02AF">
        <w:rPr>
          <w:rFonts w:ascii="Times New Roman" w:hAnsi="Times New Roman" w:cs="Times New Roman"/>
          <w:color w:val="000000"/>
        </w:rPr>
        <w:t xml:space="preserve"> </w:t>
      </w:r>
      <w:r>
        <w:rPr>
          <w:rFonts w:ascii="Times New Roman" w:hAnsi="Times New Roman" w:cs="Times New Roman"/>
          <w:color w:val="000000"/>
        </w:rPr>
        <w:t>(</w:t>
      </w:r>
      <w:r w:rsidRPr="004C02AF">
        <w:rPr>
          <w:rFonts w:ascii="Times New Roman" w:hAnsi="Times New Roman" w:cs="Times New Roman"/>
          <w:color w:val="000000"/>
        </w:rPr>
        <w:t>York</w:t>
      </w:r>
      <w:r>
        <w:rPr>
          <w:rFonts w:ascii="Times New Roman" w:hAnsi="Times New Roman" w:cs="Times New Roman"/>
          <w:color w:val="000000"/>
        </w:rPr>
        <w:t xml:space="preserve"> 2003)</w:t>
      </w:r>
      <w:r>
        <w:rPr>
          <w:rFonts w:ascii="Times New Roman" w:hAnsi="Times New Roman" w:cs="Times New Roman"/>
        </w:rPr>
        <w:t>, 24-49</w:t>
      </w:r>
      <w:r>
        <w:rPr>
          <w:rFonts w:cs="Times New Roman"/>
          <w:color w:val="000000"/>
        </w:rPr>
        <w:t xml:space="preserve">; R. Sweet </w:t>
      </w:r>
      <w:r w:rsidRPr="00F72790">
        <w:rPr>
          <w:rFonts w:cs="Times New Roman"/>
          <w:i/>
          <w:color w:val="000000"/>
        </w:rPr>
        <w:t>The Writing of Urban Histories in Eighteenth-Century England</w:t>
      </w:r>
      <w:r>
        <w:rPr>
          <w:rFonts w:cs="Times New Roman"/>
          <w:color w:val="000000"/>
        </w:rPr>
        <w:t xml:space="preserve"> (Oxford 1997).</w:t>
      </w:r>
    </w:p>
  </w:footnote>
  <w:footnote w:id="4">
    <w:p w:rsidR="00F72790" w:rsidRDefault="00F72790" w:rsidP="009B2451">
      <w:pPr>
        <w:pStyle w:val="FootnoteText"/>
        <w:spacing w:line="360" w:lineRule="auto"/>
      </w:pPr>
      <w:r>
        <w:rPr>
          <w:rStyle w:val="FootnoteReference"/>
        </w:rPr>
        <w:footnoteRef/>
      </w:r>
      <w:r>
        <w:t xml:space="preserve"> </w:t>
      </w:r>
      <w:r>
        <w:rPr>
          <w:rFonts w:ascii="Times New Roman" w:hAnsi="Times New Roman" w:cs="Times New Roman"/>
        </w:rPr>
        <w:t xml:space="preserve">R. Sweet, </w:t>
      </w:r>
      <w:r w:rsidRPr="00F72790">
        <w:rPr>
          <w:rFonts w:ascii="Times New Roman" w:hAnsi="Times New Roman" w:cs="Times New Roman"/>
          <w:i/>
        </w:rPr>
        <w:t>The English Town 1680-1840: Government, Society and Culture</w:t>
      </w:r>
      <w:r>
        <w:rPr>
          <w:rFonts w:ascii="Times New Roman" w:hAnsi="Times New Roman" w:cs="Times New Roman"/>
        </w:rPr>
        <w:t xml:space="preserve"> (New York 1999); </w:t>
      </w:r>
      <w:r>
        <w:rPr>
          <w:rFonts w:ascii="Times New Roman" w:hAnsi="Times New Roman" w:cs="Times New Roman"/>
          <w:color w:val="000000"/>
        </w:rPr>
        <w:t xml:space="preserve">P. </w:t>
      </w:r>
      <w:r w:rsidRPr="004C02AF">
        <w:rPr>
          <w:rFonts w:ascii="Times New Roman" w:hAnsi="Times New Roman" w:cs="Times New Roman"/>
        </w:rPr>
        <w:t xml:space="preserve">Borsay, ‘Politeness and elegance: the cultural re-fashioning of eighteenth-century York’ in </w:t>
      </w:r>
      <w:r>
        <w:rPr>
          <w:rFonts w:ascii="Times New Roman" w:hAnsi="Times New Roman" w:cs="Times New Roman"/>
        </w:rPr>
        <w:t xml:space="preserve">M. </w:t>
      </w:r>
      <w:r>
        <w:rPr>
          <w:rFonts w:ascii="Times New Roman" w:hAnsi="Times New Roman" w:cs="Times New Roman"/>
          <w:color w:val="000000"/>
        </w:rPr>
        <w:t xml:space="preserve">Hallett </w:t>
      </w:r>
      <w:r w:rsidRPr="004C02AF">
        <w:rPr>
          <w:rFonts w:ascii="Times New Roman" w:hAnsi="Times New Roman" w:cs="Times New Roman"/>
          <w:color w:val="000000"/>
        </w:rPr>
        <w:t xml:space="preserve">and </w:t>
      </w:r>
      <w:r>
        <w:rPr>
          <w:rFonts w:ascii="Times New Roman" w:hAnsi="Times New Roman" w:cs="Times New Roman"/>
          <w:color w:val="000000"/>
        </w:rPr>
        <w:t>J. Rendall (eds.),</w:t>
      </w:r>
      <w:r w:rsidRPr="004C02AF">
        <w:rPr>
          <w:rFonts w:ascii="Times New Roman" w:hAnsi="Times New Roman" w:cs="Times New Roman"/>
          <w:color w:val="000000"/>
        </w:rPr>
        <w:t xml:space="preserve"> </w:t>
      </w:r>
      <w:r w:rsidRPr="004C02AF">
        <w:rPr>
          <w:rFonts w:ascii="Times New Roman" w:hAnsi="Times New Roman" w:cs="Times New Roman"/>
          <w:i/>
          <w:iCs/>
          <w:color w:val="000000"/>
        </w:rPr>
        <w:t>Eighteenth-Century York: Culture, Space and Society</w:t>
      </w:r>
      <w:r w:rsidRPr="004C02AF">
        <w:rPr>
          <w:rFonts w:ascii="Times New Roman" w:hAnsi="Times New Roman" w:cs="Times New Roman"/>
          <w:color w:val="000000"/>
        </w:rPr>
        <w:t xml:space="preserve"> </w:t>
      </w:r>
      <w:r>
        <w:rPr>
          <w:rFonts w:ascii="Times New Roman" w:hAnsi="Times New Roman" w:cs="Times New Roman"/>
          <w:color w:val="000000"/>
        </w:rPr>
        <w:t>(</w:t>
      </w:r>
      <w:r w:rsidRPr="004C02AF">
        <w:rPr>
          <w:rFonts w:ascii="Times New Roman" w:hAnsi="Times New Roman" w:cs="Times New Roman"/>
          <w:color w:val="000000"/>
        </w:rPr>
        <w:t>York</w:t>
      </w:r>
      <w:r>
        <w:rPr>
          <w:rFonts w:ascii="Times New Roman" w:hAnsi="Times New Roman" w:cs="Times New Roman"/>
          <w:color w:val="000000"/>
        </w:rPr>
        <w:t xml:space="preserve"> 2003)</w:t>
      </w:r>
      <w:r w:rsidRPr="004C02AF">
        <w:rPr>
          <w:rFonts w:ascii="Times New Roman" w:hAnsi="Times New Roman" w:cs="Times New Roman"/>
        </w:rPr>
        <w:t>, 1-12</w:t>
      </w:r>
      <w:r>
        <w:rPr>
          <w:rFonts w:ascii="Times New Roman" w:hAnsi="Times New Roman" w:cs="Times New Roman"/>
        </w:rPr>
        <w:t>.</w:t>
      </w:r>
    </w:p>
  </w:footnote>
  <w:footnote w:id="5">
    <w:p w:rsidR="00B357D7" w:rsidRDefault="00B357D7" w:rsidP="009B2451">
      <w:pPr>
        <w:pStyle w:val="FootnoteText"/>
        <w:spacing w:line="360" w:lineRule="auto"/>
      </w:pPr>
      <w:r>
        <w:rPr>
          <w:rStyle w:val="FootnoteReference"/>
        </w:rPr>
        <w:footnoteRef/>
      </w:r>
      <w:r>
        <w:t xml:space="preserve"> M. Ogborn, </w:t>
      </w:r>
      <w:r w:rsidRPr="00B357D7">
        <w:rPr>
          <w:i/>
        </w:rPr>
        <w:t>Spaces of Modernity: London’s Geographies, 1680-1780</w:t>
      </w:r>
      <w:r>
        <w:t xml:space="preserve"> (New York 1998).</w:t>
      </w:r>
    </w:p>
  </w:footnote>
  <w:footnote w:id="6">
    <w:p w:rsidR="002B6EB0" w:rsidRDefault="002B6EB0" w:rsidP="009B2451">
      <w:pPr>
        <w:pStyle w:val="FootnoteText"/>
        <w:spacing w:line="360" w:lineRule="auto"/>
      </w:pPr>
      <w:r>
        <w:rPr>
          <w:rStyle w:val="FootnoteReference"/>
        </w:rPr>
        <w:footnoteRef/>
      </w:r>
      <w:r>
        <w:t xml:space="preserve"> R. Sweet, ‘Topographies of Politeness’, </w:t>
      </w:r>
      <w:r w:rsidRPr="002B6EB0">
        <w:rPr>
          <w:i/>
        </w:rPr>
        <w:t>Transactions of the Royal Historical Society</w:t>
      </w:r>
      <w:r>
        <w:t xml:space="preserve"> 12 (2002), 355-374.</w:t>
      </w:r>
    </w:p>
  </w:footnote>
  <w:footnote w:id="7">
    <w:p w:rsidR="002B6EB0" w:rsidRDefault="002B6EB0" w:rsidP="009B2451">
      <w:pPr>
        <w:pStyle w:val="FootnoteText"/>
        <w:spacing w:line="360" w:lineRule="auto"/>
      </w:pPr>
      <w:r>
        <w:rPr>
          <w:rStyle w:val="FootnoteReference"/>
        </w:rPr>
        <w:footnoteRef/>
      </w:r>
      <w:r>
        <w:t xml:space="preserve"> P. Borsay</w:t>
      </w:r>
      <w:r w:rsidR="00440622">
        <w:t>,</w:t>
      </w:r>
      <w:r>
        <w:t xml:space="preserve"> ‘Early Modern Urban Landscapes, 1540-1800’ in P.J. Waller (ed.), </w:t>
      </w:r>
      <w:r w:rsidRPr="002B6EB0">
        <w:rPr>
          <w:i/>
        </w:rPr>
        <w:t>The English Urban Landscape</w:t>
      </w:r>
      <w:r>
        <w:t xml:space="preserve"> (Oxford 2000), 99-124.</w:t>
      </w:r>
    </w:p>
  </w:footnote>
  <w:footnote w:id="8">
    <w:p w:rsidR="00F42856" w:rsidRDefault="00F42856" w:rsidP="009B2451">
      <w:pPr>
        <w:pStyle w:val="FootnoteText"/>
        <w:spacing w:line="360" w:lineRule="auto"/>
      </w:pPr>
      <w:r>
        <w:rPr>
          <w:rStyle w:val="FootnoteReference"/>
        </w:rPr>
        <w:footnoteRef/>
      </w:r>
      <w:r w:rsidR="00440622">
        <w:t xml:space="preserve"> </w:t>
      </w:r>
      <w:r>
        <w:rPr>
          <w:rFonts w:ascii="Times New Roman" w:hAnsi="Times New Roman" w:cs="Times New Roman"/>
          <w:color w:val="000000"/>
        </w:rPr>
        <w:t xml:space="preserve">Stobart </w:t>
      </w:r>
      <w:r w:rsidRPr="00307CDF">
        <w:rPr>
          <w:rFonts w:ascii="Times New Roman" w:hAnsi="Times New Roman" w:cs="Times New Roman"/>
          <w:i/>
          <w:color w:val="000000"/>
        </w:rPr>
        <w:t>et al</w:t>
      </w:r>
      <w:r>
        <w:rPr>
          <w:rFonts w:ascii="Times New Roman" w:hAnsi="Times New Roman" w:cs="Times New Roman"/>
          <w:color w:val="000000"/>
        </w:rPr>
        <w:t>,</w:t>
      </w:r>
      <w:r w:rsidRPr="004C02AF">
        <w:rPr>
          <w:rFonts w:ascii="Times New Roman" w:hAnsi="Times New Roman" w:cs="Times New Roman"/>
          <w:color w:val="000000"/>
        </w:rPr>
        <w:t xml:space="preserve"> </w:t>
      </w:r>
      <w:r w:rsidRPr="004C02AF">
        <w:rPr>
          <w:rFonts w:ascii="Times New Roman" w:hAnsi="Times New Roman" w:cs="Times New Roman"/>
          <w:i/>
          <w:color w:val="000000"/>
        </w:rPr>
        <w:t>Spaces of Consumption</w:t>
      </w:r>
      <w:r>
        <w:rPr>
          <w:rFonts w:ascii="Times New Roman" w:hAnsi="Times New Roman" w:cs="Times New Roman"/>
          <w:color w:val="000000"/>
        </w:rPr>
        <w:t>, 97.</w:t>
      </w:r>
    </w:p>
  </w:footnote>
  <w:footnote w:id="9">
    <w:p w:rsidR="00B357D7" w:rsidRPr="00B357D7" w:rsidRDefault="00B357D7" w:rsidP="009B2451">
      <w:pPr>
        <w:pStyle w:val="FootnoteText"/>
        <w:spacing w:line="360" w:lineRule="auto"/>
      </w:pPr>
      <w:r>
        <w:rPr>
          <w:rStyle w:val="FootnoteReference"/>
        </w:rPr>
        <w:footnoteRef/>
      </w:r>
      <w:r w:rsidR="00440622">
        <w:t xml:space="preserve"> </w:t>
      </w:r>
      <w:r>
        <w:t xml:space="preserve">Ogborn, </w:t>
      </w:r>
      <w:r w:rsidRPr="00B357D7">
        <w:rPr>
          <w:i/>
        </w:rPr>
        <w:t>Spaces of Modernity</w:t>
      </w:r>
      <w:r>
        <w:t>, 76.</w:t>
      </w:r>
    </w:p>
  </w:footnote>
  <w:footnote w:id="10">
    <w:p w:rsidR="00307CDF" w:rsidRDefault="00307CDF" w:rsidP="009B2451">
      <w:pPr>
        <w:pStyle w:val="FootnoteText"/>
        <w:spacing w:line="360" w:lineRule="auto"/>
      </w:pPr>
      <w:r>
        <w:rPr>
          <w:rStyle w:val="FootnoteReference"/>
        </w:rPr>
        <w:footnoteRef/>
      </w:r>
      <w:r>
        <w:t xml:space="preserve"> Borsay, </w:t>
      </w:r>
      <w:r>
        <w:rPr>
          <w:rFonts w:ascii="Times New Roman" w:hAnsi="Times New Roman" w:cs="Times New Roman"/>
          <w:i/>
          <w:iCs/>
          <w:color w:val="000000"/>
        </w:rPr>
        <w:t>The English Urban Renaissance, 42.</w:t>
      </w:r>
    </w:p>
  </w:footnote>
  <w:footnote w:id="11">
    <w:p w:rsidR="00307CDF" w:rsidRPr="00307CDF" w:rsidRDefault="00307CDF" w:rsidP="009B2451">
      <w:pPr>
        <w:pStyle w:val="FootnoteText"/>
        <w:spacing w:line="360" w:lineRule="auto"/>
      </w:pPr>
      <w:r>
        <w:rPr>
          <w:rStyle w:val="FootnoteReference"/>
        </w:rPr>
        <w:footnoteRef/>
      </w:r>
      <w:r w:rsidR="00440622">
        <w:t xml:space="preserve"> </w:t>
      </w:r>
      <w:r>
        <w:rPr>
          <w:rFonts w:ascii="Times New Roman" w:hAnsi="Times New Roman" w:cs="Times New Roman"/>
          <w:color w:val="000000"/>
        </w:rPr>
        <w:t xml:space="preserve">Stobart </w:t>
      </w:r>
      <w:r w:rsidRPr="00307CDF">
        <w:rPr>
          <w:rFonts w:ascii="Times New Roman" w:hAnsi="Times New Roman" w:cs="Times New Roman"/>
          <w:i/>
          <w:color w:val="000000"/>
        </w:rPr>
        <w:t>et al</w:t>
      </w:r>
      <w:r>
        <w:rPr>
          <w:rFonts w:ascii="Times New Roman" w:hAnsi="Times New Roman" w:cs="Times New Roman"/>
          <w:color w:val="000000"/>
        </w:rPr>
        <w:t>,</w:t>
      </w:r>
      <w:r w:rsidRPr="004C02AF">
        <w:rPr>
          <w:rFonts w:ascii="Times New Roman" w:hAnsi="Times New Roman" w:cs="Times New Roman"/>
          <w:color w:val="000000"/>
        </w:rPr>
        <w:t xml:space="preserve"> </w:t>
      </w:r>
      <w:r w:rsidRPr="004C02AF">
        <w:rPr>
          <w:rFonts w:ascii="Times New Roman" w:hAnsi="Times New Roman" w:cs="Times New Roman"/>
          <w:i/>
          <w:color w:val="000000"/>
        </w:rPr>
        <w:t>Spaces of Consumption</w:t>
      </w:r>
      <w:r>
        <w:rPr>
          <w:rFonts w:ascii="Times New Roman" w:hAnsi="Times New Roman" w:cs="Times New Roman"/>
          <w:color w:val="000000"/>
        </w:rPr>
        <w:t>, 110.</w:t>
      </w:r>
    </w:p>
  </w:footnote>
  <w:footnote w:id="12">
    <w:p w:rsidR="00CC2CCA" w:rsidRPr="00CC2CCA" w:rsidRDefault="00CC2CCA" w:rsidP="009B2451">
      <w:pPr>
        <w:widowControl w:val="0"/>
        <w:tabs>
          <w:tab w:val="left" w:pos="2694"/>
          <w:tab w:val="left" w:pos="2835"/>
          <w:tab w:val="left" w:pos="3543"/>
          <w:tab w:val="left" w:pos="4252"/>
          <w:tab w:val="left" w:pos="4961"/>
          <w:tab w:val="left" w:pos="5669"/>
          <w:tab w:val="left" w:pos="6378"/>
          <w:tab w:val="left" w:pos="7087"/>
          <w:tab w:val="left" w:pos="7795"/>
          <w:tab w:val="left" w:pos="8504"/>
          <w:tab w:val="left" w:pos="9213"/>
        </w:tabs>
        <w:autoSpaceDE w:val="0"/>
        <w:autoSpaceDN w:val="0"/>
        <w:adjustRightInd w:val="0"/>
        <w:spacing w:line="360" w:lineRule="auto"/>
        <w:rPr>
          <w:rFonts w:ascii="Times New Roman" w:hAnsi="Times New Roman" w:cs="Times New Roman"/>
          <w:color w:val="000000"/>
        </w:rPr>
      </w:pPr>
      <w:r>
        <w:rPr>
          <w:rStyle w:val="FootnoteReference"/>
        </w:rPr>
        <w:footnoteRef/>
      </w:r>
      <w:r>
        <w:t xml:space="preserve"> C. </w:t>
      </w:r>
      <w:r>
        <w:rPr>
          <w:rFonts w:ascii="Times New Roman" w:hAnsi="Times New Roman" w:cs="Times New Roman"/>
          <w:color w:val="000000"/>
        </w:rPr>
        <w:t>Walsh,</w:t>
      </w:r>
      <w:r w:rsidRPr="004C02AF">
        <w:rPr>
          <w:rFonts w:ascii="Times New Roman" w:hAnsi="Times New Roman" w:cs="Times New Roman"/>
          <w:color w:val="000000"/>
        </w:rPr>
        <w:t xml:space="preserve"> ‘Shops, shopping, and the art of decision making in eighteenth-century England’ in </w:t>
      </w:r>
      <w:r>
        <w:rPr>
          <w:rFonts w:ascii="Times New Roman" w:hAnsi="Times New Roman" w:cs="Times New Roman"/>
          <w:color w:val="000000"/>
        </w:rPr>
        <w:t xml:space="preserve">J. </w:t>
      </w:r>
      <w:r w:rsidR="00440622">
        <w:rPr>
          <w:rFonts w:ascii="Times New Roman" w:hAnsi="Times New Roman" w:cs="Times New Roman"/>
          <w:color w:val="000000"/>
        </w:rPr>
        <w:t>Styles</w:t>
      </w:r>
      <w:r w:rsidRPr="004C02AF">
        <w:rPr>
          <w:rFonts w:ascii="Times New Roman" w:hAnsi="Times New Roman" w:cs="Times New Roman"/>
          <w:color w:val="000000"/>
        </w:rPr>
        <w:t xml:space="preserve"> and </w:t>
      </w:r>
      <w:r>
        <w:rPr>
          <w:rFonts w:ascii="Times New Roman" w:hAnsi="Times New Roman" w:cs="Times New Roman"/>
          <w:color w:val="000000"/>
        </w:rPr>
        <w:t xml:space="preserve">A. Vickery (eds.), </w:t>
      </w:r>
      <w:r w:rsidRPr="004C02AF">
        <w:rPr>
          <w:rFonts w:ascii="Times New Roman" w:hAnsi="Times New Roman" w:cs="Times New Roman"/>
          <w:i/>
          <w:color w:val="000000"/>
        </w:rPr>
        <w:t>Gender, Taste, and Material Culture in Britain and North America</w:t>
      </w:r>
      <w:r w:rsidRPr="004C02AF">
        <w:rPr>
          <w:rFonts w:ascii="Times New Roman" w:hAnsi="Times New Roman" w:cs="Times New Roman"/>
          <w:color w:val="000000"/>
        </w:rPr>
        <w:t xml:space="preserve"> </w:t>
      </w:r>
      <w:r>
        <w:rPr>
          <w:rFonts w:ascii="Times New Roman" w:hAnsi="Times New Roman" w:cs="Times New Roman"/>
          <w:color w:val="000000"/>
        </w:rPr>
        <w:t>(</w:t>
      </w:r>
      <w:r w:rsidRPr="004C02AF">
        <w:rPr>
          <w:rFonts w:ascii="Times New Roman" w:hAnsi="Times New Roman" w:cs="Times New Roman"/>
          <w:color w:val="000000"/>
        </w:rPr>
        <w:t>New Haven</w:t>
      </w:r>
      <w:r>
        <w:rPr>
          <w:rFonts w:ascii="Times New Roman" w:hAnsi="Times New Roman" w:cs="Times New Roman"/>
          <w:color w:val="000000"/>
        </w:rPr>
        <w:t xml:space="preserve"> 2006)</w:t>
      </w:r>
      <w:r w:rsidRPr="004C02AF">
        <w:rPr>
          <w:rFonts w:ascii="Times New Roman" w:hAnsi="Times New Roman" w:cs="Times New Roman"/>
          <w:color w:val="000000"/>
        </w:rPr>
        <w:t>, 151-177.</w:t>
      </w:r>
    </w:p>
  </w:footnote>
  <w:footnote w:id="13">
    <w:p w:rsidR="00CC2CCA" w:rsidRPr="00CC2CCA" w:rsidRDefault="00CC2CCA" w:rsidP="009B2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r>
        <w:rPr>
          <w:rStyle w:val="FootnoteReference"/>
        </w:rPr>
        <w:footnoteRef/>
      </w:r>
      <w:r>
        <w:t xml:space="preserve"> N. </w:t>
      </w:r>
      <w:r>
        <w:rPr>
          <w:rFonts w:ascii="Times New Roman" w:hAnsi="Times New Roman" w:cs="Times New Roman"/>
        </w:rPr>
        <w:t>Cox</w:t>
      </w:r>
      <w:r w:rsidRPr="004C02AF">
        <w:rPr>
          <w:rFonts w:ascii="Times New Roman" w:hAnsi="Times New Roman" w:cs="Times New Roman"/>
        </w:rPr>
        <w:t xml:space="preserve"> </w:t>
      </w:r>
      <w:r>
        <w:rPr>
          <w:rFonts w:ascii="Times New Roman" w:hAnsi="Times New Roman" w:cs="Times New Roman"/>
        </w:rPr>
        <w:t>a</w:t>
      </w:r>
      <w:r w:rsidRPr="004C02AF">
        <w:rPr>
          <w:rFonts w:ascii="Times New Roman" w:hAnsi="Times New Roman" w:cs="Times New Roman"/>
        </w:rPr>
        <w:t xml:space="preserve">nd </w:t>
      </w:r>
      <w:r>
        <w:rPr>
          <w:rFonts w:ascii="Times New Roman" w:hAnsi="Times New Roman" w:cs="Times New Roman"/>
        </w:rPr>
        <w:t>C. Walsh</w:t>
      </w:r>
      <w:r w:rsidRPr="004C02AF">
        <w:rPr>
          <w:rFonts w:ascii="Times New Roman" w:hAnsi="Times New Roman" w:cs="Times New Roman"/>
        </w:rPr>
        <w:t xml:space="preserve">, ‘ “Their shops are Dens, the buyer is their prey”: shop design and sales techniques’ in </w:t>
      </w:r>
      <w:r>
        <w:rPr>
          <w:rFonts w:ascii="Times New Roman" w:hAnsi="Times New Roman" w:cs="Times New Roman"/>
        </w:rPr>
        <w:t>N. Cox</w:t>
      </w:r>
      <w:r w:rsidRPr="004C02AF">
        <w:rPr>
          <w:rFonts w:ascii="Times New Roman" w:hAnsi="Times New Roman" w:cs="Times New Roman"/>
        </w:rPr>
        <w:t xml:space="preserve">, </w:t>
      </w:r>
      <w:r w:rsidRPr="004C02AF">
        <w:rPr>
          <w:rFonts w:ascii="Times New Roman" w:hAnsi="Times New Roman" w:cs="Times New Roman"/>
          <w:i/>
        </w:rPr>
        <w:t>The Complete Tradesman</w:t>
      </w:r>
      <w:r w:rsidRPr="004C02AF">
        <w:rPr>
          <w:rFonts w:ascii="Times New Roman" w:hAnsi="Times New Roman" w:cs="Times New Roman"/>
        </w:rPr>
        <w:t xml:space="preserve"> </w:t>
      </w:r>
      <w:r>
        <w:rPr>
          <w:rFonts w:ascii="Times New Roman" w:hAnsi="Times New Roman" w:cs="Times New Roman"/>
        </w:rPr>
        <w:t>(</w:t>
      </w:r>
      <w:r w:rsidRPr="004C02AF">
        <w:rPr>
          <w:rFonts w:ascii="Times New Roman" w:hAnsi="Times New Roman" w:cs="Times New Roman"/>
        </w:rPr>
        <w:t>Aldershot</w:t>
      </w:r>
      <w:r>
        <w:rPr>
          <w:rFonts w:ascii="Times New Roman" w:hAnsi="Times New Roman" w:cs="Times New Roman"/>
        </w:rPr>
        <w:t xml:space="preserve"> </w:t>
      </w:r>
      <w:r w:rsidRPr="004C02AF">
        <w:rPr>
          <w:rFonts w:ascii="Times New Roman" w:hAnsi="Times New Roman" w:cs="Times New Roman"/>
        </w:rPr>
        <w:t>2000</w:t>
      </w:r>
      <w:r>
        <w:rPr>
          <w:rFonts w:ascii="Times New Roman" w:hAnsi="Times New Roman" w:cs="Times New Roman"/>
        </w:rPr>
        <w:t xml:space="preserve">), </w:t>
      </w:r>
      <w:r w:rsidRPr="004C02AF">
        <w:rPr>
          <w:rFonts w:ascii="Times New Roman" w:hAnsi="Times New Roman" w:cs="Times New Roman"/>
        </w:rPr>
        <w:t xml:space="preserve">76-115. </w:t>
      </w:r>
    </w:p>
  </w:footnote>
  <w:footnote w:id="14">
    <w:p w:rsidR="00CC2CCA" w:rsidRPr="00CC2CCA" w:rsidRDefault="00CC2CCA" w:rsidP="009B2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r>
        <w:rPr>
          <w:rStyle w:val="FootnoteReference"/>
        </w:rPr>
        <w:footnoteRef/>
      </w:r>
      <w:r>
        <w:t xml:space="preserve"> A. </w:t>
      </w:r>
      <w:r>
        <w:rPr>
          <w:rFonts w:ascii="Times New Roman" w:hAnsi="Times New Roman" w:cs="Times New Roman"/>
        </w:rPr>
        <w:t xml:space="preserve">Hann </w:t>
      </w:r>
      <w:r w:rsidRPr="004C02AF">
        <w:rPr>
          <w:rFonts w:ascii="Times New Roman" w:hAnsi="Times New Roman" w:cs="Times New Roman"/>
        </w:rPr>
        <w:t xml:space="preserve">and </w:t>
      </w:r>
      <w:r>
        <w:rPr>
          <w:rFonts w:ascii="Times New Roman" w:hAnsi="Times New Roman" w:cs="Times New Roman"/>
        </w:rPr>
        <w:t>J. Stobart</w:t>
      </w:r>
      <w:r w:rsidRPr="004C02AF">
        <w:rPr>
          <w:rFonts w:ascii="Times New Roman" w:hAnsi="Times New Roman" w:cs="Times New Roman"/>
        </w:rPr>
        <w:t xml:space="preserve">, ‘Sites of consumption: The display of goods in provincial shops in eighteenth-century England’, </w:t>
      </w:r>
      <w:r w:rsidRPr="004C02AF">
        <w:rPr>
          <w:rFonts w:ascii="Times New Roman" w:hAnsi="Times New Roman" w:cs="Times New Roman"/>
          <w:i/>
        </w:rPr>
        <w:t>Cultural and Social Hist</w:t>
      </w:r>
      <w:r>
        <w:rPr>
          <w:rFonts w:ascii="Times New Roman" w:hAnsi="Times New Roman" w:cs="Times New Roman"/>
          <w:i/>
        </w:rPr>
        <w:t>ory</w:t>
      </w:r>
      <w:r w:rsidRPr="004C02AF">
        <w:rPr>
          <w:rFonts w:ascii="Times New Roman" w:hAnsi="Times New Roman" w:cs="Times New Roman"/>
        </w:rPr>
        <w:t xml:space="preserve"> 2</w:t>
      </w:r>
      <w:r>
        <w:rPr>
          <w:rFonts w:ascii="Times New Roman" w:hAnsi="Times New Roman" w:cs="Times New Roman"/>
        </w:rPr>
        <w:t xml:space="preserve"> (2005)</w:t>
      </w:r>
      <w:r w:rsidRPr="004C02AF">
        <w:rPr>
          <w:rFonts w:ascii="Times New Roman" w:hAnsi="Times New Roman" w:cs="Times New Roman"/>
        </w:rPr>
        <w:t>, 165-187.</w:t>
      </w:r>
    </w:p>
  </w:footnote>
  <w:footnote w:id="15">
    <w:p w:rsidR="00CC2CCA" w:rsidRDefault="00CC2CCA" w:rsidP="009B2451">
      <w:pPr>
        <w:pStyle w:val="FootnoteText"/>
        <w:spacing w:line="360" w:lineRule="auto"/>
      </w:pPr>
      <w:r>
        <w:rPr>
          <w:rStyle w:val="FootnoteReference"/>
        </w:rPr>
        <w:footnoteRef/>
      </w:r>
      <w:r>
        <w:t xml:space="preserve"> </w:t>
      </w:r>
      <w:r>
        <w:rPr>
          <w:rFonts w:ascii="Times New Roman" w:hAnsi="Times New Roman" w:cs="Times New Roman"/>
        </w:rPr>
        <w:t>Cox</w:t>
      </w:r>
      <w:r w:rsidRPr="004C02AF">
        <w:rPr>
          <w:rFonts w:ascii="Times New Roman" w:hAnsi="Times New Roman" w:cs="Times New Roman"/>
        </w:rPr>
        <w:t xml:space="preserve"> </w:t>
      </w:r>
      <w:r>
        <w:rPr>
          <w:rFonts w:ascii="Times New Roman" w:hAnsi="Times New Roman" w:cs="Times New Roman"/>
        </w:rPr>
        <w:t>a</w:t>
      </w:r>
      <w:r w:rsidRPr="004C02AF">
        <w:rPr>
          <w:rFonts w:ascii="Times New Roman" w:hAnsi="Times New Roman" w:cs="Times New Roman"/>
        </w:rPr>
        <w:t xml:space="preserve">nd </w:t>
      </w:r>
      <w:r>
        <w:rPr>
          <w:rFonts w:ascii="Times New Roman" w:hAnsi="Times New Roman" w:cs="Times New Roman"/>
        </w:rPr>
        <w:t>Walsh</w:t>
      </w:r>
      <w:r w:rsidRPr="004C02AF">
        <w:rPr>
          <w:rFonts w:ascii="Times New Roman" w:hAnsi="Times New Roman" w:cs="Times New Roman"/>
        </w:rPr>
        <w:t>, ‘ “Their shops are Dens</w:t>
      </w:r>
      <w:r>
        <w:rPr>
          <w:rFonts w:ascii="Times New Roman" w:hAnsi="Times New Roman" w:cs="Times New Roman"/>
        </w:rPr>
        <w:t>” ’, 96.</w:t>
      </w:r>
    </w:p>
  </w:footnote>
  <w:footnote w:id="16">
    <w:p w:rsidR="00CC2CCA" w:rsidRPr="00CC2CCA" w:rsidRDefault="00CC2CCA" w:rsidP="009B2451">
      <w:pPr>
        <w:widowControl w:val="0"/>
        <w:tabs>
          <w:tab w:val="left" w:pos="2694"/>
          <w:tab w:val="left" w:pos="2835"/>
          <w:tab w:val="left" w:pos="3543"/>
          <w:tab w:val="left" w:pos="4252"/>
          <w:tab w:val="left" w:pos="4961"/>
          <w:tab w:val="left" w:pos="5669"/>
          <w:tab w:val="left" w:pos="6378"/>
          <w:tab w:val="left" w:pos="7087"/>
          <w:tab w:val="left" w:pos="7795"/>
          <w:tab w:val="left" w:pos="8504"/>
          <w:tab w:val="left" w:pos="9213"/>
        </w:tabs>
        <w:autoSpaceDE w:val="0"/>
        <w:autoSpaceDN w:val="0"/>
        <w:adjustRightInd w:val="0"/>
        <w:spacing w:line="360" w:lineRule="auto"/>
        <w:rPr>
          <w:rFonts w:ascii="Times New Roman" w:hAnsi="Times New Roman"/>
        </w:rPr>
      </w:pPr>
      <w:r>
        <w:rPr>
          <w:rStyle w:val="FootnoteReference"/>
        </w:rPr>
        <w:footnoteRef/>
      </w:r>
      <w:r>
        <w:t xml:space="preserve"> </w:t>
      </w:r>
      <w:r w:rsidR="008053AE" w:rsidRPr="004C02AF">
        <w:rPr>
          <w:rFonts w:ascii="Times New Roman" w:hAnsi="Times New Roman" w:cs="Times New Roman"/>
        </w:rPr>
        <w:t>Borsay, ‘Politeness and elegance</w:t>
      </w:r>
      <w:r w:rsidR="008053AE">
        <w:rPr>
          <w:rFonts w:ascii="Times New Roman" w:hAnsi="Times New Roman" w:cs="Times New Roman"/>
        </w:rPr>
        <w:t>’, 1</w:t>
      </w:r>
      <w:r>
        <w:rPr>
          <w:rFonts w:ascii="Times New Roman" w:hAnsi="Times New Roman" w:cs="Times New Roman"/>
          <w:color w:val="000000"/>
        </w:rPr>
        <w:t xml:space="preserve">; </w:t>
      </w:r>
      <w:r w:rsidRPr="004C02AF">
        <w:rPr>
          <w:rFonts w:ascii="Times New Roman" w:hAnsi="Times New Roman"/>
        </w:rPr>
        <w:t>V</w:t>
      </w:r>
      <w:r>
        <w:rPr>
          <w:rFonts w:ascii="Times New Roman" w:hAnsi="Times New Roman"/>
        </w:rPr>
        <w:t xml:space="preserve">ictoria </w:t>
      </w:r>
      <w:r w:rsidRPr="004C02AF">
        <w:rPr>
          <w:rFonts w:ascii="Times New Roman" w:hAnsi="Times New Roman"/>
        </w:rPr>
        <w:t>C</w:t>
      </w:r>
      <w:r>
        <w:rPr>
          <w:rFonts w:ascii="Times New Roman" w:hAnsi="Times New Roman"/>
        </w:rPr>
        <w:t xml:space="preserve">ounty </w:t>
      </w:r>
      <w:r w:rsidRPr="004C02AF">
        <w:rPr>
          <w:rFonts w:ascii="Times New Roman" w:hAnsi="Times New Roman"/>
        </w:rPr>
        <w:t>H</w:t>
      </w:r>
      <w:r>
        <w:rPr>
          <w:rFonts w:ascii="Times New Roman" w:hAnsi="Times New Roman"/>
        </w:rPr>
        <w:t xml:space="preserve">istory (VCH), </w:t>
      </w:r>
      <w:r w:rsidRPr="004C02AF">
        <w:rPr>
          <w:rFonts w:ascii="Times New Roman" w:hAnsi="Times New Roman"/>
          <w:i/>
        </w:rPr>
        <w:t>A History of the County of York: The City of York</w:t>
      </w:r>
      <w:r w:rsidRPr="004C02AF">
        <w:rPr>
          <w:rFonts w:ascii="Times New Roman" w:hAnsi="Times New Roman"/>
        </w:rPr>
        <w:t xml:space="preserve"> </w:t>
      </w:r>
      <w:r>
        <w:rPr>
          <w:rFonts w:ascii="Times New Roman" w:hAnsi="Times New Roman"/>
        </w:rPr>
        <w:t>(</w:t>
      </w:r>
      <w:r w:rsidRPr="004C02AF">
        <w:rPr>
          <w:rFonts w:ascii="Times New Roman" w:hAnsi="Times New Roman"/>
        </w:rPr>
        <w:t>Oxford</w:t>
      </w:r>
      <w:r>
        <w:rPr>
          <w:rFonts w:ascii="Times New Roman" w:hAnsi="Times New Roman"/>
        </w:rPr>
        <w:t xml:space="preserve"> 1961)</w:t>
      </w:r>
      <w:r w:rsidR="00440622">
        <w:rPr>
          <w:rFonts w:ascii="Times New Roman" w:hAnsi="Times New Roman"/>
        </w:rPr>
        <w:t>,</w:t>
      </w:r>
      <w:r>
        <w:rPr>
          <w:rFonts w:ascii="Times New Roman" w:hAnsi="Times New Roman"/>
        </w:rPr>
        <w:t xml:space="preserve"> 245-250</w:t>
      </w:r>
      <w:r w:rsidRPr="004C02AF">
        <w:rPr>
          <w:rFonts w:ascii="Times New Roman" w:hAnsi="Times New Roman"/>
        </w:rPr>
        <w:t>.</w:t>
      </w:r>
    </w:p>
  </w:footnote>
  <w:footnote w:id="17">
    <w:p w:rsidR="00CC2CCA" w:rsidRPr="00CC2CCA" w:rsidRDefault="00CC2CCA" w:rsidP="009B2451">
      <w:pPr>
        <w:pStyle w:val="FootnoteText"/>
        <w:spacing w:line="360" w:lineRule="auto"/>
      </w:pPr>
      <w:r>
        <w:rPr>
          <w:rStyle w:val="FootnoteReference"/>
        </w:rPr>
        <w:footnoteRef/>
      </w:r>
      <w:r>
        <w:t xml:space="preserve"> Borsay, </w:t>
      </w:r>
      <w:r>
        <w:rPr>
          <w:rFonts w:ascii="Times New Roman" w:hAnsi="Times New Roman" w:cs="Times New Roman"/>
          <w:i/>
          <w:iCs/>
          <w:color w:val="000000"/>
        </w:rPr>
        <w:t>The English Urban Renaissance</w:t>
      </w:r>
      <w:r>
        <w:rPr>
          <w:rFonts w:ascii="Times New Roman" w:hAnsi="Times New Roman" w:cs="Times New Roman"/>
          <w:iCs/>
          <w:color w:val="000000"/>
        </w:rPr>
        <w:t>, 8.</w:t>
      </w:r>
    </w:p>
  </w:footnote>
  <w:footnote w:id="18">
    <w:p w:rsidR="00CC2CCA" w:rsidRPr="00CC2CCA" w:rsidRDefault="00CC2CCA" w:rsidP="009B2451">
      <w:pPr>
        <w:spacing w:line="360" w:lineRule="auto"/>
        <w:rPr>
          <w:rFonts w:ascii="Times New Roman" w:hAnsi="Times New Roman"/>
        </w:rPr>
      </w:pPr>
      <w:r>
        <w:rPr>
          <w:rStyle w:val="FootnoteReference"/>
        </w:rPr>
        <w:footnoteRef/>
      </w:r>
      <w:r>
        <w:t xml:space="preserve"> City of York Archive (CYA) </w:t>
      </w:r>
      <w:r w:rsidRPr="004C02AF">
        <w:rPr>
          <w:rFonts w:ascii="Times New Roman" w:hAnsi="Times New Roman"/>
          <w:lang w:val="en-GB"/>
        </w:rPr>
        <w:t xml:space="preserve">YA/Acc 163 </w:t>
      </w:r>
      <w:r w:rsidRPr="004C02AF">
        <w:rPr>
          <w:rFonts w:ascii="Times New Roman" w:hAnsi="Times New Roman"/>
          <w:i/>
          <w:lang w:val="en-GB"/>
        </w:rPr>
        <w:t>Analecta Eboracensia or Memorandum of Events from January 1</w:t>
      </w:r>
      <w:r w:rsidRPr="004C02AF">
        <w:rPr>
          <w:rFonts w:ascii="Times New Roman" w:hAnsi="Times New Roman"/>
          <w:i/>
          <w:vertAlign w:val="superscript"/>
          <w:lang w:val="en-GB"/>
        </w:rPr>
        <w:t>st</w:t>
      </w:r>
      <w:r w:rsidRPr="004C02AF">
        <w:rPr>
          <w:rFonts w:ascii="Times New Roman" w:hAnsi="Times New Roman"/>
          <w:i/>
          <w:lang w:val="en-GB"/>
        </w:rPr>
        <w:t xml:space="preserve"> 1782</w:t>
      </w:r>
      <w:r>
        <w:rPr>
          <w:rFonts w:ascii="Times New Roman" w:hAnsi="Times New Roman"/>
          <w:lang w:val="en-GB"/>
        </w:rPr>
        <w:t xml:space="preserve"> by Wm White M.D., </w:t>
      </w:r>
      <w:r w:rsidRPr="00CC2CCA">
        <w:rPr>
          <w:rFonts w:ascii="Times New Roman" w:hAnsi="Times New Roman"/>
          <w:lang w:val="en-GB"/>
        </w:rPr>
        <w:t xml:space="preserve">annotated maps; </w:t>
      </w:r>
      <w:r w:rsidRPr="00440622">
        <w:rPr>
          <w:rFonts w:ascii="Times New Roman" w:hAnsi="Times New Roman"/>
          <w:i/>
        </w:rPr>
        <w:t>Universal British Directory Vol IV 1798</w:t>
      </w:r>
      <w:r w:rsidRPr="00CC2CCA">
        <w:rPr>
          <w:rFonts w:ascii="Times New Roman" w:hAnsi="Times New Roman"/>
        </w:rPr>
        <w:t>, York section</w:t>
      </w:r>
      <w:r w:rsidR="00440622">
        <w:rPr>
          <w:rFonts w:ascii="Times New Roman" w:hAnsi="Times New Roman"/>
        </w:rPr>
        <w:t>, 953-980</w:t>
      </w:r>
      <w:r>
        <w:rPr>
          <w:rFonts w:ascii="Times New Roman" w:hAnsi="Times New Roman"/>
        </w:rPr>
        <w:t xml:space="preserve">; R. </w:t>
      </w:r>
      <w:r>
        <w:rPr>
          <w:rFonts w:ascii="Times New Roman" w:hAnsi="Times New Roman" w:cs="Times New Roman"/>
        </w:rPr>
        <w:t>Davies</w:t>
      </w:r>
      <w:r w:rsidRPr="004C02AF">
        <w:rPr>
          <w:rFonts w:ascii="Times New Roman" w:hAnsi="Times New Roman" w:cs="Times New Roman"/>
        </w:rPr>
        <w:t xml:space="preserve">, </w:t>
      </w:r>
      <w:r w:rsidRPr="004C02AF">
        <w:rPr>
          <w:rFonts w:ascii="Times New Roman" w:hAnsi="Times New Roman" w:cs="Times New Roman"/>
          <w:i/>
        </w:rPr>
        <w:t>Walks Through the City of York</w:t>
      </w:r>
      <w:r w:rsidRPr="004C02AF">
        <w:rPr>
          <w:rFonts w:ascii="Times New Roman" w:hAnsi="Times New Roman" w:cs="Times New Roman"/>
        </w:rPr>
        <w:t xml:space="preserve"> </w:t>
      </w:r>
      <w:r>
        <w:rPr>
          <w:rFonts w:ascii="Times New Roman" w:hAnsi="Times New Roman" w:cs="Times New Roman"/>
        </w:rPr>
        <w:t>(</w:t>
      </w:r>
      <w:r w:rsidRPr="004C02AF">
        <w:rPr>
          <w:rFonts w:ascii="Times New Roman" w:hAnsi="Times New Roman" w:cs="Times New Roman"/>
        </w:rPr>
        <w:t>London</w:t>
      </w:r>
      <w:r>
        <w:rPr>
          <w:rFonts w:ascii="Times New Roman" w:hAnsi="Times New Roman" w:cs="Times New Roman"/>
        </w:rPr>
        <w:t xml:space="preserve"> </w:t>
      </w:r>
      <w:r w:rsidRPr="004C02AF">
        <w:rPr>
          <w:rFonts w:ascii="Times New Roman" w:hAnsi="Times New Roman" w:cs="Times New Roman"/>
        </w:rPr>
        <w:t>1880</w:t>
      </w:r>
      <w:r>
        <w:rPr>
          <w:rFonts w:ascii="Times New Roman" w:hAnsi="Times New Roman" w:cs="Times New Roman"/>
        </w:rPr>
        <w:t>), 226-244.</w:t>
      </w:r>
      <w:r w:rsidRPr="004C02AF">
        <w:rPr>
          <w:rFonts w:ascii="Times New Roman" w:hAnsi="Times New Roman" w:cs="Times New Roman"/>
        </w:rPr>
        <w:t xml:space="preserve"> </w:t>
      </w:r>
    </w:p>
  </w:footnote>
  <w:footnote w:id="19">
    <w:p w:rsidR="00CC2CCA" w:rsidRPr="000B7AB5" w:rsidRDefault="00CC2CCA" w:rsidP="009B2451">
      <w:pPr>
        <w:widowControl w:val="0"/>
        <w:tabs>
          <w:tab w:val="left" w:pos="2694"/>
        </w:tabs>
        <w:autoSpaceDE w:val="0"/>
        <w:autoSpaceDN w:val="0"/>
        <w:adjustRightInd w:val="0"/>
        <w:spacing w:line="360" w:lineRule="auto"/>
        <w:rPr>
          <w:rFonts w:ascii="Times New Roman" w:hAnsi="Times New Roman" w:cs="Times New Roman"/>
          <w:color w:val="000000"/>
        </w:rPr>
      </w:pPr>
      <w:r>
        <w:rPr>
          <w:rStyle w:val="FootnoteReference"/>
        </w:rPr>
        <w:footnoteRef/>
      </w:r>
      <w:r>
        <w:t xml:space="preserve"> </w:t>
      </w:r>
      <w:r w:rsidRPr="004C02AF">
        <w:rPr>
          <w:rFonts w:ascii="Times New Roman" w:hAnsi="Times New Roman" w:cs="Times New Roman"/>
          <w:color w:val="000000"/>
        </w:rPr>
        <w:t>R</w:t>
      </w:r>
      <w:r>
        <w:rPr>
          <w:rFonts w:ascii="Times New Roman" w:hAnsi="Times New Roman" w:cs="Times New Roman"/>
          <w:color w:val="000000"/>
        </w:rPr>
        <w:t xml:space="preserve">oyal </w:t>
      </w:r>
      <w:r w:rsidRPr="004C02AF">
        <w:rPr>
          <w:rFonts w:ascii="Times New Roman" w:hAnsi="Times New Roman" w:cs="Times New Roman"/>
          <w:color w:val="000000"/>
        </w:rPr>
        <w:t>C</w:t>
      </w:r>
      <w:r>
        <w:rPr>
          <w:rFonts w:ascii="Times New Roman" w:hAnsi="Times New Roman" w:cs="Times New Roman"/>
          <w:color w:val="000000"/>
        </w:rPr>
        <w:t xml:space="preserve">ommission on </w:t>
      </w:r>
      <w:r w:rsidRPr="004C02AF">
        <w:rPr>
          <w:rFonts w:ascii="Times New Roman" w:hAnsi="Times New Roman" w:cs="Times New Roman"/>
          <w:color w:val="000000"/>
        </w:rPr>
        <w:t>H</w:t>
      </w:r>
      <w:r>
        <w:rPr>
          <w:rFonts w:ascii="Times New Roman" w:hAnsi="Times New Roman" w:cs="Times New Roman"/>
          <w:color w:val="000000"/>
        </w:rPr>
        <w:t xml:space="preserve">istoric </w:t>
      </w:r>
      <w:r w:rsidRPr="004C02AF">
        <w:rPr>
          <w:rFonts w:ascii="Times New Roman" w:hAnsi="Times New Roman" w:cs="Times New Roman"/>
          <w:color w:val="000000"/>
        </w:rPr>
        <w:t>M</w:t>
      </w:r>
      <w:r>
        <w:rPr>
          <w:rFonts w:ascii="Times New Roman" w:hAnsi="Times New Roman" w:cs="Times New Roman"/>
          <w:color w:val="000000"/>
        </w:rPr>
        <w:t xml:space="preserve">onuments </w:t>
      </w:r>
      <w:r w:rsidRPr="004C02AF">
        <w:rPr>
          <w:rFonts w:ascii="Times New Roman" w:hAnsi="Times New Roman" w:cs="Times New Roman"/>
          <w:color w:val="000000"/>
        </w:rPr>
        <w:t>E</w:t>
      </w:r>
      <w:r>
        <w:rPr>
          <w:rFonts w:ascii="Times New Roman" w:hAnsi="Times New Roman" w:cs="Times New Roman"/>
          <w:color w:val="000000"/>
        </w:rPr>
        <w:t xml:space="preserve">ngland (RCHME), </w:t>
      </w:r>
      <w:r w:rsidRPr="004C02AF">
        <w:rPr>
          <w:rFonts w:ascii="Times New Roman" w:hAnsi="Times New Roman" w:cs="Times New Roman"/>
          <w:i/>
          <w:iCs/>
          <w:color w:val="000000"/>
        </w:rPr>
        <w:t xml:space="preserve">An Inventory of The Historical Monuments in the City of York. Vol 5. The </w:t>
      </w:r>
      <w:r>
        <w:rPr>
          <w:rFonts w:ascii="Times New Roman" w:hAnsi="Times New Roman" w:cs="Times New Roman"/>
          <w:i/>
          <w:iCs/>
          <w:color w:val="000000"/>
        </w:rPr>
        <w:t>Central Area</w:t>
      </w:r>
      <w:r w:rsidRPr="004C02AF">
        <w:rPr>
          <w:rFonts w:ascii="Times New Roman" w:hAnsi="Times New Roman" w:cs="Times New Roman"/>
          <w:color w:val="000000"/>
        </w:rPr>
        <w:t xml:space="preserve"> </w:t>
      </w:r>
      <w:r>
        <w:rPr>
          <w:rFonts w:ascii="Times New Roman" w:hAnsi="Times New Roman" w:cs="Times New Roman"/>
          <w:color w:val="000000"/>
        </w:rPr>
        <w:t>(</w:t>
      </w:r>
      <w:r w:rsidRPr="004C02AF">
        <w:rPr>
          <w:rFonts w:ascii="Times New Roman" w:hAnsi="Times New Roman" w:cs="Times New Roman"/>
          <w:color w:val="000000"/>
        </w:rPr>
        <w:t>London</w:t>
      </w:r>
      <w:r>
        <w:rPr>
          <w:rFonts w:ascii="Times New Roman" w:hAnsi="Times New Roman" w:cs="Times New Roman"/>
          <w:color w:val="000000"/>
        </w:rPr>
        <w:t xml:space="preserve"> 1981), 147 and 174</w:t>
      </w:r>
      <w:r w:rsidRPr="004C02AF">
        <w:rPr>
          <w:rFonts w:ascii="Times New Roman" w:hAnsi="Times New Roman" w:cs="Times New Roman"/>
          <w:color w:val="000000"/>
        </w:rPr>
        <w:t>.</w:t>
      </w:r>
    </w:p>
  </w:footnote>
  <w:footnote w:id="20">
    <w:p w:rsidR="00EB7604" w:rsidRPr="00EB7604" w:rsidRDefault="00EB7604" w:rsidP="009B2451">
      <w:pPr>
        <w:pStyle w:val="FootnoteText"/>
        <w:spacing w:line="360" w:lineRule="auto"/>
      </w:pPr>
      <w:r>
        <w:rPr>
          <w:rStyle w:val="FootnoteReference"/>
        </w:rPr>
        <w:footnoteRef/>
      </w:r>
      <w:r>
        <w:t xml:space="preserve"> </w:t>
      </w:r>
      <w:r w:rsidR="005C7B3C">
        <w:t xml:space="preserve">R. </w:t>
      </w:r>
      <w:r w:rsidR="005C7B3C">
        <w:rPr>
          <w:rStyle w:val="FootnotetextChar0"/>
          <w:rFonts w:ascii="Times New Roman" w:hAnsi="Times New Roman"/>
        </w:rPr>
        <w:t xml:space="preserve">Letellier, </w:t>
      </w:r>
      <w:r w:rsidR="00440622">
        <w:rPr>
          <w:rStyle w:val="FootnotetextChar0"/>
          <w:rFonts w:ascii="Times New Roman" w:hAnsi="Times New Roman"/>
          <w:i/>
        </w:rPr>
        <w:t>Recording, Documentation, and Information Management For the Conservation of Heritage Places: Guiding P</w:t>
      </w:r>
      <w:r w:rsidRPr="00EB7604">
        <w:rPr>
          <w:rStyle w:val="FootnotetextChar0"/>
          <w:rFonts w:ascii="Times New Roman" w:hAnsi="Times New Roman"/>
          <w:i/>
        </w:rPr>
        <w:t>rinciples</w:t>
      </w:r>
      <w:r w:rsidRPr="00EB7604">
        <w:rPr>
          <w:rStyle w:val="FootnotetextChar0"/>
          <w:rFonts w:ascii="Times New Roman" w:hAnsi="Times New Roman"/>
        </w:rPr>
        <w:t xml:space="preserve"> </w:t>
      </w:r>
      <w:r>
        <w:rPr>
          <w:rStyle w:val="FootnotetextChar0"/>
          <w:rFonts w:ascii="Times New Roman" w:hAnsi="Times New Roman"/>
        </w:rPr>
        <w:t>(</w:t>
      </w:r>
      <w:r w:rsidRPr="00EB7604">
        <w:rPr>
          <w:rStyle w:val="FootnotetextChar0"/>
          <w:rFonts w:ascii="Times New Roman" w:hAnsi="Times New Roman"/>
        </w:rPr>
        <w:t>Shaftesbury</w:t>
      </w:r>
      <w:r>
        <w:rPr>
          <w:rStyle w:val="FootnotetextChar0"/>
          <w:rFonts w:ascii="Times New Roman" w:hAnsi="Times New Roman"/>
        </w:rPr>
        <w:t xml:space="preserve"> 2011).</w:t>
      </w:r>
    </w:p>
  </w:footnote>
  <w:footnote w:id="21">
    <w:p w:rsidR="0078082B" w:rsidRDefault="0078082B" w:rsidP="009B2451">
      <w:pPr>
        <w:pStyle w:val="FootnoteText"/>
        <w:spacing w:line="360" w:lineRule="auto"/>
      </w:pPr>
      <w:r>
        <w:rPr>
          <w:rStyle w:val="FootnoteReference"/>
        </w:rPr>
        <w:footnoteRef/>
      </w:r>
      <w:r w:rsidR="00440622">
        <w:t xml:space="preserve"> T. Tatlioglu, ‘Biographies of place: the joiners’ w</w:t>
      </w:r>
      <w:r>
        <w:t xml:space="preserve">orkshop at Harewood, West Yorkshire’, </w:t>
      </w:r>
      <w:r w:rsidRPr="0078082B">
        <w:rPr>
          <w:i/>
        </w:rPr>
        <w:t>Post-Medieval Archaeology</w:t>
      </w:r>
      <w:r>
        <w:t xml:space="preserve"> 44 (2) (2010), 273-293.</w:t>
      </w:r>
    </w:p>
  </w:footnote>
  <w:footnote w:id="22">
    <w:p w:rsidR="0078082B" w:rsidRDefault="0078082B" w:rsidP="009B2451">
      <w:pPr>
        <w:pStyle w:val="FootnoteText"/>
        <w:spacing w:line="360" w:lineRule="auto"/>
      </w:pPr>
      <w:r>
        <w:rPr>
          <w:rStyle w:val="FootnoteReference"/>
        </w:rPr>
        <w:footnoteRef/>
      </w:r>
      <w:r>
        <w:t xml:space="preserve"> P.C. </w:t>
      </w:r>
      <w:r>
        <w:rPr>
          <w:sz w:val="23"/>
          <w:szCs w:val="23"/>
        </w:rPr>
        <w:t xml:space="preserve">Graves, ‘Social space in the English medieval parish church’, </w:t>
      </w:r>
      <w:r>
        <w:rPr>
          <w:i/>
          <w:iCs/>
          <w:sz w:val="23"/>
          <w:szCs w:val="23"/>
        </w:rPr>
        <w:t>Economy and Society</w:t>
      </w:r>
      <w:r>
        <w:rPr>
          <w:sz w:val="23"/>
          <w:szCs w:val="23"/>
        </w:rPr>
        <w:t xml:space="preserve">, 18 (3) (1989), 297-322; K. Giles, </w:t>
      </w:r>
      <w:r>
        <w:rPr>
          <w:i/>
          <w:iCs/>
          <w:sz w:val="23"/>
          <w:szCs w:val="23"/>
        </w:rPr>
        <w:t>An Archaeology of Social Identity: Guildhalls in York c.1350-1630</w:t>
      </w:r>
      <w:r>
        <w:rPr>
          <w:sz w:val="23"/>
          <w:szCs w:val="23"/>
        </w:rPr>
        <w:t>. British Archaeolog</w:t>
      </w:r>
      <w:r w:rsidR="0034718D">
        <w:rPr>
          <w:sz w:val="23"/>
          <w:szCs w:val="23"/>
        </w:rPr>
        <w:t>ical Reports British Series 315</w:t>
      </w:r>
      <w:r>
        <w:rPr>
          <w:sz w:val="23"/>
          <w:szCs w:val="23"/>
        </w:rPr>
        <w:t xml:space="preserve"> (Oxford 2000). </w:t>
      </w:r>
    </w:p>
  </w:footnote>
  <w:footnote w:id="23">
    <w:p w:rsidR="000B7AB5" w:rsidRPr="000B7AB5" w:rsidRDefault="000B7AB5" w:rsidP="009B2451">
      <w:pPr>
        <w:widowControl w:val="0"/>
        <w:tabs>
          <w:tab w:val="left" w:pos="2694"/>
        </w:tabs>
        <w:autoSpaceDE w:val="0"/>
        <w:autoSpaceDN w:val="0"/>
        <w:adjustRightInd w:val="0"/>
        <w:spacing w:line="360" w:lineRule="auto"/>
        <w:rPr>
          <w:rFonts w:ascii="Times New Roman" w:hAnsi="Times New Roman" w:cs="Times New Roman"/>
          <w:i/>
          <w:color w:val="000000"/>
        </w:rPr>
      </w:pPr>
      <w:r>
        <w:rPr>
          <w:rStyle w:val="FootnoteReference"/>
        </w:rPr>
        <w:footnoteRef/>
      </w:r>
      <w:r>
        <w:t xml:space="preserve"> G. </w:t>
      </w:r>
      <w:r>
        <w:rPr>
          <w:rFonts w:ascii="Times New Roman" w:hAnsi="Times New Roman" w:cs="Times New Roman"/>
          <w:color w:val="000000"/>
        </w:rPr>
        <w:t>Lucas</w:t>
      </w:r>
      <w:r w:rsidRPr="004C02AF">
        <w:rPr>
          <w:rFonts w:ascii="Times New Roman" w:hAnsi="Times New Roman" w:cs="Times New Roman"/>
          <w:color w:val="000000"/>
        </w:rPr>
        <w:t xml:space="preserve">, ‘Historical archaeology and time’ in </w:t>
      </w:r>
      <w:r>
        <w:rPr>
          <w:rFonts w:ascii="Times New Roman" w:hAnsi="Times New Roman" w:cs="Times New Roman"/>
          <w:color w:val="000000"/>
        </w:rPr>
        <w:t>D. Hicks</w:t>
      </w:r>
      <w:r w:rsidRPr="004C02AF">
        <w:rPr>
          <w:rFonts w:ascii="Times New Roman" w:hAnsi="Times New Roman" w:cs="Times New Roman"/>
          <w:color w:val="000000"/>
        </w:rPr>
        <w:t xml:space="preserve"> and </w:t>
      </w:r>
      <w:r>
        <w:rPr>
          <w:rFonts w:ascii="Times New Roman" w:hAnsi="Times New Roman" w:cs="Times New Roman"/>
          <w:color w:val="000000"/>
        </w:rPr>
        <w:t xml:space="preserve">M. Beaudry (eds), </w:t>
      </w:r>
      <w:r w:rsidRPr="004C02AF">
        <w:rPr>
          <w:rFonts w:ascii="Times New Roman" w:hAnsi="Times New Roman" w:cs="Times New Roman"/>
          <w:i/>
          <w:color w:val="000000"/>
        </w:rPr>
        <w:t>The Cambridge Companion to Historical Archaeology</w:t>
      </w:r>
      <w:r w:rsidRPr="004C02AF">
        <w:rPr>
          <w:rFonts w:ascii="Times New Roman" w:hAnsi="Times New Roman" w:cs="Times New Roman"/>
          <w:color w:val="000000"/>
        </w:rPr>
        <w:t xml:space="preserve"> </w:t>
      </w:r>
      <w:r>
        <w:rPr>
          <w:rFonts w:ascii="Times New Roman" w:hAnsi="Times New Roman" w:cs="Times New Roman"/>
          <w:color w:val="000000"/>
        </w:rPr>
        <w:t>(</w:t>
      </w:r>
      <w:r w:rsidRPr="004C02AF">
        <w:rPr>
          <w:rFonts w:ascii="Times New Roman" w:hAnsi="Times New Roman" w:cs="Times New Roman"/>
          <w:color w:val="000000"/>
        </w:rPr>
        <w:t>Cambridge</w:t>
      </w:r>
      <w:r>
        <w:rPr>
          <w:rFonts w:ascii="Times New Roman" w:hAnsi="Times New Roman" w:cs="Times New Roman"/>
          <w:color w:val="000000"/>
        </w:rPr>
        <w:t xml:space="preserve"> 2006)</w:t>
      </w:r>
      <w:r w:rsidRPr="004C02AF">
        <w:rPr>
          <w:rFonts w:ascii="Times New Roman" w:hAnsi="Times New Roman" w:cs="Times New Roman"/>
          <w:color w:val="000000"/>
        </w:rPr>
        <w:t>, 34-47.</w:t>
      </w:r>
      <w:r>
        <w:rPr>
          <w:rFonts w:ascii="Times New Roman" w:hAnsi="Times New Roman" w:cs="Times New Roman"/>
          <w:color w:val="000000"/>
        </w:rPr>
        <w:t xml:space="preserve"> See also I. Kopytoff ‘The cultural biography of things: commoditization as process’, in A Appadurai (ed.) </w:t>
      </w:r>
      <w:r>
        <w:rPr>
          <w:rFonts w:ascii="Times New Roman" w:hAnsi="Times New Roman" w:cs="Times New Roman"/>
          <w:i/>
          <w:color w:val="000000"/>
        </w:rPr>
        <w:t xml:space="preserve">The Social Life of Things: Commodities in Cultural Perspective </w:t>
      </w:r>
      <w:r w:rsidRPr="000B7AB5">
        <w:rPr>
          <w:rFonts w:ascii="Times New Roman" w:hAnsi="Times New Roman" w:cs="Times New Roman"/>
          <w:color w:val="000000"/>
        </w:rPr>
        <w:t>(Cambridge 1986)</w:t>
      </w:r>
      <w:r>
        <w:rPr>
          <w:rFonts w:ascii="Times New Roman" w:hAnsi="Times New Roman" w:cs="Times New Roman"/>
          <w:color w:val="000000"/>
        </w:rPr>
        <w:t xml:space="preserve">; </w:t>
      </w:r>
      <w:r>
        <w:rPr>
          <w:rFonts w:ascii="Times New Roman" w:hAnsi="Times New Roman" w:cs="Times New Roman"/>
        </w:rPr>
        <w:t xml:space="preserve">H. </w:t>
      </w:r>
      <w:r>
        <w:rPr>
          <w:rFonts w:ascii="Times New Roman" w:hAnsi="Times New Roman" w:cs="Times New Roman"/>
          <w:color w:val="000000"/>
        </w:rPr>
        <w:t>Mytum</w:t>
      </w:r>
      <w:r w:rsidRPr="004C02AF">
        <w:rPr>
          <w:rFonts w:ascii="Times New Roman" w:hAnsi="Times New Roman" w:cs="Times New Roman"/>
          <w:color w:val="000000"/>
        </w:rPr>
        <w:t xml:space="preserve">, ‘Ways of writing in post-medieval and historical archaeology: introducing biography’, </w:t>
      </w:r>
      <w:r w:rsidRPr="004C02AF">
        <w:rPr>
          <w:rFonts w:ascii="Times New Roman" w:hAnsi="Times New Roman" w:cs="Times New Roman"/>
          <w:i/>
          <w:color w:val="000000"/>
        </w:rPr>
        <w:t>Post-Medieval Archaeol</w:t>
      </w:r>
      <w:r>
        <w:rPr>
          <w:rFonts w:ascii="Times New Roman" w:hAnsi="Times New Roman" w:cs="Times New Roman"/>
          <w:i/>
          <w:color w:val="000000"/>
        </w:rPr>
        <w:t>ogy</w:t>
      </w:r>
      <w:r w:rsidRPr="004C02AF">
        <w:rPr>
          <w:rFonts w:ascii="Times New Roman" w:hAnsi="Times New Roman" w:cs="Times New Roman"/>
          <w:color w:val="000000"/>
        </w:rPr>
        <w:t xml:space="preserve"> 44</w:t>
      </w:r>
      <w:r>
        <w:rPr>
          <w:rFonts w:ascii="Times New Roman" w:hAnsi="Times New Roman" w:cs="Times New Roman"/>
          <w:color w:val="000000"/>
        </w:rPr>
        <w:t xml:space="preserve"> (</w:t>
      </w:r>
      <w:r w:rsidRPr="004C02AF">
        <w:rPr>
          <w:rFonts w:ascii="Times New Roman" w:hAnsi="Times New Roman" w:cs="Times New Roman"/>
          <w:color w:val="000000"/>
        </w:rPr>
        <w:t>2010</w:t>
      </w:r>
      <w:r>
        <w:rPr>
          <w:rFonts w:ascii="Times New Roman" w:hAnsi="Times New Roman" w:cs="Times New Roman"/>
          <w:color w:val="000000"/>
        </w:rPr>
        <w:t xml:space="preserve">), 237-254; </w:t>
      </w:r>
      <w:r w:rsidR="00EB7604">
        <w:rPr>
          <w:rFonts w:ascii="Times New Roman" w:hAnsi="Times New Roman" w:cs="Times New Roman"/>
          <w:color w:val="000000"/>
        </w:rPr>
        <w:t xml:space="preserve">R. </w:t>
      </w:r>
      <w:r w:rsidR="00EB7604">
        <w:rPr>
          <w:rFonts w:ascii="Times New Roman" w:hAnsi="Times New Roman" w:cs="Times New Roman"/>
        </w:rPr>
        <w:t>Yamin</w:t>
      </w:r>
      <w:r w:rsidR="00EB7604" w:rsidRPr="004C02AF">
        <w:rPr>
          <w:rFonts w:ascii="Times New Roman" w:hAnsi="Times New Roman" w:cs="Times New Roman"/>
        </w:rPr>
        <w:t xml:space="preserve">, ‘Lurid tales and homely stories of New York’s notorious Five Points’, </w:t>
      </w:r>
      <w:r w:rsidR="00EB7604" w:rsidRPr="004C02AF">
        <w:rPr>
          <w:rFonts w:ascii="Times New Roman" w:hAnsi="Times New Roman" w:cs="Times New Roman"/>
          <w:i/>
          <w:iCs/>
        </w:rPr>
        <w:t>Hist</w:t>
      </w:r>
      <w:r w:rsidR="00EB7604">
        <w:rPr>
          <w:rFonts w:ascii="Times New Roman" w:hAnsi="Times New Roman" w:cs="Times New Roman"/>
          <w:i/>
          <w:iCs/>
        </w:rPr>
        <w:t>orical</w:t>
      </w:r>
      <w:r w:rsidR="00EB7604" w:rsidRPr="004C02AF">
        <w:rPr>
          <w:rFonts w:ascii="Times New Roman" w:hAnsi="Times New Roman" w:cs="Times New Roman"/>
          <w:i/>
          <w:iCs/>
        </w:rPr>
        <w:t xml:space="preserve"> Archaeol</w:t>
      </w:r>
      <w:r w:rsidR="00EB7604">
        <w:rPr>
          <w:rFonts w:ascii="Times New Roman" w:hAnsi="Times New Roman" w:cs="Times New Roman"/>
          <w:i/>
          <w:iCs/>
        </w:rPr>
        <w:t>ogy</w:t>
      </w:r>
      <w:r w:rsidR="00EB7604" w:rsidRPr="004C02AF">
        <w:rPr>
          <w:rFonts w:ascii="Times New Roman" w:hAnsi="Times New Roman" w:cs="Times New Roman"/>
        </w:rPr>
        <w:t xml:space="preserve"> 32</w:t>
      </w:r>
      <w:r w:rsidR="00EB7604">
        <w:rPr>
          <w:rFonts w:ascii="Times New Roman" w:hAnsi="Times New Roman" w:cs="Times New Roman"/>
        </w:rPr>
        <w:t xml:space="preserve"> (</w:t>
      </w:r>
      <w:r w:rsidR="00EB7604" w:rsidRPr="004C02AF">
        <w:rPr>
          <w:rFonts w:ascii="Times New Roman" w:hAnsi="Times New Roman" w:cs="Times New Roman"/>
        </w:rPr>
        <w:t>1998</w:t>
      </w:r>
      <w:r w:rsidR="00EB7604">
        <w:rPr>
          <w:rFonts w:ascii="Times New Roman" w:hAnsi="Times New Roman" w:cs="Times New Roman"/>
        </w:rPr>
        <w:t xml:space="preserve">), 74-85; </w:t>
      </w:r>
      <w:r>
        <w:rPr>
          <w:rFonts w:ascii="Times New Roman" w:hAnsi="Times New Roman" w:cs="Times New Roman"/>
          <w:color w:val="000000"/>
        </w:rPr>
        <w:t xml:space="preserve">M. Beaudry, ‘Farm Journal: First Person, Four Voices’, </w:t>
      </w:r>
      <w:r w:rsidRPr="000B7AB5">
        <w:rPr>
          <w:rFonts w:ascii="Times New Roman" w:hAnsi="Times New Roman" w:cs="Times New Roman"/>
          <w:i/>
          <w:color w:val="000000"/>
        </w:rPr>
        <w:t>Historical Archaeology</w:t>
      </w:r>
      <w:r>
        <w:rPr>
          <w:rFonts w:ascii="Times New Roman" w:hAnsi="Times New Roman" w:cs="Times New Roman"/>
          <w:color w:val="000000"/>
        </w:rPr>
        <w:t xml:space="preserve"> 32 (1998), 20-33.</w:t>
      </w:r>
    </w:p>
  </w:footnote>
  <w:footnote w:id="24">
    <w:p w:rsidR="000B7AB5" w:rsidRPr="001E13D7" w:rsidRDefault="000B7AB5" w:rsidP="009B2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r>
        <w:rPr>
          <w:rStyle w:val="FootnoteReference"/>
        </w:rPr>
        <w:footnoteRef/>
      </w:r>
      <w:r>
        <w:t xml:space="preserve"> C. </w:t>
      </w:r>
      <w:r>
        <w:rPr>
          <w:rFonts w:ascii="Times New Roman" w:hAnsi="Times New Roman" w:cs="Times New Roman"/>
        </w:rPr>
        <w:t xml:space="preserve">Gosden </w:t>
      </w:r>
      <w:r w:rsidRPr="004C02AF">
        <w:rPr>
          <w:rFonts w:ascii="Times New Roman" w:hAnsi="Times New Roman" w:cs="Times New Roman"/>
        </w:rPr>
        <w:t xml:space="preserve">and </w:t>
      </w:r>
      <w:r>
        <w:rPr>
          <w:rFonts w:ascii="Times New Roman" w:hAnsi="Times New Roman" w:cs="Times New Roman"/>
        </w:rPr>
        <w:t>Y. Marshall</w:t>
      </w:r>
      <w:r w:rsidRPr="004C02AF">
        <w:rPr>
          <w:rFonts w:ascii="Times New Roman" w:hAnsi="Times New Roman" w:cs="Times New Roman"/>
        </w:rPr>
        <w:t xml:space="preserve">, ‘The cultural biography of objects’, </w:t>
      </w:r>
      <w:r w:rsidRPr="004C02AF">
        <w:rPr>
          <w:rFonts w:ascii="Times New Roman" w:hAnsi="Times New Roman" w:cs="Times New Roman"/>
          <w:i/>
          <w:iCs/>
        </w:rPr>
        <w:t>World Archaeol</w:t>
      </w:r>
      <w:r>
        <w:rPr>
          <w:rFonts w:ascii="Times New Roman" w:hAnsi="Times New Roman" w:cs="Times New Roman"/>
          <w:i/>
          <w:iCs/>
        </w:rPr>
        <w:t>ogy</w:t>
      </w:r>
      <w:r w:rsidRPr="004C02AF">
        <w:rPr>
          <w:rFonts w:ascii="Times New Roman" w:hAnsi="Times New Roman" w:cs="Times New Roman"/>
        </w:rPr>
        <w:t xml:space="preserve"> 31</w:t>
      </w:r>
      <w:r>
        <w:rPr>
          <w:rFonts w:ascii="Times New Roman" w:hAnsi="Times New Roman" w:cs="Times New Roman"/>
        </w:rPr>
        <w:t xml:space="preserve"> (</w:t>
      </w:r>
      <w:r w:rsidRPr="004C02AF">
        <w:rPr>
          <w:rFonts w:ascii="Times New Roman" w:hAnsi="Times New Roman" w:cs="Times New Roman"/>
        </w:rPr>
        <w:t>1999</w:t>
      </w:r>
      <w:r>
        <w:rPr>
          <w:rFonts w:ascii="Times New Roman" w:hAnsi="Times New Roman" w:cs="Times New Roman"/>
        </w:rPr>
        <w:t>)</w:t>
      </w:r>
      <w:r w:rsidRPr="004C02AF">
        <w:rPr>
          <w:rFonts w:ascii="Times New Roman" w:hAnsi="Times New Roman" w:cs="Times New Roman"/>
        </w:rPr>
        <w:t>, 169-178.</w:t>
      </w:r>
    </w:p>
  </w:footnote>
  <w:footnote w:id="25">
    <w:p w:rsidR="002404CF" w:rsidRDefault="002404CF" w:rsidP="009B2451">
      <w:pPr>
        <w:pStyle w:val="FootnoteText"/>
        <w:spacing w:line="360" w:lineRule="auto"/>
      </w:pPr>
      <w:r>
        <w:rPr>
          <w:rStyle w:val="FootnoteReference"/>
        </w:rPr>
        <w:footnoteRef/>
      </w:r>
      <w:r>
        <w:t xml:space="preserve"> D. Hicks, ‘From “Questions that Count” to Stories that “Matter” in Historical Archaeology’, </w:t>
      </w:r>
      <w:r w:rsidRPr="009476ED">
        <w:rPr>
          <w:i/>
        </w:rPr>
        <w:t>Antiquity</w:t>
      </w:r>
      <w:r>
        <w:t xml:space="preserve"> 78 (302)</w:t>
      </w:r>
      <w:r w:rsidR="009476ED">
        <w:t xml:space="preserve"> (2004)</w:t>
      </w:r>
      <w:r>
        <w:t>, 934-939.</w:t>
      </w:r>
    </w:p>
  </w:footnote>
  <w:footnote w:id="26">
    <w:p w:rsidR="007A7A1D" w:rsidRDefault="007A7A1D" w:rsidP="009B2451">
      <w:pPr>
        <w:pStyle w:val="FootnoteText"/>
        <w:spacing w:line="360" w:lineRule="auto"/>
      </w:pPr>
      <w:r>
        <w:rPr>
          <w:rStyle w:val="FootnoteReference"/>
        </w:rPr>
        <w:footnoteRef/>
      </w:r>
      <w:r>
        <w:t xml:space="preserve"> CYA </w:t>
      </w:r>
      <w:r w:rsidRPr="004C02AF">
        <w:rPr>
          <w:rFonts w:ascii="Times New Roman" w:hAnsi="Times New Roman"/>
          <w:lang w:val="en-GB"/>
        </w:rPr>
        <w:t xml:space="preserve">YA/Acc 163 </w:t>
      </w:r>
      <w:r>
        <w:rPr>
          <w:rFonts w:ascii="Times New Roman" w:hAnsi="Times New Roman"/>
          <w:i/>
          <w:lang w:val="en-GB"/>
        </w:rPr>
        <w:t>Analecta Eboracensia</w:t>
      </w:r>
      <w:r w:rsidRPr="00CC2CCA">
        <w:rPr>
          <w:rFonts w:ascii="Times New Roman" w:hAnsi="Times New Roman"/>
          <w:lang w:val="en-GB"/>
        </w:rPr>
        <w:t xml:space="preserve"> </w:t>
      </w:r>
    </w:p>
  </w:footnote>
  <w:footnote w:id="27">
    <w:p w:rsidR="007A7A1D" w:rsidRPr="007A7A1D" w:rsidRDefault="007A7A1D" w:rsidP="009B2451">
      <w:pPr>
        <w:widowControl w:val="0"/>
        <w:tabs>
          <w:tab w:val="left" w:pos="2694"/>
          <w:tab w:val="left" w:pos="2835"/>
          <w:tab w:val="left" w:pos="3543"/>
          <w:tab w:val="left" w:pos="4252"/>
          <w:tab w:val="left" w:pos="4961"/>
          <w:tab w:val="left" w:pos="5669"/>
          <w:tab w:val="left" w:pos="6378"/>
          <w:tab w:val="left" w:pos="7087"/>
          <w:tab w:val="left" w:pos="7795"/>
          <w:tab w:val="left" w:pos="8504"/>
          <w:tab w:val="left" w:pos="9213"/>
        </w:tabs>
        <w:autoSpaceDE w:val="0"/>
        <w:autoSpaceDN w:val="0"/>
        <w:adjustRightInd w:val="0"/>
        <w:spacing w:line="360" w:lineRule="auto"/>
        <w:rPr>
          <w:rFonts w:ascii="Times New Roman" w:hAnsi="Times New Roman" w:cs="Times New Roman"/>
          <w:color w:val="000000"/>
        </w:rPr>
      </w:pPr>
      <w:r>
        <w:rPr>
          <w:rStyle w:val="FootnoteReference"/>
        </w:rPr>
        <w:footnoteRef/>
      </w:r>
      <w:r>
        <w:t xml:space="preserve"> S.D. </w:t>
      </w:r>
      <w:r>
        <w:rPr>
          <w:rFonts w:ascii="Times New Roman" w:hAnsi="Times New Roman" w:cs="Times New Roman"/>
          <w:color w:val="000000"/>
        </w:rPr>
        <w:t xml:space="preserve">Hogarth, </w:t>
      </w:r>
      <w:r w:rsidRPr="004C02AF">
        <w:rPr>
          <w:rFonts w:ascii="Times New Roman" w:hAnsi="Times New Roman" w:cs="Times New Roman"/>
          <w:color w:val="000000"/>
        </w:rPr>
        <w:t>‘Dr William White (1744-1790) of Castlegate “a physician of considerable talent”</w:t>
      </w:r>
      <w:r>
        <w:rPr>
          <w:rFonts w:ascii="Times New Roman" w:hAnsi="Times New Roman" w:cs="Times New Roman"/>
          <w:color w:val="000000"/>
        </w:rPr>
        <w:t> </w:t>
      </w:r>
      <w:r w:rsidRPr="004C02AF">
        <w:rPr>
          <w:rFonts w:ascii="Times New Roman" w:hAnsi="Times New Roman" w:cs="Times New Roman"/>
          <w:color w:val="000000"/>
        </w:rPr>
        <w:t xml:space="preserve">’, </w:t>
      </w:r>
      <w:r w:rsidRPr="004C02AF">
        <w:rPr>
          <w:rFonts w:ascii="Times New Roman" w:hAnsi="Times New Roman" w:cs="Times New Roman"/>
          <w:i/>
          <w:color w:val="000000"/>
        </w:rPr>
        <w:t>York Historian</w:t>
      </w:r>
      <w:r w:rsidRPr="004C02AF">
        <w:rPr>
          <w:rFonts w:ascii="Times New Roman" w:hAnsi="Times New Roman" w:cs="Times New Roman"/>
          <w:color w:val="000000"/>
        </w:rPr>
        <w:t xml:space="preserve"> 24</w:t>
      </w:r>
      <w:r>
        <w:rPr>
          <w:rFonts w:ascii="Times New Roman" w:hAnsi="Times New Roman" w:cs="Times New Roman"/>
          <w:color w:val="000000"/>
        </w:rPr>
        <w:t xml:space="preserve"> (</w:t>
      </w:r>
      <w:r w:rsidRPr="004C02AF">
        <w:rPr>
          <w:rFonts w:ascii="Times New Roman" w:hAnsi="Times New Roman" w:cs="Times New Roman"/>
          <w:color w:val="000000"/>
        </w:rPr>
        <w:t>2007</w:t>
      </w:r>
      <w:r>
        <w:rPr>
          <w:rFonts w:ascii="Times New Roman" w:hAnsi="Times New Roman" w:cs="Times New Roman"/>
          <w:color w:val="000000"/>
        </w:rPr>
        <w:t>)</w:t>
      </w:r>
      <w:r w:rsidRPr="004C02AF">
        <w:rPr>
          <w:rFonts w:ascii="Times New Roman" w:hAnsi="Times New Roman" w:cs="Times New Roman"/>
          <w:color w:val="000000"/>
        </w:rPr>
        <w:t>, 19-36.</w:t>
      </w:r>
    </w:p>
  </w:footnote>
  <w:footnote w:id="28">
    <w:p w:rsidR="007A7A1D" w:rsidRDefault="007A7A1D" w:rsidP="009B2451">
      <w:pPr>
        <w:pStyle w:val="FootnoteText"/>
        <w:spacing w:line="360" w:lineRule="auto"/>
      </w:pPr>
      <w:r>
        <w:rPr>
          <w:rStyle w:val="FootnoteReference"/>
        </w:rPr>
        <w:footnoteRef/>
      </w:r>
      <w:r>
        <w:t xml:space="preserve"> RCHME, </w:t>
      </w:r>
      <w:r w:rsidRPr="007A7A1D">
        <w:rPr>
          <w:i/>
        </w:rPr>
        <w:t>City of York</w:t>
      </w:r>
      <w:r w:rsidR="004C6E3D">
        <w:rPr>
          <w:i/>
        </w:rPr>
        <w:t xml:space="preserve"> Vol V</w:t>
      </w:r>
      <w:r>
        <w:t>, 173.</w:t>
      </w:r>
    </w:p>
  </w:footnote>
  <w:footnote w:id="29">
    <w:p w:rsidR="007A7A1D" w:rsidRDefault="007A7A1D" w:rsidP="009B2451">
      <w:pPr>
        <w:pStyle w:val="FootnoteText"/>
        <w:spacing w:line="360" w:lineRule="auto"/>
      </w:pPr>
      <w:r>
        <w:rPr>
          <w:rStyle w:val="FootnoteReference"/>
        </w:rPr>
        <w:footnoteRef/>
      </w:r>
      <w:r>
        <w:t xml:space="preserve"> </w:t>
      </w:r>
      <w:r w:rsidRPr="007A7A1D">
        <w:rPr>
          <w:i/>
        </w:rPr>
        <w:t>Ibid</w:t>
      </w:r>
      <w:r>
        <w:t>, 199</w:t>
      </w:r>
      <w:r w:rsidR="009476ED">
        <w:t>.</w:t>
      </w:r>
    </w:p>
  </w:footnote>
  <w:footnote w:id="30">
    <w:p w:rsidR="004C6E3D" w:rsidRDefault="004C6E3D" w:rsidP="009B2451">
      <w:pPr>
        <w:pStyle w:val="FootnoteText"/>
        <w:spacing w:line="360" w:lineRule="auto"/>
      </w:pPr>
      <w:r>
        <w:rPr>
          <w:rStyle w:val="FootnoteReference"/>
        </w:rPr>
        <w:footnoteRef/>
      </w:r>
      <w:r>
        <w:t xml:space="preserve"> </w:t>
      </w:r>
      <w:r>
        <w:rPr>
          <w:rFonts w:ascii="Times New Roman" w:hAnsi="Times New Roman"/>
        </w:rPr>
        <w:t>YAG</w:t>
      </w:r>
      <w:r w:rsidR="009476ED">
        <w:rPr>
          <w:rFonts w:ascii="Times New Roman" w:hAnsi="Times New Roman"/>
        </w:rPr>
        <w:t>,</w:t>
      </w:r>
      <w:r w:rsidRPr="00EF71CA">
        <w:rPr>
          <w:rFonts w:ascii="Times New Roman" w:hAnsi="Times New Roman"/>
        </w:rPr>
        <w:t xml:space="preserve"> YORAG R230, St Crux’s Church and Pavement</w:t>
      </w:r>
      <w:r>
        <w:rPr>
          <w:rFonts w:ascii="Times New Roman" w:hAnsi="Times New Roman"/>
        </w:rPr>
        <w:t>.</w:t>
      </w:r>
    </w:p>
  </w:footnote>
  <w:footnote w:id="31">
    <w:p w:rsidR="004C6E3D" w:rsidRPr="002E5C59" w:rsidRDefault="004C6E3D" w:rsidP="002E5C59">
      <w:pPr>
        <w:spacing w:line="360" w:lineRule="auto"/>
        <w:rPr>
          <w:szCs w:val="20"/>
          <w:lang w:val="en-GB"/>
        </w:rPr>
      </w:pPr>
      <w:r>
        <w:rPr>
          <w:rStyle w:val="FootnoteReference"/>
        </w:rPr>
        <w:footnoteRef/>
      </w:r>
      <w:r>
        <w:t xml:space="preserve"> </w:t>
      </w:r>
      <w:r w:rsidR="009476ED">
        <w:t>CYA</w:t>
      </w:r>
      <w:r w:rsidR="002E5C59" w:rsidRPr="002E5C59">
        <w:rPr>
          <w:rFonts w:cs="Times New Roman"/>
          <w:color w:val="000000"/>
        </w:rPr>
        <w:t xml:space="preserve">, </w:t>
      </w:r>
      <w:r w:rsidR="002E5C59">
        <w:rPr>
          <w:color w:val="444444"/>
          <w:szCs w:val="16"/>
          <w:shd w:val="clear" w:color="auto" w:fill="FFFFFF"/>
          <w:lang w:val="en-GB"/>
        </w:rPr>
        <w:t xml:space="preserve">y9 pav </w:t>
      </w:r>
      <w:r w:rsidR="002E5C59" w:rsidRPr="002E5C59">
        <w:rPr>
          <w:color w:val="444444"/>
          <w:szCs w:val="16"/>
          <w:shd w:val="clear" w:color="auto" w:fill="FFFFFF"/>
          <w:lang w:val="en-GB"/>
        </w:rPr>
        <w:t>550</w:t>
      </w:r>
      <w:r w:rsidR="002E5C59" w:rsidRPr="002E5C59">
        <w:rPr>
          <w:rFonts w:cs="Times New Roman"/>
          <w:color w:val="000000"/>
        </w:rPr>
        <w:t>.</w:t>
      </w:r>
    </w:p>
  </w:footnote>
  <w:footnote w:id="32">
    <w:p w:rsidR="004C6E3D" w:rsidRPr="004C6E3D" w:rsidRDefault="004C6E3D" w:rsidP="002E5C59">
      <w:pPr>
        <w:pStyle w:val="FootnoteText"/>
        <w:spacing w:line="360" w:lineRule="auto"/>
      </w:pPr>
      <w:r>
        <w:rPr>
          <w:rStyle w:val="FootnoteReference"/>
        </w:rPr>
        <w:footnoteRef/>
      </w:r>
      <w:r>
        <w:t xml:space="preserve"> </w:t>
      </w:r>
      <w:r>
        <w:rPr>
          <w:szCs w:val="23"/>
        </w:rPr>
        <w:t>RCHME</w:t>
      </w:r>
      <w:r w:rsidRPr="004C6E3D">
        <w:rPr>
          <w:szCs w:val="23"/>
        </w:rPr>
        <w:t xml:space="preserve"> </w:t>
      </w:r>
      <w:r w:rsidRPr="004C6E3D">
        <w:rPr>
          <w:i/>
          <w:iCs/>
          <w:szCs w:val="23"/>
        </w:rPr>
        <w:t>An Inventory of The Historical Monuments in the City of York</w:t>
      </w:r>
      <w:r>
        <w:rPr>
          <w:i/>
          <w:iCs/>
          <w:szCs w:val="23"/>
        </w:rPr>
        <w:t>. Vol 3. South-West of the Ouse</w:t>
      </w:r>
      <w:r w:rsidRPr="004C6E3D">
        <w:rPr>
          <w:i/>
          <w:iCs/>
          <w:szCs w:val="23"/>
        </w:rPr>
        <w:t xml:space="preserve"> </w:t>
      </w:r>
      <w:r>
        <w:rPr>
          <w:szCs w:val="23"/>
        </w:rPr>
        <w:t>(L</w:t>
      </w:r>
      <w:r w:rsidRPr="004C6E3D">
        <w:rPr>
          <w:szCs w:val="23"/>
        </w:rPr>
        <w:t>ondon</w:t>
      </w:r>
      <w:r>
        <w:rPr>
          <w:szCs w:val="23"/>
        </w:rPr>
        <w:t xml:space="preserve"> 1972), 88</w:t>
      </w:r>
      <w:r w:rsidRPr="004C6E3D">
        <w:t xml:space="preserve">; RCHME, </w:t>
      </w:r>
      <w:r w:rsidRPr="004C6E3D">
        <w:rPr>
          <w:i/>
        </w:rPr>
        <w:t>City of York Vol V</w:t>
      </w:r>
      <w:r w:rsidRPr="004C6E3D">
        <w:t>, 143</w:t>
      </w:r>
      <w:r>
        <w:t>.</w:t>
      </w:r>
    </w:p>
  </w:footnote>
  <w:footnote w:id="33">
    <w:p w:rsidR="004C6E3D" w:rsidRPr="00047A64" w:rsidRDefault="004C6E3D" w:rsidP="009B2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r>
        <w:rPr>
          <w:rStyle w:val="FootnoteReference"/>
        </w:rPr>
        <w:footnoteRef/>
      </w:r>
      <w:r>
        <w:t xml:space="preserve"> J. </w:t>
      </w:r>
      <w:r>
        <w:rPr>
          <w:rFonts w:ascii="Times New Roman" w:hAnsi="Times New Roman" w:cs="Times New Roman"/>
        </w:rPr>
        <w:t>Grenville</w:t>
      </w:r>
      <w:r w:rsidRPr="004C02AF">
        <w:rPr>
          <w:rFonts w:ascii="Times New Roman" w:hAnsi="Times New Roman" w:cs="Times New Roman"/>
        </w:rPr>
        <w:t xml:space="preserve">, </w:t>
      </w:r>
      <w:r w:rsidRPr="004C02AF">
        <w:rPr>
          <w:rFonts w:ascii="Times New Roman" w:hAnsi="Times New Roman" w:cs="Times New Roman"/>
          <w:i/>
          <w:iCs/>
        </w:rPr>
        <w:t>Medieval Housing</w:t>
      </w:r>
      <w:r w:rsidRPr="004C02AF">
        <w:rPr>
          <w:rFonts w:ascii="Times New Roman" w:hAnsi="Times New Roman" w:cs="Times New Roman"/>
        </w:rPr>
        <w:t xml:space="preserve"> </w:t>
      </w:r>
      <w:r>
        <w:rPr>
          <w:rFonts w:ascii="Times New Roman" w:hAnsi="Times New Roman" w:cs="Times New Roman"/>
        </w:rPr>
        <w:t>(</w:t>
      </w:r>
      <w:r w:rsidRPr="004C02AF">
        <w:rPr>
          <w:rFonts w:ascii="Times New Roman" w:hAnsi="Times New Roman" w:cs="Times New Roman"/>
        </w:rPr>
        <w:t>London</w:t>
      </w:r>
      <w:r>
        <w:rPr>
          <w:rFonts w:ascii="Times New Roman" w:hAnsi="Times New Roman" w:cs="Times New Roman"/>
        </w:rPr>
        <w:t xml:space="preserve"> </w:t>
      </w:r>
      <w:r w:rsidRPr="004C02AF">
        <w:rPr>
          <w:rFonts w:ascii="Times New Roman" w:hAnsi="Times New Roman" w:cs="Times New Roman"/>
        </w:rPr>
        <w:t>1997</w:t>
      </w:r>
      <w:r>
        <w:rPr>
          <w:rFonts w:ascii="Times New Roman" w:hAnsi="Times New Roman" w:cs="Times New Roman"/>
        </w:rPr>
        <w:t>)</w:t>
      </w:r>
      <w:r w:rsidRPr="004C02AF">
        <w:rPr>
          <w:rFonts w:ascii="Times New Roman" w:hAnsi="Times New Roman" w:cs="Times New Roman"/>
        </w:rPr>
        <w:t>.</w:t>
      </w:r>
    </w:p>
  </w:footnote>
  <w:footnote w:id="34">
    <w:p w:rsidR="00047A64" w:rsidRPr="00047A64" w:rsidRDefault="00047A64" w:rsidP="009B2451">
      <w:pPr>
        <w:pStyle w:val="FootnoteText"/>
        <w:spacing w:line="360" w:lineRule="auto"/>
        <w:rPr>
          <w:rFonts w:ascii="Times New Roman" w:hAnsi="Times New Roman"/>
        </w:rPr>
      </w:pPr>
      <w:r>
        <w:rPr>
          <w:rStyle w:val="FootnoteReference"/>
        </w:rPr>
        <w:footnoteRef/>
      </w:r>
      <w:r>
        <w:t xml:space="preserve"> </w:t>
      </w:r>
      <w:r w:rsidRPr="00047A64">
        <w:rPr>
          <w:rFonts w:ascii="Times New Roman" w:hAnsi="Times New Roman"/>
        </w:rPr>
        <w:t>YAG</w:t>
      </w:r>
      <w:r w:rsidR="009476ED">
        <w:rPr>
          <w:rFonts w:ascii="Times New Roman" w:hAnsi="Times New Roman"/>
        </w:rPr>
        <w:t>,</w:t>
      </w:r>
      <w:r w:rsidRPr="00047A64">
        <w:rPr>
          <w:rFonts w:ascii="Times New Roman" w:hAnsi="Times New Roman"/>
        </w:rPr>
        <w:t xml:space="preserve"> </w:t>
      </w:r>
      <w:r w:rsidRPr="00047A64">
        <w:rPr>
          <w:rFonts w:ascii="Times New Roman" w:hAnsi="Times New Roman" w:cs="Times New Roman"/>
        </w:rPr>
        <w:t>YORAG R1539, Pavement 1803 by J.C. Nattes.</w:t>
      </w:r>
    </w:p>
  </w:footnote>
  <w:footnote w:id="35">
    <w:p w:rsidR="00047A64" w:rsidRDefault="00047A64" w:rsidP="009B2451">
      <w:pPr>
        <w:pStyle w:val="FootnoteText"/>
        <w:spacing w:line="360" w:lineRule="auto"/>
      </w:pPr>
      <w:r>
        <w:rPr>
          <w:rStyle w:val="FootnoteReference"/>
        </w:rPr>
        <w:footnoteRef/>
      </w:r>
      <w:r>
        <w:t xml:space="preserve"> </w:t>
      </w:r>
      <w:r w:rsidRPr="004C6E3D">
        <w:t xml:space="preserve">RCHME, </w:t>
      </w:r>
      <w:r w:rsidRPr="004C6E3D">
        <w:rPr>
          <w:i/>
        </w:rPr>
        <w:t>City of York Vol V</w:t>
      </w:r>
      <w:r w:rsidRPr="004C6E3D">
        <w:t xml:space="preserve">, </w:t>
      </w:r>
      <w:r>
        <w:t>176.</w:t>
      </w:r>
    </w:p>
  </w:footnote>
  <w:footnote w:id="36">
    <w:p w:rsidR="00A84DAE" w:rsidRDefault="00A84DAE" w:rsidP="009B2451">
      <w:pPr>
        <w:pStyle w:val="FootnoteText"/>
        <w:spacing w:line="360" w:lineRule="auto"/>
      </w:pPr>
      <w:r>
        <w:rPr>
          <w:rStyle w:val="FootnoteReference"/>
        </w:rPr>
        <w:footnoteRef/>
      </w:r>
      <w:r>
        <w:t xml:space="preserve"> </w:t>
      </w:r>
      <w:r w:rsidRPr="001642C3">
        <w:rPr>
          <w:i/>
          <w:iCs/>
          <w:szCs w:val="23"/>
        </w:rPr>
        <w:t xml:space="preserve">The York Guide </w:t>
      </w:r>
      <w:r w:rsidRPr="001642C3">
        <w:rPr>
          <w:szCs w:val="23"/>
        </w:rPr>
        <w:t xml:space="preserve">1787; </w:t>
      </w:r>
      <w:r w:rsidRPr="001642C3">
        <w:rPr>
          <w:i/>
          <w:iCs/>
          <w:szCs w:val="23"/>
        </w:rPr>
        <w:t xml:space="preserve">Universal British Directory Vol IV </w:t>
      </w:r>
      <w:r>
        <w:rPr>
          <w:szCs w:val="23"/>
        </w:rPr>
        <w:t>1798;</w:t>
      </w:r>
      <w:r w:rsidRPr="001642C3">
        <w:rPr>
          <w:szCs w:val="23"/>
        </w:rPr>
        <w:t xml:space="preserve"> </w:t>
      </w:r>
      <w:r w:rsidRPr="001642C3">
        <w:rPr>
          <w:i/>
          <w:iCs/>
          <w:szCs w:val="23"/>
        </w:rPr>
        <w:t xml:space="preserve">Pigot’s General Directory </w:t>
      </w:r>
      <w:r w:rsidRPr="001642C3">
        <w:rPr>
          <w:szCs w:val="23"/>
        </w:rPr>
        <w:t>1816-17</w:t>
      </w:r>
      <w:r>
        <w:rPr>
          <w:szCs w:val="23"/>
        </w:rPr>
        <w:t>.</w:t>
      </w:r>
    </w:p>
  </w:footnote>
  <w:footnote w:id="37">
    <w:p w:rsidR="00A84DAE" w:rsidRDefault="00A84DAE" w:rsidP="009B2451">
      <w:pPr>
        <w:pStyle w:val="FootnoteText"/>
        <w:spacing w:line="360" w:lineRule="auto"/>
      </w:pPr>
      <w:r>
        <w:rPr>
          <w:rStyle w:val="FootnoteReference"/>
        </w:rPr>
        <w:footnoteRef/>
      </w:r>
      <w:r>
        <w:t xml:space="preserve"> </w:t>
      </w:r>
      <w:r w:rsidRPr="00A84DAE">
        <w:rPr>
          <w:i/>
        </w:rPr>
        <w:t>York Chronicle</w:t>
      </w:r>
      <w:r>
        <w:t xml:space="preserve"> (YCh) 11 November 1774.</w:t>
      </w:r>
    </w:p>
  </w:footnote>
  <w:footnote w:id="38">
    <w:p w:rsidR="00A84DAE" w:rsidRDefault="00A84DAE" w:rsidP="009B2451">
      <w:pPr>
        <w:pStyle w:val="FootnoteText"/>
        <w:spacing w:line="360" w:lineRule="auto"/>
      </w:pPr>
      <w:r>
        <w:rPr>
          <w:rStyle w:val="FootnoteReference"/>
        </w:rPr>
        <w:footnoteRef/>
      </w:r>
      <w:r>
        <w:t xml:space="preserve"> </w:t>
      </w:r>
      <w:r w:rsidRPr="00A84DAE">
        <w:rPr>
          <w:i/>
        </w:rPr>
        <w:t>YCh</w:t>
      </w:r>
      <w:r>
        <w:t xml:space="preserve"> </w:t>
      </w:r>
      <w:r w:rsidRPr="001642C3">
        <w:rPr>
          <w:szCs w:val="23"/>
        </w:rPr>
        <w:t>12 August 1774</w:t>
      </w:r>
      <w:r>
        <w:rPr>
          <w:szCs w:val="23"/>
        </w:rPr>
        <w:t>.</w:t>
      </w:r>
    </w:p>
  </w:footnote>
  <w:footnote w:id="39">
    <w:p w:rsidR="00A34EB5" w:rsidRPr="00A34EB5" w:rsidRDefault="00A34EB5" w:rsidP="009B2451">
      <w:pPr>
        <w:pStyle w:val="FootnoteText"/>
        <w:spacing w:line="360" w:lineRule="auto"/>
      </w:pPr>
      <w:r>
        <w:rPr>
          <w:rStyle w:val="FootnoteReference"/>
        </w:rPr>
        <w:footnoteRef/>
      </w:r>
      <w:r>
        <w:t xml:space="preserve"> </w:t>
      </w:r>
      <w:r w:rsidRPr="00A34EB5">
        <w:rPr>
          <w:szCs w:val="23"/>
        </w:rPr>
        <w:t>YORAG</w:t>
      </w:r>
      <w:r w:rsidR="009476ED">
        <w:rPr>
          <w:szCs w:val="23"/>
        </w:rPr>
        <w:t>,</w:t>
      </w:r>
      <w:r w:rsidRPr="00A34EB5">
        <w:rPr>
          <w:szCs w:val="23"/>
        </w:rPr>
        <w:t xml:space="preserve"> R5114 View of Pavement leading into High Ousegate, by an unknown artist, c.1780-1810 </w:t>
      </w:r>
    </w:p>
  </w:footnote>
  <w:footnote w:id="40">
    <w:p w:rsidR="00A84DAE" w:rsidRDefault="00A84DAE" w:rsidP="009B2451">
      <w:pPr>
        <w:pStyle w:val="FootnoteText"/>
        <w:spacing w:line="360" w:lineRule="auto"/>
      </w:pPr>
      <w:r>
        <w:rPr>
          <w:rStyle w:val="FootnoteReference"/>
        </w:rPr>
        <w:footnoteRef/>
      </w:r>
      <w:r>
        <w:t xml:space="preserve"> </w:t>
      </w:r>
      <w:r w:rsidRPr="004C02AF">
        <w:rPr>
          <w:rFonts w:ascii="Times New Roman" w:hAnsi="Times New Roman"/>
          <w:i/>
          <w:lang w:val="en-GB"/>
        </w:rPr>
        <w:t>York Courant</w:t>
      </w:r>
      <w:r w:rsidRPr="004C02AF">
        <w:rPr>
          <w:rFonts w:ascii="Times New Roman" w:hAnsi="Times New Roman"/>
          <w:lang w:val="en-GB"/>
        </w:rPr>
        <w:t xml:space="preserve"> </w:t>
      </w:r>
      <w:r w:rsidRPr="001642C3">
        <w:rPr>
          <w:szCs w:val="23"/>
        </w:rPr>
        <w:t>9 July 1782</w:t>
      </w:r>
      <w:r>
        <w:rPr>
          <w:szCs w:val="23"/>
        </w:rPr>
        <w:t>.</w:t>
      </w:r>
    </w:p>
  </w:footnote>
  <w:footnote w:id="41">
    <w:p w:rsidR="00A84DAE" w:rsidRDefault="00A84DAE" w:rsidP="009B2451">
      <w:pPr>
        <w:pStyle w:val="FootnoteText"/>
        <w:spacing w:line="360" w:lineRule="auto"/>
      </w:pPr>
      <w:r>
        <w:rPr>
          <w:rStyle w:val="FootnoteReference"/>
        </w:rPr>
        <w:footnoteRef/>
      </w:r>
      <w:r>
        <w:t xml:space="preserve"> </w:t>
      </w:r>
      <w:r w:rsidRPr="001642C3">
        <w:rPr>
          <w:szCs w:val="23"/>
        </w:rPr>
        <w:t>N</w:t>
      </w:r>
      <w:r>
        <w:rPr>
          <w:szCs w:val="23"/>
        </w:rPr>
        <w:t xml:space="preserve">ational </w:t>
      </w:r>
      <w:r w:rsidRPr="001642C3">
        <w:rPr>
          <w:szCs w:val="23"/>
        </w:rPr>
        <w:t>M</w:t>
      </w:r>
      <w:r>
        <w:rPr>
          <w:szCs w:val="23"/>
        </w:rPr>
        <w:t xml:space="preserve">onuments </w:t>
      </w:r>
      <w:r w:rsidRPr="001642C3">
        <w:rPr>
          <w:szCs w:val="23"/>
        </w:rPr>
        <w:t>R</w:t>
      </w:r>
      <w:r>
        <w:rPr>
          <w:szCs w:val="23"/>
        </w:rPr>
        <w:t>ecord</w:t>
      </w:r>
      <w:r w:rsidRPr="001642C3">
        <w:rPr>
          <w:szCs w:val="23"/>
        </w:rPr>
        <w:t xml:space="preserve"> </w:t>
      </w:r>
      <w:r>
        <w:rPr>
          <w:szCs w:val="23"/>
        </w:rPr>
        <w:t>‘</w:t>
      </w:r>
      <w:r w:rsidRPr="001642C3">
        <w:rPr>
          <w:szCs w:val="23"/>
        </w:rPr>
        <w:t>The Herbert House, Lady Peckett’s Yard</w:t>
      </w:r>
      <w:r>
        <w:rPr>
          <w:szCs w:val="23"/>
        </w:rPr>
        <w:t>, City of York’.</w:t>
      </w:r>
    </w:p>
  </w:footnote>
  <w:footnote w:id="42">
    <w:p w:rsidR="00A84DAE" w:rsidRDefault="00A84DAE" w:rsidP="009B2451">
      <w:pPr>
        <w:pStyle w:val="FootnoteText"/>
        <w:spacing w:line="360" w:lineRule="auto"/>
      </w:pPr>
      <w:r>
        <w:rPr>
          <w:rStyle w:val="FootnoteReference"/>
        </w:rPr>
        <w:footnoteRef/>
      </w:r>
      <w:r>
        <w:t xml:space="preserve"> J. </w:t>
      </w:r>
      <w:r w:rsidRPr="001642C3">
        <w:rPr>
          <w:szCs w:val="23"/>
        </w:rPr>
        <w:t>Stobart</w:t>
      </w:r>
      <w:r w:rsidR="009476ED">
        <w:rPr>
          <w:szCs w:val="23"/>
        </w:rPr>
        <w:t>,</w:t>
      </w:r>
      <w:r w:rsidRPr="001642C3">
        <w:rPr>
          <w:szCs w:val="23"/>
        </w:rPr>
        <w:t xml:space="preserve"> </w:t>
      </w:r>
      <w:r w:rsidRPr="00A84DAE">
        <w:rPr>
          <w:i/>
          <w:szCs w:val="23"/>
        </w:rPr>
        <w:t>Spend, Spend, Spend</w:t>
      </w:r>
      <w:r>
        <w:rPr>
          <w:szCs w:val="23"/>
        </w:rPr>
        <w:t xml:space="preserve"> (Stroud </w:t>
      </w:r>
      <w:r w:rsidRPr="001642C3">
        <w:rPr>
          <w:szCs w:val="23"/>
        </w:rPr>
        <w:t>2008</w:t>
      </w:r>
      <w:r>
        <w:rPr>
          <w:szCs w:val="23"/>
        </w:rPr>
        <w:t>)</w:t>
      </w:r>
      <w:r w:rsidRPr="001642C3">
        <w:rPr>
          <w:szCs w:val="23"/>
        </w:rPr>
        <w:t>, 55</w:t>
      </w:r>
      <w:r>
        <w:rPr>
          <w:szCs w:val="23"/>
        </w:rPr>
        <w:t>.</w:t>
      </w:r>
    </w:p>
  </w:footnote>
  <w:footnote w:id="43">
    <w:p w:rsidR="007F02C6" w:rsidRDefault="007F02C6" w:rsidP="009B2451">
      <w:pPr>
        <w:pStyle w:val="FootnoteText"/>
        <w:spacing w:line="360" w:lineRule="auto"/>
      </w:pPr>
      <w:r>
        <w:rPr>
          <w:rStyle w:val="FootnoteReference"/>
        </w:rPr>
        <w:footnoteRef/>
      </w:r>
      <w:r>
        <w:t xml:space="preserve"> CYA</w:t>
      </w:r>
      <w:r w:rsidR="009476ED">
        <w:t>,</w:t>
      </w:r>
      <w:r>
        <w:t xml:space="preserve"> </w:t>
      </w:r>
      <w:r w:rsidRPr="004C02AF">
        <w:rPr>
          <w:rFonts w:ascii="Times New Roman" w:hAnsi="Times New Roman"/>
          <w:lang w:val="en-GB"/>
        </w:rPr>
        <w:t xml:space="preserve">YA/Acc 163 </w:t>
      </w:r>
      <w:r>
        <w:rPr>
          <w:rFonts w:ascii="Times New Roman" w:hAnsi="Times New Roman"/>
          <w:i/>
          <w:lang w:val="en-GB"/>
        </w:rPr>
        <w:t>Analecta Eboracensia</w:t>
      </w:r>
      <w:r w:rsidR="009476ED">
        <w:rPr>
          <w:rFonts w:ascii="Times New Roman" w:hAnsi="Times New Roman"/>
          <w:lang w:val="en-GB"/>
        </w:rPr>
        <w:t>.</w:t>
      </w:r>
      <w:r w:rsidRPr="00CC2CCA">
        <w:rPr>
          <w:rFonts w:ascii="Times New Roman" w:hAnsi="Times New Roman"/>
          <w:lang w:val="en-GB"/>
        </w:rPr>
        <w:t xml:space="preserve"> </w:t>
      </w:r>
    </w:p>
  </w:footnote>
  <w:footnote w:id="44">
    <w:p w:rsidR="007F02C6" w:rsidRDefault="007F02C6" w:rsidP="009B2451">
      <w:pPr>
        <w:pStyle w:val="FootnoteText"/>
        <w:spacing w:line="360" w:lineRule="auto"/>
      </w:pPr>
      <w:r>
        <w:rPr>
          <w:rStyle w:val="FootnoteReference"/>
        </w:rPr>
        <w:footnoteRef/>
      </w:r>
      <w:r>
        <w:t xml:space="preserve"> </w:t>
      </w:r>
      <w:r w:rsidRPr="007F02C6">
        <w:rPr>
          <w:rFonts w:ascii="Times New Roman" w:hAnsi="Times New Roman"/>
          <w:i/>
          <w:lang w:val="en-GB"/>
        </w:rPr>
        <w:t>YC</w:t>
      </w:r>
      <w:r>
        <w:rPr>
          <w:rFonts w:ascii="Times New Roman" w:hAnsi="Times New Roman"/>
          <w:lang w:val="en-GB"/>
        </w:rPr>
        <w:t xml:space="preserve"> </w:t>
      </w:r>
      <w:r w:rsidRPr="004C02AF">
        <w:rPr>
          <w:rFonts w:ascii="Times New Roman" w:hAnsi="Times New Roman"/>
          <w:lang w:val="en-GB"/>
        </w:rPr>
        <w:t>6 November 1809</w:t>
      </w:r>
      <w:r w:rsidR="009476ED">
        <w:rPr>
          <w:rFonts w:ascii="Times New Roman" w:hAnsi="Times New Roman"/>
          <w:lang w:val="en-GB"/>
        </w:rPr>
        <w:t>.</w:t>
      </w:r>
    </w:p>
  </w:footnote>
  <w:footnote w:id="45">
    <w:p w:rsidR="007F02C6" w:rsidRDefault="007F02C6" w:rsidP="009B2451">
      <w:pPr>
        <w:pStyle w:val="FootnoteText"/>
        <w:spacing w:line="360" w:lineRule="auto"/>
      </w:pPr>
      <w:r>
        <w:rPr>
          <w:rStyle w:val="FootnoteReference"/>
        </w:rPr>
        <w:footnoteRef/>
      </w:r>
      <w:r>
        <w:t xml:space="preserve"> Borthwick Institute for Archives, University of York (</w:t>
      </w:r>
      <w:r w:rsidRPr="004C02AF">
        <w:rPr>
          <w:rFonts w:ascii="Times New Roman" w:hAnsi="Times New Roman"/>
        </w:rPr>
        <w:t>BI UY</w:t>
      </w:r>
      <w:r>
        <w:rPr>
          <w:rFonts w:ascii="Times New Roman" w:hAnsi="Times New Roman"/>
        </w:rPr>
        <w:t>)</w:t>
      </w:r>
      <w:r w:rsidRPr="004C02AF">
        <w:rPr>
          <w:rFonts w:ascii="Times New Roman" w:hAnsi="Times New Roman"/>
        </w:rPr>
        <w:t xml:space="preserve">, </w:t>
      </w:r>
      <w:r w:rsidRPr="004C02AF">
        <w:rPr>
          <w:rFonts w:ascii="Times New Roman" w:hAnsi="Times New Roman"/>
          <w:lang w:val="en-GB"/>
        </w:rPr>
        <w:t>Will of Thomas Willans of York, prog, January 1810, PR154, f1.</w:t>
      </w:r>
    </w:p>
  </w:footnote>
  <w:footnote w:id="46">
    <w:p w:rsidR="007F02C6" w:rsidRDefault="007F02C6" w:rsidP="009B2451">
      <w:pPr>
        <w:pStyle w:val="FootnoteText"/>
        <w:spacing w:line="360" w:lineRule="auto"/>
      </w:pPr>
      <w:r>
        <w:rPr>
          <w:rStyle w:val="FootnoteReference"/>
        </w:rPr>
        <w:footnoteRef/>
      </w:r>
      <w:r>
        <w:t xml:space="preserve"> </w:t>
      </w:r>
      <w:r>
        <w:rPr>
          <w:rFonts w:ascii="Times New Roman" w:hAnsi="Times New Roman"/>
          <w:i/>
          <w:lang w:val="en-GB"/>
        </w:rPr>
        <w:t>YC</w:t>
      </w:r>
      <w:r w:rsidRPr="004C02AF">
        <w:rPr>
          <w:rFonts w:ascii="Times New Roman" w:hAnsi="Times New Roman"/>
          <w:lang w:val="en-GB"/>
        </w:rPr>
        <w:t xml:space="preserve"> 8 November 1785</w:t>
      </w:r>
      <w:r>
        <w:rPr>
          <w:rFonts w:ascii="Times New Roman" w:hAnsi="Times New Roman"/>
          <w:lang w:val="en-GB"/>
        </w:rPr>
        <w:t>.</w:t>
      </w:r>
    </w:p>
  </w:footnote>
  <w:footnote w:id="47">
    <w:p w:rsidR="007F02C6" w:rsidRDefault="007F02C6" w:rsidP="009B2451">
      <w:pPr>
        <w:pStyle w:val="FootnoteText"/>
        <w:spacing w:line="360" w:lineRule="auto"/>
      </w:pPr>
      <w:r>
        <w:rPr>
          <w:rStyle w:val="FootnoteReference"/>
        </w:rPr>
        <w:footnoteRef/>
      </w:r>
      <w:r>
        <w:t xml:space="preserve"> </w:t>
      </w:r>
      <w:r>
        <w:rPr>
          <w:rFonts w:ascii="Times New Roman" w:hAnsi="Times New Roman"/>
          <w:i/>
          <w:lang w:val="en-GB"/>
        </w:rPr>
        <w:t>YC</w:t>
      </w:r>
      <w:r w:rsidRPr="004C02AF">
        <w:rPr>
          <w:rFonts w:ascii="Times New Roman" w:hAnsi="Times New Roman"/>
          <w:lang w:val="en-GB"/>
        </w:rPr>
        <w:t xml:space="preserve"> 11 February 1783; </w:t>
      </w:r>
      <w:r w:rsidRPr="004C02AF">
        <w:rPr>
          <w:rFonts w:ascii="Times New Roman" w:hAnsi="Times New Roman"/>
          <w:i/>
          <w:lang w:val="en-GB"/>
        </w:rPr>
        <w:t>Y</w:t>
      </w:r>
      <w:r w:rsidRPr="004C02AF">
        <w:rPr>
          <w:rFonts w:ascii="Times New Roman" w:hAnsi="Times New Roman"/>
          <w:lang w:val="en-GB"/>
        </w:rPr>
        <w:t>C 9 July 1782</w:t>
      </w:r>
      <w:r>
        <w:rPr>
          <w:rFonts w:ascii="Times New Roman" w:hAnsi="Times New Roman"/>
          <w:lang w:val="en-GB"/>
        </w:rPr>
        <w:t>.</w:t>
      </w:r>
    </w:p>
  </w:footnote>
  <w:footnote w:id="48">
    <w:p w:rsidR="00980020" w:rsidRDefault="00980020" w:rsidP="009B2451">
      <w:pPr>
        <w:pStyle w:val="FootnoteText"/>
        <w:spacing w:line="360" w:lineRule="auto"/>
      </w:pPr>
      <w:r>
        <w:rPr>
          <w:rStyle w:val="FootnoteReference"/>
        </w:rPr>
        <w:footnoteRef/>
      </w:r>
      <w:r>
        <w:t xml:space="preserve"> J. </w:t>
      </w:r>
      <w:r>
        <w:rPr>
          <w:rFonts w:ascii="Times New Roman" w:hAnsi="Times New Roman" w:cs="Times New Roman"/>
          <w:color w:val="000000"/>
        </w:rPr>
        <w:t xml:space="preserve">Stobart </w:t>
      </w:r>
      <w:r w:rsidRPr="00307CDF">
        <w:rPr>
          <w:rFonts w:ascii="Times New Roman" w:hAnsi="Times New Roman" w:cs="Times New Roman"/>
          <w:i/>
          <w:color w:val="000000"/>
        </w:rPr>
        <w:t>et al</w:t>
      </w:r>
      <w:r>
        <w:rPr>
          <w:rFonts w:ascii="Times New Roman" w:hAnsi="Times New Roman" w:cs="Times New Roman"/>
          <w:color w:val="000000"/>
        </w:rPr>
        <w:t>,</w:t>
      </w:r>
      <w:r w:rsidRPr="004C02AF">
        <w:rPr>
          <w:rFonts w:ascii="Times New Roman" w:hAnsi="Times New Roman" w:cs="Times New Roman"/>
          <w:color w:val="000000"/>
        </w:rPr>
        <w:t xml:space="preserve"> </w:t>
      </w:r>
      <w:r w:rsidRPr="004C02AF">
        <w:rPr>
          <w:rFonts w:ascii="Times New Roman" w:hAnsi="Times New Roman" w:cs="Times New Roman"/>
          <w:i/>
          <w:color w:val="000000"/>
        </w:rPr>
        <w:t>Spaces of Consumption</w:t>
      </w:r>
      <w:r>
        <w:rPr>
          <w:rFonts w:ascii="Times New Roman" w:hAnsi="Times New Roman" w:cs="Times New Roman"/>
          <w:color w:val="000000"/>
        </w:rPr>
        <w:t>, 5, 21.</w:t>
      </w:r>
    </w:p>
  </w:footnote>
  <w:footnote w:id="49">
    <w:p w:rsidR="007F02C6" w:rsidRDefault="007F02C6" w:rsidP="009B2451">
      <w:pPr>
        <w:pStyle w:val="BodyTextIndent"/>
        <w:tabs>
          <w:tab w:val="left" w:pos="2410"/>
          <w:tab w:val="left" w:pos="3544"/>
          <w:tab w:val="left" w:pos="3686"/>
          <w:tab w:val="left" w:pos="4253"/>
          <w:tab w:val="left" w:pos="4536"/>
          <w:tab w:val="left" w:pos="4962"/>
          <w:tab w:val="left" w:pos="5245"/>
          <w:tab w:val="left" w:pos="7655"/>
        </w:tabs>
        <w:spacing w:line="360" w:lineRule="auto"/>
        <w:ind w:firstLine="0"/>
      </w:pPr>
      <w:r>
        <w:rPr>
          <w:rStyle w:val="FootnoteReference"/>
        </w:rPr>
        <w:footnoteRef/>
      </w:r>
      <w:r>
        <w:t xml:space="preserve"> J.C. </w:t>
      </w:r>
      <w:r>
        <w:rPr>
          <w:color w:val="000000"/>
        </w:rPr>
        <w:t>Barrett</w:t>
      </w:r>
      <w:r w:rsidR="008D0ECA">
        <w:rPr>
          <w:color w:val="000000"/>
        </w:rPr>
        <w:t>,</w:t>
      </w:r>
      <w:r w:rsidRPr="004C02AF">
        <w:rPr>
          <w:color w:val="000000"/>
        </w:rPr>
        <w:t xml:space="preserve"> </w:t>
      </w:r>
      <w:r w:rsidRPr="004C02AF">
        <w:rPr>
          <w:i/>
          <w:iCs/>
          <w:color w:val="000000"/>
        </w:rPr>
        <w:t>Fragments From Antiquity: An Archaeology of Social Life in Britain, 2900-1200 BC</w:t>
      </w:r>
      <w:r>
        <w:rPr>
          <w:color w:val="000000"/>
        </w:rPr>
        <w:t xml:space="preserve"> (Oxford </w:t>
      </w:r>
      <w:r w:rsidRPr="004C02AF">
        <w:rPr>
          <w:color w:val="000000"/>
        </w:rPr>
        <w:t>1994</w:t>
      </w:r>
      <w:r>
        <w:rPr>
          <w:color w:val="000000"/>
        </w:rPr>
        <w:t>); K. Giles</w:t>
      </w:r>
      <w:r w:rsidR="008D0ECA">
        <w:rPr>
          <w:color w:val="000000"/>
        </w:rPr>
        <w:t>,</w:t>
      </w:r>
      <w:r>
        <w:rPr>
          <w:color w:val="000000"/>
        </w:rPr>
        <w:t xml:space="preserve"> </w:t>
      </w:r>
      <w:r w:rsidRPr="004C02AF">
        <w:rPr>
          <w:i/>
          <w:iCs/>
          <w:color w:val="000000"/>
        </w:rPr>
        <w:t xml:space="preserve">An </w:t>
      </w:r>
      <w:r w:rsidR="009476ED">
        <w:rPr>
          <w:i/>
          <w:iCs/>
          <w:color w:val="000000"/>
        </w:rPr>
        <w:t>Archaeology of Social Identity</w:t>
      </w:r>
      <w:r>
        <w:rPr>
          <w:color w:val="000000"/>
        </w:rPr>
        <w:t xml:space="preserve">; P.C. </w:t>
      </w:r>
      <w:r>
        <w:t>Graves</w:t>
      </w:r>
      <w:r w:rsidR="008D0ECA">
        <w:t>,</w:t>
      </w:r>
      <w:r w:rsidRPr="004C02AF">
        <w:t xml:space="preserve"> </w:t>
      </w:r>
      <w:r w:rsidRPr="004C02AF">
        <w:rPr>
          <w:i/>
        </w:rPr>
        <w:t>The Form and Fabric of Belief: An Archaeology of the Lay Experience of Religion in Medieval Norfolk and Devon</w:t>
      </w:r>
      <w:r>
        <w:t>,</w:t>
      </w:r>
      <w:r w:rsidRPr="004C02AF">
        <w:t xml:space="preserve"> BAR Bri</w:t>
      </w:r>
      <w:r>
        <w:t>tish</w:t>
      </w:r>
      <w:r w:rsidRPr="004C02AF">
        <w:t xml:space="preserve"> Ser</w:t>
      </w:r>
      <w:r>
        <w:t>ies 311</w:t>
      </w:r>
      <w:r w:rsidRPr="004C02AF">
        <w:t xml:space="preserve"> </w:t>
      </w:r>
      <w:r>
        <w:t>(</w:t>
      </w:r>
      <w:r w:rsidRPr="004C02AF">
        <w:t>Oxford</w:t>
      </w:r>
      <w:r>
        <w:t xml:space="preserve"> 2000)</w:t>
      </w:r>
      <w:r w:rsidRPr="004C02AF">
        <w:t>.</w:t>
      </w:r>
    </w:p>
  </w:footnote>
  <w:footnote w:id="50">
    <w:p w:rsidR="000B4F1F" w:rsidRDefault="000B4F1F" w:rsidP="009B2451">
      <w:pPr>
        <w:pStyle w:val="FootnoteText"/>
        <w:spacing w:line="360" w:lineRule="auto"/>
      </w:pPr>
      <w:r>
        <w:rPr>
          <w:rStyle w:val="FootnoteReference"/>
        </w:rPr>
        <w:footnoteRef/>
      </w:r>
      <w:r>
        <w:t xml:space="preserve"> Borsay, </w:t>
      </w:r>
      <w:r>
        <w:rPr>
          <w:rFonts w:ascii="Times New Roman" w:hAnsi="Times New Roman" w:cs="Times New Roman"/>
          <w:i/>
          <w:iCs/>
          <w:color w:val="000000"/>
        </w:rPr>
        <w:t>The English Urban Renaissance</w:t>
      </w:r>
      <w:r>
        <w:rPr>
          <w:rFonts w:ascii="Times New Roman" w:hAnsi="Times New Roman" w:cs="Times New Roman"/>
          <w:iCs/>
          <w:color w:val="000000"/>
        </w:rPr>
        <w:t>, 203.</w:t>
      </w:r>
    </w:p>
  </w:footnote>
  <w:footnote w:id="51">
    <w:p w:rsidR="0033414D" w:rsidRDefault="0033414D" w:rsidP="009B2451">
      <w:pPr>
        <w:pStyle w:val="FootnoteText"/>
        <w:spacing w:line="360" w:lineRule="auto"/>
      </w:pPr>
      <w:r>
        <w:rPr>
          <w:rStyle w:val="FootnoteReference"/>
        </w:rPr>
        <w:footnoteRef/>
      </w:r>
      <w:r>
        <w:t xml:space="preserve"> M. </w:t>
      </w:r>
      <w:r>
        <w:rPr>
          <w:rFonts w:ascii="Times New Roman" w:hAnsi="Times New Roman"/>
        </w:rPr>
        <w:t>Jenkins</w:t>
      </w:r>
      <w:r w:rsidR="009476ED">
        <w:rPr>
          <w:rFonts w:ascii="Times New Roman" w:hAnsi="Times New Roman"/>
        </w:rPr>
        <w:t>,</w:t>
      </w:r>
      <w:r>
        <w:rPr>
          <w:rFonts w:ascii="Times New Roman" w:hAnsi="Times New Roman"/>
        </w:rPr>
        <w:t xml:space="preserve"> </w:t>
      </w:r>
      <w:r w:rsidRPr="009656D9">
        <w:rPr>
          <w:rFonts w:ascii="Times New Roman" w:hAnsi="Times New Roman"/>
        </w:rPr>
        <w:t>‘The View from the Street: Housing and Shopping in York During the Long Eighteenth Century’</w:t>
      </w:r>
      <w:r w:rsidR="009476ED">
        <w:rPr>
          <w:rFonts w:ascii="Times New Roman" w:hAnsi="Times New Roman"/>
        </w:rPr>
        <w:t>,</w:t>
      </w:r>
      <w:r w:rsidRPr="009656D9">
        <w:rPr>
          <w:rFonts w:ascii="Times New Roman" w:hAnsi="Times New Roman"/>
        </w:rPr>
        <w:t xml:space="preserve"> University of York Ph.D thesis</w:t>
      </w:r>
      <w:r>
        <w:rPr>
          <w:rFonts w:ascii="Times New Roman" w:hAnsi="Times New Roman"/>
        </w:rPr>
        <w:t xml:space="preserve"> (2013)</w:t>
      </w:r>
      <w:r w:rsidRPr="009656D9">
        <w:rPr>
          <w:rFonts w:ascii="Times New Roman" w:hAnsi="Times New Roman"/>
        </w:rPr>
        <w:t xml:space="preserve">. </w:t>
      </w:r>
    </w:p>
  </w:footnote>
  <w:footnote w:id="52">
    <w:p w:rsidR="009D68EC" w:rsidRDefault="009D68EC" w:rsidP="009B2451">
      <w:pPr>
        <w:pStyle w:val="FootnoteText"/>
        <w:spacing w:line="360" w:lineRule="auto"/>
      </w:pPr>
      <w:r>
        <w:rPr>
          <w:rStyle w:val="FootnoteReference"/>
        </w:rPr>
        <w:footnoteRef/>
      </w:r>
      <w:r>
        <w:t xml:space="preserve"> </w:t>
      </w:r>
      <w:r w:rsidRPr="004C02AF">
        <w:rPr>
          <w:rFonts w:ascii="Times New Roman" w:hAnsi="Times New Roman" w:cs="Times New Roman"/>
        </w:rPr>
        <w:t>Borsay, ‘Politeness and elegance</w:t>
      </w:r>
      <w:r>
        <w:rPr>
          <w:rFonts w:ascii="Times New Roman" w:hAnsi="Times New Roman" w:cs="Times New Roman"/>
        </w:rPr>
        <w:t>’, 1.</w:t>
      </w:r>
    </w:p>
  </w:footnote>
  <w:footnote w:id="53">
    <w:p w:rsidR="00E64157" w:rsidRPr="00E64157" w:rsidRDefault="00E64157" w:rsidP="009B2451">
      <w:pPr>
        <w:widowControl w:val="0"/>
        <w:tabs>
          <w:tab w:val="left" w:pos="993"/>
          <w:tab w:val="left" w:pos="1985"/>
          <w:tab w:val="left" w:pos="2410"/>
          <w:tab w:val="left" w:pos="2977"/>
          <w:tab w:val="left" w:pos="3261"/>
          <w:tab w:val="left" w:pos="3544"/>
          <w:tab w:val="left" w:pos="3686"/>
          <w:tab w:val="left" w:pos="4253"/>
          <w:tab w:val="left" w:pos="4536"/>
          <w:tab w:val="left" w:pos="4962"/>
          <w:tab w:val="left" w:pos="5245"/>
          <w:tab w:val="left" w:pos="5812"/>
          <w:tab w:val="left" w:pos="6946"/>
          <w:tab w:val="left" w:pos="7230"/>
          <w:tab w:val="left" w:pos="7655"/>
        </w:tabs>
        <w:autoSpaceDE w:val="0"/>
        <w:autoSpaceDN w:val="0"/>
        <w:adjustRightInd w:val="0"/>
        <w:spacing w:line="360" w:lineRule="auto"/>
        <w:rPr>
          <w:rFonts w:ascii="Times New Roman" w:hAnsi="Times New Roman" w:cs="Times New Roman"/>
          <w:color w:val="000000"/>
        </w:rPr>
      </w:pPr>
      <w:r>
        <w:rPr>
          <w:rStyle w:val="FootnoteReference"/>
        </w:rPr>
        <w:footnoteRef/>
      </w:r>
      <w:r>
        <w:t xml:space="preserve"> </w:t>
      </w:r>
      <w:r w:rsidRPr="004C02AF">
        <w:rPr>
          <w:rFonts w:ascii="Times New Roman" w:hAnsi="Times New Roman"/>
        </w:rPr>
        <w:t xml:space="preserve">e.g. </w:t>
      </w:r>
      <w:r>
        <w:rPr>
          <w:rFonts w:ascii="Times New Roman" w:hAnsi="Times New Roman"/>
        </w:rPr>
        <w:t xml:space="preserve">A. </w:t>
      </w:r>
      <w:r>
        <w:rPr>
          <w:rFonts w:ascii="Times New Roman" w:hAnsi="Times New Roman" w:cs="Times New Roman"/>
          <w:color w:val="000000"/>
        </w:rPr>
        <w:t>Brown (ed.)</w:t>
      </w:r>
      <w:r w:rsidR="008D0ECA">
        <w:rPr>
          <w:rFonts w:ascii="Times New Roman" w:hAnsi="Times New Roman" w:cs="Times New Roman"/>
          <w:color w:val="000000"/>
        </w:rPr>
        <w:t>,</w:t>
      </w:r>
      <w:r>
        <w:rPr>
          <w:rFonts w:ascii="Times New Roman" w:hAnsi="Times New Roman" w:cs="Times New Roman"/>
          <w:color w:val="000000"/>
        </w:rPr>
        <w:t xml:space="preserve"> </w:t>
      </w:r>
      <w:r w:rsidRPr="004C02AF">
        <w:rPr>
          <w:rFonts w:ascii="Times New Roman" w:hAnsi="Times New Roman" w:cs="Times New Roman"/>
          <w:i/>
          <w:color w:val="000000"/>
        </w:rPr>
        <w:t>The Rows of Chester: The Chester Rows Research Project</w:t>
      </w:r>
      <w:r w:rsidRPr="004C02AF">
        <w:rPr>
          <w:rFonts w:ascii="Times New Roman" w:hAnsi="Times New Roman" w:cs="Times New Roman"/>
          <w:color w:val="000000"/>
        </w:rPr>
        <w:t xml:space="preserve"> </w:t>
      </w:r>
      <w:r>
        <w:rPr>
          <w:rFonts w:ascii="Times New Roman" w:hAnsi="Times New Roman" w:cs="Times New Roman"/>
          <w:color w:val="000000"/>
        </w:rPr>
        <w:t>(</w:t>
      </w:r>
      <w:r w:rsidRPr="004C02AF">
        <w:rPr>
          <w:rFonts w:ascii="Times New Roman" w:hAnsi="Times New Roman" w:cs="Times New Roman"/>
          <w:color w:val="000000"/>
        </w:rPr>
        <w:t>London</w:t>
      </w:r>
      <w:r>
        <w:rPr>
          <w:rFonts w:ascii="Times New Roman" w:hAnsi="Times New Roman" w:cs="Times New Roman"/>
          <w:color w:val="000000"/>
        </w:rPr>
        <w:t xml:space="preserve"> </w:t>
      </w:r>
      <w:r w:rsidRPr="004C02AF">
        <w:rPr>
          <w:rFonts w:ascii="Times New Roman" w:hAnsi="Times New Roman" w:cs="Times New Roman"/>
          <w:color w:val="000000"/>
        </w:rPr>
        <w:t>1999</w:t>
      </w:r>
      <w:r>
        <w:rPr>
          <w:rFonts w:ascii="Times New Roman" w:hAnsi="Times New Roman" w:cs="Times New Roman"/>
          <w:color w:val="000000"/>
        </w:rPr>
        <w:t>)</w:t>
      </w:r>
      <w:r w:rsidR="00CF0121">
        <w:rPr>
          <w:rFonts w:ascii="Times New Roman" w:hAnsi="Times New Roman" w:cs="Times New Roman"/>
          <w:color w:val="000000"/>
        </w:rPr>
        <w:t xml:space="preserve">; R. Smith and A. Carter, ‘Function and Site: aspects of Norwich buildings before 1700’, </w:t>
      </w:r>
      <w:r w:rsidR="00CF0121" w:rsidRPr="00CF0121">
        <w:rPr>
          <w:rFonts w:ascii="Times New Roman" w:hAnsi="Times New Roman" w:cs="Times New Roman"/>
          <w:i/>
          <w:color w:val="000000"/>
        </w:rPr>
        <w:t>Vernacular Architecture</w:t>
      </w:r>
      <w:r w:rsidR="009476ED">
        <w:rPr>
          <w:rFonts w:ascii="Times New Roman" w:hAnsi="Times New Roman" w:cs="Times New Roman"/>
          <w:color w:val="000000"/>
        </w:rPr>
        <w:t xml:space="preserve"> 14 (1983), 5-18; RCHME</w:t>
      </w:r>
      <w:r w:rsidR="00CF0121">
        <w:rPr>
          <w:rFonts w:ascii="Times New Roman" w:hAnsi="Times New Roman" w:cs="Times New Roman"/>
          <w:color w:val="000000"/>
        </w:rPr>
        <w:t xml:space="preserve">, </w:t>
      </w:r>
      <w:r w:rsidR="00CF0121" w:rsidRPr="004C02AF">
        <w:rPr>
          <w:rFonts w:ascii="Times New Roman" w:hAnsi="Times New Roman" w:cs="Times New Roman"/>
          <w:i/>
          <w:iCs/>
          <w:color w:val="000000"/>
        </w:rPr>
        <w:t xml:space="preserve">An Inventory of The Historical Monuments in the </w:t>
      </w:r>
      <w:r w:rsidR="00CF0121">
        <w:rPr>
          <w:rFonts w:ascii="Times New Roman" w:hAnsi="Times New Roman" w:cs="Times New Roman"/>
          <w:i/>
          <w:iCs/>
          <w:color w:val="000000"/>
        </w:rPr>
        <w:t>Town</w:t>
      </w:r>
      <w:r w:rsidR="00CF0121" w:rsidRPr="004C02AF">
        <w:rPr>
          <w:rFonts w:ascii="Times New Roman" w:hAnsi="Times New Roman" w:cs="Times New Roman"/>
          <w:i/>
          <w:iCs/>
          <w:color w:val="000000"/>
        </w:rPr>
        <w:t xml:space="preserve"> of </w:t>
      </w:r>
      <w:r w:rsidR="00CF0121">
        <w:rPr>
          <w:rFonts w:ascii="Times New Roman" w:hAnsi="Times New Roman" w:cs="Times New Roman"/>
          <w:i/>
          <w:iCs/>
          <w:color w:val="000000"/>
        </w:rPr>
        <w:t>Stamford</w:t>
      </w:r>
      <w:r w:rsidR="00CF0121" w:rsidRPr="004C02AF">
        <w:rPr>
          <w:rFonts w:ascii="Times New Roman" w:hAnsi="Times New Roman" w:cs="Times New Roman"/>
          <w:color w:val="000000"/>
        </w:rPr>
        <w:t xml:space="preserve"> </w:t>
      </w:r>
      <w:r w:rsidR="00CF0121">
        <w:rPr>
          <w:rFonts w:ascii="Times New Roman" w:hAnsi="Times New Roman" w:cs="Times New Roman"/>
          <w:color w:val="000000"/>
        </w:rPr>
        <w:t>(</w:t>
      </w:r>
      <w:r w:rsidR="00CF0121" w:rsidRPr="004C02AF">
        <w:rPr>
          <w:rFonts w:ascii="Times New Roman" w:hAnsi="Times New Roman" w:cs="Times New Roman"/>
          <w:color w:val="000000"/>
        </w:rPr>
        <w:t>London</w:t>
      </w:r>
      <w:r w:rsidR="00CF0121">
        <w:rPr>
          <w:rFonts w:ascii="Times New Roman" w:hAnsi="Times New Roman" w:cs="Times New Roman"/>
          <w:color w:val="000000"/>
        </w:rPr>
        <w:t xml:space="preserve"> 1977); </w:t>
      </w:r>
      <w:r w:rsidR="00CF0121" w:rsidRPr="004C6E3D">
        <w:t xml:space="preserve">RCHME, </w:t>
      </w:r>
      <w:r w:rsidR="00CF0121">
        <w:rPr>
          <w:i/>
        </w:rPr>
        <w:t>City of York Vols III-V</w:t>
      </w:r>
      <w:r w:rsidR="00A4397E">
        <w:rPr>
          <w:i/>
        </w:rPr>
        <w:t xml:space="preserve">; </w:t>
      </w:r>
      <w:r w:rsidR="00A4397E">
        <w:t>D. L</w:t>
      </w:r>
      <w:r w:rsidR="00A4397E" w:rsidRPr="00A4397E">
        <w:t>loyd</w:t>
      </w:r>
      <w:r w:rsidR="00A4397E">
        <w:t xml:space="preserve">, </w:t>
      </w:r>
      <w:r w:rsidR="00A4397E" w:rsidRPr="00A4397E">
        <w:rPr>
          <w:i/>
        </w:rPr>
        <w:t>Broad Street: Its Houses and Residents Through Eight Centuries</w:t>
      </w:r>
      <w:r w:rsidR="00A4397E">
        <w:t xml:space="preserve"> (Birmingham 1979)</w:t>
      </w:r>
      <w:r w:rsidR="00CF0121" w:rsidRPr="00A4397E">
        <w:rPr>
          <w:rFonts w:ascii="Times New Roman" w:hAnsi="Times New Roman" w:cs="Times New Roman"/>
          <w:color w:val="000000"/>
        </w:rPr>
        <w:t>.</w:t>
      </w:r>
    </w:p>
  </w:footnote>
  <w:footnote w:id="54">
    <w:p w:rsidR="00CC203C" w:rsidRDefault="00CC203C" w:rsidP="009B2451">
      <w:pPr>
        <w:spacing w:line="360" w:lineRule="auto"/>
      </w:pPr>
      <w:r>
        <w:rPr>
          <w:rStyle w:val="FootnoteReference"/>
        </w:rPr>
        <w:footnoteRef/>
      </w:r>
      <w:r w:rsidR="009476ED">
        <w:t xml:space="preserve"> </w:t>
      </w:r>
      <w:r>
        <w:t>Sweet, ‘Topog</w:t>
      </w:r>
      <w:r w:rsidR="009476ED">
        <w:t xml:space="preserve">raphies of Politeness’, 361; </w:t>
      </w:r>
      <w:r>
        <w:t xml:space="preserve">Ogborn, </w:t>
      </w:r>
      <w:r w:rsidRPr="00B357D7">
        <w:rPr>
          <w:i/>
        </w:rPr>
        <w:t>Spaces of Modernity</w:t>
      </w:r>
      <w:r>
        <w:rPr>
          <w:i/>
        </w:rPr>
        <w:t>, 79, 91.</w:t>
      </w:r>
    </w:p>
  </w:footnote>
  <w:footnote w:id="55">
    <w:p w:rsidR="009D68EC" w:rsidRDefault="009D68EC" w:rsidP="009B2451">
      <w:pPr>
        <w:pStyle w:val="FootnoteText"/>
        <w:spacing w:line="360" w:lineRule="auto"/>
      </w:pPr>
      <w:r>
        <w:rPr>
          <w:rStyle w:val="FootnoteReference"/>
        </w:rPr>
        <w:footnoteRef/>
      </w:r>
      <w:r>
        <w:t xml:space="preserve"> Stobart</w:t>
      </w:r>
      <w:r>
        <w:rPr>
          <w:rFonts w:ascii="Times New Roman" w:hAnsi="Times New Roman" w:cs="Times New Roman"/>
          <w:color w:val="000000"/>
        </w:rPr>
        <w:t xml:space="preserve"> </w:t>
      </w:r>
      <w:r w:rsidRPr="00307CDF">
        <w:rPr>
          <w:rFonts w:ascii="Times New Roman" w:hAnsi="Times New Roman" w:cs="Times New Roman"/>
          <w:i/>
          <w:color w:val="000000"/>
        </w:rPr>
        <w:t>et al</w:t>
      </w:r>
      <w:r>
        <w:rPr>
          <w:rFonts w:ascii="Times New Roman" w:hAnsi="Times New Roman" w:cs="Times New Roman"/>
          <w:color w:val="000000"/>
        </w:rPr>
        <w:t>,</w:t>
      </w:r>
      <w:r w:rsidRPr="004C02AF">
        <w:rPr>
          <w:rFonts w:ascii="Times New Roman" w:hAnsi="Times New Roman" w:cs="Times New Roman"/>
          <w:color w:val="000000"/>
        </w:rPr>
        <w:t xml:space="preserve"> </w:t>
      </w:r>
      <w:r w:rsidRPr="004C02AF">
        <w:rPr>
          <w:rFonts w:ascii="Times New Roman" w:hAnsi="Times New Roman" w:cs="Times New Roman"/>
          <w:i/>
          <w:color w:val="000000"/>
        </w:rPr>
        <w:t>Spaces of Consumption</w:t>
      </w:r>
      <w:r>
        <w:rPr>
          <w:rFonts w:ascii="Times New Roman" w:hAnsi="Times New Roman" w:cs="Times New Roman"/>
          <w:color w:val="000000"/>
        </w:rPr>
        <w:t>, 97.</w:t>
      </w:r>
    </w:p>
  </w:footnote>
  <w:footnote w:id="56">
    <w:p w:rsidR="00E64157" w:rsidRDefault="00E64157" w:rsidP="009B2451">
      <w:pPr>
        <w:pStyle w:val="FootnoteText"/>
        <w:spacing w:line="360" w:lineRule="auto"/>
      </w:pPr>
      <w:r>
        <w:rPr>
          <w:rStyle w:val="FootnoteReference"/>
        </w:rPr>
        <w:footnoteRef/>
      </w:r>
      <w:r>
        <w:t xml:space="preserve"> </w:t>
      </w:r>
      <w:r w:rsidRPr="004C6E3D">
        <w:t xml:space="preserve">RCHME, </w:t>
      </w:r>
      <w:r w:rsidRPr="004C6E3D">
        <w:rPr>
          <w:i/>
        </w:rPr>
        <w:t>City of York Vol V</w:t>
      </w:r>
      <w:r w:rsidRPr="004C6E3D">
        <w:t xml:space="preserve">, </w:t>
      </w:r>
      <w:r>
        <w:t>147.</w:t>
      </w:r>
    </w:p>
  </w:footnote>
  <w:footnote w:id="57">
    <w:p w:rsidR="001E3552" w:rsidRDefault="001E3552" w:rsidP="009B2451">
      <w:pPr>
        <w:pStyle w:val="FootnoteText"/>
        <w:spacing w:line="360" w:lineRule="auto"/>
      </w:pPr>
      <w:r>
        <w:rPr>
          <w:rStyle w:val="FootnoteReference"/>
        </w:rPr>
        <w:footnoteRef/>
      </w:r>
      <w:r w:rsidR="009476ED">
        <w:t xml:space="preserve"> Green, ‘The polite threshold</w:t>
      </w:r>
      <w:r>
        <w:t xml:space="preserve">’, </w:t>
      </w:r>
      <w:r w:rsidR="009476ED">
        <w:t>6</w:t>
      </w:r>
      <w:r>
        <w:t>.</w:t>
      </w:r>
    </w:p>
  </w:footnote>
  <w:footnote w:id="58">
    <w:p w:rsidR="00E64157" w:rsidRDefault="00E64157" w:rsidP="009B2451">
      <w:pPr>
        <w:pStyle w:val="FootnoteText"/>
        <w:spacing w:line="360" w:lineRule="auto"/>
      </w:pPr>
      <w:r>
        <w:rPr>
          <w:rStyle w:val="FootnoteReference"/>
        </w:rPr>
        <w:footnoteRef/>
      </w:r>
      <w:r>
        <w:t xml:space="preserve"> CYA</w:t>
      </w:r>
      <w:r w:rsidR="009476ED">
        <w:t>,</w:t>
      </w:r>
      <w:r>
        <w:t xml:space="preserve"> </w:t>
      </w:r>
      <w:r w:rsidRPr="004C02AF">
        <w:rPr>
          <w:rFonts w:ascii="Times New Roman" w:hAnsi="Times New Roman"/>
          <w:lang w:val="en-GB"/>
        </w:rPr>
        <w:t xml:space="preserve">YA/Acc 163 </w:t>
      </w:r>
      <w:r>
        <w:rPr>
          <w:rFonts w:ascii="Times New Roman" w:hAnsi="Times New Roman"/>
          <w:i/>
          <w:lang w:val="en-GB"/>
        </w:rPr>
        <w:t>Analecta Eboracensia</w:t>
      </w:r>
      <w:r w:rsidR="009476ED">
        <w:rPr>
          <w:rFonts w:ascii="Times New Roman" w:hAnsi="Times New Roman"/>
          <w:lang w:val="en-GB"/>
        </w:rPr>
        <w:t>.</w:t>
      </w:r>
      <w:r w:rsidRPr="00CC2CCA">
        <w:rPr>
          <w:rFonts w:ascii="Times New Roman" w:hAnsi="Times New Roman"/>
          <w:lang w:val="en-GB"/>
        </w:rPr>
        <w:t xml:space="preserve"> </w:t>
      </w:r>
    </w:p>
  </w:footnote>
  <w:footnote w:id="59">
    <w:p w:rsidR="008D0ECA" w:rsidRDefault="008D0ECA" w:rsidP="009B2451">
      <w:pPr>
        <w:pStyle w:val="FootnoteText"/>
        <w:spacing w:line="360" w:lineRule="auto"/>
      </w:pPr>
      <w:r>
        <w:rPr>
          <w:rStyle w:val="FootnoteReference"/>
        </w:rPr>
        <w:footnoteRef/>
      </w:r>
      <w:r>
        <w:t xml:space="preserve"> </w:t>
      </w:r>
      <w:r w:rsidRPr="004C02AF">
        <w:rPr>
          <w:rFonts w:ascii="Times New Roman" w:hAnsi="Times New Roman"/>
        </w:rPr>
        <w:t xml:space="preserve">BI UY, </w:t>
      </w:r>
      <w:r w:rsidRPr="004C02AF">
        <w:rPr>
          <w:rFonts w:ascii="Times New Roman" w:hAnsi="Times New Roman"/>
          <w:lang w:val="en-GB"/>
        </w:rPr>
        <w:t>Will of Robert Spence of the City of York, prog, September 1824, PR170, f153</w:t>
      </w:r>
      <w:r>
        <w:rPr>
          <w:rFonts w:ascii="Times New Roman" w:hAnsi="Times New Roman"/>
          <w:lang w:val="en-GB"/>
        </w:rPr>
        <w:t>.</w:t>
      </w:r>
    </w:p>
  </w:footnote>
  <w:footnote w:id="60">
    <w:p w:rsidR="008D0ECA" w:rsidRPr="009476ED" w:rsidRDefault="008D0ECA" w:rsidP="009B24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rPr>
      </w:pPr>
      <w:r>
        <w:rPr>
          <w:rStyle w:val="FootnoteReference"/>
        </w:rPr>
        <w:footnoteRef/>
      </w:r>
      <w:r w:rsidR="009476ED">
        <w:t xml:space="preserve"> </w:t>
      </w:r>
      <w:r>
        <w:rPr>
          <w:rFonts w:ascii="Times New Roman" w:hAnsi="Times New Roman" w:cs="Times New Roman"/>
        </w:rPr>
        <w:t>Mui</w:t>
      </w:r>
      <w:r w:rsidRPr="004C02AF">
        <w:rPr>
          <w:rFonts w:ascii="Times New Roman" w:hAnsi="Times New Roman" w:cs="Times New Roman"/>
        </w:rPr>
        <w:t xml:space="preserve"> and </w:t>
      </w:r>
      <w:r>
        <w:rPr>
          <w:rFonts w:ascii="Times New Roman" w:hAnsi="Times New Roman" w:cs="Times New Roman"/>
        </w:rPr>
        <w:t>Mui</w:t>
      </w:r>
      <w:r w:rsidRPr="004C02AF">
        <w:rPr>
          <w:rFonts w:ascii="Times New Roman" w:hAnsi="Times New Roman" w:cs="Times New Roman"/>
        </w:rPr>
        <w:t xml:space="preserve">, </w:t>
      </w:r>
      <w:r w:rsidR="009476ED">
        <w:rPr>
          <w:rFonts w:ascii="Times New Roman" w:hAnsi="Times New Roman" w:cs="Times New Roman"/>
          <w:i/>
        </w:rPr>
        <w:t>Shops and Shopkeeping</w:t>
      </w:r>
      <w:r w:rsidR="009476ED">
        <w:rPr>
          <w:rFonts w:ascii="Times New Roman" w:hAnsi="Times New Roman" w:cs="Times New Roman"/>
        </w:rPr>
        <w:t>, 128.</w:t>
      </w:r>
    </w:p>
  </w:footnote>
  <w:footnote w:id="61">
    <w:p w:rsidR="00A111A3" w:rsidRPr="00A111A3" w:rsidRDefault="00A111A3" w:rsidP="009B2451">
      <w:pPr>
        <w:widowControl w:val="0"/>
        <w:tabs>
          <w:tab w:val="left" w:pos="993"/>
          <w:tab w:val="left" w:pos="1985"/>
          <w:tab w:val="left" w:pos="2410"/>
          <w:tab w:val="left" w:pos="2977"/>
          <w:tab w:val="left" w:pos="3261"/>
          <w:tab w:val="left" w:pos="3543"/>
          <w:tab w:val="left" w:pos="3686"/>
          <w:tab w:val="left" w:pos="4252"/>
          <w:tab w:val="left" w:pos="4536"/>
          <w:tab w:val="left" w:pos="4961"/>
          <w:tab w:val="left" w:pos="5245"/>
          <w:tab w:val="left" w:pos="5812"/>
          <w:tab w:val="left" w:pos="6946"/>
          <w:tab w:val="left" w:pos="7230"/>
          <w:tab w:val="left" w:pos="7655"/>
        </w:tabs>
        <w:autoSpaceDE w:val="0"/>
        <w:autoSpaceDN w:val="0"/>
        <w:adjustRightInd w:val="0"/>
        <w:spacing w:line="360" w:lineRule="auto"/>
        <w:rPr>
          <w:rFonts w:ascii="Times New Roman" w:hAnsi="Times New Roman" w:cs="Times New Roman"/>
          <w:color w:val="000000"/>
        </w:rPr>
      </w:pPr>
      <w:r>
        <w:rPr>
          <w:rStyle w:val="FootnoteReference"/>
        </w:rPr>
        <w:footnoteRef/>
      </w:r>
      <w:r>
        <w:t xml:space="preserve"> K.A. </w:t>
      </w:r>
      <w:r>
        <w:rPr>
          <w:rFonts w:ascii="Times New Roman" w:hAnsi="Times New Roman" w:cs="Times New Roman"/>
          <w:color w:val="000000"/>
        </w:rPr>
        <w:t>Morrison</w:t>
      </w:r>
      <w:r w:rsidRPr="004C02AF">
        <w:rPr>
          <w:rFonts w:ascii="Times New Roman" w:hAnsi="Times New Roman" w:cs="Times New Roman"/>
          <w:color w:val="000000"/>
        </w:rPr>
        <w:t xml:space="preserve">, </w:t>
      </w:r>
      <w:r w:rsidRPr="004C02AF">
        <w:rPr>
          <w:rFonts w:ascii="Times New Roman" w:hAnsi="Times New Roman" w:cs="Times New Roman"/>
          <w:i/>
          <w:color w:val="000000"/>
        </w:rPr>
        <w:t>English Shops and Shopping: An Architectural History</w:t>
      </w:r>
      <w:r>
        <w:rPr>
          <w:rFonts w:ascii="Times New Roman" w:hAnsi="Times New Roman" w:cs="Times New Roman"/>
          <w:color w:val="000000"/>
        </w:rPr>
        <w:t xml:space="preserve"> (</w:t>
      </w:r>
      <w:r w:rsidRPr="004C02AF">
        <w:rPr>
          <w:rFonts w:ascii="Times New Roman" w:hAnsi="Times New Roman" w:cs="Times New Roman"/>
          <w:color w:val="000000"/>
        </w:rPr>
        <w:t>New Haven</w:t>
      </w:r>
      <w:r>
        <w:rPr>
          <w:rFonts w:ascii="Times New Roman" w:hAnsi="Times New Roman" w:cs="Times New Roman"/>
          <w:color w:val="000000"/>
        </w:rPr>
        <w:t xml:space="preserve"> </w:t>
      </w:r>
      <w:r w:rsidRPr="004C02AF">
        <w:rPr>
          <w:rFonts w:ascii="Times New Roman" w:hAnsi="Times New Roman" w:cs="Times New Roman"/>
          <w:color w:val="000000"/>
        </w:rPr>
        <w:t>2003</w:t>
      </w:r>
      <w:r>
        <w:rPr>
          <w:rFonts w:ascii="Times New Roman" w:hAnsi="Times New Roman" w:cs="Times New Roman"/>
          <w:color w:val="000000"/>
        </w:rPr>
        <w:t>)</w:t>
      </w:r>
      <w:r w:rsidRPr="004C02AF">
        <w:rPr>
          <w:rFonts w:ascii="Times New Roman" w:hAnsi="Times New Roman" w:cs="Times New Roman"/>
          <w:color w:val="000000"/>
        </w:rPr>
        <w:t>.</w:t>
      </w:r>
    </w:p>
  </w:footnote>
  <w:footnote w:id="62">
    <w:p w:rsidR="00A111A3" w:rsidRDefault="00A111A3" w:rsidP="009B2451">
      <w:pPr>
        <w:pStyle w:val="FootnoteText"/>
        <w:spacing w:line="360" w:lineRule="auto"/>
      </w:pPr>
      <w:r>
        <w:rPr>
          <w:rStyle w:val="FootnoteReference"/>
        </w:rPr>
        <w:footnoteRef/>
      </w:r>
      <w:r>
        <w:t xml:space="preserve"> </w:t>
      </w:r>
      <w:r>
        <w:rPr>
          <w:rFonts w:ascii="Times New Roman" w:hAnsi="Times New Roman" w:cs="Times New Roman"/>
        </w:rPr>
        <w:t>Davies</w:t>
      </w:r>
      <w:r w:rsidRPr="004C02AF">
        <w:rPr>
          <w:rFonts w:ascii="Times New Roman" w:hAnsi="Times New Roman" w:cs="Times New Roman"/>
        </w:rPr>
        <w:t xml:space="preserve">, </w:t>
      </w:r>
      <w:r w:rsidRPr="004C02AF">
        <w:rPr>
          <w:rFonts w:ascii="Times New Roman" w:hAnsi="Times New Roman" w:cs="Times New Roman"/>
          <w:i/>
        </w:rPr>
        <w:t>Walks Through the City of York</w:t>
      </w:r>
      <w:r w:rsidRPr="004C02AF">
        <w:rPr>
          <w:rFonts w:ascii="Times New Roman" w:hAnsi="Times New Roman"/>
          <w:lang w:val="en-GB"/>
        </w:rPr>
        <w:t>, 243</w:t>
      </w:r>
      <w:r>
        <w:rPr>
          <w:rFonts w:ascii="Times New Roman" w:hAnsi="Times New Roman"/>
          <w:lang w:val="en-GB"/>
        </w:rPr>
        <w:t>.</w:t>
      </w:r>
    </w:p>
  </w:footnote>
  <w:footnote w:id="63">
    <w:p w:rsidR="00A111A3" w:rsidRDefault="00A111A3" w:rsidP="009B2451">
      <w:pPr>
        <w:pStyle w:val="FootnoteText"/>
        <w:spacing w:line="360" w:lineRule="auto"/>
      </w:pPr>
      <w:r>
        <w:rPr>
          <w:rStyle w:val="FootnoteReference"/>
        </w:rPr>
        <w:footnoteRef/>
      </w:r>
      <w:r>
        <w:t xml:space="preserve"> </w:t>
      </w:r>
      <w:r>
        <w:rPr>
          <w:rFonts w:ascii="Times New Roman" w:hAnsi="Times New Roman" w:cs="Times New Roman"/>
          <w:color w:val="000000"/>
        </w:rPr>
        <w:t>Hallett</w:t>
      </w:r>
      <w:r w:rsidRPr="004C02AF">
        <w:rPr>
          <w:rFonts w:ascii="Times New Roman" w:hAnsi="Times New Roman" w:cs="Times New Roman"/>
          <w:color w:val="000000"/>
        </w:rPr>
        <w:t>, ‘</w:t>
      </w:r>
      <w:r>
        <w:rPr>
          <w:rFonts w:ascii="Times New Roman" w:hAnsi="Times New Roman" w:cs="Times New Roman"/>
          <w:color w:val="000000"/>
        </w:rPr>
        <w:t>Pictorial Improvement</w:t>
      </w:r>
      <w:r w:rsidRPr="004C02AF">
        <w:rPr>
          <w:rFonts w:ascii="Times New Roman" w:hAnsi="Times New Roman" w:cs="Times New Roman"/>
          <w:color w:val="000000"/>
        </w:rPr>
        <w:t>’</w:t>
      </w:r>
      <w:r>
        <w:rPr>
          <w:rFonts w:ascii="Times New Roman" w:hAnsi="Times New Roman" w:cs="Times New Roman"/>
          <w:color w:val="000000"/>
        </w:rPr>
        <w:t>, 24-49.</w:t>
      </w:r>
    </w:p>
  </w:footnote>
  <w:footnote w:id="64">
    <w:p w:rsidR="009A40F9" w:rsidRDefault="009A40F9" w:rsidP="009B2451">
      <w:pPr>
        <w:pStyle w:val="FootnoteText"/>
        <w:spacing w:line="360" w:lineRule="auto"/>
      </w:pPr>
      <w:r>
        <w:rPr>
          <w:rStyle w:val="FootnoteReference"/>
        </w:rPr>
        <w:footnoteRef/>
      </w:r>
      <w:r w:rsidR="009476ED">
        <w:t xml:space="preserve"> </w:t>
      </w:r>
      <w:r>
        <w:rPr>
          <w:rFonts w:ascii="Times New Roman" w:hAnsi="Times New Roman" w:cs="Times New Roman"/>
          <w:color w:val="000000"/>
        </w:rPr>
        <w:t>Stobart</w:t>
      </w:r>
      <w:r w:rsidRPr="004C02AF">
        <w:rPr>
          <w:rFonts w:ascii="Times New Roman" w:hAnsi="Times New Roman" w:cs="Times New Roman"/>
          <w:color w:val="000000"/>
        </w:rPr>
        <w:t xml:space="preserve">, </w:t>
      </w:r>
      <w:r w:rsidRPr="004C02AF">
        <w:rPr>
          <w:rFonts w:ascii="Times New Roman" w:hAnsi="Times New Roman" w:cs="Times New Roman"/>
          <w:i/>
          <w:color w:val="000000"/>
        </w:rPr>
        <w:t>Spend, Spend, Spend</w:t>
      </w:r>
      <w:r>
        <w:rPr>
          <w:rFonts w:ascii="Times New Roman" w:hAnsi="Times New Roman" w:cs="Times New Roman"/>
          <w:color w:val="000000"/>
        </w:rPr>
        <w:t>, 83.</w:t>
      </w:r>
    </w:p>
  </w:footnote>
  <w:footnote w:id="65">
    <w:p w:rsidR="006D745D" w:rsidRDefault="006D745D" w:rsidP="009B2451">
      <w:pPr>
        <w:pStyle w:val="FootnoteText"/>
        <w:spacing w:line="360" w:lineRule="auto"/>
      </w:pPr>
      <w:r>
        <w:rPr>
          <w:rStyle w:val="FootnoteReference"/>
        </w:rPr>
        <w:footnoteRef/>
      </w:r>
      <w:r>
        <w:t xml:space="preserve"> </w:t>
      </w:r>
      <w:r>
        <w:rPr>
          <w:rFonts w:ascii="Times New Roman" w:hAnsi="Times New Roman" w:cs="Times New Roman"/>
          <w:color w:val="000000"/>
        </w:rPr>
        <w:t xml:space="preserve">Stobart </w:t>
      </w:r>
      <w:r w:rsidRPr="00307CDF">
        <w:rPr>
          <w:rFonts w:ascii="Times New Roman" w:hAnsi="Times New Roman" w:cs="Times New Roman"/>
          <w:i/>
          <w:color w:val="000000"/>
        </w:rPr>
        <w:t>et al</w:t>
      </w:r>
      <w:r>
        <w:rPr>
          <w:rFonts w:ascii="Times New Roman" w:hAnsi="Times New Roman" w:cs="Times New Roman"/>
          <w:color w:val="000000"/>
        </w:rPr>
        <w:t>,</w:t>
      </w:r>
      <w:r w:rsidRPr="004C02AF">
        <w:rPr>
          <w:rFonts w:ascii="Times New Roman" w:hAnsi="Times New Roman" w:cs="Times New Roman"/>
          <w:color w:val="000000"/>
        </w:rPr>
        <w:t xml:space="preserve"> </w:t>
      </w:r>
      <w:r w:rsidRPr="004C02AF">
        <w:rPr>
          <w:rFonts w:ascii="Times New Roman" w:hAnsi="Times New Roman" w:cs="Times New Roman"/>
          <w:i/>
          <w:color w:val="000000"/>
        </w:rPr>
        <w:t>Spaces of Consumption</w:t>
      </w:r>
      <w:r>
        <w:rPr>
          <w:rFonts w:ascii="Times New Roman" w:hAnsi="Times New Roman" w:cs="Times New Roman"/>
          <w:color w:val="000000"/>
        </w:rPr>
        <w:t>, 96.</w:t>
      </w:r>
    </w:p>
  </w:footnote>
  <w:footnote w:id="66">
    <w:p w:rsidR="009A40F9" w:rsidRPr="006D745D" w:rsidRDefault="009A40F9" w:rsidP="009B2451">
      <w:pPr>
        <w:pStyle w:val="FootnoteText"/>
        <w:spacing w:line="360" w:lineRule="auto"/>
      </w:pPr>
      <w:r>
        <w:rPr>
          <w:rStyle w:val="FootnoteReference"/>
        </w:rPr>
        <w:footnoteRef/>
      </w:r>
      <w:r>
        <w:t xml:space="preserve"> </w:t>
      </w:r>
      <w:r w:rsidR="006D745D">
        <w:rPr>
          <w:rFonts w:ascii="Times New Roman" w:hAnsi="Times New Roman" w:cs="Times New Roman"/>
          <w:color w:val="000000"/>
        </w:rPr>
        <w:t>Stobart</w:t>
      </w:r>
      <w:r w:rsidR="006D745D" w:rsidRPr="004C02AF">
        <w:rPr>
          <w:rFonts w:ascii="Times New Roman" w:hAnsi="Times New Roman" w:cs="Times New Roman"/>
          <w:color w:val="000000"/>
        </w:rPr>
        <w:t xml:space="preserve">, </w:t>
      </w:r>
      <w:r w:rsidR="006D745D">
        <w:rPr>
          <w:rFonts w:ascii="Times New Roman" w:hAnsi="Times New Roman" w:cs="Times New Roman"/>
          <w:i/>
          <w:color w:val="000000"/>
        </w:rPr>
        <w:t>Spend, Spend, Spend</w:t>
      </w:r>
      <w:r w:rsidR="006D745D" w:rsidRPr="006D745D">
        <w:rPr>
          <w:rFonts w:ascii="Times New Roman" w:hAnsi="Times New Roman" w:cs="Times New Roman"/>
          <w:color w:val="000000"/>
        </w:rPr>
        <w:t>, 83</w:t>
      </w:r>
      <w:r w:rsidR="009476ED">
        <w:t>; C. Walsh ‘Stalls, bulks, shops and long-term change in seventeenth- and eighteenth-c</w:t>
      </w:r>
      <w:r w:rsidR="00980020">
        <w:t xml:space="preserve">entury England’ in J.H. Furnée and C. Lesger (eds) </w:t>
      </w:r>
      <w:r w:rsidR="00980020" w:rsidRPr="00980020">
        <w:rPr>
          <w:i/>
        </w:rPr>
        <w:t>The Landscape of Consumption: Shopping Streets and Cultures in Western Europe, 1600-1900</w:t>
      </w:r>
      <w:r w:rsidR="00980020">
        <w:t xml:space="preserve"> (Basingstoke 2014), 38.</w:t>
      </w:r>
    </w:p>
  </w:footnote>
  <w:footnote w:id="67">
    <w:p w:rsidR="009A40F9" w:rsidRDefault="009A40F9" w:rsidP="009B2451">
      <w:pPr>
        <w:pStyle w:val="FootnoteText"/>
        <w:spacing w:line="360" w:lineRule="auto"/>
      </w:pPr>
      <w:r>
        <w:rPr>
          <w:rStyle w:val="FootnoteReference"/>
        </w:rPr>
        <w:footnoteRef/>
      </w:r>
      <w:r w:rsidR="006D745D">
        <w:t xml:space="preserve"> </w:t>
      </w:r>
      <w:r w:rsidR="00980020">
        <w:rPr>
          <w:rFonts w:ascii="Times New Roman" w:hAnsi="Times New Roman" w:cs="Times New Roman"/>
          <w:color w:val="000000"/>
        </w:rPr>
        <w:t>Walsh ‘</w:t>
      </w:r>
      <w:r w:rsidR="00980020">
        <w:t>Stalls, Bulks, Shops’, 53</w:t>
      </w:r>
      <w:r>
        <w:rPr>
          <w:rFonts w:ascii="Times New Roman" w:hAnsi="Times New Roman" w:cs="Times New Roman"/>
          <w:color w:val="000000"/>
        </w:rPr>
        <w:t>.</w:t>
      </w:r>
    </w:p>
  </w:footnote>
  <w:footnote w:id="68">
    <w:p w:rsidR="008D7224" w:rsidRPr="008D7224" w:rsidRDefault="008D7224" w:rsidP="009B2451">
      <w:pPr>
        <w:pStyle w:val="FootnoteText"/>
        <w:spacing w:line="360" w:lineRule="auto"/>
      </w:pPr>
      <w:r>
        <w:rPr>
          <w:rStyle w:val="FootnoteReference"/>
        </w:rPr>
        <w:footnoteRef/>
      </w:r>
      <w:r>
        <w:t xml:space="preserve"> </w:t>
      </w:r>
      <w:r>
        <w:rPr>
          <w:szCs w:val="23"/>
        </w:rPr>
        <w:t>Sweet</w:t>
      </w:r>
      <w:r w:rsidR="009476ED">
        <w:rPr>
          <w:szCs w:val="23"/>
        </w:rPr>
        <w:t>, ‘Topographies of Politeness’, 363</w:t>
      </w:r>
      <w:r w:rsidRPr="008D7224">
        <w:rPr>
          <w:szCs w:val="23"/>
        </w:rPr>
        <w:t xml:space="preserve">. </w:t>
      </w:r>
    </w:p>
  </w:footnote>
  <w:footnote w:id="69">
    <w:p w:rsidR="006D745D" w:rsidRPr="006D745D" w:rsidRDefault="006D745D" w:rsidP="009B2451">
      <w:pPr>
        <w:pStyle w:val="FootnoteText"/>
        <w:spacing w:line="360" w:lineRule="auto"/>
      </w:pPr>
      <w:r>
        <w:rPr>
          <w:rStyle w:val="FootnoteReference"/>
        </w:rPr>
        <w:footnoteRef/>
      </w:r>
      <w:r>
        <w:t xml:space="preserve"> </w:t>
      </w:r>
      <w:r>
        <w:rPr>
          <w:rFonts w:ascii="Times New Roman" w:hAnsi="Times New Roman" w:cs="Times New Roman"/>
          <w:color w:val="000000"/>
        </w:rPr>
        <w:t>Morrison</w:t>
      </w:r>
      <w:r w:rsidRPr="004C02AF">
        <w:rPr>
          <w:rFonts w:ascii="Times New Roman" w:hAnsi="Times New Roman" w:cs="Times New Roman"/>
          <w:color w:val="000000"/>
        </w:rPr>
        <w:t xml:space="preserve">, </w:t>
      </w:r>
      <w:r>
        <w:rPr>
          <w:rFonts w:ascii="Times New Roman" w:hAnsi="Times New Roman" w:cs="Times New Roman"/>
          <w:i/>
          <w:color w:val="000000"/>
        </w:rPr>
        <w:t>English Shops and Shopping</w:t>
      </w:r>
      <w:r>
        <w:rPr>
          <w:rFonts w:ascii="Times New Roman" w:hAnsi="Times New Roman" w:cs="Times New Roman"/>
          <w:color w:val="000000"/>
        </w:rPr>
        <w:t>, 41.</w:t>
      </w:r>
    </w:p>
  </w:footnote>
  <w:footnote w:id="70">
    <w:p w:rsidR="006D745D" w:rsidRDefault="006D745D" w:rsidP="009B2451">
      <w:pPr>
        <w:pStyle w:val="FootnoteText"/>
        <w:spacing w:line="360" w:lineRule="auto"/>
      </w:pPr>
      <w:r>
        <w:rPr>
          <w:rStyle w:val="FootnoteReference"/>
        </w:rPr>
        <w:footnoteRef/>
      </w:r>
      <w:r>
        <w:t xml:space="preserve"> </w:t>
      </w:r>
      <w:r>
        <w:rPr>
          <w:rFonts w:ascii="Times New Roman" w:hAnsi="Times New Roman" w:cs="Times New Roman"/>
          <w:color w:val="000000"/>
        </w:rPr>
        <w:t xml:space="preserve">Stobart </w:t>
      </w:r>
      <w:r w:rsidRPr="00307CDF">
        <w:rPr>
          <w:rFonts w:ascii="Times New Roman" w:hAnsi="Times New Roman" w:cs="Times New Roman"/>
          <w:i/>
          <w:color w:val="000000"/>
        </w:rPr>
        <w:t>et al</w:t>
      </w:r>
      <w:r>
        <w:rPr>
          <w:rFonts w:ascii="Times New Roman" w:hAnsi="Times New Roman" w:cs="Times New Roman"/>
          <w:color w:val="000000"/>
        </w:rPr>
        <w:t>,</w:t>
      </w:r>
      <w:r w:rsidRPr="004C02AF">
        <w:rPr>
          <w:rFonts w:ascii="Times New Roman" w:hAnsi="Times New Roman" w:cs="Times New Roman"/>
          <w:color w:val="000000"/>
        </w:rPr>
        <w:t xml:space="preserve"> </w:t>
      </w:r>
      <w:r w:rsidRPr="004C02AF">
        <w:rPr>
          <w:rFonts w:ascii="Times New Roman" w:hAnsi="Times New Roman" w:cs="Times New Roman"/>
          <w:i/>
          <w:color w:val="000000"/>
        </w:rPr>
        <w:t>Spaces of Consumption</w:t>
      </w:r>
      <w:r>
        <w:rPr>
          <w:rFonts w:ascii="Times New Roman" w:hAnsi="Times New Roman" w:cs="Times New Roman"/>
          <w:color w:val="000000"/>
        </w:rPr>
        <w:t>, 110.</w:t>
      </w:r>
    </w:p>
  </w:footnote>
  <w:footnote w:id="71">
    <w:p w:rsidR="00EC3831" w:rsidRPr="00EC3831" w:rsidRDefault="00EC3831" w:rsidP="009B2451">
      <w:pPr>
        <w:pStyle w:val="FootnoteText"/>
        <w:spacing w:line="360" w:lineRule="auto"/>
        <w:rPr>
          <w:rFonts w:ascii="Times New Roman" w:hAnsi="Times New Roman"/>
          <w:lang w:val="en-GB"/>
        </w:rPr>
      </w:pPr>
      <w:r>
        <w:rPr>
          <w:rStyle w:val="FootnoteReference"/>
        </w:rPr>
        <w:footnoteRef/>
      </w:r>
      <w:r w:rsidR="005C7B3C">
        <w:t xml:space="preserve"> CYA</w:t>
      </w:r>
      <w:r w:rsidR="009476ED">
        <w:t>,</w:t>
      </w:r>
      <w:r>
        <w:t xml:space="preserve"> </w:t>
      </w:r>
      <w:r w:rsidRPr="004C02AF">
        <w:rPr>
          <w:rFonts w:ascii="Times New Roman" w:hAnsi="Times New Roman"/>
          <w:lang w:val="en-GB"/>
        </w:rPr>
        <w:t>YA/Acc 163</w:t>
      </w:r>
      <w:r w:rsidR="009069A8">
        <w:rPr>
          <w:rFonts w:ascii="Times New Roman" w:hAnsi="Times New Roman"/>
          <w:lang w:val="en-GB"/>
        </w:rPr>
        <w:t>.</w:t>
      </w:r>
      <w:r w:rsidRPr="004C02AF">
        <w:rPr>
          <w:rFonts w:ascii="Times New Roman" w:hAnsi="Times New Roman"/>
          <w:lang w:val="en-GB"/>
        </w:rPr>
        <w:t xml:space="preserve"> </w:t>
      </w:r>
    </w:p>
  </w:footnote>
  <w:footnote w:id="72">
    <w:p w:rsidR="00EC3831" w:rsidRPr="00EC3831" w:rsidRDefault="00EC3831" w:rsidP="009B2451">
      <w:pPr>
        <w:pStyle w:val="FootnoteText"/>
        <w:spacing w:line="360" w:lineRule="auto"/>
      </w:pPr>
      <w:r>
        <w:rPr>
          <w:rStyle w:val="FootnoteReference"/>
        </w:rPr>
        <w:footnoteRef/>
      </w:r>
      <w:r>
        <w:t xml:space="preserve"> </w:t>
      </w:r>
      <w:r w:rsidRPr="004C02AF">
        <w:rPr>
          <w:rFonts w:ascii="Times New Roman" w:hAnsi="Times New Roman"/>
        </w:rPr>
        <w:t xml:space="preserve">BI UY, </w:t>
      </w:r>
      <w:r w:rsidRPr="004C02AF">
        <w:rPr>
          <w:rFonts w:ascii="Times New Roman" w:hAnsi="Times New Roman"/>
          <w:lang w:val="en-GB"/>
        </w:rPr>
        <w:t xml:space="preserve">Will of </w:t>
      </w:r>
      <w:r w:rsidRPr="00EC3831">
        <w:rPr>
          <w:lang w:val="en-GB"/>
        </w:rPr>
        <w:t>Henry Raper of York, Esq, prog, April 1809, PR153, f127</w:t>
      </w:r>
      <w:r w:rsidR="009476ED">
        <w:rPr>
          <w:lang w:val="en-GB"/>
        </w:rPr>
        <w:t>.</w:t>
      </w:r>
    </w:p>
  </w:footnote>
  <w:footnote w:id="73">
    <w:p w:rsidR="00EC3831" w:rsidRPr="00EC3831" w:rsidRDefault="00EC3831" w:rsidP="009B2451">
      <w:pPr>
        <w:pStyle w:val="FootnoteText"/>
        <w:spacing w:line="360" w:lineRule="auto"/>
      </w:pPr>
      <w:r>
        <w:rPr>
          <w:rStyle w:val="FootnoteReference"/>
        </w:rPr>
        <w:footnoteRef/>
      </w:r>
      <w:r>
        <w:t xml:space="preserve"> </w:t>
      </w:r>
      <w:r w:rsidRPr="00EC3831">
        <w:rPr>
          <w:i/>
          <w:lang w:val="en-GB"/>
        </w:rPr>
        <w:t>Y</w:t>
      </w:r>
      <w:r>
        <w:rPr>
          <w:i/>
          <w:lang w:val="en-GB"/>
        </w:rPr>
        <w:t>C</w:t>
      </w:r>
      <w:r w:rsidRPr="00EC3831">
        <w:rPr>
          <w:lang w:val="en-GB"/>
        </w:rPr>
        <w:t xml:space="preserve"> 6 February 1809</w:t>
      </w:r>
      <w:r w:rsidR="009476ED">
        <w:rPr>
          <w:lang w:val="en-GB"/>
        </w:rPr>
        <w:t>.</w:t>
      </w:r>
    </w:p>
  </w:footnote>
  <w:footnote w:id="74">
    <w:p w:rsidR="00937BE9" w:rsidRDefault="00937BE9" w:rsidP="009B2451">
      <w:pPr>
        <w:pStyle w:val="FootnoteText"/>
        <w:spacing w:line="360" w:lineRule="auto"/>
      </w:pPr>
      <w:r>
        <w:rPr>
          <w:rStyle w:val="FootnoteReference"/>
        </w:rPr>
        <w:footnoteRef/>
      </w:r>
      <w:r>
        <w:t xml:space="preserve"> </w:t>
      </w:r>
      <w:r>
        <w:rPr>
          <w:rFonts w:ascii="Times New Roman" w:hAnsi="Times New Roman" w:cs="Times New Roman"/>
        </w:rPr>
        <w:t xml:space="preserve">Sweet, </w:t>
      </w:r>
      <w:r w:rsidRPr="00F72790">
        <w:rPr>
          <w:rFonts w:ascii="Times New Roman" w:hAnsi="Times New Roman" w:cs="Times New Roman"/>
          <w:i/>
        </w:rPr>
        <w:t>The English Town 1680-1840</w:t>
      </w:r>
      <w:r w:rsidR="009476ED">
        <w:rPr>
          <w:rFonts w:ascii="Times New Roman" w:hAnsi="Times New Roman" w:cs="Times New Roman"/>
        </w:rPr>
        <w:t>, 260.</w:t>
      </w:r>
      <w:r>
        <w:rPr>
          <w:rFonts w:ascii="Times New Roman" w:hAnsi="Times New Roman" w:cs="Times New Roman"/>
        </w:rPr>
        <w:t xml:space="preserve">  </w:t>
      </w:r>
    </w:p>
  </w:footnote>
  <w:footnote w:id="75">
    <w:p w:rsidR="00937BE9" w:rsidRDefault="00937BE9" w:rsidP="009B2451">
      <w:pPr>
        <w:pStyle w:val="FootnoteText"/>
        <w:spacing w:line="360" w:lineRule="auto"/>
      </w:pPr>
      <w:r>
        <w:rPr>
          <w:rStyle w:val="FootnoteReference"/>
        </w:rPr>
        <w:footnoteRef/>
      </w:r>
      <w:r w:rsidR="009476ED">
        <w:t xml:space="preserve"> R. Sweet, ‘History and identity in eighteenth-c</w:t>
      </w:r>
      <w:r>
        <w:t xml:space="preserve">entury York: Francis Drake’s </w:t>
      </w:r>
      <w:r w:rsidRPr="00937BE9">
        <w:rPr>
          <w:i/>
        </w:rPr>
        <w:t>Eboracum</w:t>
      </w:r>
      <w:r>
        <w:t xml:space="preserve"> (1736)’ </w:t>
      </w:r>
      <w:r w:rsidRPr="004C02AF">
        <w:rPr>
          <w:rFonts w:ascii="Times New Roman" w:hAnsi="Times New Roman" w:cs="Times New Roman"/>
        </w:rPr>
        <w:t xml:space="preserve">in </w:t>
      </w:r>
      <w:r>
        <w:rPr>
          <w:rFonts w:ascii="Times New Roman" w:hAnsi="Times New Roman" w:cs="Times New Roman"/>
        </w:rPr>
        <w:t xml:space="preserve">M. </w:t>
      </w:r>
      <w:r>
        <w:rPr>
          <w:rFonts w:ascii="Times New Roman" w:hAnsi="Times New Roman" w:cs="Times New Roman"/>
          <w:color w:val="000000"/>
        </w:rPr>
        <w:t xml:space="preserve">Hallett </w:t>
      </w:r>
      <w:r w:rsidRPr="004C02AF">
        <w:rPr>
          <w:rFonts w:ascii="Times New Roman" w:hAnsi="Times New Roman" w:cs="Times New Roman"/>
          <w:color w:val="000000"/>
        </w:rPr>
        <w:t xml:space="preserve">and </w:t>
      </w:r>
      <w:r>
        <w:rPr>
          <w:rFonts w:ascii="Times New Roman" w:hAnsi="Times New Roman" w:cs="Times New Roman"/>
          <w:color w:val="000000"/>
        </w:rPr>
        <w:t>J. Rendall (eds.),</w:t>
      </w:r>
      <w:r w:rsidRPr="004C02AF">
        <w:rPr>
          <w:rFonts w:ascii="Times New Roman" w:hAnsi="Times New Roman" w:cs="Times New Roman"/>
          <w:color w:val="000000"/>
        </w:rPr>
        <w:t xml:space="preserve"> </w:t>
      </w:r>
      <w:r w:rsidRPr="004C02AF">
        <w:rPr>
          <w:rFonts w:ascii="Times New Roman" w:hAnsi="Times New Roman" w:cs="Times New Roman"/>
          <w:i/>
          <w:iCs/>
          <w:color w:val="000000"/>
        </w:rPr>
        <w:t>Eighteenth-Century York: Culture, Space and Society</w:t>
      </w:r>
      <w:r w:rsidRPr="004C02AF">
        <w:rPr>
          <w:rFonts w:ascii="Times New Roman" w:hAnsi="Times New Roman" w:cs="Times New Roman"/>
          <w:color w:val="000000"/>
        </w:rPr>
        <w:t xml:space="preserve"> </w:t>
      </w:r>
      <w:r>
        <w:rPr>
          <w:rFonts w:ascii="Times New Roman" w:hAnsi="Times New Roman" w:cs="Times New Roman"/>
          <w:color w:val="000000"/>
        </w:rPr>
        <w:t>(</w:t>
      </w:r>
      <w:r w:rsidRPr="004C02AF">
        <w:rPr>
          <w:rFonts w:ascii="Times New Roman" w:hAnsi="Times New Roman" w:cs="Times New Roman"/>
          <w:color w:val="000000"/>
        </w:rPr>
        <w:t>York</w:t>
      </w:r>
      <w:r>
        <w:rPr>
          <w:rFonts w:ascii="Times New Roman" w:hAnsi="Times New Roman" w:cs="Times New Roman"/>
          <w:color w:val="000000"/>
        </w:rPr>
        <w:t xml:space="preserve"> 2003)</w:t>
      </w:r>
      <w:r w:rsidRPr="004C02AF">
        <w:rPr>
          <w:rFonts w:ascii="Times New Roman" w:hAnsi="Times New Roman" w:cs="Times New Roman"/>
        </w:rPr>
        <w:t xml:space="preserve">, </w:t>
      </w:r>
      <w:r w:rsidR="008053AE">
        <w:rPr>
          <w:rFonts w:ascii="Times New Roman" w:hAnsi="Times New Roman" w:cs="Times New Roman"/>
        </w:rPr>
        <w:t>20.</w:t>
      </w:r>
    </w:p>
  </w:footnote>
  <w:footnote w:id="76">
    <w:p w:rsidR="00937BE9" w:rsidRDefault="00937BE9" w:rsidP="009B2451">
      <w:pPr>
        <w:pStyle w:val="FootnoteText"/>
        <w:spacing w:line="360" w:lineRule="auto"/>
      </w:pPr>
      <w:r>
        <w:rPr>
          <w:rStyle w:val="FootnoteReference"/>
        </w:rPr>
        <w:footnoteRef/>
      </w:r>
      <w:r>
        <w:t xml:space="preserve"> </w:t>
      </w:r>
      <w:r w:rsidRPr="004C02AF">
        <w:rPr>
          <w:rFonts w:ascii="Times New Roman" w:hAnsi="Times New Roman" w:cs="Times New Roman"/>
        </w:rPr>
        <w:t>Borsay, ‘Politeness and elegance</w:t>
      </w:r>
      <w:r>
        <w:rPr>
          <w:rFonts w:ascii="Times New Roman" w:hAnsi="Times New Roman" w:cs="Times New Roman"/>
        </w:rPr>
        <w:t>’, 2.</w:t>
      </w:r>
    </w:p>
  </w:footnote>
  <w:footnote w:id="77">
    <w:p w:rsidR="000D6B8E" w:rsidRDefault="000D6B8E" w:rsidP="009B2451">
      <w:pPr>
        <w:pStyle w:val="FootnoteText"/>
        <w:spacing w:line="360" w:lineRule="auto"/>
      </w:pPr>
      <w:r>
        <w:rPr>
          <w:rStyle w:val="FootnoteReference"/>
        </w:rPr>
        <w:footnoteRef/>
      </w:r>
      <w:r>
        <w:t xml:space="preserve"> </w:t>
      </w:r>
      <w:r w:rsidR="009476ED">
        <w:t>C. King, ‘The interpretation of urban buildings: power, m</w:t>
      </w:r>
      <w:r>
        <w:t>emor</w:t>
      </w:r>
      <w:r w:rsidR="009476ED">
        <w:t>y and appropriation in Norwich merchant’s h</w:t>
      </w:r>
      <w:r>
        <w:t xml:space="preserve">ouses, c.1400-1660’, </w:t>
      </w:r>
      <w:r w:rsidRPr="000D6B8E">
        <w:rPr>
          <w:i/>
        </w:rPr>
        <w:t>World Archaeology</w:t>
      </w:r>
      <w:r w:rsidR="009476ED">
        <w:t xml:space="preserve"> 41 (3) (2009), 471-488.</w:t>
      </w:r>
    </w:p>
  </w:footnote>
  <w:footnote w:id="78">
    <w:p w:rsidR="000D6B8E" w:rsidRDefault="000D6B8E" w:rsidP="009B2451">
      <w:pPr>
        <w:pStyle w:val="FootnoteText"/>
        <w:spacing w:line="360" w:lineRule="auto"/>
      </w:pPr>
      <w:r>
        <w:rPr>
          <w:rStyle w:val="FootnoteReference"/>
        </w:rPr>
        <w:footnoteRef/>
      </w:r>
      <w:r>
        <w:t xml:space="preserve"> </w:t>
      </w:r>
      <w:r w:rsidR="009476ED">
        <w:t>C. King ‘The interpretation of urban b</w:t>
      </w:r>
      <w:r>
        <w:t>uildings’, 484.</w:t>
      </w:r>
    </w:p>
  </w:footnote>
  <w:footnote w:id="79">
    <w:p w:rsidR="007E7EC7" w:rsidRDefault="007E7EC7" w:rsidP="009B2451">
      <w:pPr>
        <w:pStyle w:val="FootnoteText"/>
        <w:spacing w:line="360" w:lineRule="auto"/>
      </w:pPr>
      <w:r>
        <w:rPr>
          <w:rStyle w:val="FootnoteReference"/>
        </w:rPr>
        <w:footnoteRef/>
      </w:r>
      <w:r>
        <w:t xml:space="preserve"> </w:t>
      </w:r>
      <w:r>
        <w:rPr>
          <w:rFonts w:ascii="Times New Roman" w:hAnsi="Times New Roman" w:cs="Times New Roman"/>
          <w:color w:val="000000"/>
        </w:rPr>
        <w:t xml:space="preserve">RCHME, </w:t>
      </w:r>
      <w:r w:rsidRPr="004C02AF">
        <w:rPr>
          <w:rFonts w:ascii="Times New Roman" w:hAnsi="Times New Roman" w:cs="Times New Roman"/>
          <w:i/>
          <w:iCs/>
          <w:color w:val="000000"/>
        </w:rPr>
        <w:t xml:space="preserve">An Inventory of The Historical Monuments in the City of </w:t>
      </w:r>
      <w:r>
        <w:rPr>
          <w:rFonts w:ascii="Times New Roman" w:hAnsi="Times New Roman" w:cs="Times New Roman"/>
          <w:i/>
          <w:iCs/>
          <w:color w:val="000000"/>
        </w:rPr>
        <w:t>York. Vol 3</w:t>
      </w:r>
      <w:r w:rsidRPr="004C02AF">
        <w:rPr>
          <w:rFonts w:ascii="Times New Roman" w:hAnsi="Times New Roman" w:cs="Times New Roman"/>
          <w:i/>
          <w:iCs/>
          <w:color w:val="000000"/>
        </w:rPr>
        <w:t xml:space="preserve">. </w:t>
      </w:r>
      <w:r>
        <w:rPr>
          <w:rFonts w:ascii="Times New Roman" w:hAnsi="Times New Roman" w:cs="Times New Roman"/>
          <w:i/>
          <w:iCs/>
          <w:color w:val="000000"/>
        </w:rPr>
        <w:t xml:space="preserve">South-West of the Ouse </w:t>
      </w:r>
      <w:r>
        <w:rPr>
          <w:rFonts w:ascii="Times New Roman" w:hAnsi="Times New Roman" w:cs="Times New Roman"/>
          <w:color w:val="000000"/>
        </w:rPr>
        <w:t>(</w:t>
      </w:r>
      <w:r w:rsidRPr="004C02AF">
        <w:rPr>
          <w:rFonts w:ascii="Times New Roman" w:hAnsi="Times New Roman" w:cs="Times New Roman"/>
          <w:color w:val="000000"/>
        </w:rPr>
        <w:t>London</w:t>
      </w:r>
      <w:r>
        <w:rPr>
          <w:rFonts w:ascii="Times New Roman" w:hAnsi="Times New Roman" w:cs="Times New Roman"/>
          <w:color w:val="000000"/>
        </w:rPr>
        <w:t xml:space="preserve"> 1972), 68.</w:t>
      </w:r>
    </w:p>
  </w:footnote>
  <w:footnote w:id="80">
    <w:p w:rsidR="00E845D5" w:rsidRDefault="00E845D5" w:rsidP="009B2451">
      <w:pPr>
        <w:pStyle w:val="FootnoteText"/>
        <w:spacing w:line="360" w:lineRule="auto"/>
      </w:pPr>
      <w:r>
        <w:rPr>
          <w:rStyle w:val="FootnoteReference"/>
        </w:rPr>
        <w:footnoteRef/>
      </w:r>
      <w:r w:rsidR="009476ED">
        <w:t xml:space="preserve"> Green, ‘The Polite Threshold’, </w:t>
      </w:r>
      <w:r w:rsidR="001E3552">
        <w:t>5</w:t>
      </w:r>
      <w:r>
        <w:t>.</w:t>
      </w:r>
    </w:p>
  </w:footnote>
  <w:footnote w:id="81">
    <w:p w:rsidR="00EC3831" w:rsidRPr="00EC3831" w:rsidRDefault="00EC3831" w:rsidP="009B2451">
      <w:pPr>
        <w:pStyle w:val="FootnoteText"/>
        <w:spacing w:line="360" w:lineRule="auto"/>
      </w:pPr>
      <w:r>
        <w:rPr>
          <w:rStyle w:val="FootnoteReference"/>
        </w:rPr>
        <w:footnoteRef/>
      </w:r>
      <w:r>
        <w:t xml:space="preserve"> </w:t>
      </w:r>
      <w:r w:rsidR="005C7B3C">
        <w:t xml:space="preserve">P. Wallis, </w:t>
      </w:r>
      <w:r w:rsidRPr="00EC3831">
        <w:t xml:space="preserve">‘Consumption, retailing, and medicine in early-modern London’, </w:t>
      </w:r>
      <w:r w:rsidRPr="00EC3831">
        <w:rPr>
          <w:i/>
        </w:rPr>
        <w:t>Econ</w:t>
      </w:r>
      <w:r>
        <w:rPr>
          <w:i/>
        </w:rPr>
        <w:t>omic</w:t>
      </w:r>
      <w:r w:rsidRPr="00EC3831">
        <w:rPr>
          <w:i/>
        </w:rPr>
        <w:t xml:space="preserve"> Hist</w:t>
      </w:r>
      <w:r>
        <w:rPr>
          <w:i/>
        </w:rPr>
        <w:t>ory</w:t>
      </w:r>
      <w:r w:rsidRPr="00EC3831">
        <w:rPr>
          <w:i/>
        </w:rPr>
        <w:t xml:space="preserve"> Rev</w:t>
      </w:r>
      <w:r>
        <w:rPr>
          <w:i/>
        </w:rPr>
        <w:t>iew</w:t>
      </w:r>
      <w:r w:rsidR="009476ED">
        <w:t xml:space="preserve"> 61 (</w:t>
      </w:r>
      <w:r w:rsidRPr="00EC3831">
        <w:t>1</w:t>
      </w:r>
      <w:r w:rsidR="009476ED">
        <w:t>)</w:t>
      </w:r>
      <w:r>
        <w:t xml:space="preserve"> (</w:t>
      </w:r>
      <w:r w:rsidRPr="00EC3831">
        <w:t>2008</w:t>
      </w:r>
      <w:r>
        <w:t>),</w:t>
      </w:r>
      <w:r w:rsidRPr="00EC3831">
        <w:t xml:space="preserve"> 26-53.</w:t>
      </w:r>
    </w:p>
  </w:footnote>
  <w:footnote w:id="82">
    <w:p w:rsidR="00EC3831" w:rsidRPr="006D745D" w:rsidRDefault="00EC3831" w:rsidP="009B2451">
      <w:pPr>
        <w:spacing w:line="360" w:lineRule="auto"/>
        <w:rPr>
          <w:lang w:val="en-GB"/>
        </w:rPr>
      </w:pPr>
      <w:r>
        <w:rPr>
          <w:rStyle w:val="FootnoteReference"/>
        </w:rPr>
        <w:footnoteRef/>
      </w:r>
      <w:r>
        <w:t xml:space="preserve"> </w:t>
      </w:r>
      <w:r w:rsidR="005C7B3C">
        <w:t xml:space="preserve">C. </w:t>
      </w:r>
      <w:r w:rsidR="005C7B3C">
        <w:rPr>
          <w:rFonts w:cs="Times New Roman"/>
          <w:color w:val="000000"/>
        </w:rPr>
        <w:t>Walsh,</w:t>
      </w:r>
      <w:r w:rsidRPr="00EC3831">
        <w:rPr>
          <w:rFonts w:cs="Times New Roman"/>
          <w:color w:val="000000"/>
        </w:rPr>
        <w:t xml:space="preserve"> ‘Shop design and the display of goods in eighteenth-century London’, </w:t>
      </w:r>
      <w:r w:rsidRPr="00EC3831">
        <w:rPr>
          <w:rFonts w:cs="Times New Roman"/>
          <w:i/>
          <w:color w:val="000000"/>
        </w:rPr>
        <w:t>J</w:t>
      </w:r>
      <w:r>
        <w:rPr>
          <w:rFonts w:cs="Times New Roman"/>
          <w:i/>
          <w:color w:val="000000"/>
        </w:rPr>
        <w:t>ournal</w:t>
      </w:r>
      <w:r w:rsidRPr="00EC3831">
        <w:rPr>
          <w:rFonts w:cs="Times New Roman"/>
          <w:i/>
          <w:color w:val="000000"/>
        </w:rPr>
        <w:t xml:space="preserve"> Design Hist</w:t>
      </w:r>
      <w:r>
        <w:rPr>
          <w:rFonts w:cs="Times New Roman"/>
          <w:i/>
          <w:color w:val="000000"/>
        </w:rPr>
        <w:t>ory</w:t>
      </w:r>
      <w:r w:rsidR="009476ED">
        <w:rPr>
          <w:rFonts w:cs="Times New Roman"/>
          <w:color w:val="000000"/>
        </w:rPr>
        <w:t>, 8 (</w:t>
      </w:r>
      <w:r w:rsidRPr="00EC3831">
        <w:rPr>
          <w:rFonts w:cs="Times New Roman"/>
          <w:color w:val="000000"/>
        </w:rPr>
        <w:t>3</w:t>
      </w:r>
      <w:r w:rsidR="009476ED">
        <w:rPr>
          <w:rFonts w:cs="Times New Roman"/>
          <w:color w:val="000000"/>
        </w:rPr>
        <w:t>)</w:t>
      </w:r>
      <w:r w:rsidRPr="00EC3831">
        <w:rPr>
          <w:rFonts w:cs="Times New Roman"/>
          <w:color w:val="000000"/>
        </w:rPr>
        <w:t xml:space="preserve"> (1995), 157-176; </w:t>
      </w:r>
      <w:r w:rsidRPr="00EC3831">
        <w:rPr>
          <w:rFonts w:cs="Times New Roman"/>
        </w:rPr>
        <w:t>Cox and W</w:t>
      </w:r>
      <w:r w:rsidR="009476ED">
        <w:rPr>
          <w:rFonts w:cs="Times New Roman"/>
        </w:rPr>
        <w:t>alsh, ‘ “Their shops are Dens” ’</w:t>
      </w:r>
      <w:r>
        <w:rPr>
          <w:rFonts w:cs="Times New Roman"/>
        </w:rPr>
        <w:t>.</w:t>
      </w:r>
    </w:p>
  </w:footnote>
  <w:footnote w:id="83">
    <w:p w:rsidR="00EC3831" w:rsidRDefault="00EC3831" w:rsidP="009B2451">
      <w:pPr>
        <w:pStyle w:val="FootnoteText"/>
        <w:spacing w:line="360" w:lineRule="auto"/>
      </w:pPr>
      <w:r>
        <w:rPr>
          <w:rStyle w:val="FootnoteReference"/>
        </w:rPr>
        <w:footnoteRef/>
      </w:r>
      <w:r>
        <w:t xml:space="preserve"> </w:t>
      </w:r>
      <w:r w:rsidRPr="00EC3831">
        <w:rPr>
          <w:rFonts w:cs="Times New Roman"/>
        </w:rPr>
        <w:t>Cox and Walsh, ‘ “Their shops are Dens” ’</w:t>
      </w:r>
      <w:r>
        <w:rPr>
          <w:rFonts w:cs="Times New Roman"/>
        </w:rPr>
        <w:t>, 101.</w:t>
      </w:r>
    </w:p>
  </w:footnote>
  <w:footnote w:id="84">
    <w:p w:rsidR="00EC3831" w:rsidRDefault="00EC3831" w:rsidP="009B2451">
      <w:pPr>
        <w:pStyle w:val="FootnoteText"/>
        <w:spacing w:line="360" w:lineRule="auto"/>
      </w:pPr>
      <w:r>
        <w:rPr>
          <w:rStyle w:val="FootnoteReference"/>
        </w:rPr>
        <w:footnoteRef/>
      </w:r>
      <w:r>
        <w:t xml:space="preserve"> </w:t>
      </w:r>
      <w:r>
        <w:rPr>
          <w:rFonts w:cs="Times New Roman"/>
          <w:color w:val="000000"/>
        </w:rPr>
        <w:t>Walsh</w:t>
      </w:r>
      <w:r w:rsidR="00F063DA">
        <w:rPr>
          <w:rFonts w:cs="Times New Roman"/>
          <w:color w:val="000000"/>
        </w:rPr>
        <w:t>,</w:t>
      </w:r>
      <w:r w:rsidRPr="00EC3831">
        <w:rPr>
          <w:rFonts w:cs="Times New Roman"/>
          <w:color w:val="000000"/>
        </w:rPr>
        <w:t xml:space="preserve"> ‘</w:t>
      </w:r>
      <w:r>
        <w:rPr>
          <w:rFonts w:cs="Times New Roman"/>
          <w:color w:val="000000"/>
        </w:rPr>
        <w:t>Shop design’, 161</w:t>
      </w:r>
      <w:r w:rsidR="009069A8">
        <w:rPr>
          <w:rFonts w:cs="Times New Roman"/>
          <w:color w:val="000000"/>
        </w:rPr>
        <w:t>.</w:t>
      </w:r>
    </w:p>
  </w:footnote>
  <w:footnote w:id="85">
    <w:p w:rsidR="00EC3831" w:rsidRPr="00EC3831" w:rsidRDefault="00EC3831" w:rsidP="009B2451">
      <w:pPr>
        <w:widowControl w:val="0"/>
        <w:tabs>
          <w:tab w:val="left" w:pos="2694"/>
          <w:tab w:val="left" w:pos="2835"/>
          <w:tab w:val="left" w:pos="3543"/>
          <w:tab w:val="left" w:pos="4252"/>
          <w:tab w:val="left" w:pos="4961"/>
          <w:tab w:val="left" w:pos="5669"/>
          <w:tab w:val="left" w:pos="6378"/>
          <w:tab w:val="left" w:pos="7087"/>
          <w:tab w:val="left" w:pos="7795"/>
          <w:tab w:val="left" w:pos="8504"/>
          <w:tab w:val="left" w:pos="9213"/>
        </w:tabs>
        <w:autoSpaceDE w:val="0"/>
        <w:autoSpaceDN w:val="0"/>
        <w:adjustRightInd w:val="0"/>
        <w:spacing w:line="360" w:lineRule="auto"/>
        <w:jc w:val="both"/>
        <w:rPr>
          <w:rFonts w:cs="Times New Roman"/>
          <w:color w:val="000000"/>
        </w:rPr>
      </w:pPr>
      <w:r>
        <w:rPr>
          <w:rStyle w:val="FootnoteReference"/>
        </w:rPr>
        <w:footnoteRef/>
      </w:r>
      <w:r>
        <w:t xml:space="preserve"> </w:t>
      </w:r>
      <w:r w:rsidR="005C7B3C">
        <w:t xml:space="preserve">P. </w:t>
      </w:r>
      <w:r w:rsidR="005C7B3C">
        <w:rPr>
          <w:rFonts w:cs="Times New Roman"/>
          <w:color w:val="000000"/>
        </w:rPr>
        <w:t>Guillery,</w:t>
      </w:r>
      <w:r w:rsidRPr="00EC3831">
        <w:rPr>
          <w:rFonts w:cs="Times New Roman"/>
          <w:color w:val="000000"/>
        </w:rPr>
        <w:t xml:space="preserve"> </w:t>
      </w:r>
      <w:r w:rsidRPr="00EC3831">
        <w:rPr>
          <w:rFonts w:cs="Times New Roman"/>
          <w:i/>
          <w:iCs/>
          <w:color w:val="000000"/>
        </w:rPr>
        <w:t>The Small House in Eighteenth-Century London: A Social and Architectural History</w:t>
      </w:r>
      <w:r w:rsidRPr="00EC3831">
        <w:rPr>
          <w:rFonts w:cs="Times New Roman"/>
          <w:color w:val="000000"/>
        </w:rPr>
        <w:t xml:space="preserve"> (New Haven</w:t>
      </w:r>
      <w:r w:rsidR="00F063DA">
        <w:rPr>
          <w:rFonts w:cs="Times New Roman"/>
          <w:color w:val="000000"/>
        </w:rPr>
        <w:t xml:space="preserve"> 2004</w:t>
      </w:r>
      <w:r w:rsidRPr="00EC3831">
        <w:rPr>
          <w:rFonts w:cs="Times New Roman"/>
          <w:color w:val="000000"/>
        </w:rPr>
        <w:t>)</w:t>
      </w:r>
      <w:r>
        <w:rPr>
          <w:rFonts w:cs="Times New Roman"/>
          <w:color w:val="000000"/>
        </w:rPr>
        <w:t>, 40</w:t>
      </w:r>
      <w:r w:rsidRPr="00EC3831">
        <w:rPr>
          <w:rFonts w:cs="Times New Roman"/>
          <w:color w:val="000000"/>
        </w:rPr>
        <w:t>.</w:t>
      </w:r>
    </w:p>
  </w:footnote>
  <w:footnote w:id="86">
    <w:p w:rsidR="00EC3831" w:rsidRDefault="00EC3831" w:rsidP="009B2451">
      <w:pPr>
        <w:pStyle w:val="FootnoteText"/>
        <w:spacing w:line="360" w:lineRule="auto"/>
      </w:pPr>
      <w:r>
        <w:rPr>
          <w:rStyle w:val="FootnoteReference"/>
        </w:rPr>
        <w:footnoteRef/>
      </w:r>
      <w:r>
        <w:t xml:space="preserve"> </w:t>
      </w:r>
      <w:r>
        <w:rPr>
          <w:rFonts w:cs="Times New Roman"/>
          <w:color w:val="000000"/>
        </w:rPr>
        <w:t>Walsh</w:t>
      </w:r>
      <w:r w:rsidR="00F063DA">
        <w:rPr>
          <w:rFonts w:cs="Times New Roman"/>
          <w:color w:val="000000"/>
        </w:rPr>
        <w:t xml:space="preserve">, </w:t>
      </w:r>
      <w:r w:rsidRPr="00EC3831">
        <w:rPr>
          <w:rFonts w:cs="Times New Roman"/>
          <w:color w:val="000000"/>
        </w:rPr>
        <w:t>‘</w:t>
      </w:r>
      <w:r>
        <w:rPr>
          <w:rFonts w:cs="Times New Roman"/>
          <w:color w:val="000000"/>
        </w:rPr>
        <w:t xml:space="preserve">Shop design’, 161; </w:t>
      </w:r>
      <w:r>
        <w:rPr>
          <w:rFonts w:ascii="Times New Roman" w:hAnsi="Times New Roman" w:cs="Times New Roman"/>
        </w:rPr>
        <w:t xml:space="preserve">Hann </w:t>
      </w:r>
      <w:r w:rsidRPr="004C02AF">
        <w:rPr>
          <w:rFonts w:ascii="Times New Roman" w:hAnsi="Times New Roman" w:cs="Times New Roman"/>
        </w:rPr>
        <w:t xml:space="preserve">and </w:t>
      </w:r>
      <w:r>
        <w:rPr>
          <w:rFonts w:ascii="Times New Roman" w:hAnsi="Times New Roman" w:cs="Times New Roman"/>
        </w:rPr>
        <w:t>Stobart, ‘Sites of consumption’, 183.</w:t>
      </w:r>
    </w:p>
  </w:footnote>
  <w:footnote w:id="87">
    <w:p w:rsidR="00B548D5" w:rsidRDefault="00B548D5" w:rsidP="009B2451">
      <w:pPr>
        <w:pStyle w:val="FootnoteText"/>
        <w:spacing w:line="360" w:lineRule="auto"/>
      </w:pPr>
      <w:r>
        <w:rPr>
          <w:rStyle w:val="FootnoteReference"/>
        </w:rPr>
        <w:footnoteRef/>
      </w:r>
      <w:r>
        <w:t xml:space="preserve"> </w:t>
      </w:r>
      <w:r>
        <w:rPr>
          <w:rFonts w:cs="Times New Roman"/>
          <w:color w:val="000000"/>
        </w:rPr>
        <w:t>Walsh</w:t>
      </w:r>
      <w:r w:rsidR="00F063DA">
        <w:rPr>
          <w:rFonts w:cs="Times New Roman"/>
          <w:color w:val="000000"/>
        </w:rPr>
        <w:t>,</w:t>
      </w:r>
      <w:r w:rsidRPr="00EC3831">
        <w:rPr>
          <w:rFonts w:cs="Times New Roman"/>
          <w:color w:val="000000"/>
        </w:rPr>
        <w:t xml:space="preserve"> ‘</w:t>
      </w:r>
      <w:r>
        <w:rPr>
          <w:rFonts w:cs="Times New Roman"/>
          <w:color w:val="000000"/>
        </w:rPr>
        <w:t>Shop design’, 162.</w:t>
      </w:r>
    </w:p>
  </w:footnote>
  <w:footnote w:id="88">
    <w:p w:rsidR="00B548D5" w:rsidRPr="00B548D5" w:rsidRDefault="00B548D5" w:rsidP="009B2451">
      <w:pPr>
        <w:pStyle w:val="FootnoteText"/>
        <w:spacing w:line="360" w:lineRule="auto"/>
      </w:pPr>
      <w:r>
        <w:rPr>
          <w:rStyle w:val="FootnoteReference"/>
        </w:rPr>
        <w:footnoteRef/>
      </w:r>
      <w:r>
        <w:t xml:space="preserve"> </w:t>
      </w:r>
      <w:r w:rsidRPr="00EC3831">
        <w:rPr>
          <w:rFonts w:cs="Times New Roman"/>
        </w:rPr>
        <w:t>Cox and Walsh, ‘ “Their shops are Dens” ’</w:t>
      </w:r>
      <w:r>
        <w:rPr>
          <w:rFonts w:cs="Times New Roman"/>
        </w:rPr>
        <w:t xml:space="preserve">, 100; </w:t>
      </w:r>
      <w:r>
        <w:rPr>
          <w:rFonts w:ascii="Times New Roman" w:hAnsi="Times New Roman" w:cs="Times New Roman"/>
          <w:color w:val="000000"/>
        </w:rPr>
        <w:t>Morrison</w:t>
      </w:r>
      <w:r w:rsidRPr="004C02AF">
        <w:rPr>
          <w:rFonts w:ascii="Times New Roman" w:hAnsi="Times New Roman" w:cs="Times New Roman"/>
          <w:color w:val="000000"/>
        </w:rPr>
        <w:t xml:space="preserve">, </w:t>
      </w:r>
      <w:r w:rsidRPr="004C02AF">
        <w:rPr>
          <w:rFonts w:ascii="Times New Roman" w:hAnsi="Times New Roman" w:cs="Times New Roman"/>
          <w:i/>
          <w:color w:val="000000"/>
        </w:rPr>
        <w:t>English Shops and Shopp</w:t>
      </w:r>
      <w:r>
        <w:rPr>
          <w:rFonts w:ascii="Times New Roman" w:hAnsi="Times New Roman" w:cs="Times New Roman"/>
          <w:i/>
          <w:color w:val="000000"/>
        </w:rPr>
        <w:t>ing</w:t>
      </w:r>
      <w:r>
        <w:rPr>
          <w:rFonts w:ascii="Times New Roman" w:hAnsi="Times New Roman" w:cs="Times New Roman"/>
          <w:color w:val="000000"/>
        </w:rPr>
        <w:t>, 39.</w:t>
      </w:r>
    </w:p>
  </w:footnote>
  <w:footnote w:id="89">
    <w:p w:rsidR="00E31BEB" w:rsidRDefault="00E31BEB" w:rsidP="009B2451">
      <w:pPr>
        <w:pStyle w:val="FootnoteText"/>
        <w:spacing w:line="360" w:lineRule="auto"/>
      </w:pPr>
      <w:r>
        <w:rPr>
          <w:rStyle w:val="FootnoteReference"/>
        </w:rPr>
        <w:footnoteRef/>
      </w:r>
      <w:r w:rsidR="00F063DA">
        <w:t xml:space="preserve"> </w:t>
      </w:r>
      <w:r>
        <w:rPr>
          <w:rFonts w:ascii="Times New Roman" w:hAnsi="Times New Roman"/>
        </w:rPr>
        <w:t>Jenkins</w:t>
      </w:r>
      <w:r w:rsidR="00F063DA">
        <w:rPr>
          <w:rFonts w:ascii="Times New Roman" w:hAnsi="Times New Roman"/>
        </w:rPr>
        <w:t>,</w:t>
      </w:r>
      <w:r>
        <w:rPr>
          <w:rFonts w:ascii="Times New Roman" w:hAnsi="Times New Roman"/>
        </w:rPr>
        <w:t xml:space="preserve"> </w:t>
      </w:r>
      <w:r w:rsidRPr="009656D9">
        <w:rPr>
          <w:rFonts w:ascii="Times New Roman" w:hAnsi="Times New Roman"/>
        </w:rPr>
        <w:t xml:space="preserve">‘The View </w:t>
      </w:r>
      <w:r>
        <w:rPr>
          <w:rFonts w:ascii="Times New Roman" w:hAnsi="Times New Roman"/>
        </w:rPr>
        <w:t>from the Street’.</w:t>
      </w:r>
    </w:p>
  </w:footnote>
  <w:footnote w:id="90">
    <w:p w:rsidR="00E31BEB" w:rsidRDefault="00E31BEB" w:rsidP="009B2451">
      <w:pPr>
        <w:pStyle w:val="FootnoteText"/>
        <w:spacing w:line="360" w:lineRule="auto"/>
      </w:pPr>
      <w:r>
        <w:rPr>
          <w:rStyle w:val="FootnoteReference"/>
        </w:rPr>
        <w:footnoteRef/>
      </w:r>
      <w:r>
        <w:t xml:space="preserve"> </w:t>
      </w:r>
      <w:r>
        <w:rPr>
          <w:rFonts w:ascii="Times New Roman" w:hAnsi="Times New Roman" w:cs="Times New Roman"/>
        </w:rPr>
        <w:t xml:space="preserve">Hann </w:t>
      </w:r>
      <w:r w:rsidRPr="004C02AF">
        <w:rPr>
          <w:rFonts w:ascii="Times New Roman" w:hAnsi="Times New Roman" w:cs="Times New Roman"/>
        </w:rPr>
        <w:t xml:space="preserve">and </w:t>
      </w:r>
      <w:r>
        <w:rPr>
          <w:rFonts w:ascii="Times New Roman" w:hAnsi="Times New Roman" w:cs="Times New Roman"/>
        </w:rPr>
        <w:t>Stobart, ‘Sites of consumption’, 183.</w:t>
      </w:r>
    </w:p>
  </w:footnote>
  <w:footnote w:id="91">
    <w:p w:rsidR="00E31BEB" w:rsidRDefault="00E31BEB" w:rsidP="009B2451">
      <w:pPr>
        <w:pStyle w:val="FootnoteText"/>
        <w:spacing w:line="360" w:lineRule="auto"/>
      </w:pPr>
      <w:r>
        <w:rPr>
          <w:rStyle w:val="FootnoteReference"/>
        </w:rPr>
        <w:footnoteRef/>
      </w:r>
      <w:r>
        <w:t xml:space="preserve"> </w:t>
      </w:r>
      <w:r>
        <w:rPr>
          <w:rFonts w:ascii="Times New Roman" w:hAnsi="Times New Roman" w:cs="Times New Roman"/>
          <w:color w:val="000000"/>
        </w:rPr>
        <w:t xml:space="preserve">Stobart </w:t>
      </w:r>
      <w:r w:rsidRPr="00307CDF">
        <w:rPr>
          <w:rFonts w:ascii="Times New Roman" w:hAnsi="Times New Roman" w:cs="Times New Roman"/>
          <w:i/>
          <w:color w:val="000000"/>
        </w:rPr>
        <w:t>et al</w:t>
      </w:r>
      <w:r>
        <w:rPr>
          <w:rFonts w:ascii="Times New Roman" w:hAnsi="Times New Roman" w:cs="Times New Roman"/>
          <w:color w:val="000000"/>
        </w:rPr>
        <w:t>,</w:t>
      </w:r>
      <w:r w:rsidRPr="004C02AF">
        <w:rPr>
          <w:rFonts w:ascii="Times New Roman" w:hAnsi="Times New Roman" w:cs="Times New Roman"/>
          <w:color w:val="000000"/>
        </w:rPr>
        <w:t xml:space="preserve"> </w:t>
      </w:r>
      <w:r w:rsidRPr="004C02AF">
        <w:rPr>
          <w:rFonts w:ascii="Times New Roman" w:hAnsi="Times New Roman" w:cs="Times New Roman"/>
          <w:i/>
          <w:color w:val="000000"/>
        </w:rPr>
        <w:t>Spaces of Consumption</w:t>
      </w:r>
      <w:r>
        <w:rPr>
          <w:rFonts w:ascii="Times New Roman" w:hAnsi="Times New Roman" w:cs="Times New Roman"/>
          <w:color w:val="000000"/>
        </w:rPr>
        <w:t>, 126.</w:t>
      </w:r>
    </w:p>
  </w:footnote>
  <w:footnote w:id="92">
    <w:p w:rsidR="00E31BEB" w:rsidRDefault="00E31BEB" w:rsidP="009B2451">
      <w:pPr>
        <w:pStyle w:val="FootnoteText"/>
        <w:spacing w:line="360" w:lineRule="auto"/>
      </w:pPr>
      <w:r>
        <w:rPr>
          <w:rStyle w:val="FootnoteReference"/>
        </w:rPr>
        <w:footnoteRef/>
      </w:r>
      <w:r>
        <w:t xml:space="preserve"> </w:t>
      </w:r>
      <w:r>
        <w:rPr>
          <w:rFonts w:cs="Times New Roman"/>
          <w:color w:val="000000"/>
        </w:rPr>
        <w:t>Walsh</w:t>
      </w:r>
      <w:r w:rsidR="00F063DA">
        <w:rPr>
          <w:rFonts w:cs="Times New Roman"/>
          <w:color w:val="000000"/>
        </w:rPr>
        <w:t>,</w:t>
      </w:r>
      <w:r w:rsidRPr="00EC3831">
        <w:rPr>
          <w:rFonts w:cs="Times New Roman"/>
          <w:color w:val="000000"/>
        </w:rPr>
        <w:t xml:space="preserve"> ‘</w:t>
      </w:r>
      <w:r>
        <w:rPr>
          <w:rFonts w:cs="Times New Roman"/>
          <w:color w:val="000000"/>
        </w:rPr>
        <w:t>Shop design’, 172.</w:t>
      </w:r>
    </w:p>
  </w:footnote>
  <w:footnote w:id="93">
    <w:p w:rsidR="00A57943" w:rsidRDefault="00A57943" w:rsidP="009B2451">
      <w:pPr>
        <w:pStyle w:val="FootnoteText"/>
        <w:spacing w:line="360" w:lineRule="auto"/>
      </w:pPr>
      <w:r>
        <w:rPr>
          <w:rStyle w:val="FootnoteReference"/>
        </w:rPr>
        <w:footnoteRef/>
      </w:r>
      <w:r>
        <w:t xml:space="preserve"> I. Mitchell, </w:t>
      </w:r>
      <w:r>
        <w:rPr>
          <w:i/>
        </w:rPr>
        <w:t>Tradition and Innovation in English Retailing, 1700 to 1850</w:t>
      </w:r>
      <w:r>
        <w:t>, (Farnham 2014)</w:t>
      </w:r>
      <w:r w:rsidR="00F063DA">
        <w:t>, 102</w:t>
      </w:r>
      <w:r>
        <w:t>.</w:t>
      </w:r>
    </w:p>
  </w:footnote>
  <w:footnote w:id="94">
    <w:p w:rsidR="00B548D5" w:rsidRPr="00B548D5" w:rsidRDefault="00B548D5" w:rsidP="009B2451">
      <w:pPr>
        <w:pStyle w:val="FootnoteText"/>
        <w:spacing w:line="360" w:lineRule="auto"/>
      </w:pPr>
      <w:r>
        <w:rPr>
          <w:rStyle w:val="FootnoteReference"/>
        </w:rPr>
        <w:footnoteRef/>
      </w:r>
      <w:r>
        <w:t xml:space="preserve"> </w:t>
      </w:r>
      <w:r w:rsidR="005C7B3C">
        <w:t xml:space="preserve">J. </w:t>
      </w:r>
      <w:r w:rsidR="005C7B3C">
        <w:rPr>
          <w:rFonts w:cs="Times New Roman"/>
          <w:color w:val="000000"/>
        </w:rPr>
        <w:t xml:space="preserve">Arnold, </w:t>
      </w:r>
      <w:r w:rsidRPr="00B548D5">
        <w:rPr>
          <w:rFonts w:cs="Times New Roman"/>
          <w:i/>
          <w:color w:val="000000"/>
        </w:rPr>
        <w:t>Patterns of Fashion: Volume 1 1660-1860</w:t>
      </w:r>
      <w:r w:rsidRPr="00B548D5">
        <w:rPr>
          <w:rFonts w:cs="Times New Roman"/>
          <w:color w:val="000000"/>
        </w:rPr>
        <w:t>. (London 1972).</w:t>
      </w:r>
    </w:p>
  </w:footnote>
  <w:footnote w:id="95">
    <w:p w:rsidR="00B548D5" w:rsidRPr="00B548D5" w:rsidRDefault="00B548D5" w:rsidP="009B2451">
      <w:pPr>
        <w:widowControl w:val="0"/>
        <w:tabs>
          <w:tab w:val="left" w:pos="993"/>
          <w:tab w:val="left" w:pos="1985"/>
          <w:tab w:val="left" w:pos="2410"/>
          <w:tab w:val="left" w:pos="2977"/>
          <w:tab w:val="left" w:pos="3261"/>
          <w:tab w:val="left" w:pos="3544"/>
          <w:tab w:val="left" w:pos="3686"/>
          <w:tab w:val="left" w:pos="4253"/>
          <w:tab w:val="left" w:pos="4536"/>
          <w:tab w:val="left" w:pos="4962"/>
          <w:tab w:val="left" w:pos="5245"/>
          <w:tab w:val="left" w:pos="5812"/>
          <w:tab w:val="left" w:pos="6946"/>
          <w:tab w:val="left" w:pos="7230"/>
          <w:tab w:val="left" w:pos="7655"/>
        </w:tabs>
        <w:autoSpaceDE w:val="0"/>
        <w:autoSpaceDN w:val="0"/>
        <w:adjustRightInd w:val="0"/>
        <w:spacing w:line="360" w:lineRule="auto"/>
        <w:jc w:val="both"/>
        <w:rPr>
          <w:rFonts w:cs="Times New Roman"/>
          <w:color w:val="000000"/>
        </w:rPr>
      </w:pPr>
      <w:r>
        <w:rPr>
          <w:rStyle w:val="FootnoteReference"/>
        </w:rPr>
        <w:footnoteRef/>
      </w:r>
      <w:r>
        <w:t xml:space="preserve"> </w:t>
      </w:r>
      <w:r w:rsidR="009132DC">
        <w:t xml:space="preserve">F. </w:t>
      </w:r>
      <w:r w:rsidR="009132DC">
        <w:rPr>
          <w:rFonts w:cs="Times New Roman"/>
          <w:color w:val="000000"/>
        </w:rPr>
        <w:t>Burney,</w:t>
      </w:r>
      <w:r w:rsidRPr="00B548D5">
        <w:rPr>
          <w:rFonts w:cs="Times New Roman"/>
          <w:color w:val="000000"/>
        </w:rPr>
        <w:t xml:space="preserve"> </w:t>
      </w:r>
      <w:r w:rsidRPr="00B548D5">
        <w:rPr>
          <w:rFonts w:cs="Times New Roman"/>
          <w:i/>
          <w:color w:val="000000"/>
        </w:rPr>
        <w:t>Evelina, Or the History of a Young Lady’s Entrance into the World</w:t>
      </w:r>
      <w:r w:rsidR="00F063DA">
        <w:rPr>
          <w:rFonts w:cs="Times New Roman"/>
          <w:color w:val="000000"/>
        </w:rPr>
        <w:t>,</w:t>
      </w:r>
      <w:r w:rsidRPr="00B548D5">
        <w:rPr>
          <w:rFonts w:cs="Times New Roman"/>
          <w:color w:val="000000"/>
        </w:rPr>
        <w:t xml:space="preserve"> E</w:t>
      </w:r>
      <w:r w:rsidR="00F063DA">
        <w:rPr>
          <w:rFonts w:cs="Times New Roman"/>
          <w:color w:val="000000"/>
        </w:rPr>
        <w:t>.</w:t>
      </w:r>
      <w:r w:rsidRPr="00B548D5">
        <w:rPr>
          <w:rFonts w:cs="Times New Roman"/>
          <w:color w:val="000000"/>
        </w:rPr>
        <w:t>A</w:t>
      </w:r>
      <w:r w:rsidR="00F063DA">
        <w:rPr>
          <w:rFonts w:cs="Times New Roman"/>
          <w:color w:val="000000"/>
        </w:rPr>
        <w:t>. Bloom (ed) (Oxford 2002), 25.</w:t>
      </w:r>
    </w:p>
  </w:footnote>
  <w:footnote w:id="96">
    <w:p w:rsidR="00B548D5" w:rsidRDefault="00B548D5" w:rsidP="009B2451">
      <w:pPr>
        <w:pStyle w:val="FootnoteText"/>
        <w:spacing w:line="360" w:lineRule="auto"/>
      </w:pPr>
      <w:r>
        <w:rPr>
          <w:rStyle w:val="FootnoteReference"/>
        </w:rPr>
        <w:footnoteRef/>
      </w:r>
      <w:r>
        <w:t xml:space="preserve"> </w:t>
      </w:r>
      <w:r w:rsidRPr="00EC3831">
        <w:rPr>
          <w:rFonts w:cs="Times New Roman"/>
        </w:rPr>
        <w:t>Cox and Walsh, ‘ “Their shops are Dens” ’</w:t>
      </w:r>
      <w:r>
        <w:rPr>
          <w:rFonts w:cs="Times New Roman"/>
        </w:rPr>
        <w:t>, 87.</w:t>
      </w:r>
    </w:p>
  </w:footnote>
  <w:footnote w:id="97">
    <w:p w:rsidR="009132DC" w:rsidRDefault="009132DC" w:rsidP="009B2451">
      <w:pPr>
        <w:pStyle w:val="FootnoteText"/>
        <w:spacing w:line="360" w:lineRule="auto"/>
      </w:pPr>
      <w:r>
        <w:rPr>
          <w:rStyle w:val="FootnoteReference"/>
        </w:rPr>
        <w:footnoteRef/>
      </w:r>
      <w:r>
        <w:t xml:space="preserve"> </w:t>
      </w:r>
      <w:r w:rsidRPr="002E7214">
        <w:rPr>
          <w:szCs w:val="23"/>
        </w:rPr>
        <w:t>Y</w:t>
      </w:r>
      <w:r>
        <w:rPr>
          <w:szCs w:val="23"/>
        </w:rPr>
        <w:t xml:space="preserve">ork </w:t>
      </w:r>
      <w:r w:rsidRPr="002E7214">
        <w:rPr>
          <w:szCs w:val="23"/>
        </w:rPr>
        <w:t>C</w:t>
      </w:r>
      <w:r>
        <w:rPr>
          <w:szCs w:val="23"/>
        </w:rPr>
        <w:t xml:space="preserve">ity </w:t>
      </w:r>
      <w:r w:rsidRPr="002E7214">
        <w:rPr>
          <w:szCs w:val="23"/>
        </w:rPr>
        <w:t>L</w:t>
      </w:r>
      <w:r>
        <w:rPr>
          <w:szCs w:val="23"/>
        </w:rPr>
        <w:t>ibrary (YCL), Y769.5.</w:t>
      </w:r>
    </w:p>
  </w:footnote>
  <w:footnote w:id="98">
    <w:p w:rsidR="009132DC" w:rsidRDefault="009132DC" w:rsidP="009B2451">
      <w:pPr>
        <w:pStyle w:val="FootnoteText"/>
        <w:spacing w:line="360" w:lineRule="auto"/>
      </w:pPr>
      <w:r>
        <w:rPr>
          <w:rStyle w:val="FootnoteReference"/>
        </w:rPr>
        <w:footnoteRef/>
      </w:r>
      <w:r>
        <w:t xml:space="preserve"> </w:t>
      </w:r>
      <w:r>
        <w:rPr>
          <w:rFonts w:ascii="Times New Roman" w:hAnsi="Times New Roman" w:cs="Times New Roman"/>
        </w:rPr>
        <w:t xml:space="preserve">Hann </w:t>
      </w:r>
      <w:r w:rsidRPr="004C02AF">
        <w:rPr>
          <w:rFonts w:ascii="Times New Roman" w:hAnsi="Times New Roman" w:cs="Times New Roman"/>
        </w:rPr>
        <w:t xml:space="preserve">and </w:t>
      </w:r>
      <w:r>
        <w:rPr>
          <w:rFonts w:ascii="Times New Roman" w:hAnsi="Times New Roman" w:cs="Times New Roman"/>
        </w:rPr>
        <w:t>Stobart, ‘Sites of consumption’, 171.</w:t>
      </w:r>
    </w:p>
  </w:footnote>
  <w:footnote w:id="99">
    <w:p w:rsidR="009132DC" w:rsidRDefault="009132DC" w:rsidP="009B2451">
      <w:pPr>
        <w:pStyle w:val="FootnoteText"/>
        <w:spacing w:line="360" w:lineRule="auto"/>
      </w:pPr>
      <w:r>
        <w:rPr>
          <w:rStyle w:val="FootnoteReference"/>
        </w:rPr>
        <w:footnoteRef/>
      </w:r>
      <w:r>
        <w:t xml:space="preserve"> </w:t>
      </w:r>
      <w:r>
        <w:rPr>
          <w:rFonts w:ascii="Times New Roman" w:hAnsi="Times New Roman" w:cs="Times New Roman"/>
          <w:color w:val="000000"/>
        </w:rPr>
        <w:t>Morrison</w:t>
      </w:r>
      <w:r w:rsidRPr="004C02AF">
        <w:rPr>
          <w:rFonts w:ascii="Times New Roman" w:hAnsi="Times New Roman" w:cs="Times New Roman"/>
          <w:color w:val="000000"/>
        </w:rPr>
        <w:t xml:space="preserve">, </w:t>
      </w:r>
      <w:r w:rsidRPr="004C02AF">
        <w:rPr>
          <w:rFonts w:ascii="Times New Roman" w:hAnsi="Times New Roman" w:cs="Times New Roman"/>
          <w:i/>
          <w:color w:val="000000"/>
        </w:rPr>
        <w:t>English Shops and Shopp</w:t>
      </w:r>
      <w:r>
        <w:rPr>
          <w:rFonts w:ascii="Times New Roman" w:hAnsi="Times New Roman" w:cs="Times New Roman"/>
          <w:i/>
          <w:color w:val="000000"/>
        </w:rPr>
        <w:t>ing</w:t>
      </w:r>
      <w:r>
        <w:rPr>
          <w:rFonts w:ascii="Times New Roman" w:hAnsi="Times New Roman" w:cs="Times New Roman"/>
          <w:color w:val="000000"/>
        </w:rPr>
        <w:t>, 38.</w:t>
      </w:r>
    </w:p>
  </w:footnote>
  <w:footnote w:id="100">
    <w:p w:rsidR="009132DC" w:rsidRPr="009132DC" w:rsidRDefault="009132DC" w:rsidP="009B2451">
      <w:pPr>
        <w:pStyle w:val="FootnoteText"/>
        <w:spacing w:line="360" w:lineRule="auto"/>
        <w:rPr>
          <w:b/>
        </w:rPr>
      </w:pPr>
      <w:r>
        <w:rPr>
          <w:rStyle w:val="FootnoteReference"/>
        </w:rPr>
        <w:footnoteRef/>
      </w:r>
      <w:r>
        <w:t xml:space="preserve"> A</w:t>
      </w:r>
      <w:r w:rsidRPr="009132DC">
        <w:t xml:space="preserve">. </w:t>
      </w:r>
      <w:r w:rsidR="00F063DA">
        <w:rPr>
          <w:szCs w:val="23"/>
        </w:rPr>
        <w:t>Vickery,</w:t>
      </w:r>
      <w:r w:rsidRPr="009132DC">
        <w:rPr>
          <w:szCs w:val="23"/>
        </w:rPr>
        <w:t xml:space="preserve"> </w:t>
      </w:r>
      <w:r w:rsidRPr="009132DC">
        <w:rPr>
          <w:i/>
          <w:iCs/>
          <w:szCs w:val="23"/>
        </w:rPr>
        <w:t xml:space="preserve">Behind Closed Doors: At Home in Georgian England </w:t>
      </w:r>
      <w:r w:rsidRPr="009132DC">
        <w:rPr>
          <w:iCs/>
          <w:szCs w:val="23"/>
        </w:rPr>
        <w:t>(</w:t>
      </w:r>
      <w:r w:rsidRPr="009132DC">
        <w:rPr>
          <w:szCs w:val="23"/>
        </w:rPr>
        <w:t>New Haven</w:t>
      </w:r>
      <w:r w:rsidR="00F063DA">
        <w:rPr>
          <w:szCs w:val="23"/>
        </w:rPr>
        <w:t xml:space="preserve"> </w:t>
      </w:r>
      <w:r w:rsidR="00F063DA">
        <w:rPr>
          <w:iCs/>
          <w:szCs w:val="23"/>
        </w:rPr>
        <w:t>2009</w:t>
      </w:r>
      <w:r w:rsidRPr="009132DC">
        <w:rPr>
          <w:szCs w:val="23"/>
        </w:rPr>
        <w:t>), 128.</w:t>
      </w:r>
    </w:p>
  </w:footnote>
  <w:footnote w:id="101">
    <w:p w:rsidR="009132DC" w:rsidRDefault="009132DC" w:rsidP="009B2451">
      <w:pPr>
        <w:pStyle w:val="FootnoteText"/>
        <w:spacing w:line="360" w:lineRule="auto"/>
      </w:pPr>
      <w:r>
        <w:rPr>
          <w:rStyle w:val="FootnoteReference"/>
        </w:rPr>
        <w:footnoteRef/>
      </w:r>
      <w:r>
        <w:t xml:space="preserve"> </w:t>
      </w:r>
      <w:r>
        <w:rPr>
          <w:sz w:val="23"/>
          <w:szCs w:val="23"/>
        </w:rPr>
        <w:t>YCL, Y769.5.</w:t>
      </w:r>
    </w:p>
  </w:footnote>
  <w:footnote w:id="102">
    <w:p w:rsidR="009132DC" w:rsidRDefault="009132DC" w:rsidP="009B2451">
      <w:pPr>
        <w:pStyle w:val="FootnoteText"/>
        <w:spacing w:line="360" w:lineRule="auto"/>
      </w:pPr>
      <w:r>
        <w:rPr>
          <w:rStyle w:val="FootnoteReference"/>
        </w:rPr>
        <w:footnoteRef/>
      </w:r>
      <w:r>
        <w:t xml:space="preserve"> </w:t>
      </w:r>
      <w:r>
        <w:rPr>
          <w:rFonts w:ascii="Times New Roman" w:hAnsi="Times New Roman" w:cs="Times New Roman"/>
        </w:rPr>
        <w:t xml:space="preserve">Hann </w:t>
      </w:r>
      <w:r w:rsidRPr="004C02AF">
        <w:rPr>
          <w:rFonts w:ascii="Times New Roman" w:hAnsi="Times New Roman" w:cs="Times New Roman"/>
        </w:rPr>
        <w:t xml:space="preserve">and </w:t>
      </w:r>
      <w:r>
        <w:rPr>
          <w:rFonts w:ascii="Times New Roman" w:hAnsi="Times New Roman" w:cs="Times New Roman"/>
        </w:rPr>
        <w:t>Stobart, ‘Sites of consumption’, 172.</w:t>
      </w:r>
    </w:p>
  </w:footnote>
  <w:footnote w:id="103">
    <w:p w:rsidR="00A905A5" w:rsidRDefault="00A905A5" w:rsidP="009B2451">
      <w:pPr>
        <w:pStyle w:val="FootnoteText"/>
        <w:spacing w:line="360" w:lineRule="auto"/>
      </w:pPr>
      <w:r>
        <w:rPr>
          <w:rStyle w:val="FootnoteReference"/>
        </w:rPr>
        <w:footnoteRef/>
      </w:r>
      <w:r>
        <w:t xml:space="preserve"> </w:t>
      </w:r>
      <w:r>
        <w:rPr>
          <w:sz w:val="23"/>
          <w:szCs w:val="23"/>
        </w:rPr>
        <w:t>YCL, Y769.5.</w:t>
      </w:r>
    </w:p>
  </w:footnote>
  <w:footnote w:id="104">
    <w:p w:rsidR="00DF25FB" w:rsidRDefault="00DF25FB" w:rsidP="00D81FB5">
      <w:pPr>
        <w:pStyle w:val="FootnoteText"/>
        <w:spacing w:line="360" w:lineRule="auto"/>
      </w:pPr>
      <w:r>
        <w:rPr>
          <w:rStyle w:val="FootnoteReference"/>
        </w:rPr>
        <w:footnoteRef/>
      </w:r>
      <w:r w:rsidR="00F063DA">
        <w:t xml:space="preserve"> </w:t>
      </w:r>
      <w:r>
        <w:t>Sweet, ‘Topographies of Politeness’, 367.</w:t>
      </w:r>
    </w:p>
  </w:footnote>
  <w:footnote w:id="105">
    <w:p w:rsidR="00DF25FB" w:rsidRDefault="00DF25FB" w:rsidP="00D81FB5">
      <w:pPr>
        <w:pStyle w:val="FootnoteText"/>
        <w:spacing w:line="360" w:lineRule="auto"/>
      </w:pPr>
      <w:r>
        <w:rPr>
          <w:rStyle w:val="FootnoteReference"/>
        </w:rPr>
        <w:footnoteRef/>
      </w:r>
      <w:r>
        <w:t xml:space="preserve"> </w:t>
      </w:r>
      <w:r w:rsidRPr="00DF25FB">
        <w:rPr>
          <w:i/>
        </w:rPr>
        <w:t>Ibid</w:t>
      </w:r>
      <w:r>
        <w:t>, 368.</w:t>
      </w:r>
    </w:p>
  </w:footnote>
  <w:footnote w:id="106">
    <w:p w:rsidR="008053AE" w:rsidRDefault="008053AE" w:rsidP="00D81FB5">
      <w:pPr>
        <w:pStyle w:val="FootnoteText"/>
        <w:spacing w:line="360" w:lineRule="auto"/>
      </w:pPr>
      <w:r>
        <w:rPr>
          <w:rStyle w:val="FootnoteReference"/>
        </w:rPr>
        <w:footnoteRef/>
      </w:r>
      <w:r>
        <w:t xml:space="preserve"> M. Girouard, </w:t>
      </w:r>
      <w:r w:rsidRPr="008053AE">
        <w:rPr>
          <w:i/>
        </w:rPr>
        <w:t>The English Town</w:t>
      </w:r>
      <w:r>
        <w:t xml:space="preserve"> (New Haven and London, 1990), 176-188.</w:t>
      </w:r>
    </w:p>
  </w:footnote>
  <w:footnote w:id="107">
    <w:p w:rsidR="0009182C" w:rsidRDefault="0009182C" w:rsidP="00D81FB5">
      <w:pPr>
        <w:pStyle w:val="FootnoteText"/>
        <w:spacing w:line="360" w:lineRule="auto"/>
      </w:pPr>
      <w:r>
        <w:rPr>
          <w:rStyle w:val="FootnoteReference"/>
        </w:rPr>
        <w:footnoteRef/>
      </w:r>
      <w:r>
        <w:t xml:space="preserve"> F.H.W. </w:t>
      </w:r>
      <w:r>
        <w:rPr>
          <w:rFonts w:ascii="Times New Roman" w:hAnsi="Times New Roman"/>
        </w:rPr>
        <w:t xml:space="preserve">Sheppard </w:t>
      </w:r>
      <w:r w:rsidRPr="009656D9">
        <w:rPr>
          <w:rFonts w:ascii="Times New Roman" w:hAnsi="Times New Roman"/>
        </w:rPr>
        <w:t>(</w:t>
      </w:r>
      <w:r>
        <w:rPr>
          <w:rFonts w:ascii="Times New Roman" w:hAnsi="Times New Roman"/>
        </w:rPr>
        <w:t xml:space="preserve">ed), </w:t>
      </w:r>
      <w:r w:rsidRPr="0009182C">
        <w:rPr>
          <w:rFonts w:ascii="Times New Roman" w:hAnsi="Times New Roman"/>
          <w:i/>
        </w:rPr>
        <w:t>Survey of London, Vol 39: The Grosvenor Estate in Mayfair, Part I: General History</w:t>
      </w:r>
      <w:r w:rsidR="00F063DA">
        <w:rPr>
          <w:rFonts w:ascii="Times New Roman" w:hAnsi="Times New Roman"/>
        </w:rPr>
        <w:t xml:space="preserve"> </w:t>
      </w:r>
      <w:r>
        <w:rPr>
          <w:rFonts w:ascii="Times New Roman" w:hAnsi="Times New Roman"/>
        </w:rPr>
        <w:t>(</w:t>
      </w:r>
      <w:r w:rsidRPr="009656D9">
        <w:rPr>
          <w:rFonts w:ascii="Times New Roman" w:hAnsi="Times New Roman"/>
        </w:rPr>
        <w:t>London</w:t>
      </w:r>
      <w:r>
        <w:rPr>
          <w:rFonts w:ascii="Times New Roman" w:hAnsi="Times New Roman"/>
        </w:rPr>
        <w:t xml:space="preserve"> 1977); M. Jenkins and C. Newman, ‘</w:t>
      </w:r>
      <w:r w:rsidR="00F063DA">
        <w:rPr>
          <w:rFonts w:ascii="Times New Roman" w:hAnsi="Times New Roman"/>
        </w:rPr>
        <w:t>London in p</w:t>
      </w:r>
      <w:r>
        <w:rPr>
          <w:rFonts w:ascii="Times New Roman" w:hAnsi="Times New Roman"/>
        </w:rPr>
        <w:t xml:space="preserve">ieces: </w:t>
      </w:r>
      <w:r w:rsidR="00F063DA">
        <w:rPr>
          <w:rFonts w:ascii="Times New Roman" w:hAnsi="Times New Roman"/>
        </w:rPr>
        <w:t>a biography of a lost London s</w:t>
      </w:r>
      <w:r>
        <w:rPr>
          <w:rFonts w:ascii="Times New Roman" w:hAnsi="Times New Roman"/>
        </w:rPr>
        <w:t xml:space="preserve">treetscape’, in A. Buxton (ed) </w:t>
      </w:r>
      <w:r w:rsidRPr="0009182C">
        <w:rPr>
          <w:rFonts w:ascii="Times New Roman" w:hAnsi="Times New Roman"/>
          <w:i/>
        </w:rPr>
        <w:t>InHabit</w:t>
      </w:r>
      <w:r>
        <w:rPr>
          <w:rFonts w:ascii="Times New Roman" w:hAnsi="Times New Roman"/>
        </w:rPr>
        <w:t xml:space="preserve"> (New York, Oxford, forthcoming).</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EF3" w:rsidRDefault="0013390D" w:rsidP="006124B2">
    <w:pPr>
      <w:pStyle w:val="Header"/>
      <w:framePr w:wrap="around" w:vAnchor="text" w:hAnchor="margin" w:xAlign="right" w:y="1"/>
      <w:rPr>
        <w:rStyle w:val="PageNumber"/>
      </w:rPr>
    </w:pPr>
    <w:r>
      <w:rPr>
        <w:rStyle w:val="PageNumber"/>
      </w:rPr>
      <w:fldChar w:fldCharType="begin"/>
    </w:r>
    <w:r w:rsidR="00CB5EF3">
      <w:rPr>
        <w:rStyle w:val="PageNumber"/>
      </w:rPr>
      <w:instrText xml:space="preserve">PAGE  </w:instrText>
    </w:r>
    <w:r>
      <w:rPr>
        <w:rStyle w:val="PageNumber"/>
      </w:rPr>
      <w:fldChar w:fldCharType="end"/>
    </w:r>
  </w:p>
  <w:p w:rsidR="00CB5EF3" w:rsidRDefault="00CB5EF3" w:rsidP="001F5BA0">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EF3" w:rsidRDefault="0013390D" w:rsidP="006124B2">
    <w:pPr>
      <w:pStyle w:val="Header"/>
      <w:framePr w:wrap="around" w:vAnchor="text" w:hAnchor="margin" w:xAlign="right" w:y="1"/>
      <w:rPr>
        <w:rStyle w:val="PageNumber"/>
      </w:rPr>
    </w:pPr>
    <w:r>
      <w:rPr>
        <w:rStyle w:val="PageNumber"/>
      </w:rPr>
      <w:fldChar w:fldCharType="begin"/>
    </w:r>
    <w:r w:rsidR="00CB5EF3">
      <w:rPr>
        <w:rStyle w:val="PageNumber"/>
      </w:rPr>
      <w:instrText xml:space="preserve">PAGE  </w:instrText>
    </w:r>
    <w:r>
      <w:rPr>
        <w:rStyle w:val="PageNumber"/>
      </w:rPr>
      <w:fldChar w:fldCharType="separate"/>
    </w:r>
    <w:r w:rsidR="000D0FDC">
      <w:rPr>
        <w:rStyle w:val="PageNumber"/>
        <w:noProof/>
      </w:rPr>
      <w:t>1</w:t>
    </w:r>
    <w:r>
      <w:rPr>
        <w:rStyle w:val="PageNumber"/>
      </w:rPr>
      <w:fldChar w:fldCharType="end"/>
    </w:r>
  </w:p>
  <w:p w:rsidR="00CB5EF3" w:rsidRDefault="00CB5EF3" w:rsidP="001F5BA0">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363C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5C382ACF"/>
    <w:multiLevelType w:val="multilevel"/>
    <w:tmpl w:val="0409001D"/>
    <w:styleLink w:val="1ai"/>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647A5ED2"/>
    <w:multiLevelType w:val="hybridMultilevel"/>
    <w:tmpl w:val="7AC411D8"/>
    <w:lvl w:ilvl="0" w:tplc="F2320F62">
      <w:start w:val="1"/>
      <w:numFmt w:val="bullet"/>
      <w:pStyle w:val="Style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endnotePr>
    <w:numFmt w:val="decimal"/>
  </w:endnotePr>
  <w:compat>
    <w:doNotAutofitConstrainedTables/>
    <w:splitPgBreakAndParaMark/>
    <w:doNotVertAlignCellWithSp/>
    <w:doNotBreakConstrainedForcedTable/>
    <w:useAnsiKerningPairs/>
    <w:cachedColBalance/>
  </w:compat>
  <w:rsids>
    <w:rsidRoot w:val="00DB6066"/>
    <w:rsid w:val="000000ED"/>
    <w:rsid w:val="00016398"/>
    <w:rsid w:val="00020843"/>
    <w:rsid w:val="00021565"/>
    <w:rsid w:val="000222F6"/>
    <w:rsid w:val="000232DB"/>
    <w:rsid w:val="00037FA7"/>
    <w:rsid w:val="00040202"/>
    <w:rsid w:val="000411CE"/>
    <w:rsid w:val="0004686A"/>
    <w:rsid w:val="00046E91"/>
    <w:rsid w:val="00047A64"/>
    <w:rsid w:val="00051D7C"/>
    <w:rsid w:val="00063198"/>
    <w:rsid w:val="00074131"/>
    <w:rsid w:val="000821A2"/>
    <w:rsid w:val="000851FE"/>
    <w:rsid w:val="00085477"/>
    <w:rsid w:val="0008647E"/>
    <w:rsid w:val="00086A2A"/>
    <w:rsid w:val="00086C13"/>
    <w:rsid w:val="000901C8"/>
    <w:rsid w:val="000905DC"/>
    <w:rsid w:val="0009182C"/>
    <w:rsid w:val="00095268"/>
    <w:rsid w:val="0009726C"/>
    <w:rsid w:val="000A0D39"/>
    <w:rsid w:val="000A18D4"/>
    <w:rsid w:val="000A2C75"/>
    <w:rsid w:val="000B238E"/>
    <w:rsid w:val="000B4F1F"/>
    <w:rsid w:val="000B58D2"/>
    <w:rsid w:val="000B7AB5"/>
    <w:rsid w:val="000C04AB"/>
    <w:rsid w:val="000D0FDC"/>
    <w:rsid w:val="000D6B8E"/>
    <w:rsid w:val="000F386D"/>
    <w:rsid w:val="000F609F"/>
    <w:rsid w:val="001077AA"/>
    <w:rsid w:val="00114CD8"/>
    <w:rsid w:val="00130197"/>
    <w:rsid w:val="001311BC"/>
    <w:rsid w:val="0013390D"/>
    <w:rsid w:val="00144595"/>
    <w:rsid w:val="00146318"/>
    <w:rsid w:val="00152859"/>
    <w:rsid w:val="001642C3"/>
    <w:rsid w:val="001671EE"/>
    <w:rsid w:val="001722DE"/>
    <w:rsid w:val="00176E02"/>
    <w:rsid w:val="00181758"/>
    <w:rsid w:val="00181A0A"/>
    <w:rsid w:val="001837D0"/>
    <w:rsid w:val="00187ABE"/>
    <w:rsid w:val="0019105C"/>
    <w:rsid w:val="00197216"/>
    <w:rsid w:val="001A5257"/>
    <w:rsid w:val="001B0D3A"/>
    <w:rsid w:val="001B0D5B"/>
    <w:rsid w:val="001B19E0"/>
    <w:rsid w:val="001C1679"/>
    <w:rsid w:val="001C3E28"/>
    <w:rsid w:val="001C5622"/>
    <w:rsid w:val="001D00BA"/>
    <w:rsid w:val="001D3340"/>
    <w:rsid w:val="001D33D5"/>
    <w:rsid w:val="001D5DDE"/>
    <w:rsid w:val="001E13D7"/>
    <w:rsid w:val="001E26A7"/>
    <w:rsid w:val="001E3552"/>
    <w:rsid w:val="001E4C27"/>
    <w:rsid w:val="001F505D"/>
    <w:rsid w:val="001F5BA0"/>
    <w:rsid w:val="00200346"/>
    <w:rsid w:val="00210105"/>
    <w:rsid w:val="00210BB3"/>
    <w:rsid w:val="00210D7B"/>
    <w:rsid w:val="002148DA"/>
    <w:rsid w:val="00215A29"/>
    <w:rsid w:val="00216579"/>
    <w:rsid w:val="00222C5A"/>
    <w:rsid w:val="002404CF"/>
    <w:rsid w:val="00240CA3"/>
    <w:rsid w:val="002477F9"/>
    <w:rsid w:val="00266DCD"/>
    <w:rsid w:val="002674B0"/>
    <w:rsid w:val="002746FA"/>
    <w:rsid w:val="00281395"/>
    <w:rsid w:val="00282C45"/>
    <w:rsid w:val="00291B5C"/>
    <w:rsid w:val="0029337F"/>
    <w:rsid w:val="002A5167"/>
    <w:rsid w:val="002B2D90"/>
    <w:rsid w:val="002B49EA"/>
    <w:rsid w:val="002B6EB0"/>
    <w:rsid w:val="002C0721"/>
    <w:rsid w:val="002D0B79"/>
    <w:rsid w:val="002D5A5F"/>
    <w:rsid w:val="002E5254"/>
    <w:rsid w:val="002E5C59"/>
    <w:rsid w:val="002E7214"/>
    <w:rsid w:val="002F31E8"/>
    <w:rsid w:val="00300D75"/>
    <w:rsid w:val="00303DAC"/>
    <w:rsid w:val="003060C4"/>
    <w:rsid w:val="00306CE4"/>
    <w:rsid w:val="00307632"/>
    <w:rsid w:val="00307CDF"/>
    <w:rsid w:val="00307E9D"/>
    <w:rsid w:val="003103CE"/>
    <w:rsid w:val="003203B5"/>
    <w:rsid w:val="00323883"/>
    <w:rsid w:val="0033158A"/>
    <w:rsid w:val="003321FE"/>
    <w:rsid w:val="0033414D"/>
    <w:rsid w:val="00335003"/>
    <w:rsid w:val="00335F8E"/>
    <w:rsid w:val="00342E55"/>
    <w:rsid w:val="0034718D"/>
    <w:rsid w:val="003476C2"/>
    <w:rsid w:val="00351369"/>
    <w:rsid w:val="003531AB"/>
    <w:rsid w:val="00374847"/>
    <w:rsid w:val="003772D5"/>
    <w:rsid w:val="00393469"/>
    <w:rsid w:val="003B3F56"/>
    <w:rsid w:val="003D112E"/>
    <w:rsid w:val="003D22ED"/>
    <w:rsid w:val="003D5875"/>
    <w:rsid w:val="003D74A5"/>
    <w:rsid w:val="003F1143"/>
    <w:rsid w:val="003F1B14"/>
    <w:rsid w:val="003F2256"/>
    <w:rsid w:val="003F30F6"/>
    <w:rsid w:val="003F4D5C"/>
    <w:rsid w:val="003F7CE8"/>
    <w:rsid w:val="00407344"/>
    <w:rsid w:val="00412F17"/>
    <w:rsid w:val="00414F01"/>
    <w:rsid w:val="00416DF5"/>
    <w:rsid w:val="00421A0F"/>
    <w:rsid w:val="00427C7F"/>
    <w:rsid w:val="00440622"/>
    <w:rsid w:val="00461372"/>
    <w:rsid w:val="00462CB9"/>
    <w:rsid w:val="004641E2"/>
    <w:rsid w:val="00467DF7"/>
    <w:rsid w:val="004721B8"/>
    <w:rsid w:val="004928CB"/>
    <w:rsid w:val="004933C1"/>
    <w:rsid w:val="004B09B9"/>
    <w:rsid w:val="004B5DCC"/>
    <w:rsid w:val="004C1DE4"/>
    <w:rsid w:val="004C6E3D"/>
    <w:rsid w:val="004D58C7"/>
    <w:rsid w:val="004E6B3A"/>
    <w:rsid w:val="00503248"/>
    <w:rsid w:val="0053170A"/>
    <w:rsid w:val="00531A9C"/>
    <w:rsid w:val="00533952"/>
    <w:rsid w:val="00534BA1"/>
    <w:rsid w:val="00540775"/>
    <w:rsid w:val="00553100"/>
    <w:rsid w:val="00557733"/>
    <w:rsid w:val="00564A9F"/>
    <w:rsid w:val="00567A4A"/>
    <w:rsid w:val="00570665"/>
    <w:rsid w:val="00570994"/>
    <w:rsid w:val="00574807"/>
    <w:rsid w:val="0057620D"/>
    <w:rsid w:val="00580A6A"/>
    <w:rsid w:val="00582392"/>
    <w:rsid w:val="00592457"/>
    <w:rsid w:val="00592C52"/>
    <w:rsid w:val="00594CE9"/>
    <w:rsid w:val="00594ED8"/>
    <w:rsid w:val="00597768"/>
    <w:rsid w:val="005B1AF3"/>
    <w:rsid w:val="005B2BE3"/>
    <w:rsid w:val="005B64B8"/>
    <w:rsid w:val="005C1B76"/>
    <w:rsid w:val="005C57EA"/>
    <w:rsid w:val="005C7B3C"/>
    <w:rsid w:val="005D1E48"/>
    <w:rsid w:val="005E2F43"/>
    <w:rsid w:val="005F1EDB"/>
    <w:rsid w:val="005F31B5"/>
    <w:rsid w:val="00602D5C"/>
    <w:rsid w:val="0060689D"/>
    <w:rsid w:val="006124B2"/>
    <w:rsid w:val="00623922"/>
    <w:rsid w:val="00624262"/>
    <w:rsid w:val="0065489E"/>
    <w:rsid w:val="00655391"/>
    <w:rsid w:val="00670EDD"/>
    <w:rsid w:val="0067308C"/>
    <w:rsid w:val="00676C0C"/>
    <w:rsid w:val="00682C5F"/>
    <w:rsid w:val="00697F4A"/>
    <w:rsid w:val="006A1219"/>
    <w:rsid w:val="006D549A"/>
    <w:rsid w:val="006D5E0C"/>
    <w:rsid w:val="006D745D"/>
    <w:rsid w:val="006E04FB"/>
    <w:rsid w:val="006E25BF"/>
    <w:rsid w:val="006E3141"/>
    <w:rsid w:val="006F0264"/>
    <w:rsid w:val="006F2162"/>
    <w:rsid w:val="006F2651"/>
    <w:rsid w:val="006F2D3E"/>
    <w:rsid w:val="006F4F17"/>
    <w:rsid w:val="006F67BA"/>
    <w:rsid w:val="00703502"/>
    <w:rsid w:val="00707FFD"/>
    <w:rsid w:val="007436D1"/>
    <w:rsid w:val="00747D7E"/>
    <w:rsid w:val="00753A40"/>
    <w:rsid w:val="00757C77"/>
    <w:rsid w:val="00757F6F"/>
    <w:rsid w:val="00763BE1"/>
    <w:rsid w:val="007701C0"/>
    <w:rsid w:val="0078082B"/>
    <w:rsid w:val="00785BFA"/>
    <w:rsid w:val="007901BF"/>
    <w:rsid w:val="00794445"/>
    <w:rsid w:val="00795A65"/>
    <w:rsid w:val="007A0428"/>
    <w:rsid w:val="007A7A1D"/>
    <w:rsid w:val="007A7DC8"/>
    <w:rsid w:val="007C2DC7"/>
    <w:rsid w:val="007C346B"/>
    <w:rsid w:val="007C5D0F"/>
    <w:rsid w:val="007C7343"/>
    <w:rsid w:val="007D04A9"/>
    <w:rsid w:val="007D2332"/>
    <w:rsid w:val="007D380E"/>
    <w:rsid w:val="007D530B"/>
    <w:rsid w:val="007E44B5"/>
    <w:rsid w:val="007E7EC7"/>
    <w:rsid w:val="007F02C6"/>
    <w:rsid w:val="00803F7E"/>
    <w:rsid w:val="008053AE"/>
    <w:rsid w:val="00814E7A"/>
    <w:rsid w:val="00816689"/>
    <w:rsid w:val="00820695"/>
    <w:rsid w:val="00832A1B"/>
    <w:rsid w:val="00833310"/>
    <w:rsid w:val="008466EA"/>
    <w:rsid w:val="008468E4"/>
    <w:rsid w:val="00875844"/>
    <w:rsid w:val="0088171C"/>
    <w:rsid w:val="00884C41"/>
    <w:rsid w:val="00884E4A"/>
    <w:rsid w:val="00891855"/>
    <w:rsid w:val="008941FB"/>
    <w:rsid w:val="008A47C3"/>
    <w:rsid w:val="008B6F4E"/>
    <w:rsid w:val="008C2679"/>
    <w:rsid w:val="008C799C"/>
    <w:rsid w:val="008D0ECA"/>
    <w:rsid w:val="008D125B"/>
    <w:rsid w:val="008D7224"/>
    <w:rsid w:val="008D7ED4"/>
    <w:rsid w:val="008E1C54"/>
    <w:rsid w:val="008E1DF1"/>
    <w:rsid w:val="008F527F"/>
    <w:rsid w:val="00902E14"/>
    <w:rsid w:val="00904586"/>
    <w:rsid w:val="009057C7"/>
    <w:rsid w:val="009069A8"/>
    <w:rsid w:val="009132DC"/>
    <w:rsid w:val="0091334F"/>
    <w:rsid w:val="0091478C"/>
    <w:rsid w:val="00914C11"/>
    <w:rsid w:val="00915B39"/>
    <w:rsid w:val="00915CB8"/>
    <w:rsid w:val="00927D56"/>
    <w:rsid w:val="009341FD"/>
    <w:rsid w:val="00937BE9"/>
    <w:rsid w:val="00945369"/>
    <w:rsid w:val="009467AE"/>
    <w:rsid w:val="009476ED"/>
    <w:rsid w:val="00950A88"/>
    <w:rsid w:val="00980020"/>
    <w:rsid w:val="00982638"/>
    <w:rsid w:val="00982B74"/>
    <w:rsid w:val="009879CC"/>
    <w:rsid w:val="009908EB"/>
    <w:rsid w:val="00997B5A"/>
    <w:rsid w:val="009A215E"/>
    <w:rsid w:val="009A40F9"/>
    <w:rsid w:val="009B1C93"/>
    <w:rsid w:val="009B2451"/>
    <w:rsid w:val="009C11FE"/>
    <w:rsid w:val="009C4AE4"/>
    <w:rsid w:val="009D68EC"/>
    <w:rsid w:val="009F3626"/>
    <w:rsid w:val="00A111A3"/>
    <w:rsid w:val="00A121EF"/>
    <w:rsid w:val="00A216DD"/>
    <w:rsid w:val="00A3190B"/>
    <w:rsid w:val="00A33EE3"/>
    <w:rsid w:val="00A34EB5"/>
    <w:rsid w:val="00A376F6"/>
    <w:rsid w:val="00A433A8"/>
    <w:rsid w:val="00A4397E"/>
    <w:rsid w:val="00A448C3"/>
    <w:rsid w:val="00A5002E"/>
    <w:rsid w:val="00A57943"/>
    <w:rsid w:val="00A61EEB"/>
    <w:rsid w:val="00A81990"/>
    <w:rsid w:val="00A823D6"/>
    <w:rsid w:val="00A84DAE"/>
    <w:rsid w:val="00A869F6"/>
    <w:rsid w:val="00A874E2"/>
    <w:rsid w:val="00A905A5"/>
    <w:rsid w:val="00AA0EDC"/>
    <w:rsid w:val="00AA203A"/>
    <w:rsid w:val="00AA39D3"/>
    <w:rsid w:val="00AA71AA"/>
    <w:rsid w:val="00AB4729"/>
    <w:rsid w:val="00AB7255"/>
    <w:rsid w:val="00AB7DA3"/>
    <w:rsid w:val="00AC378B"/>
    <w:rsid w:val="00AD2390"/>
    <w:rsid w:val="00AD3D47"/>
    <w:rsid w:val="00AD62D1"/>
    <w:rsid w:val="00AD7691"/>
    <w:rsid w:val="00AE2E2D"/>
    <w:rsid w:val="00AF2EA2"/>
    <w:rsid w:val="00AF46D0"/>
    <w:rsid w:val="00B10999"/>
    <w:rsid w:val="00B162AF"/>
    <w:rsid w:val="00B208DA"/>
    <w:rsid w:val="00B26B65"/>
    <w:rsid w:val="00B34142"/>
    <w:rsid w:val="00B34894"/>
    <w:rsid w:val="00B357D7"/>
    <w:rsid w:val="00B420D1"/>
    <w:rsid w:val="00B44CFC"/>
    <w:rsid w:val="00B524F0"/>
    <w:rsid w:val="00B548D5"/>
    <w:rsid w:val="00B77E3E"/>
    <w:rsid w:val="00B81567"/>
    <w:rsid w:val="00B9346A"/>
    <w:rsid w:val="00B96342"/>
    <w:rsid w:val="00BA5308"/>
    <w:rsid w:val="00BA6BAD"/>
    <w:rsid w:val="00BB78B2"/>
    <w:rsid w:val="00BC7B45"/>
    <w:rsid w:val="00BD00E3"/>
    <w:rsid w:val="00BD0533"/>
    <w:rsid w:val="00BE0E94"/>
    <w:rsid w:val="00BE4650"/>
    <w:rsid w:val="00BE5116"/>
    <w:rsid w:val="00BE6ED0"/>
    <w:rsid w:val="00C01F63"/>
    <w:rsid w:val="00C14A21"/>
    <w:rsid w:val="00C21C68"/>
    <w:rsid w:val="00C220AB"/>
    <w:rsid w:val="00C23186"/>
    <w:rsid w:val="00C24B65"/>
    <w:rsid w:val="00C319C7"/>
    <w:rsid w:val="00C52293"/>
    <w:rsid w:val="00C5396D"/>
    <w:rsid w:val="00C625DC"/>
    <w:rsid w:val="00C87286"/>
    <w:rsid w:val="00C90EC2"/>
    <w:rsid w:val="00C90F2D"/>
    <w:rsid w:val="00C932F0"/>
    <w:rsid w:val="00CA12F6"/>
    <w:rsid w:val="00CA213D"/>
    <w:rsid w:val="00CB4070"/>
    <w:rsid w:val="00CB4A8C"/>
    <w:rsid w:val="00CB5EF3"/>
    <w:rsid w:val="00CC08A2"/>
    <w:rsid w:val="00CC203C"/>
    <w:rsid w:val="00CC2CCA"/>
    <w:rsid w:val="00CD6A08"/>
    <w:rsid w:val="00CD6A4C"/>
    <w:rsid w:val="00CE2AB2"/>
    <w:rsid w:val="00CE5673"/>
    <w:rsid w:val="00CF0121"/>
    <w:rsid w:val="00CF34BF"/>
    <w:rsid w:val="00CF6270"/>
    <w:rsid w:val="00D032B3"/>
    <w:rsid w:val="00D10F8C"/>
    <w:rsid w:val="00D172B7"/>
    <w:rsid w:val="00D17877"/>
    <w:rsid w:val="00D32838"/>
    <w:rsid w:val="00D3557B"/>
    <w:rsid w:val="00D44F2B"/>
    <w:rsid w:val="00D46E38"/>
    <w:rsid w:val="00D50A86"/>
    <w:rsid w:val="00D64232"/>
    <w:rsid w:val="00D80793"/>
    <w:rsid w:val="00D81FB5"/>
    <w:rsid w:val="00D83A44"/>
    <w:rsid w:val="00D85835"/>
    <w:rsid w:val="00DA43F4"/>
    <w:rsid w:val="00DB39E8"/>
    <w:rsid w:val="00DB5DB7"/>
    <w:rsid w:val="00DB6066"/>
    <w:rsid w:val="00DB70AD"/>
    <w:rsid w:val="00DB739C"/>
    <w:rsid w:val="00DC64C6"/>
    <w:rsid w:val="00DE2C6A"/>
    <w:rsid w:val="00DE73D0"/>
    <w:rsid w:val="00DE7422"/>
    <w:rsid w:val="00DF1C65"/>
    <w:rsid w:val="00DF25FB"/>
    <w:rsid w:val="00E0013E"/>
    <w:rsid w:val="00E03379"/>
    <w:rsid w:val="00E23CDD"/>
    <w:rsid w:val="00E27215"/>
    <w:rsid w:val="00E30CD3"/>
    <w:rsid w:val="00E31436"/>
    <w:rsid w:val="00E31BEB"/>
    <w:rsid w:val="00E31EA9"/>
    <w:rsid w:val="00E5467F"/>
    <w:rsid w:val="00E64157"/>
    <w:rsid w:val="00E67F03"/>
    <w:rsid w:val="00E845D5"/>
    <w:rsid w:val="00EA2057"/>
    <w:rsid w:val="00EA507C"/>
    <w:rsid w:val="00EB7604"/>
    <w:rsid w:val="00EC3831"/>
    <w:rsid w:val="00EC4254"/>
    <w:rsid w:val="00ED08CB"/>
    <w:rsid w:val="00ED5810"/>
    <w:rsid w:val="00EF71CA"/>
    <w:rsid w:val="00F02FBE"/>
    <w:rsid w:val="00F05BF9"/>
    <w:rsid w:val="00F063DA"/>
    <w:rsid w:val="00F109FF"/>
    <w:rsid w:val="00F14556"/>
    <w:rsid w:val="00F20B44"/>
    <w:rsid w:val="00F21E52"/>
    <w:rsid w:val="00F2486E"/>
    <w:rsid w:val="00F268A2"/>
    <w:rsid w:val="00F273A3"/>
    <w:rsid w:val="00F30474"/>
    <w:rsid w:val="00F36F44"/>
    <w:rsid w:val="00F420B7"/>
    <w:rsid w:val="00F42856"/>
    <w:rsid w:val="00F465E9"/>
    <w:rsid w:val="00F4723C"/>
    <w:rsid w:val="00F529EF"/>
    <w:rsid w:val="00F54484"/>
    <w:rsid w:val="00F60BC7"/>
    <w:rsid w:val="00F66A74"/>
    <w:rsid w:val="00F70829"/>
    <w:rsid w:val="00F71E1F"/>
    <w:rsid w:val="00F72790"/>
    <w:rsid w:val="00F84611"/>
    <w:rsid w:val="00F848B6"/>
    <w:rsid w:val="00F8603E"/>
    <w:rsid w:val="00F8795D"/>
    <w:rsid w:val="00F9222D"/>
    <w:rsid w:val="00F97159"/>
    <w:rsid w:val="00FA011C"/>
    <w:rsid w:val="00FA18BD"/>
    <w:rsid w:val="00FA3328"/>
    <w:rsid w:val="00FB2B02"/>
    <w:rsid w:val="00FB71D8"/>
    <w:rsid w:val="00FC1074"/>
    <w:rsid w:val="00FC1C21"/>
    <w:rsid w:val="00FE508C"/>
    <w:rsid w:val="00FE6464"/>
    <w:rsid w:val="00FF3FE3"/>
    <w:rsid w:val="00FF7DBE"/>
  </w:rsids>
  <m:mathPr>
    <m:mathFont m:val="Gill San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B69E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8276C8"/>
    <w:rPr>
      <w:rFonts w:ascii="Lucida Grande" w:hAnsi="Lucida Grande"/>
      <w:sz w:val="18"/>
      <w:szCs w:val="18"/>
    </w:rPr>
  </w:style>
  <w:style w:type="character" w:customStyle="1" w:styleId="BalloonTextChar">
    <w:name w:val="Balloon Text Char"/>
    <w:basedOn w:val="DefaultParagraphFont"/>
    <w:link w:val="BalloonText"/>
    <w:uiPriority w:val="99"/>
    <w:semiHidden/>
    <w:rsid w:val="008276C8"/>
    <w:rPr>
      <w:rFonts w:ascii="Lucida Grande" w:hAnsi="Lucida Grande"/>
      <w:sz w:val="18"/>
      <w:szCs w:val="18"/>
    </w:rPr>
  </w:style>
  <w:style w:type="character" w:customStyle="1" w:styleId="BalloonTextChar0">
    <w:name w:val="Balloon Text Char"/>
    <w:basedOn w:val="DefaultParagraphFont"/>
    <w:link w:val="BalloonText"/>
    <w:uiPriority w:val="99"/>
    <w:semiHidden/>
    <w:rsid w:val="008276C8"/>
    <w:rPr>
      <w:rFonts w:ascii="Lucida Grande" w:hAnsi="Lucida Grande"/>
      <w:sz w:val="18"/>
      <w:szCs w:val="18"/>
    </w:rPr>
  </w:style>
  <w:style w:type="character" w:customStyle="1" w:styleId="BalloonTextChar1">
    <w:name w:val="Balloon Text Char1"/>
    <w:basedOn w:val="DefaultParagraphFont"/>
    <w:link w:val="BalloonText"/>
    <w:uiPriority w:val="99"/>
    <w:semiHidden/>
    <w:rsid w:val="008276C8"/>
    <w:rPr>
      <w:rFonts w:ascii="Lucida Grande" w:hAnsi="Lucida Grande"/>
      <w:sz w:val="18"/>
      <w:szCs w:val="18"/>
    </w:rPr>
  </w:style>
  <w:style w:type="numbering" w:styleId="1ai">
    <w:name w:val="Outline List 1"/>
    <w:basedOn w:val="NoList"/>
    <w:uiPriority w:val="99"/>
    <w:semiHidden/>
    <w:unhideWhenUsed/>
    <w:rsid w:val="00E14834"/>
    <w:pPr>
      <w:numPr>
        <w:numId w:val="2"/>
      </w:numPr>
    </w:pPr>
  </w:style>
  <w:style w:type="paragraph" w:customStyle="1" w:styleId="Style1">
    <w:name w:val="Style1"/>
    <w:basedOn w:val="ListParagraph"/>
    <w:qFormat/>
    <w:rsid w:val="00F914AA"/>
    <w:pPr>
      <w:numPr>
        <w:numId w:val="3"/>
      </w:numPr>
      <w:spacing w:line="360" w:lineRule="auto"/>
    </w:pPr>
    <w:rPr>
      <w:b/>
      <w:u w:val="thick" w:color="548DD4" w:themeColor="text2" w:themeTint="99"/>
      <w:lang w:val="en-GB"/>
    </w:rPr>
  </w:style>
  <w:style w:type="paragraph" w:styleId="ListParagraph">
    <w:name w:val="List Paragraph"/>
    <w:basedOn w:val="Normal"/>
    <w:uiPriority w:val="34"/>
    <w:qFormat/>
    <w:rsid w:val="00F914AA"/>
    <w:pPr>
      <w:ind w:left="720"/>
      <w:contextualSpacing/>
    </w:pPr>
  </w:style>
  <w:style w:type="paragraph" w:styleId="Header">
    <w:name w:val="header"/>
    <w:basedOn w:val="Normal"/>
    <w:link w:val="HeaderChar"/>
    <w:rsid w:val="001F5BA0"/>
    <w:pPr>
      <w:tabs>
        <w:tab w:val="center" w:pos="4320"/>
        <w:tab w:val="right" w:pos="8640"/>
      </w:tabs>
    </w:pPr>
  </w:style>
  <w:style w:type="character" w:customStyle="1" w:styleId="HeaderChar">
    <w:name w:val="Header Char"/>
    <w:basedOn w:val="DefaultParagraphFont"/>
    <w:link w:val="Header"/>
    <w:rsid w:val="001F5BA0"/>
  </w:style>
  <w:style w:type="character" w:styleId="PageNumber">
    <w:name w:val="page number"/>
    <w:basedOn w:val="DefaultParagraphFont"/>
    <w:rsid w:val="001F5BA0"/>
  </w:style>
  <w:style w:type="character" w:styleId="Hyperlink">
    <w:name w:val="Hyperlink"/>
    <w:basedOn w:val="DefaultParagraphFont"/>
    <w:rsid w:val="00816689"/>
    <w:rPr>
      <w:color w:val="0000FF" w:themeColor="hyperlink"/>
      <w:u w:val="single"/>
    </w:rPr>
  </w:style>
  <w:style w:type="character" w:styleId="FollowedHyperlink">
    <w:name w:val="FollowedHyperlink"/>
    <w:basedOn w:val="DefaultParagraphFont"/>
    <w:rsid w:val="00816689"/>
    <w:rPr>
      <w:color w:val="800080" w:themeColor="followedHyperlink"/>
      <w:u w:val="single"/>
    </w:rPr>
  </w:style>
  <w:style w:type="paragraph" w:styleId="EndnoteText">
    <w:name w:val="endnote text"/>
    <w:basedOn w:val="Normal"/>
    <w:link w:val="EndnoteTextChar"/>
    <w:rsid w:val="00D85835"/>
  </w:style>
  <w:style w:type="character" w:customStyle="1" w:styleId="EndnoteTextChar">
    <w:name w:val="Endnote Text Char"/>
    <w:basedOn w:val="DefaultParagraphFont"/>
    <w:link w:val="EndnoteText"/>
    <w:rsid w:val="00D85835"/>
  </w:style>
  <w:style w:type="character" w:styleId="EndnoteReference">
    <w:name w:val="endnote reference"/>
    <w:basedOn w:val="DefaultParagraphFont"/>
    <w:rsid w:val="00D85835"/>
    <w:rPr>
      <w:vertAlign w:val="superscript"/>
    </w:rPr>
  </w:style>
  <w:style w:type="paragraph" w:styleId="FootnoteText">
    <w:name w:val="footnote text"/>
    <w:basedOn w:val="Normal"/>
    <w:link w:val="FootnoteTextChar"/>
    <w:rsid w:val="000821A2"/>
  </w:style>
  <w:style w:type="character" w:customStyle="1" w:styleId="FootnoteTextChar">
    <w:name w:val="Footnote Text Char"/>
    <w:basedOn w:val="DefaultParagraphFont"/>
    <w:link w:val="FootnoteText"/>
    <w:rsid w:val="000821A2"/>
  </w:style>
  <w:style w:type="character" w:styleId="FootnoteReference">
    <w:name w:val="footnote reference"/>
    <w:basedOn w:val="DefaultParagraphFont"/>
    <w:rsid w:val="000821A2"/>
    <w:rPr>
      <w:vertAlign w:val="superscript"/>
    </w:rPr>
  </w:style>
  <w:style w:type="paragraph" w:styleId="BodyTextIndent">
    <w:name w:val="Body Text Indent"/>
    <w:basedOn w:val="Normal"/>
    <w:link w:val="BodyTextIndentChar"/>
    <w:rsid w:val="00F60BC7"/>
    <w:pPr>
      <w:tabs>
        <w:tab w:val="left" w:pos="2694"/>
      </w:tabs>
      <w:spacing w:line="480" w:lineRule="auto"/>
      <w:ind w:firstLine="737"/>
    </w:pPr>
    <w:rPr>
      <w:rFonts w:ascii="Times New Roman" w:eastAsia="Times" w:hAnsi="Times New Roman" w:cs="Times New Roman"/>
      <w:szCs w:val="20"/>
      <w:lang w:val="en-GB"/>
    </w:rPr>
  </w:style>
  <w:style w:type="character" w:customStyle="1" w:styleId="BodyTextIndentChar">
    <w:name w:val="Body Text Indent Char"/>
    <w:basedOn w:val="DefaultParagraphFont"/>
    <w:link w:val="BodyTextIndent"/>
    <w:rsid w:val="00F60BC7"/>
    <w:rPr>
      <w:rFonts w:ascii="Times New Roman" w:eastAsia="Times" w:hAnsi="Times New Roman" w:cs="Times New Roman"/>
      <w:szCs w:val="20"/>
      <w:lang w:val="en-GB"/>
    </w:rPr>
  </w:style>
  <w:style w:type="paragraph" w:customStyle="1" w:styleId="Default">
    <w:name w:val="Default"/>
    <w:rsid w:val="001642C3"/>
    <w:pPr>
      <w:widowControl w:val="0"/>
      <w:autoSpaceDE w:val="0"/>
      <w:autoSpaceDN w:val="0"/>
      <w:adjustRightInd w:val="0"/>
    </w:pPr>
    <w:rPr>
      <w:rFonts w:ascii="Georgia" w:hAnsi="Georgia" w:cs="Georgia"/>
      <w:color w:val="000000"/>
    </w:rPr>
  </w:style>
  <w:style w:type="character" w:customStyle="1" w:styleId="FootnotetextChar0">
    <w:name w:val="Footnote text Char"/>
    <w:aliases w:val="Footnote Char2"/>
    <w:rsid w:val="00EB7604"/>
    <w:rPr>
      <w:lang w:val="en-GB" w:eastAsia="en-GB"/>
    </w:rPr>
  </w:style>
</w:styles>
</file>

<file path=word/webSettings.xml><?xml version="1.0" encoding="utf-8"?>
<w:webSettings xmlns:r="http://schemas.openxmlformats.org/officeDocument/2006/relationships" xmlns:w="http://schemas.openxmlformats.org/wordprocessingml/2006/main">
  <w:divs>
    <w:div w:id="13143330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B3D3D-373D-C044-B5D3-A4AC2D209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TotalTime>
  <Pages>23</Pages>
  <Words>7204</Words>
  <Characters>41065</Characters>
  <Application>Microsoft Macintosh Word</Application>
  <DocSecurity>0</DocSecurity>
  <Lines>342</Lines>
  <Paragraphs>82</Paragraphs>
  <ScaleCrop>false</ScaleCrop>
  <Company>University of York</Company>
  <LinksUpToDate>false</LinksUpToDate>
  <CharactersWithSpaces>50430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Jenkins</dc:creator>
  <cp:keywords/>
  <cp:lastModifiedBy>Matthew Jenkins</cp:lastModifiedBy>
  <cp:revision>112</cp:revision>
  <dcterms:created xsi:type="dcterms:W3CDTF">2016-09-05T07:54:00Z</dcterms:created>
  <dcterms:modified xsi:type="dcterms:W3CDTF">2016-10-26T10:42:00Z</dcterms:modified>
</cp:coreProperties>
</file>