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95" w:rsidRDefault="00F51295">
      <w:pPr>
        <w:rPr>
          <w:b/>
        </w:rPr>
      </w:pPr>
      <w:bookmarkStart w:id="0" w:name="_GoBack"/>
      <w:bookmarkEnd w:id="0"/>
      <w:r>
        <w:rPr>
          <w:b/>
        </w:rPr>
        <w:t xml:space="preserve">Consistent ozone-induced decreases in pasture forage quality across several grassland types and consequences for </w:t>
      </w:r>
      <w:r w:rsidR="00E55CFC">
        <w:rPr>
          <w:b/>
        </w:rPr>
        <w:t xml:space="preserve">UK </w:t>
      </w:r>
      <w:r>
        <w:rPr>
          <w:b/>
        </w:rPr>
        <w:t xml:space="preserve">lamb production </w:t>
      </w:r>
    </w:p>
    <w:p w:rsidR="00764EAD" w:rsidRDefault="00764EAD">
      <w:pPr>
        <w:rPr>
          <w:b/>
        </w:rPr>
      </w:pPr>
    </w:p>
    <w:p w:rsidR="00707748" w:rsidRPr="00500D4B" w:rsidRDefault="00707748" w:rsidP="00707748">
      <w:pPr>
        <w:rPr>
          <w:vertAlign w:val="superscript"/>
        </w:rPr>
      </w:pPr>
      <w:r>
        <w:t>Authors:  Felicity Hayes</w:t>
      </w:r>
      <w:r>
        <w:rPr>
          <w:vertAlign w:val="superscript"/>
        </w:rPr>
        <w:t>1</w:t>
      </w:r>
      <w:r>
        <w:t>*, Gina Mills</w:t>
      </w:r>
      <w:r>
        <w:rPr>
          <w:vertAlign w:val="superscript"/>
        </w:rPr>
        <w:t>1</w:t>
      </w:r>
      <w:r w:rsidR="000335B8">
        <w:t>, Laurence Jones</w:t>
      </w:r>
      <w:r>
        <w:rPr>
          <w:vertAlign w:val="superscript"/>
        </w:rPr>
        <w:t>1</w:t>
      </w:r>
      <w:r w:rsidR="000335B8">
        <w:t xml:space="preserve">, </w:t>
      </w:r>
      <w:r>
        <w:t>John Abbott</w:t>
      </w:r>
      <w:r>
        <w:rPr>
          <w:vertAlign w:val="superscript"/>
        </w:rPr>
        <w:t>2</w:t>
      </w:r>
      <w:r>
        <w:t>, Mike Ashmore</w:t>
      </w:r>
      <w:r>
        <w:rPr>
          <w:vertAlign w:val="superscript"/>
        </w:rPr>
        <w:t>3</w:t>
      </w:r>
      <w:r>
        <w:t>, Jeremy Barnes</w:t>
      </w:r>
      <w:r>
        <w:rPr>
          <w:vertAlign w:val="superscript"/>
        </w:rPr>
        <w:t>4</w:t>
      </w:r>
      <w:r>
        <w:t>, J Neil Cape</w:t>
      </w:r>
      <w:r>
        <w:rPr>
          <w:vertAlign w:val="superscript"/>
        </w:rPr>
        <w:t>5</w:t>
      </w:r>
      <w:r>
        <w:t>, Mhairi Coyle</w:t>
      </w:r>
      <w:r>
        <w:rPr>
          <w:vertAlign w:val="superscript"/>
        </w:rPr>
        <w:t>5</w:t>
      </w:r>
      <w:r>
        <w:t>, Simon Peacock</w:t>
      </w:r>
      <w:r>
        <w:rPr>
          <w:vertAlign w:val="superscript"/>
        </w:rPr>
        <w:t>4</w:t>
      </w:r>
      <w:r>
        <w:t>, Naomi Rintoul</w:t>
      </w:r>
      <w:r>
        <w:rPr>
          <w:vertAlign w:val="superscript"/>
        </w:rPr>
        <w:t>5</w:t>
      </w:r>
      <w:r>
        <w:t>, Sylvia Toet</w:t>
      </w:r>
      <w:r>
        <w:rPr>
          <w:vertAlign w:val="superscript"/>
        </w:rPr>
        <w:t>5</w:t>
      </w:r>
      <w:r>
        <w:t>, Kerstin Wedlich</w:t>
      </w:r>
      <w:r>
        <w:rPr>
          <w:vertAlign w:val="superscript"/>
        </w:rPr>
        <w:t>5</w:t>
      </w:r>
      <w:r>
        <w:t>, Kirsten Wyness</w:t>
      </w:r>
      <w:r>
        <w:rPr>
          <w:vertAlign w:val="superscript"/>
        </w:rPr>
        <w:t>1,4</w:t>
      </w:r>
    </w:p>
    <w:p w:rsidR="00707748" w:rsidRDefault="00707748" w:rsidP="00707748"/>
    <w:p w:rsidR="00707748" w:rsidRDefault="00707748" w:rsidP="00707748">
      <w:r>
        <w:rPr>
          <w:vertAlign w:val="superscript"/>
        </w:rPr>
        <w:t>1</w:t>
      </w:r>
      <w:r>
        <w:t>Centre for Ecology and Hydrology, Deiniol Road, Bangor, Gwynedd, LL57 2UW, UK.</w:t>
      </w:r>
    </w:p>
    <w:p w:rsidR="00707748" w:rsidRDefault="00707748" w:rsidP="00707748">
      <w:r>
        <w:rPr>
          <w:vertAlign w:val="superscript"/>
        </w:rPr>
        <w:t>2</w:t>
      </w:r>
      <w:r w:rsidRPr="00500D4B">
        <w:t xml:space="preserve"> </w:t>
      </w:r>
      <w:r>
        <w:t>Ricardo-AEA, The Gemini Building, Fermi Avenue, Harwell, Didcot, OX11 0QR, UK</w:t>
      </w:r>
      <w:r>
        <w:br/>
      </w:r>
      <w:r>
        <w:rPr>
          <w:vertAlign w:val="superscript"/>
        </w:rPr>
        <w:t>3</w:t>
      </w:r>
      <w:r>
        <w:t>Environment Department, University of York, Heslington, York, YO10 5DD, UK</w:t>
      </w:r>
    </w:p>
    <w:p w:rsidR="00707748" w:rsidRDefault="00707748" w:rsidP="00707748">
      <w:r>
        <w:rPr>
          <w:vertAlign w:val="superscript"/>
        </w:rPr>
        <w:t>4</w:t>
      </w:r>
      <w:r>
        <w:t>School of Biology, Newcastle University, Newcastle Upon Tyne, NE1 7RU, UK</w:t>
      </w:r>
    </w:p>
    <w:p w:rsidR="00707748" w:rsidRDefault="00707748" w:rsidP="00707748">
      <w:r>
        <w:rPr>
          <w:vertAlign w:val="superscript"/>
        </w:rPr>
        <w:t>5</w:t>
      </w:r>
      <w:r>
        <w:t>Centre for Ecology and Hydrology, Bush Estate, Penicuik, Midlothian, EH26 0QB, UK</w:t>
      </w:r>
    </w:p>
    <w:p w:rsidR="00707748" w:rsidRDefault="00707748" w:rsidP="00707748"/>
    <w:p w:rsidR="00707748" w:rsidRDefault="00707748" w:rsidP="00707748">
      <w:r>
        <w:t xml:space="preserve">* Corresponding author: </w:t>
      </w:r>
      <w:r>
        <w:tab/>
        <w:t>Tel: 44 (0) 1248 374500</w:t>
      </w:r>
    </w:p>
    <w:p w:rsidR="00707748" w:rsidRDefault="00707748" w:rsidP="00707748">
      <w:pPr>
        <w:ind w:left="2160" w:firstLine="720"/>
      </w:pPr>
      <w:r>
        <w:t>Email: fhay@ceh.ac.uk</w:t>
      </w:r>
    </w:p>
    <w:p w:rsidR="003A21E5" w:rsidRDefault="003A21E5"/>
    <w:p w:rsidR="003A21E5" w:rsidRDefault="00BE5C9A">
      <w:pPr>
        <w:rPr>
          <w:b/>
        </w:rPr>
      </w:pPr>
      <w:r>
        <w:rPr>
          <w:b/>
        </w:rPr>
        <w:t>Abstract</w:t>
      </w:r>
    </w:p>
    <w:p w:rsidR="003A21E5" w:rsidRDefault="004435C6">
      <w:r>
        <w:t>In this study we have demonstrated that r</w:t>
      </w:r>
      <w:r w:rsidR="00671B35">
        <w:t>ising background ozone has the potential to reduce grassland forage quality</w:t>
      </w:r>
      <w:r w:rsidR="00D07DB0">
        <w:t xml:space="preserve"> and explored the implications for</w:t>
      </w:r>
      <w:r w:rsidR="005E1CA8">
        <w:t xml:space="preserve"> livestock production</w:t>
      </w:r>
      <w:r w:rsidR="00671B35">
        <w:t xml:space="preserve">. </w:t>
      </w:r>
      <w:r w:rsidR="006A2ED2">
        <w:t xml:space="preserve"> </w:t>
      </w:r>
      <w:r w:rsidR="00671B35">
        <w:t>We analysed pasture</w:t>
      </w:r>
      <w:r w:rsidR="00ED3822">
        <w:t xml:space="preserve"> samples from seven </w:t>
      </w:r>
      <w:r w:rsidR="00671B35">
        <w:t xml:space="preserve">ozone </w:t>
      </w:r>
      <w:r w:rsidR="00D07DB0">
        <w:t xml:space="preserve">exposure </w:t>
      </w:r>
      <w:r w:rsidR="00671B35">
        <w:t>experiments</w:t>
      </w:r>
      <w:r w:rsidR="00ED3822">
        <w:t xml:space="preserve"> </w:t>
      </w:r>
      <w:r w:rsidR="006C4393">
        <w:t>compris</w:t>
      </w:r>
      <w:r w:rsidR="00717C3E">
        <w:t>ing m</w:t>
      </w:r>
      <w:r w:rsidR="00C404B0">
        <w:t xml:space="preserve">esotrophic, </w:t>
      </w:r>
      <w:r w:rsidR="000D74F6">
        <w:t>ca</w:t>
      </w:r>
      <w:r w:rsidR="006C4393">
        <w:t xml:space="preserve">lcareous, </w:t>
      </w:r>
      <w:r w:rsidR="00C404B0">
        <w:t>haymeadow</w:t>
      </w:r>
      <w:r w:rsidR="00C404B0" w:rsidDel="00671B35">
        <w:t xml:space="preserve"> </w:t>
      </w:r>
      <w:r w:rsidR="000D74F6">
        <w:t xml:space="preserve">and </w:t>
      </w:r>
      <w:r w:rsidR="00671B35">
        <w:t>sanddune</w:t>
      </w:r>
      <w:r w:rsidR="00671B35" w:rsidDel="00671B35">
        <w:t xml:space="preserve"> </w:t>
      </w:r>
      <w:r w:rsidR="00717C3E">
        <w:t xml:space="preserve">unimproved grasslands conducted in </w:t>
      </w:r>
      <w:r w:rsidR="006C4393">
        <w:t xml:space="preserve">open-top chambers, solardomes and </w:t>
      </w:r>
      <w:r w:rsidR="00717C3E">
        <w:t xml:space="preserve">a </w:t>
      </w:r>
      <w:r w:rsidR="006C4393">
        <w:t>field release</w:t>
      </w:r>
      <w:r w:rsidR="00717C3E">
        <w:t xml:space="preserve"> system</w:t>
      </w:r>
      <w:r w:rsidR="004060F8">
        <w:t xml:space="preserve">. </w:t>
      </w:r>
      <w:r w:rsidR="00D07DB0">
        <w:t>Across all grassland types, t</w:t>
      </w:r>
      <w:r w:rsidR="004060F8">
        <w:t>here were</w:t>
      </w:r>
      <w:r w:rsidR="00A765B5">
        <w:t xml:space="preserve"> </w:t>
      </w:r>
      <w:r w:rsidR="00A765B5">
        <w:lastRenderedPageBreak/>
        <w:t>significant</w:t>
      </w:r>
      <w:r w:rsidR="00ED3822">
        <w:t xml:space="preserve"> increases in acid detergent fibre,</w:t>
      </w:r>
      <w:r w:rsidR="00075876">
        <w:t xml:space="preserve"> crude fibre and lignin content</w:t>
      </w:r>
      <w:r w:rsidR="00465F69">
        <w:t xml:space="preserve"> </w:t>
      </w:r>
      <w:r w:rsidR="00ED3822">
        <w:t xml:space="preserve">with increasing ozone concentration, resulting in </w:t>
      </w:r>
      <w:r w:rsidR="00153CFE">
        <w:t>decrea</w:t>
      </w:r>
      <w:r w:rsidR="00075876">
        <w:t>sed pasture quality in terms of</w:t>
      </w:r>
      <w:r w:rsidR="00ED3822">
        <w:t xml:space="preserve"> </w:t>
      </w:r>
      <w:r w:rsidR="00D07DB0">
        <w:t xml:space="preserve">the </w:t>
      </w:r>
      <w:r w:rsidR="00ED3822">
        <w:t xml:space="preserve">metabolisable energy content of the vegetation.  </w:t>
      </w:r>
      <w:r w:rsidR="00C404B0">
        <w:t>We derived a dose-</w:t>
      </w:r>
      <w:r w:rsidR="00465F69">
        <w:t>response function for</w:t>
      </w:r>
      <w:r w:rsidR="00ED3822">
        <w:t xml:space="preserve"> metabolisable energy </w:t>
      </w:r>
      <w:r w:rsidR="00465F69">
        <w:t xml:space="preserve">of the grassland </w:t>
      </w:r>
      <w:r w:rsidR="00ED3822">
        <w:t>with ozone</w:t>
      </w:r>
      <w:r w:rsidR="00465F69">
        <w:t xml:space="preserve"> concentration</w:t>
      </w:r>
      <w:r w:rsidR="006A2ED2">
        <w:t>, applicable to a range of grassland types</w:t>
      </w:r>
      <w:r w:rsidR="00ED3822">
        <w:t xml:space="preserve">, </w:t>
      </w:r>
      <w:r w:rsidR="00717C3E">
        <w:t>and used this to</w:t>
      </w:r>
      <w:r w:rsidR="00C404B0">
        <w:t xml:space="preserve"> predict </w:t>
      </w:r>
      <w:r w:rsidR="00717C3E">
        <w:t xml:space="preserve">effects on </w:t>
      </w:r>
      <w:r w:rsidR="00ED3822">
        <w:t>pasture quality of UK vegetation at 1km resolution usin</w:t>
      </w:r>
      <w:r w:rsidR="00915138">
        <w:t>g modelled ozone data for 2007 and</w:t>
      </w:r>
      <w:r w:rsidR="001F1D18">
        <w:t xml:space="preserve"> for predicted higher average ozone concentrations</w:t>
      </w:r>
      <w:r w:rsidR="00ED3822">
        <w:t xml:space="preserve"> </w:t>
      </w:r>
      <w:r w:rsidR="001F1D18">
        <w:t xml:space="preserve">in </w:t>
      </w:r>
      <w:r w:rsidR="00ED3822">
        <w:t>2020</w:t>
      </w:r>
      <w:r w:rsidR="00F53A09">
        <w:t>.  T</w:t>
      </w:r>
      <w:r w:rsidR="00ED3822">
        <w:t xml:space="preserve">his </w:t>
      </w:r>
      <w:r w:rsidR="00E330A6">
        <w:t>showed</w:t>
      </w:r>
      <w:r w:rsidR="00532A7F">
        <w:t xml:space="preserve"> a</w:t>
      </w:r>
      <w:r w:rsidR="00E53E48">
        <w:t xml:space="preserve"> potential</w:t>
      </w:r>
      <w:r w:rsidR="00532A7F">
        <w:t xml:space="preserve"> </w:t>
      </w:r>
      <w:r w:rsidR="00DC26A7">
        <w:t xml:space="preserve">total </w:t>
      </w:r>
      <w:r w:rsidR="00532A7F">
        <w:t>reduction in la</w:t>
      </w:r>
      <w:r w:rsidR="00075876">
        <w:t>mb</w:t>
      </w:r>
      <w:r w:rsidR="00915138">
        <w:t xml:space="preserve"> production in the UK</w:t>
      </w:r>
      <w:r w:rsidR="00DC26A7">
        <w:t xml:space="preserve"> of approximately 4% in 2020 compared to 2007</w:t>
      </w:r>
      <w:r w:rsidR="00915138">
        <w:t xml:space="preserve">.  </w:t>
      </w:r>
      <w:r w:rsidR="00DC26A7">
        <w:t>T</w:t>
      </w:r>
      <w:r w:rsidR="00465F69">
        <w:t xml:space="preserve">he largest impacts were in </w:t>
      </w:r>
      <w:r w:rsidR="00F53A09">
        <w:t xml:space="preserve">geographical </w:t>
      </w:r>
      <w:r w:rsidR="00465F69">
        <w:t>areas of modest ozone increases</w:t>
      </w:r>
      <w:r w:rsidR="0041719A">
        <w:t xml:space="preserve"> between the two years</w:t>
      </w:r>
      <w:r w:rsidR="00465F69">
        <w:t>, but where large numbers of lambs were present.</w:t>
      </w:r>
      <w:r w:rsidR="00D07DB0">
        <w:t xml:space="preserve"> </w:t>
      </w:r>
      <w:r w:rsidR="006360E0">
        <w:t xml:space="preserve"> </w:t>
      </w:r>
      <w:r w:rsidR="00D07DB0">
        <w:t xml:space="preserve">For an individual farmer </w:t>
      </w:r>
      <w:r w:rsidR="0041719A">
        <w:t xml:space="preserve">working to </w:t>
      </w:r>
      <w:r w:rsidR="00D07DB0">
        <w:t xml:space="preserve">a very small cost margin this could represent a large reduction in profit, </w:t>
      </w:r>
      <w:r w:rsidR="006A6A10">
        <w:t xml:space="preserve">both in regions </w:t>
      </w:r>
      <w:r w:rsidR="00D07DB0">
        <w:t xml:space="preserve">where the impacts </w:t>
      </w:r>
      <w:r w:rsidR="006A6A10">
        <w:t>per lamb and those where the impacts per km</w:t>
      </w:r>
      <w:r w:rsidR="006A6A10" w:rsidRPr="006A6A10">
        <w:rPr>
          <w:vertAlign w:val="superscript"/>
        </w:rPr>
        <w:t>2</w:t>
      </w:r>
      <w:r w:rsidR="006A6A10">
        <w:t xml:space="preserve"> of grazing land are largest</w:t>
      </w:r>
      <w:r w:rsidR="00D07DB0">
        <w:t>.</w:t>
      </w:r>
      <w:r w:rsidR="00DC26A7">
        <w:t xml:space="preserve">  </w:t>
      </w:r>
      <w:r w:rsidR="005C635C">
        <w:t>I</w:t>
      </w:r>
      <w:r w:rsidR="007E7442">
        <w:t xml:space="preserve">n the short term </w:t>
      </w:r>
      <w:r w:rsidR="005C635C">
        <w:t xml:space="preserve">farmers </w:t>
      </w:r>
      <w:r w:rsidR="007E7442">
        <w:t xml:space="preserve">could </w:t>
      </w:r>
      <w:r w:rsidR="005C635C">
        <w:t xml:space="preserve">adapt their </w:t>
      </w:r>
      <w:r w:rsidR="00D07DB0">
        <w:t xml:space="preserve">lamb </w:t>
      </w:r>
      <w:r w:rsidR="005C635C">
        <w:t>management in response</w:t>
      </w:r>
      <w:r w:rsidR="00D07DB0">
        <w:t xml:space="preserve"> to changed forage quality</w:t>
      </w:r>
      <w:r w:rsidR="005C635C">
        <w:t xml:space="preserve"> by</w:t>
      </w:r>
      <w:r w:rsidR="0079722C">
        <w:t xml:space="preserve"> additional supplementary feed of high metabolisable energy content</w:t>
      </w:r>
      <w:r w:rsidR="007E7442">
        <w:t>.  N</w:t>
      </w:r>
      <w:r w:rsidR="00D07DB0">
        <w:t>ationally</w:t>
      </w:r>
      <w:r w:rsidR="00A709AA">
        <w:t xml:space="preserve"> </w:t>
      </w:r>
      <w:r w:rsidR="00D07DB0">
        <w:t>t</w:t>
      </w:r>
      <w:r w:rsidR="00F53A09">
        <w:t>his</w:t>
      </w:r>
      <w:r w:rsidR="007E7442">
        <w:t xml:space="preserve"> increase in</w:t>
      </w:r>
      <w:r w:rsidR="00F53A09">
        <w:t xml:space="preserve"> </w:t>
      </w:r>
      <w:r w:rsidR="00A74384">
        <w:t xml:space="preserve">annual </w:t>
      </w:r>
      <w:r w:rsidR="007E7442">
        <w:t>additional feed</w:t>
      </w:r>
      <w:r w:rsidR="0017320C">
        <w:t xml:space="preserve"> in 2020 compared to 2007</w:t>
      </w:r>
      <w:r w:rsidR="00F53A09">
        <w:t xml:space="preserve"> would be</w:t>
      </w:r>
      <w:r w:rsidR="00FB6A48">
        <w:t xml:space="preserve"> 2</w:t>
      </w:r>
      <w:r w:rsidR="009A593F">
        <w:t>,</w:t>
      </w:r>
      <w:r w:rsidR="00FB6A48">
        <w:t>16</w:t>
      </w:r>
      <w:r w:rsidR="009A593F">
        <w:t>6 tonnes</w:t>
      </w:r>
      <w:r w:rsidR="00FB6A48">
        <w:t xml:space="preserve"> (an increase of 0.7%)</w:t>
      </w:r>
      <w:r w:rsidR="008850A5">
        <w:t>.</w:t>
      </w:r>
      <w:r w:rsidR="008E24A6">
        <w:t xml:space="preserve"> </w:t>
      </w:r>
      <w:r w:rsidR="00AC3AF1">
        <w:t xml:space="preserve"> </w:t>
      </w:r>
      <w:r w:rsidR="0041719A">
        <w:t xml:space="preserve">Of added concern are </w:t>
      </w:r>
      <w:r w:rsidR="00DC26A7">
        <w:t xml:space="preserve">the longer-term consequences of </w:t>
      </w:r>
      <w:r w:rsidR="0041719A">
        <w:t xml:space="preserve">continual </w:t>
      </w:r>
      <w:r w:rsidR="00DC26A7">
        <w:t xml:space="preserve">deterioration of pasture quality </w:t>
      </w:r>
      <w:r w:rsidR="0041719A">
        <w:t xml:space="preserve">and the </w:t>
      </w:r>
      <w:r w:rsidR="00DC26A7">
        <w:t>implications for changes in farming practices</w:t>
      </w:r>
      <w:r w:rsidR="00153CFE">
        <w:t xml:space="preserve"> to compensate for potential reductions in livestock production</w:t>
      </w:r>
      <w:r w:rsidR="00C6361D">
        <w:t xml:space="preserve"> capacity</w:t>
      </w:r>
      <w:r w:rsidR="00DC26A7">
        <w:t>.</w:t>
      </w:r>
      <w:r w:rsidR="008933F6">
        <w:t xml:space="preserve"> </w:t>
      </w:r>
    </w:p>
    <w:p w:rsidR="008933F6" w:rsidRDefault="008933F6"/>
    <w:p w:rsidR="008933F6" w:rsidRDefault="008933F6" w:rsidP="008933F6">
      <w:pPr>
        <w:spacing w:after="200"/>
      </w:pPr>
      <w:r>
        <w:rPr>
          <w:b/>
        </w:rPr>
        <w:t xml:space="preserve">Keywords: </w:t>
      </w:r>
      <w:r>
        <w:t>grazing, air pollution, pasture quality, livestock production, ozone, metabolisable energy, sheep, lambs</w:t>
      </w:r>
    </w:p>
    <w:p w:rsidR="008850A5" w:rsidRDefault="008850A5"/>
    <w:p w:rsidR="003A21E5" w:rsidRPr="00274901" w:rsidRDefault="003A21E5" w:rsidP="00274901">
      <w:pPr>
        <w:pStyle w:val="ListParagraph"/>
        <w:numPr>
          <w:ilvl w:val="0"/>
          <w:numId w:val="4"/>
        </w:numPr>
        <w:rPr>
          <w:b/>
        </w:rPr>
      </w:pPr>
      <w:r w:rsidRPr="00274901">
        <w:rPr>
          <w:b/>
        </w:rPr>
        <w:t>Introduction</w:t>
      </w:r>
    </w:p>
    <w:p w:rsidR="00FE502B" w:rsidRDefault="00315D92">
      <w:r>
        <w:t>Current o</w:t>
      </w:r>
      <w:r w:rsidR="003A21E5">
        <w:t>zone</w:t>
      </w:r>
      <w:r>
        <w:t xml:space="preserve"> concentrations are</w:t>
      </w:r>
      <w:r w:rsidR="004E238B">
        <w:t xml:space="preserve"> known to decrease </w:t>
      </w:r>
      <w:r w:rsidR="003A21E5">
        <w:t>crop yields and affect crop quality</w:t>
      </w:r>
      <w:r w:rsidR="008A77CD">
        <w:t>,</w:t>
      </w:r>
      <w:r w:rsidR="008A77CD" w:rsidRPr="008A77CD">
        <w:t xml:space="preserve"> </w:t>
      </w:r>
      <w:r w:rsidR="008A77CD">
        <w:t xml:space="preserve">with global agricultural economic losses estimated to be $17 - $35 billion annually (Avnery et al., </w:t>
      </w:r>
      <w:r w:rsidR="008A77CD">
        <w:lastRenderedPageBreak/>
        <w:t>2011</w:t>
      </w:r>
      <w:r w:rsidR="00232394">
        <w:t>a</w:t>
      </w:r>
      <w:r w:rsidR="008A77CD">
        <w:t xml:space="preserve">).  </w:t>
      </w:r>
      <w:r w:rsidR="00873835">
        <w:t>Crops that have been demonstrated to be sensitive to ozone include wheat</w:t>
      </w:r>
      <w:r w:rsidR="00703080">
        <w:t xml:space="preserve"> (e.g. Piikki et al., 2008, Pleijel et al., 2007)</w:t>
      </w:r>
      <w:r w:rsidR="00873835">
        <w:t>, potato</w:t>
      </w:r>
      <w:r w:rsidR="00703080">
        <w:t xml:space="preserve"> (e.g. Donnelly et al., 2001, Vandermeiren et al., 2005) </w:t>
      </w:r>
      <w:r w:rsidR="00873835">
        <w:t>and tomato (</w:t>
      </w:r>
      <w:r w:rsidR="00703080">
        <w:t>e.g. Bermejo, 2002, Calvo et al., 2007</w:t>
      </w:r>
      <w:r w:rsidR="00873835">
        <w:t>)</w:t>
      </w:r>
      <w:r w:rsidR="008A77CD">
        <w:t>.  However, i</w:t>
      </w:r>
      <w:r w:rsidR="004E238B">
        <w:t xml:space="preserve">n addition to effects on agricultural crops that are used directly as a food source, </w:t>
      </w:r>
      <w:r w:rsidR="008A77CD">
        <w:t>several individual experimen</w:t>
      </w:r>
      <w:r w:rsidR="0057518B">
        <w:t>ts have shown effects on</w:t>
      </w:r>
      <w:r w:rsidR="008A77CD">
        <w:t xml:space="preserve"> yield and quality</w:t>
      </w:r>
      <w:r w:rsidR="0057518B">
        <w:t xml:space="preserve"> of </w:t>
      </w:r>
      <w:r w:rsidR="008B633C">
        <w:t xml:space="preserve">component species of </w:t>
      </w:r>
      <w:r w:rsidR="0057518B">
        <w:t>pasture</w:t>
      </w:r>
      <w:r w:rsidR="00C6361D">
        <w:t xml:space="preserve"> used for animal grazing</w:t>
      </w:r>
      <w:r w:rsidR="00222BBF">
        <w:t xml:space="preserve">. </w:t>
      </w:r>
      <w:r w:rsidR="00E330CE">
        <w:t xml:space="preserve"> </w:t>
      </w:r>
      <w:r w:rsidR="00C6361D">
        <w:t>Globally, in 2000, the</w:t>
      </w:r>
      <w:r w:rsidR="00E330CE" w:rsidRPr="00E330CE">
        <w:rPr>
          <w:bCs/>
        </w:rPr>
        <w:t xml:space="preserve"> are</w:t>
      </w:r>
      <w:r w:rsidR="00E330CE">
        <w:rPr>
          <w:bCs/>
        </w:rPr>
        <w:t xml:space="preserve">a of pasture and fodder crops </w:t>
      </w:r>
      <w:r w:rsidR="00C404B0">
        <w:rPr>
          <w:bCs/>
        </w:rPr>
        <w:t xml:space="preserve">was </w:t>
      </w:r>
      <w:r w:rsidR="00E330CE" w:rsidRPr="00E330CE">
        <w:rPr>
          <w:bCs/>
        </w:rPr>
        <w:t xml:space="preserve">3.5 </w:t>
      </w:r>
      <w:r w:rsidR="00C263AB">
        <w:rPr>
          <w:bCs/>
        </w:rPr>
        <w:t>m</w:t>
      </w:r>
      <w:r w:rsidR="00E330CE" w:rsidRPr="00E330CE">
        <w:rPr>
          <w:bCs/>
        </w:rPr>
        <w:t xml:space="preserve">illion </w:t>
      </w:r>
      <w:r w:rsidR="00C263AB">
        <w:rPr>
          <w:bCs/>
        </w:rPr>
        <w:t>km</w:t>
      </w:r>
      <w:r w:rsidR="00C263AB" w:rsidRPr="00C263AB">
        <w:rPr>
          <w:bCs/>
          <w:vertAlign w:val="superscript"/>
        </w:rPr>
        <w:t>2</w:t>
      </w:r>
      <w:r w:rsidR="00E330CE" w:rsidRPr="00E330CE">
        <w:t>, representing 26% of the world land area and 70% of the world agricultural area (FAOSTAT).</w:t>
      </w:r>
      <w:r w:rsidR="00D729D4">
        <w:t xml:space="preserve">  </w:t>
      </w:r>
      <w:r w:rsidR="00F57E5A">
        <w:t xml:space="preserve">Across Europe, the total fodder area (grasslands and fodder crops) </w:t>
      </w:r>
      <w:r w:rsidR="009C321E">
        <w:t>comprises</w:t>
      </w:r>
      <w:r w:rsidR="00F57E5A">
        <w:t xml:space="preserve"> 43% of the utilised agricultural area</w:t>
      </w:r>
      <w:r w:rsidR="009C321E">
        <w:t>. This land is grazed by</w:t>
      </w:r>
      <w:r w:rsidR="00F57E5A">
        <w:t xml:space="preserve"> </w:t>
      </w:r>
      <w:r w:rsidR="00D729D4">
        <w:t xml:space="preserve">approximately 100 </w:t>
      </w:r>
      <w:r w:rsidR="00C263AB">
        <w:t>m</w:t>
      </w:r>
      <w:r w:rsidR="00D729D4">
        <w:t xml:space="preserve">illion sheep and 89 </w:t>
      </w:r>
      <w:r w:rsidR="00C263AB">
        <w:t>m</w:t>
      </w:r>
      <w:r w:rsidR="00D729D4">
        <w:t xml:space="preserve">illion cattle (including 23 </w:t>
      </w:r>
      <w:r w:rsidR="00C263AB">
        <w:t>m</w:t>
      </w:r>
      <w:r w:rsidR="00D729D4">
        <w:t>illion dairy cattle), the majority</w:t>
      </w:r>
      <w:r w:rsidR="0057518B">
        <w:t xml:space="preserve"> of which are</w:t>
      </w:r>
      <w:r w:rsidR="006F3413">
        <w:t xml:space="preserve"> depende</w:t>
      </w:r>
      <w:r w:rsidR="00D729D4">
        <w:t>nt on managed pasture or grassland for a significant portion of their diet (FAOSTAT).  In this study, for the first time, ozone impacts on pasture quality from</w:t>
      </w:r>
      <w:r w:rsidR="00F927C3">
        <w:t xml:space="preserve"> experiments</w:t>
      </w:r>
      <w:r w:rsidR="005E76C4">
        <w:t xml:space="preserve"> on different types of grassland</w:t>
      </w:r>
      <w:r w:rsidR="00F927C3">
        <w:t xml:space="preserve"> have been analysed using common methodology to allow development of </w:t>
      </w:r>
      <w:r w:rsidR="0041719A">
        <w:t xml:space="preserve">common </w:t>
      </w:r>
      <w:r w:rsidR="00C404B0">
        <w:t>dose-</w:t>
      </w:r>
      <w:r w:rsidR="00F927C3">
        <w:t>response</w:t>
      </w:r>
      <w:r w:rsidR="00C404B0">
        <w:t xml:space="preserve"> </w:t>
      </w:r>
      <w:r w:rsidR="00F927C3">
        <w:t>functions</w:t>
      </w:r>
      <w:r w:rsidR="0057518B">
        <w:t xml:space="preserve">.  </w:t>
      </w:r>
      <w:r w:rsidR="008850A5">
        <w:t>To demonstrate the potential spatial extent of ozone-induced reductions on pasture quality and consequent effects on lamb production</w:t>
      </w:r>
      <w:r w:rsidR="002A2EAA" w:rsidRPr="00D973B5">
        <w:t>, worth £980million in the UK in 2010 (UK agriculture) and contributing 9.5% of global sheepmeat exports in 2012</w:t>
      </w:r>
      <w:r w:rsidR="002A2EAA">
        <w:t xml:space="preserve"> (nationalsheep.org.uk)</w:t>
      </w:r>
      <w:r w:rsidR="008850A5">
        <w:t xml:space="preserve">, </w:t>
      </w:r>
      <w:r w:rsidR="0041719A">
        <w:t xml:space="preserve">the response functions have been applied to </w:t>
      </w:r>
      <w:r w:rsidR="001B57B3">
        <w:t xml:space="preserve">UK </w:t>
      </w:r>
      <w:r w:rsidR="008850A5">
        <w:t>data at 1km</w:t>
      </w:r>
      <w:r w:rsidR="008850A5" w:rsidRPr="0057518B">
        <w:rPr>
          <w:vertAlign w:val="superscript"/>
        </w:rPr>
        <w:t>2</w:t>
      </w:r>
      <w:r w:rsidR="008850A5">
        <w:t xml:space="preserve"> resolution.</w:t>
      </w:r>
      <w:r w:rsidR="008850A5" w:rsidDel="008850A5">
        <w:t xml:space="preserve"> </w:t>
      </w:r>
    </w:p>
    <w:p w:rsidR="008850A5" w:rsidRDefault="008850A5"/>
    <w:p w:rsidR="008A2452" w:rsidRPr="00244D2E" w:rsidRDefault="004435C6">
      <w:r>
        <w:t xml:space="preserve">Some </w:t>
      </w:r>
      <w:r w:rsidR="00E83790">
        <w:t xml:space="preserve">deleterious </w:t>
      </w:r>
      <w:r>
        <w:t>effects of ozone on yield of pasture have</w:t>
      </w:r>
      <w:r w:rsidR="00F31758">
        <w:t xml:space="preserve"> </w:t>
      </w:r>
      <w:r>
        <w:t xml:space="preserve">been </w:t>
      </w:r>
      <w:r w:rsidR="00E83790">
        <w:t xml:space="preserve">previously </w:t>
      </w:r>
      <w:r>
        <w:t>demonstrated</w:t>
      </w:r>
      <w:r w:rsidR="00E83790" w:rsidRPr="00E83790">
        <w:t xml:space="preserve"> </w:t>
      </w:r>
      <w:r w:rsidR="00E83790">
        <w:t xml:space="preserve">(e.g. Pleijel et al., 1996). Most such studies </w:t>
      </w:r>
      <w:r w:rsidR="0078423D">
        <w:t>have</w:t>
      </w:r>
      <w:r w:rsidR="00A22A92">
        <w:t xml:space="preserve"> focussed on </w:t>
      </w:r>
      <w:r w:rsidR="0078423D">
        <w:t xml:space="preserve">reductions in </w:t>
      </w:r>
      <w:r w:rsidR="00A22A92">
        <w:t>the legume fraction as this could</w:t>
      </w:r>
      <w:r w:rsidR="004E238B">
        <w:t xml:space="preserve"> affect productivity of ruminant herbivores that feed on the pasture either directly via grazing or through silage production</w:t>
      </w:r>
      <w:r w:rsidR="0078423D">
        <w:t xml:space="preserve"> due to the higher nitrogen content of legumes</w:t>
      </w:r>
      <w:r w:rsidR="00E44E66">
        <w:t xml:space="preserve">. </w:t>
      </w:r>
      <w:r w:rsidR="00703080">
        <w:t xml:space="preserve"> </w:t>
      </w:r>
      <w:r w:rsidR="0078423D">
        <w:t>R</w:t>
      </w:r>
      <w:r w:rsidR="00703080">
        <w:t>eductions in the legume fraction, but not the grass fraction, of harvested biomass as a result of ozone exposure have been demonstrated usin</w:t>
      </w:r>
      <w:r w:rsidR="008E2458">
        <w:t xml:space="preserve">g both intact managed pasture </w:t>
      </w:r>
      <w:r w:rsidR="008E2458">
        <w:lastRenderedPageBreak/>
        <w:t>(</w:t>
      </w:r>
      <w:r w:rsidR="00703080">
        <w:t>Fuhrer, 1994, Fuhrer et al., 1994)</w:t>
      </w:r>
      <w:r w:rsidR="008E2458">
        <w:t xml:space="preserve">, </w:t>
      </w:r>
      <w:r w:rsidR="008E2458">
        <w:rPr>
          <w:i/>
        </w:rPr>
        <w:t>T</w:t>
      </w:r>
      <w:r w:rsidR="00F02C6A">
        <w:rPr>
          <w:i/>
        </w:rPr>
        <w:t>rifolium repens – Lolium</w:t>
      </w:r>
      <w:r w:rsidR="008E2458">
        <w:rPr>
          <w:i/>
        </w:rPr>
        <w:t xml:space="preserve"> perenne</w:t>
      </w:r>
      <w:r w:rsidR="008E2458">
        <w:t xml:space="preserve"> mixtures established in field conditions from seed (</w:t>
      </w:r>
      <w:r w:rsidR="00B03D98">
        <w:t>Wi</w:t>
      </w:r>
      <w:r w:rsidR="00244D2E">
        <w:t>lbourn et al., 1995)</w:t>
      </w:r>
      <w:r w:rsidR="008E2458">
        <w:t>, and</w:t>
      </w:r>
      <w:r w:rsidR="008E2458" w:rsidRPr="008E2458">
        <w:rPr>
          <w:i/>
        </w:rPr>
        <w:t xml:space="preserve"> </w:t>
      </w:r>
      <w:r w:rsidR="008E2458">
        <w:rPr>
          <w:i/>
        </w:rPr>
        <w:t>T. repens – L. perenne</w:t>
      </w:r>
      <w:r w:rsidR="00244D2E">
        <w:t xml:space="preserve"> </w:t>
      </w:r>
      <w:r w:rsidR="008E2458">
        <w:t xml:space="preserve">established in mesocosms </w:t>
      </w:r>
      <w:r w:rsidR="00D6030D">
        <w:t xml:space="preserve">(Hayes et al., 2009).  </w:t>
      </w:r>
      <w:r w:rsidR="00244D2E">
        <w:t>Similarly, reductions in the clover:grass ratio due to ozone have been reported by Nussbaum et al. (1995) and Heagle et al. (1989)</w:t>
      </w:r>
      <w:r w:rsidR="00E44E66">
        <w:t xml:space="preserve"> </w:t>
      </w:r>
      <w:r w:rsidR="00244D2E">
        <w:t xml:space="preserve">using </w:t>
      </w:r>
      <w:r w:rsidR="00244D2E">
        <w:rPr>
          <w:i/>
        </w:rPr>
        <w:t>T. repens</w:t>
      </w:r>
      <w:r w:rsidR="00244D2E">
        <w:t xml:space="preserve"> and </w:t>
      </w:r>
      <w:r w:rsidR="00F02C6A">
        <w:rPr>
          <w:i/>
        </w:rPr>
        <w:t>L.</w:t>
      </w:r>
      <w:r w:rsidR="00244D2E">
        <w:rPr>
          <w:i/>
        </w:rPr>
        <w:t xml:space="preserve"> perenne </w:t>
      </w:r>
      <w:r w:rsidR="00244D2E">
        <w:t xml:space="preserve">and </w:t>
      </w:r>
      <w:r w:rsidR="00244D2E">
        <w:rPr>
          <w:i/>
        </w:rPr>
        <w:t xml:space="preserve">T. repens </w:t>
      </w:r>
      <w:r w:rsidR="00244D2E">
        <w:t xml:space="preserve">and </w:t>
      </w:r>
      <w:r w:rsidR="00244D2E">
        <w:rPr>
          <w:i/>
        </w:rPr>
        <w:t xml:space="preserve">Festuca arundinacea </w:t>
      </w:r>
      <w:r w:rsidR="00244D2E">
        <w:t>respectively</w:t>
      </w:r>
      <w:r w:rsidR="008E2458">
        <w:t xml:space="preserve">, which can also occur </w:t>
      </w:r>
      <w:r w:rsidR="00960682">
        <w:t>if</w:t>
      </w:r>
      <w:r w:rsidR="008E2458">
        <w:t xml:space="preserve"> the above-ground biomass of the grass component increases </w:t>
      </w:r>
      <w:r w:rsidR="0012753D">
        <w:t>due to reduced competition from the</w:t>
      </w:r>
      <w:r w:rsidR="00B912DB">
        <w:t xml:space="preserve"> </w:t>
      </w:r>
      <w:r w:rsidR="008E2458">
        <w:t>legume content</w:t>
      </w:r>
      <w:r w:rsidR="00244D2E">
        <w:t>.</w:t>
      </w:r>
      <w:r w:rsidR="00EE2944">
        <w:t xml:space="preserve">  </w:t>
      </w:r>
      <w:r w:rsidR="0012753D">
        <w:t>R</w:t>
      </w:r>
      <w:r w:rsidR="00EE2944">
        <w:t xml:space="preserve">eductions in N-fixation in clover </w:t>
      </w:r>
      <w:r w:rsidR="00F02C6A">
        <w:t xml:space="preserve">in response to increasing ozone concentrations </w:t>
      </w:r>
      <w:r w:rsidR="00EE2944">
        <w:t xml:space="preserve">have </w:t>
      </w:r>
      <w:r w:rsidR="00915138">
        <w:t>also been shown (Hewitt et al., 2014</w:t>
      </w:r>
      <w:r w:rsidR="00EE2944">
        <w:t>)</w:t>
      </w:r>
      <w:r w:rsidR="0078423D">
        <w:t>, implying a reduced nitrogen content of the clover component of the pasture.</w:t>
      </w:r>
    </w:p>
    <w:p w:rsidR="008A2452" w:rsidRDefault="008A2452"/>
    <w:p w:rsidR="003A21E5" w:rsidRDefault="00363079">
      <w:r>
        <w:t xml:space="preserve">Forage quality is influenced by combinations of several factors </w:t>
      </w:r>
      <w:r w:rsidR="0012753D">
        <w:t>including</w:t>
      </w:r>
      <w:r w:rsidR="004E737B">
        <w:t xml:space="preserve"> </w:t>
      </w:r>
      <w:r>
        <w:t>content of desirable nutrients e.g. protein</w:t>
      </w:r>
      <w:r w:rsidR="0012753D">
        <w:t xml:space="preserve"> as well</w:t>
      </w:r>
      <w:r w:rsidR="00F31758">
        <w:t xml:space="preserve"> </w:t>
      </w:r>
      <w:r w:rsidR="00A709AA">
        <w:t xml:space="preserve">as </w:t>
      </w:r>
      <w:r>
        <w:t xml:space="preserve">the composition of the cell wall, which must be broken down as part of the digestive process for the nutrients to be released.  </w:t>
      </w:r>
      <w:r w:rsidR="007F1B76">
        <w:t>Any ozone-induced decrease in forage quality could be via changes in species composition, changes to individual component species such as altered plant structure or changes to biosynthesis or partitioning of secondary metabolites.</w:t>
      </w:r>
      <w:r w:rsidR="007F1B76" w:rsidRPr="008D7BE5">
        <w:t xml:space="preserve"> </w:t>
      </w:r>
      <w:r w:rsidR="007F1B76">
        <w:t xml:space="preserve"> </w:t>
      </w:r>
      <w:r w:rsidR="0078423D">
        <w:t>O</w:t>
      </w:r>
      <w:r w:rsidR="002804F4">
        <w:t>ne of the</w:t>
      </w:r>
      <w:r w:rsidR="006360E0">
        <w:t xml:space="preserve"> measures that integrate</w:t>
      </w:r>
      <w:r w:rsidR="00DF4FBA">
        <w:t>s</w:t>
      </w:r>
      <w:r w:rsidR="00A16F07">
        <w:t xml:space="preserve"> the nutrient content and digestibility </w:t>
      </w:r>
      <w:r w:rsidR="002804F4">
        <w:t>aspects of forage quality is ‘</w:t>
      </w:r>
      <w:r w:rsidR="00960682">
        <w:t>Relative Feed V</w:t>
      </w:r>
      <w:r w:rsidR="002804F4">
        <w:t>alue’</w:t>
      </w:r>
      <w:r w:rsidR="009A4132">
        <w:t xml:space="preserve"> (RFV)</w:t>
      </w:r>
      <w:r w:rsidR="002804F4">
        <w:t xml:space="preserve">.  </w:t>
      </w:r>
      <w:r w:rsidR="00A16F07">
        <w:t>It has been demonstrated that</w:t>
      </w:r>
      <w:r w:rsidR="00E6142E">
        <w:t xml:space="preserve"> early season ozone exposure (non-filtered air + 50 ppb) of </w:t>
      </w:r>
      <w:r w:rsidR="00E6142E">
        <w:rPr>
          <w:i/>
        </w:rPr>
        <w:t xml:space="preserve">Poa pratensis </w:t>
      </w:r>
      <w:r w:rsidR="00E6142E">
        <w:t xml:space="preserve">in </w:t>
      </w:r>
      <w:r w:rsidR="00A16F07">
        <w:t xml:space="preserve">mesocosms decreased </w:t>
      </w:r>
      <w:r w:rsidR="009A4132">
        <w:t>RFV</w:t>
      </w:r>
      <w:r w:rsidR="00E6142E">
        <w:t xml:space="preserve"> by 8%, despite no reduction in biomass production (Bender et al., 2006).  </w:t>
      </w:r>
      <w:r w:rsidR="00A16F07">
        <w:t xml:space="preserve">Nutritive quality of </w:t>
      </w:r>
      <w:r w:rsidR="00A16F07">
        <w:rPr>
          <w:i/>
        </w:rPr>
        <w:t xml:space="preserve">Trifolium subterraneum </w:t>
      </w:r>
      <w:r w:rsidR="00A16F07">
        <w:t xml:space="preserve">was decreased by 20% with ozone concentrations of approximately 56 ppb compared to charcoal-filtered air (Sanz et al., 2005), in addition to a decrease in biomass.  The change in nutritive quality </w:t>
      </w:r>
      <w:r w:rsidR="00F31758">
        <w:t xml:space="preserve">in the Sanz et al. (2005) study </w:t>
      </w:r>
      <w:r w:rsidR="00A16F07">
        <w:t>was</w:t>
      </w:r>
      <w:r w:rsidR="00F31758">
        <w:t xml:space="preserve"> shown to be</w:t>
      </w:r>
      <w:r w:rsidR="00A16F07">
        <w:t xml:space="preserve"> due to increased concentrations of </w:t>
      </w:r>
      <w:r w:rsidR="00C9377F">
        <w:t>“acid detergent fibre” (</w:t>
      </w:r>
      <w:r w:rsidR="00A16F07">
        <w:t>ADF</w:t>
      </w:r>
      <w:r w:rsidR="00C9377F">
        <w:t>)</w:t>
      </w:r>
      <w:r w:rsidR="00A16F07">
        <w:t xml:space="preserve">, </w:t>
      </w:r>
      <w:r w:rsidR="00C9377F">
        <w:t>“neutral detergent fibre” (</w:t>
      </w:r>
      <w:r w:rsidR="00A16F07">
        <w:t>NDF</w:t>
      </w:r>
      <w:r w:rsidR="00C9377F">
        <w:t>)</w:t>
      </w:r>
      <w:r w:rsidR="00A16F07">
        <w:t xml:space="preserve"> and lignin.  In addition, t</w:t>
      </w:r>
      <w:r w:rsidR="004973B4">
        <w:t xml:space="preserve">he </w:t>
      </w:r>
      <w:r w:rsidR="00960682">
        <w:t>R</w:t>
      </w:r>
      <w:r w:rsidR="009A4132">
        <w:t>FV</w:t>
      </w:r>
      <w:r w:rsidR="004973B4">
        <w:t xml:space="preserve"> of clover monocultures </w:t>
      </w:r>
      <w:r w:rsidR="00507676">
        <w:t>has been</w:t>
      </w:r>
      <w:r w:rsidR="007A417A">
        <w:t xml:space="preserve"> shown</w:t>
      </w:r>
      <w:r w:rsidR="004973B4">
        <w:t xml:space="preserve"> to be 2.4 times greater than that of equivalent grass (</w:t>
      </w:r>
      <w:r w:rsidR="00F02C6A">
        <w:rPr>
          <w:i/>
        </w:rPr>
        <w:t>L.</w:t>
      </w:r>
      <w:r w:rsidR="004973B4">
        <w:rPr>
          <w:i/>
        </w:rPr>
        <w:t xml:space="preserve"> perenne</w:t>
      </w:r>
      <w:r w:rsidR="004973B4">
        <w:t xml:space="preserve">) mesocosms </w:t>
      </w:r>
      <w:r w:rsidR="004973B4">
        <w:lastRenderedPageBreak/>
        <w:t>(Gonz</w:t>
      </w:r>
      <w:r w:rsidR="004973B4">
        <w:rPr>
          <w:rFonts w:cs="Times New Roman"/>
        </w:rPr>
        <w:t>á</w:t>
      </w:r>
      <w:r w:rsidR="004973B4">
        <w:t>lez-Fern</w:t>
      </w:r>
      <w:r w:rsidR="004973B4">
        <w:rPr>
          <w:rFonts w:cs="Times New Roman"/>
        </w:rPr>
        <w:t>á</w:t>
      </w:r>
      <w:r w:rsidR="004973B4">
        <w:t>ndez et al., 2008), implying that a d</w:t>
      </w:r>
      <w:r w:rsidR="00E6142E">
        <w:t>ecrease in clover content of</w:t>
      </w:r>
      <w:r w:rsidR="004973B4">
        <w:t xml:space="preserve"> pasture would cause a decreas</w:t>
      </w:r>
      <w:r w:rsidR="002804F4">
        <w:t xml:space="preserve">e in </w:t>
      </w:r>
      <w:r w:rsidR="00960682">
        <w:t>R</w:t>
      </w:r>
      <w:r w:rsidR="00776922">
        <w:t>FV</w:t>
      </w:r>
      <w:r w:rsidR="00C10B4A">
        <w:t xml:space="preserve">.  </w:t>
      </w:r>
      <w:r w:rsidR="00503D9D">
        <w:t xml:space="preserve">However, these studies have </w:t>
      </w:r>
      <w:r w:rsidR="0012753D">
        <w:t xml:space="preserve">assessed impacts on </w:t>
      </w:r>
      <w:r w:rsidR="00503D9D">
        <w:t>vegetation representative of high quality, productive grasslands.  To date there ha</w:t>
      </w:r>
      <w:r w:rsidR="0012753D">
        <w:t>ve been</w:t>
      </w:r>
      <w:r w:rsidR="00503D9D">
        <w:t xml:space="preserve"> no </w:t>
      </w:r>
      <w:r w:rsidR="0012753D">
        <w:t>studies</w:t>
      </w:r>
      <w:r w:rsidR="002F2546">
        <w:t xml:space="preserve"> </w:t>
      </w:r>
      <w:r w:rsidR="0012753D">
        <w:t xml:space="preserve">on ozone effects on </w:t>
      </w:r>
      <w:r w:rsidR="00503D9D">
        <w:t>the overall quality of pasture in low production semi-natural grasslands</w:t>
      </w:r>
      <w:r w:rsidR="00F31758">
        <w:t xml:space="preserve">, where species such as clover would constitute a </w:t>
      </w:r>
      <w:r w:rsidR="0012753D">
        <w:t xml:space="preserve">much </w:t>
      </w:r>
      <w:r w:rsidR="00F31758">
        <w:t>smaller component</w:t>
      </w:r>
      <w:r w:rsidR="00503D9D">
        <w:t>.</w:t>
      </w:r>
    </w:p>
    <w:p w:rsidR="00AD576A" w:rsidRPr="008C384B" w:rsidRDefault="00AD576A"/>
    <w:p w:rsidR="00983146" w:rsidRDefault="00AD576A" w:rsidP="00983146">
      <w:r>
        <w:t>Quality of forage has been shown in previous studies to be an important factor influencing liveweight gain of lambs</w:t>
      </w:r>
      <w:r w:rsidR="0012753D">
        <w:t>, with l</w:t>
      </w:r>
      <w:r>
        <w:t xml:space="preserve">iveweight gain </w:t>
      </w:r>
      <w:r w:rsidR="000D0F2D">
        <w:t>being much lower (</w:t>
      </w:r>
      <w:r>
        <w:t>86g per day</w:t>
      </w:r>
      <w:r w:rsidR="000D0F2D">
        <w:t>)</w:t>
      </w:r>
      <w:r>
        <w:t xml:space="preserve"> when grazing grass compared to </w:t>
      </w:r>
      <w:r w:rsidR="000D0F2D">
        <w:t>clover (</w:t>
      </w:r>
      <w:r>
        <w:t>123g per day</w:t>
      </w:r>
      <w:r w:rsidR="000D0F2D">
        <w:t>,</w:t>
      </w:r>
      <w:r w:rsidR="00FD05FE">
        <w:t xml:space="preserve"> </w:t>
      </w:r>
      <w:r>
        <w:t>Court et al.</w:t>
      </w:r>
      <w:r w:rsidR="001319E6">
        <w:t xml:space="preserve"> 2008</w:t>
      </w:r>
      <w:r>
        <w:t xml:space="preserve">).  Several other studies have shown a link between the metabolisable energy of the feed and liveweight gain of sheep and/or lambs, but these often compared only two metabolisable energy feeds, which were contrasting in species composition, making these unsuitable to derive a </w:t>
      </w:r>
      <w:r w:rsidR="00DF4FBA">
        <w:t xml:space="preserve">response </w:t>
      </w:r>
      <w:r>
        <w:t xml:space="preserve">relationship (e.g. Black et al., 2007 using grass compared to clover, Ramirez-Restrepo et al., 2004 comparing </w:t>
      </w:r>
      <w:r>
        <w:rPr>
          <w:i/>
        </w:rPr>
        <w:t xml:space="preserve">Lotus spp. </w:t>
      </w:r>
      <w:r>
        <w:t xml:space="preserve">to a </w:t>
      </w:r>
      <w:r>
        <w:rPr>
          <w:i/>
        </w:rPr>
        <w:t xml:space="preserve">Lolium/Trifolium </w:t>
      </w:r>
      <w:r>
        <w:t xml:space="preserve">mixture, and Speijers et al., 2005 comparing </w:t>
      </w:r>
      <w:r>
        <w:rPr>
          <w:i/>
        </w:rPr>
        <w:t xml:space="preserve">Lotus, </w:t>
      </w:r>
      <w:r>
        <w:t xml:space="preserve">red clover and rye grass).  A feeding trial in Oman, with the chemical composition of the different feeds balanced in terms of crude protein and vitamins and minerals, showed that for Omani lambs the relationship between metabolisable energy and liveweight gain was linear with diet formulations between 8.67 and 11.2 MJ ME/kg DM (Mahgoub et al., 2000), with the rate of growth also being linear throughout the trial for each of the different diets.  </w:t>
      </w:r>
    </w:p>
    <w:p w:rsidR="00AD576A" w:rsidRDefault="00AD576A" w:rsidP="00983146"/>
    <w:p w:rsidR="00E44E66" w:rsidRDefault="004973B4">
      <w:r>
        <w:t>To date, the majority of studies investigating the effects of ozone on pasture quality have used</w:t>
      </w:r>
      <w:r w:rsidR="00E44E66">
        <w:t xml:space="preserve"> highly productive grass-clover </w:t>
      </w:r>
      <w:r w:rsidR="00AE103A">
        <w:t>mixtures;</w:t>
      </w:r>
      <w:r w:rsidR="00C3726F">
        <w:t xml:space="preserve"> h</w:t>
      </w:r>
      <w:r>
        <w:t>owever, a</w:t>
      </w:r>
      <w:r w:rsidR="00E44E66">
        <w:t xml:space="preserve"> considerable amount of grazing </w:t>
      </w:r>
      <w:r w:rsidR="0027518A">
        <w:t xml:space="preserve">occurs </w:t>
      </w:r>
      <w:r w:rsidR="00E44E66">
        <w:t>on lower-quality grasslands.</w:t>
      </w:r>
      <w:r>
        <w:t xml:space="preserve">  </w:t>
      </w:r>
      <w:r w:rsidR="00C3726F">
        <w:t>In the UK 5.6 million hectares (23% of the UK land area) is ‘rough grazing’</w:t>
      </w:r>
      <w:r w:rsidR="00776922">
        <w:t xml:space="preserve">, </w:t>
      </w:r>
      <w:r w:rsidR="00D83CCA">
        <w:t xml:space="preserve">comprising many different species, including grasses and related </w:t>
      </w:r>
      <w:r w:rsidR="00D83CCA">
        <w:lastRenderedPageBreak/>
        <w:t xml:space="preserve">vegetation, and is </w:t>
      </w:r>
      <w:r w:rsidR="00776922">
        <w:t>largely grazed by sheep</w:t>
      </w:r>
      <w:r w:rsidR="00C3726F">
        <w:t xml:space="preserve">.  </w:t>
      </w:r>
      <w:r w:rsidR="00D83CCA">
        <w:t xml:space="preserve">The vegetation present is variable and depends on soil type, climate (particularly rainfall) and management.  </w:t>
      </w:r>
      <w:r w:rsidR="00C3726F">
        <w:t>This compares to 6.1 million hectares of ‘permanent grassland and pasture’ of higher quality and widely used for sheep, beef and dairy production, and 1.2 million hectares of ‘rotational grassland’ of highest quality and suited to silage making or feeding to milking cows (ukagriculture.com).</w:t>
      </w:r>
      <w:r w:rsidR="00117E93">
        <w:t xml:space="preserve">  </w:t>
      </w:r>
      <w:r w:rsidR="00776922">
        <w:t>The large proportion of rough grazing land shows that i</w:t>
      </w:r>
      <w:r w:rsidR="00117E93">
        <w:t>t is therefore also important to consider the impact of ozone on lower quality grasslands when investigating potential damage to pasture quality caused by ozone pollution</w:t>
      </w:r>
      <w:r w:rsidR="00586849">
        <w:t xml:space="preserve">, and that </w:t>
      </w:r>
      <w:r w:rsidR="005B254A">
        <w:t xml:space="preserve">on this type of land </w:t>
      </w:r>
      <w:r w:rsidR="00586849">
        <w:t>sheep production is more likely to be affected than other livestock</w:t>
      </w:r>
      <w:r w:rsidR="00117E93">
        <w:t>.</w:t>
      </w:r>
    </w:p>
    <w:p w:rsidR="006715F5" w:rsidRDefault="006715F5"/>
    <w:p w:rsidR="003A21E5" w:rsidRDefault="00117E93">
      <w:r>
        <w:t>In previous studies where pasture quality has been investigated, typic</w:t>
      </w:r>
      <w:r w:rsidR="006715F5">
        <w:t>ally only</w:t>
      </w:r>
      <w:r>
        <w:t xml:space="preserve"> two or three ozone treatments we</w:t>
      </w:r>
      <w:r w:rsidR="006715F5">
        <w:t>re used</w:t>
      </w:r>
      <w:r>
        <w:t xml:space="preserve"> in an individual study</w:t>
      </w:r>
      <w:r w:rsidR="004F4358">
        <w:t>, and the parameters measured and the methodology for forage quality analysis varied between studies</w:t>
      </w:r>
      <w:r w:rsidR="006715F5">
        <w:t>.</w:t>
      </w:r>
      <w:r w:rsidR="00873835">
        <w:t xml:space="preserve">  </w:t>
      </w:r>
      <w:r w:rsidR="00776922">
        <w:t>In addition</w:t>
      </w:r>
      <w:r>
        <w:t xml:space="preserve">, </w:t>
      </w:r>
      <w:r w:rsidR="00E91BFB">
        <w:t xml:space="preserve">the size of </w:t>
      </w:r>
      <w:r w:rsidR="00F65876">
        <w:t>effects of o</w:t>
      </w:r>
      <w:r w:rsidR="004A36C9">
        <w:t>zone on quality may be</w:t>
      </w:r>
      <w:r w:rsidR="00F65876">
        <w:t xml:space="preserve"> influenced by the species composition of the vegetation</w:t>
      </w:r>
      <w:r w:rsidR="00EA587F">
        <w:t xml:space="preserve">, for example, it has been shown that the size of the effect of ozone on nutritive quality of </w:t>
      </w:r>
      <w:r w:rsidR="00EA587F">
        <w:rPr>
          <w:i/>
        </w:rPr>
        <w:t xml:space="preserve">P. pratensis </w:t>
      </w:r>
      <w:r w:rsidR="00EA587F">
        <w:t>varied according to the species that it was grown with (Bender et al., 2006)</w:t>
      </w:r>
      <w:r w:rsidR="00F65876">
        <w:t xml:space="preserve">.  </w:t>
      </w:r>
      <w:r w:rsidR="004F4358">
        <w:t>In this study</w:t>
      </w:r>
      <w:r w:rsidR="00EE2944">
        <w:t>,</w:t>
      </w:r>
      <w:r w:rsidR="00873835">
        <w:t xml:space="preserve"> </w:t>
      </w:r>
      <w:r w:rsidR="00FC4F4B">
        <w:t xml:space="preserve">pasture </w:t>
      </w:r>
      <w:r w:rsidR="006621E3">
        <w:t>samples were taken</w:t>
      </w:r>
      <w:r w:rsidR="004F4358">
        <w:t xml:space="preserve"> </w:t>
      </w:r>
      <w:r w:rsidR="00873835">
        <w:t xml:space="preserve">from </w:t>
      </w:r>
      <w:r w:rsidR="006621E3">
        <w:t xml:space="preserve">ozone experiments </w:t>
      </w:r>
      <w:r w:rsidR="00973748">
        <w:t xml:space="preserve">on </w:t>
      </w:r>
      <w:r w:rsidR="006621E3">
        <w:t>seven</w:t>
      </w:r>
      <w:r w:rsidR="00873835">
        <w:t xml:space="preserve"> </w:t>
      </w:r>
      <w:r w:rsidR="0090405D">
        <w:t xml:space="preserve">semi-natural </w:t>
      </w:r>
      <w:r w:rsidR="00EE2944">
        <w:t>grasslands</w:t>
      </w:r>
      <w:r w:rsidR="004F4358">
        <w:t xml:space="preserve"> </w:t>
      </w:r>
      <w:r w:rsidR="006621E3">
        <w:t xml:space="preserve">using </w:t>
      </w:r>
      <w:r w:rsidR="000A4EFE" w:rsidRPr="000A4EFE">
        <w:rPr>
          <w:i/>
        </w:rPr>
        <w:t>in-situ</w:t>
      </w:r>
      <w:r w:rsidR="006621E3">
        <w:t xml:space="preserve"> or mesocosm approaches</w:t>
      </w:r>
      <w:r w:rsidR="00995039">
        <w:t xml:space="preserve"> to test the hypothesis that exposure to ozone decreases pasture quality</w:t>
      </w:r>
      <w:r w:rsidR="004F4358">
        <w:t>.  By using the combined data set from this range of experimental studies</w:t>
      </w:r>
      <w:r w:rsidR="00873835">
        <w:t xml:space="preserve">, each with </w:t>
      </w:r>
      <w:r w:rsidR="00F65876">
        <w:t xml:space="preserve">different species composition and using </w:t>
      </w:r>
      <w:r w:rsidR="004F4358">
        <w:t>a variety</w:t>
      </w:r>
      <w:r w:rsidR="00873835">
        <w:t xml:space="preserve"> of</w:t>
      </w:r>
      <w:r w:rsidR="004F4358">
        <w:t xml:space="preserve"> ozone treatments,</w:t>
      </w:r>
      <w:r w:rsidR="00873835">
        <w:t xml:space="preserve"> </w:t>
      </w:r>
      <w:r w:rsidR="00EE2944">
        <w:t xml:space="preserve">widely applicable </w:t>
      </w:r>
      <w:r w:rsidR="00873835">
        <w:t>do</w:t>
      </w:r>
      <w:r w:rsidR="00703080">
        <w:t>se-response relationshi</w:t>
      </w:r>
      <w:r w:rsidR="00EE2944">
        <w:t>ps have been</w:t>
      </w:r>
      <w:r w:rsidR="004F4358">
        <w:t xml:space="preserve"> obtained</w:t>
      </w:r>
      <w:r w:rsidR="00873835">
        <w:t xml:space="preserve"> for forage quality parameters</w:t>
      </w:r>
      <w:r w:rsidR="00776922">
        <w:t>, such as RFV</w:t>
      </w:r>
      <w:r w:rsidR="001B36F8">
        <w:t xml:space="preserve"> and metabolisable energy</w:t>
      </w:r>
      <w:r w:rsidR="006773A4">
        <w:t>.</w:t>
      </w:r>
      <w:r w:rsidR="00FC4F4B">
        <w:t xml:space="preserve"> These relationships were applied</w:t>
      </w:r>
      <w:r w:rsidR="006773A4">
        <w:t xml:space="preserve"> spatially to</w:t>
      </w:r>
      <w:r w:rsidR="004F4358">
        <w:t xml:space="preserve"> investigate </w:t>
      </w:r>
      <w:r w:rsidR="006773A4">
        <w:t>the extent of current (200</w:t>
      </w:r>
      <w:r w:rsidR="00F31758">
        <w:t>7</w:t>
      </w:r>
      <w:r w:rsidR="006773A4">
        <w:t>) and future (2020)</w:t>
      </w:r>
      <w:r w:rsidR="004F4358">
        <w:t xml:space="preserve"> ozone pollution impacts on pasture quality</w:t>
      </w:r>
      <w:r w:rsidR="00995039">
        <w:t xml:space="preserve"> to test the hypothesis that marginal increases in ozone concentrations would be sufficient to further decrease pasture quality</w:t>
      </w:r>
      <w:r w:rsidR="00986B23">
        <w:t xml:space="preserve">. </w:t>
      </w:r>
      <w:r w:rsidR="00943457">
        <w:t xml:space="preserve"> The implications of these effects are discussed in relation to farm </w:t>
      </w:r>
      <w:r w:rsidR="00943457">
        <w:lastRenderedPageBreak/>
        <w:t>management practices</w:t>
      </w:r>
      <w:r w:rsidR="00776922">
        <w:t xml:space="preserve"> and potential reductions in meat production</w:t>
      </w:r>
      <w:r w:rsidR="00EE2944">
        <w:t>, using lamb production</w:t>
      </w:r>
      <w:r w:rsidR="00E47F71">
        <w:t xml:space="preserve"> as an examp</w:t>
      </w:r>
      <w:r w:rsidR="00776922">
        <w:t>l</w:t>
      </w:r>
      <w:r w:rsidR="00E47F71">
        <w:t>e</w:t>
      </w:r>
      <w:r w:rsidR="00943457">
        <w:t xml:space="preserve">. </w:t>
      </w:r>
      <w:r w:rsidR="00973748">
        <w:t xml:space="preserve"> </w:t>
      </w:r>
    </w:p>
    <w:p w:rsidR="008B5495" w:rsidRDefault="008B5495"/>
    <w:p w:rsidR="003A21E5" w:rsidRPr="00274901" w:rsidRDefault="00274901" w:rsidP="00274901">
      <w:pPr>
        <w:pStyle w:val="ListParagraph"/>
        <w:numPr>
          <w:ilvl w:val="0"/>
          <w:numId w:val="4"/>
        </w:numPr>
        <w:rPr>
          <w:b/>
        </w:rPr>
      </w:pPr>
      <w:r w:rsidRPr="00274901">
        <w:rPr>
          <w:b/>
        </w:rPr>
        <w:t xml:space="preserve">Materials and </w:t>
      </w:r>
      <w:r w:rsidR="003A21E5" w:rsidRPr="00274901">
        <w:rPr>
          <w:b/>
        </w:rPr>
        <w:t>Methods</w:t>
      </w:r>
    </w:p>
    <w:p w:rsidR="00A2034E" w:rsidRPr="00F8525A" w:rsidRDefault="00274901">
      <w:pPr>
        <w:rPr>
          <w:u w:val="single"/>
        </w:rPr>
      </w:pPr>
      <w:r>
        <w:rPr>
          <w:u w:val="single"/>
        </w:rPr>
        <w:t xml:space="preserve">2.1 </w:t>
      </w:r>
      <w:r w:rsidR="00A2034E" w:rsidRPr="00EA3F11">
        <w:rPr>
          <w:u w:val="single"/>
        </w:rPr>
        <w:t>Plant material and ozone exposure</w:t>
      </w:r>
    </w:p>
    <w:p w:rsidR="00614483" w:rsidRDefault="00614483">
      <w:r>
        <w:t xml:space="preserve">Harvested plant material from a range of studies of ozone impacts on grasslands </w:t>
      </w:r>
      <w:r w:rsidR="006773A4">
        <w:t xml:space="preserve">conducted in the UK </w:t>
      </w:r>
      <w:r>
        <w:t xml:space="preserve">was used.  </w:t>
      </w:r>
      <w:r w:rsidR="006773A4">
        <w:t>Summary</w:t>
      </w:r>
      <w:r w:rsidR="00FF2498">
        <w:t xml:space="preserve"> details </w:t>
      </w:r>
      <w:r w:rsidR="00A2034E">
        <w:t>of the individual studies</w:t>
      </w:r>
      <w:r w:rsidR="006773A4">
        <w:t xml:space="preserve">, including sub-treatments such as drought and N addition </w:t>
      </w:r>
      <w:r w:rsidR="004A36C9">
        <w:t xml:space="preserve">from which this harvested material was obtained </w:t>
      </w:r>
      <w:r w:rsidR="00A2034E">
        <w:t xml:space="preserve">are </w:t>
      </w:r>
      <w:r w:rsidR="006773A4">
        <w:t xml:space="preserve">provided </w:t>
      </w:r>
      <w:r w:rsidR="00A2034E">
        <w:t>in Table 1.  Experiments in solardomes and</w:t>
      </w:r>
      <w:r w:rsidR="0052422B">
        <w:t xml:space="preserve"> Open-T</w:t>
      </w:r>
      <w:r w:rsidR="00A2034E">
        <w:t xml:space="preserve">op chambers used </w:t>
      </w:r>
      <w:r w:rsidR="007E5883">
        <w:t xml:space="preserve">mixed-species </w:t>
      </w:r>
      <w:r w:rsidR="00A2034E">
        <w:t xml:space="preserve">mesocosms of vegetation, whereas the field-release experiment used intact vegetation. </w:t>
      </w:r>
      <w:r w:rsidR="00FF2498">
        <w:t xml:space="preserve"> </w:t>
      </w:r>
      <w:r w:rsidR="00D8610B">
        <w:t xml:space="preserve">The grassland vegetation used can be separated into four categories: calcareous, </w:t>
      </w:r>
      <w:r w:rsidR="007E5883">
        <w:t>conservation-grade</w:t>
      </w:r>
      <w:r w:rsidR="00E7746B">
        <w:t xml:space="preserve"> </w:t>
      </w:r>
      <w:r w:rsidR="00D8610B">
        <w:t>haymeadow, mesotrop</w:t>
      </w:r>
      <w:r w:rsidR="00FC4F4B">
        <w:t>h</w:t>
      </w:r>
      <w:r w:rsidR="00F31758">
        <w:t>ic and sand</w:t>
      </w:r>
      <w:r w:rsidR="008B5495">
        <w:t xml:space="preserve"> </w:t>
      </w:r>
      <w:r w:rsidR="00D8610B">
        <w:t>dune grasslands</w:t>
      </w:r>
      <w:r w:rsidR="00985ADA">
        <w:t>, with the highest leg</w:t>
      </w:r>
      <w:r w:rsidR="00F31758">
        <w:t>ume content present in the sand</w:t>
      </w:r>
      <w:r w:rsidR="008B5495">
        <w:t xml:space="preserve"> </w:t>
      </w:r>
      <w:r w:rsidR="00985ADA">
        <w:t xml:space="preserve">dune grasslands, </w:t>
      </w:r>
      <w:r w:rsidR="000D0F2D">
        <w:t xml:space="preserve">an intermediate amount present in the calcareous grassland and </w:t>
      </w:r>
      <w:r w:rsidR="00985ADA">
        <w:t>a very small amount of legumes in the haymeadow</w:t>
      </w:r>
      <w:r w:rsidR="00E7746B">
        <w:t>.</w:t>
      </w:r>
      <w:r w:rsidR="008B5495">
        <w:t xml:space="preserve">  No legumes were present the mesotrophic grassland communities used in this study.</w:t>
      </w:r>
      <w:r w:rsidR="00E7746B">
        <w:t xml:space="preserve">  </w:t>
      </w:r>
      <w:r w:rsidR="00EE2944">
        <w:t>The range of</w:t>
      </w:r>
      <w:r w:rsidR="00432BB7">
        <w:t xml:space="preserve"> ozone treatment</w:t>
      </w:r>
      <w:r w:rsidR="00EE2944">
        <w:t>s</w:t>
      </w:r>
      <w:r w:rsidR="00432BB7">
        <w:t xml:space="preserve"> of each individual study is </w:t>
      </w:r>
      <w:r w:rsidR="007E5883">
        <w:t xml:space="preserve">also </w:t>
      </w:r>
      <w:r w:rsidR="00432BB7">
        <w:t xml:space="preserve">shown in Table 1.  For all analysis, 24h mean ozone concentration </w:t>
      </w:r>
      <w:r w:rsidR="007E5883">
        <w:t xml:space="preserve">was chosen </w:t>
      </w:r>
      <w:r w:rsidR="001837F9">
        <w:t xml:space="preserve">as the input parameter to </w:t>
      </w:r>
      <w:r w:rsidR="007E5883">
        <w:t>avoid uncertainty associated with use of a threshold concentration (e.g. 40 in AOT40, see Simpson et al</w:t>
      </w:r>
      <w:r w:rsidR="007E5883" w:rsidRPr="00A35086">
        <w:t xml:space="preserve">., </w:t>
      </w:r>
      <w:r w:rsidR="00AD576A" w:rsidRPr="00A35086">
        <w:t>2007</w:t>
      </w:r>
      <w:r w:rsidR="007E5883">
        <w:t>), night-time as well as daytime ozone is included, and previous publications of results from these studies have indicated a linear relationship with this parameter and biological effects on grassland (e.g.</w:t>
      </w:r>
      <w:r w:rsidR="000E066F">
        <w:t xml:space="preserve"> Hayes et al., 2011, Hewitt et al., 2014</w:t>
      </w:r>
      <w:r w:rsidR="007E5883">
        <w:t>).  As this study was considering full canopy effects, it was not possible to use a flux-based parameter such as POD</w:t>
      </w:r>
      <w:r w:rsidR="007E5883" w:rsidRPr="008B5495">
        <w:rPr>
          <w:vertAlign w:val="subscript"/>
        </w:rPr>
        <w:t>1</w:t>
      </w:r>
      <w:r w:rsidR="007E5883">
        <w:t xml:space="preserve"> as stomatal conductance data was only available for a small number of individual species for some of the experiments and a full canopy flux-effect model was not available</w:t>
      </w:r>
      <w:r w:rsidR="00E05D9A">
        <w:t xml:space="preserve"> for any of the grassland types</w:t>
      </w:r>
      <w:r w:rsidR="007E5883">
        <w:t xml:space="preserve">. </w:t>
      </w:r>
      <w:r w:rsidR="00432BB7">
        <w:t xml:space="preserve"> </w:t>
      </w:r>
      <w:r w:rsidR="00E05D9A">
        <w:t>Seasona</w:t>
      </w:r>
      <w:r w:rsidR="00F962B8">
        <w:t xml:space="preserve">l </w:t>
      </w:r>
      <w:r w:rsidR="00F962B8">
        <w:lastRenderedPageBreak/>
        <w:t>24h mean ozone concentrations</w:t>
      </w:r>
      <w:r w:rsidR="00432BB7">
        <w:t xml:space="preserve"> were calculated </w:t>
      </w:r>
      <w:r w:rsidR="0055423C">
        <w:t xml:space="preserve">from raw hourly </w:t>
      </w:r>
      <w:r w:rsidR="00E05D9A">
        <w:t xml:space="preserve">mean </w:t>
      </w:r>
      <w:r w:rsidR="0055423C">
        <w:t xml:space="preserve">ozone data </w:t>
      </w:r>
      <w:r w:rsidR="00432BB7">
        <w:t xml:space="preserve">either for the duration of the experiment for experiments lasting less than one year, or for </w:t>
      </w:r>
      <w:r w:rsidR="007F2CE2">
        <w:t xml:space="preserve">each </w:t>
      </w:r>
      <w:r w:rsidR="00432BB7">
        <w:t xml:space="preserve">current growing season for the longer experiments. </w:t>
      </w:r>
      <w:r>
        <w:t xml:space="preserve">  </w:t>
      </w:r>
    </w:p>
    <w:p w:rsidR="003A21E5" w:rsidRDefault="003A21E5"/>
    <w:p w:rsidR="00A2034E" w:rsidRDefault="00A2034E" w:rsidP="00A2034E">
      <w:r>
        <w:t xml:space="preserve">For each individual experiment, harvested </w:t>
      </w:r>
      <w:r w:rsidR="00943457">
        <w:t xml:space="preserve">above-ground </w:t>
      </w:r>
      <w:r>
        <w:t xml:space="preserve">plant material </w:t>
      </w:r>
      <w:r w:rsidR="00E05D9A">
        <w:t xml:space="preserve">representing the whole community </w:t>
      </w:r>
      <w:r>
        <w:t>was dried to constant weight in an oven</w:t>
      </w:r>
      <w:r w:rsidR="0055423C">
        <w:t xml:space="preserve"> immediately after </w:t>
      </w:r>
      <w:r w:rsidR="00BB0414">
        <w:t>cutt</w:t>
      </w:r>
      <w:r w:rsidR="0055423C">
        <w:t>ing</w:t>
      </w:r>
      <w:r w:rsidR="00A23905">
        <w:t xml:space="preserve">.  </w:t>
      </w:r>
      <w:r w:rsidR="00E05D9A">
        <w:t xml:space="preserve">Where necessary, </w:t>
      </w:r>
      <w:r>
        <w:t xml:space="preserve">individual pot/plot replicates </w:t>
      </w:r>
      <w:r w:rsidR="00E05D9A">
        <w:t xml:space="preserve">were </w:t>
      </w:r>
      <w:r>
        <w:t>bulked to give samples large enough for analysis (&gt;150g</w:t>
      </w:r>
      <w:r w:rsidR="004B79EA">
        <w:t xml:space="preserve"> of dr</w:t>
      </w:r>
      <w:r w:rsidR="00EE2944">
        <w:t>ied plant material</w:t>
      </w:r>
      <w:r>
        <w:t>).</w:t>
      </w:r>
    </w:p>
    <w:p w:rsidR="00B5023C" w:rsidRDefault="00B5023C" w:rsidP="00B5023C"/>
    <w:p w:rsidR="00B5023C" w:rsidRPr="00F8525A" w:rsidRDefault="00B5023C" w:rsidP="00B5023C">
      <w:pPr>
        <w:rPr>
          <w:u w:val="single"/>
        </w:rPr>
      </w:pPr>
      <w:r>
        <w:rPr>
          <w:u w:val="single"/>
        </w:rPr>
        <w:t xml:space="preserve">2.2 </w:t>
      </w:r>
      <w:r w:rsidRPr="00EA3F11">
        <w:rPr>
          <w:u w:val="single"/>
        </w:rPr>
        <w:t>Forage quality analysis</w:t>
      </w:r>
    </w:p>
    <w:p w:rsidR="00B5023C" w:rsidRDefault="00B5023C" w:rsidP="00B5023C">
      <w:r>
        <w:t>All samples from all contributing studies were sent for analysis to the same specialist laboratory (AUNIR, Towcester, UK).  Each sample was individually ground, and near infrared reflectance spectroscopy was used for analysis of neutral detergent (NDF) and acid detergent (ADF) fractions, crude fibre, protein, sugar, lignin and fat content.  This method of analysis measures the chemical composition of samples based on the principle that each component chemical has unique infrared absorption and radiation scattering properties which can be used to differentiate the components within the sample.  As the vegetation in the samples was predominantly grass, the laboratory’s own grass standards were used for calibrations.  The mean and range of values for the parameters measured (% content) is shown in Table 2.</w:t>
      </w:r>
    </w:p>
    <w:p w:rsidR="00B5023C" w:rsidRDefault="00B5023C">
      <w:r>
        <w:br w:type="page"/>
      </w:r>
    </w:p>
    <w:p w:rsidR="003E6D6B" w:rsidRDefault="0055423C" w:rsidP="003E6D6B">
      <w:r>
        <w:lastRenderedPageBreak/>
        <w:t>Table 1: Brief summary/overview of component experiments</w:t>
      </w:r>
      <w:r w:rsidR="003E6D6B" w:rsidRPr="003E6D6B">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559"/>
        <w:gridCol w:w="1309"/>
        <w:gridCol w:w="1022"/>
        <w:gridCol w:w="991"/>
        <w:gridCol w:w="874"/>
        <w:gridCol w:w="1474"/>
        <w:gridCol w:w="1402"/>
      </w:tblGrid>
      <w:tr w:rsidR="001837F9" w:rsidTr="00C34636">
        <w:tc>
          <w:tcPr>
            <w:tcW w:w="392" w:type="dxa"/>
            <w:tcBorders>
              <w:top w:val="single" w:sz="4" w:space="0" w:color="auto"/>
              <w:bottom w:val="single" w:sz="4" w:space="0" w:color="auto"/>
            </w:tcBorders>
          </w:tcPr>
          <w:p w:rsidR="00EE2944" w:rsidRDefault="00EE2944" w:rsidP="003E6D6B">
            <w:pPr>
              <w:rPr>
                <w:sz w:val="16"/>
                <w:szCs w:val="16"/>
              </w:rPr>
            </w:pPr>
          </w:p>
        </w:tc>
        <w:tc>
          <w:tcPr>
            <w:tcW w:w="1559" w:type="dxa"/>
            <w:tcBorders>
              <w:top w:val="single" w:sz="4" w:space="0" w:color="auto"/>
              <w:bottom w:val="single" w:sz="4" w:space="0" w:color="auto"/>
            </w:tcBorders>
          </w:tcPr>
          <w:p w:rsidR="00EE2944" w:rsidRPr="00D251C5" w:rsidRDefault="00EE2944" w:rsidP="003E6D6B">
            <w:pPr>
              <w:rPr>
                <w:sz w:val="16"/>
                <w:szCs w:val="16"/>
              </w:rPr>
            </w:pPr>
            <w:r>
              <w:rPr>
                <w:sz w:val="16"/>
                <w:szCs w:val="16"/>
              </w:rPr>
              <w:t xml:space="preserve">Experiment, type of grassland and </w:t>
            </w:r>
            <w:r w:rsidRPr="00D251C5">
              <w:rPr>
                <w:sz w:val="16"/>
                <w:szCs w:val="16"/>
              </w:rPr>
              <w:t>reference</w:t>
            </w:r>
          </w:p>
        </w:tc>
        <w:tc>
          <w:tcPr>
            <w:tcW w:w="1309" w:type="dxa"/>
            <w:tcBorders>
              <w:top w:val="single" w:sz="4" w:space="0" w:color="auto"/>
              <w:bottom w:val="single" w:sz="4" w:space="0" w:color="auto"/>
            </w:tcBorders>
          </w:tcPr>
          <w:p w:rsidR="00EE2944" w:rsidRPr="00D251C5" w:rsidRDefault="00EE2944" w:rsidP="003E6D6B">
            <w:pPr>
              <w:rPr>
                <w:sz w:val="16"/>
                <w:szCs w:val="16"/>
              </w:rPr>
            </w:pPr>
            <w:r w:rsidRPr="00D251C5">
              <w:rPr>
                <w:sz w:val="16"/>
                <w:szCs w:val="16"/>
              </w:rPr>
              <w:t>Location</w:t>
            </w:r>
          </w:p>
        </w:tc>
        <w:tc>
          <w:tcPr>
            <w:tcW w:w="1022" w:type="dxa"/>
            <w:tcBorders>
              <w:top w:val="single" w:sz="4" w:space="0" w:color="auto"/>
              <w:bottom w:val="single" w:sz="4" w:space="0" w:color="auto"/>
            </w:tcBorders>
          </w:tcPr>
          <w:p w:rsidR="00EE2944" w:rsidRPr="00D251C5" w:rsidRDefault="00EE2944" w:rsidP="003E6D6B">
            <w:pPr>
              <w:rPr>
                <w:sz w:val="16"/>
                <w:szCs w:val="16"/>
              </w:rPr>
            </w:pPr>
            <w:r w:rsidRPr="00D251C5">
              <w:rPr>
                <w:sz w:val="16"/>
                <w:szCs w:val="16"/>
              </w:rPr>
              <w:t>Exposure System and number of treatments</w:t>
            </w:r>
          </w:p>
        </w:tc>
        <w:tc>
          <w:tcPr>
            <w:tcW w:w="991" w:type="dxa"/>
            <w:tcBorders>
              <w:top w:val="single" w:sz="4" w:space="0" w:color="auto"/>
              <w:bottom w:val="single" w:sz="4" w:space="0" w:color="auto"/>
            </w:tcBorders>
          </w:tcPr>
          <w:p w:rsidR="00EE2944" w:rsidRPr="00D251C5" w:rsidRDefault="00EE2944" w:rsidP="003E6D6B">
            <w:pPr>
              <w:rPr>
                <w:sz w:val="16"/>
                <w:szCs w:val="16"/>
              </w:rPr>
            </w:pPr>
            <w:r w:rsidRPr="00D251C5">
              <w:rPr>
                <w:sz w:val="16"/>
                <w:szCs w:val="16"/>
              </w:rPr>
              <w:t xml:space="preserve">Range of </w:t>
            </w:r>
            <w:r>
              <w:rPr>
                <w:sz w:val="16"/>
                <w:szCs w:val="16"/>
              </w:rPr>
              <w:t>O</w:t>
            </w:r>
            <w:r w:rsidRPr="005C7767">
              <w:rPr>
                <w:sz w:val="16"/>
                <w:szCs w:val="16"/>
                <w:vertAlign w:val="subscript"/>
              </w:rPr>
              <w:t>3</w:t>
            </w:r>
            <w:r>
              <w:rPr>
                <w:sz w:val="16"/>
                <w:szCs w:val="16"/>
              </w:rPr>
              <w:t xml:space="preserve"> treatments</w:t>
            </w:r>
            <w:r w:rsidRPr="00D251C5">
              <w:rPr>
                <w:sz w:val="16"/>
                <w:szCs w:val="16"/>
              </w:rPr>
              <w:t xml:space="preserve"> (24h mean)</w:t>
            </w:r>
          </w:p>
        </w:tc>
        <w:tc>
          <w:tcPr>
            <w:tcW w:w="874" w:type="dxa"/>
            <w:tcBorders>
              <w:top w:val="single" w:sz="4" w:space="0" w:color="auto"/>
              <w:bottom w:val="single" w:sz="4" w:space="0" w:color="auto"/>
            </w:tcBorders>
          </w:tcPr>
          <w:p w:rsidR="00EE2944" w:rsidRPr="00D251C5" w:rsidRDefault="00EE2944" w:rsidP="00E05D9A">
            <w:pPr>
              <w:rPr>
                <w:sz w:val="16"/>
                <w:szCs w:val="16"/>
              </w:rPr>
            </w:pPr>
            <w:r w:rsidRPr="00D251C5">
              <w:rPr>
                <w:sz w:val="16"/>
                <w:szCs w:val="16"/>
              </w:rPr>
              <w:t>Length of exposure</w:t>
            </w:r>
            <w:r w:rsidR="00E05D9A">
              <w:rPr>
                <w:sz w:val="16"/>
                <w:szCs w:val="16"/>
              </w:rPr>
              <w:t>, years of exposure</w:t>
            </w:r>
          </w:p>
        </w:tc>
        <w:tc>
          <w:tcPr>
            <w:tcW w:w="1474" w:type="dxa"/>
            <w:tcBorders>
              <w:top w:val="single" w:sz="4" w:space="0" w:color="auto"/>
              <w:bottom w:val="single" w:sz="4" w:space="0" w:color="auto"/>
            </w:tcBorders>
          </w:tcPr>
          <w:p w:rsidR="00EE2944" w:rsidRPr="00D251C5" w:rsidRDefault="00EE2944" w:rsidP="003E6D6B">
            <w:pPr>
              <w:rPr>
                <w:sz w:val="16"/>
                <w:szCs w:val="16"/>
              </w:rPr>
            </w:pPr>
            <w:r w:rsidRPr="00D251C5">
              <w:rPr>
                <w:sz w:val="16"/>
                <w:szCs w:val="16"/>
              </w:rPr>
              <w:t>Species</w:t>
            </w:r>
          </w:p>
        </w:tc>
        <w:tc>
          <w:tcPr>
            <w:tcW w:w="1402" w:type="dxa"/>
            <w:tcBorders>
              <w:top w:val="single" w:sz="4" w:space="0" w:color="auto"/>
              <w:bottom w:val="single" w:sz="4" w:space="0" w:color="auto"/>
            </w:tcBorders>
          </w:tcPr>
          <w:p w:rsidR="00EE2944" w:rsidRPr="00D251C5" w:rsidRDefault="00EE2944" w:rsidP="003E6D6B">
            <w:pPr>
              <w:rPr>
                <w:sz w:val="16"/>
                <w:szCs w:val="16"/>
              </w:rPr>
            </w:pPr>
            <w:r w:rsidRPr="00D251C5">
              <w:rPr>
                <w:sz w:val="16"/>
                <w:szCs w:val="16"/>
              </w:rPr>
              <w:t>Sub-treatments</w:t>
            </w:r>
            <w:r w:rsidR="00E05D9A">
              <w:rPr>
                <w:sz w:val="16"/>
                <w:szCs w:val="16"/>
              </w:rPr>
              <w:t xml:space="preserve"> and years used in analysis (if more than one year of exposure)</w:t>
            </w:r>
          </w:p>
        </w:tc>
      </w:tr>
      <w:tr w:rsidR="001837F9" w:rsidTr="00C34636">
        <w:tc>
          <w:tcPr>
            <w:tcW w:w="392" w:type="dxa"/>
            <w:tcBorders>
              <w:top w:val="single" w:sz="4" w:space="0" w:color="auto"/>
            </w:tcBorders>
          </w:tcPr>
          <w:p w:rsidR="00EE2944" w:rsidRPr="00D251C5" w:rsidRDefault="00EE2944" w:rsidP="003E6D6B">
            <w:pPr>
              <w:rPr>
                <w:sz w:val="16"/>
                <w:szCs w:val="16"/>
              </w:rPr>
            </w:pPr>
            <w:r>
              <w:rPr>
                <w:sz w:val="16"/>
                <w:szCs w:val="16"/>
              </w:rPr>
              <w:t>1.</w:t>
            </w:r>
          </w:p>
        </w:tc>
        <w:tc>
          <w:tcPr>
            <w:tcW w:w="1559" w:type="dxa"/>
            <w:tcBorders>
              <w:top w:val="single" w:sz="4" w:space="0" w:color="auto"/>
            </w:tcBorders>
          </w:tcPr>
          <w:p w:rsidR="00EE2944" w:rsidRPr="00D251C5" w:rsidRDefault="00EE2944" w:rsidP="003E6D6B">
            <w:pPr>
              <w:rPr>
                <w:sz w:val="16"/>
                <w:szCs w:val="16"/>
              </w:rPr>
            </w:pPr>
            <w:r w:rsidRPr="00D251C5">
              <w:rPr>
                <w:sz w:val="16"/>
                <w:szCs w:val="16"/>
              </w:rPr>
              <w:t>Calcareous grassland</w:t>
            </w:r>
          </w:p>
          <w:p w:rsidR="00EE2944" w:rsidRPr="0032102B" w:rsidRDefault="00EE2944" w:rsidP="003E6D6B">
            <w:pPr>
              <w:rPr>
                <w:sz w:val="16"/>
                <w:szCs w:val="16"/>
              </w:rPr>
            </w:pPr>
            <w:r w:rsidRPr="00EA587F">
              <w:rPr>
                <w:sz w:val="16"/>
                <w:szCs w:val="16"/>
              </w:rPr>
              <w:t>(</w:t>
            </w:r>
            <w:r w:rsidRPr="0032102B">
              <w:rPr>
                <w:sz w:val="16"/>
                <w:szCs w:val="16"/>
              </w:rPr>
              <w:t>Hayes et al., 2012</w:t>
            </w:r>
            <w:r>
              <w:rPr>
                <w:sz w:val="16"/>
                <w:szCs w:val="16"/>
              </w:rPr>
              <w:t>)</w:t>
            </w:r>
          </w:p>
        </w:tc>
        <w:tc>
          <w:tcPr>
            <w:tcW w:w="1309" w:type="dxa"/>
            <w:tcBorders>
              <w:top w:val="single" w:sz="4" w:space="0" w:color="auto"/>
            </w:tcBorders>
          </w:tcPr>
          <w:p w:rsidR="00EE2944" w:rsidRPr="00D251C5" w:rsidRDefault="00EE2944" w:rsidP="003E6D6B">
            <w:pPr>
              <w:rPr>
                <w:sz w:val="16"/>
                <w:szCs w:val="16"/>
              </w:rPr>
            </w:pPr>
            <w:r w:rsidRPr="00D251C5">
              <w:rPr>
                <w:sz w:val="16"/>
                <w:szCs w:val="16"/>
              </w:rPr>
              <w:t>CEH-Bangor, North Wales</w:t>
            </w:r>
          </w:p>
        </w:tc>
        <w:tc>
          <w:tcPr>
            <w:tcW w:w="1022" w:type="dxa"/>
            <w:tcBorders>
              <w:top w:val="single" w:sz="4" w:space="0" w:color="auto"/>
            </w:tcBorders>
          </w:tcPr>
          <w:p w:rsidR="00EE2944" w:rsidRPr="00D251C5" w:rsidRDefault="00EE2944" w:rsidP="003E6D6B">
            <w:pPr>
              <w:rPr>
                <w:sz w:val="16"/>
                <w:szCs w:val="16"/>
              </w:rPr>
            </w:pPr>
            <w:r w:rsidRPr="00D251C5">
              <w:rPr>
                <w:sz w:val="16"/>
                <w:szCs w:val="16"/>
              </w:rPr>
              <w:t>Solardome</w:t>
            </w:r>
            <w:r>
              <w:rPr>
                <w:sz w:val="16"/>
                <w:szCs w:val="16"/>
              </w:rPr>
              <w:t>. 8 ozone treatments</w:t>
            </w:r>
          </w:p>
        </w:tc>
        <w:tc>
          <w:tcPr>
            <w:tcW w:w="991" w:type="dxa"/>
            <w:tcBorders>
              <w:top w:val="single" w:sz="4" w:space="0" w:color="auto"/>
            </w:tcBorders>
          </w:tcPr>
          <w:p w:rsidR="00EE2944" w:rsidRPr="00D251C5" w:rsidRDefault="00EE2944" w:rsidP="003E6D6B">
            <w:pPr>
              <w:rPr>
                <w:sz w:val="16"/>
                <w:szCs w:val="16"/>
              </w:rPr>
            </w:pPr>
            <w:r>
              <w:rPr>
                <w:sz w:val="16"/>
                <w:szCs w:val="16"/>
              </w:rPr>
              <w:t xml:space="preserve">17 - </w:t>
            </w:r>
            <w:r w:rsidRPr="00D251C5">
              <w:rPr>
                <w:sz w:val="16"/>
                <w:szCs w:val="16"/>
              </w:rPr>
              <w:t>73 ppb</w:t>
            </w:r>
          </w:p>
        </w:tc>
        <w:tc>
          <w:tcPr>
            <w:tcW w:w="874" w:type="dxa"/>
            <w:tcBorders>
              <w:top w:val="single" w:sz="4" w:space="0" w:color="auto"/>
            </w:tcBorders>
          </w:tcPr>
          <w:p w:rsidR="00EE2944" w:rsidRPr="00D251C5" w:rsidRDefault="00EE2944" w:rsidP="003E6D6B">
            <w:pPr>
              <w:rPr>
                <w:sz w:val="16"/>
                <w:szCs w:val="16"/>
              </w:rPr>
            </w:pPr>
            <w:r w:rsidRPr="00D251C5">
              <w:rPr>
                <w:sz w:val="16"/>
                <w:szCs w:val="16"/>
              </w:rPr>
              <w:t>12 weeks in both 2009 and 2010</w:t>
            </w:r>
          </w:p>
        </w:tc>
        <w:tc>
          <w:tcPr>
            <w:tcW w:w="1474" w:type="dxa"/>
            <w:tcBorders>
              <w:top w:val="single" w:sz="4" w:space="0" w:color="auto"/>
            </w:tcBorders>
          </w:tcPr>
          <w:p w:rsidR="00EE2944" w:rsidRPr="00D251C5" w:rsidRDefault="00A77A1F" w:rsidP="003E6D6B">
            <w:pPr>
              <w:rPr>
                <w:i/>
                <w:sz w:val="16"/>
                <w:szCs w:val="16"/>
              </w:rPr>
            </w:pPr>
            <w:r>
              <w:rPr>
                <w:sz w:val="16"/>
                <w:szCs w:val="16"/>
              </w:rPr>
              <w:t xml:space="preserve">7 species mixtures of </w:t>
            </w:r>
            <w:r w:rsidR="00EE2944" w:rsidRPr="00D251C5">
              <w:rPr>
                <w:i/>
                <w:sz w:val="16"/>
                <w:szCs w:val="16"/>
              </w:rPr>
              <w:t>Lotus corniculatus, Helianthemum nummularium, Campanula rotundifolia, Scabiosa columbaria, Sanguisorba minor, Briza media, Festuca ovina</w:t>
            </w:r>
          </w:p>
        </w:tc>
        <w:tc>
          <w:tcPr>
            <w:tcW w:w="1402" w:type="dxa"/>
            <w:tcBorders>
              <w:top w:val="single" w:sz="4" w:space="0" w:color="auto"/>
            </w:tcBorders>
          </w:tcPr>
          <w:p w:rsidR="00EE2944" w:rsidRDefault="00EE2944" w:rsidP="003E6D6B">
            <w:pPr>
              <w:rPr>
                <w:sz w:val="16"/>
                <w:szCs w:val="16"/>
              </w:rPr>
            </w:pPr>
            <w:r w:rsidRPr="00D251C5">
              <w:rPr>
                <w:sz w:val="16"/>
                <w:szCs w:val="16"/>
              </w:rPr>
              <w:t>Well-watered/drought</w:t>
            </w:r>
            <w:r w:rsidR="00CD1781">
              <w:rPr>
                <w:sz w:val="16"/>
                <w:szCs w:val="16"/>
              </w:rPr>
              <w:t>, 2010</w:t>
            </w:r>
          </w:p>
          <w:p w:rsidR="00E05D9A" w:rsidRPr="00D251C5" w:rsidRDefault="00E05D9A" w:rsidP="003E6D6B">
            <w:pPr>
              <w:rPr>
                <w:sz w:val="16"/>
                <w:szCs w:val="16"/>
              </w:rPr>
            </w:pPr>
          </w:p>
        </w:tc>
      </w:tr>
      <w:tr w:rsidR="001837F9" w:rsidTr="00C34636">
        <w:tc>
          <w:tcPr>
            <w:tcW w:w="392" w:type="dxa"/>
          </w:tcPr>
          <w:p w:rsidR="00EE2944" w:rsidRPr="00EE2944" w:rsidRDefault="00EE2944" w:rsidP="003E6D6B">
            <w:pPr>
              <w:rPr>
                <w:sz w:val="16"/>
                <w:szCs w:val="16"/>
              </w:rPr>
            </w:pPr>
            <w:r>
              <w:rPr>
                <w:sz w:val="16"/>
                <w:szCs w:val="16"/>
              </w:rPr>
              <w:t>2.</w:t>
            </w:r>
          </w:p>
        </w:tc>
        <w:tc>
          <w:tcPr>
            <w:tcW w:w="1559" w:type="dxa"/>
          </w:tcPr>
          <w:p w:rsidR="00EE2944" w:rsidRDefault="00EE2944" w:rsidP="003E6D6B">
            <w:pPr>
              <w:rPr>
                <w:sz w:val="16"/>
                <w:szCs w:val="16"/>
              </w:rPr>
            </w:pPr>
            <w:r w:rsidRPr="0032102B">
              <w:rPr>
                <w:i/>
                <w:sz w:val="16"/>
                <w:szCs w:val="16"/>
              </w:rPr>
              <w:t>D. glomerata-R. acris</w:t>
            </w:r>
            <w:r>
              <w:rPr>
                <w:sz w:val="16"/>
                <w:szCs w:val="16"/>
              </w:rPr>
              <w:t xml:space="preserve"> mesotrophic grassland</w:t>
            </w:r>
          </w:p>
          <w:p w:rsidR="00EE2944" w:rsidRPr="00D251C5" w:rsidRDefault="00EE2944" w:rsidP="00B81584">
            <w:pPr>
              <w:rPr>
                <w:sz w:val="16"/>
                <w:szCs w:val="16"/>
              </w:rPr>
            </w:pPr>
            <w:r>
              <w:rPr>
                <w:sz w:val="16"/>
                <w:szCs w:val="16"/>
              </w:rPr>
              <w:t>(</w:t>
            </w:r>
            <w:r w:rsidR="00B81584">
              <w:rPr>
                <w:sz w:val="16"/>
                <w:szCs w:val="16"/>
              </w:rPr>
              <w:t>Cape</w:t>
            </w:r>
            <w:r>
              <w:rPr>
                <w:sz w:val="16"/>
                <w:szCs w:val="16"/>
              </w:rPr>
              <w:t xml:space="preserve"> 2010)</w:t>
            </w:r>
          </w:p>
        </w:tc>
        <w:tc>
          <w:tcPr>
            <w:tcW w:w="1309" w:type="dxa"/>
          </w:tcPr>
          <w:p w:rsidR="00EE2944" w:rsidRPr="00D251C5" w:rsidRDefault="00EE2944" w:rsidP="003E6D6B">
            <w:pPr>
              <w:rPr>
                <w:sz w:val="16"/>
                <w:szCs w:val="16"/>
              </w:rPr>
            </w:pPr>
            <w:r w:rsidRPr="00D251C5">
              <w:rPr>
                <w:sz w:val="16"/>
                <w:szCs w:val="16"/>
              </w:rPr>
              <w:t>CEH-Bangor, North Wales</w:t>
            </w:r>
          </w:p>
        </w:tc>
        <w:tc>
          <w:tcPr>
            <w:tcW w:w="1022" w:type="dxa"/>
          </w:tcPr>
          <w:p w:rsidR="00EE2944" w:rsidRPr="00D251C5" w:rsidRDefault="00EE2944" w:rsidP="003E6D6B">
            <w:pPr>
              <w:rPr>
                <w:sz w:val="16"/>
                <w:szCs w:val="16"/>
              </w:rPr>
            </w:pPr>
            <w:r w:rsidRPr="00D251C5">
              <w:rPr>
                <w:sz w:val="16"/>
                <w:szCs w:val="16"/>
              </w:rPr>
              <w:t>Solardome</w:t>
            </w:r>
            <w:r>
              <w:rPr>
                <w:sz w:val="16"/>
                <w:szCs w:val="16"/>
              </w:rPr>
              <w:t>, 8 ozone treatments</w:t>
            </w:r>
          </w:p>
        </w:tc>
        <w:tc>
          <w:tcPr>
            <w:tcW w:w="991" w:type="dxa"/>
          </w:tcPr>
          <w:p w:rsidR="00EE2944" w:rsidRPr="00D251C5" w:rsidRDefault="00EE2944" w:rsidP="003E6D6B">
            <w:pPr>
              <w:rPr>
                <w:sz w:val="16"/>
                <w:szCs w:val="16"/>
              </w:rPr>
            </w:pPr>
            <w:r>
              <w:rPr>
                <w:sz w:val="16"/>
                <w:szCs w:val="16"/>
              </w:rPr>
              <w:t xml:space="preserve">19 - </w:t>
            </w:r>
            <w:r w:rsidRPr="00D251C5">
              <w:rPr>
                <w:sz w:val="16"/>
                <w:szCs w:val="16"/>
              </w:rPr>
              <w:t>71 ppb</w:t>
            </w:r>
          </w:p>
        </w:tc>
        <w:tc>
          <w:tcPr>
            <w:tcW w:w="874" w:type="dxa"/>
          </w:tcPr>
          <w:p w:rsidR="00EE2944" w:rsidRDefault="00EE2944" w:rsidP="003E6D6B">
            <w:pPr>
              <w:rPr>
                <w:sz w:val="16"/>
                <w:szCs w:val="16"/>
              </w:rPr>
            </w:pPr>
            <w:r w:rsidRPr="00D251C5">
              <w:rPr>
                <w:sz w:val="16"/>
                <w:szCs w:val="16"/>
              </w:rPr>
              <w:t>8 weeks</w:t>
            </w:r>
            <w:r w:rsidR="00CD1781">
              <w:rPr>
                <w:sz w:val="16"/>
                <w:szCs w:val="16"/>
              </w:rPr>
              <w:t xml:space="preserve"> in 2009</w:t>
            </w:r>
          </w:p>
          <w:p w:rsidR="00E05D9A" w:rsidRPr="00D251C5" w:rsidRDefault="00E05D9A" w:rsidP="003E6D6B">
            <w:pPr>
              <w:rPr>
                <w:sz w:val="16"/>
                <w:szCs w:val="16"/>
              </w:rPr>
            </w:pPr>
          </w:p>
        </w:tc>
        <w:tc>
          <w:tcPr>
            <w:tcW w:w="1474" w:type="dxa"/>
          </w:tcPr>
          <w:p w:rsidR="00EE2944" w:rsidRPr="00D251C5" w:rsidRDefault="00A77A1F" w:rsidP="003E6D6B">
            <w:pPr>
              <w:rPr>
                <w:i/>
                <w:sz w:val="16"/>
                <w:szCs w:val="16"/>
              </w:rPr>
            </w:pPr>
            <w:r>
              <w:rPr>
                <w:sz w:val="16"/>
                <w:szCs w:val="16"/>
              </w:rPr>
              <w:t xml:space="preserve">2 species mixutres of </w:t>
            </w:r>
            <w:r w:rsidR="00EE2944" w:rsidRPr="00D251C5">
              <w:rPr>
                <w:i/>
                <w:sz w:val="16"/>
                <w:szCs w:val="16"/>
              </w:rPr>
              <w:t>Dactylis glomerata, Ranunculus acris</w:t>
            </w:r>
          </w:p>
        </w:tc>
        <w:tc>
          <w:tcPr>
            <w:tcW w:w="1402" w:type="dxa"/>
          </w:tcPr>
          <w:p w:rsidR="00EE2944" w:rsidRPr="00D251C5" w:rsidRDefault="001837F9" w:rsidP="001837F9">
            <w:pPr>
              <w:rPr>
                <w:sz w:val="16"/>
                <w:szCs w:val="16"/>
              </w:rPr>
            </w:pPr>
            <w:r>
              <w:rPr>
                <w:sz w:val="16"/>
                <w:szCs w:val="16"/>
              </w:rPr>
              <w:t>Reduced</w:t>
            </w:r>
            <w:r w:rsidR="003C1D75">
              <w:rPr>
                <w:sz w:val="16"/>
                <w:szCs w:val="16"/>
              </w:rPr>
              <w:t>-water</w:t>
            </w:r>
            <w:r w:rsidR="00EE2944" w:rsidRPr="00D251C5">
              <w:rPr>
                <w:sz w:val="16"/>
                <w:szCs w:val="16"/>
              </w:rPr>
              <w:t>/well-watered/wet</w:t>
            </w:r>
          </w:p>
        </w:tc>
      </w:tr>
      <w:tr w:rsidR="001837F9" w:rsidTr="00C34636">
        <w:tc>
          <w:tcPr>
            <w:tcW w:w="392" w:type="dxa"/>
          </w:tcPr>
          <w:p w:rsidR="00EE2944" w:rsidRPr="00EE2944" w:rsidRDefault="00EE2944" w:rsidP="003E6D6B">
            <w:pPr>
              <w:rPr>
                <w:sz w:val="16"/>
                <w:szCs w:val="16"/>
              </w:rPr>
            </w:pPr>
            <w:r>
              <w:rPr>
                <w:sz w:val="16"/>
                <w:szCs w:val="16"/>
              </w:rPr>
              <w:t>3.</w:t>
            </w:r>
          </w:p>
        </w:tc>
        <w:tc>
          <w:tcPr>
            <w:tcW w:w="1559" w:type="dxa"/>
          </w:tcPr>
          <w:p w:rsidR="00EE2944" w:rsidRDefault="00EE2944" w:rsidP="003E6D6B">
            <w:pPr>
              <w:rPr>
                <w:sz w:val="16"/>
                <w:szCs w:val="16"/>
              </w:rPr>
            </w:pPr>
            <w:r w:rsidRPr="0032102B">
              <w:rPr>
                <w:i/>
                <w:sz w:val="16"/>
                <w:szCs w:val="16"/>
              </w:rPr>
              <w:t>L. hispidus-A. odoratum</w:t>
            </w:r>
            <w:r>
              <w:rPr>
                <w:sz w:val="16"/>
                <w:szCs w:val="16"/>
              </w:rPr>
              <w:t xml:space="preserve">  mesotrophic grassland</w:t>
            </w:r>
          </w:p>
          <w:p w:rsidR="00EE2944" w:rsidRPr="00D251C5" w:rsidRDefault="00EE2944" w:rsidP="00AE1097">
            <w:pPr>
              <w:rPr>
                <w:sz w:val="16"/>
                <w:szCs w:val="16"/>
              </w:rPr>
            </w:pPr>
            <w:r>
              <w:rPr>
                <w:sz w:val="16"/>
                <w:szCs w:val="16"/>
              </w:rPr>
              <w:t>(Wyness 201</w:t>
            </w:r>
            <w:r w:rsidR="00AE1097">
              <w:rPr>
                <w:sz w:val="16"/>
                <w:szCs w:val="16"/>
              </w:rPr>
              <w:t>1</w:t>
            </w:r>
            <w:r>
              <w:rPr>
                <w:sz w:val="16"/>
                <w:szCs w:val="16"/>
              </w:rPr>
              <w:t>)</w:t>
            </w:r>
          </w:p>
        </w:tc>
        <w:tc>
          <w:tcPr>
            <w:tcW w:w="1309" w:type="dxa"/>
          </w:tcPr>
          <w:p w:rsidR="00EE2944" w:rsidRPr="00D251C5" w:rsidRDefault="00EE2944" w:rsidP="003E6D6B">
            <w:pPr>
              <w:rPr>
                <w:sz w:val="16"/>
                <w:szCs w:val="16"/>
              </w:rPr>
            </w:pPr>
            <w:r w:rsidRPr="00D251C5">
              <w:rPr>
                <w:sz w:val="16"/>
                <w:szCs w:val="16"/>
              </w:rPr>
              <w:t>CEH-Bangor, North Wales</w:t>
            </w:r>
          </w:p>
        </w:tc>
        <w:tc>
          <w:tcPr>
            <w:tcW w:w="1022" w:type="dxa"/>
          </w:tcPr>
          <w:p w:rsidR="00EE2944" w:rsidRPr="00D251C5" w:rsidRDefault="00EE2944" w:rsidP="003E6D6B">
            <w:pPr>
              <w:rPr>
                <w:sz w:val="16"/>
                <w:szCs w:val="16"/>
              </w:rPr>
            </w:pPr>
            <w:r w:rsidRPr="00D251C5">
              <w:rPr>
                <w:sz w:val="16"/>
                <w:szCs w:val="16"/>
              </w:rPr>
              <w:t>Solardome</w:t>
            </w:r>
            <w:r>
              <w:rPr>
                <w:sz w:val="16"/>
                <w:szCs w:val="16"/>
              </w:rPr>
              <w:t>, 5 ozone treatments</w:t>
            </w:r>
          </w:p>
        </w:tc>
        <w:tc>
          <w:tcPr>
            <w:tcW w:w="991" w:type="dxa"/>
          </w:tcPr>
          <w:p w:rsidR="00EE2944" w:rsidRPr="00D251C5" w:rsidRDefault="00EE2944" w:rsidP="003E6D6B">
            <w:pPr>
              <w:rPr>
                <w:sz w:val="16"/>
                <w:szCs w:val="16"/>
              </w:rPr>
            </w:pPr>
            <w:r>
              <w:rPr>
                <w:sz w:val="16"/>
                <w:szCs w:val="16"/>
              </w:rPr>
              <w:t xml:space="preserve">16 - </w:t>
            </w:r>
            <w:r w:rsidRPr="00D251C5">
              <w:rPr>
                <w:sz w:val="16"/>
                <w:szCs w:val="16"/>
              </w:rPr>
              <w:t>90 ppb</w:t>
            </w:r>
          </w:p>
        </w:tc>
        <w:tc>
          <w:tcPr>
            <w:tcW w:w="874" w:type="dxa"/>
          </w:tcPr>
          <w:p w:rsidR="00EE2944" w:rsidRPr="00D251C5" w:rsidRDefault="00EE2944" w:rsidP="003E6D6B">
            <w:pPr>
              <w:rPr>
                <w:sz w:val="16"/>
                <w:szCs w:val="16"/>
              </w:rPr>
            </w:pPr>
            <w:r w:rsidRPr="00D251C5">
              <w:rPr>
                <w:sz w:val="16"/>
                <w:szCs w:val="16"/>
              </w:rPr>
              <w:t>18 weeks in 2007 and 2008</w:t>
            </w:r>
          </w:p>
        </w:tc>
        <w:tc>
          <w:tcPr>
            <w:tcW w:w="1474" w:type="dxa"/>
          </w:tcPr>
          <w:p w:rsidR="00EE2944" w:rsidRPr="00D251C5" w:rsidRDefault="00A77A1F" w:rsidP="003E6D6B">
            <w:pPr>
              <w:rPr>
                <w:i/>
                <w:sz w:val="16"/>
                <w:szCs w:val="16"/>
              </w:rPr>
            </w:pPr>
            <w:r>
              <w:rPr>
                <w:sz w:val="16"/>
                <w:szCs w:val="16"/>
              </w:rPr>
              <w:t xml:space="preserve">2 species mixutres of </w:t>
            </w:r>
            <w:r w:rsidR="00EE2944" w:rsidRPr="00D251C5">
              <w:rPr>
                <w:i/>
                <w:sz w:val="16"/>
                <w:szCs w:val="16"/>
              </w:rPr>
              <w:t>Leontodon hispidus, Anthoxanthum odoratum</w:t>
            </w:r>
          </w:p>
        </w:tc>
        <w:tc>
          <w:tcPr>
            <w:tcW w:w="1402" w:type="dxa"/>
          </w:tcPr>
          <w:p w:rsidR="00EE2944" w:rsidRPr="00D251C5" w:rsidRDefault="00EE2944" w:rsidP="003E6D6B">
            <w:pPr>
              <w:rPr>
                <w:sz w:val="16"/>
                <w:szCs w:val="16"/>
              </w:rPr>
            </w:pPr>
          </w:p>
        </w:tc>
      </w:tr>
      <w:tr w:rsidR="001837F9" w:rsidTr="00C34636">
        <w:tc>
          <w:tcPr>
            <w:tcW w:w="392" w:type="dxa"/>
          </w:tcPr>
          <w:p w:rsidR="00EE2944" w:rsidRPr="00EE2944" w:rsidRDefault="00EE2944" w:rsidP="003E6D6B">
            <w:pPr>
              <w:rPr>
                <w:sz w:val="16"/>
                <w:szCs w:val="16"/>
              </w:rPr>
            </w:pPr>
            <w:r>
              <w:rPr>
                <w:sz w:val="16"/>
                <w:szCs w:val="16"/>
              </w:rPr>
              <w:t>4.</w:t>
            </w:r>
          </w:p>
        </w:tc>
        <w:tc>
          <w:tcPr>
            <w:tcW w:w="1559" w:type="dxa"/>
          </w:tcPr>
          <w:p w:rsidR="00EE2944" w:rsidRDefault="00EE2944" w:rsidP="003E6D6B">
            <w:pPr>
              <w:rPr>
                <w:sz w:val="16"/>
                <w:szCs w:val="16"/>
              </w:rPr>
            </w:pPr>
            <w:r w:rsidRPr="0032102B">
              <w:rPr>
                <w:i/>
                <w:sz w:val="16"/>
                <w:szCs w:val="16"/>
              </w:rPr>
              <w:t>L. hispidus-D. glomerata</w:t>
            </w:r>
            <w:r>
              <w:rPr>
                <w:sz w:val="16"/>
                <w:szCs w:val="16"/>
              </w:rPr>
              <w:t xml:space="preserve">  mesotrophic grassland (Hayes et al., 2011)</w:t>
            </w:r>
          </w:p>
          <w:p w:rsidR="00EE2944" w:rsidRPr="00D251C5" w:rsidRDefault="00EE2944" w:rsidP="003E6D6B">
            <w:pPr>
              <w:rPr>
                <w:sz w:val="16"/>
                <w:szCs w:val="16"/>
              </w:rPr>
            </w:pPr>
          </w:p>
        </w:tc>
        <w:tc>
          <w:tcPr>
            <w:tcW w:w="1309" w:type="dxa"/>
          </w:tcPr>
          <w:p w:rsidR="00EE2944" w:rsidRPr="00D251C5" w:rsidRDefault="00EE2944" w:rsidP="003E6D6B">
            <w:pPr>
              <w:rPr>
                <w:sz w:val="16"/>
                <w:szCs w:val="16"/>
              </w:rPr>
            </w:pPr>
            <w:r w:rsidRPr="00D251C5">
              <w:rPr>
                <w:sz w:val="16"/>
                <w:szCs w:val="16"/>
              </w:rPr>
              <w:t>CEH-Bangor, North Wales</w:t>
            </w:r>
          </w:p>
        </w:tc>
        <w:tc>
          <w:tcPr>
            <w:tcW w:w="1022" w:type="dxa"/>
          </w:tcPr>
          <w:p w:rsidR="00EE2944" w:rsidRPr="00D251C5" w:rsidRDefault="00EE2944" w:rsidP="003E6D6B">
            <w:pPr>
              <w:rPr>
                <w:sz w:val="16"/>
                <w:szCs w:val="16"/>
              </w:rPr>
            </w:pPr>
            <w:r w:rsidRPr="00D251C5">
              <w:rPr>
                <w:sz w:val="16"/>
                <w:szCs w:val="16"/>
              </w:rPr>
              <w:t>Solardome</w:t>
            </w:r>
            <w:r>
              <w:rPr>
                <w:sz w:val="16"/>
                <w:szCs w:val="16"/>
              </w:rPr>
              <w:t>. 5 ozone treatments</w:t>
            </w:r>
          </w:p>
        </w:tc>
        <w:tc>
          <w:tcPr>
            <w:tcW w:w="991" w:type="dxa"/>
          </w:tcPr>
          <w:p w:rsidR="00EE2944" w:rsidRPr="00D251C5" w:rsidRDefault="00EE2944" w:rsidP="003E6D6B">
            <w:pPr>
              <w:rPr>
                <w:sz w:val="16"/>
                <w:szCs w:val="16"/>
              </w:rPr>
            </w:pPr>
            <w:r>
              <w:rPr>
                <w:sz w:val="16"/>
                <w:szCs w:val="16"/>
              </w:rPr>
              <w:t xml:space="preserve">16 - </w:t>
            </w:r>
            <w:r w:rsidRPr="00D251C5">
              <w:rPr>
                <w:sz w:val="16"/>
                <w:szCs w:val="16"/>
              </w:rPr>
              <w:t>90 ppb</w:t>
            </w:r>
          </w:p>
        </w:tc>
        <w:tc>
          <w:tcPr>
            <w:tcW w:w="874" w:type="dxa"/>
          </w:tcPr>
          <w:p w:rsidR="00EE2944" w:rsidRPr="00D251C5" w:rsidRDefault="00EE2944" w:rsidP="003E6D6B">
            <w:pPr>
              <w:rPr>
                <w:sz w:val="16"/>
                <w:szCs w:val="16"/>
              </w:rPr>
            </w:pPr>
            <w:r w:rsidRPr="00D251C5">
              <w:rPr>
                <w:sz w:val="16"/>
                <w:szCs w:val="16"/>
              </w:rPr>
              <w:t>18 weeks in 2007 with recovery in 2008</w:t>
            </w:r>
          </w:p>
        </w:tc>
        <w:tc>
          <w:tcPr>
            <w:tcW w:w="1474" w:type="dxa"/>
          </w:tcPr>
          <w:p w:rsidR="00EE2944" w:rsidRPr="00D251C5" w:rsidRDefault="00A77A1F" w:rsidP="003E6D6B">
            <w:pPr>
              <w:rPr>
                <w:i/>
                <w:sz w:val="16"/>
                <w:szCs w:val="16"/>
              </w:rPr>
            </w:pPr>
            <w:r>
              <w:rPr>
                <w:sz w:val="16"/>
                <w:szCs w:val="16"/>
              </w:rPr>
              <w:t xml:space="preserve">2 species mixutres of </w:t>
            </w:r>
            <w:r w:rsidR="00EE2944" w:rsidRPr="00D251C5">
              <w:rPr>
                <w:i/>
                <w:sz w:val="16"/>
                <w:szCs w:val="16"/>
              </w:rPr>
              <w:t>Leontodon hispidus, Dactylis glomerata</w:t>
            </w:r>
          </w:p>
        </w:tc>
        <w:tc>
          <w:tcPr>
            <w:tcW w:w="1402" w:type="dxa"/>
          </w:tcPr>
          <w:p w:rsidR="00EE2944" w:rsidRPr="00D251C5" w:rsidRDefault="00EE2944" w:rsidP="003E6D6B">
            <w:pPr>
              <w:rPr>
                <w:sz w:val="16"/>
                <w:szCs w:val="16"/>
              </w:rPr>
            </w:pPr>
          </w:p>
        </w:tc>
      </w:tr>
      <w:tr w:rsidR="001837F9" w:rsidTr="00C34636">
        <w:tc>
          <w:tcPr>
            <w:tcW w:w="392" w:type="dxa"/>
          </w:tcPr>
          <w:p w:rsidR="00EE2944" w:rsidRPr="00EE2944" w:rsidRDefault="00EE2944" w:rsidP="003E6D6B">
            <w:pPr>
              <w:rPr>
                <w:sz w:val="16"/>
                <w:szCs w:val="16"/>
              </w:rPr>
            </w:pPr>
            <w:r>
              <w:rPr>
                <w:sz w:val="16"/>
                <w:szCs w:val="16"/>
              </w:rPr>
              <w:t>5.</w:t>
            </w:r>
          </w:p>
        </w:tc>
        <w:tc>
          <w:tcPr>
            <w:tcW w:w="1559" w:type="dxa"/>
          </w:tcPr>
          <w:p w:rsidR="00EE2944" w:rsidRDefault="00EE2944" w:rsidP="003E6D6B">
            <w:pPr>
              <w:rPr>
                <w:sz w:val="16"/>
                <w:szCs w:val="16"/>
              </w:rPr>
            </w:pPr>
            <w:r w:rsidRPr="0032102B">
              <w:rPr>
                <w:i/>
                <w:sz w:val="16"/>
                <w:szCs w:val="16"/>
              </w:rPr>
              <w:t>D. glomerata-R. acris</w:t>
            </w:r>
            <w:r>
              <w:rPr>
                <w:sz w:val="16"/>
                <w:szCs w:val="16"/>
              </w:rPr>
              <w:t xml:space="preserve"> mesotrophic grassland</w:t>
            </w:r>
          </w:p>
          <w:p w:rsidR="00EE2944" w:rsidRPr="00D251C5" w:rsidRDefault="00EE2944" w:rsidP="003E6D6B">
            <w:pPr>
              <w:rPr>
                <w:sz w:val="16"/>
                <w:szCs w:val="16"/>
              </w:rPr>
            </w:pPr>
            <w:r>
              <w:rPr>
                <w:sz w:val="16"/>
                <w:szCs w:val="16"/>
              </w:rPr>
              <w:t>(Wagg et al., 2012)</w:t>
            </w:r>
          </w:p>
        </w:tc>
        <w:tc>
          <w:tcPr>
            <w:tcW w:w="1309" w:type="dxa"/>
          </w:tcPr>
          <w:p w:rsidR="00EE2944" w:rsidRPr="00D251C5" w:rsidRDefault="00EE2944" w:rsidP="003E6D6B">
            <w:pPr>
              <w:rPr>
                <w:sz w:val="16"/>
                <w:szCs w:val="16"/>
              </w:rPr>
            </w:pPr>
            <w:r w:rsidRPr="00D251C5">
              <w:rPr>
                <w:sz w:val="16"/>
                <w:szCs w:val="16"/>
              </w:rPr>
              <w:t>CEH-Bangor, North Wales</w:t>
            </w:r>
          </w:p>
        </w:tc>
        <w:tc>
          <w:tcPr>
            <w:tcW w:w="1022" w:type="dxa"/>
          </w:tcPr>
          <w:p w:rsidR="00EE2944" w:rsidRPr="00D251C5" w:rsidRDefault="00EE2944" w:rsidP="003E6D6B">
            <w:pPr>
              <w:rPr>
                <w:sz w:val="16"/>
                <w:szCs w:val="16"/>
              </w:rPr>
            </w:pPr>
            <w:r w:rsidRPr="00D251C5">
              <w:rPr>
                <w:sz w:val="16"/>
                <w:szCs w:val="16"/>
              </w:rPr>
              <w:t>Solardome</w:t>
            </w:r>
            <w:r>
              <w:rPr>
                <w:sz w:val="16"/>
                <w:szCs w:val="16"/>
              </w:rPr>
              <w:t>. 8 ozone treatments</w:t>
            </w:r>
          </w:p>
        </w:tc>
        <w:tc>
          <w:tcPr>
            <w:tcW w:w="991" w:type="dxa"/>
          </w:tcPr>
          <w:p w:rsidR="00EE2944" w:rsidRPr="00D251C5" w:rsidRDefault="00EE2944" w:rsidP="003E6D6B">
            <w:pPr>
              <w:rPr>
                <w:sz w:val="16"/>
                <w:szCs w:val="16"/>
              </w:rPr>
            </w:pPr>
            <w:r>
              <w:rPr>
                <w:sz w:val="16"/>
                <w:szCs w:val="16"/>
              </w:rPr>
              <w:t xml:space="preserve">17 - </w:t>
            </w:r>
            <w:r w:rsidRPr="00D251C5">
              <w:rPr>
                <w:sz w:val="16"/>
                <w:szCs w:val="16"/>
              </w:rPr>
              <w:t>93 ppb</w:t>
            </w:r>
          </w:p>
        </w:tc>
        <w:tc>
          <w:tcPr>
            <w:tcW w:w="874" w:type="dxa"/>
          </w:tcPr>
          <w:p w:rsidR="00EE2944" w:rsidRDefault="00EE2944" w:rsidP="003E6D6B">
            <w:pPr>
              <w:rPr>
                <w:sz w:val="16"/>
                <w:szCs w:val="16"/>
              </w:rPr>
            </w:pPr>
            <w:r w:rsidRPr="00D251C5">
              <w:rPr>
                <w:sz w:val="16"/>
                <w:szCs w:val="16"/>
              </w:rPr>
              <w:t>12 weeks</w:t>
            </w:r>
            <w:r w:rsidR="00CD1781">
              <w:rPr>
                <w:sz w:val="16"/>
                <w:szCs w:val="16"/>
              </w:rPr>
              <w:t xml:space="preserve"> in 2008</w:t>
            </w:r>
          </w:p>
          <w:p w:rsidR="00E05D9A" w:rsidRPr="00D251C5" w:rsidRDefault="00E05D9A" w:rsidP="003E6D6B">
            <w:pPr>
              <w:rPr>
                <w:sz w:val="16"/>
                <w:szCs w:val="16"/>
              </w:rPr>
            </w:pPr>
          </w:p>
        </w:tc>
        <w:tc>
          <w:tcPr>
            <w:tcW w:w="1474" w:type="dxa"/>
          </w:tcPr>
          <w:p w:rsidR="00EE2944" w:rsidRPr="00D251C5" w:rsidRDefault="00A77A1F" w:rsidP="003E6D6B">
            <w:pPr>
              <w:rPr>
                <w:i/>
                <w:sz w:val="16"/>
                <w:szCs w:val="16"/>
              </w:rPr>
            </w:pPr>
            <w:r>
              <w:rPr>
                <w:sz w:val="16"/>
                <w:szCs w:val="16"/>
              </w:rPr>
              <w:t xml:space="preserve">2 species mixutres of </w:t>
            </w:r>
            <w:r w:rsidR="00EE2944" w:rsidRPr="00D251C5">
              <w:rPr>
                <w:i/>
                <w:sz w:val="16"/>
                <w:szCs w:val="16"/>
              </w:rPr>
              <w:t>Dactylis glomerata, Ranunculus acris</w:t>
            </w:r>
          </w:p>
        </w:tc>
        <w:tc>
          <w:tcPr>
            <w:tcW w:w="1402" w:type="dxa"/>
          </w:tcPr>
          <w:p w:rsidR="00EE2944" w:rsidRPr="00D251C5" w:rsidRDefault="001837F9" w:rsidP="001837F9">
            <w:pPr>
              <w:rPr>
                <w:sz w:val="16"/>
                <w:szCs w:val="16"/>
              </w:rPr>
            </w:pPr>
            <w:r>
              <w:rPr>
                <w:sz w:val="16"/>
                <w:szCs w:val="16"/>
              </w:rPr>
              <w:t>Reduced</w:t>
            </w:r>
            <w:r w:rsidR="003C1D75">
              <w:rPr>
                <w:sz w:val="16"/>
                <w:szCs w:val="16"/>
              </w:rPr>
              <w:t>-water</w:t>
            </w:r>
            <w:r w:rsidR="00EE2944" w:rsidRPr="00D251C5">
              <w:rPr>
                <w:sz w:val="16"/>
                <w:szCs w:val="16"/>
              </w:rPr>
              <w:t>/well-watered</w:t>
            </w:r>
          </w:p>
        </w:tc>
      </w:tr>
      <w:tr w:rsidR="001837F9" w:rsidTr="00C34636">
        <w:tc>
          <w:tcPr>
            <w:tcW w:w="392" w:type="dxa"/>
          </w:tcPr>
          <w:p w:rsidR="00EE2944" w:rsidRDefault="00EE2944" w:rsidP="003E6D6B">
            <w:pPr>
              <w:rPr>
                <w:sz w:val="16"/>
                <w:szCs w:val="16"/>
              </w:rPr>
            </w:pPr>
            <w:r>
              <w:rPr>
                <w:sz w:val="16"/>
                <w:szCs w:val="16"/>
              </w:rPr>
              <w:t>6.</w:t>
            </w:r>
          </w:p>
        </w:tc>
        <w:tc>
          <w:tcPr>
            <w:tcW w:w="1559" w:type="dxa"/>
          </w:tcPr>
          <w:p w:rsidR="00EE2944" w:rsidRDefault="00EE2944" w:rsidP="003E6D6B">
            <w:pPr>
              <w:rPr>
                <w:sz w:val="16"/>
                <w:szCs w:val="16"/>
              </w:rPr>
            </w:pPr>
            <w:r>
              <w:rPr>
                <w:sz w:val="16"/>
                <w:szCs w:val="16"/>
              </w:rPr>
              <w:t>Sand dune grassland</w:t>
            </w:r>
          </w:p>
          <w:p w:rsidR="00EE2944" w:rsidRPr="00D251C5" w:rsidRDefault="00EE2944" w:rsidP="00B81584">
            <w:pPr>
              <w:rPr>
                <w:sz w:val="16"/>
                <w:szCs w:val="16"/>
              </w:rPr>
            </w:pPr>
            <w:r>
              <w:rPr>
                <w:sz w:val="16"/>
                <w:szCs w:val="16"/>
              </w:rPr>
              <w:t>(</w:t>
            </w:r>
            <w:r w:rsidR="00B81584">
              <w:rPr>
                <w:sz w:val="16"/>
                <w:szCs w:val="16"/>
              </w:rPr>
              <w:t xml:space="preserve">Cape </w:t>
            </w:r>
            <w:r>
              <w:rPr>
                <w:sz w:val="16"/>
                <w:szCs w:val="16"/>
              </w:rPr>
              <w:t>2012)</w:t>
            </w:r>
          </w:p>
        </w:tc>
        <w:tc>
          <w:tcPr>
            <w:tcW w:w="1309" w:type="dxa"/>
          </w:tcPr>
          <w:p w:rsidR="00EE2944" w:rsidRPr="00D251C5" w:rsidRDefault="00EE2944" w:rsidP="003E6D6B">
            <w:pPr>
              <w:rPr>
                <w:sz w:val="16"/>
                <w:szCs w:val="16"/>
              </w:rPr>
            </w:pPr>
            <w:r w:rsidRPr="00D251C5">
              <w:rPr>
                <w:sz w:val="16"/>
                <w:szCs w:val="16"/>
              </w:rPr>
              <w:t>University of Newcastle</w:t>
            </w:r>
          </w:p>
        </w:tc>
        <w:tc>
          <w:tcPr>
            <w:tcW w:w="1022" w:type="dxa"/>
          </w:tcPr>
          <w:p w:rsidR="00EE2944" w:rsidRPr="00D251C5" w:rsidRDefault="00EE2944" w:rsidP="003E6D6B">
            <w:pPr>
              <w:rPr>
                <w:sz w:val="16"/>
                <w:szCs w:val="16"/>
              </w:rPr>
            </w:pPr>
            <w:r w:rsidRPr="00D251C5">
              <w:rPr>
                <w:sz w:val="16"/>
                <w:szCs w:val="16"/>
              </w:rPr>
              <w:t>OTC</w:t>
            </w:r>
            <w:r>
              <w:rPr>
                <w:sz w:val="16"/>
                <w:szCs w:val="16"/>
              </w:rPr>
              <w:t>. 4 ozone treatments</w:t>
            </w:r>
          </w:p>
        </w:tc>
        <w:tc>
          <w:tcPr>
            <w:tcW w:w="991" w:type="dxa"/>
          </w:tcPr>
          <w:p w:rsidR="00EE2944" w:rsidRPr="00D251C5" w:rsidRDefault="00EE2944" w:rsidP="003E6D6B">
            <w:pPr>
              <w:rPr>
                <w:sz w:val="16"/>
                <w:szCs w:val="16"/>
              </w:rPr>
            </w:pPr>
            <w:r>
              <w:rPr>
                <w:sz w:val="16"/>
                <w:szCs w:val="16"/>
              </w:rPr>
              <w:t xml:space="preserve">21 - </w:t>
            </w:r>
            <w:r w:rsidRPr="00D251C5">
              <w:rPr>
                <w:sz w:val="16"/>
                <w:szCs w:val="16"/>
              </w:rPr>
              <w:t>51 ppb</w:t>
            </w:r>
          </w:p>
        </w:tc>
        <w:tc>
          <w:tcPr>
            <w:tcW w:w="874" w:type="dxa"/>
          </w:tcPr>
          <w:p w:rsidR="00EE2944" w:rsidRPr="00D251C5" w:rsidRDefault="00EE2944" w:rsidP="003E6D6B">
            <w:pPr>
              <w:rPr>
                <w:sz w:val="16"/>
                <w:szCs w:val="16"/>
              </w:rPr>
            </w:pPr>
            <w:r w:rsidRPr="00D251C5">
              <w:rPr>
                <w:sz w:val="16"/>
                <w:szCs w:val="16"/>
              </w:rPr>
              <w:t>Since 2007</w:t>
            </w:r>
          </w:p>
        </w:tc>
        <w:tc>
          <w:tcPr>
            <w:tcW w:w="1474" w:type="dxa"/>
          </w:tcPr>
          <w:p w:rsidR="00EE2944" w:rsidRPr="00D251C5" w:rsidRDefault="00EE2944" w:rsidP="003E6D6B">
            <w:pPr>
              <w:rPr>
                <w:sz w:val="16"/>
                <w:szCs w:val="16"/>
              </w:rPr>
            </w:pPr>
            <w:r w:rsidRPr="00D251C5">
              <w:rPr>
                <w:sz w:val="16"/>
                <w:szCs w:val="16"/>
              </w:rPr>
              <w:t>Legume rich</w:t>
            </w:r>
            <w:r w:rsidR="00A77A1F">
              <w:rPr>
                <w:sz w:val="16"/>
                <w:szCs w:val="16"/>
              </w:rPr>
              <w:t xml:space="preserve"> community comprising many species</w:t>
            </w:r>
            <w:r w:rsidRPr="00D251C5">
              <w:rPr>
                <w:sz w:val="16"/>
                <w:szCs w:val="16"/>
              </w:rPr>
              <w:t xml:space="preserve">.  </w:t>
            </w:r>
          </w:p>
        </w:tc>
        <w:tc>
          <w:tcPr>
            <w:tcW w:w="1402" w:type="dxa"/>
          </w:tcPr>
          <w:p w:rsidR="00EE2944" w:rsidRPr="00D251C5" w:rsidRDefault="00EE2944" w:rsidP="003E6D6B">
            <w:pPr>
              <w:rPr>
                <w:sz w:val="16"/>
                <w:szCs w:val="16"/>
              </w:rPr>
            </w:pPr>
            <w:r w:rsidRPr="00D251C5">
              <w:rPr>
                <w:sz w:val="16"/>
                <w:szCs w:val="16"/>
              </w:rPr>
              <w:t>2009</w:t>
            </w:r>
          </w:p>
        </w:tc>
      </w:tr>
      <w:tr w:rsidR="001837F9" w:rsidTr="00C34636">
        <w:tc>
          <w:tcPr>
            <w:tcW w:w="392" w:type="dxa"/>
          </w:tcPr>
          <w:p w:rsidR="00EE2944" w:rsidRPr="00D251C5" w:rsidRDefault="00EE2944" w:rsidP="003E6D6B">
            <w:pPr>
              <w:rPr>
                <w:sz w:val="16"/>
                <w:szCs w:val="16"/>
              </w:rPr>
            </w:pPr>
            <w:r>
              <w:rPr>
                <w:sz w:val="16"/>
                <w:szCs w:val="16"/>
              </w:rPr>
              <w:t>7.</w:t>
            </w:r>
          </w:p>
        </w:tc>
        <w:tc>
          <w:tcPr>
            <w:tcW w:w="1559" w:type="dxa"/>
          </w:tcPr>
          <w:p w:rsidR="00EE2944" w:rsidRPr="0032102B" w:rsidRDefault="00EE2944" w:rsidP="00F61888">
            <w:pPr>
              <w:rPr>
                <w:sz w:val="16"/>
                <w:szCs w:val="16"/>
                <w:vertAlign w:val="superscript"/>
              </w:rPr>
            </w:pPr>
            <w:r w:rsidRPr="00D251C5">
              <w:rPr>
                <w:sz w:val="16"/>
                <w:szCs w:val="16"/>
              </w:rPr>
              <w:t>Keenley</w:t>
            </w:r>
            <w:r>
              <w:rPr>
                <w:sz w:val="16"/>
                <w:szCs w:val="16"/>
              </w:rPr>
              <w:t xml:space="preserve"> haymeadow</w:t>
            </w:r>
            <w:r w:rsidRPr="00D251C5">
              <w:rPr>
                <w:sz w:val="16"/>
                <w:szCs w:val="16"/>
              </w:rPr>
              <w:t xml:space="preserve"> (</w:t>
            </w:r>
            <w:r w:rsidR="00F61888">
              <w:rPr>
                <w:sz w:val="16"/>
                <w:szCs w:val="16"/>
              </w:rPr>
              <w:t>U</w:t>
            </w:r>
            <w:r w:rsidR="00C73891">
              <w:rPr>
                <w:sz w:val="16"/>
                <w:szCs w:val="16"/>
              </w:rPr>
              <w:t>ngrazed</w:t>
            </w:r>
            <w:r w:rsidRPr="00D251C5">
              <w:rPr>
                <w:sz w:val="16"/>
                <w:szCs w:val="16"/>
              </w:rPr>
              <w:t xml:space="preserve"> plots)</w:t>
            </w:r>
            <w:r>
              <w:rPr>
                <w:sz w:val="16"/>
                <w:szCs w:val="16"/>
              </w:rPr>
              <w:t xml:space="preserve"> (Wyness 201</w:t>
            </w:r>
            <w:r w:rsidR="00AE1097">
              <w:rPr>
                <w:sz w:val="16"/>
                <w:szCs w:val="16"/>
              </w:rPr>
              <w:t>1</w:t>
            </w:r>
            <w:r>
              <w:rPr>
                <w:sz w:val="16"/>
                <w:szCs w:val="16"/>
              </w:rPr>
              <w:t>)</w:t>
            </w:r>
          </w:p>
        </w:tc>
        <w:tc>
          <w:tcPr>
            <w:tcW w:w="1309" w:type="dxa"/>
          </w:tcPr>
          <w:p w:rsidR="00EE2944" w:rsidRPr="00D251C5" w:rsidRDefault="00EE2944" w:rsidP="003E6D6B">
            <w:pPr>
              <w:rPr>
                <w:sz w:val="16"/>
                <w:szCs w:val="16"/>
              </w:rPr>
            </w:pPr>
            <w:r w:rsidRPr="00D251C5">
              <w:rPr>
                <w:sz w:val="16"/>
                <w:szCs w:val="16"/>
              </w:rPr>
              <w:t>Northumberland</w:t>
            </w:r>
          </w:p>
        </w:tc>
        <w:tc>
          <w:tcPr>
            <w:tcW w:w="1022" w:type="dxa"/>
          </w:tcPr>
          <w:p w:rsidR="00EE2944" w:rsidRPr="00D251C5" w:rsidRDefault="00EE2944" w:rsidP="003E6D6B">
            <w:pPr>
              <w:rPr>
                <w:sz w:val="16"/>
                <w:szCs w:val="16"/>
              </w:rPr>
            </w:pPr>
            <w:r w:rsidRPr="00D251C5">
              <w:rPr>
                <w:sz w:val="16"/>
                <w:szCs w:val="16"/>
              </w:rPr>
              <w:t>Field-release (free air)</w:t>
            </w:r>
            <w:r>
              <w:rPr>
                <w:sz w:val="16"/>
                <w:szCs w:val="16"/>
              </w:rPr>
              <w:t>. 3 ozone treatments</w:t>
            </w:r>
          </w:p>
        </w:tc>
        <w:tc>
          <w:tcPr>
            <w:tcW w:w="991" w:type="dxa"/>
          </w:tcPr>
          <w:p w:rsidR="00EE2944" w:rsidRPr="00D251C5" w:rsidRDefault="00EE2944" w:rsidP="003E6D6B">
            <w:pPr>
              <w:rPr>
                <w:sz w:val="16"/>
                <w:szCs w:val="16"/>
              </w:rPr>
            </w:pPr>
            <w:r>
              <w:rPr>
                <w:sz w:val="16"/>
                <w:szCs w:val="16"/>
              </w:rPr>
              <w:t xml:space="preserve">28 - </w:t>
            </w:r>
            <w:r w:rsidRPr="00D251C5">
              <w:rPr>
                <w:sz w:val="16"/>
                <w:szCs w:val="16"/>
              </w:rPr>
              <w:t>88 ppb</w:t>
            </w:r>
          </w:p>
        </w:tc>
        <w:tc>
          <w:tcPr>
            <w:tcW w:w="874" w:type="dxa"/>
          </w:tcPr>
          <w:p w:rsidR="00EE2944" w:rsidRPr="00D251C5" w:rsidRDefault="00EE2944" w:rsidP="003E6D6B">
            <w:pPr>
              <w:rPr>
                <w:sz w:val="16"/>
                <w:szCs w:val="16"/>
              </w:rPr>
            </w:pPr>
            <w:r w:rsidRPr="00D251C5">
              <w:rPr>
                <w:sz w:val="16"/>
                <w:szCs w:val="16"/>
              </w:rPr>
              <w:t>Since 2008</w:t>
            </w:r>
          </w:p>
        </w:tc>
        <w:tc>
          <w:tcPr>
            <w:tcW w:w="1474" w:type="dxa"/>
          </w:tcPr>
          <w:p w:rsidR="00EE2944" w:rsidRPr="00D251C5" w:rsidRDefault="00EE2944" w:rsidP="003E6D6B">
            <w:pPr>
              <w:rPr>
                <w:sz w:val="16"/>
                <w:szCs w:val="16"/>
              </w:rPr>
            </w:pPr>
            <w:r w:rsidRPr="00D251C5">
              <w:rPr>
                <w:sz w:val="16"/>
                <w:szCs w:val="16"/>
              </w:rPr>
              <w:t>Many species, comprising grasses, legumes and forbs</w:t>
            </w:r>
          </w:p>
        </w:tc>
        <w:tc>
          <w:tcPr>
            <w:tcW w:w="1402" w:type="dxa"/>
          </w:tcPr>
          <w:p w:rsidR="00EE2944" w:rsidRPr="00D251C5" w:rsidRDefault="00EE2944" w:rsidP="00E05D9A">
            <w:pPr>
              <w:rPr>
                <w:sz w:val="16"/>
                <w:szCs w:val="16"/>
              </w:rPr>
            </w:pPr>
            <w:r w:rsidRPr="00D251C5">
              <w:rPr>
                <w:sz w:val="16"/>
                <w:szCs w:val="16"/>
              </w:rPr>
              <w:t>+/- nitrogen (all ungrazed), 2009, 2010 and 2011</w:t>
            </w:r>
          </w:p>
        </w:tc>
      </w:tr>
      <w:tr w:rsidR="001837F9" w:rsidTr="00C34636">
        <w:tc>
          <w:tcPr>
            <w:tcW w:w="392" w:type="dxa"/>
            <w:tcBorders>
              <w:bottom w:val="single" w:sz="4" w:space="0" w:color="auto"/>
            </w:tcBorders>
          </w:tcPr>
          <w:p w:rsidR="00EE2944" w:rsidRPr="00D251C5" w:rsidRDefault="00EE2944" w:rsidP="003E6D6B">
            <w:pPr>
              <w:rPr>
                <w:sz w:val="16"/>
                <w:szCs w:val="16"/>
              </w:rPr>
            </w:pPr>
            <w:r>
              <w:rPr>
                <w:sz w:val="16"/>
                <w:szCs w:val="16"/>
              </w:rPr>
              <w:t>8.</w:t>
            </w:r>
          </w:p>
        </w:tc>
        <w:tc>
          <w:tcPr>
            <w:tcW w:w="1559" w:type="dxa"/>
            <w:tcBorders>
              <w:bottom w:val="single" w:sz="4" w:space="0" w:color="auto"/>
            </w:tcBorders>
          </w:tcPr>
          <w:p w:rsidR="00EE2944" w:rsidRPr="00D251C5" w:rsidRDefault="00EE2944" w:rsidP="00C73891">
            <w:pPr>
              <w:rPr>
                <w:sz w:val="16"/>
                <w:szCs w:val="16"/>
              </w:rPr>
            </w:pPr>
            <w:r w:rsidRPr="00D251C5">
              <w:rPr>
                <w:sz w:val="16"/>
                <w:szCs w:val="16"/>
              </w:rPr>
              <w:t>Keenley</w:t>
            </w:r>
            <w:r>
              <w:rPr>
                <w:sz w:val="16"/>
                <w:szCs w:val="16"/>
              </w:rPr>
              <w:t xml:space="preserve"> haymeadow</w:t>
            </w:r>
            <w:r w:rsidRPr="00D251C5">
              <w:rPr>
                <w:sz w:val="16"/>
                <w:szCs w:val="16"/>
              </w:rPr>
              <w:t xml:space="preserve"> (</w:t>
            </w:r>
            <w:r w:rsidR="00C73891">
              <w:rPr>
                <w:sz w:val="16"/>
                <w:szCs w:val="16"/>
              </w:rPr>
              <w:t>Grazed</w:t>
            </w:r>
            <w:r w:rsidRPr="00D251C5">
              <w:rPr>
                <w:sz w:val="16"/>
                <w:szCs w:val="16"/>
              </w:rPr>
              <w:t xml:space="preserve"> plots)</w:t>
            </w:r>
            <w:r>
              <w:rPr>
                <w:sz w:val="16"/>
                <w:szCs w:val="16"/>
              </w:rPr>
              <w:t xml:space="preserve"> (Wedlich et al 2012)</w:t>
            </w:r>
          </w:p>
        </w:tc>
        <w:tc>
          <w:tcPr>
            <w:tcW w:w="1309" w:type="dxa"/>
            <w:tcBorders>
              <w:bottom w:val="single" w:sz="4" w:space="0" w:color="auto"/>
            </w:tcBorders>
          </w:tcPr>
          <w:p w:rsidR="00EE2944" w:rsidRPr="00D251C5" w:rsidRDefault="00EE2944" w:rsidP="003E6D6B">
            <w:pPr>
              <w:rPr>
                <w:sz w:val="16"/>
                <w:szCs w:val="16"/>
              </w:rPr>
            </w:pPr>
            <w:r w:rsidRPr="00D251C5">
              <w:rPr>
                <w:sz w:val="16"/>
                <w:szCs w:val="16"/>
              </w:rPr>
              <w:t>Northumberland</w:t>
            </w:r>
          </w:p>
        </w:tc>
        <w:tc>
          <w:tcPr>
            <w:tcW w:w="1022" w:type="dxa"/>
            <w:tcBorders>
              <w:bottom w:val="single" w:sz="4" w:space="0" w:color="auto"/>
            </w:tcBorders>
          </w:tcPr>
          <w:p w:rsidR="00EE2944" w:rsidRPr="00D251C5" w:rsidRDefault="00EE2944" w:rsidP="003E6D6B">
            <w:pPr>
              <w:rPr>
                <w:sz w:val="16"/>
                <w:szCs w:val="16"/>
              </w:rPr>
            </w:pPr>
            <w:r w:rsidRPr="00D251C5">
              <w:rPr>
                <w:sz w:val="16"/>
                <w:szCs w:val="16"/>
              </w:rPr>
              <w:t>Field-release (free air)</w:t>
            </w:r>
            <w:r>
              <w:rPr>
                <w:sz w:val="16"/>
                <w:szCs w:val="16"/>
              </w:rPr>
              <w:t>. 3 ozone treatments</w:t>
            </w:r>
          </w:p>
        </w:tc>
        <w:tc>
          <w:tcPr>
            <w:tcW w:w="991" w:type="dxa"/>
            <w:tcBorders>
              <w:bottom w:val="single" w:sz="4" w:space="0" w:color="auto"/>
            </w:tcBorders>
          </w:tcPr>
          <w:p w:rsidR="00EE2944" w:rsidRPr="00D251C5" w:rsidRDefault="00EE2944" w:rsidP="003E6D6B">
            <w:pPr>
              <w:rPr>
                <w:sz w:val="16"/>
                <w:szCs w:val="16"/>
              </w:rPr>
            </w:pPr>
            <w:r>
              <w:rPr>
                <w:sz w:val="16"/>
                <w:szCs w:val="16"/>
              </w:rPr>
              <w:t xml:space="preserve">28 - </w:t>
            </w:r>
            <w:r w:rsidRPr="00D251C5">
              <w:rPr>
                <w:sz w:val="16"/>
                <w:szCs w:val="16"/>
              </w:rPr>
              <w:t>57 ppb</w:t>
            </w:r>
          </w:p>
        </w:tc>
        <w:tc>
          <w:tcPr>
            <w:tcW w:w="874" w:type="dxa"/>
            <w:tcBorders>
              <w:bottom w:val="single" w:sz="4" w:space="0" w:color="auto"/>
            </w:tcBorders>
          </w:tcPr>
          <w:p w:rsidR="00EE2944" w:rsidRPr="00D251C5" w:rsidRDefault="00EE2944" w:rsidP="003E6D6B">
            <w:pPr>
              <w:rPr>
                <w:sz w:val="16"/>
                <w:szCs w:val="16"/>
              </w:rPr>
            </w:pPr>
            <w:r w:rsidRPr="00D251C5">
              <w:rPr>
                <w:sz w:val="16"/>
                <w:szCs w:val="16"/>
              </w:rPr>
              <w:t>Since 2008</w:t>
            </w:r>
          </w:p>
        </w:tc>
        <w:tc>
          <w:tcPr>
            <w:tcW w:w="1474" w:type="dxa"/>
            <w:tcBorders>
              <w:bottom w:val="single" w:sz="4" w:space="0" w:color="auto"/>
            </w:tcBorders>
          </w:tcPr>
          <w:p w:rsidR="00EE2944" w:rsidRPr="00D251C5" w:rsidRDefault="00EE2944" w:rsidP="003E6D6B">
            <w:pPr>
              <w:rPr>
                <w:sz w:val="16"/>
                <w:szCs w:val="16"/>
              </w:rPr>
            </w:pPr>
            <w:r w:rsidRPr="00D251C5">
              <w:rPr>
                <w:sz w:val="16"/>
                <w:szCs w:val="16"/>
              </w:rPr>
              <w:t>Many species, comprising grasses, legumes and forbs</w:t>
            </w:r>
          </w:p>
        </w:tc>
        <w:tc>
          <w:tcPr>
            <w:tcW w:w="1402" w:type="dxa"/>
            <w:tcBorders>
              <w:bottom w:val="single" w:sz="4" w:space="0" w:color="auto"/>
            </w:tcBorders>
          </w:tcPr>
          <w:p w:rsidR="00EE2944" w:rsidRPr="00D251C5" w:rsidRDefault="00EE2944" w:rsidP="003E6D6B">
            <w:pPr>
              <w:rPr>
                <w:sz w:val="16"/>
                <w:szCs w:val="16"/>
              </w:rPr>
            </w:pPr>
            <w:r w:rsidRPr="00D251C5">
              <w:rPr>
                <w:sz w:val="16"/>
                <w:szCs w:val="16"/>
              </w:rPr>
              <w:t>2010 and 2011 (all grazed)</w:t>
            </w:r>
          </w:p>
        </w:tc>
      </w:tr>
    </w:tbl>
    <w:p w:rsidR="003E6D6B" w:rsidRDefault="003E6D6B"/>
    <w:p w:rsidR="00B5023C" w:rsidRDefault="00B5023C">
      <w:r>
        <w:br w:type="page"/>
      </w:r>
    </w:p>
    <w:p w:rsidR="0063377C" w:rsidRDefault="0063377C" w:rsidP="0063377C">
      <w:r>
        <w:lastRenderedPageBreak/>
        <w:t xml:space="preserve">Table 2: </w:t>
      </w:r>
      <w:r w:rsidR="00A35086">
        <w:t>Mean and r</w:t>
      </w:r>
      <w:r>
        <w:t>ange of values for the parameters measured (% content)</w:t>
      </w:r>
      <w:r w:rsidR="001C7C0D">
        <w:t xml:space="preserve"> across all samples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1843"/>
        <w:gridCol w:w="1011"/>
        <w:gridCol w:w="973"/>
        <w:gridCol w:w="993"/>
        <w:gridCol w:w="880"/>
        <w:gridCol w:w="960"/>
        <w:gridCol w:w="915"/>
        <w:gridCol w:w="999"/>
      </w:tblGrid>
      <w:tr w:rsidR="00E3020A" w:rsidTr="00C34636">
        <w:tc>
          <w:tcPr>
            <w:tcW w:w="392" w:type="dxa"/>
            <w:tcBorders>
              <w:top w:val="single" w:sz="4" w:space="0" w:color="auto"/>
              <w:bottom w:val="single" w:sz="4" w:space="0" w:color="auto"/>
            </w:tcBorders>
          </w:tcPr>
          <w:p w:rsidR="00E3020A" w:rsidRPr="00D251C5" w:rsidRDefault="00E3020A" w:rsidP="003F4417">
            <w:pPr>
              <w:rPr>
                <w:sz w:val="16"/>
                <w:szCs w:val="16"/>
              </w:rPr>
            </w:pPr>
          </w:p>
        </w:tc>
        <w:tc>
          <w:tcPr>
            <w:tcW w:w="1843" w:type="dxa"/>
            <w:tcBorders>
              <w:top w:val="single" w:sz="4" w:space="0" w:color="auto"/>
              <w:bottom w:val="single" w:sz="4" w:space="0" w:color="auto"/>
            </w:tcBorders>
          </w:tcPr>
          <w:p w:rsidR="00E3020A" w:rsidRPr="00316683" w:rsidRDefault="00E3020A" w:rsidP="003F4417">
            <w:pPr>
              <w:rPr>
                <w:sz w:val="16"/>
                <w:szCs w:val="16"/>
              </w:rPr>
            </w:pPr>
            <w:r w:rsidRPr="00316683">
              <w:rPr>
                <w:sz w:val="16"/>
                <w:szCs w:val="16"/>
              </w:rPr>
              <w:t>Experiment</w:t>
            </w:r>
          </w:p>
        </w:tc>
        <w:tc>
          <w:tcPr>
            <w:tcW w:w="1011" w:type="dxa"/>
            <w:tcBorders>
              <w:top w:val="single" w:sz="4" w:space="0" w:color="auto"/>
              <w:bottom w:val="single" w:sz="4" w:space="0" w:color="auto"/>
            </w:tcBorders>
          </w:tcPr>
          <w:p w:rsidR="00E3020A" w:rsidRPr="00316683" w:rsidRDefault="00E3020A" w:rsidP="003F4417">
            <w:pPr>
              <w:rPr>
                <w:sz w:val="16"/>
                <w:szCs w:val="16"/>
              </w:rPr>
            </w:pPr>
            <w:r w:rsidRPr="00316683">
              <w:rPr>
                <w:sz w:val="16"/>
                <w:szCs w:val="16"/>
              </w:rPr>
              <w:t>Protein</w:t>
            </w:r>
          </w:p>
        </w:tc>
        <w:tc>
          <w:tcPr>
            <w:tcW w:w="973" w:type="dxa"/>
            <w:tcBorders>
              <w:top w:val="single" w:sz="4" w:space="0" w:color="auto"/>
              <w:bottom w:val="single" w:sz="4" w:space="0" w:color="auto"/>
            </w:tcBorders>
          </w:tcPr>
          <w:p w:rsidR="00E3020A" w:rsidRPr="00316683" w:rsidRDefault="00E3020A" w:rsidP="003F4417">
            <w:pPr>
              <w:rPr>
                <w:sz w:val="16"/>
                <w:szCs w:val="16"/>
              </w:rPr>
            </w:pPr>
            <w:r w:rsidRPr="00316683">
              <w:rPr>
                <w:sz w:val="16"/>
                <w:szCs w:val="16"/>
              </w:rPr>
              <w:t>NDF</w:t>
            </w:r>
          </w:p>
        </w:tc>
        <w:tc>
          <w:tcPr>
            <w:tcW w:w="993" w:type="dxa"/>
            <w:tcBorders>
              <w:top w:val="single" w:sz="4" w:space="0" w:color="auto"/>
              <w:bottom w:val="single" w:sz="4" w:space="0" w:color="auto"/>
            </w:tcBorders>
          </w:tcPr>
          <w:p w:rsidR="00E3020A" w:rsidRPr="00316683" w:rsidRDefault="00E3020A" w:rsidP="003F4417">
            <w:pPr>
              <w:rPr>
                <w:sz w:val="16"/>
                <w:szCs w:val="16"/>
              </w:rPr>
            </w:pPr>
            <w:r w:rsidRPr="00316683">
              <w:rPr>
                <w:sz w:val="16"/>
                <w:szCs w:val="16"/>
              </w:rPr>
              <w:t>ADF</w:t>
            </w:r>
          </w:p>
        </w:tc>
        <w:tc>
          <w:tcPr>
            <w:tcW w:w="880" w:type="dxa"/>
            <w:tcBorders>
              <w:top w:val="single" w:sz="4" w:space="0" w:color="auto"/>
              <w:bottom w:val="single" w:sz="4" w:space="0" w:color="auto"/>
            </w:tcBorders>
          </w:tcPr>
          <w:p w:rsidR="00E3020A" w:rsidRPr="00316683" w:rsidRDefault="00E3020A" w:rsidP="003F4417">
            <w:pPr>
              <w:rPr>
                <w:sz w:val="16"/>
                <w:szCs w:val="16"/>
              </w:rPr>
            </w:pPr>
            <w:r w:rsidRPr="00316683">
              <w:rPr>
                <w:sz w:val="16"/>
                <w:szCs w:val="16"/>
              </w:rPr>
              <w:t>Lignin</w:t>
            </w:r>
          </w:p>
        </w:tc>
        <w:tc>
          <w:tcPr>
            <w:tcW w:w="960" w:type="dxa"/>
            <w:tcBorders>
              <w:top w:val="single" w:sz="4" w:space="0" w:color="auto"/>
              <w:bottom w:val="single" w:sz="4" w:space="0" w:color="auto"/>
            </w:tcBorders>
          </w:tcPr>
          <w:p w:rsidR="00E3020A" w:rsidRPr="00316683" w:rsidRDefault="00E3020A" w:rsidP="003F4417">
            <w:pPr>
              <w:rPr>
                <w:sz w:val="16"/>
                <w:szCs w:val="16"/>
              </w:rPr>
            </w:pPr>
            <w:r w:rsidRPr="00316683">
              <w:rPr>
                <w:sz w:val="16"/>
                <w:szCs w:val="16"/>
              </w:rPr>
              <w:t>Sugar</w:t>
            </w:r>
          </w:p>
        </w:tc>
        <w:tc>
          <w:tcPr>
            <w:tcW w:w="915" w:type="dxa"/>
            <w:tcBorders>
              <w:top w:val="single" w:sz="4" w:space="0" w:color="auto"/>
              <w:bottom w:val="single" w:sz="4" w:space="0" w:color="auto"/>
            </w:tcBorders>
          </w:tcPr>
          <w:p w:rsidR="00E3020A" w:rsidRPr="00316683" w:rsidRDefault="00E3020A" w:rsidP="003F4417">
            <w:pPr>
              <w:rPr>
                <w:sz w:val="16"/>
                <w:szCs w:val="16"/>
              </w:rPr>
            </w:pPr>
            <w:r w:rsidRPr="00316683">
              <w:rPr>
                <w:sz w:val="16"/>
                <w:szCs w:val="16"/>
              </w:rPr>
              <w:t>Fat</w:t>
            </w:r>
          </w:p>
        </w:tc>
        <w:tc>
          <w:tcPr>
            <w:tcW w:w="999" w:type="dxa"/>
            <w:tcBorders>
              <w:top w:val="single" w:sz="4" w:space="0" w:color="auto"/>
              <w:bottom w:val="single" w:sz="4" w:space="0" w:color="auto"/>
            </w:tcBorders>
          </w:tcPr>
          <w:p w:rsidR="00E3020A" w:rsidRPr="00316683" w:rsidRDefault="00E3020A" w:rsidP="003F4417">
            <w:pPr>
              <w:rPr>
                <w:sz w:val="16"/>
                <w:szCs w:val="16"/>
              </w:rPr>
            </w:pPr>
            <w:r w:rsidRPr="00316683">
              <w:rPr>
                <w:sz w:val="16"/>
                <w:szCs w:val="16"/>
              </w:rPr>
              <w:t>Crude Fibre</w:t>
            </w:r>
          </w:p>
        </w:tc>
      </w:tr>
      <w:tr w:rsidR="00E3020A" w:rsidTr="00C34636">
        <w:tc>
          <w:tcPr>
            <w:tcW w:w="392" w:type="dxa"/>
            <w:tcBorders>
              <w:top w:val="single" w:sz="4" w:space="0" w:color="auto"/>
            </w:tcBorders>
          </w:tcPr>
          <w:p w:rsidR="00E3020A" w:rsidRPr="00D251C5" w:rsidRDefault="00E3020A" w:rsidP="003F4417">
            <w:pPr>
              <w:rPr>
                <w:sz w:val="16"/>
                <w:szCs w:val="16"/>
              </w:rPr>
            </w:pPr>
            <w:r>
              <w:rPr>
                <w:sz w:val="16"/>
                <w:szCs w:val="16"/>
              </w:rPr>
              <w:t>1.</w:t>
            </w:r>
          </w:p>
        </w:tc>
        <w:tc>
          <w:tcPr>
            <w:tcW w:w="1843" w:type="dxa"/>
            <w:tcBorders>
              <w:top w:val="single" w:sz="4" w:space="0" w:color="auto"/>
            </w:tcBorders>
          </w:tcPr>
          <w:p w:rsidR="00E3020A" w:rsidRPr="0032102B" w:rsidRDefault="00E3020A" w:rsidP="003F4417">
            <w:pPr>
              <w:rPr>
                <w:sz w:val="16"/>
                <w:szCs w:val="16"/>
              </w:rPr>
            </w:pPr>
            <w:r w:rsidRPr="00D251C5">
              <w:rPr>
                <w:sz w:val="16"/>
                <w:szCs w:val="16"/>
              </w:rPr>
              <w:t>Calcareous grassland</w:t>
            </w:r>
          </w:p>
        </w:tc>
        <w:tc>
          <w:tcPr>
            <w:tcW w:w="1011" w:type="dxa"/>
            <w:tcBorders>
              <w:top w:val="single" w:sz="4" w:space="0" w:color="auto"/>
            </w:tcBorders>
          </w:tcPr>
          <w:p w:rsidR="00147069" w:rsidRDefault="00A05FD2" w:rsidP="003F4417">
            <w:pPr>
              <w:rPr>
                <w:sz w:val="16"/>
                <w:szCs w:val="16"/>
              </w:rPr>
            </w:pPr>
            <w:r>
              <w:rPr>
                <w:sz w:val="16"/>
                <w:szCs w:val="16"/>
              </w:rPr>
              <w:t>8.0</w:t>
            </w:r>
            <w:r w:rsidR="00147069">
              <w:rPr>
                <w:sz w:val="16"/>
                <w:szCs w:val="16"/>
              </w:rPr>
              <w:t xml:space="preserve"> </w:t>
            </w:r>
          </w:p>
          <w:p w:rsidR="00E3020A" w:rsidRPr="00D251C5" w:rsidRDefault="00147069" w:rsidP="003F4417">
            <w:pPr>
              <w:rPr>
                <w:sz w:val="16"/>
                <w:szCs w:val="16"/>
              </w:rPr>
            </w:pPr>
            <w:r>
              <w:rPr>
                <w:sz w:val="16"/>
                <w:szCs w:val="16"/>
              </w:rPr>
              <w:t xml:space="preserve">(4.3 – </w:t>
            </w:r>
            <w:r w:rsidR="00E3020A">
              <w:rPr>
                <w:sz w:val="16"/>
                <w:szCs w:val="16"/>
              </w:rPr>
              <w:t>12.4</w:t>
            </w:r>
            <w:r>
              <w:rPr>
                <w:sz w:val="16"/>
                <w:szCs w:val="16"/>
              </w:rPr>
              <w:t>)</w:t>
            </w:r>
          </w:p>
        </w:tc>
        <w:tc>
          <w:tcPr>
            <w:tcW w:w="973" w:type="dxa"/>
            <w:tcBorders>
              <w:top w:val="single" w:sz="4" w:space="0" w:color="auto"/>
            </w:tcBorders>
          </w:tcPr>
          <w:p w:rsidR="00147069" w:rsidRDefault="00A05FD2" w:rsidP="003F4417">
            <w:pPr>
              <w:rPr>
                <w:sz w:val="16"/>
                <w:szCs w:val="16"/>
              </w:rPr>
            </w:pPr>
            <w:r>
              <w:rPr>
                <w:sz w:val="16"/>
                <w:szCs w:val="16"/>
              </w:rPr>
              <w:t>54.3</w:t>
            </w:r>
          </w:p>
          <w:p w:rsidR="00E3020A" w:rsidRPr="00D251C5" w:rsidRDefault="00147069" w:rsidP="003F4417">
            <w:pPr>
              <w:rPr>
                <w:sz w:val="16"/>
                <w:szCs w:val="16"/>
              </w:rPr>
            </w:pPr>
            <w:r>
              <w:rPr>
                <w:sz w:val="16"/>
                <w:szCs w:val="16"/>
              </w:rPr>
              <w:t>(</w:t>
            </w:r>
            <w:r w:rsidR="00E3020A">
              <w:rPr>
                <w:sz w:val="16"/>
                <w:szCs w:val="16"/>
              </w:rPr>
              <w:t>39.9 – 71.0</w:t>
            </w:r>
            <w:r>
              <w:rPr>
                <w:sz w:val="16"/>
                <w:szCs w:val="16"/>
              </w:rPr>
              <w:t>)</w:t>
            </w:r>
          </w:p>
        </w:tc>
        <w:tc>
          <w:tcPr>
            <w:tcW w:w="993" w:type="dxa"/>
            <w:tcBorders>
              <w:top w:val="single" w:sz="4" w:space="0" w:color="auto"/>
            </w:tcBorders>
          </w:tcPr>
          <w:p w:rsidR="00147069" w:rsidRDefault="00147069" w:rsidP="003F4417">
            <w:pPr>
              <w:rPr>
                <w:sz w:val="16"/>
                <w:szCs w:val="16"/>
              </w:rPr>
            </w:pPr>
            <w:r>
              <w:rPr>
                <w:sz w:val="16"/>
                <w:szCs w:val="16"/>
              </w:rPr>
              <w:t>39.38</w:t>
            </w:r>
          </w:p>
          <w:p w:rsidR="00E3020A" w:rsidRPr="00D251C5" w:rsidRDefault="00147069" w:rsidP="003F4417">
            <w:pPr>
              <w:rPr>
                <w:sz w:val="16"/>
                <w:szCs w:val="16"/>
              </w:rPr>
            </w:pPr>
            <w:r>
              <w:rPr>
                <w:sz w:val="16"/>
                <w:szCs w:val="16"/>
              </w:rPr>
              <w:t>(</w:t>
            </w:r>
            <w:r w:rsidR="00E3020A">
              <w:rPr>
                <w:sz w:val="16"/>
                <w:szCs w:val="16"/>
              </w:rPr>
              <w:t>30.0 – 45.5</w:t>
            </w:r>
            <w:r>
              <w:rPr>
                <w:sz w:val="16"/>
                <w:szCs w:val="16"/>
              </w:rPr>
              <w:t>)</w:t>
            </w:r>
          </w:p>
        </w:tc>
        <w:tc>
          <w:tcPr>
            <w:tcW w:w="880" w:type="dxa"/>
            <w:tcBorders>
              <w:top w:val="single" w:sz="4" w:space="0" w:color="auto"/>
            </w:tcBorders>
          </w:tcPr>
          <w:p w:rsidR="00147069" w:rsidRDefault="00A05FD2" w:rsidP="003F4417">
            <w:pPr>
              <w:rPr>
                <w:sz w:val="16"/>
                <w:szCs w:val="16"/>
              </w:rPr>
            </w:pPr>
            <w:r>
              <w:rPr>
                <w:sz w:val="16"/>
                <w:szCs w:val="16"/>
              </w:rPr>
              <w:t>7.4</w:t>
            </w:r>
          </w:p>
          <w:p w:rsidR="00E3020A" w:rsidRPr="00D251C5" w:rsidRDefault="00147069" w:rsidP="003F4417">
            <w:pPr>
              <w:rPr>
                <w:sz w:val="16"/>
                <w:szCs w:val="16"/>
              </w:rPr>
            </w:pPr>
            <w:r>
              <w:rPr>
                <w:sz w:val="16"/>
                <w:szCs w:val="16"/>
              </w:rPr>
              <w:t>(</w:t>
            </w:r>
            <w:r w:rsidR="00E3020A">
              <w:rPr>
                <w:sz w:val="16"/>
                <w:szCs w:val="16"/>
              </w:rPr>
              <w:t>6.6 – 8.1</w:t>
            </w:r>
            <w:r>
              <w:rPr>
                <w:sz w:val="16"/>
                <w:szCs w:val="16"/>
              </w:rPr>
              <w:t>)</w:t>
            </w:r>
          </w:p>
        </w:tc>
        <w:tc>
          <w:tcPr>
            <w:tcW w:w="960" w:type="dxa"/>
            <w:tcBorders>
              <w:top w:val="single" w:sz="4" w:space="0" w:color="auto"/>
            </w:tcBorders>
          </w:tcPr>
          <w:p w:rsidR="00147069" w:rsidRDefault="00A05FD2" w:rsidP="003F4417">
            <w:pPr>
              <w:rPr>
                <w:sz w:val="16"/>
                <w:szCs w:val="16"/>
              </w:rPr>
            </w:pPr>
            <w:r>
              <w:rPr>
                <w:sz w:val="16"/>
                <w:szCs w:val="16"/>
              </w:rPr>
              <w:t>6.3</w:t>
            </w:r>
          </w:p>
          <w:p w:rsidR="00E3020A" w:rsidRPr="003D4FE1" w:rsidRDefault="00147069" w:rsidP="003F4417">
            <w:pPr>
              <w:rPr>
                <w:sz w:val="16"/>
                <w:szCs w:val="16"/>
              </w:rPr>
            </w:pPr>
            <w:r>
              <w:rPr>
                <w:sz w:val="16"/>
                <w:szCs w:val="16"/>
              </w:rPr>
              <w:t>(4</w:t>
            </w:r>
            <w:r w:rsidR="00E3020A">
              <w:rPr>
                <w:sz w:val="16"/>
                <w:szCs w:val="16"/>
              </w:rPr>
              <w:t>.4 – 8.6</w:t>
            </w:r>
            <w:r>
              <w:rPr>
                <w:sz w:val="16"/>
                <w:szCs w:val="16"/>
              </w:rPr>
              <w:t>)</w:t>
            </w:r>
          </w:p>
        </w:tc>
        <w:tc>
          <w:tcPr>
            <w:tcW w:w="915" w:type="dxa"/>
            <w:tcBorders>
              <w:top w:val="single" w:sz="4" w:space="0" w:color="auto"/>
            </w:tcBorders>
          </w:tcPr>
          <w:p w:rsidR="00147069" w:rsidRDefault="00A05FD2" w:rsidP="003F4417">
            <w:pPr>
              <w:rPr>
                <w:sz w:val="16"/>
                <w:szCs w:val="16"/>
              </w:rPr>
            </w:pPr>
            <w:r>
              <w:rPr>
                <w:sz w:val="16"/>
                <w:szCs w:val="16"/>
              </w:rPr>
              <w:t>3.0</w:t>
            </w:r>
          </w:p>
          <w:p w:rsidR="00E3020A" w:rsidRPr="00D251C5" w:rsidRDefault="00147069" w:rsidP="003F4417">
            <w:pPr>
              <w:rPr>
                <w:sz w:val="16"/>
                <w:szCs w:val="16"/>
              </w:rPr>
            </w:pPr>
            <w:r>
              <w:rPr>
                <w:sz w:val="16"/>
                <w:szCs w:val="16"/>
              </w:rPr>
              <w:t>(</w:t>
            </w:r>
            <w:r w:rsidR="00E3020A">
              <w:rPr>
                <w:sz w:val="16"/>
                <w:szCs w:val="16"/>
              </w:rPr>
              <w:t>2.3 – 3.8</w:t>
            </w:r>
            <w:r>
              <w:rPr>
                <w:sz w:val="16"/>
                <w:szCs w:val="16"/>
              </w:rPr>
              <w:t>)</w:t>
            </w:r>
          </w:p>
        </w:tc>
        <w:tc>
          <w:tcPr>
            <w:tcW w:w="999" w:type="dxa"/>
            <w:tcBorders>
              <w:top w:val="single" w:sz="4" w:space="0" w:color="auto"/>
            </w:tcBorders>
          </w:tcPr>
          <w:p w:rsidR="00147069" w:rsidRDefault="00A05FD2" w:rsidP="003F4417">
            <w:pPr>
              <w:rPr>
                <w:sz w:val="16"/>
                <w:szCs w:val="16"/>
              </w:rPr>
            </w:pPr>
            <w:r>
              <w:rPr>
                <w:sz w:val="16"/>
                <w:szCs w:val="16"/>
              </w:rPr>
              <w:t>32.0</w:t>
            </w:r>
          </w:p>
          <w:p w:rsidR="00E3020A" w:rsidRPr="00D251C5" w:rsidRDefault="00147069" w:rsidP="003F4417">
            <w:pPr>
              <w:rPr>
                <w:sz w:val="16"/>
                <w:szCs w:val="16"/>
              </w:rPr>
            </w:pPr>
            <w:r>
              <w:rPr>
                <w:sz w:val="16"/>
                <w:szCs w:val="16"/>
              </w:rPr>
              <w:t>(</w:t>
            </w:r>
            <w:r w:rsidR="00E3020A">
              <w:rPr>
                <w:sz w:val="16"/>
                <w:szCs w:val="16"/>
              </w:rPr>
              <w:t>22.0 – 38.3</w:t>
            </w:r>
            <w:r>
              <w:rPr>
                <w:sz w:val="16"/>
                <w:szCs w:val="16"/>
              </w:rPr>
              <w:t>)</w:t>
            </w:r>
          </w:p>
        </w:tc>
      </w:tr>
      <w:tr w:rsidR="00E3020A" w:rsidTr="00C34636">
        <w:tc>
          <w:tcPr>
            <w:tcW w:w="392" w:type="dxa"/>
          </w:tcPr>
          <w:p w:rsidR="00E3020A" w:rsidRPr="00E3020A" w:rsidRDefault="00E3020A" w:rsidP="003F4417">
            <w:pPr>
              <w:rPr>
                <w:sz w:val="16"/>
                <w:szCs w:val="16"/>
              </w:rPr>
            </w:pPr>
            <w:r>
              <w:rPr>
                <w:sz w:val="16"/>
                <w:szCs w:val="16"/>
              </w:rPr>
              <w:t>2.</w:t>
            </w:r>
          </w:p>
        </w:tc>
        <w:tc>
          <w:tcPr>
            <w:tcW w:w="1843" w:type="dxa"/>
          </w:tcPr>
          <w:p w:rsidR="00E3020A" w:rsidRPr="00D251C5" w:rsidRDefault="00E3020A" w:rsidP="003F4417">
            <w:pPr>
              <w:rPr>
                <w:sz w:val="16"/>
                <w:szCs w:val="16"/>
              </w:rPr>
            </w:pPr>
            <w:r w:rsidRPr="0032102B">
              <w:rPr>
                <w:i/>
                <w:sz w:val="16"/>
                <w:szCs w:val="16"/>
              </w:rPr>
              <w:t>D. glomerata-R. acris</w:t>
            </w:r>
            <w:r>
              <w:rPr>
                <w:sz w:val="16"/>
                <w:szCs w:val="16"/>
              </w:rPr>
              <w:t xml:space="preserve"> mesotrophic grassland</w:t>
            </w:r>
          </w:p>
        </w:tc>
        <w:tc>
          <w:tcPr>
            <w:tcW w:w="1011" w:type="dxa"/>
          </w:tcPr>
          <w:p w:rsidR="00147069" w:rsidRDefault="00A05FD2" w:rsidP="003F4417">
            <w:pPr>
              <w:rPr>
                <w:sz w:val="16"/>
                <w:szCs w:val="16"/>
              </w:rPr>
            </w:pPr>
            <w:r>
              <w:rPr>
                <w:sz w:val="16"/>
                <w:szCs w:val="16"/>
              </w:rPr>
              <w:t>5.9</w:t>
            </w:r>
          </w:p>
          <w:p w:rsidR="00E3020A" w:rsidRPr="00D251C5" w:rsidRDefault="00147069" w:rsidP="003F4417">
            <w:pPr>
              <w:rPr>
                <w:sz w:val="16"/>
                <w:szCs w:val="16"/>
              </w:rPr>
            </w:pPr>
            <w:r>
              <w:rPr>
                <w:sz w:val="16"/>
                <w:szCs w:val="16"/>
              </w:rPr>
              <w:t>(</w:t>
            </w:r>
            <w:r w:rsidR="00E3020A">
              <w:rPr>
                <w:sz w:val="16"/>
                <w:szCs w:val="16"/>
              </w:rPr>
              <w:t>2.2 – 6.6</w:t>
            </w:r>
            <w:r>
              <w:rPr>
                <w:sz w:val="16"/>
                <w:szCs w:val="16"/>
              </w:rPr>
              <w:t>)</w:t>
            </w:r>
          </w:p>
        </w:tc>
        <w:tc>
          <w:tcPr>
            <w:tcW w:w="973" w:type="dxa"/>
          </w:tcPr>
          <w:p w:rsidR="00147069" w:rsidRDefault="00A05FD2" w:rsidP="003F4417">
            <w:pPr>
              <w:rPr>
                <w:sz w:val="16"/>
                <w:szCs w:val="16"/>
              </w:rPr>
            </w:pPr>
            <w:r>
              <w:rPr>
                <w:sz w:val="16"/>
                <w:szCs w:val="16"/>
              </w:rPr>
              <w:t>54.9</w:t>
            </w:r>
          </w:p>
          <w:p w:rsidR="00E3020A" w:rsidRPr="00D251C5" w:rsidRDefault="00147069" w:rsidP="003F4417">
            <w:pPr>
              <w:rPr>
                <w:sz w:val="16"/>
                <w:szCs w:val="16"/>
              </w:rPr>
            </w:pPr>
            <w:r>
              <w:rPr>
                <w:sz w:val="16"/>
                <w:szCs w:val="16"/>
              </w:rPr>
              <w:t>(</w:t>
            </w:r>
            <w:r w:rsidR="00E3020A">
              <w:rPr>
                <w:sz w:val="16"/>
                <w:szCs w:val="16"/>
              </w:rPr>
              <w:t>50.3 – 56.5</w:t>
            </w:r>
            <w:r>
              <w:rPr>
                <w:sz w:val="16"/>
                <w:szCs w:val="16"/>
              </w:rPr>
              <w:t>)</w:t>
            </w:r>
          </w:p>
        </w:tc>
        <w:tc>
          <w:tcPr>
            <w:tcW w:w="993" w:type="dxa"/>
          </w:tcPr>
          <w:p w:rsidR="00147069" w:rsidRDefault="00A05FD2" w:rsidP="003F4417">
            <w:pPr>
              <w:rPr>
                <w:sz w:val="16"/>
                <w:szCs w:val="16"/>
              </w:rPr>
            </w:pPr>
            <w:r>
              <w:rPr>
                <w:sz w:val="16"/>
                <w:szCs w:val="16"/>
              </w:rPr>
              <w:t>35.4</w:t>
            </w:r>
          </w:p>
          <w:p w:rsidR="00E3020A" w:rsidRPr="00D251C5" w:rsidRDefault="00147069" w:rsidP="003F4417">
            <w:pPr>
              <w:rPr>
                <w:sz w:val="16"/>
                <w:szCs w:val="16"/>
              </w:rPr>
            </w:pPr>
            <w:r>
              <w:rPr>
                <w:sz w:val="16"/>
                <w:szCs w:val="16"/>
              </w:rPr>
              <w:t>(</w:t>
            </w:r>
            <w:r w:rsidR="00E3020A">
              <w:rPr>
                <w:sz w:val="16"/>
                <w:szCs w:val="16"/>
              </w:rPr>
              <w:t>21.7 – 29.7</w:t>
            </w:r>
            <w:r>
              <w:rPr>
                <w:sz w:val="16"/>
                <w:szCs w:val="16"/>
              </w:rPr>
              <w:t>)</w:t>
            </w:r>
          </w:p>
        </w:tc>
        <w:tc>
          <w:tcPr>
            <w:tcW w:w="880" w:type="dxa"/>
          </w:tcPr>
          <w:p w:rsidR="00147069" w:rsidRDefault="00A05FD2" w:rsidP="003F4417">
            <w:pPr>
              <w:rPr>
                <w:sz w:val="16"/>
                <w:szCs w:val="16"/>
              </w:rPr>
            </w:pPr>
            <w:r>
              <w:rPr>
                <w:sz w:val="16"/>
                <w:szCs w:val="16"/>
              </w:rPr>
              <w:t>7.1</w:t>
            </w:r>
          </w:p>
          <w:p w:rsidR="00E3020A" w:rsidRPr="00D251C5" w:rsidRDefault="00147069" w:rsidP="003F4417">
            <w:pPr>
              <w:rPr>
                <w:sz w:val="16"/>
                <w:szCs w:val="16"/>
              </w:rPr>
            </w:pPr>
            <w:r>
              <w:rPr>
                <w:sz w:val="16"/>
                <w:szCs w:val="16"/>
              </w:rPr>
              <w:t>(</w:t>
            </w:r>
            <w:r w:rsidR="00E3020A">
              <w:rPr>
                <w:sz w:val="16"/>
                <w:szCs w:val="16"/>
              </w:rPr>
              <w:t>2.8 – 4.1</w:t>
            </w:r>
            <w:r>
              <w:rPr>
                <w:sz w:val="16"/>
                <w:szCs w:val="16"/>
              </w:rPr>
              <w:t>)</w:t>
            </w:r>
          </w:p>
        </w:tc>
        <w:tc>
          <w:tcPr>
            <w:tcW w:w="960" w:type="dxa"/>
          </w:tcPr>
          <w:p w:rsidR="00147069" w:rsidRDefault="00A05FD2" w:rsidP="003F4417">
            <w:pPr>
              <w:rPr>
                <w:sz w:val="16"/>
                <w:szCs w:val="16"/>
              </w:rPr>
            </w:pPr>
            <w:r>
              <w:rPr>
                <w:sz w:val="16"/>
                <w:szCs w:val="16"/>
              </w:rPr>
              <w:t>23.6</w:t>
            </w:r>
          </w:p>
          <w:p w:rsidR="00E3020A" w:rsidRPr="00DE2E3D" w:rsidRDefault="00147069" w:rsidP="003F4417">
            <w:pPr>
              <w:rPr>
                <w:sz w:val="16"/>
                <w:szCs w:val="16"/>
              </w:rPr>
            </w:pPr>
            <w:r>
              <w:rPr>
                <w:sz w:val="16"/>
                <w:szCs w:val="16"/>
              </w:rPr>
              <w:t>(</w:t>
            </w:r>
            <w:r w:rsidR="00E3020A">
              <w:rPr>
                <w:sz w:val="16"/>
                <w:szCs w:val="16"/>
              </w:rPr>
              <w:t>13.5 – 19.1</w:t>
            </w:r>
            <w:r>
              <w:rPr>
                <w:sz w:val="16"/>
                <w:szCs w:val="16"/>
              </w:rPr>
              <w:t>)</w:t>
            </w:r>
          </w:p>
        </w:tc>
        <w:tc>
          <w:tcPr>
            <w:tcW w:w="915" w:type="dxa"/>
          </w:tcPr>
          <w:p w:rsidR="00147069" w:rsidRDefault="00A05FD2" w:rsidP="003F4417">
            <w:pPr>
              <w:rPr>
                <w:sz w:val="16"/>
                <w:szCs w:val="16"/>
              </w:rPr>
            </w:pPr>
            <w:r>
              <w:rPr>
                <w:sz w:val="16"/>
                <w:szCs w:val="16"/>
              </w:rPr>
              <w:t>3.6</w:t>
            </w:r>
          </w:p>
          <w:p w:rsidR="00E3020A" w:rsidRPr="00D251C5" w:rsidRDefault="00147069" w:rsidP="003F4417">
            <w:pPr>
              <w:rPr>
                <w:sz w:val="16"/>
                <w:szCs w:val="16"/>
              </w:rPr>
            </w:pPr>
            <w:r>
              <w:rPr>
                <w:sz w:val="16"/>
                <w:szCs w:val="16"/>
              </w:rPr>
              <w:t>(</w:t>
            </w:r>
            <w:r w:rsidR="00E3020A">
              <w:rPr>
                <w:sz w:val="16"/>
                <w:szCs w:val="16"/>
              </w:rPr>
              <w:t>1.9 – 2.6</w:t>
            </w:r>
            <w:r>
              <w:rPr>
                <w:sz w:val="16"/>
                <w:szCs w:val="16"/>
              </w:rPr>
              <w:t>)</w:t>
            </w:r>
          </w:p>
        </w:tc>
        <w:tc>
          <w:tcPr>
            <w:tcW w:w="999" w:type="dxa"/>
          </w:tcPr>
          <w:p w:rsidR="00147069" w:rsidRDefault="00A05FD2" w:rsidP="003F4417">
            <w:pPr>
              <w:rPr>
                <w:sz w:val="16"/>
                <w:szCs w:val="16"/>
              </w:rPr>
            </w:pPr>
            <w:r>
              <w:rPr>
                <w:sz w:val="16"/>
                <w:szCs w:val="16"/>
              </w:rPr>
              <w:t>28.3</w:t>
            </w:r>
          </w:p>
          <w:p w:rsidR="00E3020A" w:rsidRPr="00D251C5" w:rsidRDefault="00147069" w:rsidP="003F4417">
            <w:pPr>
              <w:rPr>
                <w:sz w:val="16"/>
                <w:szCs w:val="16"/>
              </w:rPr>
            </w:pPr>
            <w:r>
              <w:rPr>
                <w:sz w:val="16"/>
                <w:szCs w:val="16"/>
              </w:rPr>
              <w:t>(</w:t>
            </w:r>
            <w:r w:rsidR="00E3020A">
              <w:rPr>
                <w:sz w:val="16"/>
                <w:szCs w:val="16"/>
              </w:rPr>
              <w:t>18.6 – 26.0</w:t>
            </w:r>
            <w:r>
              <w:rPr>
                <w:sz w:val="16"/>
                <w:szCs w:val="16"/>
              </w:rPr>
              <w:t>)</w:t>
            </w:r>
          </w:p>
        </w:tc>
      </w:tr>
      <w:tr w:rsidR="00E3020A" w:rsidTr="00C34636">
        <w:tc>
          <w:tcPr>
            <w:tcW w:w="392" w:type="dxa"/>
          </w:tcPr>
          <w:p w:rsidR="00E3020A" w:rsidRPr="00E3020A" w:rsidRDefault="00E3020A" w:rsidP="003F4417">
            <w:pPr>
              <w:rPr>
                <w:sz w:val="16"/>
                <w:szCs w:val="16"/>
              </w:rPr>
            </w:pPr>
            <w:r>
              <w:rPr>
                <w:sz w:val="16"/>
                <w:szCs w:val="16"/>
              </w:rPr>
              <w:t>3.</w:t>
            </w:r>
          </w:p>
        </w:tc>
        <w:tc>
          <w:tcPr>
            <w:tcW w:w="1843" w:type="dxa"/>
          </w:tcPr>
          <w:p w:rsidR="00E3020A" w:rsidRPr="00D251C5" w:rsidRDefault="00E3020A" w:rsidP="003F4417">
            <w:pPr>
              <w:rPr>
                <w:sz w:val="16"/>
                <w:szCs w:val="16"/>
              </w:rPr>
            </w:pPr>
            <w:r w:rsidRPr="0032102B">
              <w:rPr>
                <w:i/>
                <w:sz w:val="16"/>
                <w:szCs w:val="16"/>
              </w:rPr>
              <w:t>L. hispidus-A. odoratum</w:t>
            </w:r>
            <w:r>
              <w:rPr>
                <w:sz w:val="16"/>
                <w:szCs w:val="16"/>
              </w:rPr>
              <w:t xml:space="preserve">  mesotrophic grassland</w:t>
            </w:r>
          </w:p>
        </w:tc>
        <w:tc>
          <w:tcPr>
            <w:tcW w:w="1011" w:type="dxa"/>
          </w:tcPr>
          <w:p w:rsidR="00147069" w:rsidRDefault="00A05FD2" w:rsidP="003F4417">
            <w:pPr>
              <w:rPr>
                <w:sz w:val="16"/>
                <w:szCs w:val="16"/>
              </w:rPr>
            </w:pPr>
            <w:r>
              <w:rPr>
                <w:sz w:val="16"/>
                <w:szCs w:val="16"/>
              </w:rPr>
              <w:t>3.8</w:t>
            </w:r>
          </w:p>
          <w:p w:rsidR="00E3020A" w:rsidRPr="00D251C5" w:rsidRDefault="00147069" w:rsidP="003F4417">
            <w:pPr>
              <w:rPr>
                <w:sz w:val="16"/>
                <w:szCs w:val="16"/>
              </w:rPr>
            </w:pPr>
            <w:r>
              <w:rPr>
                <w:sz w:val="16"/>
                <w:szCs w:val="16"/>
              </w:rPr>
              <w:t>(</w:t>
            </w:r>
            <w:r w:rsidR="00E3020A">
              <w:rPr>
                <w:sz w:val="16"/>
                <w:szCs w:val="16"/>
              </w:rPr>
              <w:t>4.3 – 7.4</w:t>
            </w:r>
            <w:r>
              <w:rPr>
                <w:sz w:val="16"/>
                <w:szCs w:val="16"/>
              </w:rPr>
              <w:t>)</w:t>
            </w:r>
          </w:p>
        </w:tc>
        <w:tc>
          <w:tcPr>
            <w:tcW w:w="973" w:type="dxa"/>
          </w:tcPr>
          <w:p w:rsidR="00147069" w:rsidRDefault="00A05FD2" w:rsidP="003F4417">
            <w:pPr>
              <w:rPr>
                <w:sz w:val="16"/>
                <w:szCs w:val="16"/>
              </w:rPr>
            </w:pPr>
            <w:r>
              <w:rPr>
                <w:sz w:val="16"/>
                <w:szCs w:val="16"/>
              </w:rPr>
              <w:t>58.4</w:t>
            </w:r>
          </w:p>
          <w:p w:rsidR="00E3020A" w:rsidRPr="00D251C5" w:rsidRDefault="00147069" w:rsidP="003F4417">
            <w:pPr>
              <w:rPr>
                <w:sz w:val="16"/>
                <w:szCs w:val="16"/>
              </w:rPr>
            </w:pPr>
            <w:r>
              <w:rPr>
                <w:sz w:val="16"/>
                <w:szCs w:val="16"/>
              </w:rPr>
              <w:t>(</w:t>
            </w:r>
            <w:r w:rsidR="00E3020A">
              <w:rPr>
                <w:sz w:val="16"/>
                <w:szCs w:val="16"/>
              </w:rPr>
              <w:t>45.1 – 68.2</w:t>
            </w:r>
            <w:r>
              <w:rPr>
                <w:sz w:val="16"/>
                <w:szCs w:val="16"/>
              </w:rPr>
              <w:t>)</w:t>
            </w:r>
          </w:p>
        </w:tc>
        <w:tc>
          <w:tcPr>
            <w:tcW w:w="993" w:type="dxa"/>
          </w:tcPr>
          <w:p w:rsidR="00147069" w:rsidRDefault="00A05FD2" w:rsidP="003F4417">
            <w:pPr>
              <w:rPr>
                <w:sz w:val="16"/>
                <w:szCs w:val="16"/>
              </w:rPr>
            </w:pPr>
            <w:r>
              <w:rPr>
                <w:sz w:val="16"/>
                <w:szCs w:val="16"/>
              </w:rPr>
              <w:t>32.7</w:t>
            </w:r>
          </w:p>
          <w:p w:rsidR="00E3020A" w:rsidRPr="00D251C5" w:rsidRDefault="00147069" w:rsidP="003F4417">
            <w:pPr>
              <w:rPr>
                <w:sz w:val="16"/>
                <w:szCs w:val="16"/>
              </w:rPr>
            </w:pPr>
            <w:r>
              <w:rPr>
                <w:sz w:val="16"/>
                <w:szCs w:val="16"/>
              </w:rPr>
              <w:t>(</w:t>
            </w:r>
            <w:r w:rsidR="00E3020A">
              <w:rPr>
                <w:sz w:val="16"/>
                <w:szCs w:val="16"/>
              </w:rPr>
              <w:t>34.9 – 35.6</w:t>
            </w:r>
            <w:r>
              <w:rPr>
                <w:sz w:val="16"/>
                <w:szCs w:val="16"/>
              </w:rPr>
              <w:t>)</w:t>
            </w:r>
          </w:p>
        </w:tc>
        <w:tc>
          <w:tcPr>
            <w:tcW w:w="880" w:type="dxa"/>
          </w:tcPr>
          <w:p w:rsidR="00147069" w:rsidRDefault="00A05FD2" w:rsidP="003F4417">
            <w:pPr>
              <w:rPr>
                <w:sz w:val="16"/>
                <w:szCs w:val="16"/>
              </w:rPr>
            </w:pPr>
            <w:r>
              <w:rPr>
                <w:sz w:val="16"/>
                <w:szCs w:val="16"/>
              </w:rPr>
              <w:t>6.5</w:t>
            </w:r>
          </w:p>
          <w:p w:rsidR="00E3020A" w:rsidRPr="00D251C5" w:rsidRDefault="00147069" w:rsidP="003F4417">
            <w:pPr>
              <w:rPr>
                <w:sz w:val="16"/>
                <w:szCs w:val="16"/>
              </w:rPr>
            </w:pPr>
            <w:r>
              <w:rPr>
                <w:sz w:val="16"/>
                <w:szCs w:val="16"/>
              </w:rPr>
              <w:t>(</w:t>
            </w:r>
            <w:r w:rsidR="00E3020A">
              <w:rPr>
                <w:sz w:val="16"/>
                <w:szCs w:val="16"/>
              </w:rPr>
              <w:t>6.0 – 7.7</w:t>
            </w:r>
            <w:r>
              <w:rPr>
                <w:sz w:val="16"/>
                <w:szCs w:val="16"/>
              </w:rPr>
              <w:t>)</w:t>
            </w:r>
          </w:p>
        </w:tc>
        <w:tc>
          <w:tcPr>
            <w:tcW w:w="960" w:type="dxa"/>
          </w:tcPr>
          <w:p w:rsidR="00147069" w:rsidRDefault="00A05FD2" w:rsidP="003F4417">
            <w:pPr>
              <w:rPr>
                <w:sz w:val="16"/>
                <w:szCs w:val="16"/>
              </w:rPr>
            </w:pPr>
            <w:r>
              <w:rPr>
                <w:sz w:val="16"/>
                <w:szCs w:val="16"/>
              </w:rPr>
              <w:t>20.</w:t>
            </w:r>
            <w:r w:rsidR="00147069">
              <w:rPr>
                <w:sz w:val="16"/>
                <w:szCs w:val="16"/>
              </w:rPr>
              <w:t>6</w:t>
            </w:r>
          </w:p>
          <w:p w:rsidR="00E3020A" w:rsidRPr="00D05188" w:rsidRDefault="00147069" w:rsidP="003F4417">
            <w:pPr>
              <w:rPr>
                <w:sz w:val="16"/>
                <w:szCs w:val="16"/>
              </w:rPr>
            </w:pPr>
            <w:r>
              <w:rPr>
                <w:sz w:val="16"/>
                <w:szCs w:val="16"/>
              </w:rPr>
              <w:t>(</w:t>
            </w:r>
            <w:r w:rsidR="00E3020A">
              <w:rPr>
                <w:sz w:val="16"/>
                <w:szCs w:val="16"/>
              </w:rPr>
              <w:t>22.2 – 27.1</w:t>
            </w:r>
            <w:r>
              <w:rPr>
                <w:sz w:val="16"/>
                <w:szCs w:val="16"/>
              </w:rPr>
              <w:t>)</w:t>
            </w:r>
          </w:p>
        </w:tc>
        <w:tc>
          <w:tcPr>
            <w:tcW w:w="915" w:type="dxa"/>
          </w:tcPr>
          <w:p w:rsidR="00147069" w:rsidRDefault="00A05FD2" w:rsidP="003F4417">
            <w:pPr>
              <w:rPr>
                <w:sz w:val="16"/>
                <w:szCs w:val="16"/>
              </w:rPr>
            </w:pPr>
            <w:r>
              <w:rPr>
                <w:sz w:val="16"/>
                <w:szCs w:val="16"/>
              </w:rPr>
              <w:t>2.6</w:t>
            </w:r>
          </w:p>
          <w:p w:rsidR="00E3020A" w:rsidRPr="00D251C5" w:rsidRDefault="00147069" w:rsidP="003F4417">
            <w:pPr>
              <w:rPr>
                <w:sz w:val="16"/>
                <w:szCs w:val="16"/>
              </w:rPr>
            </w:pPr>
            <w:r>
              <w:rPr>
                <w:sz w:val="16"/>
                <w:szCs w:val="16"/>
              </w:rPr>
              <w:t>(</w:t>
            </w:r>
            <w:r w:rsidR="00E3020A">
              <w:rPr>
                <w:sz w:val="16"/>
                <w:szCs w:val="16"/>
              </w:rPr>
              <w:t>3.3 – 3.7</w:t>
            </w:r>
            <w:r>
              <w:rPr>
                <w:sz w:val="16"/>
                <w:szCs w:val="16"/>
              </w:rPr>
              <w:t>)</w:t>
            </w:r>
          </w:p>
        </w:tc>
        <w:tc>
          <w:tcPr>
            <w:tcW w:w="999" w:type="dxa"/>
          </w:tcPr>
          <w:p w:rsidR="00147069" w:rsidRDefault="00A05FD2" w:rsidP="003F4417">
            <w:pPr>
              <w:rPr>
                <w:sz w:val="16"/>
                <w:szCs w:val="16"/>
              </w:rPr>
            </w:pPr>
            <w:r>
              <w:rPr>
                <w:sz w:val="16"/>
                <w:szCs w:val="16"/>
              </w:rPr>
              <w:t>26.2</w:t>
            </w:r>
          </w:p>
          <w:p w:rsidR="00E3020A" w:rsidRPr="00D251C5" w:rsidRDefault="00147069" w:rsidP="003F4417">
            <w:pPr>
              <w:rPr>
                <w:sz w:val="16"/>
                <w:szCs w:val="16"/>
              </w:rPr>
            </w:pPr>
            <w:r>
              <w:rPr>
                <w:sz w:val="16"/>
                <w:szCs w:val="16"/>
              </w:rPr>
              <w:t>(</w:t>
            </w:r>
            <w:r w:rsidR="00E3020A">
              <w:rPr>
                <w:sz w:val="16"/>
                <w:szCs w:val="16"/>
              </w:rPr>
              <w:t>27.9 – 29.1</w:t>
            </w:r>
            <w:r>
              <w:rPr>
                <w:sz w:val="16"/>
                <w:szCs w:val="16"/>
              </w:rPr>
              <w:t>)</w:t>
            </w:r>
          </w:p>
        </w:tc>
      </w:tr>
      <w:tr w:rsidR="00E3020A" w:rsidTr="00C34636">
        <w:tc>
          <w:tcPr>
            <w:tcW w:w="392" w:type="dxa"/>
          </w:tcPr>
          <w:p w:rsidR="00E3020A" w:rsidRPr="00E3020A" w:rsidRDefault="00E3020A" w:rsidP="003F4417">
            <w:pPr>
              <w:rPr>
                <w:sz w:val="16"/>
                <w:szCs w:val="16"/>
              </w:rPr>
            </w:pPr>
            <w:r>
              <w:rPr>
                <w:sz w:val="16"/>
                <w:szCs w:val="16"/>
              </w:rPr>
              <w:t>4.</w:t>
            </w:r>
          </w:p>
        </w:tc>
        <w:tc>
          <w:tcPr>
            <w:tcW w:w="1843" w:type="dxa"/>
          </w:tcPr>
          <w:p w:rsidR="00E3020A" w:rsidRPr="00D251C5" w:rsidRDefault="00E3020A" w:rsidP="003F4417">
            <w:pPr>
              <w:rPr>
                <w:sz w:val="16"/>
                <w:szCs w:val="16"/>
              </w:rPr>
            </w:pPr>
            <w:r w:rsidRPr="0032102B">
              <w:rPr>
                <w:i/>
                <w:sz w:val="16"/>
                <w:szCs w:val="16"/>
              </w:rPr>
              <w:t>L. hispidus-D. glomerata</w:t>
            </w:r>
            <w:r>
              <w:rPr>
                <w:sz w:val="16"/>
                <w:szCs w:val="16"/>
              </w:rPr>
              <w:t xml:space="preserve">  mesotrophic grassland </w:t>
            </w:r>
          </w:p>
        </w:tc>
        <w:tc>
          <w:tcPr>
            <w:tcW w:w="1011" w:type="dxa"/>
          </w:tcPr>
          <w:p w:rsidR="00147069" w:rsidRDefault="00A05FD2" w:rsidP="003F4417">
            <w:pPr>
              <w:rPr>
                <w:sz w:val="16"/>
                <w:szCs w:val="16"/>
              </w:rPr>
            </w:pPr>
            <w:r>
              <w:rPr>
                <w:sz w:val="16"/>
                <w:szCs w:val="16"/>
              </w:rPr>
              <w:t>4.8</w:t>
            </w:r>
          </w:p>
          <w:p w:rsidR="00E3020A" w:rsidRPr="00D251C5" w:rsidRDefault="00147069" w:rsidP="003F4417">
            <w:pPr>
              <w:rPr>
                <w:sz w:val="16"/>
                <w:szCs w:val="16"/>
              </w:rPr>
            </w:pPr>
            <w:r>
              <w:rPr>
                <w:sz w:val="16"/>
                <w:szCs w:val="16"/>
              </w:rPr>
              <w:t>(</w:t>
            </w:r>
            <w:r w:rsidR="00E3020A">
              <w:rPr>
                <w:sz w:val="16"/>
                <w:szCs w:val="16"/>
              </w:rPr>
              <w:t>2.5 – 5.6</w:t>
            </w:r>
            <w:r>
              <w:rPr>
                <w:sz w:val="16"/>
                <w:szCs w:val="16"/>
              </w:rPr>
              <w:t>)</w:t>
            </w:r>
          </w:p>
        </w:tc>
        <w:tc>
          <w:tcPr>
            <w:tcW w:w="973" w:type="dxa"/>
          </w:tcPr>
          <w:p w:rsidR="00147069" w:rsidRDefault="00A05FD2" w:rsidP="003F4417">
            <w:pPr>
              <w:rPr>
                <w:sz w:val="16"/>
                <w:szCs w:val="16"/>
              </w:rPr>
            </w:pPr>
            <w:r>
              <w:rPr>
                <w:sz w:val="16"/>
                <w:szCs w:val="16"/>
              </w:rPr>
              <w:t>56.7</w:t>
            </w:r>
          </w:p>
          <w:p w:rsidR="00E3020A" w:rsidRPr="00D251C5" w:rsidRDefault="00147069" w:rsidP="003F4417">
            <w:pPr>
              <w:rPr>
                <w:sz w:val="16"/>
                <w:szCs w:val="16"/>
              </w:rPr>
            </w:pPr>
            <w:r>
              <w:rPr>
                <w:sz w:val="16"/>
                <w:szCs w:val="16"/>
              </w:rPr>
              <w:t>(</w:t>
            </w:r>
            <w:r w:rsidR="00E3020A">
              <w:rPr>
                <w:sz w:val="16"/>
                <w:szCs w:val="16"/>
              </w:rPr>
              <w:t>52.0 – 70.6</w:t>
            </w:r>
            <w:r>
              <w:rPr>
                <w:sz w:val="16"/>
                <w:szCs w:val="16"/>
              </w:rPr>
              <w:t>)</w:t>
            </w:r>
          </w:p>
        </w:tc>
        <w:tc>
          <w:tcPr>
            <w:tcW w:w="993" w:type="dxa"/>
          </w:tcPr>
          <w:p w:rsidR="00147069" w:rsidRDefault="00A05FD2" w:rsidP="003F4417">
            <w:pPr>
              <w:rPr>
                <w:sz w:val="16"/>
                <w:szCs w:val="16"/>
              </w:rPr>
            </w:pPr>
            <w:r>
              <w:rPr>
                <w:sz w:val="16"/>
                <w:szCs w:val="16"/>
              </w:rPr>
              <w:t>34.1</w:t>
            </w:r>
          </w:p>
          <w:p w:rsidR="00E3020A" w:rsidRPr="00D251C5" w:rsidRDefault="00147069" w:rsidP="003F4417">
            <w:pPr>
              <w:rPr>
                <w:sz w:val="16"/>
                <w:szCs w:val="16"/>
              </w:rPr>
            </w:pPr>
            <w:r>
              <w:rPr>
                <w:sz w:val="16"/>
                <w:szCs w:val="16"/>
              </w:rPr>
              <w:t>(</w:t>
            </w:r>
            <w:r w:rsidR="00E3020A">
              <w:rPr>
                <w:sz w:val="16"/>
                <w:szCs w:val="16"/>
              </w:rPr>
              <w:t>30.0 – 40.0</w:t>
            </w:r>
            <w:r>
              <w:rPr>
                <w:sz w:val="16"/>
                <w:szCs w:val="16"/>
              </w:rPr>
              <w:t>)</w:t>
            </w:r>
          </w:p>
        </w:tc>
        <w:tc>
          <w:tcPr>
            <w:tcW w:w="880" w:type="dxa"/>
          </w:tcPr>
          <w:p w:rsidR="00147069" w:rsidRDefault="00A05FD2" w:rsidP="003F4417">
            <w:pPr>
              <w:rPr>
                <w:sz w:val="16"/>
                <w:szCs w:val="16"/>
              </w:rPr>
            </w:pPr>
            <w:r>
              <w:rPr>
                <w:sz w:val="16"/>
                <w:szCs w:val="16"/>
              </w:rPr>
              <w:t>6.8</w:t>
            </w:r>
          </w:p>
          <w:p w:rsidR="00E3020A" w:rsidRPr="00D251C5" w:rsidRDefault="00147069" w:rsidP="003F4417">
            <w:pPr>
              <w:rPr>
                <w:sz w:val="16"/>
                <w:szCs w:val="16"/>
              </w:rPr>
            </w:pPr>
            <w:r>
              <w:rPr>
                <w:sz w:val="16"/>
                <w:szCs w:val="16"/>
              </w:rPr>
              <w:t>(</w:t>
            </w:r>
            <w:r w:rsidR="00E3020A">
              <w:rPr>
                <w:sz w:val="16"/>
                <w:szCs w:val="16"/>
              </w:rPr>
              <w:t>5.9 – 8.2</w:t>
            </w:r>
            <w:r>
              <w:rPr>
                <w:sz w:val="16"/>
                <w:szCs w:val="16"/>
              </w:rPr>
              <w:t>)</w:t>
            </w:r>
          </w:p>
        </w:tc>
        <w:tc>
          <w:tcPr>
            <w:tcW w:w="960" w:type="dxa"/>
          </w:tcPr>
          <w:p w:rsidR="00147069" w:rsidRDefault="00A05FD2" w:rsidP="003F4417">
            <w:pPr>
              <w:rPr>
                <w:sz w:val="16"/>
                <w:szCs w:val="16"/>
              </w:rPr>
            </w:pPr>
            <w:r>
              <w:rPr>
                <w:sz w:val="16"/>
                <w:szCs w:val="16"/>
              </w:rPr>
              <w:t>22.1</w:t>
            </w:r>
          </w:p>
          <w:p w:rsidR="00E3020A" w:rsidRPr="00D05188" w:rsidRDefault="00147069" w:rsidP="003F4417">
            <w:pPr>
              <w:rPr>
                <w:sz w:val="16"/>
                <w:szCs w:val="16"/>
              </w:rPr>
            </w:pPr>
            <w:r>
              <w:rPr>
                <w:sz w:val="16"/>
                <w:szCs w:val="16"/>
              </w:rPr>
              <w:t>(</w:t>
            </w:r>
            <w:r w:rsidR="00E3020A">
              <w:rPr>
                <w:sz w:val="16"/>
                <w:szCs w:val="16"/>
              </w:rPr>
              <w:t>19.8 – 22.3</w:t>
            </w:r>
            <w:r>
              <w:rPr>
                <w:sz w:val="16"/>
                <w:szCs w:val="16"/>
              </w:rPr>
              <w:t>)</w:t>
            </w:r>
          </w:p>
        </w:tc>
        <w:tc>
          <w:tcPr>
            <w:tcW w:w="915" w:type="dxa"/>
          </w:tcPr>
          <w:p w:rsidR="00147069" w:rsidRDefault="00A05FD2" w:rsidP="003F4417">
            <w:pPr>
              <w:rPr>
                <w:sz w:val="16"/>
                <w:szCs w:val="16"/>
              </w:rPr>
            </w:pPr>
            <w:r>
              <w:rPr>
                <w:sz w:val="16"/>
                <w:szCs w:val="16"/>
              </w:rPr>
              <w:t>3.1</w:t>
            </w:r>
          </w:p>
          <w:p w:rsidR="00E3020A" w:rsidRPr="00D251C5" w:rsidRDefault="00147069" w:rsidP="003F4417">
            <w:pPr>
              <w:rPr>
                <w:sz w:val="16"/>
                <w:szCs w:val="16"/>
              </w:rPr>
            </w:pPr>
            <w:r>
              <w:rPr>
                <w:sz w:val="16"/>
                <w:szCs w:val="16"/>
              </w:rPr>
              <w:t>(</w:t>
            </w:r>
            <w:r w:rsidR="00E3020A">
              <w:rPr>
                <w:sz w:val="16"/>
                <w:szCs w:val="16"/>
              </w:rPr>
              <w:t>2.3 – 2.7</w:t>
            </w:r>
            <w:r>
              <w:rPr>
                <w:sz w:val="16"/>
                <w:szCs w:val="16"/>
              </w:rPr>
              <w:t>)</w:t>
            </w:r>
          </w:p>
        </w:tc>
        <w:tc>
          <w:tcPr>
            <w:tcW w:w="999" w:type="dxa"/>
          </w:tcPr>
          <w:p w:rsidR="00147069" w:rsidRDefault="00A05FD2" w:rsidP="003F4417">
            <w:pPr>
              <w:rPr>
                <w:sz w:val="16"/>
                <w:szCs w:val="16"/>
              </w:rPr>
            </w:pPr>
            <w:r>
              <w:rPr>
                <w:sz w:val="16"/>
                <w:szCs w:val="16"/>
              </w:rPr>
              <w:t>27.3</w:t>
            </w:r>
          </w:p>
          <w:p w:rsidR="00E3020A" w:rsidRPr="00D251C5" w:rsidRDefault="00147069" w:rsidP="003F4417">
            <w:pPr>
              <w:rPr>
                <w:sz w:val="16"/>
                <w:szCs w:val="16"/>
              </w:rPr>
            </w:pPr>
            <w:r>
              <w:rPr>
                <w:sz w:val="16"/>
                <w:szCs w:val="16"/>
              </w:rPr>
              <w:t>(</w:t>
            </w:r>
            <w:r w:rsidR="00E3020A">
              <w:rPr>
                <w:sz w:val="16"/>
                <w:szCs w:val="16"/>
              </w:rPr>
              <w:t>23.9 – 31.9</w:t>
            </w:r>
            <w:r>
              <w:rPr>
                <w:sz w:val="16"/>
                <w:szCs w:val="16"/>
              </w:rPr>
              <w:t>)</w:t>
            </w:r>
          </w:p>
        </w:tc>
      </w:tr>
      <w:tr w:rsidR="00E3020A" w:rsidTr="00C34636">
        <w:tc>
          <w:tcPr>
            <w:tcW w:w="392" w:type="dxa"/>
          </w:tcPr>
          <w:p w:rsidR="00E3020A" w:rsidRPr="00E3020A" w:rsidRDefault="00E3020A" w:rsidP="003F4417">
            <w:pPr>
              <w:rPr>
                <w:sz w:val="16"/>
                <w:szCs w:val="16"/>
              </w:rPr>
            </w:pPr>
            <w:r>
              <w:rPr>
                <w:sz w:val="16"/>
                <w:szCs w:val="16"/>
              </w:rPr>
              <w:t>5.</w:t>
            </w:r>
          </w:p>
        </w:tc>
        <w:tc>
          <w:tcPr>
            <w:tcW w:w="1843" w:type="dxa"/>
          </w:tcPr>
          <w:p w:rsidR="00E3020A" w:rsidRPr="00D251C5" w:rsidRDefault="00E3020A" w:rsidP="003F4417">
            <w:pPr>
              <w:rPr>
                <w:sz w:val="16"/>
                <w:szCs w:val="16"/>
              </w:rPr>
            </w:pPr>
            <w:r w:rsidRPr="0032102B">
              <w:rPr>
                <w:i/>
                <w:sz w:val="16"/>
                <w:szCs w:val="16"/>
              </w:rPr>
              <w:t>D. glomerata-R. acris</w:t>
            </w:r>
            <w:r>
              <w:rPr>
                <w:sz w:val="16"/>
                <w:szCs w:val="16"/>
              </w:rPr>
              <w:t xml:space="preserve"> mesotrophic grassland</w:t>
            </w:r>
          </w:p>
        </w:tc>
        <w:tc>
          <w:tcPr>
            <w:tcW w:w="1011" w:type="dxa"/>
          </w:tcPr>
          <w:p w:rsidR="00147069" w:rsidRDefault="00A05FD2" w:rsidP="003F4417">
            <w:pPr>
              <w:rPr>
                <w:sz w:val="16"/>
                <w:szCs w:val="16"/>
              </w:rPr>
            </w:pPr>
            <w:r>
              <w:rPr>
                <w:sz w:val="16"/>
                <w:szCs w:val="16"/>
              </w:rPr>
              <w:t>7.9</w:t>
            </w:r>
          </w:p>
          <w:p w:rsidR="00E3020A" w:rsidRPr="00D251C5" w:rsidRDefault="00147069" w:rsidP="003F4417">
            <w:pPr>
              <w:rPr>
                <w:sz w:val="16"/>
                <w:szCs w:val="16"/>
              </w:rPr>
            </w:pPr>
            <w:r>
              <w:rPr>
                <w:sz w:val="16"/>
                <w:szCs w:val="16"/>
              </w:rPr>
              <w:t>(</w:t>
            </w:r>
            <w:r w:rsidR="00E3020A">
              <w:rPr>
                <w:sz w:val="16"/>
                <w:szCs w:val="16"/>
              </w:rPr>
              <w:t>8.3 – 14.3</w:t>
            </w:r>
            <w:r>
              <w:rPr>
                <w:sz w:val="16"/>
                <w:szCs w:val="16"/>
              </w:rPr>
              <w:t>)</w:t>
            </w:r>
          </w:p>
        </w:tc>
        <w:tc>
          <w:tcPr>
            <w:tcW w:w="973" w:type="dxa"/>
          </w:tcPr>
          <w:p w:rsidR="00147069" w:rsidRDefault="00A05FD2" w:rsidP="003F4417">
            <w:pPr>
              <w:rPr>
                <w:sz w:val="16"/>
                <w:szCs w:val="16"/>
              </w:rPr>
            </w:pPr>
            <w:r>
              <w:rPr>
                <w:sz w:val="16"/>
                <w:szCs w:val="16"/>
              </w:rPr>
              <w:t>63.9</w:t>
            </w:r>
          </w:p>
          <w:p w:rsidR="00E3020A" w:rsidRPr="00D251C5" w:rsidRDefault="00147069" w:rsidP="003F4417">
            <w:pPr>
              <w:rPr>
                <w:sz w:val="16"/>
                <w:szCs w:val="16"/>
              </w:rPr>
            </w:pPr>
            <w:r>
              <w:rPr>
                <w:sz w:val="16"/>
                <w:szCs w:val="16"/>
              </w:rPr>
              <w:t>(</w:t>
            </w:r>
            <w:r w:rsidR="00E3020A">
              <w:rPr>
                <w:sz w:val="16"/>
                <w:szCs w:val="16"/>
              </w:rPr>
              <w:t>60.0 – 67.7</w:t>
            </w:r>
            <w:r>
              <w:rPr>
                <w:sz w:val="16"/>
                <w:szCs w:val="16"/>
              </w:rPr>
              <w:t>)</w:t>
            </w:r>
          </w:p>
        </w:tc>
        <w:tc>
          <w:tcPr>
            <w:tcW w:w="993" w:type="dxa"/>
          </w:tcPr>
          <w:p w:rsidR="00147069" w:rsidRDefault="00A05FD2" w:rsidP="003F4417">
            <w:pPr>
              <w:rPr>
                <w:sz w:val="16"/>
                <w:szCs w:val="16"/>
              </w:rPr>
            </w:pPr>
            <w:r>
              <w:rPr>
                <w:sz w:val="16"/>
                <w:szCs w:val="16"/>
              </w:rPr>
              <w:t>33.6</w:t>
            </w:r>
          </w:p>
          <w:p w:rsidR="00E3020A" w:rsidRPr="00D251C5" w:rsidRDefault="00147069" w:rsidP="003F4417">
            <w:pPr>
              <w:rPr>
                <w:sz w:val="16"/>
                <w:szCs w:val="16"/>
              </w:rPr>
            </w:pPr>
            <w:r>
              <w:rPr>
                <w:sz w:val="16"/>
                <w:szCs w:val="16"/>
              </w:rPr>
              <w:t>(</w:t>
            </w:r>
            <w:r w:rsidR="00E3020A">
              <w:rPr>
                <w:sz w:val="16"/>
                <w:szCs w:val="16"/>
              </w:rPr>
              <w:t>28.6 – 37.0</w:t>
            </w:r>
            <w:r>
              <w:rPr>
                <w:sz w:val="16"/>
                <w:szCs w:val="16"/>
              </w:rPr>
              <w:t>)</w:t>
            </w:r>
          </w:p>
        </w:tc>
        <w:tc>
          <w:tcPr>
            <w:tcW w:w="880" w:type="dxa"/>
          </w:tcPr>
          <w:p w:rsidR="00147069" w:rsidRDefault="00A05FD2" w:rsidP="003F4417">
            <w:pPr>
              <w:rPr>
                <w:sz w:val="16"/>
                <w:szCs w:val="16"/>
              </w:rPr>
            </w:pPr>
            <w:r>
              <w:rPr>
                <w:sz w:val="16"/>
                <w:szCs w:val="16"/>
              </w:rPr>
              <w:t>4.5</w:t>
            </w:r>
          </w:p>
          <w:p w:rsidR="00E3020A" w:rsidRPr="00D251C5" w:rsidRDefault="00147069" w:rsidP="003F4417">
            <w:pPr>
              <w:rPr>
                <w:sz w:val="16"/>
                <w:szCs w:val="16"/>
              </w:rPr>
            </w:pPr>
            <w:r>
              <w:rPr>
                <w:sz w:val="16"/>
                <w:szCs w:val="16"/>
              </w:rPr>
              <w:t>(</w:t>
            </w:r>
            <w:r w:rsidR="00E3020A">
              <w:rPr>
                <w:sz w:val="16"/>
                <w:szCs w:val="16"/>
              </w:rPr>
              <w:t>3.9 – 6.2</w:t>
            </w:r>
            <w:r>
              <w:rPr>
                <w:sz w:val="16"/>
                <w:szCs w:val="16"/>
              </w:rPr>
              <w:t>)</w:t>
            </w:r>
          </w:p>
        </w:tc>
        <w:tc>
          <w:tcPr>
            <w:tcW w:w="960" w:type="dxa"/>
          </w:tcPr>
          <w:p w:rsidR="00147069" w:rsidRDefault="00A05FD2" w:rsidP="003F4417">
            <w:pPr>
              <w:rPr>
                <w:sz w:val="16"/>
                <w:szCs w:val="16"/>
              </w:rPr>
            </w:pPr>
            <w:r>
              <w:rPr>
                <w:sz w:val="16"/>
                <w:szCs w:val="16"/>
              </w:rPr>
              <w:t>13.3</w:t>
            </w:r>
          </w:p>
          <w:p w:rsidR="00E3020A" w:rsidRPr="00D05188" w:rsidRDefault="00147069" w:rsidP="003F4417">
            <w:pPr>
              <w:rPr>
                <w:sz w:val="16"/>
                <w:szCs w:val="16"/>
              </w:rPr>
            </w:pPr>
            <w:r>
              <w:rPr>
                <w:sz w:val="16"/>
                <w:szCs w:val="16"/>
              </w:rPr>
              <w:t>(</w:t>
            </w:r>
            <w:r w:rsidR="00E3020A">
              <w:rPr>
                <w:sz w:val="16"/>
                <w:szCs w:val="16"/>
              </w:rPr>
              <w:t>9.0 – 13.6</w:t>
            </w:r>
            <w:r>
              <w:rPr>
                <w:sz w:val="16"/>
                <w:szCs w:val="16"/>
              </w:rPr>
              <w:t>)</w:t>
            </w:r>
          </w:p>
        </w:tc>
        <w:tc>
          <w:tcPr>
            <w:tcW w:w="915" w:type="dxa"/>
          </w:tcPr>
          <w:p w:rsidR="00147069" w:rsidRDefault="00A05FD2" w:rsidP="003F4417">
            <w:pPr>
              <w:rPr>
                <w:sz w:val="16"/>
                <w:szCs w:val="16"/>
              </w:rPr>
            </w:pPr>
            <w:r>
              <w:rPr>
                <w:sz w:val="16"/>
                <w:szCs w:val="16"/>
              </w:rPr>
              <w:t>3.1</w:t>
            </w:r>
          </w:p>
          <w:p w:rsidR="00E3020A" w:rsidRPr="00D251C5" w:rsidRDefault="00147069" w:rsidP="003F4417">
            <w:pPr>
              <w:rPr>
                <w:sz w:val="16"/>
                <w:szCs w:val="16"/>
              </w:rPr>
            </w:pPr>
            <w:r>
              <w:rPr>
                <w:sz w:val="16"/>
                <w:szCs w:val="16"/>
              </w:rPr>
              <w:t>(</w:t>
            </w:r>
            <w:r w:rsidR="00E3020A">
              <w:rPr>
                <w:sz w:val="16"/>
                <w:szCs w:val="16"/>
              </w:rPr>
              <w:t>2.6 – 4.2</w:t>
            </w:r>
            <w:r>
              <w:rPr>
                <w:sz w:val="16"/>
                <w:szCs w:val="16"/>
              </w:rPr>
              <w:t>)</w:t>
            </w:r>
          </w:p>
        </w:tc>
        <w:tc>
          <w:tcPr>
            <w:tcW w:w="999" w:type="dxa"/>
          </w:tcPr>
          <w:p w:rsidR="00147069" w:rsidRDefault="00A05FD2" w:rsidP="003F4417">
            <w:pPr>
              <w:rPr>
                <w:sz w:val="16"/>
                <w:szCs w:val="16"/>
              </w:rPr>
            </w:pPr>
            <w:r>
              <w:rPr>
                <w:sz w:val="16"/>
                <w:szCs w:val="16"/>
              </w:rPr>
              <w:t>29.1</w:t>
            </w:r>
          </w:p>
          <w:p w:rsidR="00E3020A" w:rsidRPr="00D251C5" w:rsidRDefault="00147069" w:rsidP="003F4417">
            <w:pPr>
              <w:rPr>
                <w:sz w:val="16"/>
                <w:szCs w:val="16"/>
              </w:rPr>
            </w:pPr>
            <w:r>
              <w:rPr>
                <w:sz w:val="16"/>
                <w:szCs w:val="16"/>
              </w:rPr>
              <w:t>(</w:t>
            </w:r>
            <w:r w:rsidR="00E3020A">
              <w:rPr>
                <w:sz w:val="16"/>
                <w:szCs w:val="16"/>
              </w:rPr>
              <w:t>24.2 – 30.0</w:t>
            </w:r>
            <w:r>
              <w:rPr>
                <w:sz w:val="16"/>
                <w:szCs w:val="16"/>
              </w:rPr>
              <w:t>)</w:t>
            </w:r>
          </w:p>
        </w:tc>
      </w:tr>
      <w:tr w:rsidR="00E3020A" w:rsidTr="00C34636">
        <w:tc>
          <w:tcPr>
            <w:tcW w:w="392" w:type="dxa"/>
          </w:tcPr>
          <w:p w:rsidR="00E3020A" w:rsidRPr="00D251C5" w:rsidRDefault="00E3020A" w:rsidP="003F4417">
            <w:pPr>
              <w:rPr>
                <w:sz w:val="16"/>
                <w:szCs w:val="16"/>
              </w:rPr>
            </w:pPr>
            <w:r>
              <w:rPr>
                <w:sz w:val="16"/>
                <w:szCs w:val="16"/>
              </w:rPr>
              <w:t>6.</w:t>
            </w:r>
          </w:p>
        </w:tc>
        <w:tc>
          <w:tcPr>
            <w:tcW w:w="1843" w:type="dxa"/>
          </w:tcPr>
          <w:p w:rsidR="00E3020A" w:rsidRPr="00D251C5" w:rsidRDefault="00E3020A" w:rsidP="003F4417">
            <w:pPr>
              <w:rPr>
                <w:sz w:val="16"/>
                <w:szCs w:val="16"/>
              </w:rPr>
            </w:pPr>
            <w:r w:rsidRPr="00D251C5">
              <w:rPr>
                <w:sz w:val="16"/>
                <w:szCs w:val="16"/>
              </w:rPr>
              <w:t>Sand</w:t>
            </w:r>
            <w:r w:rsidR="008B5495">
              <w:rPr>
                <w:sz w:val="16"/>
                <w:szCs w:val="16"/>
              </w:rPr>
              <w:t xml:space="preserve"> dune grassland</w:t>
            </w:r>
          </w:p>
        </w:tc>
        <w:tc>
          <w:tcPr>
            <w:tcW w:w="1011" w:type="dxa"/>
          </w:tcPr>
          <w:p w:rsidR="00147069" w:rsidRDefault="00A05FD2" w:rsidP="003F4417">
            <w:pPr>
              <w:rPr>
                <w:sz w:val="16"/>
                <w:szCs w:val="16"/>
              </w:rPr>
            </w:pPr>
            <w:r>
              <w:rPr>
                <w:sz w:val="16"/>
                <w:szCs w:val="16"/>
              </w:rPr>
              <w:t>8.2</w:t>
            </w:r>
          </w:p>
          <w:p w:rsidR="00E3020A" w:rsidRPr="00D251C5" w:rsidRDefault="00147069" w:rsidP="003F4417">
            <w:pPr>
              <w:rPr>
                <w:sz w:val="16"/>
                <w:szCs w:val="16"/>
              </w:rPr>
            </w:pPr>
            <w:r>
              <w:rPr>
                <w:sz w:val="16"/>
                <w:szCs w:val="16"/>
              </w:rPr>
              <w:t>(</w:t>
            </w:r>
            <w:r w:rsidR="00E3020A">
              <w:rPr>
                <w:sz w:val="16"/>
                <w:szCs w:val="16"/>
              </w:rPr>
              <w:t>4.4 – 12.0</w:t>
            </w:r>
            <w:r>
              <w:rPr>
                <w:sz w:val="16"/>
                <w:szCs w:val="16"/>
              </w:rPr>
              <w:t>)</w:t>
            </w:r>
          </w:p>
        </w:tc>
        <w:tc>
          <w:tcPr>
            <w:tcW w:w="973" w:type="dxa"/>
          </w:tcPr>
          <w:p w:rsidR="00147069" w:rsidRDefault="00A05FD2" w:rsidP="003F4417">
            <w:pPr>
              <w:rPr>
                <w:sz w:val="16"/>
                <w:szCs w:val="16"/>
              </w:rPr>
            </w:pPr>
            <w:r>
              <w:rPr>
                <w:sz w:val="16"/>
                <w:szCs w:val="16"/>
              </w:rPr>
              <w:t>58.8</w:t>
            </w:r>
          </w:p>
          <w:p w:rsidR="00E3020A" w:rsidRPr="00D251C5" w:rsidRDefault="00147069" w:rsidP="003F4417">
            <w:pPr>
              <w:rPr>
                <w:sz w:val="16"/>
                <w:szCs w:val="16"/>
              </w:rPr>
            </w:pPr>
            <w:r>
              <w:rPr>
                <w:sz w:val="16"/>
                <w:szCs w:val="16"/>
              </w:rPr>
              <w:t>(</w:t>
            </w:r>
            <w:r w:rsidR="00E3020A">
              <w:rPr>
                <w:sz w:val="16"/>
                <w:szCs w:val="16"/>
              </w:rPr>
              <w:t>52.6 – 63.1</w:t>
            </w:r>
            <w:r>
              <w:rPr>
                <w:sz w:val="16"/>
                <w:szCs w:val="16"/>
              </w:rPr>
              <w:t>)</w:t>
            </w:r>
          </w:p>
        </w:tc>
        <w:tc>
          <w:tcPr>
            <w:tcW w:w="993" w:type="dxa"/>
          </w:tcPr>
          <w:p w:rsidR="00147069" w:rsidRDefault="00A05FD2" w:rsidP="003F4417">
            <w:pPr>
              <w:rPr>
                <w:sz w:val="16"/>
                <w:szCs w:val="16"/>
              </w:rPr>
            </w:pPr>
            <w:r>
              <w:rPr>
                <w:sz w:val="16"/>
                <w:szCs w:val="16"/>
              </w:rPr>
              <w:t>39.9</w:t>
            </w:r>
          </w:p>
          <w:p w:rsidR="00E3020A" w:rsidRPr="00D251C5" w:rsidRDefault="00147069" w:rsidP="003F4417">
            <w:pPr>
              <w:rPr>
                <w:sz w:val="16"/>
                <w:szCs w:val="16"/>
              </w:rPr>
            </w:pPr>
            <w:r>
              <w:rPr>
                <w:sz w:val="16"/>
                <w:szCs w:val="16"/>
              </w:rPr>
              <w:t>(</w:t>
            </w:r>
            <w:r w:rsidR="00E3020A">
              <w:rPr>
                <w:sz w:val="16"/>
                <w:szCs w:val="16"/>
              </w:rPr>
              <w:t>34.5 – 50.9</w:t>
            </w:r>
            <w:r>
              <w:rPr>
                <w:sz w:val="16"/>
                <w:szCs w:val="16"/>
              </w:rPr>
              <w:t>)</w:t>
            </w:r>
          </w:p>
        </w:tc>
        <w:tc>
          <w:tcPr>
            <w:tcW w:w="880" w:type="dxa"/>
          </w:tcPr>
          <w:p w:rsidR="00147069" w:rsidRDefault="00A05FD2" w:rsidP="003F4417">
            <w:pPr>
              <w:rPr>
                <w:sz w:val="16"/>
                <w:szCs w:val="16"/>
              </w:rPr>
            </w:pPr>
            <w:r>
              <w:rPr>
                <w:sz w:val="16"/>
                <w:szCs w:val="16"/>
              </w:rPr>
              <w:t>9.0</w:t>
            </w:r>
          </w:p>
          <w:p w:rsidR="00E3020A" w:rsidRPr="00D251C5" w:rsidRDefault="00147069" w:rsidP="003F4417">
            <w:pPr>
              <w:rPr>
                <w:sz w:val="16"/>
                <w:szCs w:val="16"/>
              </w:rPr>
            </w:pPr>
            <w:r>
              <w:rPr>
                <w:sz w:val="16"/>
                <w:szCs w:val="16"/>
              </w:rPr>
              <w:t>(</w:t>
            </w:r>
            <w:r w:rsidR="00E3020A">
              <w:rPr>
                <w:sz w:val="16"/>
                <w:szCs w:val="16"/>
              </w:rPr>
              <w:t>7.8 – 10.6</w:t>
            </w:r>
            <w:r>
              <w:rPr>
                <w:sz w:val="16"/>
                <w:szCs w:val="16"/>
              </w:rPr>
              <w:t>)</w:t>
            </w:r>
          </w:p>
        </w:tc>
        <w:tc>
          <w:tcPr>
            <w:tcW w:w="960" w:type="dxa"/>
          </w:tcPr>
          <w:p w:rsidR="00147069" w:rsidRDefault="00A05FD2" w:rsidP="003F4417">
            <w:pPr>
              <w:rPr>
                <w:sz w:val="16"/>
                <w:szCs w:val="16"/>
              </w:rPr>
            </w:pPr>
            <w:r>
              <w:rPr>
                <w:sz w:val="16"/>
                <w:szCs w:val="16"/>
              </w:rPr>
              <w:t>8.7</w:t>
            </w:r>
          </w:p>
          <w:p w:rsidR="00E3020A" w:rsidRPr="00D251C5" w:rsidRDefault="00147069" w:rsidP="003F4417">
            <w:pPr>
              <w:rPr>
                <w:sz w:val="16"/>
                <w:szCs w:val="16"/>
              </w:rPr>
            </w:pPr>
            <w:r>
              <w:rPr>
                <w:sz w:val="16"/>
                <w:szCs w:val="16"/>
              </w:rPr>
              <w:t>(</w:t>
            </w:r>
            <w:r w:rsidR="00E3020A">
              <w:rPr>
                <w:sz w:val="16"/>
                <w:szCs w:val="16"/>
              </w:rPr>
              <w:t>6.6 – 11.3</w:t>
            </w:r>
            <w:r>
              <w:rPr>
                <w:sz w:val="16"/>
                <w:szCs w:val="16"/>
              </w:rPr>
              <w:t>)</w:t>
            </w:r>
          </w:p>
        </w:tc>
        <w:tc>
          <w:tcPr>
            <w:tcW w:w="915" w:type="dxa"/>
          </w:tcPr>
          <w:p w:rsidR="00147069" w:rsidRDefault="00A05FD2" w:rsidP="003F4417">
            <w:pPr>
              <w:rPr>
                <w:sz w:val="16"/>
                <w:szCs w:val="16"/>
              </w:rPr>
            </w:pPr>
            <w:r>
              <w:rPr>
                <w:sz w:val="16"/>
                <w:szCs w:val="16"/>
              </w:rPr>
              <w:t>3.2</w:t>
            </w:r>
          </w:p>
          <w:p w:rsidR="00E3020A" w:rsidRPr="00D251C5" w:rsidRDefault="00147069" w:rsidP="003F4417">
            <w:pPr>
              <w:rPr>
                <w:sz w:val="16"/>
                <w:szCs w:val="16"/>
              </w:rPr>
            </w:pPr>
            <w:r>
              <w:rPr>
                <w:sz w:val="16"/>
                <w:szCs w:val="16"/>
              </w:rPr>
              <w:t>(</w:t>
            </w:r>
            <w:r w:rsidR="00E3020A">
              <w:rPr>
                <w:sz w:val="16"/>
                <w:szCs w:val="16"/>
              </w:rPr>
              <w:t>2.4 – 4.1</w:t>
            </w:r>
            <w:r>
              <w:rPr>
                <w:sz w:val="16"/>
                <w:szCs w:val="16"/>
              </w:rPr>
              <w:t>)</w:t>
            </w:r>
          </w:p>
        </w:tc>
        <w:tc>
          <w:tcPr>
            <w:tcW w:w="999" w:type="dxa"/>
          </w:tcPr>
          <w:p w:rsidR="00147069" w:rsidRDefault="00A05FD2" w:rsidP="003F4417">
            <w:pPr>
              <w:rPr>
                <w:sz w:val="16"/>
                <w:szCs w:val="16"/>
              </w:rPr>
            </w:pPr>
            <w:r>
              <w:rPr>
                <w:sz w:val="16"/>
                <w:szCs w:val="16"/>
              </w:rPr>
              <w:t>30.9</w:t>
            </w:r>
          </w:p>
          <w:p w:rsidR="00E3020A" w:rsidRPr="00D251C5" w:rsidRDefault="00147069" w:rsidP="003F4417">
            <w:pPr>
              <w:rPr>
                <w:sz w:val="16"/>
                <w:szCs w:val="16"/>
              </w:rPr>
            </w:pPr>
            <w:r>
              <w:rPr>
                <w:sz w:val="16"/>
                <w:szCs w:val="16"/>
              </w:rPr>
              <w:t>(</w:t>
            </w:r>
            <w:r w:rsidR="00E3020A">
              <w:rPr>
                <w:sz w:val="16"/>
                <w:szCs w:val="16"/>
              </w:rPr>
              <w:t>26.1 – 40.3</w:t>
            </w:r>
            <w:r>
              <w:rPr>
                <w:sz w:val="16"/>
                <w:szCs w:val="16"/>
              </w:rPr>
              <w:t>)</w:t>
            </w:r>
          </w:p>
        </w:tc>
      </w:tr>
      <w:tr w:rsidR="00E3020A" w:rsidTr="00C34636">
        <w:tc>
          <w:tcPr>
            <w:tcW w:w="392" w:type="dxa"/>
          </w:tcPr>
          <w:p w:rsidR="00E3020A" w:rsidRPr="00D251C5" w:rsidRDefault="00E3020A" w:rsidP="003F4417">
            <w:pPr>
              <w:rPr>
                <w:sz w:val="16"/>
                <w:szCs w:val="16"/>
              </w:rPr>
            </w:pPr>
            <w:r>
              <w:rPr>
                <w:sz w:val="16"/>
                <w:szCs w:val="16"/>
              </w:rPr>
              <w:t>7.</w:t>
            </w:r>
          </w:p>
        </w:tc>
        <w:tc>
          <w:tcPr>
            <w:tcW w:w="1843" w:type="dxa"/>
          </w:tcPr>
          <w:p w:rsidR="00E3020A" w:rsidRPr="0032102B" w:rsidRDefault="00E3020A" w:rsidP="003F4417">
            <w:pPr>
              <w:rPr>
                <w:sz w:val="16"/>
                <w:szCs w:val="16"/>
                <w:vertAlign w:val="superscript"/>
              </w:rPr>
            </w:pPr>
            <w:r w:rsidRPr="00D251C5">
              <w:rPr>
                <w:sz w:val="16"/>
                <w:szCs w:val="16"/>
              </w:rPr>
              <w:t>Keenley</w:t>
            </w:r>
            <w:r>
              <w:rPr>
                <w:sz w:val="16"/>
                <w:szCs w:val="16"/>
              </w:rPr>
              <w:t xml:space="preserve"> haymeadow (ungrazed plots</w:t>
            </w:r>
            <w:r w:rsidRPr="00D251C5">
              <w:rPr>
                <w:sz w:val="16"/>
                <w:szCs w:val="16"/>
              </w:rPr>
              <w:t>)</w:t>
            </w:r>
            <w:r>
              <w:rPr>
                <w:sz w:val="16"/>
                <w:szCs w:val="16"/>
              </w:rPr>
              <w:t xml:space="preserve"> </w:t>
            </w:r>
          </w:p>
        </w:tc>
        <w:tc>
          <w:tcPr>
            <w:tcW w:w="1011" w:type="dxa"/>
          </w:tcPr>
          <w:p w:rsidR="00147069" w:rsidRDefault="00A05FD2" w:rsidP="003F4417">
            <w:pPr>
              <w:rPr>
                <w:sz w:val="16"/>
                <w:szCs w:val="16"/>
              </w:rPr>
            </w:pPr>
            <w:r>
              <w:rPr>
                <w:sz w:val="16"/>
                <w:szCs w:val="16"/>
              </w:rPr>
              <w:t>10.5</w:t>
            </w:r>
          </w:p>
          <w:p w:rsidR="00E3020A" w:rsidRPr="00D251C5" w:rsidRDefault="00147069" w:rsidP="003F4417">
            <w:pPr>
              <w:rPr>
                <w:sz w:val="16"/>
                <w:szCs w:val="16"/>
              </w:rPr>
            </w:pPr>
            <w:r>
              <w:rPr>
                <w:sz w:val="16"/>
                <w:szCs w:val="16"/>
              </w:rPr>
              <w:t>(</w:t>
            </w:r>
            <w:r w:rsidR="00E3020A">
              <w:rPr>
                <w:sz w:val="16"/>
                <w:szCs w:val="16"/>
              </w:rPr>
              <w:t>7.2 – 13.9</w:t>
            </w:r>
            <w:r>
              <w:rPr>
                <w:sz w:val="16"/>
                <w:szCs w:val="16"/>
              </w:rPr>
              <w:t>)</w:t>
            </w:r>
          </w:p>
        </w:tc>
        <w:tc>
          <w:tcPr>
            <w:tcW w:w="973" w:type="dxa"/>
          </w:tcPr>
          <w:p w:rsidR="00147069" w:rsidRDefault="00A05FD2" w:rsidP="003F4417">
            <w:pPr>
              <w:rPr>
                <w:sz w:val="16"/>
                <w:szCs w:val="16"/>
              </w:rPr>
            </w:pPr>
            <w:r>
              <w:rPr>
                <w:sz w:val="16"/>
                <w:szCs w:val="16"/>
              </w:rPr>
              <w:t>62.8</w:t>
            </w:r>
          </w:p>
          <w:p w:rsidR="00E3020A" w:rsidRPr="00D251C5" w:rsidRDefault="00147069" w:rsidP="003F4417">
            <w:pPr>
              <w:rPr>
                <w:sz w:val="16"/>
                <w:szCs w:val="16"/>
              </w:rPr>
            </w:pPr>
            <w:r>
              <w:rPr>
                <w:sz w:val="16"/>
                <w:szCs w:val="16"/>
              </w:rPr>
              <w:t>(</w:t>
            </w:r>
            <w:r w:rsidR="00E3020A">
              <w:rPr>
                <w:sz w:val="16"/>
                <w:szCs w:val="16"/>
              </w:rPr>
              <w:t>54.1 – 69.0</w:t>
            </w:r>
            <w:r>
              <w:rPr>
                <w:sz w:val="16"/>
                <w:szCs w:val="16"/>
              </w:rPr>
              <w:t>)</w:t>
            </w:r>
          </w:p>
        </w:tc>
        <w:tc>
          <w:tcPr>
            <w:tcW w:w="993" w:type="dxa"/>
          </w:tcPr>
          <w:p w:rsidR="00147069" w:rsidRDefault="00A05FD2" w:rsidP="003F4417">
            <w:pPr>
              <w:rPr>
                <w:sz w:val="16"/>
                <w:szCs w:val="16"/>
              </w:rPr>
            </w:pPr>
            <w:r>
              <w:rPr>
                <w:sz w:val="16"/>
                <w:szCs w:val="16"/>
              </w:rPr>
              <w:t>36.9</w:t>
            </w:r>
          </w:p>
          <w:p w:rsidR="00E3020A" w:rsidRPr="00D251C5" w:rsidRDefault="00147069" w:rsidP="003F4417">
            <w:pPr>
              <w:rPr>
                <w:sz w:val="16"/>
                <w:szCs w:val="16"/>
              </w:rPr>
            </w:pPr>
            <w:r>
              <w:rPr>
                <w:sz w:val="16"/>
                <w:szCs w:val="16"/>
              </w:rPr>
              <w:t>(</w:t>
            </w:r>
            <w:r w:rsidR="00E3020A">
              <w:rPr>
                <w:sz w:val="16"/>
                <w:szCs w:val="16"/>
              </w:rPr>
              <w:t>31.2 – 42.2</w:t>
            </w:r>
            <w:r>
              <w:rPr>
                <w:sz w:val="16"/>
                <w:szCs w:val="16"/>
              </w:rPr>
              <w:t>)</w:t>
            </w:r>
          </w:p>
        </w:tc>
        <w:tc>
          <w:tcPr>
            <w:tcW w:w="880" w:type="dxa"/>
          </w:tcPr>
          <w:p w:rsidR="00147069" w:rsidRDefault="00A05FD2" w:rsidP="003F4417">
            <w:pPr>
              <w:rPr>
                <w:sz w:val="16"/>
                <w:szCs w:val="16"/>
              </w:rPr>
            </w:pPr>
            <w:r>
              <w:rPr>
                <w:sz w:val="16"/>
                <w:szCs w:val="16"/>
              </w:rPr>
              <w:t>6.9</w:t>
            </w:r>
          </w:p>
          <w:p w:rsidR="00E3020A" w:rsidRPr="00D251C5" w:rsidRDefault="00147069" w:rsidP="003F4417">
            <w:pPr>
              <w:rPr>
                <w:sz w:val="16"/>
                <w:szCs w:val="16"/>
              </w:rPr>
            </w:pPr>
            <w:r>
              <w:rPr>
                <w:sz w:val="16"/>
                <w:szCs w:val="16"/>
              </w:rPr>
              <w:t>(</w:t>
            </w:r>
            <w:r w:rsidR="00E3020A">
              <w:rPr>
                <w:sz w:val="16"/>
                <w:szCs w:val="16"/>
              </w:rPr>
              <w:t>5.2 – 8.7</w:t>
            </w:r>
            <w:r>
              <w:rPr>
                <w:sz w:val="16"/>
                <w:szCs w:val="16"/>
              </w:rPr>
              <w:t>)</w:t>
            </w:r>
          </w:p>
        </w:tc>
        <w:tc>
          <w:tcPr>
            <w:tcW w:w="960" w:type="dxa"/>
          </w:tcPr>
          <w:p w:rsidR="00147069" w:rsidRDefault="00A05FD2" w:rsidP="003F4417">
            <w:pPr>
              <w:rPr>
                <w:sz w:val="16"/>
                <w:szCs w:val="16"/>
              </w:rPr>
            </w:pPr>
            <w:r>
              <w:rPr>
                <w:sz w:val="16"/>
                <w:szCs w:val="16"/>
              </w:rPr>
              <w:t>11.5</w:t>
            </w:r>
          </w:p>
          <w:p w:rsidR="00E3020A" w:rsidRPr="00D251C5" w:rsidRDefault="00147069" w:rsidP="003F4417">
            <w:pPr>
              <w:rPr>
                <w:sz w:val="16"/>
                <w:szCs w:val="16"/>
              </w:rPr>
            </w:pPr>
            <w:r>
              <w:rPr>
                <w:sz w:val="16"/>
                <w:szCs w:val="16"/>
              </w:rPr>
              <w:t>(</w:t>
            </w:r>
            <w:r w:rsidR="00E3020A">
              <w:rPr>
                <w:sz w:val="16"/>
                <w:szCs w:val="16"/>
              </w:rPr>
              <w:t>6.4 – 16.8</w:t>
            </w:r>
            <w:r>
              <w:rPr>
                <w:sz w:val="16"/>
                <w:szCs w:val="16"/>
              </w:rPr>
              <w:t>)</w:t>
            </w:r>
          </w:p>
        </w:tc>
        <w:tc>
          <w:tcPr>
            <w:tcW w:w="915" w:type="dxa"/>
          </w:tcPr>
          <w:p w:rsidR="00147069" w:rsidRDefault="00A05FD2" w:rsidP="003F4417">
            <w:pPr>
              <w:rPr>
                <w:sz w:val="16"/>
                <w:szCs w:val="16"/>
              </w:rPr>
            </w:pPr>
            <w:r>
              <w:rPr>
                <w:sz w:val="16"/>
                <w:szCs w:val="16"/>
              </w:rPr>
              <w:t>2.4</w:t>
            </w:r>
          </w:p>
          <w:p w:rsidR="00E3020A" w:rsidRPr="00D251C5" w:rsidRDefault="00147069" w:rsidP="003F4417">
            <w:pPr>
              <w:rPr>
                <w:sz w:val="16"/>
                <w:szCs w:val="16"/>
              </w:rPr>
            </w:pPr>
            <w:r>
              <w:rPr>
                <w:sz w:val="16"/>
                <w:szCs w:val="16"/>
              </w:rPr>
              <w:t>(</w:t>
            </w:r>
            <w:r w:rsidR="00E3020A">
              <w:rPr>
                <w:sz w:val="16"/>
                <w:szCs w:val="16"/>
              </w:rPr>
              <w:t>1.8 – 2.9</w:t>
            </w:r>
            <w:r>
              <w:rPr>
                <w:sz w:val="16"/>
                <w:szCs w:val="16"/>
              </w:rPr>
              <w:t>)</w:t>
            </w:r>
          </w:p>
        </w:tc>
        <w:tc>
          <w:tcPr>
            <w:tcW w:w="999" w:type="dxa"/>
          </w:tcPr>
          <w:p w:rsidR="00147069" w:rsidRDefault="00A05FD2" w:rsidP="003F4417">
            <w:pPr>
              <w:rPr>
                <w:sz w:val="16"/>
                <w:szCs w:val="16"/>
              </w:rPr>
            </w:pPr>
            <w:r>
              <w:rPr>
                <w:sz w:val="16"/>
                <w:szCs w:val="16"/>
              </w:rPr>
              <w:t>30.1</w:t>
            </w:r>
          </w:p>
          <w:p w:rsidR="00E3020A" w:rsidRPr="00D251C5" w:rsidRDefault="00147069" w:rsidP="003F4417">
            <w:pPr>
              <w:rPr>
                <w:sz w:val="16"/>
                <w:szCs w:val="16"/>
              </w:rPr>
            </w:pPr>
            <w:r>
              <w:rPr>
                <w:sz w:val="16"/>
                <w:szCs w:val="16"/>
              </w:rPr>
              <w:t>(</w:t>
            </w:r>
            <w:r w:rsidR="00E3020A">
              <w:rPr>
                <w:sz w:val="16"/>
                <w:szCs w:val="16"/>
              </w:rPr>
              <w:t>24.4 – 33.9</w:t>
            </w:r>
            <w:r>
              <w:rPr>
                <w:sz w:val="16"/>
                <w:szCs w:val="16"/>
              </w:rPr>
              <w:t>)</w:t>
            </w:r>
          </w:p>
        </w:tc>
      </w:tr>
      <w:tr w:rsidR="00E3020A" w:rsidTr="00C34636">
        <w:tc>
          <w:tcPr>
            <w:tcW w:w="392" w:type="dxa"/>
            <w:tcBorders>
              <w:bottom w:val="single" w:sz="4" w:space="0" w:color="auto"/>
            </w:tcBorders>
          </w:tcPr>
          <w:p w:rsidR="00E3020A" w:rsidRPr="00D251C5" w:rsidRDefault="00E3020A" w:rsidP="003F4417">
            <w:pPr>
              <w:rPr>
                <w:sz w:val="16"/>
                <w:szCs w:val="16"/>
              </w:rPr>
            </w:pPr>
            <w:r>
              <w:rPr>
                <w:sz w:val="16"/>
                <w:szCs w:val="16"/>
              </w:rPr>
              <w:t>8.</w:t>
            </w:r>
          </w:p>
        </w:tc>
        <w:tc>
          <w:tcPr>
            <w:tcW w:w="1843" w:type="dxa"/>
            <w:tcBorders>
              <w:bottom w:val="single" w:sz="4" w:space="0" w:color="auto"/>
            </w:tcBorders>
          </w:tcPr>
          <w:p w:rsidR="00E3020A" w:rsidRPr="00D251C5" w:rsidRDefault="00E3020A" w:rsidP="003F4417">
            <w:pPr>
              <w:rPr>
                <w:sz w:val="16"/>
                <w:szCs w:val="16"/>
              </w:rPr>
            </w:pPr>
            <w:r w:rsidRPr="00D251C5">
              <w:rPr>
                <w:sz w:val="16"/>
                <w:szCs w:val="16"/>
              </w:rPr>
              <w:t>Keenley</w:t>
            </w:r>
            <w:r>
              <w:rPr>
                <w:sz w:val="16"/>
                <w:szCs w:val="16"/>
              </w:rPr>
              <w:t xml:space="preserve"> haymeadow (grazed plots</w:t>
            </w:r>
            <w:r w:rsidRPr="00D251C5">
              <w:rPr>
                <w:sz w:val="16"/>
                <w:szCs w:val="16"/>
              </w:rPr>
              <w:t>)</w:t>
            </w:r>
            <w:r>
              <w:rPr>
                <w:sz w:val="16"/>
                <w:szCs w:val="16"/>
              </w:rPr>
              <w:t xml:space="preserve"> </w:t>
            </w:r>
          </w:p>
        </w:tc>
        <w:tc>
          <w:tcPr>
            <w:tcW w:w="1011" w:type="dxa"/>
            <w:tcBorders>
              <w:bottom w:val="single" w:sz="4" w:space="0" w:color="auto"/>
            </w:tcBorders>
          </w:tcPr>
          <w:p w:rsidR="00BE4BAD" w:rsidRDefault="00A05FD2" w:rsidP="003F4417">
            <w:pPr>
              <w:rPr>
                <w:sz w:val="16"/>
                <w:szCs w:val="16"/>
              </w:rPr>
            </w:pPr>
            <w:r>
              <w:rPr>
                <w:sz w:val="16"/>
                <w:szCs w:val="16"/>
              </w:rPr>
              <w:t>11.6</w:t>
            </w:r>
          </w:p>
          <w:p w:rsidR="00E3020A" w:rsidRPr="00D251C5" w:rsidRDefault="00BE4BAD" w:rsidP="003F4417">
            <w:pPr>
              <w:rPr>
                <w:sz w:val="16"/>
                <w:szCs w:val="16"/>
              </w:rPr>
            </w:pPr>
            <w:r>
              <w:rPr>
                <w:sz w:val="16"/>
                <w:szCs w:val="16"/>
              </w:rPr>
              <w:t>(</w:t>
            </w:r>
            <w:r w:rsidR="00E3020A">
              <w:rPr>
                <w:sz w:val="16"/>
                <w:szCs w:val="16"/>
              </w:rPr>
              <w:t>7.2 – 13.4</w:t>
            </w:r>
            <w:r>
              <w:rPr>
                <w:sz w:val="16"/>
                <w:szCs w:val="16"/>
              </w:rPr>
              <w:t>)</w:t>
            </w:r>
          </w:p>
        </w:tc>
        <w:tc>
          <w:tcPr>
            <w:tcW w:w="973" w:type="dxa"/>
            <w:tcBorders>
              <w:bottom w:val="single" w:sz="4" w:space="0" w:color="auto"/>
            </w:tcBorders>
          </w:tcPr>
          <w:p w:rsidR="00BE4BAD" w:rsidRDefault="00A05FD2" w:rsidP="003F4417">
            <w:pPr>
              <w:rPr>
                <w:sz w:val="16"/>
                <w:szCs w:val="16"/>
              </w:rPr>
            </w:pPr>
            <w:r>
              <w:rPr>
                <w:sz w:val="16"/>
                <w:szCs w:val="16"/>
              </w:rPr>
              <w:t>61.1</w:t>
            </w:r>
          </w:p>
          <w:p w:rsidR="00E3020A" w:rsidRPr="00D251C5" w:rsidRDefault="00BE4BAD" w:rsidP="003F4417">
            <w:pPr>
              <w:rPr>
                <w:sz w:val="16"/>
                <w:szCs w:val="16"/>
              </w:rPr>
            </w:pPr>
            <w:r>
              <w:rPr>
                <w:sz w:val="16"/>
                <w:szCs w:val="16"/>
              </w:rPr>
              <w:t>(</w:t>
            </w:r>
            <w:r w:rsidR="00E3020A">
              <w:rPr>
                <w:sz w:val="16"/>
                <w:szCs w:val="16"/>
              </w:rPr>
              <w:t>48.0 – 66.9</w:t>
            </w:r>
            <w:r>
              <w:rPr>
                <w:sz w:val="16"/>
                <w:szCs w:val="16"/>
              </w:rPr>
              <w:t>)</w:t>
            </w:r>
          </w:p>
        </w:tc>
        <w:tc>
          <w:tcPr>
            <w:tcW w:w="993" w:type="dxa"/>
            <w:tcBorders>
              <w:bottom w:val="single" w:sz="4" w:space="0" w:color="auto"/>
            </w:tcBorders>
          </w:tcPr>
          <w:p w:rsidR="00BE4BAD" w:rsidRDefault="00A05FD2" w:rsidP="003F4417">
            <w:pPr>
              <w:rPr>
                <w:sz w:val="16"/>
                <w:szCs w:val="16"/>
              </w:rPr>
            </w:pPr>
            <w:r>
              <w:rPr>
                <w:sz w:val="16"/>
                <w:szCs w:val="16"/>
              </w:rPr>
              <w:t>35.4</w:t>
            </w:r>
          </w:p>
          <w:p w:rsidR="00E3020A" w:rsidRPr="00D251C5" w:rsidRDefault="00BE4BAD" w:rsidP="003F4417">
            <w:pPr>
              <w:rPr>
                <w:sz w:val="16"/>
                <w:szCs w:val="16"/>
              </w:rPr>
            </w:pPr>
            <w:r>
              <w:rPr>
                <w:sz w:val="16"/>
                <w:szCs w:val="16"/>
              </w:rPr>
              <w:t>(</w:t>
            </w:r>
            <w:r w:rsidR="00E3020A">
              <w:rPr>
                <w:sz w:val="16"/>
                <w:szCs w:val="16"/>
              </w:rPr>
              <w:t>31.7 – 41.7</w:t>
            </w:r>
            <w:r>
              <w:rPr>
                <w:sz w:val="16"/>
                <w:szCs w:val="16"/>
              </w:rPr>
              <w:t>)</w:t>
            </w:r>
          </w:p>
        </w:tc>
        <w:tc>
          <w:tcPr>
            <w:tcW w:w="880" w:type="dxa"/>
            <w:tcBorders>
              <w:bottom w:val="single" w:sz="4" w:space="0" w:color="auto"/>
            </w:tcBorders>
          </w:tcPr>
          <w:p w:rsidR="00BE4BAD" w:rsidRDefault="00A05FD2" w:rsidP="003F4417">
            <w:pPr>
              <w:rPr>
                <w:sz w:val="16"/>
                <w:szCs w:val="16"/>
              </w:rPr>
            </w:pPr>
            <w:r>
              <w:rPr>
                <w:sz w:val="16"/>
                <w:szCs w:val="16"/>
              </w:rPr>
              <w:t>6.9</w:t>
            </w:r>
          </w:p>
          <w:p w:rsidR="00E3020A" w:rsidRPr="00D251C5" w:rsidRDefault="00BE4BAD" w:rsidP="003F4417">
            <w:pPr>
              <w:rPr>
                <w:sz w:val="16"/>
                <w:szCs w:val="16"/>
              </w:rPr>
            </w:pPr>
            <w:r>
              <w:rPr>
                <w:sz w:val="16"/>
                <w:szCs w:val="16"/>
              </w:rPr>
              <w:t>(</w:t>
            </w:r>
            <w:r w:rsidR="00E3020A">
              <w:rPr>
                <w:sz w:val="16"/>
                <w:szCs w:val="16"/>
              </w:rPr>
              <w:t>6.2 – 8.0</w:t>
            </w:r>
            <w:r>
              <w:rPr>
                <w:sz w:val="16"/>
                <w:szCs w:val="16"/>
              </w:rPr>
              <w:t>)</w:t>
            </w:r>
          </w:p>
        </w:tc>
        <w:tc>
          <w:tcPr>
            <w:tcW w:w="960" w:type="dxa"/>
            <w:tcBorders>
              <w:bottom w:val="single" w:sz="4" w:space="0" w:color="auto"/>
            </w:tcBorders>
          </w:tcPr>
          <w:p w:rsidR="00BE4BAD" w:rsidRDefault="00A05FD2" w:rsidP="003F4417">
            <w:pPr>
              <w:rPr>
                <w:sz w:val="16"/>
                <w:szCs w:val="16"/>
              </w:rPr>
            </w:pPr>
            <w:r>
              <w:rPr>
                <w:sz w:val="16"/>
                <w:szCs w:val="16"/>
              </w:rPr>
              <w:t>12.5</w:t>
            </w:r>
          </w:p>
          <w:p w:rsidR="00E3020A" w:rsidRPr="00D251C5" w:rsidRDefault="00BE4BAD" w:rsidP="003F4417">
            <w:pPr>
              <w:rPr>
                <w:sz w:val="16"/>
                <w:szCs w:val="16"/>
              </w:rPr>
            </w:pPr>
            <w:r>
              <w:rPr>
                <w:sz w:val="16"/>
                <w:szCs w:val="16"/>
              </w:rPr>
              <w:t>(</w:t>
            </w:r>
            <w:r w:rsidR="00E3020A">
              <w:rPr>
                <w:sz w:val="16"/>
                <w:szCs w:val="16"/>
              </w:rPr>
              <w:t>10.2 – 23.7</w:t>
            </w:r>
            <w:r>
              <w:rPr>
                <w:sz w:val="16"/>
                <w:szCs w:val="16"/>
              </w:rPr>
              <w:t>)</w:t>
            </w:r>
          </w:p>
        </w:tc>
        <w:tc>
          <w:tcPr>
            <w:tcW w:w="915" w:type="dxa"/>
            <w:tcBorders>
              <w:bottom w:val="single" w:sz="4" w:space="0" w:color="auto"/>
            </w:tcBorders>
          </w:tcPr>
          <w:p w:rsidR="00BE4BAD" w:rsidRDefault="00A05FD2" w:rsidP="003F4417">
            <w:pPr>
              <w:rPr>
                <w:sz w:val="16"/>
                <w:szCs w:val="16"/>
              </w:rPr>
            </w:pPr>
            <w:r>
              <w:rPr>
                <w:sz w:val="16"/>
                <w:szCs w:val="16"/>
              </w:rPr>
              <w:t>2.5</w:t>
            </w:r>
          </w:p>
          <w:p w:rsidR="00E3020A" w:rsidRPr="00D251C5" w:rsidRDefault="00BE4BAD" w:rsidP="003F4417">
            <w:pPr>
              <w:rPr>
                <w:sz w:val="16"/>
                <w:szCs w:val="16"/>
              </w:rPr>
            </w:pPr>
            <w:r>
              <w:rPr>
                <w:sz w:val="16"/>
                <w:szCs w:val="16"/>
              </w:rPr>
              <w:t>(</w:t>
            </w:r>
            <w:r w:rsidR="00E3020A">
              <w:rPr>
                <w:sz w:val="16"/>
                <w:szCs w:val="16"/>
              </w:rPr>
              <w:t>1.4 – 2.8</w:t>
            </w:r>
            <w:r>
              <w:rPr>
                <w:sz w:val="16"/>
                <w:szCs w:val="16"/>
              </w:rPr>
              <w:t>)</w:t>
            </w:r>
          </w:p>
        </w:tc>
        <w:tc>
          <w:tcPr>
            <w:tcW w:w="999" w:type="dxa"/>
            <w:tcBorders>
              <w:bottom w:val="single" w:sz="4" w:space="0" w:color="auto"/>
            </w:tcBorders>
          </w:tcPr>
          <w:p w:rsidR="00BE4BAD" w:rsidRDefault="00A05FD2" w:rsidP="003F4417">
            <w:pPr>
              <w:rPr>
                <w:sz w:val="16"/>
                <w:szCs w:val="16"/>
              </w:rPr>
            </w:pPr>
            <w:r>
              <w:rPr>
                <w:sz w:val="16"/>
                <w:szCs w:val="16"/>
              </w:rPr>
              <w:t>28.6</w:t>
            </w:r>
          </w:p>
          <w:p w:rsidR="00E3020A" w:rsidRPr="00D251C5" w:rsidRDefault="00BE4BAD" w:rsidP="003F4417">
            <w:pPr>
              <w:rPr>
                <w:sz w:val="16"/>
                <w:szCs w:val="16"/>
              </w:rPr>
            </w:pPr>
            <w:r>
              <w:rPr>
                <w:sz w:val="16"/>
                <w:szCs w:val="16"/>
              </w:rPr>
              <w:t>(</w:t>
            </w:r>
            <w:r w:rsidR="00E3020A">
              <w:rPr>
                <w:sz w:val="16"/>
                <w:szCs w:val="16"/>
              </w:rPr>
              <w:t>24.9 – 33.7</w:t>
            </w:r>
            <w:r>
              <w:rPr>
                <w:sz w:val="16"/>
                <w:szCs w:val="16"/>
              </w:rPr>
              <w:t>)</w:t>
            </w:r>
          </w:p>
        </w:tc>
      </w:tr>
    </w:tbl>
    <w:p w:rsidR="0063377C" w:rsidRDefault="0063377C"/>
    <w:p w:rsidR="0027518A" w:rsidRPr="00F8525A" w:rsidRDefault="00274901">
      <w:pPr>
        <w:rPr>
          <w:u w:val="single"/>
        </w:rPr>
      </w:pPr>
      <w:r>
        <w:rPr>
          <w:u w:val="single"/>
        </w:rPr>
        <w:t xml:space="preserve">2.3 </w:t>
      </w:r>
      <w:r w:rsidR="00EA3F11" w:rsidRPr="00EA3F11">
        <w:rPr>
          <w:u w:val="single"/>
        </w:rPr>
        <w:t>Data analysis and calculation of forage quality parameters</w:t>
      </w:r>
    </w:p>
    <w:p w:rsidR="004B79EA" w:rsidRDefault="0061267C" w:rsidP="004B79EA">
      <w:r>
        <w:t xml:space="preserve">Due to variation </w:t>
      </w:r>
      <w:r w:rsidR="00EA3F11">
        <w:t>in</w:t>
      </w:r>
      <w:r w:rsidR="000600A9">
        <w:t xml:space="preserve"> values of </w:t>
      </w:r>
      <w:r w:rsidR="00EA3F11">
        <w:t xml:space="preserve">each measured parameter </w:t>
      </w:r>
      <w:r>
        <w:t>between experi</w:t>
      </w:r>
      <w:r w:rsidR="00EA3F11">
        <w:t>ments, sub</w:t>
      </w:r>
      <w:r w:rsidR="0055423C">
        <w:t>-</w:t>
      </w:r>
      <w:r w:rsidR="00EA3F11">
        <w:t>treatments and years,</w:t>
      </w:r>
      <w:r>
        <w:t xml:space="preserve"> datasets were standardised</w:t>
      </w:r>
      <w:r w:rsidR="00A113E1">
        <w:t>.</w:t>
      </w:r>
      <w:r>
        <w:t xml:space="preserve"> </w:t>
      </w:r>
      <w:r w:rsidR="00A113E1">
        <w:t xml:space="preserve"> </w:t>
      </w:r>
      <w:r w:rsidR="00A113E1" w:rsidRPr="00A113E1">
        <w:t xml:space="preserve">As the lowest ozone treatment for the different experiments was very variable and in some cases may already be high enough to cause effects (for example in the free-air system, where the lowest treatment was ambient air), a regression approach for each experimental dataset </w:t>
      </w:r>
      <w:r w:rsidR="00A113E1">
        <w:t>using</w:t>
      </w:r>
      <w:r w:rsidR="00A113E1" w:rsidRPr="00A113E1">
        <w:t xml:space="preserve"> all datapoints within each dataset (even the ‘control’ treatment) was used and the measured </w:t>
      </w:r>
      <w:r w:rsidR="00A113E1">
        <w:t xml:space="preserve">response </w:t>
      </w:r>
      <w:r w:rsidR="00A113E1" w:rsidRPr="00A113E1">
        <w:t xml:space="preserve">value was expressed relative to the extrapolated value at 0 ppb ozone. This </w:t>
      </w:r>
      <w:r w:rsidR="00A113E1">
        <w:t xml:space="preserve">method </w:t>
      </w:r>
      <w:r w:rsidR="00A113E1" w:rsidRPr="00A113E1">
        <w:t xml:space="preserve">allows each control, as well as each treatment, a unique position on the x-axis and thus, any small effects of ozone on the control treatments, as a result of the different ozone concentrations in the different control treatments, to be accounted for. </w:t>
      </w:r>
      <w:r w:rsidR="00EA3F11" w:rsidRPr="00A113E1">
        <w:t xml:space="preserve"> </w:t>
      </w:r>
      <w:r w:rsidR="00EA3F11">
        <w:t>Each</w:t>
      </w:r>
      <w:r w:rsidR="004B79EA">
        <w:t xml:space="preserve"> sub</w:t>
      </w:r>
      <w:r w:rsidR="0055423C">
        <w:t>-</w:t>
      </w:r>
      <w:r w:rsidR="004B79EA">
        <w:t>treatment or year within an experiment was considered an indiv</w:t>
      </w:r>
      <w:r w:rsidR="0055423C">
        <w:t xml:space="preserve">idual dataset for this </w:t>
      </w:r>
      <w:r w:rsidR="00485C61">
        <w:t xml:space="preserve">standardisation </w:t>
      </w:r>
      <w:r w:rsidR="0055423C">
        <w:t>purpose</w:t>
      </w:r>
      <w:r w:rsidR="0052422B">
        <w:t xml:space="preserve">, </w:t>
      </w:r>
      <w:r w:rsidR="004B79EA">
        <w:t>and each measured parameter was standardised separately.</w:t>
      </w:r>
      <w:r w:rsidR="004B79EA" w:rsidRPr="004B79EA">
        <w:t xml:space="preserve"> </w:t>
      </w:r>
      <w:r w:rsidR="004B79EA">
        <w:t xml:space="preserve"> Mean values per ozone treatment (</w:t>
      </w:r>
      <w:r w:rsidR="0055423C">
        <w:t>for each</w:t>
      </w:r>
      <w:r w:rsidR="004B79EA">
        <w:t xml:space="preserve"> sub</w:t>
      </w:r>
      <w:r w:rsidR="0055423C">
        <w:t>-</w:t>
      </w:r>
      <w:r w:rsidR="004B79EA">
        <w:lastRenderedPageBreak/>
        <w:t>treatment</w:t>
      </w:r>
      <w:r w:rsidR="0055423C">
        <w:t xml:space="preserve"> and/or year if relevant</w:t>
      </w:r>
      <w:r w:rsidR="00485C61">
        <w:t xml:space="preserve">) were then </w:t>
      </w:r>
      <w:r w:rsidR="004B79EA">
        <w:t>calculated</w:t>
      </w:r>
      <w:r w:rsidR="00485C61">
        <w:t xml:space="preserve"> based on the standardised data, and the</w:t>
      </w:r>
      <w:r w:rsidR="008B5495">
        <w:t>se</w:t>
      </w:r>
      <w:r w:rsidR="00485C61">
        <w:t xml:space="preserve"> mean values were used in subsequent analysis</w:t>
      </w:r>
      <w:r w:rsidR="004B79EA">
        <w:t>.</w:t>
      </w:r>
    </w:p>
    <w:p w:rsidR="0061267C" w:rsidRDefault="0061267C"/>
    <w:p w:rsidR="0061267C" w:rsidRDefault="0061267C">
      <w:r>
        <w:t xml:space="preserve">Total ‘yield’ </w:t>
      </w:r>
      <w:r w:rsidR="00316683">
        <w:t>of each parameter wa</w:t>
      </w:r>
      <w:r w:rsidR="004B79EA">
        <w:t>s the combination of the percentage component (quality) of</w:t>
      </w:r>
      <w:r>
        <w:t xml:space="preserve"> the</w:t>
      </w:r>
      <w:r w:rsidR="004B79EA">
        <w:t xml:space="preserve"> vegetation</w:t>
      </w:r>
      <w:r>
        <w:t xml:space="preserve"> sample and above-ground biomass.  </w:t>
      </w:r>
      <w:r w:rsidR="0055423C">
        <w:t>For consistency, t</w:t>
      </w:r>
      <w:r>
        <w:t>hese were calculated based on treatment mean biomass (per year and sub</w:t>
      </w:r>
      <w:r w:rsidR="0055423C">
        <w:t>-</w:t>
      </w:r>
      <w:r>
        <w:t>treatment) as in ma</w:t>
      </w:r>
      <w:r w:rsidR="00E47F71">
        <w:t>ny cases individual samples had been</w:t>
      </w:r>
      <w:r>
        <w:t xml:space="preserve"> bulked for </w:t>
      </w:r>
      <w:r w:rsidR="00E47F71">
        <w:t xml:space="preserve">forage quality </w:t>
      </w:r>
      <w:r>
        <w:t>analysis.</w:t>
      </w:r>
    </w:p>
    <w:p w:rsidR="00D47637" w:rsidRDefault="00D47637"/>
    <w:p w:rsidR="003E6D6B" w:rsidRDefault="004B79EA" w:rsidP="003E6D6B">
      <w:r>
        <w:t xml:space="preserve">For all quality and quantity parameters, </w:t>
      </w:r>
      <w:r w:rsidR="00E3020A">
        <w:t xml:space="preserve">linear </w:t>
      </w:r>
      <w:r>
        <w:t>r</w:t>
      </w:r>
      <w:r w:rsidR="00D47637">
        <w:t xml:space="preserve">egression </w:t>
      </w:r>
      <w:r w:rsidR="00943457">
        <w:t xml:space="preserve">was </w:t>
      </w:r>
      <w:r w:rsidR="00D47637">
        <w:t>used to calculate the change in individual quality parameters with increasing ozone concentration</w:t>
      </w:r>
      <w:r w:rsidR="003C710D">
        <w:t>.  The significance of the relationship was analysed using Minitab (Version 15) and calculation of the critical ozone concentration for a significant effect of ozone (</w:t>
      </w:r>
      <w:r w:rsidR="003C710D" w:rsidRPr="00716611">
        <w:t xml:space="preserve">from a starting concentration of </w:t>
      </w:r>
      <w:r w:rsidR="00EF392A" w:rsidRPr="00716611">
        <w:t>3</w:t>
      </w:r>
      <w:r w:rsidR="003C710D" w:rsidRPr="00716611">
        <w:t>0 ppb</w:t>
      </w:r>
      <w:r w:rsidR="003C710D">
        <w:t xml:space="preserve"> and using 95% confidence intervals) was carried out using Sigmaplot (Version 12.3</w:t>
      </w:r>
      <w:r w:rsidR="003E6D6B">
        <w:t xml:space="preserve">).  </w:t>
      </w:r>
      <w:r w:rsidR="00716611">
        <w:t>30 ppb was chosen as the starting concentration as this is the current mean ozone concentration at European rural monitoring sites (EEA, 2015).</w:t>
      </w:r>
    </w:p>
    <w:p w:rsidR="003E6D6B" w:rsidRDefault="003E6D6B" w:rsidP="003E6D6B"/>
    <w:p w:rsidR="003E6D6B" w:rsidRDefault="003E6D6B" w:rsidP="003E6D6B">
      <w:r w:rsidRPr="000558A6">
        <w:rPr>
          <w:b/>
        </w:rPr>
        <w:t>Digestible dry matter</w:t>
      </w:r>
      <w:r>
        <w:t xml:space="preserve"> (DDM)</w:t>
      </w:r>
      <w:r w:rsidR="001801F4">
        <w:t xml:space="preserve"> was calculated according to Mertens (1987)</w:t>
      </w:r>
    </w:p>
    <w:p w:rsidR="003E6D6B" w:rsidRDefault="003E6D6B" w:rsidP="003E6D6B">
      <w:r>
        <w:t>%DDM = 88.9 – (0.779*ADF)</w:t>
      </w:r>
    </w:p>
    <w:p w:rsidR="003E6D6B" w:rsidRDefault="003E6D6B" w:rsidP="003E6D6B">
      <w:r>
        <w:t>Where ADF represents the acid detergent fraction (%)</w:t>
      </w:r>
    </w:p>
    <w:p w:rsidR="00895028" w:rsidRDefault="00895028" w:rsidP="00895028">
      <w:pPr>
        <w:rPr>
          <w:b/>
        </w:rPr>
      </w:pPr>
    </w:p>
    <w:p w:rsidR="00895028" w:rsidRDefault="00895028" w:rsidP="00895028">
      <w:r w:rsidRPr="000558A6">
        <w:rPr>
          <w:b/>
        </w:rPr>
        <w:t>Voluntary dry matter intake</w:t>
      </w:r>
      <w:r>
        <w:t xml:space="preserve"> was predicted from NDF using the equations of Mertens (1987)</w:t>
      </w:r>
    </w:p>
    <w:p w:rsidR="00895028" w:rsidRDefault="00895028" w:rsidP="00895028">
      <w:r>
        <w:lastRenderedPageBreak/>
        <w:t>DMI = 120/NDF</w:t>
      </w:r>
    </w:p>
    <w:p w:rsidR="00895028" w:rsidRDefault="00895028" w:rsidP="00895028">
      <w:r>
        <w:t>Where NDF represents the neutral detergent fraction (%)</w:t>
      </w:r>
    </w:p>
    <w:p w:rsidR="003E6D6B" w:rsidRDefault="003E6D6B" w:rsidP="003E6D6B"/>
    <w:p w:rsidR="003E6D6B" w:rsidRPr="000558A6" w:rsidRDefault="003E6D6B" w:rsidP="003E6D6B">
      <w:pPr>
        <w:rPr>
          <w:b/>
        </w:rPr>
      </w:pPr>
      <w:r w:rsidRPr="000558A6">
        <w:rPr>
          <w:b/>
        </w:rPr>
        <w:t>Relative feed value (RFV)</w:t>
      </w:r>
      <w:r w:rsidR="001801F4" w:rsidRPr="001801F4">
        <w:t xml:space="preserve"> </w:t>
      </w:r>
      <w:r w:rsidR="001801F4">
        <w:t>was calculated from dry matter intake and digestible dry matter (DDM) using the equations of Linn and Martin (1989).</w:t>
      </w:r>
    </w:p>
    <w:p w:rsidR="003E6D6B" w:rsidRDefault="003E6D6B" w:rsidP="003E6D6B">
      <w:r>
        <w:t>RFV = (DDM*DMI)/1.29</w:t>
      </w:r>
    </w:p>
    <w:p w:rsidR="003E6D6B" w:rsidRDefault="003E6D6B" w:rsidP="003E6D6B">
      <w:r>
        <w:t>Where DDM and DMI are the percentage of digestible dry matter and the voluntary dry matter intake, respectively, calculated by reference to a digestible DM intake that has been adopted to standardise forage containing 53% NDF and 41% ADF to a RFV of 100.</w:t>
      </w:r>
    </w:p>
    <w:p w:rsidR="003E6D6B" w:rsidRDefault="003E6D6B" w:rsidP="003E6D6B"/>
    <w:p w:rsidR="003E6D6B" w:rsidRDefault="003E6D6B" w:rsidP="003E6D6B">
      <w:r w:rsidRPr="000558A6">
        <w:rPr>
          <w:b/>
        </w:rPr>
        <w:t>Digestible energy</w:t>
      </w:r>
      <w:r>
        <w:rPr>
          <w:b/>
        </w:rPr>
        <w:t xml:space="preserve"> (DE)</w:t>
      </w:r>
      <w:r>
        <w:t xml:space="preserve"> of the forage (for sheep) was calculated according to the equations of Fonnesbeck and Harris (1981).  </w:t>
      </w:r>
    </w:p>
    <w:p w:rsidR="003E6D6B" w:rsidRDefault="003E6D6B" w:rsidP="003E6D6B">
      <w:r>
        <w:t>DE (in Mcal/kg) = 3.887 – (0.0313 * NDF) + (0.186 * lignin).</w:t>
      </w:r>
    </w:p>
    <w:p w:rsidR="003E6D6B" w:rsidRDefault="003E6D6B" w:rsidP="003E6D6B"/>
    <w:p w:rsidR="003E6D6B" w:rsidRDefault="003E6D6B" w:rsidP="003E6D6B">
      <w:r w:rsidRPr="00B10C71">
        <w:rPr>
          <w:b/>
        </w:rPr>
        <w:t>Metabolisable energy</w:t>
      </w:r>
      <w:r>
        <w:rPr>
          <w:b/>
        </w:rPr>
        <w:t xml:space="preserve"> (ME) </w:t>
      </w:r>
      <w:r>
        <w:t>was calculated according to the conversion of Johnson (1972)</w:t>
      </w:r>
    </w:p>
    <w:p w:rsidR="003E6D6B" w:rsidRDefault="003E6D6B" w:rsidP="003E6D6B">
      <w:r w:rsidRPr="00FC6269">
        <w:t xml:space="preserve">ME </w:t>
      </w:r>
      <w:r>
        <w:t>= DE * 0.82</w:t>
      </w:r>
    </w:p>
    <w:p w:rsidR="001C7C0D" w:rsidRDefault="001C7C0D" w:rsidP="003E6D6B"/>
    <w:p w:rsidR="001C7C0D" w:rsidRDefault="001C7C0D" w:rsidP="003E6D6B">
      <w:r>
        <w:t>DE and ME were converted into MJ/kg using the equation</w:t>
      </w:r>
    </w:p>
    <w:p w:rsidR="00370645" w:rsidRDefault="00EA587F" w:rsidP="00370645">
      <w:r>
        <w:t>1 calorie = 4.184 joules</w:t>
      </w:r>
      <w:r w:rsidR="00370645">
        <w:t xml:space="preserve"> </w:t>
      </w:r>
    </w:p>
    <w:p w:rsidR="003A1DF8" w:rsidRDefault="003A1DF8" w:rsidP="00370645"/>
    <w:p w:rsidR="00A23905" w:rsidRDefault="00A23905" w:rsidP="00370645">
      <w:r>
        <w:lastRenderedPageBreak/>
        <w:t xml:space="preserve">To determine the relationship between ME and ozone exposure, a mixed model </w:t>
      </w:r>
      <w:r w:rsidR="00BB6882">
        <w:t>in R (</w:t>
      </w:r>
      <w:r w:rsidR="0094356D">
        <w:t>R Development Core Team, 2010</w:t>
      </w:r>
      <w:r w:rsidR="00BB6882">
        <w:t>) was used to allow calculation of the common slope of the regression response for the different contributing experiments, as actual values of ME were required for subsequent analysis (rather than a relative response).</w:t>
      </w:r>
    </w:p>
    <w:p w:rsidR="001C7C0D" w:rsidRDefault="001C7C0D" w:rsidP="003E6D6B"/>
    <w:p w:rsidR="00AE639E" w:rsidRPr="00F8525A" w:rsidRDefault="00274901">
      <w:pPr>
        <w:rPr>
          <w:u w:val="single"/>
        </w:rPr>
      </w:pPr>
      <w:r>
        <w:rPr>
          <w:u w:val="single"/>
        </w:rPr>
        <w:t xml:space="preserve">2.4 </w:t>
      </w:r>
      <w:r w:rsidR="00AE639E">
        <w:rPr>
          <w:u w:val="single"/>
        </w:rPr>
        <w:t>Calculation of changes in liveweight gain in sheep</w:t>
      </w:r>
    </w:p>
    <w:p w:rsidR="00AE639E" w:rsidRDefault="00AE639E">
      <w:r>
        <w:t>Relationships between energy intake and liveweight gain were derived from McDonald et al. (2002), where calculations were made based on maintenance metabolisable energy requirements.  The relationship between liveweight gain and daily energy requirements (in MJ) were modified to account for the daily dry matter intake of the animals</w:t>
      </w:r>
      <w:r w:rsidR="00EA1C44">
        <w:t xml:space="preserve"> (given in McDonald et al, 2002)</w:t>
      </w:r>
      <w:r>
        <w:t xml:space="preserve"> to obtain relationships of liveweight gain based on metabolisable energy requirements per kg of forage.</w:t>
      </w:r>
      <w:r w:rsidR="00E47F71">
        <w:t xml:space="preserve">  The relationship used was:</w:t>
      </w:r>
    </w:p>
    <w:p w:rsidR="00B721DD" w:rsidRDefault="00B721DD"/>
    <w:p w:rsidR="00E47F71" w:rsidRPr="00E47F71" w:rsidRDefault="00E47F71" w:rsidP="00E47F71">
      <w:pPr>
        <w:rPr>
          <w:b/>
        </w:rPr>
      </w:pPr>
      <w:r w:rsidRPr="00E47F71">
        <w:rPr>
          <w:b/>
        </w:rPr>
        <w:t>Liveweight gain of lambs and sheep</w:t>
      </w:r>
    </w:p>
    <w:p w:rsidR="00E47F71" w:rsidRDefault="00E47F71" w:rsidP="00E47F71">
      <w:r>
        <w:t>LWgain</w:t>
      </w:r>
      <w:r>
        <w:rPr>
          <w:vertAlign w:val="subscript"/>
        </w:rPr>
        <w:t xml:space="preserve">lambsandsheep </w:t>
      </w:r>
      <w:r>
        <w:t>(g/day) = 24.06*ME</w:t>
      </w:r>
      <w:r>
        <w:rPr>
          <w:vertAlign w:val="subscript"/>
        </w:rPr>
        <w:t xml:space="preserve">pasture  </w:t>
      </w:r>
      <w:r>
        <w:t>- 164.56</w:t>
      </w:r>
    </w:p>
    <w:p w:rsidR="00E47F71" w:rsidRDefault="00E47F71"/>
    <w:p w:rsidR="0039512C" w:rsidRDefault="00B721DD">
      <w:r>
        <w:t xml:space="preserve">The distribution of </w:t>
      </w:r>
      <w:r w:rsidR="003838B5">
        <w:t>lambs</w:t>
      </w:r>
      <w:r>
        <w:t xml:space="preserve"> in the UK was obtained at </w:t>
      </w:r>
      <w:r w:rsidR="0067596F">
        <w:t>2km x 2km</w:t>
      </w:r>
      <w:r>
        <w:t xml:space="preserve"> resolution (</w:t>
      </w:r>
      <w:r w:rsidR="0067596F">
        <w:t>Agcensus 2004</w:t>
      </w:r>
      <w:r w:rsidR="00AE6EF3">
        <w:t xml:space="preserve"> data; </w:t>
      </w:r>
      <w:r w:rsidR="00EA1C44" w:rsidRPr="00EA1C44">
        <w:t>http://edina.ac.uk/agcensus/</w:t>
      </w:r>
      <w:r w:rsidR="0060673A">
        <w:t>)</w:t>
      </w:r>
      <w:r w:rsidR="00EA587F">
        <w:t>, and the numbers of lambs were distributed equally between each of the four component 1km x 1km gridsquares</w:t>
      </w:r>
      <w:r w:rsidR="0060673A">
        <w:t xml:space="preserve">.  </w:t>
      </w:r>
    </w:p>
    <w:p w:rsidR="0039512C" w:rsidRDefault="0039512C"/>
    <w:p w:rsidR="00B721DD" w:rsidRDefault="0039512C">
      <w:r>
        <w:t>Spatially explicit ozone concentrations were available at 1x1 km from the FRAME model in CEH, using a 5-year average for 2002-2006.  Data for the future scenario were available at 10x10 km from the Ozone Source Receptor Model (OSRM,</w:t>
      </w:r>
      <w:r w:rsidRPr="0039512C">
        <w:t xml:space="preserve"> </w:t>
      </w:r>
      <w:r>
        <w:t xml:space="preserve">Hayman et al., 2010), established </w:t>
      </w:r>
      <w:r>
        <w:lastRenderedPageBreak/>
        <w:t xml:space="preserve">for 2007 and forecast for 2020 based on emissions projections under the DECC UEP43 energy projection, interpolated linearly between the time points.  The OSRM provides an average concentration throughout the surface boundary layer and the model outputs were adjusted to give concentrations at the top of the canopy using the tabulated correction factors in the ICP </w:t>
      </w:r>
      <w:r w:rsidR="00940A22">
        <w:t>Modelling</w:t>
      </w:r>
      <w:r w:rsidR="00940A22" w:rsidDel="00940A22">
        <w:t xml:space="preserve"> </w:t>
      </w:r>
      <w:r>
        <w:t xml:space="preserve">and </w:t>
      </w:r>
      <w:r w:rsidR="00940A22">
        <w:t xml:space="preserve">Mapping </w:t>
      </w:r>
      <w:r>
        <w:t>manual (LRTAP</w:t>
      </w:r>
      <w:r w:rsidR="00940A22">
        <w:t>,</w:t>
      </w:r>
      <w:r>
        <w:t xml:space="preserve"> 2010).  The projections to 2020 used 2007</w:t>
      </w:r>
      <w:r w:rsidRPr="009F5194">
        <w:t xml:space="preserve"> </w:t>
      </w:r>
      <w:r>
        <w:t xml:space="preserve">as the base year for climatic influences on ozone, therefore the broad spatial pattern did not change, but the magnitude changed to reflect changes in precursor chemicals.  </w:t>
      </w:r>
      <w:r w:rsidR="00AE6EF3">
        <w:t xml:space="preserve">These </w:t>
      </w:r>
      <w:r w:rsidR="0060673A">
        <w:t xml:space="preserve">modelled ozone concentrations </w:t>
      </w:r>
      <w:r w:rsidR="00AE6EF3">
        <w:t>were used to calculate the metabolisable energy of the grassland</w:t>
      </w:r>
      <w:r w:rsidR="00EA587F">
        <w:t xml:space="preserve"> within each </w:t>
      </w:r>
      <w:r w:rsidR="00125D28">
        <w:t xml:space="preserve">1 x 1 km </w:t>
      </w:r>
      <w:r w:rsidR="00EA587F">
        <w:t>gridsquare</w:t>
      </w:r>
      <w:r w:rsidR="00AE6EF3">
        <w:t>, and from th</w:t>
      </w:r>
      <w:r w:rsidR="00125D28">
        <w:t>ese</w:t>
      </w:r>
      <w:r w:rsidR="00AE6EF3">
        <w:t xml:space="preserve">, </w:t>
      </w:r>
      <w:r w:rsidR="00125D28">
        <w:t xml:space="preserve">the </w:t>
      </w:r>
      <w:r w:rsidR="00940A22">
        <w:t xml:space="preserve">effects on the </w:t>
      </w:r>
      <w:r w:rsidR="00AE6EF3">
        <w:t>potential liv</w:t>
      </w:r>
      <w:r w:rsidR="0067596F">
        <w:t xml:space="preserve">eweight gain of </w:t>
      </w:r>
      <w:r w:rsidR="003838B5">
        <w:t>lambs</w:t>
      </w:r>
      <w:r w:rsidR="0060673A">
        <w:t xml:space="preserve"> under the different</w:t>
      </w:r>
      <w:r w:rsidR="00AE6EF3">
        <w:t xml:space="preserve"> ozone scenarios</w:t>
      </w:r>
      <w:r w:rsidR="00125D28">
        <w:t xml:space="preserve"> was calculated</w:t>
      </w:r>
      <w:r w:rsidR="00AE6EF3">
        <w:t>.</w:t>
      </w:r>
    </w:p>
    <w:p w:rsidR="003838B5" w:rsidRDefault="003838B5"/>
    <w:p w:rsidR="003838B5" w:rsidRPr="00C64EDF" w:rsidRDefault="003838B5" w:rsidP="00C64EDF">
      <w:pPr>
        <w:rPr>
          <w:rFonts w:eastAsia="Times New Roman" w:cs="Times New Roman"/>
          <w:color w:val="191919"/>
          <w:szCs w:val="24"/>
          <w:lang w:eastAsia="en-GB"/>
        </w:rPr>
      </w:pPr>
      <w:r w:rsidRPr="00C64EDF">
        <w:rPr>
          <w:rFonts w:cs="Times New Roman"/>
          <w:szCs w:val="24"/>
        </w:rPr>
        <w:t xml:space="preserve">Due to the different flock management regimes of upland lambs compared to lowland lambs, </w:t>
      </w:r>
      <w:r w:rsidR="00125D28">
        <w:rPr>
          <w:rFonts w:cs="Times New Roman"/>
          <w:szCs w:val="24"/>
        </w:rPr>
        <w:t xml:space="preserve">their location was </w:t>
      </w:r>
      <w:r w:rsidRPr="00C64EDF">
        <w:rPr>
          <w:rFonts w:cs="Times New Roman"/>
          <w:szCs w:val="24"/>
        </w:rPr>
        <w:t>differentiated by</w:t>
      </w:r>
      <w:r w:rsidR="00B75E6B" w:rsidRPr="00C64EDF">
        <w:rPr>
          <w:rFonts w:cs="Times New Roman"/>
          <w:szCs w:val="24"/>
        </w:rPr>
        <w:t xml:space="preserve"> using an upland mask</w:t>
      </w:r>
      <w:r w:rsidR="00E366C7">
        <w:rPr>
          <w:rFonts w:cs="Times New Roman"/>
          <w:szCs w:val="24"/>
        </w:rPr>
        <w:t xml:space="preserve"> based on </w:t>
      </w:r>
      <w:r w:rsidR="00125D28">
        <w:rPr>
          <w:rFonts w:cs="Times New Roman"/>
          <w:szCs w:val="24"/>
        </w:rPr>
        <w:t>the</w:t>
      </w:r>
      <w:r w:rsidR="00E366C7">
        <w:rPr>
          <w:rFonts w:cs="Times New Roman"/>
          <w:szCs w:val="24"/>
        </w:rPr>
        <w:t xml:space="preserve"> combination of altitude and vegetation type</w:t>
      </w:r>
      <w:r w:rsidR="00125D28">
        <w:rPr>
          <w:rFonts w:cs="Times New Roman"/>
          <w:szCs w:val="24"/>
        </w:rPr>
        <w:t xml:space="preserve"> </w:t>
      </w:r>
      <w:r w:rsidR="00C64EDF">
        <w:rPr>
          <w:rFonts w:cs="Times New Roman"/>
          <w:szCs w:val="24"/>
        </w:rPr>
        <w:t>used in the UK</w:t>
      </w:r>
      <w:r w:rsidR="00C64EDF" w:rsidRPr="00C64EDF">
        <w:rPr>
          <w:rFonts w:eastAsia="Times New Roman" w:cs="Times New Roman"/>
          <w:color w:val="191919"/>
          <w:szCs w:val="24"/>
          <w:lang w:eastAsia="en-GB"/>
        </w:rPr>
        <w:t xml:space="preserve"> Countryside Survey </w:t>
      </w:r>
      <w:r w:rsidR="00C64EDF">
        <w:rPr>
          <w:rFonts w:eastAsia="Times New Roman" w:cs="Times New Roman"/>
          <w:color w:val="191919"/>
          <w:szCs w:val="24"/>
          <w:lang w:eastAsia="en-GB"/>
        </w:rPr>
        <w:t>(</w:t>
      </w:r>
      <w:r w:rsidR="00C64EDF" w:rsidRPr="00C64EDF">
        <w:rPr>
          <w:rFonts w:eastAsia="Times New Roman" w:cs="Times New Roman"/>
          <w:color w:val="191919"/>
          <w:szCs w:val="24"/>
          <w:lang w:eastAsia="en-GB"/>
        </w:rPr>
        <w:t>© Database Right/Copyright NERC– Centre for Ecology &amp;</w:t>
      </w:r>
      <w:r w:rsidR="00414FE9">
        <w:rPr>
          <w:rFonts w:eastAsia="Times New Roman" w:cs="Times New Roman"/>
          <w:color w:val="191919"/>
          <w:szCs w:val="24"/>
          <w:lang w:eastAsia="en-GB"/>
        </w:rPr>
        <w:t xml:space="preserve"> Hydrology</w:t>
      </w:r>
      <w:r w:rsidR="00C64EDF">
        <w:rPr>
          <w:rFonts w:eastAsia="Times New Roman" w:cs="Times New Roman"/>
          <w:color w:val="191919"/>
          <w:szCs w:val="24"/>
          <w:lang w:eastAsia="en-GB"/>
        </w:rPr>
        <w:t>),</w:t>
      </w:r>
      <w:r w:rsidR="00B75E6B" w:rsidRPr="00C64EDF">
        <w:rPr>
          <w:rFonts w:cs="Times New Roman"/>
          <w:szCs w:val="24"/>
        </w:rPr>
        <w:t xml:space="preserve"> which separated upland gridsquares from lowland gridsquares</w:t>
      </w:r>
      <w:r w:rsidR="00C64EDF">
        <w:rPr>
          <w:rFonts w:cs="Times New Roman"/>
          <w:szCs w:val="24"/>
        </w:rPr>
        <w:t xml:space="preserve"> (Carey et al., 2008)</w:t>
      </w:r>
      <w:r w:rsidR="00B75E6B" w:rsidRPr="00C64EDF">
        <w:rPr>
          <w:rFonts w:cs="Times New Roman"/>
          <w:szCs w:val="24"/>
        </w:rPr>
        <w:t>.</w:t>
      </w:r>
      <w:r w:rsidRPr="00C64EDF">
        <w:rPr>
          <w:rFonts w:cs="Times New Roman"/>
          <w:szCs w:val="24"/>
        </w:rPr>
        <w:t xml:space="preserve">  </w:t>
      </w:r>
      <w:r w:rsidR="00C963CE">
        <w:rPr>
          <w:rFonts w:cs="Times New Roman"/>
          <w:szCs w:val="24"/>
        </w:rPr>
        <w:t>Although the number of rearing days is not fixed</w:t>
      </w:r>
      <w:r w:rsidR="004D53C3">
        <w:rPr>
          <w:rFonts w:cs="Times New Roman"/>
          <w:szCs w:val="24"/>
        </w:rPr>
        <w:t xml:space="preserve"> in farm management practices</w:t>
      </w:r>
      <w:r w:rsidR="00C963CE">
        <w:rPr>
          <w:rFonts w:cs="Times New Roman"/>
          <w:szCs w:val="24"/>
        </w:rPr>
        <w:t>, as an indication of potential response for</w:t>
      </w:r>
      <w:r w:rsidR="004D53C3">
        <w:rPr>
          <w:rFonts w:cs="Times New Roman"/>
          <w:szCs w:val="24"/>
        </w:rPr>
        <w:t xml:space="preserve"> the purposes of</w:t>
      </w:r>
      <w:r w:rsidR="00C963CE">
        <w:rPr>
          <w:rFonts w:cs="Times New Roman"/>
          <w:szCs w:val="24"/>
        </w:rPr>
        <w:t xml:space="preserve"> this study i</w:t>
      </w:r>
      <w:r w:rsidRPr="00C64EDF">
        <w:rPr>
          <w:rFonts w:cs="Times New Roman"/>
          <w:szCs w:val="24"/>
        </w:rPr>
        <w:t>t was assumed that for lowland flocks, lambs were reared on the pasture for 112 days, after which 80% of the lambs were slaughtered ‘for the table’, and for upland flocks it was assumed that lambs were reared for 224 days, after w</w:t>
      </w:r>
      <w:r w:rsidR="00C963CE">
        <w:rPr>
          <w:rFonts w:cs="Times New Roman"/>
          <w:szCs w:val="24"/>
        </w:rPr>
        <w:t xml:space="preserve">hich 50% were slaughtered ‘for </w:t>
      </w:r>
      <w:r w:rsidRPr="00C64EDF">
        <w:rPr>
          <w:rFonts w:cs="Times New Roman"/>
          <w:szCs w:val="24"/>
        </w:rPr>
        <w:t xml:space="preserve">the table’ (Chris Short, </w:t>
      </w:r>
      <w:r w:rsidR="00746B1B">
        <w:rPr>
          <w:rFonts w:cs="Times New Roman"/>
          <w:szCs w:val="24"/>
        </w:rPr>
        <w:t xml:space="preserve">University of Gloucestershire, </w:t>
      </w:r>
      <w:r w:rsidRPr="00C64EDF">
        <w:rPr>
          <w:rFonts w:cs="Times New Roman"/>
          <w:szCs w:val="24"/>
        </w:rPr>
        <w:t xml:space="preserve">pers. </w:t>
      </w:r>
      <w:r w:rsidR="00E91BFB" w:rsidRPr="00C64EDF">
        <w:rPr>
          <w:rFonts w:cs="Times New Roman"/>
          <w:szCs w:val="24"/>
        </w:rPr>
        <w:t>c</w:t>
      </w:r>
      <w:r w:rsidR="0042256E" w:rsidRPr="00C64EDF">
        <w:rPr>
          <w:rFonts w:cs="Times New Roman"/>
          <w:szCs w:val="24"/>
        </w:rPr>
        <w:t>omm</w:t>
      </w:r>
      <w:r w:rsidRPr="00C64EDF">
        <w:rPr>
          <w:rFonts w:cs="Times New Roman"/>
          <w:szCs w:val="24"/>
        </w:rPr>
        <w:t xml:space="preserve">.). </w:t>
      </w:r>
    </w:p>
    <w:p w:rsidR="00AE639E" w:rsidRDefault="00AE639E"/>
    <w:p w:rsidR="00990F96" w:rsidRPr="003B6D16" w:rsidRDefault="00274901" w:rsidP="00990F96">
      <w:pPr>
        <w:rPr>
          <w:u w:val="single"/>
        </w:rPr>
      </w:pPr>
      <w:r>
        <w:rPr>
          <w:u w:val="single"/>
        </w:rPr>
        <w:t xml:space="preserve">2.5 </w:t>
      </w:r>
      <w:r w:rsidR="00990F96">
        <w:rPr>
          <w:u w:val="single"/>
        </w:rPr>
        <w:t>Supplementary feeding</w:t>
      </w:r>
    </w:p>
    <w:p w:rsidR="00CA1B1C" w:rsidRDefault="00990F96" w:rsidP="00990F96">
      <w:r>
        <w:lastRenderedPageBreak/>
        <w:t>To maintain high growth rates</w:t>
      </w:r>
      <w:r w:rsidR="00C64EDF">
        <w:t>,</w:t>
      </w:r>
      <w:r>
        <w:t xml:space="preserve"> additional concentrate feed is given to lambs.  ‘Long-keep’ </w:t>
      </w:r>
      <w:r w:rsidR="00370B0B">
        <w:t>lambs</w:t>
      </w:r>
      <w:r>
        <w:t xml:space="preserve"> have a target weight gain of 80-100g per day (Eblex</w:t>
      </w:r>
      <w:r w:rsidR="005F696B">
        <w:t xml:space="preserve"> Sheep BRP Manual 5, 2005</w:t>
      </w:r>
      <w:r>
        <w:t>). Using the metabolisable energy requirements for growth and the amount of forage eaten per day, the amount of energy required from supplem</w:t>
      </w:r>
      <w:r w:rsidR="00384555">
        <w:t>entary feed can be calculated for</w:t>
      </w:r>
      <w:r>
        <w:t xml:space="preserve"> an anticipated </w:t>
      </w:r>
      <w:r w:rsidR="00B75E6B">
        <w:t xml:space="preserve">target </w:t>
      </w:r>
      <w:r>
        <w:t xml:space="preserve">weight gain of 100g per day.  </w:t>
      </w:r>
      <w:r w:rsidR="000E066F">
        <w:t>These values of forage eaten and energy requirements are different for lambs of different sizes, therefore, i</w:t>
      </w:r>
      <w:r w:rsidR="00E0048A">
        <w:t>n this study</w:t>
      </w:r>
      <w:r w:rsidR="00EA587F">
        <w:t xml:space="preserve"> </w:t>
      </w:r>
      <w:r w:rsidR="000E066F">
        <w:t>calculations were made</w:t>
      </w:r>
      <w:r>
        <w:t xml:space="preserve"> for lambs of 25kg (</w:t>
      </w:r>
      <w:r w:rsidR="00C64EDF">
        <w:t>consum</w:t>
      </w:r>
      <w:r>
        <w:t xml:space="preserve">ing 0.5kg forage </w:t>
      </w:r>
      <w:r w:rsidR="00C64EDF">
        <w:t xml:space="preserve">(dry weight) </w:t>
      </w:r>
      <w:r>
        <w:t xml:space="preserve">per day and with a daily ME requirement of 6MJ) and for lambs of 35kg </w:t>
      </w:r>
      <w:r w:rsidR="00C64EDF">
        <w:t>consum</w:t>
      </w:r>
      <w:r>
        <w:t xml:space="preserve">ing 0.845kg of forage </w:t>
      </w:r>
      <w:r w:rsidR="00C64EDF">
        <w:t xml:space="preserve">(dry weight) </w:t>
      </w:r>
      <w:r>
        <w:t xml:space="preserve">per day and </w:t>
      </w:r>
      <w:r w:rsidR="00D13F56">
        <w:t xml:space="preserve">with </w:t>
      </w:r>
      <w:r>
        <w:t>a daily ME requirement of 9MJ) using inform</w:t>
      </w:r>
      <w:r w:rsidR="00D13F56">
        <w:t>ation from McDonald et al. (2002</w:t>
      </w:r>
      <w:r>
        <w:t xml:space="preserve">).  </w:t>
      </w:r>
      <w:r w:rsidR="00384555">
        <w:t>W</w:t>
      </w:r>
      <w:r>
        <w:t xml:space="preserve">ith a decrease in pasture quality, an increase in energy from supplementary feeding </w:t>
      </w:r>
      <w:r w:rsidR="00384555">
        <w:t>would be</w:t>
      </w:r>
      <w:r>
        <w:t xml:space="preserve"> required to maintain growth rate at 100g per day.  Based on a recommended supplementary feed recipe of 12.5 MJ/Kg metabolisable energy (Eblex</w:t>
      </w:r>
      <w:r w:rsidR="005F696B">
        <w:t xml:space="preserve"> Sheep BRP Manual 9, 2009</w:t>
      </w:r>
      <w:r>
        <w:t xml:space="preserve">), the amount of feed </w:t>
      </w:r>
      <w:r w:rsidR="00EA587F">
        <w:t xml:space="preserve">required </w:t>
      </w:r>
      <w:r>
        <w:t xml:space="preserve">per lamb </w:t>
      </w:r>
      <w:r w:rsidR="00384555">
        <w:t>was calculated according to</w:t>
      </w:r>
      <w:r>
        <w:t xml:space="preserve"> pasture quality.  Although there is some divergence in the amount of supplementary feed needed for lambs of different size at very lo</w:t>
      </w:r>
      <w:r w:rsidR="00596646">
        <w:t>w pasture quality, within the ‘</w:t>
      </w:r>
      <w:r>
        <w:t>normal’ range of 6-10 MJ/Kg for the ME of pasture, the amount of feed required i</w:t>
      </w:r>
      <w:r w:rsidR="00C64EDF">
        <w:t xml:space="preserve">s similar for lambs of </w:t>
      </w:r>
      <w:r w:rsidR="000E066F">
        <w:t xml:space="preserve">both </w:t>
      </w:r>
      <w:r>
        <w:t xml:space="preserve">sizes and therefore a mean response for all lambs </w:t>
      </w:r>
      <w:r w:rsidR="00384555">
        <w:t>was</w:t>
      </w:r>
      <w:r>
        <w:t xml:space="preserve"> used </w:t>
      </w:r>
      <w:r w:rsidR="00384555">
        <w:t>as</w:t>
      </w:r>
      <w:r>
        <w:t xml:space="preserve"> the pasture quality </w:t>
      </w:r>
      <w:r w:rsidR="00384555">
        <w:t>wa</w:t>
      </w:r>
      <w:r>
        <w:t xml:space="preserve">s </w:t>
      </w:r>
      <w:r w:rsidR="00384555">
        <w:t>with</w:t>
      </w:r>
      <w:r>
        <w:t>in this range</w:t>
      </w:r>
      <w:r w:rsidR="00EF392A">
        <w:t xml:space="preserve"> (</w:t>
      </w:r>
      <w:r w:rsidR="00E0048A">
        <w:t>6 – 9 MJ/kg in the component experiments</w:t>
      </w:r>
      <w:r w:rsidR="00EF392A">
        <w:t>)</w:t>
      </w:r>
      <w:r>
        <w:t>.</w:t>
      </w:r>
      <w:r w:rsidR="00CA1B1C">
        <w:t xml:space="preserve"> The equation used was:</w:t>
      </w:r>
    </w:p>
    <w:p w:rsidR="00CA1B1C" w:rsidRDefault="00CA1B1C" w:rsidP="00990F96"/>
    <w:p w:rsidR="00CA1B1C" w:rsidRDefault="00CA1B1C" w:rsidP="00CA1B1C">
      <w:pPr>
        <w:rPr>
          <w:vertAlign w:val="subscript"/>
        </w:rPr>
      </w:pPr>
      <w:r>
        <w:t>Concentrate feed required (kg) = 0.6 – 0.0538 * ME</w:t>
      </w:r>
      <w:r>
        <w:rPr>
          <w:vertAlign w:val="subscript"/>
        </w:rPr>
        <w:t>pasture</w:t>
      </w:r>
    </w:p>
    <w:p w:rsidR="00D47637" w:rsidRDefault="00D47637"/>
    <w:p w:rsidR="00D47637" w:rsidRPr="00274901" w:rsidRDefault="00D47637" w:rsidP="00274901">
      <w:pPr>
        <w:pStyle w:val="ListParagraph"/>
        <w:numPr>
          <w:ilvl w:val="0"/>
          <w:numId w:val="4"/>
        </w:numPr>
        <w:rPr>
          <w:b/>
        </w:rPr>
      </w:pPr>
      <w:r w:rsidRPr="00274901">
        <w:rPr>
          <w:b/>
        </w:rPr>
        <w:t>Results</w:t>
      </w:r>
    </w:p>
    <w:p w:rsidR="00F57E5A" w:rsidRDefault="00E42E2B" w:rsidP="00F57E5A">
      <w:r>
        <w:t>There wa</w:t>
      </w:r>
      <w:r w:rsidR="00F57E5A">
        <w:t>s a decrease in pasture quantity, equating to a decrease in plant growth, with increasing ozone exposure</w:t>
      </w:r>
      <w:r w:rsidR="00A32D19">
        <w:t xml:space="preserve"> </w:t>
      </w:r>
      <w:r w:rsidR="008770EE">
        <w:t xml:space="preserve">when all grassland types were combined </w:t>
      </w:r>
      <w:r w:rsidR="00A32D19">
        <w:t>(p=0.023</w:t>
      </w:r>
      <w:r w:rsidR="00E0048A">
        <w:t xml:space="preserve">, using </w:t>
      </w:r>
      <w:r w:rsidR="00E0048A">
        <w:lastRenderedPageBreak/>
        <w:t>grassland type</w:t>
      </w:r>
      <w:r w:rsidR="00A32D19">
        <w:t xml:space="preserve"> as a factor in GLM</w:t>
      </w:r>
      <w:r w:rsidR="008770EE">
        <w:t>, Figure 1</w:t>
      </w:r>
      <w:r w:rsidR="00A32D19">
        <w:t xml:space="preserve">).  </w:t>
      </w:r>
      <w:r w:rsidR="00D23630">
        <w:t>Although there was some variation in t</w:t>
      </w:r>
      <w:r w:rsidR="00F57E5A">
        <w:t>he relationship betwe</w:t>
      </w:r>
      <w:r w:rsidR="00D23630">
        <w:t xml:space="preserve">en plant biomass and </w:t>
      </w:r>
      <w:r w:rsidR="008770EE">
        <w:t xml:space="preserve">24h </w:t>
      </w:r>
      <w:r w:rsidR="00D23630">
        <w:t>ozone</w:t>
      </w:r>
      <w:r w:rsidR="00F57E5A">
        <w:t xml:space="preserve"> between different experiments and subtreatments</w:t>
      </w:r>
      <w:r w:rsidR="00570F3C">
        <w:t xml:space="preserve">, </w:t>
      </w:r>
      <w:r w:rsidR="00B401BD">
        <w:t xml:space="preserve">all showed a decrease in pasture quantity with increasing ozone concentration (Figure 1a) and </w:t>
      </w:r>
      <w:r w:rsidR="00570F3C">
        <w:t>the</w:t>
      </w:r>
      <w:r w:rsidR="00835C0B">
        <w:t>re was no significant difference in the</w:t>
      </w:r>
      <w:r w:rsidR="00AC2DE8">
        <w:t xml:space="preserve"> slope of the relationships</w:t>
      </w:r>
      <w:r w:rsidR="00835C0B">
        <w:t xml:space="preserve"> between experiments. </w:t>
      </w:r>
      <w:r w:rsidR="009E270C">
        <w:t xml:space="preserve"> </w:t>
      </w:r>
      <w:r w:rsidR="00835C0B">
        <w:t xml:space="preserve">The slopes </w:t>
      </w:r>
      <w:r w:rsidR="00570F3C">
        <w:t xml:space="preserve">were broadly similar with the exception of sand dune grassland, which </w:t>
      </w:r>
      <w:r w:rsidR="00835C0B">
        <w:t>appeared to be</w:t>
      </w:r>
      <w:r w:rsidR="00570F3C">
        <w:t xml:space="preserve"> more sensitive to ozone (in terms of biomass) than the other grassland communities studied</w:t>
      </w:r>
      <w:r w:rsidR="00CD1781">
        <w:t xml:space="preserve">, although this difference in sensitivity was not </w:t>
      </w:r>
      <w:r w:rsidR="00BB298C">
        <w:t xml:space="preserve">statistically </w:t>
      </w:r>
      <w:r w:rsidR="00CD1781">
        <w:t>significantly different</w:t>
      </w:r>
      <w:r w:rsidR="003C1D75">
        <w:t xml:space="preserve"> (GLM p&gt;0.05)</w:t>
      </w:r>
      <w:r w:rsidR="00EF392A">
        <w:t xml:space="preserve">.  </w:t>
      </w:r>
      <w:r w:rsidR="00B401BD">
        <w:t>A single response function th</w:t>
      </w:r>
      <w:r w:rsidR="00D802FA">
        <w:t>r</w:t>
      </w:r>
      <w:r w:rsidR="00B401BD">
        <w:t xml:space="preserve">ough all datapoints </w:t>
      </w:r>
      <w:r w:rsidR="002E123A">
        <w:t xml:space="preserve">is shown in Figure 1a, but </w:t>
      </w:r>
      <w:r w:rsidR="00B401BD">
        <w:t xml:space="preserve">due to the different ranges of ozone treatments for the </w:t>
      </w:r>
      <w:r w:rsidR="00292417">
        <w:t>different experiments, resulting</w:t>
      </w:r>
      <w:r w:rsidR="00B401BD">
        <w:t xml:space="preserve"> in a greater influence of those with the </w:t>
      </w:r>
      <w:r w:rsidR="00D802FA">
        <w:t>largest range of ozone treatments</w:t>
      </w:r>
      <w:r w:rsidR="00093444">
        <w:t xml:space="preserve">, </w:t>
      </w:r>
      <w:r w:rsidR="00657A93">
        <w:t>this</w:t>
      </w:r>
      <w:r w:rsidR="00093444">
        <w:t xml:space="preserve"> single response function </w:t>
      </w:r>
      <w:r w:rsidR="00657A93">
        <w:t>has</w:t>
      </w:r>
      <w:r w:rsidR="00093444">
        <w:t xml:space="preserve"> a slope very different to the mean and median slopes</w:t>
      </w:r>
      <w:r w:rsidR="00B401BD">
        <w:t xml:space="preserve">.  </w:t>
      </w:r>
      <w:r w:rsidR="001772CE">
        <w:t>T</w:t>
      </w:r>
      <w:r w:rsidR="00B401BD">
        <w:t>he mean slope of the trendlines is shown in Figure 1b, together with the 10</w:t>
      </w:r>
      <w:r w:rsidR="00B401BD" w:rsidRPr="00B401BD">
        <w:rPr>
          <w:vertAlign w:val="superscript"/>
        </w:rPr>
        <w:t>th</w:t>
      </w:r>
      <w:r w:rsidR="00B401BD">
        <w:t xml:space="preserve"> and 90</w:t>
      </w:r>
      <w:r w:rsidR="00B401BD" w:rsidRPr="00B401BD">
        <w:rPr>
          <w:vertAlign w:val="superscript"/>
        </w:rPr>
        <w:t>th</w:t>
      </w:r>
      <w:r w:rsidR="00B401BD">
        <w:t xml:space="preserve"> centile of the slopes.</w:t>
      </w:r>
      <w:r w:rsidR="00025628">
        <w:t xml:space="preserve"> </w:t>
      </w:r>
      <w:r w:rsidR="00B401BD">
        <w:t xml:space="preserve"> </w:t>
      </w:r>
      <w:r w:rsidR="00AC2DE8">
        <w:t>Applying the resulting function</w:t>
      </w:r>
      <w:r w:rsidR="00025628">
        <w:t xml:space="preserve"> </w:t>
      </w:r>
      <w:r w:rsidR="00F57E5A">
        <w:t>the decline in biomass (pasture quantity) at 60 ppb ozone</w:t>
      </w:r>
      <w:r w:rsidR="00C64EDF">
        <w:t xml:space="preserve"> (24h mean)</w:t>
      </w:r>
      <w:r w:rsidR="00F57E5A">
        <w:t xml:space="preserve"> </w:t>
      </w:r>
      <w:r w:rsidR="006D2D9D">
        <w:t xml:space="preserve">relative to 30 ppb </w:t>
      </w:r>
      <w:r w:rsidR="00F57E5A">
        <w:t xml:space="preserve">was </w:t>
      </w:r>
      <w:r w:rsidR="006D2D9D">
        <w:t xml:space="preserve">a mean of </w:t>
      </w:r>
      <w:r w:rsidR="00323899">
        <w:t>7</w:t>
      </w:r>
      <w:r w:rsidR="006D2D9D">
        <w:t>% (range</w:t>
      </w:r>
      <w:r w:rsidR="00F57E5A">
        <w:t xml:space="preserve"> 0</w:t>
      </w:r>
      <w:r w:rsidR="00A709AA">
        <w:t>%</w:t>
      </w:r>
      <w:r w:rsidR="00F57E5A">
        <w:t xml:space="preserve"> – </w:t>
      </w:r>
      <w:r w:rsidR="00A45AF1">
        <w:t>50</w:t>
      </w:r>
      <w:r w:rsidR="00F57E5A">
        <w:t>% depending on the vegetation communit</w:t>
      </w:r>
      <w:r w:rsidR="00AC2DE8">
        <w:t>y)</w:t>
      </w:r>
      <w:r w:rsidR="00F57E5A">
        <w:t>.</w:t>
      </w:r>
      <w:r w:rsidR="000A5709" w:rsidRPr="000A5709">
        <w:t xml:space="preserve"> </w:t>
      </w:r>
    </w:p>
    <w:p w:rsidR="00B5023C" w:rsidRDefault="00AD3030" w:rsidP="00F57E5A">
      <w:r>
        <w:rPr>
          <w:noProof/>
          <w:lang w:eastAsia="en-GB"/>
        </w:rPr>
        <w:drawing>
          <wp:inline distT="0" distB="0" distL="0" distR="0" wp14:anchorId="52593572" wp14:editId="436445C2">
            <wp:extent cx="3907958" cy="32664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30246" cy="3285069"/>
                    </a:xfrm>
                    <a:prstGeom prst="rect">
                      <a:avLst/>
                    </a:prstGeom>
                    <a:noFill/>
                  </pic:spPr>
                </pic:pic>
              </a:graphicData>
            </a:graphic>
          </wp:inline>
        </w:drawing>
      </w:r>
    </w:p>
    <w:p w:rsidR="0089601A" w:rsidRDefault="002F6143" w:rsidP="00F57E5A">
      <w:r>
        <w:rPr>
          <w:noProof/>
          <w:lang w:eastAsia="en-GB"/>
        </w:rPr>
        <w:lastRenderedPageBreak/>
        <w:drawing>
          <wp:inline distT="0" distB="0" distL="0" distR="0" wp14:anchorId="35CDF8DE">
            <wp:extent cx="3864729" cy="3230245"/>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5647" cy="3247729"/>
                    </a:xfrm>
                    <a:prstGeom prst="rect">
                      <a:avLst/>
                    </a:prstGeom>
                    <a:noFill/>
                  </pic:spPr>
                </pic:pic>
              </a:graphicData>
            </a:graphic>
          </wp:inline>
        </w:drawing>
      </w:r>
    </w:p>
    <w:p w:rsidR="00B40637" w:rsidRDefault="00BB3AF1" w:rsidP="00B40637">
      <w:r>
        <w:t xml:space="preserve">Figure 1:  </w:t>
      </w:r>
      <w:r w:rsidR="00B40637">
        <w:t>Relationship between ozone concentration (24h mean) and relative biomass for grassland vegetation subsequently used for forage quality analysis.  Different experiments and their sub-treatments are identified</w:t>
      </w:r>
      <w:r w:rsidR="008E1076">
        <w:t xml:space="preserve"> by number (see Table 1 for full details) and coded according to vegetation type</w:t>
      </w:r>
      <w:r w:rsidR="00B40637">
        <w:t xml:space="preserve">.  For multi-year experiments, points are plotted separately for each year, but are not identified with individual symbols in the key. </w:t>
      </w:r>
      <w:r w:rsidR="00B401BD">
        <w:t xml:space="preserve"> ‘a’ shows trendlines for the individual experiments and subtreatments</w:t>
      </w:r>
      <w:r w:rsidR="00AD3030">
        <w:t>, together with the regression through all datapoints in bold</w:t>
      </w:r>
      <w:r w:rsidR="00B401BD">
        <w:t>. ‘b’ shows the mean slope of the trendlines, together with the 10</w:t>
      </w:r>
      <w:r w:rsidR="00B401BD" w:rsidRPr="00B401BD">
        <w:rPr>
          <w:vertAlign w:val="superscript"/>
        </w:rPr>
        <w:t>th</w:t>
      </w:r>
      <w:r w:rsidR="00B401BD">
        <w:t xml:space="preserve"> and 90</w:t>
      </w:r>
      <w:r w:rsidR="00B401BD" w:rsidRPr="00B401BD">
        <w:rPr>
          <w:vertAlign w:val="superscript"/>
        </w:rPr>
        <w:t>th</w:t>
      </w:r>
      <w:r w:rsidR="00B401BD">
        <w:t xml:space="preserve"> centile of the slopes</w:t>
      </w:r>
      <w:r w:rsidR="009764DA">
        <w:t>, with the equation of the mean slope shown.</w:t>
      </w:r>
    </w:p>
    <w:p w:rsidR="00C368D7" w:rsidRDefault="00C368D7"/>
    <w:p w:rsidR="00432BB7" w:rsidRDefault="00274901">
      <w:pPr>
        <w:rPr>
          <w:u w:val="single"/>
        </w:rPr>
      </w:pPr>
      <w:r>
        <w:rPr>
          <w:u w:val="single"/>
        </w:rPr>
        <w:t xml:space="preserve">3.1 </w:t>
      </w:r>
      <w:r w:rsidR="00D47637" w:rsidRPr="00432BB7">
        <w:rPr>
          <w:u w:val="single"/>
        </w:rPr>
        <w:t>Quality parameters</w:t>
      </w:r>
    </w:p>
    <w:p w:rsidR="00432BB7" w:rsidRDefault="005F7B5C">
      <w:r>
        <w:t>The measured ‘d</w:t>
      </w:r>
      <w:r w:rsidR="00432BB7">
        <w:t>esirable’ quality parameters</w:t>
      </w:r>
      <w:r>
        <w:t xml:space="preserve"> of fat, sugar and protein</w:t>
      </w:r>
      <w:r w:rsidR="00432BB7">
        <w:t>, which increase the nutr</w:t>
      </w:r>
      <w:r w:rsidR="00C43E48">
        <w:t>itional value of forage, showed</w:t>
      </w:r>
      <w:r w:rsidR="00C21BD0">
        <w:t xml:space="preserve"> </w:t>
      </w:r>
      <w:r w:rsidR="00432BB7">
        <w:t>no statistically significant effects o</w:t>
      </w:r>
      <w:r w:rsidR="00C43E48">
        <w:t>f increasing ozone concentration</w:t>
      </w:r>
      <w:r>
        <w:t xml:space="preserve"> (data not presented)</w:t>
      </w:r>
      <w:r w:rsidR="00432BB7">
        <w:t xml:space="preserve">.  </w:t>
      </w:r>
      <w:r w:rsidR="00534BAF">
        <w:t xml:space="preserve">In contrast, ‘undesirable’ quality parameters generally showed an increase in concentration with increasing ozone exposure.  ADF, </w:t>
      </w:r>
      <w:r w:rsidR="00DE1319">
        <w:t xml:space="preserve">lignin and </w:t>
      </w:r>
      <w:r w:rsidR="00534BAF">
        <w:t>crude fib</w:t>
      </w:r>
      <w:r w:rsidR="00DE1319">
        <w:t>re</w:t>
      </w:r>
      <w:r w:rsidR="00534BAF">
        <w:t xml:space="preserve"> content showed significant increases in concentration with increasing ozone exposure </w:t>
      </w:r>
      <w:r w:rsidR="00534BAF">
        <w:lastRenderedPageBreak/>
        <w:t>(</w:t>
      </w:r>
      <w:r w:rsidR="00391BB5">
        <w:t xml:space="preserve">Figure 2; </w:t>
      </w:r>
      <w:r w:rsidR="00DE1319">
        <w:t>p=0.001</w:t>
      </w:r>
      <w:r w:rsidR="00534BAF">
        <w:t>, p&lt;0.001</w:t>
      </w:r>
      <w:r w:rsidR="00DE1319">
        <w:t>,</w:t>
      </w:r>
      <w:r w:rsidR="00534BAF">
        <w:t xml:space="preserve"> </w:t>
      </w:r>
      <w:r w:rsidR="00DE1319">
        <w:t>p=0.005</w:t>
      </w:r>
      <w:r w:rsidR="00534BAF">
        <w:t>respectively), whereas NDF showed no significant effect of ozone exposure</w:t>
      </w:r>
      <w:r w:rsidR="00391BB5">
        <w:t xml:space="preserve"> (data not presented)</w:t>
      </w:r>
      <w:r w:rsidR="00534BAF">
        <w:t xml:space="preserve">.  </w:t>
      </w:r>
      <w:r w:rsidR="00AE639E">
        <w:t>Although there was variation in the slope of the response line to ozone for the different grassland types, these were not statistically different</w:t>
      </w:r>
      <w:r w:rsidR="00CD1781">
        <w:t xml:space="preserve"> </w:t>
      </w:r>
      <w:r w:rsidR="006D0513">
        <w:t>from each other allowing all data to be combined</w:t>
      </w:r>
      <w:r w:rsidR="00AE639E">
        <w:t xml:space="preserve">.  </w:t>
      </w:r>
      <w:r w:rsidR="00534BAF">
        <w:t>The ozone concentrations required for a significant increase in these parameters compared to the content at 30 ppb ozone were</w:t>
      </w:r>
      <w:r w:rsidR="00C21BD0">
        <w:t xml:space="preserve"> 4</w:t>
      </w:r>
      <w:r w:rsidR="00C43E48">
        <w:t>8</w:t>
      </w:r>
      <w:r w:rsidR="00C21BD0">
        <w:t xml:space="preserve"> ppb for ADF,</w:t>
      </w:r>
      <w:r w:rsidR="00534BAF">
        <w:t xml:space="preserve"> </w:t>
      </w:r>
      <w:r w:rsidR="00C43E48">
        <w:t>50</w:t>
      </w:r>
      <w:r w:rsidR="007D27C4">
        <w:t xml:space="preserve"> ppb for crude fibre and</w:t>
      </w:r>
      <w:r w:rsidR="00C21BD0">
        <w:t xml:space="preserve"> 4</w:t>
      </w:r>
      <w:r w:rsidR="00C43E48">
        <w:t>8</w:t>
      </w:r>
      <w:r w:rsidR="00C21BD0">
        <w:t xml:space="preserve"> ppb for lignin</w:t>
      </w:r>
      <w:r w:rsidR="007D27C4">
        <w:t xml:space="preserve"> </w:t>
      </w:r>
      <w:r w:rsidR="00C21BD0">
        <w:t>(th</w:t>
      </w:r>
      <w:r w:rsidR="00AC2DE8">
        <w:t>is</w:t>
      </w:r>
      <w:r w:rsidR="00C21BD0">
        <w:t xml:space="preserve"> concentration </w:t>
      </w:r>
      <w:r w:rsidR="00BB298C">
        <w:t>was not</w:t>
      </w:r>
      <w:r w:rsidR="00C21BD0">
        <w:t xml:space="preserve"> calculated for the remaining quality parameters</w:t>
      </w:r>
      <w:r w:rsidR="00FB088A">
        <w:t xml:space="preserve"> as the response to ozone was </w:t>
      </w:r>
      <w:r w:rsidR="006D0513">
        <w:t xml:space="preserve">not </w:t>
      </w:r>
      <w:r w:rsidR="00BB298C">
        <w:t xml:space="preserve">statistically </w:t>
      </w:r>
      <w:r w:rsidR="006D0513">
        <w:t>significant</w:t>
      </w:r>
      <w:r w:rsidR="00C21BD0">
        <w:t>)</w:t>
      </w:r>
      <w:r w:rsidR="00C43E48">
        <w:t>.</w:t>
      </w:r>
      <w:r w:rsidR="00432BB7">
        <w:t xml:space="preserve"> </w:t>
      </w:r>
    </w:p>
    <w:p w:rsidR="00C01A68" w:rsidRDefault="00C01A68">
      <w:r>
        <w:object w:dxaOrig="6330" w:dyaOrig="5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75pt;height:215.25pt" o:ole="">
            <v:imagedata r:id="rId9" o:title=""/>
          </v:shape>
          <o:OLEObject Type="Embed" ProgID="SigmaPlotGraphicObject.11" ShapeID="_x0000_i1025" DrawAspect="Content" ObjectID="_1545141279" r:id="rId10"/>
        </w:object>
      </w:r>
    </w:p>
    <w:p w:rsidR="00FB78EF" w:rsidRDefault="00FB78EF" w:rsidP="00FB78EF">
      <w:r w:rsidRPr="00BF3880">
        <w:rPr>
          <w:noProof/>
          <w:lang w:eastAsia="en-GB"/>
        </w:rPr>
        <w:lastRenderedPageBreak/>
        <w:t xml:space="preserve"> </w:t>
      </w:r>
      <w:r w:rsidRPr="00A53526">
        <w:rPr>
          <w:noProof/>
          <w:lang w:eastAsia="en-GB"/>
        </w:rPr>
        <w:t xml:space="preserve"> </w:t>
      </w:r>
      <w:r w:rsidR="00C01A68">
        <w:object w:dxaOrig="6330" w:dyaOrig="5071">
          <v:shape id="_x0000_i1026" type="#_x0000_t75" style="width:266.25pt;height:213pt" o:ole="">
            <v:imagedata r:id="rId11" o:title=""/>
          </v:shape>
          <o:OLEObject Type="Embed" ProgID="SigmaPlotGraphicObject.11" ShapeID="_x0000_i1026" DrawAspect="Content" ObjectID="_1545141280" r:id="rId12"/>
        </w:object>
      </w:r>
      <w:r w:rsidR="00C01A68">
        <w:object w:dxaOrig="6436" w:dyaOrig="5236">
          <v:shape id="_x0000_i1027" type="#_x0000_t75" style="width:273.75pt;height:222.75pt" o:ole="">
            <v:imagedata r:id="rId13" o:title=""/>
          </v:shape>
          <o:OLEObject Type="Embed" ProgID="SigmaPlotGraphicObject.11" ShapeID="_x0000_i1027" DrawAspect="Content" ObjectID="_1545141281" r:id="rId14"/>
        </w:object>
      </w:r>
    </w:p>
    <w:p w:rsidR="00E73B35" w:rsidRDefault="00E73B35" w:rsidP="00E73B35">
      <w:r>
        <w:t xml:space="preserve">Figure 2: </w:t>
      </w:r>
      <w:r w:rsidR="00AA154F">
        <w:t xml:space="preserve">Effect of ozone on the content of (a) </w:t>
      </w:r>
      <w:r>
        <w:t>Acid Detergent Fibre</w:t>
      </w:r>
      <w:r w:rsidR="00AA154F">
        <w:t xml:space="preserve">, (b) </w:t>
      </w:r>
      <w:r w:rsidR="003C71A5">
        <w:t>lignin</w:t>
      </w:r>
      <w:r w:rsidR="00AA154F">
        <w:t xml:space="preserve"> and (c) </w:t>
      </w:r>
      <w:r w:rsidR="003C71A5">
        <w:t>crude fibre</w:t>
      </w:r>
      <w:r w:rsidR="00AA154F">
        <w:t xml:space="preserve"> in grassland samples.  The different types of grassland are indicated by different symbo</w:t>
      </w:r>
      <w:r w:rsidR="003C71A5">
        <w:t>ls</w:t>
      </w:r>
      <w:r w:rsidR="002014E3">
        <w:t xml:space="preserve"> and the component experiments identified by number (see Table 1 for full details)</w:t>
      </w:r>
      <w:r w:rsidR="003C71A5">
        <w:t>.  The statistical significance</w:t>
      </w:r>
      <w:r w:rsidR="00AA154F">
        <w:t xml:space="preserve"> of the response relationships are</w:t>
      </w:r>
      <w:r>
        <w:t xml:space="preserve"> </w:t>
      </w:r>
      <w:r w:rsidR="003C71A5">
        <w:t>ADF p=</w:t>
      </w:r>
      <w:r w:rsidR="00B447B5">
        <w:t>&lt;</w:t>
      </w:r>
      <w:r w:rsidR="003C71A5">
        <w:t>0.001;</w:t>
      </w:r>
      <w:r>
        <w:t xml:space="preserve"> </w:t>
      </w:r>
      <w:r w:rsidR="003C71A5">
        <w:t>lignin p=</w:t>
      </w:r>
      <w:r w:rsidR="00DC63ED">
        <w:t>&lt;0.0</w:t>
      </w:r>
      <w:r w:rsidR="003C71A5">
        <w:t>0</w:t>
      </w:r>
      <w:r w:rsidR="00DC63ED">
        <w:t>1</w:t>
      </w:r>
      <w:r w:rsidR="003C71A5">
        <w:t>; crude fibre p=</w:t>
      </w:r>
      <w:r w:rsidR="00B447B5">
        <w:t>&lt;</w:t>
      </w:r>
      <w:r w:rsidR="003C71A5">
        <w:t>0.005.</w:t>
      </w:r>
      <w:r>
        <w:t xml:space="preserve"> </w:t>
      </w:r>
    </w:p>
    <w:p w:rsidR="00D47637" w:rsidRDefault="00D47637"/>
    <w:p w:rsidR="002E5990" w:rsidRPr="00F8525A" w:rsidRDefault="00274901">
      <w:pPr>
        <w:rPr>
          <w:u w:val="single"/>
        </w:rPr>
      </w:pPr>
      <w:r>
        <w:rPr>
          <w:u w:val="single"/>
        </w:rPr>
        <w:t xml:space="preserve">3.2 </w:t>
      </w:r>
      <w:r w:rsidR="002E5990" w:rsidRPr="002E5990">
        <w:rPr>
          <w:u w:val="single"/>
        </w:rPr>
        <w:t>Quantity parameters</w:t>
      </w:r>
    </w:p>
    <w:p w:rsidR="00E73B35" w:rsidRDefault="00E73B35" w:rsidP="00E73B35">
      <w:r>
        <w:lastRenderedPageBreak/>
        <w:t xml:space="preserve">When the treatment biomass was combined with the quality data and used to calculate the quantity </w:t>
      </w:r>
      <w:r w:rsidR="00AC2DE8">
        <w:t xml:space="preserve">or ‘yield’ </w:t>
      </w:r>
      <w:r>
        <w:t>of each parameter in the vegetation, the net effect of quality and quantity was for no change in overall pasture yield of fat and protein in response to ozone (Figure 3</w:t>
      </w:r>
      <w:r w:rsidR="00743E3D">
        <w:t>)</w:t>
      </w:r>
      <w:r>
        <w:t>.  However, there was a significant decrease in yield of sugar in response to increasing ozone (</w:t>
      </w:r>
      <w:r w:rsidR="00F83F26">
        <w:t xml:space="preserve">Figure 3c, </w:t>
      </w:r>
      <w:r>
        <w:t>p=0.034) and the ozone concentration required for a significant decrease in sugar yield compared to the con</w:t>
      </w:r>
      <w:r w:rsidR="00743E3D">
        <w:t xml:space="preserve">tent at 30 ppb ozone was 59 ppb.  </w:t>
      </w:r>
    </w:p>
    <w:p w:rsidR="00E73B35" w:rsidRDefault="00E73B35" w:rsidP="00E73B35"/>
    <w:p w:rsidR="00E73B35" w:rsidRDefault="00E73B35" w:rsidP="00E73B35">
      <w:r>
        <w:t xml:space="preserve">Any change in pasture biomass can have a large influence on the total yield of the parameters such as protein.  For the majority of vegetation communities in these studies, any change in concentration within the grassland was offset by changes in the grassland biomass.  </w:t>
      </w:r>
      <w:r w:rsidR="007D27C4">
        <w:t>The response of fat, protein and sugar yield to ozone for sand dune grassland was larger than for the other grassland types due to the large impact of ozone on the biomass of this type of grassland.</w:t>
      </w:r>
    </w:p>
    <w:p w:rsidR="00FB78EF" w:rsidRDefault="001C0C91" w:rsidP="00FB78EF">
      <w:r w:rsidRPr="001C0C91">
        <w:rPr>
          <w:noProof/>
          <w:lang w:eastAsia="en-GB"/>
        </w:rPr>
        <w:lastRenderedPageBreak/>
        <w:t xml:space="preserve"> </w:t>
      </w:r>
      <w:r w:rsidR="00FB78EF" w:rsidRPr="001C0C91">
        <w:rPr>
          <w:noProof/>
          <w:lang w:eastAsia="en-GB"/>
        </w:rPr>
        <w:t xml:space="preserve"> </w:t>
      </w:r>
      <w:r w:rsidR="00E175AF">
        <w:object w:dxaOrig="6330" w:dyaOrig="5071">
          <v:shape id="_x0000_i1028" type="#_x0000_t75" style="width:279.75pt;height:224.25pt" o:ole="">
            <v:imagedata r:id="rId15" o:title=""/>
          </v:shape>
          <o:OLEObject Type="Embed" ProgID="SigmaPlotGraphicObject.11" ShapeID="_x0000_i1028" DrawAspect="Content" ObjectID="_1545141282" r:id="rId16"/>
        </w:object>
      </w:r>
      <w:r w:rsidR="00FB78EF" w:rsidRPr="00D0702E">
        <w:rPr>
          <w:noProof/>
          <w:lang w:eastAsia="en-GB"/>
        </w:rPr>
        <w:t xml:space="preserve"> </w:t>
      </w:r>
      <w:r w:rsidR="00FB78EF" w:rsidRPr="005F5F0E">
        <w:rPr>
          <w:noProof/>
          <w:lang w:eastAsia="en-GB"/>
        </w:rPr>
        <w:t xml:space="preserve"> </w:t>
      </w:r>
      <w:r w:rsidR="00E175AF">
        <w:object w:dxaOrig="6330" w:dyaOrig="4801">
          <v:shape id="_x0000_i1029" type="#_x0000_t75" style="width:292.5pt;height:222pt" o:ole="">
            <v:imagedata r:id="rId17" o:title=""/>
          </v:shape>
          <o:OLEObject Type="Embed" ProgID="SigmaPlotGraphicObject.11" ShapeID="_x0000_i1029" DrawAspect="Content" ObjectID="_1545141283" r:id="rId18"/>
        </w:object>
      </w:r>
      <w:r w:rsidR="00E175AF">
        <w:object w:dxaOrig="6330" w:dyaOrig="4801">
          <v:shape id="_x0000_i1030" type="#_x0000_t75" style="width:292.5pt;height:221.25pt" o:ole="">
            <v:imagedata r:id="rId19" o:title=""/>
          </v:shape>
          <o:OLEObject Type="Embed" ProgID="SigmaPlotGraphicObject.11" ShapeID="_x0000_i1030" DrawAspect="Content" ObjectID="_1545141284" r:id="rId20"/>
        </w:object>
      </w:r>
    </w:p>
    <w:p w:rsidR="00E73B35" w:rsidRDefault="00E73B35" w:rsidP="00E73B35">
      <w:r>
        <w:lastRenderedPageBreak/>
        <w:t xml:space="preserve">Figure 3: </w:t>
      </w:r>
      <w:r w:rsidR="00582A71">
        <w:t>Effect of ozone on the y</w:t>
      </w:r>
      <w:r>
        <w:t xml:space="preserve">ield of </w:t>
      </w:r>
      <w:r w:rsidR="00582A71">
        <w:t xml:space="preserve">(a) </w:t>
      </w:r>
      <w:r>
        <w:t xml:space="preserve">protein, </w:t>
      </w:r>
      <w:r w:rsidR="00582A71">
        <w:t xml:space="preserve">(b) </w:t>
      </w:r>
      <w:r>
        <w:t xml:space="preserve">fat and </w:t>
      </w:r>
      <w:r w:rsidR="00582A71">
        <w:t xml:space="preserve">(c) </w:t>
      </w:r>
      <w:r>
        <w:t xml:space="preserve">sugar in grassland vegetation in response to ozone exposure. </w:t>
      </w:r>
      <w:r w:rsidR="00582A71">
        <w:t>The different types of grassland are indicated by different symbols</w:t>
      </w:r>
      <w:r w:rsidR="00082FB8">
        <w:t xml:space="preserve"> </w:t>
      </w:r>
      <w:r w:rsidR="002014E3">
        <w:t xml:space="preserve">and the component experiments identified by number (see Table 1 for full details).  </w:t>
      </w:r>
      <w:r w:rsidR="00582A71">
        <w:t>The significances of the response relationships are</w:t>
      </w:r>
      <w:r w:rsidR="00082FB8">
        <w:t>:</w:t>
      </w:r>
      <w:r w:rsidR="00582A71">
        <w:t xml:space="preserve"> </w:t>
      </w:r>
      <w:r w:rsidR="00082FB8">
        <w:t>p</w:t>
      </w:r>
      <w:r>
        <w:t>rotein</w:t>
      </w:r>
      <w:r w:rsidR="000575D6">
        <w:t xml:space="preserve"> ns; </w:t>
      </w:r>
      <w:r>
        <w:t>fat</w:t>
      </w:r>
      <w:r w:rsidR="000575D6">
        <w:t xml:space="preserve"> ns; sugar p=0.034</w:t>
      </w:r>
      <w:r>
        <w:t>.</w:t>
      </w:r>
    </w:p>
    <w:p w:rsidR="00082FB8" w:rsidRDefault="00082FB8" w:rsidP="00E73B35"/>
    <w:p w:rsidR="00BF52A5" w:rsidRPr="00F8525A" w:rsidRDefault="00274901">
      <w:pPr>
        <w:rPr>
          <w:u w:val="single"/>
        </w:rPr>
      </w:pPr>
      <w:r>
        <w:rPr>
          <w:u w:val="single"/>
        </w:rPr>
        <w:t xml:space="preserve">3.3 </w:t>
      </w:r>
      <w:r w:rsidR="00C4207A">
        <w:rPr>
          <w:u w:val="single"/>
        </w:rPr>
        <w:t>Derived quality parameters</w:t>
      </w:r>
    </w:p>
    <w:p w:rsidR="00E73B35" w:rsidRDefault="00E73B35" w:rsidP="00E73B35">
      <w:r>
        <w:t>The Relative Feed Value decreased with increasing ozone concentration (p=0.0</w:t>
      </w:r>
      <w:r w:rsidR="00DE1319">
        <w:t>17</w:t>
      </w:r>
      <w:r w:rsidR="00A32D19">
        <w:t>; Figure 4</w:t>
      </w:r>
      <w:r>
        <w:t xml:space="preserve">).  An increase in ozone concentration from 30 ppb to 40 ppb decreased RFV of pasture by approximately 1%, whilst an increase in ozone concentration to </w:t>
      </w:r>
      <w:r w:rsidR="003D15CE">
        <w:t xml:space="preserve">60 </w:t>
      </w:r>
      <w:r>
        <w:t xml:space="preserve">ppb decreased RFV by approximately </w:t>
      </w:r>
      <w:r w:rsidR="003D15CE">
        <w:t>5</w:t>
      </w:r>
      <w:r>
        <w:t xml:space="preserve">.5%.  </w:t>
      </w:r>
    </w:p>
    <w:p w:rsidR="00E73B35" w:rsidRDefault="00E73B35" w:rsidP="00E73B35"/>
    <w:p w:rsidR="00082FB8" w:rsidRDefault="00AC1894" w:rsidP="00082FB8">
      <w:r>
        <w:t>Metabolisable energy</w:t>
      </w:r>
      <w:r w:rsidR="00E73B35">
        <w:t xml:space="preserve"> of the vegetation </w:t>
      </w:r>
      <w:r>
        <w:t>(</w:t>
      </w:r>
      <w:r w:rsidR="00E73B35">
        <w:t>for sheep</w:t>
      </w:r>
      <w:r>
        <w:t>)</w:t>
      </w:r>
      <w:r w:rsidR="00E73B35">
        <w:t xml:space="preserve"> decreased with increasing ozone concentration (Figure </w:t>
      </w:r>
      <w:r w:rsidR="00A32D19">
        <w:t>5</w:t>
      </w:r>
      <w:r w:rsidR="00E73B35">
        <w:t xml:space="preserve">, p=0.002).  </w:t>
      </w:r>
      <w:r w:rsidR="003A1DF8">
        <w:t>The intercept of the slopes for the different grassland types was significantly different, but there was no improvement to the model by fitting a separate slope to each line, therefore a common slope was fitted.</w:t>
      </w:r>
      <w:r w:rsidR="00716C47">
        <w:t xml:space="preserve">  </w:t>
      </w:r>
      <w:r w:rsidR="00082FB8">
        <w:t xml:space="preserve">In the mixed model we have assumed, in addition to a common slope treated as a fixed effect, a common intercept for all grassland types, with a random deviation from that intercept for each grassland type.  This model </w:t>
      </w:r>
      <w:r w:rsidR="008274ED">
        <w:t>i</w:t>
      </w:r>
      <w:r w:rsidR="00082FB8">
        <w:t>s</w:t>
      </w:r>
      <w:r w:rsidR="008274ED">
        <w:t>:</w:t>
      </w:r>
    </w:p>
    <w:p w:rsidR="00082FB8" w:rsidRDefault="00082FB8" w:rsidP="00082FB8">
      <w:pPr>
        <w:pStyle w:val="MTDisplayEquation"/>
      </w:pPr>
      <w:r>
        <w:tab/>
      </w:r>
      <w:r w:rsidRPr="004C1560">
        <w:rPr>
          <w:position w:val="-44"/>
        </w:rPr>
        <w:object w:dxaOrig="5980" w:dyaOrig="1020">
          <v:shape id="_x0000_i1031" type="#_x0000_t75" style="width:302.25pt;height:50.25pt" o:ole="">
            <v:imagedata r:id="rId21" o:title=""/>
          </v:shape>
          <o:OLEObject Type="Embed" ProgID="Equation.DSMT4" ShapeID="_x0000_i1031" DrawAspect="Content" ObjectID="_1545141285" r:id="rId22"/>
        </w:object>
      </w:r>
      <w:r>
        <w:t xml:space="preserve"> </w:t>
      </w:r>
      <w:r>
        <w:tab/>
      </w:r>
      <w:r w:rsidR="00AA5320">
        <w:fldChar w:fldCharType="begin"/>
      </w:r>
      <w:r>
        <w:instrText xml:space="preserve"> MACROBUTTON MTPlaceRef \* MERGEFORMAT </w:instrText>
      </w:r>
      <w:r w:rsidR="00AA5320">
        <w:fldChar w:fldCharType="begin"/>
      </w:r>
      <w:r>
        <w:instrText xml:space="preserve"> SEQ MTEqn \h \* MERGEFORMAT </w:instrText>
      </w:r>
      <w:r w:rsidR="00AA5320">
        <w:fldChar w:fldCharType="end"/>
      </w:r>
      <w:bookmarkStart w:id="1" w:name="ZEqnNum512666"/>
      <w:r>
        <w:instrText>(</w:instrText>
      </w:r>
      <w:fldSimple w:instr=" SEQ MTSec \c \* Arabic \* MERGEFORMAT ">
        <w:r w:rsidR="00657888">
          <w:rPr>
            <w:noProof/>
          </w:rPr>
          <w:instrText>0</w:instrText>
        </w:r>
      </w:fldSimple>
      <w:r>
        <w:instrText>.</w:instrText>
      </w:r>
      <w:fldSimple w:instr=" SEQ MTEqn \c \* Arabic \* MERGEFORMAT ">
        <w:r w:rsidR="00657888">
          <w:rPr>
            <w:noProof/>
          </w:rPr>
          <w:instrText>1</w:instrText>
        </w:r>
      </w:fldSimple>
      <w:r>
        <w:instrText>)</w:instrText>
      </w:r>
      <w:bookmarkEnd w:id="1"/>
      <w:r w:rsidR="00AA5320">
        <w:fldChar w:fldCharType="end"/>
      </w:r>
    </w:p>
    <w:p w:rsidR="007508CA" w:rsidRDefault="00082FB8" w:rsidP="00082FB8">
      <w:r>
        <w:t xml:space="preserve">The model given by equation </w:t>
      </w:r>
      <w:r w:rsidR="00AA5320">
        <w:fldChar w:fldCharType="begin"/>
      </w:r>
      <w:r>
        <w:instrText xml:space="preserve"> GOTOBUTTON ZEqnNum512666  \* MERGEFORMAT </w:instrText>
      </w:r>
      <w:fldSimple w:instr=" REF ZEqnNum512666 \* Charformat \! \* MERGEFORMAT ">
        <w:r w:rsidR="00657888">
          <w:instrText>(0.1)</w:instrText>
        </w:r>
      </w:fldSimple>
      <w:r w:rsidR="00AA5320">
        <w:fldChar w:fldCharType="end"/>
      </w:r>
      <w:r>
        <w:t xml:space="preserve"> gives an estimated value for the parameter  </w:t>
      </w:r>
      <w:r w:rsidRPr="00D55A5D">
        <w:rPr>
          <w:position w:val="-6"/>
        </w:rPr>
        <w:object w:dxaOrig="220" w:dyaOrig="300">
          <v:shape id="_x0000_i1032" type="#_x0000_t75" style="width:14.25pt;height:14.25pt" o:ole="">
            <v:imagedata r:id="rId23" o:title=""/>
          </v:shape>
          <o:OLEObject Type="Embed" ProgID="Equation.DSMT4" ShapeID="_x0000_i1032" DrawAspect="Content" ObjectID="_1545141286" r:id="rId24"/>
        </w:object>
      </w:r>
      <w:r>
        <w:t xml:space="preserve"> </w:t>
      </w:r>
      <w:r w:rsidR="003C4FF4">
        <w:t>(slope)</w:t>
      </w:r>
      <w:r>
        <w:t xml:space="preserve"> of -0.011194, with standard error of 0.0035</w:t>
      </w:r>
      <w:r w:rsidR="003C4FF4">
        <w:t xml:space="preserve"> (t-value -3.18)</w:t>
      </w:r>
      <w:r>
        <w:t xml:space="preserve">.  The common intercept is estimated </w:t>
      </w:r>
      <w:r>
        <w:lastRenderedPageBreak/>
        <w:t xml:space="preserve">as 7.93 with standard error 0.242 (p=0). The variance terms </w:t>
      </w:r>
      <w:r w:rsidRPr="007270A6">
        <w:rPr>
          <w:position w:val="-6"/>
        </w:rPr>
        <w:object w:dxaOrig="320" w:dyaOrig="360">
          <v:shape id="_x0000_i1033" type="#_x0000_t75" style="width:14.25pt;height:21.75pt" o:ole="">
            <v:imagedata r:id="rId25" o:title=""/>
          </v:shape>
          <o:OLEObject Type="Embed" ProgID="Equation.DSMT4" ShapeID="_x0000_i1033" DrawAspect="Content" ObjectID="_1545141287" r:id="rId26"/>
        </w:object>
      </w:r>
      <w:r>
        <w:t xml:space="preserve"> and </w:t>
      </w:r>
      <w:r w:rsidRPr="007270A6">
        <w:rPr>
          <w:position w:val="-10"/>
        </w:rPr>
        <w:object w:dxaOrig="340" w:dyaOrig="400">
          <v:shape id="_x0000_i1034" type="#_x0000_t75" style="width:21.75pt;height:21.75pt" o:ole="">
            <v:imagedata r:id="rId27" o:title=""/>
          </v:shape>
          <o:OLEObject Type="Embed" ProgID="Equation.DSMT4" ShapeID="_x0000_i1034" DrawAspect="Content" ObjectID="_1545141288" r:id="rId28"/>
        </w:object>
      </w:r>
      <w:r>
        <w:t xml:space="preserve"> are estimated as 0.288 and 0.178.  The response relationship used</w:t>
      </w:r>
      <w:r w:rsidR="007508CA">
        <w:t xml:space="preserve"> was therefore determined to be:</w:t>
      </w:r>
    </w:p>
    <w:p w:rsidR="00082FB8" w:rsidRDefault="00082FB8" w:rsidP="00082FB8">
      <w:r>
        <w:t xml:space="preserve"> </w:t>
      </w:r>
    </w:p>
    <w:p w:rsidR="00850E18" w:rsidRDefault="00716C47" w:rsidP="00850E18">
      <w:pPr>
        <w:rPr>
          <w:vertAlign w:val="subscript"/>
        </w:rPr>
      </w:pPr>
      <w:r>
        <w:t>ME</w:t>
      </w:r>
      <w:r>
        <w:rPr>
          <w:vertAlign w:val="subscript"/>
        </w:rPr>
        <w:t xml:space="preserve">pasture </w:t>
      </w:r>
      <w:r>
        <w:t>(MJ/kg) = -0.</w:t>
      </w:r>
      <w:r w:rsidR="00243AD4">
        <w:t>0</w:t>
      </w:r>
      <w:r>
        <w:t>11194 * O</w:t>
      </w:r>
      <w:r>
        <w:rPr>
          <w:vertAlign w:val="subscript"/>
        </w:rPr>
        <w:t xml:space="preserve">3 24h </w:t>
      </w:r>
      <w:r w:rsidR="00850E18">
        <w:t>+ 7.93</w:t>
      </w:r>
      <w:r>
        <w:t>.</w:t>
      </w:r>
      <w:r>
        <w:rPr>
          <w:vertAlign w:val="subscript"/>
        </w:rPr>
        <w:t xml:space="preserve"> </w:t>
      </w:r>
    </w:p>
    <w:p w:rsidR="00E73B35" w:rsidRPr="00716C47" w:rsidRDefault="00E73B35" w:rsidP="00E73B35">
      <w:pPr>
        <w:rPr>
          <w:vertAlign w:val="subscript"/>
        </w:rPr>
      </w:pPr>
    </w:p>
    <w:p w:rsidR="00C4207A" w:rsidRDefault="00CE6E21">
      <w:r>
        <w:t>Combining this equation with that for liveweight gain of lambs in response to ME</w:t>
      </w:r>
      <w:r>
        <w:rPr>
          <w:vertAlign w:val="subscript"/>
        </w:rPr>
        <w:t xml:space="preserve">pasture </w:t>
      </w:r>
      <w:r>
        <w:t>gives a relationship of:</w:t>
      </w:r>
    </w:p>
    <w:p w:rsidR="00CE6E21" w:rsidRDefault="00CE6E21"/>
    <w:p w:rsidR="00CE6E21" w:rsidRDefault="00CE6E21">
      <w:r>
        <w:t>LWgain</w:t>
      </w:r>
      <w:r>
        <w:rPr>
          <w:vertAlign w:val="subscript"/>
        </w:rPr>
        <w:t xml:space="preserve">lambsandsheep </w:t>
      </w:r>
      <w:r>
        <w:t>(g/day) = 26.35 – 0.2692*O</w:t>
      </w:r>
      <w:r>
        <w:rPr>
          <w:vertAlign w:val="subscript"/>
        </w:rPr>
        <w:t>3</w:t>
      </w:r>
      <w:r>
        <w:t xml:space="preserve"> (ppb)</w:t>
      </w:r>
    </w:p>
    <w:p w:rsidR="00CE6E21" w:rsidRPr="00CE6E21" w:rsidRDefault="00CE6E21"/>
    <w:p w:rsidR="00FB78EF" w:rsidRDefault="00E175AF" w:rsidP="00E73B35">
      <w:r>
        <w:object w:dxaOrig="6376" w:dyaOrig="5071">
          <v:shape id="_x0000_i1035" type="#_x0000_t75" style="width:264pt;height:210pt" o:ole="">
            <v:imagedata r:id="rId29" o:title=""/>
          </v:shape>
          <o:OLEObject Type="Embed" ProgID="SigmaPlotGraphicObject.11" ShapeID="_x0000_i1035" DrawAspect="Content" ObjectID="_1545141289" r:id="rId30"/>
        </w:object>
      </w:r>
    </w:p>
    <w:p w:rsidR="00E73B35" w:rsidRDefault="00E73B35" w:rsidP="00E73B35">
      <w:r>
        <w:t xml:space="preserve">Figure 4: </w:t>
      </w:r>
      <w:r w:rsidR="00582A71">
        <w:t xml:space="preserve">Effect of ozone on the </w:t>
      </w:r>
      <w:r>
        <w:t>Relative F</w:t>
      </w:r>
      <w:r w:rsidR="00EC2CD3">
        <w:t>eed Value</w:t>
      </w:r>
      <w:r w:rsidR="00582A71">
        <w:t xml:space="preserve"> (RFV) of grassland vegetation, where the RFV was calculated using </w:t>
      </w:r>
      <w:r w:rsidR="00DF568A">
        <w:t xml:space="preserve">measured parameters from the </w:t>
      </w:r>
      <w:r w:rsidR="00582A71">
        <w:t>raw data.</w:t>
      </w:r>
      <w:r w:rsidR="00582A71" w:rsidRPr="00582A71">
        <w:t xml:space="preserve"> </w:t>
      </w:r>
      <w:r w:rsidR="00582A71">
        <w:t xml:space="preserve"> The different types of grassland are indicated by different symbols</w:t>
      </w:r>
      <w:r w:rsidR="00FB131E">
        <w:t xml:space="preserve"> and the component experiments identified by number (see Table 1 for full details)</w:t>
      </w:r>
      <w:r w:rsidR="00582A71">
        <w:t>.</w:t>
      </w:r>
      <w:r w:rsidR="00FB131E">
        <w:t xml:space="preserve"> p=0.004</w:t>
      </w:r>
    </w:p>
    <w:p w:rsidR="00E73B35" w:rsidRDefault="00E73B35" w:rsidP="00E73B35"/>
    <w:p w:rsidR="003A1DF8" w:rsidRDefault="00B26411" w:rsidP="00E73B35">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586740</wp:posOffset>
                </wp:positionH>
                <wp:positionV relativeFrom="paragraph">
                  <wp:posOffset>1677035</wp:posOffset>
                </wp:positionV>
                <wp:extent cx="3633470" cy="24130"/>
                <wp:effectExtent l="0" t="0" r="24130" b="33020"/>
                <wp:wrapNone/>
                <wp:docPr id="1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3470" cy="241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89A4930" id="_x0000_t32" coordsize="21600,21600" o:spt="32" o:oned="t" path="m,l21600,21600e" filled="f">
                <v:path arrowok="t" fillok="f" o:connecttype="none"/>
                <o:lock v:ext="edit" shapetype="t"/>
              </v:shapetype>
              <v:shape id="AutoShape 18" o:spid="_x0000_s1026" type="#_x0000_t32" style="position:absolute;margin-left:46.2pt;margin-top:132.05pt;width:286.1pt;height:1.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">
                <v:stroke dashstyle="dash"/>
              </v:shape>
            </w:pict>
          </mc:Fallback>
        </mc:AlternateContent>
      </w:r>
      <w:r w:rsidR="00466BB1" w:rsidRPr="00466BB1">
        <w:rPr>
          <w:noProof/>
          <w:lang w:eastAsia="en-GB"/>
        </w:rPr>
        <w:drawing>
          <wp:inline distT="0" distB="0" distL="0" distR="0">
            <wp:extent cx="4572000" cy="4210050"/>
            <wp:effectExtent l="0" t="0" r="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B78EF" w:rsidRPr="00466BB1" w:rsidRDefault="00FB78EF" w:rsidP="00FB78EF">
      <w:pPr>
        <w:rPr>
          <w:i/>
        </w:rPr>
      </w:pPr>
      <w:r>
        <w:t>Figure 5: Effect of ozone on calculated metabolisable energy from forage (for sheep) (p=0.002).</w:t>
      </w:r>
      <w:r w:rsidRPr="00DF568A">
        <w:t xml:space="preserve"> </w:t>
      </w:r>
      <w:r>
        <w:t xml:space="preserve">The different types of grassland are indicated by different symbols and the component experiments identified by number (see Table 1 for full details).  The overall response function is indicated, and the trendlines for the individual grassland relationships are also shown.  The dotted horizontal line indicates the </w:t>
      </w:r>
      <w:r w:rsidR="00BD6B82">
        <w:t xml:space="preserve">calculated </w:t>
      </w:r>
      <w:r w:rsidR="00E32766">
        <w:t xml:space="preserve">minimum </w:t>
      </w:r>
      <w:r>
        <w:t xml:space="preserve">level of metabolisable </w:t>
      </w:r>
      <w:r w:rsidR="00FB4390">
        <w:t xml:space="preserve">energy </w:t>
      </w:r>
      <w:r w:rsidR="00E32766">
        <w:t xml:space="preserve">for </w:t>
      </w:r>
      <w:r>
        <w:t>lamb growth (6.84 MJ/kg).  Also shown are datapoints available from published literature for clover using the combined data from Gonz</w:t>
      </w:r>
      <w:r>
        <w:rPr>
          <w:rFonts w:cs="Times New Roman"/>
        </w:rPr>
        <w:t>á</w:t>
      </w:r>
      <w:r>
        <w:t>lez-Fern</w:t>
      </w:r>
      <w:r>
        <w:rPr>
          <w:rFonts w:cs="Times New Roman"/>
        </w:rPr>
        <w:t>á</w:t>
      </w:r>
      <w:r>
        <w:t xml:space="preserve">ndez et al. (2008) and Sanz et al. (2005) using </w:t>
      </w:r>
      <w:r>
        <w:rPr>
          <w:i/>
        </w:rPr>
        <w:t xml:space="preserve">Trifolium repens </w:t>
      </w:r>
      <w:r>
        <w:t xml:space="preserve">and </w:t>
      </w:r>
      <w:r>
        <w:rPr>
          <w:i/>
        </w:rPr>
        <w:t>Trifolium subterraneum</w:t>
      </w:r>
      <w:r>
        <w:t xml:space="preserve"> respectively (these points were not included in the analysis or the overall response function, but are shown for information as these are more representative of high-quality pasture and this is referred to in the discussion).</w:t>
      </w:r>
    </w:p>
    <w:p w:rsidR="00D80971" w:rsidRDefault="00D80971"/>
    <w:p w:rsidR="00A04D8D" w:rsidRPr="00274901" w:rsidRDefault="00274901" w:rsidP="00D80971">
      <w:pPr>
        <w:rPr>
          <w:u w:val="single"/>
        </w:rPr>
      </w:pPr>
      <w:r>
        <w:rPr>
          <w:u w:val="single"/>
        </w:rPr>
        <w:t xml:space="preserve">3.4 </w:t>
      </w:r>
      <w:r w:rsidR="002A7F85">
        <w:rPr>
          <w:u w:val="single"/>
        </w:rPr>
        <w:t>Changes in liveweight gain</w:t>
      </w:r>
      <w:r w:rsidR="003727A9">
        <w:rPr>
          <w:u w:val="single"/>
        </w:rPr>
        <w:t>.</w:t>
      </w:r>
    </w:p>
    <w:p w:rsidR="002D0646" w:rsidRDefault="00021BCE">
      <w:r>
        <w:t xml:space="preserve">The mean </w:t>
      </w:r>
      <w:r w:rsidR="006D0513">
        <w:t xml:space="preserve">predicted </w:t>
      </w:r>
      <w:r>
        <w:t xml:space="preserve">increase in </w:t>
      </w:r>
      <w:r w:rsidR="00E32766">
        <w:t xml:space="preserve">24h </w:t>
      </w:r>
      <w:r>
        <w:t xml:space="preserve">ozone concentration </w:t>
      </w:r>
      <w:r w:rsidR="00E32766">
        <w:t xml:space="preserve">for the UK </w:t>
      </w:r>
      <w:r>
        <w:t xml:space="preserve">between 2007 and 2020 </w:t>
      </w:r>
      <w:r w:rsidR="0023463A">
        <w:t>wa</w:t>
      </w:r>
      <w:r>
        <w:t>s 2.</w:t>
      </w:r>
      <w:r w:rsidR="00F525EC">
        <w:t xml:space="preserve">98 </w:t>
      </w:r>
      <w:r>
        <w:t>ppb</w:t>
      </w:r>
      <w:r w:rsidR="00BF6C12">
        <w:t xml:space="preserve"> (from </w:t>
      </w:r>
      <w:r w:rsidR="00F525EC">
        <w:t>30.86</w:t>
      </w:r>
      <w:r w:rsidR="00BF6C12">
        <w:t xml:space="preserve"> to </w:t>
      </w:r>
      <w:r w:rsidR="00F525EC">
        <w:t>33.84</w:t>
      </w:r>
      <w:r w:rsidR="00BF6C12">
        <w:t xml:space="preserve"> ppb)</w:t>
      </w:r>
      <w:r w:rsidR="00F525EC">
        <w:t xml:space="preserve">. </w:t>
      </w:r>
      <w:r>
        <w:t xml:space="preserve"> </w:t>
      </w:r>
      <w:r w:rsidR="00F525EC">
        <w:t>However</w:t>
      </w:r>
      <w:r>
        <w:t xml:space="preserve">, the range for the individual gridsquares </w:t>
      </w:r>
      <w:r w:rsidR="0023463A">
        <w:t>wa</w:t>
      </w:r>
      <w:r>
        <w:t>s from 0 to 8 ppb, with the largest increases occurring in southern and central England</w:t>
      </w:r>
      <w:r w:rsidR="0023463A">
        <w:t xml:space="preserve"> (Figure 6)</w:t>
      </w:r>
      <w:r>
        <w:t xml:space="preserve"> </w:t>
      </w:r>
      <w:r w:rsidR="00E32766">
        <w:t>where the ozone concentrations are predicted to increase from 28 to 34 ppb, potentially resulting in an 8%</w:t>
      </w:r>
      <w:r w:rsidR="007D27C4">
        <w:t xml:space="preserve"> </w:t>
      </w:r>
      <w:r w:rsidR="00E32766">
        <w:t xml:space="preserve">decrease in liveweight gain per lamb. </w:t>
      </w:r>
      <w:r w:rsidR="00873A3C">
        <w:t>T</w:t>
      </w:r>
      <w:r w:rsidR="00E32766">
        <w:t>aking into account lamb distribution (Figure 6d), t</w:t>
      </w:r>
      <w:r w:rsidR="00873A3C">
        <w:t xml:space="preserve">here is a large variation in the magnitude of predicted </w:t>
      </w:r>
      <w:r w:rsidR="000B03F1">
        <w:t>change in daily liveweight gain</w:t>
      </w:r>
      <w:r w:rsidR="007D27C4">
        <w:t xml:space="preserve"> per gridsquare</w:t>
      </w:r>
      <w:r w:rsidR="000B03F1">
        <w:t xml:space="preserve"> in 2020 compared to 2007</w:t>
      </w:r>
      <w:r w:rsidR="00E32766">
        <w:t xml:space="preserve"> </w:t>
      </w:r>
      <w:r w:rsidR="00873A3C">
        <w:t>(</w:t>
      </w:r>
      <w:r w:rsidR="000B03F1">
        <w:t xml:space="preserve">Figure </w:t>
      </w:r>
      <w:r w:rsidR="0023463A">
        <w:t>7</w:t>
      </w:r>
      <w:r w:rsidR="00E32766">
        <w:t>)</w:t>
      </w:r>
      <w:r w:rsidR="00100313">
        <w:t>, with</w:t>
      </w:r>
      <w:r w:rsidR="002D0646">
        <w:t xml:space="preserve"> the largest reductions predicted to occur generally in northern and southwest England, and in Wales</w:t>
      </w:r>
      <w:r w:rsidR="000B03F1">
        <w:t xml:space="preserve">.  </w:t>
      </w:r>
      <w:r w:rsidR="002D0646">
        <w:t>These areas are where predicted ozone increases are moderate, but these correspond with areas of large lamb numbers (Figure 6).</w:t>
      </w:r>
      <w:r w:rsidR="00100313">
        <w:t xml:space="preserve">  In some other areas, the predicted change in daily liveweight gain </w:t>
      </w:r>
      <w:r w:rsidR="0080167F">
        <w:t>wa</w:t>
      </w:r>
      <w:r w:rsidR="00100313">
        <w:t>s very small</w:t>
      </w:r>
      <w:r w:rsidR="00A04D8D">
        <w:t xml:space="preserve"> bring</w:t>
      </w:r>
      <w:r w:rsidR="00785DD1">
        <w:t>ing</w:t>
      </w:r>
      <w:r w:rsidR="00A04D8D">
        <w:t xml:space="preserve"> down </w:t>
      </w:r>
      <w:r w:rsidR="00100313">
        <w:t>the 50</w:t>
      </w:r>
      <w:r w:rsidR="00100313" w:rsidRPr="00100313">
        <w:rPr>
          <w:vertAlign w:val="superscript"/>
        </w:rPr>
        <w:t>th</w:t>
      </w:r>
      <w:r w:rsidR="00100313">
        <w:t xml:space="preserve"> centile (based on liveweight gain per gridsquare) </w:t>
      </w:r>
      <w:r w:rsidR="00A04D8D">
        <w:t xml:space="preserve">to </w:t>
      </w:r>
      <w:r w:rsidR="00100313">
        <w:t>a reduction of 15g per day</w:t>
      </w:r>
      <w:r w:rsidR="00A04D8D">
        <w:t>.</w:t>
      </w:r>
      <w:r w:rsidR="0080167F">
        <w:t xml:space="preserve"> </w:t>
      </w:r>
      <w:r w:rsidR="00A04D8D">
        <w:t xml:space="preserve"> Reflecting the larger decreases elsewhere in the country, </w:t>
      </w:r>
      <w:r w:rsidR="00100313">
        <w:t>the 75</w:t>
      </w:r>
      <w:r w:rsidR="00100313" w:rsidRPr="00100313">
        <w:rPr>
          <w:vertAlign w:val="superscript"/>
        </w:rPr>
        <w:t>th</w:t>
      </w:r>
      <w:r w:rsidR="00100313">
        <w:t xml:space="preserve"> centile was a reduction of 53g per day and the 90</w:t>
      </w:r>
      <w:r w:rsidR="00100313" w:rsidRPr="00100313">
        <w:rPr>
          <w:vertAlign w:val="superscript"/>
        </w:rPr>
        <w:t>th</w:t>
      </w:r>
      <w:r w:rsidR="00100313">
        <w:t xml:space="preserve"> centile was a reduction of 114g per day. </w:t>
      </w:r>
      <w:r w:rsidR="003727A9">
        <w:t xml:space="preserve">At the end of the normal growing periods for upland and lowland lambs, </w:t>
      </w:r>
      <w:r w:rsidR="00DC6F73">
        <w:t>this would result in a difference in final weight of 3.64% and 4.36% in upland and lowland lambs respec</w:t>
      </w:r>
      <w:r w:rsidR="007E7442">
        <w:t xml:space="preserve">tively in 2020 compared to 2007 </w:t>
      </w:r>
      <w:r w:rsidR="000E77D5">
        <w:t>(Table 3)</w:t>
      </w:r>
      <w:r w:rsidR="003727A9">
        <w:t>.</w:t>
      </w:r>
    </w:p>
    <w:p w:rsidR="003727A9" w:rsidRDefault="003727A9"/>
    <w:p w:rsidR="000B03F1" w:rsidRDefault="006B0F79">
      <w:r>
        <w:t>These reductions in liveweight ga</w:t>
      </w:r>
      <w:r w:rsidR="007E7442">
        <w:t>in</w:t>
      </w:r>
      <w:r>
        <w:t xml:space="preserve"> assume</w:t>
      </w:r>
      <w:r w:rsidR="003727A9">
        <w:t xml:space="preserve"> that farmers will not change their </w:t>
      </w:r>
      <w:r w:rsidR="00873A3C">
        <w:t xml:space="preserve">lamb and pasture </w:t>
      </w:r>
      <w:r w:rsidR="003727A9">
        <w:t xml:space="preserve">management in response to ozone. </w:t>
      </w:r>
      <w:r>
        <w:t xml:space="preserve"> </w:t>
      </w:r>
      <w:r w:rsidR="003727A9">
        <w:t xml:space="preserve">However, </w:t>
      </w:r>
      <w:r w:rsidR="000E77D5">
        <w:t xml:space="preserve">it is likely that instead of selling lambs below target weight, </w:t>
      </w:r>
      <w:r w:rsidR="00E32766">
        <w:t xml:space="preserve">farmers </w:t>
      </w:r>
      <w:r w:rsidR="000E77D5">
        <w:t>will fatten the lambs for longe</w:t>
      </w:r>
      <w:r w:rsidR="00094F59">
        <w:t>r, or will supplement their dietary</w:t>
      </w:r>
      <w:r w:rsidR="000E77D5">
        <w:t xml:space="preserve"> intake with concentrate</w:t>
      </w:r>
      <w:r w:rsidR="00094F59">
        <w:t xml:space="preserve"> feed</w:t>
      </w:r>
      <w:r w:rsidR="000E77D5">
        <w:t xml:space="preserve">. </w:t>
      </w:r>
      <w:r w:rsidR="0080167F">
        <w:t xml:space="preserve"> </w:t>
      </w:r>
      <w:r w:rsidR="000E77D5">
        <w:t xml:space="preserve">The predicted </w:t>
      </w:r>
      <w:r w:rsidR="004170BD">
        <w:t xml:space="preserve">reductions in liveweight gain </w:t>
      </w:r>
      <w:r w:rsidR="000E77D5">
        <w:t xml:space="preserve">due to ozone </w:t>
      </w:r>
      <w:r w:rsidR="004170BD">
        <w:t xml:space="preserve">could be mitigated by an average </w:t>
      </w:r>
      <w:r w:rsidR="00A04D8D">
        <w:t xml:space="preserve">0.6% </w:t>
      </w:r>
      <w:r w:rsidR="004170BD">
        <w:t xml:space="preserve">increase in supplementary feeding </w:t>
      </w:r>
      <w:r w:rsidR="000B03F1">
        <w:t xml:space="preserve">for upland lambs and </w:t>
      </w:r>
      <w:r w:rsidR="000B03F1">
        <w:lastRenderedPageBreak/>
        <w:t>0.8</w:t>
      </w:r>
      <w:r w:rsidR="004170BD">
        <w:t xml:space="preserve">% </w:t>
      </w:r>
      <w:r w:rsidR="00A04D8D">
        <w:t xml:space="preserve">increase </w:t>
      </w:r>
      <w:r w:rsidR="004170BD">
        <w:t>for lowland lambs</w:t>
      </w:r>
      <w:r w:rsidR="00F420AA">
        <w:t xml:space="preserve"> compared to the quantities used in 2007</w:t>
      </w:r>
      <w:r w:rsidR="007F1C38">
        <w:t xml:space="preserve"> (Table 3)</w:t>
      </w:r>
      <w:r w:rsidR="00FB6A48">
        <w:t xml:space="preserve">, representing a total increase of </w:t>
      </w:r>
      <w:r w:rsidR="009A593F">
        <w:t>2,166 tonnes</w:t>
      </w:r>
      <w:r w:rsidR="00FB6A48">
        <w:t xml:space="preserve"> in 2020 compared to 2007</w:t>
      </w:r>
      <w:r w:rsidR="00100313">
        <w:t>, with the pattern of effect reflecting that of predicted changes in daily liveweight gain</w:t>
      </w:r>
      <w:r w:rsidR="007F1C38">
        <w:t xml:space="preserve"> (Figure </w:t>
      </w:r>
      <w:r w:rsidR="0023463A">
        <w:t>7</w:t>
      </w:r>
      <w:r w:rsidR="007E7442">
        <w:t>)</w:t>
      </w:r>
      <w:r w:rsidR="00FB6A48">
        <w:t>.</w:t>
      </w:r>
    </w:p>
    <w:p w:rsidR="00203153" w:rsidRDefault="00203153"/>
    <w:p w:rsidR="00203153" w:rsidRDefault="00203153" w:rsidP="00A0323C">
      <w:r>
        <w:t xml:space="preserve">Table 3: Predicted </w:t>
      </w:r>
      <w:r w:rsidR="00F1594E">
        <w:t xml:space="preserve">effects on </w:t>
      </w:r>
      <w:r>
        <w:t>meat produc</w:t>
      </w:r>
      <w:r w:rsidR="00FB6A48">
        <w:t xml:space="preserve">tion, based on liveweight gain and </w:t>
      </w:r>
      <w:r>
        <w:t>additional supplementary feed required based on the required dietary intake to maintain liv</w:t>
      </w:r>
      <w:r w:rsidR="00DB1C67">
        <w:t>eweight gain for</w:t>
      </w:r>
      <w:r>
        <w:t xml:space="preserve"> </w:t>
      </w:r>
      <w:r w:rsidR="00DB1C67">
        <w:t>2020 compared to</w:t>
      </w:r>
      <w:r>
        <w:t xml:space="preserve"> 2007 </w:t>
      </w:r>
      <w:r w:rsidR="00DB1C67">
        <w:t xml:space="preserve">ozone concentrations </w:t>
      </w:r>
      <w:r w:rsidR="00855148">
        <w:t xml:space="preserve">for total lamb production of </w:t>
      </w:r>
      <w:r>
        <w:t xml:space="preserve">upland and lowland lambs </w:t>
      </w:r>
      <w:r w:rsidR="00855148">
        <w:t xml:space="preserve">across </w:t>
      </w:r>
      <w:r>
        <w:t>the UK</w:t>
      </w:r>
      <w:r w:rsidR="00DB1C67">
        <w:t>.</w:t>
      </w:r>
      <w:r w:rsidR="00A0323C">
        <w:t xml:space="preserve"> </w:t>
      </w:r>
    </w:p>
    <w:p w:rsidR="00FB6A48" w:rsidRDefault="00FB6A48" w:rsidP="00FB6A48"/>
    <w:tbl>
      <w:tblPr>
        <w:tblStyle w:val="TableGrid"/>
        <w:tblW w:w="0" w:type="auto"/>
        <w:tblBorders>
          <w:insideH w:val="none" w:sz="0" w:space="0" w:color="auto"/>
          <w:insideV w:val="none" w:sz="0" w:space="0" w:color="auto"/>
        </w:tblBorders>
        <w:tblLook w:val="04A0" w:firstRow="1" w:lastRow="0" w:firstColumn="1" w:lastColumn="0" w:noHBand="0" w:noVBand="1"/>
      </w:tblPr>
      <w:tblGrid>
        <w:gridCol w:w="3085"/>
        <w:gridCol w:w="2693"/>
        <w:gridCol w:w="3101"/>
      </w:tblGrid>
      <w:tr w:rsidR="00FB6A48" w:rsidTr="00A0323C">
        <w:tc>
          <w:tcPr>
            <w:tcW w:w="3085" w:type="dxa"/>
            <w:tcBorders>
              <w:top w:val="single" w:sz="4" w:space="0" w:color="auto"/>
              <w:left w:val="nil"/>
              <w:bottom w:val="single" w:sz="4" w:space="0" w:color="auto"/>
            </w:tcBorders>
          </w:tcPr>
          <w:p w:rsidR="00FB6A48" w:rsidRPr="00692391" w:rsidRDefault="00FB6A48" w:rsidP="00807275">
            <w:pPr>
              <w:rPr>
                <w:b/>
              </w:rPr>
            </w:pPr>
          </w:p>
        </w:tc>
        <w:tc>
          <w:tcPr>
            <w:tcW w:w="2693" w:type="dxa"/>
            <w:tcBorders>
              <w:top w:val="single" w:sz="4" w:space="0" w:color="auto"/>
              <w:bottom w:val="single" w:sz="4" w:space="0" w:color="auto"/>
              <w:right w:val="nil"/>
            </w:tcBorders>
          </w:tcPr>
          <w:p w:rsidR="00FB6A48" w:rsidRDefault="00FB6A48" w:rsidP="00F525EC">
            <w:r>
              <w:rPr>
                <w:b/>
              </w:rPr>
              <w:t xml:space="preserve">Reduction in </w:t>
            </w:r>
            <w:r w:rsidRPr="00692391">
              <w:rPr>
                <w:b/>
              </w:rPr>
              <w:t>Liveweight Gain</w:t>
            </w:r>
            <w:r>
              <w:rPr>
                <w:b/>
              </w:rPr>
              <w:t xml:space="preserve"> in </w:t>
            </w:r>
            <w:r w:rsidR="00F525EC">
              <w:rPr>
                <w:b/>
              </w:rPr>
              <w:t xml:space="preserve">2020 </w:t>
            </w:r>
            <w:r>
              <w:rPr>
                <w:b/>
              </w:rPr>
              <w:t xml:space="preserve">compared to </w:t>
            </w:r>
            <w:r w:rsidR="00F525EC">
              <w:rPr>
                <w:b/>
              </w:rPr>
              <w:t>2007</w:t>
            </w:r>
          </w:p>
        </w:tc>
        <w:tc>
          <w:tcPr>
            <w:tcW w:w="3101" w:type="dxa"/>
            <w:tcBorders>
              <w:top w:val="single" w:sz="4" w:space="0" w:color="auto"/>
              <w:bottom w:val="single" w:sz="4" w:space="0" w:color="auto"/>
              <w:right w:val="nil"/>
            </w:tcBorders>
          </w:tcPr>
          <w:p w:rsidR="00FB6A48" w:rsidRDefault="00FB6A48" w:rsidP="00F525EC">
            <w:r>
              <w:rPr>
                <w:b/>
              </w:rPr>
              <w:t xml:space="preserve">Additional concentrate feed requirements in </w:t>
            </w:r>
            <w:r w:rsidR="00F525EC">
              <w:rPr>
                <w:b/>
              </w:rPr>
              <w:t xml:space="preserve">2020 </w:t>
            </w:r>
            <w:r>
              <w:rPr>
                <w:b/>
              </w:rPr>
              <w:t xml:space="preserve">compared to </w:t>
            </w:r>
            <w:r w:rsidR="00F525EC">
              <w:rPr>
                <w:b/>
              </w:rPr>
              <w:t>2007</w:t>
            </w:r>
          </w:p>
        </w:tc>
      </w:tr>
      <w:tr w:rsidR="00FB6A48" w:rsidTr="00A0323C">
        <w:tc>
          <w:tcPr>
            <w:tcW w:w="3085" w:type="dxa"/>
            <w:tcBorders>
              <w:top w:val="single" w:sz="4" w:space="0" w:color="auto"/>
              <w:left w:val="nil"/>
            </w:tcBorders>
          </w:tcPr>
          <w:p w:rsidR="00FB6A48" w:rsidRPr="00692391" w:rsidRDefault="00FB6A48" w:rsidP="00807275">
            <w:pPr>
              <w:rPr>
                <w:b/>
              </w:rPr>
            </w:pPr>
            <w:r w:rsidRPr="00692391">
              <w:rPr>
                <w:b/>
              </w:rPr>
              <w:t>Upland</w:t>
            </w:r>
          </w:p>
        </w:tc>
        <w:tc>
          <w:tcPr>
            <w:tcW w:w="2693" w:type="dxa"/>
            <w:tcBorders>
              <w:top w:val="single" w:sz="4" w:space="0" w:color="auto"/>
              <w:right w:val="nil"/>
            </w:tcBorders>
          </w:tcPr>
          <w:p w:rsidR="00FB6A48" w:rsidRDefault="00FB6A48" w:rsidP="00807275"/>
        </w:tc>
        <w:tc>
          <w:tcPr>
            <w:tcW w:w="3101" w:type="dxa"/>
            <w:tcBorders>
              <w:top w:val="single" w:sz="4" w:space="0" w:color="auto"/>
              <w:right w:val="nil"/>
            </w:tcBorders>
          </w:tcPr>
          <w:p w:rsidR="00FB6A48" w:rsidRDefault="00FB6A48" w:rsidP="00807275"/>
        </w:tc>
      </w:tr>
      <w:tr w:rsidR="00A0323C" w:rsidTr="00A0323C">
        <w:tc>
          <w:tcPr>
            <w:tcW w:w="3085" w:type="dxa"/>
            <w:tcBorders>
              <w:left w:val="nil"/>
            </w:tcBorders>
          </w:tcPr>
          <w:p w:rsidR="00A0323C" w:rsidRDefault="00A0323C" w:rsidP="001F1F86">
            <w:r>
              <w:t xml:space="preserve">Total </w:t>
            </w:r>
            <w:r w:rsidR="001F1F86">
              <w:t>weight change</w:t>
            </w:r>
          </w:p>
        </w:tc>
        <w:tc>
          <w:tcPr>
            <w:tcW w:w="2693" w:type="dxa"/>
            <w:tcBorders>
              <w:right w:val="nil"/>
            </w:tcBorders>
          </w:tcPr>
          <w:p w:rsidR="00A0323C" w:rsidRDefault="00A0323C" w:rsidP="009A593F">
            <w:r>
              <w:t xml:space="preserve">494 </w:t>
            </w:r>
            <w:r w:rsidR="009A593F">
              <w:t>tonnes</w:t>
            </w:r>
          </w:p>
        </w:tc>
        <w:tc>
          <w:tcPr>
            <w:tcW w:w="3101" w:type="dxa"/>
            <w:tcBorders>
              <w:right w:val="nil"/>
            </w:tcBorders>
          </w:tcPr>
          <w:p w:rsidR="00A0323C" w:rsidRDefault="00A0323C" w:rsidP="009A593F">
            <w:r>
              <w:t xml:space="preserve">1,106 </w:t>
            </w:r>
            <w:r w:rsidR="009A593F">
              <w:t>tonnes</w:t>
            </w:r>
          </w:p>
        </w:tc>
      </w:tr>
      <w:tr w:rsidR="00A0323C" w:rsidTr="00A0323C">
        <w:tc>
          <w:tcPr>
            <w:tcW w:w="3085" w:type="dxa"/>
            <w:tcBorders>
              <w:left w:val="nil"/>
            </w:tcBorders>
          </w:tcPr>
          <w:p w:rsidR="00A0323C" w:rsidRDefault="00A0323C" w:rsidP="00F1594E">
            <w:r>
              <w:t xml:space="preserve">% </w:t>
            </w:r>
            <w:r w:rsidR="00F1594E">
              <w:t>change</w:t>
            </w:r>
          </w:p>
        </w:tc>
        <w:tc>
          <w:tcPr>
            <w:tcW w:w="2693" w:type="dxa"/>
            <w:tcBorders>
              <w:right w:val="nil"/>
            </w:tcBorders>
          </w:tcPr>
          <w:p w:rsidR="00A0323C" w:rsidRDefault="00A0323C" w:rsidP="00807275">
            <w:r>
              <w:t>3.6%</w:t>
            </w:r>
            <w:r w:rsidR="00F1594E">
              <w:t xml:space="preserve"> weight loss</w:t>
            </w:r>
          </w:p>
        </w:tc>
        <w:tc>
          <w:tcPr>
            <w:tcW w:w="3101" w:type="dxa"/>
            <w:tcBorders>
              <w:right w:val="nil"/>
            </w:tcBorders>
          </w:tcPr>
          <w:p w:rsidR="00A0323C" w:rsidRDefault="00A0323C" w:rsidP="00807275">
            <w:r>
              <w:t>0.63%</w:t>
            </w:r>
            <w:r w:rsidR="00F1594E">
              <w:t xml:space="preserve"> increased feed</w:t>
            </w:r>
          </w:p>
        </w:tc>
      </w:tr>
      <w:tr w:rsidR="00A0323C" w:rsidTr="00A0323C">
        <w:tc>
          <w:tcPr>
            <w:tcW w:w="3085" w:type="dxa"/>
            <w:tcBorders>
              <w:top w:val="single" w:sz="4" w:space="0" w:color="auto"/>
              <w:left w:val="nil"/>
              <w:bottom w:val="nil"/>
            </w:tcBorders>
          </w:tcPr>
          <w:p w:rsidR="00A0323C" w:rsidRPr="00692391" w:rsidRDefault="00A0323C" w:rsidP="00807275">
            <w:pPr>
              <w:rPr>
                <w:b/>
              </w:rPr>
            </w:pPr>
            <w:r w:rsidRPr="00692391">
              <w:rPr>
                <w:b/>
              </w:rPr>
              <w:t>Lowland</w:t>
            </w:r>
          </w:p>
        </w:tc>
        <w:tc>
          <w:tcPr>
            <w:tcW w:w="2693" w:type="dxa"/>
            <w:tcBorders>
              <w:top w:val="single" w:sz="4" w:space="0" w:color="auto"/>
              <w:bottom w:val="nil"/>
              <w:right w:val="nil"/>
            </w:tcBorders>
          </w:tcPr>
          <w:p w:rsidR="00A0323C" w:rsidRDefault="00A0323C" w:rsidP="00807275"/>
        </w:tc>
        <w:tc>
          <w:tcPr>
            <w:tcW w:w="3101" w:type="dxa"/>
            <w:tcBorders>
              <w:top w:val="single" w:sz="4" w:space="0" w:color="auto"/>
              <w:bottom w:val="nil"/>
              <w:right w:val="nil"/>
            </w:tcBorders>
          </w:tcPr>
          <w:p w:rsidR="00A0323C" w:rsidRDefault="00A0323C" w:rsidP="00807275"/>
        </w:tc>
      </w:tr>
      <w:tr w:rsidR="00A0323C" w:rsidTr="00A0323C">
        <w:tc>
          <w:tcPr>
            <w:tcW w:w="3085" w:type="dxa"/>
            <w:tcBorders>
              <w:top w:val="nil"/>
              <w:left w:val="nil"/>
              <w:bottom w:val="nil"/>
            </w:tcBorders>
          </w:tcPr>
          <w:p w:rsidR="00A0323C" w:rsidRDefault="00A0323C" w:rsidP="001F1F86">
            <w:r>
              <w:t xml:space="preserve">Total </w:t>
            </w:r>
            <w:r w:rsidR="001F1F86">
              <w:t>weight change</w:t>
            </w:r>
          </w:p>
        </w:tc>
        <w:tc>
          <w:tcPr>
            <w:tcW w:w="2693" w:type="dxa"/>
            <w:tcBorders>
              <w:top w:val="nil"/>
              <w:bottom w:val="nil"/>
              <w:right w:val="nil"/>
            </w:tcBorders>
          </w:tcPr>
          <w:p w:rsidR="00A0323C" w:rsidRDefault="00A0323C" w:rsidP="009A593F">
            <w:r>
              <w:t xml:space="preserve">474 </w:t>
            </w:r>
            <w:r w:rsidR="009A593F">
              <w:t>tonnes</w:t>
            </w:r>
          </w:p>
        </w:tc>
        <w:tc>
          <w:tcPr>
            <w:tcW w:w="3101" w:type="dxa"/>
            <w:tcBorders>
              <w:top w:val="nil"/>
              <w:bottom w:val="nil"/>
              <w:right w:val="nil"/>
            </w:tcBorders>
          </w:tcPr>
          <w:p w:rsidR="00A0323C" w:rsidRDefault="00A0323C" w:rsidP="009A593F">
            <w:r>
              <w:t xml:space="preserve">1,061 </w:t>
            </w:r>
            <w:r w:rsidR="009A593F">
              <w:t>tonnes</w:t>
            </w:r>
          </w:p>
        </w:tc>
      </w:tr>
      <w:tr w:rsidR="00A0323C" w:rsidTr="00A0323C">
        <w:tc>
          <w:tcPr>
            <w:tcW w:w="3085" w:type="dxa"/>
            <w:tcBorders>
              <w:top w:val="nil"/>
              <w:left w:val="nil"/>
              <w:bottom w:val="nil"/>
            </w:tcBorders>
          </w:tcPr>
          <w:p w:rsidR="00A0323C" w:rsidRDefault="00A0323C" w:rsidP="00F1594E">
            <w:r>
              <w:t xml:space="preserve">% </w:t>
            </w:r>
            <w:r w:rsidR="00F1594E">
              <w:t>change</w:t>
            </w:r>
          </w:p>
        </w:tc>
        <w:tc>
          <w:tcPr>
            <w:tcW w:w="2693" w:type="dxa"/>
            <w:tcBorders>
              <w:top w:val="nil"/>
              <w:bottom w:val="nil"/>
              <w:right w:val="nil"/>
            </w:tcBorders>
          </w:tcPr>
          <w:p w:rsidR="00A0323C" w:rsidRDefault="00A0323C" w:rsidP="00807275">
            <w:r>
              <w:t>4.4%</w:t>
            </w:r>
            <w:r w:rsidR="00F1594E">
              <w:t xml:space="preserve"> weight loss</w:t>
            </w:r>
          </w:p>
        </w:tc>
        <w:tc>
          <w:tcPr>
            <w:tcW w:w="3101" w:type="dxa"/>
            <w:tcBorders>
              <w:top w:val="nil"/>
              <w:bottom w:val="nil"/>
              <w:right w:val="nil"/>
            </w:tcBorders>
          </w:tcPr>
          <w:p w:rsidR="00A0323C" w:rsidRDefault="00A0323C" w:rsidP="00807275">
            <w:r>
              <w:t>0.76%</w:t>
            </w:r>
            <w:r w:rsidR="00F1594E">
              <w:t xml:space="preserve"> increased feed</w:t>
            </w:r>
          </w:p>
        </w:tc>
      </w:tr>
      <w:tr w:rsidR="00A0323C" w:rsidTr="00A0323C">
        <w:tc>
          <w:tcPr>
            <w:tcW w:w="3085" w:type="dxa"/>
            <w:tcBorders>
              <w:top w:val="single" w:sz="4" w:space="0" w:color="auto"/>
              <w:left w:val="nil"/>
              <w:bottom w:val="single" w:sz="4" w:space="0" w:color="auto"/>
            </w:tcBorders>
          </w:tcPr>
          <w:p w:rsidR="00A0323C" w:rsidRDefault="00A0323C" w:rsidP="00FB6A48">
            <w:r>
              <w:t>Total  (all lambs)</w:t>
            </w:r>
          </w:p>
        </w:tc>
        <w:tc>
          <w:tcPr>
            <w:tcW w:w="2693" w:type="dxa"/>
            <w:tcBorders>
              <w:top w:val="single" w:sz="4" w:space="0" w:color="auto"/>
              <w:bottom w:val="single" w:sz="4" w:space="0" w:color="auto"/>
              <w:right w:val="nil"/>
            </w:tcBorders>
          </w:tcPr>
          <w:p w:rsidR="00A0323C" w:rsidRDefault="00A0323C" w:rsidP="009A593F">
            <w:r>
              <w:t xml:space="preserve">968 </w:t>
            </w:r>
            <w:r w:rsidR="009A593F">
              <w:t>tonnes</w:t>
            </w:r>
          </w:p>
        </w:tc>
        <w:tc>
          <w:tcPr>
            <w:tcW w:w="3101" w:type="dxa"/>
            <w:tcBorders>
              <w:top w:val="single" w:sz="4" w:space="0" w:color="auto"/>
              <w:bottom w:val="single" w:sz="4" w:space="0" w:color="auto"/>
              <w:right w:val="nil"/>
            </w:tcBorders>
          </w:tcPr>
          <w:p w:rsidR="00A0323C" w:rsidRDefault="00A0323C" w:rsidP="009A593F">
            <w:r>
              <w:t>2</w:t>
            </w:r>
            <w:r w:rsidR="009A593F">
              <w:t>,</w:t>
            </w:r>
            <w:r>
              <w:t xml:space="preserve">167 </w:t>
            </w:r>
            <w:r w:rsidR="009A593F">
              <w:t>tonnes</w:t>
            </w:r>
          </w:p>
        </w:tc>
      </w:tr>
    </w:tbl>
    <w:p w:rsidR="00FB6A48" w:rsidRDefault="00FB6A48" w:rsidP="00FB6A48"/>
    <w:p w:rsidR="00203153" w:rsidRDefault="00203153"/>
    <w:p w:rsidR="00203153" w:rsidRDefault="002672A7">
      <w:r>
        <w:rPr>
          <w:noProof/>
          <w:lang w:eastAsia="en-GB"/>
        </w:rPr>
        <w:lastRenderedPageBreak/>
        <w:drawing>
          <wp:inline distT="0" distB="0" distL="0" distR="0">
            <wp:extent cx="2082755" cy="2943225"/>
            <wp:effectExtent l="19050" t="0" r="0" b="0"/>
            <wp:docPr id="7" name="Picture 6" descr="Ozone mean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one mean 2007.jpg"/>
                    <pic:cNvPicPr/>
                  </pic:nvPicPr>
                  <pic:blipFill>
                    <a:blip r:embed="rId32" cstate="print"/>
                    <a:stretch>
                      <a:fillRect/>
                    </a:stretch>
                  </pic:blipFill>
                  <pic:spPr>
                    <a:xfrm>
                      <a:off x="0" y="0"/>
                      <a:ext cx="2083263" cy="2943942"/>
                    </a:xfrm>
                    <a:prstGeom prst="rect">
                      <a:avLst/>
                    </a:prstGeom>
                  </pic:spPr>
                </pic:pic>
              </a:graphicData>
            </a:graphic>
          </wp:inline>
        </w:drawing>
      </w:r>
      <w:r>
        <w:rPr>
          <w:noProof/>
          <w:lang w:eastAsia="en-GB"/>
        </w:rPr>
        <w:drawing>
          <wp:inline distT="0" distB="0" distL="0" distR="0">
            <wp:extent cx="2095500" cy="2961236"/>
            <wp:effectExtent l="19050" t="0" r="0" b="0"/>
            <wp:docPr id="11" name="Picture 10" descr="Ozone mean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one mean 2020.jpg"/>
                    <pic:cNvPicPr/>
                  </pic:nvPicPr>
                  <pic:blipFill>
                    <a:blip r:embed="rId33" cstate="print"/>
                    <a:stretch>
                      <a:fillRect/>
                    </a:stretch>
                  </pic:blipFill>
                  <pic:spPr>
                    <a:xfrm>
                      <a:off x="0" y="0"/>
                      <a:ext cx="2097288" cy="2963763"/>
                    </a:xfrm>
                    <a:prstGeom prst="rect">
                      <a:avLst/>
                    </a:prstGeom>
                  </pic:spPr>
                </pic:pic>
              </a:graphicData>
            </a:graphic>
          </wp:inline>
        </w:drawing>
      </w:r>
      <w:r>
        <w:rPr>
          <w:noProof/>
          <w:lang w:eastAsia="en-GB"/>
        </w:rPr>
        <w:drawing>
          <wp:inline distT="0" distB="0" distL="0" distR="0">
            <wp:extent cx="2095500" cy="2961234"/>
            <wp:effectExtent l="19050" t="0" r="0" b="0"/>
            <wp:docPr id="14" name="Picture 0" descr="Difference in ozone concentrarion 2007-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erence in ozone concentrarion 2007-2020.jpg"/>
                    <pic:cNvPicPr/>
                  </pic:nvPicPr>
                  <pic:blipFill>
                    <a:blip r:embed="rId34" cstate="print"/>
                    <a:stretch>
                      <a:fillRect/>
                    </a:stretch>
                  </pic:blipFill>
                  <pic:spPr>
                    <a:xfrm>
                      <a:off x="0" y="0"/>
                      <a:ext cx="2096322" cy="2962395"/>
                    </a:xfrm>
                    <a:prstGeom prst="rect">
                      <a:avLst/>
                    </a:prstGeom>
                  </pic:spPr>
                </pic:pic>
              </a:graphicData>
            </a:graphic>
          </wp:inline>
        </w:drawing>
      </w:r>
      <w:r>
        <w:rPr>
          <w:noProof/>
          <w:lang w:eastAsia="en-GB"/>
        </w:rPr>
        <w:drawing>
          <wp:inline distT="0" distB="0" distL="0" distR="0">
            <wp:extent cx="2085975" cy="2947777"/>
            <wp:effectExtent l="19050" t="0" r="9525" b="0"/>
            <wp:docPr id="12" name="Picture 3" descr="Lamb Numb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mb Numbers.jpg"/>
                    <pic:cNvPicPr/>
                  </pic:nvPicPr>
                  <pic:blipFill>
                    <a:blip r:embed="rId35" cstate="print"/>
                    <a:stretch>
                      <a:fillRect/>
                    </a:stretch>
                  </pic:blipFill>
                  <pic:spPr>
                    <a:xfrm>
                      <a:off x="0" y="0"/>
                      <a:ext cx="2086793" cy="2948933"/>
                    </a:xfrm>
                    <a:prstGeom prst="rect">
                      <a:avLst/>
                    </a:prstGeom>
                  </pic:spPr>
                </pic:pic>
              </a:graphicData>
            </a:graphic>
          </wp:inline>
        </w:drawing>
      </w:r>
    </w:p>
    <w:p w:rsidR="00A429FC" w:rsidRDefault="000B03F1" w:rsidP="00A429FC">
      <w:r>
        <w:t xml:space="preserve">Figure 6:  </w:t>
      </w:r>
      <w:r w:rsidR="00A429FC">
        <w:t>Predicted ozone concentrations</w:t>
      </w:r>
      <w:r w:rsidR="00A038E7">
        <w:t xml:space="preserve"> in a)</w:t>
      </w:r>
      <w:r w:rsidR="006F446E">
        <w:t xml:space="preserve"> 2007</w:t>
      </w:r>
      <w:r w:rsidR="00A038E7">
        <w:t>, b)</w:t>
      </w:r>
      <w:r w:rsidR="006F446E">
        <w:t xml:space="preserve"> 2020 and </w:t>
      </w:r>
      <w:r w:rsidR="00A038E7">
        <w:t xml:space="preserve">c) the </w:t>
      </w:r>
      <w:r w:rsidR="006F446E">
        <w:t>difference</w:t>
      </w:r>
      <w:r w:rsidR="00A038E7">
        <w:t xml:space="preserve"> between 2020 and 2007, and d</w:t>
      </w:r>
      <w:r w:rsidR="006F446E">
        <w:t>)</w:t>
      </w:r>
      <w:r w:rsidR="00A429FC">
        <w:t xml:space="preserve"> </w:t>
      </w:r>
      <w:r w:rsidR="006F446E">
        <w:t>lamb numbers</w:t>
      </w:r>
      <w:r w:rsidR="00B8767A">
        <w:t xml:space="preserve"> per km</w:t>
      </w:r>
      <w:r w:rsidR="00B8767A" w:rsidRPr="00B8767A">
        <w:rPr>
          <w:vertAlign w:val="superscript"/>
        </w:rPr>
        <w:t>2</w:t>
      </w:r>
      <w:r w:rsidR="00B8767A">
        <w:t>.</w:t>
      </w:r>
    </w:p>
    <w:p w:rsidR="00A038E7" w:rsidRDefault="00A038E7" w:rsidP="006C1C95">
      <w:pPr>
        <w:rPr>
          <w:color w:val="FF0000"/>
        </w:rPr>
      </w:pPr>
    </w:p>
    <w:p w:rsidR="00A038E7" w:rsidRPr="006C1C95" w:rsidRDefault="00B26411" w:rsidP="006C1C95">
      <w:pPr>
        <w:rPr>
          <w:color w:val="FF0000"/>
        </w:rPr>
      </w:pPr>
      <w:r>
        <w:rPr>
          <w:noProof/>
          <w:lang w:eastAsia="en-GB"/>
        </w:rPr>
        <w:lastRenderedPageBreak/>
        <mc:AlternateContent>
          <mc:Choice Requires="wps">
            <w:drawing>
              <wp:anchor distT="0" distB="0" distL="114300" distR="114300" simplePos="0" relativeHeight="251663360" behindDoc="0" locked="0" layoutInCell="1" allowOverlap="1">
                <wp:simplePos x="0" y="0"/>
                <wp:positionH relativeFrom="column">
                  <wp:posOffset>4248150</wp:posOffset>
                </wp:positionH>
                <wp:positionV relativeFrom="paragraph">
                  <wp:posOffset>1466850</wp:posOffset>
                </wp:positionV>
                <wp:extent cx="247650" cy="228600"/>
                <wp:effectExtent l="0" t="0" r="0" b="0"/>
                <wp:wrapNone/>
                <wp:docPr id="1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286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92A1FE7" id="Oval 12" o:spid="_x0000_s1026" style="position:absolute;margin-left:334.5pt;margin-top:115.5pt;width:1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" stroked="f"/>
            </w:pict>
          </mc:Fallback>
        </mc:AlternateContent>
      </w: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3943350</wp:posOffset>
                </wp:positionH>
                <wp:positionV relativeFrom="paragraph">
                  <wp:posOffset>1266825</wp:posOffset>
                </wp:positionV>
                <wp:extent cx="381000" cy="333375"/>
                <wp:effectExtent l="0" t="0" r="0" b="9525"/>
                <wp:wrapNone/>
                <wp:docPr id="3"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3337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82A466D" id="Oval 9" o:spid="_x0000_s1026" style="position:absolute;margin-left:310.5pt;margin-top:99.75pt;width:30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" stroked="f"/>
            </w:pict>
          </mc:Fallback>
        </mc:AlternateContent>
      </w:r>
      <w:r w:rsidR="0081597E">
        <w:rPr>
          <w:noProof/>
          <w:color w:val="FF0000"/>
          <w:lang w:eastAsia="en-GB"/>
        </w:rPr>
        <w:drawing>
          <wp:inline distT="0" distB="0" distL="0" distR="0" wp14:anchorId="14C2EEFC">
            <wp:extent cx="2105025" cy="2978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119351" cy="2999081"/>
                    </a:xfrm>
                    <a:prstGeom prst="rect">
                      <a:avLst/>
                    </a:prstGeom>
                    <a:noFill/>
                  </pic:spPr>
                </pic:pic>
              </a:graphicData>
            </a:graphic>
          </wp:inline>
        </w:drawing>
      </w:r>
    </w:p>
    <w:p w:rsidR="00A038E7" w:rsidRPr="00A32111" w:rsidRDefault="00A038E7" w:rsidP="00A038E7">
      <w:pPr>
        <w:rPr>
          <w:color w:val="FF0000"/>
        </w:rPr>
      </w:pPr>
      <w:r>
        <w:t xml:space="preserve">Figure 7:  Predicted </w:t>
      </w:r>
      <w:r w:rsidR="001772CE">
        <w:t>reduction</w:t>
      </w:r>
      <w:r>
        <w:t xml:space="preserve"> in daily liveweight gain in lambs</w:t>
      </w:r>
      <w:r w:rsidR="00094F59">
        <w:t xml:space="preserve"> per 1km x 1km gridsquare</w:t>
      </w:r>
      <w:r>
        <w:t xml:space="preserve"> in</w:t>
      </w:r>
      <w:r w:rsidR="00ED43B8">
        <w:t xml:space="preserve"> </w:t>
      </w:r>
      <w:r>
        <w:t>2020 compared to 2007 ozone concentrations</w:t>
      </w:r>
      <w:r w:rsidR="00247CEF">
        <w:t>, scaling impact per lamb by lamb numbers to show where economic impact is likely to be greatest in the UK</w:t>
      </w:r>
      <w:r>
        <w:t>.</w:t>
      </w:r>
      <w:r w:rsidR="00A32111">
        <w:t xml:space="preserve"> </w:t>
      </w:r>
    </w:p>
    <w:p w:rsidR="00CA677D" w:rsidRDefault="00CA677D"/>
    <w:p w:rsidR="006E31B6" w:rsidRPr="00274901" w:rsidRDefault="003A21E5" w:rsidP="00274901">
      <w:pPr>
        <w:pStyle w:val="ListParagraph"/>
        <w:numPr>
          <w:ilvl w:val="0"/>
          <w:numId w:val="4"/>
        </w:numPr>
        <w:rPr>
          <w:b/>
        </w:rPr>
      </w:pPr>
      <w:r w:rsidRPr="00274901">
        <w:rPr>
          <w:b/>
        </w:rPr>
        <w:t>Discussion</w:t>
      </w:r>
    </w:p>
    <w:p w:rsidR="00031752" w:rsidRDefault="00031752" w:rsidP="00031752">
      <w:r>
        <w:t xml:space="preserve">This study has shown that </w:t>
      </w:r>
      <w:r w:rsidR="00F1594E">
        <w:t xml:space="preserve">the </w:t>
      </w:r>
      <w:r>
        <w:t xml:space="preserve">quality </w:t>
      </w:r>
      <w:r w:rsidR="00F1594E">
        <w:t xml:space="preserve">of pasture of several grassland types </w:t>
      </w:r>
      <w:r w:rsidR="008911EB">
        <w:t>wa</w:t>
      </w:r>
      <w:r>
        <w:t xml:space="preserve">s altered by exposure to </w:t>
      </w:r>
      <w:r w:rsidR="00F1594E">
        <w:t xml:space="preserve">increasing background </w:t>
      </w:r>
      <w:r>
        <w:t>ozone</w:t>
      </w:r>
      <w:r w:rsidR="00960542">
        <w:t xml:space="preserve"> in experiments with ozone concentrations ranging from 17-93 ppb</w:t>
      </w:r>
      <w:r>
        <w:t xml:space="preserve">.  </w:t>
      </w:r>
      <w:r w:rsidR="00DB5486">
        <w:t xml:space="preserve">The vast majority of experimental datapoints are within the range of current and near-future ozone scenarios in Europe, where there are many examples of 24h mean concentrations over June, July and August of greater than 40 ppb (e.g. Kulkarni et al., 2013) and which can currently exceed 50 ppb at some sites.  </w:t>
      </w:r>
      <w:r>
        <w:t>Rather than through a decrease in the content of ‘desirable’ characteristics such as protein, the changes occur</w:t>
      </w:r>
      <w:r w:rsidR="008911EB">
        <w:t>red</w:t>
      </w:r>
      <w:r>
        <w:t xml:space="preserve"> via an increase in the ‘undesirable’ parameters such as lignin, resulting in a decrease in digestibility of the forage.  The NDF fraction of forage consists of partially digestible cell-wall constituents (primarily cellulose, hemicelluloses, lignin, silica and insoluble N), whereas ADF consists of </w:t>
      </w:r>
      <w:r>
        <w:lastRenderedPageBreak/>
        <w:t xml:space="preserve">the least digestible cell wall constituents and is inversely related to digestibility (Van Soest, 1994).  </w:t>
      </w:r>
      <w:r w:rsidR="00181054">
        <w:t>Other data from</w:t>
      </w:r>
      <w:r>
        <w:t xml:space="preserve"> the studies used</w:t>
      </w:r>
      <w:r w:rsidR="005E1CA8">
        <w:t xml:space="preserve"> here</w:t>
      </w:r>
      <w:r w:rsidR="00181054">
        <w:t xml:space="preserve"> suggest that</w:t>
      </w:r>
      <w:r w:rsidR="005E1CA8">
        <w:t xml:space="preserve"> </w:t>
      </w:r>
      <w:r w:rsidR="00181054">
        <w:t>this is due to</w:t>
      </w:r>
      <w:r>
        <w:t xml:space="preserve"> changes in plant structure or physiology in response to ozone rather than to changes in species composition.  This is in agreement with previous studies where the ADF, NDF and lignin content increased with elevated ozone in </w:t>
      </w:r>
      <w:r>
        <w:rPr>
          <w:i/>
        </w:rPr>
        <w:t>T. subterraneum</w:t>
      </w:r>
      <w:r>
        <w:t xml:space="preserve"> (Sanz et al., 2005) and </w:t>
      </w:r>
      <w:r>
        <w:rPr>
          <w:i/>
        </w:rPr>
        <w:t xml:space="preserve">Briza maxima </w:t>
      </w:r>
      <w:r>
        <w:t xml:space="preserve">(Sanz et al., 2011), and increased lignin content was found in </w:t>
      </w:r>
      <w:r>
        <w:rPr>
          <w:i/>
        </w:rPr>
        <w:t xml:space="preserve">T. repens </w:t>
      </w:r>
      <w:r>
        <w:t xml:space="preserve">and </w:t>
      </w:r>
      <w:r>
        <w:rPr>
          <w:i/>
        </w:rPr>
        <w:t xml:space="preserve">T. pratense </w:t>
      </w:r>
      <w:r>
        <w:t xml:space="preserve">exposed to ozone in a free-air fumigation system (Muntifering et al., 2006).  </w:t>
      </w:r>
      <w:r w:rsidR="002F61DE">
        <w:t xml:space="preserve">Some other studies have shown that the content of ‘desirable’ parameters such as protein can also increase with increasing ozone exposure (e.g. protein content of wheat, Pleijel et al., 1997), although this did not occur in the current study.  </w:t>
      </w:r>
      <w:r w:rsidR="005A2B92">
        <w:t xml:space="preserve">Due to the different nutritional quality of different species, changes in species composition as a result of ozone exposure may also affect the nutritional quality of the pasture.  </w:t>
      </w:r>
      <w:r w:rsidR="002B20B4">
        <w:t xml:space="preserve">The relative change in nutritive quality in response to ozone was similar for all of the different grassland vegetation mixtures used in the component studies, and there was no difference in the relative response of forage quality in mesocosms compared to that of the open-field study.  </w:t>
      </w:r>
      <w:r w:rsidR="00D77B8F">
        <w:t xml:space="preserve">There were also no significant differences between simple species mixtures and species rich communities.  </w:t>
      </w:r>
      <w:r w:rsidR="002B20B4">
        <w:t>Given that we have included data from four grassland types and several sub-treatments, we are confident that the relationships found are widely applicable to a range of temperate grassland</w:t>
      </w:r>
      <w:r w:rsidR="005E1CA8">
        <w:t xml:space="preserve"> types</w:t>
      </w:r>
      <w:r>
        <w:t xml:space="preserve">.  </w:t>
      </w:r>
    </w:p>
    <w:p w:rsidR="002B20B4" w:rsidRDefault="002B20B4"/>
    <w:p w:rsidR="00031752" w:rsidRDefault="007E5DD5">
      <w:r>
        <w:t xml:space="preserve">As a consequence of these changes </w:t>
      </w:r>
      <w:r w:rsidR="002B20B4">
        <w:t>in pasture quality</w:t>
      </w:r>
      <w:r w:rsidR="008911EB">
        <w:t>,</w:t>
      </w:r>
      <w:r w:rsidR="002B20B4">
        <w:t xml:space="preserve"> </w:t>
      </w:r>
      <w:r w:rsidR="007132A0">
        <w:t xml:space="preserve">our study has shown that </w:t>
      </w:r>
      <w:r w:rsidR="003C2752">
        <w:t>liveweight gain</w:t>
      </w:r>
      <w:r>
        <w:t xml:space="preserve"> </w:t>
      </w:r>
      <w:r w:rsidR="003C2752">
        <w:t>in lambs</w:t>
      </w:r>
      <w:r w:rsidR="002B20B4" w:rsidRPr="002B20B4">
        <w:t xml:space="preserve"> </w:t>
      </w:r>
      <w:r w:rsidR="002B20B4">
        <w:t>could be reduced</w:t>
      </w:r>
      <w:r w:rsidR="00EA42B3">
        <w:t xml:space="preserve"> </w:t>
      </w:r>
      <w:r w:rsidR="00190997">
        <w:t>by ozone</w:t>
      </w:r>
      <w:r w:rsidR="007132A0">
        <w:t>,</w:t>
      </w:r>
      <w:r w:rsidR="00190997">
        <w:t xml:space="preserve"> </w:t>
      </w:r>
      <w:r w:rsidR="00EA42B3">
        <w:t>if</w:t>
      </w:r>
      <w:r w:rsidR="006B0F79">
        <w:t xml:space="preserve"> farmers do</w:t>
      </w:r>
      <w:r w:rsidR="00C263AB">
        <w:t xml:space="preserve"> not compensate by providing additional feed</w:t>
      </w:r>
      <w:r w:rsidR="003C2752">
        <w:t xml:space="preserve">.  </w:t>
      </w:r>
      <w:r w:rsidR="00BD679D">
        <w:t>T</w:t>
      </w:r>
      <w:r w:rsidR="00031752">
        <w:t xml:space="preserve">he size of the effect </w:t>
      </w:r>
      <w:r w:rsidR="003847F5">
        <w:t>wa</w:t>
      </w:r>
      <w:r w:rsidR="00031752">
        <w:t>s variable across the UK</w:t>
      </w:r>
      <w:r w:rsidR="00B3640A">
        <w:t xml:space="preserve"> and in some regions where the predicted increases in ozone concentra</w:t>
      </w:r>
      <w:r w:rsidR="00825D95">
        <w:t xml:space="preserve">tion </w:t>
      </w:r>
      <w:r w:rsidR="003847F5">
        <w:t>we</w:t>
      </w:r>
      <w:r w:rsidR="00825D95">
        <w:t>re largest</w:t>
      </w:r>
      <w:r w:rsidR="00EA42B3">
        <w:t>,</w:t>
      </w:r>
      <w:r w:rsidR="00825D95">
        <w:t xml:space="preserve"> the effect on pasture quality</w:t>
      </w:r>
      <w:r w:rsidR="00B3640A">
        <w:t xml:space="preserve"> </w:t>
      </w:r>
      <w:r w:rsidR="00825D95">
        <w:t>could give reductions in</w:t>
      </w:r>
      <w:r w:rsidR="00B3640A">
        <w:t xml:space="preserve"> liveweight gain per lamb</w:t>
      </w:r>
      <w:r w:rsidR="00825D95">
        <w:t xml:space="preserve"> of 8% in 2020 compared to 2007.  However, the spatial pattern of lamb numbers mean</w:t>
      </w:r>
      <w:r w:rsidR="003847F5">
        <w:t>t</w:t>
      </w:r>
      <w:r w:rsidR="00825D95">
        <w:t xml:space="preserve"> that the largest reductions in liveweight </w:t>
      </w:r>
      <w:r w:rsidR="00825D95">
        <w:lastRenderedPageBreak/>
        <w:t>gain per gridsquare tend</w:t>
      </w:r>
      <w:r w:rsidR="003847F5">
        <w:t>ed</w:t>
      </w:r>
      <w:r w:rsidR="00825D95">
        <w:t xml:space="preserve"> to occur where the predicted increases in ozone concentrations </w:t>
      </w:r>
      <w:r w:rsidR="003847F5">
        <w:t>we</w:t>
      </w:r>
      <w:r w:rsidR="00825D95">
        <w:t>re moderate but these coincide</w:t>
      </w:r>
      <w:r w:rsidR="003847F5">
        <w:t>d</w:t>
      </w:r>
      <w:r w:rsidR="00825D95">
        <w:t xml:space="preserve"> with areas of high lamb density.  Therefore from a lamb production viewpoint, </w:t>
      </w:r>
      <w:r w:rsidR="00EB2ADA">
        <w:t>both of these combinations could represent a substantial loss of pro</w:t>
      </w:r>
      <w:r w:rsidR="008911EB">
        <w:t>duction for farmers</w:t>
      </w:r>
      <w:r w:rsidR="00CD0190">
        <w:t xml:space="preserve"> in areas where predicted impacts are highest</w:t>
      </w:r>
      <w:r w:rsidR="008911EB">
        <w:t>.  A</w:t>
      </w:r>
      <w:r w:rsidR="00EB2ADA">
        <w:t xml:space="preserve">lthough these </w:t>
      </w:r>
      <w:r w:rsidR="008911EB">
        <w:t xml:space="preserve">losses </w:t>
      </w:r>
      <w:r w:rsidR="00EB2ADA">
        <w:t>could be partially offset in the short-term by increased use of concentrate feed, in the longer-term a sustained deterioration in pasture quality</w:t>
      </w:r>
      <w:r w:rsidR="00825D95">
        <w:t xml:space="preserve"> </w:t>
      </w:r>
      <w:r w:rsidR="00EB2ADA">
        <w:t>could be a concern</w:t>
      </w:r>
      <w:r w:rsidR="00A35AB5">
        <w:t>, particularly as lamb and sheep production in the UK already has very small profit margins</w:t>
      </w:r>
      <w:r w:rsidR="00E243F9">
        <w:t>, and in some cases current pasture quality may not be much above the minimum level for lamb growth</w:t>
      </w:r>
      <w:r w:rsidR="00EB2ADA">
        <w:t>.</w:t>
      </w:r>
      <w:r w:rsidR="008845D1">
        <w:t xml:space="preserve"> </w:t>
      </w:r>
    </w:p>
    <w:p w:rsidR="00031752" w:rsidRDefault="00031752"/>
    <w:p w:rsidR="00232394" w:rsidRDefault="00C77D57" w:rsidP="00232394">
      <w:r>
        <w:t xml:space="preserve">The </w:t>
      </w:r>
      <w:r w:rsidR="00BF6C12">
        <w:t xml:space="preserve">DECC UEP43 </w:t>
      </w:r>
      <w:r w:rsidR="00181054">
        <w:t xml:space="preserve">emissions </w:t>
      </w:r>
      <w:r w:rsidR="00BF6C12">
        <w:t xml:space="preserve">scenario used in this study </w:t>
      </w:r>
      <w:r>
        <w:t xml:space="preserve">predicted </w:t>
      </w:r>
      <w:r w:rsidR="00BF6C12">
        <w:t xml:space="preserve">fairly modest </w:t>
      </w:r>
      <w:r w:rsidR="00181054">
        <w:t xml:space="preserve">increases </w:t>
      </w:r>
      <w:r>
        <w:t xml:space="preserve">in ozone concentrations </w:t>
      </w:r>
      <w:r w:rsidR="00D13068">
        <w:t>between 2007 and 2020</w:t>
      </w:r>
      <w:r w:rsidR="00BF6C12">
        <w:t>. Even so, reductions in lamb liveweight gain were predicted. I</w:t>
      </w:r>
      <w:r>
        <w:t xml:space="preserve">t </w:t>
      </w:r>
      <w:r w:rsidR="00F86A75">
        <w:t>is anticipated that a similar scale of</w:t>
      </w:r>
      <w:r w:rsidR="00D13068">
        <w:t xml:space="preserve"> losses </w:t>
      </w:r>
      <w:r w:rsidR="008911EB">
        <w:t>c</w:t>
      </w:r>
      <w:r w:rsidR="00D13068">
        <w:t>ould occur for farmers</w:t>
      </w:r>
      <w:r>
        <w:t xml:space="preserve"> </w:t>
      </w:r>
      <w:r w:rsidR="00F86A75">
        <w:t xml:space="preserve">across </w:t>
      </w:r>
      <w:r w:rsidR="00D13068">
        <w:t xml:space="preserve">NW </w:t>
      </w:r>
      <w:r w:rsidR="00F86A75">
        <w:t xml:space="preserve">Europe and </w:t>
      </w:r>
      <w:r w:rsidR="00D13068">
        <w:t xml:space="preserve">in </w:t>
      </w:r>
      <w:r w:rsidR="00F86A75">
        <w:t>the USA, where large numbers of lambs are reared for meat production and ozone concentrations are also predicted to increase</w:t>
      </w:r>
      <w:r w:rsidR="005B64E4">
        <w:t xml:space="preserve"> over the coming years (</w:t>
      </w:r>
      <w:r w:rsidR="00232394">
        <w:t>Royal Society, 2008</w:t>
      </w:r>
      <w:r w:rsidR="005B64E4">
        <w:t>)</w:t>
      </w:r>
      <w:r w:rsidR="00232394">
        <w:t xml:space="preserve">.  Our calculations indicate that if pasture quality declines with an increase in ozone concentration from 20ppb to 30ppb, then the liveweight gain per lamb could decrease by 12%.  The predicted reductions in potential liveweight gain of lambs demonstrated in this study are of a similar magnitude to some ozone-sensitive crops and trees, for example, wheat in Europe has been predicted to have </w:t>
      </w:r>
      <w:r w:rsidR="00FD15FE">
        <w:t xml:space="preserve">average </w:t>
      </w:r>
      <w:r w:rsidR="00232394">
        <w:t xml:space="preserve">yield losses of an additional 3-5% in 2030 compared to 2000 when using the </w:t>
      </w:r>
      <w:r w:rsidR="00181054">
        <w:t xml:space="preserve">SRES </w:t>
      </w:r>
      <w:r w:rsidR="00232394">
        <w:t>A2 scenario (Avnery 2011a and b) and biomass losses of an additional 4% for trees in 2050 conditions compared to current concentrations</w:t>
      </w:r>
      <w:r w:rsidR="00FD15FE">
        <w:t xml:space="preserve"> have been predicted</w:t>
      </w:r>
      <w:r w:rsidR="00232394">
        <w:t xml:space="preserve"> (Wittig et al., 2009).</w:t>
      </w:r>
    </w:p>
    <w:p w:rsidR="00232394" w:rsidRDefault="00232394" w:rsidP="00232394"/>
    <w:p w:rsidR="002A7F85" w:rsidRDefault="00F86A75">
      <w:r>
        <w:lastRenderedPageBreak/>
        <w:t>Ozone concentrations further into the future than 2020 are more difficult to predict,</w:t>
      </w:r>
      <w:r w:rsidR="0007691A">
        <w:t xml:space="preserve"> partly due to</w:t>
      </w:r>
      <w:r>
        <w:t xml:space="preserve"> uncertainties </w:t>
      </w:r>
      <w:r w:rsidR="0007691A">
        <w:t xml:space="preserve">of </w:t>
      </w:r>
      <w:r>
        <w:t>precursor emissions and the influence of climate on ozone production</w:t>
      </w:r>
      <w:r w:rsidR="00060295">
        <w:t>.  Some models e.g. the ACCMIP series include a large influence of sea surface temperature (</w:t>
      </w:r>
      <w:r w:rsidR="0007691A">
        <w:t>Lamarque et al., 2013</w:t>
      </w:r>
      <w:r w:rsidR="00060295">
        <w:t>)</w:t>
      </w:r>
      <w:r w:rsidR="005B64E4">
        <w:t>.</w:t>
      </w:r>
      <w:r w:rsidR="00060295">
        <w:t xml:space="preserve">  There is also a wide range of emission scenarios for prec</w:t>
      </w:r>
      <w:r w:rsidR="0007691A">
        <w:t xml:space="preserve">ursors and in addition model chemical schemes vary greatly in complexity, particularly for the range of non-methane VOCs that are simulated.  </w:t>
      </w:r>
      <w:r w:rsidR="00060295">
        <w:t>A</w:t>
      </w:r>
      <w:r w:rsidR="005B64E4">
        <w:t xml:space="preserve">lthough </w:t>
      </w:r>
      <w:r w:rsidR="00181054">
        <w:t xml:space="preserve">some of the </w:t>
      </w:r>
      <w:r w:rsidR="00F672E2">
        <w:t xml:space="preserve">IPCC </w:t>
      </w:r>
      <w:r w:rsidR="00181054">
        <w:t>5</w:t>
      </w:r>
      <w:r w:rsidR="005A690C" w:rsidRPr="005A690C">
        <w:rPr>
          <w:vertAlign w:val="superscript"/>
        </w:rPr>
        <w:t>th</w:t>
      </w:r>
      <w:r w:rsidR="00181054">
        <w:t xml:space="preserve"> Assessment </w:t>
      </w:r>
      <w:r w:rsidR="00F672E2">
        <w:t xml:space="preserve">Report </w:t>
      </w:r>
      <w:r w:rsidR="00181054">
        <w:t xml:space="preserve">(AR5) </w:t>
      </w:r>
      <w:r w:rsidR="00EB40AC">
        <w:t xml:space="preserve">climate projections </w:t>
      </w:r>
      <w:r w:rsidR="005B64E4">
        <w:t>assume decline</w:t>
      </w:r>
      <w:r w:rsidR="00BF6C12">
        <w:t>s in</w:t>
      </w:r>
      <w:r w:rsidR="005B64E4">
        <w:t xml:space="preserve"> emissions of </w:t>
      </w:r>
      <w:r w:rsidR="00F672E2">
        <w:t xml:space="preserve">precursor compounds such as </w:t>
      </w:r>
      <w:r w:rsidR="005B64E4">
        <w:t>NO</w:t>
      </w:r>
      <w:r w:rsidR="005B64E4" w:rsidRPr="005B64E4">
        <w:rPr>
          <w:vertAlign w:val="subscript"/>
        </w:rPr>
        <w:t>x</w:t>
      </w:r>
      <w:r w:rsidR="005B64E4">
        <w:t xml:space="preserve"> </w:t>
      </w:r>
      <w:r w:rsidR="00364692">
        <w:t xml:space="preserve">(e.g. the representative concentration pathways, </w:t>
      </w:r>
      <w:r w:rsidR="00364692" w:rsidRPr="007E14F5">
        <w:t>RCPs</w:t>
      </w:r>
      <w:r w:rsidR="00EB40AC" w:rsidRPr="007E14F5">
        <w:t xml:space="preserve"> </w:t>
      </w:r>
      <w:r w:rsidR="007E14F5" w:rsidRPr="007E14F5">
        <w:t>2.6 and 4.5</w:t>
      </w:r>
      <w:r w:rsidR="007E14F5">
        <w:t>;</w:t>
      </w:r>
      <w:r w:rsidR="00364692">
        <w:t xml:space="preserve">, van Vuuren et al., 2011) </w:t>
      </w:r>
      <w:r w:rsidR="005B64E4">
        <w:t xml:space="preserve">and therefore a subsequent reduction in ozone concentrations, other </w:t>
      </w:r>
      <w:r w:rsidR="00EB40AC">
        <w:t xml:space="preserve">projections </w:t>
      </w:r>
      <w:r w:rsidR="005B64E4">
        <w:t>e.g. RCP8.5 show increases in predicted ozone despite this due to increased stratospheric influx and increased emissions of methane (Young et al., 2013).</w:t>
      </w:r>
      <w:r>
        <w:t xml:space="preserve"> </w:t>
      </w:r>
      <w:r w:rsidR="00607F5D">
        <w:t xml:space="preserve"> </w:t>
      </w:r>
      <w:r w:rsidR="00EB40AC">
        <w:t>M</w:t>
      </w:r>
      <w:r w:rsidR="0007691A">
        <w:t>any studies consider that although the ozone</w:t>
      </w:r>
      <w:r w:rsidR="00FB69BA">
        <w:t xml:space="preserve"> daily</w:t>
      </w:r>
      <w:r w:rsidR="0007691A">
        <w:t xml:space="preserve"> profile may be altered</w:t>
      </w:r>
      <w:r w:rsidR="00FB69BA">
        <w:t>,</w:t>
      </w:r>
      <w:r w:rsidR="0007691A">
        <w:t xml:space="preserve"> the</w:t>
      </w:r>
      <w:r>
        <w:t xml:space="preserve"> ozone </w:t>
      </w:r>
      <w:r w:rsidR="0007691A">
        <w:t>c</w:t>
      </w:r>
      <w:r>
        <w:t>oncentrations over land will increase further (Royal Society, 2008</w:t>
      </w:r>
      <w:r w:rsidR="00D13068">
        <w:t>;</w:t>
      </w:r>
      <w:r w:rsidR="00E67246">
        <w:t xml:space="preserve"> Szopa et al., 2013)</w:t>
      </w:r>
      <w:r>
        <w:t xml:space="preserve"> which </w:t>
      </w:r>
      <w:r w:rsidR="004E5A1A">
        <w:t>could</w:t>
      </w:r>
      <w:r>
        <w:t xml:space="preserve"> further decrease pasture quality and therefore lamb production.</w:t>
      </w:r>
      <w:r w:rsidR="00F41901">
        <w:t xml:space="preserve"> </w:t>
      </w:r>
      <w:r w:rsidR="00881B45">
        <w:t xml:space="preserve"> </w:t>
      </w:r>
      <w:r w:rsidR="00F41901">
        <w:t>Ozone concentrations are predicted to be much higher in countries</w:t>
      </w:r>
      <w:r w:rsidR="00C2441B">
        <w:t xml:space="preserve"> such as</w:t>
      </w:r>
      <w:r w:rsidR="008850A5">
        <w:t xml:space="preserve"> India, Turkey and the USA</w:t>
      </w:r>
      <w:r w:rsidR="00F41901">
        <w:t xml:space="preserve"> in the future, where lamb production is </w:t>
      </w:r>
      <w:r w:rsidR="00B8767A">
        <w:t xml:space="preserve">also </w:t>
      </w:r>
      <w:r w:rsidR="00F41901">
        <w:t>important</w:t>
      </w:r>
      <w:r w:rsidR="00881B45">
        <w:t xml:space="preserve"> and </w:t>
      </w:r>
      <w:r w:rsidR="008911EB">
        <w:t xml:space="preserve">therefore </w:t>
      </w:r>
      <w:r w:rsidR="00881B45">
        <w:t>the deterioration in pasture quality in these countries due to elevated ozone concentrations may be substantial</w:t>
      </w:r>
      <w:r w:rsidR="00232394">
        <w:t>.</w:t>
      </w:r>
    </w:p>
    <w:p w:rsidR="00232394" w:rsidRDefault="00232394"/>
    <w:p w:rsidR="00D040D7" w:rsidRDefault="004A60D3" w:rsidP="00D040D7">
      <w:r>
        <w:t xml:space="preserve">This study assumed that the </w:t>
      </w:r>
      <w:r w:rsidR="0092375B">
        <w:t>reduction</w:t>
      </w:r>
      <w:r>
        <w:t xml:space="preserve"> in metabolisable energy of grassland with </w:t>
      </w:r>
      <w:r w:rsidR="00994563">
        <w:t>increasing ozone concentration wa</w:t>
      </w:r>
      <w:r>
        <w:t xml:space="preserve">s the same in high quality improved grassland as in the lower quality </w:t>
      </w:r>
      <w:r w:rsidR="00EB0200">
        <w:t xml:space="preserve">conservation grade </w:t>
      </w:r>
      <w:r>
        <w:t xml:space="preserve">grasslands of the experiments used to derive the function.  </w:t>
      </w:r>
      <w:r w:rsidR="00EB40AC">
        <w:t xml:space="preserve">There is some </w:t>
      </w:r>
      <w:r w:rsidR="00EB0200">
        <w:t>data in the literature</w:t>
      </w:r>
      <w:r w:rsidR="00EB40AC">
        <w:t xml:space="preserve"> supporting this assumption,</w:t>
      </w:r>
      <w:r w:rsidR="00EB0200">
        <w:t xml:space="preserve"> in that the slope of the relationship between ozone and metabolisable energy </w:t>
      </w:r>
      <w:r w:rsidR="00EB40AC">
        <w:t xml:space="preserve">used in the current study was similar to that </w:t>
      </w:r>
      <w:r w:rsidR="00EB0200">
        <w:t>calculated</w:t>
      </w:r>
      <w:r w:rsidR="00EB40AC">
        <w:t xml:space="preserve"> </w:t>
      </w:r>
      <w:r w:rsidR="00EB0200">
        <w:t>using the combined data from Gonz</w:t>
      </w:r>
      <w:r w:rsidR="00EB0200">
        <w:rPr>
          <w:rFonts w:cs="Times New Roman"/>
        </w:rPr>
        <w:t>á</w:t>
      </w:r>
      <w:r w:rsidR="00EB0200">
        <w:t>lez-Fern</w:t>
      </w:r>
      <w:r w:rsidR="00EB0200">
        <w:rPr>
          <w:rFonts w:cs="Times New Roman"/>
        </w:rPr>
        <w:t>á</w:t>
      </w:r>
      <w:r w:rsidR="00EB0200">
        <w:t xml:space="preserve">ndez et al., 2008 and Sanz et al., 2005 </w:t>
      </w:r>
      <w:r w:rsidR="00FB69BA">
        <w:t>(</w:t>
      </w:r>
      <w:r w:rsidR="00EB0200">
        <w:t xml:space="preserve">using </w:t>
      </w:r>
      <w:r w:rsidR="00EB0200">
        <w:rPr>
          <w:i/>
        </w:rPr>
        <w:t xml:space="preserve">T. repens </w:t>
      </w:r>
      <w:r w:rsidR="00EB0200">
        <w:t xml:space="preserve">and </w:t>
      </w:r>
      <w:r w:rsidR="00EB0200">
        <w:rPr>
          <w:i/>
        </w:rPr>
        <w:t>T. subterraneum</w:t>
      </w:r>
      <w:r w:rsidR="00EB0200">
        <w:t xml:space="preserve"> respectively), but further experimental evidence would be </w:t>
      </w:r>
      <w:r w:rsidR="00EB0200">
        <w:lastRenderedPageBreak/>
        <w:t>needed to verify this.</w:t>
      </w:r>
      <w:r w:rsidR="008911EB">
        <w:t xml:space="preserve"> </w:t>
      </w:r>
      <w:r w:rsidR="00EB0200">
        <w:t xml:space="preserve"> </w:t>
      </w:r>
      <w:r w:rsidR="008B5D19">
        <w:t>In addition, other factors such as increased N deposition may alter sensitivity of a grassland to ozone, although no significant effects on sensitivity were found between the two N treatments of one of the component experiments of the current study</w:t>
      </w:r>
      <w:r w:rsidR="00A17DFB">
        <w:t xml:space="preserve"> (Wyness, 2011</w:t>
      </w:r>
      <w:r w:rsidR="00A17DFB" w:rsidRPr="001E472E">
        <w:t>)</w:t>
      </w:r>
      <w:r w:rsidR="008B5D19" w:rsidRPr="001E472E">
        <w:t xml:space="preserve">.  </w:t>
      </w:r>
      <w:r w:rsidR="001E472E" w:rsidRPr="001E472E">
        <w:t xml:space="preserve">The response of the different pasture types to ozone were most different to each other in terms of biomass, and less so for the quality parameters.  In addition, the community type that is most sensitive to ozone may vary according to which quality parameter is being considered, for example, calcareous grassland was one of the more ozone sensitive communities in terms of crude fibre, but less sensitive when considering lignin.  </w:t>
      </w:r>
      <w:r w:rsidR="00994563" w:rsidRPr="001E472E">
        <w:t>It is</w:t>
      </w:r>
      <w:r w:rsidR="00994563">
        <w:t xml:space="preserve"> possible that changes in forage quality would be different in higher quality pasture, particularly as high quality pasture contains a large proportion of legumes, which are known to be sensitive to ozone (e.g. Hayes et al., 2007). </w:t>
      </w:r>
      <w:r w:rsidR="007D25C2">
        <w:t xml:space="preserve"> However, the additional data presented in Figure 5, together with the common slope across experiments with a range of legume contents </w:t>
      </w:r>
      <w:r w:rsidR="008911EB">
        <w:t xml:space="preserve">from the component experiments of this study </w:t>
      </w:r>
      <w:r w:rsidR="007D25C2">
        <w:t xml:space="preserve">implies that the slope of the response of forage quality to ozone exposure </w:t>
      </w:r>
      <w:r w:rsidR="00960542">
        <w:t>wa</w:t>
      </w:r>
      <w:r w:rsidR="007D25C2">
        <w:t>s not altered</w:t>
      </w:r>
      <w:r w:rsidR="008911EB">
        <w:t xml:space="preserve"> with different pasture types</w:t>
      </w:r>
      <w:r w:rsidR="007D25C2">
        <w:t xml:space="preserve">. </w:t>
      </w:r>
      <w:r w:rsidR="00994563">
        <w:t xml:space="preserve"> </w:t>
      </w:r>
      <w:r w:rsidR="00D040D7">
        <w:t>I</w:t>
      </w:r>
      <w:r w:rsidR="004E5A1A">
        <w:t>n the current</w:t>
      </w:r>
      <w:r w:rsidR="00D040D7">
        <w:t xml:space="preserve"> analysis, no account was taken of the duration of the experiment, or any carry-over or cumulative effect of ozone exposure, although it is possible that cumulative or carry-over effects of ozone on the vegetation could have occurred.  In addition, linear regression l</w:t>
      </w:r>
      <w:r w:rsidR="004E5A1A">
        <w:t>ines were fitted to all data as t</w:t>
      </w:r>
      <w:r w:rsidR="00D040D7">
        <w:t>here was no evidence of non-linear effects of ozone on forage quality from th</w:t>
      </w:r>
      <w:r w:rsidR="004E5A1A">
        <w:t>is dataset.</w:t>
      </w:r>
      <w:r w:rsidR="001E472E" w:rsidRPr="001E472E">
        <w:rPr>
          <w:i/>
        </w:rPr>
        <w:t xml:space="preserve"> </w:t>
      </w:r>
      <w:r w:rsidR="001E472E">
        <w:rPr>
          <w:i/>
        </w:rPr>
        <w:t xml:space="preserve"> </w:t>
      </w:r>
    </w:p>
    <w:p w:rsidR="00751FB9" w:rsidRDefault="00751FB9"/>
    <w:p w:rsidR="00FB088A" w:rsidRDefault="00FB088A">
      <w:r>
        <w:t>Although not a component of the RFV and DDM calculated, sugar content of vegetation is also thought to be related to digestibility of the vegetation, with high sugar content</w:t>
      </w:r>
      <w:r w:rsidR="00AF6298">
        <w:t xml:space="preserve"> a desirable feature of pasture</w:t>
      </w:r>
      <w:r w:rsidR="00490385">
        <w:t xml:space="preserve"> (e.g. Ellis et al., 2011)</w:t>
      </w:r>
      <w:r w:rsidR="0092375B">
        <w:t>.  Th</w:t>
      </w:r>
      <w:r w:rsidR="00AD3B1E">
        <w:t xml:space="preserve">e decreased sugar yield in response to ozone </w:t>
      </w:r>
      <w:r w:rsidR="00960542">
        <w:t xml:space="preserve">in the experiments </w:t>
      </w:r>
      <w:r w:rsidR="00AD3B1E">
        <w:t>described here</w:t>
      </w:r>
      <w:r w:rsidR="00AF6298">
        <w:t xml:space="preserve"> gives further indication that pasture quality </w:t>
      </w:r>
      <w:r w:rsidR="00D040D7">
        <w:t>wa</w:t>
      </w:r>
      <w:r w:rsidR="00AF6298">
        <w:t>s reduced by ozone.</w:t>
      </w:r>
      <w:r w:rsidR="00CC5A66">
        <w:t xml:space="preserve">  </w:t>
      </w:r>
      <w:r w:rsidR="00541E88">
        <w:t xml:space="preserve">In addition, it has been demonstrated that methane emissions from sheep production </w:t>
      </w:r>
      <w:r w:rsidR="00541E88">
        <w:lastRenderedPageBreak/>
        <w:t>are affected by diet and that methane emissions are low</w:t>
      </w:r>
      <w:r w:rsidR="007D25C2">
        <w:t>er with a diet of grasses with</w:t>
      </w:r>
      <w:r w:rsidR="00541E88">
        <w:t xml:space="preserve"> higher sugar content (Hybu Cig Cymru, 2011).  </w:t>
      </w:r>
      <w:r w:rsidR="00CC5A66">
        <w:t xml:space="preserve">Since </w:t>
      </w:r>
      <w:r w:rsidR="00751FB9">
        <w:t xml:space="preserve">our results show a decrease in sugar content with increasing ozone concentration, the potential exists for ozone to be indirectly leading to an increase in methane emissions but this needs further study for verification.  </w:t>
      </w:r>
    </w:p>
    <w:p w:rsidR="00C02127" w:rsidRDefault="00C02127" w:rsidP="00A26D8E"/>
    <w:p w:rsidR="001D0206" w:rsidRDefault="00807275" w:rsidP="001D0206">
      <w:r>
        <w:t>Quantification of ozone effects on lamb production in this study has used</w:t>
      </w:r>
      <w:r w:rsidR="001D0206">
        <w:t xml:space="preserve"> the numbers of lambs being slaughtered for meat production</w:t>
      </w:r>
      <w:r w:rsidR="00751FB9">
        <w:t xml:space="preserve">, but there are other </w:t>
      </w:r>
      <w:r>
        <w:t>impacts that could occur as a consequence of</w:t>
      </w:r>
      <w:r w:rsidR="00751FB9">
        <w:t xml:space="preserve"> an ozone-induced reduction in pasture quality.</w:t>
      </w:r>
      <w:r w:rsidR="001D0206">
        <w:t xml:space="preserve">  </w:t>
      </w:r>
      <w:r w:rsidR="005A664C">
        <w:t>For the purposes of the current study it has been assumed that lambs will be reared for a standard length of time and that the total liveweight gain will be reduced by ozone, however, an alternative response from a farmer may be to keep the lambs for a longer time until the desired wei</w:t>
      </w:r>
      <w:r>
        <w:t>ght is achieved</w:t>
      </w:r>
      <w:r w:rsidR="005A664C">
        <w:t xml:space="preserve">.  </w:t>
      </w:r>
      <w:r>
        <w:t>T</w:t>
      </w:r>
      <w:r w:rsidR="001D0206">
        <w:t>here could also be implications for the lambs retained for flock replacement</w:t>
      </w:r>
      <w:r w:rsidR="00AD3B1E">
        <w:t xml:space="preserve"> and wool production</w:t>
      </w:r>
      <w:r w:rsidR="001D0206">
        <w:t xml:space="preserve">.  Numbers and health of lambs produced by a ewe may be influenced by </w:t>
      </w:r>
      <w:r w:rsidR="001D0206" w:rsidRPr="00DB719B">
        <w:t xml:space="preserve">the weight of the breeding ewe, which </w:t>
      </w:r>
      <w:r>
        <w:t>is also thought to</w:t>
      </w:r>
      <w:r w:rsidR="001D0206" w:rsidRPr="00DB719B">
        <w:t xml:space="preserve"> be affected by the pasture quality</w:t>
      </w:r>
      <w:r w:rsidR="007E149D" w:rsidRPr="00DB719B">
        <w:t xml:space="preserve"> (</w:t>
      </w:r>
      <w:r w:rsidR="00DB719B" w:rsidRPr="00DB719B">
        <w:t>Eblex, 2008)</w:t>
      </w:r>
      <w:r w:rsidR="001D0206" w:rsidRPr="00DB719B">
        <w:t>.</w:t>
      </w:r>
      <w:r w:rsidR="001D0206" w:rsidRPr="001D0206">
        <w:t xml:space="preserve"> </w:t>
      </w:r>
      <w:r w:rsidR="00397673">
        <w:t xml:space="preserve"> </w:t>
      </w:r>
      <w:r w:rsidR="001D0206">
        <w:t xml:space="preserve">Effects on meat production via effects on silage quality have not been determined, but </w:t>
      </w:r>
      <w:r w:rsidR="00414F61">
        <w:t xml:space="preserve">one </w:t>
      </w:r>
      <w:r w:rsidR="001D0206">
        <w:t>of the factors determining the quality of silage is the quality of grassland used to make the silage.</w:t>
      </w:r>
      <w:r w:rsidR="00074021">
        <w:t xml:space="preserve">  The figures calculated in this study are therefore </w:t>
      </w:r>
      <w:r w:rsidR="00F41901">
        <w:t xml:space="preserve">likely to be </w:t>
      </w:r>
      <w:r w:rsidR="00074021">
        <w:t>an underestimate of the total impacts of ozone on lamb production and the sheep industry.</w:t>
      </w:r>
    </w:p>
    <w:p w:rsidR="00BD0A76" w:rsidRDefault="00BD0A76" w:rsidP="00A26D8E"/>
    <w:p w:rsidR="00CC54BB" w:rsidRDefault="00CD0190" w:rsidP="009A593F">
      <w:pPr>
        <w:autoSpaceDE w:val="0"/>
        <w:autoSpaceDN w:val="0"/>
        <w:adjustRightInd w:val="0"/>
      </w:pPr>
      <w:r>
        <w:t>In conclusion, t</w:t>
      </w:r>
      <w:r w:rsidR="00AF6298">
        <w:t>his study has shown that</w:t>
      </w:r>
      <w:r>
        <w:t xml:space="preserve"> across four upland grassland types, </w:t>
      </w:r>
      <w:r w:rsidR="00AF6298">
        <w:t xml:space="preserve">statistically significant reductions in individually measured components of pasture quality, such as ADF, lignin and crude fibre could occur with </w:t>
      </w:r>
      <w:r w:rsidR="00AF3382">
        <w:t xml:space="preserve">mean </w:t>
      </w:r>
      <w:r w:rsidR="00AF6298">
        <w:t>ozone concentrations of only 48 ppb compared to values at 30 ppb</w:t>
      </w:r>
      <w:r w:rsidR="00AF3382">
        <w:t>, and that these translate into derived pasture quality measure</w:t>
      </w:r>
      <w:r w:rsidR="00074021">
        <w:t>s that reduce livestock</w:t>
      </w:r>
      <w:r w:rsidR="00AF3382">
        <w:t xml:space="preserve"> production.  </w:t>
      </w:r>
      <w:r w:rsidR="00BA7671">
        <w:t xml:space="preserve">Modelled surface ozone concentrations for 2000 and projections for </w:t>
      </w:r>
      <w:r w:rsidR="00BA7671">
        <w:lastRenderedPageBreak/>
        <w:t xml:space="preserve">2050 using the ACCENT </w:t>
      </w:r>
      <w:r w:rsidR="009A593F">
        <w:t xml:space="preserve">(Atmospheric Composition Change: the European Network) </w:t>
      </w:r>
      <w:r w:rsidR="00BA7671">
        <w:t xml:space="preserve">2030 results show concentrations in this range during the summer months for Europe, North America and South and East Asia (Royal Society, 2008).  </w:t>
      </w:r>
      <w:r w:rsidR="005C5F98">
        <w:t>However, as there was a linear decline in pasture quality with increasing ozone exposure, reduced livestock production may also occur in other regions</w:t>
      </w:r>
      <w:r w:rsidR="00DE74DB">
        <w:t>,</w:t>
      </w:r>
      <w:r w:rsidR="005C5F98">
        <w:t xml:space="preserve"> where smaller increases in ozone concentration are predicted.  </w:t>
      </w:r>
      <w:r w:rsidR="00AF3382">
        <w:t>Th</w:t>
      </w:r>
      <w:r w:rsidR="004E21D1">
        <w:t xml:space="preserve">is study has </w:t>
      </w:r>
      <w:r w:rsidR="00AF3382">
        <w:t>i</w:t>
      </w:r>
      <w:r w:rsidR="00074021">
        <w:t>ndicate</w:t>
      </w:r>
      <w:r w:rsidR="004E21D1">
        <w:t>d</w:t>
      </w:r>
      <w:r w:rsidR="00074021">
        <w:t xml:space="preserve"> that livestock</w:t>
      </w:r>
      <w:r w:rsidR="00AF3382">
        <w:t xml:space="preserve"> </w:t>
      </w:r>
      <w:r w:rsidR="00346EFA" w:rsidRPr="00346EFA">
        <w:t>production may already be</w:t>
      </w:r>
      <w:r w:rsidR="00AF3382" w:rsidRPr="00346EFA">
        <w:t xml:space="preserve"> negatively impacted</w:t>
      </w:r>
      <w:r w:rsidR="00AF3382">
        <w:t xml:space="preserve"> by ambient ozone pollution</w:t>
      </w:r>
      <w:r w:rsidR="00BA7671">
        <w:t xml:space="preserve"> in these regions</w:t>
      </w:r>
      <w:r w:rsidR="00AF3382">
        <w:t xml:space="preserve"> and that further reductions in production due to ozone pollution are likely over the coming decades.</w:t>
      </w:r>
    </w:p>
    <w:p w:rsidR="00AF3382" w:rsidRDefault="00AF3382"/>
    <w:p w:rsidR="00AF3382" w:rsidRPr="0053547F" w:rsidRDefault="000D74F6">
      <w:pPr>
        <w:rPr>
          <w:b/>
        </w:rPr>
      </w:pPr>
      <w:r w:rsidRPr="0053547F">
        <w:rPr>
          <w:b/>
        </w:rPr>
        <w:t>Acknowledgements</w:t>
      </w:r>
    </w:p>
    <w:p w:rsidR="000D74F6" w:rsidRDefault="0053547F">
      <w:r>
        <w:t xml:space="preserve">This work was funded by the UK </w:t>
      </w:r>
      <w:r w:rsidR="00414F61">
        <w:t>D</w:t>
      </w:r>
      <w:r>
        <w:t>epartment for Environment, Food &amp; Rural Affairs (Defra)</w:t>
      </w:r>
      <w:r w:rsidR="00F96ED3">
        <w:t xml:space="preserve"> project numbers CPEA33, AQ0815, AQ3510 and NE0117,</w:t>
      </w:r>
      <w:r>
        <w:t xml:space="preserve"> and the Centre for Ecology and Hydrology</w:t>
      </w:r>
      <w:r w:rsidR="00F96ED3">
        <w:t>, project number NEC04951</w:t>
      </w:r>
      <w:r>
        <w:t>.</w:t>
      </w:r>
    </w:p>
    <w:p w:rsidR="000D74F6" w:rsidRDefault="000D74F6"/>
    <w:p w:rsidR="00D772B8" w:rsidRPr="00274901" w:rsidRDefault="00AF3382" w:rsidP="00F53335">
      <w:pPr>
        <w:rPr>
          <w:b/>
        </w:rPr>
      </w:pPr>
      <w:r w:rsidRPr="009D7CE1">
        <w:rPr>
          <w:b/>
        </w:rPr>
        <w:t>References</w:t>
      </w:r>
    </w:p>
    <w:p w:rsidR="00F53335" w:rsidRDefault="00F53335" w:rsidP="00F53335">
      <w:r>
        <w:t xml:space="preserve">Avnery </w:t>
      </w:r>
      <w:r w:rsidR="00C96425">
        <w:t>S, Mauzerall DL, Liu JF, Horowitz LW</w:t>
      </w:r>
      <w:r>
        <w:t xml:space="preserve"> </w:t>
      </w:r>
      <w:r w:rsidR="00C96425">
        <w:t>(</w:t>
      </w:r>
      <w:r>
        <w:t>2011</w:t>
      </w:r>
      <w:r w:rsidR="00E05F50">
        <w:t>a</w:t>
      </w:r>
      <w:r w:rsidR="00C96425">
        <w:t>) Global crop yield reductions due to surface ozone exposure: 1. Year 2000 crop production losses and economic damage.  Atmospheric Environment 45:2284-2296.</w:t>
      </w:r>
    </w:p>
    <w:p w:rsidR="00E05F50" w:rsidRDefault="00E05F50" w:rsidP="00F53335"/>
    <w:p w:rsidR="00AB547F" w:rsidRDefault="00AB547F" w:rsidP="00AB547F">
      <w:r>
        <w:t>Avnery S, Mauzerall DL, Liu JF, Horowitz LW (2011b) Global crop yield reductions due to surface ozone exposure: 2. Year 2030 potential crop production losses and economic damage under two scenarios of O</w:t>
      </w:r>
      <w:r w:rsidRPr="00AB547F">
        <w:rPr>
          <w:vertAlign w:val="subscript"/>
        </w:rPr>
        <w:t>3</w:t>
      </w:r>
      <w:r>
        <w:t xml:space="preserve"> pollution.  Atmospheric Environment 45:2297-2309.</w:t>
      </w:r>
    </w:p>
    <w:p w:rsidR="00C96425" w:rsidRDefault="00C96425" w:rsidP="00F53335"/>
    <w:p w:rsidR="00F53335" w:rsidRPr="00C96425" w:rsidRDefault="00F53335" w:rsidP="00AF3382">
      <w:r>
        <w:lastRenderedPageBreak/>
        <w:t>Bender</w:t>
      </w:r>
      <w:r w:rsidR="00C96425">
        <w:t xml:space="preserve"> J, Muntifering RB, Lin JC, Weigel HJ  (</w:t>
      </w:r>
      <w:r>
        <w:t>2006</w:t>
      </w:r>
      <w:r w:rsidR="00C96425">
        <w:t xml:space="preserve">) Growth and nutritive quality of </w:t>
      </w:r>
      <w:r w:rsidR="00C96425">
        <w:rPr>
          <w:i/>
        </w:rPr>
        <w:t>Poa pratensis</w:t>
      </w:r>
      <w:r w:rsidR="00C96425">
        <w:t xml:space="preserve"> as influenced by ozone and competition.  Environmental Pollution 142:109-115.</w:t>
      </w:r>
    </w:p>
    <w:p w:rsidR="00C96425" w:rsidRDefault="00C96425" w:rsidP="00F53335"/>
    <w:p w:rsidR="00F53335" w:rsidRDefault="00F53335" w:rsidP="00F53335">
      <w:r>
        <w:t>Bermejo</w:t>
      </w:r>
      <w:r w:rsidR="00C96425">
        <w:t xml:space="preserve"> V, Gimeno BS, Grandos I, Santamaria J, Irigoyen JJ, Bermejo R, Porcuna JL, Mills G</w:t>
      </w:r>
      <w:r>
        <w:t xml:space="preserve"> </w:t>
      </w:r>
      <w:r w:rsidR="00C96425">
        <w:t xml:space="preserve"> (</w:t>
      </w:r>
      <w:r>
        <w:t>2002</w:t>
      </w:r>
      <w:r w:rsidR="00C96425">
        <w:t>) Investigating indices to explain the impacts of ozone on the biomass of white clover (</w:t>
      </w:r>
      <w:r w:rsidR="00C96425">
        <w:rPr>
          <w:i/>
        </w:rPr>
        <w:t xml:space="preserve">Trifolium repens </w:t>
      </w:r>
      <w:r w:rsidR="00C96425">
        <w:t>L. cv Regal) at inland and coastal sites in Spain.  New Phytologist 156:43-55.</w:t>
      </w:r>
    </w:p>
    <w:p w:rsidR="00C96425" w:rsidRPr="00C96425" w:rsidRDefault="00C96425" w:rsidP="00F53335"/>
    <w:p w:rsidR="00F53335" w:rsidRDefault="00F53335" w:rsidP="00F53335">
      <w:r>
        <w:t xml:space="preserve">Calvo </w:t>
      </w:r>
      <w:r w:rsidR="00D31BBE">
        <w:t>E, Martin C, Sanz MJ (</w:t>
      </w:r>
      <w:r>
        <w:t>2007</w:t>
      </w:r>
      <w:r w:rsidR="00D31BBE">
        <w:t>) Ozone sensitivity differences in five tomato cultivars: Visible injury and fruits.  Water Air and Soil Pollution 186:167-181.</w:t>
      </w:r>
    </w:p>
    <w:p w:rsidR="00D31BBE" w:rsidRDefault="00D31BBE" w:rsidP="00F53335"/>
    <w:p w:rsidR="009D7CE1" w:rsidRPr="00DD0A3C" w:rsidRDefault="009D7CE1" w:rsidP="00DD0A3C">
      <w:pPr>
        <w:spacing w:after="240"/>
        <w:rPr>
          <w:lang w:val="en-US"/>
        </w:rPr>
      </w:pPr>
      <w:r>
        <w:rPr>
          <w:szCs w:val="24"/>
        </w:rPr>
        <w:t>Cape JN (2010) Effects of Ground Level Ozone on Vegetation. Centre for Ecology and Hydrology, 30pp.</w:t>
      </w:r>
      <w:r w:rsidR="00DD0A3C">
        <w:rPr>
          <w:szCs w:val="24"/>
        </w:rPr>
        <w:t xml:space="preserve"> </w:t>
      </w:r>
      <w:r w:rsidR="00DD0A3C" w:rsidRPr="00FA777B">
        <w:rPr>
          <w:lang w:val="en-US"/>
        </w:rPr>
        <w:t>(CEH Project Number: C03108) (Unpublished)</w:t>
      </w:r>
    </w:p>
    <w:p w:rsidR="009D7CE1" w:rsidRPr="00DD0A3C" w:rsidRDefault="009D7CE1" w:rsidP="00DD0A3C">
      <w:pPr>
        <w:rPr>
          <w:lang w:val="en-US"/>
        </w:rPr>
      </w:pPr>
      <w:r>
        <w:rPr>
          <w:szCs w:val="24"/>
        </w:rPr>
        <w:t>Cape JN (2012) Effects of Ground Level Ozone on Vegetation. Centre for Ecology and Hydrology, 30pp.</w:t>
      </w:r>
      <w:r w:rsidR="00DD0A3C">
        <w:rPr>
          <w:szCs w:val="24"/>
        </w:rPr>
        <w:t xml:space="preserve"> </w:t>
      </w:r>
      <w:r w:rsidR="00DD0A3C" w:rsidRPr="00FA777B">
        <w:rPr>
          <w:lang w:val="en-US"/>
        </w:rPr>
        <w:t>(CEH Project Number: C03108) (Unpublished)</w:t>
      </w:r>
    </w:p>
    <w:p w:rsidR="00326621" w:rsidRPr="00F66610" w:rsidRDefault="00326621" w:rsidP="00326621">
      <w:pPr>
        <w:rPr>
          <w:rFonts w:cs="Times New Roman"/>
          <w:szCs w:val="24"/>
        </w:rPr>
      </w:pPr>
    </w:p>
    <w:p w:rsidR="00326621" w:rsidRDefault="00326621" w:rsidP="00326621">
      <w:pPr>
        <w:pStyle w:val="NormalWeb"/>
        <w:spacing w:after="0"/>
        <w:rPr>
          <w:color w:val="191919"/>
          <w:sz w:val="24"/>
          <w:szCs w:val="24"/>
        </w:rPr>
      </w:pPr>
      <w:r w:rsidRPr="00F66610">
        <w:rPr>
          <w:color w:val="191919"/>
          <w:sz w:val="24"/>
          <w:szCs w:val="24"/>
        </w:rPr>
        <w:t>Carey P</w:t>
      </w:r>
      <w:r>
        <w:rPr>
          <w:color w:val="191919"/>
          <w:sz w:val="24"/>
          <w:szCs w:val="24"/>
        </w:rPr>
        <w:t>D, Wallis S,</w:t>
      </w:r>
      <w:r w:rsidRPr="00F66610">
        <w:rPr>
          <w:color w:val="191919"/>
          <w:sz w:val="24"/>
          <w:szCs w:val="24"/>
        </w:rPr>
        <w:t xml:space="preserve"> Chamber</w:t>
      </w:r>
      <w:r>
        <w:rPr>
          <w:color w:val="191919"/>
          <w:sz w:val="24"/>
          <w:szCs w:val="24"/>
        </w:rPr>
        <w:t>lain PM, Cooper A, Emmett BA, Maskell LC, McCann T, Murphy J, Norton LR, Reynolds B, Scott WA, Simpson IC, Smart SM, Ullyett JM</w:t>
      </w:r>
      <w:r w:rsidRPr="00F66610">
        <w:rPr>
          <w:color w:val="191919"/>
          <w:sz w:val="24"/>
          <w:szCs w:val="24"/>
        </w:rPr>
        <w:t xml:space="preserve">. </w:t>
      </w:r>
      <w:r>
        <w:rPr>
          <w:color w:val="191919"/>
          <w:sz w:val="24"/>
          <w:szCs w:val="24"/>
        </w:rPr>
        <w:t>(</w:t>
      </w:r>
      <w:r w:rsidRPr="00F66610">
        <w:rPr>
          <w:color w:val="191919"/>
          <w:sz w:val="24"/>
          <w:szCs w:val="24"/>
        </w:rPr>
        <w:t>2008</w:t>
      </w:r>
      <w:r>
        <w:rPr>
          <w:color w:val="191919"/>
          <w:sz w:val="24"/>
          <w:szCs w:val="24"/>
        </w:rPr>
        <w:t>)</w:t>
      </w:r>
      <w:r w:rsidRPr="00F66610">
        <w:rPr>
          <w:color w:val="191919"/>
          <w:sz w:val="24"/>
          <w:szCs w:val="24"/>
        </w:rPr>
        <w:t xml:space="preserve"> Countryside Survey: UK Results from 2007. NERC/Centre for Ecology &amp; Hydrology, 105pp. (CEH Project Number: C03259).</w:t>
      </w:r>
    </w:p>
    <w:p w:rsidR="009D7CE1" w:rsidRDefault="009D7CE1" w:rsidP="00F53335"/>
    <w:p w:rsidR="001319E6" w:rsidRDefault="001319E6" w:rsidP="00F53335">
      <w:r>
        <w:t xml:space="preserve">Court J, Webbware J, Hides S (Eds) (2008) Sheep farming for meat and wool. </w:t>
      </w:r>
      <w:r w:rsidR="00747503">
        <w:t>Landlinks Press</w:t>
      </w:r>
      <w:r>
        <w:t>, Australia.  ISBN-13: 978-0643092945.</w:t>
      </w:r>
    </w:p>
    <w:p w:rsidR="001319E6" w:rsidRDefault="001319E6" w:rsidP="00F53335"/>
    <w:p w:rsidR="00F53335" w:rsidRDefault="00F53335" w:rsidP="00F53335">
      <w:r>
        <w:t xml:space="preserve">Donnelly </w:t>
      </w:r>
      <w:r w:rsidR="00D31BBE">
        <w:t>A, Lawson T., Craigon J, Black CR, Colls JJ, Landon G (</w:t>
      </w:r>
      <w:r>
        <w:t>2001</w:t>
      </w:r>
      <w:r w:rsidR="00D31BBE">
        <w:t>) Effects of elevated CO</w:t>
      </w:r>
      <w:r w:rsidR="00D31BBE">
        <w:rPr>
          <w:vertAlign w:val="subscript"/>
        </w:rPr>
        <w:t>2</w:t>
      </w:r>
      <w:r w:rsidR="00D31BBE">
        <w:t xml:space="preserve"> and O</w:t>
      </w:r>
      <w:r w:rsidR="00D31BBE">
        <w:rPr>
          <w:vertAlign w:val="subscript"/>
        </w:rPr>
        <w:t xml:space="preserve">3 </w:t>
      </w:r>
      <w:r w:rsidR="00D31BBE">
        <w:t>on tuber quality in potato (</w:t>
      </w:r>
      <w:r w:rsidR="00D31BBE">
        <w:rPr>
          <w:i/>
        </w:rPr>
        <w:t>Solanum tuberosum</w:t>
      </w:r>
      <w:r w:rsidR="00D31BBE">
        <w:t xml:space="preserve"> L.).  Agriculture Ecosystems and Environment 87:273-285.</w:t>
      </w:r>
    </w:p>
    <w:p w:rsidR="00747503" w:rsidRPr="00D31BBE" w:rsidRDefault="00747503" w:rsidP="00F53335"/>
    <w:p w:rsidR="00326621" w:rsidRDefault="00326621" w:rsidP="00326621">
      <w:pPr>
        <w:pStyle w:val="NormalWeb"/>
        <w:rPr>
          <w:sz w:val="24"/>
          <w:szCs w:val="24"/>
        </w:rPr>
      </w:pPr>
      <w:r w:rsidRPr="009D7CE1">
        <w:rPr>
          <w:color w:val="191919"/>
          <w:sz w:val="24"/>
          <w:szCs w:val="24"/>
        </w:rPr>
        <w:t xml:space="preserve">Eblex Sheep BRP Manual 9, 2009. Improving Ewe nutrition for better returns. </w:t>
      </w:r>
      <w:r w:rsidRPr="009D7CE1">
        <w:rPr>
          <w:sz w:val="24"/>
          <w:szCs w:val="24"/>
        </w:rPr>
        <w:t>http://www.eblex.org.uk/documents/content/returns/brp_l_sheepsbrp_manual_12_-_improving_ewe_nutrition_for_better_returns031210.pdf</w:t>
      </w:r>
    </w:p>
    <w:p w:rsidR="00417D66" w:rsidRPr="009D7CE1" w:rsidRDefault="00417D66" w:rsidP="00326621">
      <w:pPr>
        <w:pStyle w:val="NormalWeb"/>
        <w:rPr>
          <w:color w:val="191919"/>
          <w:sz w:val="24"/>
          <w:szCs w:val="24"/>
        </w:rPr>
      </w:pPr>
    </w:p>
    <w:p w:rsidR="00326621" w:rsidRDefault="00326621" w:rsidP="00326621">
      <w:pPr>
        <w:pStyle w:val="NormalWeb"/>
        <w:rPr>
          <w:sz w:val="24"/>
          <w:szCs w:val="24"/>
        </w:rPr>
      </w:pPr>
      <w:r w:rsidRPr="009D7CE1">
        <w:rPr>
          <w:color w:val="191919"/>
          <w:sz w:val="24"/>
          <w:szCs w:val="24"/>
        </w:rPr>
        <w:t xml:space="preserve">Eblex Sheep BRP Manual 5, 2005. Target store lambs for better returns. </w:t>
      </w:r>
      <w:r w:rsidRPr="009D7CE1">
        <w:rPr>
          <w:sz w:val="24"/>
          <w:szCs w:val="24"/>
        </w:rPr>
        <w:t>http://www.eblex.org.uk/documents/content/returns/brp_l_sheepsbrp_manual_5_-_target_store_lambs_for_better_returns.pdf</w:t>
      </w:r>
    </w:p>
    <w:p w:rsidR="00417D66" w:rsidRPr="009D7CE1" w:rsidRDefault="00417D66" w:rsidP="00326621">
      <w:pPr>
        <w:pStyle w:val="NormalWeb"/>
        <w:rPr>
          <w:color w:val="191919"/>
          <w:sz w:val="24"/>
          <w:szCs w:val="24"/>
        </w:rPr>
      </w:pPr>
    </w:p>
    <w:p w:rsidR="00326621" w:rsidRPr="009D7CE1" w:rsidRDefault="00326621" w:rsidP="00326621">
      <w:pPr>
        <w:pStyle w:val="NormalWeb"/>
        <w:spacing w:after="0"/>
        <w:rPr>
          <w:color w:val="191919"/>
          <w:sz w:val="24"/>
          <w:szCs w:val="24"/>
        </w:rPr>
      </w:pPr>
      <w:r w:rsidRPr="009D7CE1">
        <w:rPr>
          <w:color w:val="191919"/>
          <w:sz w:val="24"/>
          <w:szCs w:val="24"/>
        </w:rPr>
        <w:t>Eblex Sheep BRP Manual 11, 2008. Target Ewe fertility for better returns.</w:t>
      </w:r>
    </w:p>
    <w:p w:rsidR="00326621" w:rsidRDefault="00326621" w:rsidP="00326621">
      <w:pPr>
        <w:pStyle w:val="NormalWeb"/>
        <w:spacing w:after="0"/>
        <w:rPr>
          <w:sz w:val="24"/>
          <w:szCs w:val="24"/>
        </w:rPr>
      </w:pPr>
      <w:r w:rsidRPr="009D7CE1">
        <w:rPr>
          <w:sz w:val="24"/>
          <w:szCs w:val="24"/>
        </w:rPr>
        <w:t>http://www.eblex.org.uk/documents/content/returns/brp_l_sheepsbrp_manual_11_-_target_ewe_fertility_for_better_returns.pdf</w:t>
      </w:r>
    </w:p>
    <w:p w:rsidR="00326621" w:rsidRDefault="00326621" w:rsidP="00AF3382"/>
    <w:p w:rsidR="00716611" w:rsidRPr="00716611" w:rsidRDefault="00716611" w:rsidP="00716611">
      <w:pPr>
        <w:autoSpaceDE w:val="0"/>
        <w:autoSpaceDN w:val="0"/>
        <w:adjustRightInd w:val="0"/>
        <w:spacing w:after="0"/>
        <w:rPr>
          <w:rFonts w:cs="Times New Roman"/>
          <w:szCs w:val="24"/>
        </w:rPr>
      </w:pPr>
      <w:r>
        <w:t>EEA (2015)</w:t>
      </w:r>
      <w:r w:rsidRPr="00716611">
        <w:rPr>
          <w:rFonts w:cs="Times New Roman"/>
          <w:szCs w:val="24"/>
        </w:rPr>
        <w:t xml:space="preserve"> </w:t>
      </w:r>
      <w:r w:rsidRPr="00716611">
        <w:rPr>
          <w:rFonts w:cs="Times New Roman"/>
          <w:iCs/>
          <w:szCs w:val="24"/>
        </w:rPr>
        <w:t>The European environment — state and outlook 2015: synthesis report</w:t>
      </w:r>
      <w:r w:rsidRPr="00716611">
        <w:rPr>
          <w:rFonts w:cs="Times New Roman"/>
          <w:szCs w:val="24"/>
        </w:rPr>
        <w:t xml:space="preserve">, </w:t>
      </w:r>
      <w:r>
        <w:rPr>
          <w:rFonts w:cs="Times New Roman"/>
          <w:szCs w:val="24"/>
        </w:rPr>
        <w:t>E</w:t>
      </w:r>
      <w:r w:rsidRPr="00716611">
        <w:rPr>
          <w:rFonts w:cs="Times New Roman"/>
          <w:szCs w:val="24"/>
        </w:rPr>
        <w:t>uropean</w:t>
      </w:r>
      <w:r>
        <w:rPr>
          <w:rFonts w:cs="Times New Roman"/>
          <w:szCs w:val="24"/>
        </w:rPr>
        <w:t xml:space="preserve"> </w:t>
      </w:r>
      <w:r w:rsidRPr="00716611">
        <w:rPr>
          <w:rFonts w:cs="Times New Roman"/>
          <w:szCs w:val="24"/>
        </w:rPr>
        <w:t>Environment Agency, Copenhagen.</w:t>
      </w:r>
    </w:p>
    <w:p w:rsidR="00716611" w:rsidRDefault="00716611" w:rsidP="00AF3382"/>
    <w:p w:rsidR="00417D66" w:rsidRDefault="00417D66" w:rsidP="00AF3382">
      <w:r>
        <w:t>Ellis JL, Dijkstra J, Bannink A, Parsons AJ, Rasmussen S, Edwards GR, Kebreab E, France J (2011) The effect of high-sugar grass on predicted nitrogen excretion and milk yield simulated using a dynamic model. Journal of Dairy Science 94:3105-3118.</w:t>
      </w:r>
    </w:p>
    <w:p w:rsidR="00417D66" w:rsidRDefault="00417D66" w:rsidP="00AF3382"/>
    <w:p w:rsidR="00284097" w:rsidRDefault="00284097" w:rsidP="00AF3382">
      <w:r>
        <w:t>Fuhrer J (1994) Effects of ozone on managed pasture 1. Effects of open-top chambers on microclimate, ozone flux and plant growth.  Environmental Pollution 86: 297-305.</w:t>
      </w:r>
    </w:p>
    <w:p w:rsidR="00284097" w:rsidRDefault="00284097" w:rsidP="00AF3382"/>
    <w:p w:rsidR="00F53335" w:rsidRDefault="00284097" w:rsidP="00AF3382">
      <w:r>
        <w:t>Fuhrer J, Shariatmadari H, Perler R, Tschannen W, Grub A</w:t>
      </w:r>
      <w:r w:rsidR="00F53335">
        <w:t xml:space="preserve"> </w:t>
      </w:r>
      <w:r>
        <w:t xml:space="preserve"> (</w:t>
      </w:r>
      <w:r w:rsidR="00F53335">
        <w:t>1994</w:t>
      </w:r>
      <w:r>
        <w:t>)  Effects of ozone on managed pasture 2. Yield, species composition, canopy structure and forage quality.  Environmental Pollution 86:307-314.</w:t>
      </w:r>
    </w:p>
    <w:p w:rsidR="00284097" w:rsidRDefault="00284097" w:rsidP="00AF3382"/>
    <w:p w:rsidR="00F53335" w:rsidRDefault="00F53335" w:rsidP="00AF3382">
      <w:r>
        <w:t>Gonz</w:t>
      </w:r>
      <w:r>
        <w:rPr>
          <w:rFonts w:cs="Times New Roman"/>
        </w:rPr>
        <w:t>á</w:t>
      </w:r>
      <w:r>
        <w:t>lez-Fern</w:t>
      </w:r>
      <w:r>
        <w:rPr>
          <w:rFonts w:cs="Times New Roman"/>
        </w:rPr>
        <w:t>á</w:t>
      </w:r>
      <w:r>
        <w:t xml:space="preserve">ndez </w:t>
      </w:r>
      <w:r w:rsidR="00284097">
        <w:t>I, Bass D, Muntifering R, Mills G, Barnes J (</w:t>
      </w:r>
      <w:r>
        <w:t>2008</w:t>
      </w:r>
      <w:r w:rsidR="00284097">
        <w:t>) Impacts of ozone pollution on productivity and forage quality of grass/clover swards.  Atmospheric Environment 42:8755-8769.</w:t>
      </w:r>
    </w:p>
    <w:p w:rsidR="00284097" w:rsidRDefault="00284097" w:rsidP="00AF3382"/>
    <w:p w:rsidR="00F53335" w:rsidRDefault="00F53335" w:rsidP="00F53335">
      <w:r>
        <w:t>Hayes</w:t>
      </w:r>
      <w:r w:rsidR="00284097">
        <w:t xml:space="preserve"> F, Jones MLM, Mills G, Ashmore M  (</w:t>
      </w:r>
      <w:r>
        <w:t>2007</w:t>
      </w:r>
      <w:r w:rsidR="00284097">
        <w:t>) Meta-analysis of the relative sensitivity of semi-natural vegetation species to ozone.  Environmental Pollution 146:754-762.</w:t>
      </w:r>
    </w:p>
    <w:p w:rsidR="00284097" w:rsidRDefault="00284097" w:rsidP="00F53335"/>
    <w:p w:rsidR="00F53335" w:rsidRDefault="00F53335" w:rsidP="00F53335">
      <w:r>
        <w:t xml:space="preserve">Hayes </w:t>
      </w:r>
      <w:r w:rsidR="00284097">
        <w:t>F, Mills G, Ashmore M</w:t>
      </w:r>
      <w:r>
        <w:t xml:space="preserve"> </w:t>
      </w:r>
      <w:r w:rsidR="00284097">
        <w:t>(</w:t>
      </w:r>
      <w:r>
        <w:t>2009</w:t>
      </w:r>
      <w:r w:rsidR="00284097">
        <w:t xml:space="preserve">) Effects of ozone on inter- and intra-species competition and photosynthesis in mesocosms of </w:t>
      </w:r>
      <w:r w:rsidR="00284097">
        <w:rPr>
          <w:i/>
        </w:rPr>
        <w:t xml:space="preserve">Lolium perenne </w:t>
      </w:r>
      <w:r w:rsidR="00284097">
        <w:t xml:space="preserve">and </w:t>
      </w:r>
      <w:r w:rsidR="00284097">
        <w:rPr>
          <w:i/>
        </w:rPr>
        <w:t>Trifolium repens.</w:t>
      </w:r>
      <w:r w:rsidR="00284097">
        <w:t xml:space="preserve">  Environmental Pollution 157:208-214.</w:t>
      </w:r>
    </w:p>
    <w:p w:rsidR="00CB4E6E" w:rsidRDefault="00CB4E6E" w:rsidP="00F53335"/>
    <w:p w:rsidR="00D772B8" w:rsidRDefault="00D772B8" w:rsidP="00D772B8">
      <w:r>
        <w:t>Hayes F, Mills G, Harmens H, Wyness K (2011) Within season and carry-over effects following exposure of grassland species mixtures to increasing background ozone.  Environmental Pollution 159:2420-2426.</w:t>
      </w:r>
    </w:p>
    <w:p w:rsidR="00D772B8" w:rsidRDefault="00D772B8" w:rsidP="00F53335"/>
    <w:p w:rsidR="00CB4E6E" w:rsidRDefault="00CB4E6E" w:rsidP="00F53335">
      <w:r>
        <w:t>Hayes F, Williamson J, Mills G (2012) Ozone pollution affects flower numbers and timing in a simulated BAP priority calcareous grassland community. Environmental Pollution 163:40-47.</w:t>
      </w:r>
    </w:p>
    <w:p w:rsidR="00CB4E6E" w:rsidRPr="00284097" w:rsidRDefault="00CB4E6E" w:rsidP="00F53335"/>
    <w:p w:rsidR="00C34636" w:rsidRDefault="00560264" w:rsidP="00C34636">
      <w:r>
        <w:t>Hayman GD, Abbott J, Davies TJ, Thomson CL, Jenkin ME, Thetford R, Fitzgerald P.</w:t>
      </w:r>
      <w:r w:rsidR="00C34636">
        <w:t xml:space="preserve"> </w:t>
      </w:r>
      <w:r>
        <w:t>(</w:t>
      </w:r>
      <w:r w:rsidR="00C34636">
        <w:t>2010</w:t>
      </w:r>
      <w:r>
        <w:t>)</w:t>
      </w:r>
      <w:r w:rsidR="00C34636">
        <w:t xml:space="preserve"> The ozone source–receptor model – A tool for UK ozone policy. A</w:t>
      </w:r>
      <w:r>
        <w:t>tmospheric Environment</w:t>
      </w:r>
      <w:r w:rsidR="00397673">
        <w:t xml:space="preserve"> 44 (34):</w:t>
      </w:r>
      <w:r w:rsidR="00C34636">
        <w:t>4283-4297.</w:t>
      </w:r>
    </w:p>
    <w:p w:rsidR="00284097" w:rsidRDefault="00284097" w:rsidP="00C34636"/>
    <w:p w:rsidR="00F53335" w:rsidRDefault="00F53335" w:rsidP="00C34636">
      <w:r>
        <w:t>Heagle</w:t>
      </w:r>
      <w:r w:rsidR="00D95E05">
        <w:t xml:space="preserve"> AS, Rebbeck J, Shafer SR, Blum U, Heck WW</w:t>
      </w:r>
      <w:r>
        <w:t xml:space="preserve"> (1989</w:t>
      </w:r>
      <w:r w:rsidR="00D95E05">
        <w:t>) Effects of long-term ozone exposure and soil-moisture deficit on growth of a ladino clover - tall fescue pasture.  Phytopathology 79:128-136.</w:t>
      </w:r>
    </w:p>
    <w:p w:rsidR="00D95E05" w:rsidRDefault="00D95E05" w:rsidP="00C34636"/>
    <w:p w:rsidR="00915138" w:rsidRPr="00397673" w:rsidRDefault="00915138" w:rsidP="00C34636">
      <w:r w:rsidRPr="00397673">
        <w:t xml:space="preserve">Hewitt </w:t>
      </w:r>
      <w:r w:rsidR="00397673" w:rsidRPr="00397673">
        <w:t>DKL, Mills G, Hayes F, Wilkinson S, Davies W</w:t>
      </w:r>
      <w:r w:rsidRPr="00397673">
        <w:t xml:space="preserve"> </w:t>
      </w:r>
      <w:r w:rsidR="00397673" w:rsidRPr="00397673">
        <w:t>(</w:t>
      </w:r>
      <w:r w:rsidRPr="00397673">
        <w:t>2014</w:t>
      </w:r>
      <w:r w:rsidR="00397673" w:rsidRPr="00397673">
        <w:t>) Highlighting the threat from current and near-future ozone pollution to clover in pasture.  Environmental Pollution 189:111-117.</w:t>
      </w:r>
    </w:p>
    <w:p w:rsidR="005967E1" w:rsidRDefault="005967E1" w:rsidP="00C34636">
      <w:pPr>
        <w:rPr>
          <w:color w:val="FF0000"/>
        </w:rPr>
      </w:pPr>
    </w:p>
    <w:p w:rsidR="005967E1" w:rsidRPr="008C6465" w:rsidRDefault="005967E1" w:rsidP="00C34636">
      <w:r w:rsidRPr="008C6465">
        <w:t xml:space="preserve">HM Treasury </w:t>
      </w:r>
      <w:r w:rsidR="007232A3">
        <w:t>(</w:t>
      </w:r>
      <w:r w:rsidRPr="008C6465">
        <w:t>2003</w:t>
      </w:r>
      <w:r w:rsidR="007232A3">
        <w:t>)</w:t>
      </w:r>
      <w:r w:rsidRPr="008C6465">
        <w:t xml:space="preserve"> The Green Book: Appraisal and Evaluation in Central Government. Available at http://greenbook.hm-treasury.gov.uk. Accessed March 2013.</w:t>
      </w:r>
    </w:p>
    <w:p w:rsidR="00915138" w:rsidRDefault="00915138" w:rsidP="00C34636"/>
    <w:p w:rsidR="00541E88" w:rsidRPr="008C6465" w:rsidRDefault="00541E88" w:rsidP="00C34636">
      <w:r w:rsidRPr="008C6465">
        <w:t xml:space="preserve">Hybu Cig Cymru </w:t>
      </w:r>
      <w:r w:rsidR="007232A3">
        <w:t>(</w:t>
      </w:r>
      <w:r w:rsidRPr="008C6465">
        <w:t>2011</w:t>
      </w:r>
      <w:r w:rsidR="007232A3">
        <w:t>)</w:t>
      </w:r>
      <w:r w:rsidRPr="008C6465">
        <w:t xml:space="preserve">. Reducing methane emissions through improved lamb production.  Available </w:t>
      </w:r>
      <w:r w:rsidR="008C6465" w:rsidRPr="008C6465">
        <w:t>at</w:t>
      </w:r>
      <w:r w:rsidRPr="008C6465">
        <w:t xml:space="preserve"> </w:t>
      </w:r>
      <w:hyperlink r:id="rId37" w:history="1">
        <w:r w:rsidR="008E24A6" w:rsidRPr="008C6465">
          <w:rPr>
            <w:rStyle w:val="Hyperlink"/>
            <w:color w:val="auto"/>
            <w:u w:val="none"/>
          </w:rPr>
          <w:t>www.hccmpw.org.uk</w:t>
        </w:r>
      </w:hyperlink>
      <w:r w:rsidRPr="008C6465">
        <w:t>.</w:t>
      </w:r>
      <w:r w:rsidR="008C6465" w:rsidRPr="008C6465">
        <w:t xml:space="preserve"> Accessed March 2013</w:t>
      </w:r>
    </w:p>
    <w:p w:rsidR="008E24A6" w:rsidRDefault="008E24A6" w:rsidP="00C34636"/>
    <w:p w:rsidR="00391260" w:rsidRPr="008C6465" w:rsidRDefault="00391260" w:rsidP="00391260">
      <w:r>
        <w:t>Hybu Cig Cymru. Creep Feeding</w:t>
      </w:r>
      <w:r w:rsidRPr="008C6465">
        <w:t xml:space="preserve">. Available at </w:t>
      </w:r>
      <w:hyperlink r:id="rId38" w:history="1">
        <w:r w:rsidRPr="008C6465">
          <w:rPr>
            <w:rStyle w:val="Hyperlink"/>
            <w:color w:val="auto"/>
            <w:u w:val="none"/>
          </w:rPr>
          <w:t>www.hccmpw.org.uk</w:t>
        </w:r>
      </w:hyperlink>
      <w:r w:rsidRPr="008C6465">
        <w:t>. Accessed March 2013</w:t>
      </w:r>
    </w:p>
    <w:p w:rsidR="00391260" w:rsidRPr="008C6465" w:rsidRDefault="00391260" w:rsidP="00C34636"/>
    <w:p w:rsidR="008E24A6" w:rsidRDefault="00560264" w:rsidP="00C34636">
      <w:r>
        <w:t>Jones L, Provins A, Harper-Simmonds</w:t>
      </w:r>
      <w:r w:rsidR="008E24A6" w:rsidRPr="00397673">
        <w:t xml:space="preserve"> L</w:t>
      </w:r>
      <w:r>
        <w:t>, Holland M, Mills G, Hayes F, Emmett BA, Hall J, Sheppard LJ, Smith R, Sutton M, Hicks K, Ashmore M, Haines-Young</w:t>
      </w:r>
      <w:r w:rsidR="008E24A6" w:rsidRPr="00397673">
        <w:t xml:space="preserve"> R. (2014). A review and application of the evidence for nitrogen impacts on ecosystem services. Ecosystem Services 7, 76–88.</w:t>
      </w:r>
    </w:p>
    <w:p w:rsidR="008A1641" w:rsidRDefault="008A1641" w:rsidP="00C34636"/>
    <w:p w:rsidR="008A341D" w:rsidRDefault="008A341D" w:rsidP="00C34636">
      <w:r>
        <w:t>Kulkarni PS, Bortoli D, Silva AM. (2013). Nocturnal surface ozone enhancement and trend over urban and suburban sites in Portugal. Atmospheric Environment 71, 251-259.</w:t>
      </w:r>
    </w:p>
    <w:p w:rsidR="008A341D" w:rsidRDefault="008A341D" w:rsidP="00C34636"/>
    <w:p w:rsidR="008A1641" w:rsidRPr="00397673" w:rsidRDefault="008B35AB" w:rsidP="00C34636">
      <w:r>
        <w:t>Lamarque J</w:t>
      </w:r>
      <w:r w:rsidR="008A1641">
        <w:t>-F</w:t>
      </w:r>
      <w:r>
        <w:t>, Schindell DT, Josse B, Young PJ, Cionni I, Eyring V, Bergmann D, Cameron-Smith P, Collins WJ, Doherty R, Dalsoren S, Faluvegi G, Folberty G, Ghan SJ, Horowitz LW, Lee YH, MacKenzie IA, Nagashima T, Naik V, Plummer D, Ri</w:t>
      </w:r>
      <w:r w:rsidR="00561057">
        <w:t>a</w:t>
      </w:r>
      <w:r>
        <w:t>hi M, Rumbold ST, Schulz M, Skeie RB, Stevenson DS, Strode S, Sudo K, Szopa S, Voulgarakis A, Zeng G (2013). The Atmospheric Chemistry and Climate Model Intercomparison Project (ACCMIP): overview and description of models, simulations and climate diagnostics.  Geoscientific Model Development 6, 179-206</w:t>
      </w:r>
    </w:p>
    <w:p w:rsidR="0007691A" w:rsidRDefault="0007691A" w:rsidP="00C34636"/>
    <w:p w:rsidR="00F53335" w:rsidRDefault="00F53335" w:rsidP="00AF3382">
      <w:r>
        <w:t xml:space="preserve">Linn </w:t>
      </w:r>
      <w:r w:rsidR="00D36099">
        <w:t>JG,</w:t>
      </w:r>
      <w:r>
        <w:t xml:space="preserve"> Martin</w:t>
      </w:r>
      <w:r w:rsidR="00D36099">
        <w:t xml:space="preserve"> NP</w:t>
      </w:r>
      <w:r>
        <w:t xml:space="preserve"> </w:t>
      </w:r>
      <w:r w:rsidR="00D36099">
        <w:t>(</w:t>
      </w:r>
      <w:r>
        <w:t>1989</w:t>
      </w:r>
      <w:r w:rsidR="00D36099">
        <w:t>) Forage quality tests and interpretation. Minnesota Ext. Serv. AG-FO-2637. University of Minnesota.</w:t>
      </w:r>
    </w:p>
    <w:p w:rsidR="003B791C" w:rsidRPr="00E62E72" w:rsidRDefault="003B791C" w:rsidP="00E62E72">
      <w:pPr>
        <w:rPr>
          <w:rFonts w:cs="Times New Roman"/>
          <w:szCs w:val="24"/>
        </w:rPr>
      </w:pPr>
    </w:p>
    <w:p w:rsidR="00E62E72" w:rsidRPr="00E62E72" w:rsidRDefault="00E62E72" w:rsidP="00E62E72">
      <w:pPr>
        <w:autoSpaceDE w:val="0"/>
        <w:autoSpaceDN w:val="0"/>
        <w:adjustRightInd w:val="0"/>
        <w:spacing w:before="120"/>
        <w:rPr>
          <w:rFonts w:cs="Times New Roman"/>
          <w:color w:val="000000" w:themeColor="text1"/>
          <w:szCs w:val="24"/>
        </w:rPr>
      </w:pPr>
      <w:r w:rsidRPr="00E62E72">
        <w:rPr>
          <w:rFonts w:cs="Times New Roman"/>
          <w:color w:val="000000" w:themeColor="text1"/>
          <w:szCs w:val="24"/>
        </w:rPr>
        <w:lastRenderedPageBreak/>
        <w:t>L</w:t>
      </w:r>
      <w:r>
        <w:rPr>
          <w:rFonts w:cs="Times New Roman"/>
          <w:color w:val="000000" w:themeColor="text1"/>
          <w:szCs w:val="24"/>
        </w:rPr>
        <w:t>RTAP Convention</w:t>
      </w:r>
      <w:r w:rsidRPr="00E62E72">
        <w:rPr>
          <w:rFonts w:cs="Times New Roman"/>
          <w:color w:val="000000" w:themeColor="text1"/>
          <w:szCs w:val="24"/>
        </w:rPr>
        <w:t xml:space="preserve"> </w:t>
      </w:r>
      <w:r>
        <w:rPr>
          <w:rFonts w:cs="Times New Roman"/>
          <w:color w:val="000000" w:themeColor="text1"/>
          <w:szCs w:val="24"/>
        </w:rPr>
        <w:t>(</w:t>
      </w:r>
      <w:r w:rsidRPr="00E62E72">
        <w:rPr>
          <w:rFonts w:cs="Times New Roman"/>
          <w:color w:val="000000" w:themeColor="text1"/>
          <w:szCs w:val="24"/>
          <w:lang w:val="da-DK"/>
        </w:rPr>
        <w:t>2010</w:t>
      </w:r>
      <w:r>
        <w:rPr>
          <w:rFonts w:cs="Times New Roman"/>
          <w:color w:val="000000" w:themeColor="text1"/>
          <w:szCs w:val="24"/>
          <w:lang w:val="da-DK"/>
        </w:rPr>
        <w:t>)</w:t>
      </w:r>
      <w:r w:rsidRPr="00E62E72">
        <w:rPr>
          <w:rFonts w:cs="Times New Roman"/>
          <w:color w:val="000000" w:themeColor="text1"/>
          <w:szCs w:val="24"/>
          <w:lang w:val="da-DK"/>
        </w:rPr>
        <w:t xml:space="preserve">. </w:t>
      </w:r>
      <w:r w:rsidRPr="00E62E72">
        <w:rPr>
          <w:rFonts w:cs="Times New Roman"/>
          <w:color w:val="000000" w:themeColor="text1"/>
          <w:szCs w:val="24"/>
        </w:rPr>
        <w:t xml:space="preserve">Chapter 3 of the </w:t>
      </w:r>
      <w:smartTag w:uri="urn:schemas-microsoft-com:office:smarttags" w:element="stockticker">
        <w:r w:rsidRPr="00E62E72">
          <w:rPr>
            <w:rFonts w:cs="Times New Roman"/>
            <w:color w:val="000000" w:themeColor="text1"/>
            <w:szCs w:val="24"/>
          </w:rPr>
          <w:t>LRT</w:t>
        </w:r>
      </w:smartTag>
      <w:r w:rsidRPr="00E62E72">
        <w:rPr>
          <w:rFonts w:cs="Times New Roman"/>
          <w:color w:val="000000" w:themeColor="text1"/>
          <w:szCs w:val="24"/>
        </w:rPr>
        <w:t>AP Convention Manual of Methodologies for Modelling and Mapping Effects of Air Pollution</w:t>
      </w:r>
      <w:r>
        <w:rPr>
          <w:rFonts w:cs="Times New Roman"/>
          <w:color w:val="000000" w:themeColor="text1"/>
          <w:szCs w:val="24"/>
          <w:lang w:val="da-DK"/>
        </w:rPr>
        <w:t>. Mills</w:t>
      </w:r>
      <w:r w:rsidRPr="00E62E72">
        <w:rPr>
          <w:rFonts w:cs="Times New Roman"/>
          <w:color w:val="000000" w:themeColor="text1"/>
          <w:szCs w:val="24"/>
          <w:lang w:val="da-DK"/>
        </w:rPr>
        <w:t xml:space="preserve"> G. et al. (Eds). Available at http://icpvegetation.ceh.ac.uk/</w:t>
      </w:r>
      <w:r w:rsidRPr="00E62E72">
        <w:rPr>
          <w:rFonts w:cs="Times New Roman"/>
          <w:color w:val="000000" w:themeColor="text1"/>
          <w:szCs w:val="24"/>
        </w:rPr>
        <w:t xml:space="preserve">  </w:t>
      </w:r>
    </w:p>
    <w:p w:rsidR="00D95E05" w:rsidRDefault="00D95E05" w:rsidP="00AF3382"/>
    <w:p w:rsidR="00751765" w:rsidRDefault="00751765" w:rsidP="00AF3382">
      <w:r>
        <w:t>McDonald P, Edwards RA, Greenhalgh JFD, Morgan CA, Sinclair LA, Wilkinson RG (2002) Animal Nutrition (6</w:t>
      </w:r>
      <w:r w:rsidRPr="00751765">
        <w:rPr>
          <w:vertAlign w:val="superscript"/>
        </w:rPr>
        <w:t>th</w:t>
      </w:r>
      <w:r>
        <w:t xml:space="preserve"> Edition). Pearson Education Ltd, Essex.</w:t>
      </w:r>
    </w:p>
    <w:p w:rsidR="00751765" w:rsidRDefault="00751765" w:rsidP="00AF3382"/>
    <w:p w:rsidR="00F53335" w:rsidRDefault="00F53335" w:rsidP="00AF3382">
      <w:r>
        <w:t>Mertens</w:t>
      </w:r>
      <w:r w:rsidR="00D95E05">
        <w:t xml:space="preserve"> DR</w:t>
      </w:r>
      <w:r>
        <w:t xml:space="preserve"> </w:t>
      </w:r>
      <w:r w:rsidR="00D95E05">
        <w:t>(</w:t>
      </w:r>
      <w:r>
        <w:t>1987</w:t>
      </w:r>
      <w:r w:rsidR="00D95E05">
        <w:t>) Predicting intake and digestibility using mathematical models of ruminal function</w:t>
      </w:r>
      <w:r>
        <w:t>.</w:t>
      </w:r>
      <w:r w:rsidR="00D95E05">
        <w:t xml:space="preserve">  Journal of Animal Science 64:1548-1558.</w:t>
      </w:r>
    </w:p>
    <w:p w:rsidR="00D95E05" w:rsidRDefault="00D95E05" w:rsidP="00AF3382"/>
    <w:p w:rsidR="00F53335" w:rsidRDefault="00F53335" w:rsidP="00F53335">
      <w:r>
        <w:t xml:space="preserve">Muntifering </w:t>
      </w:r>
      <w:r w:rsidR="00F0436F">
        <w:t>RB, Chappelka AH, Lin LC, Karnosky DF, Somers GL</w:t>
      </w:r>
      <w:r>
        <w:t xml:space="preserve"> </w:t>
      </w:r>
      <w:r w:rsidR="00F0436F">
        <w:t>(</w:t>
      </w:r>
      <w:r>
        <w:t>2006</w:t>
      </w:r>
      <w:r w:rsidR="00F0436F">
        <w:t xml:space="preserve">) Chemical composition and digestibility of </w:t>
      </w:r>
      <w:r w:rsidR="00F0436F">
        <w:rPr>
          <w:i/>
        </w:rPr>
        <w:t>Trifolium</w:t>
      </w:r>
      <w:r w:rsidR="00F0436F">
        <w:t xml:space="preserve"> exposed to elevated ozone and carbon dioxide in a free-air (FACE) fumigation system.  Functional Ecology 20:269-275.</w:t>
      </w:r>
    </w:p>
    <w:p w:rsidR="00F0436F" w:rsidRDefault="00F0436F" w:rsidP="00F53335"/>
    <w:p w:rsidR="00D973B5" w:rsidRDefault="00D973B5" w:rsidP="00F53335">
      <w:r>
        <w:t xml:space="preserve">National Sheep.  </w:t>
      </w:r>
      <w:hyperlink r:id="rId39" w:history="1">
        <w:r w:rsidRPr="00DE25A4">
          <w:rPr>
            <w:rStyle w:val="Hyperlink"/>
          </w:rPr>
          <w:t>http://www.nationalsheep.org.uk/</w:t>
        </w:r>
      </w:hyperlink>
      <w:r>
        <w:t xml:space="preserve"> Accessed October 2014.</w:t>
      </w:r>
    </w:p>
    <w:p w:rsidR="00D973B5" w:rsidRPr="00F0436F" w:rsidRDefault="00D973B5" w:rsidP="00F53335"/>
    <w:p w:rsidR="00F53335" w:rsidRDefault="00F53335" w:rsidP="00F53335">
      <w:r>
        <w:t>Nussbaum</w:t>
      </w:r>
      <w:r w:rsidR="00F0436F">
        <w:t xml:space="preserve"> S, Geissmann M, Fuhrer J</w:t>
      </w:r>
      <w:r>
        <w:t xml:space="preserve"> </w:t>
      </w:r>
      <w:r w:rsidR="00F0436F">
        <w:t>(</w:t>
      </w:r>
      <w:r>
        <w:t>1995</w:t>
      </w:r>
      <w:r w:rsidR="00F0436F">
        <w:t>) Ozone exposure-response relationships for mixtures of perennial ryegrass and white clover depend on ozone exposure patterns.  Atmospheric Environment 29:989-995.</w:t>
      </w:r>
    </w:p>
    <w:p w:rsidR="00F0436F" w:rsidRDefault="00F0436F" w:rsidP="00F53335"/>
    <w:p w:rsidR="00A77A1F" w:rsidRDefault="00A77A1F" w:rsidP="00A77A1F">
      <w:r>
        <w:lastRenderedPageBreak/>
        <w:t>Piikki K, De Temmerman L, Ojanpera K, Danielsson H, Pleijel H (2008) The grain quality of spring wheat (</w:t>
      </w:r>
      <w:r>
        <w:rPr>
          <w:i/>
        </w:rPr>
        <w:t xml:space="preserve">Triticum aestivum </w:t>
      </w:r>
      <w:r>
        <w:t>L.) in relation to elevated ozone uptake and carbon dioxide exposure.  European Journal of Agronomy 28:245-254.</w:t>
      </w:r>
    </w:p>
    <w:p w:rsidR="00A77A1F" w:rsidRDefault="00A77A1F" w:rsidP="00A77A1F"/>
    <w:p w:rsidR="00A77A1F" w:rsidRDefault="00A77A1F" w:rsidP="00A77A1F">
      <w:r>
        <w:t>Pleijel H, Danielsson H, Emberson L, Ashmore MR, Mills G (2007) Ozone risk assessment for agricultural crops in Europe: Further development of stomatal flux and flux-response relationships for European wheat and potato.  Atmospheric Environment 41:3022-3040.</w:t>
      </w:r>
    </w:p>
    <w:p w:rsidR="00A77A1F" w:rsidRDefault="00A77A1F" w:rsidP="00A77A1F"/>
    <w:p w:rsidR="00F53335" w:rsidRDefault="00F53335" w:rsidP="00F53335">
      <w:r>
        <w:t>P</w:t>
      </w:r>
      <w:r w:rsidR="00BF0C50">
        <w:t>l</w:t>
      </w:r>
      <w:r>
        <w:t xml:space="preserve">eijel </w:t>
      </w:r>
      <w:r w:rsidR="00F0436F">
        <w:t>H, Karlsson GP, Sild E, Danielsson H, Skarby L, Sellden G</w:t>
      </w:r>
      <w:r>
        <w:t xml:space="preserve"> </w:t>
      </w:r>
      <w:r w:rsidR="00F0436F">
        <w:t>(</w:t>
      </w:r>
      <w:r>
        <w:t>1996</w:t>
      </w:r>
      <w:r w:rsidR="00F0436F">
        <w:t>) Exposure of a grass-clover mixture to ozone in open-top chambers – Effects on yield, quality and botanical composition.  Agriculture, Ecosystems and Environment 59:55-62.</w:t>
      </w:r>
    </w:p>
    <w:p w:rsidR="002F61DE" w:rsidRDefault="002F61DE" w:rsidP="00805C44"/>
    <w:p w:rsidR="00F0436F" w:rsidRPr="00A77A1F" w:rsidRDefault="002F61DE" w:rsidP="00F53335">
      <w:pPr>
        <w:rPr>
          <w:rFonts w:cs="Times New Roman"/>
          <w:color w:val="000000" w:themeColor="text1"/>
          <w:szCs w:val="24"/>
        </w:rPr>
      </w:pPr>
      <w:r w:rsidRPr="002F61DE">
        <w:rPr>
          <w:rFonts w:cs="Times New Roman"/>
          <w:color w:val="000000" w:themeColor="text1"/>
          <w:szCs w:val="24"/>
        </w:rPr>
        <w:t>Pleijel H, Ojanpera K, Mortensen L (1997) Effects of tropospheric ozone on the yield and grain protein content of spring wheat (</w:t>
      </w:r>
      <w:r w:rsidRPr="002F61DE">
        <w:rPr>
          <w:rFonts w:cs="Times New Roman"/>
          <w:i/>
          <w:color w:val="000000" w:themeColor="text1"/>
          <w:szCs w:val="24"/>
        </w:rPr>
        <w:t xml:space="preserve">Triticum aestivum, </w:t>
      </w:r>
      <w:r w:rsidRPr="002F61DE">
        <w:rPr>
          <w:rFonts w:cs="Times New Roman"/>
          <w:color w:val="000000" w:themeColor="text1"/>
          <w:szCs w:val="24"/>
        </w:rPr>
        <w:t>L.) in the Nordic countries.  Acta Agriculturae Scandinavica, Section B — Soil &amp; Plant Science 47:20-25.</w:t>
      </w:r>
    </w:p>
    <w:p w:rsidR="00F0436F" w:rsidRDefault="00F0436F" w:rsidP="00F53335"/>
    <w:p w:rsidR="0094356D" w:rsidRDefault="0094356D" w:rsidP="00F53335">
      <w:r>
        <w:t>R Development Core Team (2010) R: A language and environment for statistical computing. Vienna, Austria: R Foundation for Statistical Computing.  Retrieved from www.http://R-project.org.</w:t>
      </w:r>
    </w:p>
    <w:p w:rsidR="0094356D" w:rsidRDefault="0094356D" w:rsidP="00F53335"/>
    <w:p w:rsidR="006A4D64" w:rsidRPr="00C6440F" w:rsidRDefault="006A4D64" w:rsidP="006A4D64">
      <w:pPr>
        <w:autoSpaceDE w:val="0"/>
        <w:autoSpaceDN w:val="0"/>
        <w:adjustRightInd w:val="0"/>
      </w:pPr>
      <w:r>
        <w:t>Royal Society (2008)</w:t>
      </w:r>
      <w:r w:rsidRPr="00C6440F">
        <w:t xml:space="preserve"> Ground-level ozone in the</w:t>
      </w:r>
      <w:r>
        <w:t xml:space="preserve"> </w:t>
      </w:r>
      <w:r w:rsidRPr="00C6440F">
        <w:t>21st century: future trends,</w:t>
      </w:r>
      <w:r>
        <w:t xml:space="preserve"> </w:t>
      </w:r>
      <w:r w:rsidRPr="00C6440F">
        <w:t>impacts and policy implications</w:t>
      </w:r>
      <w:r>
        <w:t>. Science Policy Report 15/08.  The Royal Society, London, UK.</w:t>
      </w:r>
    </w:p>
    <w:p w:rsidR="00F0436F" w:rsidRDefault="00F0436F" w:rsidP="00F53335"/>
    <w:p w:rsidR="00F53335" w:rsidRDefault="00F53335" w:rsidP="00F53335">
      <w:r>
        <w:t xml:space="preserve">Sanz </w:t>
      </w:r>
      <w:r w:rsidR="00F0436F">
        <w:t>J, Muntifering RB, Bermejo V, Gimeno BS, Elvira S</w:t>
      </w:r>
      <w:r>
        <w:t xml:space="preserve"> </w:t>
      </w:r>
      <w:r w:rsidR="00F0436F">
        <w:t>(</w:t>
      </w:r>
      <w:r>
        <w:t>2005</w:t>
      </w:r>
      <w:r w:rsidR="00F0436F">
        <w:t xml:space="preserve">) Ozone and increased nitrogen supply effects on the yield and nutritive quality of </w:t>
      </w:r>
      <w:r w:rsidR="00F0436F">
        <w:rPr>
          <w:i/>
        </w:rPr>
        <w:t>Trifolium subterraneum</w:t>
      </w:r>
      <w:r w:rsidR="00F0436F">
        <w:t>.  Atmospheric Environment 39:5899-5907.</w:t>
      </w:r>
    </w:p>
    <w:p w:rsidR="00F0436F" w:rsidRPr="00F0436F" w:rsidRDefault="00F0436F" w:rsidP="00F53335"/>
    <w:p w:rsidR="00326621" w:rsidRDefault="00F53335" w:rsidP="00326621">
      <w:r>
        <w:t xml:space="preserve">Sanz </w:t>
      </w:r>
      <w:r w:rsidR="00F66610">
        <w:t>J, Bermejo V, Muntifering R, Gonzalez-Fernandez I, Gimeno BS, Elvira S, Alonso R (</w:t>
      </w:r>
      <w:r>
        <w:t>2011)</w:t>
      </w:r>
      <w:r w:rsidR="00F66610">
        <w:t xml:space="preserve"> Plant phenology, growth and nutritive quality of </w:t>
      </w:r>
      <w:r w:rsidR="00F66610">
        <w:rPr>
          <w:i/>
        </w:rPr>
        <w:t>Briza maxima</w:t>
      </w:r>
      <w:r w:rsidR="00F66610">
        <w:t>: Responses induced by enhanced ozone atmospheric levels and nitrogen enrichment.  Environmental Pollution 159:423-430.</w:t>
      </w:r>
    </w:p>
    <w:p w:rsidR="00326621" w:rsidRPr="00326621" w:rsidRDefault="00326621" w:rsidP="00326621"/>
    <w:p w:rsidR="00326621" w:rsidRDefault="00326621" w:rsidP="00326621">
      <w:pPr>
        <w:pStyle w:val="NormalWeb"/>
        <w:spacing w:after="0"/>
        <w:rPr>
          <w:sz w:val="24"/>
          <w:szCs w:val="24"/>
        </w:rPr>
      </w:pPr>
      <w:r>
        <w:rPr>
          <w:sz w:val="24"/>
          <w:szCs w:val="24"/>
        </w:rPr>
        <w:t>Simpson D, Ashmore MR, Emberson L, Tuovinen JP (2007) A comparison of two different approaches for mapping potential ozone damage to vegetation. A model study.  Environmental Pollution 146: 715-725.</w:t>
      </w:r>
    </w:p>
    <w:p w:rsidR="00326621" w:rsidRPr="00326621" w:rsidRDefault="00326621" w:rsidP="00326621">
      <w:pPr>
        <w:pStyle w:val="NormalWeb"/>
        <w:spacing w:after="0"/>
        <w:rPr>
          <w:sz w:val="24"/>
          <w:szCs w:val="24"/>
        </w:rPr>
      </w:pPr>
    </w:p>
    <w:p w:rsidR="00326621" w:rsidRDefault="00326621" w:rsidP="00326621">
      <w:pPr>
        <w:pStyle w:val="NormalWeb"/>
        <w:spacing w:after="0"/>
        <w:rPr>
          <w:color w:val="191919"/>
          <w:sz w:val="24"/>
          <w:szCs w:val="24"/>
        </w:rPr>
      </w:pPr>
      <w:r>
        <w:rPr>
          <w:color w:val="191919"/>
          <w:sz w:val="24"/>
          <w:szCs w:val="24"/>
        </w:rPr>
        <w:t>Szopa S, Balkanski Y, Schulz M, Bekki S, Cugnet D, Fortens-Cheiney A, Turquety S, Cozic A, Deandreis C, Hauglustaine D, Idelkadi A, Lathiere J, Lefecre F, Marchand M, Vuolo R, Yan N, Dufresne JL. (2013) Aerosol and ozone changes as forcing for climate evolution between 1850 and 2100. Climate Dynamics 40:2223-2250.</w:t>
      </w:r>
    </w:p>
    <w:p w:rsidR="00F66610" w:rsidRPr="00F66610" w:rsidRDefault="00F66610" w:rsidP="00AF3382"/>
    <w:p w:rsidR="00F53335" w:rsidRDefault="00747503" w:rsidP="00AF3382">
      <w:r>
        <w:t>UK Agriculture.</w:t>
      </w:r>
      <w:r w:rsidRPr="00B87F17">
        <w:rPr>
          <w:color w:val="000000" w:themeColor="text1"/>
        </w:rPr>
        <w:t xml:space="preserve"> </w:t>
      </w:r>
      <w:hyperlink r:id="rId40" w:history="1">
        <w:r w:rsidR="002F61DE" w:rsidRPr="00A24835">
          <w:rPr>
            <w:rStyle w:val="Hyperlink"/>
          </w:rPr>
          <w:t>http://www.ukagriculture.com</w:t>
        </w:r>
      </w:hyperlink>
      <w:r w:rsidR="00B87F17">
        <w:t>.  Accessed March 2013</w:t>
      </w:r>
    </w:p>
    <w:p w:rsidR="00F66610" w:rsidRDefault="00F66610" w:rsidP="00F53335"/>
    <w:p w:rsidR="00F53335" w:rsidRDefault="00F53335" w:rsidP="00F53335">
      <w:r>
        <w:lastRenderedPageBreak/>
        <w:t>Van Dingenen</w:t>
      </w:r>
      <w:r w:rsidR="00F66610">
        <w:t xml:space="preserve"> R, Dentener FJ, Raes F, Krol MC, Emberson L, Cofala J (</w:t>
      </w:r>
      <w:r>
        <w:t>2009</w:t>
      </w:r>
      <w:r w:rsidR="00F66610">
        <w:t>) The global impact of ozone on agricultural crop yields under current and future air quality legislation.  Atmospheric Environment 43:604-618.</w:t>
      </w:r>
    </w:p>
    <w:p w:rsidR="00F66610" w:rsidRDefault="00F66610" w:rsidP="00F53335"/>
    <w:p w:rsidR="00F66610" w:rsidRDefault="00F53335" w:rsidP="00F53335">
      <w:r>
        <w:t>Van Soest</w:t>
      </w:r>
      <w:r w:rsidR="00F66610">
        <w:t xml:space="preserve"> P</w:t>
      </w:r>
      <w:r>
        <w:t xml:space="preserve"> </w:t>
      </w:r>
      <w:r w:rsidR="00F66610">
        <w:t>(</w:t>
      </w:r>
      <w:r>
        <w:t>1994</w:t>
      </w:r>
      <w:r w:rsidR="00F66610">
        <w:t>) Nutritional ecology of the ruminant, Second Edition.  Cornell University Press, New York, USA.</w:t>
      </w:r>
    </w:p>
    <w:p w:rsidR="00717E59" w:rsidRDefault="00717E59" w:rsidP="00F53335"/>
    <w:p w:rsidR="00717E59" w:rsidRDefault="00717E59" w:rsidP="00F53335">
      <w:r>
        <w:t>Van Vuuren DP, Edmonds J, Kainuma M, Riahi K, Thomson A., Hibbard K, Hurtt GC, Kram T, Krey V, Lamarque J-F, Masui T, Meinshausen M, Nakicenovic N, Smith SJ, Rose SK (2011).  The representative concentration pathways: an overview.  Climatic Change 109, 5-31.</w:t>
      </w:r>
    </w:p>
    <w:p w:rsidR="00F53335" w:rsidRDefault="00F53335" w:rsidP="00F53335">
      <w:pPr>
        <w:rPr>
          <w:i/>
        </w:rPr>
      </w:pPr>
      <w:r>
        <w:rPr>
          <w:i/>
        </w:rPr>
        <w:t xml:space="preserve"> </w:t>
      </w:r>
    </w:p>
    <w:p w:rsidR="00F53335" w:rsidRDefault="00F53335" w:rsidP="00F53335">
      <w:r>
        <w:t xml:space="preserve">Vandermeiren </w:t>
      </w:r>
      <w:r w:rsidR="00F66610">
        <w:t>K, Black</w:t>
      </w:r>
      <w:r w:rsidR="00560264">
        <w:t xml:space="preserve"> C</w:t>
      </w:r>
      <w:r w:rsidR="00F66610">
        <w:t>, Pleijel H, De Temmerman L (</w:t>
      </w:r>
      <w:r>
        <w:t>2005</w:t>
      </w:r>
      <w:r w:rsidR="00F66610">
        <w:t>) Impact of rising tropospheric ozone on potato: effects on photosynthesis, growth, productivity and yield qu</w:t>
      </w:r>
      <w:r w:rsidR="008467EF">
        <w:t>ality.  Plant Cell and Environm</w:t>
      </w:r>
      <w:r w:rsidR="00F66610">
        <w:t>ent 28:982-996.</w:t>
      </w:r>
    </w:p>
    <w:p w:rsidR="00CB4E6E" w:rsidRDefault="00CB4E6E" w:rsidP="00F53335"/>
    <w:p w:rsidR="00CB4E6E" w:rsidRDefault="00CB4E6E" w:rsidP="00CB4E6E">
      <w:r>
        <w:t>Wagg S, Mills G, Hayes F, Wilkinson S, Cooper D, Davies WJ (2012) Reduced soil water availability did not protect two competing grassland species from the negative effects of increasing background ozone.  Environmental Pollution 165:91-99.</w:t>
      </w:r>
    </w:p>
    <w:p w:rsidR="00D772B8" w:rsidRDefault="00D772B8" w:rsidP="00CB4E6E"/>
    <w:p w:rsidR="00326621" w:rsidRDefault="00326621" w:rsidP="00326621">
      <w:r>
        <w:t>Wedlich KV (2009) Impacts of tropospheric ozone on semi-natural ecosystems. PhD thesis, University of York.</w:t>
      </w:r>
    </w:p>
    <w:p w:rsidR="00326621" w:rsidRDefault="00326621" w:rsidP="00D772B8"/>
    <w:p w:rsidR="00D772B8" w:rsidRDefault="00D772B8" w:rsidP="00D772B8">
      <w:r>
        <w:t>Wedlich KV, Rintoul N, Peacock S, Cape JN, Coyle M, Toet S, Barnes J, Ashmore M (2012) Effects of ozone on species composition in an upland grassland. Oecologia 168:1137-1146.</w:t>
      </w:r>
    </w:p>
    <w:p w:rsidR="00CB4E6E" w:rsidRDefault="00CB4E6E" w:rsidP="00F53335"/>
    <w:p w:rsidR="00F53335" w:rsidRDefault="00F53335" w:rsidP="00F53335">
      <w:r>
        <w:t xml:space="preserve">Wilbourn </w:t>
      </w:r>
      <w:r w:rsidR="00F66610">
        <w:t>S, Davison AW, Ollerenshaw JH</w:t>
      </w:r>
      <w:r>
        <w:t xml:space="preserve"> </w:t>
      </w:r>
      <w:r w:rsidR="00F66610">
        <w:t>(</w:t>
      </w:r>
      <w:r>
        <w:t>1995</w:t>
      </w:r>
      <w:r w:rsidR="00F66610">
        <w:t>) The use of an unenclosed field fumigation system to determine the effects of elevated ozone on a grass clover mixture.  New Phytologist 129:23-32.</w:t>
      </w:r>
    </w:p>
    <w:p w:rsidR="00E05F50" w:rsidRDefault="00E05F50" w:rsidP="00E05F50"/>
    <w:p w:rsidR="00E05F50" w:rsidRDefault="00E05F50" w:rsidP="00E05F50">
      <w:r w:rsidRPr="00930915">
        <w:t xml:space="preserve">Wittig </w:t>
      </w:r>
      <w:r>
        <w:t>VE, Ainsworth EA, Naidu SL, Karnosky DF, Long SP.</w:t>
      </w:r>
      <w:r w:rsidRPr="00930915">
        <w:t xml:space="preserve"> (2009)</w:t>
      </w:r>
      <w:r>
        <w:t xml:space="preserve"> Quantifying the impact of current and future tropospheric ozone on tree biomass, growth, physiology and biochemistry: a quantitative meta-analysis.  Global Change Biology 15, 396-424.</w:t>
      </w:r>
    </w:p>
    <w:p w:rsidR="00D772B8" w:rsidRDefault="00D772B8" w:rsidP="00E05F50"/>
    <w:p w:rsidR="009B6FEC" w:rsidRDefault="00D772B8" w:rsidP="009B6FEC">
      <w:pPr>
        <w:rPr>
          <w:szCs w:val="24"/>
        </w:rPr>
      </w:pPr>
      <w:r w:rsidRPr="009B6FEC">
        <w:rPr>
          <w:szCs w:val="24"/>
        </w:rPr>
        <w:t>Wyness K</w:t>
      </w:r>
      <w:r w:rsidR="009B6FEC" w:rsidRPr="009B6FEC">
        <w:rPr>
          <w:szCs w:val="24"/>
        </w:rPr>
        <w:t xml:space="preserve">VR (2011) </w:t>
      </w:r>
      <w:r w:rsidR="009B6FEC" w:rsidRPr="009B6FEC">
        <w:rPr>
          <w:bCs/>
          <w:szCs w:val="24"/>
        </w:rPr>
        <w:t xml:space="preserve">Ozone and Nitrogen Controls on Carbon Allocation within Plants and Soil. </w:t>
      </w:r>
      <w:r w:rsidR="009B6FEC" w:rsidRPr="009B6FEC">
        <w:rPr>
          <w:szCs w:val="24"/>
        </w:rPr>
        <w:t>PhD thesis, University of Newcastle.</w:t>
      </w:r>
    </w:p>
    <w:p w:rsidR="008B35AB" w:rsidRDefault="008B35AB" w:rsidP="009B6FEC">
      <w:pPr>
        <w:rPr>
          <w:szCs w:val="24"/>
        </w:rPr>
      </w:pPr>
    </w:p>
    <w:p w:rsidR="00C705F4" w:rsidRDefault="00C705F4" w:rsidP="009B6FEC">
      <w:pPr>
        <w:rPr>
          <w:szCs w:val="24"/>
        </w:rPr>
      </w:pPr>
      <w:r>
        <w:rPr>
          <w:szCs w:val="24"/>
        </w:rPr>
        <w:t>Young PJ, Archibald AT, Bowman KW, Lamarque J-F, Naik V, Stevenson DS, Tilmes S, Voulgarakis A, Wild O, Bergmann D, Cameron-Smith P, Cionni I, Collins WJ, Dalsgren SB, Doherty RM, Eyring V, Faluvegi G., Horowitz LW, Josse B, Lee VH, MacKenzie IA, Nagashima T, Plummer DA, Ri</w:t>
      </w:r>
      <w:r w:rsidR="00561057">
        <w:rPr>
          <w:szCs w:val="24"/>
        </w:rPr>
        <w:t>a</w:t>
      </w:r>
      <w:r>
        <w:rPr>
          <w:szCs w:val="24"/>
        </w:rPr>
        <w:t>hi M, Rumbold ST, Skeie RB, Shindell DT, Strode SA, Sudo K, Szopa S, Zeng G (20103). Pre-industrial to end 21</w:t>
      </w:r>
      <w:r w:rsidRPr="00C705F4">
        <w:rPr>
          <w:szCs w:val="24"/>
          <w:vertAlign w:val="superscript"/>
        </w:rPr>
        <w:t>st</w:t>
      </w:r>
      <w:r>
        <w:rPr>
          <w:szCs w:val="24"/>
        </w:rPr>
        <w:t xml:space="preserve"> century projections of tropospheric ozone from the Atmospheric Chemistry and Climate Model Intercomparison Project (ACCMIP).  Atmospheric Chemistry and Physics 13, 2063-2090.</w:t>
      </w:r>
    </w:p>
    <w:sectPr w:rsidR="00C705F4" w:rsidSect="00EF0A28">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5B19"/>
    <w:multiLevelType w:val="hybridMultilevel"/>
    <w:tmpl w:val="219CC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511DA7"/>
    <w:multiLevelType w:val="multilevel"/>
    <w:tmpl w:val="A6AA5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9B5687"/>
    <w:multiLevelType w:val="hybridMultilevel"/>
    <w:tmpl w:val="026E99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2175650"/>
    <w:multiLevelType w:val="hybridMultilevel"/>
    <w:tmpl w:val="E55C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E9379A1"/>
    <w:multiLevelType w:val="hybridMultilevel"/>
    <w:tmpl w:val="E276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61E38E5"/>
    <w:multiLevelType w:val="hybridMultilevel"/>
    <w:tmpl w:val="D618E0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7AD"/>
    <w:rsid w:val="000073F2"/>
    <w:rsid w:val="000201CE"/>
    <w:rsid w:val="0002076C"/>
    <w:rsid w:val="00021BCE"/>
    <w:rsid w:val="00025628"/>
    <w:rsid w:val="00025D05"/>
    <w:rsid w:val="00031752"/>
    <w:rsid w:val="00032FBE"/>
    <w:rsid w:val="000335B8"/>
    <w:rsid w:val="000359C1"/>
    <w:rsid w:val="00036948"/>
    <w:rsid w:val="00041E72"/>
    <w:rsid w:val="000539DF"/>
    <w:rsid w:val="0005611A"/>
    <w:rsid w:val="000575D6"/>
    <w:rsid w:val="000600A9"/>
    <w:rsid w:val="00060295"/>
    <w:rsid w:val="000658DF"/>
    <w:rsid w:val="00071B76"/>
    <w:rsid w:val="00074021"/>
    <w:rsid w:val="00075876"/>
    <w:rsid w:val="0007691A"/>
    <w:rsid w:val="000775A8"/>
    <w:rsid w:val="00077FB4"/>
    <w:rsid w:val="00082FB8"/>
    <w:rsid w:val="0008440C"/>
    <w:rsid w:val="00086DC5"/>
    <w:rsid w:val="000873A5"/>
    <w:rsid w:val="00087FD0"/>
    <w:rsid w:val="00092C4A"/>
    <w:rsid w:val="00093444"/>
    <w:rsid w:val="00094F59"/>
    <w:rsid w:val="000A3EF7"/>
    <w:rsid w:val="000A4EFE"/>
    <w:rsid w:val="000A5709"/>
    <w:rsid w:val="000A5EF5"/>
    <w:rsid w:val="000B03F1"/>
    <w:rsid w:val="000B5724"/>
    <w:rsid w:val="000C2076"/>
    <w:rsid w:val="000C7C55"/>
    <w:rsid w:val="000D0F2D"/>
    <w:rsid w:val="000D1697"/>
    <w:rsid w:val="000D74F6"/>
    <w:rsid w:val="000E066F"/>
    <w:rsid w:val="000E0CF0"/>
    <w:rsid w:val="000E3091"/>
    <w:rsid w:val="000E562C"/>
    <w:rsid w:val="000E77D5"/>
    <w:rsid w:val="00100313"/>
    <w:rsid w:val="00110910"/>
    <w:rsid w:val="00116308"/>
    <w:rsid w:val="00117A7E"/>
    <w:rsid w:val="00117E93"/>
    <w:rsid w:val="00120B6B"/>
    <w:rsid w:val="0012203C"/>
    <w:rsid w:val="0012251E"/>
    <w:rsid w:val="00123133"/>
    <w:rsid w:val="00125D28"/>
    <w:rsid w:val="00126DEA"/>
    <w:rsid w:val="0012753D"/>
    <w:rsid w:val="0013122F"/>
    <w:rsid w:val="001319E6"/>
    <w:rsid w:val="00132944"/>
    <w:rsid w:val="00140AF7"/>
    <w:rsid w:val="00143083"/>
    <w:rsid w:val="00147069"/>
    <w:rsid w:val="00147BDE"/>
    <w:rsid w:val="00153CFE"/>
    <w:rsid w:val="00161E0B"/>
    <w:rsid w:val="00163BD2"/>
    <w:rsid w:val="00163DB3"/>
    <w:rsid w:val="00165DA0"/>
    <w:rsid w:val="00167D0E"/>
    <w:rsid w:val="001701B9"/>
    <w:rsid w:val="00172C07"/>
    <w:rsid w:val="0017320C"/>
    <w:rsid w:val="00176A11"/>
    <w:rsid w:val="001772CE"/>
    <w:rsid w:val="001779E7"/>
    <w:rsid w:val="001801F4"/>
    <w:rsid w:val="00181054"/>
    <w:rsid w:val="001837F9"/>
    <w:rsid w:val="001841A5"/>
    <w:rsid w:val="0018588A"/>
    <w:rsid w:val="00190997"/>
    <w:rsid w:val="00194842"/>
    <w:rsid w:val="001A173A"/>
    <w:rsid w:val="001A33B8"/>
    <w:rsid w:val="001A56F5"/>
    <w:rsid w:val="001B36F8"/>
    <w:rsid w:val="001B3B36"/>
    <w:rsid w:val="001B57B3"/>
    <w:rsid w:val="001B60FB"/>
    <w:rsid w:val="001C0C91"/>
    <w:rsid w:val="001C0D92"/>
    <w:rsid w:val="001C3187"/>
    <w:rsid w:val="001C7C0D"/>
    <w:rsid w:val="001D0206"/>
    <w:rsid w:val="001D09A3"/>
    <w:rsid w:val="001E295D"/>
    <w:rsid w:val="001E472E"/>
    <w:rsid w:val="001E4A02"/>
    <w:rsid w:val="001F1D18"/>
    <w:rsid w:val="001F1F86"/>
    <w:rsid w:val="001F7BF2"/>
    <w:rsid w:val="002014E3"/>
    <w:rsid w:val="00201A4A"/>
    <w:rsid w:val="00203153"/>
    <w:rsid w:val="002126CA"/>
    <w:rsid w:val="00222BBF"/>
    <w:rsid w:val="00224A3A"/>
    <w:rsid w:val="002305B2"/>
    <w:rsid w:val="00232394"/>
    <w:rsid w:val="0023463A"/>
    <w:rsid w:val="002375DA"/>
    <w:rsid w:val="00243AD4"/>
    <w:rsid w:val="00244D2E"/>
    <w:rsid w:val="00247CEF"/>
    <w:rsid w:val="0025015F"/>
    <w:rsid w:val="002672A7"/>
    <w:rsid w:val="002727DF"/>
    <w:rsid w:val="00274901"/>
    <w:rsid w:val="0027518A"/>
    <w:rsid w:val="002804F4"/>
    <w:rsid w:val="00282A8A"/>
    <w:rsid w:val="00284097"/>
    <w:rsid w:val="0029185D"/>
    <w:rsid w:val="00292417"/>
    <w:rsid w:val="002928E3"/>
    <w:rsid w:val="002975EA"/>
    <w:rsid w:val="002A2759"/>
    <w:rsid w:val="002A2EAA"/>
    <w:rsid w:val="002A7F85"/>
    <w:rsid w:val="002B20B4"/>
    <w:rsid w:val="002D0646"/>
    <w:rsid w:val="002D3C31"/>
    <w:rsid w:val="002E123A"/>
    <w:rsid w:val="002E5990"/>
    <w:rsid w:val="002F0847"/>
    <w:rsid w:val="002F2546"/>
    <w:rsid w:val="002F37D9"/>
    <w:rsid w:val="002F6143"/>
    <w:rsid w:val="002F61DE"/>
    <w:rsid w:val="002F692E"/>
    <w:rsid w:val="003100C4"/>
    <w:rsid w:val="00311A40"/>
    <w:rsid w:val="003157A7"/>
    <w:rsid w:val="00315D92"/>
    <w:rsid w:val="00316683"/>
    <w:rsid w:val="00321E9A"/>
    <w:rsid w:val="00323899"/>
    <w:rsid w:val="00326621"/>
    <w:rsid w:val="00331131"/>
    <w:rsid w:val="00346EFA"/>
    <w:rsid w:val="00350AE8"/>
    <w:rsid w:val="00350CE6"/>
    <w:rsid w:val="00361C2E"/>
    <w:rsid w:val="00363079"/>
    <w:rsid w:val="00364692"/>
    <w:rsid w:val="00364AD5"/>
    <w:rsid w:val="00370645"/>
    <w:rsid w:val="00370B0B"/>
    <w:rsid w:val="00371431"/>
    <w:rsid w:val="003727A9"/>
    <w:rsid w:val="00375EF9"/>
    <w:rsid w:val="003838B5"/>
    <w:rsid w:val="00384555"/>
    <w:rsid w:val="003847F5"/>
    <w:rsid w:val="00386D18"/>
    <w:rsid w:val="003877F6"/>
    <w:rsid w:val="00391260"/>
    <w:rsid w:val="00391BB5"/>
    <w:rsid w:val="0039512C"/>
    <w:rsid w:val="00397673"/>
    <w:rsid w:val="003A1DF8"/>
    <w:rsid w:val="003A21E5"/>
    <w:rsid w:val="003A5467"/>
    <w:rsid w:val="003B0432"/>
    <w:rsid w:val="003B791C"/>
    <w:rsid w:val="003C1D75"/>
    <w:rsid w:val="003C2752"/>
    <w:rsid w:val="003C4FF4"/>
    <w:rsid w:val="003C6B9A"/>
    <w:rsid w:val="003C710D"/>
    <w:rsid w:val="003C71A5"/>
    <w:rsid w:val="003C7FF4"/>
    <w:rsid w:val="003D0679"/>
    <w:rsid w:val="003D15CE"/>
    <w:rsid w:val="003D697D"/>
    <w:rsid w:val="003E6D6B"/>
    <w:rsid w:val="003F07CD"/>
    <w:rsid w:val="003F4417"/>
    <w:rsid w:val="004060F8"/>
    <w:rsid w:val="00413EEA"/>
    <w:rsid w:val="00414976"/>
    <w:rsid w:val="00414F61"/>
    <w:rsid w:val="00414FE9"/>
    <w:rsid w:val="004170BD"/>
    <w:rsid w:val="0041719A"/>
    <w:rsid w:val="00417D66"/>
    <w:rsid w:val="0042256E"/>
    <w:rsid w:val="00432BB7"/>
    <w:rsid w:val="00442D2F"/>
    <w:rsid w:val="004435C6"/>
    <w:rsid w:val="004522D9"/>
    <w:rsid w:val="00465F69"/>
    <w:rsid w:val="00466BB1"/>
    <w:rsid w:val="004703C1"/>
    <w:rsid w:val="0047265E"/>
    <w:rsid w:val="004820F2"/>
    <w:rsid w:val="00483910"/>
    <w:rsid w:val="0048407E"/>
    <w:rsid w:val="00485C61"/>
    <w:rsid w:val="00490385"/>
    <w:rsid w:val="00493BD0"/>
    <w:rsid w:val="004973B4"/>
    <w:rsid w:val="004A36C9"/>
    <w:rsid w:val="004A60D3"/>
    <w:rsid w:val="004B396B"/>
    <w:rsid w:val="004B513F"/>
    <w:rsid w:val="004B79EA"/>
    <w:rsid w:val="004B7C80"/>
    <w:rsid w:val="004C68CB"/>
    <w:rsid w:val="004D07DC"/>
    <w:rsid w:val="004D53C3"/>
    <w:rsid w:val="004E00E4"/>
    <w:rsid w:val="004E21D1"/>
    <w:rsid w:val="004E238B"/>
    <w:rsid w:val="004E5A1A"/>
    <w:rsid w:val="004E737B"/>
    <w:rsid w:val="004F4358"/>
    <w:rsid w:val="004F5E58"/>
    <w:rsid w:val="00503D9D"/>
    <w:rsid w:val="00507676"/>
    <w:rsid w:val="005102C4"/>
    <w:rsid w:val="005144A4"/>
    <w:rsid w:val="00517D76"/>
    <w:rsid w:val="00521E97"/>
    <w:rsid w:val="0052422B"/>
    <w:rsid w:val="00532A7F"/>
    <w:rsid w:val="005346ED"/>
    <w:rsid w:val="00534BAF"/>
    <w:rsid w:val="0053547F"/>
    <w:rsid w:val="00541E88"/>
    <w:rsid w:val="00546585"/>
    <w:rsid w:val="00550063"/>
    <w:rsid w:val="0055423C"/>
    <w:rsid w:val="00560264"/>
    <w:rsid w:val="00561057"/>
    <w:rsid w:val="0056155A"/>
    <w:rsid w:val="0056252C"/>
    <w:rsid w:val="00562860"/>
    <w:rsid w:val="00570F3C"/>
    <w:rsid w:val="0057518B"/>
    <w:rsid w:val="00576CEE"/>
    <w:rsid w:val="00582A71"/>
    <w:rsid w:val="00586849"/>
    <w:rsid w:val="00596646"/>
    <w:rsid w:val="00596692"/>
    <w:rsid w:val="005967E1"/>
    <w:rsid w:val="005A2B92"/>
    <w:rsid w:val="005A664C"/>
    <w:rsid w:val="005A690C"/>
    <w:rsid w:val="005A7D7B"/>
    <w:rsid w:val="005B05B6"/>
    <w:rsid w:val="005B254A"/>
    <w:rsid w:val="005B64E4"/>
    <w:rsid w:val="005C132D"/>
    <w:rsid w:val="005C5F98"/>
    <w:rsid w:val="005C635C"/>
    <w:rsid w:val="005C6B6D"/>
    <w:rsid w:val="005D2F14"/>
    <w:rsid w:val="005D68EA"/>
    <w:rsid w:val="005E1C82"/>
    <w:rsid w:val="005E1CA8"/>
    <w:rsid w:val="005E2A94"/>
    <w:rsid w:val="005E3298"/>
    <w:rsid w:val="005E6AE6"/>
    <w:rsid w:val="005E76C4"/>
    <w:rsid w:val="005F5F0E"/>
    <w:rsid w:val="005F696B"/>
    <w:rsid w:val="005F704F"/>
    <w:rsid w:val="005F7B5C"/>
    <w:rsid w:val="00603026"/>
    <w:rsid w:val="0060673A"/>
    <w:rsid w:val="00606E66"/>
    <w:rsid w:val="00607F5D"/>
    <w:rsid w:val="0061267C"/>
    <w:rsid w:val="00614483"/>
    <w:rsid w:val="00624CDE"/>
    <w:rsid w:val="006262E7"/>
    <w:rsid w:val="006268AE"/>
    <w:rsid w:val="0063377C"/>
    <w:rsid w:val="006360E0"/>
    <w:rsid w:val="0064098B"/>
    <w:rsid w:val="0065535B"/>
    <w:rsid w:val="00657888"/>
    <w:rsid w:val="00657A93"/>
    <w:rsid w:val="006621E3"/>
    <w:rsid w:val="006634B8"/>
    <w:rsid w:val="006715F5"/>
    <w:rsid w:val="00671B35"/>
    <w:rsid w:val="0067596F"/>
    <w:rsid w:val="006773A4"/>
    <w:rsid w:val="0067779D"/>
    <w:rsid w:val="006777BB"/>
    <w:rsid w:val="0069152C"/>
    <w:rsid w:val="006926BA"/>
    <w:rsid w:val="006A23B4"/>
    <w:rsid w:val="006A2650"/>
    <w:rsid w:val="006A2ED2"/>
    <w:rsid w:val="006A4D64"/>
    <w:rsid w:val="006A6A10"/>
    <w:rsid w:val="006B0F79"/>
    <w:rsid w:val="006B3135"/>
    <w:rsid w:val="006C1C95"/>
    <w:rsid w:val="006C4393"/>
    <w:rsid w:val="006C43B2"/>
    <w:rsid w:val="006D0513"/>
    <w:rsid w:val="006D2D9D"/>
    <w:rsid w:val="006D6FE6"/>
    <w:rsid w:val="006E31B6"/>
    <w:rsid w:val="006F238F"/>
    <w:rsid w:val="006F3408"/>
    <w:rsid w:val="006F3413"/>
    <w:rsid w:val="006F446E"/>
    <w:rsid w:val="00703080"/>
    <w:rsid w:val="00707748"/>
    <w:rsid w:val="007132A0"/>
    <w:rsid w:val="00716611"/>
    <w:rsid w:val="00716C47"/>
    <w:rsid w:val="00717C3E"/>
    <w:rsid w:val="00717E59"/>
    <w:rsid w:val="007232A3"/>
    <w:rsid w:val="007316C9"/>
    <w:rsid w:val="00733EED"/>
    <w:rsid w:val="0074160E"/>
    <w:rsid w:val="00742809"/>
    <w:rsid w:val="00743E3D"/>
    <w:rsid w:val="00746B1B"/>
    <w:rsid w:val="007471E5"/>
    <w:rsid w:val="00747503"/>
    <w:rsid w:val="00750660"/>
    <w:rsid w:val="007508CA"/>
    <w:rsid w:val="00751765"/>
    <w:rsid w:val="00751FB9"/>
    <w:rsid w:val="0075777C"/>
    <w:rsid w:val="00764EAD"/>
    <w:rsid w:val="00776922"/>
    <w:rsid w:val="0078423D"/>
    <w:rsid w:val="00785C58"/>
    <w:rsid w:val="00785DD1"/>
    <w:rsid w:val="0078712E"/>
    <w:rsid w:val="00790C88"/>
    <w:rsid w:val="00790F0A"/>
    <w:rsid w:val="00791DE5"/>
    <w:rsid w:val="007928A2"/>
    <w:rsid w:val="007944B4"/>
    <w:rsid w:val="0079722C"/>
    <w:rsid w:val="007A417A"/>
    <w:rsid w:val="007A7614"/>
    <w:rsid w:val="007A7984"/>
    <w:rsid w:val="007C0A78"/>
    <w:rsid w:val="007D25C2"/>
    <w:rsid w:val="007D27C4"/>
    <w:rsid w:val="007D443C"/>
    <w:rsid w:val="007D5FE4"/>
    <w:rsid w:val="007E149D"/>
    <w:rsid w:val="007E14F5"/>
    <w:rsid w:val="007E41D9"/>
    <w:rsid w:val="007E4AF1"/>
    <w:rsid w:val="007E5883"/>
    <w:rsid w:val="007E5DD5"/>
    <w:rsid w:val="007E7442"/>
    <w:rsid w:val="007F1B76"/>
    <w:rsid w:val="007F1C38"/>
    <w:rsid w:val="007F2CE2"/>
    <w:rsid w:val="0080167F"/>
    <w:rsid w:val="0080393F"/>
    <w:rsid w:val="00805C44"/>
    <w:rsid w:val="00807275"/>
    <w:rsid w:val="0081341C"/>
    <w:rsid w:val="00814432"/>
    <w:rsid w:val="0081597E"/>
    <w:rsid w:val="008252C1"/>
    <w:rsid w:val="00825D95"/>
    <w:rsid w:val="00826668"/>
    <w:rsid w:val="008274ED"/>
    <w:rsid w:val="00830A51"/>
    <w:rsid w:val="008314E5"/>
    <w:rsid w:val="00834CC8"/>
    <w:rsid w:val="00835C0B"/>
    <w:rsid w:val="00837682"/>
    <w:rsid w:val="00840E12"/>
    <w:rsid w:val="008412B2"/>
    <w:rsid w:val="00842204"/>
    <w:rsid w:val="008467EF"/>
    <w:rsid w:val="00850E18"/>
    <w:rsid w:val="00855148"/>
    <w:rsid w:val="00864950"/>
    <w:rsid w:val="00873835"/>
    <w:rsid w:val="00873A3C"/>
    <w:rsid w:val="00875E9C"/>
    <w:rsid w:val="008770EE"/>
    <w:rsid w:val="00881B45"/>
    <w:rsid w:val="00882207"/>
    <w:rsid w:val="008845D1"/>
    <w:rsid w:val="008850A5"/>
    <w:rsid w:val="008911EB"/>
    <w:rsid w:val="008933F6"/>
    <w:rsid w:val="00893B76"/>
    <w:rsid w:val="00895028"/>
    <w:rsid w:val="0089601A"/>
    <w:rsid w:val="008962C4"/>
    <w:rsid w:val="008A1641"/>
    <w:rsid w:val="008A2452"/>
    <w:rsid w:val="008A341D"/>
    <w:rsid w:val="008A5DE8"/>
    <w:rsid w:val="008A5EF3"/>
    <w:rsid w:val="008A77CD"/>
    <w:rsid w:val="008B22C8"/>
    <w:rsid w:val="008B35AB"/>
    <w:rsid w:val="008B5495"/>
    <w:rsid w:val="008B570D"/>
    <w:rsid w:val="008B5D19"/>
    <w:rsid w:val="008B633C"/>
    <w:rsid w:val="008C384B"/>
    <w:rsid w:val="008C3DB7"/>
    <w:rsid w:val="008C6465"/>
    <w:rsid w:val="008D2CA0"/>
    <w:rsid w:val="008D7BE5"/>
    <w:rsid w:val="008E1076"/>
    <w:rsid w:val="008E2458"/>
    <w:rsid w:val="008E24A6"/>
    <w:rsid w:val="008E2504"/>
    <w:rsid w:val="008E663D"/>
    <w:rsid w:val="008E7258"/>
    <w:rsid w:val="008F6D23"/>
    <w:rsid w:val="0090405D"/>
    <w:rsid w:val="0091381F"/>
    <w:rsid w:val="00915138"/>
    <w:rsid w:val="00917B6A"/>
    <w:rsid w:val="009229A7"/>
    <w:rsid w:val="0092375B"/>
    <w:rsid w:val="009252C4"/>
    <w:rsid w:val="00940A22"/>
    <w:rsid w:val="00943457"/>
    <w:rsid w:val="0094356D"/>
    <w:rsid w:val="009555BA"/>
    <w:rsid w:val="009571E8"/>
    <w:rsid w:val="00960542"/>
    <w:rsid w:val="00960682"/>
    <w:rsid w:val="00961052"/>
    <w:rsid w:val="009628A3"/>
    <w:rsid w:val="00963DEF"/>
    <w:rsid w:val="00965C9A"/>
    <w:rsid w:val="0097161A"/>
    <w:rsid w:val="00973748"/>
    <w:rsid w:val="00975BBD"/>
    <w:rsid w:val="009764DA"/>
    <w:rsid w:val="0097666D"/>
    <w:rsid w:val="00983146"/>
    <w:rsid w:val="00985ADA"/>
    <w:rsid w:val="00986B23"/>
    <w:rsid w:val="00990F96"/>
    <w:rsid w:val="00994563"/>
    <w:rsid w:val="00995039"/>
    <w:rsid w:val="00995C14"/>
    <w:rsid w:val="009A4132"/>
    <w:rsid w:val="009A593F"/>
    <w:rsid w:val="009A7609"/>
    <w:rsid w:val="009B2C76"/>
    <w:rsid w:val="009B4E4A"/>
    <w:rsid w:val="009B6FEC"/>
    <w:rsid w:val="009C321E"/>
    <w:rsid w:val="009C4B69"/>
    <w:rsid w:val="009D7CE1"/>
    <w:rsid w:val="009E1214"/>
    <w:rsid w:val="009E1CE8"/>
    <w:rsid w:val="009E270C"/>
    <w:rsid w:val="009E3E9E"/>
    <w:rsid w:val="009F05D6"/>
    <w:rsid w:val="009F1494"/>
    <w:rsid w:val="009F4E1C"/>
    <w:rsid w:val="009F7DD4"/>
    <w:rsid w:val="00A0323C"/>
    <w:rsid w:val="00A038E7"/>
    <w:rsid w:val="00A04D8D"/>
    <w:rsid w:val="00A05FD2"/>
    <w:rsid w:val="00A07524"/>
    <w:rsid w:val="00A113E1"/>
    <w:rsid w:val="00A11A8D"/>
    <w:rsid w:val="00A16F07"/>
    <w:rsid w:val="00A17469"/>
    <w:rsid w:val="00A17DFB"/>
    <w:rsid w:val="00A2034E"/>
    <w:rsid w:val="00A22A92"/>
    <w:rsid w:val="00A23905"/>
    <w:rsid w:val="00A26D8E"/>
    <w:rsid w:val="00A32111"/>
    <w:rsid w:val="00A32D19"/>
    <w:rsid w:val="00A35086"/>
    <w:rsid w:val="00A35AB5"/>
    <w:rsid w:val="00A362BB"/>
    <w:rsid w:val="00A37393"/>
    <w:rsid w:val="00A406C3"/>
    <w:rsid w:val="00A41177"/>
    <w:rsid w:val="00A429FC"/>
    <w:rsid w:val="00A45640"/>
    <w:rsid w:val="00A45AF1"/>
    <w:rsid w:val="00A45B19"/>
    <w:rsid w:val="00A51824"/>
    <w:rsid w:val="00A53526"/>
    <w:rsid w:val="00A55FE7"/>
    <w:rsid w:val="00A56320"/>
    <w:rsid w:val="00A56799"/>
    <w:rsid w:val="00A63A9E"/>
    <w:rsid w:val="00A709AA"/>
    <w:rsid w:val="00A736B1"/>
    <w:rsid w:val="00A74384"/>
    <w:rsid w:val="00A75FFD"/>
    <w:rsid w:val="00A765B5"/>
    <w:rsid w:val="00A77A1F"/>
    <w:rsid w:val="00A90811"/>
    <w:rsid w:val="00A95C31"/>
    <w:rsid w:val="00AA08A5"/>
    <w:rsid w:val="00AA154F"/>
    <w:rsid w:val="00AA40E9"/>
    <w:rsid w:val="00AA5320"/>
    <w:rsid w:val="00AA578B"/>
    <w:rsid w:val="00AA5A5A"/>
    <w:rsid w:val="00AB547F"/>
    <w:rsid w:val="00AC0863"/>
    <w:rsid w:val="00AC1894"/>
    <w:rsid w:val="00AC2DE8"/>
    <w:rsid w:val="00AC3AF1"/>
    <w:rsid w:val="00AC4C63"/>
    <w:rsid w:val="00AD3030"/>
    <w:rsid w:val="00AD3B1E"/>
    <w:rsid w:val="00AD576A"/>
    <w:rsid w:val="00AE103A"/>
    <w:rsid w:val="00AE1097"/>
    <w:rsid w:val="00AE639E"/>
    <w:rsid w:val="00AE6EF3"/>
    <w:rsid w:val="00AF3382"/>
    <w:rsid w:val="00AF37FC"/>
    <w:rsid w:val="00AF6298"/>
    <w:rsid w:val="00AF6BB1"/>
    <w:rsid w:val="00B00B07"/>
    <w:rsid w:val="00B00C31"/>
    <w:rsid w:val="00B03D98"/>
    <w:rsid w:val="00B11F38"/>
    <w:rsid w:val="00B1596E"/>
    <w:rsid w:val="00B16C55"/>
    <w:rsid w:val="00B26411"/>
    <w:rsid w:val="00B31A63"/>
    <w:rsid w:val="00B3640A"/>
    <w:rsid w:val="00B37BF3"/>
    <w:rsid w:val="00B37FF4"/>
    <w:rsid w:val="00B401BD"/>
    <w:rsid w:val="00B40637"/>
    <w:rsid w:val="00B40978"/>
    <w:rsid w:val="00B4389F"/>
    <w:rsid w:val="00B447B5"/>
    <w:rsid w:val="00B46E71"/>
    <w:rsid w:val="00B47FFE"/>
    <w:rsid w:val="00B5023C"/>
    <w:rsid w:val="00B50FE2"/>
    <w:rsid w:val="00B535B1"/>
    <w:rsid w:val="00B721DD"/>
    <w:rsid w:val="00B75E6B"/>
    <w:rsid w:val="00B766A8"/>
    <w:rsid w:val="00B81584"/>
    <w:rsid w:val="00B83268"/>
    <w:rsid w:val="00B8767A"/>
    <w:rsid w:val="00B87E8D"/>
    <w:rsid w:val="00B87F17"/>
    <w:rsid w:val="00B908E7"/>
    <w:rsid w:val="00B912DB"/>
    <w:rsid w:val="00B912E1"/>
    <w:rsid w:val="00B95BB9"/>
    <w:rsid w:val="00BA03AE"/>
    <w:rsid w:val="00BA28E4"/>
    <w:rsid w:val="00BA7671"/>
    <w:rsid w:val="00BB0414"/>
    <w:rsid w:val="00BB298C"/>
    <w:rsid w:val="00BB3AF1"/>
    <w:rsid w:val="00BB6882"/>
    <w:rsid w:val="00BC15AB"/>
    <w:rsid w:val="00BC29C7"/>
    <w:rsid w:val="00BD09C8"/>
    <w:rsid w:val="00BD0A76"/>
    <w:rsid w:val="00BD679D"/>
    <w:rsid w:val="00BD6B82"/>
    <w:rsid w:val="00BD7D15"/>
    <w:rsid w:val="00BE1FE9"/>
    <w:rsid w:val="00BE3731"/>
    <w:rsid w:val="00BE4BAD"/>
    <w:rsid w:val="00BE5C9A"/>
    <w:rsid w:val="00BF0C50"/>
    <w:rsid w:val="00BF52A5"/>
    <w:rsid w:val="00BF6327"/>
    <w:rsid w:val="00BF6C12"/>
    <w:rsid w:val="00C01A68"/>
    <w:rsid w:val="00C02127"/>
    <w:rsid w:val="00C10B4A"/>
    <w:rsid w:val="00C173B0"/>
    <w:rsid w:val="00C21BD0"/>
    <w:rsid w:val="00C2441B"/>
    <w:rsid w:val="00C263AB"/>
    <w:rsid w:val="00C26BA5"/>
    <w:rsid w:val="00C3314B"/>
    <w:rsid w:val="00C34636"/>
    <w:rsid w:val="00C363CC"/>
    <w:rsid w:val="00C364CB"/>
    <w:rsid w:val="00C368D7"/>
    <w:rsid w:val="00C3726F"/>
    <w:rsid w:val="00C404B0"/>
    <w:rsid w:val="00C41ACB"/>
    <w:rsid w:val="00C4207A"/>
    <w:rsid w:val="00C42CB6"/>
    <w:rsid w:val="00C43E48"/>
    <w:rsid w:val="00C4661E"/>
    <w:rsid w:val="00C546C7"/>
    <w:rsid w:val="00C5574A"/>
    <w:rsid w:val="00C55CDA"/>
    <w:rsid w:val="00C576D7"/>
    <w:rsid w:val="00C6206E"/>
    <w:rsid w:val="00C6361D"/>
    <w:rsid w:val="00C64EDF"/>
    <w:rsid w:val="00C65FB2"/>
    <w:rsid w:val="00C705F4"/>
    <w:rsid w:val="00C71536"/>
    <w:rsid w:val="00C71743"/>
    <w:rsid w:val="00C73891"/>
    <w:rsid w:val="00C74E39"/>
    <w:rsid w:val="00C77D57"/>
    <w:rsid w:val="00C8529D"/>
    <w:rsid w:val="00C9377F"/>
    <w:rsid w:val="00C93A0D"/>
    <w:rsid w:val="00C963CE"/>
    <w:rsid w:val="00C96425"/>
    <w:rsid w:val="00CA013B"/>
    <w:rsid w:val="00CA1B1C"/>
    <w:rsid w:val="00CA1B9D"/>
    <w:rsid w:val="00CA2D2E"/>
    <w:rsid w:val="00CA4AE2"/>
    <w:rsid w:val="00CA677D"/>
    <w:rsid w:val="00CB320D"/>
    <w:rsid w:val="00CB4E6E"/>
    <w:rsid w:val="00CB5700"/>
    <w:rsid w:val="00CC54BB"/>
    <w:rsid w:val="00CC5A66"/>
    <w:rsid w:val="00CD0190"/>
    <w:rsid w:val="00CD1781"/>
    <w:rsid w:val="00CD4782"/>
    <w:rsid w:val="00CE107C"/>
    <w:rsid w:val="00CE4EB9"/>
    <w:rsid w:val="00CE6E21"/>
    <w:rsid w:val="00CF3605"/>
    <w:rsid w:val="00D01C82"/>
    <w:rsid w:val="00D040D7"/>
    <w:rsid w:val="00D0702E"/>
    <w:rsid w:val="00D07258"/>
    <w:rsid w:val="00D07DB0"/>
    <w:rsid w:val="00D13068"/>
    <w:rsid w:val="00D13F56"/>
    <w:rsid w:val="00D23630"/>
    <w:rsid w:val="00D24DEA"/>
    <w:rsid w:val="00D30607"/>
    <w:rsid w:val="00D3144A"/>
    <w:rsid w:val="00D31528"/>
    <w:rsid w:val="00D31BBE"/>
    <w:rsid w:val="00D32ACF"/>
    <w:rsid w:val="00D347DF"/>
    <w:rsid w:val="00D358D4"/>
    <w:rsid w:val="00D36099"/>
    <w:rsid w:val="00D47637"/>
    <w:rsid w:val="00D6030D"/>
    <w:rsid w:val="00D63D7A"/>
    <w:rsid w:val="00D729D4"/>
    <w:rsid w:val="00D772B8"/>
    <w:rsid w:val="00D77B8F"/>
    <w:rsid w:val="00D802FA"/>
    <w:rsid w:val="00D80971"/>
    <w:rsid w:val="00D83CCA"/>
    <w:rsid w:val="00D8610B"/>
    <w:rsid w:val="00D90018"/>
    <w:rsid w:val="00D9038B"/>
    <w:rsid w:val="00D95E05"/>
    <w:rsid w:val="00D973B5"/>
    <w:rsid w:val="00DA26DA"/>
    <w:rsid w:val="00DA6ACE"/>
    <w:rsid w:val="00DB1C67"/>
    <w:rsid w:val="00DB5486"/>
    <w:rsid w:val="00DB5C98"/>
    <w:rsid w:val="00DB719B"/>
    <w:rsid w:val="00DC26A7"/>
    <w:rsid w:val="00DC5931"/>
    <w:rsid w:val="00DC63ED"/>
    <w:rsid w:val="00DC6596"/>
    <w:rsid w:val="00DC6F73"/>
    <w:rsid w:val="00DD0A3C"/>
    <w:rsid w:val="00DD36A2"/>
    <w:rsid w:val="00DD4A1E"/>
    <w:rsid w:val="00DE1319"/>
    <w:rsid w:val="00DE348C"/>
    <w:rsid w:val="00DE74DB"/>
    <w:rsid w:val="00DE778B"/>
    <w:rsid w:val="00DF4FBA"/>
    <w:rsid w:val="00DF568A"/>
    <w:rsid w:val="00DF66E9"/>
    <w:rsid w:val="00DF773D"/>
    <w:rsid w:val="00E0048A"/>
    <w:rsid w:val="00E021FA"/>
    <w:rsid w:val="00E02A13"/>
    <w:rsid w:val="00E05D9A"/>
    <w:rsid w:val="00E05F50"/>
    <w:rsid w:val="00E175AF"/>
    <w:rsid w:val="00E243F9"/>
    <w:rsid w:val="00E3020A"/>
    <w:rsid w:val="00E32766"/>
    <w:rsid w:val="00E330A6"/>
    <w:rsid w:val="00E330CE"/>
    <w:rsid w:val="00E366C7"/>
    <w:rsid w:val="00E42E2B"/>
    <w:rsid w:val="00E44E66"/>
    <w:rsid w:val="00E47F71"/>
    <w:rsid w:val="00E53E48"/>
    <w:rsid w:val="00E55CFC"/>
    <w:rsid w:val="00E57BFB"/>
    <w:rsid w:val="00E6142E"/>
    <w:rsid w:val="00E62E72"/>
    <w:rsid w:val="00E63597"/>
    <w:rsid w:val="00E6395A"/>
    <w:rsid w:val="00E665BA"/>
    <w:rsid w:val="00E67246"/>
    <w:rsid w:val="00E73B35"/>
    <w:rsid w:val="00E7746B"/>
    <w:rsid w:val="00E83790"/>
    <w:rsid w:val="00E857AD"/>
    <w:rsid w:val="00E90D67"/>
    <w:rsid w:val="00E91894"/>
    <w:rsid w:val="00E91B2F"/>
    <w:rsid w:val="00E91BFB"/>
    <w:rsid w:val="00E9433F"/>
    <w:rsid w:val="00E943DF"/>
    <w:rsid w:val="00EA1C44"/>
    <w:rsid w:val="00EA3F11"/>
    <w:rsid w:val="00EA42B3"/>
    <w:rsid w:val="00EA587F"/>
    <w:rsid w:val="00EB0200"/>
    <w:rsid w:val="00EB243D"/>
    <w:rsid w:val="00EB2ADA"/>
    <w:rsid w:val="00EB3D0C"/>
    <w:rsid w:val="00EB40AC"/>
    <w:rsid w:val="00EC2CD3"/>
    <w:rsid w:val="00ED20AA"/>
    <w:rsid w:val="00ED3822"/>
    <w:rsid w:val="00ED43B8"/>
    <w:rsid w:val="00EE2944"/>
    <w:rsid w:val="00EE6A17"/>
    <w:rsid w:val="00EF09F2"/>
    <w:rsid w:val="00EF0A28"/>
    <w:rsid w:val="00EF392A"/>
    <w:rsid w:val="00F02C6A"/>
    <w:rsid w:val="00F0436F"/>
    <w:rsid w:val="00F05692"/>
    <w:rsid w:val="00F07944"/>
    <w:rsid w:val="00F13E43"/>
    <w:rsid w:val="00F1466E"/>
    <w:rsid w:val="00F1594E"/>
    <w:rsid w:val="00F25B36"/>
    <w:rsid w:val="00F31758"/>
    <w:rsid w:val="00F3274F"/>
    <w:rsid w:val="00F353EF"/>
    <w:rsid w:val="00F4162B"/>
    <w:rsid w:val="00F41901"/>
    <w:rsid w:val="00F420AA"/>
    <w:rsid w:val="00F51295"/>
    <w:rsid w:val="00F525EC"/>
    <w:rsid w:val="00F52DEB"/>
    <w:rsid w:val="00F53335"/>
    <w:rsid w:val="00F53A09"/>
    <w:rsid w:val="00F553D8"/>
    <w:rsid w:val="00F5761B"/>
    <w:rsid w:val="00F57E5A"/>
    <w:rsid w:val="00F61632"/>
    <w:rsid w:val="00F61888"/>
    <w:rsid w:val="00F63E82"/>
    <w:rsid w:val="00F65876"/>
    <w:rsid w:val="00F66610"/>
    <w:rsid w:val="00F672E2"/>
    <w:rsid w:val="00F6774D"/>
    <w:rsid w:val="00F75396"/>
    <w:rsid w:val="00F822F7"/>
    <w:rsid w:val="00F83F26"/>
    <w:rsid w:val="00F8525A"/>
    <w:rsid w:val="00F86A75"/>
    <w:rsid w:val="00F9034B"/>
    <w:rsid w:val="00F91937"/>
    <w:rsid w:val="00F927C3"/>
    <w:rsid w:val="00F935CB"/>
    <w:rsid w:val="00F94DF2"/>
    <w:rsid w:val="00F962B8"/>
    <w:rsid w:val="00F96ED3"/>
    <w:rsid w:val="00FB088A"/>
    <w:rsid w:val="00FB0A8C"/>
    <w:rsid w:val="00FB131E"/>
    <w:rsid w:val="00FB4390"/>
    <w:rsid w:val="00FB46D9"/>
    <w:rsid w:val="00FB69BA"/>
    <w:rsid w:val="00FB6A48"/>
    <w:rsid w:val="00FB6CA8"/>
    <w:rsid w:val="00FB78EF"/>
    <w:rsid w:val="00FC0586"/>
    <w:rsid w:val="00FC0FC4"/>
    <w:rsid w:val="00FC1144"/>
    <w:rsid w:val="00FC1FCB"/>
    <w:rsid w:val="00FC4F4B"/>
    <w:rsid w:val="00FD05FE"/>
    <w:rsid w:val="00FD15FE"/>
    <w:rsid w:val="00FD4D3F"/>
    <w:rsid w:val="00FE461B"/>
    <w:rsid w:val="00FE502B"/>
    <w:rsid w:val="00FE6C1C"/>
    <w:rsid w:val="00FE736B"/>
    <w:rsid w:val="00FF2498"/>
    <w:rsid w:val="00FF3E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63"/>
    <w:rPr>
      <w:rFonts w:ascii="Times New Roman" w:hAnsi="Times New Roman"/>
      <w:sz w:val="24"/>
    </w:rPr>
  </w:style>
  <w:style w:type="paragraph" w:styleId="Heading1">
    <w:name w:val="heading 1"/>
    <w:basedOn w:val="Normal"/>
    <w:next w:val="Normal"/>
    <w:link w:val="Heading1Char"/>
    <w:uiPriority w:val="9"/>
    <w:qFormat/>
    <w:rsid w:val="00AC4C63"/>
    <w:pPr>
      <w:keepNext/>
      <w:keepLines/>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F61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61D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63"/>
    <w:rPr>
      <w:rFonts w:asciiTheme="majorHAnsi" w:eastAsiaTheme="majorEastAsia" w:hAnsiTheme="majorHAnsi" w:cstheme="majorBidi"/>
      <w:b/>
      <w:bCs/>
      <w:sz w:val="28"/>
      <w:szCs w:val="28"/>
    </w:rPr>
  </w:style>
  <w:style w:type="table" w:styleId="TableGrid">
    <w:name w:val="Table Grid"/>
    <w:basedOn w:val="TableNormal"/>
    <w:uiPriority w:val="59"/>
    <w:rsid w:val="00AF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637"/>
    <w:rPr>
      <w:rFonts w:ascii="Tahoma" w:hAnsi="Tahoma" w:cs="Tahoma"/>
      <w:sz w:val="16"/>
      <w:szCs w:val="16"/>
    </w:rPr>
  </w:style>
  <w:style w:type="character" w:customStyle="1" w:styleId="BalloonTextChar">
    <w:name w:val="Balloon Text Char"/>
    <w:basedOn w:val="DefaultParagraphFont"/>
    <w:link w:val="BalloonText"/>
    <w:uiPriority w:val="99"/>
    <w:semiHidden/>
    <w:rsid w:val="00D47637"/>
    <w:rPr>
      <w:rFonts w:ascii="Tahoma" w:hAnsi="Tahoma" w:cs="Tahoma"/>
      <w:sz w:val="16"/>
      <w:szCs w:val="16"/>
    </w:rPr>
  </w:style>
  <w:style w:type="character" w:styleId="Hyperlink">
    <w:name w:val="Hyperlink"/>
    <w:basedOn w:val="DefaultParagraphFont"/>
    <w:uiPriority w:val="99"/>
    <w:unhideWhenUsed/>
    <w:rsid w:val="00F353EF"/>
    <w:rPr>
      <w:color w:val="0000FF" w:themeColor="hyperlink"/>
      <w:u w:val="single"/>
    </w:rPr>
  </w:style>
  <w:style w:type="paragraph" w:styleId="ListParagraph">
    <w:name w:val="List Paragraph"/>
    <w:basedOn w:val="Normal"/>
    <w:uiPriority w:val="34"/>
    <w:qFormat/>
    <w:rsid w:val="00576CEE"/>
    <w:pPr>
      <w:ind w:left="720"/>
      <w:contextualSpacing/>
    </w:pPr>
  </w:style>
  <w:style w:type="character" w:styleId="CommentReference">
    <w:name w:val="annotation reference"/>
    <w:basedOn w:val="DefaultParagraphFont"/>
    <w:uiPriority w:val="99"/>
    <w:semiHidden/>
    <w:unhideWhenUsed/>
    <w:rsid w:val="00B46E71"/>
    <w:rPr>
      <w:sz w:val="16"/>
      <w:szCs w:val="16"/>
    </w:rPr>
  </w:style>
  <w:style w:type="paragraph" w:styleId="CommentText">
    <w:name w:val="annotation text"/>
    <w:basedOn w:val="Normal"/>
    <w:link w:val="CommentTextChar"/>
    <w:uiPriority w:val="99"/>
    <w:semiHidden/>
    <w:unhideWhenUsed/>
    <w:rsid w:val="00B46E71"/>
    <w:rPr>
      <w:sz w:val="20"/>
      <w:szCs w:val="20"/>
    </w:rPr>
  </w:style>
  <w:style w:type="character" w:customStyle="1" w:styleId="CommentTextChar">
    <w:name w:val="Comment Text Char"/>
    <w:basedOn w:val="DefaultParagraphFont"/>
    <w:link w:val="CommentText"/>
    <w:uiPriority w:val="99"/>
    <w:semiHidden/>
    <w:rsid w:val="00B46E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6E71"/>
    <w:rPr>
      <w:b/>
      <w:bCs/>
    </w:rPr>
  </w:style>
  <w:style w:type="character" w:customStyle="1" w:styleId="CommentSubjectChar">
    <w:name w:val="Comment Subject Char"/>
    <w:basedOn w:val="CommentTextChar"/>
    <w:link w:val="CommentSubject"/>
    <w:uiPriority w:val="99"/>
    <w:semiHidden/>
    <w:rsid w:val="00B46E71"/>
    <w:rPr>
      <w:rFonts w:ascii="Times New Roman" w:hAnsi="Times New Roman"/>
      <w:b/>
      <w:bCs/>
      <w:sz w:val="20"/>
      <w:szCs w:val="20"/>
    </w:rPr>
  </w:style>
  <w:style w:type="paragraph" w:styleId="NormalWeb">
    <w:name w:val="Normal (Web)"/>
    <w:basedOn w:val="Normal"/>
    <w:uiPriority w:val="99"/>
    <w:semiHidden/>
    <w:unhideWhenUsed/>
    <w:rsid w:val="008314E5"/>
    <w:pPr>
      <w:spacing w:after="180"/>
    </w:pPr>
    <w:rPr>
      <w:rFonts w:eastAsia="Times New Roman" w:cs="Times New Roman"/>
      <w:sz w:val="20"/>
      <w:szCs w:val="20"/>
      <w:lang w:eastAsia="en-GB"/>
    </w:rPr>
  </w:style>
  <w:style w:type="character" w:styleId="Strong">
    <w:name w:val="Strong"/>
    <w:basedOn w:val="DefaultParagraphFont"/>
    <w:uiPriority w:val="22"/>
    <w:qFormat/>
    <w:rsid w:val="00F9034B"/>
    <w:rPr>
      <w:b/>
      <w:bCs/>
    </w:rPr>
  </w:style>
  <w:style w:type="paragraph" w:customStyle="1" w:styleId="MTDisplayEquation">
    <w:name w:val="MTDisplayEquation"/>
    <w:basedOn w:val="Normal"/>
    <w:next w:val="Normal"/>
    <w:link w:val="MTDisplayEquationChar"/>
    <w:rsid w:val="00850E18"/>
    <w:pPr>
      <w:tabs>
        <w:tab w:val="center" w:pos="4520"/>
        <w:tab w:val="right" w:pos="9020"/>
      </w:tabs>
      <w:spacing w:after="200" w:line="276" w:lineRule="auto"/>
    </w:pPr>
    <w:rPr>
      <w:rFonts w:asciiTheme="minorHAnsi" w:hAnsiTheme="minorHAnsi"/>
      <w:sz w:val="22"/>
    </w:rPr>
  </w:style>
  <w:style w:type="character" w:customStyle="1" w:styleId="MTDisplayEquationChar">
    <w:name w:val="MTDisplayEquation Char"/>
    <w:basedOn w:val="DefaultParagraphFont"/>
    <w:link w:val="MTDisplayEquation"/>
    <w:rsid w:val="00850E18"/>
  </w:style>
  <w:style w:type="character" w:customStyle="1" w:styleId="label2">
    <w:name w:val="label2"/>
    <w:basedOn w:val="DefaultParagraphFont"/>
    <w:rsid w:val="00E67246"/>
  </w:style>
  <w:style w:type="character" w:customStyle="1" w:styleId="databold1">
    <w:name w:val="data_bold1"/>
    <w:basedOn w:val="DefaultParagraphFont"/>
    <w:rsid w:val="00E67246"/>
    <w:rPr>
      <w:b/>
      <w:bCs/>
    </w:rPr>
  </w:style>
  <w:style w:type="paragraph" w:customStyle="1" w:styleId="Default">
    <w:name w:val="Default"/>
    <w:rsid w:val="009B6FE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252C"/>
    <w:rPr>
      <w:color w:val="800080" w:themeColor="followedHyperlink"/>
      <w:u w:val="single"/>
    </w:rPr>
  </w:style>
  <w:style w:type="paragraph" w:customStyle="1" w:styleId="sourcetitle">
    <w:name w:val="sourcetitle"/>
    <w:basedOn w:val="Normal"/>
    <w:rsid w:val="00AD576A"/>
    <w:rPr>
      <w:rFonts w:eastAsia="Times New Roman" w:cs="Times New Roman"/>
      <w:b/>
      <w:bCs/>
      <w:szCs w:val="24"/>
      <w:lang w:eastAsia="en-GB"/>
    </w:rPr>
  </w:style>
  <w:style w:type="paragraph" w:customStyle="1" w:styleId="frfield">
    <w:name w:val="fr_field"/>
    <w:basedOn w:val="Normal"/>
    <w:rsid w:val="00AD576A"/>
    <w:pPr>
      <w:spacing w:after="25" w:line="275" w:lineRule="atLeast"/>
    </w:pPr>
    <w:rPr>
      <w:rFonts w:eastAsia="Times New Roman" w:cs="Times New Roman"/>
      <w:szCs w:val="24"/>
      <w:lang w:eastAsia="en-GB"/>
    </w:rPr>
  </w:style>
  <w:style w:type="character" w:customStyle="1" w:styleId="frlabel1">
    <w:name w:val="fr_label1"/>
    <w:basedOn w:val="DefaultParagraphFont"/>
    <w:rsid w:val="00AD576A"/>
    <w:rPr>
      <w:b/>
      <w:bCs/>
    </w:rPr>
  </w:style>
  <w:style w:type="character" w:customStyle="1" w:styleId="hithilite3">
    <w:name w:val="hithilite3"/>
    <w:basedOn w:val="DefaultParagraphFont"/>
    <w:rsid w:val="00AD576A"/>
    <w:rPr>
      <w:shd w:val="clear" w:color="auto" w:fill="FFFF00"/>
    </w:rPr>
  </w:style>
  <w:style w:type="character" w:styleId="Emphasis">
    <w:name w:val="Emphasis"/>
    <w:basedOn w:val="DefaultParagraphFont"/>
    <w:uiPriority w:val="20"/>
    <w:qFormat/>
    <w:rsid w:val="00B81584"/>
    <w:rPr>
      <w:i/>
      <w:iCs/>
    </w:rPr>
  </w:style>
  <w:style w:type="character" w:customStyle="1" w:styleId="pbtocarticletitle1">
    <w:name w:val="pb_toc_article_title1"/>
    <w:basedOn w:val="DefaultParagraphFont"/>
    <w:rsid w:val="0007691A"/>
    <w:rPr>
      <w:rFonts w:ascii="Verdana" w:hAnsi="Verdana" w:hint="default"/>
      <w:b/>
      <w:bCs/>
      <w:color w:val="000000"/>
      <w:sz w:val="15"/>
      <w:szCs w:val="15"/>
    </w:rPr>
  </w:style>
  <w:style w:type="character" w:customStyle="1" w:styleId="pbtocauthors1">
    <w:name w:val="pb_toc_authors1"/>
    <w:basedOn w:val="DefaultParagraphFont"/>
    <w:rsid w:val="0007691A"/>
    <w:rPr>
      <w:rFonts w:ascii="Verdana" w:hAnsi="Verdana" w:hint="default"/>
      <w:b w:val="0"/>
      <w:bCs w:val="0"/>
      <w:color w:val="000000"/>
      <w:sz w:val="15"/>
      <w:szCs w:val="15"/>
    </w:rPr>
  </w:style>
  <w:style w:type="character" w:customStyle="1" w:styleId="pbtocpages1">
    <w:name w:val="pb_toc_pages1"/>
    <w:basedOn w:val="DefaultParagraphFont"/>
    <w:rsid w:val="0007691A"/>
    <w:rPr>
      <w:rFonts w:ascii="Verdana" w:hAnsi="Verdana" w:hint="default"/>
      <w:b w:val="0"/>
      <w:bCs w:val="0"/>
      <w:color w:val="000000"/>
      <w:sz w:val="15"/>
      <w:szCs w:val="15"/>
    </w:rPr>
  </w:style>
  <w:style w:type="character" w:styleId="LineNumber">
    <w:name w:val="line number"/>
    <w:basedOn w:val="DefaultParagraphFont"/>
    <w:uiPriority w:val="99"/>
    <w:semiHidden/>
    <w:unhideWhenUsed/>
    <w:rsid w:val="00B908E7"/>
  </w:style>
  <w:style w:type="character" w:customStyle="1" w:styleId="Heading2Char">
    <w:name w:val="Heading 2 Char"/>
    <w:basedOn w:val="DefaultParagraphFont"/>
    <w:link w:val="Heading2"/>
    <w:uiPriority w:val="9"/>
    <w:rsid w:val="002F61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61DE"/>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C63"/>
    <w:rPr>
      <w:rFonts w:ascii="Times New Roman" w:hAnsi="Times New Roman"/>
      <w:sz w:val="24"/>
    </w:rPr>
  </w:style>
  <w:style w:type="paragraph" w:styleId="Heading1">
    <w:name w:val="heading 1"/>
    <w:basedOn w:val="Normal"/>
    <w:next w:val="Normal"/>
    <w:link w:val="Heading1Char"/>
    <w:uiPriority w:val="9"/>
    <w:qFormat/>
    <w:rsid w:val="00AC4C63"/>
    <w:pPr>
      <w:keepNext/>
      <w:keepLines/>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F61D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61D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4C63"/>
    <w:rPr>
      <w:rFonts w:asciiTheme="majorHAnsi" w:eastAsiaTheme="majorEastAsia" w:hAnsiTheme="majorHAnsi" w:cstheme="majorBidi"/>
      <w:b/>
      <w:bCs/>
      <w:sz w:val="28"/>
      <w:szCs w:val="28"/>
    </w:rPr>
  </w:style>
  <w:style w:type="table" w:styleId="TableGrid">
    <w:name w:val="Table Grid"/>
    <w:basedOn w:val="TableNormal"/>
    <w:uiPriority w:val="59"/>
    <w:rsid w:val="00AF3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47637"/>
    <w:rPr>
      <w:rFonts w:ascii="Tahoma" w:hAnsi="Tahoma" w:cs="Tahoma"/>
      <w:sz w:val="16"/>
      <w:szCs w:val="16"/>
    </w:rPr>
  </w:style>
  <w:style w:type="character" w:customStyle="1" w:styleId="BalloonTextChar">
    <w:name w:val="Balloon Text Char"/>
    <w:basedOn w:val="DefaultParagraphFont"/>
    <w:link w:val="BalloonText"/>
    <w:uiPriority w:val="99"/>
    <w:semiHidden/>
    <w:rsid w:val="00D47637"/>
    <w:rPr>
      <w:rFonts w:ascii="Tahoma" w:hAnsi="Tahoma" w:cs="Tahoma"/>
      <w:sz w:val="16"/>
      <w:szCs w:val="16"/>
    </w:rPr>
  </w:style>
  <w:style w:type="character" w:styleId="Hyperlink">
    <w:name w:val="Hyperlink"/>
    <w:basedOn w:val="DefaultParagraphFont"/>
    <w:uiPriority w:val="99"/>
    <w:unhideWhenUsed/>
    <w:rsid w:val="00F353EF"/>
    <w:rPr>
      <w:color w:val="0000FF" w:themeColor="hyperlink"/>
      <w:u w:val="single"/>
    </w:rPr>
  </w:style>
  <w:style w:type="paragraph" w:styleId="ListParagraph">
    <w:name w:val="List Paragraph"/>
    <w:basedOn w:val="Normal"/>
    <w:uiPriority w:val="34"/>
    <w:qFormat/>
    <w:rsid w:val="00576CEE"/>
    <w:pPr>
      <w:ind w:left="720"/>
      <w:contextualSpacing/>
    </w:pPr>
  </w:style>
  <w:style w:type="character" w:styleId="CommentReference">
    <w:name w:val="annotation reference"/>
    <w:basedOn w:val="DefaultParagraphFont"/>
    <w:uiPriority w:val="99"/>
    <w:semiHidden/>
    <w:unhideWhenUsed/>
    <w:rsid w:val="00B46E71"/>
    <w:rPr>
      <w:sz w:val="16"/>
      <w:szCs w:val="16"/>
    </w:rPr>
  </w:style>
  <w:style w:type="paragraph" w:styleId="CommentText">
    <w:name w:val="annotation text"/>
    <w:basedOn w:val="Normal"/>
    <w:link w:val="CommentTextChar"/>
    <w:uiPriority w:val="99"/>
    <w:semiHidden/>
    <w:unhideWhenUsed/>
    <w:rsid w:val="00B46E71"/>
    <w:rPr>
      <w:sz w:val="20"/>
      <w:szCs w:val="20"/>
    </w:rPr>
  </w:style>
  <w:style w:type="character" w:customStyle="1" w:styleId="CommentTextChar">
    <w:name w:val="Comment Text Char"/>
    <w:basedOn w:val="DefaultParagraphFont"/>
    <w:link w:val="CommentText"/>
    <w:uiPriority w:val="99"/>
    <w:semiHidden/>
    <w:rsid w:val="00B46E71"/>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46E71"/>
    <w:rPr>
      <w:b/>
      <w:bCs/>
    </w:rPr>
  </w:style>
  <w:style w:type="character" w:customStyle="1" w:styleId="CommentSubjectChar">
    <w:name w:val="Comment Subject Char"/>
    <w:basedOn w:val="CommentTextChar"/>
    <w:link w:val="CommentSubject"/>
    <w:uiPriority w:val="99"/>
    <w:semiHidden/>
    <w:rsid w:val="00B46E71"/>
    <w:rPr>
      <w:rFonts w:ascii="Times New Roman" w:hAnsi="Times New Roman"/>
      <w:b/>
      <w:bCs/>
      <w:sz w:val="20"/>
      <w:szCs w:val="20"/>
    </w:rPr>
  </w:style>
  <w:style w:type="paragraph" w:styleId="NormalWeb">
    <w:name w:val="Normal (Web)"/>
    <w:basedOn w:val="Normal"/>
    <w:uiPriority w:val="99"/>
    <w:semiHidden/>
    <w:unhideWhenUsed/>
    <w:rsid w:val="008314E5"/>
    <w:pPr>
      <w:spacing w:after="180"/>
    </w:pPr>
    <w:rPr>
      <w:rFonts w:eastAsia="Times New Roman" w:cs="Times New Roman"/>
      <w:sz w:val="20"/>
      <w:szCs w:val="20"/>
      <w:lang w:eastAsia="en-GB"/>
    </w:rPr>
  </w:style>
  <w:style w:type="character" w:styleId="Strong">
    <w:name w:val="Strong"/>
    <w:basedOn w:val="DefaultParagraphFont"/>
    <w:uiPriority w:val="22"/>
    <w:qFormat/>
    <w:rsid w:val="00F9034B"/>
    <w:rPr>
      <w:b/>
      <w:bCs/>
    </w:rPr>
  </w:style>
  <w:style w:type="paragraph" w:customStyle="1" w:styleId="MTDisplayEquation">
    <w:name w:val="MTDisplayEquation"/>
    <w:basedOn w:val="Normal"/>
    <w:next w:val="Normal"/>
    <w:link w:val="MTDisplayEquationChar"/>
    <w:rsid w:val="00850E18"/>
    <w:pPr>
      <w:tabs>
        <w:tab w:val="center" w:pos="4520"/>
        <w:tab w:val="right" w:pos="9020"/>
      </w:tabs>
      <w:spacing w:after="200" w:line="276" w:lineRule="auto"/>
    </w:pPr>
    <w:rPr>
      <w:rFonts w:asciiTheme="minorHAnsi" w:hAnsiTheme="minorHAnsi"/>
      <w:sz w:val="22"/>
    </w:rPr>
  </w:style>
  <w:style w:type="character" w:customStyle="1" w:styleId="MTDisplayEquationChar">
    <w:name w:val="MTDisplayEquation Char"/>
    <w:basedOn w:val="DefaultParagraphFont"/>
    <w:link w:val="MTDisplayEquation"/>
    <w:rsid w:val="00850E18"/>
  </w:style>
  <w:style w:type="character" w:customStyle="1" w:styleId="label2">
    <w:name w:val="label2"/>
    <w:basedOn w:val="DefaultParagraphFont"/>
    <w:rsid w:val="00E67246"/>
  </w:style>
  <w:style w:type="character" w:customStyle="1" w:styleId="databold1">
    <w:name w:val="data_bold1"/>
    <w:basedOn w:val="DefaultParagraphFont"/>
    <w:rsid w:val="00E67246"/>
    <w:rPr>
      <w:b/>
      <w:bCs/>
    </w:rPr>
  </w:style>
  <w:style w:type="paragraph" w:customStyle="1" w:styleId="Default">
    <w:name w:val="Default"/>
    <w:rsid w:val="009B6FEC"/>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6252C"/>
    <w:rPr>
      <w:color w:val="800080" w:themeColor="followedHyperlink"/>
      <w:u w:val="single"/>
    </w:rPr>
  </w:style>
  <w:style w:type="paragraph" w:customStyle="1" w:styleId="sourcetitle">
    <w:name w:val="sourcetitle"/>
    <w:basedOn w:val="Normal"/>
    <w:rsid w:val="00AD576A"/>
    <w:rPr>
      <w:rFonts w:eastAsia="Times New Roman" w:cs="Times New Roman"/>
      <w:b/>
      <w:bCs/>
      <w:szCs w:val="24"/>
      <w:lang w:eastAsia="en-GB"/>
    </w:rPr>
  </w:style>
  <w:style w:type="paragraph" w:customStyle="1" w:styleId="frfield">
    <w:name w:val="fr_field"/>
    <w:basedOn w:val="Normal"/>
    <w:rsid w:val="00AD576A"/>
    <w:pPr>
      <w:spacing w:after="25" w:line="275" w:lineRule="atLeast"/>
    </w:pPr>
    <w:rPr>
      <w:rFonts w:eastAsia="Times New Roman" w:cs="Times New Roman"/>
      <w:szCs w:val="24"/>
      <w:lang w:eastAsia="en-GB"/>
    </w:rPr>
  </w:style>
  <w:style w:type="character" w:customStyle="1" w:styleId="frlabel1">
    <w:name w:val="fr_label1"/>
    <w:basedOn w:val="DefaultParagraphFont"/>
    <w:rsid w:val="00AD576A"/>
    <w:rPr>
      <w:b/>
      <w:bCs/>
    </w:rPr>
  </w:style>
  <w:style w:type="character" w:customStyle="1" w:styleId="hithilite3">
    <w:name w:val="hithilite3"/>
    <w:basedOn w:val="DefaultParagraphFont"/>
    <w:rsid w:val="00AD576A"/>
    <w:rPr>
      <w:shd w:val="clear" w:color="auto" w:fill="FFFF00"/>
    </w:rPr>
  </w:style>
  <w:style w:type="character" w:styleId="Emphasis">
    <w:name w:val="Emphasis"/>
    <w:basedOn w:val="DefaultParagraphFont"/>
    <w:uiPriority w:val="20"/>
    <w:qFormat/>
    <w:rsid w:val="00B81584"/>
    <w:rPr>
      <w:i/>
      <w:iCs/>
    </w:rPr>
  </w:style>
  <w:style w:type="character" w:customStyle="1" w:styleId="pbtocarticletitle1">
    <w:name w:val="pb_toc_article_title1"/>
    <w:basedOn w:val="DefaultParagraphFont"/>
    <w:rsid w:val="0007691A"/>
    <w:rPr>
      <w:rFonts w:ascii="Verdana" w:hAnsi="Verdana" w:hint="default"/>
      <w:b/>
      <w:bCs/>
      <w:color w:val="000000"/>
      <w:sz w:val="15"/>
      <w:szCs w:val="15"/>
    </w:rPr>
  </w:style>
  <w:style w:type="character" w:customStyle="1" w:styleId="pbtocauthors1">
    <w:name w:val="pb_toc_authors1"/>
    <w:basedOn w:val="DefaultParagraphFont"/>
    <w:rsid w:val="0007691A"/>
    <w:rPr>
      <w:rFonts w:ascii="Verdana" w:hAnsi="Verdana" w:hint="default"/>
      <w:b w:val="0"/>
      <w:bCs w:val="0"/>
      <w:color w:val="000000"/>
      <w:sz w:val="15"/>
      <w:szCs w:val="15"/>
    </w:rPr>
  </w:style>
  <w:style w:type="character" w:customStyle="1" w:styleId="pbtocpages1">
    <w:name w:val="pb_toc_pages1"/>
    <w:basedOn w:val="DefaultParagraphFont"/>
    <w:rsid w:val="0007691A"/>
    <w:rPr>
      <w:rFonts w:ascii="Verdana" w:hAnsi="Verdana" w:hint="default"/>
      <w:b w:val="0"/>
      <w:bCs w:val="0"/>
      <w:color w:val="000000"/>
      <w:sz w:val="15"/>
      <w:szCs w:val="15"/>
    </w:rPr>
  </w:style>
  <w:style w:type="character" w:styleId="LineNumber">
    <w:name w:val="line number"/>
    <w:basedOn w:val="DefaultParagraphFont"/>
    <w:uiPriority w:val="99"/>
    <w:semiHidden/>
    <w:unhideWhenUsed/>
    <w:rsid w:val="00B908E7"/>
  </w:style>
  <w:style w:type="character" w:customStyle="1" w:styleId="Heading2Char">
    <w:name w:val="Heading 2 Char"/>
    <w:basedOn w:val="DefaultParagraphFont"/>
    <w:link w:val="Heading2"/>
    <w:uiPriority w:val="9"/>
    <w:rsid w:val="002F61DE"/>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61D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326942">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492408940">
          <w:marLeft w:val="0"/>
          <w:marRight w:val="0"/>
          <w:marTop w:val="0"/>
          <w:marBottom w:val="0"/>
          <w:divBdr>
            <w:top w:val="none" w:sz="0" w:space="0" w:color="auto"/>
            <w:left w:val="none" w:sz="0" w:space="0" w:color="auto"/>
            <w:bottom w:val="none" w:sz="0" w:space="0" w:color="auto"/>
            <w:right w:val="none" w:sz="0" w:space="0" w:color="auto"/>
          </w:divBdr>
          <w:divsChild>
            <w:div w:id="462038741">
              <w:marLeft w:val="0"/>
              <w:marRight w:val="0"/>
              <w:marTop w:val="0"/>
              <w:marBottom w:val="150"/>
              <w:divBdr>
                <w:top w:val="none" w:sz="0" w:space="0" w:color="auto"/>
                <w:left w:val="none" w:sz="0" w:space="0" w:color="auto"/>
                <w:bottom w:val="none" w:sz="0" w:space="0" w:color="auto"/>
                <w:right w:val="none" w:sz="0" w:space="0" w:color="auto"/>
              </w:divBdr>
              <w:divsChild>
                <w:div w:id="1920630390">
                  <w:marLeft w:val="0"/>
                  <w:marRight w:val="0"/>
                  <w:marTop w:val="0"/>
                  <w:marBottom w:val="0"/>
                  <w:divBdr>
                    <w:top w:val="none" w:sz="0" w:space="0" w:color="auto"/>
                    <w:left w:val="none" w:sz="0" w:space="0" w:color="auto"/>
                    <w:bottom w:val="none" w:sz="0" w:space="0" w:color="auto"/>
                    <w:right w:val="none" w:sz="0" w:space="0" w:color="auto"/>
                  </w:divBdr>
                  <w:divsChild>
                    <w:div w:id="1000348733">
                      <w:marLeft w:val="150"/>
                      <w:marRight w:val="0"/>
                      <w:marTop w:val="1200"/>
                      <w:marBottom w:val="0"/>
                      <w:divBdr>
                        <w:top w:val="none" w:sz="0" w:space="0" w:color="auto"/>
                        <w:left w:val="none" w:sz="0" w:space="0" w:color="auto"/>
                        <w:bottom w:val="none" w:sz="0" w:space="0" w:color="auto"/>
                        <w:right w:val="none" w:sz="0" w:space="0" w:color="auto"/>
                      </w:divBdr>
                      <w:divsChild>
                        <w:div w:id="1182008438">
                          <w:marLeft w:val="0"/>
                          <w:marRight w:val="0"/>
                          <w:marTop w:val="0"/>
                          <w:marBottom w:val="0"/>
                          <w:divBdr>
                            <w:top w:val="none" w:sz="0" w:space="0" w:color="auto"/>
                            <w:left w:val="none" w:sz="0" w:space="0" w:color="auto"/>
                            <w:bottom w:val="none" w:sz="0" w:space="0" w:color="auto"/>
                            <w:right w:val="none" w:sz="0" w:space="0" w:color="auto"/>
                          </w:divBdr>
                          <w:divsChild>
                            <w:div w:id="24746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582900">
      <w:bodyDiv w:val="1"/>
      <w:marLeft w:val="0"/>
      <w:marRight w:val="0"/>
      <w:marTop w:val="0"/>
      <w:marBottom w:val="0"/>
      <w:divBdr>
        <w:top w:val="none" w:sz="0" w:space="0" w:color="auto"/>
        <w:left w:val="none" w:sz="0" w:space="0" w:color="auto"/>
        <w:bottom w:val="none" w:sz="0" w:space="0" w:color="auto"/>
        <w:right w:val="none" w:sz="0" w:space="0" w:color="auto"/>
      </w:divBdr>
      <w:divsChild>
        <w:div w:id="867762250">
          <w:marLeft w:val="0"/>
          <w:marRight w:val="0"/>
          <w:marTop w:val="0"/>
          <w:marBottom w:val="0"/>
          <w:divBdr>
            <w:top w:val="none" w:sz="0" w:space="0" w:color="auto"/>
            <w:left w:val="none" w:sz="0" w:space="0" w:color="auto"/>
            <w:bottom w:val="none" w:sz="0" w:space="0" w:color="auto"/>
            <w:right w:val="none" w:sz="0" w:space="0" w:color="auto"/>
          </w:divBdr>
          <w:divsChild>
            <w:div w:id="1194077212">
              <w:marLeft w:val="0"/>
              <w:marRight w:val="0"/>
              <w:marTop w:val="0"/>
              <w:marBottom w:val="0"/>
              <w:divBdr>
                <w:top w:val="none" w:sz="0" w:space="0" w:color="auto"/>
                <w:left w:val="none" w:sz="0" w:space="0" w:color="auto"/>
                <w:bottom w:val="none" w:sz="0" w:space="0" w:color="auto"/>
                <w:right w:val="none" w:sz="0" w:space="0" w:color="auto"/>
              </w:divBdr>
              <w:divsChild>
                <w:div w:id="188378271">
                  <w:marLeft w:val="0"/>
                  <w:marRight w:val="0"/>
                  <w:marTop w:val="0"/>
                  <w:marBottom w:val="0"/>
                  <w:divBdr>
                    <w:top w:val="none" w:sz="0" w:space="0" w:color="auto"/>
                    <w:left w:val="none" w:sz="0" w:space="0" w:color="auto"/>
                    <w:bottom w:val="none" w:sz="0" w:space="0" w:color="auto"/>
                    <w:right w:val="none" w:sz="0" w:space="0" w:color="auto"/>
                  </w:divBdr>
                  <w:divsChild>
                    <w:div w:id="201532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601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2114012834">
          <w:marLeft w:val="0"/>
          <w:marRight w:val="0"/>
          <w:marTop w:val="0"/>
          <w:marBottom w:val="0"/>
          <w:divBdr>
            <w:top w:val="none" w:sz="0" w:space="0" w:color="auto"/>
            <w:left w:val="none" w:sz="0" w:space="0" w:color="auto"/>
            <w:bottom w:val="none" w:sz="0" w:space="0" w:color="auto"/>
            <w:right w:val="none" w:sz="0" w:space="0" w:color="auto"/>
          </w:divBdr>
          <w:divsChild>
            <w:div w:id="1886913639">
              <w:marLeft w:val="0"/>
              <w:marRight w:val="0"/>
              <w:marTop w:val="0"/>
              <w:marBottom w:val="150"/>
              <w:divBdr>
                <w:top w:val="none" w:sz="0" w:space="0" w:color="auto"/>
                <w:left w:val="none" w:sz="0" w:space="0" w:color="auto"/>
                <w:bottom w:val="none" w:sz="0" w:space="0" w:color="auto"/>
                <w:right w:val="none" w:sz="0" w:space="0" w:color="auto"/>
              </w:divBdr>
              <w:divsChild>
                <w:div w:id="1137604316">
                  <w:marLeft w:val="0"/>
                  <w:marRight w:val="0"/>
                  <w:marTop w:val="0"/>
                  <w:marBottom w:val="0"/>
                  <w:divBdr>
                    <w:top w:val="none" w:sz="0" w:space="0" w:color="auto"/>
                    <w:left w:val="none" w:sz="0" w:space="0" w:color="auto"/>
                    <w:bottom w:val="none" w:sz="0" w:space="0" w:color="auto"/>
                    <w:right w:val="none" w:sz="0" w:space="0" w:color="auto"/>
                  </w:divBdr>
                  <w:divsChild>
                    <w:div w:id="1611353799">
                      <w:marLeft w:val="150"/>
                      <w:marRight w:val="0"/>
                      <w:marTop w:val="1200"/>
                      <w:marBottom w:val="0"/>
                      <w:divBdr>
                        <w:top w:val="none" w:sz="0" w:space="0" w:color="auto"/>
                        <w:left w:val="none" w:sz="0" w:space="0" w:color="auto"/>
                        <w:bottom w:val="none" w:sz="0" w:space="0" w:color="auto"/>
                        <w:right w:val="none" w:sz="0" w:space="0" w:color="auto"/>
                      </w:divBdr>
                      <w:divsChild>
                        <w:div w:id="970016448">
                          <w:marLeft w:val="0"/>
                          <w:marRight w:val="0"/>
                          <w:marTop w:val="0"/>
                          <w:marBottom w:val="0"/>
                          <w:divBdr>
                            <w:top w:val="none" w:sz="0" w:space="0" w:color="auto"/>
                            <w:left w:val="none" w:sz="0" w:space="0" w:color="auto"/>
                            <w:bottom w:val="none" w:sz="0" w:space="0" w:color="auto"/>
                            <w:right w:val="none" w:sz="0" w:space="0" w:color="auto"/>
                          </w:divBdr>
                          <w:divsChild>
                            <w:div w:id="5043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109818">
      <w:bodyDiv w:val="1"/>
      <w:marLeft w:val="0"/>
      <w:marRight w:val="0"/>
      <w:marTop w:val="0"/>
      <w:marBottom w:val="225"/>
      <w:divBdr>
        <w:top w:val="none" w:sz="0" w:space="0" w:color="auto"/>
        <w:left w:val="none" w:sz="0" w:space="0" w:color="auto"/>
        <w:bottom w:val="none" w:sz="0" w:space="0" w:color="auto"/>
        <w:right w:val="none" w:sz="0" w:space="0" w:color="auto"/>
      </w:divBdr>
      <w:divsChild>
        <w:div w:id="13504399">
          <w:marLeft w:val="0"/>
          <w:marRight w:val="0"/>
          <w:marTop w:val="0"/>
          <w:marBottom w:val="0"/>
          <w:divBdr>
            <w:top w:val="none" w:sz="0" w:space="0" w:color="auto"/>
            <w:left w:val="none" w:sz="0" w:space="0" w:color="auto"/>
            <w:bottom w:val="none" w:sz="0" w:space="0" w:color="auto"/>
            <w:right w:val="none" w:sz="0" w:space="0" w:color="auto"/>
          </w:divBdr>
        </w:div>
        <w:div w:id="1736929660">
          <w:marLeft w:val="0"/>
          <w:marRight w:val="0"/>
          <w:marTop w:val="0"/>
          <w:marBottom w:val="0"/>
          <w:divBdr>
            <w:top w:val="none" w:sz="0" w:space="0" w:color="auto"/>
            <w:left w:val="none" w:sz="0" w:space="0" w:color="auto"/>
            <w:bottom w:val="none" w:sz="0" w:space="0" w:color="auto"/>
            <w:right w:val="none" w:sz="0" w:space="0" w:color="auto"/>
          </w:divBdr>
        </w:div>
        <w:div w:id="1947079314">
          <w:marLeft w:val="0"/>
          <w:marRight w:val="0"/>
          <w:marTop w:val="0"/>
          <w:marBottom w:val="0"/>
          <w:divBdr>
            <w:top w:val="none" w:sz="0" w:space="0" w:color="auto"/>
            <w:left w:val="none" w:sz="0" w:space="0" w:color="auto"/>
            <w:bottom w:val="none" w:sz="0" w:space="0" w:color="auto"/>
            <w:right w:val="none" w:sz="0" w:space="0" w:color="auto"/>
          </w:divBdr>
        </w:div>
      </w:divsChild>
    </w:div>
    <w:div w:id="1488782413">
      <w:bodyDiv w:val="1"/>
      <w:marLeft w:val="0"/>
      <w:marRight w:val="0"/>
      <w:marTop w:val="0"/>
      <w:marBottom w:val="0"/>
      <w:divBdr>
        <w:top w:val="none" w:sz="0" w:space="0" w:color="auto"/>
        <w:left w:val="none" w:sz="0" w:space="0" w:color="auto"/>
        <w:bottom w:val="none" w:sz="0" w:space="0" w:color="auto"/>
        <w:right w:val="none" w:sz="0" w:space="0" w:color="auto"/>
      </w:divBdr>
      <w:divsChild>
        <w:div w:id="1977642748">
          <w:marLeft w:val="0"/>
          <w:marRight w:val="0"/>
          <w:marTop w:val="0"/>
          <w:marBottom w:val="0"/>
          <w:divBdr>
            <w:top w:val="none" w:sz="0" w:space="0" w:color="auto"/>
            <w:left w:val="none" w:sz="0" w:space="0" w:color="auto"/>
            <w:bottom w:val="none" w:sz="0" w:space="0" w:color="auto"/>
            <w:right w:val="none" w:sz="0" w:space="0" w:color="auto"/>
          </w:divBdr>
          <w:divsChild>
            <w:div w:id="919018744">
              <w:marLeft w:val="0"/>
              <w:marRight w:val="0"/>
              <w:marTop w:val="0"/>
              <w:marBottom w:val="0"/>
              <w:divBdr>
                <w:top w:val="none" w:sz="0" w:space="0" w:color="auto"/>
                <w:left w:val="none" w:sz="0" w:space="0" w:color="auto"/>
                <w:bottom w:val="none" w:sz="0" w:space="0" w:color="auto"/>
                <w:right w:val="none" w:sz="0" w:space="0" w:color="auto"/>
              </w:divBdr>
              <w:divsChild>
                <w:div w:id="340157682">
                  <w:marLeft w:val="0"/>
                  <w:marRight w:val="0"/>
                  <w:marTop w:val="0"/>
                  <w:marBottom w:val="0"/>
                  <w:divBdr>
                    <w:top w:val="none" w:sz="0" w:space="0" w:color="auto"/>
                    <w:left w:val="none" w:sz="0" w:space="0" w:color="auto"/>
                    <w:bottom w:val="none" w:sz="0" w:space="0" w:color="auto"/>
                    <w:right w:val="none" w:sz="0" w:space="0" w:color="auto"/>
                  </w:divBdr>
                  <w:divsChild>
                    <w:div w:id="674458845">
                      <w:marLeft w:val="0"/>
                      <w:marRight w:val="0"/>
                      <w:marTop w:val="0"/>
                      <w:marBottom w:val="0"/>
                      <w:divBdr>
                        <w:top w:val="none" w:sz="0" w:space="0" w:color="auto"/>
                        <w:left w:val="none" w:sz="0" w:space="0" w:color="auto"/>
                        <w:bottom w:val="none" w:sz="0" w:space="0" w:color="auto"/>
                        <w:right w:val="none" w:sz="0" w:space="0" w:color="auto"/>
                      </w:divBdr>
                      <w:divsChild>
                        <w:div w:id="1345084677">
                          <w:marLeft w:val="0"/>
                          <w:marRight w:val="0"/>
                          <w:marTop w:val="0"/>
                          <w:marBottom w:val="0"/>
                          <w:divBdr>
                            <w:top w:val="none" w:sz="0" w:space="0" w:color="auto"/>
                            <w:left w:val="none" w:sz="0" w:space="0" w:color="auto"/>
                            <w:bottom w:val="none" w:sz="0" w:space="0" w:color="auto"/>
                            <w:right w:val="none" w:sz="0" w:space="0" w:color="auto"/>
                          </w:divBdr>
                          <w:divsChild>
                            <w:div w:id="1359162083">
                              <w:marLeft w:val="0"/>
                              <w:marRight w:val="0"/>
                              <w:marTop w:val="0"/>
                              <w:marBottom w:val="0"/>
                              <w:divBdr>
                                <w:top w:val="none" w:sz="0" w:space="0" w:color="auto"/>
                                <w:left w:val="none" w:sz="0" w:space="0" w:color="auto"/>
                                <w:bottom w:val="none" w:sz="0" w:space="0" w:color="auto"/>
                                <w:right w:val="none" w:sz="0" w:space="0" w:color="auto"/>
                              </w:divBdr>
                              <w:divsChild>
                                <w:div w:id="1068917649">
                                  <w:marLeft w:val="0"/>
                                  <w:marRight w:val="0"/>
                                  <w:marTop w:val="0"/>
                                  <w:marBottom w:val="0"/>
                                  <w:divBdr>
                                    <w:top w:val="none" w:sz="0" w:space="0" w:color="auto"/>
                                    <w:left w:val="none" w:sz="0" w:space="0" w:color="auto"/>
                                    <w:bottom w:val="none" w:sz="0" w:space="0" w:color="auto"/>
                                    <w:right w:val="none" w:sz="0" w:space="0" w:color="auto"/>
                                  </w:divBdr>
                                  <w:divsChild>
                                    <w:div w:id="877401478">
                                      <w:marLeft w:val="0"/>
                                      <w:marRight w:val="0"/>
                                      <w:marTop w:val="0"/>
                                      <w:marBottom w:val="0"/>
                                      <w:divBdr>
                                        <w:top w:val="none" w:sz="0" w:space="0" w:color="auto"/>
                                        <w:left w:val="none" w:sz="0" w:space="0" w:color="auto"/>
                                        <w:bottom w:val="none" w:sz="0" w:space="0" w:color="auto"/>
                                        <w:right w:val="none" w:sz="0" w:space="0" w:color="auto"/>
                                      </w:divBdr>
                                      <w:divsChild>
                                        <w:div w:id="1104031512">
                                          <w:marLeft w:val="0"/>
                                          <w:marRight w:val="0"/>
                                          <w:marTop w:val="0"/>
                                          <w:marBottom w:val="0"/>
                                          <w:divBdr>
                                            <w:top w:val="none" w:sz="0" w:space="0" w:color="auto"/>
                                            <w:left w:val="none" w:sz="0" w:space="0" w:color="auto"/>
                                            <w:bottom w:val="none" w:sz="0" w:space="0" w:color="auto"/>
                                            <w:right w:val="none" w:sz="0" w:space="0" w:color="auto"/>
                                          </w:divBdr>
                                          <w:divsChild>
                                            <w:div w:id="1933664695">
                                              <w:marLeft w:val="0"/>
                                              <w:marRight w:val="0"/>
                                              <w:marTop w:val="0"/>
                                              <w:marBottom w:val="0"/>
                                              <w:divBdr>
                                                <w:top w:val="none" w:sz="0" w:space="0" w:color="auto"/>
                                                <w:left w:val="none" w:sz="0" w:space="0" w:color="auto"/>
                                                <w:bottom w:val="none" w:sz="0" w:space="0" w:color="auto"/>
                                                <w:right w:val="none" w:sz="0" w:space="0" w:color="auto"/>
                                              </w:divBdr>
                                              <w:divsChild>
                                                <w:div w:id="6743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4032531">
      <w:bodyDiv w:val="1"/>
      <w:marLeft w:val="0"/>
      <w:marRight w:val="0"/>
      <w:marTop w:val="0"/>
      <w:marBottom w:val="0"/>
      <w:divBdr>
        <w:top w:val="none" w:sz="0" w:space="0" w:color="auto"/>
        <w:left w:val="none" w:sz="0" w:space="0" w:color="auto"/>
        <w:bottom w:val="none" w:sz="0" w:space="0" w:color="auto"/>
        <w:right w:val="none" w:sz="0" w:space="0" w:color="auto"/>
      </w:divBdr>
      <w:divsChild>
        <w:div w:id="1321277238">
          <w:marLeft w:val="0"/>
          <w:marRight w:val="0"/>
          <w:marTop w:val="0"/>
          <w:marBottom w:val="0"/>
          <w:divBdr>
            <w:top w:val="none" w:sz="0" w:space="0" w:color="auto"/>
            <w:left w:val="none" w:sz="0" w:space="0" w:color="auto"/>
            <w:bottom w:val="none" w:sz="0" w:space="0" w:color="auto"/>
            <w:right w:val="none" w:sz="0" w:space="0" w:color="auto"/>
          </w:divBdr>
          <w:divsChild>
            <w:div w:id="1411148856">
              <w:marLeft w:val="0"/>
              <w:marRight w:val="0"/>
              <w:marTop w:val="0"/>
              <w:marBottom w:val="0"/>
              <w:divBdr>
                <w:top w:val="none" w:sz="0" w:space="0" w:color="auto"/>
                <w:left w:val="none" w:sz="0" w:space="0" w:color="auto"/>
                <w:bottom w:val="none" w:sz="0" w:space="0" w:color="auto"/>
                <w:right w:val="none" w:sz="0" w:space="0" w:color="auto"/>
              </w:divBdr>
              <w:divsChild>
                <w:div w:id="835925461">
                  <w:marLeft w:val="0"/>
                  <w:marRight w:val="0"/>
                  <w:marTop w:val="0"/>
                  <w:marBottom w:val="0"/>
                  <w:divBdr>
                    <w:top w:val="none" w:sz="0" w:space="0" w:color="auto"/>
                    <w:left w:val="none" w:sz="0" w:space="0" w:color="auto"/>
                    <w:bottom w:val="none" w:sz="0" w:space="0" w:color="auto"/>
                    <w:right w:val="none" w:sz="0" w:space="0" w:color="auto"/>
                  </w:divBdr>
                  <w:divsChild>
                    <w:div w:id="351928605">
                      <w:marLeft w:val="0"/>
                      <w:marRight w:val="0"/>
                      <w:marTop w:val="0"/>
                      <w:marBottom w:val="0"/>
                      <w:divBdr>
                        <w:top w:val="none" w:sz="0" w:space="0" w:color="auto"/>
                        <w:left w:val="none" w:sz="0" w:space="0" w:color="auto"/>
                        <w:bottom w:val="none" w:sz="0" w:space="0" w:color="auto"/>
                        <w:right w:val="none" w:sz="0" w:space="0" w:color="auto"/>
                      </w:divBdr>
                      <w:divsChild>
                        <w:div w:id="182866136">
                          <w:marLeft w:val="0"/>
                          <w:marRight w:val="0"/>
                          <w:marTop w:val="0"/>
                          <w:marBottom w:val="0"/>
                          <w:divBdr>
                            <w:top w:val="none" w:sz="0" w:space="0" w:color="auto"/>
                            <w:left w:val="none" w:sz="0" w:space="0" w:color="auto"/>
                            <w:bottom w:val="none" w:sz="0" w:space="0" w:color="auto"/>
                            <w:right w:val="none" w:sz="0" w:space="0" w:color="auto"/>
                          </w:divBdr>
                          <w:divsChild>
                            <w:div w:id="1100643520">
                              <w:marLeft w:val="0"/>
                              <w:marRight w:val="0"/>
                              <w:marTop w:val="0"/>
                              <w:marBottom w:val="0"/>
                              <w:divBdr>
                                <w:top w:val="single" w:sz="4" w:space="0" w:color="D3D3D3"/>
                                <w:left w:val="none" w:sz="0" w:space="0" w:color="auto"/>
                                <w:bottom w:val="none" w:sz="0" w:space="0" w:color="auto"/>
                                <w:right w:val="none" w:sz="0" w:space="0" w:color="auto"/>
                              </w:divBdr>
                              <w:divsChild>
                                <w:div w:id="986593005">
                                  <w:marLeft w:val="0"/>
                                  <w:marRight w:val="0"/>
                                  <w:marTop w:val="0"/>
                                  <w:marBottom w:val="0"/>
                                  <w:divBdr>
                                    <w:top w:val="none" w:sz="0" w:space="0" w:color="auto"/>
                                    <w:left w:val="none" w:sz="0" w:space="0" w:color="auto"/>
                                    <w:bottom w:val="none" w:sz="0" w:space="0" w:color="auto"/>
                                    <w:right w:val="none" w:sz="0" w:space="0" w:color="auto"/>
                                  </w:divBdr>
                                  <w:divsChild>
                                    <w:div w:id="590360922">
                                      <w:marLeft w:val="275"/>
                                      <w:marRight w:val="275"/>
                                      <w:marTop w:val="0"/>
                                      <w:marBottom w:val="275"/>
                                      <w:divBdr>
                                        <w:top w:val="none" w:sz="0" w:space="0" w:color="auto"/>
                                        <w:left w:val="none" w:sz="0" w:space="0" w:color="auto"/>
                                        <w:bottom w:val="none" w:sz="0" w:space="0" w:color="auto"/>
                                        <w:right w:val="none" w:sz="0" w:space="0" w:color="auto"/>
                                      </w:divBdr>
                                    </w:div>
                                    <w:div w:id="1451440774">
                                      <w:marLeft w:val="275"/>
                                      <w:marRight w:val="275"/>
                                      <w:marTop w:val="0"/>
                                      <w:marBottom w:val="275"/>
                                      <w:divBdr>
                                        <w:top w:val="none" w:sz="0" w:space="0" w:color="auto"/>
                                        <w:left w:val="none" w:sz="0" w:space="0" w:color="auto"/>
                                        <w:bottom w:val="none" w:sz="0" w:space="0" w:color="auto"/>
                                        <w:right w:val="none" w:sz="0" w:space="0" w:color="auto"/>
                                      </w:divBdr>
                                      <w:divsChild>
                                        <w:div w:id="1590120586">
                                          <w:marLeft w:val="0"/>
                                          <w:marRight w:val="0"/>
                                          <w:marTop w:val="0"/>
                                          <w:marBottom w:val="0"/>
                                          <w:divBdr>
                                            <w:top w:val="none" w:sz="0" w:space="0" w:color="auto"/>
                                            <w:left w:val="none" w:sz="0" w:space="0" w:color="auto"/>
                                            <w:bottom w:val="none" w:sz="0" w:space="0" w:color="auto"/>
                                            <w:right w:val="none" w:sz="0" w:space="0" w:color="auto"/>
                                          </w:divBdr>
                                        </w:div>
                                      </w:divsChild>
                                    </w:div>
                                    <w:div w:id="1768426471">
                                      <w:marLeft w:val="275"/>
                                      <w:marRight w:val="275"/>
                                      <w:marTop w:val="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8753661">
      <w:bodyDiv w:val="1"/>
      <w:marLeft w:val="0"/>
      <w:marRight w:val="0"/>
      <w:marTop w:val="0"/>
      <w:marBottom w:val="0"/>
      <w:divBdr>
        <w:top w:val="none" w:sz="0" w:space="0" w:color="auto"/>
        <w:left w:val="none" w:sz="0" w:space="0" w:color="auto"/>
        <w:bottom w:val="none" w:sz="0" w:space="0" w:color="auto"/>
        <w:right w:val="none" w:sz="0" w:space="0" w:color="auto"/>
      </w:divBdr>
      <w:divsChild>
        <w:div w:id="1001157613">
          <w:marLeft w:val="0"/>
          <w:marRight w:val="0"/>
          <w:marTop w:val="0"/>
          <w:marBottom w:val="0"/>
          <w:divBdr>
            <w:top w:val="none" w:sz="0" w:space="0" w:color="auto"/>
            <w:left w:val="none" w:sz="0" w:space="0" w:color="auto"/>
            <w:bottom w:val="none" w:sz="0" w:space="0" w:color="auto"/>
            <w:right w:val="none" w:sz="0" w:space="0" w:color="auto"/>
          </w:divBdr>
          <w:divsChild>
            <w:div w:id="478034699">
              <w:marLeft w:val="0"/>
              <w:marRight w:val="0"/>
              <w:marTop w:val="0"/>
              <w:marBottom w:val="0"/>
              <w:divBdr>
                <w:top w:val="none" w:sz="0" w:space="0" w:color="auto"/>
                <w:left w:val="none" w:sz="0" w:space="0" w:color="auto"/>
                <w:bottom w:val="none" w:sz="0" w:space="0" w:color="auto"/>
                <w:right w:val="none" w:sz="0" w:space="0" w:color="auto"/>
              </w:divBdr>
              <w:divsChild>
                <w:div w:id="1131747767">
                  <w:marLeft w:val="0"/>
                  <w:marRight w:val="0"/>
                  <w:marTop w:val="0"/>
                  <w:marBottom w:val="0"/>
                  <w:divBdr>
                    <w:top w:val="none" w:sz="0" w:space="0" w:color="auto"/>
                    <w:left w:val="none" w:sz="0" w:space="0" w:color="auto"/>
                    <w:bottom w:val="none" w:sz="0" w:space="0" w:color="auto"/>
                    <w:right w:val="none" w:sz="0" w:space="0" w:color="auto"/>
                  </w:divBdr>
                  <w:divsChild>
                    <w:div w:id="28149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847947">
      <w:bodyDiv w:val="1"/>
      <w:marLeft w:val="0"/>
      <w:marRight w:val="0"/>
      <w:marTop w:val="0"/>
      <w:marBottom w:val="0"/>
      <w:divBdr>
        <w:top w:val="none" w:sz="0" w:space="0" w:color="auto"/>
        <w:left w:val="none" w:sz="0" w:space="0" w:color="auto"/>
        <w:bottom w:val="none" w:sz="0" w:space="0" w:color="auto"/>
        <w:right w:val="none" w:sz="0" w:space="0" w:color="auto"/>
      </w:divBdr>
      <w:divsChild>
        <w:div w:id="2128766946">
          <w:marLeft w:val="0"/>
          <w:marRight w:val="0"/>
          <w:marTop w:val="100"/>
          <w:marBottom w:val="100"/>
          <w:divBdr>
            <w:top w:val="none" w:sz="0" w:space="0" w:color="auto"/>
            <w:left w:val="none" w:sz="0" w:space="0" w:color="auto"/>
            <w:bottom w:val="none" w:sz="0" w:space="0" w:color="auto"/>
            <w:right w:val="none" w:sz="0" w:space="0" w:color="auto"/>
          </w:divBdr>
          <w:divsChild>
            <w:div w:id="639699605">
              <w:marLeft w:val="0"/>
              <w:marRight w:val="0"/>
              <w:marTop w:val="0"/>
              <w:marBottom w:val="0"/>
              <w:divBdr>
                <w:top w:val="none" w:sz="0" w:space="0" w:color="auto"/>
                <w:left w:val="none" w:sz="0" w:space="0" w:color="auto"/>
                <w:bottom w:val="none" w:sz="0" w:space="0" w:color="auto"/>
                <w:right w:val="none" w:sz="0" w:space="0" w:color="auto"/>
              </w:divBdr>
              <w:divsChild>
                <w:div w:id="1085997661">
                  <w:marLeft w:val="3"/>
                  <w:marRight w:val="3"/>
                  <w:marTop w:val="2"/>
                  <w:marBottom w:val="0"/>
                  <w:divBdr>
                    <w:top w:val="none" w:sz="0" w:space="0" w:color="auto"/>
                    <w:left w:val="none" w:sz="0" w:space="0" w:color="auto"/>
                    <w:bottom w:val="none" w:sz="0" w:space="0" w:color="auto"/>
                    <w:right w:val="none" w:sz="0" w:space="0" w:color="auto"/>
                  </w:divBdr>
                  <w:divsChild>
                    <w:div w:id="56710979">
                      <w:marLeft w:val="0"/>
                      <w:marRight w:val="0"/>
                      <w:marTop w:val="0"/>
                      <w:marBottom w:val="0"/>
                      <w:divBdr>
                        <w:top w:val="none" w:sz="0" w:space="0" w:color="auto"/>
                        <w:left w:val="none" w:sz="0" w:space="0" w:color="auto"/>
                        <w:bottom w:val="none" w:sz="0" w:space="0" w:color="auto"/>
                        <w:right w:val="none" w:sz="0" w:space="0" w:color="auto"/>
                      </w:divBdr>
                      <w:divsChild>
                        <w:div w:id="464205407">
                          <w:marLeft w:val="0"/>
                          <w:marRight w:val="0"/>
                          <w:marTop w:val="0"/>
                          <w:marBottom w:val="0"/>
                          <w:divBdr>
                            <w:top w:val="none" w:sz="0" w:space="0" w:color="auto"/>
                            <w:left w:val="none" w:sz="0" w:space="0" w:color="auto"/>
                            <w:bottom w:val="none" w:sz="0" w:space="0" w:color="auto"/>
                            <w:right w:val="none" w:sz="0" w:space="0" w:color="auto"/>
                          </w:divBdr>
                        </w:div>
                        <w:div w:id="1106268831">
                          <w:marLeft w:val="0"/>
                          <w:marRight w:val="0"/>
                          <w:marTop w:val="6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hyperlink" Target="http://www.nationalsheep.org.uk/" TargetMode="External"/><Relationship Id="rId3" Type="http://schemas.openxmlformats.org/officeDocument/2006/relationships/styles" Target="styles.xml"/><Relationship Id="rId21" Type="http://schemas.openxmlformats.org/officeDocument/2006/relationships/image" Target="media/image9.wmf"/><Relationship Id="rId34" Type="http://schemas.openxmlformats.org/officeDocument/2006/relationships/image" Target="media/image16.jpe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image" Target="media/image7.emf"/><Relationship Id="rId25" Type="http://schemas.openxmlformats.org/officeDocument/2006/relationships/image" Target="media/image11.wmf"/><Relationship Id="rId33" Type="http://schemas.openxmlformats.org/officeDocument/2006/relationships/image" Target="media/image15.jpeg"/><Relationship Id="rId38" Type="http://schemas.openxmlformats.org/officeDocument/2006/relationships/hyperlink" Target="http://www.hccmpw.org.uk" TargetMode="Externa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3.e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emf"/><Relationship Id="rId24" Type="http://schemas.openxmlformats.org/officeDocument/2006/relationships/oleObject" Target="embeddings/oleObject8.bin"/><Relationship Id="rId32" Type="http://schemas.openxmlformats.org/officeDocument/2006/relationships/image" Target="media/image14.jpeg"/><Relationship Id="rId37" Type="http://schemas.openxmlformats.org/officeDocument/2006/relationships/hyperlink" Target="http://www.hccmpw.org.uk" TargetMode="External"/><Relationship Id="rId40" Type="http://schemas.openxmlformats.org/officeDocument/2006/relationships/hyperlink" Target="http://www.ukagriculture.com"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image" Target="media/image18.jpeg"/><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7.jpeg"/></Relationships>
</file>

<file path=word/charts/_rels/chart1.xml.rels><?xml version="1.0" encoding="UTF-8" standalone="yes"?>
<Relationships xmlns="http://schemas.openxmlformats.org/package/2006/relationships"><Relationship Id="rId1" Type="http://schemas.openxmlformats.org/officeDocument/2006/relationships/oleObject" Target="file:///\\TBNB\SHARED\ICP_VEG\ozone%20and%20ecosystem%20services\UK,%20O3%20umbrella,%20NEC04105\pasture%20quality%20to%20economics\pasture%20analysis%20results\ME%20according%20to%20grassland%20type%20tri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032174103237096"/>
          <c:y val="4.0226520597968725E-2"/>
          <c:w val="0.79156146106735947"/>
          <c:h val="0.8363979230857016"/>
        </c:manualLayout>
      </c:layout>
      <c:scatterChart>
        <c:scatterStyle val="lineMarker"/>
        <c:varyColors val="0"/>
        <c:ser>
          <c:idx val="0"/>
          <c:order val="0"/>
          <c:tx>
            <c:v>calcareous drought (1)</c:v>
          </c:tx>
          <c:spPr>
            <a:ln w="28575">
              <a:noFill/>
            </a:ln>
          </c:spPr>
          <c:marker>
            <c:spPr>
              <a:solidFill>
                <a:schemeClr val="bg1">
                  <a:lumMod val="65000"/>
                </a:schemeClr>
              </a:solidFill>
              <a:ln>
                <a:solidFill>
                  <a:schemeClr val="tx1"/>
                </a:solidFill>
              </a:ln>
            </c:spPr>
          </c:marker>
          <c:trendline>
            <c:spPr>
              <a:ln w="12700">
                <a:solidFill>
                  <a:schemeClr val="tx1"/>
                </a:solidFill>
              </a:ln>
            </c:spPr>
            <c:trendlineType val="linear"/>
            <c:dispRSqr val="0"/>
            <c:dispEq val="0"/>
          </c:trendline>
          <c:xVal>
            <c:numRef>
              <c:f>Sheet2!$K$19:$K$26</c:f>
              <c:numCache>
                <c:formatCode>General</c:formatCode>
                <c:ptCount val="8"/>
                <c:pt idx="0">
                  <c:v>33.25</c:v>
                </c:pt>
                <c:pt idx="1">
                  <c:v>50.650000000000006</c:v>
                </c:pt>
                <c:pt idx="2">
                  <c:v>73.149999999999991</c:v>
                </c:pt>
                <c:pt idx="3">
                  <c:v>24.35</c:v>
                </c:pt>
                <c:pt idx="4">
                  <c:v>58.849999999999994</c:v>
                </c:pt>
                <c:pt idx="5">
                  <c:v>17.3</c:v>
                </c:pt>
                <c:pt idx="6">
                  <c:v>40.550000000000004</c:v>
                </c:pt>
                <c:pt idx="7">
                  <c:v>67.5</c:v>
                </c:pt>
              </c:numCache>
            </c:numRef>
          </c:xVal>
          <c:yVal>
            <c:numRef>
              <c:f>Sheet2!$AA$19:$AA$26</c:f>
              <c:numCache>
                <c:formatCode>General</c:formatCode>
                <c:ptCount val="8"/>
                <c:pt idx="0">
                  <c:v>7.5145496607055682</c:v>
                </c:pt>
                <c:pt idx="1">
                  <c:v>6.5703086652927984</c:v>
                </c:pt>
                <c:pt idx="2">
                  <c:v>7.719646500606399</c:v>
                </c:pt>
                <c:pt idx="3">
                  <c:v>6.3698789886912</c:v>
                </c:pt>
                <c:pt idx="4">
                  <c:v>6.1742257832255998</c:v>
                </c:pt>
                <c:pt idx="5">
                  <c:v>8.2726885402496642</c:v>
                </c:pt>
                <c:pt idx="6">
                  <c:v>7.4188247121343993</c:v>
                </c:pt>
                <c:pt idx="7">
                  <c:v>7.2864984152384134</c:v>
                </c:pt>
              </c:numCache>
            </c:numRef>
          </c:yVal>
          <c:smooth val="0"/>
        </c:ser>
        <c:ser>
          <c:idx val="1"/>
          <c:order val="1"/>
          <c:tx>
            <c:v>calcareous watered (1)</c:v>
          </c:tx>
          <c:spPr>
            <a:ln w="28575">
              <a:noFill/>
            </a:ln>
          </c:spPr>
          <c:marker>
            <c:symbol val="diamond"/>
            <c:size val="7"/>
            <c:spPr>
              <a:solidFill>
                <a:schemeClr val="tx1"/>
              </a:solidFill>
              <a:ln>
                <a:solidFill>
                  <a:schemeClr val="tx1"/>
                </a:solidFill>
              </a:ln>
            </c:spPr>
          </c:marker>
          <c:trendline>
            <c:spPr>
              <a:ln w="12700">
                <a:solidFill>
                  <a:schemeClr val="tx1"/>
                </a:solidFill>
              </a:ln>
            </c:spPr>
            <c:trendlineType val="linear"/>
            <c:dispRSqr val="0"/>
            <c:dispEq val="0"/>
          </c:trendline>
          <c:xVal>
            <c:numRef>
              <c:f>Sheet2!$K$88:$K$95</c:f>
              <c:numCache>
                <c:formatCode>General</c:formatCode>
                <c:ptCount val="8"/>
                <c:pt idx="0">
                  <c:v>33.25</c:v>
                </c:pt>
                <c:pt idx="1">
                  <c:v>50.65</c:v>
                </c:pt>
                <c:pt idx="2">
                  <c:v>73.149999999999991</c:v>
                </c:pt>
                <c:pt idx="3">
                  <c:v>24.35</c:v>
                </c:pt>
                <c:pt idx="4">
                  <c:v>58.85</c:v>
                </c:pt>
                <c:pt idx="5">
                  <c:v>17.3</c:v>
                </c:pt>
                <c:pt idx="6">
                  <c:v>40.550000000000004</c:v>
                </c:pt>
                <c:pt idx="7">
                  <c:v>67.5</c:v>
                </c:pt>
              </c:numCache>
            </c:numRef>
          </c:xVal>
          <c:yVal>
            <c:numRef>
              <c:f>Sheet2!$AA$88:$AA$95</c:f>
              <c:numCache>
                <c:formatCode>General</c:formatCode>
                <c:ptCount val="8"/>
                <c:pt idx="0">
                  <c:v>8.6887664194127989</c:v>
                </c:pt>
                <c:pt idx="1">
                  <c:v>8.6859513652183988</c:v>
                </c:pt>
                <c:pt idx="2">
                  <c:v>7.8372355039256005</c:v>
                </c:pt>
                <c:pt idx="3">
                  <c:v>9.0442452312311659</c:v>
                </c:pt>
                <c:pt idx="4">
                  <c:v>8.1420959184808002</c:v>
                </c:pt>
                <c:pt idx="5">
                  <c:v>8.80772768896</c:v>
                </c:pt>
                <c:pt idx="6">
                  <c:v>7.7465894585624007</c:v>
                </c:pt>
                <c:pt idx="7">
                  <c:v>8.3120842030993156</c:v>
                </c:pt>
              </c:numCache>
            </c:numRef>
          </c:yVal>
          <c:smooth val="0"/>
        </c:ser>
        <c:ser>
          <c:idx val="2"/>
          <c:order val="2"/>
          <c:tx>
            <c:v>mesotrophic drought (2,5)</c:v>
          </c:tx>
          <c:spPr>
            <a:ln w="28575">
              <a:noFill/>
            </a:ln>
          </c:spPr>
          <c:marker>
            <c:spPr>
              <a:solidFill>
                <a:schemeClr val="bg1">
                  <a:lumMod val="75000"/>
                </a:schemeClr>
              </a:solidFill>
              <a:ln>
                <a:solidFill>
                  <a:schemeClr val="tx1"/>
                </a:solidFill>
              </a:ln>
            </c:spPr>
          </c:marker>
          <c:trendline>
            <c:spPr>
              <a:ln w="12700">
                <a:solidFill>
                  <a:schemeClr val="tx1"/>
                </a:solidFill>
              </a:ln>
            </c:spPr>
            <c:trendlineType val="linear"/>
            <c:dispRSqr val="0"/>
            <c:dispEq val="0"/>
          </c:trendline>
          <c:xVal>
            <c:numRef>
              <c:f>Sheet3!$K$2:$K$18</c:f>
              <c:numCache>
                <c:formatCode>General</c:formatCode>
                <c:ptCount val="17"/>
                <c:pt idx="0">
                  <c:v>46.5</c:v>
                </c:pt>
                <c:pt idx="1">
                  <c:v>67.099999999999994</c:v>
                </c:pt>
                <c:pt idx="3">
                  <c:v>76</c:v>
                </c:pt>
                <c:pt idx="4">
                  <c:v>17.3</c:v>
                </c:pt>
                <c:pt idx="5">
                  <c:v>54.2</c:v>
                </c:pt>
                <c:pt idx="7">
                  <c:v>46.5</c:v>
                </c:pt>
                <c:pt idx="8">
                  <c:v>67.099999999999994</c:v>
                </c:pt>
                <c:pt idx="10">
                  <c:v>36.700000000000003</c:v>
                </c:pt>
                <c:pt idx="11">
                  <c:v>54.2</c:v>
                </c:pt>
                <c:pt idx="13">
                  <c:v>36</c:v>
                </c:pt>
                <c:pt idx="14">
                  <c:v>53.75</c:v>
                </c:pt>
                <c:pt idx="15">
                  <c:v>70.900000000000006</c:v>
                </c:pt>
                <c:pt idx="16">
                  <c:v>19.399999999999999</c:v>
                </c:pt>
              </c:numCache>
            </c:numRef>
          </c:xVal>
          <c:yVal>
            <c:numRef>
              <c:f>Sheet3!$AA$2:$AA$18</c:f>
              <c:numCache>
                <c:formatCode>General</c:formatCode>
                <c:ptCount val="17"/>
                <c:pt idx="0">
                  <c:v>6.9435677897040495</c:v>
                </c:pt>
                <c:pt idx="1">
                  <c:v>6.3718924349279984</c:v>
                </c:pt>
                <c:pt idx="2">
                  <c:v>6.6627463161919644</c:v>
                </c:pt>
                <c:pt idx="3">
                  <c:v>6.8201820229999655</c:v>
                </c:pt>
                <c:pt idx="4">
                  <c:v>7.0846752524159635</c:v>
                </c:pt>
                <c:pt idx="5">
                  <c:v>6.6945868038847545</c:v>
                </c:pt>
                <c:pt idx="6">
                  <c:v>6.320574567004738</c:v>
                </c:pt>
                <c:pt idx="7">
                  <c:v>7.1082975130831993</c:v>
                </c:pt>
                <c:pt idx="8">
                  <c:v>6.7058542255103966</c:v>
                </c:pt>
                <c:pt idx="9">
                  <c:v>6.6749969594079435</c:v>
                </c:pt>
                <c:pt idx="10">
                  <c:v>6.9766787665696413</c:v>
                </c:pt>
                <c:pt idx="11">
                  <c:v>6.3625489478799544</c:v>
                </c:pt>
                <c:pt idx="12">
                  <c:v>7.1240942795583324</c:v>
                </c:pt>
                <c:pt idx="13">
                  <c:v>8.1547018464752004</c:v>
                </c:pt>
                <c:pt idx="14">
                  <c:v>7.9650484953360134</c:v>
                </c:pt>
                <c:pt idx="15">
                  <c:v>8.0029943712240268</c:v>
                </c:pt>
                <c:pt idx="16">
                  <c:v>8.0979394121535986</c:v>
                </c:pt>
              </c:numCache>
            </c:numRef>
          </c:yVal>
          <c:smooth val="0"/>
        </c:ser>
        <c:ser>
          <c:idx val="5"/>
          <c:order val="3"/>
          <c:tx>
            <c:v>mesotrophic watered (2,3,4,5)</c:v>
          </c:tx>
          <c:spPr>
            <a:ln w="28575">
              <a:noFill/>
            </a:ln>
          </c:spPr>
          <c:marker>
            <c:symbol val="triangle"/>
            <c:size val="7"/>
            <c:spPr>
              <a:solidFill>
                <a:schemeClr val="bg1">
                  <a:lumMod val="50000"/>
                </a:schemeClr>
              </a:solidFill>
              <a:ln>
                <a:solidFill>
                  <a:schemeClr val="bg1">
                    <a:lumMod val="50000"/>
                  </a:schemeClr>
                </a:solidFill>
              </a:ln>
            </c:spPr>
          </c:marker>
          <c:trendline>
            <c:spPr>
              <a:ln w="38100">
                <a:solidFill>
                  <a:schemeClr val="bg1">
                    <a:lumMod val="50000"/>
                  </a:schemeClr>
                </a:solidFill>
              </a:ln>
            </c:spPr>
            <c:trendlineType val="linear"/>
            <c:dispRSqr val="0"/>
            <c:dispEq val="0"/>
          </c:trendline>
          <c:xVal>
            <c:numRef>
              <c:f>Sheet3!$K$27:$K$59</c:f>
              <c:numCache>
                <c:formatCode>General</c:formatCode>
                <c:ptCount val="33"/>
                <c:pt idx="0">
                  <c:v>36</c:v>
                </c:pt>
                <c:pt idx="1">
                  <c:v>53.75</c:v>
                </c:pt>
                <c:pt idx="2">
                  <c:v>70.900000000000006</c:v>
                </c:pt>
                <c:pt idx="3">
                  <c:v>19.399999999999999</c:v>
                </c:pt>
                <c:pt idx="4">
                  <c:v>36</c:v>
                </c:pt>
                <c:pt idx="5">
                  <c:v>53.75</c:v>
                </c:pt>
                <c:pt idx="6">
                  <c:v>70.900000000000006</c:v>
                </c:pt>
                <c:pt idx="7">
                  <c:v>19.399999999999999</c:v>
                </c:pt>
                <c:pt idx="8">
                  <c:v>46.5</c:v>
                </c:pt>
                <c:pt idx="9">
                  <c:v>67.099999999999994</c:v>
                </c:pt>
                <c:pt idx="11">
                  <c:v>76</c:v>
                </c:pt>
                <c:pt idx="12">
                  <c:v>17.3</c:v>
                </c:pt>
                <c:pt idx="13">
                  <c:v>54.2</c:v>
                </c:pt>
                <c:pt idx="15">
                  <c:v>46.5</c:v>
                </c:pt>
                <c:pt idx="16">
                  <c:v>67.099999999999994</c:v>
                </c:pt>
                <c:pt idx="18">
                  <c:v>36.700000000000003</c:v>
                </c:pt>
                <c:pt idx="19">
                  <c:v>76</c:v>
                </c:pt>
                <c:pt idx="20">
                  <c:v>17.3</c:v>
                </c:pt>
                <c:pt idx="21">
                  <c:v>54.2</c:v>
                </c:pt>
                <c:pt idx="23">
                  <c:v>44.14</c:v>
                </c:pt>
                <c:pt idx="24">
                  <c:v>61.96</c:v>
                </c:pt>
                <c:pt idx="26">
                  <c:v>72.61999999999999</c:v>
                </c:pt>
                <c:pt idx="27">
                  <c:v>16.23</c:v>
                </c:pt>
                <c:pt idx="28">
                  <c:v>44.14</c:v>
                </c:pt>
                <c:pt idx="29">
                  <c:v>61.96</c:v>
                </c:pt>
                <c:pt idx="31">
                  <c:v>72.61999999999999</c:v>
                </c:pt>
                <c:pt idx="32">
                  <c:v>16.23</c:v>
                </c:pt>
              </c:numCache>
            </c:numRef>
          </c:xVal>
          <c:yVal>
            <c:numRef>
              <c:f>Sheet3!$AA$27:$AA$59</c:f>
              <c:numCache>
                <c:formatCode>General</c:formatCode>
                <c:ptCount val="33"/>
                <c:pt idx="0">
                  <c:v>7.8186185712447855</c:v>
                </c:pt>
                <c:pt idx="1">
                  <c:v>7.7565705918128014</c:v>
                </c:pt>
                <c:pt idx="2">
                  <c:v>7.9285023155615999</c:v>
                </c:pt>
                <c:pt idx="3">
                  <c:v>7.9160877105904</c:v>
                </c:pt>
                <c:pt idx="4">
                  <c:v>7.5117417255872034</c:v>
                </c:pt>
                <c:pt idx="5">
                  <c:v>7.7089991762319965</c:v>
                </c:pt>
                <c:pt idx="6">
                  <c:v>7.5974279878959745</c:v>
                </c:pt>
                <c:pt idx="7">
                  <c:v>7.7107753428080006</c:v>
                </c:pt>
                <c:pt idx="8">
                  <c:v>6.9917644488559985</c:v>
                </c:pt>
                <c:pt idx="9">
                  <c:v>6.1880011781311985</c:v>
                </c:pt>
                <c:pt idx="10">
                  <c:v>6.0842131812367981</c:v>
                </c:pt>
                <c:pt idx="11">
                  <c:v>6.7230112329791956</c:v>
                </c:pt>
                <c:pt idx="12">
                  <c:v>7.0638746503871745</c:v>
                </c:pt>
                <c:pt idx="13">
                  <c:v>6.7893993099199994</c:v>
                </c:pt>
                <c:pt idx="14">
                  <c:v>6.2863320859152134</c:v>
                </c:pt>
                <c:pt idx="15">
                  <c:v>6.9126632117664002</c:v>
                </c:pt>
                <c:pt idx="16">
                  <c:v>7.0596283531376134</c:v>
                </c:pt>
                <c:pt idx="17">
                  <c:v>6.9562358337808012</c:v>
                </c:pt>
                <c:pt idx="18">
                  <c:v>6.7854090592448024</c:v>
                </c:pt>
                <c:pt idx="19">
                  <c:v>6.7072811285024008</c:v>
                </c:pt>
                <c:pt idx="20">
                  <c:v>6.8423718912671996</c:v>
                </c:pt>
                <c:pt idx="21">
                  <c:v>7.0776839080783978</c:v>
                </c:pt>
                <c:pt idx="22">
                  <c:v>6.985396872811199</c:v>
                </c:pt>
                <c:pt idx="23">
                  <c:v>8.0339471187168012</c:v>
                </c:pt>
                <c:pt idx="24">
                  <c:v>6.2790167292704</c:v>
                </c:pt>
                <c:pt idx="25">
                  <c:v>8.1362702327775889</c:v>
                </c:pt>
                <c:pt idx="26">
                  <c:v>7.8147622278159581</c:v>
                </c:pt>
                <c:pt idx="27">
                  <c:v>7.1445594101408005</c:v>
                </c:pt>
                <c:pt idx="28">
                  <c:v>8.5078915580032248</c:v>
                </c:pt>
                <c:pt idx="29">
                  <c:v>6.5026675280495985</c:v>
                </c:pt>
                <c:pt idx="30">
                  <c:v>7.9968593745344014</c:v>
                </c:pt>
                <c:pt idx="31">
                  <c:v>7.4678226533103995</c:v>
                </c:pt>
                <c:pt idx="32">
                  <c:v>8.972105575595279</c:v>
                </c:pt>
              </c:numCache>
            </c:numRef>
          </c:yVal>
          <c:smooth val="0"/>
        </c:ser>
        <c:ser>
          <c:idx val="4"/>
          <c:order val="4"/>
          <c:tx>
            <c:v>Sanddune (6)</c:v>
          </c:tx>
          <c:spPr>
            <a:ln w="28575">
              <a:noFill/>
            </a:ln>
          </c:spPr>
          <c:marker>
            <c:symbol val="circle"/>
            <c:size val="7"/>
            <c:spPr>
              <a:solidFill>
                <a:schemeClr val="bg1">
                  <a:lumMod val="50000"/>
                </a:schemeClr>
              </a:solidFill>
              <a:ln>
                <a:solidFill>
                  <a:sysClr val="windowText" lastClr="000000"/>
                </a:solidFill>
              </a:ln>
            </c:spPr>
          </c:marker>
          <c:trendline>
            <c:spPr>
              <a:ln w="38100">
                <a:solidFill>
                  <a:schemeClr val="bg1">
                    <a:lumMod val="50000"/>
                  </a:schemeClr>
                </a:solidFill>
              </a:ln>
            </c:spPr>
            <c:trendlineType val="linear"/>
            <c:dispRSqr val="0"/>
            <c:dispEq val="0"/>
          </c:trendline>
          <c:xVal>
            <c:numRef>
              <c:f>Sheet2!$K$84:$K$87</c:f>
              <c:numCache>
                <c:formatCode>General</c:formatCode>
                <c:ptCount val="4"/>
                <c:pt idx="0">
                  <c:v>20.84726542249895</c:v>
                </c:pt>
                <c:pt idx="1">
                  <c:v>26.121954380508164</c:v>
                </c:pt>
                <c:pt idx="2">
                  <c:v>40.98062467599744</c:v>
                </c:pt>
                <c:pt idx="3">
                  <c:v>50.911093831000294</c:v>
                </c:pt>
              </c:numCache>
            </c:numRef>
          </c:xVal>
          <c:yVal>
            <c:numRef>
              <c:f>Sheet2!$AA$84:$AA$87</c:f>
              <c:numCache>
                <c:formatCode>General</c:formatCode>
                <c:ptCount val="4"/>
                <c:pt idx="0">
                  <c:v>7.7764437240512523</c:v>
                </c:pt>
                <c:pt idx="1">
                  <c:v>7.8276715656831977</c:v>
                </c:pt>
                <c:pt idx="2">
                  <c:v>7.2776572318949331</c:v>
                </c:pt>
                <c:pt idx="3">
                  <c:v>7.5121142505375307</c:v>
                </c:pt>
              </c:numCache>
            </c:numRef>
          </c:yVal>
          <c:smooth val="0"/>
        </c:ser>
        <c:ser>
          <c:idx val="3"/>
          <c:order val="5"/>
          <c:tx>
            <c:v>Haymeadow (7,8)</c:v>
          </c:tx>
          <c:spPr>
            <a:ln w="28575">
              <a:noFill/>
            </a:ln>
          </c:spPr>
          <c:marker>
            <c:symbol val="square"/>
            <c:size val="7"/>
            <c:spPr>
              <a:noFill/>
              <a:ln w="12700">
                <a:solidFill>
                  <a:schemeClr val="tx1"/>
                </a:solidFill>
              </a:ln>
            </c:spPr>
          </c:marker>
          <c:trendline>
            <c:spPr>
              <a:ln w="12700">
                <a:solidFill>
                  <a:schemeClr val="tx1"/>
                </a:solidFill>
              </a:ln>
            </c:spPr>
            <c:trendlineType val="linear"/>
            <c:dispRSqr val="0"/>
            <c:dispEq val="0"/>
          </c:trendline>
          <c:xVal>
            <c:numRef>
              <c:f>Sheet3!$K$60:$K$83</c:f>
              <c:numCache>
                <c:formatCode>General</c:formatCode>
                <c:ptCount val="24"/>
                <c:pt idx="0">
                  <c:v>38.9</c:v>
                </c:pt>
                <c:pt idx="1">
                  <c:v>49.6</c:v>
                </c:pt>
                <c:pt idx="2">
                  <c:v>30.6</c:v>
                </c:pt>
                <c:pt idx="3">
                  <c:v>43.1</c:v>
                </c:pt>
                <c:pt idx="4">
                  <c:v>57</c:v>
                </c:pt>
                <c:pt idx="5">
                  <c:v>33.4</c:v>
                </c:pt>
                <c:pt idx="6">
                  <c:v>32.6</c:v>
                </c:pt>
                <c:pt idx="7">
                  <c:v>32.6</c:v>
                </c:pt>
                <c:pt idx="8">
                  <c:v>59</c:v>
                </c:pt>
                <c:pt idx="9">
                  <c:v>30.7</c:v>
                </c:pt>
                <c:pt idx="10">
                  <c:v>38.9</c:v>
                </c:pt>
                <c:pt idx="12">
                  <c:v>33.4</c:v>
                </c:pt>
                <c:pt idx="13">
                  <c:v>43.1</c:v>
                </c:pt>
                <c:pt idx="15">
                  <c:v>28.5</c:v>
                </c:pt>
                <c:pt idx="16">
                  <c:v>32.6</c:v>
                </c:pt>
                <c:pt idx="17">
                  <c:v>59</c:v>
                </c:pt>
                <c:pt idx="18">
                  <c:v>30.7</c:v>
                </c:pt>
                <c:pt idx="19">
                  <c:v>38.9</c:v>
                </c:pt>
                <c:pt idx="21">
                  <c:v>33.4</c:v>
                </c:pt>
                <c:pt idx="22">
                  <c:v>43.1</c:v>
                </c:pt>
              </c:numCache>
            </c:numRef>
          </c:xVal>
          <c:yVal>
            <c:numRef>
              <c:f>Sheet3!$AA$60:$AA$83</c:f>
              <c:numCache>
                <c:formatCode>General</c:formatCode>
                <c:ptCount val="24"/>
                <c:pt idx="0">
                  <c:v>7.228594109717065</c:v>
                </c:pt>
                <c:pt idx="1">
                  <c:v>7.1246747387093246</c:v>
                </c:pt>
                <c:pt idx="2">
                  <c:v>7.8496350015885339</c:v>
                </c:pt>
                <c:pt idx="3">
                  <c:v>7.0069746463547755</c:v>
                </c:pt>
                <c:pt idx="4">
                  <c:v>6.9020029443972017</c:v>
                </c:pt>
                <c:pt idx="5">
                  <c:v>7.1487319606247945</c:v>
                </c:pt>
                <c:pt idx="6">
                  <c:v>6.7838136886085332</c:v>
                </c:pt>
                <c:pt idx="7">
                  <c:v>6.8359301853418923</c:v>
                </c:pt>
                <c:pt idx="8">
                  <c:v>6.8561881136447989</c:v>
                </c:pt>
                <c:pt idx="9">
                  <c:v>7.5354345022746694</c:v>
                </c:pt>
                <c:pt idx="10">
                  <c:v>7.1969525272922281</c:v>
                </c:pt>
                <c:pt idx="11">
                  <c:v>7.4071545623781265</c:v>
                </c:pt>
                <c:pt idx="12">
                  <c:v>7.1783737860240358</c:v>
                </c:pt>
                <c:pt idx="13">
                  <c:v>6.6645525544311655</c:v>
                </c:pt>
                <c:pt idx="14">
                  <c:v>7.1962278882684005</c:v>
                </c:pt>
                <c:pt idx="15">
                  <c:v>6.9421380905447982</c:v>
                </c:pt>
                <c:pt idx="16">
                  <c:v>6.7228552880468877</c:v>
                </c:pt>
                <c:pt idx="17">
                  <c:v>6.5653053958343994</c:v>
                </c:pt>
                <c:pt idx="18">
                  <c:v>7.6304489041615993</c:v>
                </c:pt>
                <c:pt idx="19">
                  <c:v>7.3108626380143997</c:v>
                </c:pt>
                <c:pt idx="20">
                  <c:v>7.4270952486437265</c:v>
                </c:pt>
                <c:pt idx="21">
                  <c:v>6.8323825067503945</c:v>
                </c:pt>
                <c:pt idx="22">
                  <c:v>6.8696889695327945</c:v>
                </c:pt>
                <c:pt idx="23">
                  <c:v>6.5911573854136458</c:v>
                </c:pt>
              </c:numCache>
            </c:numRef>
          </c:yVal>
          <c:smooth val="0"/>
        </c:ser>
        <c:ser>
          <c:idx val="7"/>
          <c:order val="6"/>
          <c:tx>
            <c:v>clover (from published data)</c:v>
          </c:tx>
          <c:spPr>
            <a:ln w="28575">
              <a:noFill/>
            </a:ln>
          </c:spPr>
          <c:marker>
            <c:symbol val="star"/>
            <c:size val="7"/>
            <c:spPr>
              <a:noFill/>
              <a:ln>
                <a:solidFill>
                  <a:sysClr val="windowText" lastClr="000000"/>
                </a:solidFill>
              </a:ln>
            </c:spPr>
          </c:marker>
          <c:trendline>
            <c:spPr>
              <a:ln>
                <a:prstDash val="sysDash"/>
              </a:ln>
            </c:spPr>
            <c:trendlineType val="linear"/>
            <c:dispRSqr val="0"/>
            <c:dispEq val="0"/>
          </c:trendline>
          <c:xVal>
            <c:numRef>
              <c:f>Sheet3!$K$98:$K$114</c:f>
              <c:numCache>
                <c:formatCode>General</c:formatCode>
                <c:ptCount val="17"/>
                <c:pt idx="0">
                  <c:v>19.905999999999889</c:v>
                </c:pt>
                <c:pt idx="1">
                  <c:v>24.898</c:v>
                </c:pt>
                <c:pt idx="2">
                  <c:v>32.113</c:v>
                </c:pt>
                <c:pt idx="3">
                  <c:v>42.13600000000001</c:v>
                </c:pt>
                <c:pt idx="4">
                  <c:v>19.905999999999889</c:v>
                </c:pt>
                <c:pt idx="5">
                  <c:v>24.898</c:v>
                </c:pt>
                <c:pt idx="6">
                  <c:v>32.113</c:v>
                </c:pt>
                <c:pt idx="7">
                  <c:v>42.13600000000001</c:v>
                </c:pt>
                <c:pt idx="8">
                  <c:v>8</c:v>
                </c:pt>
                <c:pt idx="9">
                  <c:v>8</c:v>
                </c:pt>
                <c:pt idx="10">
                  <c:v>8</c:v>
                </c:pt>
                <c:pt idx="11">
                  <c:v>34</c:v>
                </c:pt>
                <c:pt idx="12">
                  <c:v>34</c:v>
                </c:pt>
                <c:pt idx="13">
                  <c:v>34</c:v>
                </c:pt>
                <c:pt idx="14">
                  <c:v>56</c:v>
                </c:pt>
                <c:pt idx="15">
                  <c:v>56</c:v>
                </c:pt>
                <c:pt idx="16">
                  <c:v>56</c:v>
                </c:pt>
              </c:numCache>
            </c:numRef>
          </c:xVal>
          <c:yVal>
            <c:numRef>
              <c:f>Sheet3!$AA$98:$AA$123</c:f>
              <c:numCache>
                <c:formatCode>General</c:formatCode>
                <c:ptCount val="26"/>
                <c:pt idx="0">
                  <c:v>9.8587022976000753</c:v>
                </c:pt>
                <c:pt idx="1">
                  <c:v>9.9013481360000011</c:v>
                </c:pt>
                <c:pt idx="2">
                  <c:v>9.6735033952000027</c:v>
                </c:pt>
                <c:pt idx="3">
                  <c:v>9.4755416192000919</c:v>
                </c:pt>
                <c:pt idx="4">
                  <c:v>10.1231202192</c:v>
                </c:pt>
                <c:pt idx="5">
                  <c:v>9.8607265168001046</c:v>
                </c:pt>
                <c:pt idx="6">
                  <c:v>9.7829141584000006</c:v>
                </c:pt>
                <c:pt idx="7">
                  <c:v>9.4865890528000865</c:v>
                </c:pt>
                <c:pt idx="8">
                  <c:v>10.22355236944</c:v>
                </c:pt>
                <c:pt idx="9">
                  <c:v>10.173454659680086</c:v>
                </c:pt>
                <c:pt idx="10">
                  <c:v>10.139557565280002</c:v>
                </c:pt>
                <c:pt idx="11">
                  <c:v>10.03033550048</c:v>
                </c:pt>
                <c:pt idx="12">
                  <c:v>10.02398837248</c:v>
                </c:pt>
                <c:pt idx="13">
                  <c:v>9.7460630763199987</c:v>
                </c:pt>
                <c:pt idx="14">
                  <c:v>9.6204825756800734</c:v>
                </c:pt>
                <c:pt idx="15">
                  <c:v>9.5585105902400027</c:v>
                </c:pt>
                <c:pt idx="16">
                  <c:v>9.5987410891199989</c:v>
                </c:pt>
                <c:pt idx="17">
                  <c:v>8.4896164953600248</c:v>
                </c:pt>
                <c:pt idx="18">
                  <c:v>7.9501792329599965</c:v>
                </c:pt>
                <c:pt idx="19">
                  <c:v>8.1117736809599919</c:v>
                </c:pt>
                <c:pt idx="20">
                  <c:v>8.6669758369600007</c:v>
                </c:pt>
                <c:pt idx="21">
                  <c:v>8.2250579076800001</c:v>
                </c:pt>
                <c:pt idx="22">
                  <c:v>8.2129812100800006</c:v>
                </c:pt>
                <c:pt idx="23">
                  <c:v>8.7326531727999992</c:v>
                </c:pt>
                <c:pt idx="24">
                  <c:v>8.4261658006399998</c:v>
                </c:pt>
                <c:pt idx="25">
                  <c:v>8.4128745715200068</c:v>
                </c:pt>
              </c:numCache>
            </c:numRef>
          </c:yVal>
          <c:smooth val="0"/>
        </c:ser>
        <c:ser>
          <c:idx val="8"/>
          <c:order val="7"/>
          <c:tx>
            <c:v>formula</c:v>
          </c:tx>
          <c:spPr>
            <a:ln w="28575">
              <a:noFill/>
            </a:ln>
          </c:spPr>
          <c:marker>
            <c:symbol val="none"/>
          </c:marker>
          <c:trendline>
            <c:name>Response function</c:name>
            <c:spPr>
              <a:ln w="63500">
                <a:solidFill>
                  <a:sysClr val="windowText" lastClr="000000">
                    <a:shade val="95000"/>
                    <a:satMod val="105000"/>
                  </a:sysClr>
                </a:solidFill>
              </a:ln>
            </c:spPr>
            <c:trendlineType val="linear"/>
            <c:dispRSqr val="0"/>
            <c:dispEq val="1"/>
            <c:trendlineLbl>
              <c:layout>
                <c:manualLayout>
                  <c:x val="0.1656653543307087"/>
                  <c:y val="-0.31512333582736646"/>
                </c:manualLayout>
              </c:layout>
              <c:numFmt formatCode="General" sourceLinked="0"/>
            </c:trendlineLbl>
          </c:trendline>
          <c:xVal>
            <c:numRef>
              <c:f>Sheet3!$K$126:$K$133</c:f>
              <c:numCache>
                <c:formatCode>General</c:formatCode>
                <c:ptCount val="8"/>
                <c:pt idx="0">
                  <c:v>10</c:v>
                </c:pt>
                <c:pt idx="1">
                  <c:v>20</c:v>
                </c:pt>
                <c:pt idx="2">
                  <c:v>30</c:v>
                </c:pt>
                <c:pt idx="3">
                  <c:v>40</c:v>
                </c:pt>
                <c:pt idx="4">
                  <c:v>50</c:v>
                </c:pt>
                <c:pt idx="5">
                  <c:v>60</c:v>
                </c:pt>
                <c:pt idx="6">
                  <c:v>70</c:v>
                </c:pt>
                <c:pt idx="7">
                  <c:v>80</c:v>
                </c:pt>
              </c:numCache>
            </c:numRef>
          </c:xVal>
          <c:yVal>
            <c:numRef>
              <c:f>Sheet3!$AA$126:$AA$133</c:f>
              <c:numCache>
                <c:formatCode>General</c:formatCode>
                <c:ptCount val="8"/>
                <c:pt idx="0">
                  <c:v>7.81806</c:v>
                </c:pt>
                <c:pt idx="1">
                  <c:v>7.7061199999999985</c:v>
                </c:pt>
                <c:pt idx="2">
                  <c:v>7.5941799999999855</c:v>
                </c:pt>
                <c:pt idx="3">
                  <c:v>7.4822400000000124</c:v>
                </c:pt>
                <c:pt idx="4">
                  <c:v>7.3702999999999994</c:v>
                </c:pt>
                <c:pt idx="5">
                  <c:v>7.2583599999999997</c:v>
                </c:pt>
                <c:pt idx="6">
                  <c:v>7.14642</c:v>
                </c:pt>
                <c:pt idx="7">
                  <c:v>7.0344799999999985</c:v>
                </c:pt>
              </c:numCache>
            </c:numRef>
          </c:yVal>
          <c:smooth val="0"/>
        </c:ser>
        <c:dLbls>
          <c:showLegendKey val="0"/>
          <c:showVal val="0"/>
          <c:showCatName val="0"/>
          <c:showSerName val="0"/>
          <c:showPercent val="0"/>
          <c:showBubbleSize val="0"/>
        </c:dLbls>
        <c:axId val="46684800"/>
        <c:axId val="46703360"/>
      </c:scatterChart>
      <c:valAx>
        <c:axId val="46684800"/>
        <c:scaling>
          <c:orientation val="minMax"/>
        </c:scaling>
        <c:delete val="0"/>
        <c:axPos val="b"/>
        <c:title>
          <c:tx>
            <c:rich>
              <a:bodyPr/>
              <a:lstStyle/>
              <a:p>
                <a:pPr>
                  <a:defRPr sz="1400"/>
                </a:pPr>
                <a:r>
                  <a:rPr lang="en-US" sz="1400"/>
                  <a:t>Ozone, 24h mean, ppb</a:t>
                </a:r>
              </a:p>
            </c:rich>
          </c:tx>
          <c:overlay val="0"/>
        </c:title>
        <c:numFmt formatCode="General" sourceLinked="1"/>
        <c:majorTickMark val="in"/>
        <c:minorTickMark val="none"/>
        <c:tickLblPos val="nextTo"/>
        <c:spPr>
          <a:ln w="12700">
            <a:solidFill>
              <a:schemeClr val="tx1"/>
            </a:solidFill>
          </a:ln>
        </c:spPr>
        <c:txPr>
          <a:bodyPr/>
          <a:lstStyle/>
          <a:p>
            <a:pPr>
              <a:defRPr sz="1200"/>
            </a:pPr>
            <a:endParaRPr lang="en-US"/>
          </a:p>
        </c:txPr>
        <c:crossAx val="46703360"/>
        <c:crosses val="autoZero"/>
        <c:crossBetween val="midCat"/>
      </c:valAx>
      <c:valAx>
        <c:axId val="46703360"/>
        <c:scaling>
          <c:orientation val="minMax"/>
        </c:scaling>
        <c:delete val="0"/>
        <c:axPos val="l"/>
        <c:title>
          <c:tx>
            <c:rich>
              <a:bodyPr rot="-5400000" vert="horz"/>
              <a:lstStyle/>
              <a:p>
                <a:pPr>
                  <a:defRPr sz="1400"/>
                </a:pPr>
                <a:r>
                  <a:rPr lang="en-US" sz="1400"/>
                  <a:t>Metabolisable energy, MJ/kg (sheep)</a:t>
                </a:r>
              </a:p>
            </c:rich>
          </c:tx>
          <c:overlay val="0"/>
        </c:title>
        <c:numFmt formatCode="General" sourceLinked="1"/>
        <c:majorTickMark val="in"/>
        <c:minorTickMark val="none"/>
        <c:tickLblPos val="nextTo"/>
        <c:spPr>
          <a:ln w="12700">
            <a:solidFill>
              <a:schemeClr val="tx1"/>
            </a:solidFill>
          </a:ln>
        </c:spPr>
        <c:txPr>
          <a:bodyPr/>
          <a:lstStyle/>
          <a:p>
            <a:pPr>
              <a:defRPr sz="1200"/>
            </a:pPr>
            <a:endParaRPr lang="en-US"/>
          </a:p>
        </c:txPr>
        <c:crossAx val="46684800"/>
        <c:crosses val="autoZero"/>
        <c:crossBetween val="midCat"/>
      </c:valAx>
      <c:spPr>
        <a:ln w="12700">
          <a:solidFill>
            <a:schemeClr val="tx1"/>
          </a:solidFill>
        </a:ln>
      </c:spPr>
    </c:plotArea>
    <c:legend>
      <c:legendPos val="r"/>
      <c:legendEntry>
        <c:idx val="7"/>
        <c:delete val="1"/>
      </c:legendEntry>
      <c:legendEntry>
        <c:idx val="8"/>
        <c:delete val="1"/>
      </c:legendEntry>
      <c:legendEntry>
        <c:idx val="9"/>
        <c:delete val="1"/>
      </c:legendEntry>
      <c:legendEntry>
        <c:idx val="10"/>
        <c:delete val="1"/>
      </c:legendEntry>
      <c:legendEntry>
        <c:idx val="11"/>
        <c:delete val="1"/>
      </c:legendEntry>
      <c:legendEntry>
        <c:idx val="12"/>
        <c:delete val="1"/>
      </c:legendEntry>
      <c:legendEntry>
        <c:idx val="13"/>
        <c:delete val="1"/>
      </c:legendEntry>
      <c:legendEntry>
        <c:idx val="14"/>
        <c:delete val="1"/>
      </c:legendEntry>
      <c:layout>
        <c:manualLayout>
          <c:xMode val="edge"/>
          <c:yMode val="edge"/>
          <c:x val="0.1346679790026247"/>
          <c:y val="0.50198429947388323"/>
          <c:w val="0.50148622047243629"/>
          <c:h val="0.36528568544316581"/>
        </c:manualLayout>
      </c:layout>
      <c:overlay val="0"/>
      <c:txPr>
        <a:bodyPr/>
        <a:lstStyle/>
        <a:p>
          <a:pPr>
            <a:defRPr sz="1200"/>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F064-DC04-4246-8C14-BB2C235D2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D6A54540</Template>
  <TotalTime>0</TotalTime>
  <Pages>44</Pages>
  <Words>9375</Words>
  <Characters>53440</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NERC</Company>
  <LinksUpToDate>false</LinksUpToDate>
  <CharactersWithSpaces>62690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FHAY</dc:creator>
  <cp:lastModifiedBy>Sylvia Toet</cp:lastModifiedBy>
  <cp:revision>2</cp:revision>
  <cp:lastPrinted>2014-07-09T13:35:00Z</cp:lastPrinted>
  <dcterms:created xsi:type="dcterms:W3CDTF">2017-01-05T17:08:00Z</dcterms:created>
  <dcterms:modified xsi:type="dcterms:W3CDTF">2017-01-05T17:08:00Z</dcterms:modified>
</cp:coreProperties>
</file>